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0B" w:rsidRPr="006D652B" w:rsidRDefault="00F0420B" w:rsidP="00F0420B">
      <w:pPr>
        <w:jc w:val="center"/>
        <w:rPr>
          <w:sz w:val="32"/>
          <w:szCs w:val="32"/>
        </w:rPr>
      </w:pPr>
      <w:bookmarkStart w:id="0" w:name="OLE_LINK1"/>
      <w:bookmarkStart w:id="1" w:name="OLE_LINK2"/>
      <w:r w:rsidRPr="006D652B">
        <w:rPr>
          <w:sz w:val="32"/>
          <w:szCs w:val="32"/>
        </w:rPr>
        <w:t>Supporting Statement A for</w:t>
      </w:r>
    </w:p>
    <w:p w:rsidR="00F0420B" w:rsidRPr="006D652B" w:rsidRDefault="00F0420B" w:rsidP="00F0420B">
      <w:pPr>
        <w:ind w:left="1440" w:firstLine="720"/>
        <w:rPr>
          <w:sz w:val="28"/>
          <w:szCs w:val="28"/>
        </w:rPr>
      </w:pPr>
    </w:p>
    <w:p w:rsidR="00F0420B" w:rsidRPr="006D652B" w:rsidRDefault="00F0420B" w:rsidP="00F0420B">
      <w:pPr>
        <w:ind w:left="1440" w:firstLine="720"/>
        <w:rPr>
          <w:sz w:val="28"/>
          <w:szCs w:val="28"/>
        </w:rPr>
      </w:pPr>
      <w:r w:rsidRPr="006D652B">
        <w:rPr>
          <w:sz w:val="28"/>
          <w:szCs w:val="28"/>
        </w:rPr>
        <w:t xml:space="preserve">         </w:t>
      </w:r>
    </w:p>
    <w:p w:rsidR="00F0420B" w:rsidRPr="006D652B" w:rsidRDefault="00F0420B" w:rsidP="00F0420B">
      <w:pPr>
        <w:ind w:left="1440" w:firstLine="720"/>
        <w:rPr>
          <w:sz w:val="28"/>
          <w:szCs w:val="28"/>
        </w:rPr>
      </w:pPr>
      <w:r w:rsidRPr="006D652B">
        <w:rPr>
          <w:sz w:val="28"/>
          <w:szCs w:val="28"/>
        </w:rPr>
        <w:t xml:space="preserve">              </w:t>
      </w:r>
    </w:p>
    <w:p w:rsidR="00F0420B" w:rsidRPr="006D652B" w:rsidRDefault="00F0420B" w:rsidP="00F0420B">
      <w:pPr>
        <w:ind w:left="1440" w:firstLine="720"/>
        <w:rPr>
          <w:sz w:val="28"/>
          <w:szCs w:val="28"/>
        </w:rPr>
      </w:pPr>
    </w:p>
    <w:p w:rsidR="00F0420B" w:rsidRPr="006D652B" w:rsidRDefault="00F0420B" w:rsidP="00F0420B">
      <w:pPr>
        <w:ind w:left="1440" w:firstLine="720"/>
        <w:rPr>
          <w:sz w:val="28"/>
          <w:szCs w:val="28"/>
        </w:rPr>
      </w:pPr>
    </w:p>
    <w:p w:rsidR="00F0420B" w:rsidRPr="006D652B" w:rsidRDefault="006A37C5" w:rsidP="00F0420B">
      <w:pPr>
        <w:spacing w:line="480" w:lineRule="auto"/>
        <w:jc w:val="center"/>
        <w:rPr>
          <w:b/>
          <w:sz w:val="28"/>
          <w:szCs w:val="28"/>
        </w:rPr>
      </w:pPr>
      <w:r w:rsidRPr="006D652B">
        <w:rPr>
          <w:b/>
          <w:sz w:val="24"/>
          <w:szCs w:val="24"/>
        </w:rPr>
        <w:t xml:space="preserve">Jurisdictional </w:t>
      </w:r>
      <w:r w:rsidR="00E60AA5" w:rsidRPr="006D652B">
        <w:rPr>
          <w:b/>
          <w:sz w:val="24"/>
          <w:szCs w:val="24"/>
        </w:rPr>
        <w:t xml:space="preserve">Survey </w:t>
      </w:r>
      <w:r w:rsidRPr="006D652B">
        <w:rPr>
          <w:b/>
          <w:sz w:val="24"/>
          <w:szCs w:val="24"/>
        </w:rPr>
        <w:t xml:space="preserve">of </w:t>
      </w:r>
      <w:r w:rsidR="00E60AA5" w:rsidRPr="006D652B">
        <w:rPr>
          <w:b/>
          <w:sz w:val="24"/>
          <w:szCs w:val="24"/>
        </w:rPr>
        <w:t>Experimental Program to Stimulate Competitive Research</w:t>
      </w:r>
      <w:r w:rsidR="000F053E" w:rsidRPr="006D652B">
        <w:rPr>
          <w:b/>
          <w:sz w:val="24"/>
          <w:szCs w:val="24"/>
        </w:rPr>
        <w:t xml:space="preserve"> </w:t>
      </w:r>
      <w:r w:rsidR="009D547F">
        <w:rPr>
          <w:b/>
          <w:sz w:val="24"/>
          <w:szCs w:val="24"/>
        </w:rPr>
        <w:t xml:space="preserve">(EPSCoR) </w:t>
      </w:r>
      <w:r w:rsidRPr="006D652B">
        <w:rPr>
          <w:b/>
          <w:sz w:val="24"/>
          <w:szCs w:val="24"/>
        </w:rPr>
        <w:t xml:space="preserve">Project Directors </w:t>
      </w:r>
      <w:r w:rsidR="000F053E" w:rsidRPr="006D652B">
        <w:rPr>
          <w:b/>
          <w:sz w:val="24"/>
          <w:szCs w:val="24"/>
        </w:rPr>
        <w:t>Made by</w:t>
      </w:r>
      <w:r w:rsidR="009C6FEF" w:rsidRPr="006D652B">
        <w:rPr>
          <w:b/>
          <w:sz w:val="24"/>
          <w:szCs w:val="24"/>
        </w:rPr>
        <w:t xml:space="preserve"> the </w:t>
      </w:r>
      <w:r w:rsidR="000F053E" w:rsidRPr="006D652B">
        <w:rPr>
          <w:b/>
          <w:sz w:val="24"/>
        </w:rPr>
        <w:t xml:space="preserve">National Science Foundation, </w:t>
      </w:r>
      <w:r w:rsidR="00E60AA5" w:rsidRPr="006D652B">
        <w:rPr>
          <w:b/>
          <w:sz w:val="24"/>
        </w:rPr>
        <w:t>1980 - Present</w:t>
      </w:r>
    </w:p>
    <w:p w:rsidR="00F0420B" w:rsidRPr="006D652B" w:rsidRDefault="00F0420B" w:rsidP="00F0420B">
      <w:pPr>
        <w:ind w:left="1440" w:firstLine="720"/>
        <w:rPr>
          <w:sz w:val="32"/>
          <w:szCs w:val="32"/>
        </w:rPr>
      </w:pPr>
    </w:p>
    <w:p w:rsidR="00F0420B" w:rsidRPr="006D652B" w:rsidRDefault="00F0420B" w:rsidP="00F0420B">
      <w:pPr>
        <w:ind w:left="1440" w:firstLine="720"/>
        <w:rPr>
          <w:sz w:val="32"/>
          <w:szCs w:val="32"/>
        </w:rPr>
      </w:pPr>
    </w:p>
    <w:p w:rsidR="00F0420B" w:rsidRPr="006D652B" w:rsidRDefault="00F0420B" w:rsidP="00F0420B">
      <w:pPr>
        <w:ind w:left="1440" w:firstLine="720"/>
        <w:rPr>
          <w:sz w:val="32"/>
          <w:szCs w:val="32"/>
        </w:rPr>
      </w:pPr>
    </w:p>
    <w:p w:rsidR="00F0420B" w:rsidRPr="006D652B" w:rsidRDefault="00F0420B" w:rsidP="00F0420B">
      <w:pPr>
        <w:ind w:left="1440" w:firstLine="720"/>
        <w:rPr>
          <w:sz w:val="32"/>
          <w:szCs w:val="32"/>
        </w:rPr>
      </w:pPr>
    </w:p>
    <w:p w:rsidR="00F0420B" w:rsidRPr="006D652B" w:rsidRDefault="00F0420B" w:rsidP="00F0420B">
      <w:pPr>
        <w:ind w:left="1440" w:firstLine="720"/>
        <w:rPr>
          <w:sz w:val="32"/>
          <w:szCs w:val="32"/>
        </w:rPr>
      </w:pPr>
      <w:r w:rsidRPr="006D652B">
        <w:rPr>
          <w:sz w:val="32"/>
          <w:szCs w:val="32"/>
        </w:rPr>
        <w:t xml:space="preserve">                      Date: </w:t>
      </w:r>
      <w:r w:rsidR="00BD015D">
        <w:rPr>
          <w:sz w:val="32"/>
          <w:szCs w:val="32"/>
        </w:rPr>
        <w:t>November 21, 2012</w:t>
      </w:r>
      <w:r w:rsidR="00E60AA5" w:rsidRPr="006D652B">
        <w:rPr>
          <w:sz w:val="32"/>
          <w:szCs w:val="32"/>
        </w:rPr>
        <w:t xml:space="preserve"> </w:t>
      </w:r>
    </w:p>
    <w:p w:rsidR="00F0420B" w:rsidRPr="006D652B" w:rsidRDefault="00F0420B" w:rsidP="00F0420B">
      <w:pPr>
        <w:ind w:left="1440" w:firstLine="720"/>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24"/>
          <w:szCs w:val="24"/>
        </w:rPr>
      </w:pPr>
      <w:r w:rsidRPr="006D652B">
        <w:rPr>
          <w:sz w:val="32"/>
          <w:szCs w:val="32"/>
        </w:rPr>
        <w:t xml:space="preserve">Name: </w:t>
      </w:r>
      <w:r w:rsidR="00AB012F" w:rsidRPr="006D652B">
        <w:rPr>
          <w:sz w:val="24"/>
          <w:szCs w:val="24"/>
        </w:rPr>
        <w:t xml:space="preserve">Dr. </w:t>
      </w:r>
      <w:r w:rsidR="000857D6" w:rsidRPr="006D652B">
        <w:rPr>
          <w:sz w:val="24"/>
          <w:szCs w:val="24"/>
        </w:rPr>
        <w:t xml:space="preserve">Denise Barnes </w:t>
      </w:r>
    </w:p>
    <w:p w:rsidR="00F0420B" w:rsidRPr="006D652B" w:rsidRDefault="00F0420B" w:rsidP="00F0420B">
      <w:pPr>
        <w:rPr>
          <w:sz w:val="32"/>
          <w:szCs w:val="32"/>
        </w:rPr>
      </w:pPr>
      <w:r w:rsidRPr="006D652B">
        <w:rPr>
          <w:sz w:val="32"/>
          <w:szCs w:val="32"/>
        </w:rPr>
        <w:t>Address:</w:t>
      </w:r>
      <w:r w:rsidR="002F6F4B" w:rsidRPr="006D652B">
        <w:rPr>
          <w:sz w:val="32"/>
          <w:szCs w:val="32"/>
        </w:rPr>
        <w:t xml:space="preserve"> </w:t>
      </w:r>
      <w:r w:rsidR="00AB012F" w:rsidRPr="006D652B">
        <w:rPr>
          <w:sz w:val="24"/>
        </w:rPr>
        <w:t xml:space="preserve">National Science Foundation, Suite </w:t>
      </w:r>
      <w:r w:rsidR="000857D6" w:rsidRPr="006D652B">
        <w:rPr>
          <w:sz w:val="24"/>
        </w:rPr>
        <w:t>940</w:t>
      </w:r>
      <w:r w:rsidR="00AB012F" w:rsidRPr="006D652B">
        <w:rPr>
          <w:sz w:val="24"/>
        </w:rPr>
        <w:t>, 4201 Wilson Blvd, Arlington, VA, 22230</w:t>
      </w:r>
    </w:p>
    <w:p w:rsidR="00F0420B" w:rsidRPr="006D652B" w:rsidRDefault="00F0420B" w:rsidP="00F0420B">
      <w:pPr>
        <w:rPr>
          <w:sz w:val="32"/>
          <w:szCs w:val="32"/>
        </w:rPr>
      </w:pPr>
      <w:r w:rsidRPr="006D652B">
        <w:rPr>
          <w:sz w:val="32"/>
          <w:szCs w:val="32"/>
        </w:rPr>
        <w:t>Telephone:</w:t>
      </w:r>
      <w:r w:rsidR="002F6F4B" w:rsidRPr="006D652B">
        <w:rPr>
          <w:sz w:val="32"/>
          <w:szCs w:val="32"/>
        </w:rPr>
        <w:t xml:space="preserve"> </w:t>
      </w:r>
      <w:r w:rsidR="00AB012F" w:rsidRPr="006D652B">
        <w:rPr>
          <w:sz w:val="24"/>
        </w:rPr>
        <w:t>703-292-</w:t>
      </w:r>
      <w:r w:rsidR="000857D6" w:rsidRPr="006D652B">
        <w:rPr>
          <w:sz w:val="24"/>
        </w:rPr>
        <w:t>5179</w:t>
      </w:r>
    </w:p>
    <w:p w:rsidR="00F0420B" w:rsidRPr="00ED78AE" w:rsidRDefault="00F0420B" w:rsidP="00F0420B">
      <w:pPr>
        <w:rPr>
          <w:sz w:val="24"/>
        </w:rPr>
      </w:pPr>
      <w:r w:rsidRPr="006D652B">
        <w:rPr>
          <w:sz w:val="32"/>
          <w:szCs w:val="32"/>
        </w:rPr>
        <w:t>Fax:</w:t>
      </w:r>
      <w:r w:rsidR="00ED78AE">
        <w:rPr>
          <w:sz w:val="32"/>
          <w:szCs w:val="32"/>
        </w:rPr>
        <w:t xml:space="preserve"> </w:t>
      </w:r>
      <w:r w:rsidR="00ED78AE" w:rsidRPr="00ED78AE">
        <w:rPr>
          <w:sz w:val="24"/>
        </w:rPr>
        <w:t>703-292-9047</w:t>
      </w:r>
    </w:p>
    <w:p w:rsidR="00F0420B" w:rsidRPr="006D652B" w:rsidRDefault="00F0420B" w:rsidP="00F0420B">
      <w:pPr>
        <w:rPr>
          <w:sz w:val="32"/>
          <w:szCs w:val="32"/>
        </w:rPr>
      </w:pPr>
      <w:r w:rsidRPr="006D652B">
        <w:rPr>
          <w:sz w:val="32"/>
          <w:szCs w:val="32"/>
        </w:rPr>
        <w:t xml:space="preserve">Email: </w:t>
      </w:r>
      <w:r w:rsidR="000857D6" w:rsidRPr="006D652B">
        <w:rPr>
          <w:sz w:val="24"/>
        </w:rPr>
        <w:t>dbarnes</w:t>
      </w:r>
      <w:r w:rsidR="00AB012F" w:rsidRPr="006D652B">
        <w:rPr>
          <w:sz w:val="24"/>
        </w:rPr>
        <w:t>@nsf.gov</w:t>
      </w: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rsidP="00F0420B">
      <w:pPr>
        <w:rPr>
          <w:sz w:val="32"/>
          <w:szCs w:val="32"/>
        </w:rPr>
      </w:pPr>
    </w:p>
    <w:p w:rsidR="00F0420B" w:rsidRPr="006D652B" w:rsidRDefault="00F0420B">
      <w:pPr>
        <w:widowControl/>
      </w:pPr>
      <w:r w:rsidRPr="006D652B">
        <w:br w:type="page"/>
      </w:r>
    </w:p>
    <w:p w:rsidR="00F0420B" w:rsidRPr="006D652B" w:rsidRDefault="00F0420B" w:rsidP="00F0420B">
      <w:pPr>
        <w:rPr>
          <w:caps/>
          <w:noProof/>
        </w:rPr>
      </w:pPr>
    </w:p>
    <w:sdt>
      <w:sdtPr>
        <w:rPr>
          <w:rFonts w:ascii="Times New Roman" w:eastAsia="Times New Roman" w:hAnsi="Times New Roman" w:cs="Times New Roman"/>
          <w:b w:val="0"/>
          <w:bCs w:val="0"/>
          <w:snapToGrid w:val="0"/>
          <w:color w:val="auto"/>
          <w:sz w:val="20"/>
          <w:szCs w:val="20"/>
        </w:rPr>
        <w:id w:val="34760985"/>
        <w:docPartObj>
          <w:docPartGallery w:val="Table of Contents"/>
          <w:docPartUnique/>
        </w:docPartObj>
      </w:sdtPr>
      <w:sdtEndPr/>
      <w:sdtContent>
        <w:p w:rsidR="00D37944" w:rsidRPr="006D652B" w:rsidRDefault="00D37944">
          <w:pPr>
            <w:pStyle w:val="TOCHeading"/>
            <w:rPr>
              <w:sz w:val="20"/>
            </w:rPr>
          </w:pPr>
          <w:r w:rsidRPr="006D652B">
            <w:rPr>
              <w:sz w:val="20"/>
            </w:rPr>
            <w:t>Contents</w:t>
          </w:r>
        </w:p>
        <w:p w:rsidR="00FF63F7" w:rsidRDefault="00160856">
          <w:pPr>
            <w:pStyle w:val="TOC1"/>
            <w:rPr>
              <w:rFonts w:asciiTheme="minorHAnsi" w:eastAsiaTheme="minorEastAsia" w:hAnsiTheme="minorHAnsi" w:cstheme="minorBidi"/>
              <w:b w:val="0"/>
              <w:caps w:val="0"/>
              <w:szCs w:val="22"/>
            </w:rPr>
          </w:pPr>
          <w:r w:rsidRPr="006D652B">
            <w:rPr>
              <w:sz w:val="18"/>
            </w:rPr>
            <w:fldChar w:fldCharType="begin"/>
          </w:r>
          <w:r w:rsidR="00D37944" w:rsidRPr="006D652B">
            <w:rPr>
              <w:sz w:val="18"/>
            </w:rPr>
            <w:instrText xml:space="preserve"> TOC \o "1-3" \h \z \u </w:instrText>
          </w:r>
          <w:r w:rsidRPr="006D652B">
            <w:rPr>
              <w:sz w:val="18"/>
            </w:rPr>
            <w:fldChar w:fldCharType="separate"/>
          </w:r>
          <w:hyperlink w:anchor="_Toc331146749" w:history="1">
            <w:r w:rsidR="00FF63F7" w:rsidRPr="00825DAF">
              <w:rPr>
                <w:rStyle w:val="Hyperlink"/>
              </w:rPr>
              <w:t>A.1. Circumstances Making the Collection of Information Necessary</w:t>
            </w:r>
            <w:r w:rsidR="00FF63F7">
              <w:rPr>
                <w:webHidden/>
              </w:rPr>
              <w:tab/>
            </w:r>
            <w:r>
              <w:rPr>
                <w:webHidden/>
              </w:rPr>
              <w:fldChar w:fldCharType="begin"/>
            </w:r>
            <w:r w:rsidR="00FF63F7">
              <w:rPr>
                <w:webHidden/>
              </w:rPr>
              <w:instrText xml:space="preserve"> PAGEREF _Toc331146749 \h </w:instrText>
            </w:r>
            <w:r>
              <w:rPr>
                <w:webHidden/>
              </w:rPr>
            </w:r>
            <w:r>
              <w:rPr>
                <w:webHidden/>
              </w:rPr>
              <w:fldChar w:fldCharType="separate"/>
            </w:r>
            <w:r w:rsidR="00FF63F7">
              <w:rPr>
                <w:webHidden/>
              </w:rPr>
              <w:t>5</w:t>
            </w:r>
            <w:r>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0" w:history="1">
            <w:r w:rsidR="00FF63F7" w:rsidRPr="00825DAF">
              <w:rPr>
                <w:rStyle w:val="Hyperlink"/>
              </w:rPr>
              <w:t>A.2. Purpose and Use of the Information</w:t>
            </w:r>
            <w:r w:rsidR="00FF63F7">
              <w:rPr>
                <w:webHidden/>
              </w:rPr>
              <w:tab/>
            </w:r>
            <w:r w:rsidR="00160856">
              <w:rPr>
                <w:webHidden/>
              </w:rPr>
              <w:fldChar w:fldCharType="begin"/>
            </w:r>
            <w:r w:rsidR="00FF63F7">
              <w:rPr>
                <w:webHidden/>
              </w:rPr>
              <w:instrText xml:space="preserve"> PAGEREF _Toc331146750 \h </w:instrText>
            </w:r>
            <w:r w:rsidR="00160856">
              <w:rPr>
                <w:webHidden/>
              </w:rPr>
            </w:r>
            <w:r w:rsidR="00160856">
              <w:rPr>
                <w:webHidden/>
              </w:rPr>
              <w:fldChar w:fldCharType="separate"/>
            </w:r>
            <w:r w:rsidR="00FF63F7">
              <w:rPr>
                <w:webHidden/>
              </w:rPr>
              <w:t>5</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1" w:history="1">
            <w:r w:rsidR="00FF63F7" w:rsidRPr="00825DAF">
              <w:rPr>
                <w:rStyle w:val="Hyperlink"/>
              </w:rPr>
              <w:t>A.3. Use of Information Technology and Burden Reduction</w:t>
            </w:r>
            <w:r w:rsidR="00FF63F7">
              <w:rPr>
                <w:webHidden/>
              </w:rPr>
              <w:tab/>
            </w:r>
            <w:r w:rsidR="00160856">
              <w:rPr>
                <w:webHidden/>
              </w:rPr>
              <w:fldChar w:fldCharType="begin"/>
            </w:r>
            <w:r w:rsidR="00FF63F7">
              <w:rPr>
                <w:webHidden/>
              </w:rPr>
              <w:instrText xml:space="preserve"> PAGEREF _Toc331146751 \h </w:instrText>
            </w:r>
            <w:r w:rsidR="00160856">
              <w:rPr>
                <w:webHidden/>
              </w:rPr>
            </w:r>
            <w:r w:rsidR="00160856">
              <w:rPr>
                <w:webHidden/>
              </w:rPr>
              <w:fldChar w:fldCharType="separate"/>
            </w:r>
            <w:r w:rsidR="00FF63F7">
              <w:rPr>
                <w:webHidden/>
              </w:rPr>
              <w:t>6</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2" w:history="1">
            <w:r w:rsidR="00FF63F7" w:rsidRPr="00825DAF">
              <w:rPr>
                <w:rStyle w:val="Hyperlink"/>
              </w:rPr>
              <w:t>A.4. Efforts to Identify Duplication and Use of Similar Information</w:t>
            </w:r>
            <w:r w:rsidR="00FF63F7">
              <w:rPr>
                <w:webHidden/>
              </w:rPr>
              <w:tab/>
            </w:r>
            <w:r w:rsidR="00160856">
              <w:rPr>
                <w:webHidden/>
              </w:rPr>
              <w:fldChar w:fldCharType="begin"/>
            </w:r>
            <w:r w:rsidR="00FF63F7">
              <w:rPr>
                <w:webHidden/>
              </w:rPr>
              <w:instrText xml:space="preserve"> PAGEREF _Toc331146752 \h </w:instrText>
            </w:r>
            <w:r w:rsidR="00160856">
              <w:rPr>
                <w:webHidden/>
              </w:rPr>
            </w:r>
            <w:r w:rsidR="00160856">
              <w:rPr>
                <w:webHidden/>
              </w:rPr>
              <w:fldChar w:fldCharType="separate"/>
            </w:r>
            <w:r w:rsidR="00FF63F7">
              <w:rPr>
                <w:webHidden/>
              </w:rPr>
              <w:t>7</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3" w:history="1">
            <w:r w:rsidR="00FF63F7" w:rsidRPr="00825DAF">
              <w:rPr>
                <w:rStyle w:val="Hyperlink"/>
              </w:rPr>
              <w:t>A.5. Impact on Small Businesses or Other Small Entities</w:t>
            </w:r>
            <w:r w:rsidR="00FF63F7">
              <w:rPr>
                <w:webHidden/>
              </w:rPr>
              <w:tab/>
            </w:r>
            <w:r w:rsidR="00160856">
              <w:rPr>
                <w:webHidden/>
              </w:rPr>
              <w:fldChar w:fldCharType="begin"/>
            </w:r>
            <w:r w:rsidR="00FF63F7">
              <w:rPr>
                <w:webHidden/>
              </w:rPr>
              <w:instrText xml:space="preserve"> PAGEREF _Toc331146753 \h </w:instrText>
            </w:r>
            <w:r w:rsidR="00160856">
              <w:rPr>
                <w:webHidden/>
              </w:rPr>
            </w:r>
            <w:r w:rsidR="00160856">
              <w:rPr>
                <w:webHidden/>
              </w:rPr>
              <w:fldChar w:fldCharType="separate"/>
            </w:r>
            <w:r w:rsidR="00FF63F7">
              <w:rPr>
                <w:webHidden/>
              </w:rPr>
              <w:t>7</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4" w:history="1">
            <w:r w:rsidR="00FF63F7" w:rsidRPr="00825DAF">
              <w:rPr>
                <w:rStyle w:val="Hyperlink"/>
              </w:rPr>
              <w:t>A.6. Consequences of Collecting the Information Less Frequently</w:t>
            </w:r>
            <w:r w:rsidR="00FF63F7">
              <w:rPr>
                <w:webHidden/>
              </w:rPr>
              <w:tab/>
            </w:r>
            <w:r w:rsidR="00160856">
              <w:rPr>
                <w:webHidden/>
              </w:rPr>
              <w:fldChar w:fldCharType="begin"/>
            </w:r>
            <w:r w:rsidR="00FF63F7">
              <w:rPr>
                <w:webHidden/>
              </w:rPr>
              <w:instrText xml:space="preserve"> PAGEREF _Toc331146754 \h </w:instrText>
            </w:r>
            <w:r w:rsidR="00160856">
              <w:rPr>
                <w:webHidden/>
              </w:rPr>
            </w:r>
            <w:r w:rsidR="00160856">
              <w:rPr>
                <w:webHidden/>
              </w:rPr>
              <w:fldChar w:fldCharType="separate"/>
            </w:r>
            <w:r w:rsidR="00FF63F7">
              <w:rPr>
                <w:webHidden/>
              </w:rPr>
              <w:t>7</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5" w:history="1">
            <w:r w:rsidR="00FF63F7" w:rsidRPr="00825DAF">
              <w:rPr>
                <w:rStyle w:val="Hyperlink"/>
              </w:rPr>
              <w:t>A.7. Special Circumstances Relating to the Guidelines of 5 CFR 1320.5</w:t>
            </w:r>
            <w:r w:rsidR="00FF63F7">
              <w:rPr>
                <w:webHidden/>
              </w:rPr>
              <w:tab/>
            </w:r>
            <w:r w:rsidR="00160856">
              <w:rPr>
                <w:webHidden/>
              </w:rPr>
              <w:fldChar w:fldCharType="begin"/>
            </w:r>
            <w:r w:rsidR="00FF63F7">
              <w:rPr>
                <w:webHidden/>
              </w:rPr>
              <w:instrText xml:space="preserve"> PAGEREF _Toc331146755 \h </w:instrText>
            </w:r>
            <w:r w:rsidR="00160856">
              <w:rPr>
                <w:webHidden/>
              </w:rPr>
            </w:r>
            <w:r w:rsidR="00160856">
              <w:rPr>
                <w:webHidden/>
              </w:rPr>
              <w:fldChar w:fldCharType="separate"/>
            </w:r>
            <w:r w:rsidR="00FF63F7">
              <w:rPr>
                <w:webHidden/>
              </w:rPr>
              <w:t>7</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6" w:history="1">
            <w:r w:rsidR="00FF63F7" w:rsidRPr="00825DAF">
              <w:rPr>
                <w:rStyle w:val="Hyperlink"/>
              </w:rPr>
              <w:t>A.8. Comments in Response to the Federal Register Notice and Efforts to Consult Outside Agency</w:t>
            </w:r>
            <w:r w:rsidR="00FF63F7">
              <w:rPr>
                <w:webHidden/>
              </w:rPr>
              <w:tab/>
            </w:r>
            <w:r w:rsidR="00160856">
              <w:rPr>
                <w:webHidden/>
              </w:rPr>
              <w:fldChar w:fldCharType="begin"/>
            </w:r>
            <w:r w:rsidR="00FF63F7">
              <w:rPr>
                <w:webHidden/>
              </w:rPr>
              <w:instrText xml:space="preserve"> PAGEREF _Toc331146756 \h </w:instrText>
            </w:r>
            <w:r w:rsidR="00160856">
              <w:rPr>
                <w:webHidden/>
              </w:rPr>
            </w:r>
            <w:r w:rsidR="00160856">
              <w:rPr>
                <w:webHidden/>
              </w:rPr>
              <w:fldChar w:fldCharType="separate"/>
            </w:r>
            <w:r w:rsidR="00FF63F7">
              <w:rPr>
                <w:webHidden/>
              </w:rPr>
              <w:t>7</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7" w:history="1">
            <w:r w:rsidR="00FF63F7" w:rsidRPr="00825DAF">
              <w:rPr>
                <w:rStyle w:val="Hyperlink"/>
              </w:rPr>
              <w:t>A.9. Explanation of Any Payment or Gift to Respondents</w:t>
            </w:r>
            <w:r w:rsidR="00FF63F7">
              <w:rPr>
                <w:webHidden/>
              </w:rPr>
              <w:tab/>
            </w:r>
            <w:r w:rsidR="00160856">
              <w:rPr>
                <w:webHidden/>
              </w:rPr>
              <w:fldChar w:fldCharType="begin"/>
            </w:r>
            <w:r w:rsidR="00FF63F7">
              <w:rPr>
                <w:webHidden/>
              </w:rPr>
              <w:instrText xml:space="preserve"> PAGEREF _Toc331146757 \h </w:instrText>
            </w:r>
            <w:r w:rsidR="00160856">
              <w:rPr>
                <w:webHidden/>
              </w:rPr>
            </w:r>
            <w:r w:rsidR="00160856">
              <w:rPr>
                <w:webHidden/>
              </w:rPr>
              <w:fldChar w:fldCharType="separate"/>
            </w:r>
            <w:r w:rsidR="00FF63F7">
              <w:rPr>
                <w:webHidden/>
              </w:rPr>
              <w:t>8</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8" w:history="1">
            <w:r w:rsidR="00FF63F7" w:rsidRPr="00825DAF">
              <w:rPr>
                <w:rStyle w:val="Hyperlink"/>
              </w:rPr>
              <w:t>A.10. Assurance of Confidentiality Provided to Respondents</w:t>
            </w:r>
            <w:r w:rsidR="00FF63F7">
              <w:rPr>
                <w:webHidden/>
              </w:rPr>
              <w:tab/>
            </w:r>
            <w:r w:rsidR="00160856">
              <w:rPr>
                <w:webHidden/>
              </w:rPr>
              <w:fldChar w:fldCharType="begin"/>
            </w:r>
            <w:r w:rsidR="00FF63F7">
              <w:rPr>
                <w:webHidden/>
              </w:rPr>
              <w:instrText xml:space="preserve"> PAGEREF _Toc331146758 \h </w:instrText>
            </w:r>
            <w:r w:rsidR="00160856">
              <w:rPr>
                <w:webHidden/>
              </w:rPr>
            </w:r>
            <w:r w:rsidR="00160856">
              <w:rPr>
                <w:webHidden/>
              </w:rPr>
              <w:fldChar w:fldCharType="separate"/>
            </w:r>
            <w:r w:rsidR="00FF63F7">
              <w:rPr>
                <w:webHidden/>
              </w:rPr>
              <w:t>8</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59" w:history="1">
            <w:r w:rsidR="00FF63F7" w:rsidRPr="00825DAF">
              <w:rPr>
                <w:rStyle w:val="Hyperlink"/>
              </w:rPr>
              <w:t>A.11. Justification for Sensitive Questions</w:t>
            </w:r>
            <w:r w:rsidR="00FF63F7">
              <w:rPr>
                <w:webHidden/>
              </w:rPr>
              <w:tab/>
            </w:r>
            <w:r w:rsidR="00160856">
              <w:rPr>
                <w:webHidden/>
              </w:rPr>
              <w:fldChar w:fldCharType="begin"/>
            </w:r>
            <w:r w:rsidR="00FF63F7">
              <w:rPr>
                <w:webHidden/>
              </w:rPr>
              <w:instrText xml:space="preserve"> PAGEREF _Toc331146759 \h </w:instrText>
            </w:r>
            <w:r w:rsidR="00160856">
              <w:rPr>
                <w:webHidden/>
              </w:rPr>
            </w:r>
            <w:r w:rsidR="00160856">
              <w:rPr>
                <w:webHidden/>
              </w:rPr>
              <w:fldChar w:fldCharType="separate"/>
            </w:r>
            <w:r w:rsidR="00FF63F7">
              <w:rPr>
                <w:webHidden/>
              </w:rPr>
              <w:t>9</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0" w:history="1">
            <w:r w:rsidR="00FF63F7" w:rsidRPr="00825DAF">
              <w:rPr>
                <w:rStyle w:val="Hyperlink"/>
              </w:rPr>
              <w:t>A.12. Estimates of Hour Burden Including Annualized Hourly Costs</w:t>
            </w:r>
            <w:r w:rsidR="00FF63F7">
              <w:rPr>
                <w:webHidden/>
              </w:rPr>
              <w:tab/>
            </w:r>
            <w:r w:rsidR="00160856">
              <w:rPr>
                <w:webHidden/>
              </w:rPr>
              <w:fldChar w:fldCharType="begin"/>
            </w:r>
            <w:r w:rsidR="00FF63F7">
              <w:rPr>
                <w:webHidden/>
              </w:rPr>
              <w:instrText xml:space="preserve"> PAGEREF _Toc331146760 \h </w:instrText>
            </w:r>
            <w:r w:rsidR="00160856">
              <w:rPr>
                <w:webHidden/>
              </w:rPr>
            </w:r>
            <w:r w:rsidR="00160856">
              <w:rPr>
                <w:webHidden/>
              </w:rPr>
              <w:fldChar w:fldCharType="separate"/>
            </w:r>
            <w:r w:rsidR="00FF63F7">
              <w:rPr>
                <w:webHidden/>
              </w:rPr>
              <w:t>9</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1" w:history="1">
            <w:r w:rsidR="00FF63F7" w:rsidRPr="00825DAF">
              <w:rPr>
                <w:rStyle w:val="Hyperlink"/>
              </w:rPr>
              <w:t>A.13. Estimate of Other Total Annual Cost Burden to Respondents or Recordkeepers</w:t>
            </w:r>
            <w:r w:rsidR="00FF63F7">
              <w:rPr>
                <w:webHidden/>
              </w:rPr>
              <w:tab/>
            </w:r>
            <w:r w:rsidR="00160856">
              <w:rPr>
                <w:webHidden/>
              </w:rPr>
              <w:fldChar w:fldCharType="begin"/>
            </w:r>
            <w:r w:rsidR="00FF63F7">
              <w:rPr>
                <w:webHidden/>
              </w:rPr>
              <w:instrText xml:space="preserve"> PAGEREF _Toc331146761 \h </w:instrText>
            </w:r>
            <w:r w:rsidR="00160856">
              <w:rPr>
                <w:webHidden/>
              </w:rPr>
            </w:r>
            <w:r w:rsidR="00160856">
              <w:rPr>
                <w:webHidden/>
              </w:rPr>
              <w:fldChar w:fldCharType="separate"/>
            </w:r>
            <w:r w:rsidR="00FF63F7">
              <w:rPr>
                <w:webHidden/>
              </w:rPr>
              <w:t>10</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2" w:history="1">
            <w:r w:rsidR="00FF63F7" w:rsidRPr="00825DAF">
              <w:rPr>
                <w:rStyle w:val="Hyperlink"/>
              </w:rPr>
              <w:t>A.14. Annualized Cost to the Federal Government</w:t>
            </w:r>
            <w:r w:rsidR="00FF63F7">
              <w:rPr>
                <w:webHidden/>
              </w:rPr>
              <w:tab/>
            </w:r>
            <w:r w:rsidR="00160856">
              <w:rPr>
                <w:webHidden/>
              </w:rPr>
              <w:fldChar w:fldCharType="begin"/>
            </w:r>
            <w:r w:rsidR="00FF63F7">
              <w:rPr>
                <w:webHidden/>
              </w:rPr>
              <w:instrText xml:space="preserve"> PAGEREF _Toc331146762 \h </w:instrText>
            </w:r>
            <w:r w:rsidR="00160856">
              <w:rPr>
                <w:webHidden/>
              </w:rPr>
            </w:r>
            <w:r w:rsidR="00160856">
              <w:rPr>
                <w:webHidden/>
              </w:rPr>
              <w:fldChar w:fldCharType="separate"/>
            </w:r>
            <w:r w:rsidR="00FF63F7">
              <w:rPr>
                <w:webHidden/>
              </w:rPr>
              <w:t>10</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3" w:history="1">
            <w:r w:rsidR="00FF63F7" w:rsidRPr="00825DAF">
              <w:rPr>
                <w:rStyle w:val="Hyperlink"/>
              </w:rPr>
              <w:t>A.15. Explanation for Program Changes or Adjustments</w:t>
            </w:r>
            <w:r w:rsidR="00FF63F7">
              <w:rPr>
                <w:webHidden/>
              </w:rPr>
              <w:tab/>
            </w:r>
            <w:r w:rsidR="00160856">
              <w:rPr>
                <w:webHidden/>
              </w:rPr>
              <w:fldChar w:fldCharType="begin"/>
            </w:r>
            <w:r w:rsidR="00FF63F7">
              <w:rPr>
                <w:webHidden/>
              </w:rPr>
              <w:instrText xml:space="preserve"> PAGEREF _Toc331146763 \h </w:instrText>
            </w:r>
            <w:r w:rsidR="00160856">
              <w:rPr>
                <w:webHidden/>
              </w:rPr>
            </w:r>
            <w:r w:rsidR="00160856">
              <w:rPr>
                <w:webHidden/>
              </w:rPr>
              <w:fldChar w:fldCharType="separate"/>
            </w:r>
            <w:r w:rsidR="00FF63F7">
              <w:rPr>
                <w:webHidden/>
              </w:rPr>
              <w:t>11</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4" w:history="1">
            <w:r w:rsidR="00FF63F7" w:rsidRPr="00825DAF">
              <w:rPr>
                <w:rStyle w:val="Hyperlink"/>
              </w:rPr>
              <w:t>A.16. Plans for Tabulation and Publication and Project Time Schedule</w:t>
            </w:r>
            <w:r w:rsidR="00FF63F7">
              <w:rPr>
                <w:webHidden/>
              </w:rPr>
              <w:tab/>
            </w:r>
            <w:r w:rsidR="00160856">
              <w:rPr>
                <w:webHidden/>
              </w:rPr>
              <w:fldChar w:fldCharType="begin"/>
            </w:r>
            <w:r w:rsidR="00FF63F7">
              <w:rPr>
                <w:webHidden/>
              </w:rPr>
              <w:instrText xml:space="preserve"> PAGEREF _Toc331146764 \h </w:instrText>
            </w:r>
            <w:r w:rsidR="00160856">
              <w:rPr>
                <w:webHidden/>
              </w:rPr>
            </w:r>
            <w:r w:rsidR="00160856">
              <w:rPr>
                <w:webHidden/>
              </w:rPr>
              <w:fldChar w:fldCharType="separate"/>
            </w:r>
            <w:r w:rsidR="00FF63F7">
              <w:rPr>
                <w:webHidden/>
              </w:rPr>
              <w:t>11</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5" w:history="1">
            <w:r w:rsidR="00FF63F7" w:rsidRPr="00825DAF">
              <w:rPr>
                <w:rStyle w:val="Hyperlink"/>
              </w:rPr>
              <w:t>A.17. Reason(s) Display of OMB Expiration Date is Inappropriate</w:t>
            </w:r>
            <w:r w:rsidR="00FF63F7">
              <w:rPr>
                <w:webHidden/>
              </w:rPr>
              <w:tab/>
            </w:r>
            <w:r w:rsidR="00160856">
              <w:rPr>
                <w:webHidden/>
              </w:rPr>
              <w:fldChar w:fldCharType="begin"/>
            </w:r>
            <w:r w:rsidR="00FF63F7">
              <w:rPr>
                <w:webHidden/>
              </w:rPr>
              <w:instrText xml:space="preserve"> PAGEREF _Toc331146765 \h </w:instrText>
            </w:r>
            <w:r w:rsidR="00160856">
              <w:rPr>
                <w:webHidden/>
              </w:rPr>
            </w:r>
            <w:r w:rsidR="00160856">
              <w:rPr>
                <w:webHidden/>
              </w:rPr>
              <w:fldChar w:fldCharType="separate"/>
            </w:r>
            <w:r w:rsidR="00FF63F7">
              <w:rPr>
                <w:webHidden/>
              </w:rPr>
              <w:t>11</w:t>
            </w:r>
            <w:r w:rsidR="00160856">
              <w:rPr>
                <w:webHidden/>
              </w:rPr>
              <w:fldChar w:fldCharType="end"/>
            </w:r>
          </w:hyperlink>
        </w:p>
        <w:p w:rsidR="00FF63F7" w:rsidRDefault="00942A57">
          <w:pPr>
            <w:pStyle w:val="TOC1"/>
            <w:rPr>
              <w:rFonts w:asciiTheme="minorHAnsi" w:eastAsiaTheme="minorEastAsia" w:hAnsiTheme="minorHAnsi" w:cstheme="minorBidi"/>
              <w:b w:val="0"/>
              <w:caps w:val="0"/>
              <w:szCs w:val="22"/>
            </w:rPr>
          </w:pPr>
          <w:hyperlink w:anchor="_Toc331146766" w:history="1">
            <w:r w:rsidR="00FF63F7" w:rsidRPr="00825DAF">
              <w:rPr>
                <w:rStyle w:val="Hyperlink"/>
              </w:rPr>
              <w:t>A.18. Exceptions to Certification for Paperwork Reduction Act Submissions</w:t>
            </w:r>
            <w:r w:rsidR="00FF63F7">
              <w:rPr>
                <w:webHidden/>
              </w:rPr>
              <w:tab/>
            </w:r>
            <w:r w:rsidR="00160856">
              <w:rPr>
                <w:webHidden/>
              </w:rPr>
              <w:fldChar w:fldCharType="begin"/>
            </w:r>
            <w:r w:rsidR="00FF63F7">
              <w:rPr>
                <w:webHidden/>
              </w:rPr>
              <w:instrText xml:space="preserve"> PAGEREF _Toc331146766 \h </w:instrText>
            </w:r>
            <w:r w:rsidR="00160856">
              <w:rPr>
                <w:webHidden/>
              </w:rPr>
            </w:r>
            <w:r w:rsidR="00160856">
              <w:rPr>
                <w:webHidden/>
              </w:rPr>
              <w:fldChar w:fldCharType="separate"/>
            </w:r>
            <w:r w:rsidR="00FF63F7">
              <w:rPr>
                <w:webHidden/>
              </w:rPr>
              <w:t>12</w:t>
            </w:r>
            <w:r w:rsidR="00160856">
              <w:rPr>
                <w:webHidden/>
              </w:rPr>
              <w:fldChar w:fldCharType="end"/>
            </w:r>
          </w:hyperlink>
        </w:p>
        <w:p w:rsidR="00D37944" w:rsidRPr="006D652B" w:rsidRDefault="00160856">
          <w:r w:rsidRPr="006D652B">
            <w:rPr>
              <w:sz w:val="14"/>
            </w:rPr>
            <w:fldChar w:fldCharType="end"/>
          </w:r>
        </w:p>
      </w:sdtContent>
    </w:sdt>
    <w:p w:rsidR="00D37944" w:rsidRPr="006D652B" w:rsidRDefault="00D37944">
      <w:pPr>
        <w:widowControl/>
        <w:rPr>
          <w:caps/>
          <w:noProof/>
        </w:rPr>
      </w:pPr>
      <w:r w:rsidRPr="006D652B">
        <w:rPr>
          <w:caps/>
          <w:noProof/>
        </w:rPr>
        <w:br w:type="page"/>
      </w:r>
    </w:p>
    <w:p w:rsidR="00F0420B" w:rsidRPr="006D652B" w:rsidRDefault="00D37944" w:rsidP="00F0420B">
      <w:pPr>
        <w:rPr>
          <w:rFonts w:asciiTheme="majorHAnsi" w:hAnsiTheme="majorHAnsi"/>
          <w:b/>
          <w:caps/>
          <w:noProof/>
          <w:color w:val="4F81BD" w:themeColor="accent1"/>
          <w:sz w:val="24"/>
          <w:szCs w:val="24"/>
        </w:rPr>
      </w:pPr>
      <w:r w:rsidRPr="006D652B">
        <w:rPr>
          <w:rFonts w:asciiTheme="majorHAnsi" w:hAnsiTheme="majorHAnsi"/>
          <w:b/>
          <w:noProof/>
          <w:color w:val="4F81BD" w:themeColor="accent1"/>
          <w:sz w:val="24"/>
          <w:szCs w:val="24"/>
        </w:rPr>
        <w:lastRenderedPageBreak/>
        <w:t>List of attachments</w:t>
      </w:r>
    </w:p>
    <w:p w:rsidR="00D37944" w:rsidRPr="006D652B" w:rsidRDefault="00D37944" w:rsidP="00F0420B">
      <w:pPr>
        <w:rPr>
          <w:caps/>
          <w:noProof/>
        </w:rPr>
      </w:pPr>
    </w:p>
    <w:p w:rsidR="002A1EF0" w:rsidRPr="006D652B" w:rsidRDefault="002A1EF0" w:rsidP="002A1EF0">
      <w:pPr>
        <w:rPr>
          <w:noProof/>
          <w:sz w:val="24"/>
          <w:szCs w:val="24"/>
        </w:rPr>
      </w:pPr>
      <w:r w:rsidRPr="006D652B">
        <w:rPr>
          <w:noProof/>
          <w:sz w:val="24"/>
          <w:szCs w:val="24"/>
        </w:rPr>
        <w:t xml:space="preserve">Attachment 1: </w:t>
      </w:r>
      <w:r w:rsidR="000857D6" w:rsidRPr="006D652B">
        <w:rPr>
          <w:color w:val="000000"/>
          <w:sz w:val="24"/>
          <w:szCs w:val="24"/>
        </w:rPr>
        <w:t>Experimental Program to Stimulate Competitive Research Jurisdictional</w:t>
      </w:r>
      <w:r w:rsidRPr="006D652B">
        <w:rPr>
          <w:color w:val="000000"/>
          <w:sz w:val="24"/>
          <w:szCs w:val="24"/>
        </w:rPr>
        <w:t xml:space="preserve"> Survey</w:t>
      </w:r>
    </w:p>
    <w:p w:rsidR="002A1EF0" w:rsidRPr="006D652B" w:rsidRDefault="002A1EF0" w:rsidP="002A1EF0">
      <w:pPr>
        <w:rPr>
          <w:color w:val="000000"/>
          <w:sz w:val="24"/>
          <w:szCs w:val="24"/>
        </w:rPr>
      </w:pPr>
      <w:r w:rsidRPr="006D652B">
        <w:rPr>
          <w:color w:val="000000"/>
          <w:sz w:val="24"/>
          <w:szCs w:val="24"/>
        </w:rPr>
        <w:t>Attachment 2: Introductory Email from NSF</w:t>
      </w:r>
    </w:p>
    <w:p w:rsidR="002A1EF0" w:rsidRPr="006D652B" w:rsidRDefault="002A1EF0" w:rsidP="002A1EF0">
      <w:pPr>
        <w:rPr>
          <w:color w:val="000000"/>
          <w:sz w:val="24"/>
          <w:szCs w:val="24"/>
        </w:rPr>
      </w:pPr>
      <w:r w:rsidRPr="006D652B">
        <w:rPr>
          <w:color w:val="000000"/>
          <w:sz w:val="24"/>
          <w:szCs w:val="24"/>
        </w:rPr>
        <w:t>Attachment 3: Introductory Email from Contractor</w:t>
      </w:r>
    </w:p>
    <w:p w:rsidR="002A1EF0" w:rsidRPr="006D652B" w:rsidRDefault="002A1EF0" w:rsidP="002A1EF0">
      <w:pPr>
        <w:rPr>
          <w:color w:val="000000"/>
          <w:sz w:val="24"/>
          <w:szCs w:val="24"/>
        </w:rPr>
      </w:pPr>
      <w:r w:rsidRPr="006D652B">
        <w:rPr>
          <w:color w:val="000000"/>
          <w:sz w:val="24"/>
          <w:szCs w:val="24"/>
        </w:rPr>
        <w:t>Attachment 4: Reminder Email</w:t>
      </w:r>
    </w:p>
    <w:p w:rsidR="002A1EF0" w:rsidRPr="006D652B" w:rsidRDefault="002A1EF0" w:rsidP="002A1EF0">
      <w:pPr>
        <w:rPr>
          <w:color w:val="000000"/>
          <w:sz w:val="24"/>
          <w:szCs w:val="24"/>
        </w:rPr>
      </w:pPr>
      <w:r w:rsidRPr="006D652B">
        <w:rPr>
          <w:color w:val="000000"/>
          <w:sz w:val="24"/>
          <w:szCs w:val="24"/>
        </w:rPr>
        <w:t>Attachment 5: Thank You Email</w:t>
      </w:r>
    </w:p>
    <w:p w:rsidR="004330C8" w:rsidRPr="006D652B" w:rsidRDefault="004330C8" w:rsidP="004330C8">
      <w:pPr>
        <w:rPr>
          <w:color w:val="000000"/>
          <w:sz w:val="24"/>
          <w:szCs w:val="24"/>
        </w:rPr>
      </w:pPr>
    </w:p>
    <w:bookmarkEnd w:id="0"/>
    <w:bookmarkEnd w:id="1"/>
    <w:p w:rsidR="00A536C7" w:rsidRPr="006D652B" w:rsidRDefault="00A536C7" w:rsidP="00853AC0">
      <w:pPr>
        <w:spacing w:line="480" w:lineRule="auto"/>
        <w:jc w:val="center"/>
        <w:rPr>
          <w:b/>
          <w:sz w:val="24"/>
          <w:szCs w:val="24"/>
        </w:rPr>
      </w:pPr>
    </w:p>
    <w:p w:rsidR="00BD015D" w:rsidRDefault="00BD015D" w:rsidP="00853AC0">
      <w:pPr>
        <w:spacing w:line="480" w:lineRule="auto"/>
        <w:rPr>
          <w:b/>
          <w:sz w:val="24"/>
          <w:szCs w:val="24"/>
          <w:u w:val="single"/>
        </w:rPr>
      </w:pPr>
    </w:p>
    <w:p w:rsidR="00BD015D" w:rsidRPr="00BD015D" w:rsidRDefault="00BD015D" w:rsidP="00BD015D">
      <w:pPr>
        <w:rPr>
          <w:sz w:val="24"/>
          <w:szCs w:val="24"/>
        </w:rPr>
      </w:pPr>
    </w:p>
    <w:p w:rsidR="00BD015D" w:rsidRPr="00BD015D" w:rsidRDefault="00BD015D" w:rsidP="00BD015D">
      <w:pPr>
        <w:rPr>
          <w:sz w:val="24"/>
          <w:szCs w:val="24"/>
        </w:rPr>
      </w:pPr>
    </w:p>
    <w:p w:rsidR="00BD015D" w:rsidRPr="00BD015D" w:rsidRDefault="00BD015D" w:rsidP="00BD015D">
      <w:pPr>
        <w:rPr>
          <w:sz w:val="24"/>
          <w:szCs w:val="24"/>
        </w:rPr>
      </w:pPr>
    </w:p>
    <w:p w:rsidR="00BD015D" w:rsidRPr="00BD015D" w:rsidRDefault="00BD015D" w:rsidP="00BD015D">
      <w:pPr>
        <w:rPr>
          <w:sz w:val="24"/>
          <w:szCs w:val="24"/>
        </w:rPr>
      </w:pPr>
    </w:p>
    <w:p w:rsidR="00BD015D" w:rsidRPr="00BD015D" w:rsidRDefault="00BD015D" w:rsidP="00BD015D">
      <w:pPr>
        <w:rPr>
          <w:sz w:val="24"/>
          <w:szCs w:val="24"/>
        </w:rPr>
      </w:pPr>
    </w:p>
    <w:p w:rsidR="00BD015D" w:rsidRPr="00BD015D" w:rsidRDefault="00BD015D" w:rsidP="00BD015D">
      <w:pPr>
        <w:jc w:val="center"/>
        <w:rPr>
          <w:sz w:val="24"/>
          <w:szCs w:val="24"/>
        </w:rPr>
      </w:pPr>
    </w:p>
    <w:p w:rsidR="00BD015D" w:rsidRDefault="00BD015D" w:rsidP="00BD015D">
      <w:pPr>
        <w:rPr>
          <w:sz w:val="24"/>
          <w:szCs w:val="24"/>
        </w:rPr>
      </w:pPr>
    </w:p>
    <w:p w:rsidR="00F0420B" w:rsidRPr="00BD015D" w:rsidRDefault="00F0420B" w:rsidP="00BD015D">
      <w:pPr>
        <w:rPr>
          <w:sz w:val="24"/>
          <w:szCs w:val="24"/>
        </w:rPr>
        <w:sectPr w:rsidR="00F0420B" w:rsidRPr="00BD015D" w:rsidSect="00F84374">
          <w:footerReference w:type="even" r:id="rId9"/>
          <w:footerReference w:type="default" r:id="rId10"/>
          <w:footnotePr>
            <w:numRestart w:val="eachSect"/>
          </w:footnotePr>
          <w:endnotePr>
            <w:numFmt w:val="decimal"/>
          </w:endnotePr>
          <w:pgSz w:w="12240" w:h="15840"/>
          <w:pgMar w:top="1260" w:right="1152" w:bottom="1440" w:left="1152" w:header="720" w:footer="720" w:gutter="0"/>
          <w:cols w:space="720"/>
          <w:noEndnote/>
          <w:docGrid w:linePitch="360"/>
        </w:sectPr>
      </w:pPr>
    </w:p>
    <w:p w:rsidR="00A536C7" w:rsidRPr="006D652B" w:rsidRDefault="008F082E" w:rsidP="0081376E">
      <w:pPr>
        <w:pStyle w:val="Heading1"/>
        <w:spacing w:line="480" w:lineRule="auto"/>
      </w:pPr>
      <w:bookmarkStart w:id="2" w:name="_Toc331146749"/>
      <w:r w:rsidRPr="006D652B">
        <w:lastRenderedPageBreak/>
        <w:t>A.</w:t>
      </w:r>
      <w:r w:rsidR="00A536C7" w:rsidRPr="006D652B">
        <w:t>1. Circumstances Making the Collection of Information Necessary</w:t>
      </w:r>
      <w:bookmarkEnd w:id="2"/>
      <w:r w:rsidR="00A536C7" w:rsidRPr="006D652B">
        <w:t xml:space="preserve"> </w:t>
      </w:r>
    </w:p>
    <w:p w:rsidR="005835FA" w:rsidRPr="0011664A" w:rsidRDefault="005835FA" w:rsidP="005835FA">
      <w:pPr>
        <w:spacing w:line="480" w:lineRule="auto"/>
        <w:ind w:firstLine="720"/>
        <w:rPr>
          <w:sz w:val="24"/>
          <w:szCs w:val="24"/>
          <w:highlight w:val="yellow"/>
        </w:rPr>
      </w:pPr>
      <w:bookmarkStart w:id="3" w:name="_Toc331146750"/>
      <w:r w:rsidRPr="0011664A">
        <w:rPr>
          <w:rFonts w:eastAsia="Calibri"/>
          <w:sz w:val="24"/>
          <w:szCs w:val="24"/>
          <w:highlight w:val="yellow"/>
        </w:rPr>
        <w:t>The National Science Foundation (NSF) Act of 1950 (Public Law 507-81</w:t>
      </w:r>
      <w:r w:rsidRPr="0011664A">
        <w:rPr>
          <w:rFonts w:eastAsia="Calibri"/>
          <w:sz w:val="24"/>
          <w:szCs w:val="24"/>
          <w:highlight w:val="yellow"/>
          <w:vertAlign w:val="superscript"/>
        </w:rPr>
        <w:t>st</w:t>
      </w:r>
      <w:r w:rsidRPr="0011664A">
        <w:rPr>
          <w:rFonts w:eastAsia="Calibri"/>
          <w:sz w:val="24"/>
          <w:szCs w:val="24"/>
          <w:highlight w:val="yellow"/>
        </w:rPr>
        <w:t xml:space="preserve"> Congress, as amended) stated that “……</w:t>
      </w:r>
      <w:r w:rsidRPr="0011664A">
        <w:rPr>
          <w:rFonts w:eastAsia="Calibri"/>
          <w:i/>
          <w:sz w:val="24"/>
          <w:szCs w:val="24"/>
          <w:highlight w:val="yellow"/>
        </w:rPr>
        <w:t>it shall be an objective of the Foundation to strengthen science and engineering research potential and education at all levels throughout the United States; and avoid undue concentration of such research and education, respectively</w:t>
      </w:r>
      <w:r w:rsidRPr="0011664A">
        <w:rPr>
          <w:rFonts w:eastAsia="Calibri"/>
          <w:sz w:val="24"/>
          <w:szCs w:val="24"/>
          <w:highlight w:val="yellow"/>
        </w:rPr>
        <w:t>.”  This congressional directive recognized the inherent value of having a truly national scientific and engineering (S&amp;E) research enterprise.  Over time, however, the nation’s S&amp;E efforts became concentrated on its two coasts and in a limited number of major research universities.  Thus, the NSF’s resources became concentrated to the point where in 1977 NSF Director, Dr. Richard C. Atkinson, responded to congressional concerns by establishing a National Science Board task force to examine the geographical distribution of NSF awards</w:t>
      </w:r>
      <w:r w:rsidRPr="0011664A">
        <w:rPr>
          <w:sz w:val="24"/>
          <w:szCs w:val="24"/>
          <w:highlight w:val="yellow"/>
        </w:rPr>
        <w:t xml:space="preserve">. </w:t>
      </w:r>
      <w:r w:rsidRPr="0011664A">
        <w:rPr>
          <w:rFonts w:eastAsia="Calibri"/>
          <w:sz w:val="24"/>
          <w:szCs w:val="24"/>
          <w:highlight w:val="yellow"/>
        </w:rPr>
        <w:t xml:space="preserve">The NSB </w:t>
      </w:r>
      <w:r w:rsidRPr="0011664A">
        <w:rPr>
          <w:sz w:val="24"/>
          <w:szCs w:val="24"/>
          <w:highlight w:val="yellow"/>
        </w:rPr>
        <w:t xml:space="preserve">voted to establish </w:t>
      </w:r>
      <w:r w:rsidRPr="0011664A">
        <w:rPr>
          <w:rFonts w:eastAsia="Calibri"/>
          <w:sz w:val="24"/>
          <w:szCs w:val="24"/>
          <w:highlight w:val="yellow"/>
        </w:rPr>
        <w:t>the Experimental Program to stimulate Competitive Research (</w:t>
      </w:r>
      <w:proofErr w:type="spellStart"/>
      <w:r w:rsidRPr="0011664A">
        <w:rPr>
          <w:rFonts w:eastAsia="Calibri"/>
          <w:sz w:val="24"/>
          <w:szCs w:val="24"/>
          <w:highlight w:val="yellow"/>
        </w:rPr>
        <w:t>EPSCoR</w:t>
      </w:r>
      <w:proofErr w:type="spellEnd"/>
      <w:r w:rsidRPr="0011664A">
        <w:rPr>
          <w:rFonts w:eastAsia="Calibri"/>
          <w:sz w:val="24"/>
          <w:szCs w:val="24"/>
          <w:highlight w:val="yellow"/>
        </w:rPr>
        <w:t xml:space="preserve">) </w:t>
      </w:r>
      <w:r w:rsidRPr="0011664A">
        <w:rPr>
          <w:sz w:val="24"/>
          <w:szCs w:val="24"/>
          <w:highlight w:val="yellow"/>
        </w:rPr>
        <w:t>in 1978</w:t>
      </w:r>
      <w:r w:rsidRPr="0011664A">
        <w:rPr>
          <w:rFonts w:eastAsia="Calibri"/>
          <w:sz w:val="24"/>
          <w:szCs w:val="24"/>
          <w:highlight w:val="yellow"/>
        </w:rPr>
        <w:t>.</w:t>
      </w:r>
      <w:r w:rsidRPr="0011664A">
        <w:rPr>
          <w:sz w:val="24"/>
          <w:szCs w:val="24"/>
          <w:highlight w:val="yellow"/>
        </w:rPr>
        <w:t xml:space="preserve"> Five states (AR, ME, MT, SC, WV) received the first </w:t>
      </w:r>
      <w:proofErr w:type="spellStart"/>
      <w:r w:rsidRPr="0011664A">
        <w:rPr>
          <w:sz w:val="24"/>
          <w:szCs w:val="24"/>
          <w:highlight w:val="yellow"/>
        </w:rPr>
        <w:t>EPSCoR</w:t>
      </w:r>
      <w:proofErr w:type="spellEnd"/>
      <w:r w:rsidRPr="0011664A">
        <w:rPr>
          <w:sz w:val="24"/>
          <w:szCs w:val="24"/>
          <w:highlight w:val="yellow"/>
        </w:rPr>
        <w:t xml:space="preserve"> awards in 1980. </w:t>
      </w:r>
      <w:proofErr w:type="spellStart"/>
      <w:r w:rsidRPr="0011664A">
        <w:rPr>
          <w:sz w:val="24"/>
          <w:szCs w:val="24"/>
          <w:highlight w:val="yellow"/>
        </w:rPr>
        <w:t>EPSCoR</w:t>
      </w:r>
      <w:proofErr w:type="spellEnd"/>
      <w:r w:rsidRPr="0011664A">
        <w:rPr>
          <w:sz w:val="24"/>
          <w:szCs w:val="24"/>
          <w:highlight w:val="yellow"/>
        </w:rPr>
        <w:t xml:space="preserve"> eligibility criteria have changed over time; currently, 28 U.S. states, Puerto Rico, the U.S. Virgin Islands, and Guam participate in </w:t>
      </w:r>
      <w:proofErr w:type="spellStart"/>
      <w:r w:rsidRPr="0011664A">
        <w:rPr>
          <w:sz w:val="24"/>
          <w:szCs w:val="24"/>
          <w:highlight w:val="yellow"/>
        </w:rPr>
        <w:t>EPSCoR</w:t>
      </w:r>
      <w:proofErr w:type="spellEnd"/>
      <w:r w:rsidRPr="0011664A">
        <w:rPr>
          <w:sz w:val="24"/>
          <w:szCs w:val="24"/>
          <w:highlight w:val="yellow"/>
        </w:rPr>
        <w:t>.</w:t>
      </w:r>
    </w:p>
    <w:p w:rsidR="005835FA" w:rsidRPr="0011664A" w:rsidRDefault="005835FA" w:rsidP="005835FA">
      <w:pPr>
        <w:spacing w:line="480" w:lineRule="auto"/>
        <w:ind w:firstLine="720"/>
        <w:rPr>
          <w:sz w:val="24"/>
          <w:szCs w:val="24"/>
          <w:highlight w:val="yellow"/>
        </w:rPr>
      </w:pPr>
      <w:r w:rsidRPr="0011664A">
        <w:rPr>
          <w:sz w:val="24"/>
          <w:szCs w:val="24"/>
          <w:highlight w:val="yellow"/>
        </w:rPr>
        <w:t xml:space="preserve">The mission of </w:t>
      </w:r>
      <w:proofErr w:type="spellStart"/>
      <w:r w:rsidRPr="0011664A">
        <w:rPr>
          <w:sz w:val="24"/>
          <w:szCs w:val="24"/>
          <w:highlight w:val="yellow"/>
        </w:rPr>
        <w:t>EPSCoR</w:t>
      </w:r>
      <w:proofErr w:type="spellEnd"/>
      <w:r w:rsidRPr="0011664A">
        <w:rPr>
          <w:sz w:val="24"/>
          <w:szCs w:val="24"/>
          <w:highlight w:val="yellow"/>
        </w:rPr>
        <w:t xml:space="preserve"> is to assist the National Science Foundation (NSF) in its statutory function "to strengthen research and education in science and engineering throughout the United States and to avoid undue concentration of such research and education." </w:t>
      </w:r>
    </w:p>
    <w:p w:rsidR="005835FA" w:rsidRPr="0011664A" w:rsidRDefault="005835FA" w:rsidP="005835FA">
      <w:p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goals are to: </w:t>
      </w:r>
    </w:p>
    <w:p w:rsidR="005835FA" w:rsidRPr="0011664A" w:rsidRDefault="005835FA" w:rsidP="005835FA">
      <w:pPr>
        <w:pStyle w:val="ListParagraph"/>
        <w:numPr>
          <w:ilvl w:val="0"/>
          <w:numId w:val="5"/>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provide strategic programs and opportunities for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participants that stimulate sustainable improvements in their R&amp;D capacity and competitiveness;</w:t>
      </w:r>
    </w:p>
    <w:p w:rsidR="005835FA" w:rsidRPr="0011664A" w:rsidRDefault="005835FA" w:rsidP="005835FA">
      <w:pPr>
        <w:pStyle w:val="ListParagraph"/>
        <w:numPr>
          <w:ilvl w:val="0"/>
          <w:numId w:val="5"/>
        </w:numPr>
        <w:spacing w:line="480" w:lineRule="auto"/>
        <w:rPr>
          <w:rFonts w:ascii="Times New Roman" w:hAnsi="Times New Roman"/>
          <w:sz w:val="24"/>
          <w:szCs w:val="24"/>
          <w:highlight w:val="yellow"/>
        </w:rPr>
      </w:pPr>
      <w:proofErr w:type="gramStart"/>
      <w:r w:rsidRPr="0011664A">
        <w:rPr>
          <w:rFonts w:ascii="Times New Roman" w:hAnsi="Times New Roman"/>
          <w:sz w:val="24"/>
          <w:szCs w:val="24"/>
          <w:highlight w:val="yellow"/>
        </w:rPr>
        <w:t>advance</w:t>
      </w:r>
      <w:proofErr w:type="gramEnd"/>
      <w:r w:rsidRPr="0011664A">
        <w:rPr>
          <w:rFonts w:ascii="Times New Roman" w:hAnsi="Times New Roman"/>
          <w:sz w:val="24"/>
          <w:szCs w:val="24"/>
          <w:highlight w:val="yellow"/>
        </w:rPr>
        <w:t xml:space="preserve"> science and engineering capabilities in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jurisdictions</w:t>
      </w:r>
      <w:r w:rsidR="00BD015D" w:rsidRPr="0011664A">
        <w:rPr>
          <w:rStyle w:val="FootnoteReference"/>
          <w:rFonts w:ascii="Times New Roman" w:hAnsi="Times New Roman"/>
          <w:sz w:val="24"/>
          <w:szCs w:val="24"/>
          <w:highlight w:val="yellow"/>
        </w:rPr>
        <w:footnoteReference w:id="1"/>
      </w:r>
      <w:r w:rsidRPr="0011664A">
        <w:rPr>
          <w:rFonts w:ascii="Times New Roman" w:hAnsi="Times New Roman"/>
          <w:sz w:val="24"/>
          <w:szCs w:val="24"/>
          <w:highlight w:val="yellow"/>
        </w:rPr>
        <w:t xml:space="preserve"> for discovery, innovation, and overall knowledge-based prosperity. </w:t>
      </w:r>
    </w:p>
    <w:p w:rsidR="005835FA" w:rsidRPr="0011664A" w:rsidRDefault="005835FA" w:rsidP="005835FA">
      <w:pPr>
        <w:spacing w:line="480" w:lineRule="auto"/>
        <w:rPr>
          <w:sz w:val="24"/>
          <w:szCs w:val="24"/>
          <w:highlight w:val="yellow"/>
        </w:rPr>
      </w:pPr>
      <w:r w:rsidRPr="0011664A">
        <w:rPr>
          <w:bCs/>
          <w:sz w:val="24"/>
          <w:szCs w:val="24"/>
          <w:highlight w:val="yellow"/>
        </w:rPr>
        <w:lastRenderedPageBreak/>
        <w:t xml:space="preserve">The objectives of </w:t>
      </w:r>
      <w:proofErr w:type="spellStart"/>
      <w:r w:rsidRPr="0011664A">
        <w:rPr>
          <w:bCs/>
          <w:sz w:val="24"/>
          <w:szCs w:val="24"/>
          <w:highlight w:val="yellow"/>
        </w:rPr>
        <w:t>EPSCoR</w:t>
      </w:r>
      <w:proofErr w:type="spellEnd"/>
      <w:r w:rsidRPr="0011664A">
        <w:rPr>
          <w:bCs/>
          <w:sz w:val="24"/>
          <w:szCs w:val="24"/>
          <w:highlight w:val="yellow"/>
        </w:rPr>
        <w:t xml:space="preserve"> are to:</w:t>
      </w:r>
    </w:p>
    <w:p w:rsidR="005835FA" w:rsidRPr="0011664A" w:rsidRDefault="005835FA" w:rsidP="005835FA">
      <w:pPr>
        <w:widowControl/>
        <w:numPr>
          <w:ilvl w:val="0"/>
          <w:numId w:val="4"/>
        </w:numPr>
        <w:spacing w:line="480" w:lineRule="auto"/>
        <w:rPr>
          <w:sz w:val="24"/>
          <w:szCs w:val="24"/>
          <w:highlight w:val="yellow"/>
        </w:rPr>
      </w:pPr>
      <w:r w:rsidRPr="0011664A">
        <w:rPr>
          <w:sz w:val="24"/>
          <w:szCs w:val="24"/>
          <w:highlight w:val="yellow"/>
        </w:rPr>
        <w:t xml:space="preserve">catalyze key research themes and related activities within and among </w:t>
      </w:r>
      <w:proofErr w:type="spellStart"/>
      <w:r w:rsidRPr="0011664A">
        <w:rPr>
          <w:sz w:val="24"/>
          <w:szCs w:val="24"/>
          <w:highlight w:val="yellow"/>
        </w:rPr>
        <w:t>EPSCoR</w:t>
      </w:r>
      <w:proofErr w:type="spellEnd"/>
      <w:r w:rsidRPr="0011664A">
        <w:rPr>
          <w:sz w:val="24"/>
          <w:szCs w:val="24"/>
          <w:highlight w:val="yellow"/>
        </w:rPr>
        <w:t xml:space="preserve"> jurisdictions that empower knowledge generation, dissemination and application; </w:t>
      </w:r>
    </w:p>
    <w:p w:rsidR="005835FA" w:rsidRPr="0011664A" w:rsidRDefault="005835FA" w:rsidP="005835FA">
      <w:pPr>
        <w:widowControl/>
        <w:numPr>
          <w:ilvl w:val="0"/>
          <w:numId w:val="4"/>
        </w:numPr>
        <w:spacing w:line="480" w:lineRule="auto"/>
        <w:rPr>
          <w:sz w:val="24"/>
          <w:szCs w:val="24"/>
          <w:highlight w:val="yellow"/>
        </w:rPr>
      </w:pPr>
      <w:r w:rsidRPr="0011664A">
        <w:rPr>
          <w:sz w:val="24"/>
          <w:szCs w:val="24"/>
          <w:highlight w:val="yellow"/>
        </w:rPr>
        <w:t xml:space="preserve">activate effective jurisdictional and regional collaborations among academic, government and private sector stakeholders that advance scientific research, promote innovation and provide multiple societal benefits; </w:t>
      </w:r>
    </w:p>
    <w:p w:rsidR="005835FA" w:rsidRPr="0011664A" w:rsidRDefault="005835FA" w:rsidP="005835FA">
      <w:pPr>
        <w:widowControl/>
        <w:numPr>
          <w:ilvl w:val="0"/>
          <w:numId w:val="4"/>
        </w:numPr>
        <w:spacing w:line="480" w:lineRule="auto"/>
        <w:rPr>
          <w:sz w:val="24"/>
          <w:szCs w:val="24"/>
          <w:highlight w:val="yellow"/>
        </w:rPr>
      </w:pPr>
      <w:r w:rsidRPr="0011664A">
        <w:rPr>
          <w:sz w:val="24"/>
          <w:szCs w:val="24"/>
          <w:highlight w:val="yellow"/>
        </w:rPr>
        <w:t xml:space="preserve">broaden participation in science and engineering by institutions, organizations, and people within and among </w:t>
      </w:r>
      <w:proofErr w:type="spellStart"/>
      <w:r w:rsidRPr="0011664A">
        <w:rPr>
          <w:sz w:val="24"/>
          <w:szCs w:val="24"/>
          <w:highlight w:val="yellow"/>
        </w:rPr>
        <w:t>EPSCoR</w:t>
      </w:r>
      <w:proofErr w:type="spellEnd"/>
      <w:r w:rsidRPr="0011664A">
        <w:rPr>
          <w:sz w:val="24"/>
          <w:szCs w:val="24"/>
          <w:highlight w:val="yellow"/>
        </w:rPr>
        <w:t xml:space="preserve"> jurisdictions; </w:t>
      </w:r>
    </w:p>
    <w:p w:rsidR="005835FA" w:rsidRPr="0011664A" w:rsidRDefault="005835FA" w:rsidP="005835FA">
      <w:pPr>
        <w:widowControl/>
        <w:numPr>
          <w:ilvl w:val="0"/>
          <w:numId w:val="4"/>
        </w:numPr>
        <w:spacing w:line="480" w:lineRule="auto"/>
        <w:rPr>
          <w:sz w:val="24"/>
          <w:szCs w:val="24"/>
          <w:highlight w:val="yellow"/>
        </w:rPr>
      </w:pPr>
      <w:proofErr w:type="gramStart"/>
      <w:r w:rsidRPr="0011664A">
        <w:rPr>
          <w:sz w:val="24"/>
          <w:szCs w:val="24"/>
          <w:highlight w:val="yellow"/>
        </w:rPr>
        <w:t>use</w:t>
      </w:r>
      <w:proofErr w:type="gramEnd"/>
      <w:r w:rsidRPr="0011664A">
        <w:rPr>
          <w:sz w:val="24"/>
          <w:szCs w:val="24"/>
          <w:highlight w:val="yellow"/>
        </w:rPr>
        <w:t xml:space="preserve"> </w:t>
      </w:r>
      <w:proofErr w:type="spellStart"/>
      <w:r w:rsidRPr="0011664A">
        <w:rPr>
          <w:sz w:val="24"/>
          <w:szCs w:val="24"/>
          <w:highlight w:val="yellow"/>
        </w:rPr>
        <w:t>EPSCoR</w:t>
      </w:r>
      <w:proofErr w:type="spellEnd"/>
      <w:r w:rsidRPr="0011664A">
        <w:rPr>
          <w:sz w:val="24"/>
          <w:szCs w:val="24"/>
          <w:highlight w:val="yellow"/>
        </w:rPr>
        <w:t xml:space="preserve"> for development, implementation and evaluation of future programmatic experiments that motivate positive change and progression. </w:t>
      </w:r>
    </w:p>
    <w:p w:rsidR="005835FA" w:rsidRPr="0011664A" w:rsidRDefault="005835FA" w:rsidP="005835FA">
      <w:p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uses three major investment strategies to achieve its goal of improving the R&amp;D competitiveness of researchers and institutions within </w:t>
      </w:r>
      <w:proofErr w:type="spellStart"/>
      <w:r w:rsidRPr="0011664A">
        <w:rPr>
          <w:sz w:val="24"/>
          <w:szCs w:val="24"/>
          <w:highlight w:val="yellow"/>
        </w:rPr>
        <w:t>EPSCoR</w:t>
      </w:r>
      <w:proofErr w:type="spellEnd"/>
      <w:r w:rsidRPr="0011664A">
        <w:rPr>
          <w:sz w:val="24"/>
          <w:szCs w:val="24"/>
          <w:highlight w:val="yellow"/>
        </w:rPr>
        <w:t xml:space="preserve"> jurisdictions. These strategies are:</w:t>
      </w:r>
    </w:p>
    <w:p w:rsidR="005835FA" w:rsidRPr="0011664A" w:rsidRDefault="005835FA" w:rsidP="005835FA">
      <w:pPr>
        <w:widowControl/>
        <w:numPr>
          <w:ilvl w:val="0"/>
          <w:numId w:val="6"/>
        </w:numPr>
        <w:spacing w:line="480" w:lineRule="auto"/>
        <w:rPr>
          <w:sz w:val="24"/>
          <w:szCs w:val="24"/>
          <w:highlight w:val="yellow"/>
        </w:rPr>
      </w:pPr>
      <w:r w:rsidRPr="0011664A">
        <w:rPr>
          <w:b/>
          <w:bCs/>
          <w:sz w:val="24"/>
          <w:szCs w:val="24"/>
          <w:highlight w:val="yellow"/>
        </w:rPr>
        <w:t>Research Infrastructure Improvement Program:</w:t>
      </w:r>
    </w:p>
    <w:p w:rsidR="005835FA" w:rsidRPr="0011664A" w:rsidRDefault="005835FA" w:rsidP="005835FA">
      <w:pPr>
        <w:spacing w:line="480" w:lineRule="auto"/>
        <w:ind w:left="720"/>
        <w:rPr>
          <w:sz w:val="24"/>
          <w:szCs w:val="24"/>
          <w:highlight w:val="yellow"/>
        </w:rPr>
      </w:pPr>
      <w:proofErr w:type="gramStart"/>
      <w:r w:rsidRPr="0011664A">
        <w:rPr>
          <w:sz w:val="24"/>
          <w:szCs w:val="24"/>
          <w:highlight w:val="yellow"/>
        </w:rPr>
        <w:t>Track-1 ((RII Track-1) Awards.</w:t>
      </w:r>
      <w:proofErr w:type="gramEnd"/>
      <w:r w:rsidRPr="0011664A">
        <w:rPr>
          <w:sz w:val="24"/>
          <w:szCs w:val="24"/>
          <w:highlight w:val="yellow"/>
        </w:rPr>
        <w:t xml:space="preserve"> The RII Track-1 awards (NSF 12-563) are the single largest source of programmatic funding. RII Track-1 awards provide up to $4 million per year for up to five years. They are intended to improve the research competitiveness of jurisdictions by improving their academic research infrastructure in areas of science and engineering supported by the National Science Foundation and critical to the particular jurisdiction’s science and technology initiative or plan. Other Research Infrastructure Improvement awards are a) the RII Track-2 awards (NSF 13-509), which provided up to $2 million per year for up to three years as collaborative awards to consortia of </w:t>
      </w:r>
      <w:proofErr w:type="spellStart"/>
      <w:r w:rsidRPr="0011664A">
        <w:rPr>
          <w:sz w:val="24"/>
          <w:szCs w:val="24"/>
          <w:highlight w:val="yellow"/>
        </w:rPr>
        <w:t>EPSCoR</w:t>
      </w:r>
      <w:proofErr w:type="spellEnd"/>
      <w:r w:rsidRPr="0011664A">
        <w:rPr>
          <w:sz w:val="24"/>
          <w:szCs w:val="24"/>
          <w:highlight w:val="yellow"/>
        </w:rPr>
        <w:t xml:space="preserve"> jurisdictions to support research of regional, thematic, or technological importance; and b) RII C-2 awards (NSF 10-598), which provided up to $1 million for up to two years to support the enhancement of inter-campus and intra-campus cyber connectivity within an </w:t>
      </w:r>
      <w:proofErr w:type="spellStart"/>
      <w:r w:rsidRPr="0011664A">
        <w:rPr>
          <w:sz w:val="24"/>
          <w:szCs w:val="24"/>
          <w:highlight w:val="yellow"/>
        </w:rPr>
        <w:t>EPSCoR</w:t>
      </w:r>
      <w:proofErr w:type="spellEnd"/>
      <w:r w:rsidRPr="0011664A">
        <w:rPr>
          <w:sz w:val="24"/>
          <w:szCs w:val="24"/>
          <w:highlight w:val="yellow"/>
        </w:rPr>
        <w:t xml:space="preserve"> jurisdiction.</w:t>
      </w:r>
    </w:p>
    <w:p w:rsidR="005835FA" w:rsidRPr="0011664A" w:rsidRDefault="005835FA" w:rsidP="005835FA">
      <w:pPr>
        <w:widowControl/>
        <w:numPr>
          <w:ilvl w:val="0"/>
          <w:numId w:val="6"/>
        </w:numPr>
        <w:spacing w:line="480" w:lineRule="auto"/>
        <w:rPr>
          <w:sz w:val="24"/>
          <w:szCs w:val="24"/>
          <w:highlight w:val="yellow"/>
        </w:rPr>
      </w:pPr>
      <w:r w:rsidRPr="0011664A">
        <w:rPr>
          <w:b/>
          <w:bCs/>
          <w:sz w:val="24"/>
          <w:szCs w:val="24"/>
          <w:highlight w:val="yellow"/>
        </w:rPr>
        <w:lastRenderedPageBreak/>
        <w:t>Co-Funding of Disciplinary and Multidisciplinary Research:</w:t>
      </w:r>
    </w:p>
    <w:p w:rsidR="005835FA" w:rsidRPr="0011664A" w:rsidRDefault="005835FA" w:rsidP="005835FA">
      <w:pPr>
        <w:spacing w:line="480" w:lineRule="auto"/>
        <w:ind w:left="720"/>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co-invests with NSF Directorates and Offices in the support of meritorious proposals from individual investigators, groups, and centers in </w:t>
      </w:r>
      <w:proofErr w:type="spellStart"/>
      <w:r w:rsidRPr="0011664A">
        <w:rPr>
          <w:sz w:val="24"/>
          <w:szCs w:val="24"/>
          <w:highlight w:val="yellow"/>
        </w:rPr>
        <w:t>EPSCoR</w:t>
      </w:r>
      <w:proofErr w:type="spellEnd"/>
      <w:r w:rsidRPr="0011664A">
        <w:rPr>
          <w:sz w:val="24"/>
          <w:szCs w:val="24"/>
          <w:highlight w:val="yellow"/>
        </w:rPr>
        <w:t xml:space="preserve"> jurisdictions that are submitted to the Foundation’s research and education programs, and crosscutting initiatives. These proposals have been merit reviewed and recommended for award, but could not be funded without the combined, leveraged support of </w:t>
      </w:r>
      <w:proofErr w:type="spellStart"/>
      <w:r w:rsidRPr="0011664A">
        <w:rPr>
          <w:sz w:val="24"/>
          <w:szCs w:val="24"/>
          <w:highlight w:val="yellow"/>
        </w:rPr>
        <w:t>EPSCoR</w:t>
      </w:r>
      <w:proofErr w:type="spellEnd"/>
      <w:r w:rsidRPr="0011664A">
        <w:rPr>
          <w:sz w:val="24"/>
          <w:szCs w:val="24"/>
          <w:highlight w:val="yellow"/>
        </w:rPr>
        <w:t xml:space="preserve"> and the Research and Education Directorates. Co-funding leverages </w:t>
      </w:r>
      <w:proofErr w:type="spellStart"/>
      <w:r w:rsidRPr="0011664A">
        <w:rPr>
          <w:sz w:val="24"/>
          <w:szCs w:val="24"/>
          <w:highlight w:val="yellow"/>
        </w:rPr>
        <w:t>EPSCoR</w:t>
      </w:r>
      <w:proofErr w:type="spellEnd"/>
      <w:r w:rsidRPr="0011664A">
        <w:rPr>
          <w:sz w:val="24"/>
          <w:szCs w:val="24"/>
          <w:highlight w:val="yellow"/>
        </w:rPr>
        <w:t xml:space="preserve"> investment and facilitates participation of </w:t>
      </w:r>
      <w:proofErr w:type="spellStart"/>
      <w:r w:rsidRPr="0011664A">
        <w:rPr>
          <w:sz w:val="24"/>
          <w:szCs w:val="24"/>
          <w:highlight w:val="yellow"/>
        </w:rPr>
        <w:t>EPSCoR</w:t>
      </w:r>
      <w:proofErr w:type="spellEnd"/>
      <w:r w:rsidRPr="0011664A">
        <w:rPr>
          <w:sz w:val="24"/>
          <w:szCs w:val="24"/>
          <w:highlight w:val="yellow"/>
        </w:rPr>
        <w:t xml:space="preserve"> scientists and engineers in Foundation-wide programs and initiatives.  </w:t>
      </w:r>
      <w:proofErr w:type="gramStart"/>
      <w:r w:rsidRPr="0011664A">
        <w:rPr>
          <w:sz w:val="24"/>
          <w:szCs w:val="24"/>
          <w:highlight w:val="yellow"/>
        </w:rPr>
        <w:t xml:space="preserve">NSF </w:t>
      </w:r>
      <w:proofErr w:type="spellStart"/>
      <w:r w:rsidRPr="0011664A">
        <w:rPr>
          <w:sz w:val="24"/>
          <w:szCs w:val="24"/>
          <w:highlight w:val="yellow"/>
        </w:rPr>
        <w:t>EPSCoR</w:t>
      </w:r>
      <w:proofErr w:type="spellEnd"/>
      <w:r w:rsidRPr="0011664A">
        <w:rPr>
          <w:sz w:val="24"/>
          <w:szCs w:val="24"/>
          <w:highlight w:val="yellow"/>
        </w:rPr>
        <w:t xml:space="preserve"> co-funding accounts for roughly $38 million annually.</w:t>
      </w:r>
      <w:proofErr w:type="gramEnd"/>
    </w:p>
    <w:p w:rsidR="005835FA" w:rsidRPr="0011664A" w:rsidRDefault="005835FA" w:rsidP="005835FA">
      <w:pPr>
        <w:widowControl/>
        <w:numPr>
          <w:ilvl w:val="0"/>
          <w:numId w:val="6"/>
        </w:numPr>
        <w:spacing w:line="480" w:lineRule="auto"/>
        <w:rPr>
          <w:sz w:val="24"/>
          <w:szCs w:val="24"/>
          <w:highlight w:val="yellow"/>
        </w:rPr>
      </w:pPr>
      <w:r w:rsidRPr="0011664A">
        <w:rPr>
          <w:b/>
          <w:bCs/>
          <w:sz w:val="24"/>
          <w:szCs w:val="24"/>
          <w:highlight w:val="yellow"/>
        </w:rPr>
        <w:t>Workshops and Outreach:</w:t>
      </w:r>
    </w:p>
    <w:p w:rsidR="005835FA" w:rsidRDefault="005835FA" w:rsidP="005835FA">
      <w:pPr>
        <w:spacing w:line="480" w:lineRule="auto"/>
        <w:ind w:left="720"/>
        <w:rPr>
          <w:sz w:val="24"/>
          <w:szCs w:val="24"/>
          <w:highlight w:val="yellow"/>
        </w:rPr>
      </w:pPr>
      <w:r w:rsidRPr="0011664A">
        <w:rPr>
          <w:sz w:val="24"/>
          <w:szCs w:val="24"/>
          <w:highlight w:val="yellow"/>
        </w:rPr>
        <w:t xml:space="preserve">The </w:t>
      </w:r>
      <w:proofErr w:type="spellStart"/>
      <w:r w:rsidRPr="0011664A">
        <w:rPr>
          <w:sz w:val="24"/>
          <w:szCs w:val="24"/>
          <w:highlight w:val="yellow"/>
        </w:rPr>
        <w:t>EPSCoR</w:t>
      </w:r>
      <w:proofErr w:type="spellEnd"/>
      <w:r w:rsidRPr="0011664A">
        <w:rPr>
          <w:sz w:val="24"/>
          <w:szCs w:val="24"/>
          <w:highlight w:val="yellow"/>
        </w:rPr>
        <w:t xml:space="preserve"> Office solicits requests for support of workshops, conferences, and other community-based activities designed to explore opportunities in emerging areas of science and engineering, and to share best practices in planning and implementation in strategic planning, diversity, communication, </w:t>
      </w:r>
      <w:proofErr w:type="spellStart"/>
      <w:r w:rsidRPr="0011664A">
        <w:rPr>
          <w:sz w:val="24"/>
          <w:szCs w:val="24"/>
          <w:highlight w:val="yellow"/>
        </w:rPr>
        <w:t>cyberinfrastructure</w:t>
      </w:r>
      <w:proofErr w:type="spellEnd"/>
      <w:r w:rsidRPr="0011664A">
        <w:rPr>
          <w:sz w:val="24"/>
          <w:szCs w:val="24"/>
          <w:highlight w:val="yellow"/>
        </w:rPr>
        <w:t xml:space="preserve">, evaluation, and other areas of importance to </w:t>
      </w:r>
      <w:proofErr w:type="spellStart"/>
      <w:r w:rsidRPr="0011664A">
        <w:rPr>
          <w:sz w:val="24"/>
          <w:szCs w:val="24"/>
          <w:highlight w:val="yellow"/>
        </w:rPr>
        <w:t>EPSCoR</w:t>
      </w:r>
      <w:proofErr w:type="spellEnd"/>
      <w:r w:rsidRPr="0011664A">
        <w:rPr>
          <w:sz w:val="24"/>
          <w:szCs w:val="24"/>
          <w:highlight w:val="yellow"/>
        </w:rPr>
        <w:t xml:space="preserve"> jurisdictions (See NSF 12-588). The </w:t>
      </w:r>
      <w:proofErr w:type="spellStart"/>
      <w:r w:rsidRPr="0011664A">
        <w:rPr>
          <w:sz w:val="24"/>
          <w:szCs w:val="24"/>
          <w:highlight w:val="yellow"/>
        </w:rPr>
        <w:t>EPSCoR</w:t>
      </w:r>
      <w:proofErr w:type="spellEnd"/>
      <w:r w:rsidRPr="0011664A">
        <w:rPr>
          <w:sz w:val="24"/>
          <w:szCs w:val="24"/>
          <w:highlight w:val="yellow"/>
        </w:rPr>
        <w:t xml:space="preserve"> Office also supports outreach travel that enables NSF staff from all Directorates and Offices to work with the </w:t>
      </w:r>
      <w:proofErr w:type="spellStart"/>
      <w:r w:rsidRPr="0011664A">
        <w:rPr>
          <w:sz w:val="24"/>
          <w:szCs w:val="24"/>
          <w:highlight w:val="yellow"/>
        </w:rPr>
        <w:t>EPSCoR</w:t>
      </w:r>
      <w:proofErr w:type="spellEnd"/>
      <w:r w:rsidRPr="0011664A">
        <w:rPr>
          <w:sz w:val="24"/>
          <w:szCs w:val="24"/>
          <w:highlight w:val="yellow"/>
        </w:rPr>
        <w:t xml:space="preserve"> research community regarding NSF opportunities, priorities, programs, and policies. Such travel also serves to more fully acquaint NSF staff with the science and engineering accomplishments, ongoing activities, and new directions and opportunities in research and education in the jurisdictions.</w:t>
      </w:r>
    </w:p>
    <w:p w:rsidR="00D852B6" w:rsidRDefault="00D852B6" w:rsidP="005835FA">
      <w:pPr>
        <w:spacing w:line="480" w:lineRule="auto"/>
        <w:ind w:left="720"/>
        <w:rPr>
          <w:sz w:val="24"/>
          <w:szCs w:val="24"/>
          <w:highlight w:val="yellow"/>
        </w:rPr>
      </w:pPr>
    </w:p>
    <w:p w:rsidR="00D852B6" w:rsidRDefault="00D852B6" w:rsidP="005835FA">
      <w:pPr>
        <w:spacing w:line="480" w:lineRule="auto"/>
        <w:ind w:left="720"/>
        <w:rPr>
          <w:sz w:val="24"/>
          <w:szCs w:val="24"/>
          <w:highlight w:val="yellow"/>
        </w:rPr>
      </w:pPr>
      <w:r>
        <w:rPr>
          <w:sz w:val="24"/>
          <w:szCs w:val="24"/>
          <w:highlight w:val="yellow"/>
        </w:rPr>
        <w:t xml:space="preserve">The reauthorization of </w:t>
      </w:r>
      <w:proofErr w:type="spellStart"/>
      <w:r>
        <w:rPr>
          <w:sz w:val="24"/>
          <w:szCs w:val="24"/>
          <w:highlight w:val="yellow"/>
        </w:rPr>
        <w:t>EPSCoR</w:t>
      </w:r>
      <w:proofErr w:type="spellEnd"/>
      <w:r>
        <w:rPr>
          <w:sz w:val="24"/>
          <w:szCs w:val="24"/>
          <w:highlight w:val="yellow"/>
        </w:rPr>
        <w:t xml:space="preserve"> </w:t>
      </w:r>
      <w:r w:rsidRPr="00D852B6">
        <w:rPr>
          <w:sz w:val="24"/>
          <w:szCs w:val="24"/>
          <w:highlight w:val="yellow"/>
        </w:rPr>
        <w:t xml:space="preserve">(under the America Competes Act of </w:t>
      </w:r>
      <w:r>
        <w:rPr>
          <w:sz w:val="24"/>
          <w:szCs w:val="24"/>
          <w:highlight w:val="yellow"/>
        </w:rPr>
        <w:t>2010, P.L. 111-358;</w:t>
      </w:r>
      <w:r w:rsidRPr="00D852B6">
        <w:rPr>
          <w:sz w:val="24"/>
          <w:szCs w:val="24"/>
          <w:highlight w:val="yellow"/>
        </w:rPr>
        <w:t xml:space="preserve"> 42 USC 1862p</w:t>
      </w:r>
      <w:r>
        <w:rPr>
          <w:sz w:val="24"/>
          <w:szCs w:val="24"/>
          <w:highlight w:val="yellow"/>
        </w:rPr>
        <w:t xml:space="preserve">-9) directed the National Science Foundation to continue the </w:t>
      </w:r>
      <w:proofErr w:type="spellStart"/>
      <w:r>
        <w:rPr>
          <w:sz w:val="24"/>
          <w:szCs w:val="24"/>
          <w:highlight w:val="yellow"/>
        </w:rPr>
        <w:t>EPSCoR</w:t>
      </w:r>
      <w:proofErr w:type="spellEnd"/>
      <w:r>
        <w:rPr>
          <w:sz w:val="24"/>
          <w:szCs w:val="24"/>
          <w:highlight w:val="yellow"/>
        </w:rPr>
        <w:t xml:space="preserve"> program. Additionally, the reauthorization specified new evaluation and reporting requirements. One </w:t>
      </w:r>
      <w:r>
        <w:rPr>
          <w:sz w:val="24"/>
          <w:szCs w:val="24"/>
          <w:highlight w:val="yellow"/>
        </w:rPr>
        <w:lastRenderedPageBreak/>
        <w:t xml:space="preserve">such requirement is for the </w:t>
      </w:r>
      <w:proofErr w:type="spellStart"/>
      <w:r>
        <w:rPr>
          <w:sz w:val="24"/>
          <w:szCs w:val="24"/>
          <w:highlight w:val="yellow"/>
        </w:rPr>
        <w:t>EPSCoR</w:t>
      </w:r>
      <w:proofErr w:type="spellEnd"/>
      <w:r>
        <w:rPr>
          <w:sz w:val="24"/>
          <w:szCs w:val="24"/>
          <w:highlight w:val="yellow"/>
        </w:rPr>
        <w:t xml:space="preserve"> Interagency Coordinating Committee (which is chaired by NSF) to develop metrics to “assess gains in academic research quality and competitiveness” (1862p-9(d</w:t>
      </w:r>
      <w:proofErr w:type="gramStart"/>
      <w:r>
        <w:rPr>
          <w:sz w:val="24"/>
          <w:szCs w:val="24"/>
          <w:highlight w:val="yellow"/>
        </w:rPr>
        <w:t>)(</w:t>
      </w:r>
      <w:proofErr w:type="gramEnd"/>
      <w:r>
        <w:rPr>
          <w:sz w:val="24"/>
          <w:szCs w:val="24"/>
          <w:highlight w:val="yellow"/>
        </w:rPr>
        <w:t xml:space="preserve">2)(c)). This evaluation more generally, and the survey specifically, will contribute to developing assessment approaches and to applying them historically to the NSF </w:t>
      </w:r>
      <w:proofErr w:type="spellStart"/>
      <w:r>
        <w:rPr>
          <w:sz w:val="24"/>
          <w:szCs w:val="24"/>
          <w:highlight w:val="yellow"/>
        </w:rPr>
        <w:t>EPSCoR</w:t>
      </w:r>
      <w:proofErr w:type="spellEnd"/>
      <w:r>
        <w:rPr>
          <w:sz w:val="24"/>
          <w:szCs w:val="24"/>
          <w:highlight w:val="yellow"/>
        </w:rPr>
        <w:t xml:space="preserve"> program.</w:t>
      </w:r>
    </w:p>
    <w:p w:rsidR="008C2BD4" w:rsidRPr="008C2BD4" w:rsidRDefault="008C2BD4" w:rsidP="005835FA">
      <w:pPr>
        <w:spacing w:line="480" w:lineRule="auto"/>
        <w:ind w:left="720"/>
        <w:rPr>
          <w:sz w:val="24"/>
          <w:szCs w:val="24"/>
          <w:highlight w:val="yellow"/>
        </w:rPr>
      </w:pPr>
      <w:r w:rsidRPr="008C2BD4">
        <w:rPr>
          <w:snapToGrid/>
          <w:sz w:val="24"/>
          <w:szCs w:val="24"/>
          <w:highlight w:val="yellow"/>
        </w:rPr>
        <w:t>The current evaluation being conducted by STPI is one of three evaluative activities underway.  One of these, a legislatively mandated study (</w:t>
      </w:r>
      <w:r w:rsidRPr="008C2BD4">
        <w:rPr>
          <w:color w:val="000000" w:themeColor="text1"/>
          <w:sz w:val="24"/>
          <w:highlight w:val="yellow"/>
        </w:rPr>
        <w:t>under the America Competes Act of 2010, P.L. 111-358; specifically, 42 USC 1862p-9(f)</w:t>
      </w:r>
      <w:r w:rsidRPr="008C2BD4">
        <w:rPr>
          <w:snapToGrid/>
          <w:sz w:val="24"/>
          <w:szCs w:val="24"/>
          <w:highlight w:val="yellow"/>
        </w:rPr>
        <w:t xml:space="preserve">) is being carried out by the National Academies, and seeks to evaluate the active federal </w:t>
      </w:r>
      <w:proofErr w:type="spellStart"/>
      <w:r w:rsidRPr="008C2BD4">
        <w:rPr>
          <w:snapToGrid/>
          <w:sz w:val="24"/>
          <w:szCs w:val="24"/>
          <w:highlight w:val="yellow"/>
        </w:rPr>
        <w:t>EPSCoR</w:t>
      </w:r>
      <w:proofErr w:type="spellEnd"/>
      <w:r w:rsidRPr="008C2BD4">
        <w:rPr>
          <w:snapToGrid/>
          <w:sz w:val="24"/>
          <w:szCs w:val="24"/>
          <w:highlight w:val="yellow"/>
        </w:rPr>
        <w:t xml:space="preserve"> and </w:t>
      </w:r>
      <w:proofErr w:type="spellStart"/>
      <w:r w:rsidRPr="008C2BD4">
        <w:rPr>
          <w:snapToGrid/>
          <w:sz w:val="24"/>
          <w:szCs w:val="24"/>
          <w:highlight w:val="yellow"/>
        </w:rPr>
        <w:t>EPSCoR</w:t>
      </w:r>
      <w:proofErr w:type="spellEnd"/>
      <w:r w:rsidRPr="008C2BD4">
        <w:rPr>
          <w:snapToGrid/>
          <w:sz w:val="24"/>
          <w:szCs w:val="24"/>
          <w:highlight w:val="yellow"/>
        </w:rPr>
        <w:t xml:space="preserve">-like programs.  The second is from within the NSF </w:t>
      </w:r>
      <w:proofErr w:type="spellStart"/>
      <w:r w:rsidRPr="008C2BD4">
        <w:rPr>
          <w:snapToGrid/>
          <w:sz w:val="24"/>
          <w:szCs w:val="24"/>
          <w:highlight w:val="yellow"/>
        </w:rPr>
        <w:t>EPSCoR</w:t>
      </w:r>
      <w:proofErr w:type="spellEnd"/>
      <w:r w:rsidRPr="008C2BD4">
        <w:rPr>
          <w:snapToGrid/>
          <w:sz w:val="24"/>
          <w:szCs w:val="24"/>
          <w:highlight w:val="yellow"/>
        </w:rPr>
        <w:t xml:space="preserve"> community itself entitled “</w:t>
      </w:r>
      <w:proofErr w:type="spellStart"/>
      <w:r w:rsidRPr="008C2BD4">
        <w:rPr>
          <w:snapToGrid/>
          <w:sz w:val="24"/>
          <w:szCs w:val="24"/>
          <w:highlight w:val="yellow"/>
        </w:rPr>
        <w:t>EPSCoR</w:t>
      </w:r>
      <w:proofErr w:type="spellEnd"/>
      <w:r w:rsidRPr="008C2BD4">
        <w:rPr>
          <w:snapToGrid/>
          <w:sz w:val="24"/>
          <w:szCs w:val="24"/>
          <w:highlight w:val="yellow"/>
        </w:rPr>
        <w:t xml:space="preserve"> 2030.”  This third evaluation being carried out by STPI is the only one which is historical in nature, covering the entire lifespan of </w:t>
      </w:r>
      <w:proofErr w:type="spellStart"/>
      <w:r w:rsidRPr="008C2BD4">
        <w:rPr>
          <w:snapToGrid/>
          <w:sz w:val="24"/>
          <w:szCs w:val="24"/>
          <w:highlight w:val="yellow"/>
        </w:rPr>
        <w:t>EPSCoR</w:t>
      </w:r>
      <w:proofErr w:type="spellEnd"/>
      <w:r w:rsidRPr="008C2BD4">
        <w:rPr>
          <w:snapToGrid/>
          <w:sz w:val="24"/>
          <w:szCs w:val="24"/>
          <w:highlight w:val="yellow"/>
        </w:rPr>
        <w:t>.</w:t>
      </w:r>
    </w:p>
    <w:p w:rsidR="00A536C7" w:rsidRPr="0011664A" w:rsidRDefault="00A536C7" w:rsidP="0081376E">
      <w:pPr>
        <w:pStyle w:val="Heading1"/>
        <w:spacing w:line="480" w:lineRule="auto"/>
        <w:rPr>
          <w:highlight w:val="yellow"/>
        </w:rPr>
      </w:pPr>
      <w:r w:rsidRPr="0011664A">
        <w:rPr>
          <w:highlight w:val="yellow"/>
        </w:rPr>
        <w:t>A.2. Purpose and Use of the Information</w:t>
      </w:r>
      <w:bookmarkEnd w:id="3"/>
      <w:r w:rsidRPr="0011664A">
        <w:rPr>
          <w:highlight w:val="yellow"/>
        </w:rPr>
        <w:t xml:space="preserve"> </w:t>
      </w:r>
    </w:p>
    <w:p w:rsidR="005835FA" w:rsidRPr="0011664A" w:rsidRDefault="005835FA" w:rsidP="005835FA">
      <w:pPr>
        <w:spacing w:line="480" w:lineRule="auto"/>
        <w:ind w:firstLine="720"/>
        <w:rPr>
          <w:rFonts w:cs="Arial"/>
          <w:sz w:val="24"/>
          <w:szCs w:val="24"/>
          <w:highlight w:val="yellow"/>
        </w:rPr>
      </w:pPr>
      <w:r w:rsidRPr="0011664A">
        <w:rPr>
          <w:rFonts w:cs="Arial"/>
          <w:sz w:val="24"/>
          <w:szCs w:val="24"/>
          <w:highlight w:val="yellow"/>
        </w:rPr>
        <w:t xml:space="preserve">The objective of this evaluation is to perform an in-depth, life-of-program assessment of NSF </w:t>
      </w:r>
      <w:proofErr w:type="spellStart"/>
      <w:r w:rsidRPr="0011664A">
        <w:rPr>
          <w:rFonts w:cs="Arial"/>
          <w:sz w:val="24"/>
          <w:szCs w:val="24"/>
          <w:highlight w:val="yellow"/>
        </w:rPr>
        <w:t>EPSCoR</w:t>
      </w:r>
      <w:proofErr w:type="spellEnd"/>
      <w:r w:rsidRPr="0011664A">
        <w:rPr>
          <w:rFonts w:cs="Arial"/>
          <w:sz w:val="24"/>
          <w:szCs w:val="24"/>
          <w:highlight w:val="yellow"/>
        </w:rPr>
        <w:t xml:space="preserve"> activities and their outputs and outcomes and, based on this assessment, to provide recommendations for better targeting available funding to those jurisdictions for which the </w:t>
      </w:r>
      <w:proofErr w:type="spellStart"/>
      <w:r w:rsidRPr="0011664A">
        <w:rPr>
          <w:rFonts w:cs="Arial"/>
          <w:sz w:val="24"/>
          <w:szCs w:val="24"/>
          <w:highlight w:val="yellow"/>
        </w:rPr>
        <w:t>EPSCoR</w:t>
      </w:r>
      <w:proofErr w:type="spellEnd"/>
      <w:r w:rsidRPr="0011664A">
        <w:rPr>
          <w:rFonts w:cs="Arial"/>
          <w:sz w:val="24"/>
          <w:szCs w:val="24"/>
          <w:highlight w:val="yellow"/>
        </w:rPr>
        <w:t xml:space="preserve"> investment can result in the largest incremental benefit to their research capacity.</w:t>
      </w:r>
    </w:p>
    <w:p w:rsidR="005835FA" w:rsidRPr="0011664A" w:rsidRDefault="005835FA" w:rsidP="005835FA">
      <w:pPr>
        <w:spacing w:line="480" w:lineRule="auto"/>
        <w:ind w:firstLine="720"/>
        <w:rPr>
          <w:rFonts w:ascii="Arial" w:hAnsi="Arial" w:cs="Arial"/>
          <w:sz w:val="32"/>
          <w:szCs w:val="24"/>
          <w:highlight w:val="yellow"/>
          <w:u w:val="single"/>
        </w:rPr>
      </w:pPr>
      <w:r w:rsidRPr="0011664A">
        <w:rPr>
          <w:rFonts w:cs="Arial"/>
          <w:sz w:val="24"/>
          <w:szCs w:val="24"/>
          <w:highlight w:val="yellow"/>
        </w:rPr>
        <w:t xml:space="preserve">This evaluation will focus on progress in research competitiveness, infrastructure development (physical, human, and cyber), and broadened participation in Science, Technology, Engineering, and Mathematics (STEM) within </w:t>
      </w:r>
      <w:proofErr w:type="spellStart"/>
      <w:r w:rsidRPr="0011664A">
        <w:rPr>
          <w:rFonts w:cs="Arial"/>
          <w:sz w:val="24"/>
          <w:szCs w:val="24"/>
          <w:highlight w:val="yellow"/>
        </w:rPr>
        <w:t>EPSCoR</w:t>
      </w:r>
      <w:proofErr w:type="spellEnd"/>
      <w:r w:rsidRPr="0011664A">
        <w:rPr>
          <w:rFonts w:cs="Arial"/>
          <w:sz w:val="24"/>
          <w:szCs w:val="24"/>
          <w:highlight w:val="yellow"/>
        </w:rPr>
        <w:t xml:space="preserve"> jurisdictions over the period of their participation in the NSF </w:t>
      </w:r>
      <w:proofErr w:type="spellStart"/>
      <w:r w:rsidRPr="0011664A">
        <w:rPr>
          <w:rFonts w:cs="Arial"/>
          <w:sz w:val="24"/>
          <w:szCs w:val="24"/>
          <w:highlight w:val="yellow"/>
        </w:rPr>
        <w:t>EPSCoR</w:t>
      </w:r>
      <w:proofErr w:type="spellEnd"/>
      <w:r w:rsidRPr="0011664A">
        <w:rPr>
          <w:rFonts w:cs="Arial"/>
          <w:sz w:val="24"/>
          <w:szCs w:val="24"/>
          <w:highlight w:val="yellow"/>
        </w:rPr>
        <w:t xml:space="preserve"> program. Eligibility criteria for participation in NSF </w:t>
      </w:r>
      <w:proofErr w:type="spellStart"/>
      <w:r w:rsidRPr="0011664A">
        <w:rPr>
          <w:rFonts w:cs="Arial"/>
          <w:sz w:val="24"/>
          <w:szCs w:val="24"/>
          <w:highlight w:val="yellow"/>
        </w:rPr>
        <w:t>EPSCoR</w:t>
      </w:r>
      <w:proofErr w:type="spellEnd"/>
      <w:r w:rsidRPr="0011664A">
        <w:rPr>
          <w:rFonts w:cs="Arial"/>
          <w:sz w:val="24"/>
          <w:szCs w:val="24"/>
          <w:highlight w:val="yellow"/>
        </w:rPr>
        <w:t xml:space="preserve"> programs will be examined to identify changes that will enhance the effectiveness of the NSF </w:t>
      </w:r>
      <w:proofErr w:type="spellStart"/>
      <w:r w:rsidRPr="0011664A">
        <w:rPr>
          <w:rFonts w:cs="Arial"/>
          <w:sz w:val="24"/>
          <w:szCs w:val="24"/>
          <w:highlight w:val="yellow"/>
        </w:rPr>
        <w:t>EPSCoR</w:t>
      </w:r>
      <w:proofErr w:type="spellEnd"/>
      <w:r w:rsidRPr="0011664A">
        <w:rPr>
          <w:rFonts w:cs="Arial"/>
          <w:sz w:val="24"/>
          <w:szCs w:val="24"/>
          <w:highlight w:val="yellow"/>
        </w:rPr>
        <w:t xml:space="preserve"> investment toward strengthening research and education in STEM throughout the United States. The evaluation is designed to focus predominantly on the Research Infrastructure Improvement awards.</w:t>
      </w:r>
      <w:r w:rsidRPr="0011664A">
        <w:rPr>
          <w:rFonts w:ascii="Arial" w:hAnsi="Arial" w:cs="Arial"/>
          <w:sz w:val="32"/>
          <w:szCs w:val="24"/>
          <w:highlight w:val="yellow"/>
        </w:rPr>
        <w:t xml:space="preserve"> </w:t>
      </w:r>
    </w:p>
    <w:p w:rsidR="005835FA" w:rsidRPr="0011664A" w:rsidRDefault="005835FA" w:rsidP="00F52EBE">
      <w:pPr>
        <w:spacing w:line="480" w:lineRule="auto"/>
        <w:rPr>
          <w:sz w:val="24"/>
          <w:szCs w:val="24"/>
          <w:highlight w:val="yellow"/>
        </w:rPr>
      </w:pPr>
      <w:r w:rsidRPr="0011664A">
        <w:rPr>
          <w:sz w:val="24"/>
          <w:szCs w:val="24"/>
          <w:highlight w:val="yellow"/>
        </w:rPr>
        <w:lastRenderedPageBreak/>
        <w:t xml:space="preserve">As mentioned above, the goal of the evaluation is to, “provide recommendations for better targeting of available funding to those jurisdictions for which the </w:t>
      </w:r>
      <w:proofErr w:type="spellStart"/>
      <w:r w:rsidRPr="0011664A">
        <w:rPr>
          <w:sz w:val="24"/>
          <w:szCs w:val="24"/>
          <w:highlight w:val="yellow"/>
        </w:rPr>
        <w:t>EPSCoR</w:t>
      </w:r>
      <w:proofErr w:type="spellEnd"/>
      <w:r w:rsidRPr="0011664A">
        <w:rPr>
          <w:sz w:val="24"/>
          <w:szCs w:val="24"/>
          <w:highlight w:val="yellow"/>
        </w:rPr>
        <w:t xml:space="preserve"> investment can result in the largest incremental benefit to their research capacity.”</w:t>
      </w:r>
    </w:p>
    <w:p w:rsidR="005835FA" w:rsidRPr="0011664A" w:rsidRDefault="005835FA" w:rsidP="00F52EBE">
      <w:pPr>
        <w:spacing w:line="480" w:lineRule="auto"/>
        <w:rPr>
          <w:sz w:val="24"/>
          <w:szCs w:val="24"/>
          <w:highlight w:val="yellow"/>
        </w:rPr>
      </w:pPr>
      <w:r w:rsidRPr="0011664A">
        <w:rPr>
          <w:sz w:val="24"/>
          <w:szCs w:val="24"/>
          <w:highlight w:val="yellow"/>
        </w:rPr>
        <w:t>This objective drives the primary study questions:</w:t>
      </w:r>
    </w:p>
    <w:p w:rsidR="005835FA" w:rsidRPr="0011664A" w:rsidRDefault="005835FA" w:rsidP="00F52EBE">
      <w:pPr>
        <w:pStyle w:val="ListParagraph"/>
        <w:numPr>
          <w:ilvl w:val="1"/>
          <w:numId w:val="4"/>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Given a range of definitions of “research capacity” that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investment is intended to enhance, what is the evidence that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has (or has not) led to enhancement of that research capacity?</w:t>
      </w:r>
    </w:p>
    <w:p w:rsidR="005835FA" w:rsidRPr="0011664A" w:rsidRDefault="005835FA" w:rsidP="00F52EBE">
      <w:pPr>
        <w:pStyle w:val="ListParagraph"/>
        <w:numPr>
          <w:ilvl w:val="1"/>
          <w:numId w:val="4"/>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To the extent to which there is evidence that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has led to the enhancement of research capacity, is there evidence that particular strategies are systematically more effective at developing sustainable research capacity than other strategies?</w:t>
      </w:r>
    </w:p>
    <w:p w:rsidR="005835FA" w:rsidRPr="0011664A" w:rsidRDefault="005835FA" w:rsidP="00F52EBE">
      <w:pPr>
        <w:pStyle w:val="ListParagraph"/>
        <w:numPr>
          <w:ilvl w:val="1"/>
          <w:numId w:val="4"/>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Is there evidence that there are specific institutional arrangements within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jurisdictions that are more likely to promote the development of sustainable research capacity than others? Is there a minimum set of institutional capabilities that all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jurisdictions must have in order to be effective?</w:t>
      </w:r>
    </w:p>
    <w:p w:rsidR="005835FA" w:rsidRPr="0011664A" w:rsidRDefault="005835FA" w:rsidP="00F52EBE">
      <w:pPr>
        <w:pStyle w:val="ListParagraph"/>
        <w:numPr>
          <w:ilvl w:val="1"/>
          <w:numId w:val="4"/>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Are there other ways of measuring sustainable “research capacity” that may be more appropriate for the future than current approaches?  </w:t>
      </w:r>
    </w:p>
    <w:p w:rsidR="005835FA" w:rsidRPr="0011664A" w:rsidRDefault="005835FA" w:rsidP="00F52EBE">
      <w:pPr>
        <w:spacing w:line="480" w:lineRule="auto"/>
        <w:rPr>
          <w:sz w:val="24"/>
          <w:szCs w:val="24"/>
          <w:highlight w:val="yellow"/>
        </w:rPr>
      </w:pPr>
    </w:p>
    <w:p w:rsidR="005835FA" w:rsidRPr="0011664A" w:rsidRDefault="005835FA" w:rsidP="00F52EBE">
      <w:pPr>
        <w:spacing w:line="480" w:lineRule="auto"/>
        <w:rPr>
          <w:sz w:val="24"/>
          <w:szCs w:val="24"/>
          <w:highlight w:val="yellow"/>
        </w:rPr>
      </w:pPr>
      <w:r w:rsidRPr="0011664A">
        <w:rPr>
          <w:sz w:val="24"/>
          <w:szCs w:val="24"/>
          <w:highlight w:val="yellow"/>
        </w:rPr>
        <w:t>NSF will use the results to guide the future management of the program. Depending on the results of the evaluation, changes may be made to:</w:t>
      </w:r>
    </w:p>
    <w:p w:rsidR="005835FA" w:rsidRPr="0011664A" w:rsidRDefault="005835FA" w:rsidP="00F52EBE">
      <w:pPr>
        <w:pStyle w:val="ListParagraph"/>
        <w:numPr>
          <w:ilvl w:val="0"/>
          <w:numId w:val="8"/>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Overall program goals and objectives</w:t>
      </w:r>
    </w:p>
    <w:p w:rsidR="005835FA" w:rsidRPr="0011664A" w:rsidRDefault="005835FA" w:rsidP="00F52EBE">
      <w:pPr>
        <w:pStyle w:val="ListParagraph"/>
        <w:numPr>
          <w:ilvl w:val="0"/>
          <w:numId w:val="8"/>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Criteria for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eligibility</w:t>
      </w:r>
    </w:p>
    <w:p w:rsidR="005835FA" w:rsidRPr="0011664A" w:rsidRDefault="005835FA" w:rsidP="00F52EBE">
      <w:pPr>
        <w:pStyle w:val="ListParagraph"/>
        <w:numPr>
          <w:ilvl w:val="0"/>
          <w:numId w:val="8"/>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Specific uses of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funding/</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programmatic activities</w:t>
      </w:r>
    </w:p>
    <w:p w:rsidR="005835FA" w:rsidRPr="0011664A" w:rsidRDefault="005835FA" w:rsidP="00F52EBE">
      <w:pPr>
        <w:pStyle w:val="ListParagraph"/>
        <w:numPr>
          <w:ilvl w:val="0"/>
          <w:numId w:val="8"/>
        </w:numPr>
        <w:spacing w:line="480" w:lineRule="auto"/>
        <w:rPr>
          <w:rFonts w:ascii="Times New Roman" w:hAnsi="Times New Roman"/>
          <w:sz w:val="24"/>
          <w:szCs w:val="24"/>
          <w:highlight w:val="yellow"/>
        </w:rPr>
      </w:pPr>
      <w:r w:rsidRPr="0011664A">
        <w:rPr>
          <w:rFonts w:ascii="Times New Roman" w:hAnsi="Times New Roman"/>
          <w:sz w:val="24"/>
          <w:szCs w:val="24"/>
          <w:highlight w:val="yellow"/>
        </w:rPr>
        <w:t xml:space="preserve">Size and duration of </w:t>
      </w: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awards</w:t>
      </w:r>
    </w:p>
    <w:p w:rsidR="005835FA" w:rsidRPr="0011664A" w:rsidRDefault="005835FA" w:rsidP="00F52EBE">
      <w:pPr>
        <w:pStyle w:val="ListParagraph"/>
        <w:numPr>
          <w:ilvl w:val="0"/>
          <w:numId w:val="8"/>
        </w:numPr>
        <w:spacing w:line="480" w:lineRule="auto"/>
        <w:rPr>
          <w:rFonts w:ascii="Times New Roman" w:hAnsi="Times New Roman"/>
          <w:sz w:val="24"/>
          <w:szCs w:val="24"/>
          <w:highlight w:val="yellow"/>
        </w:rPr>
      </w:pPr>
      <w:proofErr w:type="spellStart"/>
      <w:r w:rsidRPr="0011664A">
        <w:rPr>
          <w:rFonts w:ascii="Times New Roman" w:hAnsi="Times New Roman"/>
          <w:sz w:val="24"/>
          <w:szCs w:val="24"/>
          <w:highlight w:val="yellow"/>
        </w:rPr>
        <w:t>EPSCoR</w:t>
      </w:r>
      <w:proofErr w:type="spellEnd"/>
      <w:r w:rsidRPr="0011664A">
        <w:rPr>
          <w:rFonts w:ascii="Times New Roman" w:hAnsi="Times New Roman"/>
          <w:sz w:val="24"/>
          <w:szCs w:val="24"/>
          <w:highlight w:val="yellow"/>
        </w:rPr>
        <w:t xml:space="preserve"> award management, including future reporting and evaluation practices</w:t>
      </w:r>
    </w:p>
    <w:p w:rsidR="005835FA" w:rsidRPr="0011664A" w:rsidRDefault="005835FA" w:rsidP="00F52EBE">
      <w:pPr>
        <w:spacing w:line="480" w:lineRule="auto"/>
        <w:rPr>
          <w:sz w:val="24"/>
          <w:szCs w:val="24"/>
          <w:highlight w:val="yellow"/>
        </w:rPr>
      </w:pPr>
      <w:r w:rsidRPr="0011664A">
        <w:rPr>
          <w:sz w:val="24"/>
          <w:szCs w:val="24"/>
          <w:highlight w:val="yellow"/>
        </w:rPr>
        <w:lastRenderedPageBreak/>
        <w:t xml:space="preserve">Based on a literature review, the following have been identified as potential </w:t>
      </w:r>
      <w:proofErr w:type="spellStart"/>
      <w:r w:rsidRPr="0011664A">
        <w:rPr>
          <w:sz w:val="24"/>
          <w:szCs w:val="24"/>
          <w:highlight w:val="yellow"/>
        </w:rPr>
        <w:t>EPSCoR</w:t>
      </w:r>
      <w:proofErr w:type="spellEnd"/>
      <w:r w:rsidRPr="0011664A">
        <w:rPr>
          <w:sz w:val="24"/>
          <w:szCs w:val="24"/>
          <w:highlight w:val="yellow"/>
        </w:rPr>
        <w:t xml:space="preserve"> effects on research capacity in a jurisdiction:</w:t>
      </w:r>
    </w:p>
    <w:p w:rsidR="005835FA" w:rsidRPr="0011664A" w:rsidRDefault="005835FA" w:rsidP="00F52EBE">
      <w:pPr>
        <w:widowControl/>
        <w:numPr>
          <w:ilvl w:val="0"/>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has lasting effects on university research infrastructure</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Fostering careers of individual faculty at those institutions</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Formation of large teams/departments seen as being nationally/internationally competitive in a specific area</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 xml:space="preserve">Provision of first-rate research infrastructure (including </w:t>
      </w:r>
      <w:proofErr w:type="spellStart"/>
      <w:r w:rsidRPr="0011664A">
        <w:rPr>
          <w:sz w:val="24"/>
          <w:szCs w:val="24"/>
          <w:highlight w:val="yellow"/>
        </w:rPr>
        <w:t>cyberinfrastructure</w:t>
      </w:r>
      <w:proofErr w:type="spellEnd"/>
      <w:r w:rsidRPr="0011664A">
        <w:rPr>
          <w:sz w:val="24"/>
          <w:szCs w:val="24"/>
          <w:highlight w:val="yellow"/>
        </w:rPr>
        <w:t xml:space="preserve"> as well as research equipment) that is used widely in a specific area</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Formation of lasting collaborations and partnerships among faculty in state that continue beyond the lifetime of the award</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Catalyzing the development of support functions (e.g., technology transfer offices, offices of sponsored research) and policies (e.g., faculty release time to conduct research) that facilitate faculty participation in research</w:t>
      </w:r>
    </w:p>
    <w:p w:rsidR="005835FA" w:rsidRPr="0011664A" w:rsidRDefault="005835FA" w:rsidP="00F52EBE">
      <w:pPr>
        <w:widowControl/>
        <w:numPr>
          <w:ilvl w:val="0"/>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influences the quality of STEM education in the jurisdiction, broadening the participation in the research enterprise and in the STEM workforce more broadly</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supports efforts to motivate K-12 students to participate in STEM higher education</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catalyzes the formation of pathways to STEM higher-education training from two-year colleges, high schools to universities</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catalyzes the development of new curriculum tools/courses/degree programs</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enhances the research capacity of four-year, non-doctoral institutions (e.g., predominantly undergraduate institutions, minority-serving institutions)</w:t>
      </w:r>
    </w:p>
    <w:p w:rsidR="005835FA" w:rsidRPr="0011664A" w:rsidRDefault="005835FA" w:rsidP="00F52EBE">
      <w:pPr>
        <w:widowControl/>
        <w:numPr>
          <w:ilvl w:val="2"/>
          <w:numId w:val="7"/>
        </w:numPr>
        <w:spacing w:line="480" w:lineRule="auto"/>
        <w:rPr>
          <w:sz w:val="24"/>
          <w:szCs w:val="24"/>
          <w:highlight w:val="yellow"/>
        </w:rPr>
      </w:pPr>
      <w:r w:rsidRPr="0011664A">
        <w:rPr>
          <w:sz w:val="24"/>
          <w:szCs w:val="24"/>
          <w:highlight w:val="yellow"/>
        </w:rPr>
        <w:t>Through providing faculty with research experiences</w:t>
      </w:r>
    </w:p>
    <w:p w:rsidR="005835FA" w:rsidRPr="0011664A" w:rsidRDefault="005835FA" w:rsidP="00F52EBE">
      <w:pPr>
        <w:widowControl/>
        <w:numPr>
          <w:ilvl w:val="2"/>
          <w:numId w:val="7"/>
        </w:numPr>
        <w:spacing w:line="480" w:lineRule="auto"/>
        <w:rPr>
          <w:sz w:val="24"/>
          <w:szCs w:val="24"/>
          <w:highlight w:val="yellow"/>
        </w:rPr>
      </w:pPr>
      <w:r w:rsidRPr="0011664A">
        <w:rPr>
          <w:sz w:val="24"/>
          <w:szCs w:val="24"/>
          <w:highlight w:val="yellow"/>
        </w:rPr>
        <w:t>Through enhancing the quality of teaching and infrastructure</w:t>
      </w:r>
    </w:p>
    <w:p w:rsidR="005835FA" w:rsidRPr="0011664A" w:rsidRDefault="005835FA" w:rsidP="00F52EBE">
      <w:pPr>
        <w:widowControl/>
        <w:numPr>
          <w:ilvl w:val="2"/>
          <w:numId w:val="7"/>
        </w:numPr>
        <w:spacing w:line="480" w:lineRule="auto"/>
        <w:rPr>
          <w:sz w:val="24"/>
          <w:szCs w:val="24"/>
          <w:highlight w:val="yellow"/>
        </w:rPr>
      </w:pPr>
      <w:r w:rsidRPr="0011664A">
        <w:rPr>
          <w:sz w:val="24"/>
          <w:szCs w:val="24"/>
          <w:highlight w:val="yellow"/>
        </w:rPr>
        <w:lastRenderedPageBreak/>
        <w:t>Through creating pipelines from undergraduate degrees to higher education</w:t>
      </w:r>
    </w:p>
    <w:p w:rsidR="005835FA" w:rsidRPr="0011664A" w:rsidRDefault="005835FA" w:rsidP="00F52EBE">
      <w:pPr>
        <w:widowControl/>
        <w:numPr>
          <w:ilvl w:val="0"/>
          <w:numId w:val="7"/>
        </w:numPr>
        <w:spacing w:line="480" w:lineRule="auto"/>
        <w:rPr>
          <w:sz w:val="24"/>
          <w:szCs w:val="24"/>
          <w:highlight w:val="yellow"/>
        </w:rPr>
      </w:pPr>
      <w:r w:rsidRPr="0011664A">
        <w:rPr>
          <w:sz w:val="24"/>
          <w:szCs w:val="24"/>
          <w:highlight w:val="yellow"/>
        </w:rPr>
        <w:t xml:space="preserve">Most broadly, </w:t>
      </w:r>
      <w:proofErr w:type="spellStart"/>
      <w:r w:rsidRPr="0011664A">
        <w:rPr>
          <w:sz w:val="24"/>
          <w:szCs w:val="24"/>
          <w:highlight w:val="yellow"/>
        </w:rPr>
        <w:t>EPSCoR</w:t>
      </w:r>
      <w:proofErr w:type="spellEnd"/>
      <w:r w:rsidRPr="0011664A">
        <w:rPr>
          <w:sz w:val="24"/>
          <w:szCs w:val="24"/>
          <w:highlight w:val="yellow"/>
        </w:rPr>
        <w:t xml:space="preserve"> catalyzes lasting effects on economic development that lead to jobs and revenue in the state</w:t>
      </w:r>
    </w:p>
    <w:p w:rsidR="005835FA" w:rsidRPr="0011664A" w:rsidRDefault="005835FA" w:rsidP="00F52EBE">
      <w:pPr>
        <w:widowControl/>
        <w:numPr>
          <w:ilvl w:val="1"/>
          <w:numId w:val="7"/>
        </w:numPr>
        <w:spacing w:line="480" w:lineRule="auto"/>
        <w:rPr>
          <w:sz w:val="24"/>
          <w:szCs w:val="24"/>
          <w:highlight w:val="yellow"/>
        </w:rPr>
      </w:pPr>
      <w:r w:rsidRPr="0011664A">
        <w:rPr>
          <w:sz w:val="24"/>
          <w:szCs w:val="24"/>
          <w:highlight w:val="yellow"/>
        </w:rPr>
        <w:t>Intellectual property from research (either RII research or other) is licensed by existing firms or spun out into new firms</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catalyzes workforce development efforts that lead to better trained/more productive workers</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convenes university researchers, companies, and other partners (e.g., national labs, nonprofits, VCs), improving the climate for technology-intensive business in the state</w:t>
      </w:r>
    </w:p>
    <w:p w:rsidR="005835FA" w:rsidRPr="0011664A" w:rsidRDefault="005835FA" w:rsidP="00F52EBE">
      <w:pPr>
        <w:widowControl/>
        <w:numPr>
          <w:ilvl w:val="1"/>
          <w:numId w:val="7"/>
        </w:numPr>
        <w:spacing w:line="480" w:lineRule="auto"/>
        <w:rPr>
          <w:sz w:val="24"/>
          <w:szCs w:val="24"/>
          <w:highlight w:val="yellow"/>
        </w:rPr>
      </w:pPr>
      <w:proofErr w:type="spellStart"/>
      <w:r w:rsidRPr="0011664A">
        <w:rPr>
          <w:sz w:val="24"/>
          <w:szCs w:val="24"/>
          <w:highlight w:val="yellow"/>
        </w:rPr>
        <w:t>EPSCoR</w:t>
      </w:r>
      <w:proofErr w:type="spellEnd"/>
      <w:r w:rsidRPr="0011664A">
        <w:rPr>
          <w:sz w:val="24"/>
          <w:szCs w:val="24"/>
          <w:highlight w:val="yellow"/>
        </w:rPr>
        <w:t xml:space="preserve"> research results catalyze public policy changes that improve the climate for economic development in the state overall </w:t>
      </w:r>
    </w:p>
    <w:p w:rsidR="004A20D2" w:rsidRDefault="005835FA" w:rsidP="000B75FC">
      <w:pPr>
        <w:spacing w:line="480" w:lineRule="auto"/>
        <w:rPr>
          <w:sz w:val="24"/>
          <w:szCs w:val="24"/>
        </w:rPr>
      </w:pPr>
      <w:r w:rsidRPr="0011664A">
        <w:rPr>
          <w:sz w:val="24"/>
          <w:szCs w:val="24"/>
          <w:highlight w:val="yellow"/>
        </w:rPr>
        <w:t xml:space="preserve">The study design is intended to collect information regarding the </w:t>
      </w:r>
      <w:proofErr w:type="spellStart"/>
      <w:r w:rsidRPr="0011664A">
        <w:rPr>
          <w:sz w:val="24"/>
          <w:szCs w:val="24"/>
          <w:highlight w:val="yellow"/>
        </w:rPr>
        <w:t>EPSCoR</w:t>
      </w:r>
      <w:proofErr w:type="spellEnd"/>
      <w:r w:rsidRPr="0011664A">
        <w:rPr>
          <w:sz w:val="24"/>
          <w:szCs w:val="24"/>
          <w:highlight w:val="yellow"/>
        </w:rPr>
        <w:t xml:space="preserve"> role with respect to each of these outcome categories</w:t>
      </w:r>
      <w:r w:rsidRPr="00F52EBE">
        <w:rPr>
          <w:sz w:val="24"/>
          <w:szCs w:val="24"/>
        </w:rPr>
        <w:t>.</w:t>
      </w:r>
    </w:p>
    <w:p w:rsidR="00CB6F5D" w:rsidRPr="00CB6F5D" w:rsidRDefault="00CB6F5D" w:rsidP="000B75FC">
      <w:pPr>
        <w:spacing w:line="480" w:lineRule="auto"/>
        <w:rPr>
          <w:sz w:val="24"/>
          <w:szCs w:val="24"/>
          <w:highlight w:val="yellow"/>
        </w:rPr>
      </w:pPr>
      <w:r w:rsidRPr="00CB6F5D">
        <w:rPr>
          <w:sz w:val="24"/>
          <w:szCs w:val="24"/>
          <w:highlight w:val="yellow"/>
        </w:rPr>
        <w:t xml:space="preserve">This proposed information collection is distinct from the study being conducted by the National Academies. That study, which assesses all of the current </w:t>
      </w:r>
      <w:proofErr w:type="spellStart"/>
      <w:r w:rsidRPr="00CB6F5D">
        <w:rPr>
          <w:sz w:val="24"/>
          <w:szCs w:val="24"/>
          <w:highlight w:val="yellow"/>
        </w:rPr>
        <w:t>EPSCoR</w:t>
      </w:r>
      <w:proofErr w:type="spellEnd"/>
      <w:r w:rsidRPr="00CB6F5D">
        <w:rPr>
          <w:sz w:val="24"/>
          <w:szCs w:val="24"/>
          <w:highlight w:val="yellow"/>
        </w:rPr>
        <w:t xml:space="preserve"> and </w:t>
      </w:r>
      <w:proofErr w:type="spellStart"/>
      <w:r w:rsidRPr="00CB6F5D">
        <w:rPr>
          <w:sz w:val="24"/>
          <w:szCs w:val="24"/>
          <w:highlight w:val="yellow"/>
        </w:rPr>
        <w:t>EPSCoR</w:t>
      </w:r>
      <w:proofErr w:type="spellEnd"/>
      <w:r w:rsidRPr="00CB6F5D">
        <w:rPr>
          <w:sz w:val="24"/>
          <w:szCs w:val="24"/>
          <w:highlight w:val="yellow"/>
        </w:rPr>
        <w:t xml:space="preserve">-like programs, is intended to complete its deliberations before the survey would be completed; its analyses are not intended to benefit from this data collection. In addition, there are not significant interactions since the goals of the two evaluations are quite different. The NAS study is across federal agencies and is expected to lead to recommendations to enhance coordination across federal agencies with </w:t>
      </w:r>
      <w:proofErr w:type="spellStart"/>
      <w:r w:rsidRPr="00CB6F5D">
        <w:rPr>
          <w:sz w:val="24"/>
          <w:szCs w:val="24"/>
          <w:highlight w:val="yellow"/>
        </w:rPr>
        <w:t>EPSCoR</w:t>
      </w:r>
      <w:proofErr w:type="spellEnd"/>
      <w:r w:rsidRPr="00CB6F5D">
        <w:rPr>
          <w:sz w:val="24"/>
          <w:szCs w:val="24"/>
          <w:highlight w:val="yellow"/>
        </w:rPr>
        <w:t xml:space="preserve"> programs.  The STPI evaluation is an historical study of only the NSF </w:t>
      </w:r>
      <w:proofErr w:type="spellStart"/>
      <w:r w:rsidRPr="00CB6F5D">
        <w:rPr>
          <w:sz w:val="24"/>
          <w:szCs w:val="24"/>
          <w:highlight w:val="yellow"/>
        </w:rPr>
        <w:t>EPSCoR</w:t>
      </w:r>
      <w:proofErr w:type="spellEnd"/>
      <w:r w:rsidRPr="00CB6F5D">
        <w:rPr>
          <w:sz w:val="24"/>
          <w:szCs w:val="24"/>
          <w:highlight w:val="yellow"/>
        </w:rPr>
        <w:t xml:space="preserve"> program.</w:t>
      </w:r>
    </w:p>
    <w:p w:rsidR="00CB6F5D" w:rsidRPr="00CB6F5D" w:rsidRDefault="00CB6F5D" w:rsidP="000B75FC">
      <w:pPr>
        <w:spacing w:line="480" w:lineRule="auto"/>
        <w:rPr>
          <w:sz w:val="24"/>
          <w:szCs w:val="24"/>
        </w:rPr>
      </w:pPr>
      <w:r w:rsidRPr="00CB6F5D">
        <w:rPr>
          <w:color w:val="000000"/>
          <w:sz w:val="24"/>
          <w:szCs w:val="24"/>
          <w:highlight w:val="yellow"/>
        </w:rPr>
        <w:t xml:space="preserve">This proposed collection, and the evaluation more generally, is intended to identify potential future metrics for assessing the programs that fall under the aegis of the </w:t>
      </w:r>
      <w:proofErr w:type="spellStart"/>
      <w:r w:rsidRPr="00CB6F5D">
        <w:rPr>
          <w:sz w:val="24"/>
          <w:szCs w:val="24"/>
          <w:highlight w:val="yellow"/>
        </w:rPr>
        <w:t>EPSCoR</w:t>
      </w:r>
      <w:proofErr w:type="spellEnd"/>
      <w:r w:rsidRPr="00CB6F5D">
        <w:rPr>
          <w:sz w:val="24"/>
          <w:szCs w:val="24"/>
          <w:highlight w:val="yellow"/>
        </w:rPr>
        <w:t xml:space="preserve"> Interagency Coordinating Committee (which is chaired by NSF), as required by the America COMPETES reauthorization </w:t>
      </w:r>
      <w:r w:rsidRPr="00CB6F5D">
        <w:rPr>
          <w:sz w:val="24"/>
          <w:szCs w:val="24"/>
          <w:highlight w:val="yellow"/>
        </w:rPr>
        <w:lastRenderedPageBreak/>
        <w:t>(1862p-9(d)(2)(c)).</w:t>
      </w:r>
      <w:r w:rsidRPr="00CB6F5D">
        <w:rPr>
          <w:color w:val="000000"/>
          <w:sz w:val="24"/>
          <w:szCs w:val="24"/>
          <w:highlight w:val="yellow"/>
        </w:rPr>
        <w:t xml:space="preserve"> Results of this information collection</w:t>
      </w:r>
      <w:r w:rsidRPr="00CB6F5D">
        <w:rPr>
          <w:color w:val="000000"/>
          <w:sz w:val="24"/>
          <w:szCs w:val="24"/>
          <w:highlight w:val="yellow"/>
          <w:shd w:val="clear" w:color="auto" w:fill="FFFF00"/>
        </w:rPr>
        <w:t xml:space="preserve"> will contribute to developing assessment approaches and to applying them historically to the NSF </w:t>
      </w:r>
      <w:proofErr w:type="spellStart"/>
      <w:r w:rsidRPr="00CB6F5D">
        <w:rPr>
          <w:color w:val="000000"/>
          <w:sz w:val="24"/>
          <w:szCs w:val="24"/>
          <w:highlight w:val="yellow"/>
          <w:shd w:val="clear" w:color="auto" w:fill="FFFF00"/>
        </w:rPr>
        <w:t>EPSCoR</w:t>
      </w:r>
      <w:proofErr w:type="spellEnd"/>
      <w:r w:rsidRPr="00CB6F5D">
        <w:rPr>
          <w:color w:val="000000"/>
          <w:sz w:val="24"/>
          <w:szCs w:val="24"/>
          <w:highlight w:val="yellow"/>
          <w:shd w:val="clear" w:color="auto" w:fill="FFFF00"/>
        </w:rPr>
        <w:t xml:space="preserve"> program.</w:t>
      </w:r>
    </w:p>
    <w:p w:rsidR="00184C67" w:rsidRPr="006D652B" w:rsidRDefault="00A536C7" w:rsidP="0081376E">
      <w:pPr>
        <w:pStyle w:val="Heading1"/>
      </w:pPr>
      <w:bookmarkStart w:id="4" w:name="_Toc331146751"/>
      <w:r w:rsidRPr="006D652B">
        <w:t>A.3. Use of Information Technology and Burden Reduction</w:t>
      </w:r>
      <w:bookmarkEnd w:id="4"/>
    </w:p>
    <w:p w:rsidR="00BA7961" w:rsidRPr="006D652B" w:rsidRDefault="00BA7961" w:rsidP="00BA7961">
      <w:pPr>
        <w:rPr>
          <w:iCs/>
          <w:sz w:val="24"/>
          <w:szCs w:val="24"/>
        </w:rPr>
      </w:pPr>
    </w:p>
    <w:p w:rsidR="00DE26D8" w:rsidRPr="006D652B" w:rsidRDefault="003B7595" w:rsidP="00BA7961">
      <w:pPr>
        <w:spacing w:line="480" w:lineRule="auto"/>
        <w:ind w:firstLine="720"/>
        <w:rPr>
          <w:iCs/>
          <w:sz w:val="24"/>
          <w:szCs w:val="24"/>
        </w:rPr>
      </w:pPr>
      <w:r w:rsidRPr="006D652B">
        <w:rPr>
          <w:iCs/>
          <w:sz w:val="24"/>
          <w:szCs w:val="24"/>
        </w:rPr>
        <w:t>New data collection for the purpose of the evaluation will consist of a</w:t>
      </w:r>
      <w:r w:rsidR="006D652B" w:rsidRPr="006D652B">
        <w:rPr>
          <w:iCs/>
          <w:sz w:val="24"/>
          <w:szCs w:val="24"/>
        </w:rPr>
        <w:t>n open-ended</w:t>
      </w:r>
      <w:r w:rsidRPr="006D652B">
        <w:rPr>
          <w:iCs/>
          <w:sz w:val="24"/>
          <w:szCs w:val="24"/>
        </w:rPr>
        <w:t xml:space="preserve"> census survey of </w:t>
      </w:r>
      <w:r w:rsidR="007E09C8" w:rsidRPr="006D652B">
        <w:rPr>
          <w:iCs/>
          <w:sz w:val="24"/>
          <w:szCs w:val="24"/>
        </w:rPr>
        <w:t>Project Directors</w:t>
      </w:r>
      <w:r w:rsidR="002118C9">
        <w:rPr>
          <w:rStyle w:val="FootnoteReference"/>
          <w:iCs/>
          <w:sz w:val="24"/>
          <w:szCs w:val="24"/>
        </w:rPr>
        <w:footnoteReference w:id="2"/>
      </w:r>
      <w:r w:rsidR="00BA7961" w:rsidRPr="006D652B">
        <w:rPr>
          <w:iCs/>
          <w:sz w:val="24"/>
          <w:szCs w:val="24"/>
        </w:rPr>
        <w:t xml:space="preserve"> on NSF </w:t>
      </w:r>
      <w:proofErr w:type="spellStart"/>
      <w:r w:rsidR="007E09C8" w:rsidRPr="006D652B">
        <w:rPr>
          <w:iCs/>
          <w:sz w:val="24"/>
          <w:szCs w:val="24"/>
        </w:rPr>
        <w:t>EPSCoR</w:t>
      </w:r>
      <w:proofErr w:type="spellEnd"/>
      <w:r w:rsidR="007E09C8" w:rsidRPr="006D652B">
        <w:rPr>
          <w:iCs/>
          <w:sz w:val="24"/>
          <w:szCs w:val="24"/>
        </w:rPr>
        <w:t xml:space="preserve"> Research Infrastructure Improvement </w:t>
      </w:r>
      <w:r w:rsidR="006D652B" w:rsidRPr="006D652B">
        <w:rPr>
          <w:iCs/>
          <w:sz w:val="24"/>
          <w:szCs w:val="24"/>
        </w:rPr>
        <w:t>(</w:t>
      </w:r>
      <w:r w:rsidR="007E09C8" w:rsidRPr="006D652B">
        <w:rPr>
          <w:iCs/>
          <w:sz w:val="24"/>
          <w:szCs w:val="24"/>
        </w:rPr>
        <w:t xml:space="preserve">RII) awards.  </w:t>
      </w:r>
      <w:r w:rsidRPr="000B75FC">
        <w:rPr>
          <w:iCs/>
          <w:sz w:val="24"/>
          <w:szCs w:val="24"/>
          <w:highlight w:val="yellow"/>
        </w:rPr>
        <w:t xml:space="preserve">The </w:t>
      </w:r>
      <w:r w:rsidR="007E09C8" w:rsidRPr="000B75FC">
        <w:rPr>
          <w:iCs/>
          <w:sz w:val="24"/>
          <w:szCs w:val="24"/>
          <w:highlight w:val="yellow"/>
        </w:rPr>
        <w:t xml:space="preserve">open-ended </w:t>
      </w:r>
      <w:r w:rsidRPr="000B75FC">
        <w:rPr>
          <w:iCs/>
          <w:sz w:val="24"/>
          <w:szCs w:val="24"/>
          <w:highlight w:val="yellow"/>
        </w:rPr>
        <w:t>survey wi</w:t>
      </w:r>
      <w:r w:rsidR="00F52EBE" w:rsidRPr="000B75FC">
        <w:rPr>
          <w:iCs/>
          <w:sz w:val="24"/>
          <w:szCs w:val="24"/>
          <w:highlight w:val="yellow"/>
        </w:rPr>
        <w:t>ll be ad</w:t>
      </w:r>
      <w:r w:rsidR="000C555B">
        <w:rPr>
          <w:iCs/>
          <w:sz w:val="24"/>
          <w:szCs w:val="24"/>
          <w:highlight w:val="yellow"/>
        </w:rPr>
        <w:t xml:space="preserve">ministered online using </w:t>
      </w:r>
      <w:proofErr w:type="spellStart"/>
      <w:r w:rsidR="000C555B">
        <w:rPr>
          <w:iCs/>
          <w:sz w:val="24"/>
          <w:szCs w:val="24"/>
          <w:highlight w:val="yellow"/>
        </w:rPr>
        <w:t>Qualtrics</w:t>
      </w:r>
      <w:proofErr w:type="spellEnd"/>
      <w:r w:rsidR="00F52EBE" w:rsidRPr="000B75FC">
        <w:rPr>
          <w:iCs/>
          <w:sz w:val="24"/>
          <w:szCs w:val="24"/>
          <w:highlight w:val="yellow"/>
        </w:rPr>
        <w:t xml:space="preserve"> survey software</w:t>
      </w:r>
      <w:r w:rsidRPr="000B75FC">
        <w:rPr>
          <w:iCs/>
          <w:sz w:val="24"/>
          <w:szCs w:val="24"/>
          <w:highlight w:val="yellow"/>
        </w:rPr>
        <w:t>.</w:t>
      </w:r>
      <w:r w:rsidR="00F52EBE" w:rsidRPr="000B75FC">
        <w:rPr>
          <w:iCs/>
          <w:sz w:val="24"/>
          <w:szCs w:val="24"/>
          <w:highlight w:val="yellow"/>
        </w:rPr>
        <w:t xml:space="preserve">  Qualitative</w:t>
      </w:r>
      <w:r w:rsidR="000C555B">
        <w:rPr>
          <w:iCs/>
          <w:sz w:val="24"/>
          <w:szCs w:val="24"/>
          <w:highlight w:val="yellow"/>
        </w:rPr>
        <w:t xml:space="preserve"> data collected through </w:t>
      </w:r>
      <w:proofErr w:type="spellStart"/>
      <w:r w:rsidR="000C555B">
        <w:rPr>
          <w:iCs/>
          <w:sz w:val="24"/>
          <w:szCs w:val="24"/>
          <w:highlight w:val="yellow"/>
        </w:rPr>
        <w:t>Qualtrics</w:t>
      </w:r>
      <w:proofErr w:type="spellEnd"/>
      <w:r w:rsidR="00F52EBE" w:rsidRPr="000B75FC">
        <w:rPr>
          <w:iCs/>
          <w:sz w:val="24"/>
          <w:szCs w:val="24"/>
          <w:highlight w:val="yellow"/>
        </w:rPr>
        <w:t xml:space="preserve"> will be analyzed using </w:t>
      </w:r>
      <w:proofErr w:type="spellStart"/>
      <w:r w:rsidR="00F52EBE" w:rsidRPr="000B75FC">
        <w:rPr>
          <w:iCs/>
          <w:sz w:val="24"/>
          <w:szCs w:val="24"/>
          <w:highlight w:val="yellow"/>
        </w:rPr>
        <w:t>NVivo</w:t>
      </w:r>
      <w:proofErr w:type="spellEnd"/>
      <w:r w:rsidR="00F52EBE" w:rsidRPr="000B75FC">
        <w:rPr>
          <w:iCs/>
          <w:sz w:val="24"/>
          <w:szCs w:val="24"/>
          <w:highlight w:val="yellow"/>
        </w:rPr>
        <w:t>, a qualitative data analysis software tool which facilitates content analysis.</w:t>
      </w:r>
      <w:r w:rsidR="00F52EBE">
        <w:rPr>
          <w:iCs/>
          <w:sz w:val="24"/>
          <w:szCs w:val="24"/>
        </w:rPr>
        <w:t xml:space="preserve">  </w:t>
      </w:r>
      <w:r w:rsidR="007E09C8" w:rsidRPr="006D652B">
        <w:rPr>
          <w:iCs/>
          <w:sz w:val="24"/>
          <w:szCs w:val="24"/>
        </w:rPr>
        <w:t xml:space="preserve">  </w:t>
      </w:r>
    </w:p>
    <w:p w:rsidR="00A536C7" w:rsidRPr="006D652B" w:rsidRDefault="00A536C7" w:rsidP="0081376E">
      <w:pPr>
        <w:pStyle w:val="Heading1"/>
      </w:pPr>
      <w:bookmarkStart w:id="5" w:name="_Toc331146752"/>
      <w:r w:rsidRPr="006D652B">
        <w:t>A.4</w:t>
      </w:r>
      <w:r w:rsidR="009D2146" w:rsidRPr="006D652B">
        <w:t>. Efforts</w:t>
      </w:r>
      <w:r w:rsidRPr="006D652B">
        <w:t xml:space="preserve"> to Identify Duplication and Use of Similar Information</w:t>
      </w:r>
      <w:bookmarkEnd w:id="5"/>
    </w:p>
    <w:p w:rsidR="003B7595" w:rsidRPr="006D652B" w:rsidRDefault="003B7595" w:rsidP="003B7595"/>
    <w:p w:rsidR="00A536C7" w:rsidRDefault="00651131" w:rsidP="00BA7961">
      <w:pPr>
        <w:spacing w:line="480" w:lineRule="auto"/>
        <w:ind w:firstLine="720"/>
        <w:rPr>
          <w:sz w:val="24"/>
          <w:szCs w:val="24"/>
        </w:rPr>
      </w:pPr>
      <w:r w:rsidRPr="006D652B">
        <w:rPr>
          <w:sz w:val="24"/>
          <w:szCs w:val="24"/>
        </w:rPr>
        <w:t xml:space="preserve">Every effort has been made to identify information </w:t>
      </w:r>
      <w:r w:rsidR="0081376E" w:rsidRPr="006D652B">
        <w:rPr>
          <w:sz w:val="24"/>
          <w:szCs w:val="24"/>
        </w:rPr>
        <w:t xml:space="preserve">relevant to the program </w:t>
      </w:r>
      <w:r w:rsidRPr="006D652B">
        <w:rPr>
          <w:sz w:val="24"/>
          <w:szCs w:val="24"/>
        </w:rPr>
        <w:t xml:space="preserve">that can be collected </w:t>
      </w:r>
      <w:r w:rsidR="0081376E" w:rsidRPr="006D652B">
        <w:rPr>
          <w:sz w:val="24"/>
          <w:szCs w:val="24"/>
        </w:rPr>
        <w:t xml:space="preserve">from existing sources </w:t>
      </w:r>
      <w:r w:rsidRPr="006D652B">
        <w:rPr>
          <w:sz w:val="24"/>
          <w:szCs w:val="24"/>
        </w:rPr>
        <w:t xml:space="preserve">rather than from </w:t>
      </w:r>
      <w:r w:rsidR="00240653">
        <w:rPr>
          <w:sz w:val="24"/>
          <w:szCs w:val="24"/>
        </w:rPr>
        <w:t>a</w:t>
      </w:r>
      <w:r w:rsidRPr="006D652B">
        <w:rPr>
          <w:sz w:val="24"/>
          <w:szCs w:val="24"/>
        </w:rPr>
        <w:t xml:space="preserve"> survey. </w:t>
      </w:r>
      <w:r w:rsidR="006A42EB" w:rsidRPr="006D652B">
        <w:rPr>
          <w:sz w:val="24"/>
          <w:szCs w:val="24"/>
        </w:rPr>
        <w:t xml:space="preserve">As previously </w:t>
      </w:r>
      <w:r w:rsidR="00240653">
        <w:rPr>
          <w:sz w:val="24"/>
          <w:szCs w:val="24"/>
        </w:rPr>
        <w:t>stated</w:t>
      </w:r>
      <w:r w:rsidR="006A42EB" w:rsidRPr="006D652B">
        <w:rPr>
          <w:sz w:val="24"/>
          <w:szCs w:val="24"/>
        </w:rPr>
        <w:t>, e</w:t>
      </w:r>
      <w:r w:rsidR="00925D5A" w:rsidRPr="006D652B">
        <w:rPr>
          <w:sz w:val="24"/>
          <w:szCs w:val="24"/>
        </w:rPr>
        <w:t xml:space="preserve">xisting sources of information to be tapped for relevant information as part of the </w:t>
      </w:r>
      <w:r w:rsidR="00BA7961" w:rsidRPr="006D652B">
        <w:rPr>
          <w:sz w:val="24"/>
          <w:szCs w:val="24"/>
        </w:rPr>
        <w:t>larger study</w:t>
      </w:r>
      <w:r w:rsidR="00925D5A" w:rsidRPr="006D652B">
        <w:rPr>
          <w:sz w:val="24"/>
          <w:szCs w:val="24"/>
        </w:rPr>
        <w:t xml:space="preserve"> include: 1) </w:t>
      </w:r>
      <w:r w:rsidR="006A42EB" w:rsidRPr="006D652B">
        <w:rPr>
          <w:sz w:val="24"/>
          <w:szCs w:val="24"/>
        </w:rPr>
        <w:t>EPSCoR</w:t>
      </w:r>
      <w:r w:rsidR="00BA7961" w:rsidRPr="006D652B">
        <w:rPr>
          <w:sz w:val="24"/>
          <w:szCs w:val="24"/>
        </w:rPr>
        <w:t xml:space="preserve"> </w:t>
      </w:r>
      <w:r w:rsidR="00925D5A" w:rsidRPr="006D652B">
        <w:rPr>
          <w:sz w:val="24"/>
          <w:szCs w:val="24"/>
        </w:rPr>
        <w:t xml:space="preserve">program solicitations and other </w:t>
      </w:r>
      <w:r w:rsidR="003423E2" w:rsidRPr="006D652B">
        <w:rPr>
          <w:sz w:val="24"/>
          <w:szCs w:val="24"/>
        </w:rPr>
        <w:t>publicly-available</w:t>
      </w:r>
      <w:r w:rsidR="00925D5A" w:rsidRPr="006D652B">
        <w:rPr>
          <w:sz w:val="24"/>
          <w:szCs w:val="24"/>
        </w:rPr>
        <w:t xml:space="preserve"> documents</w:t>
      </w:r>
      <w:r w:rsidR="003423E2" w:rsidRPr="006D652B">
        <w:rPr>
          <w:sz w:val="24"/>
          <w:szCs w:val="24"/>
        </w:rPr>
        <w:t xml:space="preserve"> that describe the </w:t>
      </w:r>
      <w:r w:rsidR="006A42EB" w:rsidRPr="006D652B">
        <w:rPr>
          <w:sz w:val="24"/>
          <w:szCs w:val="24"/>
        </w:rPr>
        <w:t>EPSCoR</w:t>
      </w:r>
      <w:r w:rsidR="003423E2" w:rsidRPr="006D652B">
        <w:rPr>
          <w:sz w:val="24"/>
          <w:szCs w:val="24"/>
        </w:rPr>
        <w:t xml:space="preserve"> program</w:t>
      </w:r>
      <w:r w:rsidR="00925D5A" w:rsidRPr="006D652B">
        <w:rPr>
          <w:sz w:val="24"/>
          <w:szCs w:val="24"/>
        </w:rPr>
        <w:t xml:space="preserve">; </w:t>
      </w:r>
      <w:r w:rsidR="003423E2" w:rsidRPr="006D652B">
        <w:rPr>
          <w:sz w:val="24"/>
          <w:szCs w:val="24"/>
        </w:rPr>
        <w:t xml:space="preserve">2) </w:t>
      </w:r>
      <w:r w:rsidR="006A42EB" w:rsidRPr="006D652B">
        <w:rPr>
          <w:sz w:val="24"/>
          <w:szCs w:val="24"/>
        </w:rPr>
        <w:t>proposals submitted in application</w:t>
      </w:r>
      <w:r w:rsidR="003423E2" w:rsidRPr="006D652B">
        <w:rPr>
          <w:sz w:val="24"/>
          <w:szCs w:val="24"/>
        </w:rPr>
        <w:t xml:space="preserve"> for funding submitted to NSF by </w:t>
      </w:r>
      <w:r w:rsidR="006A42EB" w:rsidRPr="006D652B">
        <w:rPr>
          <w:sz w:val="24"/>
          <w:szCs w:val="24"/>
        </w:rPr>
        <w:t>EPSCoR jurisdictions</w:t>
      </w:r>
      <w:r w:rsidR="003423E2" w:rsidRPr="006D652B">
        <w:rPr>
          <w:sz w:val="24"/>
          <w:szCs w:val="24"/>
        </w:rPr>
        <w:t xml:space="preserve">; </w:t>
      </w:r>
      <w:r w:rsidR="00925D5A" w:rsidRPr="006D652B">
        <w:rPr>
          <w:sz w:val="24"/>
          <w:szCs w:val="24"/>
        </w:rPr>
        <w:t xml:space="preserve">3) </w:t>
      </w:r>
      <w:r w:rsidR="006A42EB" w:rsidRPr="006D652B">
        <w:rPr>
          <w:sz w:val="24"/>
          <w:szCs w:val="24"/>
        </w:rPr>
        <w:t>annual reports submitted in compliance with NSF practices for awarded RII proposals;</w:t>
      </w:r>
      <w:r w:rsidR="00952483" w:rsidRPr="006D652B">
        <w:rPr>
          <w:sz w:val="24"/>
          <w:szCs w:val="24"/>
        </w:rPr>
        <w:t xml:space="preserve"> 4) </w:t>
      </w:r>
      <w:r w:rsidR="006A42EB" w:rsidRPr="006D652B">
        <w:rPr>
          <w:sz w:val="24"/>
          <w:szCs w:val="24"/>
        </w:rPr>
        <w:t xml:space="preserve">statistical data obtained by NSF and other </w:t>
      </w:r>
      <w:r w:rsidR="00945174">
        <w:rPr>
          <w:sz w:val="24"/>
          <w:szCs w:val="24"/>
        </w:rPr>
        <w:t xml:space="preserve">public and private </w:t>
      </w:r>
      <w:r w:rsidR="006A42EB" w:rsidRPr="006D652B">
        <w:rPr>
          <w:sz w:val="24"/>
          <w:szCs w:val="24"/>
        </w:rPr>
        <w:t>sources</w:t>
      </w:r>
      <w:r w:rsidR="00952483" w:rsidRPr="006D652B">
        <w:rPr>
          <w:sz w:val="24"/>
          <w:szCs w:val="24"/>
        </w:rPr>
        <w:t xml:space="preserve">; </w:t>
      </w:r>
      <w:r w:rsidR="006A42EB" w:rsidRPr="006D652B">
        <w:rPr>
          <w:sz w:val="24"/>
          <w:szCs w:val="24"/>
        </w:rPr>
        <w:t xml:space="preserve">and </w:t>
      </w:r>
      <w:r w:rsidR="003423E2" w:rsidRPr="006D652B">
        <w:rPr>
          <w:sz w:val="24"/>
          <w:szCs w:val="24"/>
        </w:rPr>
        <w:t>5</w:t>
      </w:r>
      <w:r w:rsidR="00952483" w:rsidRPr="006D652B">
        <w:rPr>
          <w:sz w:val="24"/>
          <w:szCs w:val="24"/>
        </w:rPr>
        <w:t xml:space="preserve">) </w:t>
      </w:r>
      <w:r w:rsidR="00360255" w:rsidRPr="006D652B">
        <w:rPr>
          <w:sz w:val="24"/>
          <w:szCs w:val="24"/>
        </w:rPr>
        <w:t>public</w:t>
      </w:r>
      <w:r w:rsidR="003423E2" w:rsidRPr="006D652B">
        <w:rPr>
          <w:sz w:val="24"/>
          <w:szCs w:val="24"/>
        </w:rPr>
        <w:t xml:space="preserve"> and commercial</w:t>
      </w:r>
      <w:r w:rsidR="00360255" w:rsidRPr="006D652B">
        <w:rPr>
          <w:sz w:val="24"/>
          <w:szCs w:val="24"/>
        </w:rPr>
        <w:t xml:space="preserve"> databases for </w:t>
      </w:r>
      <w:r w:rsidR="003423E2" w:rsidRPr="006D652B">
        <w:rPr>
          <w:sz w:val="24"/>
          <w:szCs w:val="24"/>
        </w:rPr>
        <w:t xml:space="preserve">information on research outputs such as </w:t>
      </w:r>
      <w:r w:rsidR="00360255" w:rsidRPr="006D652B">
        <w:rPr>
          <w:sz w:val="24"/>
          <w:szCs w:val="24"/>
        </w:rPr>
        <w:t>publication</w:t>
      </w:r>
      <w:r w:rsidR="003423E2" w:rsidRPr="006D652B">
        <w:rPr>
          <w:sz w:val="24"/>
          <w:szCs w:val="24"/>
        </w:rPr>
        <w:t>s</w:t>
      </w:r>
      <w:r w:rsidR="00945174">
        <w:rPr>
          <w:sz w:val="24"/>
          <w:szCs w:val="24"/>
        </w:rPr>
        <w:t xml:space="preserve">, </w:t>
      </w:r>
      <w:r w:rsidR="00360255" w:rsidRPr="006D652B">
        <w:rPr>
          <w:sz w:val="24"/>
          <w:szCs w:val="24"/>
        </w:rPr>
        <w:t>patent</w:t>
      </w:r>
      <w:r w:rsidR="003423E2" w:rsidRPr="006D652B">
        <w:rPr>
          <w:sz w:val="24"/>
          <w:szCs w:val="24"/>
        </w:rPr>
        <w:t>s</w:t>
      </w:r>
      <w:r w:rsidR="00945174">
        <w:rPr>
          <w:sz w:val="24"/>
          <w:szCs w:val="24"/>
        </w:rPr>
        <w:t>, and licensing agreements</w:t>
      </w:r>
      <w:r w:rsidRPr="006D652B">
        <w:rPr>
          <w:sz w:val="24"/>
          <w:szCs w:val="24"/>
        </w:rPr>
        <w:t>.</w:t>
      </w:r>
    </w:p>
    <w:p w:rsidR="00D05699" w:rsidRPr="00D05699" w:rsidRDefault="00D05699" w:rsidP="00D05699">
      <w:pPr>
        <w:spacing w:line="480" w:lineRule="auto"/>
        <w:ind w:firstLine="720"/>
        <w:rPr>
          <w:sz w:val="24"/>
          <w:szCs w:val="24"/>
          <w:highlight w:val="yellow"/>
        </w:rPr>
      </w:pPr>
      <w:r w:rsidRPr="00D05699">
        <w:rPr>
          <w:sz w:val="24"/>
          <w:szCs w:val="24"/>
          <w:highlight w:val="yellow"/>
        </w:rPr>
        <w:t xml:space="preserve">There are four major data sources for the evaluation: longitudinal data, annual progress report analysis, the </w:t>
      </w:r>
      <w:proofErr w:type="spellStart"/>
      <w:r w:rsidRPr="00D05699">
        <w:rPr>
          <w:sz w:val="24"/>
          <w:szCs w:val="24"/>
          <w:highlight w:val="yellow"/>
        </w:rPr>
        <w:t>EPSCoR</w:t>
      </w:r>
      <w:proofErr w:type="spellEnd"/>
      <w:r w:rsidRPr="00D05699">
        <w:rPr>
          <w:sz w:val="24"/>
          <w:szCs w:val="24"/>
          <w:highlight w:val="yellow"/>
        </w:rPr>
        <w:t xml:space="preserve"> RII survey, and interviews with </w:t>
      </w:r>
      <w:proofErr w:type="spellStart"/>
      <w:r w:rsidRPr="00D05699">
        <w:rPr>
          <w:sz w:val="24"/>
          <w:szCs w:val="24"/>
          <w:highlight w:val="yellow"/>
        </w:rPr>
        <w:t>EPSCoR</w:t>
      </w:r>
      <w:proofErr w:type="spellEnd"/>
      <w:r w:rsidRPr="00D05699">
        <w:rPr>
          <w:sz w:val="24"/>
          <w:szCs w:val="24"/>
          <w:highlight w:val="yellow"/>
        </w:rPr>
        <w:t xml:space="preserve"> state committees.</w:t>
      </w:r>
    </w:p>
    <w:p w:rsidR="00D05699" w:rsidRPr="00D05699" w:rsidRDefault="00D05699" w:rsidP="00D05699">
      <w:pPr>
        <w:spacing w:line="480" w:lineRule="auto"/>
        <w:rPr>
          <w:sz w:val="24"/>
          <w:szCs w:val="24"/>
          <w:highlight w:val="yellow"/>
        </w:rPr>
      </w:pPr>
      <w:r w:rsidRPr="00D05699">
        <w:rPr>
          <w:sz w:val="24"/>
          <w:szCs w:val="24"/>
          <w:highlight w:val="yellow"/>
        </w:rPr>
        <w:t xml:space="preserve">The study will use time-series regression techniques to identify correlations between </w:t>
      </w:r>
      <w:proofErr w:type="spellStart"/>
      <w:r w:rsidRPr="00D05699">
        <w:rPr>
          <w:sz w:val="24"/>
          <w:szCs w:val="24"/>
          <w:highlight w:val="yellow"/>
        </w:rPr>
        <w:t>EPSCoR</w:t>
      </w:r>
      <w:proofErr w:type="spellEnd"/>
      <w:r w:rsidRPr="00D05699">
        <w:rPr>
          <w:sz w:val="24"/>
          <w:szCs w:val="24"/>
          <w:highlight w:val="yellow"/>
        </w:rPr>
        <w:t xml:space="preserve"> participation and changes in </w:t>
      </w:r>
      <w:r w:rsidR="00E671BE">
        <w:rPr>
          <w:sz w:val="24"/>
          <w:szCs w:val="24"/>
          <w:highlight w:val="yellow"/>
        </w:rPr>
        <w:t>dependent variables of interest.</w:t>
      </w:r>
      <w:r w:rsidRPr="00D05699">
        <w:rPr>
          <w:sz w:val="24"/>
          <w:szCs w:val="24"/>
          <w:highlight w:val="yellow"/>
        </w:rPr>
        <w:t xml:space="preserve"> The study will be relying on longitudinal data available from a mix of public and private sources, specifically:</w:t>
      </w:r>
    </w:p>
    <w:p w:rsidR="00D05699" w:rsidRPr="00D05699" w:rsidRDefault="00D05699" w:rsidP="00D05699">
      <w:pPr>
        <w:pStyle w:val="ListParagraph"/>
        <w:numPr>
          <w:ilvl w:val="0"/>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lastRenderedPageBreak/>
        <w:t>Dependent variables</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NSF Survey of Federal Science and Engineering Support to Universities, Colleges, and Nonprofit Institutions (Federal agency R&amp;D obligations; NSF R&amp;D obligations) – public source</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 xml:space="preserve">NSF </w:t>
      </w:r>
      <w:proofErr w:type="spellStart"/>
      <w:r w:rsidRPr="00D05699">
        <w:rPr>
          <w:rFonts w:ascii="Times New Roman" w:hAnsi="Times New Roman"/>
          <w:sz w:val="24"/>
          <w:szCs w:val="24"/>
          <w:highlight w:val="yellow"/>
        </w:rPr>
        <w:t>WebCASPAR</w:t>
      </w:r>
      <w:proofErr w:type="spellEnd"/>
      <w:r w:rsidRPr="00D05699">
        <w:rPr>
          <w:rFonts w:ascii="Times New Roman" w:hAnsi="Times New Roman"/>
          <w:sz w:val="24"/>
          <w:szCs w:val="24"/>
          <w:highlight w:val="yellow"/>
        </w:rPr>
        <w:t xml:space="preserve"> (number of Science and Engineering PhDs granted) – public source</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Harvard Patent Database, (Patents issued) – public source</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 xml:space="preserve">Thomson Reuters Web of Science (publications, </w:t>
      </w:r>
      <w:proofErr w:type="spellStart"/>
      <w:r w:rsidRPr="00D05699">
        <w:rPr>
          <w:rFonts w:ascii="Times New Roman" w:hAnsi="Times New Roman"/>
          <w:sz w:val="24"/>
          <w:szCs w:val="24"/>
          <w:highlight w:val="yellow"/>
        </w:rPr>
        <w:t>bibliometrics</w:t>
      </w:r>
      <w:proofErr w:type="spellEnd"/>
      <w:r w:rsidRPr="00D05699">
        <w:rPr>
          <w:rFonts w:ascii="Times New Roman" w:hAnsi="Times New Roman"/>
          <w:sz w:val="24"/>
          <w:szCs w:val="24"/>
          <w:highlight w:val="yellow"/>
        </w:rPr>
        <w:t>) – private source</w:t>
      </w:r>
    </w:p>
    <w:p w:rsidR="00D05699" w:rsidRPr="00D05699" w:rsidRDefault="00D05699" w:rsidP="00D05699">
      <w:pPr>
        <w:pStyle w:val="ListParagraph"/>
        <w:numPr>
          <w:ilvl w:val="0"/>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Independent variables</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Census Bureau (state population) – public source</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Bureau of Economic Analysis (state GDP) – public source</w:t>
      </w:r>
    </w:p>
    <w:p w:rsidR="00D05699" w:rsidRPr="00D05699" w:rsidRDefault="00D05699" w:rsidP="00D05699">
      <w:pPr>
        <w:pStyle w:val="ListParagraph"/>
        <w:numPr>
          <w:ilvl w:val="1"/>
          <w:numId w:val="9"/>
        </w:numPr>
        <w:spacing w:line="480" w:lineRule="auto"/>
        <w:rPr>
          <w:rFonts w:ascii="Times New Roman" w:hAnsi="Times New Roman"/>
          <w:sz w:val="24"/>
          <w:szCs w:val="24"/>
          <w:highlight w:val="yellow"/>
        </w:rPr>
      </w:pPr>
      <w:r w:rsidRPr="00D05699">
        <w:rPr>
          <w:rFonts w:ascii="Times New Roman" w:hAnsi="Times New Roman"/>
          <w:sz w:val="24"/>
          <w:szCs w:val="24"/>
          <w:highlight w:val="yellow"/>
        </w:rPr>
        <w:t>Carnegie Foundation (university quality rankings) – data publicly available, though provided by non-profit organization</w:t>
      </w:r>
    </w:p>
    <w:p w:rsidR="00D05699" w:rsidRPr="00D05699" w:rsidRDefault="00D05699" w:rsidP="00D05699">
      <w:pPr>
        <w:spacing w:line="480" w:lineRule="auto"/>
        <w:rPr>
          <w:sz w:val="24"/>
          <w:szCs w:val="24"/>
          <w:highlight w:val="yellow"/>
        </w:rPr>
      </w:pPr>
      <w:r w:rsidRPr="00D05699">
        <w:rPr>
          <w:sz w:val="24"/>
          <w:szCs w:val="24"/>
          <w:highlight w:val="yellow"/>
        </w:rPr>
        <w:t xml:space="preserve">Time series analyses using a 0-1 </w:t>
      </w:r>
      <w:proofErr w:type="spellStart"/>
      <w:r w:rsidRPr="00D05699">
        <w:rPr>
          <w:sz w:val="24"/>
          <w:szCs w:val="24"/>
          <w:highlight w:val="yellow"/>
        </w:rPr>
        <w:t>EPSCoR</w:t>
      </w:r>
      <w:proofErr w:type="spellEnd"/>
      <w:r w:rsidRPr="00D05699">
        <w:rPr>
          <w:sz w:val="24"/>
          <w:szCs w:val="24"/>
          <w:highlight w:val="yellow"/>
        </w:rPr>
        <w:t xml:space="preserve"> participation dummy variable provide insight into the first of the primary study questions (whether </w:t>
      </w:r>
      <w:proofErr w:type="spellStart"/>
      <w:r w:rsidRPr="00D05699">
        <w:rPr>
          <w:sz w:val="24"/>
          <w:szCs w:val="24"/>
          <w:highlight w:val="yellow"/>
        </w:rPr>
        <w:t>EPSCoR</w:t>
      </w:r>
      <w:proofErr w:type="spellEnd"/>
      <w:r w:rsidRPr="00D05699">
        <w:rPr>
          <w:sz w:val="24"/>
          <w:szCs w:val="24"/>
          <w:highlight w:val="yellow"/>
        </w:rPr>
        <w:t xml:space="preserve"> is contributing to jurisdiction-level research capacity), but have strong limitations. It is a truism that correlation does not imply causation; a relationship between </w:t>
      </w:r>
      <w:proofErr w:type="spellStart"/>
      <w:r w:rsidRPr="00D05699">
        <w:rPr>
          <w:sz w:val="24"/>
          <w:szCs w:val="24"/>
          <w:highlight w:val="yellow"/>
        </w:rPr>
        <w:t>EPSCoR</w:t>
      </w:r>
      <w:proofErr w:type="spellEnd"/>
      <w:r w:rsidRPr="00D05699">
        <w:rPr>
          <w:sz w:val="24"/>
          <w:szCs w:val="24"/>
          <w:highlight w:val="yellow"/>
        </w:rPr>
        <w:t xml:space="preserve"> participation and changes in NSF funding levels, for example, could occur because investigators not participating in </w:t>
      </w:r>
      <w:proofErr w:type="spellStart"/>
      <w:r w:rsidRPr="00D05699">
        <w:rPr>
          <w:sz w:val="24"/>
          <w:szCs w:val="24"/>
          <w:highlight w:val="yellow"/>
        </w:rPr>
        <w:t>EPSCoR</w:t>
      </w:r>
      <w:proofErr w:type="spellEnd"/>
      <w:r w:rsidRPr="00D05699">
        <w:rPr>
          <w:sz w:val="24"/>
          <w:szCs w:val="24"/>
          <w:highlight w:val="yellow"/>
        </w:rPr>
        <w:t xml:space="preserve"> are responsible for the increase in funding. NSF’s funding databases provide information on investigators that receive awards from the Foundation. Matching </w:t>
      </w:r>
      <w:proofErr w:type="spellStart"/>
      <w:r w:rsidRPr="00D05699">
        <w:rPr>
          <w:sz w:val="24"/>
          <w:szCs w:val="24"/>
          <w:highlight w:val="yellow"/>
        </w:rPr>
        <w:t>EPSCoR</w:t>
      </w:r>
      <w:proofErr w:type="spellEnd"/>
      <w:r w:rsidRPr="00D05699">
        <w:rPr>
          <w:sz w:val="24"/>
          <w:szCs w:val="24"/>
          <w:highlight w:val="yellow"/>
        </w:rPr>
        <w:t xml:space="preserve"> participants to NSF funded PIs can be used as a measure of attribution of any observed correlations. Another limitation in using only the set of independent variables available longitudinally is that they do not offer insight into the other study questions, such as the relative success of particular </w:t>
      </w:r>
      <w:proofErr w:type="spellStart"/>
      <w:r w:rsidRPr="00D05699">
        <w:rPr>
          <w:sz w:val="24"/>
          <w:szCs w:val="24"/>
          <w:highlight w:val="yellow"/>
        </w:rPr>
        <w:t>EPSCoR</w:t>
      </w:r>
      <w:proofErr w:type="spellEnd"/>
      <w:r w:rsidRPr="00D05699">
        <w:rPr>
          <w:sz w:val="24"/>
          <w:szCs w:val="24"/>
          <w:highlight w:val="yellow"/>
        </w:rPr>
        <w:t xml:space="preserve"> strategies (e.g., hiring junior faculty, purchasing fixed equipment). A goal of the study is to collect additional data that can be parameterized and used as independent variables in the time series analyses.</w:t>
      </w:r>
    </w:p>
    <w:p w:rsidR="00D05699" w:rsidRPr="00D05699" w:rsidRDefault="00D05699" w:rsidP="00D05699">
      <w:pPr>
        <w:spacing w:line="480" w:lineRule="auto"/>
        <w:ind w:firstLine="720"/>
        <w:rPr>
          <w:sz w:val="24"/>
          <w:szCs w:val="24"/>
          <w:highlight w:val="yellow"/>
        </w:rPr>
      </w:pPr>
      <w:r w:rsidRPr="00D05699">
        <w:rPr>
          <w:sz w:val="24"/>
          <w:szCs w:val="24"/>
          <w:highlight w:val="yellow"/>
        </w:rPr>
        <w:lastRenderedPageBreak/>
        <w:t xml:space="preserve">In addition, longitudinal data are not available against which many of the outcome variables can be assessed. For such variables (e.g., </w:t>
      </w:r>
      <w:proofErr w:type="spellStart"/>
      <w:r w:rsidRPr="00D05699">
        <w:rPr>
          <w:sz w:val="24"/>
          <w:szCs w:val="24"/>
          <w:highlight w:val="yellow"/>
        </w:rPr>
        <w:t>EPSCoR</w:t>
      </w:r>
      <w:proofErr w:type="spellEnd"/>
      <w:r w:rsidRPr="00D05699">
        <w:rPr>
          <w:sz w:val="24"/>
          <w:szCs w:val="24"/>
          <w:highlight w:val="yellow"/>
        </w:rPr>
        <w:t xml:space="preserve"> role in motivating K-12 students to participate in STEM education, value of </w:t>
      </w:r>
      <w:proofErr w:type="spellStart"/>
      <w:r w:rsidRPr="00D05699">
        <w:rPr>
          <w:sz w:val="24"/>
          <w:szCs w:val="24"/>
          <w:highlight w:val="yellow"/>
        </w:rPr>
        <w:t>EPSCoR</w:t>
      </w:r>
      <w:proofErr w:type="spellEnd"/>
      <w:r w:rsidRPr="00D05699">
        <w:rPr>
          <w:sz w:val="24"/>
          <w:szCs w:val="24"/>
          <w:highlight w:val="yellow"/>
        </w:rPr>
        <w:t xml:space="preserve"> in catalyzing the development of university support functions) the study will instead collect data that is intended to identify what </w:t>
      </w:r>
      <w:proofErr w:type="spellStart"/>
      <w:r w:rsidRPr="00D05699">
        <w:rPr>
          <w:sz w:val="24"/>
          <w:szCs w:val="24"/>
          <w:highlight w:val="yellow"/>
        </w:rPr>
        <w:t>EPSCoR</w:t>
      </w:r>
      <w:proofErr w:type="spellEnd"/>
      <w:r w:rsidRPr="00D05699">
        <w:rPr>
          <w:sz w:val="24"/>
          <w:szCs w:val="24"/>
          <w:highlight w:val="yellow"/>
        </w:rPr>
        <w:t xml:space="preserve"> has achieved – even though that information may not be analyzable econometrically.</w:t>
      </w:r>
    </w:p>
    <w:p w:rsidR="00D05699" w:rsidRPr="00D05699" w:rsidRDefault="00D05699" w:rsidP="00490A93">
      <w:pPr>
        <w:spacing w:line="480" w:lineRule="auto"/>
        <w:ind w:firstLine="720"/>
        <w:rPr>
          <w:sz w:val="24"/>
          <w:szCs w:val="24"/>
          <w:highlight w:val="yellow"/>
        </w:rPr>
      </w:pPr>
      <w:r w:rsidRPr="00D05699">
        <w:rPr>
          <w:sz w:val="24"/>
          <w:szCs w:val="24"/>
          <w:highlight w:val="yellow"/>
        </w:rPr>
        <w:t>Three sources have been identified for collecting these data</w:t>
      </w:r>
      <w:r>
        <w:rPr>
          <w:sz w:val="24"/>
          <w:szCs w:val="24"/>
          <w:highlight w:val="yellow"/>
        </w:rPr>
        <w:t xml:space="preserve"> (f</w:t>
      </w:r>
      <w:r w:rsidRPr="00D05699">
        <w:rPr>
          <w:sz w:val="24"/>
          <w:szCs w:val="24"/>
          <w:highlight w:val="yellow"/>
        </w:rPr>
        <w:t>igure</w:t>
      </w:r>
      <w:r>
        <w:rPr>
          <w:sz w:val="24"/>
          <w:szCs w:val="24"/>
          <w:highlight w:val="yellow"/>
        </w:rPr>
        <w:t xml:space="preserve"> 1</w:t>
      </w:r>
      <w:r w:rsidRPr="00D05699">
        <w:rPr>
          <w:sz w:val="24"/>
          <w:szCs w:val="24"/>
          <w:highlight w:val="yellow"/>
        </w:rPr>
        <w:t>):</w:t>
      </w:r>
    </w:p>
    <w:p w:rsidR="00D05699" w:rsidRPr="00D05699" w:rsidRDefault="00D05699" w:rsidP="00D05699">
      <w:pPr>
        <w:spacing w:line="480" w:lineRule="auto"/>
        <w:rPr>
          <w:sz w:val="24"/>
          <w:szCs w:val="24"/>
          <w:highlight w:val="yellow"/>
        </w:rPr>
      </w:pPr>
      <w:r w:rsidRPr="00D05699">
        <w:rPr>
          <w:sz w:val="24"/>
          <w:szCs w:val="24"/>
          <w:highlight w:val="yellow"/>
        </w:rPr>
        <w:t xml:space="preserve">The first is an analysis of </w:t>
      </w:r>
      <w:proofErr w:type="spellStart"/>
      <w:r w:rsidRPr="00D05699">
        <w:rPr>
          <w:sz w:val="24"/>
          <w:szCs w:val="24"/>
          <w:highlight w:val="yellow"/>
        </w:rPr>
        <w:t>EPSCoR</w:t>
      </w:r>
      <w:proofErr w:type="spellEnd"/>
      <w:r w:rsidRPr="00D05699">
        <w:rPr>
          <w:sz w:val="24"/>
          <w:szCs w:val="24"/>
          <w:highlight w:val="yellow"/>
        </w:rPr>
        <w:t xml:space="preserve"> proposals and annual reports. NSF maintains an electronic archive of such materials for </w:t>
      </w:r>
      <w:proofErr w:type="spellStart"/>
      <w:r w:rsidRPr="00D05699">
        <w:rPr>
          <w:sz w:val="24"/>
          <w:szCs w:val="24"/>
          <w:highlight w:val="yellow"/>
        </w:rPr>
        <w:t>EPSCoR</w:t>
      </w:r>
      <w:proofErr w:type="spellEnd"/>
      <w:r w:rsidRPr="00D05699">
        <w:rPr>
          <w:sz w:val="24"/>
          <w:szCs w:val="24"/>
          <w:highlight w:val="yellow"/>
        </w:rPr>
        <w:t xml:space="preserve"> awards dating back to the mid-1990s. Some additional awards’ materials (from the late 1980s and early 1990s) are available from the National Archives. These documents will be analyzed (using qualitative analysis software such as </w:t>
      </w:r>
      <w:proofErr w:type="spellStart"/>
      <w:r w:rsidRPr="00D05699">
        <w:rPr>
          <w:sz w:val="24"/>
          <w:szCs w:val="24"/>
          <w:highlight w:val="yellow"/>
        </w:rPr>
        <w:t>NVivo</w:t>
      </w:r>
      <w:proofErr w:type="spellEnd"/>
      <w:r w:rsidRPr="00D05699">
        <w:rPr>
          <w:sz w:val="24"/>
          <w:szCs w:val="24"/>
          <w:highlight w:val="yellow"/>
        </w:rPr>
        <w:t>) for the purpose of collecting relevant information regarding each of the outcome categories mentioned above.</w:t>
      </w:r>
    </w:p>
    <w:p w:rsidR="00D05699" w:rsidRDefault="00D05699" w:rsidP="00D05699">
      <w:pPr>
        <w:spacing w:line="480" w:lineRule="auto"/>
        <w:rPr>
          <w:sz w:val="24"/>
          <w:szCs w:val="24"/>
          <w:highlight w:val="yellow"/>
        </w:rPr>
      </w:pPr>
      <w:r w:rsidRPr="00D05699">
        <w:rPr>
          <w:sz w:val="24"/>
          <w:szCs w:val="24"/>
          <w:highlight w:val="yellow"/>
        </w:rPr>
        <w:t>At the same time, there are several limitations of this approach. First, not all of the materials currently exist. Records from the early years of the program are not</w:t>
      </w:r>
      <w:r w:rsidR="00D852B6">
        <w:rPr>
          <w:sz w:val="24"/>
          <w:szCs w:val="24"/>
          <w:highlight w:val="yellow"/>
        </w:rPr>
        <w:t xml:space="preserve"> found either at NSF </w:t>
      </w:r>
      <w:r w:rsidRPr="00D05699">
        <w:rPr>
          <w:sz w:val="24"/>
          <w:szCs w:val="24"/>
          <w:highlight w:val="yellow"/>
        </w:rPr>
        <w:t xml:space="preserve">or in the National Archives, and there are also some gaps in the records available from the early- and mid-1990s. Relying solely on archival materials would leave out entire </w:t>
      </w:r>
      <w:proofErr w:type="spellStart"/>
      <w:r w:rsidRPr="00D05699">
        <w:rPr>
          <w:sz w:val="24"/>
          <w:szCs w:val="24"/>
          <w:highlight w:val="yellow"/>
        </w:rPr>
        <w:t>EPSCoR</w:t>
      </w:r>
      <w:proofErr w:type="spellEnd"/>
      <w:r w:rsidRPr="00D05699">
        <w:rPr>
          <w:sz w:val="24"/>
          <w:szCs w:val="24"/>
          <w:highlight w:val="yellow"/>
        </w:rPr>
        <w:t xml:space="preserve"> iterations.</w:t>
      </w:r>
    </w:p>
    <w:p w:rsidR="00DD78E3" w:rsidRDefault="00490A93" w:rsidP="00490A93">
      <w:pPr>
        <w:rPr>
          <w:b/>
          <w:szCs w:val="24"/>
        </w:rPr>
      </w:pPr>
      <w:proofErr w:type="gramStart"/>
      <w:r w:rsidRPr="00490A93">
        <w:rPr>
          <w:b/>
          <w:szCs w:val="24"/>
        </w:rPr>
        <w:t>Figure 1.</w:t>
      </w:r>
      <w:proofErr w:type="gramEnd"/>
      <w:r>
        <w:rPr>
          <w:b/>
          <w:szCs w:val="24"/>
        </w:rPr>
        <w:t xml:space="preserve"> Data</w:t>
      </w:r>
      <w:r w:rsidR="00DD78E3">
        <w:rPr>
          <w:b/>
          <w:szCs w:val="24"/>
        </w:rPr>
        <w:t xml:space="preserve"> collection and analysis plan</w:t>
      </w:r>
    </w:p>
    <w:p w:rsidR="00490A93" w:rsidRPr="00490A93" w:rsidRDefault="00490A93" w:rsidP="00490A93">
      <w:pPr>
        <w:rPr>
          <w:b/>
          <w:szCs w:val="24"/>
        </w:rPr>
      </w:pPr>
      <w:r>
        <w:rPr>
          <w:b/>
          <w:szCs w:val="24"/>
        </w:rPr>
        <w:t xml:space="preserve"> </w:t>
      </w:r>
      <w:r w:rsidRPr="00490A93">
        <w:rPr>
          <w:b/>
          <w:szCs w:val="24"/>
        </w:rPr>
        <w:t xml:space="preserve"> </w:t>
      </w:r>
    </w:p>
    <w:p w:rsidR="00490A93" w:rsidRPr="00D05699" w:rsidRDefault="00490A93" w:rsidP="00DD78E3">
      <w:pPr>
        <w:spacing w:line="480" w:lineRule="auto"/>
        <w:jc w:val="center"/>
        <w:rPr>
          <w:sz w:val="24"/>
          <w:szCs w:val="24"/>
          <w:highlight w:val="yellow"/>
        </w:rPr>
      </w:pPr>
      <w:r>
        <w:rPr>
          <w:noProof/>
          <w:snapToGrid/>
          <w:sz w:val="24"/>
          <w:szCs w:val="24"/>
        </w:rPr>
        <w:lastRenderedPageBreak/>
        <w:drawing>
          <wp:inline distT="0" distB="0" distL="0" distR="0">
            <wp:extent cx="3730752" cy="298054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SCOR FLOW CHA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2907" cy="2982270"/>
                    </a:xfrm>
                    <a:prstGeom prst="rect">
                      <a:avLst/>
                    </a:prstGeom>
                  </pic:spPr>
                </pic:pic>
              </a:graphicData>
            </a:graphic>
          </wp:inline>
        </w:drawing>
      </w:r>
    </w:p>
    <w:p w:rsidR="00D05699" w:rsidRPr="00D05699" w:rsidRDefault="00D05699" w:rsidP="00490A93">
      <w:pPr>
        <w:spacing w:line="480" w:lineRule="auto"/>
        <w:ind w:firstLine="720"/>
        <w:rPr>
          <w:sz w:val="24"/>
          <w:szCs w:val="24"/>
          <w:highlight w:val="yellow"/>
        </w:rPr>
      </w:pPr>
      <w:r w:rsidRPr="00D05699">
        <w:rPr>
          <w:sz w:val="24"/>
          <w:szCs w:val="24"/>
          <w:highlight w:val="yellow"/>
        </w:rPr>
        <w:t>Second, the quality of annual reports as evaluation data sources varies from iteration to iteration and from jurisdiction to jurisdiction; annual reporting from earlier years tends to be more limited than are more recent reports. Even when reports are detailed, their intended purpose is not evaluative; as there has not been a single standardized program logic model that guides reporting and indicates to the jurisdictions what is of interest to NSF, jurisdictions may over-report, or under-report, with respect to relevant activities and outcomes.</w:t>
      </w:r>
    </w:p>
    <w:p w:rsidR="00D05699" w:rsidRPr="00D05699" w:rsidRDefault="00D05699" w:rsidP="00D05699">
      <w:pPr>
        <w:spacing w:line="480" w:lineRule="auto"/>
        <w:ind w:firstLine="720"/>
        <w:rPr>
          <w:sz w:val="24"/>
          <w:szCs w:val="24"/>
          <w:highlight w:val="yellow"/>
        </w:rPr>
      </w:pPr>
      <w:r w:rsidRPr="00D05699">
        <w:rPr>
          <w:sz w:val="24"/>
          <w:szCs w:val="24"/>
          <w:highlight w:val="yellow"/>
        </w:rPr>
        <w:t xml:space="preserve">In order to minimize burden on the investigator community, the reports are being analyzed for the purpose of extracting information that can be provided to the jurisdictions as a “first draft” of important information. The templates that will accompany the survey will have lists of information (e.g., hired faculty, graduate students, </w:t>
      </w:r>
      <w:proofErr w:type="gramStart"/>
      <w:r w:rsidRPr="00D05699">
        <w:rPr>
          <w:sz w:val="24"/>
          <w:szCs w:val="24"/>
          <w:highlight w:val="yellow"/>
        </w:rPr>
        <w:t>publications</w:t>
      </w:r>
      <w:proofErr w:type="gramEnd"/>
      <w:r w:rsidRPr="00D05699">
        <w:rPr>
          <w:sz w:val="24"/>
          <w:szCs w:val="24"/>
          <w:highlight w:val="yellow"/>
        </w:rPr>
        <w:t xml:space="preserve">) that the jurisdictions can check – rather than asking them to compile information </w:t>
      </w:r>
      <w:r w:rsidRPr="00D05699">
        <w:rPr>
          <w:i/>
          <w:sz w:val="24"/>
          <w:szCs w:val="24"/>
          <w:highlight w:val="yellow"/>
        </w:rPr>
        <w:t>de novo</w:t>
      </w:r>
      <w:r w:rsidRPr="00D05699">
        <w:rPr>
          <w:sz w:val="24"/>
          <w:szCs w:val="24"/>
          <w:highlight w:val="yellow"/>
        </w:rPr>
        <w:t>.</w:t>
      </w:r>
    </w:p>
    <w:p w:rsidR="00D05699" w:rsidRPr="00D05699" w:rsidRDefault="00D05699" w:rsidP="00D05699">
      <w:pPr>
        <w:spacing w:line="480" w:lineRule="auto"/>
        <w:ind w:firstLine="720"/>
        <w:rPr>
          <w:sz w:val="24"/>
          <w:szCs w:val="24"/>
          <w:highlight w:val="yellow"/>
        </w:rPr>
      </w:pPr>
      <w:r w:rsidRPr="00D05699">
        <w:rPr>
          <w:sz w:val="24"/>
          <w:szCs w:val="24"/>
          <w:highlight w:val="yellow"/>
        </w:rPr>
        <w:t xml:space="preserve">At the same time, there is a need for collection of information in a standardized fashion with respect to program outcomes. The survey questions are intended to give each jurisdiction the opportunity to address, in structured fashion, the program’s outcomes. Similarly, the </w:t>
      </w:r>
      <w:proofErr w:type="gramStart"/>
      <w:r w:rsidRPr="00D05699">
        <w:rPr>
          <w:sz w:val="24"/>
          <w:szCs w:val="24"/>
          <w:highlight w:val="yellow"/>
        </w:rPr>
        <w:t xml:space="preserve">interviews with </w:t>
      </w:r>
      <w:proofErr w:type="spellStart"/>
      <w:r w:rsidRPr="00D05699">
        <w:rPr>
          <w:sz w:val="24"/>
          <w:szCs w:val="24"/>
          <w:highlight w:val="yellow"/>
        </w:rPr>
        <w:t>EPSCoR</w:t>
      </w:r>
      <w:proofErr w:type="spellEnd"/>
      <w:r w:rsidRPr="00D05699">
        <w:rPr>
          <w:sz w:val="24"/>
          <w:szCs w:val="24"/>
          <w:highlight w:val="yellow"/>
        </w:rPr>
        <w:t xml:space="preserve"> committee heads provides</w:t>
      </w:r>
      <w:proofErr w:type="gramEnd"/>
      <w:r w:rsidRPr="00D05699">
        <w:rPr>
          <w:sz w:val="24"/>
          <w:szCs w:val="24"/>
          <w:highlight w:val="yellow"/>
        </w:rPr>
        <w:t xml:space="preserve"> the opportunity to obtain in structured form answers to common </w:t>
      </w:r>
      <w:r w:rsidRPr="00D05699">
        <w:rPr>
          <w:sz w:val="24"/>
          <w:szCs w:val="24"/>
          <w:highlight w:val="yellow"/>
        </w:rPr>
        <w:lastRenderedPageBreak/>
        <w:t>questions regarding committee structure and function.</w:t>
      </w:r>
    </w:p>
    <w:p w:rsidR="00D05699" w:rsidRPr="00D05699" w:rsidRDefault="00D05699" w:rsidP="00DD78E3">
      <w:pPr>
        <w:spacing w:line="480" w:lineRule="auto"/>
        <w:ind w:firstLine="720"/>
        <w:rPr>
          <w:sz w:val="24"/>
          <w:szCs w:val="24"/>
        </w:rPr>
      </w:pPr>
      <w:r w:rsidRPr="00D05699">
        <w:rPr>
          <w:sz w:val="24"/>
          <w:szCs w:val="24"/>
          <w:highlight w:val="yellow"/>
        </w:rPr>
        <w:t xml:space="preserve">As figure </w:t>
      </w:r>
      <w:r w:rsidR="00490A93">
        <w:rPr>
          <w:sz w:val="24"/>
          <w:szCs w:val="24"/>
          <w:highlight w:val="yellow"/>
        </w:rPr>
        <w:t xml:space="preserve">1 </w:t>
      </w:r>
      <w:proofErr w:type="gramStart"/>
      <w:r w:rsidRPr="00D05699">
        <w:rPr>
          <w:sz w:val="24"/>
          <w:szCs w:val="24"/>
          <w:highlight w:val="yellow"/>
        </w:rPr>
        <w:t>shows</w:t>
      </w:r>
      <w:proofErr w:type="gramEnd"/>
      <w:r w:rsidRPr="00D05699">
        <w:rPr>
          <w:sz w:val="24"/>
          <w:szCs w:val="24"/>
          <w:highlight w:val="yellow"/>
        </w:rPr>
        <w:t xml:space="preserve">, therefore, the survey fills two functions. The first is to give the jurisdictions the opportunity to validate and correct data that have been extracted from the annual progress reports and </w:t>
      </w:r>
      <w:proofErr w:type="spellStart"/>
      <w:r w:rsidRPr="00D05699">
        <w:rPr>
          <w:sz w:val="24"/>
          <w:szCs w:val="24"/>
          <w:highlight w:val="yellow"/>
        </w:rPr>
        <w:t>EPSCoR</w:t>
      </w:r>
      <w:proofErr w:type="spellEnd"/>
      <w:r w:rsidRPr="00D05699">
        <w:rPr>
          <w:sz w:val="24"/>
          <w:szCs w:val="24"/>
          <w:highlight w:val="yellow"/>
        </w:rPr>
        <w:t xml:space="preserve"> proposals. These data will be parameterized and incorporated into the time series analyses, in some cases directly (e.g., number/quality of </w:t>
      </w:r>
      <w:proofErr w:type="spellStart"/>
      <w:r w:rsidRPr="00D05699">
        <w:rPr>
          <w:sz w:val="24"/>
          <w:szCs w:val="24"/>
          <w:highlight w:val="yellow"/>
        </w:rPr>
        <w:t>EPSCoR</w:t>
      </w:r>
      <w:proofErr w:type="spellEnd"/>
      <w:r w:rsidRPr="00D05699">
        <w:rPr>
          <w:sz w:val="24"/>
          <w:szCs w:val="24"/>
          <w:highlight w:val="yellow"/>
        </w:rPr>
        <w:t xml:space="preserve"> publications, number of hired faculty) and in some cases indirectly (to identify the likelihood that observed correlations between </w:t>
      </w:r>
      <w:proofErr w:type="spellStart"/>
      <w:r w:rsidRPr="00D05699">
        <w:rPr>
          <w:sz w:val="24"/>
          <w:szCs w:val="24"/>
          <w:highlight w:val="yellow"/>
        </w:rPr>
        <w:t>EPSCoR</w:t>
      </w:r>
      <w:proofErr w:type="spellEnd"/>
      <w:r w:rsidRPr="00D05699">
        <w:rPr>
          <w:sz w:val="24"/>
          <w:szCs w:val="24"/>
          <w:highlight w:val="yellow"/>
        </w:rPr>
        <w:t xml:space="preserve"> participation and changes in NSF funding are in fact associated with </w:t>
      </w:r>
      <w:proofErr w:type="spellStart"/>
      <w:r w:rsidRPr="00D05699">
        <w:rPr>
          <w:sz w:val="24"/>
          <w:szCs w:val="24"/>
          <w:highlight w:val="yellow"/>
        </w:rPr>
        <w:t>EPSCoR</w:t>
      </w:r>
      <w:proofErr w:type="spellEnd"/>
      <w:r w:rsidRPr="00D05699">
        <w:rPr>
          <w:sz w:val="24"/>
          <w:szCs w:val="24"/>
          <w:highlight w:val="yellow"/>
        </w:rPr>
        <w:t xml:space="preserve"> participants). The second is to collect information regarding other outcome variables of interest.</w:t>
      </w:r>
    </w:p>
    <w:p w:rsidR="000E74BA" w:rsidRPr="006D652B" w:rsidRDefault="009D2146" w:rsidP="000E74BA">
      <w:pPr>
        <w:pStyle w:val="Heading1"/>
      </w:pPr>
      <w:bookmarkStart w:id="6" w:name="_Toc331146753"/>
      <w:r w:rsidRPr="006D652B">
        <w:t>A.5</w:t>
      </w:r>
      <w:r w:rsidR="002D3F29" w:rsidRPr="006D652B">
        <w:t>.</w:t>
      </w:r>
      <w:r w:rsidRPr="006D652B">
        <w:t xml:space="preserve"> Impact</w:t>
      </w:r>
      <w:r w:rsidR="00A536C7" w:rsidRPr="006D652B">
        <w:t xml:space="preserve"> on Small Businesses or Other Small Entities</w:t>
      </w:r>
      <w:bookmarkEnd w:id="6"/>
    </w:p>
    <w:p w:rsidR="000E74BA" w:rsidRPr="006D652B" w:rsidRDefault="000E74BA" w:rsidP="000E74BA"/>
    <w:p w:rsidR="00CA7A44" w:rsidRPr="006D652B" w:rsidRDefault="00CA7A44" w:rsidP="003423E2">
      <w:pPr>
        <w:spacing w:line="480" w:lineRule="auto"/>
        <w:ind w:firstLine="720"/>
        <w:rPr>
          <w:sz w:val="24"/>
          <w:szCs w:val="24"/>
        </w:rPr>
      </w:pPr>
      <w:r w:rsidRPr="006D652B">
        <w:rPr>
          <w:sz w:val="24"/>
          <w:szCs w:val="24"/>
        </w:rPr>
        <w:t>No small businesses will be involved in this study.</w:t>
      </w:r>
    </w:p>
    <w:p w:rsidR="00A536C7" w:rsidRPr="006D652B" w:rsidRDefault="00A536C7" w:rsidP="00DA4831">
      <w:pPr>
        <w:pStyle w:val="Heading1"/>
        <w:spacing w:line="480" w:lineRule="auto"/>
      </w:pPr>
      <w:bookmarkStart w:id="7" w:name="_Toc331146754"/>
      <w:r w:rsidRPr="006D652B">
        <w:t>A.6</w:t>
      </w:r>
      <w:r w:rsidR="009D2146" w:rsidRPr="006D652B">
        <w:t>. Consequences</w:t>
      </w:r>
      <w:r w:rsidRPr="006D652B">
        <w:t xml:space="preserve"> of Collecting the Information Less Frequently</w:t>
      </w:r>
      <w:bookmarkEnd w:id="7"/>
      <w:r w:rsidRPr="006D652B">
        <w:t xml:space="preserve"> </w:t>
      </w:r>
    </w:p>
    <w:p w:rsidR="00DA4831" w:rsidRPr="006D652B" w:rsidRDefault="00DA4831" w:rsidP="003423E2">
      <w:pPr>
        <w:spacing w:line="480" w:lineRule="auto"/>
        <w:ind w:firstLine="720"/>
        <w:rPr>
          <w:sz w:val="24"/>
          <w:szCs w:val="24"/>
        </w:rPr>
      </w:pPr>
      <w:r w:rsidRPr="006D652B">
        <w:rPr>
          <w:sz w:val="24"/>
          <w:szCs w:val="24"/>
        </w:rPr>
        <w:t xml:space="preserve">This will be a one-time only data collection. </w:t>
      </w:r>
    </w:p>
    <w:p w:rsidR="00A536C7" w:rsidRPr="006D652B" w:rsidRDefault="00A536C7" w:rsidP="00DA4831">
      <w:pPr>
        <w:pStyle w:val="Heading1"/>
        <w:spacing w:line="480" w:lineRule="auto"/>
      </w:pPr>
      <w:bookmarkStart w:id="8" w:name="_Toc331146755"/>
      <w:r w:rsidRPr="006D652B">
        <w:t>A.7</w:t>
      </w:r>
      <w:r w:rsidR="009D2146" w:rsidRPr="006D652B">
        <w:t>. Special</w:t>
      </w:r>
      <w:r w:rsidRPr="006D652B">
        <w:t xml:space="preserve"> Circumstances Relating to the Guidelines of 5 CFR 1320.5</w:t>
      </w:r>
      <w:bookmarkEnd w:id="8"/>
      <w:r w:rsidRPr="006D652B">
        <w:t xml:space="preserve"> </w:t>
      </w:r>
    </w:p>
    <w:p w:rsidR="00CA7A44" w:rsidRPr="006D652B" w:rsidRDefault="008B7581" w:rsidP="003423E2">
      <w:pPr>
        <w:spacing w:line="480" w:lineRule="auto"/>
        <w:ind w:firstLine="720"/>
        <w:rPr>
          <w:position w:val="-7"/>
          <w:sz w:val="24"/>
          <w:szCs w:val="24"/>
        </w:rPr>
      </w:pPr>
      <w:r w:rsidRPr="006D652B">
        <w:rPr>
          <w:sz w:val="24"/>
          <w:szCs w:val="24"/>
        </w:rPr>
        <w:t xml:space="preserve">The proposed data collection </w:t>
      </w:r>
      <w:r w:rsidR="00CA7A44" w:rsidRPr="006D652B">
        <w:rPr>
          <w:sz w:val="24"/>
          <w:szCs w:val="24"/>
        </w:rPr>
        <w:t>fully complies with all guidelines of 5 CFR 1320.5.</w:t>
      </w:r>
    </w:p>
    <w:p w:rsidR="00A536C7" w:rsidRPr="006D652B" w:rsidRDefault="00A536C7" w:rsidP="00DA4831">
      <w:pPr>
        <w:pStyle w:val="Heading1"/>
        <w:spacing w:line="480" w:lineRule="auto"/>
      </w:pPr>
      <w:bookmarkStart w:id="9" w:name="_Toc331146756"/>
      <w:r w:rsidRPr="006D652B">
        <w:t>A.8</w:t>
      </w:r>
      <w:r w:rsidR="009D2146" w:rsidRPr="006D652B">
        <w:t>. Comments</w:t>
      </w:r>
      <w:r w:rsidRPr="006D652B">
        <w:t xml:space="preserve"> in Response to the </w:t>
      </w:r>
      <w:r w:rsidR="009D2146" w:rsidRPr="006D652B">
        <w:t>Federal Register</w:t>
      </w:r>
      <w:r w:rsidRPr="006D652B">
        <w:t xml:space="preserve"> Notice and Efforts to Consult Outside Agency</w:t>
      </w:r>
      <w:bookmarkEnd w:id="9"/>
      <w:r w:rsidRPr="006D652B">
        <w:t xml:space="preserve"> </w:t>
      </w:r>
    </w:p>
    <w:p w:rsidR="00DA4831" w:rsidRPr="006D652B" w:rsidRDefault="00777C4E" w:rsidP="003423E2">
      <w:pPr>
        <w:spacing w:line="480" w:lineRule="auto"/>
        <w:ind w:firstLine="720"/>
        <w:rPr>
          <w:sz w:val="24"/>
          <w:szCs w:val="24"/>
        </w:rPr>
      </w:pPr>
      <w:r w:rsidRPr="006D652B">
        <w:rPr>
          <w:sz w:val="24"/>
          <w:szCs w:val="24"/>
        </w:rPr>
        <w:t>As required by 5 CFR 1320.8(d), comments on the information colle</w:t>
      </w:r>
      <w:r w:rsidR="00F7745B" w:rsidRPr="006D652B">
        <w:rPr>
          <w:sz w:val="24"/>
          <w:szCs w:val="24"/>
        </w:rPr>
        <w:t xml:space="preserve">ction activities as part of this study </w:t>
      </w:r>
      <w:r w:rsidRPr="006D652B">
        <w:rPr>
          <w:sz w:val="24"/>
          <w:szCs w:val="24"/>
        </w:rPr>
        <w:t xml:space="preserve">were solicited through publication of </w:t>
      </w:r>
      <w:r w:rsidR="00F7745B" w:rsidRPr="006D652B">
        <w:rPr>
          <w:sz w:val="24"/>
          <w:szCs w:val="24"/>
        </w:rPr>
        <w:t>a</w:t>
      </w:r>
      <w:r w:rsidRPr="006D652B">
        <w:rPr>
          <w:sz w:val="24"/>
          <w:szCs w:val="24"/>
        </w:rPr>
        <w:t xml:space="preserve"> 60 Day Notice in the Federal Register on </w:t>
      </w:r>
      <w:r w:rsidR="00C70C89" w:rsidRPr="006D652B">
        <w:rPr>
          <w:sz w:val="24"/>
        </w:rPr>
        <w:t>October 2</w:t>
      </w:r>
      <w:r w:rsidR="008362C9" w:rsidRPr="006D652B">
        <w:rPr>
          <w:sz w:val="24"/>
        </w:rPr>
        <w:t>7</w:t>
      </w:r>
      <w:r w:rsidR="00C70C89" w:rsidRPr="006D652B">
        <w:rPr>
          <w:sz w:val="24"/>
        </w:rPr>
        <w:t>, 2010 (volume 75, number 20</w:t>
      </w:r>
      <w:r w:rsidR="008362C9" w:rsidRPr="006D652B">
        <w:rPr>
          <w:sz w:val="24"/>
        </w:rPr>
        <w:t>7</w:t>
      </w:r>
      <w:r w:rsidR="00C70C89" w:rsidRPr="006D652B">
        <w:rPr>
          <w:bCs/>
          <w:sz w:val="24"/>
        </w:rPr>
        <w:t>)</w:t>
      </w:r>
      <w:r w:rsidRPr="006D652B">
        <w:rPr>
          <w:sz w:val="24"/>
          <w:szCs w:val="24"/>
        </w:rPr>
        <w:t>.</w:t>
      </w:r>
      <w:r w:rsidR="00835E75" w:rsidRPr="006D652B">
        <w:rPr>
          <w:sz w:val="24"/>
          <w:szCs w:val="24"/>
        </w:rPr>
        <w:t xml:space="preserve"> </w:t>
      </w:r>
      <w:r w:rsidR="00A52A29" w:rsidRPr="006D652B">
        <w:rPr>
          <w:sz w:val="24"/>
          <w:szCs w:val="24"/>
        </w:rPr>
        <w:t>No comments were received from members of the public.</w:t>
      </w:r>
    </w:p>
    <w:p w:rsidR="003906F0" w:rsidRPr="006D652B" w:rsidRDefault="003906F0" w:rsidP="003423E2">
      <w:pPr>
        <w:spacing w:line="480" w:lineRule="auto"/>
        <w:ind w:firstLine="720"/>
        <w:rPr>
          <w:sz w:val="24"/>
          <w:szCs w:val="24"/>
        </w:rPr>
      </w:pPr>
      <w:r w:rsidRPr="006D652B">
        <w:rPr>
          <w:sz w:val="24"/>
          <w:szCs w:val="24"/>
        </w:rPr>
        <w:t>For outside technical expertise, NSF has consulted with the Science and Technology Policy Institute (STPI) at the Institute for Defense Analyses</w:t>
      </w:r>
      <w:r w:rsidR="00505F1D" w:rsidRPr="006D652B">
        <w:rPr>
          <w:sz w:val="24"/>
          <w:szCs w:val="24"/>
        </w:rPr>
        <w:t xml:space="preserve"> (IDA)</w:t>
      </w:r>
      <w:r w:rsidR="003423E2" w:rsidRPr="006D652B">
        <w:rPr>
          <w:sz w:val="24"/>
          <w:szCs w:val="24"/>
        </w:rPr>
        <w:t>, a f</w:t>
      </w:r>
      <w:r w:rsidRPr="006D652B">
        <w:rPr>
          <w:sz w:val="24"/>
          <w:szCs w:val="24"/>
        </w:rPr>
        <w:t>ederally-</w:t>
      </w:r>
      <w:r w:rsidR="003423E2" w:rsidRPr="006D652B">
        <w:rPr>
          <w:sz w:val="24"/>
          <w:szCs w:val="24"/>
        </w:rPr>
        <w:t>f</w:t>
      </w:r>
      <w:r w:rsidRPr="006D652B">
        <w:rPr>
          <w:sz w:val="24"/>
          <w:szCs w:val="24"/>
        </w:rPr>
        <w:t xml:space="preserve">unded </w:t>
      </w:r>
      <w:r w:rsidR="003423E2" w:rsidRPr="006D652B">
        <w:rPr>
          <w:sz w:val="24"/>
          <w:szCs w:val="24"/>
        </w:rPr>
        <w:t>research and d</w:t>
      </w:r>
      <w:r w:rsidRPr="006D652B">
        <w:rPr>
          <w:sz w:val="24"/>
          <w:szCs w:val="24"/>
        </w:rPr>
        <w:t xml:space="preserve">evelopment </w:t>
      </w:r>
      <w:r w:rsidR="003423E2" w:rsidRPr="006D652B">
        <w:rPr>
          <w:sz w:val="24"/>
          <w:szCs w:val="24"/>
        </w:rPr>
        <w:t>c</w:t>
      </w:r>
      <w:r w:rsidRPr="006D652B">
        <w:rPr>
          <w:sz w:val="24"/>
          <w:szCs w:val="24"/>
        </w:rPr>
        <w:t xml:space="preserve">enter that will </w:t>
      </w:r>
      <w:r w:rsidR="003423E2" w:rsidRPr="006D652B">
        <w:rPr>
          <w:sz w:val="24"/>
          <w:szCs w:val="24"/>
        </w:rPr>
        <w:t xml:space="preserve">support the data collection </w:t>
      </w:r>
      <w:r w:rsidR="008362C9" w:rsidRPr="006D652B">
        <w:rPr>
          <w:sz w:val="24"/>
          <w:szCs w:val="24"/>
        </w:rPr>
        <w:t>and analysis</w:t>
      </w:r>
      <w:r w:rsidRPr="006D652B">
        <w:rPr>
          <w:sz w:val="24"/>
          <w:szCs w:val="24"/>
        </w:rPr>
        <w:t xml:space="preserve">. </w:t>
      </w:r>
      <w:r w:rsidR="00505F1D" w:rsidRPr="006D652B">
        <w:rPr>
          <w:sz w:val="24"/>
          <w:szCs w:val="24"/>
        </w:rPr>
        <w:t xml:space="preserve">The staff at STPI includes experts in evaluation of federal research and development programs as well as </w:t>
      </w:r>
      <w:r w:rsidR="00945174">
        <w:rPr>
          <w:sz w:val="24"/>
          <w:szCs w:val="24"/>
        </w:rPr>
        <w:t xml:space="preserve">with </w:t>
      </w:r>
      <w:r w:rsidR="006D652B" w:rsidRPr="006D652B">
        <w:rPr>
          <w:sz w:val="24"/>
          <w:szCs w:val="24"/>
        </w:rPr>
        <w:t>substantive</w:t>
      </w:r>
      <w:r w:rsidR="00945174">
        <w:rPr>
          <w:sz w:val="24"/>
          <w:szCs w:val="24"/>
        </w:rPr>
        <w:t xml:space="preserve"> </w:t>
      </w:r>
      <w:r w:rsidR="00945174">
        <w:rPr>
          <w:sz w:val="24"/>
          <w:szCs w:val="24"/>
        </w:rPr>
        <w:lastRenderedPageBreak/>
        <w:t>knowledge i</w:t>
      </w:r>
      <w:r w:rsidR="006D652B" w:rsidRPr="006D652B">
        <w:rPr>
          <w:sz w:val="24"/>
          <w:szCs w:val="24"/>
        </w:rPr>
        <w:t xml:space="preserve">n innovation and competitiveness and </w:t>
      </w:r>
      <w:r w:rsidR="008362C9" w:rsidRPr="006D652B">
        <w:rPr>
          <w:sz w:val="24"/>
          <w:szCs w:val="24"/>
        </w:rPr>
        <w:t>research capacity building</w:t>
      </w:r>
      <w:r w:rsidR="00505F1D" w:rsidRPr="006D652B">
        <w:rPr>
          <w:sz w:val="24"/>
          <w:szCs w:val="24"/>
        </w:rPr>
        <w:t xml:space="preserve">. Staff members consulted regarding data collection </w:t>
      </w:r>
      <w:r w:rsidR="006D652B" w:rsidRPr="006D652B">
        <w:rPr>
          <w:sz w:val="24"/>
          <w:szCs w:val="24"/>
        </w:rPr>
        <w:t>instruments</w:t>
      </w:r>
      <w:r w:rsidR="004C4458" w:rsidRPr="006D652B">
        <w:rPr>
          <w:sz w:val="24"/>
          <w:szCs w:val="24"/>
        </w:rPr>
        <w:t xml:space="preserve"> </w:t>
      </w:r>
      <w:r w:rsidR="00505F1D" w:rsidRPr="006D652B">
        <w:rPr>
          <w:sz w:val="24"/>
          <w:szCs w:val="24"/>
        </w:rPr>
        <w:t xml:space="preserve">and </w:t>
      </w:r>
      <w:r w:rsidR="006D652B" w:rsidRPr="006D652B">
        <w:rPr>
          <w:sz w:val="24"/>
          <w:szCs w:val="24"/>
        </w:rPr>
        <w:t xml:space="preserve">the </w:t>
      </w:r>
      <w:r w:rsidR="00505F1D" w:rsidRPr="006D652B">
        <w:rPr>
          <w:sz w:val="24"/>
          <w:szCs w:val="24"/>
        </w:rPr>
        <w:t>study design include:</w:t>
      </w:r>
    </w:p>
    <w:p w:rsidR="008A0238" w:rsidRPr="006D652B" w:rsidRDefault="008A0238" w:rsidP="003423E2">
      <w:pPr>
        <w:pStyle w:val="ListParagraph"/>
        <w:numPr>
          <w:ilvl w:val="0"/>
          <w:numId w:val="3"/>
        </w:numPr>
        <w:spacing w:line="480" w:lineRule="auto"/>
        <w:rPr>
          <w:rFonts w:ascii="Times New Roman" w:hAnsi="Times New Roman"/>
          <w:sz w:val="24"/>
          <w:szCs w:val="24"/>
        </w:rPr>
      </w:pPr>
      <w:r w:rsidRPr="006D652B">
        <w:rPr>
          <w:rFonts w:ascii="Times New Roman" w:hAnsi="Times New Roman"/>
          <w:sz w:val="24"/>
          <w:szCs w:val="24"/>
        </w:rPr>
        <w:t xml:space="preserve">Dr. </w:t>
      </w:r>
      <w:r w:rsidR="008362C9" w:rsidRPr="006D652B">
        <w:rPr>
          <w:rFonts w:ascii="Times New Roman" w:hAnsi="Times New Roman"/>
          <w:sz w:val="24"/>
          <w:szCs w:val="24"/>
        </w:rPr>
        <w:t>Rachel Parker</w:t>
      </w:r>
      <w:r w:rsidRPr="006D652B">
        <w:rPr>
          <w:rFonts w:ascii="Times New Roman" w:hAnsi="Times New Roman"/>
          <w:sz w:val="24"/>
          <w:szCs w:val="24"/>
        </w:rPr>
        <w:t>, Research Staff Member, Science and Technology Policy Institute (202-419-541</w:t>
      </w:r>
      <w:r w:rsidR="008362C9" w:rsidRPr="006D652B">
        <w:rPr>
          <w:rFonts w:ascii="Times New Roman" w:hAnsi="Times New Roman"/>
          <w:sz w:val="24"/>
          <w:szCs w:val="24"/>
        </w:rPr>
        <w:t>8</w:t>
      </w:r>
      <w:r w:rsidRPr="006D652B">
        <w:rPr>
          <w:rFonts w:ascii="Times New Roman" w:hAnsi="Times New Roman"/>
          <w:sz w:val="24"/>
          <w:szCs w:val="24"/>
        </w:rPr>
        <w:t>)</w:t>
      </w:r>
    </w:p>
    <w:p w:rsidR="003423E2" w:rsidRPr="006D652B" w:rsidRDefault="00505F1D" w:rsidP="003423E2">
      <w:pPr>
        <w:pStyle w:val="ListParagraph"/>
        <w:numPr>
          <w:ilvl w:val="0"/>
          <w:numId w:val="3"/>
        </w:numPr>
        <w:spacing w:line="480" w:lineRule="auto"/>
        <w:rPr>
          <w:rFonts w:ascii="Times New Roman" w:hAnsi="Times New Roman"/>
          <w:sz w:val="24"/>
          <w:szCs w:val="24"/>
        </w:rPr>
      </w:pPr>
      <w:r w:rsidRPr="006D652B">
        <w:rPr>
          <w:rFonts w:ascii="Times New Roman" w:hAnsi="Times New Roman"/>
          <w:sz w:val="24"/>
          <w:szCs w:val="24"/>
        </w:rPr>
        <w:t>Dr. Brian Zuckerman, Research Staff Member, Science and Technology Policy Institute (202-419-5485)</w:t>
      </w:r>
    </w:p>
    <w:p w:rsidR="00A536C7" w:rsidRPr="006D652B" w:rsidRDefault="00A536C7" w:rsidP="00505F1D">
      <w:pPr>
        <w:pStyle w:val="Heading1"/>
        <w:spacing w:line="480" w:lineRule="auto"/>
      </w:pPr>
      <w:bookmarkStart w:id="10" w:name="_Toc331146757"/>
      <w:r w:rsidRPr="006D652B">
        <w:t>A.9</w:t>
      </w:r>
      <w:r w:rsidR="009D2146" w:rsidRPr="006D652B">
        <w:t>. Explanation</w:t>
      </w:r>
      <w:r w:rsidRPr="006D652B">
        <w:t xml:space="preserve"> of Any Payment or Gift to Respondents</w:t>
      </w:r>
      <w:bookmarkEnd w:id="10"/>
      <w:r w:rsidRPr="006D652B">
        <w:t xml:space="preserve"> </w:t>
      </w:r>
    </w:p>
    <w:p w:rsidR="00777C4E" w:rsidRPr="006D652B" w:rsidRDefault="00777C4E" w:rsidP="003423E2">
      <w:pPr>
        <w:spacing w:line="480" w:lineRule="auto"/>
        <w:ind w:firstLine="720"/>
        <w:rPr>
          <w:sz w:val="24"/>
          <w:szCs w:val="24"/>
        </w:rPr>
      </w:pPr>
      <w:r w:rsidRPr="006D652B">
        <w:rPr>
          <w:sz w:val="24"/>
          <w:szCs w:val="24"/>
        </w:rPr>
        <w:t>No payment or gift will be made to respondents as a part of this study.</w:t>
      </w:r>
      <w:r w:rsidRPr="006D652B" w:rsidDel="00777C4E">
        <w:rPr>
          <w:sz w:val="24"/>
          <w:szCs w:val="24"/>
        </w:rPr>
        <w:t xml:space="preserve"> </w:t>
      </w:r>
    </w:p>
    <w:p w:rsidR="00A536C7" w:rsidRPr="006D652B" w:rsidRDefault="00A536C7" w:rsidP="00505F1D">
      <w:pPr>
        <w:pStyle w:val="Heading1"/>
        <w:spacing w:line="480" w:lineRule="auto"/>
      </w:pPr>
      <w:bookmarkStart w:id="11" w:name="_Toc331146758"/>
      <w:r w:rsidRPr="006D652B">
        <w:t xml:space="preserve">A.10. </w:t>
      </w:r>
      <w:r w:rsidR="00A02DBC" w:rsidRPr="006D652B">
        <w:t>Assurance of Confidentiality Provided to Respondents</w:t>
      </w:r>
      <w:bookmarkEnd w:id="11"/>
    </w:p>
    <w:p w:rsidR="000B75FC" w:rsidRPr="000B75FC" w:rsidRDefault="00BB14E1" w:rsidP="000B75FC">
      <w:pPr>
        <w:spacing w:line="480" w:lineRule="auto"/>
        <w:rPr>
          <w:sz w:val="24"/>
          <w:szCs w:val="24"/>
        </w:rPr>
      </w:pPr>
      <w:r w:rsidRPr="000B75FC">
        <w:rPr>
          <w:sz w:val="24"/>
          <w:szCs w:val="24"/>
        </w:rPr>
        <w:t xml:space="preserve">Data gathered as part of this </w:t>
      </w:r>
      <w:r w:rsidR="006D652B" w:rsidRPr="000B75FC">
        <w:rPr>
          <w:sz w:val="24"/>
          <w:szCs w:val="24"/>
        </w:rPr>
        <w:t>information request</w:t>
      </w:r>
      <w:r w:rsidRPr="000B75FC">
        <w:rPr>
          <w:sz w:val="24"/>
          <w:szCs w:val="24"/>
        </w:rPr>
        <w:t xml:space="preserve"> will be identifiable</w:t>
      </w:r>
      <w:r w:rsidR="006108DD" w:rsidRPr="000B75FC">
        <w:rPr>
          <w:sz w:val="24"/>
          <w:szCs w:val="24"/>
        </w:rPr>
        <w:t xml:space="preserve"> by the name </w:t>
      </w:r>
      <w:r w:rsidR="00E935E7" w:rsidRPr="000B75FC">
        <w:rPr>
          <w:sz w:val="24"/>
          <w:szCs w:val="24"/>
        </w:rPr>
        <w:t xml:space="preserve">and jurisdiction </w:t>
      </w:r>
      <w:r w:rsidR="006108DD" w:rsidRPr="000B75FC">
        <w:rPr>
          <w:sz w:val="24"/>
          <w:szCs w:val="24"/>
        </w:rPr>
        <w:t>of the</w:t>
      </w:r>
      <w:r w:rsidR="00E935E7" w:rsidRPr="000B75FC">
        <w:rPr>
          <w:sz w:val="24"/>
          <w:szCs w:val="24"/>
        </w:rPr>
        <w:t xml:space="preserve"> responding Project Directors</w:t>
      </w:r>
      <w:r w:rsidR="00F41873" w:rsidRPr="000B75FC">
        <w:rPr>
          <w:sz w:val="24"/>
          <w:szCs w:val="24"/>
        </w:rPr>
        <w:t xml:space="preserve">. </w:t>
      </w:r>
      <w:r w:rsidR="008B7581" w:rsidRPr="000B75FC">
        <w:rPr>
          <w:sz w:val="24"/>
          <w:szCs w:val="24"/>
        </w:rPr>
        <w:t>Participants</w:t>
      </w:r>
      <w:r w:rsidRPr="000B75FC">
        <w:rPr>
          <w:sz w:val="24"/>
          <w:szCs w:val="24"/>
        </w:rPr>
        <w:t xml:space="preserve"> will be informed </w:t>
      </w:r>
      <w:r w:rsidR="00F574FE" w:rsidRPr="000B75FC">
        <w:rPr>
          <w:sz w:val="24"/>
          <w:szCs w:val="24"/>
        </w:rPr>
        <w:t xml:space="preserve">in the introductory letter (Attachment 3) </w:t>
      </w:r>
      <w:r w:rsidRPr="000B75FC">
        <w:rPr>
          <w:sz w:val="24"/>
          <w:szCs w:val="24"/>
        </w:rPr>
        <w:t xml:space="preserve">that </w:t>
      </w:r>
      <w:r w:rsidR="00B92A68" w:rsidRPr="000B75FC">
        <w:rPr>
          <w:sz w:val="24"/>
          <w:szCs w:val="24"/>
        </w:rPr>
        <w:t xml:space="preserve">the information they provide will </w:t>
      </w:r>
      <w:r w:rsidR="00CF4BCF" w:rsidRPr="000B75FC">
        <w:rPr>
          <w:sz w:val="24"/>
          <w:szCs w:val="24"/>
        </w:rPr>
        <w:t>be kept confidential</w:t>
      </w:r>
      <w:r w:rsidR="00B92A68" w:rsidRPr="000B75FC">
        <w:rPr>
          <w:sz w:val="24"/>
          <w:szCs w:val="24"/>
        </w:rPr>
        <w:t xml:space="preserve"> except as required by law</w:t>
      </w:r>
      <w:r w:rsidR="00853AC0" w:rsidRPr="000B75FC">
        <w:rPr>
          <w:sz w:val="24"/>
          <w:szCs w:val="24"/>
        </w:rPr>
        <w:t xml:space="preserve">, that data collected </w:t>
      </w:r>
      <w:r w:rsidR="00F0168B" w:rsidRPr="000B75FC">
        <w:rPr>
          <w:sz w:val="24"/>
          <w:szCs w:val="24"/>
        </w:rPr>
        <w:t xml:space="preserve">by the Project Director </w:t>
      </w:r>
      <w:r w:rsidR="00C11416" w:rsidRPr="000B75FC">
        <w:rPr>
          <w:sz w:val="24"/>
          <w:szCs w:val="24"/>
        </w:rPr>
        <w:t xml:space="preserve">in response to the open ended survey questions </w:t>
      </w:r>
      <w:r w:rsidR="00853AC0" w:rsidRPr="000B75FC">
        <w:rPr>
          <w:sz w:val="24"/>
          <w:szCs w:val="24"/>
        </w:rPr>
        <w:t xml:space="preserve">only be reported </w:t>
      </w:r>
      <w:r w:rsidR="00F0168B" w:rsidRPr="000B75FC">
        <w:rPr>
          <w:sz w:val="24"/>
          <w:szCs w:val="24"/>
        </w:rPr>
        <w:t>to</w:t>
      </w:r>
      <w:r w:rsidR="00853AC0" w:rsidRPr="000B75FC">
        <w:rPr>
          <w:sz w:val="24"/>
          <w:szCs w:val="24"/>
        </w:rPr>
        <w:t xml:space="preserve"> the contractor in an aggregate form,</w:t>
      </w:r>
      <w:r w:rsidR="00B92A68" w:rsidRPr="000B75FC">
        <w:rPr>
          <w:sz w:val="24"/>
          <w:szCs w:val="24"/>
        </w:rPr>
        <w:t xml:space="preserve"> </w:t>
      </w:r>
      <w:r w:rsidRPr="000B75FC">
        <w:rPr>
          <w:sz w:val="24"/>
          <w:szCs w:val="24"/>
        </w:rPr>
        <w:t>and that their participation is completely voluntary.</w:t>
      </w:r>
      <w:r w:rsidR="00212431" w:rsidRPr="000B75FC">
        <w:rPr>
          <w:sz w:val="24"/>
          <w:szCs w:val="24"/>
        </w:rPr>
        <w:t xml:space="preserve"> </w:t>
      </w:r>
      <w:r w:rsidR="000B75FC" w:rsidRPr="000B75FC">
        <w:rPr>
          <w:sz w:val="24"/>
          <w:szCs w:val="24"/>
          <w:highlight w:val="yellow"/>
        </w:rPr>
        <w:t xml:space="preserve">The survey will be sent to each Project Director. Each jurisdiction has its own individual processes for storing historical data regarding </w:t>
      </w:r>
      <w:proofErr w:type="spellStart"/>
      <w:r w:rsidR="000B75FC" w:rsidRPr="000B75FC">
        <w:rPr>
          <w:sz w:val="24"/>
          <w:szCs w:val="24"/>
          <w:highlight w:val="yellow"/>
        </w:rPr>
        <w:t>EPSCoR</w:t>
      </w:r>
      <w:proofErr w:type="spellEnd"/>
      <w:r w:rsidR="000B75FC" w:rsidRPr="000B75FC">
        <w:rPr>
          <w:sz w:val="24"/>
          <w:szCs w:val="24"/>
          <w:highlight w:val="yellow"/>
        </w:rPr>
        <w:t xml:space="preserve"> awards, and so a variety of paths may be followed for completing the survey. In some jurisdictions, the Project Director may him/herself complete the survey; in others the Program Administrator or other </w:t>
      </w:r>
      <w:proofErr w:type="spellStart"/>
      <w:r w:rsidR="000B75FC" w:rsidRPr="000B75FC">
        <w:rPr>
          <w:sz w:val="24"/>
          <w:szCs w:val="24"/>
          <w:highlight w:val="yellow"/>
        </w:rPr>
        <w:t>EPSCoR</w:t>
      </w:r>
      <w:proofErr w:type="spellEnd"/>
      <w:r w:rsidR="000B75FC" w:rsidRPr="000B75FC">
        <w:rPr>
          <w:sz w:val="24"/>
          <w:szCs w:val="24"/>
          <w:highlight w:val="yellow"/>
        </w:rPr>
        <w:t xml:space="preserve"> staff (e.g., Education specialists, evaluators) may assist the Project Director; in other jurisdictions, members of the state committee, former </w:t>
      </w:r>
      <w:proofErr w:type="spellStart"/>
      <w:r w:rsidR="000B75FC" w:rsidRPr="000B75FC">
        <w:rPr>
          <w:sz w:val="24"/>
          <w:szCs w:val="24"/>
          <w:highlight w:val="yellow"/>
        </w:rPr>
        <w:t>EPSCoR</w:t>
      </w:r>
      <w:proofErr w:type="spellEnd"/>
      <w:r w:rsidR="000B75FC" w:rsidRPr="000B75FC">
        <w:rPr>
          <w:sz w:val="24"/>
          <w:szCs w:val="24"/>
          <w:highlight w:val="yellow"/>
        </w:rPr>
        <w:t xml:space="preserve"> participants, or other faculty members may become involved. As each jurisdiction is unique, discretion regarding how to best complete the survey is being left to the Project Director.</w:t>
      </w:r>
    </w:p>
    <w:p w:rsidR="000B75FC" w:rsidRPr="006D652B" w:rsidRDefault="007D5C95" w:rsidP="000B75FC">
      <w:pPr>
        <w:spacing w:line="480" w:lineRule="auto"/>
        <w:ind w:firstLine="720"/>
        <w:rPr>
          <w:sz w:val="24"/>
          <w:szCs w:val="24"/>
        </w:rPr>
      </w:pPr>
      <w:r w:rsidRPr="006D652B">
        <w:rPr>
          <w:sz w:val="24"/>
          <w:szCs w:val="24"/>
        </w:rPr>
        <w:t xml:space="preserve">This data collection activity is exempt </w:t>
      </w:r>
      <w:r w:rsidRPr="00212431">
        <w:rPr>
          <w:sz w:val="24"/>
          <w:szCs w:val="24"/>
        </w:rPr>
        <w:t>from 45 CFR 46</w:t>
      </w:r>
      <w:r w:rsidRPr="006D652B">
        <w:rPr>
          <w:sz w:val="24"/>
          <w:szCs w:val="24"/>
        </w:rPr>
        <w:t xml:space="preserve"> Regulations for Protection of Human Subjects because</w:t>
      </w:r>
      <w:r w:rsidR="008B7581" w:rsidRPr="006D652B">
        <w:rPr>
          <w:sz w:val="24"/>
          <w:szCs w:val="24"/>
        </w:rPr>
        <w:t>:</w:t>
      </w:r>
      <w:r w:rsidRPr="006D652B">
        <w:rPr>
          <w:sz w:val="24"/>
          <w:szCs w:val="24"/>
        </w:rPr>
        <w:t xml:space="preserve"> </w:t>
      </w:r>
      <w:r w:rsidR="008B7581" w:rsidRPr="006D652B">
        <w:rPr>
          <w:sz w:val="24"/>
          <w:szCs w:val="24"/>
        </w:rPr>
        <w:t xml:space="preserve">a) </w:t>
      </w:r>
      <w:r w:rsidRPr="006D652B">
        <w:rPr>
          <w:sz w:val="24"/>
          <w:szCs w:val="24"/>
        </w:rPr>
        <w:t xml:space="preserve">the data will be reported </w:t>
      </w:r>
      <w:r w:rsidR="00F0168B">
        <w:rPr>
          <w:sz w:val="24"/>
          <w:szCs w:val="24"/>
        </w:rPr>
        <w:t xml:space="preserve">to the contractor </w:t>
      </w:r>
      <w:r w:rsidRPr="006D652B">
        <w:rPr>
          <w:sz w:val="24"/>
          <w:szCs w:val="24"/>
        </w:rPr>
        <w:t xml:space="preserve">in aggregate and therefore </w:t>
      </w:r>
      <w:r w:rsidR="00F0168B">
        <w:rPr>
          <w:sz w:val="24"/>
          <w:szCs w:val="24"/>
        </w:rPr>
        <w:t xml:space="preserve">individual </w:t>
      </w:r>
      <w:r w:rsidRPr="006D652B">
        <w:rPr>
          <w:sz w:val="24"/>
          <w:szCs w:val="24"/>
        </w:rPr>
        <w:lastRenderedPageBreak/>
        <w:t xml:space="preserve">participants will not be identifiable directly or through identifiers linked to the subjects; and </w:t>
      </w:r>
      <w:r w:rsidR="008B7581" w:rsidRPr="006D652B">
        <w:rPr>
          <w:sz w:val="24"/>
          <w:szCs w:val="24"/>
        </w:rPr>
        <w:t xml:space="preserve">b) </w:t>
      </w:r>
      <w:r w:rsidRPr="006D652B">
        <w:rPr>
          <w:sz w:val="24"/>
          <w:szCs w:val="24"/>
        </w:rPr>
        <w:t>because any disclosure of the human subjects' responses outside the research would not place the subjects at risk of criminal or civil liability or be damaging to the subjects' financial standing, employability, or reputation.</w:t>
      </w:r>
      <w:r w:rsidR="00EE4A89" w:rsidRPr="006D652B">
        <w:rPr>
          <w:sz w:val="24"/>
          <w:szCs w:val="24"/>
        </w:rPr>
        <w:t xml:space="preserve"> </w:t>
      </w:r>
      <w:r w:rsidR="00F0168B">
        <w:rPr>
          <w:sz w:val="24"/>
          <w:szCs w:val="24"/>
        </w:rPr>
        <w:t>An exemption has been</w:t>
      </w:r>
      <w:r w:rsidR="00EE4A89" w:rsidRPr="006D652B">
        <w:rPr>
          <w:sz w:val="24"/>
          <w:szCs w:val="24"/>
        </w:rPr>
        <w:t xml:space="preserve"> approv</w:t>
      </w:r>
      <w:r w:rsidR="00F0168B">
        <w:rPr>
          <w:sz w:val="24"/>
          <w:szCs w:val="24"/>
        </w:rPr>
        <w:t xml:space="preserve">ed by </w:t>
      </w:r>
      <w:r w:rsidR="00EE4A89" w:rsidRPr="006D652B">
        <w:rPr>
          <w:sz w:val="24"/>
          <w:szCs w:val="24"/>
        </w:rPr>
        <w:t xml:space="preserve">the contractor’s </w:t>
      </w:r>
      <w:r w:rsidR="00D44085">
        <w:rPr>
          <w:sz w:val="24"/>
          <w:szCs w:val="24"/>
        </w:rPr>
        <w:t>Human Subjects Review Committee</w:t>
      </w:r>
      <w:r w:rsidR="00F0168B">
        <w:rPr>
          <w:sz w:val="24"/>
          <w:szCs w:val="24"/>
        </w:rPr>
        <w:t xml:space="preserve"> </w:t>
      </w:r>
      <w:r w:rsidR="00F0168B" w:rsidRPr="000B75FC">
        <w:rPr>
          <w:sz w:val="24"/>
          <w:szCs w:val="24"/>
        </w:rPr>
        <w:t>on the grounds that disclosure is not likely to put subjects at risk</w:t>
      </w:r>
      <w:r w:rsidR="00EE4A89" w:rsidRPr="000B75FC">
        <w:rPr>
          <w:sz w:val="24"/>
          <w:szCs w:val="24"/>
        </w:rPr>
        <w:t>.</w:t>
      </w:r>
      <w:r w:rsidR="000B75FC" w:rsidRPr="000B75FC">
        <w:rPr>
          <w:sz w:val="24"/>
          <w:szCs w:val="24"/>
        </w:rPr>
        <w:t xml:space="preserve">  </w:t>
      </w:r>
      <w:r w:rsidR="000B75FC" w:rsidRPr="000B75FC">
        <w:rPr>
          <w:sz w:val="24"/>
          <w:szCs w:val="24"/>
          <w:highlight w:val="yellow"/>
        </w:rPr>
        <w:t>The following allows for this collection: 42 U.S.C. 1870 in addition to the NSF Privacy Act System of Records Notice (SORN) NSF-50 Principal Investigator/Proposal file and Associated Records.</w:t>
      </w:r>
    </w:p>
    <w:p w:rsidR="00A536C7" w:rsidRPr="006D652B" w:rsidRDefault="00A536C7" w:rsidP="00C80D5D">
      <w:pPr>
        <w:pStyle w:val="Heading1"/>
        <w:spacing w:line="480" w:lineRule="auto"/>
      </w:pPr>
      <w:bookmarkStart w:id="12" w:name="_Toc331146759"/>
      <w:r w:rsidRPr="006D652B">
        <w:t>A.11</w:t>
      </w:r>
      <w:r w:rsidR="009D2146" w:rsidRPr="006D652B">
        <w:t>. Justification</w:t>
      </w:r>
      <w:r w:rsidRPr="006D652B">
        <w:t xml:space="preserve"> for Sensitive Questions</w:t>
      </w:r>
      <w:bookmarkEnd w:id="12"/>
      <w:r w:rsidRPr="006D652B">
        <w:t xml:space="preserve"> </w:t>
      </w:r>
    </w:p>
    <w:p w:rsidR="00C80D5D" w:rsidRPr="006D652B" w:rsidRDefault="00CB011B" w:rsidP="00CB011B">
      <w:pPr>
        <w:spacing w:line="480" w:lineRule="auto"/>
        <w:ind w:firstLine="720"/>
        <w:rPr>
          <w:sz w:val="24"/>
          <w:szCs w:val="24"/>
        </w:rPr>
      </w:pPr>
      <w:r w:rsidRPr="006D652B">
        <w:rPr>
          <w:sz w:val="24"/>
          <w:szCs w:val="24"/>
        </w:rPr>
        <w:t>T</w:t>
      </w:r>
      <w:r w:rsidR="00937333" w:rsidRPr="006D652B">
        <w:rPr>
          <w:sz w:val="24"/>
          <w:szCs w:val="24"/>
        </w:rPr>
        <w:t xml:space="preserve">he </w:t>
      </w:r>
      <w:r w:rsidRPr="006D652B">
        <w:rPr>
          <w:sz w:val="24"/>
          <w:szCs w:val="24"/>
        </w:rPr>
        <w:t xml:space="preserve">proposed </w:t>
      </w:r>
      <w:r w:rsidR="00937333" w:rsidRPr="006D652B">
        <w:rPr>
          <w:sz w:val="24"/>
          <w:szCs w:val="24"/>
        </w:rPr>
        <w:t xml:space="preserve">survey </w:t>
      </w:r>
      <w:r w:rsidRPr="006D652B">
        <w:rPr>
          <w:sz w:val="24"/>
          <w:szCs w:val="24"/>
        </w:rPr>
        <w:t>will not</w:t>
      </w:r>
      <w:r w:rsidR="00937333" w:rsidRPr="006D652B">
        <w:rPr>
          <w:sz w:val="24"/>
          <w:szCs w:val="24"/>
        </w:rPr>
        <w:t xml:space="preserve"> contain</w:t>
      </w:r>
      <w:r w:rsidR="00B92A68" w:rsidRPr="006D652B">
        <w:rPr>
          <w:sz w:val="24"/>
          <w:szCs w:val="24"/>
        </w:rPr>
        <w:t xml:space="preserve"> </w:t>
      </w:r>
      <w:r w:rsidR="00A536C7" w:rsidRPr="006D652B">
        <w:rPr>
          <w:sz w:val="24"/>
          <w:szCs w:val="24"/>
        </w:rPr>
        <w:t xml:space="preserve">questions of a sensitive nature. </w:t>
      </w:r>
      <w:r w:rsidR="00B06721">
        <w:rPr>
          <w:sz w:val="24"/>
          <w:szCs w:val="24"/>
        </w:rPr>
        <w:t>On the survey, p</w:t>
      </w:r>
      <w:r w:rsidR="00D177B5" w:rsidRPr="006D652B">
        <w:rPr>
          <w:sz w:val="24"/>
          <w:szCs w:val="24"/>
        </w:rPr>
        <w:t xml:space="preserve">ersonally </w:t>
      </w:r>
      <w:r w:rsidR="00B06721">
        <w:rPr>
          <w:sz w:val="24"/>
          <w:szCs w:val="24"/>
        </w:rPr>
        <w:t>i</w:t>
      </w:r>
      <w:r w:rsidR="00D177B5" w:rsidRPr="006D652B">
        <w:rPr>
          <w:sz w:val="24"/>
          <w:szCs w:val="24"/>
        </w:rPr>
        <w:t xml:space="preserve">dentifiable Information will be limited to the names of </w:t>
      </w:r>
      <w:r w:rsidRPr="006D652B">
        <w:rPr>
          <w:sz w:val="24"/>
          <w:szCs w:val="24"/>
        </w:rPr>
        <w:t xml:space="preserve">the </w:t>
      </w:r>
      <w:r w:rsidR="00945174">
        <w:rPr>
          <w:sz w:val="24"/>
          <w:szCs w:val="24"/>
        </w:rPr>
        <w:t>participants from whom Project Directors solicited input (if any) to complete the data call</w:t>
      </w:r>
      <w:r w:rsidRPr="006D652B">
        <w:rPr>
          <w:sz w:val="24"/>
          <w:szCs w:val="24"/>
        </w:rPr>
        <w:t>.</w:t>
      </w:r>
      <w:r w:rsidR="00F0168B">
        <w:rPr>
          <w:sz w:val="24"/>
          <w:szCs w:val="24"/>
        </w:rPr>
        <w:t xml:space="preserve">  Information gathered by the Project Director in support of any single response will not be tied to a particular individual.</w:t>
      </w:r>
      <w:r w:rsidR="00B06721">
        <w:rPr>
          <w:sz w:val="24"/>
          <w:szCs w:val="24"/>
        </w:rPr>
        <w:t xml:space="preserve">  Responses given in reply to the pre-filled template will contain the names of individuals who have been supported by </w:t>
      </w:r>
      <w:proofErr w:type="spellStart"/>
      <w:r w:rsidR="00B06721">
        <w:rPr>
          <w:sz w:val="24"/>
          <w:szCs w:val="24"/>
        </w:rPr>
        <w:t>EPSCoR</w:t>
      </w:r>
      <w:proofErr w:type="spellEnd"/>
      <w:r w:rsidR="00B06721">
        <w:rPr>
          <w:sz w:val="24"/>
          <w:szCs w:val="24"/>
        </w:rPr>
        <w:t xml:space="preserve"> awards, for whom there is not currently complete accounting of participation in annual reports.      </w:t>
      </w:r>
      <w:r w:rsidR="00F0168B">
        <w:rPr>
          <w:sz w:val="24"/>
          <w:szCs w:val="24"/>
        </w:rPr>
        <w:t xml:space="preserve">  </w:t>
      </w:r>
      <w:r w:rsidRPr="006D652B">
        <w:rPr>
          <w:sz w:val="24"/>
          <w:szCs w:val="24"/>
        </w:rPr>
        <w:t xml:space="preserve"> </w:t>
      </w:r>
    </w:p>
    <w:p w:rsidR="00A536C7" w:rsidRPr="006D652B" w:rsidRDefault="00A536C7" w:rsidP="005C3661">
      <w:pPr>
        <w:pStyle w:val="Heading1"/>
        <w:spacing w:line="480" w:lineRule="auto"/>
      </w:pPr>
      <w:bookmarkStart w:id="13" w:name="_Toc331146760"/>
      <w:r w:rsidRPr="006D652B">
        <w:t>A.12</w:t>
      </w:r>
      <w:r w:rsidR="009D2146" w:rsidRPr="006D652B">
        <w:t>. Estimates</w:t>
      </w:r>
      <w:r w:rsidRPr="006D652B">
        <w:t xml:space="preserve"> of Hour Burden Including Annualized Hourly Costs</w:t>
      </w:r>
      <w:bookmarkEnd w:id="13"/>
    </w:p>
    <w:p w:rsidR="00D177B5" w:rsidRPr="006D652B" w:rsidRDefault="00A81373" w:rsidP="002118C9">
      <w:pPr>
        <w:spacing w:line="480" w:lineRule="auto"/>
        <w:ind w:firstLine="720"/>
        <w:rPr>
          <w:sz w:val="24"/>
          <w:szCs w:val="24"/>
        </w:rPr>
      </w:pPr>
      <w:r w:rsidRPr="000F7ECC">
        <w:rPr>
          <w:sz w:val="24"/>
          <w:szCs w:val="24"/>
        </w:rPr>
        <w:t xml:space="preserve">As summarized in Table </w:t>
      </w:r>
      <w:r w:rsidR="00226FC1" w:rsidRPr="000F7ECC">
        <w:rPr>
          <w:sz w:val="24"/>
          <w:szCs w:val="24"/>
        </w:rPr>
        <w:t>A.12</w:t>
      </w:r>
      <w:r w:rsidR="0021028E" w:rsidRPr="000F7ECC">
        <w:rPr>
          <w:sz w:val="24"/>
          <w:szCs w:val="24"/>
        </w:rPr>
        <w:t>, t</w:t>
      </w:r>
      <w:r w:rsidR="00E6199B" w:rsidRPr="000F7ECC">
        <w:rPr>
          <w:sz w:val="24"/>
          <w:szCs w:val="24"/>
        </w:rPr>
        <w:t xml:space="preserve">he </w:t>
      </w:r>
      <w:r w:rsidR="00466F91" w:rsidRPr="000F7ECC">
        <w:rPr>
          <w:sz w:val="24"/>
          <w:szCs w:val="24"/>
        </w:rPr>
        <w:t>information call</w:t>
      </w:r>
      <w:r w:rsidR="008D6023" w:rsidRPr="000F7ECC">
        <w:rPr>
          <w:sz w:val="24"/>
          <w:szCs w:val="24"/>
        </w:rPr>
        <w:t xml:space="preserve"> will be distributed to</w:t>
      </w:r>
      <w:r w:rsidR="005C3661" w:rsidRPr="000F7ECC">
        <w:rPr>
          <w:sz w:val="24"/>
          <w:szCs w:val="24"/>
        </w:rPr>
        <w:t xml:space="preserve"> </w:t>
      </w:r>
      <w:r w:rsidR="00466F91" w:rsidRPr="000F7ECC">
        <w:rPr>
          <w:sz w:val="24"/>
          <w:szCs w:val="24"/>
        </w:rPr>
        <w:t xml:space="preserve">the </w:t>
      </w:r>
      <w:r w:rsidR="00F0168B" w:rsidRPr="000F7ECC">
        <w:rPr>
          <w:sz w:val="24"/>
          <w:szCs w:val="24"/>
        </w:rPr>
        <w:t>29</w:t>
      </w:r>
      <w:r w:rsidR="008D6023" w:rsidRPr="000F7ECC">
        <w:rPr>
          <w:sz w:val="24"/>
          <w:szCs w:val="24"/>
        </w:rPr>
        <w:t xml:space="preserve"> </w:t>
      </w:r>
      <w:r w:rsidR="00C7195D" w:rsidRPr="000F7ECC">
        <w:rPr>
          <w:sz w:val="24"/>
          <w:szCs w:val="24"/>
        </w:rPr>
        <w:t xml:space="preserve">RII </w:t>
      </w:r>
      <w:r w:rsidR="00F0168B" w:rsidRPr="000F7ECC">
        <w:rPr>
          <w:sz w:val="24"/>
          <w:szCs w:val="24"/>
        </w:rPr>
        <w:t xml:space="preserve">Project </w:t>
      </w:r>
      <w:r w:rsidR="000B75FC" w:rsidRPr="000F7ECC">
        <w:rPr>
          <w:sz w:val="24"/>
          <w:szCs w:val="24"/>
        </w:rPr>
        <w:t xml:space="preserve">Directors from each of the eligible and funded jurisdictions currently participating in NSF </w:t>
      </w:r>
      <w:proofErr w:type="spellStart"/>
      <w:r w:rsidR="000B75FC" w:rsidRPr="000F7ECC">
        <w:rPr>
          <w:sz w:val="24"/>
          <w:szCs w:val="24"/>
        </w:rPr>
        <w:t>EPSCoR</w:t>
      </w:r>
      <w:proofErr w:type="spellEnd"/>
      <w:r w:rsidR="000B75FC" w:rsidRPr="000F7ECC">
        <w:rPr>
          <w:sz w:val="24"/>
          <w:szCs w:val="24"/>
        </w:rPr>
        <w:t>.</w:t>
      </w:r>
      <w:r w:rsidR="000B75FC" w:rsidRPr="000F7ECC">
        <w:rPr>
          <w:sz w:val="24"/>
          <w:szCs w:val="24"/>
          <w:highlight w:val="yellow"/>
        </w:rPr>
        <w:t xml:space="preserve"> There are no </w:t>
      </w:r>
      <w:r w:rsidR="000B75FC" w:rsidRPr="002118C9">
        <w:rPr>
          <w:sz w:val="24"/>
          <w:szCs w:val="24"/>
          <w:highlight w:val="yellow"/>
        </w:rPr>
        <w:t xml:space="preserve">jurisdictions that are eligible but ultimately denied funding.  All jurisdictions with </w:t>
      </w:r>
      <w:proofErr w:type="spellStart"/>
      <w:r w:rsidR="000B75FC" w:rsidRPr="002118C9">
        <w:rPr>
          <w:sz w:val="24"/>
          <w:szCs w:val="24"/>
          <w:highlight w:val="yellow"/>
        </w:rPr>
        <w:t>EPSCoR</w:t>
      </w:r>
      <w:proofErr w:type="spellEnd"/>
      <w:r w:rsidR="000B75FC" w:rsidRPr="002118C9">
        <w:rPr>
          <w:sz w:val="24"/>
          <w:szCs w:val="24"/>
          <w:highlight w:val="yellow"/>
        </w:rPr>
        <w:t xml:space="preserve"> RII funding will participate</w:t>
      </w:r>
      <w:r w:rsidR="000B75FC" w:rsidRPr="002118C9">
        <w:rPr>
          <w:sz w:val="24"/>
          <w:szCs w:val="24"/>
        </w:rPr>
        <w:t xml:space="preserve">.  </w:t>
      </w:r>
      <w:r w:rsidR="00573609" w:rsidRPr="000F7ECC">
        <w:rPr>
          <w:sz w:val="24"/>
          <w:szCs w:val="24"/>
        </w:rPr>
        <w:t>A second activity reflected in the table involve</w:t>
      </w:r>
      <w:r w:rsidR="006C7999" w:rsidRPr="000F7ECC">
        <w:rPr>
          <w:sz w:val="24"/>
          <w:szCs w:val="24"/>
        </w:rPr>
        <w:t>s</w:t>
      </w:r>
      <w:r w:rsidR="00573609" w:rsidRPr="000F7ECC">
        <w:rPr>
          <w:sz w:val="24"/>
          <w:szCs w:val="24"/>
        </w:rPr>
        <w:t xml:space="preserve"> conducting qualitative interviews with </w:t>
      </w:r>
      <w:r w:rsidR="006C7999" w:rsidRPr="000F7ECC">
        <w:rPr>
          <w:sz w:val="24"/>
          <w:szCs w:val="24"/>
        </w:rPr>
        <w:t xml:space="preserve">the </w:t>
      </w:r>
      <w:r w:rsidR="00C7195D" w:rsidRPr="000F7ECC">
        <w:rPr>
          <w:sz w:val="24"/>
          <w:szCs w:val="24"/>
        </w:rPr>
        <w:t>chairs</w:t>
      </w:r>
      <w:r w:rsidR="006C7999" w:rsidRPr="000F7ECC">
        <w:rPr>
          <w:sz w:val="24"/>
          <w:szCs w:val="24"/>
        </w:rPr>
        <w:t xml:space="preserve"> of each jurisdiction’s state committee.  For the data call, t</w:t>
      </w:r>
      <w:r w:rsidR="00E6199B" w:rsidRPr="000F7ECC">
        <w:rPr>
          <w:sz w:val="24"/>
          <w:szCs w:val="24"/>
        </w:rPr>
        <w:t xml:space="preserve">he </w:t>
      </w:r>
      <w:r w:rsidRPr="000F7ECC">
        <w:rPr>
          <w:sz w:val="24"/>
          <w:szCs w:val="24"/>
        </w:rPr>
        <w:t>expected</w:t>
      </w:r>
      <w:r w:rsidR="00E6199B" w:rsidRPr="000F7ECC">
        <w:rPr>
          <w:sz w:val="24"/>
          <w:szCs w:val="24"/>
        </w:rPr>
        <w:t xml:space="preserve"> burden </w:t>
      </w:r>
      <w:r w:rsidR="005C3661" w:rsidRPr="000F7ECC">
        <w:rPr>
          <w:sz w:val="24"/>
          <w:szCs w:val="24"/>
        </w:rPr>
        <w:t xml:space="preserve">for participants </w:t>
      </w:r>
      <w:r w:rsidRPr="000F7ECC">
        <w:rPr>
          <w:sz w:val="24"/>
          <w:szCs w:val="24"/>
        </w:rPr>
        <w:t xml:space="preserve">will </w:t>
      </w:r>
      <w:r w:rsidR="0032049C" w:rsidRPr="000F7ECC">
        <w:rPr>
          <w:sz w:val="24"/>
          <w:szCs w:val="24"/>
        </w:rPr>
        <w:t>vary by jurisdiction (</w:t>
      </w:r>
      <w:r w:rsidR="006C7999" w:rsidRPr="000F7ECC">
        <w:rPr>
          <w:sz w:val="24"/>
          <w:szCs w:val="24"/>
        </w:rPr>
        <w:t xml:space="preserve">e.g. </w:t>
      </w:r>
      <w:r w:rsidR="0032049C" w:rsidRPr="000F7ECC">
        <w:rPr>
          <w:sz w:val="24"/>
          <w:szCs w:val="24"/>
        </w:rPr>
        <w:t xml:space="preserve">five states have been a part of EPSCoR since 1980).  It is estimated that on average, it should take </w:t>
      </w:r>
      <w:r w:rsidR="000F0369" w:rsidRPr="000F7ECC">
        <w:rPr>
          <w:sz w:val="24"/>
          <w:szCs w:val="24"/>
        </w:rPr>
        <w:t xml:space="preserve">approximately </w:t>
      </w:r>
      <w:r w:rsidR="0032049C" w:rsidRPr="000F7ECC">
        <w:rPr>
          <w:sz w:val="24"/>
          <w:szCs w:val="24"/>
        </w:rPr>
        <w:t xml:space="preserve">40 hours to complete the </w:t>
      </w:r>
      <w:r w:rsidR="006C7999" w:rsidRPr="000F7ECC">
        <w:rPr>
          <w:sz w:val="24"/>
          <w:szCs w:val="24"/>
        </w:rPr>
        <w:t xml:space="preserve">prefilled template portion of the </w:t>
      </w:r>
      <w:r w:rsidR="0032049C" w:rsidRPr="000F7ECC">
        <w:rPr>
          <w:sz w:val="24"/>
          <w:szCs w:val="24"/>
        </w:rPr>
        <w:t>information call</w:t>
      </w:r>
      <w:r w:rsidRPr="000F7ECC">
        <w:rPr>
          <w:sz w:val="24"/>
          <w:szCs w:val="24"/>
        </w:rPr>
        <w:t xml:space="preserve">. </w:t>
      </w:r>
      <w:r w:rsidR="005C3661" w:rsidRPr="000F7ECC">
        <w:rPr>
          <w:sz w:val="24"/>
          <w:szCs w:val="24"/>
        </w:rPr>
        <w:t xml:space="preserve">The anticipated </w:t>
      </w:r>
      <w:r w:rsidRPr="000F7ECC">
        <w:rPr>
          <w:sz w:val="24"/>
          <w:szCs w:val="24"/>
        </w:rPr>
        <w:t xml:space="preserve">total annual burden to respondents </w:t>
      </w:r>
      <w:r w:rsidR="005C3661" w:rsidRPr="000F7ECC">
        <w:rPr>
          <w:sz w:val="24"/>
          <w:szCs w:val="24"/>
        </w:rPr>
        <w:t xml:space="preserve">is </w:t>
      </w:r>
      <w:r w:rsidR="005C3661" w:rsidRPr="000F7ECC">
        <w:rPr>
          <w:sz w:val="24"/>
          <w:szCs w:val="24"/>
        </w:rPr>
        <w:lastRenderedPageBreak/>
        <w:t>therefore</w:t>
      </w:r>
      <w:r w:rsidRPr="000F7ECC">
        <w:rPr>
          <w:sz w:val="24"/>
          <w:szCs w:val="24"/>
        </w:rPr>
        <w:t xml:space="preserve"> </w:t>
      </w:r>
      <w:r w:rsidR="00B36046" w:rsidRPr="000F7ECC">
        <w:rPr>
          <w:sz w:val="24"/>
          <w:szCs w:val="24"/>
        </w:rPr>
        <w:t>2610</w:t>
      </w:r>
      <w:r w:rsidR="006C7999" w:rsidRPr="000F7ECC">
        <w:rPr>
          <w:sz w:val="24"/>
          <w:szCs w:val="24"/>
        </w:rPr>
        <w:t xml:space="preserve"> hours (</w:t>
      </w:r>
      <w:r w:rsidR="0032049C" w:rsidRPr="000F7ECC">
        <w:rPr>
          <w:sz w:val="24"/>
          <w:szCs w:val="24"/>
        </w:rPr>
        <w:t>1160</w:t>
      </w:r>
      <w:r w:rsidR="005C3661" w:rsidRPr="000F7ECC">
        <w:rPr>
          <w:sz w:val="24"/>
          <w:szCs w:val="24"/>
        </w:rPr>
        <w:t xml:space="preserve"> hours</w:t>
      </w:r>
      <w:r w:rsidR="006C7999" w:rsidRPr="000F7ECC">
        <w:rPr>
          <w:sz w:val="24"/>
          <w:szCs w:val="24"/>
        </w:rPr>
        <w:t xml:space="preserve"> to review and complete the prefilled templates, and </w:t>
      </w:r>
      <w:r w:rsidR="00B36046" w:rsidRPr="000F7ECC">
        <w:rPr>
          <w:sz w:val="24"/>
          <w:szCs w:val="24"/>
        </w:rPr>
        <w:t>1450</w:t>
      </w:r>
      <w:r w:rsidR="006C7999" w:rsidRPr="000F7ECC">
        <w:rPr>
          <w:sz w:val="24"/>
          <w:szCs w:val="24"/>
        </w:rPr>
        <w:t xml:space="preserve"> hours to complete the survey)</w:t>
      </w:r>
      <w:r w:rsidR="00853AC0" w:rsidRPr="000F7ECC">
        <w:rPr>
          <w:sz w:val="24"/>
          <w:szCs w:val="24"/>
        </w:rPr>
        <w:t>.</w:t>
      </w:r>
      <w:r w:rsidR="0084230F" w:rsidRPr="000F7ECC">
        <w:rPr>
          <w:sz w:val="24"/>
          <w:szCs w:val="24"/>
        </w:rPr>
        <w:t xml:space="preserve"> Assuming an average hourly rate of </w:t>
      </w:r>
      <w:r w:rsidR="005F5DFA" w:rsidRPr="000F7ECC">
        <w:rPr>
          <w:sz w:val="24"/>
          <w:szCs w:val="24"/>
        </w:rPr>
        <w:t>$38.94</w:t>
      </w:r>
      <w:r w:rsidR="00466F91" w:rsidRPr="000F7ECC">
        <w:rPr>
          <w:sz w:val="24"/>
          <w:szCs w:val="24"/>
        </w:rPr>
        <w:t>,</w:t>
      </w:r>
      <w:r w:rsidR="005F5DFA" w:rsidRPr="000F7ECC">
        <w:rPr>
          <w:sz w:val="24"/>
          <w:szCs w:val="24"/>
        </w:rPr>
        <w:t xml:space="preserve"> (based on an average annual salary </w:t>
      </w:r>
      <w:r w:rsidR="0084230F" w:rsidRPr="000F7ECC">
        <w:rPr>
          <w:sz w:val="24"/>
          <w:szCs w:val="24"/>
        </w:rPr>
        <w:t xml:space="preserve">for US researchers </w:t>
      </w:r>
      <w:r w:rsidR="005F5DFA" w:rsidRPr="000F7ECC">
        <w:rPr>
          <w:sz w:val="24"/>
          <w:szCs w:val="24"/>
        </w:rPr>
        <w:t>of $81,000)</w:t>
      </w:r>
      <w:r w:rsidR="0084230F" w:rsidRPr="000F7ECC">
        <w:rPr>
          <w:sz w:val="24"/>
          <w:szCs w:val="24"/>
        </w:rPr>
        <w:t xml:space="preserve"> </w:t>
      </w:r>
      <w:r w:rsidR="005F5DFA" w:rsidRPr="000F7ECC">
        <w:rPr>
          <w:sz w:val="24"/>
          <w:szCs w:val="24"/>
        </w:rPr>
        <w:t>t</w:t>
      </w:r>
      <w:r w:rsidR="00E6199B" w:rsidRPr="000F7ECC">
        <w:rPr>
          <w:sz w:val="24"/>
          <w:szCs w:val="24"/>
        </w:rPr>
        <w:t xml:space="preserve">he </w:t>
      </w:r>
      <w:r w:rsidR="0084230F" w:rsidRPr="000F7ECC">
        <w:rPr>
          <w:sz w:val="24"/>
          <w:szCs w:val="24"/>
        </w:rPr>
        <w:t xml:space="preserve">annual (and total) </w:t>
      </w:r>
      <w:r w:rsidR="00E6199B" w:rsidRPr="000F7ECC">
        <w:rPr>
          <w:sz w:val="24"/>
          <w:szCs w:val="24"/>
        </w:rPr>
        <w:t xml:space="preserve">cost to respondents is estimated at </w:t>
      </w:r>
      <w:r w:rsidR="00EE0DAA" w:rsidRPr="000F7ECC">
        <w:rPr>
          <w:snapToGrid/>
          <w:color w:val="000000"/>
          <w:sz w:val="24"/>
          <w:szCs w:val="24"/>
        </w:rPr>
        <w:t>$</w:t>
      </w:r>
      <w:r w:rsidR="00B36046" w:rsidRPr="000F7ECC">
        <w:rPr>
          <w:snapToGrid/>
          <w:color w:val="000000"/>
          <w:sz w:val="24"/>
          <w:szCs w:val="24"/>
        </w:rPr>
        <w:t>101,663.40</w:t>
      </w:r>
      <w:r w:rsidR="00E6199B" w:rsidRPr="000F7ECC">
        <w:rPr>
          <w:sz w:val="24"/>
          <w:szCs w:val="24"/>
        </w:rPr>
        <w:t xml:space="preserve">. </w:t>
      </w:r>
      <w:r w:rsidR="006C7999" w:rsidRPr="000F7ECC">
        <w:rPr>
          <w:sz w:val="24"/>
          <w:szCs w:val="24"/>
        </w:rPr>
        <w:t xml:space="preserve">It is estimated that on average, it should take 1 hour to complete </w:t>
      </w:r>
      <w:r w:rsidR="00B36046" w:rsidRPr="000F7ECC">
        <w:rPr>
          <w:sz w:val="24"/>
          <w:szCs w:val="24"/>
        </w:rPr>
        <w:t>each</w:t>
      </w:r>
      <w:r w:rsidR="006C7999" w:rsidRPr="000F7ECC">
        <w:rPr>
          <w:sz w:val="24"/>
          <w:szCs w:val="24"/>
        </w:rPr>
        <w:t xml:space="preserve"> interview</w:t>
      </w:r>
      <w:r w:rsidR="00B36046" w:rsidRPr="000F7ECC">
        <w:rPr>
          <w:sz w:val="24"/>
          <w:szCs w:val="24"/>
        </w:rPr>
        <w:t xml:space="preserve"> with </w:t>
      </w:r>
      <w:r w:rsidR="00C7195D" w:rsidRPr="000F7ECC">
        <w:rPr>
          <w:sz w:val="24"/>
          <w:szCs w:val="24"/>
        </w:rPr>
        <w:t>chairs</w:t>
      </w:r>
      <w:r w:rsidR="00B36046" w:rsidRPr="000F7ECC">
        <w:rPr>
          <w:sz w:val="24"/>
          <w:szCs w:val="24"/>
        </w:rPr>
        <w:t xml:space="preserve"> of </w:t>
      </w:r>
      <w:r w:rsidR="006C7999" w:rsidRPr="000F7ECC">
        <w:rPr>
          <w:sz w:val="24"/>
          <w:szCs w:val="24"/>
        </w:rPr>
        <w:t>state committee</w:t>
      </w:r>
      <w:r w:rsidR="00B36046" w:rsidRPr="000F7ECC">
        <w:rPr>
          <w:sz w:val="24"/>
          <w:szCs w:val="24"/>
        </w:rPr>
        <w:t>s</w:t>
      </w:r>
      <w:r w:rsidR="006C7999" w:rsidRPr="000F7ECC">
        <w:rPr>
          <w:sz w:val="24"/>
          <w:szCs w:val="24"/>
        </w:rPr>
        <w:t xml:space="preserve">.  The anticipated total annual burden to respondents is therefore 29 hours.  Using the same figures for estimated hourly rate, the cost to respondents should be $1129.26 ($38.94 per interview).  This burden estimate assumes a 100% survey response and interview participation rate.  </w:t>
      </w:r>
      <w:r w:rsidR="000F7ECC" w:rsidRPr="000F7ECC">
        <w:rPr>
          <w:sz w:val="24"/>
          <w:szCs w:val="24"/>
          <w:highlight w:val="yellow"/>
        </w:rPr>
        <w:t xml:space="preserve">The effort is not mandatory for grantees, but it is nevertheless expected that all jurisdictions will participate. NSF has publicized that the survey will be coming for nearly a year, and all Project Directors have been consulted regarding the survey’s design.  RII Track-1 project teams have, as part of the Programmatic Terms and Conditions of their award, the expectation </w:t>
      </w:r>
      <w:r w:rsidR="000F7ECC" w:rsidRPr="000F7ECC">
        <w:rPr>
          <w:iCs/>
          <w:sz w:val="24"/>
          <w:szCs w:val="24"/>
          <w:highlight w:val="yellow"/>
        </w:rPr>
        <w:t xml:space="preserve">to cooperate with NSF </w:t>
      </w:r>
      <w:proofErr w:type="spellStart"/>
      <w:r w:rsidR="000F7ECC" w:rsidRPr="000F7ECC">
        <w:rPr>
          <w:iCs/>
          <w:sz w:val="24"/>
          <w:szCs w:val="24"/>
          <w:highlight w:val="yellow"/>
        </w:rPr>
        <w:t>EPSCoR</w:t>
      </w:r>
      <w:proofErr w:type="spellEnd"/>
      <w:r w:rsidR="000F7ECC" w:rsidRPr="000F7ECC">
        <w:rPr>
          <w:iCs/>
          <w:sz w:val="24"/>
          <w:szCs w:val="24"/>
          <w:highlight w:val="yellow"/>
        </w:rPr>
        <w:t xml:space="preserve"> program evaluation activities.  Based upon past experience, we therefore believe that the response rate will be near unity.</w:t>
      </w:r>
      <w:r w:rsidR="000F7ECC" w:rsidRPr="000F7ECC">
        <w:rPr>
          <w:iCs/>
          <w:sz w:val="24"/>
          <w:szCs w:val="24"/>
        </w:rPr>
        <w:t xml:space="preserve"> </w:t>
      </w:r>
      <w:r w:rsidR="000F7ECC">
        <w:rPr>
          <w:iCs/>
          <w:sz w:val="24"/>
          <w:szCs w:val="24"/>
        </w:rPr>
        <w:t xml:space="preserve"> </w:t>
      </w:r>
      <w:r w:rsidR="00E6199B" w:rsidRPr="006D652B">
        <w:rPr>
          <w:sz w:val="24"/>
          <w:szCs w:val="24"/>
        </w:rPr>
        <w:t>There a</w:t>
      </w:r>
      <w:r w:rsidR="007160ED" w:rsidRPr="006D652B">
        <w:rPr>
          <w:sz w:val="24"/>
          <w:szCs w:val="24"/>
        </w:rPr>
        <w:t>re no Capital Costs to report.</w:t>
      </w:r>
    </w:p>
    <w:p w:rsidR="00887D72" w:rsidRDefault="00887D72" w:rsidP="00853AC0">
      <w:pPr>
        <w:rPr>
          <w:b/>
          <w:szCs w:val="24"/>
        </w:rPr>
      </w:pPr>
    </w:p>
    <w:p w:rsidR="00E6199B" w:rsidRPr="006D652B" w:rsidRDefault="0021028E" w:rsidP="00853AC0">
      <w:pPr>
        <w:rPr>
          <w:b/>
          <w:szCs w:val="24"/>
        </w:rPr>
      </w:pPr>
      <w:commentRangeStart w:id="14"/>
      <w:r w:rsidRPr="006D652B">
        <w:rPr>
          <w:b/>
          <w:szCs w:val="24"/>
        </w:rPr>
        <w:t>Table</w:t>
      </w:r>
      <w:r w:rsidR="005F5DFA" w:rsidRPr="006D652B">
        <w:rPr>
          <w:b/>
          <w:szCs w:val="24"/>
        </w:rPr>
        <w:t xml:space="preserve"> </w:t>
      </w:r>
      <w:r w:rsidR="00226FC1" w:rsidRPr="006D652B">
        <w:rPr>
          <w:b/>
          <w:szCs w:val="24"/>
        </w:rPr>
        <w:t>A.12</w:t>
      </w:r>
      <w:r w:rsidR="0084230F" w:rsidRPr="006D652B">
        <w:rPr>
          <w:b/>
          <w:szCs w:val="24"/>
        </w:rPr>
        <w:t xml:space="preserve"> </w:t>
      </w:r>
      <w:r w:rsidR="00E6199B" w:rsidRPr="006D652B">
        <w:rPr>
          <w:b/>
          <w:szCs w:val="24"/>
        </w:rPr>
        <w:t>Annualized Estimate of Burden</w:t>
      </w:r>
      <w:commentRangeEnd w:id="14"/>
      <w:r w:rsidR="000F7ECC">
        <w:rPr>
          <w:rStyle w:val="CommentReference"/>
        </w:rPr>
        <w:commentReference w:id="14"/>
      </w:r>
    </w:p>
    <w:tbl>
      <w:tblPr>
        <w:tblW w:w="892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1260"/>
        <w:gridCol w:w="1080"/>
        <w:gridCol w:w="1080"/>
        <w:gridCol w:w="1080"/>
        <w:gridCol w:w="990"/>
        <w:gridCol w:w="1260"/>
      </w:tblGrid>
      <w:tr w:rsidR="0084230F" w:rsidRPr="00B00781" w:rsidTr="00F330EE">
        <w:trPr>
          <w:trHeight w:val="525"/>
        </w:trPr>
        <w:tc>
          <w:tcPr>
            <w:tcW w:w="2170" w:type="dxa"/>
            <w:shd w:val="clear" w:color="auto" w:fill="auto"/>
            <w:hideMark/>
          </w:tcPr>
          <w:p w:rsidR="005C3661" w:rsidRPr="00B00781" w:rsidRDefault="005C3661" w:rsidP="005C3661">
            <w:pPr>
              <w:widowControl/>
              <w:rPr>
                <w:snapToGrid/>
                <w:color w:val="000000"/>
                <w:sz w:val="18"/>
              </w:rPr>
            </w:pPr>
            <w:r w:rsidRPr="00B00781">
              <w:rPr>
                <w:snapToGrid/>
                <w:color w:val="000000"/>
                <w:sz w:val="18"/>
              </w:rPr>
              <w:t>Category of Participant</w:t>
            </w:r>
          </w:p>
        </w:tc>
        <w:tc>
          <w:tcPr>
            <w:tcW w:w="1260" w:type="dxa"/>
            <w:shd w:val="clear" w:color="auto" w:fill="auto"/>
            <w:hideMark/>
          </w:tcPr>
          <w:p w:rsidR="005C3661" w:rsidRPr="00B00781" w:rsidRDefault="00466F91" w:rsidP="00466F91">
            <w:pPr>
              <w:widowControl/>
              <w:rPr>
                <w:snapToGrid/>
                <w:color w:val="000000"/>
                <w:sz w:val="18"/>
              </w:rPr>
            </w:pPr>
            <w:r>
              <w:rPr>
                <w:snapToGrid/>
                <w:color w:val="000000"/>
                <w:sz w:val="18"/>
              </w:rPr>
              <w:t>Expecte</w:t>
            </w:r>
            <w:r w:rsidR="005C3661" w:rsidRPr="00B00781">
              <w:rPr>
                <w:snapToGrid/>
                <w:color w:val="000000"/>
                <w:sz w:val="18"/>
              </w:rPr>
              <w:t>d number of participants</w:t>
            </w:r>
          </w:p>
        </w:tc>
        <w:tc>
          <w:tcPr>
            <w:tcW w:w="1080" w:type="dxa"/>
            <w:shd w:val="clear" w:color="auto" w:fill="auto"/>
            <w:hideMark/>
          </w:tcPr>
          <w:p w:rsidR="005C3661" w:rsidRPr="00B00781" w:rsidRDefault="00466F91" w:rsidP="00466F91">
            <w:pPr>
              <w:widowControl/>
              <w:rPr>
                <w:snapToGrid/>
                <w:color w:val="000000"/>
                <w:sz w:val="18"/>
              </w:rPr>
            </w:pPr>
            <w:r>
              <w:rPr>
                <w:snapToGrid/>
                <w:color w:val="000000"/>
                <w:sz w:val="18"/>
              </w:rPr>
              <w:t>Average number  of r</w:t>
            </w:r>
            <w:r w:rsidR="005C3661" w:rsidRPr="00B00781">
              <w:rPr>
                <w:snapToGrid/>
                <w:color w:val="000000"/>
                <w:sz w:val="18"/>
              </w:rPr>
              <w:t>esponses per participant</w:t>
            </w:r>
          </w:p>
        </w:tc>
        <w:tc>
          <w:tcPr>
            <w:tcW w:w="1080" w:type="dxa"/>
            <w:shd w:val="clear" w:color="auto" w:fill="auto"/>
            <w:hideMark/>
          </w:tcPr>
          <w:p w:rsidR="005C3661" w:rsidRPr="00B00781" w:rsidRDefault="005C3661" w:rsidP="005C3661">
            <w:pPr>
              <w:widowControl/>
              <w:rPr>
                <w:snapToGrid/>
                <w:color w:val="000000"/>
                <w:sz w:val="18"/>
              </w:rPr>
            </w:pPr>
            <w:r w:rsidRPr="00B00781">
              <w:rPr>
                <w:snapToGrid/>
                <w:color w:val="000000"/>
                <w:sz w:val="18"/>
              </w:rPr>
              <w:t xml:space="preserve">Average burden hours per </w:t>
            </w:r>
            <w:r w:rsidR="00207E4F">
              <w:rPr>
                <w:snapToGrid/>
                <w:color w:val="000000"/>
                <w:sz w:val="18"/>
              </w:rPr>
              <w:t xml:space="preserve">template </w:t>
            </w:r>
            <w:r w:rsidRPr="00B00781">
              <w:rPr>
                <w:snapToGrid/>
                <w:color w:val="000000"/>
                <w:sz w:val="18"/>
              </w:rPr>
              <w:t>response</w:t>
            </w:r>
          </w:p>
        </w:tc>
        <w:tc>
          <w:tcPr>
            <w:tcW w:w="1080" w:type="dxa"/>
            <w:shd w:val="clear" w:color="auto" w:fill="auto"/>
            <w:hideMark/>
          </w:tcPr>
          <w:p w:rsidR="005C3661" w:rsidRPr="00B00781" w:rsidRDefault="005C3661" w:rsidP="0084230F">
            <w:pPr>
              <w:widowControl/>
              <w:rPr>
                <w:snapToGrid/>
                <w:color w:val="000000"/>
                <w:sz w:val="18"/>
              </w:rPr>
            </w:pPr>
            <w:r w:rsidRPr="00B00781">
              <w:rPr>
                <w:snapToGrid/>
                <w:color w:val="000000"/>
                <w:sz w:val="18"/>
              </w:rPr>
              <w:t>Estimated annual burden hours</w:t>
            </w:r>
          </w:p>
        </w:tc>
        <w:tc>
          <w:tcPr>
            <w:tcW w:w="990" w:type="dxa"/>
            <w:shd w:val="clear" w:color="auto" w:fill="auto"/>
            <w:hideMark/>
          </w:tcPr>
          <w:p w:rsidR="005C3661" w:rsidRPr="00B00781" w:rsidRDefault="005C3661" w:rsidP="0084230F">
            <w:pPr>
              <w:widowControl/>
              <w:rPr>
                <w:snapToGrid/>
                <w:color w:val="000000"/>
                <w:sz w:val="18"/>
              </w:rPr>
            </w:pPr>
            <w:r w:rsidRPr="00B00781">
              <w:rPr>
                <w:snapToGrid/>
                <w:color w:val="000000"/>
                <w:sz w:val="18"/>
              </w:rPr>
              <w:t>Estimated hourly wage</w:t>
            </w:r>
          </w:p>
        </w:tc>
        <w:tc>
          <w:tcPr>
            <w:tcW w:w="1260" w:type="dxa"/>
            <w:shd w:val="clear" w:color="auto" w:fill="auto"/>
            <w:hideMark/>
          </w:tcPr>
          <w:p w:rsidR="005C3661" w:rsidRPr="00B00781" w:rsidRDefault="005C3661" w:rsidP="005C3661">
            <w:pPr>
              <w:widowControl/>
              <w:rPr>
                <w:snapToGrid/>
                <w:color w:val="000000"/>
                <w:sz w:val="18"/>
              </w:rPr>
            </w:pPr>
            <w:r w:rsidRPr="00B00781">
              <w:rPr>
                <w:snapToGrid/>
                <w:color w:val="000000"/>
                <w:sz w:val="18"/>
              </w:rPr>
              <w:t>Estimated annual cost to participants</w:t>
            </w:r>
          </w:p>
        </w:tc>
      </w:tr>
      <w:tr w:rsidR="00573609" w:rsidRPr="00B00781" w:rsidTr="00887D72">
        <w:trPr>
          <w:trHeight w:val="300"/>
        </w:trPr>
        <w:tc>
          <w:tcPr>
            <w:tcW w:w="8920" w:type="dxa"/>
            <w:gridSpan w:val="7"/>
            <w:shd w:val="clear" w:color="auto" w:fill="D9D9D9" w:themeFill="background1" w:themeFillShade="D9"/>
            <w:noWrap/>
            <w:vAlign w:val="bottom"/>
          </w:tcPr>
          <w:p w:rsidR="00573609" w:rsidRPr="00887D72" w:rsidRDefault="00573609" w:rsidP="00C7195D">
            <w:pPr>
              <w:rPr>
                <w:b/>
                <w:color w:val="000000"/>
              </w:rPr>
            </w:pPr>
            <w:r w:rsidRPr="00887D72">
              <w:rPr>
                <w:b/>
                <w:color w:val="000000"/>
              </w:rPr>
              <w:t xml:space="preserve">Per </w:t>
            </w:r>
            <w:r w:rsidR="00C7195D">
              <w:rPr>
                <w:b/>
                <w:color w:val="000000"/>
              </w:rPr>
              <w:t xml:space="preserve">Funding </w:t>
            </w:r>
            <w:r w:rsidRPr="00887D72">
              <w:rPr>
                <w:b/>
                <w:color w:val="000000"/>
              </w:rPr>
              <w:t xml:space="preserve">Iteration Jurisdiction level information call </w:t>
            </w:r>
          </w:p>
        </w:tc>
      </w:tr>
      <w:tr w:rsidR="0048014E" w:rsidRPr="00B00781" w:rsidTr="00F330EE">
        <w:trPr>
          <w:trHeight w:val="300"/>
        </w:trPr>
        <w:tc>
          <w:tcPr>
            <w:tcW w:w="2170" w:type="dxa"/>
            <w:shd w:val="clear" w:color="auto" w:fill="auto"/>
            <w:noWrap/>
            <w:vAlign w:val="bottom"/>
            <w:hideMark/>
          </w:tcPr>
          <w:p w:rsidR="0048014E" w:rsidRPr="00B00781" w:rsidRDefault="0032049C" w:rsidP="003C550E">
            <w:pPr>
              <w:rPr>
                <w:color w:val="000000"/>
              </w:rPr>
            </w:pPr>
            <w:proofErr w:type="spellStart"/>
            <w:r w:rsidRPr="00B00781">
              <w:rPr>
                <w:color w:val="000000"/>
              </w:rPr>
              <w:t>EPSCoR</w:t>
            </w:r>
            <w:proofErr w:type="spellEnd"/>
            <w:r w:rsidRPr="00B00781">
              <w:rPr>
                <w:color w:val="000000"/>
              </w:rPr>
              <w:t xml:space="preserve"> RII PDs </w:t>
            </w:r>
            <w:r w:rsidR="003C550E">
              <w:rPr>
                <w:color w:val="000000"/>
              </w:rPr>
              <w:t>survey</w:t>
            </w:r>
          </w:p>
        </w:tc>
        <w:tc>
          <w:tcPr>
            <w:tcW w:w="1260" w:type="dxa"/>
            <w:shd w:val="clear" w:color="auto" w:fill="auto"/>
            <w:noWrap/>
            <w:vAlign w:val="bottom"/>
            <w:hideMark/>
          </w:tcPr>
          <w:p w:rsidR="0048014E" w:rsidRPr="00B00781" w:rsidRDefault="0032049C" w:rsidP="007160ED">
            <w:pPr>
              <w:rPr>
                <w:color w:val="000000"/>
              </w:rPr>
            </w:pPr>
            <w:r w:rsidRPr="00B00781">
              <w:rPr>
                <w:color w:val="000000"/>
              </w:rPr>
              <w:t>29</w:t>
            </w:r>
            <w:r w:rsidR="00207E4F">
              <w:rPr>
                <w:rStyle w:val="FootnoteReference"/>
                <w:color w:val="000000"/>
              </w:rPr>
              <w:footnoteReference w:id="3"/>
            </w:r>
          </w:p>
        </w:tc>
        <w:tc>
          <w:tcPr>
            <w:tcW w:w="1080" w:type="dxa"/>
            <w:shd w:val="clear" w:color="auto" w:fill="auto"/>
            <w:noWrap/>
            <w:vAlign w:val="bottom"/>
            <w:hideMark/>
          </w:tcPr>
          <w:p w:rsidR="0048014E" w:rsidRPr="00B00781" w:rsidRDefault="00D94D6C" w:rsidP="00466F91">
            <w:pPr>
              <w:rPr>
                <w:color w:val="000000"/>
              </w:rPr>
            </w:pPr>
            <w:r>
              <w:rPr>
                <w:color w:val="000000"/>
              </w:rPr>
              <w:t>5</w:t>
            </w:r>
            <w:r w:rsidR="00466F91">
              <w:rPr>
                <w:rStyle w:val="FootnoteReference"/>
                <w:color w:val="000000"/>
              </w:rPr>
              <w:footnoteReference w:id="4"/>
            </w:r>
            <w:r w:rsidR="00C15571" w:rsidRPr="00B00781">
              <w:rPr>
                <w:color w:val="000000"/>
              </w:rPr>
              <w:t xml:space="preserve"> </w:t>
            </w:r>
          </w:p>
        </w:tc>
        <w:tc>
          <w:tcPr>
            <w:tcW w:w="1080" w:type="dxa"/>
            <w:shd w:val="clear" w:color="auto" w:fill="auto"/>
            <w:noWrap/>
            <w:vAlign w:val="bottom"/>
            <w:hideMark/>
          </w:tcPr>
          <w:p w:rsidR="0048014E" w:rsidRPr="00B00781" w:rsidRDefault="003C550E" w:rsidP="007F1B16">
            <w:pPr>
              <w:rPr>
                <w:color w:val="000000"/>
              </w:rPr>
            </w:pPr>
            <w:r>
              <w:rPr>
                <w:color w:val="000000"/>
              </w:rPr>
              <w:t>10</w:t>
            </w:r>
          </w:p>
        </w:tc>
        <w:tc>
          <w:tcPr>
            <w:tcW w:w="1080" w:type="dxa"/>
            <w:shd w:val="clear" w:color="auto" w:fill="auto"/>
            <w:vAlign w:val="bottom"/>
            <w:hideMark/>
          </w:tcPr>
          <w:p w:rsidR="0048014E" w:rsidRPr="00B00781" w:rsidRDefault="003C550E" w:rsidP="007160ED">
            <w:pPr>
              <w:rPr>
                <w:color w:val="000000"/>
              </w:rPr>
            </w:pPr>
            <w:r>
              <w:rPr>
                <w:color w:val="000000"/>
              </w:rPr>
              <w:t>1</w:t>
            </w:r>
            <w:r w:rsidR="00D94D6C">
              <w:rPr>
                <w:color w:val="000000"/>
              </w:rPr>
              <w:t>450</w:t>
            </w:r>
          </w:p>
        </w:tc>
        <w:tc>
          <w:tcPr>
            <w:tcW w:w="990" w:type="dxa"/>
            <w:shd w:val="clear" w:color="auto" w:fill="auto"/>
            <w:noWrap/>
            <w:vAlign w:val="bottom"/>
            <w:hideMark/>
          </w:tcPr>
          <w:p w:rsidR="0048014E" w:rsidRPr="00B00781" w:rsidRDefault="0048014E" w:rsidP="007160ED">
            <w:pPr>
              <w:rPr>
                <w:color w:val="000000"/>
              </w:rPr>
            </w:pPr>
            <w:r w:rsidRPr="00B00781">
              <w:rPr>
                <w:color w:val="000000"/>
              </w:rPr>
              <w:t xml:space="preserve">$38.94 </w:t>
            </w:r>
          </w:p>
        </w:tc>
        <w:tc>
          <w:tcPr>
            <w:tcW w:w="1260" w:type="dxa"/>
            <w:shd w:val="clear" w:color="auto" w:fill="auto"/>
            <w:vAlign w:val="bottom"/>
            <w:hideMark/>
          </w:tcPr>
          <w:p w:rsidR="0048014E" w:rsidRPr="00B00781" w:rsidRDefault="003C550E" w:rsidP="00D94D6C">
            <w:pPr>
              <w:jc w:val="center"/>
              <w:rPr>
                <w:color w:val="000000"/>
              </w:rPr>
            </w:pPr>
            <w:r>
              <w:rPr>
                <w:color w:val="000000"/>
              </w:rPr>
              <w:t>$</w:t>
            </w:r>
            <w:r w:rsidR="00D94D6C">
              <w:rPr>
                <w:color w:val="000000"/>
              </w:rPr>
              <w:t>56463.00</w:t>
            </w:r>
          </w:p>
        </w:tc>
      </w:tr>
      <w:tr w:rsidR="003C550E" w:rsidRPr="00B00781" w:rsidTr="00F330EE">
        <w:trPr>
          <w:trHeight w:val="300"/>
        </w:trPr>
        <w:tc>
          <w:tcPr>
            <w:tcW w:w="2170" w:type="dxa"/>
            <w:shd w:val="clear" w:color="auto" w:fill="auto"/>
            <w:noWrap/>
            <w:vAlign w:val="bottom"/>
          </w:tcPr>
          <w:p w:rsidR="003C550E" w:rsidRDefault="003C550E" w:rsidP="00F330EE">
            <w:pPr>
              <w:rPr>
                <w:color w:val="000000"/>
              </w:rPr>
            </w:pPr>
            <w:proofErr w:type="spellStart"/>
            <w:r>
              <w:rPr>
                <w:color w:val="000000"/>
              </w:rPr>
              <w:t>EPSCoR</w:t>
            </w:r>
            <w:proofErr w:type="spellEnd"/>
            <w:r>
              <w:rPr>
                <w:color w:val="000000"/>
              </w:rPr>
              <w:t xml:space="preserve"> RII template</w:t>
            </w:r>
          </w:p>
        </w:tc>
        <w:tc>
          <w:tcPr>
            <w:tcW w:w="1260" w:type="dxa"/>
            <w:shd w:val="clear" w:color="auto" w:fill="auto"/>
            <w:noWrap/>
            <w:vAlign w:val="bottom"/>
          </w:tcPr>
          <w:p w:rsidR="003C550E" w:rsidRDefault="003C550E" w:rsidP="00F330EE">
            <w:pPr>
              <w:rPr>
                <w:color w:val="000000"/>
              </w:rPr>
            </w:pPr>
            <w:r>
              <w:rPr>
                <w:color w:val="000000"/>
              </w:rPr>
              <w:t>29</w:t>
            </w:r>
          </w:p>
        </w:tc>
        <w:tc>
          <w:tcPr>
            <w:tcW w:w="1080" w:type="dxa"/>
            <w:shd w:val="clear" w:color="auto" w:fill="auto"/>
            <w:vAlign w:val="bottom"/>
          </w:tcPr>
          <w:p w:rsidR="003C550E" w:rsidRPr="00B00781" w:rsidRDefault="003C550E" w:rsidP="00F330EE">
            <w:pPr>
              <w:rPr>
                <w:color w:val="000000"/>
              </w:rPr>
            </w:pPr>
            <w:r>
              <w:rPr>
                <w:color w:val="000000"/>
              </w:rPr>
              <w:t>1</w:t>
            </w:r>
          </w:p>
        </w:tc>
        <w:tc>
          <w:tcPr>
            <w:tcW w:w="1080" w:type="dxa"/>
            <w:shd w:val="clear" w:color="auto" w:fill="auto"/>
            <w:noWrap/>
            <w:vAlign w:val="bottom"/>
          </w:tcPr>
          <w:p w:rsidR="003C550E" w:rsidRPr="00B00781" w:rsidRDefault="003C550E" w:rsidP="00F330EE">
            <w:pPr>
              <w:rPr>
                <w:color w:val="000000"/>
              </w:rPr>
            </w:pPr>
            <w:r>
              <w:rPr>
                <w:color w:val="000000"/>
              </w:rPr>
              <w:t>40</w:t>
            </w:r>
          </w:p>
        </w:tc>
        <w:tc>
          <w:tcPr>
            <w:tcW w:w="1080" w:type="dxa"/>
            <w:shd w:val="clear" w:color="auto" w:fill="auto"/>
            <w:vAlign w:val="bottom"/>
          </w:tcPr>
          <w:p w:rsidR="003C550E" w:rsidRDefault="00D94D6C" w:rsidP="00F330EE">
            <w:pPr>
              <w:rPr>
                <w:color w:val="000000"/>
              </w:rPr>
            </w:pPr>
            <w:r>
              <w:rPr>
                <w:color w:val="000000"/>
              </w:rPr>
              <w:t>1160</w:t>
            </w:r>
          </w:p>
        </w:tc>
        <w:tc>
          <w:tcPr>
            <w:tcW w:w="990" w:type="dxa"/>
            <w:shd w:val="clear" w:color="auto" w:fill="auto"/>
            <w:noWrap/>
            <w:vAlign w:val="bottom"/>
          </w:tcPr>
          <w:p w:rsidR="003C550E" w:rsidRPr="00B00781" w:rsidRDefault="003C550E" w:rsidP="00F330EE">
            <w:pPr>
              <w:rPr>
                <w:color w:val="000000"/>
              </w:rPr>
            </w:pPr>
            <w:r w:rsidRPr="00B00781">
              <w:rPr>
                <w:color w:val="000000"/>
              </w:rPr>
              <w:t>$38.94</w:t>
            </w:r>
          </w:p>
        </w:tc>
        <w:tc>
          <w:tcPr>
            <w:tcW w:w="1260" w:type="dxa"/>
            <w:shd w:val="clear" w:color="auto" w:fill="auto"/>
            <w:vAlign w:val="bottom"/>
          </w:tcPr>
          <w:p w:rsidR="003C550E" w:rsidRPr="00B00781" w:rsidRDefault="003C550E" w:rsidP="00D94D6C">
            <w:pPr>
              <w:jc w:val="center"/>
              <w:rPr>
                <w:color w:val="000000"/>
              </w:rPr>
            </w:pPr>
            <w:r>
              <w:rPr>
                <w:color w:val="000000"/>
              </w:rPr>
              <w:t>$</w:t>
            </w:r>
            <w:r w:rsidR="00D94D6C">
              <w:rPr>
                <w:color w:val="000000"/>
              </w:rPr>
              <w:t>45170.40</w:t>
            </w:r>
          </w:p>
        </w:tc>
      </w:tr>
      <w:tr w:rsidR="00F330EE" w:rsidRPr="00B00781" w:rsidTr="00F330EE">
        <w:trPr>
          <w:trHeight w:val="300"/>
        </w:trPr>
        <w:tc>
          <w:tcPr>
            <w:tcW w:w="2170" w:type="dxa"/>
            <w:shd w:val="clear" w:color="auto" w:fill="auto"/>
            <w:noWrap/>
            <w:vAlign w:val="bottom"/>
          </w:tcPr>
          <w:p w:rsidR="00F330EE" w:rsidRDefault="00F330EE" w:rsidP="00F330EE">
            <w:pPr>
              <w:rPr>
                <w:color w:val="000000"/>
              </w:rPr>
            </w:pPr>
            <w:r>
              <w:rPr>
                <w:color w:val="000000"/>
              </w:rPr>
              <w:t xml:space="preserve">Subtotal </w:t>
            </w:r>
          </w:p>
        </w:tc>
        <w:tc>
          <w:tcPr>
            <w:tcW w:w="1260" w:type="dxa"/>
            <w:shd w:val="clear" w:color="auto" w:fill="auto"/>
            <w:noWrap/>
            <w:vAlign w:val="bottom"/>
          </w:tcPr>
          <w:p w:rsidR="00F330EE" w:rsidRPr="00B00781" w:rsidRDefault="00F330EE" w:rsidP="00F330EE">
            <w:pPr>
              <w:rPr>
                <w:color w:val="000000"/>
              </w:rPr>
            </w:pPr>
            <w:r>
              <w:rPr>
                <w:color w:val="000000"/>
              </w:rPr>
              <w:t>58</w:t>
            </w:r>
          </w:p>
        </w:tc>
        <w:tc>
          <w:tcPr>
            <w:tcW w:w="1080" w:type="dxa"/>
            <w:shd w:val="clear" w:color="auto" w:fill="auto"/>
            <w:vAlign w:val="bottom"/>
          </w:tcPr>
          <w:p w:rsidR="00F330EE" w:rsidRPr="00B00781" w:rsidRDefault="00F330EE" w:rsidP="00F330EE">
            <w:pPr>
              <w:rPr>
                <w:color w:val="000000"/>
              </w:rPr>
            </w:pPr>
            <w:r w:rsidRPr="00B00781">
              <w:rPr>
                <w:color w:val="000000"/>
              </w:rPr>
              <w:t>-</w:t>
            </w:r>
          </w:p>
        </w:tc>
        <w:tc>
          <w:tcPr>
            <w:tcW w:w="1080" w:type="dxa"/>
            <w:shd w:val="clear" w:color="auto" w:fill="auto"/>
            <w:noWrap/>
            <w:vAlign w:val="bottom"/>
          </w:tcPr>
          <w:p w:rsidR="00F330EE" w:rsidRPr="00B00781" w:rsidRDefault="00F330EE" w:rsidP="00F330EE">
            <w:pPr>
              <w:rPr>
                <w:color w:val="000000"/>
              </w:rPr>
            </w:pPr>
            <w:r w:rsidRPr="00B00781">
              <w:rPr>
                <w:color w:val="000000"/>
              </w:rPr>
              <w:t>-</w:t>
            </w:r>
          </w:p>
        </w:tc>
        <w:tc>
          <w:tcPr>
            <w:tcW w:w="1080" w:type="dxa"/>
            <w:shd w:val="clear" w:color="auto" w:fill="auto"/>
            <w:vAlign w:val="bottom"/>
          </w:tcPr>
          <w:p w:rsidR="00F330EE" w:rsidRPr="00B00781" w:rsidRDefault="00B06721" w:rsidP="00F330EE">
            <w:pPr>
              <w:rPr>
                <w:color w:val="000000"/>
              </w:rPr>
            </w:pPr>
            <w:r>
              <w:rPr>
                <w:color w:val="000000"/>
              </w:rPr>
              <w:t>2610</w:t>
            </w:r>
          </w:p>
        </w:tc>
        <w:tc>
          <w:tcPr>
            <w:tcW w:w="990" w:type="dxa"/>
            <w:shd w:val="clear" w:color="auto" w:fill="auto"/>
            <w:noWrap/>
            <w:vAlign w:val="bottom"/>
          </w:tcPr>
          <w:p w:rsidR="00F330EE" w:rsidRPr="00B00781" w:rsidRDefault="00F330EE" w:rsidP="00F330EE">
            <w:pPr>
              <w:rPr>
                <w:color w:val="000000"/>
              </w:rPr>
            </w:pPr>
            <w:r w:rsidRPr="00B00781">
              <w:rPr>
                <w:color w:val="000000"/>
              </w:rPr>
              <w:t>-</w:t>
            </w:r>
          </w:p>
        </w:tc>
        <w:tc>
          <w:tcPr>
            <w:tcW w:w="1260" w:type="dxa"/>
            <w:shd w:val="clear" w:color="auto" w:fill="auto"/>
            <w:vAlign w:val="bottom"/>
          </w:tcPr>
          <w:p w:rsidR="00F330EE" w:rsidRPr="006D652B" w:rsidRDefault="00F330EE" w:rsidP="00D94D6C">
            <w:pPr>
              <w:jc w:val="center"/>
              <w:rPr>
                <w:color w:val="000000"/>
              </w:rPr>
            </w:pPr>
            <w:r w:rsidRPr="00B00781">
              <w:rPr>
                <w:color w:val="000000"/>
              </w:rPr>
              <w:t>$</w:t>
            </w:r>
            <w:r w:rsidR="00D94D6C">
              <w:rPr>
                <w:color w:val="000000"/>
              </w:rPr>
              <w:t>101633.40</w:t>
            </w:r>
          </w:p>
        </w:tc>
      </w:tr>
      <w:tr w:rsidR="00573609" w:rsidRPr="00B00781" w:rsidTr="00887D72">
        <w:trPr>
          <w:trHeight w:val="300"/>
        </w:trPr>
        <w:tc>
          <w:tcPr>
            <w:tcW w:w="8920" w:type="dxa"/>
            <w:gridSpan w:val="7"/>
            <w:shd w:val="clear" w:color="auto" w:fill="D9D9D9" w:themeFill="background1" w:themeFillShade="D9"/>
            <w:noWrap/>
            <w:vAlign w:val="bottom"/>
          </w:tcPr>
          <w:p w:rsidR="00573609" w:rsidRPr="00887D72" w:rsidRDefault="00573609" w:rsidP="00573609">
            <w:pPr>
              <w:rPr>
                <w:b/>
                <w:color w:val="000000"/>
              </w:rPr>
            </w:pPr>
            <w:r w:rsidRPr="00887D72">
              <w:rPr>
                <w:b/>
                <w:color w:val="000000"/>
              </w:rPr>
              <w:t xml:space="preserve">Per Jurisdiction Interviews </w:t>
            </w:r>
          </w:p>
        </w:tc>
      </w:tr>
      <w:tr w:rsidR="00F330EE" w:rsidRPr="00B00781" w:rsidTr="00F330EE">
        <w:trPr>
          <w:trHeight w:val="300"/>
        </w:trPr>
        <w:tc>
          <w:tcPr>
            <w:tcW w:w="2170" w:type="dxa"/>
            <w:shd w:val="clear" w:color="auto" w:fill="auto"/>
            <w:noWrap/>
            <w:vAlign w:val="bottom"/>
            <w:hideMark/>
          </w:tcPr>
          <w:p w:rsidR="00C7195D" w:rsidRDefault="00F330EE" w:rsidP="00C7195D">
            <w:pPr>
              <w:rPr>
                <w:color w:val="000000"/>
              </w:rPr>
            </w:pPr>
            <w:r>
              <w:rPr>
                <w:color w:val="000000"/>
              </w:rPr>
              <w:t xml:space="preserve">State Committee </w:t>
            </w:r>
            <w:r w:rsidR="00C7195D">
              <w:rPr>
                <w:color w:val="000000"/>
              </w:rPr>
              <w:t>Chair</w:t>
            </w:r>
          </w:p>
          <w:p w:rsidR="00F330EE" w:rsidRPr="00B00781" w:rsidRDefault="00F330EE" w:rsidP="00C7195D">
            <w:pPr>
              <w:rPr>
                <w:color w:val="000000"/>
              </w:rPr>
            </w:pPr>
            <w:r>
              <w:rPr>
                <w:color w:val="000000"/>
              </w:rPr>
              <w:t xml:space="preserve"> interviews</w:t>
            </w:r>
            <w:r w:rsidRPr="00B00781">
              <w:rPr>
                <w:color w:val="000000"/>
              </w:rPr>
              <w:t xml:space="preserve"> </w:t>
            </w:r>
          </w:p>
        </w:tc>
        <w:tc>
          <w:tcPr>
            <w:tcW w:w="1260" w:type="dxa"/>
            <w:shd w:val="clear" w:color="auto" w:fill="auto"/>
            <w:noWrap/>
            <w:vAlign w:val="bottom"/>
            <w:hideMark/>
          </w:tcPr>
          <w:p w:rsidR="00F330EE" w:rsidRPr="00B00781" w:rsidRDefault="00F330EE" w:rsidP="00F330EE">
            <w:pPr>
              <w:rPr>
                <w:color w:val="000000"/>
              </w:rPr>
            </w:pPr>
            <w:r w:rsidRPr="00B00781">
              <w:rPr>
                <w:color w:val="000000"/>
              </w:rPr>
              <w:t>29</w:t>
            </w:r>
          </w:p>
        </w:tc>
        <w:tc>
          <w:tcPr>
            <w:tcW w:w="1080" w:type="dxa"/>
            <w:shd w:val="clear" w:color="auto" w:fill="auto"/>
            <w:vAlign w:val="bottom"/>
            <w:hideMark/>
          </w:tcPr>
          <w:p w:rsidR="00F330EE" w:rsidRPr="00B00781" w:rsidRDefault="00F330EE" w:rsidP="00F330EE">
            <w:pPr>
              <w:rPr>
                <w:color w:val="000000"/>
              </w:rPr>
            </w:pPr>
            <w:r>
              <w:rPr>
                <w:color w:val="000000"/>
              </w:rPr>
              <w:t>1</w:t>
            </w:r>
          </w:p>
        </w:tc>
        <w:tc>
          <w:tcPr>
            <w:tcW w:w="1080" w:type="dxa"/>
            <w:shd w:val="clear" w:color="auto" w:fill="auto"/>
            <w:noWrap/>
            <w:vAlign w:val="bottom"/>
            <w:hideMark/>
          </w:tcPr>
          <w:p w:rsidR="00F330EE" w:rsidRPr="00B00781" w:rsidRDefault="00573609" w:rsidP="00F330EE">
            <w:pPr>
              <w:rPr>
                <w:color w:val="000000"/>
              </w:rPr>
            </w:pPr>
            <w:r>
              <w:rPr>
                <w:color w:val="000000"/>
              </w:rPr>
              <w:t xml:space="preserve">n/a </w:t>
            </w:r>
          </w:p>
        </w:tc>
        <w:tc>
          <w:tcPr>
            <w:tcW w:w="1080" w:type="dxa"/>
            <w:shd w:val="clear" w:color="auto" w:fill="auto"/>
            <w:vAlign w:val="bottom"/>
            <w:hideMark/>
          </w:tcPr>
          <w:p w:rsidR="00F330EE" w:rsidRPr="00B00781" w:rsidRDefault="00F330EE" w:rsidP="00F330EE">
            <w:pPr>
              <w:rPr>
                <w:color w:val="000000"/>
              </w:rPr>
            </w:pPr>
            <w:r>
              <w:rPr>
                <w:color w:val="000000"/>
              </w:rPr>
              <w:t>29</w:t>
            </w:r>
          </w:p>
        </w:tc>
        <w:tc>
          <w:tcPr>
            <w:tcW w:w="990" w:type="dxa"/>
            <w:shd w:val="clear" w:color="auto" w:fill="auto"/>
            <w:noWrap/>
            <w:vAlign w:val="bottom"/>
            <w:hideMark/>
          </w:tcPr>
          <w:p w:rsidR="00F330EE" w:rsidRPr="00B00781" w:rsidRDefault="00F330EE" w:rsidP="00FA6C03">
            <w:pPr>
              <w:rPr>
                <w:color w:val="000000"/>
              </w:rPr>
            </w:pPr>
            <w:r w:rsidRPr="00B00781">
              <w:rPr>
                <w:color w:val="000000"/>
              </w:rPr>
              <w:t>$</w:t>
            </w:r>
            <w:r w:rsidR="00FA6C03">
              <w:rPr>
                <w:color w:val="000000"/>
              </w:rPr>
              <w:t>38.94</w:t>
            </w:r>
            <w:r w:rsidRPr="00B00781">
              <w:rPr>
                <w:color w:val="000000"/>
              </w:rPr>
              <w:t xml:space="preserve"> </w:t>
            </w:r>
          </w:p>
        </w:tc>
        <w:tc>
          <w:tcPr>
            <w:tcW w:w="1260" w:type="dxa"/>
            <w:shd w:val="clear" w:color="auto" w:fill="auto"/>
            <w:vAlign w:val="bottom"/>
            <w:hideMark/>
          </w:tcPr>
          <w:p w:rsidR="00F330EE" w:rsidRPr="00B00781" w:rsidRDefault="00F330EE" w:rsidP="00FA6C03">
            <w:pPr>
              <w:jc w:val="center"/>
              <w:rPr>
                <w:color w:val="000000"/>
              </w:rPr>
            </w:pPr>
            <w:r w:rsidRPr="00FA6C03">
              <w:rPr>
                <w:color w:val="000000"/>
                <w:highlight w:val="yellow"/>
              </w:rPr>
              <w:t>$</w:t>
            </w:r>
            <w:r w:rsidR="00FA6C03" w:rsidRPr="00FA6C03">
              <w:rPr>
                <w:color w:val="000000"/>
                <w:highlight w:val="yellow"/>
              </w:rPr>
              <w:t>1129.26</w:t>
            </w:r>
          </w:p>
        </w:tc>
      </w:tr>
      <w:tr w:rsidR="00F330EE" w:rsidRPr="00B00781" w:rsidTr="00F330EE">
        <w:trPr>
          <w:trHeight w:val="300"/>
        </w:trPr>
        <w:tc>
          <w:tcPr>
            <w:tcW w:w="2170" w:type="dxa"/>
            <w:shd w:val="clear" w:color="auto" w:fill="auto"/>
            <w:noWrap/>
            <w:vAlign w:val="bottom"/>
          </w:tcPr>
          <w:p w:rsidR="00F330EE" w:rsidRDefault="00F330EE" w:rsidP="00F330EE">
            <w:pPr>
              <w:rPr>
                <w:color w:val="000000"/>
              </w:rPr>
            </w:pPr>
            <w:r>
              <w:rPr>
                <w:color w:val="000000"/>
              </w:rPr>
              <w:t xml:space="preserve">Subtotal </w:t>
            </w:r>
          </w:p>
        </w:tc>
        <w:tc>
          <w:tcPr>
            <w:tcW w:w="1260" w:type="dxa"/>
            <w:shd w:val="clear" w:color="auto" w:fill="auto"/>
            <w:noWrap/>
            <w:vAlign w:val="bottom"/>
          </w:tcPr>
          <w:p w:rsidR="00F330EE" w:rsidRPr="00B00781" w:rsidRDefault="00F330EE" w:rsidP="00F330EE">
            <w:pPr>
              <w:rPr>
                <w:color w:val="000000"/>
              </w:rPr>
            </w:pPr>
            <w:r>
              <w:rPr>
                <w:color w:val="000000"/>
              </w:rPr>
              <w:t>29</w:t>
            </w:r>
          </w:p>
        </w:tc>
        <w:tc>
          <w:tcPr>
            <w:tcW w:w="1080" w:type="dxa"/>
            <w:shd w:val="clear" w:color="auto" w:fill="auto"/>
            <w:vAlign w:val="bottom"/>
          </w:tcPr>
          <w:p w:rsidR="00F330EE" w:rsidRDefault="00F330EE" w:rsidP="00F330EE">
            <w:pPr>
              <w:rPr>
                <w:color w:val="000000"/>
              </w:rPr>
            </w:pPr>
            <w:r>
              <w:rPr>
                <w:color w:val="000000"/>
              </w:rPr>
              <w:t>-</w:t>
            </w:r>
          </w:p>
        </w:tc>
        <w:tc>
          <w:tcPr>
            <w:tcW w:w="1080" w:type="dxa"/>
            <w:shd w:val="clear" w:color="auto" w:fill="auto"/>
            <w:noWrap/>
            <w:vAlign w:val="bottom"/>
          </w:tcPr>
          <w:p w:rsidR="00F330EE" w:rsidRDefault="00F330EE" w:rsidP="00F330EE">
            <w:pPr>
              <w:rPr>
                <w:color w:val="000000"/>
              </w:rPr>
            </w:pPr>
            <w:r>
              <w:rPr>
                <w:color w:val="000000"/>
              </w:rPr>
              <w:t>-</w:t>
            </w:r>
          </w:p>
        </w:tc>
        <w:tc>
          <w:tcPr>
            <w:tcW w:w="1080" w:type="dxa"/>
            <w:shd w:val="clear" w:color="auto" w:fill="auto"/>
            <w:vAlign w:val="bottom"/>
          </w:tcPr>
          <w:p w:rsidR="00F330EE" w:rsidRDefault="00F330EE" w:rsidP="00F330EE">
            <w:pPr>
              <w:rPr>
                <w:color w:val="000000"/>
              </w:rPr>
            </w:pPr>
            <w:r>
              <w:rPr>
                <w:color w:val="000000"/>
              </w:rPr>
              <w:t>29</w:t>
            </w:r>
          </w:p>
        </w:tc>
        <w:tc>
          <w:tcPr>
            <w:tcW w:w="990" w:type="dxa"/>
            <w:shd w:val="clear" w:color="auto" w:fill="auto"/>
            <w:noWrap/>
            <w:vAlign w:val="bottom"/>
          </w:tcPr>
          <w:p w:rsidR="00F330EE" w:rsidRPr="00B00781" w:rsidRDefault="00F330EE" w:rsidP="00F330EE">
            <w:pPr>
              <w:rPr>
                <w:color w:val="000000"/>
              </w:rPr>
            </w:pPr>
            <w:r>
              <w:rPr>
                <w:color w:val="000000"/>
              </w:rPr>
              <w:t>-</w:t>
            </w:r>
          </w:p>
        </w:tc>
        <w:tc>
          <w:tcPr>
            <w:tcW w:w="1260" w:type="dxa"/>
            <w:shd w:val="clear" w:color="auto" w:fill="auto"/>
            <w:vAlign w:val="bottom"/>
          </w:tcPr>
          <w:p w:rsidR="00F330EE" w:rsidRPr="00B00781" w:rsidRDefault="006C7999" w:rsidP="00F330EE">
            <w:pPr>
              <w:jc w:val="center"/>
              <w:rPr>
                <w:color w:val="000000"/>
              </w:rPr>
            </w:pPr>
            <w:r>
              <w:rPr>
                <w:color w:val="000000"/>
              </w:rPr>
              <w:t>$</w:t>
            </w:r>
            <w:r w:rsidR="00F330EE">
              <w:rPr>
                <w:color w:val="000000"/>
              </w:rPr>
              <w:t>1129.26</w:t>
            </w:r>
          </w:p>
        </w:tc>
      </w:tr>
      <w:tr w:rsidR="0048014E" w:rsidRPr="006D652B" w:rsidTr="00F330EE">
        <w:trPr>
          <w:trHeight w:val="300"/>
        </w:trPr>
        <w:tc>
          <w:tcPr>
            <w:tcW w:w="2170" w:type="dxa"/>
            <w:shd w:val="clear" w:color="auto" w:fill="auto"/>
            <w:vAlign w:val="bottom"/>
            <w:hideMark/>
          </w:tcPr>
          <w:p w:rsidR="0048014E" w:rsidRPr="00B00781" w:rsidRDefault="0048014E" w:rsidP="007160ED">
            <w:pPr>
              <w:rPr>
                <w:color w:val="000000"/>
              </w:rPr>
            </w:pPr>
            <w:r w:rsidRPr="00B00781">
              <w:rPr>
                <w:color w:val="000000"/>
              </w:rPr>
              <w:t>Total</w:t>
            </w:r>
          </w:p>
        </w:tc>
        <w:tc>
          <w:tcPr>
            <w:tcW w:w="1260" w:type="dxa"/>
            <w:shd w:val="clear" w:color="auto" w:fill="auto"/>
            <w:noWrap/>
            <w:vAlign w:val="bottom"/>
          </w:tcPr>
          <w:p w:rsidR="0048014E" w:rsidRPr="00B00781" w:rsidRDefault="00573609" w:rsidP="007160ED">
            <w:pPr>
              <w:rPr>
                <w:color w:val="000000"/>
              </w:rPr>
            </w:pPr>
            <w:r>
              <w:rPr>
                <w:color w:val="000000"/>
              </w:rPr>
              <w:t>58</w:t>
            </w:r>
          </w:p>
        </w:tc>
        <w:tc>
          <w:tcPr>
            <w:tcW w:w="1080" w:type="dxa"/>
            <w:shd w:val="clear" w:color="auto" w:fill="auto"/>
            <w:noWrap/>
            <w:vAlign w:val="bottom"/>
          </w:tcPr>
          <w:p w:rsidR="0048014E" w:rsidRPr="00B00781" w:rsidRDefault="00573609" w:rsidP="007160ED">
            <w:pPr>
              <w:rPr>
                <w:color w:val="000000"/>
              </w:rPr>
            </w:pPr>
            <w:r>
              <w:rPr>
                <w:color w:val="000000"/>
              </w:rPr>
              <w:t xml:space="preserve">n/a </w:t>
            </w:r>
          </w:p>
        </w:tc>
        <w:tc>
          <w:tcPr>
            <w:tcW w:w="1080" w:type="dxa"/>
            <w:shd w:val="clear" w:color="auto" w:fill="auto"/>
            <w:noWrap/>
            <w:vAlign w:val="bottom"/>
          </w:tcPr>
          <w:p w:rsidR="0048014E" w:rsidRPr="00B00781" w:rsidRDefault="00573609" w:rsidP="007160ED">
            <w:pPr>
              <w:rPr>
                <w:color w:val="000000"/>
              </w:rPr>
            </w:pPr>
            <w:r>
              <w:rPr>
                <w:color w:val="000000"/>
              </w:rPr>
              <w:t xml:space="preserve">40 </w:t>
            </w:r>
          </w:p>
        </w:tc>
        <w:tc>
          <w:tcPr>
            <w:tcW w:w="1080" w:type="dxa"/>
            <w:shd w:val="clear" w:color="auto" w:fill="auto"/>
            <w:vAlign w:val="bottom"/>
          </w:tcPr>
          <w:p w:rsidR="0048014E" w:rsidRPr="00B00781" w:rsidRDefault="00F05EEB" w:rsidP="007160ED">
            <w:pPr>
              <w:rPr>
                <w:color w:val="000000"/>
              </w:rPr>
            </w:pPr>
            <w:r>
              <w:rPr>
                <w:color w:val="000000"/>
              </w:rPr>
              <w:t>2639</w:t>
            </w:r>
          </w:p>
        </w:tc>
        <w:tc>
          <w:tcPr>
            <w:tcW w:w="990" w:type="dxa"/>
            <w:shd w:val="clear" w:color="auto" w:fill="auto"/>
            <w:noWrap/>
            <w:vAlign w:val="bottom"/>
          </w:tcPr>
          <w:p w:rsidR="0048014E" w:rsidRPr="00B00781" w:rsidRDefault="00573609" w:rsidP="007160ED">
            <w:pPr>
              <w:rPr>
                <w:color w:val="000000"/>
              </w:rPr>
            </w:pPr>
            <w:r w:rsidRPr="00B00781">
              <w:rPr>
                <w:color w:val="000000"/>
              </w:rPr>
              <w:t>$38.94</w:t>
            </w:r>
          </w:p>
        </w:tc>
        <w:tc>
          <w:tcPr>
            <w:tcW w:w="1260" w:type="dxa"/>
            <w:shd w:val="clear" w:color="auto" w:fill="auto"/>
            <w:noWrap/>
            <w:vAlign w:val="bottom"/>
          </w:tcPr>
          <w:p w:rsidR="0048014E" w:rsidRPr="006D652B" w:rsidRDefault="006C7999" w:rsidP="00D94D6C">
            <w:pPr>
              <w:jc w:val="center"/>
              <w:rPr>
                <w:color w:val="000000"/>
              </w:rPr>
            </w:pPr>
            <w:r>
              <w:rPr>
                <w:color w:val="000000"/>
              </w:rPr>
              <w:t>$</w:t>
            </w:r>
            <w:r w:rsidR="00D94D6C">
              <w:rPr>
                <w:color w:val="000000"/>
              </w:rPr>
              <w:t>102762.66</w:t>
            </w:r>
          </w:p>
        </w:tc>
      </w:tr>
    </w:tbl>
    <w:p w:rsidR="00207E4F" w:rsidRDefault="00207E4F" w:rsidP="005C3661">
      <w:pPr>
        <w:pStyle w:val="Heading1"/>
        <w:spacing w:line="480" w:lineRule="auto"/>
      </w:pPr>
    </w:p>
    <w:p w:rsidR="00A536C7" w:rsidRPr="006D652B" w:rsidRDefault="00A536C7" w:rsidP="005C3661">
      <w:pPr>
        <w:pStyle w:val="Heading1"/>
        <w:spacing w:line="480" w:lineRule="auto"/>
      </w:pPr>
      <w:bookmarkStart w:id="15" w:name="_Toc331146761"/>
      <w:r w:rsidRPr="006D652B">
        <w:t>A.13</w:t>
      </w:r>
      <w:r w:rsidR="009D2146" w:rsidRPr="006D652B">
        <w:t>. Estimate</w:t>
      </w:r>
      <w:r w:rsidRPr="006D652B">
        <w:t xml:space="preserve"> of Other Total Annual Cost Burden to Respondents or </w:t>
      </w:r>
      <w:proofErr w:type="spellStart"/>
      <w:r w:rsidRPr="006D652B">
        <w:t>Recordkeepers</w:t>
      </w:r>
      <w:bookmarkEnd w:id="15"/>
      <w:proofErr w:type="spellEnd"/>
    </w:p>
    <w:p w:rsidR="00A536C7" w:rsidRPr="006D652B" w:rsidRDefault="0098794F" w:rsidP="007160ED">
      <w:pPr>
        <w:spacing w:line="480" w:lineRule="auto"/>
        <w:ind w:firstLine="720"/>
        <w:rPr>
          <w:sz w:val="24"/>
          <w:szCs w:val="24"/>
        </w:rPr>
      </w:pPr>
      <w:r w:rsidRPr="006D652B">
        <w:rPr>
          <w:sz w:val="24"/>
          <w:szCs w:val="24"/>
        </w:rPr>
        <w:t xml:space="preserve">There are no Operating or Maintenance Costs to report.  </w:t>
      </w:r>
    </w:p>
    <w:p w:rsidR="00A536C7" w:rsidRPr="006D652B" w:rsidRDefault="00A536C7" w:rsidP="004E659C">
      <w:pPr>
        <w:pStyle w:val="Heading1"/>
        <w:spacing w:line="480" w:lineRule="auto"/>
      </w:pPr>
      <w:bookmarkStart w:id="16" w:name="_Toc331146762"/>
      <w:r w:rsidRPr="006D652B">
        <w:t>A.14</w:t>
      </w:r>
      <w:r w:rsidR="009D2146" w:rsidRPr="006D652B">
        <w:t>. Annualized</w:t>
      </w:r>
      <w:r w:rsidRPr="006D652B">
        <w:t xml:space="preserve"> Cost to the Federal Government</w:t>
      </w:r>
      <w:bookmarkEnd w:id="16"/>
      <w:r w:rsidRPr="006D652B">
        <w:t xml:space="preserve"> </w:t>
      </w:r>
    </w:p>
    <w:p w:rsidR="00EF7AF2" w:rsidRPr="006D652B" w:rsidRDefault="007160ED" w:rsidP="007160ED">
      <w:pPr>
        <w:pStyle w:val="BodyText2"/>
        <w:tabs>
          <w:tab w:val="left" w:pos="9990"/>
        </w:tabs>
        <w:ind w:firstLine="720"/>
        <w:rPr>
          <w:sz w:val="24"/>
          <w:szCs w:val="24"/>
        </w:rPr>
      </w:pPr>
      <w:r w:rsidRPr="006D652B">
        <w:rPr>
          <w:sz w:val="24"/>
          <w:szCs w:val="24"/>
        </w:rPr>
        <w:t>In addition to the cost to respondents described in A.12, t</w:t>
      </w:r>
      <w:r w:rsidR="00EF7AF2" w:rsidRPr="006D652B">
        <w:rPr>
          <w:sz w:val="24"/>
          <w:szCs w:val="24"/>
        </w:rPr>
        <w:t>otal annual cost to the Federal Government for this data collection includes the services of a contractor to collect the data</w:t>
      </w:r>
      <w:r w:rsidRPr="006D652B">
        <w:rPr>
          <w:sz w:val="24"/>
          <w:szCs w:val="24"/>
        </w:rPr>
        <w:t xml:space="preserve"> and</w:t>
      </w:r>
      <w:r w:rsidR="00EF7AF2" w:rsidRPr="006D652B">
        <w:rPr>
          <w:sz w:val="24"/>
          <w:szCs w:val="24"/>
        </w:rPr>
        <w:t xml:space="preserve"> government staff time to manage and support the contractor. </w:t>
      </w:r>
      <w:r w:rsidR="007D1F38" w:rsidRPr="006D652B">
        <w:rPr>
          <w:sz w:val="24"/>
          <w:szCs w:val="24"/>
        </w:rPr>
        <w:t xml:space="preserve">The </w:t>
      </w:r>
      <w:r w:rsidR="00EE4A89" w:rsidRPr="006D652B">
        <w:rPr>
          <w:sz w:val="24"/>
          <w:szCs w:val="24"/>
        </w:rPr>
        <w:t xml:space="preserve">annual cost </w:t>
      </w:r>
      <w:r w:rsidR="00EF7AF2" w:rsidRPr="006D652B">
        <w:rPr>
          <w:sz w:val="24"/>
          <w:szCs w:val="24"/>
        </w:rPr>
        <w:t>for the contractor</w:t>
      </w:r>
      <w:r w:rsidR="007D1F38" w:rsidRPr="006D652B">
        <w:rPr>
          <w:sz w:val="24"/>
          <w:szCs w:val="24"/>
        </w:rPr>
        <w:t xml:space="preserve">, </w:t>
      </w:r>
      <w:r w:rsidR="008A0238" w:rsidRPr="006D652B">
        <w:rPr>
          <w:sz w:val="24"/>
          <w:szCs w:val="24"/>
        </w:rPr>
        <w:t>excluding data analysis and report preparation</w:t>
      </w:r>
      <w:r w:rsidR="00EE4A89" w:rsidRPr="006D652B">
        <w:rPr>
          <w:sz w:val="24"/>
          <w:szCs w:val="24"/>
        </w:rPr>
        <w:t>,</w:t>
      </w:r>
      <w:r w:rsidR="007D1F38" w:rsidRPr="006D652B">
        <w:rPr>
          <w:sz w:val="24"/>
          <w:szCs w:val="24"/>
        </w:rPr>
        <w:t xml:space="preserve"> </w:t>
      </w:r>
      <w:r w:rsidRPr="006D652B">
        <w:rPr>
          <w:sz w:val="24"/>
          <w:szCs w:val="24"/>
        </w:rPr>
        <w:t>is estimated at</w:t>
      </w:r>
      <w:r w:rsidR="007D1F38" w:rsidRPr="006D652B">
        <w:rPr>
          <w:sz w:val="24"/>
          <w:szCs w:val="24"/>
        </w:rPr>
        <w:t xml:space="preserve"> $</w:t>
      </w:r>
      <w:r w:rsidR="00C15571">
        <w:rPr>
          <w:sz w:val="24"/>
          <w:szCs w:val="24"/>
        </w:rPr>
        <w:t>5</w:t>
      </w:r>
      <w:r w:rsidR="00C33ADA" w:rsidRPr="006D652B">
        <w:rPr>
          <w:sz w:val="24"/>
          <w:szCs w:val="24"/>
        </w:rPr>
        <w:t>0,000</w:t>
      </w:r>
      <w:r w:rsidR="007D1F38" w:rsidRPr="006D652B">
        <w:rPr>
          <w:sz w:val="24"/>
          <w:szCs w:val="24"/>
        </w:rPr>
        <w:t xml:space="preserve">. </w:t>
      </w:r>
      <w:r w:rsidR="00426B71" w:rsidRPr="006D652B">
        <w:rPr>
          <w:sz w:val="24"/>
          <w:szCs w:val="24"/>
        </w:rPr>
        <w:t xml:space="preserve">It is </w:t>
      </w:r>
      <w:r w:rsidR="007D1F38" w:rsidRPr="006D652B">
        <w:rPr>
          <w:sz w:val="24"/>
          <w:szCs w:val="24"/>
        </w:rPr>
        <w:t xml:space="preserve">estimated that approximately </w:t>
      </w:r>
      <w:r w:rsidR="00C15571">
        <w:rPr>
          <w:sz w:val="24"/>
          <w:szCs w:val="24"/>
        </w:rPr>
        <w:t>one</w:t>
      </w:r>
      <w:r w:rsidR="00F35801" w:rsidRPr="006D652B">
        <w:rPr>
          <w:sz w:val="24"/>
          <w:szCs w:val="24"/>
        </w:rPr>
        <w:t xml:space="preserve"> week </w:t>
      </w:r>
      <w:r w:rsidR="00426B71" w:rsidRPr="006D652B">
        <w:rPr>
          <w:sz w:val="24"/>
          <w:szCs w:val="24"/>
        </w:rPr>
        <w:t xml:space="preserve">of </w:t>
      </w:r>
      <w:r w:rsidR="004E659C" w:rsidRPr="006D652B">
        <w:rPr>
          <w:sz w:val="24"/>
          <w:szCs w:val="24"/>
        </w:rPr>
        <w:t>NSF</w:t>
      </w:r>
      <w:r w:rsidR="00EF7AF2" w:rsidRPr="006D652B">
        <w:rPr>
          <w:sz w:val="24"/>
          <w:szCs w:val="24"/>
        </w:rPr>
        <w:t xml:space="preserve"> </w:t>
      </w:r>
      <w:r w:rsidR="00426B71" w:rsidRPr="006D652B">
        <w:rPr>
          <w:sz w:val="24"/>
          <w:szCs w:val="24"/>
        </w:rPr>
        <w:t xml:space="preserve">staff time will be </w:t>
      </w:r>
      <w:r w:rsidR="007D1F38" w:rsidRPr="006D652B">
        <w:rPr>
          <w:sz w:val="24"/>
          <w:szCs w:val="24"/>
        </w:rPr>
        <w:t>associat</w:t>
      </w:r>
      <w:r w:rsidR="00426B71" w:rsidRPr="006D652B">
        <w:rPr>
          <w:sz w:val="24"/>
          <w:szCs w:val="24"/>
        </w:rPr>
        <w:t>ed</w:t>
      </w:r>
      <w:r w:rsidR="007D1F38" w:rsidRPr="006D652B">
        <w:rPr>
          <w:sz w:val="24"/>
          <w:szCs w:val="24"/>
        </w:rPr>
        <w:t xml:space="preserve"> w</w:t>
      </w:r>
      <w:r w:rsidR="00F35801" w:rsidRPr="006D652B">
        <w:rPr>
          <w:sz w:val="24"/>
          <w:szCs w:val="24"/>
        </w:rPr>
        <w:t xml:space="preserve">ith the conduct of this study. </w:t>
      </w:r>
      <w:r w:rsidR="00226FC1" w:rsidRPr="006D652B">
        <w:rPr>
          <w:sz w:val="24"/>
          <w:szCs w:val="24"/>
        </w:rPr>
        <w:t>Using</w:t>
      </w:r>
      <w:r w:rsidR="007D1F38" w:rsidRPr="006D652B">
        <w:rPr>
          <w:sz w:val="24"/>
          <w:szCs w:val="24"/>
        </w:rPr>
        <w:t xml:space="preserve"> an average salary of $80,000</w:t>
      </w:r>
      <w:r w:rsidR="00226FC1" w:rsidRPr="006D652B">
        <w:rPr>
          <w:sz w:val="24"/>
          <w:szCs w:val="24"/>
        </w:rPr>
        <w:t xml:space="preserve"> for </w:t>
      </w:r>
      <w:r w:rsidR="00C33ADA" w:rsidRPr="006D652B">
        <w:rPr>
          <w:sz w:val="24"/>
          <w:szCs w:val="24"/>
        </w:rPr>
        <w:t>NSF</w:t>
      </w:r>
      <w:r w:rsidR="00226FC1" w:rsidRPr="006D652B">
        <w:rPr>
          <w:sz w:val="24"/>
          <w:szCs w:val="24"/>
        </w:rPr>
        <w:t xml:space="preserve"> staff</w:t>
      </w:r>
      <w:r w:rsidR="007D1F38" w:rsidRPr="006D652B">
        <w:rPr>
          <w:sz w:val="24"/>
          <w:szCs w:val="24"/>
        </w:rPr>
        <w:t>, this adds $</w:t>
      </w:r>
      <w:r w:rsidR="00C15571">
        <w:rPr>
          <w:sz w:val="24"/>
          <w:szCs w:val="24"/>
        </w:rPr>
        <w:t>1538.46</w:t>
      </w:r>
      <w:r w:rsidRPr="006D652B">
        <w:rPr>
          <w:sz w:val="24"/>
          <w:szCs w:val="24"/>
        </w:rPr>
        <w:t xml:space="preserve"> in costs.</w:t>
      </w:r>
    </w:p>
    <w:p w:rsidR="007D1F38" w:rsidRPr="006D652B" w:rsidRDefault="007D1F38" w:rsidP="007160ED">
      <w:pPr>
        <w:pStyle w:val="BodyText2"/>
        <w:tabs>
          <w:tab w:val="left" w:pos="9990"/>
        </w:tabs>
        <w:ind w:firstLine="720"/>
        <w:rPr>
          <w:sz w:val="24"/>
          <w:szCs w:val="24"/>
          <w:u w:val="single"/>
        </w:rPr>
      </w:pPr>
      <w:r w:rsidRPr="006D652B">
        <w:rPr>
          <w:sz w:val="24"/>
          <w:szCs w:val="24"/>
        </w:rPr>
        <w:t xml:space="preserve">Thus, total </w:t>
      </w:r>
      <w:r w:rsidR="00226FC1" w:rsidRPr="006D652B">
        <w:rPr>
          <w:sz w:val="24"/>
          <w:szCs w:val="24"/>
        </w:rPr>
        <w:t xml:space="preserve">annual </w:t>
      </w:r>
      <w:r w:rsidRPr="006D652B">
        <w:rPr>
          <w:sz w:val="24"/>
          <w:szCs w:val="24"/>
        </w:rPr>
        <w:t xml:space="preserve">cost </w:t>
      </w:r>
      <w:r w:rsidR="00DC406C" w:rsidRPr="006D652B">
        <w:rPr>
          <w:sz w:val="24"/>
          <w:szCs w:val="24"/>
        </w:rPr>
        <w:t xml:space="preserve">to the Federal Government </w:t>
      </w:r>
      <w:r w:rsidRPr="006D652B">
        <w:rPr>
          <w:sz w:val="24"/>
          <w:szCs w:val="24"/>
        </w:rPr>
        <w:t>is</w:t>
      </w:r>
      <w:r w:rsidR="00EF7AF2" w:rsidRPr="006D652B">
        <w:rPr>
          <w:sz w:val="24"/>
          <w:szCs w:val="24"/>
        </w:rPr>
        <w:t xml:space="preserve"> estimated at</w:t>
      </w:r>
      <w:r w:rsidRPr="006D652B">
        <w:rPr>
          <w:sz w:val="24"/>
          <w:szCs w:val="24"/>
        </w:rPr>
        <w:t xml:space="preserve"> </w:t>
      </w:r>
      <w:r w:rsidRPr="006D652B">
        <w:rPr>
          <w:bCs/>
          <w:sz w:val="24"/>
          <w:szCs w:val="24"/>
        </w:rPr>
        <w:t>$</w:t>
      </w:r>
      <w:r w:rsidR="00DE3B37">
        <w:rPr>
          <w:bCs/>
          <w:sz w:val="24"/>
          <w:szCs w:val="24"/>
        </w:rPr>
        <w:t>51,538.46</w:t>
      </w:r>
      <w:r w:rsidR="00226FC1" w:rsidRPr="006D652B">
        <w:rPr>
          <w:sz w:val="24"/>
          <w:szCs w:val="24"/>
        </w:rPr>
        <w:t xml:space="preserve"> </w:t>
      </w:r>
      <w:r w:rsidRPr="006D652B">
        <w:rPr>
          <w:sz w:val="24"/>
          <w:szCs w:val="24"/>
        </w:rPr>
        <w:t xml:space="preserve">(Table </w:t>
      </w:r>
      <w:r w:rsidR="00226FC1" w:rsidRPr="006D652B">
        <w:rPr>
          <w:sz w:val="24"/>
          <w:szCs w:val="24"/>
        </w:rPr>
        <w:t>A.</w:t>
      </w:r>
      <w:r w:rsidR="00DC406C" w:rsidRPr="006D652B">
        <w:rPr>
          <w:sz w:val="24"/>
          <w:szCs w:val="24"/>
        </w:rPr>
        <w:t>14</w:t>
      </w:r>
      <w:r w:rsidRPr="006D652B">
        <w:rPr>
          <w:sz w:val="24"/>
          <w:szCs w:val="24"/>
        </w:rPr>
        <w:t>).</w:t>
      </w:r>
      <w:r w:rsidR="00556D31" w:rsidRPr="006D652B">
        <w:rPr>
          <w:sz w:val="24"/>
          <w:szCs w:val="24"/>
        </w:rPr>
        <w:t xml:space="preserve"> Since data collection will be completed in one year, the annual and total anticipated costs are the same.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1710"/>
      </w:tblGrid>
      <w:tr w:rsidR="007D1F38" w:rsidRPr="006D652B">
        <w:trPr>
          <w:cantSplit/>
        </w:trPr>
        <w:tc>
          <w:tcPr>
            <w:tcW w:w="6318" w:type="dxa"/>
            <w:gridSpan w:val="2"/>
            <w:tcBorders>
              <w:top w:val="nil"/>
              <w:left w:val="nil"/>
              <w:bottom w:val="single" w:sz="4" w:space="0" w:color="auto"/>
              <w:right w:val="nil"/>
            </w:tcBorders>
          </w:tcPr>
          <w:p w:rsidR="00827FBA" w:rsidRDefault="00827FBA" w:rsidP="007160ED">
            <w:pPr>
              <w:pStyle w:val="BodyText2"/>
              <w:tabs>
                <w:tab w:val="left" w:pos="9990"/>
              </w:tabs>
              <w:spacing w:line="240" w:lineRule="auto"/>
              <w:rPr>
                <w:b/>
              </w:rPr>
            </w:pPr>
          </w:p>
          <w:p w:rsidR="007D1F38" w:rsidRPr="006D652B" w:rsidRDefault="00F35801" w:rsidP="007160ED">
            <w:pPr>
              <w:pStyle w:val="BodyText2"/>
              <w:tabs>
                <w:tab w:val="left" w:pos="9990"/>
              </w:tabs>
              <w:spacing w:line="240" w:lineRule="auto"/>
              <w:rPr>
                <w:b/>
              </w:rPr>
            </w:pPr>
            <w:r w:rsidRPr="006D652B">
              <w:rPr>
                <w:b/>
              </w:rPr>
              <w:t xml:space="preserve">Table </w:t>
            </w:r>
            <w:r w:rsidR="00226FC1" w:rsidRPr="006D652B">
              <w:rPr>
                <w:b/>
              </w:rPr>
              <w:t>A.</w:t>
            </w:r>
            <w:r w:rsidR="00DC406C" w:rsidRPr="006D652B">
              <w:rPr>
                <w:b/>
              </w:rPr>
              <w:t>14</w:t>
            </w:r>
            <w:r w:rsidR="00226FC1" w:rsidRPr="006D652B">
              <w:rPr>
                <w:b/>
              </w:rPr>
              <w:t>.</w:t>
            </w:r>
            <w:r w:rsidR="007D1F38" w:rsidRPr="006D652B">
              <w:rPr>
                <w:b/>
              </w:rPr>
              <w:t xml:space="preserve"> Total Cost Burden of Information Collection</w:t>
            </w:r>
          </w:p>
        </w:tc>
      </w:tr>
      <w:tr w:rsidR="007160ED" w:rsidRPr="006D652B" w:rsidTr="00BA701A">
        <w:tc>
          <w:tcPr>
            <w:tcW w:w="4608" w:type="dxa"/>
            <w:tcBorders>
              <w:top w:val="single" w:sz="4" w:space="0" w:color="auto"/>
            </w:tcBorders>
            <w:vAlign w:val="center"/>
          </w:tcPr>
          <w:p w:rsidR="007160ED" w:rsidRPr="006D652B" w:rsidRDefault="007160ED" w:rsidP="007160ED">
            <w:pPr>
              <w:pStyle w:val="BodyText2"/>
              <w:tabs>
                <w:tab w:val="left" w:pos="9990"/>
              </w:tabs>
              <w:spacing w:line="240" w:lineRule="auto"/>
            </w:pPr>
            <w:r w:rsidRPr="006D652B">
              <w:t>Annualized Cost to Respondents (from A.12)</w:t>
            </w:r>
          </w:p>
        </w:tc>
        <w:tc>
          <w:tcPr>
            <w:tcW w:w="1710" w:type="dxa"/>
            <w:tcBorders>
              <w:top w:val="single" w:sz="4" w:space="0" w:color="auto"/>
            </w:tcBorders>
            <w:vAlign w:val="bottom"/>
          </w:tcPr>
          <w:p w:rsidR="007160ED" w:rsidRPr="006D652B" w:rsidRDefault="0048014E" w:rsidP="00F05EEB">
            <w:pPr>
              <w:jc w:val="right"/>
              <w:rPr>
                <w:color w:val="000000"/>
              </w:rPr>
            </w:pPr>
            <w:r w:rsidRPr="006D652B">
              <w:rPr>
                <w:snapToGrid/>
                <w:color w:val="000000"/>
              </w:rPr>
              <w:t>$</w:t>
            </w:r>
            <w:r w:rsidR="00F05EEB">
              <w:rPr>
                <w:color w:val="000000"/>
              </w:rPr>
              <w:t>102,762.66</w:t>
            </w:r>
          </w:p>
        </w:tc>
      </w:tr>
      <w:tr w:rsidR="007160ED" w:rsidRPr="006D652B" w:rsidTr="00BA701A">
        <w:tc>
          <w:tcPr>
            <w:tcW w:w="4608" w:type="dxa"/>
            <w:vAlign w:val="center"/>
          </w:tcPr>
          <w:p w:rsidR="007160ED" w:rsidRPr="006D652B" w:rsidRDefault="007160ED" w:rsidP="00DC406C">
            <w:pPr>
              <w:pStyle w:val="BodyText2"/>
              <w:tabs>
                <w:tab w:val="left" w:pos="9990"/>
              </w:tabs>
              <w:spacing w:line="240" w:lineRule="auto"/>
            </w:pPr>
            <w:r w:rsidRPr="006D652B">
              <w:t>Annual Cost of Contractor’s Services</w:t>
            </w:r>
          </w:p>
        </w:tc>
        <w:tc>
          <w:tcPr>
            <w:tcW w:w="1710" w:type="dxa"/>
            <w:vAlign w:val="bottom"/>
          </w:tcPr>
          <w:p w:rsidR="007160ED" w:rsidRPr="006D652B" w:rsidRDefault="007160ED">
            <w:pPr>
              <w:jc w:val="right"/>
              <w:rPr>
                <w:color w:val="000000"/>
              </w:rPr>
            </w:pPr>
            <w:r w:rsidRPr="006D652B">
              <w:rPr>
                <w:color w:val="000000"/>
              </w:rPr>
              <w:t>$50,000</w:t>
            </w:r>
            <w:r w:rsidR="00DE3B37">
              <w:rPr>
                <w:color w:val="000000"/>
              </w:rPr>
              <w:t>.00</w:t>
            </w:r>
            <w:r w:rsidRPr="006D652B">
              <w:rPr>
                <w:color w:val="000000"/>
              </w:rPr>
              <w:t xml:space="preserve"> </w:t>
            </w:r>
          </w:p>
        </w:tc>
      </w:tr>
      <w:tr w:rsidR="007160ED" w:rsidRPr="006D652B" w:rsidTr="00BA701A">
        <w:tc>
          <w:tcPr>
            <w:tcW w:w="4608" w:type="dxa"/>
            <w:vAlign w:val="center"/>
          </w:tcPr>
          <w:p w:rsidR="007160ED" w:rsidRPr="006D652B" w:rsidRDefault="007160ED" w:rsidP="00426B71">
            <w:pPr>
              <w:pStyle w:val="BodyText2"/>
              <w:tabs>
                <w:tab w:val="left" w:pos="9990"/>
              </w:tabs>
              <w:spacing w:line="240" w:lineRule="auto"/>
            </w:pPr>
            <w:r w:rsidRPr="006D652B">
              <w:t>NSF Staff Time</w:t>
            </w:r>
          </w:p>
        </w:tc>
        <w:tc>
          <w:tcPr>
            <w:tcW w:w="1710" w:type="dxa"/>
            <w:vAlign w:val="bottom"/>
          </w:tcPr>
          <w:p w:rsidR="007160ED" w:rsidRPr="006D652B" w:rsidRDefault="007160ED" w:rsidP="008A0238">
            <w:pPr>
              <w:jc w:val="right"/>
              <w:rPr>
                <w:color w:val="000000"/>
              </w:rPr>
            </w:pPr>
            <w:r w:rsidRPr="006D652B">
              <w:rPr>
                <w:color w:val="000000"/>
              </w:rPr>
              <w:t>$</w:t>
            </w:r>
            <w:r w:rsidR="00DE3B37" w:rsidRPr="00DE3B37">
              <w:rPr>
                <w:color w:val="000000"/>
              </w:rPr>
              <w:t>1538.46</w:t>
            </w:r>
          </w:p>
        </w:tc>
      </w:tr>
      <w:tr w:rsidR="007160ED" w:rsidRPr="006D652B" w:rsidTr="00BA701A">
        <w:tc>
          <w:tcPr>
            <w:tcW w:w="4608" w:type="dxa"/>
            <w:vAlign w:val="center"/>
          </w:tcPr>
          <w:p w:rsidR="007160ED" w:rsidRPr="006D652B" w:rsidRDefault="007160ED" w:rsidP="00F35801">
            <w:pPr>
              <w:pStyle w:val="BodyText2"/>
              <w:tabs>
                <w:tab w:val="left" w:pos="9990"/>
              </w:tabs>
              <w:spacing w:line="240" w:lineRule="auto"/>
              <w:rPr>
                <w:bCs/>
              </w:rPr>
            </w:pPr>
            <w:r w:rsidRPr="006D652B">
              <w:rPr>
                <w:bCs/>
              </w:rPr>
              <w:t>Total</w:t>
            </w:r>
          </w:p>
        </w:tc>
        <w:tc>
          <w:tcPr>
            <w:tcW w:w="1710" w:type="dxa"/>
            <w:vAlign w:val="bottom"/>
          </w:tcPr>
          <w:p w:rsidR="007160ED" w:rsidRPr="006D652B" w:rsidRDefault="007160ED" w:rsidP="00F05EEB">
            <w:pPr>
              <w:jc w:val="right"/>
              <w:rPr>
                <w:color w:val="000000"/>
              </w:rPr>
            </w:pPr>
            <w:r w:rsidRPr="006D652B">
              <w:rPr>
                <w:bCs/>
                <w:color w:val="000000"/>
              </w:rPr>
              <w:t>$</w:t>
            </w:r>
            <w:r w:rsidR="00F05EEB">
              <w:rPr>
                <w:bCs/>
                <w:color w:val="000000"/>
              </w:rPr>
              <w:t>154,301.12</w:t>
            </w:r>
            <w:r w:rsidRPr="006D652B">
              <w:rPr>
                <w:bCs/>
                <w:color w:val="000000"/>
              </w:rPr>
              <w:t xml:space="preserve"> </w:t>
            </w:r>
          </w:p>
        </w:tc>
      </w:tr>
    </w:tbl>
    <w:p w:rsidR="004E659C" w:rsidRPr="006D652B" w:rsidRDefault="004E659C" w:rsidP="006D0370"/>
    <w:p w:rsidR="00A536C7" w:rsidRPr="006D652B" w:rsidRDefault="00A536C7" w:rsidP="004E659C">
      <w:pPr>
        <w:pStyle w:val="Heading1"/>
        <w:spacing w:line="480" w:lineRule="auto"/>
      </w:pPr>
      <w:bookmarkStart w:id="17" w:name="_Toc331146763"/>
      <w:r w:rsidRPr="006D652B">
        <w:t>A.15</w:t>
      </w:r>
      <w:r w:rsidR="009D2146" w:rsidRPr="006D652B">
        <w:t>. Explanation</w:t>
      </w:r>
      <w:r w:rsidRPr="006D652B">
        <w:t xml:space="preserve"> for Program Changes or Adjustments</w:t>
      </w:r>
      <w:bookmarkEnd w:id="17"/>
      <w:r w:rsidRPr="006D652B">
        <w:t xml:space="preserve"> </w:t>
      </w:r>
    </w:p>
    <w:p w:rsidR="00A536C7" w:rsidRPr="006D652B" w:rsidRDefault="0098794F" w:rsidP="007160ED">
      <w:pPr>
        <w:spacing w:line="480" w:lineRule="auto"/>
        <w:ind w:firstLine="720"/>
        <w:rPr>
          <w:b/>
          <w:sz w:val="24"/>
          <w:szCs w:val="24"/>
        </w:rPr>
      </w:pPr>
      <w:r w:rsidRPr="006D652B">
        <w:rPr>
          <w:sz w:val="24"/>
          <w:szCs w:val="24"/>
        </w:rPr>
        <w:t>This is a new collection of information.</w:t>
      </w:r>
    </w:p>
    <w:p w:rsidR="00A536C7" w:rsidRPr="006D652B" w:rsidRDefault="00A536C7" w:rsidP="004E659C">
      <w:pPr>
        <w:pStyle w:val="Heading1"/>
        <w:spacing w:line="480" w:lineRule="auto"/>
      </w:pPr>
      <w:bookmarkStart w:id="18" w:name="_Toc331146764"/>
      <w:r w:rsidRPr="006D652B">
        <w:t>A.16</w:t>
      </w:r>
      <w:r w:rsidR="009D2146" w:rsidRPr="006D652B">
        <w:t>. Plans</w:t>
      </w:r>
      <w:r w:rsidRPr="006D652B">
        <w:t xml:space="preserve"> for Tabulation and Publication and Project Time Schedule</w:t>
      </w:r>
      <w:bookmarkEnd w:id="18"/>
      <w:r w:rsidRPr="006D652B">
        <w:t xml:space="preserve"> </w:t>
      </w:r>
    </w:p>
    <w:p w:rsidR="00994FE6" w:rsidRPr="006D652B" w:rsidRDefault="00EE0DAA" w:rsidP="008D6023">
      <w:pPr>
        <w:spacing w:line="480" w:lineRule="auto"/>
        <w:ind w:firstLine="720"/>
        <w:rPr>
          <w:sz w:val="24"/>
          <w:szCs w:val="24"/>
        </w:rPr>
      </w:pPr>
      <w:r w:rsidRPr="006D652B">
        <w:rPr>
          <w:sz w:val="24"/>
          <w:szCs w:val="24"/>
        </w:rPr>
        <w:t>Planning for this</w:t>
      </w:r>
      <w:r w:rsidR="009B04FE" w:rsidRPr="006D652B">
        <w:rPr>
          <w:sz w:val="24"/>
          <w:szCs w:val="24"/>
        </w:rPr>
        <w:t xml:space="preserve"> </w:t>
      </w:r>
      <w:r w:rsidRPr="006D652B">
        <w:rPr>
          <w:sz w:val="24"/>
          <w:szCs w:val="24"/>
        </w:rPr>
        <w:t>study</w:t>
      </w:r>
      <w:r w:rsidR="00497B71">
        <w:rPr>
          <w:sz w:val="24"/>
          <w:szCs w:val="24"/>
        </w:rPr>
        <w:t xml:space="preserve"> </w:t>
      </w:r>
      <w:r w:rsidR="009B04FE" w:rsidRPr="006D652B">
        <w:rPr>
          <w:sz w:val="24"/>
          <w:szCs w:val="24"/>
        </w:rPr>
        <w:t>beg</w:t>
      </w:r>
      <w:r w:rsidR="00934ECE" w:rsidRPr="006D652B">
        <w:rPr>
          <w:sz w:val="24"/>
          <w:szCs w:val="24"/>
        </w:rPr>
        <w:t>a</w:t>
      </w:r>
      <w:r w:rsidR="009B04FE" w:rsidRPr="006D652B">
        <w:rPr>
          <w:sz w:val="24"/>
          <w:szCs w:val="24"/>
        </w:rPr>
        <w:t xml:space="preserve">n in </w:t>
      </w:r>
      <w:r w:rsidR="00DE3B37">
        <w:rPr>
          <w:sz w:val="24"/>
          <w:szCs w:val="24"/>
        </w:rPr>
        <w:t>August</w:t>
      </w:r>
      <w:r w:rsidR="00556D31" w:rsidRPr="006D652B">
        <w:rPr>
          <w:sz w:val="24"/>
          <w:szCs w:val="24"/>
        </w:rPr>
        <w:t xml:space="preserve"> 201</w:t>
      </w:r>
      <w:r w:rsidR="00DE3B37">
        <w:rPr>
          <w:sz w:val="24"/>
          <w:szCs w:val="24"/>
        </w:rPr>
        <w:t>1</w:t>
      </w:r>
      <w:r w:rsidRPr="006D652B">
        <w:rPr>
          <w:sz w:val="24"/>
          <w:szCs w:val="24"/>
        </w:rPr>
        <w:t xml:space="preserve">. </w:t>
      </w:r>
      <w:r w:rsidR="00671D31" w:rsidRPr="006D652B">
        <w:rPr>
          <w:sz w:val="24"/>
          <w:szCs w:val="24"/>
        </w:rPr>
        <w:t xml:space="preserve">Assuming that clearance is granted in </w:t>
      </w:r>
      <w:r w:rsidR="00DE3B37">
        <w:rPr>
          <w:sz w:val="24"/>
          <w:szCs w:val="24"/>
        </w:rPr>
        <w:t>December</w:t>
      </w:r>
      <w:r w:rsidR="00671D31" w:rsidRPr="006D652B">
        <w:rPr>
          <w:sz w:val="24"/>
          <w:szCs w:val="24"/>
        </w:rPr>
        <w:t xml:space="preserve"> 201</w:t>
      </w:r>
      <w:r w:rsidR="00DE3B37">
        <w:rPr>
          <w:sz w:val="24"/>
          <w:szCs w:val="24"/>
        </w:rPr>
        <w:t>2</w:t>
      </w:r>
      <w:r w:rsidR="00671D31" w:rsidRPr="006D652B">
        <w:rPr>
          <w:sz w:val="24"/>
          <w:szCs w:val="24"/>
        </w:rPr>
        <w:t xml:space="preserve">, </w:t>
      </w:r>
      <w:r w:rsidR="007160ED" w:rsidRPr="006D652B">
        <w:rPr>
          <w:sz w:val="24"/>
          <w:szCs w:val="24"/>
        </w:rPr>
        <w:t>the proposed survey</w:t>
      </w:r>
      <w:r w:rsidR="00E16198">
        <w:rPr>
          <w:sz w:val="24"/>
          <w:szCs w:val="24"/>
        </w:rPr>
        <w:t xml:space="preserve"> and interviews</w:t>
      </w:r>
      <w:r w:rsidR="007160ED" w:rsidRPr="006D652B">
        <w:rPr>
          <w:sz w:val="24"/>
          <w:szCs w:val="24"/>
        </w:rPr>
        <w:t xml:space="preserve"> will be fielded </w:t>
      </w:r>
      <w:r w:rsidR="008D6023" w:rsidRPr="006D652B">
        <w:rPr>
          <w:sz w:val="24"/>
          <w:szCs w:val="24"/>
        </w:rPr>
        <w:t>in</w:t>
      </w:r>
      <w:r w:rsidR="007160ED" w:rsidRPr="006D652B">
        <w:rPr>
          <w:sz w:val="24"/>
          <w:szCs w:val="24"/>
        </w:rPr>
        <w:t xml:space="preserve"> </w:t>
      </w:r>
      <w:r w:rsidR="00DE3B37">
        <w:rPr>
          <w:sz w:val="24"/>
          <w:szCs w:val="24"/>
        </w:rPr>
        <w:t>January</w:t>
      </w:r>
      <w:r w:rsidR="00671D31" w:rsidRPr="006D652B">
        <w:rPr>
          <w:sz w:val="24"/>
          <w:szCs w:val="24"/>
        </w:rPr>
        <w:t xml:space="preserve"> 201</w:t>
      </w:r>
      <w:r w:rsidR="00DE3B37">
        <w:rPr>
          <w:sz w:val="24"/>
          <w:szCs w:val="24"/>
        </w:rPr>
        <w:t>3</w:t>
      </w:r>
      <w:r w:rsidR="00671D31" w:rsidRPr="006D652B">
        <w:rPr>
          <w:sz w:val="24"/>
          <w:szCs w:val="24"/>
        </w:rPr>
        <w:t xml:space="preserve">. </w:t>
      </w:r>
      <w:r w:rsidR="006D0370" w:rsidRPr="006D652B">
        <w:rPr>
          <w:sz w:val="24"/>
          <w:szCs w:val="24"/>
        </w:rPr>
        <w:t xml:space="preserve">Results will be tabulated, </w:t>
      </w:r>
      <w:r w:rsidR="007160ED" w:rsidRPr="000F7ECC">
        <w:rPr>
          <w:sz w:val="24"/>
          <w:szCs w:val="24"/>
          <w:highlight w:val="yellow"/>
        </w:rPr>
        <w:lastRenderedPageBreak/>
        <w:t xml:space="preserve">and </w:t>
      </w:r>
      <w:r w:rsidR="00FC6215" w:rsidRPr="000F7ECC">
        <w:rPr>
          <w:sz w:val="24"/>
          <w:szCs w:val="24"/>
          <w:highlight w:val="yellow"/>
        </w:rPr>
        <w:t>responses will be collated with other data collected for each jurisdiction</w:t>
      </w:r>
      <w:r w:rsidR="007160ED" w:rsidRPr="000F7ECC">
        <w:rPr>
          <w:sz w:val="24"/>
          <w:szCs w:val="24"/>
          <w:highlight w:val="yellow"/>
        </w:rPr>
        <w:t xml:space="preserve">. </w:t>
      </w:r>
      <w:r w:rsidR="000F7ECC" w:rsidRPr="000F7ECC">
        <w:rPr>
          <w:sz w:val="24"/>
          <w:szCs w:val="24"/>
          <w:highlight w:val="yellow"/>
        </w:rPr>
        <w:t xml:space="preserve">Given the high degree of qualitative information to be collected, only basic </w:t>
      </w:r>
      <w:r w:rsidR="000F7ECC" w:rsidRPr="000F7ECC">
        <w:rPr>
          <w:i/>
          <w:sz w:val="24"/>
          <w:szCs w:val="24"/>
          <w:highlight w:val="yellow"/>
        </w:rPr>
        <w:t>descriptive</w:t>
      </w:r>
      <w:r w:rsidR="000F7ECC" w:rsidRPr="000F7ECC">
        <w:rPr>
          <w:sz w:val="24"/>
          <w:szCs w:val="24"/>
          <w:highlight w:val="yellow"/>
        </w:rPr>
        <w:t xml:space="preserve"> statistical analyses will be conducted on a subset of close-ended questions.</w:t>
      </w:r>
      <w:r w:rsidR="00E16198" w:rsidRPr="000F7ECC">
        <w:rPr>
          <w:sz w:val="24"/>
          <w:szCs w:val="24"/>
          <w:highlight w:val="yellow"/>
        </w:rPr>
        <w:t xml:space="preserve">  </w:t>
      </w:r>
      <w:r w:rsidR="000F7ECC" w:rsidRPr="000F7ECC">
        <w:rPr>
          <w:sz w:val="24"/>
          <w:szCs w:val="24"/>
          <w:highlight w:val="yellow"/>
        </w:rPr>
        <w:t xml:space="preserve">The primary emphasis of the survey is to enable in depth analysis of qualitative data obtained through open-ended questions. </w:t>
      </w:r>
      <w:r w:rsidR="001C6158" w:rsidRPr="000F7ECC">
        <w:rPr>
          <w:sz w:val="24"/>
          <w:szCs w:val="24"/>
          <w:highlight w:val="yellow"/>
        </w:rPr>
        <w:t>A</w:t>
      </w:r>
      <w:r w:rsidR="006D0370" w:rsidRPr="000F7ECC">
        <w:rPr>
          <w:sz w:val="24"/>
          <w:szCs w:val="24"/>
          <w:highlight w:val="yellow"/>
        </w:rPr>
        <w:t xml:space="preserve"> draft report </w:t>
      </w:r>
      <w:r w:rsidR="001C6158" w:rsidRPr="000F7ECC">
        <w:rPr>
          <w:sz w:val="24"/>
          <w:szCs w:val="24"/>
          <w:highlight w:val="yellow"/>
        </w:rPr>
        <w:t xml:space="preserve">on </w:t>
      </w:r>
      <w:r w:rsidR="000F7ECC" w:rsidRPr="000F7ECC">
        <w:rPr>
          <w:sz w:val="24"/>
          <w:szCs w:val="24"/>
          <w:highlight w:val="yellow"/>
        </w:rPr>
        <w:t>the survey findings will be developed and reviewed through the contractor</w:t>
      </w:r>
      <w:r w:rsidR="00F05EEB">
        <w:rPr>
          <w:sz w:val="24"/>
          <w:szCs w:val="24"/>
          <w:highlight w:val="yellow"/>
        </w:rPr>
        <w:t>’</w:t>
      </w:r>
      <w:r w:rsidR="000F7ECC" w:rsidRPr="000F7ECC">
        <w:rPr>
          <w:sz w:val="24"/>
          <w:szCs w:val="24"/>
          <w:highlight w:val="yellow"/>
        </w:rPr>
        <w:t>s internal peer-review process by May 2013</w:t>
      </w:r>
      <w:r w:rsidR="006D0370" w:rsidRPr="000F7ECC">
        <w:rPr>
          <w:sz w:val="24"/>
          <w:szCs w:val="24"/>
        </w:rPr>
        <w:t xml:space="preserve">. </w:t>
      </w:r>
      <w:r w:rsidR="001C6158" w:rsidRPr="000F7ECC">
        <w:rPr>
          <w:sz w:val="24"/>
          <w:szCs w:val="24"/>
        </w:rPr>
        <w:t xml:space="preserve">The survey results will likely be incorporated into a report summarizing the </w:t>
      </w:r>
      <w:r w:rsidR="00FC6215" w:rsidRPr="000F7ECC">
        <w:rPr>
          <w:sz w:val="24"/>
          <w:szCs w:val="24"/>
        </w:rPr>
        <w:t>contractor’s</w:t>
      </w:r>
      <w:r w:rsidR="001C6158" w:rsidRPr="000F7ECC">
        <w:rPr>
          <w:sz w:val="24"/>
          <w:szCs w:val="24"/>
        </w:rPr>
        <w:t xml:space="preserve"> findings </w:t>
      </w:r>
      <w:r w:rsidR="00FC6215" w:rsidRPr="000F7ECC">
        <w:rPr>
          <w:sz w:val="24"/>
          <w:szCs w:val="24"/>
        </w:rPr>
        <w:t>related</w:t>
      </w:r>
      <w:r w:rsidR="00FC6215">
        <w:rPr>
          <w:sz w:val="24"/>
          <w:szCs w:val="24"/>
        </w:rPr>
        <w:t xml:space="preserve"> to the broader portfolio analysis</w:t>
      </w:r>
      <w:r w:rsidR="001C6158" w:rsidRPr="006D652B">
        <w:rPr>
          <w:sz w:val="24"/>
          <w:szCs w:val="24"/>
        </w:rPr>
        <w:t xml:space="preserve">, which will be delivered to NSF </w:t>
      </w:r>
      <w:r w:rsidR="00671D31" w:rsidRPr="006D652B">
        <w:rPr>
          <w:sz w:val="24"/>
          <w:szCs w:val="24"/>
        </w:rPr>
        <w:t>by December 201</w:t>
      </w:r>
      <w:r w:rsidR="00FC6215">
        <w:rPr>
          <w:sz w:val="24"/>
          <w:szCs w:val="24"/>
        </w:rPr>
        <w:t>3</w:t>
      </w:r>
      <w:r w:rsidR="00994FE6" w:rsidRPr="006D652B">
        <w:rPr>
          <w:sz w:val="24"/>
          <w:szCs w:val="24"/>
        </w:rPr>
        <w:t xml:space="preserve">. </w:t>
      </w:r>
      <w:r w:rsidR="008D6023" w:rsidRPr="006D652B">
        <w:rPr>
          <w:sz w:val="24"/>
          <w:szCs w:val="24"/>
        </w:rPr>
        <w:t>The estimated project schedule is summarized in Table A.16.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5040"/>
      </w:tblGrid>
      <w:tr w:rsidR="009B04FE" w:rsidRPr="006D652B">
        <w:trPr>
          <w:cantSplit/>
        </w:trPr>
        <w:tc>
          <w:tcPr>
            <w:tcW w:w="8568" w:type="dxa"/>
            <w:gridSpan w:val="2"/>
            <w:tcBorders>
              <w:top w:val="nil"/>
              <w:left w:val="nil"/>
              <w:bottom w:val="single" w:sz="4" w:space="0" w:color="auto"/>
              <w:right w:val="nil"/>
            </w:tcBorders>
          </w:tcPr>
          <w:p w:rsidR="009B04FE" w:rsidRPr="006D652B" w:rsidRDefault="00F35801" w:rsidP="00556D31">
            <w:pPr>
              <w:pStyle w:val="BodyText2"/>
              <w:tabs>
                <w:tab w:val="left" w:pos="9990"/>
              </w:tabs>
              <w:spacing w:line="240" w:lineRule="auto"/>
              <w:rPr>
                <w:b/>
              </w:rPr>
            </w:pPr>
            <w:r w:rsidRPr="006D652B">
              <w:rPr>
                <w:b/>
              </w:rPr>
              <w:t xml:space="preserve">Table </w:t>
            </w:r>
            <w:r w:rsidR="00556D31" w:rsidRPr="006D652B">
              <w:rPr>
                <w:b/>
              </w:rPr>
              <w:t>A.16.</w:t>
            </w:r>
            <w:r w:rsidR="009B04FE" w:rsidRPr="006D652B">
              <w:rPr>
                <w:b/>
              </w:rPr>
              <w:t xml:space="preserve"> Estimated Project Schedule</w:t>
            </w:r>
          </w:p>
        </w:tc>
      </w:tr>
      <w:tr w:rsidR="009B04FE" w:rsidRPr="006D652B" w:rsidTr="00A14A81">
        <w:tc>
          <w:tcPr>
            <w:tcW w:w="3528" w:type="dxa"/>
            <w:tcBorders>
              <w:top w:val="single" w:sz="4" w:space="0" w:color="auto"/>
            </w:tcBorders>
            <w:vAlign w:val="center"/>
          </w:tcPr>
          <w:p w:rsidR="009B04FE" w:rsidRPr="006D652B" w:rsidRDefault="009B04FE" w:rsidP="00C33ADA">
            <w:pPr>
              <w:pStyle w:val="BodyText2"/>
              <w:tabs>
                <w:tab w:val="left" w:pos="9990"/>
              </w:tabs>
              <w:spacing w:line="240" w:lineRule="auto"/>
              <w:jc w:val="center"/>
              <w:rPr>
                <w:bCs/>
              </w:rPr>
            </w:pPr>
            <w:r w:rsidRPr="006D652B">
              <w:rPr>
                <w:bCs/>
              </w:rPr>
              <w:t>Activity</w:t>
            </w:r>
          </w:p>
        </w:tc>
        <w:tc>
          <w:tcPr>
            <w:tcW w:w="5040" w:type="dxa"/>
            <w:tcBorders>
              <w:top w:val="single" w:sz="4" w:space="0" w:color="auto"/>
            </w:tcBorders>
            <w:vAlign w:val="center"/>
          </w:tcPr>
          <w:p w:rsidR="009B04FE" w:rsidRPr="006D652B" w:rsidRDefault="008D6023" w:rsidP="008D6023">
            <w:pPr>
              <w:pStyle w:val="BodyText2"/>
              <w:tabs>
                <w:tab w:val="left" w:pos="9990"/>
              </w:tabs>
              <w:spacing w:line="240" w:lineRule="auto"/>
              <w:jc w:val="center"/>
              <w:rPr>
                <w:bCs/>
              </w:rPr>
            </w:pPr>
            <w:r w:rsidRPr="006D652B">
              <w:rPr>
                <w:bCs/>
              </w:rPr>
              <w:t xml:space="preserve">Anticipated </w:t>
            </w:r>
            <w:r w:rsidR="009B04FE" w:rsidRPr="006D652B">
              <w:rPr>
                <w:bCs/>
              </w:rPr>
              <w:t xml:space="preserve">Time </w:t>
            </w:r>
            <w:r w:rsidRPr="006D652B">
              <w:rPr>
                <w:bCs/>
              </w:rPr>
              <w:t>Period</w:t>
            </w:r>
          </w:p>
        </w:tc>
      </w:tr>
      <w:tr w:rsidR="00C33ADA" w:rsidRPr="006D652B" w:rsidTr="00A14A81">
        <w:tc>
          <w:tcPr>
            <w:tcW w:w="3528" w:type="dxa"/>
            <w:tcBorders>
              <w:top w:val="single" w:sz="4" w:space="0" w:color="auto"/>
            </w:tcBorders>
            <w:vAlign w:val="center"/>
          </w:tcPr>
          <w:p w:rsidR="00C33ADA" w:rsidRPr="006D652B" w:rsidRDefault="00C33ADA" w:rsidP="008D6023">
            <w:pPr>
              <w:pStyle w:val="BodyText2"/>
              <w:tabs>
                <w:tab w:val="left" w:pos="9990"/>
              </w:tabs>
              <w:spacing w:line="240" w:lineRule="auto"/>
              <w:rPr>
                <w:bCs/>
              </w:rPr>
            </w:pPr>
            <w:r w:rsidRPr="006D652B">
              <w:rPr>
                <w:bCs/>
              </w:rPr>
              <w:t>Collect and analyze data from existing sources</w:t>
            </w:r>
          </w:p>
        </w:tc>
        <w:tc>
          <w:tcPr>
            <w:tcW w:w="5040" w:type="dxa"/>
            <w:tcBorders>
              <w:top w:val="single" w:sz="4" w:space="0" w:color="auto"/>
            </w:tcBorders>
            <w:vAlign w:val="center"/>
          </w:tcPr>
          <w:p w:rsidR="00C33ADA" w:rsidRPr="006D652B" w:rsidRDefault="00A14A81" w:rsidP="00A14A81">
            <w:pPr>
              <w:pStyle w:val="BodyText2"/>
              <w:tabs>
                <w:tab w:val="left" w:pos="9990"/>
              </w:tabs>
              <w:spacing w:line="240" w:lineRule="auto"/>
              <w:rPr>
                <w:bCs/>
              </w:rPr>
            </w:pPr>
            <w:r>
              <w:rPr>
                <w:bCs/>
              </w:rPr>
              <w:t>August</w:t>
            </w:r>
            <w:r w:rsidR="00C33ADA" w:rsidRPr="006D652B">
              <w:rPr>
                <w:bCs/>
              </w:rPr>
              <w:t xml:space="preserve"> 201</w:t>
            </w:r>
            <w:r>
              <w:rPr>
                <w:bCs/>
              </w:rPr>
              <w:t>1</w:t>
            </w:r>
            <w:r w:rsidR="00C33ADA" w:rsidRPr="006D652B">
              <w:rPr>
                <w:bCs/>
              </w:rPr>
              <w:t>-</w:t>
            </w:r>
            <w:r>
              <w:rPr>
                <w:bCs/>
              </w:rPr>
              <w:t>March</w:t>
            </w:r>
            <w:r w:rsidR="00C33ADA" w:rsidRPr="006D652B">
              <w:rPr>
                <w:bCs/>
              </w:rPr>
              <w:t xml:space="preserve"> 201</w:t>
            </w:r>
            <w:r>
              <w:rPr>
                <w:bCs/>
              </w:rPr>
              <w:t>3</w:t>
            </w:r>
          </w:p>
        </w:tc>
      </w:tr>
      <w:tr w:rsidR="009B04FE" w:rsidRPr="006D652B" w:rsidTr="00A14A81">
        <w:tc>
          <w:tcPr>
            <w:tcW w:w="3528" w:type="dxa"/>
            <w:vAlign w:val="center"/>
          </w:tcPr>
          <w:p w:rsidR="009B04FE" w:rsidRPr="006D652B" w:rsidRDefault="00C33ADA" w:rsidP="008D6023">
            <w:pPr>
              <w:pStyle w:val="BodyText2"/>
              <w:tabs>
                <w:tab w:val="left" w:pos="9990"/>
              </w:tabs>
              <w:spacing w:line="240" w:lineRule="auto"/>
            </w:pPr>
            <w:r w:rsidRPr="006D652B">
              <w:t>Field</w:t>
            </w:r>
            <w:r w:rsidR="00EE4A89" w:rsidRPr="006D652B">
              <w:t xml:space="preserve"> </w:t>
            </w:r>
            <w:r w:rsidRPr="006D652B">
              <w:t>survey</w:t>
            </w:r>
            <w:r w:rsidR="00AE207E">
              <w:t xml:space="preserve"> and conduct interviews </w:t>
            </w:r>
          </w:p>
        </w:tc>
        <w:tc>
          <w:tcPr>
            <w:tcW w:w="5040" w:type="dxa"/>
            <w:vAlign w:val="center"/>
          </w:tcPr>
          <w:p w:rsidR="009B04FE" w:rsidRPr="006D652B" w:rsidRDefault="003D447E" w:rsidP="00F05EEB">
            <w:pPr>
              <w:pStyle w:val="BodyText2"/>
              <w:tabs>
                <w:tab w:val="left" w:pos="9990"/>
              </w:tabs>
              <w:spacing w:line="240" w:lineRule="auto"/>
            </w:pPr>
            <w:r w:rsidRPr="006D652B">
              <w:t>Immediately</w:t>
            </w:r>
            <w:r w:rsidR="009B04FE" w:rsidRPr="006D652B">
              <w:t xml:space="preserve"> after OMB approval (</w:t>
            </w:r>
            <w:r w:rsidR="00A14A81">
              <w:t xml:space="preserve">est. </w:t>
            </w:r>
            <w:r w:rsidR="00F05EEB">
              <w:t>January</w:t>
            </w:r>
            <w:r w:rsidR="00C33ADA" w:rsidRPr="006D652B">
              <w:t xml:space="preserve"> 201</w:t>
            </w:r>
            <w:r w:rsidR="00F05EEB">
              <w:t>3</w:t>
            </w:r>
            <w:r w:rsidR="009B04FE" w:rsidRPr="006D652B">
              <w:t>)</w:t>
            </w:r>
          </w:p>
        </w:tc>
      </w:tr>
      <w:tr w:rsidR="00C33ADA" w:rsidRPr="006D652B" w:rsidTr="00A14A81">
        <w:tc>
          <w:tcPr>
            <w:tcW w:w="3528" w:type="dxa"/>
          </w:tcPr>
          <w:p w:rsidR="00C33ADA" w:rsidRPr="006D652B" w:rsidRDefault="00C33ADA" w:rsidP="00A14A81">
            <w:pPr>
              <w:rPr>
                <w:rFonts w:eastAsia="Times"/>
                <w:color w:val="000000"/>
              </w:rPr>
            </w:pPr>
            <w:r w:rsidRPr="006D652B">
              <w:rPr>
                <w:rFonts w:eastAsia="Times"/>
                <w:color w:val="000000"/>
              </w:rPr>
              <w:t xml:space="preserve">Analyze data and develop draft </w:t>
            </w:r>
            <w:r w:rsidR="00A14A81">
              <w:rPr>
                <w:rFonts w:eastAsia="Times"/>
                <w:color w:val="000000"/>
              </w:rPr>
              <w:t xml:space="preserve">findings to incorporate into larger report </w:t>
            </w:r>
          </w:p>
        </w:tc>
        <w:tc>
          <w:tcPr>
            <w:tcW w:w="5040" w:type="dxa"/>
          </w:tcPr>
          <w:p w:rsidR="00C33ADA" w:rsidRPr="006D652B" w:rsidRDefault="00F05EEB" w:rsidP="00A14A81">
            <w:pPr>
              <w:rPr>
                <w:rFonts w:eastAsia="Times"/>
                <w:color w:val="000000"/>
              </w:rPr>
            </w:pPr>
            <w:r>
              <w:rPr>
                <w:rFonts w:eastAsia="Times"/>
                <w:color w:val="000000"/>
              </w:rPr>
              <w:t>May</w:t>
            </w:r>
            <w:r w:rsidR="00C33ADA" w:rsidRPr="006D652B">
              <w:rPr>
                <w:rFonts w:eastAsia="Times"/>
                <w:color w:val="000000"/>
              </w:rPr>
              <w:t xml:space="preserve"> 201</w:t>
            </w:r>
            <w:r w:rsidR="00A14A81">
              <w:rPr>
                <w:rFonts w:eastAsia="Times"/>
                <w:color w:val="000000"/>
              </w:rPr>
              <w:t>3</w:t>
            </w:r>
          </w:p>
        </w:tc>
      </w:tr>
      <w:tr w:rsidR="00C33ADA" w:rsidRPr="006D652B" w:rsidTr="00A14A81">
        <w:tc>
          <w:tcPr>
            <w:tcW w:w="3528" w:type="dxa"/>
          </w:tcPr>
          <w:p w:rsidR="00C33ADA" w:rsidRPr="006D652B" w:rsidRDefault="001C6158" w:rsidP="00A14A81">
            <w:pPr>
              <w:rPr>
                <w:rFonts w:eastAsia="Times"/>
                <w:color w:val="000000"/>
              </w:rPr>
            </w:pPr>
            <w:r w:rsidRPr="006D652B">
              <w:rPr>
                <w:rFonts w:eastAsia="Times"/>
                <w:color w:val="000000"/>
              </w:rPr>
              <w:t>Final report to NSF</w:t>
            </w:r>
          </w:p>
        </w:tc>
        <w:tc>
          <w:tcPr>
            <w:tcW w:w="5040" w:type="dxa"/>
          </w:tcPr>
          <w:p w:rsidR="00C33ADA" w:rsidRPr="006D652B" w:rsidRDefault="00C33ADA" w:rsidP="00A14A81">
            <w:pPr>
              <w:rPr>
                <w:rFonts w:eastAsia="Times"/>
                <w:color w:val="000000"/>
              </w:rPr>
            </w:pPr>
            <w:r w:rsidRPr="006D652B">
              <w:rPr>
                <w:rFonts w:eastAsia="Times"/>
                <w:color w:val="000000"/>
              </w:rPr>
              <w:t>December 201</w:t>
            </w:r>
            <w:r w:rsidR="00A14A81">
              <w:rPr>
                <w:rFonts w:eastAsia="Times"/>
                <w:color w:val="000000"/>
              </w:rPr>
              <w:t>3</w:t>
            </w:r>
          </w:p>
        </w:tc>
      </w:tr>
    </w:tbl>
    <w:p w:rsidR="007400AC" w:rsidRPr="006D652B" w:rsidRDefault="007400AC" w:rsidP="00853AC0">
      <w:pPr>
        <w:spacing w:line="480" w:lineRule="auto"/>
        <w:rPr>
          <w:b/>
          <w:sz w:val="24"/>
          <w:szCs w:val="24"/>
        </w:rPr>
      </w:pPr>
    </w:p>
    <w:p w:rsidR="00A536C7" w:rsidRPr="006D652B" w:rsidRDefault="00A536C7" w:rsidP="004E659C">
      <w:pPr>
        <w:pStyle w:val="Heading1"/>
        <w:spacing w:line="480" w:lineRule="auto"/>
      </w:pPr>
      <w:bookmarkStart w:id="19" w:name="_Toc331146765"/>
      <w:r w:rsidRPr="006D652B">
        <w:t>A.17</w:t>
      </w:r>
      <w:r w:rsidR="009D2146" w:rsidRPr="006D652B">
        <w:t>. Reason</w:t>
      </w:r>
      <w:r w:rsidRPr="006D652B">
        <w:t>(s) Display of OMB Expiration Date is Inappropriate</w:t>
      </w:r>
      <w:bookmarkEnd w:id="19"/>
    </w:p>
    <w:p w:rsidR="00934ECE" w:rsidRPr="006D652B" w:rsidRDefault="00934ECE" w:rsidP="001C6158">
      <w:pPr>
        <w:pStyle w:val="BodyText2"/>
        <w:tabs>
          <w:tab w:val="left" w:pos="9990"/>
        </w:tabs>
        <w:ind w:firstLine="720"/>
        <w:rPr>
          <w:sz w:val="24"/>
          <w:szCs w:val="24"/>
        </w:rPr>
      </w:pPr>
      <w:r w:rsidRPr="006D652B">
        <w:rPr>
          <w:sz w:val="24"/>
          <w:szCs w:val="24"/>
        </w:rPr>
        <w:t xml:space="preserve">No exceptions are sought; the OMB Expiration Date will be displayed on the survey instruments. </w:t>
      </w:r>
    </w:p>
    <w:p w:rsidR="00A536C7" w:rsidRPr="006D652B" w:rsidRDefault="00A536C7" w:rsidP="004E659C">
      <w:pPr>
        <w:pStyle w:val="Heading1"/>
        <w:spacing w:line="480" w:lineRule="auto"/>
      </w:pPr>
      <w:bookmarkStart w:id="20" w:name="_Toc331146766"/>
      <w:r w:rsidRPr="006D652B">
        <w:t>A.18</w:t>
      </w:r>
      <w:r w:rsidR="009D2146" w:rsidRPr="006D652B">
        <w:t>. Exceptions</w:t>
      </w:r>
      <w:r w:rsidRPr="006D652B">
        <w:t xml:space="preserve"> to Certification for Paperwork Reduction Act Submissions</w:t>
      </w:r>
      <w:bookmarkEnd w:id="20"/>
    </w:p>
    <w:p w:rsidR="00A536C7" w:rsidRPr="00A81373" w:rsidRDefault="00934ECE" w:rsidP="001C6158">
      <w:pPr>
        <w:pStyle w:val="BodyText2"/>
        <w:tabs>
          <w:tab w:val="left" w:pos="9990"/>
        </w:tabs>
        <w:ind w:firstLine="720"/>
        <w:rPr>
          <w:sz w:val="24"/>
          <w:szCs w:val="24"/>
        </w:rPr>
      </w:pPr>
      <w:r w:rsidRPr="006D652B">
        <w:rPr>
          <w:sz w:val="24"/>
          <w:szCs w:val="24"/>
        </w:rPr>
        <w:t>No exceptions are sought from the Paperwork Reduction Act or from form 83-I.</w:t>
      </w:r>
      <w:bookmarkStart w:id="21" w:name="_GoBack"/>
      <w:bookmarkEnd w:id="21"/>
    </w:p>
    <w:sectPr w:rsidR="00A536C7" w:rsidRPr="00A81373" w:rsidSect="00F84374">
      <w:footnotePr>
        <w:numRestart w:val="eachSect"/>
      </w:footnotePr>
      <w:endnotePr>
        <w:numFmt w:val="decimal"/>
      </w:endnotePr>
      <w:pgSz w:w="12240" w:h="15840"/>
      <w:pgMar w:top="1260" w:right="1152" w:bottom="1440" w:left="1152" w:header="720" w:footer="72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Parker, Rachel A" w:date="2012-11-20T16:48:00Z" w:initials="RAP">
    <w:p w:rsidR="002118C9" w:rsidRDefault="002118C9" w:rsidP="000F7ECC">
      <w:r>
        <w:rPr>
          <w:rStyle w:val="CommentReference"/>
        </w:rPr>
        <w:annotationRef/>
      </w:r>
      <w:r>
        <w:t>Interviews require one hour per discussion. Hourly rate was estimated at $38.94; multiplying the two yields the estimated cost of $</w:t>
      </w:r>
      <w:r w:rsidRPr="008C2FEA">
        <w:t>1129.26</w:t>
      </w:r>
      <w:r>
        <w:t>. Which is the figure in Table A.12.</w:t>
      </w:r>
    </w:p>
    <w:p w:rsidR="002118C9" w:rsidRDefault="002118C9">
      <w:pPr>
        <w:pStyle w:val="CommentText"/>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B99" w:rsidRDefault="00532B99">
      <w:r>
        <w:separator/>
      </w:r>
    </w:p>
  </w:endnote>
  <w:endnote w:type="continuationSeparator" w:id="0">
    <w:p w:rsidR="00532B99" w:rsidRDefault="0053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C9" w:rsidRDefault="00160856">
    <w:pPr>
      <w:pStyle w:val="Footer"/>
      <w:framePr w:w="576" w:wrap="around" w:vAnchor="page" w:hAnchor="page" w:x="10945" w:y="15121"/>
      <w:jc w:val="right"/>
      <w:rPr>
        <w:rStyle w:val="PageNumber"/>
      </w:rPr>
    </w:pPr>
    <w:r>
      <w:rPr>
        <w:rStyle w:val="PageNumber"/>
      </w:rPr>
      <w:fldChar w:fldCharType="begin"/>
    </w:r>
    <w:r w:rsidR="002118C9">
      <w:rPr>
        <w:rStyle w:val="PageNumber"/>
      </w:rPr>
      <w:instrText xml:space="preserve">PAGE  </w:instrText>
    </w:r>
    <w:r>
      <w:rPr>
        <w:rStyle w:val="PageNumber"/>
      </w:rPr>
      <w:fldChar w:fldCharType="separate"/>
    </w:r>
    <w:r w:rsidR="002118C9">
      <w:rPr>
        <w:rStyle w:val="PageNumber"/>
        <w:noProof/>
      </w:rPr>
      <w:t>20</w:t>
    </w:r>
    <w:r>
      <w:rPr>
        <w:rStyle w:val="PageNumber"/>
      </w:rPr>
      <w:fldChar w:fldCharType="end"/>
    </w:r>
  </w:p>
  <w:p w:rsidR="002118C9" w:rsidRDefault="002118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8C9" w:rsidRDefault="00160856">
    <w:pPr>
      <w:pStyle w:val="Footer"/>
      <w:framePr w:w="576" w:wrap="around" w:vAnchor="page" w:hAnchor="page" w:x="10945" w:y="15121"/>
      <w:jc w:val="right"/>
      <w:rPr>
        <w:rStyle w:val="PageNumber"/>
      </w:rPr>
    </w:pPr>
    <w:r>
      <w:rPr>
        <w:rStyle w:val="PageNumber"/>
      </w:rPr>
      <w:fldChar w:fldCharType="begin"/>
    </w:r>
    <w:r w:rsidR="002118C9">
      <w:rPr>
        <w:rStyle w:val="PageNumber"/>
      </w:rPr>
      <w:instrText xml:space="preserve">PAGE  </w:instrText>
    </w:r>
    <w:r>
      <w:rPr>
        <w:rStyle w:val="PageNumber"/>
      </w:rPr>
      <w:fldChar w:fldCharType="separate"/>
    </w:r>
    <w:r w:rsidR="00942A57">
      <w:rPr>
        <w:rStyle w:val="PageNumber"/>
        <w:noProof/>
      </w:rPr>
      <w:t>21</w:t>
    </w:r>
    <w:r>
      <w:rPr>
        <w:rStyle w:val="PageNumber"/>
      </w:rPr>
      <w:fldChar w:fldCharType="end"/>
    </w:r>
  </w:p>
  <w:p w:rsidR="002118C9" w:rsidRDefault="00211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B99" w:rsidRDefault="00532B99">
      <w:r>
        <w:separator/>
      </w:r>
    </w:p>
  </w:footnote>
  <w:footnote w:type="continuationSeparator" w:id="0">
    <w:p w:rsidR="00532B99" w:rsidRDefault="00532B99">
      <w:r>
        <w:continuationSeparator/>
      </w:r>
    </w:p>
  </w:footnote>
  <w:footnote w:id="1">
    <w:p w:rsidR="00BD015D" w:rsidRDefault="00BD015D">
      <w:pPr>
        <w:pStyle w:val="FootnoteText"/>
      </w:pPr>
      <w:r>
        <w:rPr>
          <w:rStyle w:val="FootnoteReference"/>
        </w:rPr>
        <w:footnoteRef/>
      </w:r>
      <w:r>
        <w:t xml:space="preserve"> </w:t>
      </w:r>
      <w:proofErr w:type="spellStart"/>
      <w:r w:rsidR="00D86D6F">
        <w:t>EPSCoR</w:t>
      </w:r>
      <w:proofErr w:type="spellEnd"/>
      <w:r w:rsidR="00D86D6F">
        <w:t xml:space="preserve"> uses the term jurisdiction in lieu of state to be inclusive of the US territories which participate in the program (e.g. Puerto Rico).   </w:t>
      </w:r>
    </w:p>
  </w:footnote>
  <w:footnote w:id="2">
    <w:p w:rsidR="002118C9" w:rsidRDefault="002118C9" w:rsidP="002118C9">
      <w:r>
        <w:rPr>
          <w:rStyle w:val="FootnoteReference"/>
        </w:rPr>
        <w:footnoteRef/>
      </w:r>
      <w:r>
        <w:t xml:space="preserve"> Project Directors are the principal investigators/</w:t>
      </w:r>
      <w:proofErr w:type="spellStart"/>
      <w:r>
        <w:t>EPSCoR</w:t>
      </w:r>
      <w:proofErr w:type="spellEnd"/>
      <w:r>
        <w:t xml:space="preserve"> overall leaders. They are either senior academics or leaders of state </w:t>
      </w:r>
      <w:proofErr w:type="spellStart"/>
      <w:r>
        <w:t>EPSCoR</w:t>
      </w:r>
      <w:proofErr w:type="spellEnd"/>
      <w:r>
        <w:t xml:space="preserve"> offices. Program Administrators are administrative staff. They typically do not hold faculty positions.</w:t>
      </w:r>
    </w:p>
    <w:p w:rsidR="002118C9" w:rsidRDefault="002118C9">
      <w:pPr>
        <w:pStyle w:val="FootnoteText"/>
      </w:pPr>
    </w:p>
  </w:footnote>
  <w:footnote w:id="3">
    <w:p w:rsidR="002118C9" w:rsidRDefault="002118C9">
      <w:pPr>
        <w:pStyle w:val="FootnoteText"/>
      </w:pPr>
      <w:r>
        <w:rPr>
          <w:rStyle w:val="FootnoteReference"/>
        </w:rPr>
        <w:footnoteRef/>
      </w:r>
      <w:r>
        <w:t xml:space="preserve"> Each project director will receive a two part information call.  The first part is a predominantly open ended survey, the second, a pre-filled template.  </w:t>
      </w:r>
    </w:p>
  </w:footnote>
  <w:footnote w:id="4">
    <w:p w:rsidR="002118C9" w:rsidRDefault="002118C9">
      <w:pPr>
        <w:pStyle w:val="FootnoteText"/>
      </w:pPr>
      <w:r>
        <w:rPr>
          <w:rStyle w:val="FootnoteReference"/>
        </w:rPr>
        <w:footnoteRef/>
      </w:r>
      <w:r>
        <w:t xml:space="preserve"> This is based on an average number of funding iterations for all Research Infrastructure Improvement awards supported by NSF </w:t>
      </w:r>
      <w:proofErr w:type="spellStart"/>
      <w:r>
        <w:t>EPSCoR</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E467D"/>
    <w:multiLevelType w:val="hybridMultilevel"/>
    <w:tmpl w:val="C80AB0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42495"/>
    <w:multiLevelType w:val="hybridMultilevel"/>
    <w:tmpl w:val="4A66AF2A"/>
    <w:lvl w:ilvl="0" w:tplc="9412EA22">
      <w:start w:val="1"/>
      <w:numFmt w:val="bullet"/>
      <w:lvlText w:val="•"/>
      <w:lvlJc w:val="left"/>
      <w:pPr>
        <w:tabs>
          <w:tab w:val="num" w:pos="720"/>
        </w:tabs>
        <w:ind w:left="720" w:hanging="360"/>
      </w:pPr>
      <w:rPr>
        <w:rFonts w:ascii="Arial" w:hAnsi="Arial" w:hint="default"/>
      </w:rPr>
    </w:lvl>
    <w:lvl w:ilvl="1" w:tplc="CDCEF62C">
      <w:start w:val="1526"/>
      <w:numFmt w:val="bullet"/>
      <w:lvlText w:val="–"/>
      <w:lvlJc w:val="left"/>
      <w:pPr>
        <w:tabs>
          <w:tab w:val="num" w:pos="1440"/>
        </w:tabs>
        <w:ind w:left="1440" w:hanging="360"/>
      </w:pPr>
      <w:rPr>
        <w:rFonts w:ascii="Arial" w:hAnsi="Arial" w:hint="default"/>
      </w:rPr>
    </w:lvl>
    <w:lvl w:ilvl="2" w:tplc="AC76AD54">
      <w:start w:val="1"/>
      <w:numFmt w:val="bullet"/>
      <w:lvlText w:val="•"/>
      <w:lvlJc w:val="left"/>
      <w:pPr>
        <w:tabs>
          <w:tab w:val="num" w:pos="2160"/>
        </w:tabs>
        <w:ind w:left="2160" w:hanging="360"/>
      </w:pPr>
      <w:rPr>
        <w:rFonts w:ascii="Arial" w:hAnsi="Arial" w:hint="default"/>
      </w:rPr>
    </w:lvl>
    <w:lvl w:ilvl="3" w:tplc="160E5CEE" w:tentative="1">
      <w:start w:val="1"/>
      <w:numFmt w:val="bullet"/>
      <w:lvlText w:val="•"/>
      <w:lvlJc w:val="left"/>
      <w:pPr>
        <w:tabs>
          <w:tab w:val="num" w:pos="2880"/>
        </w:tabs>
        <w:ind w:left="2880" w:hanging="360"/>
      </w:pPr>
      <w:rPr>
        <w:rFonts w:ascii="Arial" w:hAnsi="Arial" w:hint="default"/>
      </w:rPr>
    </w:lvl>
    <w:lvl w:ilvl="4" w:tplc="B4D2699C" w:tentative="1">
      <w:start w:val="1"/>
      <w:numFmt w:val="bullet"/>
      <w:lvlText w:val="•"/>
      <w:lvlJc w:val="left"/>
      <w:pPr>
        <w:tabs>
          <w:tab w:val="num" w:pos="3600"/>
        </w:tabs>
        <w:ind w:left="3600" w:hanging="360"/>
      </w:pPr>
      <w:rPr>
        <w:rFonts w:ascii="Arial" w:hAnsi="Arial" w:hint="default"/>
      </w:rPr>
    </w:lvl>
    <w:lvl w:ilvl="5" w:tplc="EB34AF52" w:tentative="1">
      <w:start w:val="1"/>
      <w:numFmt w:val="bullet"/>
      <w:lvlText w:val="•"/>
      <w:lvlJc w:val="left"/>
      <w:pPr>
        <w:tabs>
          <w:tab w:val="num" w:pos="4320"/>
        </w:tabs>
        <w:ind w:left="4320" w:hanging="360"/>
      </w:pPr>
      <w:rPr>
        <w:rFonts w:ascii="Arial" w:hAnsi="Arial" w:hint="default"/>
      </w:rPr>
    </w:lvl>
    <w:lvl w:ilvl="6" w:tplc="81087642" w:tentative="1">
      <w:start w:val="1"/>
      <w:numFmt w:val="bullet"/>
      <w:lvlText w:val="•"/>
      <w:lvlJc w:val="left"/>
      <w:pPr>
        <w:tabs>
          <w:tab w:val="num" w:pos="5040"/>
        </w:tabs>
        <w:ind w:left="5040" w:hanging="360"/>
      </w:pPr>
      <w:rPr>
        <w:rFonts w:ascii="Arial" w:hAnsi="Arial" w:hint="default"/>
      </w:rPr>
    </w:lvl>
    <w:lvl w:ilvl="7" w:tplc="53C8B01C" w:tentative="1">
      <w:start w:val="1"/>
      <w:numFmt w:val="bullet"/>
      <w:lvlText w:val="•"/>
      <w:lvlJc w:val="left"/>
      <w:pPr>
        <w:tabs>
          <w:tab w:val="num" w:pos="5760"/>
        </w:tabs>
        <w:ind w:left="5760" w:hanging="360"/>
      </w:pPr>
      <w:rPr>
        <w:rFonts w:ascii="Arial" w:hAnsi="Arial" w:hint="default"/>
      </w:rPr>
    </w:lvl>
    <w:lvl w:ilvl="8" w:tplc="BFA0F530" w:tentative="1">
      <w:start w:val="1"/>
      <w:numFmt w:val="bullet"/>
      <w:lvlText w:val="•"/>
      <w:lvlJc w:val="left"/>
      <w:pPr>
        <w:tabs>
          <w:tab w:val="num" w:pos="6480"/>
        </w:tabs>
        <w:ind w:left="6480" w:hanging="360"/>
      </w:pPr>
      <w:rPr>
        <w:rFonts w:ascii="Arial" w:hAnsi="Arial" w:hint="default"/>
      </w:rPr>
    </w:lvl>
  </w:abstractNum>
  <w:abstractNum w:abstractNumId="2">
    <w:nsid w:val="17567AAC"/>
    <w:multiLevelType w:val="hybridMultilevel"/>
    <w:tmpl w:val="F63C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1F081B"/>
    <w:multiLevelType w:val="hybridMultilevel"/>
    <w:tmpl w:val="0DF4C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A5DD5"/>
    <w:multiLevelType w:val="multilevel"/>
    <w:tmpl w:val="1E2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CD"/>
    <w:multiLevelType w:val="hybridMultilevel"/>
    <w:tmpl w:val="99DC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E0345"/>
    <w:multiLevelType w:val="multilevel"/>
    <w:tmpl w:val="2C041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8">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8"/>
  </w:num>
  <w:num w:numId="3">
    <w:abstractNumId w:val="2"/>
  </w:num>
  <w:num w:numId="4">
    <w:abstractNumId w:val="6"/>
  </w:num>
  <w:num w:numId="5">
    <w:abstractNumId w:val="0"/>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C7"/>
    <w:rsid w:val="00003BB2"/>
    <w:rsid w:val="00005C6F"/>
    <w:rsid w:val="000065FB"/>
    <w:rsid w:val="000171D7"/>
    <w:rsid w:val="00027B66"/>
    <w:rsid w:val="000371CC"/>
    <w:rsid w:val="00042DC7"/>
    <w:rsid w:val="00054F6A"/>
    <w:rsid w:val="00055E93"/>
    <w:rsid w:val="000656D7"/>
    <w:rsid w:val="00067870"/>
    <w:rsid w:val="00076E44"/>
    <w:rsid w:val="000857D6"/>
    <w:rsid w:val="00095101"/>
    <w:rsid w:val="00096C45"/>
    <w:rsid w:val="000A63CC"/>
    <w:rsid w:val="000B3AD1"/>
    <w:rsid w:val="000B6EB5"/>
    <w:rsid w:val="000B75FC"/>
    <w:rsid w:val="000C555B"/>
    <w:rsid w:val="000D682C"/>
    <w:rsid w:val="000E74BA"/>
    <w:rsid w:val="000F0369"/>
    <w:rsid w:val="000F053E"/>
    <w:rsid w:val="000F5B86"/>
    <w:rsid w:val="000F7ECC"/>
    <w:rsid w:val="00103B3E"/>
    <w:rsid w:val="0011664A"/>
    <w:rsid w:val="00131FB9"/>
    <w:rsid w:val="00160856"/>
    <w:rsid w:val="001631DE"/>
    <w:rsid w:val="00165387"/>
    <w:rsid w:val="001671F4"/>
    <w:rsid w:val="001809AB"/>
    <w:rsid w:val="00184C67"/>
    <w:rsid w:val="00190FDB"/>
    <w:rsid w:val="001A7B83"/>
    <w:rsid w:val="001B0FFC"/>
    <w:rsid w:val="001B72A7"/>
    <w:rsid w:val="001C2607"/>
    <w:rsid w:val="001C5D38"/>
    <w:rsid w:val="001C6158"/>
    <w:rsid w:val="001F0FF6"/>
    <w:rsid w:val="00200A60"/>
    <w:rsid w:val="00207E4F"/>
    <w:rsid w:val="0021028E"/>
    <w:rsid w:val="002118C9"/>
    <w:rsid w:val="00212431"/>
    <w:rsid w:val="00226FC1"/>
    <w:rsid w:val="002305B7"/>
    <w:rsid w:val="00240653"/>
    <w:rsid w:val="002469D3"/>
    <w:rsid w:val="002550DD"/>
    <w:rsid w:val="00293C59"/>
    <w:rsid w:val="00296A23"/>
    <w:rsid w:val="002A1EF0"/>
    <w:rsid w:val="002A62AB"/>
    <w:rsid w:val="002A78D7"/>
    <w:rsid w:val="002B3280"/>
    <w:rsid w:val="002B39B3"/>
    <w:rsid w:val="002B4105"/>
    <w:rsid w:val="002D233F"/>
    <w:rsid w:val="002D3F29"/>
    <w:rsid w:val="002D65FF"/>
    <w:rsid w:val="002E0CD8"/>
    <w:rsid w:val="002E1E1D"/>
    <w:rsid w:val="002F29F6"/>
    <w:rsid w:val="002F6F4B"/>
    <w:rsid w:val="003013F5"/>
    <w:rsid w:val="00302B9B"/>
    <w:rsid w:val="0032049C"/>
    <w:rsid w:val="00332BF5"/>
    <w:rsid w:val="003419E4"/>
    <w:rsid w:val="003423E2"/>
    <w:rsid w:val="00357A91"/>
    <w:rsid w:val="00360255"/>
    <w:rsid w:val="0036286A"/>
    <w:rsid w:val="003840E0"/>
    <w:rsid w:val="003864A3"/>
    <w:rsid w:val="003906F0"/>
    <w:rsid w:val="003B679B"/>
    <w:rsid w:val="003B7595"/>
    <w:rsid w:val="003C550E"/>
    <w:rsid w:val="003D447E"/>
    <w:rsid w:val="00400FA2"/>
    <w:rsid w:val="00417311"/>
    <w:rsid w:val="004256A2"/>
    <w:rsid w:val="00426B71"/>
    <w:rsid w:val="004330C8"/>
    <w:rsid w:val="00442CC7"/>
    <w:rsid w:val="00445B24"/>
    <w:rsid w:val="00461066"/>
    <w:rsid w:val="00463A2B"/>
    <w:rsid w:val="00466F91"/>
    <w:rsid w:val="00471BC3"/>
    <w:rsid w:val="0048014E"/>
    <w:rsid w:val="00481F95"/>
    <w:rsid w:val="00483E2B"/>
    <w:rsid w:val="004849AB"/>
    <w:rsid w:val="00490A93"/>
    <w:rsid w:val="00497B71"/>
    <w:rsid w:val="004A20D2"/>
    <w:rsid w:val="004A721F"/>
    <w:rsid w:val="004B20C8"/>
    <w:rsid w:val="004C0649"/>
    <w:rsid w:val="004C1386"/>
    <w:rsid w:val="004C4458"/>
    <w:rsid w:val="004C5A74"/>
    <w:rsid w:val="004D5D10"/>
    <w:rsid w:val="004E2CBA"/>
    <w:rsid w:val="004E659C"/>
    <w:rsid w:val="004F3C3C"/>
    <w:rsid w:val="00505F1D"/>
    <w:rsid w:val="005167FB"/>
    <w:rsid w:val="00527F9D"/>
    <w:rsid w:val="00531F23"/>
    <w:rsid w:val="00532B99"/>
    <w:rsid w:val="005419FF"/>
    <w:rsid w:val="00555E1D"/>
    <w:rsid w:val="00556D31"/>
    <w:rsid w:val="00563DA4"/>
    <w:rsid w:val="00573609"/>
    <w:rsid w:val="00574C67"/>
    <w:rsid w:val="005835FA"/>
    <w:rsid w:val="005846F1"/>
    <w:rsid w:val="005879AE"/>
    <w:rsid w:val="005C2D2D"/>
    <w:rsid w:val="005C3661"/>
    <w:rsid w:val="005D1060"/>
    <w:rsid w:val="005E4EB3"/>
    <w:rsid w:val="005E584A"/>
    <w:rsid w:val="005F4C7B"/>
    <w:rsid w:val="005F5DFA"/>
    <w:rsid w:val="00600EF1"/>
    <w:rsid w:val="006108DD"/>
    <w:rsid w:val="00641A03"/>
    <w:rsid w:val="00651131"/>
    <w:rsid w:val="006533D4"/>
    <w:rsid w:val="00666B51"/>
    <w:rsid w:val="00670FF3"/>
    <w:rsid w:val="00671D31"/>
    <w:rsid w:val="00676B3C"/>
    <w:rsid w:val="006A37C5"/>
    <w:rsid w:val="006A42EB"/>
    <w:rsid w:val="006B175C"/>
    <w:rsid w:val="006B3E41"/>
    <w:rsid w:val="006C3615"/>
    <w:rsid w:val="006C59F2"/>
    <w:rsid w:val="006C7999"/>
    <w:rsid w:val="006D0370"/>
    <w:rsid w:val="006D439C"/>
    <w:rsid w:val="006D652B"/>
    <w:rsid w:val="007160ED"/>
    <w:rsid w:val="00723ED1"/>
    <w:rsid w:val="007400AC"/>
    <w:rsid w:val="00752623"/>
    <w:rsid w:val="007535C4"/>
    <w:rsid w:val="00757DF1"/>
    <w:rsid w:val="00777C4E"/>
    <w:rsid w:val="00781E46"/>
    <w:rsid w:val="007A3873"/>
    <w:rsid w:val="007B7CE0"/>
    <w:rsid w:val="007C36F7"/>
    <w:rsid w:val="007C6C3A"/>
    <w:rsid w:val="007C7F29"/>
    <w:rsid w:val="007D1F38"/>
    <w:rsid w:val="007D5C95"/>
    <w:rsid w:val="007D775B"/>
    <w:rsid w:val="007E0277"/>
    <w:rsid w:val="007E09C8"/>
    <w:rsid w:val="007E4C07"/>
    <w:rsid w:val="007F1B16"/>
    <w:rsid w:val="007F3998"/>
    <w:rsid w:val="0080308E"/>
    <w:rsid w:val="0081376E"/>
    <w:rsid w:val="00827FBA"/>
    <w:rsid w:val="00834B51"/>
    <w:rsid w:val="00835E75"/>
    <w:rsid w:val="008362C9"/>
    <w:rsid w:val="00840B19"/>
    <w:rsid w:val="0084133B"/>
    <w:rsid w:val="0084230F"/>
    <w:rsid w:val="00843887"/>
    <w:rsid w:val="00853AC0"/>
    <w:rsid w:val="0085633B"/>
    <w:rsid w:val="00887D72"/>
    <w:rsid w:val="008A0238"/>
    <w:rsid w:val="008A4197"/>
    <w:rsid w:val="008B0088"/>
    <w:rsid w:val="008B2399"/>
    <w:rsid w:val="008B6E74"/>
    <w:rsid w:val="008B7581"/>
    <w:rsid w:val="008C1169"/>
    <w:rsid w:val="008C2BD4"/>
    <w:rsid w:val="008C541A"/>
    <w:rsid w:val="008D10D5"/>
    <w:rsid w:val="008D6023"/>
    <w:rsid w:val="008F082E"/>
    <w:rsid w:val="008F1292"/>
    <w:rsid w:val="0091132E"/>
    <w:rsid w:val="009138F3"/>
    <w:rsid w:val="00914FB5"/>
    <w:rsid w:val="00925D5A"/>
    <w:rsid w:val="00926C43"/>
    <w:rsid w:val="00927C8E"/>
    <w:rsid w:val="00934ECE"/>
    <w:rsid w:val="00937333"/>
    <w:rsid w:val="00940C02"/>
    <w:rsid w:val="00942A57"/>
    <w:rsid w:val="00945174"/>
    <w:rsid w:val="00947A46"/>
    <w:rsid w:val="00952483"/>
    <w:rsid w:val="00970404"/>
    <w:rsid w:val="009714EE"/>
    <w:rsid w:val="00972045"/>
    <w:rsid w:val="009777C7"/>
    <w:rsid w:val="00977E8D"/>
    <w:rsid w:val="00981FD2"/>
    <w:rsid w:val="0098794F"/>
    <w:rsid w:val="00990735"/>
    <w:rsid w:val="0099474E"/>
    <w:rsid w:val="00994FE6"/>
    <w:rsid w:val="009A09C9"/>
    <w:rsid w:val="009B04FE"/>
    <w:rsid w:val="009C060F"/>
    <w:rsid w:val="009C0739"/>
    <w:rsid w:val="009C6A7A"/>
    <w:rsid w:val="009C6FEF"/>
    <w:rsid w:val="009D2146"/>
    <w:rsid w:val="009D547F"/>
    <w:rsid w:val="009F0A9B"/>
    <w:rsid w:val="009F190B"/>
    <w:rsid w:val="00A02DBC"/>
    <w:rsid w:val="00A14A81"/>
    <w:rsid w:val="00A16AF3"/>
    <w:rsid w:val="00A40B98"/>
    <w:rsid w:val="00A41692"/>
    <w:rsid w:val="00A44C41"/>
    <w:rsid w:val="00A52A29"/>
    <w:rsid w:val="00A536C7"/>
    <w:rsid w:val="00A64CD6"/>
    <w:rsid w:val="00A7084A"/>
    <w:rsid w:val="00A71523"/>
    <w:rsid w:val="00A81373"/>
    <w:rsid w:val="00A83337"/>
    <w:rsid w:val="00AA598E"/>
    <w:rsid w:val="00AB012F"/>
    <w:rsid w:val="00AE207E"/>
    <w:rsid w:val="00AE3F6F"/>
    <w:rsid w:val="00AF1782"/>
    <w:rsid w:val="00AF1DA2"/>
    <w:rsid w:val="00B00781"/>
    <w:rsid w:val="00B06721"/>
    <w:rsid w:val="00B2247E"/>
    <w:rsid w:val="00B30283"/>
    <w:rsid w:val="00B35774"/>
    <w:rsid w:val="00B36046"/>
    <w:rsid w:val="00B442AF"/>
    <w:rsid w:val="00B8481E"/>
    <w:rsid w:val="00B92A68"/>
    <w:rsid w:val="00BA701A"/>
    <w:rsid w:val="00BA7961"/>
    <w:rsid w:val="00BA7A40"/>
    <w:rsid w:val="00BB14E1"/>
    <w:rsid w:val="00BB4C9F"/>
    <w:rsid w:val="00BB7F0F"/>
    <w:rsid w:val="00BC05B3"/>
    <w:rsid w:val="00BC7D9D"/>
    <w:rsid w:val="00BD015D"/>
    <w:rsid w:val="00BD3719"/>
    <w:rsid w:val="00BE019F"/>
    <w:rsid w:val="00BE319A"/>
    <w:rsid w:val="00BF15AF"/>
    <w:rsid w:val="00C0727E"/>
    <w:rsid w:val="00C11416"/>
    <w:rsid w:val="00C15571"/>
    <w:rsid w:val="00C30A83"/>
    <w:rsid w:val="00C33ADA"/>
    <w:rsid w:val="00C415C8"/>
    <w:rsid w:val="00C43BC1"/>
    <w:rsid w:val="00C622D3"/>
    <w:rsid w:val="00C70C89"/>
    <w:rsid w:val="00C7195D"/>
    <w:rsid w:val="00C80D5D"/>
    <w:rsid w:val="00C84975"/>
    <w:rsid w:val="00CA7A44"/>
    <w:rsid w:val="00CB011B"/>
    <w:rsid w:val="00CB6F5D"/>
    <w:rsid w:val="00CF4BCF"/>
    <w:rsid w:val="00D05699"/>
    <w:rsid w:val="00D11ECD"/>
    <w:rsid w:val="00D177B5"/>
    <w:rsid w:val="00D32303"/>
    <w:rsid w:val="00D32AD4"/>
    <w:rsid w:val="00D3475D"/>
    <w:rsid w:val="00D35DE4"/>
    <w:rsid w:val="00D37944"/>
    <w:rsid w:val="00D44085"/>
    <w:rsid w:val="00D60DB5"/>
    <w:rsid w:val="00D618AF"/>
    <w:rsid w:val="00D63310"/>
    <w:rsid w:val="00D671F4"/>
    <w:rsid w:val="00D703B5"/>
    <w:rsid w:val="00D852B6"/>
    <w:rsid w:val="00D86D6F"/>
    <w:rsid w:val="00D90E7C"/>
    <w:rsid w:val="00D91AD1"/>
    <w:rsid w:val="00D94D6C"/>
    <w:rsid w:val="00DA180A"/>
    <w:rsid w:val="00DA4831"/>
    <w:rsid w:val="00DB1227"/>
    <w:rsid w:val="00DB4738"/>
    <w:rsid w:val="00DB4CD9"/>
    <w:rsid w:val="00DC147C"/>
    <w:rsid w:val="00DC406C"/>
    <w:rsid w:val="00DD78E3"/>
    <w:rsid w:val="00DE26D8"/>
    <w:rsid w:val="00DE3B37"/>
    <w:rsid w:val="00DE56CD"/>
    <w:rsid w:val="00DE66D7"/>
    <w:rsid w:val="00E044DA"/>
    <w:rsid w:val="00E05C62"/>
    <w:rsid w:val="00E15C01"/>
    <w:rsid w:val="00E15F1B"/>
    <w:rsid w:val="00E16198"/>
    <w:rsid w:val="00E32C3A"/>
    <w:rsid w:val="00E3691D"/>
    <w:rsid w:val="00E52B71"/>
    <w:rsid w:val="00E60AA5"/>
    <w:rsid w:val="00E6199B"/>
    <w:rsid w:val="00E647FA"/>
    <w:rsid w:val="00E66A5F"/>
    <w:rsid w:val="00E671BD"/>
    <w:rsid w:val="00E671BE"/>
    <w:rsid w:val="00E70CDB"/>
    <w:rsid w:val="00E935E7"/>
    <w:rsid w:val="00EA79B5"/>
    <w:rsid w:val="00EC4F43"/>
    <w:rsid w:val="00ED0D67"/>
    <w:rsid w:val="00ED78AE"/>
    <w:rsid w:val="00EE0DAA"/>
    <w:rsid w:val="00EE4A89"/>
    <w:rsid w:val="00EF21D7"/>
    <w:rsid w:val="00EF7AF2"/>
    <w:rsid w:val="00F01621"/>
    <w:rsid w:val="00F0168B"/>
    <w:rsid w:val="00F0420B"/>
    <w:rsid w:val="00F05EEB"/>
    <w:rsid w:val="00F06745"/>
    <w:rsid w:val="00F06C4E"/>
    <w:rsid w:val="00F2455C"/>
    <w:rsid w:val="00F258AE"/>
    <w:rsid w:val="00F313EE"/>
    <w:rsid w:val="00F31ED8"/>
    <w:rsid w:val="00F330EE"/>
    <w:rsid w:val="00F350EF"/>
    <w:rsid w:val="00F35801"/>
    <w:rsid w:val="00F41873"/>
    <w:rsid w:val="00F52EBE"/>
    <w:rsid w:val="00F574FE"/>
    <w:rsid w:val="00F7745B"/>
    <w:rsid w:val="00F84374"/>
    <w:rsid w:val="00F86F11"/>
    <w:rsid w:val="00FA6C03"/>
    <w:rsid w:val="00FB0D33"/>
    <w:rsid w:val="00FB1A77"/>
    <w:rsid w:val="00FC53D9"/>
    <w:rsid w:val="00FC6215"/>
    <w:rsid w:val="00FD0EEA"/>
    <w:rsid w:val="00FE73C5"/>
    <w:rsid w:val="00FF6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34"/>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2E1E1D"/>
    <w:pPr>
      <w:tabs>
        <w:tab w:val="left" w:pos="0"/>
        <w:tab w:val="left" w:pos="720"/>
        <w:tab w:val="right" w:leader="dot" w:pos="9494"/>
      </w:tabs>
      <w:spacing w:before="120" w:after="120" w:line="480" w:lineRule="auto"/>
      <w:jc w:val="both"/>
    </w:pPr>
    <w:rPr>
      <w:b/>
      <w:caps/>
      <w:noProof/>
      <w:sz w:val="22"/>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paragraph" w:styleId="Revision">
    <w:name w:val="Revision"/>
    <w:hidden/>
    <w:uiPriority w:val="99"/>
    <w:semiHidden/>
    <w:rsid w:val="000F7ECC"/>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34"/>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2E1E1D"/>
    <w:pPr>
      <w:tabs>
        <w:tab w:val="left" w:pos="0"/>
        <w:tab w:val="left" w:pos="720"/>
        <w:tab w:val="right" w:leader="dot" w:pos="9494"/>
      </w:tabs>
      <w:spacing w:before="120" w:after="120" w:line="480" w:lineRule="auto"/>
      <w:jc w:val="both"/>
    </w:pPr>
    <w:rPr>
      <w:b/>
      <w:caps/>
      <w:noProof/>
      <w:sz w:val="22"/>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paragraph" w:styleId="Revision">
    <w:name w:val="Revision"/>
    <w:hidden/>
    <w:uiPriority w:val="99"/>
    <w:semiHidden/>
    <w:rsid w:val="000F7ECC"/>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186335701">
      <w:bodyDiv w:val="1"/>
      <w:marLeft w:val="0"/>
      <w:marRight w:val="0"/>
      <w:marTop w:val="0"/>
      <w:marBottom w:val="0"/>
      <w:divBdr>
        <w:top w:val="none" w:sz="0" w:space="0" w:color="auto"/>
        <w:left w:val="none" w:sz="0" w:space="0" w:color="auto"/>
        <w:bottom w:val="none" w:sz="0" w:space="0" w:color="auto"/>
        <w:right w:val="none" w:sz="0" w:space="0" w:color="auto"/>
      </w:divBdr>
    </w:div>
    <w:div w:id="297417747">
      <w:bodyDiv w:val="1"/>
      <w:marLeft w:val="0"/>
      <w:marRight w:val="0"/>
      <w:marTop w:val="0"/>
      <w:marBottom w:val="0"/>
      <w:divBdr>
        <w:top w:val="none" w:sz="0" w:space="0" w:color="auto"/>
        <w:left w:val="none" w:sz="0" w:space="0" w:color="auto"/>
        <w:bottom w:val="none" w:sz="0" w:space="0" w:color="auto"/>
        <w:right w:val="none" w:sz="0" w:space="0" w:color="auto"/>
      </w:divBdr>
    </w:div>
    <w:div w:id="1563103935">
      <w:bodyDiv w:val="1"/>
      <w:marLeft w:val="0"/>
      <w:marRight w:val="0"/>
      <w:marTop w:val="0"/>
      <w:marBottom w:val="0"/>
      <w:divBdr>
        <w:top w:val="none" w:sz="0" w:space="0" w:color="auto"/>
        <w:left w:val="none" w:sz="0" w:space="0" w:color="auto"/>
        <w:bottom w:val="none" w:sz="0" w:space="0" w:color="auto"/>
        <w:right w:val="none" w:sz="0" w:space="0" w:color="auto"/>
      </w:divBdr>
    </w:div>
    <w:div w:id="1623223607">
      <w:bodyDiv w:val="1"/>
      <w:marLeft w:val="0"/>
      <w:marRight w:val="0"/>
      <w:marTop w:val="0"/>
      <w:marBottom w:val="0"/>
      <w:divBdr>
        <w:top w:val="none" w:sz="0" w:space="0" w:color="auto"/>
        <w:left w:val="none" w:sz="0" w:space="0" w:color="auto"/>
        <w:bottom w:val="none" w:sz="0" w:space="0" w:color="auto"/>
        <w:right w:val="none" w:sz="0" w:space="0" w:color="auto"/>
      </w:divBdr>
    </w:div>
    <w:div w:id="17835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82847-42A7-4685-80D3-39830F6E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4627</Words>
  <Characters>28398</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32960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cp:lastModifiedBy>splimpto</cp:lastModifiedBy>
  <cp:revision>3</cp:revision>
  <cp:lastPrinted>2007-11-15T16:02:00Z</cp:lastPrinted>
  <dcterms:created xsi:type="dcterms:W3CDTF">2013-01-09T22:18:00Z</dcterms:created>
  <dcterms:modified xsi:type="dcterms:W3CDTF">2013-01-09T22:19:00Z</dcterms:modified>
</cp:coreProperties>
</file>