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525" w:rsidRDefault="00C53525">
      <w:pPr>
        <w:jc w:val="center"/>
      </w:pPr>
      <w:r>
        <w:rPr>
          <w:rFonts w:ascii="Helvetica" w:hAnsi="Helvetica"/>
          <w:b/>
          <w:sz w:val="28"/>
        </w:rPr>
        <w:t>Paperwork Reduction Act Submission</w:t>
      </w:r>
    </w:p>
    <w:p w:rsidR="00C53525" w:rsidRDefault="00C53525">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tblPr>
      <w:tblGrid>
        <w:gridCol w:w="5508"/>
        <w:gridCol w:w="1920"/>
        <w:gridCol w:w="1800"/>
        <w:gridCol w:w="1788"/>
      </w:tblGrid>
      <w:tr w:rsidR="00C53525">
        <w:tc>
          <w:tcPr>
            <w:tcW w:w="7428" w:type="dxa"/>
            <w:gridSpan w:val="2"/>
            <w:tcBorders>
              <w:top w:val="single" w:sz="6" w:space="0" w:color="auto"/>
            </w:tcBorders>
          </w:tcPr>
          <w:p w:rsidR="00C53525" w:rsidRDefault="00C53525">
            <w:pPr>
              <w:ind w:left="-120"/>
              <w:rPr>
                <w:rFonts w:ascii="Helvetica" w:hAnsi="Helvetica"/>
                <w:sz w:val="14"/>
              </w:rPr>
            </w:pPr>
            <w:r>
              <w:rPr>
                <w:rFonts w:ascii="Helvetica" w:hAnsi="Helvetica"/>
                <w:sz w:val="14"/>
              </w:rPr>
              <w:t>1. Agency/Subagency Originating Request:</w:t>
            </w:r>
          </w:p>
          <w:p w:rsidR="00C53525" w:rsidRDefault="00C53525">
            <w:pPr>
              <w:ind w:left="120"/>
              <w:rPr>
                <w:rFonts w:ascii="Helvetica" w:hAnsi="Helvetica"/>
                <w:bCs/>
                <w:sz w:val="18"/>
              </w:rPr>
            </w:pPr>
            <w:r>
              <w:rPr>
                <w:rFonts w:ascii="Helvetica" w:hAnsi="Helvetica"/>
                <w:bCs/>
                <w:sz w:val="18"/>
              </w:rPr>
              <w:t>U.S. Department of Housing and Urban Development</w:t>
            </w:r>
            <w:r w:rsidR="0031500B">
              <w:rPr>
                <w:rFonts w:ascii="Helvetica" w:hAnsi="Helvetica"/>
                <w:bCs/>
                <w:sz w:val="18"/>
              </w:rPr>
              <w:t xml:space="preserve">- </w:t>
            </w:r>
            <w:r w:rsidR="00E0029E">
              <w:rPr>
                <w:rFonts w:ascii="Helvetica" w:hAnsi="Helvetica"/>
                <w:bCs/>
                <w:sz w:val="18"/>
              </w:rPr>
              <w:t xml:space="preserve">Office of Public and Indian Housing and </w:t>
            </w:r>
            <w:r w:rsidR="0031500B">
              <w:rPr>
                <w:rFonts w:ascii="Helvetica" w:hAnsi="Helvetica"/>
                <w:bCs/>
                <w:sz w:val="18"/>
              </w:rPr>
              <w:t>Office of Housing</w:t>
            </w:r>
            <w:r w:rsidR="00E0029E">
              <w:rPr>
                <w:rFonts w:ascii="Helvetica" w:hAnsi="Helvetica"/>
                <w:bCs/>
                <w:sz w:val="18"/>
              </w:rPr>
              <w:t>-Federal Housing Commissioner</w:t>
            </w:r>
          </w:p>
          <w:p w:rsidR="00C53525" w:rsidRDefault="00C53525">
            <w:pPr>
              <w:spacing w:before="40" w:after="40"/>
              <w:ind w:left="120"/>
              <w:rPr>
                <w:rFonts w:ascii="Helvetica" w:hAnsi="Helvetica"/>
                <w:sz w:val="16"/>
              </w:rPr>
            </w:pPr>
          </w:p>
        </w:tc>
        <w:tc>
          <w:tcPr>
            <w:tcW w:w="1800" w:type="dxa"/>
            <w:tcBorders>
              <w:top w:val="single" w:sz="6" w:space="0" w:color="auto"/>
              <w:left w:val="single" w:sz="6" w:space="0" w:color="auto"/>
            </w:tcBorders>
          </w:tcPr>
          <w:p w:rsidR="00C53525" w:rsidRDefault="00C53525">
            <w:pPr>
              <w:rPr>
                <w:rFonts w:ascii="Helvetica" w:hAnsi="Helvetica"/>
                <w:sz w:val="16"/>
              </w:rPr>
            </w:pPr>
            <w:r>
              <w:rPr>
                <w:rFonts w:ascii="Helvetica" w:hAnsi="Helvetica"/>
                <w:sz w:val="16"/>
              </w:rPr>
              <w:t xml:space="preserve">2. </w:t>
            </w:r>
            <w:r>
              <w:rPr>
                <w:rFonts w:ascii="Helvetica" w:hAnsi="Helvetica"/>
                <w:sz w:val="14"/>
              </w:rPr>
              <w:t>OMB Control Number:</w:t>
            </w:r>
          </w:p>
          <w:p w:rsidR="00C53525" w:rsidRDefault="00020DC4">
            <w:pPr>
              <w:spacing w:before="40" w:after="40"/>
              <w:ind w:left="132"/>
              <w:rPr>
                <w:rFonts w:ascii="Helvetica" w:hAnsi="Helvetica"/>
                <w:sz w:val="16"/>
              </w:rPr>
            </w:pPr>
            <w:r>
              <w:rPr>
                <w:rFonts w:ascii="Helvetica" w:hAnsi="Helvetica"/>
                <w:sz w:val="16"/>
              </w:rPr>
              <w:t xml:space="preserve">a.  </w:t>
            </w:r>
          </w:p>
          <w:p w:rsidR="00C53525" w:rsidRDefault="00C53525">
            <w:pPr>
              <w:spacing w:before="40" w:after="40"/>
              <w:ind w:left="132"/>
              <w:rPr>
                <w:rFonts w:ascii="Helvetica" w:hAnsi="Helvetica"/>
                <w:sz w:val="16"/>
              </w:rPr>
            </w:pPr>
            <w:r>
              <w:rPr>
                <w:rFonts w:ascii="Helvetica" w:hAnsi="Helvetica"/>
                <w:sz w:val="16"/>
              </w:rPr>
              <w:t xml:space="preserve">b.  </w:t>
            </w:r>
            <w:r w:rsidR="0031500B">
              <w:rPr>
                <w:rFonts w:ascii="Helvetica" w:hAnsi="Helvetica"/>
                <w:b/>
              </w:rPr>
              <w:t>X</w:t>
            </w:r>
            <w:r>
              <w:rPr>
                <w:rFonts w:ascii="Helvetica" w:hAnsi="Helvetica"/>
                <w:b/>
              </w:rPr>
              <w:t xml:space="preserve"> </w:t>
            </w:r>
            <w:r>
              <w:rPr>
                <w:rFonts w:ascii="Helvetica" w:hAnsi="Helvetica"/>
                <w:bCs/>
              </w:rPr>
              <w:t>None</w:t>
            </w:r>
          </w:p>
          <w:p w:rsidR="00C53525" w:rsidRDefault="00C53525">
            <w:pPr>
              <w:ind w:left="-120"/>
              <w:rPr>
                <w:rFonts w:ascii="Helvetica" w:hAnsi="Helvetica"/>
                <w:sz w:val="16"/>
              </w:rPr>
            </w:pPr>
          </w:p>
        </w:tc>
        <w:tc>
          <w:tcPr>
            <w:tcW w:w="1788" w:type="dxa"/>
            <w:tcBorders>
              <w:top w:val="single" w:sz="6" w:space="0" w:color="auto"/>
            </w:tcBorders>
          </w:tcPr>
          <w:p w:rsidR="00C53525" w:rsidRDefault="00C53525">
            <w:pPr>
              <w:spacing w:before="40" w:after="40"/>
              <w:rPr>
                <w:rFonts w:ascii="Helvetica" w:hAnsi="Helvetica"/>
                <w:sz w:val="16"/>
              </w:rPr>
            </w:pPr>
          </w:p>
        </w:tc>
      </w:tr>
      <w:tr w:rsidR="00C53525">
        <w:tc>
          <w:tcPr>
            <w:tcW w:w="5508" w:type="dxa"/>
            <w:tcBorders>
              <w:top w:val="single" w:sz="6" w:space="0" w:color="auto"/>
            </w:tcBorders>
          </w:tcPr>
          <w:p w:rsidR="00C53525" w:rsidRDefault="00C53525">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bookmarkStart w:id="0" w:name="Check3"/>
          <w:p w:rsidR="00C53525" w:rsidRDefault="003554AD">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3"/>
                  <w:enabled/>
                  <w:calcOnExit w:val="0"/>
                  <w:checkBox>
                    <w:sizeAuto/>
                    <w:default w:val="1"/>
                  </w:checkBox>
                </w:ffData>
              </w:fldChar>
            </w:r>
            <w:r w:rsidR="0090232B">
              <w:rPr>
                <w:rFonts w:ascii="Helvetica" w:hAnsi="Helvetica"/>
                <w:b/>
              </w:rPr>
              <w:instrText xml:space="preserve"> FORMCHECKBOX </w:instrText>
            </w:r>
            <w:r>
              <w:rPr>
                <w:rFonts w:ascii="Helvetica" w:hAnsi="Helvetica"/>
                <w:b/>
              </w:rPr>
            </w:r>
            <w:r>
              <w:rPr>
                <w:rFonts w:ascii="Helvetica" w:hAnsi="Helvetica"/>
                <w:b/>
              </w:rPr>
              <w:fldChar w:fldCharType="separate"/>
            </w:r>
            <w:r>
              <w:rPr>
                <w:rFonts w:ascii="Helvetica" w:hAnsi="Helvetica"/>
                <w:b/>
              </w:rPr>
              <w:fldChar w:fldCharType="end"/>
            </w:r>
            <w:bookmarkEnd w:id="0"/>
            <w:r w:rsidR="00C53525">
              <w:rPr>
                <w:rFonts w:ascii="Helvetica" w:hAnsi="Helvetica"/>
                <w:sz w:val="16"/>
              </w:rPr>
              <w:t xml:space="preserve"> New Collection </w:t>
            </w:r>
          </w:p>
          <w:p w:rsidR="00C53525" w:rsidRDefault="00585225">
            <w:pPr>
              <w:numPr>
                <w:ilvl w:val="0"/>
                <w:numId w:val="1"/>
              </w:numPr>
              <w:tabs>
                <w:tab w:val="left" w:pos="480"/>
                <w:tab w:val="left" w:pos="720"/>
              </w:tabs>
              <w:rPr>
                <w:rFonts w:ascii="Helvetica" w:hAnsi="Helvetica"/>
                <w:sz w:val="16"/>
              </w:rPr>
            </w:pPr>
            <w:r>
              <w:rPr>
                <w:rFonts w:ascii="Helvetica" w:hAnsi="Helvetica"/>
                <w:b/>
              </w:rPr>
              <w:t xml:space="preserve"> </w:t>
            </w:r>
            <w:r w:rsidR="00C53525">
              <w:rPr>
                <w:rFonts w:ascii="Helvetica" w:hAnsi="Helvetica"/>
                <w:sz w:val="16"/>
              </w:rPr>
              <w:t>Revision of a currently approved collection</w:t>
            </w:r>
          </w:p>
          <w:p w:rsidR="00C53525" w:rsidRDefault="00C53525">
            <w:pPr>
              <w:numPr>
                <w:ilvl w:val="0"/>
                <w:numId w:val="1"/>
              </w:numPr>
              <w:tabs>
                <w:tab w:val="left" w:pos="480"/>
                <w:tab w:val="left" w:pos="720"/>
              </w:tabs>
              <w:rPr>
                <w:rFonts w:ascii="Helvetica" w:hAnsi="Helvetica"/>
                <w:sz w:val="16"/>
              </w:rPr>
            </w:pPr>
            <w:r>
              <w:rPr>
                <w:rFonts w:ascii="Helvetica" w:hAnsi="Helvetica"/>
                <w:b/>
              </w:rPr>
              <w:t xml:space="preserve">  </w:t>
            </w:r>
            <w:r>
              <w:rPr>
                <w:rFonts w:ascii="Helvetica" w:hAnsi="Helvetica"/>
                <w:sz w:val="16"/>
              </w:rPr>
              <w:t xml:space="preserve"> Extension of a currently approved collection</w:t>
            </w:r>
          </w:p>
          <w:p w:rsidR="00C53525" w:rsidRDefault="00C53525">
            <w:pPr>
              <w:numPr>
                <w:ilvl w:val="0"/>
                <w:numId w:val="1"/>
              </w:numPr>
              <w:tabs>
                <w:tab w:val="left" w:pos="480"/>
                <w:tab w:val="left" w:pos="720"/>
              </w:tabs>
              <w:rPr>
                <w:rFonts w:ascii="Helvetica" w:hAnsi="Helvetica"/>
                <w:sz w:val="16"/>
              </w:rPr>
            </w:pPr>
            <w:r>
              <w:rPr>
                <w:rFonts w:ascii="Helvetica" w:hAnsi="Helvetica"/>
                <w:sz w:val="16"/>
              </w:rPr>
              <w:t xml:space="preserve">      Reinstatement, </w:t>
            </w:r>
            <w:r>
              <w:rPr>
                <w:rFonts w:ascii="Helvetica" w:hAnsi="Helvetica"/>
                <w:b/>
                <w:sz w:val="16"/>
              </w:rPr>
              <w:t>without change</w:t>
            </w:r>
            <w:r>
              <w:rPr>
                <w:rFonts w:ascii="Helvetica" w:hAnsi="Helvetica"/>
                <w:sz w:val="16"/>
              </w:rPr>
              <w:t xml:space="preserve">, of previously approved </w:t>
            </w:r>
          </w:p>
          <w:p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C53525" w:rsidRDefault="003554AD">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90232B">
              <w:rPr>
                <w:rFonts w:ascii="Helvetica" w:hAnsi="Helvetica"/>
                <w:b/>
              </w:rPr>
              <w:instrText xml:space="preserve"> FORMCHECKBOX </w:instrText>
            </w:r>
            <w:r>
              <w:rPr>
                <w:rFonts w:ascii="Helvetica" w:hAnsi="Helvetica"/>
                <w:b/>
              </w:rPr>
            </w:r>
            <w:r>
              <w:rPr>
                <w:rFonts w:ascii="Helvetica" w:hAnsi="Helvetica"/>
                <w:b/>
              </w:rPr>
              <w:fldChar w:fldCharType="separate"/>
            </w:r>
            <w:r>
              <w:rPr>
                <w:rFonts w:ascii="Helvetica" w:hAnsi="Helvetica"/>
                <w:b/>
              </w:rPr>
              <w:fldChar w:fldCharType="end"/>
            </w:r>
            <w:r w:rsidR="00C53525">
              <w:rPr>
                <w:rFonts w:ascii="Helvetica" w:hAnsi="Helvetica"/>
                <w:sz w:val="16"/>
              </w:rPr>
              <w:t xml:space="preserve"> Reinstatement, </w:t>
            </w:r>
            <w:r w:rsidR="00C53525">
              <w:rPr>
                <w:rFonts w:ascii="Helvetica" w:hAnsi="Helvetica"/>
                <w:b/>
                <w:sz w:val="16"/>
              </w:rPr>
              <w:t>with change</w:t>
            </w:r>
            <w:r w:rsidR="00C53525">
              <w:rPr>
                <w:rFonts w:ascii="Helvetica" w:hAnsi="Helvetica"/>
                <w:sz w:val="16"/>
              </w:rPr>
              <w:t xml:space="preserve">, of previously approved collection </w:t>
            </w:r>
          </w:p>
          <w:p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C53525" w:rsidRDefault="003554AD">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1" w:name="Check7"/>
            <w:r w:rsidR="00C53525">
              <w:rPr>
                <w:rFonts w:ascii="Helvetica" w:hAnsi="Helvetica"/>
                <w:b/>
              </w:rPr>
              <w:instrText xml:space="preserve"> FORMCHECKBOX </w:instrText>
            </w:r>
            <w:r>
              <w:rPr>
                <w:rFonts w:ascii="Helvetica" w:hAnsi="Helvetica"/>
                <w:b/>
              </w:rPr>
            </w:r>
            <w:r>
              <w:rPr>
                <w:rFonts w:ascii="Helvetica" w:hAnsi="Helvetica"/>
                <w:b/>
              </w:rPr>
              <w:fldChar w:fldCharType="separate"/>
            </w:r>
            <w:r>
              <w:rPr>
                <w:rFonts w:ascii="Helvetica" w:hAnsi="Helvetica"/>
                <w:b/>
              </w:rPr>
              <w:fldChar w:fldCharType="end"/>
            </w:r>
            <w:bookmarkEnd w:id="1"/>
            <w:r w:rsidR="00C53525">
              <w:rPr>
                <w:rFonts w:ascii="Helvetica" w:hAnsi="Helvetica"/>
                <w:sz w:val="16"/>
              </w:rPr>
              <w:t xml:space="preserve"> Existing collection in use without an OMB control number</w:t>
            </w:r>
          </w:p>
          <w:p w:rsidR="00C53525" w:rsidRDefault="00C53525">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C53525" w:rsidRDefault="00C53525">
            <w:pPr>
              <w:numPr>
                <w:ilvl w:val="12"/>
                <w:numId w:val="0"/>
              </w:numPr>
              <w:tabs>
                <w:tab w:val="left" w:pos="252"/>
                <w:tab w:val="left" w:pos="492"/>
              </w:tabs>
              <w:ind w:left="-240"/>
              <w:rPr>
                <w:rFonts w:ascii="Helvetica" w:hAnsi="Helvetica"/>
                <w:sz w:val="14"/>
              </w:rPr>
            </w:pPr>
            <w:r>
              <w:rPr>
                <w:rFonts w:ascii="Helvetica" w:hAnsi="Helvetica"/>
                <w:sz w:val="16"/>
              </w:rPr>
              <w:t>4.</w:t>
            </w:r>
            <w:r w:rsidR="00AC1E30">
              <w:rPr>
                <w:rFonts w:ascii="Helvetica" w:hAnsi="Helvetica"/>
                <w:sz w:val="16"/>
              </w:rPr>
              <w:t xml:space="preserve">  4</w:t>
            </w:r>
            <w:r>
              <w:rPr>
                <w:rFonts w:ascii="Helvetica" w:hAnsi="Helvetica"/>
                <w:sz w:val="16"/>
              </w:rPr>
              <w:tab/>
            </w:r>
            <w:r>
              <w:rPr>
                <w:rFonts w:ascii="Helvetica" w:hAnsi="Helvetica"/>
                <w:sz w:val="14"/>
              </w:rPr>
              <w:t>Type of review requested: (check one)</w:t>
            </w:r>
          </w:p>
          <w:p w:rsidR="00C53525" w:rsidRDefault="003554AD">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sidR="00C53525">
              <w:rPr>
                <w:rFonts w:ascii="Helvetica" w:hAnsi="Helvetica"/>
                <w:b/>
              </w:rPr>
              <w:instrText xml:space="preserve"> FORMCHECKBOX </w:instrText>
            </w:r>
            <w:r>
              <w:rPr>
                <w:rFonts w:ascii="Helvetica" w:hAnsi="Helvetica"/>
                <w:b/>
              </w:rPr>
            </w:r>
            <w:r>
              <w:rPr>
                <w:rFonts w:ascii="Helvetica" w:hAnsi="Helvetica"/>
                <w:b/>
              </w:rPr>
              <w:fldChar w:fldCharType="separate"/>
            </w:r>
            <w:r>
              <w:rPr>
                <w:rFonts w:ascii="Helvetica" w:hAnsi="Helvetica"/>
                <w:b/>
              </w:rPr>
              <w:fldChar w:fldCharType="end"/>
            </w:r>
            <w:r w:rsidR="00C53525">
              <w:rPr>
                <w:rFonts w:ascii="Helvetica" w:hAnsi="Helvetica"/>
                <w:sz w:val="16"/>
              </w:rPr>
              <w:t xml:space="preserve"> Regular</w:t>
            </w:r>
          </w:p>
          <w:p w:rsidR="00C53525" w:rsidRDefault="003554A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2" w:name="Check9"/>
            <w:r w:rsidR="00C535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bookmarkEnd w:id="2"/>
            <w:r w:rsidR="00C53525">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3" w:name="Text4"/>
            <w:r w:rsidR="00C53525">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Pr>
                <w:rFonts w:ascii="Helvetica" w:hAnsi="Helvetica"/>
                <w:sz w:val="18"/>
              </w:rPr>
              <w:fldChar w:fldCharType="end"/>
            </w:r>
            <w:bookmarkEnd w:id="3"/>
          </w:p>
          <w:p w:rsidR="00C53525" w:rsidRDefault="003554A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4" w:name="Check10"/>
            <w:r w:rsidR="00C535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bookmarkEnd w:id="4"/>
            <w:r w:rsidR="00C53525">
              <w:rPr>
                <w:rFonts w:ascii="Helvetica" w:hAnsi="Helvetica"/>
                <w:sz w:val="18"/>
              </w:rPr>
              <w:t xml:space="preserve"> </w:t>
            </w:r>
            <w:r w:rsidR="00C53525">
              <w:rPr>
                <w:rFonts w:ascii="Helvetica" w:hAnsi="Helvetica"/>
                <w:sz w:val="16"/>
              </w:rPr>
              <w:t>Delegated</w:t>
            </w:r>
          </w:p>
          <w:p w:rsidR="00C53525" w:rsidRDefault="00C53525">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C53525" w:rsidRDefault="00675F61">
            <w:pPr>
              <w:tabs>
                <w:tab w:val="left" w:pos="240"/>
              </w:tabs>
              <w:ind w:left="252"/>
              <w:rPr>
                <w:rFonts w:ascii="Helvetica" w:hAnsi="Helvetica"/>
                <w:sz w:val="18"/>
              </w:rPr>
            </w:pPr>
            <w:r>
              <w:rPr>
                <w:rFonts w:ascii="Helvetica" w:hAnsi="Helvetica"/>
                <w:sz w:val="18"/>
              </w:rPr>
              <w:t xml:space="preserve">   Yes  </w:t>
            </w:r>
            <w:r w:rsidR="00C53525">
              <w:rPr>
                <w:rFonts w:ascii="Helvetica" w:hAnsi="Helvetica"/>
                <w:sz w:val="18"/>
              </w:rPr>
              <w:t xml:space="preserve">  No</w:t>
            </w:r>
            <w:r>
              <w:rPr>
                <w:rFonts w:ascii="Helvetica" w:hAnsi="Helvetica"/>
                <w:sz w:val="18"/>
              </w:rPr>
              <w:t xml:space="preserve"> X</w:t>
            </w:r>
          </w:p>
          <w:p w:rsidR="00C53525" w:rsidRDefault="00C53525">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C53525" w:rsidRDefault="00C53525">
            <w:pPr>
              <w:tabs>
                <w:tab w:val="left" w:pos="240"/>
                <w:tab w:val="left" w:pos="3132"/>
              </w:tabs>
              <w:ind w:left="252"/>
              <w:rPr>
                <w:rFonts w:ascii="Helvetica" w:hAnsi="Helvetica"/>
                <w:sz w:val="16"/>
              </w:rPr>
            </w:pPr>
            <w:r>
              <w:rPr>
                <w:rFonts w:ascii="Helvetica" w:hAnsi="Helvetica"/>
                <w:sz w:val="16"/>
              </w:rPr>
              <w:t xml:space="preserve">a. </w:t>
            </w:r>
            <w:r w:rsidR="003554AD">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3554AD">
              <w:rPr>
                <w:rFonts w:ascii="Helvetica" w:hAnsi="Helvetica"/>
                <w:b/>
              </w:rPr>
            </w:r>
            <w:r w:rsidR="003554AD">
              <w:rPr>
                <w:rFonts w:ascii="Helvetica" w:hAnsi="Helvetica"/>
                <w:b/>
              </w:rPr>
              <w:fldChar w:fldCharType="separate"/>
            </w:r>
            <w:r w:rsidR="003554AD">
              <w:rPr>
                <w:rFonts w:ascii="Helvetica" w:hAnsi="Helvetica"/>
                <w:b/>
              </w:rPr>
              <w:fldChar w:fldCharType="end"/>
            </w:r>
            <w:r>
              <w:rPr>
                <w:rFonts w:ascii="Helvetica" w:hAnsi="Helvetica"/>
                <w:sz w:val="16"/>
              </w:rPr>
              <w:t xml:space="preserve"> Three years form approval date  </w:t>
            </w:r>
            <w:r>
              <w:rPr>
                <w:rFonts w:ascii="Helvetica" w:hAnsi="Helvetica"/>
                <w:sz w:val="16"/>
              </w:rPr>
              <w:tab/>
              <w:t xml:space="preserve">b. </w:t>
            </w:r>
            <w:r w:rsidR="003554AD">
              <w:rPr>
                <w:rFonts w:ascii="Helvetica" w:hAnsi="Helvetica"/>
                <w:b/>
                <w:sz w:val="18"/>
              </w:rPr>
              <w:fldChar w:fldCharType="begin">
                <w:ffData>
                  <w:name w:val="Check15"/>
                  <w:enabled/>
                  <w:calcOnExit w:val="0"/>
                  <w:checkBox>
                    <w:sizeAuto/>
                    <w:default w:val="0"/>
                  </w:checkBox>
                </w:ffData>
              </w:fldChar>
            </w:r>
            <w:bookmarkStart w:id="5" w:name="Check15"/>
            <w:r>
              <w:rPr>
                <w:rFonts w:ascii="Helvetica" w:hAnsi="Helvetica"/>
                <w:b/>
                <w:sz w:val="18"/>
              </w:rPr>
              <w:instrText xml:space="preserve"> FORMCHECKBOX </w:instrText>
            </w:r>
            <w:r w:rsidR="003554AD">
              <w:rPr>
                <w:rFonts w:ascii="Helvetica" w:hAnsi="Helvetica"/>
                <w:b/>
                <w:sz w:val="18"/>
              </w:rPr>
            </w:r>
            <w:r w:rsidR="003554AD">
              <w:rPr>
                <w:rFonts w:ascii="Helvetica" w:hAnsi="Helvetica"/>
                <w:b/>
                <w:sz w:val="18"/>
              </w:rPr>
              <w:fldChar w:fldCharType="separate"/>
            </w:r>
            <w:r w:rsidR="003554AD">
              <w:rPr>
                <w:rFonts w:ascii="Helvetica" w:hAnsi="Helvetica"/>
                <w:b/>
                <w:sz w:val="18"/>
              </w:rPr>
              <w:fldChar w:fldCharType="end"/>
            </w:r>
            <w:bookmarkEnd w:id="5"/>
            <w:r>
              <w:rPr>
                <w:rFonts w:ascii="Helvetica" w:hAnsi="Helvetica"/>
                <w:sz w:val="16"/>
              </w:rPr>
              <w:t xml:space="preserve"> Other (specify)</w:t>
            </w:r>
          </w:p>
          <w:p w:rsidR="00C53525" w:rsidRDefault="00C53525">
            <w:pPr>
              <w:tabs>
                <w:tab w:val="left" w:pos="3252"/>
              </w:tabs>
              <w:spacing w:after="60"/>
              <w:rPr>
                <w:rFonts w:ascii="Helvetica" w:hAnsi="Helvetica"/>
                <w:sz w:val="16"/>
              </w:rPr>
            </w:pPr>
            <w:r>
              <w:rPr>
                <w:rFonts w:ascii="Helvetica" w:hAnsi="Helvetica"/>
                <w:sz w:val="18"/>
              </w:rPr>
              <w:tab/>
              <w:t xml:space="preserve"> </w:t>
            </w:r>
            <w:r w:rsidR="003554AD">
              <w:rPr>
                <w:rFonts w:ascii="Helvetica" w:hAnsi="Helvetica"/>
                <w:sz w:val="18"/>
              </w:rPr>
              <w:fldChar w:fldCharType="begin">
                <w:ffData>
                  <w:name w:val="Text5"/>
                  <w:enabled/>
                  <w:calcOnExit w:val="0"/>
                  <w:textInput/>
                </w:ffData>
              </w:fldChar>
            </w:r>
            <w:bookmarkStart w:id="6" w:name="Text5"/>
            <w:r>
              <w:rPr>
                <w:rFonts w:ascii="Helvetica" w:hAnsi="Helvetica"/>
                <w:sz w:val="18"/>
              </w:rPr>
              <w:instrText xml:space="preserve"> FORMTEXT </w:instrText>
            </w:r>
            <w:r w:rsidR="003554AD">
              <w:rPr>
                <w:rFonts w:ascii="Helvetica" w:hAnsi="Helvetica"/>
                <w:sz w:val="18"/>
              </w:rPr>
            </w:r>
            <w:r w:rsidR="003554A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3554AD">
              <w:rPr>
                <w:rFonts w:ascii="Helvetica" w:hAnsi="Helvetica"/>
                <w:sz w:val="18"/>
              </w:rPr>
              <w:fldChar w:fldCharType="end"/>
            </w:r>
            <w:bookmarkEnd w:id="6"/>
          </w:p>
        </w:tc>
      </w:tr>
    </w:tbl>
    <w:p w:rsidR="00C53525" w:rsidRDefault="00C53525">
      <w:pPr>
        <w:pBdr>
          <w:top w:val="single" w:sz="6" w:space="0" w:color="auto"/>
        </w:pBdr>
        <w:tabs>
          <w:tab w:val="left" w:pos="240"/>
        </w:tabs>
        <w:ind w:left="-120" w:right="-120"/>
        <w:rPr>
          <w:sz w:val="24"/>
          <w:szCs w:val="24"/>
        </w:rPr>
      </w:pPr>
      <w:r>
        <w:rPr>
          <w:rFonts w:ascii="Helvetica" w:hAnsi="Helvetica"/>
          <w:sz w:val="16"/>
        </w:rPr>
        <w:t xml:space="preserve">7. </w:t>
      </w:r>
      <w:r w:rsidRPr="0031500B">
        <w:rPr>
          <w:sz w:val="24"/>
          <w:szCs w:val="24"/>
        </w:rPr>
        <w:t xml:space="preserve">Title:  </w:t>
      </w:r>
      <w:r w:rsidR="0031500B" w:rsidRPr="0031500B">
        <w:rPr>
          <w:sz w:val="24"/>
          <w:szCs w:val="24"/>
        </w:rPr>
        <w:t>Rental Assi</w:t>
      </w:r>
      <w:r w:rsidR="0031500B">
        <w:rPr>
          <w:sz w:val="24"/>
          <w:szCs w:val="24"/>
        </w:rPr>
        <w:t>stance Demonstration (RAD) Application Forms</w:t>
      </w:r>
    </w:p>
    <w:p w:rsidR="00D33E93" w:rsidRPr="00D33E93" w:rsidRDefault="00D33E93">
      <w:pPr>
        <w:pBdr>
          <w:top w:val="single" w:sz="6" w:space="0" w:color="auto"/>
        </w:pBdr>
        <w:tabs>
          <w:tab w:val="left" w:pos="240"/>
        </w:tabs>
        <w:ind w:left="-120" w:right="-12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C53525" w:rsidRDefault="00C53525">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 xml:space="preserve">Agency form number(s):  </w:t>
      </w:r>
      <w:r w:rsidR="00D33E93">
        <w:rPr>
          <w:rFonts w:ascii="Helvetica" w:hAnsi="Helvetica"/>
          <w:sz w:val="14"/>
        </w:rPr>
        <w:t>HUD-5260, HUD-5261</w:t>
      </w:r>
    </w:p>
    <w:p w:rsidR="00D33E93" w:rsidRPr="00D33E93" w:rsidRDefault="00D33E93">
      <w:pPr>
        <w:pBdr>
          <w:top w:val="single" w:sz="6" w:space="0" w:color="auto"/>
        </w:pBdr>
        <w:tabs>
          <w:tab w:val="left" w:pos="240"/>
        </w:tabs>
        <w:ind w:left="-120" w:right="-120"/>
        <w:rPr>
          <w:rFonts w:ascii="Helvetica" w:hAnsi="Helvetica"/>
          <w:sz w:val="16"/>
          <w:u w:val="single"/>
        </w:rPr>
      </w:pP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p>
    <w:p w:rsidR="00C53525" w:rsidRDefault="00C53525">
      <w:pPr>
        <w:pBdr>
          <w:top w:val="single" w:sz="6" w:space="0" w:color="auto"/>
        </w:pBdr>
        <w:tabs>
          <w:tab w:val="left" w:pos="240"/>
        </w:tabs>
        <w:ind w:left="-120" w:right="-120"/>
        <w:rPr>
          <w:sz w:val="24"/>
          <w:szCs w:val="24"/>
        </w:rPr>
      </w:pPr>
      <w:r>
        <w:rPr>
          <w:rFonts w:ascii="Helvetica" w:hAnsi="Helvetica"/>
          <w:sz w:val="16"/>
        </w:rPr>
        <w:t xml:space="preserve">9. </w:t>
      </w:r>
      <w:r>
        <w:rPr>
          <w:rFonts w:ascii="Helvetica" w:hAnsi="Helvetica"/>
          <w:sz w:val="14"/>
        </w:rPr>
        <w:t>Keywords:</w:t>
      </w:r>
      <w:r w:rsidR="00675F61">
        <w:rPr>
          <w:rFonts w:ascii="Helvetica" w:hAnsi="Helvetica"/>
          <w:sz w:val="14"/>
        </w:rPr>
        <w:t xml:space="preserve"> </w:t>
      </w:r>
      <w:r w:rsidR="00675F61" w:rsidRPr="0031500B">
        <w:rPr>
          <w:sz w:val="24"/>
          <w:szCs w:val="24"/>
        </w:rPr>
        <w:t>Housing,</w:t>
      </w:r>
      <w:r w:rsidR="0031500B" w:rsidRPr="0031500B">
        <w:rPr>
          <w:sz w:val="24"/>
          <w:szCs w:val="24"/>
        </w:rPr>
        <w:t xml:space="preserve"> </w:t>
      </w:r>
      <w:r w:rsidR="0031500B">
        <w:rPr>
          <w:sz w:val="24"/>
          <w:szCs w:val="24"/>
        </w:rPr>
        <w:t>RAD, Rental Assistance Demonstration</w:t>
      </w:r>
    </w:p>
    <w:p w:rsidR="00D33E93" w:rsidRPr="00D33E93" w:rsidRDefault="00D33E93">
      <w:pPr>
        <w:pBdr>
          <w:top w:val="single" w:sz="6" w:space="0" w:color="auto"/>
        </w:pBdr>
        <w:tabs>
          <w:tab w:val="left" w:pos="240"/>
        </w:tabs>
        <w:ind w:left="-120" w:right="-12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33E93" w:rsidRPr="005B186F" w:rsidRDefault="00C53525" w:rsidP="00D33E93">
      <w:pPr>
        <w:rPr>
          <w:sz w:val="18"/>
          <w:szCs w:val="18"/>
        </w:rPr>
      </w:pPr>
      <w:r>
        <w:rPr>
          <w:rFonts w:ascii="Helvetica" w:hAnsi="Helvetica"/>
          <w:sz w:val="16"/>
        </w:rPr>
        <w:t xml:space="preserve">10. </w:t>
      </w:r>
      <w:r>
        <w:rPr>
          <w:rFonts w:ascii="Helvetica" w:hAnsi="Helvetica"/>
          <w:sz w:val="14"/>
        </w:rPr>
        <w:t xml:space="preserve">Abstract:  </w:t>
      </w:r>
      <w:r w:rsidR="00D33E93" w:rsidRPr="005B186F">
        <w:rPr>
          <w:sz w:val="18"/>
          <w:szCs w:val="18"/>
        </w:rPr>
        <w:t>The Rental Assistance Demonstration allows Public Housing and Moderate Rehabilitation (Mod Rehab) properties to convert to long-term Section 8 rental assistance contracts; and Rent Supplement, Rental Assistance Payment and Mod Rehab properties upon contract expiration or termination, to convert tenant protection vouchers (TPVs) to project-based vouchers (PBVs).  Participation in the initiative will be voluntary; the attached applications will be used to determine eligibility for Public Housing and Mod Rehab owners only.</w:t>
      </w:r>
    </w:p>
    <w:tbl>
      <w:tblPr>
        <w:tblW w:w="0" w:type="auto"/>
        <w:tblLayout w:type="fixed"/>
        <w:tblLook w:val="0000"/>
      </w:tblPr>
      <w:tblGrid>
        <w:gridCol w:w="4908"/>
        <w:gridCol w:w="720"/>
        <w:gridCol w:w="5388"/>
      </w:tblGrid>
      <w:tr w:rsidR="00C53525">
        <w:trPr>
          <w:trHeight w:val="1129"/>
        </w:trPr>
        <w:tc>
          <w:tcPr>
            <w:tcW w:w="5628" w:type="dxa"/>
            <w:gridSpan w:val="2"/>
            <w:tcBorders>
              <w:top w:val="single" w:sz="6" w:space="0" w:color="auto"/>
              <w:right w:val="single" w:sz="6" w:space="0" w:color="auto"/>
            </w:tcBorders>
          </w:tcPr>
          <w:p w:rsidR="00C53525" w:rsidRDefault="00C53525">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C53525" w:rsidRDefault="00C53525">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tab/>
            </w:r>
            <w:r>
              <w:rPr>
                <w:rFonts w:ascii="Helvetica" w:hAnsi="Helvetica"/>
                <w:sz w:val="16"/>
              </w:rPr>
              <w:t>Farms</w:t>
            </w:r>
          </w:p>
          <w:p w:rsidR="00C53525" w:rsidRDefault="00C53525">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sz w:val="18"/>
              </w:rPr>
              <w:tab/>
            </w:r>
            <w:r>
              <w:rPr>
                <w:rFonts w:ascii="Helvetica" w:hAnsi="Helvetica"/>
                <w:sz w:val="16"/>
              </w:rPr>
              <w:t>Business or other for-profit</w:t>
            </w:r>
            <w:r>
              <w:rPr>
                <w:rFonts w:ascii="Helvetica" w:hAnsi="Helvetica"/>
                <w:sz w:val="16"/>
              </w:rPr>
              <w:tab/>
              <w:t xml:space="preserve">f.  </w:t>
            </w:r>
            <w:r>
              <w:rPr>
                <w:rFonts w:ascii="Helvetica" w:hAnsi="Helvetica"/>
                <w:b/>
                <w:sz w:val="18"/>
              </w:rPr>
              <w:tab/>
            </w:r>
            <w:r>
              <w:rPr>
                <w:rFonts w:ascii="Helvetica" w:hAnsi="Helvetica"/>
                <w:sz w:val="16"/>
              </w:rPr>
              <w:t>Federal Government</w:t>
            </w:r>
          </w:p>
          <w:p w:rsidR="00C53525" w:rsidRDefault="00C53525" w:rsidP="0031500B">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3554AD">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3554AD">
              <w:rPr>
                <w:rFonts w:ascii="Helvetica" w:hAnsi="Helvetica"/>
                <w:b/>
                <w:sz w:val="18"/>
              </w:rPr>
            </w:r>
            <w:r w:rsidR="003554AD">
              <w:rPr>
                <w:rFonts w:ascii="Helvetica" w:hAnsi="Helvetica"/>
                <w:b/>
                <w:sz w:val="18"/>
              </w:rPr>
              <w:fldChar w:fldCharType="separate"/>
            </w:r>
            <w:r>
              <w:rPr>
                <w:rFonts w:ascii="Helvetica" w:hAnsi="Helvetica"/>
                <w:b/>
                <w:noProof/>
                <w:sz w:val="18"/>
              </w:rPr>
              <w:t>P</w:t>
            </w:r>
            <w:r w:rsidR="003554AD">
              <w:rPr>
                <w:rFonts w:ascii="Helvetica" w:hAnsi="Helvetica"/>
                <w:b/>
                <w:sz w:val="18"/>
              </w:rPr>
              <w:fldChar w:fldCharType="end"/>
            </w:r>
            <w:r>
              <w:rPr>
                <w:rFonts w:ascii="Helvetica" w:hAnsi="Helvetica"/>
                <w:sz w:val="16"/>
              </w:rPr>
              <w:t xml:space="preserve"> </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C53525" w:rsidRDefault="00C53525">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C53525" w:rsidRDefault="00C53525">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31500B">
              <w:rPr>
                <w:rFonts w:ascii="Helvetica" w:hAnsi="Helvetica"/>
                <w:b/>
                <w:sz w:val="18"/>
              </w:rPr>
              <w:t>P</w:t>
            </w:r>
            <w:r>
              <w:rPr>
                <w:rFonts w:ascii="Helvetica" w:hAnsi="Helvetica"/>
                <w:sz w:val="14"/>
              </w:rPr>
              <w:tab/>
            </w:r>
            <w:r>
              <w:rPr>
                <w:rFonts w:ascii="Helvetica" w:hAnsi="Helvetica"/>
                <w:sz w:val="16"/>
              </w:rPr>
              <w:t>Voluntary</w:t>
            </w:r>
          </w:p>
          <w:p w:rsidR="00C53525" w:rsidRDefault="00C53525">
            <w:pPr>
              <w:tabs>
                <w:tab w:val="left" w:pos="492"/>
                <w:tab w:val="left" w:pos="2520"/>
              </w:tabs>
              <w:ind w:left="120"/>
              <w:rPr>
                <w:rFonts w:ascii="Helvetica" w:hAnsi="Helvetica"/>
                <w:sz w:val="16"/>
              </w:rPr>
            </w:pPr>
            <w:r>
              <w:rPr>
                <w:rFonts w:ascii="Helvetica" w:hAnsi="Helvetica"/>
                <w:sz w:val="16"/>
              </w:rPr>
              <w:t>b.</w:t>
            </w:r>
            <w:r>
              <w:rPr>
                <w:rFonts w:ascii="Helvetica" w:hAnsi="Helvetica"/>
                <w:sz w:val="14"/>
              </w:rPr>
              <w:t xml:space="preserve"> </w:t>
            </w:r>
            <w:r>
              <w:rPr>
                <w:rFonts w:ascii="Helvetica" w:hAnsi="Helvetica"/>
                <w:sz w:val="16"/>
              </w:rPr>
              <w:tab/>
              <w:t>Required to obtain or retain benefits</w:t>
            </w:r>
          </w:p>
          <w:p w:rsidR="00C53525" w:rsidRDefault="00C53525" w:rsidP="004A113A">
            <w:pPr>
              <w:tabs>
                <w:tab w:val="left" w:pos="492"/>
              </w:tabs>
              <w:spacing w:after="60"/>
              <w:ind w:left="120"/>
              <w:rPr>
                <w:rFonts w:ascii="Helvetica" w:hAnsi="Helvetica"/>
                <w:sz w:val="16"/>
              </w:rPr>
            </w:pPr>
            <w:r>
              <w:rPr>
                <w:rFonts w:ascii="Helvetica" w:hAnsi="Helvetica"/>
                <w:sz w:val="16"/>
              </w:rPr>
              <w:t xml:space="preserve">c. </w:t>
            </w:r>
            <w:r>
              <w:rPr>
                <w:rFonts w:ascii="Helvetica" w:hAnsi="Helvetica"/>
                <w:sz w:val="16"/>
              </w:rPr>
              <w:tab/>
              <w:t>Mandatory</w:t>
            </w:r>
          </w:p>
        </w:tc>
      </w:tr>
      <w:tr w:rsidR="00C53525">
        <w:trPr>
          <w:trHeight w:val="2146"/>
        </w:trPr>
        <w:tc>
          <w:tcPr>
            <w:tcW w:w="5628" w:type="dxa"/>
            <w:gridSpan w:val="2"/>
            <w:tcBorders>
              <w:top w:val="single" w:sz="6" w:space="0" w:color="auto"/>
              <w:right w:val="single" w:sz="6" w:space="0" w:color="auto"/>
            </w:tcBorders>
          </w:tcPr>
          <w:p w:rsidR="00C53525" w:rsidRDefault="00C53525">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a. Number of respondents</w:t>
            </w:r>
            <w:r w:rsidR="0031500B">
              <w:rPr>
                <w:rFonts w:ascii="Helvetica" w:hAnsi="Helvetica"/>
                <w:sz w:val="16"/>
              </w:rPr>
              <w:t xml:space="preserve">                                          </w:t>
            </w:r>
            <w:r w:rsidR="0031500B">
              <w:rPr>
                <w:rFonts w:ascii="Helvetica" w:hAnsi="Helvetica"/>
                <w:sz w:val="24"/>
                <w:szCs w:val="24"/>
              </w:rPr>
              <w:t>8,855</w:t>
            </w:r>
            <w:r>
              <w:rPr>
                <w:rFonts w:ascii="Helvetica" w:hAnsi="Helvetica"/>
                <w:sz w:val="16"/>
              </w:rPr>
              <w:tab/>
            </w:r>
          </w:p>
          <w:p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b. Total annual responses</w:t>
            </w:r>
            <w:r w:rsidR="0031500B">
              <w:rPr>
                <w:rFonts w:ascii="Helvetica" w:hAnsi="Helvetica"/>
                <w:sz w:val="16"/>
              </w:rPr>
              <w:t xml:space="preserve">                                           </w:t>
            </w:r>
            <w:r w:rsidR="0031500B">
              <w:rPr>
                <w:rFonts w:ascii="Helvetica" w:hAnsi="Helvetica"/>
                <w:sz w:val="24"/>
                <w:szCs w:val="24"/>
              </w:rPr>
              <w:t>8,855</w:t>
            </w:r>
            <w:r>
              <w:rPr>
                <w:rFonts w:ascii="Helvetica" w:hAnsi="Helvetica"/>
                <w:sz w:val="16"/>
              </w:rPr>
              <w:tab/>
            </w:r>
          </w:p>
          <w:p w:rsidR="00C53525" w:rsidRDefault="00C53525" w:rsidP="00E73E85">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sidR="0031500B">
              <w:rPr>
                <w:rFonts w:ascii="Helvetica" w:hAnsi="Helvetica"/>
                <w:sz w:val="16"/>
              </w:rPr>
              <w:t xml:space="preserve"> </w:t>
            </w:r>
            <w:r w:rsidR="0031500B">
              <w:rPr>
                <w:rFonts w:ascii="Helvetica" w:hAnsi="Helvetica"/>
                <w:sz w:val="24"/>
                <w:szCs w:val="24"/>
              </w:rPr>
              <w:t>100%</w:t>
            </w:r>
            <w:r>
              <w:rPr>
                <w:rFonts w:ascii="Helvetica" w:hAnsi="Helvetica"/>
                <w:sz w:val="16"/>
              </w:rPr>
              <w:tab/>
            </w:r>
          </w:p>
          <w:p w:rsidR="00C53525" w:rsidRDefault="00C53525" w:rsidP="00E73E85">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c. Total annual hours requested</w:t>
            </w:r>
            <w:r w:rsidR="0031500B">
              <w:rPr>
                <w:rFonts w:ascii="Helvetica" w:hAnsi="Helvetica"/>
                <w:sz w:val="16"/>
              </w:rPr>
              <w:t xml:space="preserve">                                          </w:t>
            </w:r>
            <w:r w:rsidR="0031500B">
              <w:rPr>
                <w:rFonts w:ascii="Helvetica" w:hAnsi="Helvetica"/>
                <w:sz w:val="24"/>
                <w:szCs w:val="24"/>
              </w:rPr>
              <w:t>17,710</w:t>
            </w:r>
            <w:r>
              <w:rPr>
                <w:rFonts w:ascii="Helvetica" w:hAnsi="Helvetica"/>
                <w:sz w:val="16"/>
              </w:rPr>
              <w:tab/>
            </w:r>
          </w:p>
          <w:p w:rsidR="00C53525" w:rsidRDefault="00C53525" w:rsidP="00E73E85">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d. Current OMB inventory</w:t>
            </w:r>
            <w:r w:rsidR="00355E1D">
              <w:rPr>
                <w:rFonts w:ascii="Helvetica" w:hAnsi="Helvetica"/>
                <w:sz w:val="16"/>
              </w:rPr>
              <w:t xml:space="preserve">                                                     </w:t>
            </w:r>
            <w:r w:rsidR="00355E1D">
              <w:rPr>
                <w:rFonts w:ascii="Helvetica" w:hAnsi="Helvetica"/>
                <w:sz w:val="24"/>
                <w:szCs w:val="24"/>
              </w:rPr>
              <w:t>N/A</w:t>
            </w:r>
            <w:r>
              <w:rPr>
                <w:rFonts w:ascii="Helvetica" w:hAnsi="Helvetica"/>
                <w:sz w:val="16"/>
              </w:rPr>
              <w:tab/>
            </w:r>
          </w:p>
          <w:p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p>
          <w:p w:rsidR="00C53525" w:rsidRPr="00355E1D" w:rsidRDefault="00C53525" w:rsidP="00E73E85">
            <w:pPr>
              <w:numPr>
                <w:ilvl w:val="12"/>
                <w:numId w:val="0"/>
              </w:numPr>
              <w:shd w:val="clear" w:color="auto" w:fill="FFFFFF"/>
              <w:tabs>
                <w:tab w:val="left" w:pos="240"/>
                <w:tab w:val="right" w:pos="4800"/>
              </w:tabs>
              <w:ind w:left="120" w:hanging="360"/>
              <w:rPr>
                <w:sz w:val="24"/>
                <w:szCs w:val="24"/>
              </w:rPr>
            </w:pPr>
            <w:r>
              <w:rPr>
                <w:rFonts w:ascii="Helvetica" w:hAnsi="Helvetica"/>
                <w:sz w:val="16"/>
              </w:rPr>
              <w:t>f. Explanation of difference:</w:t>
            </w:r>
            <w:r w:rsidR="00355E1D">
              <w:rPr>
                <w:rFonts w:ascii="Helvetica" w:hAnsi="Helvetica"/>
                <w:sz w:val="16"/>
              </w:rPr>
              <w:t xml:space="preserve"> </w:t>
            </w:r>
            <w:r w:rsidR="00355E1D">
              <w:rPr>
                <w:rFonts w:ascii="Helvetica" w:hAnsi="Helvetica"/>
                <w:sz w:val="24"/>
                <w:szCs w:val="24"/>
              </w:rPr>
              <w:t xml:space="preserve">                               New Collection</w:t>
            </w:r>
          </w:p>
          <w:p w:rsidR="00C53525" w:rsidRDefault="00C53525" w:rsidP="00E73E85">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p>
          <w:p w:rsidR="00C53525" w:rsidRDefault="00C53525" w:rsidP="00E73E85">
            <w:pPr>
              <w:numPr>
                <w:ilvl w:val="12"/>
                <w:numId w:val="0"/>
              </w:numPr>
              <w:shd w:val="clear" w:color="auto" w:fill="FFFFFF"/>
              <w:tabs>
                <w:tab w:val="left" w:pos="240"/>
                <w:tab w:val="right" w:pos="5040"/>
              </w:tabs>
              <w:spacing w:after="60"/>
              <w:ind w:left="360" w:hanging="360"/>
              <w:rPr>
                <w:rFonts w:ascii="Helvetica" w:hAnsi="Helvetica"/>
                <w:sz w:val="16"/>
              </w:rPr>
            </w:pPr>
            <w:r>
              <w:rPr>
                <w:rFonts w:ascii="Helvetica" w:hAnsi="Helvetica"/>
                <w:sz w:val="16"/>
              </w:rPr>
              <w:t>2. Adjustment:</w:t>
            </w:r>
            <w:r w:rsidR="001F365B">
              <w:rPr>
                <w:rFonts w:ascii="Helvetica" w:hAnsi="Helvetica"/>
                <w:sz w:val="16"/>
              </w:rPr>
              <w:t xml:space="preserve">                                                                               </w:t>
            </w:r>
          </w:p>
        </w:tc>
        <w:tc>
          <w:tcPr>
            <w:tcW w:w="5388" w:type="dxa"/>
            <w:tcBorders>
              <w:top w:val="single" w:sz="6" w:space="0" w:color="auto"/>
              <w:left w:val="nil"/>
            </w:tcBorders>
          </w:tcPr>
          <w:p w:rsidR="00C53525" w:rsidRDefault="00C53525">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C53525" w:rsidRDefault="00C53525">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C53525" w:rsidRDefault="00C53525">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2A2B6F">
              <w:rPr>
                <w:rFonts w:ascii="Helvetica" w:hAnsi="Helvetica"/>
                <w:sz w:val="18"/>
              </w:rPr>
              <w:t>$88,050</w:t>
            </w:r>
          </w:p>
          <w:p w:rsidR="00C53525" w:rsidRDefault="00C53525">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2A2B6F">
              <w:rPr>
                <w:rFonts w:ascii="Helvetica" w:hAnsi="Helvetica"/>
                <w:sz w:val="18"/>
              </w:rPr>
              <w:t>0</w:t>
            </w:r>
          </w:p>
          <w:p w:rsidR="00C53525" w:rsidRDefault="00C53525">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2A2B6F" w:rsidRPr="002A2B6F">
              <w:rPr>
                <w:rFonts w:ascii="Helvetica" w:hAnsi="Helvetica"/>
                <w:sz w:val="18"/>
              </w:rPr>
              <w:t>$88,05</w:t>
            </w:r>
            <w:r w:rsidRPr="002A2B6F">
              <w:rPr>
                <w:rFonts w:ascii="Helvetica" w:hAnsi="Helvetica"/>
              </w:rPr>
              <w:t>0</w:t>
            </w:r>
          </w:p>
          <w:p w:rsidR="00C53525" w:rsidRDefault="00C53525">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2A2B6F">
              <w:rPr>
                <w:rFonts w:ascii="Helvetica" w:hAnsi="Helvetica"/>
                <w:sz w:val="18"/>
              </w:rPr>
              <w:t>0</w:t>
            </w:r>
          </w:p>
          <w:p w:rsidR="00C53525" w:rsidRDefault="00C53525">
            <w:pPr>
              <w:tabs>
                <w:tab w:val="left" w:pos="240"/>
                <w:tab w:val="right" w:pos="4800"/>
              </w:tabs>
              <w:ind w:left="132"/>
              <w:rPr>
                <w:rFonts w:ascii="Helvetica" w:hAnsi="Helvetica"/>
                <w:sz w:val="16"/>
              </w:rPr>
            </w:pPr>
            <w:r>
              <w:rPr>
                <w:rFonts w:ascii="Helvetica" w:hAnsi="Helvetica"/>
                <w:sz w:val="16"/>
              </w:rPr>
              <w:t>f. Explanation of difference:</w:t>
            </w:r>
            <w:r w:rsidR="002A2B6F">
              <w:rPr>
                <w:rFonts w:ascii="Helvetica" w:hAnsi="Helvetica"/>
                <w:sz w:val="16"/>
              </w:rPr>
              <w:t xml:space="preserve">                                </w:t>
            </w:r>
            <w:r w:rsidR="002A2B6F">
              <w:rPr>
                <w:rFonts w:ascii="Helvetica" w:hAnsi="Helvetica"/>
                <w:sz w:val="24"/>
                <w:szCs w:val="24"/>
              </w:rPr>
              <w:t>New Collection</w:t>
            </w:r>
          </w:p>
          <w:p w:rsidR="00C53525" w:rsidRDefault="00C53525">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355E1D">
              <w:rPr>
                <w:rFonts w:ascii="Helvetica" w:hAnsi="Helvetica"/>
                <w:sz w:val="18"/>
              </w:rPr>
              <w:t>0</w:t>
            </w:r>
          </w:p>
          <w:p w:rsidR="00C53525" w:rsidRDefault="00C53525" w:rsidP="00355E1D">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355E1D">
              <w:rPr>
                <w:rFonts w:ascii="Helvetica" w:hAnsi="Helvetica"/>
                <w:sz w:val="18"/>
              </w:rPr>
              <w:t>0</w:t>
            </w:r>
          </w:p>
        </w:tc>
      </w:tr>
      <w:tr w:rsidR="00C53525">
        <w:trPr>
          <w:trHeight w:val="1474"/>
        </w:trPr>
        <w:tc>
          <w:tcPr>
            <w:tcW w:w="5628" w:type="dxa"/>
            <w:gridSpan w:val="2"/>
            <w:tcBorders>
              <w:top w:val="single" w:sz="6" w:space="0" w:color="auto"/>
              <w:right w:val="single" w:sz="6" w:space="0" w:color="auto"/>
            </w:tcBorders>
          </w:tcPr>
          <w:p w:rsidR="00C53525" w:rsidRDefault="00C53525">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C53525" w:rsidRDefault="00C53525">
            <w:pPr>
              <w:tabs>
                <w:tab w:val="left" w:pos="480"/>
                <w:tab w:val="left" w:pos="2520"/>
                <w:tab w:val="left" w:pos="2880"/>
              </w:tabs>
              <w:ind w:left="120"/>
              <w:rPr>
                <w:rFonts w:ascii="Helvetica" w:hAnsi="Helvetica"/>
                <w:sz w:val="16"/>
              </w:rPr>
            </w:pPr>
            <w:r>
              <w:rPr>
                <w:rFonts w:ascii="Helvetica" w:hAnsi="Helvetica"/>
                <w:sz w:val="16"/>
              </w:rPr>
              <w:t xml:space="preserve">a. </w:t>
            </w:r>
            <w:r w:rsidR="003554AD">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3554AD">
              <w:rPr>
                <w:rFonts w:ascii="Helvetica" w:hAnsi="Helvetica"/>
                <w:b/>
                <w:sz w:val="18"/>
              </w:rPr>
            </w:r>
            <w:r w:rsidR="003554AD">
              <w:rPr>
                <w:rFonts w:ascii="Helvetica" w:hAnsi="Helvetica"/>
                <w:b/>
                <w:sz w:val="18"/>
              </w:rPr>
              <w:fldChar w:fldCharType="separate"/>
            </w:r>
            <w:r>
              <w:rPr>
                <w:rFonts w:ascii="Helvetica" w:hAnsi="Helvetica"/>
                <w:b/>
                <w:noProof/>
                <w:sz w:val="18"/>
              </w:rPr>
              <w:t>P</w:t>
            </w:r>
            <w:r w:rsidR="003554AD">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3554AD">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3554AD">
              <w:rPr>
                <w:rFonts w:ascii="Helvetica" w:hAnsi="Helvetica"/>
                <w:b/>
                <w:sz w:val="18"/>
              </w:rPr>
            </w:r>
            <w:r w:rsidR="003554AD">
              <w:rPr>
                <w:rFonts w:ascii="Helvetica" w:hAnsi="Helvetica"/>
                <w:b/>
                <w:sz w:val="18"/>
              </w:rPr>
              <w:fldChar w:fldCharType="separate"/>
            </w:r>
            <w:r>
              <w:rPr>
                <w:rFonts w:ascii="Helvetica" w:hAnsi="Helvetica"/>
                <w:b/>
                <w:noProof/>
                <w:sz w:val="18"/>
              </w:rPr>
              <w:t>X</w:t>
            </w:r>
            <w:r w:rsidR="003554AD">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C53525" w:rsidRDefault="00C53525">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3554A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3554AD">
              <w:rPr>
                <w:rFonts w:ascii="Helvetica" w:hAnsi="Helvetica"/>
                <w:b/>
                <w:sz w:val="18"/>
              </w:rPr>
            </w:r>
            <w:r w:rsidR="003554AD">
              <w:rPr>
                <w:rFonts w:ascii="Helvetica" w:hAnsi="Helvetica"/>
                <w:b/>
                <w:sz w:val="18"/>
              </w:rPr>
              <w:fldChar w:fldCharType="separate"/>
            </w:r>
            <w:r>
              <w:rPr>
                <w:rFonts w:ascii="Helvetica" w:hAnsi="Helvetica"/>
                <w:b/>
                <w:noProof/>
                <w:sz w:val="18"/>
              </w:rPr>
              <w:t> </w:t>
            </w:r>
            <w:r w:rsidR="003554AD">
              <w:rPr>
                <w:rFonts w:ascii="Helvetica" w:hAnsi="Helvetica"/>
                <w:b/>
                <w:sz w:val="18"/>
              </w:rPr>
              <w:fldChar w:fldCharType="end"/>
            </w:r>
            <w:r>
              <w:rPr>
                <w:rFonts w:ascii="Helvetica" w:hAnsi="Helvetica"/>
                <w:b/>
                <w:sz w:val="18"/>
              </w:rPr>
              <w:tab/>
            </w:r>
            <w:r>
              <w:rPr>
                <w:rFonts w:ascii="Helvetica" w:hAnsi="Helvetica"/>
                <w:sz w:val="16"/>
              </w:rPr>
              <w:t>Research</w:t>
            </w:r>
          </w:p>
          <w:p w:rsidR="00C53525" w:rsidRDefault="00C53525">
            <w:pPr>
              <w:tabs>
                <w:tab w:val="left" w:pos="480"/>
                <w:tab w:val="left" w:pos="2520"/>
                <w:tab w:val="left" w:pos="2880"/>
              </w:tabs>
              <w:ind w:left="120"/>
              <w:rPr>
                <w:rFonts w:ascii="Helvetica" w:hAnsi="Helvetica"/>
                <w:sz w:val="16"/>
              </w:rPr>
            </w:pPr>
            <w:r>
              <w:rPr>
                <w:rFonts w:ascii="Helvetica" w:hAnsi="Helvetica"/>
                <w:sz w:val="16"/>
              </w:rPr>
              <w:t xml:space="preserve">c. </w:t>
            </w:r>
            <w:r w:rsidR="003554AD">
              <w:rPr>
                <w:rFonts w:ascii="Helvetica" w:hAnsi="Helvetica"/>
                <w:b/>
                <w:sz w:val="18"/>
              </w:rPr>
              <w:fldChar w:fldCharType="begin">
                <w:ffData>
                  <w:name w:val=""/>
                  <w:enabled/>
                  <w:calcOnExit w:val="0"/>
                  <w:textInput>
                    <w:maxLength w:val="1"/>
                  </w:textInput>
                </w:ffData>
              </w:fldChar>
            </w:r>
            <w:r>
              <w:rPr>
                <w:rFonts w:ascii="Helvetica" w:hAnsi="Helvetica"/>
                <w:b/>
                <w:sz w:val="18"/>
              </w:rPr>
              <w:instrText xml:space="preserve"> FORMTEXT </w:instrText>
            </w:r>
            <w:r w:rsidR="003554AD">
              <w:rPr>
                <w:rFonts w:ascii="Helvetica" w:hAnsi="Helvetica"/>
                <w:b/>
                <w:sz w:val="18"/>
              </w:rPr>
            </w:r>
            <w:r w:rsidR="003554AD">
              <w:rPr>
                <w:rFonts w:ascii="Helvetica" w:hAnsi="Helvetica"/>
                <w:b/>
                <w:sz w:val="18"/>
              </w:rPr>
              <w:fldChar w:fldCharType="separate"/>
            </w:r>
            <w:r>
              <w:rPr>
                <w:rFonts w:ascii="Helvetica" w:hAnsi="Helvetica"/>
                <w:b/>
                <w:noProof/>
                <w:sz w:val="18"/>
              </w:rPr>
              <w:t> </w:t>
            </w:r>
            <w:r w:rsidR="003554AD">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3554AD">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3554AD">
              <w:rPr>
                <w:rFonts w:ascii="Helvetica" w:hAnsi="Helvetica"/>
                <w:b/>
                <w:sz w:val="18"/>
              </w:rPr>
            </w:r>
            <w:r w:rsidR="003554AD">
              <w:rPr>
                <w:rFonts w:ascii="Helvetica" w:hAnsi="Helvetica"/>
                <w:b/>
                <w:sz w:val="18"/>
              </w:rPr>
              <w:fldChar w:fldCharType="separate"/>
            </w:r>
            <w:r>
              <w:rPr>
                <w:rFonts w:ascii="Helvetica" w:hAnsi="Helvetica"/>
                <w:b/>
                <w:noProof/>
                <w:sz w:val="18"/>
              </w:rPr>
              <w:t>X</w:t>
            </w:r>
            <w:r w:rsidR="003554AD">
              <w:rPr>
                <w:rFonts w:ascii="Helvetica" w:hAnsi="Helvetica"/>
                <w:b/>
                <w:sz w:val="18"/>
              </w:rPr>
              <w:fldChar w:fldCharType="end"/>
            </w:r>
            <w:r>
              <w:rPr>
                <w:rFonts w:ascii="Helvetica" w:hAnsi="Helvetica"/>
                <w:b/>
                <w:sz w:val="18"/>
              </w:rPr>
              <w:tab/>
            </w:r>
            <w:r>
              <w:rPr>
                <w:rFonts w:ascii="Helvetica" w:hAnsi="Helvetica"/>
                <w:sz w:val="16"/>
              </w:rPr>
              <w:t>Regulatory or compliance</w:t>
            </w:r>
          </w:p>
          <w:p w:rsidR="00C53525" w:rsidRDefault="00C53525">
            <w:pPr>
              <w:tabs>
                <w:tab w:val="left" w:pos="480"/>
                <w:tab w:val="left" w:pos="2880"/>
              </w:tabs>
              <w:spacing w:after="60"/>
              <w:ind w:left="120"/>
              <w:rPr>
                <w:rFonts w:ascii="Helvetica" w:hAnsi="Helvetica"/>
                <w:sz w:val="16"/>
              </w:rPr>
            </w:pPr>
            <w:r>
              <w:rPr>
                <w:rFonts w:ascii="Helvetica" w:hAnsi="Helvetica"/>
                <w:sz w:val="16"/>
              </w:rPr>
              <w:t xml:space="preserve">d. </w:t>
            </w:r>
            <w:r w:rsidR="003554A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3554AD">
              <w:rPr>
                <w:rFonts w:ascii="Helvetica" w:hAnsi="Helvetica"/>
                <w:b/>
                <w:sz w:val="18"/>
              </w:rPr>
            </w:r>
            <w:r w:rsidR="003554AD">
              <w:rPr>
                <w:rFonts w:ascii="Helvetica" w:hAnsi="Helvetica"/>
                <w:b/>
                <w:sz w:val="18"/>
              </w:rPr>
              <w:fldChar w:fldCharType="separate"/>
            </w:r>
            <w:r>
              <w:rPr>
                <w:rFonts w:ascii="Helvetica" w:hAnsi="Helvetica"/>
                <w:b/>
                <w:noProof/>
                <w:sz w:val="18"/>
              </w:rPr>
              <w:t> </w:t>
            </w:r>
            <w:r w:rsidR="003554AD">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C53525" w:rsidRDefault="00C53525">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C53525" w:rsidRDefault="00C53525">
            <w:pPr>
              <w:tabs>
                <w:tab w:val="left" w:pos="240"/>
                <w:tab w:val="left" w:pos="1932"/>
              </w:tabs>
              <w:ind w:left="120"/>
              <w:rPr>
                <w:rFonts w:ascii="Helvetica" w:hAnsi="Helvetica"/>
                <w:sz w:val="16"/>
              </w:rPr>
            </w:pPr>
            <w:r>
              <w:rPr>
                <w:rFonts w:ascii="Helvetica" w:hAnsi="Helvetica"/>
                <w:sz w:val="16"/>
              </w:rPr>
              <w:t xml:space="preserve">a. </w:t>
            </w:r>
            <w:r w:rsidR="0031500B">
              <w:rPr>
                <w:rFonts w:ascii="Helvetica" w:hAnsi="Helvetica"/>
                <w:sz w:val="16"/>
              </w:rPr>
              <w:t xml:space="preserve"> </w:t>
            </w:r>
            <w:r>
              <w:rPr>
                <w:rFonts w:ascii="Helvetica" w:hAnsi="Helvetica"/>
                <w:sz w:val="16"/>
              </w:rPr>
              <w:t>Recordkeeping</w:t>
            </w:r>
            <w:r>
              <w:rPr>
                <w:rFonts w:ascii="Helvetica" w:hAnsi="Helvetica"/>
                <w:sz w:val="16"/>
              </w:rPr>
              <w:tab/>
              <w:t xml:space="preserve">b. Third party disclosure </w:t>
            </w:r>
          </w:p>
          <w:p w:rsidR="00C53525" w:rsidRDefault="00C53525">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31500B">
              <w:rPr>
                <w:rFonts w:ascii="Helvetica" w:hAnsi="Helvetica"/>
                <w:b/>
                <w:sz w:val="18"/>
              </w:rPr>
              <w:t xml:space="preserve"> </w:t>
            </w:r>
            <w:r>
              <w:rPr>
                <w:rFonts w:ascii="Helvetica" w:hAnsi="Helvetica"/>
                <w:sz w:val="16"/>
              </w:rPr>
              <w:t>Reporting:</w:t>
            </w:r>
          </w:p>
          <w:p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1. </w:t>
            </w:r>
            <w:r w:rsidR="003554AD">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3554AD">
              <w:rPr>
                <w:rFonts w:ascii="Helvetica" w:hAnsi="Helvetica"/>
                <w:sz w:val="16"/>
              </w:rPr>
            </w:r>
            <w:r w:rsidR="003554AD">
              <w:rPr>
                <w:rFonts w:ascii="Helvetica" w:hAnsi="Helvetica"/>
                <w:sz w:val="16"/>
              </w:rPr>
              <w:fldChar w:fldCharType="separate"/>
            </w:r>
            <w:r w:rsidR="003554AD">
              <w:rPr>
                <w:rFonts w:ascii="Helvetica" w:hAnsi="Helvetica"/>
                <w:sz w:val="16"/>
              </w:rPr>
              <w:fldChar w:fldCharType="end"/>
            </w:r>
            <w:r>
              <w:rPr>
                <w:rFonts w:ascii="Helvetica" w:hAnsi="Helvetica"/>
                <w:sz w:val="16"/>
              </w:rPr>
              <w:t xml:space="preserve"> On occasion</w:t>
            </w:r>
            <w:r>
              <w:rPr>
                <w:rFonts w:ascii="Helvetica" w:hAnsi="Helvetica"/>
                <w:sz w:val="16"/>
              </w:rPr>
              <w:tab/>
              <w:t xml:space="preserve">2. </w:t>
            </w:r>
            <w:r w:rsidR="003554AD">
              <w:rPr>
                <w:rFonts w:ascii="Helvetica" w:hAnsi="Helvetica"/>
                <w:sz w:val="16"/>
              </w:rPr>
              <w:fldChar w:fldCharType="begin">
                <w:ffData>
                  <w:name w:val="Check23"/>
                  <w:enabled/>
                  <w:calcOnExit w:val="0"/>
                  <w:checkBox>
                    <w:sizeAuto/>
                    <w:default w:val="0"/>
                  </w:checkBox>
                </w:ffData>
              </w:fldChar>
            </w:r>
            <w:bookmarkStart w:id="7" w:name="Check23"/>
            <w:r>
              <w:rPr>
                <w:rFonts w:ascii="Helvetica" w:hAnsi="Helvetica"/>
                <w:sz w:val="16"/>
              </w:rPr>
              <w:instrText xml:space="preserve"> FORMCHECKBOX </w:instrText>
            </w:r>
            <w:r w:rsidR="003554AD">
              <w:rPr>
                <w:rFonts w:ascii="Helvetica" w:hAnsi="Helvetica"/>
                <w:sz w:val="16"/>
              </w:rPr>
            </w:r>
            <w:r w:rsidR="003554AD">
              <w:rPr>
                <w:rFonts w:ascii="Helvetica" w:hAnsi="Helvetica"/>
                <w:sz w:val="16"/>
              </w:rPr>
              <w:fldChar w:fldCharType="separate"/>
            </w:r>
            <w:r w:rsidR="003554AD">
              <w:rPr>
                <w:rFonts w:ascii="Helvetica" w:hAnsi="Helvetica"/>
                <w:sz w:val="16"/>
              </w:rPr>
              <w:fldChar w:fldCharType="end"/>
            </w:r>
            <w:bookmarkEnd w:id="7"/>
            <w:r>
              <w:rPr>
                <w:rFonts w:ascii="Helvetica" w:hAnsi="Helvetica"/>
                <w:sz w:val="16"/>
              </w:rPr>
              <w:t xml:space="preserve"> Weekly</w:t>
            </w:r>
            <w:r>
              <w:rPr>
                <w:rFonts w:ascii="Helvetica" w:hAnsi="Helvetica"/>
                <w:sz w:val="16"/>
              </w:rPr>
              <w:tab/>
              <w:t xml:space="preserve">3. </w:t>
            </w:r>
            <w:r w:rsidR="003554A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3554AD">
              <w:rPr>
                <w:rFonts w:ascii="Helvetica" w:hAnsi="Helvetica"/>
                <w:b/>
                <w:sz w:val="18"/>
              </w:rPr>
            </w:r>
            <w:r w:rsidR="003554AD">
              <w:rPr>
                <w:rFonts w:ascii="Helvetica" w:hAnsi="Helvetica"/>
                <w:b/>
                <w:sz w:val="18"/>
              </w:rPr>
              <w:fldChar w:fldCharType="separate"/>
            </w:r>
            <w:r w:rsidR="003554AD">
              <w:rPr>
                <w:rFonts w:ascii="Helvetica" w:hAnsi="Helvetica"/>
                <w:b/>
                <w:sz w:val="18"/>
              </w:rPr>
              <w:fldChar w:fldCharType="end"/>
            </w:r>
            <w:r>
              <w:rPr>
                <w:rFonts w:ascii="Helvetica" w:hAnsi="Helvetica"/>
                <w:sz w:val="16"/>
              </w:rPr>
              <w:t xml:space="preserve"> Monthly</w:t>
            </w:r>
          </w:p>
          <w:p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4. </w:t>
            </w:r>
            <w:r w:rsidR="003554A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3554AD">
              <w:rPr>
                <w:rFonts w:ascii="Helvetica" w:hAnsi="Helvetica"/>
                <w:b/>
                <w:sz w:val="18"/>
              </w:rPr>
            </w:r>
            <w:r w:rsidR="003554AD">
              <w:rPr>
                <w:rFonts w:ascii="Helvetica" w:hAnsi="Helvetica"/>
                <w:b/>
                <w:sz w:val="18"/>
              </w:rPr>
              <w:fldChar w:fldCharType="separate"/>
            </w:r>
            <w:r w:rsidR="003554AD">
              <w:rPr>
                <w:rFonts w:ascii="Helvetica" w:hAnsi="Helvetica"/>
                <w:b/>
                <w:sz w:val="18"/>
              </w:rPr>
              <w:fldChar w:fldCharType="end"/>
            </w:r>
            <w:r>
              <w:rPr>
                <w:rFonts w:ascii="Helvetica" w:hAnsi="Helvetica"/>
                <w:sz w:val="16"/>
              </w:rPr>
              <w:t xml:space="preserve"> Quarterly</w:t>
            </w:r>
            <w:r>
              <w:rPr>
                <w:rFonts w:ascii="Helvetica" w:hAnsi="Helvetica"/>
                <w:sz w:val="16"/>
              </w:rPr>
              <w:tab/>
              <w:t xml:space="preserve">5. </w:t>
            </w:r>
            <w:r w:rsidR="003554AD">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3554AD">
              <w:rPr>
                <w:rFonts w:ascii="Helvetica" w:hAnsi="Helvetica"/>
                <w:sz w:val="16"/>
              </w:rPr>
            </w:r>
            <w:r w:rsidR="003554AD">
              <w:rPr>
                <w:rFonts w:ascii="Helvetica" w:hAnsi="Helvetica"/>
                <w:sz w:val="16"/>
              </w:rPr>
              <w:fldChar w:fldCharType="separate"/>
            </w:r>
            <w:r w:rsidR="003554AD">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3554AD">
              <w:rPr>
                <w:rFonts w:ascii="Helvetica" w:hAnsi="Helvetica"/>
                <w:sz w:val="16"/>
              </w:rPr>
              <w:fldChar w:fldCharType="begin">
                <w:ffData>
                  <w:name w:val="Check24"/>
                  <w:enabled/>
                  <w:calcOnExit w:val="0"/>
                  <w:checkBox>
                    <w:sizeAuto/>
                    <w:default w:val="1"/>
                  </w:checkBox>
                </w:ffData>
              </w:fldChar>
            </w:r>
            <w:bookmarkStart w:id="8" w:name="Check24"/>
            <w:r>
              <w:rPr>
                <w:rFonts w:ascii="Helvetica" w:hAnsi="Helvetica"/>
                <w:sz w:val="16"/>
              </w:rPr>
              <w:instrText xml:space="preserve"> FORMCHECKBOX </w:instrText>
            </w:r>
            <w:r w:rsidR="003554AD">
              <w:rPr>
                <w:rFonts w:ascii="Helvetica" w:hAnsi="Helvetica"/>
                <w:sz w:val="16"/>
              </w:rPr>
            </w:r>
            <w:r w:rsidR="003554AD">
              <w:rPr>
                <w:rFonts w:ascii="Helvetica" w:hAnsi="Helvetica"/>
                <w:sz w:val="16"/>
              </w:rPr>
              <w:fldChar w:fldCharType="separate"/>
            </w:r>
            <w:r w:rsidR="003554AD">
              <w:rPr>
                <w:rFonts w:ascii="Helvetica" w:hAnsi="Helvetica"/>
                <w:sz w:val="16"/>
              </w:rPr>
              <w:fldChar w:fldCharType="end"/>
            </w:r>
            <w:bookmarkEnd w:id="8"/>
            <w:r>
              <w:rPr>
                <w:rFonts w:ascii="Helvetica" w:hAnsi="Helvetica"/>
                <w:sz w:val="16"/>
              </w:rPr>
              <w:t xml:space="preserve"> Annually</w:t>
            </w:r>
          </w:p>
          <w:p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7. </w:t>
            </w:r>
            <w:r w:rsidR="003554AD">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3554AD">
              <w:rPr>
                <w:rFonts w:ascii="Helvetica" w:hAnsi="Helvetica"/>
                <w:sz w:val="16"/>
              </w:rPr>
            </w:r>
            <w:r w:rsidR="003554AD">
              <w:rPr>
                <w:rFonts w:ascii="Helvetica" w:hAnsi="Helvetica"/>
                <w:sz w:val="16"/>
              </w:rPr>
              <w:fldChar w:fldCharType="separate"/>
            </w:r>
            <w:r w:rsidR="003554AD">
              <w:rPr>
                <w:rFonts w:ascii="Helvetica" w:hAnsi="Helvetica"/>
                <w:sz w:val="16"/>
              </w:rPr>
              <w:fldChar w:fldCharType="end"/>
            </w:r>
            <w:r w:rsidR="00A55E0F">
              <w:rPr>
                <w:rFonts w:ascii="Helvetica" w:hAnsi="Helvetica"/>
                <w:sz w:val="16"/>
              </w:rPr>
              <w:t xml:space="preserve"> Bia</w:t>
            </w:r>
            <w:r>
              <w:rPr>
                <w:rFonts w:ascii="Helvetica" w:hAnsi="Helvetica"/>
                <w:sz w:val="16"/>
              </w:rPr>
              <w:t>nnually</w:t>
            </w:r>
            <w:r>
              <w:rPr>
                <w:rFonts w:ascii="Helvetica" w:hAnsi="Helvetica"/>
                <w:sz w:val="16"/>
              </w:rPr>
              <w:tab/>
              <w:t xml:space="preserve">8. </w:t>
            </w:r>
            <w:r w:rsidR="003554AD">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3554AD">
              <w:rPr>
                <w:rFonts w:ascii="Helvetica" w:hAnsi="Helvetica"/>
                <w:sz w:val="16"/>
              </w:rPr>
            </w:r>
            <w:r w:rsidR="003554AD">
              <w:rPr>
                <w:rFonts w:ascii="Helvetica" w:hAnsi="Helvetica"/>
                <w:sz w:val="16"/>
              </w:rPr>
              <w:fldChar w:fldCharType="separate"/>
            </w:r>
            <w:r w:rsidR="003554AD">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3554AD">
              <w:rPr>
                <w:rFonts w:ascii="Helvetica" w:hAnsi="Helvetica"/>
                <w:sz w:val="16"/>
              </w:rPr>
              <w:fldChar w:fldCharType="begin">
                <w:ffData>
                  <w:name w:val="Text18"/>
                  <w:enabled/>
                  <w:calcOnExit w:val="0"/>
                  <w:textInput/>
                </w:ffData>
              </w:fldChar>
            </w:r>
            <w:bookmarkStart w:id="9" w:name="Text18"/>
            <w:r>
              <w:rPr>
                <w:rFonts w:ascii="Helvetica" w:hAnsi="Helvetica"/>
                <w:sz w:val="16"/>
              </w:rPr>
              <w:instrText xml:space="preserve"> FORMTEXT </w:instrText>
            </w:r>
            <w:r w:rsidR="003554AD">
              <w:rPr>
                <w:rFonts w:ascii="Helvetica" w:hAnsi="Helvetica"/>
                <w:sz w:val="16"/>
              </w:rPr>
            </w:r>
            <w:r w:rsidR="003554AD">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sidR="003554AD">
              <w:rPr>
                <w:rFonts w:ascii="Helvetica" w:hAnsi="Helvetica"/>
                <w:sz w:val="16"/>
              </w:rPr>
              <w:fldChar w:fldCharType="end"/>
            </w:r>
            <w:bookmarkEnd w:id="9"/>
          </w:p>
          <w:p w:rsidR="00C53525" w:rsidRDefault="00C53525">
            <w:pPr>
              <w:tabs>
                <w:tab w:val="left" w:pos="240"/>
              </w:tabs>
              <w:rPr>
                <w:rFonts w:ascii="Helvetica" w:hAnsi="Helvetica"/>
                <w:sz w:val="16"/>
              </w:rPr>
            </w:pPr>
          </w:p>
        </w:tc>
      </w:tr>
      <w:tr w:rsidR="00C53525">
        <w:tc>
          <w:tcPr>
            <w:tcW w:w="4908" w:type="dxa"/>
            <w:tcBorders>
              <w:top w:val="single" w:sz="6" w:space="0" w:color="auto"/>
              <w:bottom w:val="single" w:sz="6" w:space="0" w:color="auto"/>
            </w:tcBorders>
          </w:tcPr>
          <w:p w:rsidR="00C53525" w:rsidRDefault="00C53525">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C53525" w:rsidRDefault="00C53525">
            <w:pPr>
              <w:ind w:left="240"/>
              <w:rPr>
                <w:rFonts w:ascii="Helvetica" w:hAnsi="Helvetica"/>
                <w:sz w:val="16"/>
              </w:rPr>
            </w:pPr>
            <w:r>
              <w:rPr>
                <w:rFonts w:ascii="Helvetica" w:hAnsi="Helvetica"/>
                <w:sz w:val="16"/>
              </w:rPr>
              <w:t>Does this information collection employ statistical methods?</w:t>
            </w:r>
          </w:p>
          <w:p w:rsidR="00C53525" w:rsidRDefault="003554AD">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C535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r w:rsidR="00C53525">
              <w:rPr>
                <w:rFonts w:ascii="Helvetica" w:hAnsi="Helvetica"/>
                <w:sz w:val="18"/>
              </w:rPr>
              <w:t xml:space="preserve"> Yes    </w:t>
            </w:r>
            <w:r>
              <w:rPr>
                <w:rFonts w:ascii="Helvetica" w:hAnsi="Helvetica"/>
                <w:b/>
                <w:sz w:val="18"/>
              </w:rPr>
              <w:fldChar w:fldCharType="begin">
                <w:ffData>
                  <w:name w:val=""/>
                  <w:enabled/>
                  <w:calcOnExit w:val="0"/>
                  <w:checkBox>
                    <w:sizeAuto/>
                    <w:default w:val="1"/>
                  </w:checkBox>
                </w:ffData>
              </w:fldChar>
            </w:r>
            <w:r w:rsidR="00C535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r w:rsidR="00C53525">
              <w:rPr>
                <w:rFonts w:ascii="Helvetica" w:hAnsi="Helvetica"/>
                <w:sz w:val="18"/>
              </w:rPr>
              <w:t xml:space="preserve"> No</w:t>
            </w:r>
          </w:p>
          <w:p w:rsidR="00C53525" w:rsidRDefault="00C53525">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C53525" w:rsidRDefault="00C53525">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C53525" w:rsidRPr="0031500B" w:rsidRDefault="00C53525">
            <w:pPr>
              <w:tabs>
                <w:tab w:val="left" w:pos="240"/>
              </w:tabs>
              <w:ind w:left="132"/>
              <w:rPr>
                <w:sz w:val="24"/>
                <w:szCs w:val="24"/>
              </w:rPr>
            </w:pPr>
            <w:r>
              <w:rPr>
                <w:rFonts w:ascii="Helvetica" w:hAnsi="Helvetica"/>
                <w:sz w:val="16"/>
              </w:rPr>
              <w:t xml:space="preserve">Name:  </w:t>
            </w:r>
            <w:r w:rsidR="0031500B">
              <w:rPr>
                <w:rFonts w:ascii="Helvetica" w:hAnsi="Helvetica"/>
                <w:sz w:val="24"/>
                <w:szCs w:val="24"/>
              </w:rPr>
              <w:t>Lisa Floyd</w:t>
            </w:r>
          </w:p>
          <w:p w:rsidR="00C53525" w:rsidRPr="0031500B" w:rsidRDefault="00C53525">
            <w:pPr>
              <w:tabs>
                <w:tab w:val="left" w:pos="240"/>
              </w:tabs>
              <w:ind w:left="132"/>
              <w:rPr>
                <w:sz w:val="24"/>
                <w:szCs w:val="24"/>
              </w:rPr>
            </w:pPr>
            <w:r>
              <w:rPr>
                <w:rFonts w:ascii="Helvetica" w:hAnsi="Helvetica"/>
                <w:sz w:val="16"/>
              </w:rPr>
              <w:t xml:space="preserve">Phone: </w:t>
            </w:r>
            <w:r w:rsidR="0031500B">
              <w:rPr>
                <w:rFonts w:ascii="Helvetica" w:hAnsi="Helvetica"/>
                <w:sz w:val="24"/>
                <w:szCs w:val="24"/>
              </w:rPr>
              <w:t>202.402.6275</w:t>
            </w:r>
          </w:p>
          <w:p w:rsidR="00C53525" w:rsidRDefault="00C53525">
            <w:pPr>
              <w:tabs>
                <w:tab w:val="left" w:pos="240"/>
              </w:tabs>
              <w:rPr>
                <w:rFonts w:ascii="Helvetica" w:hAnsi="Helvetica"/>
                <w:sz w:val="16"/>
              </w:rPr>
            </w:pPr>
          </w:p>
        </w:tc>
      </w:tr>
    </w:tbl>
    <w:p w:rsidR="00C53525" w:rsidRDefault="00C53525">
      <w:pPr>
        <w:tabs>
          <w:tab w:val="left" w:pos="240"/>
        </w:tabs>
        <w:rPr>
          <w:rFonts w:ascii="Helvetica" w:hAnsi="Helvetica"/>
          <w:sz w:val="16"/>
        </w:rPr>
      </w:pPr>
    </w:p>
    <w:p w:rsidR="00C53525" w:rsidRDefault="00C53525">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C53525" w:rsidRDefault="00C53525">
      <w:pPr>
        <w:tabs>
          <w:tab w:val="left" w:pos="240"/>
        </w:tabs>
        <w:spacing w:line="280" w:lineRule="exact"/>
        <w:rPr>
          <w:sz w:val="22"/>
        </w:rPr>
      </w:pPr>
      <w:r>
        <w:rPr>
          <w:sz w:val="22"/>
        </w:rPr>
        <w:t>On behalf of this Federal Agency, I certify that the collection of information encompassed by this request complies with 5 CFR 1320.9.</w:t>
      </w:r>
    </w:p>
    <w:p w:rsidR="00C53525" w:rsidRDefault="00C53525">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C53525" w:rsidRDefault="00C53525">
      <w:pPr>
        <w:tabs>
          <w:tab w:val="left" w:pos="240"/>
        </w:tabs>
        <w:spacing w:line="280" w:lineRule="exact"/>
        <w:rPr>
          <w:sz w:val="22"/>
        </w:rPr>
      </w:pPr>
    </w:p>
    <w:p w:rsidR="00C53525" w:rsidRDefault="00C53525">
      <w:pPr>
        <w:tabs>
          <w:tab w:val="left" w:pos="240"/>
        </w:tabs>
        <w:spacing w:line="280" w:lineRule="exact"/>
        <w:rPr>
          <w:sz w:val="22"/>
        </w:rPr>
      </w:pPr>
      <w:r>
        <w:rPr>
          <w:sz w:val="22"/>
        </w:rPr>
        <w:t>The following is a summary of the topics, regarding the propo</w:t>
      </w:r>
      <w:r w:rsidR="00561440">
        <w:rPr>
          <w:sz w:val="22"/>
        </w:rPr>
        <w:t xml:space="preserve">sed collections of information </w:t>
      </w:r>
      <w:r>
        <w:rPr>
          <w:sz w:val="22"/>
        </w:rPr>
        <w:t>that the certification covers:</w:t>
      </w:r>
    </w:p>
    <w:p w:rsidR="00C53525" w:rsidRDefault="00C53525">
      <w:pPr>
        <w:numPr>
          <w:ilvl w:val="0"/>
          <w:numId w:val="3"/>
        </w:numPr>
        <w:tabs>
          <w:tab w:val="left" w:pos="720"/>
        </w:tabs>
        <w:spacing w:line="280" w:lineRule="exact"/>
        <w:rPr>
          <w:sz w:val="22"/>
        </w:rPr>
      </w:pPr>
      <w:r>
        <w:rPr>
          <w:sz w:val="22"/>
        </w:rPr>
        <w:t>It is necessary for the proper performance of agency functions;</w:t>
      </w:r>
    </w:p>
    <w:p w:rsidR="00C53525" w:rsidRDefault="00C53525">
      <w:pPr>
        <w:numPr>
          <w:ilvl w:val="0"/>
          <w:numId w:val="3"/>
        </w:numPr>
        <w:tabs>
          <w:tab w:val="left" w:pos="720"/>
        </w:tabs>
        <w:spacing w:line="280" w:lineRule="exact"/>
        <w:rPr>
          <w:sz w:val="22"/>
        </w:rPr>
      </w:pPr>
      <w:r>
        <w:rPr>
          <w:sz w:val="22"/>
        </w:rPr>
        <w:t>It avoids unnecessary duplication;</w:t>
      </w:r>
    </w:p>
    <w:p w:rsidR="00C53525" w:rsidRDefault="00C53525">
      <w:pPr>
        <w:numPr>
          <w:ilvl w:val="0"/>
          <w:numId w:val="3"/>
        </w:numPr>
        <w:tabs>
          <w:tab w:val="left" w:pos="720"/>
        </w:tabs>
        <w:spacing w:line="280" w:lineRule="exact"/>
        <w:rPr>
          <w:sz w:val="22"/>
        </w:rPr>
      </w:pPr>
      <w:r>
        <w:rPr>
          <w:sz w:val="22"/>
        </w:rPr>
        <w:t>It reduces burden on small entities;</w:t>
      </w:r>
    </w:p>
    <w:p w:rsidR="00C53525" w:rsidRDefault="00C53525">
      <w:pPr>
        <w:numPr>
          <w:ilvl w:val="0"/>
          <w:numId w:val="3"/>
        </w:numPr>
        <w:tabs>
          <w:tab w:val="left" w:pos="720"/>
        </w:tabs>
        <w:spacing w:line="280" w:lineRule="exact"/>
        <w:rPr>
          <w:sz w:val="22"/>
        </w:rPr>
      </w:pPr>
      <w:r>
        <w:rPr>
          <w:sz w:val="22"/>
        </w:rPr>
        <w:t>It uses plain, coherent, and unambiguous terminology that is understandable to respondents;</w:t>
      </w:r>
    </w:p>
    <w:p w:rsidR="00C53525" w:rsidRDefault="00C5352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C53525" w:rsidRDefault="00C53525">
      <w:pPr>
        <w:numPr>
          <w:ilvl w:val="0"/>
          <w:numId w:val="3"/>
        </w:numPr>
        <w:tabs>
          <w:tab w:val="left" w:pos="720"/>
        </w:tabs>
        <w:spacing w:line="280" w:lineRule="exact"/>
        <w:rPr>
          <w:sz w:val="22"/>
        </w:rPr>
      </w:pPr>
      <w:r>
        <w:rPr>
          <w:sz w:val="22"/>
        </w:rPr>
        <w:t>It indicates the retention periods for recordkeeping requirements;</w:t>
      </w:r>
    </w:p>
    <w:p w:rsidR="00C53525" w:rsidRDefault="00C53525">
      <w:pPr>
        <w:numPr>
          <w:ilvl w:val="0"/>
          <w:numId w:val="3"/>
        </w:numPr>
        <w:tabs>
          <w:tab w:val="left" w:pos="720"/>
        </w:tabs>
        <w:spacing w:line="280" w:lineRule="exact"/>
        <w:rPr>
          <w:sz w:val="22"/>
        </w:rPr>
      </w:pPr>
      <w:r>
        <w:rPr>
          <w:sz w:val="22"/>
        </w:rPr>
        <w:t>It informs respondents of the information called for under 5 CFR 1320.8(b)(3):</w:t>
      </w:r>
    </w:p>
    <w:p w:rsidR="00C53525" w:rsidRDefault="00C53525">
      <w:pPr>
        <w:numPr>
          <w:ilvl w:val="0"/>
          <w:numId w:val="4"/>
        </w:numPr>
        <w:tabs>
          <w:tab w:val="left" w:pos="720"/>
        </w:tabs>
        <w:spacing w:line="280" w:lineRule="exact"/>
        <w:rPr>
          <w:sz w:val="22"/>
        </w:rPr>
      </w:pPr>
      <w:r>
        <w:rPr>
          <w:sz w:val="22"/>
        </w:rPr>
        <w:t>Why the information is being collected;</w:t>
      </w:r>
    </w:p>
    <w:p w:rsidR="00C53525" w:rsidRDefault="00C53525">
      <w:pPr>
        <w:numPr>
          <w:ilvl w:val="0"/>
          <w:numId w:val="4"/>
        </w:numPr>
        <w:tabs>
          <w:tab w:val="left" w:pos="720"/>
        </w:tabs>
        <w:spacing w:line="280" w:lineRule="exact"/>
        <w:rPr>
          <w:sz w:val="22"/>
        </w:rPr>
      </w:pPr>
      <w:r>
        <w:rPr>
          <w:sz w:val="22"/>
        </w:rPr>
        <w:t>Use of the information;</w:t>
      </w:r>
    </w:p>
    <w:p w:rsidR="00C53525" w:rsidRDefault="00C53525">
      <w:pPr>
        <w:numPr>
          <w:ilvl w:val="0"/>
          <w:numId w:val="4"/>
        </w:numPr>
        <w:tabs>
          <w:tab w:val="left" w:pos="720"/>
        </w:tabs>
        <w:spacing w:line="280" w:lineRule="exact"/>
        <w:rPr>
          <w:sz w:val="22"/>
        </w:rPr>
      </w:pPr>
      <w:r>
        <w:rPr>
          <w:sz w:val="22"/>
        </w:rPr>
        <w:t>burden estimate;</w:t>
      </w:r>
    </w:p>
    <w:p w:rsidR="00C53525" w:rsidRDefault="00C53525">
      <w:pPr>
        <w:numPr>
          <w:ilvl w:val="0"/>
          <w:numId w:val="4"/>
        </w:numPr>
        <w:tabs>
          <w:tab w:val="left" w:pos="720"/>
        </w:tabs>
        <w:spacing w:line="280" w:lineRule="exact"/>
        <w:rPr>
          <w:sz w:val="22"/>
        </w:rPr>
      </w:pPr>
      <w:r>
        <w:rPr>
          <w:sz w:val="22"/>
        </w:rPr>
        <w:t>Nature of response (voluntary, required for a benefit, or mandatory);</w:t>
      </w:r>
    </w:p>
    <w:p w:rsidR="00C53525" w:rsidRDefault="00C53525">
      <w:pPr>
        <w:numPr>
          <w:ilvl w:val="0"/>
          <w:numId w:val="4"/>
        </w:numPr>
        <w:tabs>
          <w:tab w:val="left" w:pos="720"/>
        </w:tabs>
        <w:spacing w:line="280" w:lineRule="exact"/>
        <w:rPr>
          <w:sz w:val="22"/>
        </w:rPr>
      </w:pPr>
      <w:r>
        <w:rPr>
          <w:sz w:val="22"/>
        </w:rPr>
        <w:t>Nature and extent of confidentiality; and</w:t>
      </w:r>
    </w:p>
    <w:p w:rsidR="00C53525" w:rsidRDefault="00C53525">
      <w:pPr>
        <w:numPr>
          <w:ilvl w:val="0"/>
          <w:numId w:val="4"/>
        </w:numPr>
        <w:tabs>
          <w:tab w:val="left" w:pos="720"/>
        </w:tabs>
        <w:spacing w:line="280" w:lineRule="exact"/>
        <w:rPr>
          <w:sz w:val="22"/>
        </w:rPr>
      </w:pPr>
      <w:r>
        <w:rPr>
          <w:sz w:val="22"/>
        </w:rPr>
        <w:t>Need to display currently valid OMB control number;</w:t>
      </w:r>
    </w:p>
    <w:p w:rsidR="00C53525" w:rsidRDefault="00C5352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C53525" w:rsidRDefault="00C53525">
      <w:pPr>
        <w:numPr>
          <w:ilvl w:val="0"/>
          <w:numId w:val="6"/>
        </w:numPr>
        <w:tabs>
          <w:tab w:val="left" w:pos="720"/>
        </w:tabs>
        <w:spacing w:line="280" w:lineRule="exact"/>
        <w:rPr>
          <w:sz w:val="22"/>
        </w:rPr>
      </w:pPr>
      <w:r>
        <w:rPr>
          <w:sz w:val="22"/>
        </w:rPr>
        <w:t>It uses effective and efficient statistical survey methodology; and</w:t>
      </w:r>
    </w:p>
    <w:p w:rsidR="00C53525" w:rsidRDefault="00C53525">
      <w:pPr>
        <w:numPr>
          <w:ilvl w:val="0"/>
          <w:numId w:val="6"/>
        </w:numPr>
        <w:tabs>
          <w:tab w:val="left" w:pos="720"/>
        </w:tabs>
        <w:spacing w:line="280" w:lineRule="exact"/>
        <w:rPr>
          <w:sz w:val="22"/>
        </w:rPr>
      </w:pPr>
      <w:r>
        <w:rPr>
          <w:sz w:val="22"/>
        </w:rPr>
        <w:t>It makes appropriate use of information technology.</w:t>
      </w:r>
    </w:p>
    <w:p w:rsidR="00C53525" w:rsidRDefault="00C53525">
      <w:pPr>
        <w:tabs>
          <w:tab w:val="left" w:pos="600"/>
        </w:tabs>
        <w:spacing w:line="280" w:lineRule="exact"/>
        <w:rPr>
          <w:sz w:val="22"/>
        </w:rPr>
      </w:pPr>
    </w:p>
    <w:p w:rsidR="00C53525" w:rsidRDefault="00C53525">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C53525" w:rsidRDefault="003554AD">
      <w:pPr>
        <w:tabs>
          <w:tab w:val="left" w:pos="240"/>
        </w:tabs>
        <w:ind w:left="240"/>
      </w:pPr>
      <w:r>
        <w:fldChar w:fldCharType="begin">
          <w:ffData>
            <w:name w:val="Text20"/>
            <w:enabled/>
            <w:calcOnExit w:val="0"/>
            <w:textInput/>
          </w:ffData>
        </w:fldChar>
      </w:r>
      <w:bookmarkStart w:id="10" w:name="Text20"/>
      <w:r w:rsidR="00C53525">
        <w:instrText xml:space="preserve"> FORMTEXT </w:instrText>
      </w:r>
      <w:r>
        <w:fldChar w:fldCharType="separate"/>
      </w:r>
      <w:r w:rsidR="00C53525">
        <w:rPr>
          <w:noProof/>
        </w:rPr>
        <w:t> </w:t>
      </w:r>
      <w:r w:rsidR="00C53525">
        <w:rPr>
          <w:noProof/>
        </w:rPr>
        <w:t> </w:t>
      </w:r>
      <w:r w:rsidR="00C53525">
        <w:rPr>
          <w:noProof/>
        </w:rPr>
        <w:t> </w:t>
      </w:r>
      <w:r w:rsidR="00C53525">
        <w:rPr>
          <w:noProof/>
        </w:rPr>
        <w:t> </w:t>
      </w:r>
      <w:r w:rsidR="00C53525">
        <w:rPr>
          <w:noProof/>
        </w:rPr>
        <w:t> </w:t>
      </w:r>
      <w:r>
        <w:fldChar w:fldCharType="end"/>
      </w:r>
      <w:bookmarkEnd w:id="10"/>
    </w:p>
    <w:p w:rsidR="00C53525" w:rsidRDefault="00C53525">
      <w:pPr>
        <w:tabs>
          <w:tab w:val="left" w:pos="240"/>
        </w:tabs>
      </w:pPr>
    </w:p>
    <w:tbl>
      <w:tblPr>
        <w:tblW w:w="0" w:type="auto"/>
        <w:tblLayout w:type="fixed"/>
        <w:tblLook w:val="0000"/>
      </w:tblPr>
      <w:tblGrid>
        <w:gridCol w:w="8388"/>
        <w:gridCol w:w="2628"/>
      </w:tblGrid>
      <w:tr w:rsidR="00C53525">
        <w:tc>
          <w:tcPr>
            <w:tcW w:w="8388" w:type="dxa"/>
            <w:tcBorders>
              <w:top w:val="single" w:sz="6" w:space="0" w:color="auto"/>
            </w:tcBorders>
          </w:tcPr>
          <w:p w:rsidR="00C53525" w:rsidRDefault="00C53525">
            <w:pPr>
              <w:tabs>
                <w:tab w:val="left" w:pos="240"/>
              </w:tabs>
              <w:ind w:left="-120"/>
              <w:rPr>
                <w:rFonts w:ascii="Helvetica" w:hAnsi="Helvetica"/>
                <w:sz w:val="16"/>
              </w:rPr>
            </w:pPr>
            <w:r>
              <w:rPr>
                <w:rFonts w:ascii="Helvetica" w:hAnsi="Helvetica"/>
                <w:sz w:val="16"/>
              </w:rPr>
              <w:t>Signature of Program Official:</w:t>
            </w: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r>
              <w:rPr>
                <w:rFonts w:ascii="Helvetica" w:hAnsi="Helvetica"/>
                <w:sz w:val="16"/>
              </w:rPr>
              <w:t>X</w:t>
            </w:r>
          </w:p>
          <w:p w:rsidR="00C53525" w:rsidRDefault="00C53525" w:rsidP="00020DC4">
            <w:pPr>
              <w:tabs>
                <w:tab w:val="left" w:pos="240"/>
              </w:tabs>
              <w:rPr>
                <w:rFonts w:ascii="Helvetica" w:hAnsi="Helvetica"/>
                <w:sz w:val="16"/>
              </w:rPr>
            </w:pPr>
          </w:p>
        </w:tc>
        <w:tc>
          <w:tcPr>
            <w:tcW w:w="2628" w:type="dxa"/>
            <w:tcBorders>
              <w:top w:val="single" w:sz="6" w:space="0" w:color="auto"/>
              <w:left w:val="single" w:sz="6" w:space="0" w:color="auto"/>
              <w:bottom w:val="single" w:sz="6" w:space="0" w:color="auto"/>
            </w:tcBorders>
          </w:tcPr>
          <w:p w:rsidR="00C53525" w:rsidRDefault="00C53525">
            <w:pPr>
              <w:tabs>
                <w:tab w:val="left" w:pos="240"/>
              </w:tabs>
              <w:rPr>
                <w:rFonts w:ascii="Helvetica" w:hAnsi="Helvetica"/>
                <w:sz w:val="16"/>
              </w:rPr>
            </w:pPr>
            <w:r>
              <w:rPr>
                <w:rFonts w:ascii="Helvetica" w:hAnsi="Helvetica"/>
                <w:sz w:val="16"/>
              </w:rPr>
              <w:t>Date:</w:t>
            </w:r>
          </w:p>
        </w:tc>
      </w:tr>
      <w:tr w:rsidR="00C53525">
        <w:tc>
          <w:tcPr>
            <w:tcW w:w="8388" w:type="dxa"/>
            <w:tcBorders>
              <w:top w:val="single" w:sz="6" w:space="0" w:color="auto"/>
              <w:bottom w:val="single" w:sz="6" w:space="0" w:color="auto"/>
            </w:tcBorders>
          </w:tcPr>
          <w:p w:rsidR="00C53525" w:rsidRDefault="00C53525">
            <w:pPr>
              <w:tabs>
                <w:tab w:val="left" w:pos="240"/>
              </w:tabs>
              <w:ind w:left="-120"/>
              <w:rPr>
                <w:rFonts w:ascii="Helvetica" w:hAnsi="Helvetica"/>
                <w:sz w:val="16"/>
              </w:rPr>
            </w:pPr>
            <w:r>
              <w:rPr>
                <w:rFonts w:ascii="Helvetica" w:hAnsi="Helvetica"/>
                <w:sz w:val="16"/>
              </w:rPr>
              <w:t>Signature of Senior Officer or Designee:</w:t>
            </w: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r>
              <w:rPr>
                <w:rFonts w:ascii="Helvetica" w:hAnsi="Helvetica"/>
                <w:sz w:val="16"/>
              </w:rPr>
              <w:t>X</w:t>
            </w:r>
          </w:p>
          <w:p w:rsidR="00C53525" w:rsidRDefault="00441F7F">
            <w:pPr>
              <w:tabs>
                <w:tab w:val="left" w:pos="240"/>
              </w:tabs>
              <w:rPr>
                <w:rFonts w:ascii="Helvetica" w:hAnsi="Helvetica"/>
                <w:sz w:val="16"/>
              </w:rPr>
            </w:pPr>
            <w:r>
              <w:rPr>
                <w:rFonts w:ascii="Helvetica" w:hAnsi="Helvetica"/>
                <w:sz w:val="16"/>
              </w:rPr>
              <w:t>Colette Pollard, Departmental Reports Management Officer</w:t>
            </w:r>
          </w:p>
          <w:p w:rsidR="00441F7F" w:rsidRDefault="00441F7F">
            <w:pPr>
              <w:tabs>
                <w:tab w:val="left" w:pos="240"/>
              </w:tabs>
              <w:rPr>
                <w:rFonts w:ascii="Helvetica" w:hAnsi="Helvetica"/>
                <w:sz w:val="16"/>
              </w:rPr>
            </w:pPr>
            <w:r>
              <w:rPr>
                <w:rFonts w:ascii="Helvetica" w:hAnsi="Helvetica"/>
                <w:sz w:val="16"/>
              </w:rPr>
              <w:t>Office of Chief Information Officer</w:t>
            </w:r>
          </w:p>
        </w:tc>
        <w:tc>
          <w:tcPr>
            <w:tcW w:w="2628" w:type="dxa"/>
            <w:tcBorders>
              <w:left w:val="single" w:sz="6" w:space="0" w:color="auto"/>
              <w:bottom w:val="single" w:sz="6" w:space="0" w:color="auto"/>
            </w:tcBorders>
          </w:tcPr>
          <w:p w:rsidR="00C53525" w:rsidRDefault="00C53525">
            <w:pPr>
              <w:tabs>
                <w:tab w:val="left" w:pos="240"/>
              </w:tabs>
              <w:rPr>
                <w:rFonts w:ascii="Helvetica" w:hAnsi="Helvetica"/>
                <w:sz w:val="16"/>
              </w:rPr>
            </w:pPr>
            <w:r>
              <w:rPr>
                <w:rFonts w:ascii="Helvetica" w:hAnsi="Helvetica"/>
                <w:sz w:val="16"/>
              </w:rPr>
              <w:t>Date:</w:t>
            </w:r>
          </w:p>
        </w:tc>
      </w:tr>
    </w:tbl>
    <w:p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355E1D" w:rsidRPr="006A2B11" w:rsidRDefault="00355E1D" w:rsidP="00355E1D">
      <w:pPr>
        <w:rPr>
          <w:sz w:val="24"/>
          <w:szCs w:val="24"/>
        </w:rPr>
      </w:pPr>
    </w:p>
    <w:p w:rsidR="00355E1D" w:rsidRPr="006A2B11" w:rsidRDefault="00355E1D" w:rsidP="00355E1D">
      <w:pPr>
        <w:jc w:val="center"/>
        <w:rPr>
          <w:b/>
          <w:bCs/>
          <w:sz w:val="24"/>
          <w:szCs w:val="24"/>
        </w:rPr>
      </w:pPr>
      <w:r w:rsidRPr="006A2B11">
        <w:rPr>
          <w:b/>
          <w:bCs/>
          <w:sz w:val="24"/>
          <w:szCs w:val="24"/>
        </w:rPr>
        <w:t>Rental Assistance Demonstration</w:t>
      </w:r>
    </w:p>
    <w:p w:rsidR="00355E1D" w:rsidRPr="006A2B11" w:rsidRDefault="00355E1D" w:rsidP="00355E1D">
      <w:pPr>
        <w:jc w:val="center"/>
        <w:rPr>
          <w:b/>
          <w:bCs/>
          <w:sz w:val="24"/>
          <w:szCs w:val="24"/>
        </w:rPr>
      </w:pPr>
      <w:r w:rsidRPr="006A2B11">
        <w:rPr>
          <w:b/>
          <w:bCs/>
          <w:sz w:val="24"/>
          <w:szCs w:val="24"/>
        </w:rPr>
        <w:t>Supporting Statement for Paperwork Reduction Act Submission</w:t>
      </w:r>
    </w:p>
    <w:p w:rsidR="00355E1D" w:rsidRPr="006A2B11" w:rsidRDefault="00355E1D" w:rsidP="00355E1D">
      <w:pPr>
        <w:jc w:val="center"/>
        <w:rPr>
          <w:b/>
          <w:bCs/>
          <w:sz w:val="24"/>
          <w:szCs w:val="24"/>
        </w:rPr>
      </w:pPr>
      <w:r w:rsidRPr="006A2B11">
        <w:rPr>
          <w:b/>
          <w:bCs/>
          <w:sz w:val="24"/>
          <w:szCs w:val="24"/>
        </w:rPr>
        <w:t xml:space="preserve">Office of Public </w:t>
      </w:r>
      <w:r w:rsidR="008105F1">
        <w:rPr>
          <w:b/>
          <w:bCs/>
          <w:sz w:val="24"/>
          <w:szCs w:val="24"/>
        </w:rPr>
        <w:t xml:space="preserve">and Indian </w:t>
      </w:r>
      <w:r w:rsidRPr="006A2B11">
        <w:rPr>
          <w:b/>
          <w:bCs/>
          <w:sz w:val="24"/>
          <w:szCs w:val="24"/>
        </w:rPr>
        <w:t>Housing, Office of Housing</w:t>
      </w:r>
      <w:r w:rsidR="008105F1">
        <w:rPr>
          <w:b/>
          <w:bCs/>
          <w:sz w:val="24"/>
          <w:szCs w:val="24"/>
        </w:rPr>
        <w:t>-Federal Housing Commissioner</w:t>
      </w:r>
    </w:p>
    <w:p w:rsidR="00355E1D" w:rsidRPr="006A2B11" w:rsidRDefault="00355E1D" w:rsidP="00355E1D">
      <w:pPr>
        <w:pStyle w:val="NoSpacing"/>
        <w:rPr>
          <w:rFonts w:ascii="Times New Roman" w:hAnsi="Times New Roman" w:cs="Times New Roman"/>
          <w:sz w:val="24"/>
          <w:szCs w:val="24"/>
        </w:rPr>
      </w:pPr>
    </w:p>
    <w:p w:rsidR="00355E1D" w:rsidRPr="006A2B11" w:rsidRDefault="00355E1D" w:rsidP="008105F1">
      <w:pPr>
        <w:pStyle w:val="ListParagraph"/>
        <w:ind w:left="0"/>
        <w:rPr>
          <w:rFonts w:ascii="Times New Roman" w:hAnsi="Times New Roman" w:cs="Times New Roman"/>
          <w:sz w:val="24"/>
          <w:szCs w:val="24"/>
        </w:rPr>
      </w:pPr>
    </w:p>
    <w:p w:rsidR="00355E1D" w:rsidRPr="004C1013" w:rsidRDefault="00355E1D" w:rsidP="008105F1">
      <w:pPr>
        <w:pStyle w:val="ListParagraph"/>
        <w:numPr>
          <w:ilvl w:val="0"/>
          <w:numId w:val="10"/>
        </w:numPr>
        <w:ind w:left="0" w:firstLine="0"/>
        <w:rPr>
          <w:rFonts w:ascii="Times New Roman" w:hAnsi="Times New Roman" w:cs="Times New Roman"/>
          <w:sz w:val="24"/>
          <w:szCs w:val="24"/>
          <w:u w:val="single"/>
        </w:rPr>
      </w:pPr>
      <w:r w:rsidRPr="004C1013">
        <w:rPr>
          <w:rFonts w:ascii="Times New Roman" w:hAnsi="Times New Roman" w:cs="Times New Roman"/>
          <w:sz w:val="24"/>
          <w:szCs w:val="24"/>
          <w:u w:val="single"/>
        </w:rPr>
        <w:t>Justification</w:t>
      </w:r>
    </w:p>
    <w:p w:rsidR="00355E1D" w:rsidRDefault="00355E1D" w:rsidP="008105F1">
      <w:pPr>
        <w:pStyle w:val="ListParagraph"/>
        <w:spacing w:after="0" w:line="240" w:lineRule="auto"/>
        <w:ind w:left="0"/>
        <w:rPr>
          <w:rFonts w:ascii="Times New Roman" w:hAnsi="Times New Roman" w:cs="Times New Roman"/>
          <w:sz w:val="24"/>
          <w:szCs w:val="24"/>
        </w:rPr>
      </w:pPr>
    </w:p>
    <w:p w:rsidR="00B03063" w:rsidRDefault="00355E1D">
      <w:pPr>
        <w:pStyle w:val="ListParagraph"/>
        <w:numPr>
          <w:ilvl w:val="0"/>
          <w:numId w:val="11"/>
        </w:numPr>
        <w:spacing w:after="0" w:line="240" w:lineRule="auto"/>
        <w:rPr>
          <w:rFonts w:ascii="Times New Roman" w:hAnsi="Times New Roman" w:cs="Times New Roman"/>
          <w:sz w:val="24"/>
          <w:szCs w:val="24"/>
        </w:rPr>
      </w:pPr>
      <w:r w:rsidRPr="006A2B11">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03063" w:rsidRDefault="00355E1D">
      <w:pPr>
        <w:pStyle w:val="NormalWeb"/>
        <w:shd w:val="clear" w:color="auto" w:fill="FFFFFF"/>
        <w:rPr>
          <w:color w:val="000000"/>
        </w:rPr>
      </w:pPr>
      <w:r>
        <w:rPr>
          <w:rFonts w:eastAsiaTheme="minorHAnsi"/>
        </w:rPr>
        <w:tab/>
      </w:r>
      <w:r w:rsidRPr="004C1013">
        <w:rPr>
          <w:rFonts w:eastAsiaTheme="minorHAnsi"/>
        </w:rPr>
        <w:t xml:space="preserve">The Department of Housing and Urban Development’s (HUD) </w:t>
      </w:r>
      <w:r>
        <w:rPr>
          <w:color w:val="000000"/>
        </w:rPr>
        <w:t>2012 Appropriations bill</w:t>
      </w:r>
      <w:r>
        <w:rPr>
          <w:rStyle w:val="FootnoteReference"/>
          <w:color w:val="000000"/>
        </w:rPr>
        <w:footnoteReference w:id="1"/>
      </w:r>
      <w:r>
        <w:rPr>
          <w:color w:val="000000"/>
        </w:rPr>
        <w:t xml:space="preserve"> </w:t>
      </w:r>
      <w:r w:rsidRPr="004C1013">
        <w:rPr>
          <w:color w:val="000000"/>
        </w:rPr>
        <w:t xml:space="preserve">authorized </w:t>
      </w:r>
      <w:r>
        <w:rPr>
          <w:color w:val="000000"/>
        </w:rPr>
        <w:tab/>
      </w:r>
      <w:r w:rsidRPr="004C1013">
        <w:rPr>
          <w:color w:val="000000"/>
        </w:rPr>
        <w:t>the </w:t>
      </w:r>
      <w:r w:rsidRPr="004C1013">
        <w:rPr>
          <w:b/>
          <w:bCs/>
          <w:color w:val="000000"/>
        </w:rPr>
        <w:t>Rental Assistance Demonstration</w:t>
      </w:r>
      <w:r w:rsidRPr="004C1013">
        <w:rPr>
          <w:color w:val="000000"/>
        </w:rPr>
        <w:t> (RAD)</w:t>
      </w:r>
      <w:r>
        <w:rPr>
          <w:color w:val="000000"/>
        </w:rPr>
        <w:t xml:space="preserve">. The Demonstration allows </w:t>
      </w:r>
      <w:r w:rsidRPr="004C1013">
        <w:rPr>
          <w:color w:val="000000"/>
        </w:rPr>
        <w:t xml:space="preserve">Public Housing and Moderate </w:t>
      </w:r>
      <w:r>
        <w:rPr>
          <w:color w:val="000000"/>
        </w:rPr>
        <w:tab/>
      </w:r>
      <w:r w:rsidRPr="004C1013">
        <w:rPr>
          <w:color w:val="000000"/>
        </w:rPr>
        <w:t xml:space="preserve">Rehabilitation (Mod Rehab) </w:t>
      </w:r>
      <w:r>
        <w:rPr>
          <w:color w:val="000000"/>
        </w:rPr>
        <w:tab/>
      </w:r>
      <w:r w:rsidRPr="004C1013">
        <w:rPr>
          <w:color w:val="000000"/>
        </w:rPr>
        <w:t>properties to convert to long-</w:t>
      </w:r>
      <w:r>
        <w:rPr>
          <w:color w:val="000000"/>
        </w:rPr>
        <w:tab/>
      </w:r>
      <w:r w:rsidRPr="004C1013">
        <w:rPr>
          <w:color w:val="000000"/>
        </w:rPr>
        <w:t xml:space="preserve">term Section 8 rental assistance contracts; </w:t>
      </w:r>
      <w:r>
        <w:rPr>
          <w:color w:val="000000"/>
        </w:rPr>
        <w:tab/>
      </w:r>
      <w:r w:rsidRPr="004C1013">
        <w:rPr>
          <w:color w:val="000000"/>
        </w:rPr>
        <w:t>and</w:t>
      </w:r>
      <w:r>
        <w:rPr>
          <w:color w:val="000000"/>
        </w:rPr>
        <w:t xml:space="preserve"> </w:t>
      </w:r>
      <w:r w:rsidRPr="004C1013">
        <w:rPr>
          <w:color w:val="000000"/>
        </w:rPr>
        <w:t xml:space="preserve">Rent Supplement (Rent Supp), Rental Assistance Payment (RAP), and Mod Rehab properties, upon </w:t>
      </w:r>
      <w:r>
        <w:rPr>
          <w:color w:val="000000"/>
        </w:rPr>
        <w:tab/>
      </w:r>
      <w:r w:rsidRPr="004C1013">
        <w:rPr>
          <w:color w:val="000000"/>
        </w:rPr>
        <w:t xml:space="preserve">contract expiration or </w:t>
      </w:r>
      <w:r>
        <w:rPr>
          <w:color w:val="000000"/>
        </w:rPr>
        <w:tab/>
      </w:r>
      <w:r w:rsidRPr="004C1013">
        <w:rPr>
          <w:color w:val="000000"/>
        </w:rPr>
        <w:t xml:space="preserve">termination, to convert tenant protection vouchers (TPVs) to project-based </w:t>
      </w:r>
      <w:r>
        <w:rPr>
          <w:color w:val="000000"/>
        </w:rPr>
        <w:tab/>
      </w:r>
      <w:r w:rsidRPr="004C1013">
        <w:rPr>
          <w:color w:val="000000"/>
        </w:rPr>
        <w:t>vouchers (PBVs).</w:t>
      </w:r>
      <w:r>
        <w:rPr>
          <w:color w:val="000000"/>
        </w:rPr>
        <w:t xml:space="preserve"> </w:t>
      </w:r>
      <w:r w:rsidRPr="007205E9">
        <w:t>Participation in the initiative will be voluntary.</w:t>
      </w:r>
      <w:r w:rsidRPr="007205E9">
        <w:rPr>
          <w:b/>
        </w:rPr>
        <w:t xml:space="preserve">  </w:t>
      </w:r>
      <w:r>
        <w:t xml:space="preserve">Public Housing agencies and project </w:t>
      </w:r>
      <w:r>
        <w:tab/>
        <w:t>owners</w:t>
      </w:r>
      <w:r w:rsidRPr="006A2B11">
        <w:t xml:space="preserve"> interested in participating in the Demonstration are </w:t>
      </w:r>
      <w:r>
        <w:tab/>
      </w:r>
      <w:r w:rsidRPr="006A2B11">
        <w:t xml:space="preserve">required to submit applications to HUD.  </w:t>
      </w:r>
      <w:r>
        <w:tab/>
      </w:r>
      <w:r w:rsidRPr="007205E9">
        <w:t>HUD intends through the conversion process</w:t>
      </w:r>
      <w:r>
        <w:t xml:space="preserve">, to assure </w:t>
      </w:r>
      <w:r w:rsidRPr="007205E9">
        <w:t xml:space="preserve">the physical and financial sustainability of </w:t>
      </w:r>
      <w:r>
        <w:tab/>
      </w:r>
      <w:r w:rsidRPr="007205E9">
        <w:t>properties and enable owner</w:t>
      </w:r>
      <w:r>
        <w:t xml:space="preserve">s to leverage </w:t>
      </w:r>
      <w:r w:rsidRPr="007205E9">
        <w:t>private financing to address immediate and lo</w:t>
      </w:r>
      <w:r>
        <w:t xml:space="preserve">ng-term capital </w:t>
      </w:r>
      <w:r>
        <w:tab/>
        <w:t xml:space="preserve">needs, improve </w:t>
      </w:r>
      <w:r w:rsidRPr="007205E9">
        <w:t>operations, and implement energy efficiency improv</w:t>
      </w:r>
      <w:r>
        <w:t xml:space="preserve">ements.  Information collected </w:t>
      </w:r>
      <w:r w:rsidRPr="007205E9">
        <w:t xml:space="preserve">by </w:t>
      </w:r>
      <w:r>
        <w:tab/>
      </w:r>
      <w:r w:rsidRPr="007205E9">
        <w:t>the application</w:t>
      </w:r>
      <w:r>
        <w:t>s</w:t>
      </w:r>
      <w:r w:rsidRPr="007205E9">
        <w:t xml:space="preserve"> will allow the Departmen</w:t>
      </w:r>
      <w:r>
        <w:t xml:space="preserve">t to determine which applicants have the </w:t>
      </w:r>
      <w:r w:rsidRPr="007205E9">
        <w:t>capacit</w:t>
      </w:r>
      <w:r>
        <w:t xml:space="preserve">y to </w:t>
      </w:r>
      <w:r>
        <w:tab/>
        <w:t xml:space="preserve">successfully </w:t>
      </w:r>
      <w:r w:rsidRPr="007205E9">
        <w:t>meet RAD’s mission.</w:t>
      </w:r>
    </w:p>
    <w:p w:rsidR="00B03063" w:rsidRDefault="00B03063">
      <w:pPr>
        <w:pStyle w:val="ListParagraph"/>
        <w:spacing w:after="0" w:line="240" w:lineRule="auto"/>
        <w:ind w:left="0"/>
        <w:rPr>
          <w:rFonts w:ascii="Times New Roman" w:hAnsi="Times New Roman" w:cs="Times New Roman"/>
          <w:b/>
          <w:sz w:val="24"/>
          <w:szCs w:val="24"/>
        </w:rPr>
      </w:pPr>
    </w:p>
    <w:p w:rsidR="00B03063" w:rsidRDefault="00355E1D">
      <w:pPr>
        <w:pStyle w:val="ListParagraph"/>
        <w:numPr>
          <w:ilvl w:val="0"/>
          <w:numId w:val="11"/>
        </w:numPr>
        <w:spacing w:after="0" w:line="240" w:lineRule="auto"/>
        <w:rPr>
          <w:rFonts w:ascii="Times New Roman" w:hAnsi="Times New Roman" w:cs="Times New Roman"/>
          <w:sz w:val="24"/>
          <w:szCs w:val="24"/>
        </w:rPr>
      </w:pPr>
      <w:r w:rsidRPr="006A2B11">
        <w:rPr>
          <w:rFonts w:ascii="Times New Roman" w:hAnsi="Times New Roman" w:cs="Times New Roman"/>
          <w:b/>
          <w:sz w:val="24"/>
          <w:szCs w:val="24"/>
        </w:rPr>
        <w:t>Indicate how, by whom, and for what purpose the information is to be used.  Except for a new collection, indicate the actual use the agency has made of the information from the current collection.</w:t>
      </w:r>
    </w:p>
    <w:p w:rsidR="00B03063" w:rsidRDefault="00B03063">
      <w:pPr>
        <w:rPr>
          <w:sz w:val="24"/>
          <w:szCs w:val="24"/>
        </w:rPr>
      </w:pPr>
    </w:p>
    <w:p w:rsidR="00B03063" w:rsidRDefault="00355E1D">
      <w:pPr>
        <w:ind w:left="720"/>
        <w:rPr>
          <w:sz w:val="24"/>
          <w:szCs w:val="24"/>
        </w:rPr>
      </w:pPr>
      <w:r w:rsidRPr="006E472D">
        <w:rPr>
          <w:sz w:val="24"/>
          <w:szCs w:val="24"/>
        </w:rPr>
        <w:t>The Department</w:t>
      </w:r>
      <w:r>
        <w:rPr>
          <w:sz w:val="24"/>
          <w:szCs w:val="24"/>
        </w:rPr>
        <w:t xml:space="preserve"> will</w:t>
      </w:r>
      <w:r w:rsidRPr="006E472D">
        <w:rPr>
          <w:sz w:val="24"/>
          <w:szCs w:val="24"/>
        </w:rPr>
        <w:t xml:space="preserve"> us</w:t>
      </w:r>
      <w:r w:rsidR="008105F1">
        <w:rPr>
          <w:sz w:val="24"/>
          <w:szCs w:val="24"/>
        </w:rPr>
        <w:t>e</w:t>
      </w:r>
      <w:r w:rsidRPr="006E472D">
        <w:rPr>
          <w:sz w:val="24"/>
          <w:szCs w:val="24"/>
        </w:rPr>
        <w:t xml:space="preserve"> a competitive process an</w:t>
      </w:r>
      <w:r>
        <w:rPr>
          <w:sz w:val="24"/>
          <w:szCs w:val="24"/>
        </w:rPr>
        <w:t>d selection criteria</w:t>
      </w:r>
      <w:r w:rsidR="008105F1">
        <w:rPr>
          <w:sz w:val="24"/>
          <w:szCs w:val="24"/>
        </w:rPr>
        <w:t xml:space="preserve"> to select</w:t>
      </w:r>
      <w:r w:rsidRPr="006E472D">
        <w:rPr>
          <w:sz w:val="24"/>
          <w:szCs w:val="24"/>
        </w:rPr>
        <w:t xml:space="preserve">: (1) </w:t>
      </w:r>
      <w:r w:rsidR="008105F1">
        <w:rPr>
          <w:sz w:val="24"/>
          <w:szCs w:val="24"/>
        </w:rPr>
        <w:t xml:space="preserve">properties in </w:t>
      </w:r>
      <w:r w:rsidRPr="006E472D">
        <w:rPr>
          <w:sz w:val="24"/>
          <w:szCs w:val="24"/>
        </w:rPr>
        <w:t>different mar</w:t>
      </w:r>
      <w:r>
        <w:rPr>
          <w:sz w:val="24"/>
          <w:szCs w:val="24"/>
        </w:rPr>
        <w:t>kets and geographic areas; (2)</w:t>
      </w:r>
      <w:r w:rsidR="008105F1">
        <w:rPr>
          <w:sz w:val="24"/>
          <w:szCs w:val="24"/>
        </w:rPr>
        <w:t xml:space="preserve"> properties</w:t>
      </w:r>
      <w:r w:rsidRPr="006E472D">
        <w:rPr>
          <w:sz w:val="24"/>
          <w:szCs w:val="24"/>
        </w:rPr>
        <w:t xml:space="preserve"> managed</w:t>
      </w:r>
      <w:r w:rsidR="008105F1">
        <w:rPr>
          <w:sz w:val="24"/>
          <w:szCs w:val="24"/>
        </w:rPr>
        <w:t xml:space="preserve"> </w:t>
      </w:r>
      <w:r w:rsidRPr="006E472D">
        <w:rPr>
          <w:sz w:val="24"/>
          <w:szCs w:val="24"/>
        </w:rPr>
        <w:t>by public housing agencies of varyin</w:t>
      </w:r>
      <w:r>
        <w:rPr>
          <w:sz w:val="24"/>
          <w:szCs w:val="24"/>
        </w:rPr>
        <w:t xml:space="preserve">g sizes; and (3) </w:t>
      </w:r>
      <w:r w:rsidR="005400BA">
        <w:rPr>
          <w:sz w:val="24"/>
          <w:szCs w:val="24"/>
        </w:rPr>
        <w:t>properties that can leverage</w:t>
      </w:r>
      <w:r>
        <w:rPr>
          <w:sz w:val="24"/>
          <w:szCs w:val="24"/>
        </w:rPr>
        <w:t xml:space="preserve"> </w:t>
      </w:r>
      <w:r w:rsidRPr="006E472D">
        <w:rPr>
          <w:sz w:val="24"/>
          <w:szCs w:val="24"/>
        </w:rPr>
        <w:t xml:space="preserve">other funding sources </w:t>
      </w:r>
      <w:r w:rsidR="005400BA">
        <w:rPr>
          <w:sz w:val="24"/>
          <w:szCs w:val="24"/>
        </w:rPr>
        <w:t>for recapitalization</w:t>
      </w:r>
      <w:r w:rsidRPr="006E472D">
        <w:rPr>
          <w:sz w:val="24"/>
          <w:szCs w:val="24"/>
        </w:rPr>
        <w:t>.</w:t>
      </w:r>
      <w:r>
        <w:rPr>
          <w:sz w:val="24"/>
          <w:szCs w:val="24"/>
        </w:rPr>
        <w:t xml:space="preserve"> </w:t>
      </w:r>
      <w:r w:rsidRPr="006E472D">
        <w:rPr>
          <w:sz w:val="24"/>
          <w:szCs w:val="24"/>
        </w:rPr>
        <w:t>The</w:t>
      </w:r>
      <w:r w:rsidRPr="006E472D">
        <w:rPr>
          <w:i/>
          <w:sz w:val="24"/>
          <w:szCs w:val="24"/>
        </w:rPr>
        <w:t xml:space="preserve"> Initial</w:t>
      </w:r>
      <w:r w:rsidR="000D2776">
        <w:rPr>
          <w:sz w:val="24"/>
          <w:szCs w:val="24"/>
        </w:rPr>
        <w:t xml:space="preserve"> Application Period will last 30</w:t>
      </w:r>
      <w:r w:rsidRPr="006E472D">
        <w:rPr>
          <w:sz w:val="24"/>
          <w:szCs w:val="24"/>
        </w:rPr>
        <w:t xml:space="preserve"> calendar days. </w:t>
      </w:r>
      <w:r>
        <w:rPr>
          <w:sz w:val="24"/>
          <w:szCs w:val="24"/>
        </w:rPr>
        <w:t xml:space="preserve">The </w:t>
      </w:r>
      <w:r w:rsidRPr="006E472D">
        <w:rPr>
          <w:sz w:val="24"/>
          <w:szCs w:val="24"/>
        </w:rPr>
        <w:t>Department</w:t>
      </w:r>
      <w:r w:rsidR="003730D3">
        <w:rPr>
          <w:sz w:val="24"/>
          <w:szCs w:val="24"/>
        </w:rPr>
        <w:t xml:space="preserve"> will take an additional 3</w:t>
      </w:r>
      <w:r w:rsidR="000D2776">
        <w:rPr>
          <w:sz w:val="24"/>
          <w:szCs w:val="24"/>
        </w:rPr>
        <w:t>0</w:t>
      </w:r>
      <w:r>
        <w:rPr>
          <w:sz w:val="24"/>
          <w:szCs w:val="24"/>
        </w:rPr>
        <w:t xml:space="preserve"> days after the </w:t>
      </w:r>
      <w:r w:rsidR="005400BA">
        <w:rPr>
          <w:sz w:val="24"/>
          <w:szCs w:val="24"/>
        </w:rPr>
        <w:t>conclusion</w:t>
      </w:r>
      <w:r>
        <w:rPr>
          <w:sz w:val="24"/>
          <w:szCs w:val="24"/>
        </w:rPr>
        <w:t xml:space="preserve"> of the Initial Application Period to review applications to ensure</w:t>
      </w:r>
      <w:r w:rsidR="005400BA">
        <w:rPr>
          <w:sz w:val="24"/>
          <w:szCs w:val="24"/>
        </w:rPr>
        <w:t xml:space="preserve"> </w:t>
      </w:r>
      <w:r>
        <w:rPr>
          <w:sz w:val="24"/>
          <w:szCs w:val="24"/>
        </w:rPr>
        <w:t xml:space="preserve">eligibility. </w:t>
      </w:r>
      <w:r w:rsidRPr="006A2B11">
        <w:rPr>
          <w:sz w:val="24"/>
          <w:szCs w:val="24"/>
        </w:rPr>
        <w:t>Applications will be reviewed by</w:t>
      </w:r>
      <w:r>
        <w:rPr>
          <w:sz w:val="24"/>
          <w:szCs w:val="24"/>
        </w:rPr>
        <w:t xml:space="preserve"> HUD </w:t>
      </w:r>
      <w:r w:rsidRPr="006A2B11">
        <w:rPr>
          <w:sz w:val="24"/>
          <w:szCs w:val="24"/>
        </w:rPr>
        <w:t>staff</w:t>
      </w:r>
      <w:r>
        <w:rPr>
          <w:sz w:val="24"/>
          <w:szCs w:val="24"/>
        </w:rPr>
        <w:t xml:space="preserve"> </w:t>
      </w:r>
      <w:r w:rsidRPr="006A2B11">
        <w:rPr>
          <w:sz w:val="24"/>
          <w:szCs w:val="24"/>
        </w:rPr>
        <w:t xml:space="preserve">to evaluate threshold requirements and to </w:t>
      </w:r>
      <w:r>
        <w:rPr>
          <w:sz w:val="24"/>
          <w:szCs w:val="24"/>
        </w:rPr>
        <w:t xml:space="preserve">rate and rank applicants in accordance with ranking factors delineated in the Rental Assistance </w:t>
      </w:r>
      <w:r w:rsidR="00444AF2">
        <w:rPr>
          <w:sz w:val="24"/>
          <w:szCs w:val="24"/>
        </w:rPr>
        <w:t>Demonstration implementation n</w:t>
      </w:r>
      <w:r>
        <w:rPr>
          <w:sz w:val="24"/>
          <w:szCs w:val="24"/>
        </w:rPr>
        <w:t>ot</w:t>
      </w:r>
      <w:r w:rsidR="009C28C4">
        <w:rPr>
          <w:sz w:val="24"/>
          <w:szCs w:val="24"/>
        </w:rPr>
        <w:t xml:space="preserve">ice.  Applicants will be rated </w:t>
      </w:r>
      <w:r>
        <w:rPr>
          <w:sz w:val="24"/>
          <w:szCs w:val="24"/>
        </w:rPr>
        <w:t xml:space="preserve">first by ranking points then by date and time that the application was submitted. </w:t>
      </w:r>
      <w:r w:rsidR="008A5135">
        <w:rPr>
          <w:sz w:val="24"/>
          <w:szCs w:val="24"/>
        </w:rPr>
        <w:t xml:space="preserve"> </w:t>
      </w:r>
      <w:r>
        <w:rPr>
          <w:sz w:val="24"/>
          <w:szCs w:val="24"/>
        </w:rPr>
        <w:t xml:space="preserve">The </w:t>
      </w:r>
      <w:r w:rsidRPr="00C06F4D">
        <w:rPr>
          <w:i/>
          <w:sz w:val="24"/>
          <w:szCs w:val="24"/>
        </w:rPr>
        <w:t>Ongoing</w:t>
      </w:r>
      <w:r>
        <w:rPr>
          <w:sz w:val="24"/>
          <w:szCs w:val="24"/>
        </w:rPr>
        <w:t xml:space="preserve"> Application Period begins when the </w:t>
      </w:r>
      <w:r>
        <w:rPr>
          <w:i/>
          <w:sz w:val="24"/>
          <w:szCs w:val="24"/>
        </w:rPr>
        <w:t>Initial</w:t>
      </w:r>
      <w:r>
        <w:rPr>
          <w:sz w:val="24"/>
          <w:szCs w:val="24"/>
        </w:rPr>
        <w:t xml:space="preserve"> period closes. During this period applicants will compete on a first come</w:t>
      </w:r>
      <w:r w:rsidR="005400BA">
        <w:rPr>
          <w:sz w:val="24"/>
          <w:szCs w:val="24"/>
        </w:rPr>
        <w:t>,</w:t>
      </w:r>
      <w:r>
        <w:rPr>
          <w:sz w:val="24"/>
          <w:szCs w:val="24"/>
        </w:rPr>
        <w:t xml:space="preserve"> first serve</w:t>
      </w:r>
      <w:r w:rsidR="005400BA">
        <w:rPr>
          <w:sz w:val="24"/>
          <w:szCs w:val="24"/>
        </w:rPr>
        <w:t>d</w:t>
      </w:r>
      <w:r>
        <w:rPr>
          <w:sz w:val="24"/>
          <w:szCs w:val="24"/>
        </w:rPr>
        <w:t xml:space="preserve"> basis; rating and ranking factors will not apply.</w:t>
      </w:r>
      <w:r w:rsidR="008A5135">
        <w:rPr>
          <w:sz w:val="24"/>
          <w:szCs w:val="24"/>
        </w:rPr>
        <w:t xml:space="preserve"> </w:t>
      </w:r>
      <w:r>
        <w:rPr>
          <w:sz w:val="24"/>
          <w:szCs w:val="24"/>
        </w:rPr>
        <w:t xml:space="preserve"> All applications submitted during the Ongoing Period will be reviewed in the order in which they are received.</w:t>
      </w:r>
    </w:p>
    <w:p w:rsidR="00B03063" w:rsidRDefault="00B03063">
      <w:pPr>
        <w:rPr>
          <w:sz w:val="24"/>
          <w:szCs w:val="24"/>
        </w:rPr>
      </w:pPr>
    </w:p>
    <w:p w:rsidR="00B03063" w:rsidRDefault="00355E1D">
      <w:pPr>
        <w:pStyle w:val="ListParagraph"/>
        <w:numPr>
          <w:ilvl w:val="0"/>
          <w:numId w:val="11"/>
        </w:numPr>
        <w:spacing w:after="0" w:line="240" w:lineRule="auto"/>
        <w:rPr>
          <w:rFonts w:ascii="Times New Roman" w:hAnsi="Times New Roman" w:cs="Times New Roman"/>
          <w:sz w:val="24"/>
          <w:szCs w:val="24"/>
        </w:rPr>
      </w:pPr>
      <w:r w:rsidRPr="006A2B11">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55E1D" w:rsidRPr="006A2B11" w:rsidRDefault="00355E1D" w:rsidP="008105F1">
      <w:pPr>
        <w:pStyle w:val="ListParagraph"/>
        <w:spacing w:after="0" w:line="240" w:lineRule="auto"/>
        <w:ind w:left="0"/>
        <w:rPr>
          <w:rFonts w:ascii="Times New Roman" w:hAnsi="Times New Roman" w:cs="Times New Roman"/>
          <w:sz w:val="24"/>
          <w:szCs w:val="24"/>
        </w:rPr>
      </w:pPr>
    </w:p>
    <w:p w:rsidR="00B03063" w:rsidRDefault="008A5135">
      <w:pPr>
        <w:ind w:left="720"/>
        <w:rPr>
          <w:sz w:val="24"/>
          <w:szCs w:val="24"/>
        </w:rPr>
      </w:pPr>
      <w:r>
        <w:rPr>
          <w:sz w:val="24"/>
          <w:szCs w:val="24"/>
        </w:rPr>
        <w:lastRenderedPageBreak/>
        <w:t>To</w:t>
      </w:r>
      <w:r w:rsidR="00355E1D" w:rsidRPr="006A2B11">
        <w:rPr>
          <w:sz w:val="24"/>
          <w:szCs w:val="24"/>
        </w:rPr>
        <w:t xml:space="preserve"> minimize</w:t>
      </w:r>
      <w:r w:rsidR="00355E1D">
        <w:rPr>
          <w:sz w:val="24"/>
          <w:szCs w:val="24"/>
        </w:rPr>
        <w:t xml:space="preserve"> the</w:t>
      </w:r>
      <w:r w:rsidR="00355E1D" w:rsidRPr="006A2B11">
        <w:rPr>
          <w:sz w:val="24"/>
          <w:szCs w:val="24"/>
        </w:rPr>
        <w:t xml:space="preserve"> public reporting burden</w:t>
      </w:r>
      <w:r w:rsidR="00833F66">
        <w:rPr>
          <w:sz w:val="24"/>
          <w:szCs w:val="24"/>
        </w:rPr>
        <w:t>,</w:t>
      </w:r>
      <w:r w:rsidR="00355E1D" w:rsidRPr="006A2B11">
        <w:rPr>
          <w:sz w:val="24"/>
          <w:szCs w:val="24"/>
        </w:rPr>
        <w:t xml:space="preserve"> the RAD application form</w:t>
      </w:r>
      <w:r w:rsidR="00355E1D">
        <w:rPr>
          <w:sz w:val="24"/>
          <w:szCs w:val="24"/>
        </w:rPr>
        <w:t>s have</w:t>
      </w:r>
      <w:r w:rsidR="00355E1D" w:rsidRPr="006A2B11">
        <w:rPr>
          <w:sz w:val="24"/>
          <w:szCs w:val="24"/>
        </w:rPr>
        <w:t xml:space="preserve"> been </w:t>
      </w:r>
      <w:r w:rsidR="00355E1D">
        <w:rPr>
          <w:sz w:val="24"/>
          <w:szCs w:val="24"/>
        </w:rPr>
        <w:t xml:space="preserve">crafted </w:t>
      </w:r>
      <w:r>
        <w:rPr>
          <w:sz w:val="24"/>
          <w:szCs w:val="24"/>
        </w:rPr>
        <w:t>as</w:t>
      </w:r>
      <w:r w:rsidR="00355E1D">
        <w:rPr>
          <w:sz w:val="24"/>
          <w:szCs w:val="24"/>
        </w:rPr>
        <w:t xml:space="preserve"> </w:t>
      </w:r>
      <w:r w:rsidR="00355E1D" w:rsidRPr="006A2B11">
        <w:rPr>
          <w:sz w:val="24"/>
          <w:szCs w:val="24"/>
        </w:rPr>
        <w:t>Microsoft Excel workbook</w:t>
      </w:r>
      <w:r w:rsidR="00355E1D">
        <w:rPr>
          <w:sz w:val="24"/>
          <w:szCs w:val="24"/>
        </w:rPr>
        <w:t>s</w:t>
      </w:r>
      <w:r>
        <w:rPr>
          <w:sz w:val="24"/>
          <w:szCs w:val="24"/>
        </w:rPr>
        <w:t xml:space="preserve"> that have been pre-populated with applicant data maintained by the Department</w:t>
      </w:r>
      <w:r w:rsidR="00355E1D">
        <w:rPr>
          <w:sz w:val="24"/>
          <w:szCs w:val="24"/>
        </w:rPr>
        <w:t>. Examples of this information include the following:</w:t>
      </w:r>
    </w:p>
    <w:p w:rsidR="00B03063" w:rsidRDefault="00B03063">
      <w:pPr>
        <w:rPr>
          <w:sz w:val="24"/>
          <w:szCs w:val="24"/>
        </w:rPr>
      </w:pPr>
    </w:p>
    <w:p w:rsidR="00B03063" w:rsidRDefault="00355E1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Executive Director/Owner contact information</w:t>
      </w:r>
    </w:p>
    <w:p w:rsidR="00B03063" w:rsidRDefault="00355E1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Unit </w:t>
      </w:r>
      <w:r w:rsidR="008A5135">
        <w:rPr>
          <w:rFonts w:ascii="Times New Roman" w:hAnsi="Times New Roman" w:cs="Times New Roman"/>
          <w:sz w:val="24"/>
          <w:szCs w:val="24"/>
        </w:rPr>
        <w:t>i</w:t>
      </w:r>
      <w:r>
        <w:rPr>
          <w:rFonts w:ascii="Times New Roman" w:hAnsi="Times New Roman" w:cs="Times New Roman"/>
          <w:sz w:val="24"/>
          <w:szCs w:val="24"/>
        </w:rPr>
        <w:t xml:space="preserve">nventory </w:t>
      </w:r>
      <w:r w:rsidR="008A5135">
        <w:rPr>
          <w:rFonts w:ascii="Times New Roman" w:hAnsi="Times New Roman" w:cs="Times New Roman"/>
          <w:sz w:val="24"/>
          <w:szCs w:val="24"/>
        </w:rPr>
        <w:t>d</w:t>
      </w:r>
      <w:r>
        <w:rPr>
          <w:rFonts w:ascii="Times New Roman" w:hAnsi="Times New Roman" w:cs="Times New Roman"/>
          <w:sz w:val="24"/>
          <w:szCs w:val="24"/>
        </w:rPr>
        <w:t>istribution</w:t>
      </w:r>
    </w:p>
    <w:p w:rsidR="00A05F5D" w:rsidRPr="00A05F5D" w:rsidRDefault="00355E1D" w:rsidP="00A05F5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Historical </w:t>
      </w:r>
      <w:r w:rsidR="008A5135">
        <w:rPr>
          <w:rFonts w:ascii="Times New Roman" w:hAnsi="Times New Roman" w:cs="Times New Roman"/>
          <w:sz w:val="24"/>
          <w:szCs w:val="24"/>
        </w:rPr>
        <w:t>o</w:t>
      </w:r>
      <w:r>
        <w:rPr>
          <w:rFonts w:ascii="Times New Roman" w:hAnsi="Times New Roman" w:cs="Times New Roman"/>
          <w:sz w:val="24"/>
          <w:szCs w:val="24"/>
        </w:rPr>
        <w:t xml:space="preserve">perating </w:t>
      </w:r>
      <w:r w:rsidR="008A5135">
        <w:rPr>
          <w:rFonts w:ascii="Times New Roman" w:hAnsi="Times New Roman" w:cs="Times New Roman"/>
          <w:sz w:val="24"/>
          <w:szCs w:val="24"/>
        </w:rPr>
        <w:t>e</w:t>
      </w:r>
      <w:r>
        <w:rPr>
          <w:rFonts w:ascii="Times New Roman" w:hAnsi="Times New Roman" w:cs="Times New Roman"/>
          <w:sz w:val="24"/>
          <w:szCs w:val="24"/>
        </w:rPr>
        <w:t>xpenses</w:t>
      </w:r>
    </w:p>
    <w:p w:rsidR="00A05F5D" w:rsidRPr="00A05F5D" w:rsidRDefault="00A05F5D" w:rsidP="00A05F5D">
      <w:pPr>
        <w:rPr>
          <w:sz w:val="24"/>
          <w:szCs w:val="24"/>
        </w:rPr>
      </w:pPr>
      <w:r>
        <w:rPr>
          <w:sz w:val="24"/>
          <w:szCs w:val="24"/>
        </w:rPr>
        <w:tab/>
      </w:r>
      <w:r w:rsidRPr="00A05F5D">
        <w:rPr>
          <w:sz w:val="24"/>
          <w:szCs w:val="24"/>
        </w:rPr>
        <w:t xml:space="preserve">To minimize the burden on applicants, HUD has loaded data into a hidden and locked worksheet for </w:t>
      </w:r>
      <w:r>
        <w:rPr>
          <w:sz w:val="24"/>
          <w:szCs w:val="24"/>
        </w:rPr>
        <w:tab/>
      </w:r>
      <w:r w:rsidRPr="00A05F5D">
        <w:rPr>
          <w:sz w:val="24"/>
          <w:szCs w:val="24"/>
        </w:rPr>
        <w:t xml:space="preserve">every public housing project from already-collected and maintained data sets, including the PIH </w:t>
      </w:r>
      <w:r>
        <w:rPr>
          <w:sz w:val="24"/>
          <w:szCs w:val="24"/>
        </w:rPr>
        <w:tab/>
      </w:r>
      <w:r w:rsidRPr="00A05F5D">
        <w:rPr>
          <w:sz w:val="24"/>
          <w:szCs w:val="24"/>
        </w:rPr>
        <w:t xml:space="preserve">Information Center (PIC), Operating Subsidy, Capital Subsidy, and Public Housing Financial </w:t>
      </w:r>
      <w:r>
        <w:rPr>
          <w:sz w:val="24"/>
          <w:szCs w:val="24"/>
        </w:rPr>
        <w:tab/>
      </w:r>
      <w:r w:rsidRPr="00A05F5D">
        <w:rPr>
          <w:sz w:val="24"/>
          <w:szCs w:val="24"/>
        </w:rPr>
        <w:t xml:space="preserve">Assessment Sub-System (FASS-PH). When users enter the Development Number in cell A8 of the </w:t>
      </w:r>
      <w:r>
        <w:rPr>
          <w:sz w:val="24"/>
          <w:szCs w:val="24"/>
        </w:rPr>
        <w:tab/>
      </w:r>
      <w:r w:rsidRPr="00A05F5D">
        <w:rPr>
          <w:sz w:val="24"/>
          <w:szCs w:val="24"/>
        </w:rPr>
        <w:t xml:space="preserve">“PHA App Form,” the “Validation” worksheet pulls data specific to that project from the hidden and </w:t>
      </w:r>
      <w:r>
        <w:rPr>
          <w:sz w:val="24"/>
          <w:szCs w:val="24"/>
        </w:rPr>
        <w:tab/>
      </w:r>
      <w:r w:rsidRPr="00A05F5D">
        <w:rPr>
          <w:sz w:val="24"/>
          <w:szCs w:val="24"/>
        </w:rPr>
        <w:t xml:space="preserve">locked data worksheet.  In turn, certain entries on the “PHA App Form” auto-populate (specifically the </w:t>
      </w:r>
      <w:r>
        <w:rPr>
          <w:sz w:val="24"/>
          <w:szCs w:val="24"/>
        </w:rPr>
        <w:tab/>
      </w:r>
      <w:r w:rsidRPr="00A05F5D">
        <w:rPr>
          <w:sz w:val="24"/>
          <w:szCs w:val="24"/>
        </w:rPr>
        <w:t xml:space="preserve">lines that do not have grey shading) by referencing the Validation worksheet. </w:t>
      </w:r>
    </w:p>
    <w:p w:rsidR="00A05F5D" w:rsidRPr="00A05F5D" w:rsidRDefault="00A05F5D" w:rsidP="00A05F5D">
      <w:pPr>
        <w:rPr>
          <w:sz w:val="24"/>
          <w:szCs w:val="24"/>
        </w:rPr>
      </w:pPr>
    </w:p>
    <w:p w:rsidR="00B03063" w:rsidRDefault="00355E1D">
      <w:pPr>
        <w:rPr>
          <w:sz w:val="24"/>
          <w:szCs w:val="24"/>
        </w:rPr>
      </w:pPr>
      <w:r>
        <w:rPr>
          <w:sz w:val="24"/>
          <w:szCs w:val="24"/>
        </w:rPr>
        <w:tab/>
        <w:t xml:space="preserve">Additionally, the applications are programmed to conduct mathematical computations as needed. </w:t>
      </w:r>
      <w:r w:rsidRPr="006A2B11">
        <w:rPr>
          <w:sz w:val="24"/>
          <w:szCs w:val="24"/>
        </w:rPr>
        <w:t xml:space="preserve"> </w:t>
      </w:r>
      <w:r>
        <w:rPr>
          <w:sz w:val="24"/>
          <w:szCs w:val="24"/>
        </w:rPr>
        <w:tab/>
        <w:t xml:space="preserve">Lastly, once </w:t>
      </w:r>
      <w:r w:rsidRPr="006A2B11">
        <w:rPr>
          <w:sz w:val="24"/>
          <w:szCs w:val="24"/>
        </w:rPr>
        <w:t>completed, the application</w:t>
      </w:r>
      <w:r>
        <w:rPr>
          <w:sz w:val="24"/>
          <w:szCs w:val="24"/>
        </w:rPr>
        <w:t>s automatically feed</w:t>
      </w:r>
      <w:r w:rsidRPr="006A2B11">
        <w:rPr>
          <w:sz w:val="24"/>
          <w:szCs w:val="24"/>
        </w:rPr>
        <w:t xml:space="preserve"> relevant information to additional </w:t>
      </w:r>
      <w:r>
        <w:rPr>
          <w:sz w:val="24"/>
          <w:szCs w:val="24"/>
        </w:rPr>
        <w:tab/>
      </w:r>
      <w:r w:rsidRPr="006A2B11">
        <w:rPr>
          <w:sz w:val="24"/>
          <w:szCs w:val="24"/>
        </w:rPr>
        <w:t>required forms</w:t>
      </w:r>
      <w:r>
        <w:rPr>
          <w:sz w:val="24"/>
          <w:szCs w:val="24"/>
        </w:rPr>
        <w:t xml:space="preserve"> (where applicable); these forms include: </w:t>
      </w:r>
    </w:p>
    <w:p w:rsidR="00B03063" w:rsidRDefault="00B03063">
      <w:pPr>
        <w:rPr>
          <w:sz w:val="24"/>
          <w:szCs w:val="24"/>
        </w:rPr>
      </w:pPr>
    </w:p>
    <w:p w:rsidR="00B03063" w:rsidRDefault="00355E1D">
      <w:pPr>
        <w:pStyle w:val="ListParagraph"/>
        <w:numPr>
          <w:ilvl w:val="0"/>
          <w:numId w:val="12"/>
        </w:numPr>
        <w:rPr>
          <w:rFonts w:ascii="Times New Roman" w:hAnsi="Times New Roman" w:cs="Times New Roman"/>
          <w:sz w:val="24"/>
          <w:szCs w:val="24"/>
        </w:rPr>
      </w:pPr>
      <w:r w:rsidRPr="00635198">
        <w:rPr>
          <w:rFonts w:ascii="Times New Roman" w:hAnsi="Times New Roman" w:cs="Times New Roman"/>
          <w:sz w:val="24"/>
          <w:szCs w:val="24"/>
        </w:rPr>
        <w:t xml:space="preserve">Board Approval Form </w:t>
      </w:r>
    </w:p>
    <w:p w:rsidR="00B03063" w:rsidRDefault="00355E1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Financing Letter of Intent</w:t>
      </w:r>
    </w:p>
    <w:p w:rsidR="00B03063" w:rsidRDefault="00355E1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Mixed Income Affidavit</w:t>
      </w:r>
    </w:p>
    <w:p w:rsidR="00B03063" w:rsidRDefault="00355E1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Choice Mobility Letter of Agreement</w:t>
      </w:r>
    </w:p>
    <w:p w:rsidR="00B03063" w:rsidRDefault="00355E1D">
      <w:pPr>
        <w:rPr>
          <w:sz w:val="24"/>
          <w:szCs w:val="24"/>
        </w:rPr>
      </w:pPr>
      <w:r>
        <w:rPr>
          <w:sz w:val="24"/>
          <w:szCs w:val="24"/>
        </w:rPr>
        <w:tab/>
      </w:r>
      <w:r w:rsidRPr="006A2B11">
        <w:rPr>
          <w:sz w:val="24"/>
          <w:szCs w:val="24"/>
        </w:rPr>
        <w:t xml:space="preserve"> The application</w:t>
      </w:r>
      <w:r>
        <w:rPr>
          <w:sz w:val="24"/>
          <w:szCs w:val="24"/>
        </w:rPr>
        <w:t>s</w:t>
      </w:r>
      <w:r w:rsidRPr="006A2B11">
        <w:rPr>
          <w:sz w:val="24"/>
          <w:szCs w:val="24"/>
        </w:rPr>
        <w:t xml:space="preserve"> can be accessed and submitted through the RAD website.  </w:t>
      </w:r>
    </w:p>
    <w:p w:rsidR="00B03063" w:rsidRDefault="00B03063">
      <w:pPr>
        <w:rPr>
          <w:sz w:val="24"/>
          <w:szCs w:val="24"/>
        </w:rPr>
      </w:pPr>
    </w:p>
    <w:p w:rsidR="00B03063" w:rsidRDefault="00355E1D">
      <w:pPr>
        <w:pStyle w:val="ListParagraph"/>
        <w:numPr>
          <w:ilvl w:val="0"/>
          <w:numId w:val="11"/>
        </w:numPr>
        <w:rPr>
          <w:rFonts w:ascii="Times New Roman" w:hAnsi="Times New Roman" w:cs="Times New Roman"/>
          <w:sz w:val="24"/>
          <w:szCs w:val="24"/>
        </w:rPr>
      </w:pPr>
      <w:r w:rsidRPr="00C94FA4">
        <w:rPr>
          <w:rFonts w:ascii="Times New Roman" w:hAnsi="Times New Roman" w:cs="Times New Roman"/>
          <w:b/>
          <w:sz w:val="24"/>
          <w:szCs w:val="24"/>
        </w:rPr>
        <w:t xml:space="preserve">Describe efforts to identify duplication.  Show specifically why any similar information already available cannot be used or modified for use for the purposes described in Item 2 above. </w:t>
      </w:r>
    </w:p>
    <w:p w:rsidR="00B03063" w:rsidRDefault="00355E1D">
      <w:pPr>
        <w:pStyle w:val="ListParagraph"/>
        <w:ind w:left="0"/>
        <w:rPr>
          <w:rFonts w:ascii="Times New Roman" w:hAnsi="Times New Roman" w:cs="Times New Roman"/>
          <w:sz w:val="24"/>
          <w:szCs w:val="24"/>
        </w:rPr>
      </w:pPr>
      <w:r>
        <w:rPr>
          <w:rFonts w:ascii="Times New Roman" w:hAnsi="Times New Roman" w:cs="Times New Roman"/>
          <w:sz w:val="24"/>
          <w:szCs w:val="24"/>
        </w:rPr>
        <w:tab/>
      </w:r>
    </w:p>
    <w:p w:rsidR="00B03063" w:rsidRDefault="008A5135">
      <w:pPr>
        <w:pStyle w:val="ListParagraph"/>
        <w:rPr>
          <w:rFonts w:ascii="Times New Roman" w:hAnsi="Times New Roman" w:cs="Times New Roman"/>
          <w:sz w:val="24"/>
          <w:szCs w:val="24"/>
        </w:rPr>
      </w:pPr>
      <w:r>
        <w:rPr>
          <w:rFonts w:ascii="Times New Roman" w:hAnsi="Times New Roman" w:cs="Times New Roman"/>
          <w:sz w:val="24"/>
          <w:szCs w:val="24"/>
        </w:rPr>
        <w:t>HUD’s</w:t>
      </w:r>
      <w:r w:rsidR="00355E1D" w:rsidRPr="006A2B11">
        <w:rPr>
          <w:rFonts w:ascii="Times New Roman" w:hAnsi="Times New Roman" w:cs="Times New Roman"/>
          <w:sz w:val="24"/>
          <w:szCs w:val="24"/>
        </w:rPr>
        <w:t xml:space="preserve"> Office of Public and Indian Housing</w:t>
      </w:r>
      <w:r w:rsidR="00947522">
        <w:rPr>
          <w:rFonts w:ascii="Times New Roman" w:hAnsi="Times New Roman" w:cs="Times New Roman"/>
          <w:sz w:val="24"/>
          <w:szCs w:val="24"/>
        </w:rPr>
        <w:t xml:space="preserve"> </w:t>
      </w:r>
      <w:r w:rsidR="00355E1D" w:rsidRPr="006A2B11">
        <w:rPr>
          <w:rFonts w:ascii="Times New Roman" w:hAnsi="Times New Roman" w:cs="Times New Roman"/>
          <w:sz w:val="24"/>
          <w:szCs w:val="24"/>
        </w:rPr>
        <w:t xml:space="preserve">provides funding to Public Housing Agencies (PHAs) to administer assisted housing programs. The Department </w:t>
      </w:r>
      <w:r w:rsidR="00355E1D">
        <w:rPr>
          <w:rFonts w:ascii="Times New Roman" w:hAnsi="Times New Roman" w:cs="Times New Roman"/>
          <w:sz w:val="24"/>
          <w:szCs w:val="24"/>
        </w:rPr>
        <w:t xml:space="preserve">collects and </w:t>
      </w:r>
      <w:r w:rsidR="00355E1D" w:rsidRPr="006A2B11">
        <w:rPr>
          <w:rFonts w:ascii="Times New Roman" w:hAnsi="Times New Roman" w:cs="Times New Roman"/>
          <w:sz w:val="24"/>
          <w:szCs w:val="24"/>
        </w:rPr>
        <w:t>maintain</w:t>
      </w:r>
      <w:r w:rsidR="00355E1D">
        <w:rPr>
          <w:rFonts w:ascii="Times New Roman" w:hAnsi="Times New Roman" w:cs="Times New Roman"/>
          <w:sz w:val="24"/>
          <w:szCs w:val="24"/>
        </w:rPr>
        <w:t xml:space="preserve">s information for each PHA which </w:t>
      </w:r>
      <w:r w:rsidR="00355E1D" w:rsidRPr="006A2B11">
        <w:rPr>
          <w:rFonts w:ascii="Times New Roman" w:hAnsi="Times New Roman" w:cs="Times New Roman"/>
          <w:sz w:val="24"/>
          <w:szCs w:val="24"/>
        </w:rPr>
        <w:t>allows HUD to mo</w:t>
      </w:r>
      <w:r w:rsidR="00355E1D">
        <w:rPr>
          <w:rFonts w:ascii="Times New Roman" w:hAnsi="Times New Roman" w:cs="Times New Roman"/>
          <w:sz w:val="24"/>
          <w:szCs w:val="24"/>
        </w:rPr>
        <w:t xml:space="preserve">nitor and evaluate </w:t>
      </w:r>
      <w:r w:rsidR="00355E1D" w:rsidRPr="006A2B11">
        <w:rPr>
          <w:rFonts w:ascii="Times New Roman" w:hAnsi="Times New Roman" w:cs="Times New Roman"/>
          <w:sz w:val="24"/>
          <w:szCs w:val="24"/>
        </w:rPr>
        <w:t>compliance with program reg</w:t>
      </w:r>
      <w:r w:rsidR="00355E1D">
        <w:rPr>
          <w:rFonts w:ascii="Times New Roman" w:hAnsi="Times New Roman" w:cs="Times New Roman"/>
          <w:sz w:val="24"/>
          <w:szCs w:val="24"/>
        </w:rPr>
        <w:t xml:space="preserve">ulations and requirements. This </w:t>
      </w:r>
      <w:r w:rsidR="00355E1D" w:rsidRPr="006A2B11">
        <w:rPr>
          <w:rFonts w:ascii="Times New Roman" w:hAnsi="Times New Roman" w:cs="Times New Roman"/>
          <w:sz w:val="24"/>
          <w:szCs w:val="24"/>
        </w:rPr>
        <w:t xml:space="preserve">information includes tenant </w:t>
      </w:r>
      <w:r w:rsidR="00947522">
        <w:rPr>
          <w:rFonts w:ascii="Times New Roman" w:hAnsi="Times New Roman" w:cs="Times New Roman"/>
          <w:sz w:val="24"/>
          <w:szCs w:val="24"/>
        </w:rPr>
        <w:t>characteristics</w:t>
      </w:r>
      <w:r w:rsidR="00355E1D" w:rsidRPr="006A2B11">
        <w:rPr>
          <w:rFonts w:ascii="Times New Roman" w:hAnsi="Times New Roman" w:cs="Times New Roman"/>
          <w:sz w:val="24"/>
          <w:szCs w:val="24"/>
        </w:rPr>
        <w:t xml:space="preserve">, building and unit information, </w:t>
      </w:r>
      <w:r w:rsidR="00947522">
        <w:rPr>
          <w:rFonts w:ascii="Times New Roman" w:hAnsi="Times New Roman" w:cs="Times New Roman"/>
          <w:sz w:val="24"/>
          <w:szCs w:val="24"/>
        </w:rPr>
        <w:t xml:space="preserve">and data on </w:t>
      </w:r>
      <w:r w:rsidR="00355E1D" w:rsidRPr="006A2B11">
        <w:rPr>
          <w:rFonts w:ascii="Times New Roman" w:hAnsi="Times New Roman" w:cs="Times New Roman"/>
          <w:sz w:val="24"/>
          <w:szCs w:val="24"/>
        </w:rPr>
        <w:t>operating and capital funding and expenditures.</w:t>
      </w:r>
      <w:r w:rsidR="00947522">
        <w:rPr>
          <w:rFonts w:ascii="Times New Roman" w:hAnsi="Times New Roman" w:cs="Times New Roman"/>
          <w:sz w:val="24"/>
          <w:szCs w:val="24"/>
        </w:rPr>
        <w:t xml:space="preserve"> </w:t>
      </w:r>
      <w:r w:rsidR="00355E1D" w:rsidRPr="006A2B11">
        <w:rPr>
          <w:rFonts w:ascii="Times New Roman" w:hAnsi="Times New Roman" w:cs="Times New Roman"/>
          <w:sz w:val="24"/>
          <w:szCs w:val="24"/>
        </w:rPr>
        <w:t xml:space="preserve"> The RAD application</w:t>
      </w:r>
      <w:r w:rsidR="00355E1D">
        <w:rPr>
          <w:rFonts w:ascii="Times New Roman" w:hAnsi="Times New Roman" w:cs="Times New Roman"/>
          <w:sz w:val="24"/>
          <w:szCs w:val="24"/>
        </w:rPr>
        <w:t>s utilize this information and do</w:t>
      </w:r>
      <w:r w:rsidR="00355E1D" w:rsidRPr="006A2B11">
        <w:rPr>
          <w:rFonts w:ascii="Times New Roman" w:hAnsi="Times New Roman" w:cs="Times New Roman"/>
          <w:sz w:val="24"/>
          <w:szCs w:val="24"/>
        </w:rPr>
        <w:t xml:space="preserve"> not s</w:t>
      </w:r>
      <w:r w:rsidR="00355E1D">
        <w:rPr>
          <w:rFonts w:ascii="Times New Roman" w:hAnsi="Times New Roman" w:cs="Times New Roman"/>
          <w:sz w:val="24"/>
          <w:szCs w:val="24"/>
        </w:rPr>
        <w:t xml:space="preserve">olicit any information that the </w:t>
      </w:r>
      <w:r w:rsidR="00355E1D" w:rsidRPr="006A2B11">
        <w:rPr>
          <w:rFonts w:ascii="Times New Roman" w:hAnsi="Times New Roman" w:cs="Times New Roman"/>
          <w:sz w:val="24"/>
          <w:szCs w:val="24"/>
        </w:rPr>
        <w:t xml:space="preserve">Department has already collected.                                                    </w:t>
      </w:r>
    </w:p>
    <w:p w:rsidR="00B03063" w:rsidRDefault="00355E1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p>
    <w:p w:rsidR="00B03063" w:rsidRDefault="00355E1D">
      <w:pPr>
        <w:pStyle w:val="ListParagraph"/>
        <w:numPr>
          <w:ilvl w:val="0"/>
          <w:numId w:val="11"/>
        </w:numPr>
        <w:rPr>
          <w:rFonts w:ascii="Times New Roman" w:hAnsi="Times New Roman" w:cs="Times New Roman"/>
          <w:sz w:val="24"/>
          <w:szCs w:val="24"/>
        </w:rPr>
      </w:pPr>
      <w:r w:rsidRPr="006A2B11">
        <w:rPr>
          <w:rFonts w:ascii="Times New Roman" w:hAnsi="Times New Roman" w:cs="Times New Roman"/>
          <w:b/>
          <w:sz w:val="24"/>
          <w:szCs w:val="24"/>
        </w:rPr>
        <w:t>If the collection of information impacts small businesses or other small entities (Item 5 of OMB Form 83-I), describe any methods used to minimize burden.</w:t>
      </w:r>
    </w:p>
    <w:p w:rsidR="00B03063" w:rsidRDefault="00B03063">
      <w:pPr>
        <w:pStyle w:val="ListParagraph"/>
        <w:spacing w:after="0" w:line="240" w:lineRule="auto"/>
        <w:ind w:left="0"/>
        <w:rPr>
          <w:rFonts w:ascii="Times New Roman" w:hAnsi="Times New Roman" w:cs="Times New Roman"/>
          <w:b/>
          <w:sz w:val="24"/>
          <w:szCs w:val="24"/>
        </w:rPr>
      </w:pPr>
    </w:p>
    <w:p w:rsidR="00B03063" w:rsidRDefault="00355E1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Pr="006A2B11">
        <w:rPr>
          <w:rFonts w:ascii="Times New Roman" w:hAnsi="Times New Roman" w:cs="Times New Roman"/>
          <w:sz w:val="24"/>
          <w:szCs w:val="24"/>
        </w:rPr>
        <w:t>This information collection has no impact on small businesses or other small entities.</w:t>
      </w:r>
    </w:p>
    <w:p w:rsidR="00B03063" w:rsidRDefault="00B03063">
      <w:pPr>
        <w:pStyle w:val="ListParagraph"/>
        <w:autoSpaceDE w:val="0"/>
        <w:autoSpaceDN w:val="0"/>
        <w:adjustRightInd w:val="0"/>
        <w:spacing w:after="0" w:line="240" w:lineRule="auto"/>
        <w:ind w:left="0"/>
        <w:rPr>
          <w:rFonts w:ascii="Times New Roman" w:hAnsi="Times New Roman" w:cs="Times New Roman"/>
          <w:b/>
          <w:sz w:val="24"/>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6A2B11">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B03063" w:rsidRDefault="00B03063">
      <w:pPr>
        <w:pStyle w:val="ListParagraph"/>
        <w:autoSpaceDE w:val="0"/>
        <w:autoSpaceDN w:val="0"/>
        <w:adjustRightInd w:val="0"/>
        <w:spacing w:after="0" w:line="240" w:lineRule="auto"/>
        <w:ind w:left="0"/>
        <w:rPr>
          <w:rFonts w:ascii="Times New Roman" w:hAnsi="Times New Roman" w:cs="Times New Roman"/>
          <w:sz w:val="24"/>
          <w:szCs w:val="24"/>
        </w:rPr>
      </w:pPr>
    </w:p>
    <w:p w:rsidR="00B03063" w:rsidRDefault="00355E1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Pr="006A2B11">
        <w:rPr>
          <w:rFonts w:ascii="Times New Roman" w:hAnsi="Times New Roman" w:cs="Times New Roman"/>
          <w:sz w:val="24"/>
          <w:szCs w:val="24"/>
        </w:rPr>
        <w:t>Public Housing Authorities</w:t>
      </w:r>
      <w:r>
        <w:rPr>
          <w:rFonts w:ascii="Times New Roman" w:hAnsi="Times New Roman" w:cs="Times New Roman"/>
          <w:sz w:val="24"/>
          <w:szCs w:val="24"/>
        </w:rPr>
        <w:t xml:space="preserve"> and project owners</w:t>
      </w:r>
      <w:r w:rsidRPr="006A2B11">
        <w:rPr>
          <w:rFonts w:ascii="Times New Roman" w:hAnsi="Times New Roman" w:cs="Times New Roman"/>
          <w:sz w:val="24"/>
          <w:szCs w:val="24"/>
        </w:rPr>
        <w:t xml:space="preserve"> interested in participating in the Demonstration are </w:t>
      </w:r>
      <w:r>
        <w:rPr>
          <w:rFonts w:ascii="Times New Roman" w:hAnsi="Times New Roman" w:cs="Times New Roman"/>
          <w:sz w:val="24"/>
          <w:szCs w:val="24"/>
        </w:rPr>
        <w:tab/>
      </w:r>
      <w:r w:rsidRPr="006A2B11">
        <w:rPr>
          <w:rFonts w:ascii="Times New Roman" w:hAnsi="Times New Roman" w:cs="Times New Roman"/>
          <w:sz w:val="24"/>
          <w:szCs w:val="24"/>
        </w:rPr>
        <w:t xml:space="preserve">required </w:t>
      </w:r>
      <w:r>
        <w:rPr>
          <w:rFonts w:ascii="Times New Roman" w:hAnsi="Times New Roman" w:cs="Times New Roman"/>
          <w:sz w:val="24"/>
          <w:szCs w:val="24"/>
        </w:rPr>
        <w:t xml:space="preserve">to submit </w:t>
      </w:r>
      <w:r w:rsidRPr="006A2B11">
        <w:rPr>
          <w:rFonts w:ascii="Times New Roman" w:hAnsi="Times New Roman" w:cs="Times New Roman"/>
          <w:sz w:val="24"/>
          <w:szCs w:val="24"/>
        </w:rPr>
        <w:t xml:space="preserve">applications to HUD. Failure to collect this information would impede upon the </w:t>
      </w:r>
      <w:r>
        <w:rPr>
          <w:rFonts w:ascii="Times New Roman" w:hAnsi="Times New Roman" w:cs="Times New Roman"/>
          <w:sz w:val="24"/>
          <w:szCs w:val="24"/>
        </w:rPr>
        <w:tab/>
      </w:r>
      <w:r w:rsidRPr="006A2B11">
        <w:rPr>
          <w:rFonts w:ascii="Times New Roman" w:hAnsi="Times New Roman" w:cs="Times New Roman"/>
          <w:sz w:val="24"/>
          <w:szCs w:val="24"/>
        </w:rPr>
        <w:t>Department’s ability to determine eligibility for participation in RAD.</w:t>
      </w:r>
    </w:p>
    <w:p w:rsidR="00B03063" w:rsidRDefault="00B03063">
      <w:pPr>
        <w:pStyle w:val="ListParagraph"/>
        <w:autoSpaceDE w:val="0"/>
        <w:autoSpaceDN w:val="0"/>
        <w:adjustRightInd w:val="0"/>
        <w:spacing w:after="0" w:line="240" w:lineRule="auto"/>
        <w:ind w:left="0"/>
        <w:rPr>
          <w:rFonts w:ascii="Times New Roman" w:hAnsi="Times New Roman" w:cs="Times New Roman"/>
          <w:sz w:val="24"/>
          <w:szCs w:val="24"/>
        </w:rPr>
      </w:pPr>
    </w:p>
    <w:p w:rsidR="00B03063" w:rsidRDefault="00B03063">
      <w:pPr>
        <w:pStyle w:val="ListParagraph"/>
        <w:autoSpaceDE w:val="0"/>
        <w:autoSpaceDN w:val="0"/>
        <w:adjustRightInd w:val="0"/>
        <w:spacing w:after="0" w:line="240" w:lineRule="auto"/>
        <w:ind w:left="0"/>
        <w:rPr>
          <w:rFonts w:ascii="Times New Roman" w:hAnsi="Times New Roman" w:cs="Times New Roman"/>
          <w:sz w:val="24"/>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6A2B11">
        <w:rPr>
          <w:rFonts w:ascii="Times New Roman" w:hAnsi="Times New Roman" w:cs="Times New Roman"/>
          <w:b/>
          <w:sz w:val="24"/>
          <w:szCs w:val="24"/>
        </w:rPr>
        <w:t>Explain any special circumstances that would cause an information collection to be conducted in a manner:</w:t>
      </w:r>
    </w:p>
    <w:p w:rsidR="00B03063" w:rsidRDefault="00B03063">
      <w:pPr>
        <w:rPr>
          <w:b/>
          <w:sz w:val="24"/>
          <w:szCs w:val="24"/>
        </w:rPr>
      </w:pPr>
    </w:p>
    <w:p w:rsidR="00B03063" w:rsidRDefault="00355E1D">
      <w:pPr>
        <w:rPr>
          <w:b/>
          <w:sz w:val="24"/>
          <w:szCs w:val="24"/>
        </w:rPr>
      </w:pPr>
      <w:r>
        <w:rPr>
          <w:b/>
          <w:sz w:val="24"/>
          <w:szCs w:val="24"/>
        </w:rPr>
        <w:tab/>
      </w:r>
      <w:r w:rsidRPr="006A2B11">
        <w:rPr>
          <w:b/>
          <w:sz w:val="24"/>
          <w:szCs w:val="24"/>
        </w:rPr>
        <w:t>* Requiring respondents to report information to the agency more often than quarterly;</w:t>
      </w:r>
    </w:p>
    <w:p w:rsidR="00355E1D" w:rsidRPr="006A2B11" w:rsidRDefault="00355E1D" w:rsidP="008105F1">
      <w:pPr>
        <w:rPr>
          <w:sz w:val="24"/>
          <w:szCs w:val="24"/>
        </w:rPr>
      </w:pPr>
    </w:p>
    <w:p w:rsidR="00B03063" w:rsidRDefault="00355E1D">
      <w:pPr>
        <w:rPr>
          <w:sz w:val="24"/>
          <w:szCs w:val="24"/>
        </w:rPr>
      </w:pPr>
      <w:r>
        <w:rPr>
          <w:sz w:val="24"/>
          <w:szCs w:val="24"/>
        </w:rPr>
        <w:tab/>
      </w:r>
      <w:r w:rsidRPr="006A2B11">
        <w:rPr>
          <w:sz w:val="24"/>
          <w:szCs w:val="24"/>
        </w:rPr>
        <w:t xml:space="preserve">None </w:t>
      </w:r>
    </w:p>
    <w:p w:rsidR="00B03063" w:rsidRDefault="00B03063">
      <w:pPr>
        <w:rPr>
          <w:sz w:val="24"/>
          <w:szCs w:val="24"/>
        </w:rPr>
      </w:pPr>
    </w:p>
    <w:p w:rsidR="00B03063" w:rsidRDefault="00355E1D">
      <w:pPr>
        <w:rPr>
          <w:b/>
          <w:sz w:val="24"/>
          <w:szCs w:val="24"/>
        </w:rPr>
      </w:pPr>
      <w:r>
        <w:rPr>
          <w:b/>
          <w:sz w:val="24"/>
          <w:szCs w:val="24"/>
        </w:rPr>
        <w:tab/>
      </w:r>
      <w:r w:rsidRPr="006A2B11">
        <w:rPr>
          <w:b/>
          <w:sz w:val="24"/>
          <w:szCs w:val="24"/>
        </w:rPr>
        <w:t xml:space="preserve">* Requiring respondents to prepare a written response to a collection of information in fewer than </w:t>
      </w:r>
      <w:r>
        <w:rPr>
          <w:b/>
          <w:sz w:val="24"/>
          <w:szCs w:val="24"/>
        </w:rPr>
        <w:tab/>
      </w:r>
      <w:r w:rsidRPr="006A2B11">
        <w:rPr>
          <w:b/>
          <w:sz w:val="24"/>
          <w:szCs w:val="24"/>
        </w:rPr>
        <w:t>30 days after receipt of it;</w:t>
      </w:r>
    </w:p>
    <w:p w:rsidR="00B03063" w:rsidRDefault="00B03063">
      <w:pPr>
        <w:rPr>
          <w:sz w:val="24"/>
          <w:szCs w:val="24"/>
        </w:rPr>
      </w:pPr>
    </w:p>
    <w:p w:rsidR="00B03063" w:rsidRDefault="00355E1D">
      <w:pPr>
        <w:rPr>
          <w:sz w:val="24"/>
          <w:szCs w:val="24"/>
        </w:rPr>
      </w:pPr>
      <w:r>
        <w:rPr>
          <w:sz w:val="24"/>
          <w:szCs w:val="24"/>
        </w:rPr>
        <w:tab/>
      </w:r>
      <w:r w:rsidRPr="006A2B11">
        <w:rPr>
          <w:sz w:val="24"/>
          <w:szCs w:val="24"/>
        </w:rPr>
        <w:t>None</w:t>
      </w:r>
    </w:p>
    <w:p w:rsidR="00B03063" w:rsidRDefault="00355E1D">
      <w:pPr>
        <w:rPr>
          <w:b/>
          <w:sz w:val="24"/>
          <w:szCs w:val="24"/>
        </w:rPr>
      </w:pPr>
      <w:r w:rsidRPr="006A2B11">
        <w:rPr>
          <w:b/>
          <w:sz w:val="24"/>
          <w:szCs w:val="24"/>
        </w:rPr>
        <w:tab/>
      </w:r>
    </w:p>
    <w:p w:rsidR="00B03063" w:rsidRDefault="00355E1D">
      <w:pPr>
        <w:rPr>
          <w:b/>
          <w:sz w:val="24"/>
          <w:szCs w:val="24"/>
        </w:rPr>
      </w:pPr>
      <w:r>
        <w:rPr>
          <w:b/>
          <w:sz w:val="24"/>
          <w:szCs w:val="24"/>
        </w:rPr>
        <w:tab/>
      </w:r>
      <w:r w:rsidRPr="006A2B11">
        <w:rPr>
          <w:b/>
          <w:sz w:val="24"/>
          <w:szCs w:val="24"/>
        </w:rPr>
        <w:t>* Requiring respondents to submit more than an original and two copies of any document;</w:t>
      </w:r>
    </w:p>
    <w:p w:rsidR="00B03063" w:rsidRDefault="00B03063">
      <w:pPr>
        <w:rPr>
          <w:b/>
          <w:sz w:val="24"/>
          <w:szCs w:val="24"/>
        </w:rPr>
      </w:pPr>
    </w:p>
    <w:p w:rsidR="00B03063" w:rsidRDefault="00355E1D">
      <w:pPr>
        <w:rPr>
          <w:b/>
          <w:sz w:val="24"/>
          <w:szCs w:val="24"/>
        </w:rPr>
      </w:pPr>
      <w:r>
        <w:rPr>
          <w:sz w:val="24"/>
          <w:szCs w:val="24"/>
        </w:rPr>
        <w:tab/>
      </w:r>
      <w:r w:rsidRPr="006A2B11">
        <w:rPr>
          <w:sz w:val="24"/>
          <w:szCs w:val="24"/>
        </w:rPr>
        <w:t>None</w:t>
      </w:r>
      <w:r w:rsidRPr="006A2B11">
        <w:rPr>
          <w:b/>
          <w:sz w:val="24"/>
          <w:szCs w:val="24"/>
        </w:rPr>
        <w:tab/>
      </w:r>
    </w:p>
    <w:p w:rsidR="00B03063" w:rsidRDefault="00B03063">
      <w:pPr>
        <w:rPr>
          <w:b/>
          <w:sz w:val="24"/>
          <w:szCs w:val="24"/>
        </w:rPr>
      </w:pPr>
    </w:p>
    <w:p w:rsidR="00B03063" w:rsidRDefault="00355E1D">
      <w:pPr>
        <w:rPr>
          <w:b/>
          <w:sz w:val="24"/>
          <w:szCs w:val="24"/>
        </w:rPr>
      </w:pPr>
      <w:r>
        <w:rPr>
          <w:b/>
          <w:sz w:val="24"/>
          <w:szCs w:val="24"/>
        </w:rPr>
        <w:tab/>
      </w:r>
      <w:r w:rsidRPr="006A2B11">
        <w:rPr>
          <w:b/>
          <w:sz w:val="24"/>
          <w:szCs w:val="24"/>
        </w:rPr>
        <w:t xml:space="preserve">* Requiring respondents to retain records, other than health, medical, government contract, </w:t>
      </w:r>
      <w:r>
        <w:rPr>
          <w:b/>
          <w:sz w:val="24"/>
          <w:szCs w:val="24"/>
        </w:rPr>
        <w:tab/>
      </w:r>
      <w:r w:rsidRPr="006A2B11">
        <w:rPr>
          <w:b/>
          <w:sz w:val="24"/>
          <w:szCs w:val="24"/>
        </w:rPr>
        <w:t>grant-in-aid, or tax records, for more than three years;</w:t>
      </w:r>
    </w:p>
    <w:p w:rsidR="00B03063" w:rsidRDefault="00B03063">
      <w:pPr>
        <w:rPr>
          <w:b/>
          <w:sz w:val="24"/>
          <w:szCs w:val="24"/>
        </w:rPr>
      </w:pPr>
    </w:p>
    <w:p w:rsidR="00B03063" w:rsidRDefault="00355E1D">
      <w:pPr>
        <w:rPr>
          <w:sz w:val="24"/>
          <w:szCs w:val="24"/>
        </w:rPr>
      </w:pPr>
      <w:r>
        <w:rPr>
          <w:sz w:val="24"/>
          <w:szCs w:val="24"/>
        </w:rPr>
        <w:tab/>
      </w:r>
      <w:r w:rsidRPr="006A2B11">
        <w:rPr>
          <w:sz w:val="24"/>
          <w:szCs w:val="24"/>
        </w:rPr>
        <w:t>None</w:t>
      </w:r>
    </w:p>
    <w:p w:rsidR="00B03063" w:rsidRDefault="00B03063">
      <w:pPr>
        <w:rPr>
          <w:b/>
          <w:sz w:val="24"/>
          <w:szCs w:val="24"/>
        </w:rPr>
      </w:pPr>
    </w:p>
    <w:p w:rsidR="00B03063" w:rsidRDefault="00355E1D">
      <w:pPr>
        <w:rPr>
          <w:b/>
          <w:sz w:val="24"/>
          <w:szCs w:val="24"/>
        </w:rPr>
      </w:pPr>
      <w:r>
        <w:rPr>
          <w:b/>
          <w:sz w:val="24"/>
          <w:szCs w:val="24"/>
        </w:rPr>
        <w:tab/>
      </w:r>
      <w:r w:rsidRPr="006A2B11">
        <w:rPr>
          <w:b/>
          <w:sz w:val="24"/>
          <w:szCs w:val="24"/>
        </w:rPr>
        <w:t xml:space="preserve">* In connection with a statistical survey, that is not designed to produce valid and reliable results </w:t>
      </w:r>
      <w:r>
        <w:rPr>
          <w:b/>
          <w:sz w:val="24"/>
          <w:szCs w:val="24"/>
        </w:rPr>
        <w:tab/>
      </w:r>
      <w:r w:rsidRPr="006A2B11">
        <w:rPr>
          <w:b/>
          <w:sz w:val="24"/>
          <w:szCs w:val="24"/>
        </w:rPr>
        <w:t>that can be generalized to the universe of study;</w:t>
      </w:r>
    </w:p>
    <w:p w:rsidR="00B03063" w:rsidRDefault="00B03063">
      <w:pPr>
        <w:rPr>
          <w:b/>
          <w:sz w:val="24"/>
          <w:szCs w:val="24"/>
        </w:rPr>
      </w:pPr>
    </w:p>
    <w:p w:rsidR="00B03063" w:rsidRDefault="00355E1D">
      <w:pPr>
        <w:rPr>
          <w:sz w:val="24"/>
          <w:szCs w:val="24"/>
        </w:rPr>
      </w:pPr>
      <w:r>
        <w:rPr>
          <w:sz w:val="24"/>
          <w:szCs w:val="24"/>
        </w:rPr>
        <w:tab/>
      </w:r>
      <w:r w:rsidRPr="006A2B11">
        <w:rPr>
          <w:sz w:val="24"/>
          <w:szCs w:val="24"/>
        </w:rPr>
        <w:t>None</w:t>
      </w:r>
    </w:p>
    <w:p w:rsidR="00B03063" w:rsidRDefault="00B03063">
      <w:pPr>
        <w:rPr>
          <w:b/>
          <w:sz w:val="24"/>
          <w:szCs w:val="24"/>
        </w:rPr>
      </w:pPr>
    </w:p>
    <w:p w:rsidR="00B03063" w:rsidRDefault="00355E1D">
      <w:pPr>
        <w:rPr>
          <w:b/>
          <w:sz w:val="24"/>
          <w:szCs w:val="24"/>
        </w:rPr>
      </w:pPr>
      <w:r>
        <w:rPr>
          <w:b/>
          <w:sz w:val="24"/>
          <w:szCs w:val="24"/>
        </w:rPr>
        <w:tab/>
      </w:r>
      <w:r w:rsidRPr="006A2B11">
        <w:rPr>
          <w:b/>
          <w:sz w:val="24"/>
          <w:szCs w:val="24"/>
        </w:rPr>
        <w:t xml:space="preserve">* Requiring the use of a statistical data classification that has not been reviewed and </w:t>
      </w:r>
      <w:r>
        <w:rPr>
          <w:b/>
          <w:sz w:val="24"/>
          <w:szCs w:val="24"/>
        </w:rPr>
        <w:tab/>
      </w:r>
      <w:r w:rsidRPr="006A2B11">
        <w:rPr>
          <w:b/>
          <w:sz w:val="24"/>
          <w:szCs w:val="24"/>
        </w:rPr>
        <w:t>approved by OMB;</w:t>
      </w:r>
    </w:p>
    <w:p w:rsidR="00B03063" w:rsidRDefault="00B03063">
      <w:pPr>
        <w:rPr>
          <w:b/>
          <w:sz w:val="24"/>
          <w:szCs w:val="24"/>
        </w:rPr>
      </w:pPr>
    </w:p>
    <w:p w:rsidR="00B03063" w:rsidRDefault="00355E1D">
      <w:pPr>
        <w:rPr>
          <w:sz w:val="24"/>
          <w:szCs w:val="24"/>
        </w:rPr>
      </w:pPr>
      <w:r>
        <w:rPr>
          <w:sz w:val="24"/>
          <w:szCs w:val="24"/>
        </w:rPr>
        <w:tab/>
      </w:r>
      <w:r w:rsidRPr="006A2B11">
        <w:rPr>
          <w:sz w:val="24"/>
          <w:szCs w:val="24"/>
        </w:rPr>
        <w:t>None</w:t>
      </w:r>
    </w:p>
    <w:p w:rsidR="00B03063" w:rsidRDefault="00B03063">
      <w:pPr>
        <w:rPr>
          <w:sz w:val="24"/>
          <w:szCs w:val="24"/>
        </w:rPr>
      </w:pPr>
    </w:p>
    <w:p w:rsidR="00B03063" w:rsidRDefault="00355E1D">
      <w:pPr>
        <w:rPr>
          <w:b/>
          <w:sz w:val="24"/>
          <w:szCs w:val="24"/>
        </w:rPr>
      </w:pPr>
      <w:r>
        <w:rPr>
          <w:b/>
          <w:sz w:val="24"/>
          <w:szCs w:val="24"/>
        </w:rPr>
        <w:tab/>
      </w:r>
      <w:r w:rsidRPr="006A2B11">
        <w:rPr>
          <w:b/>
          <w:sz w:val="24"/>
          <w:szCs w:val="24"/>
        </w:rPr>
        <w:t xml:space="preserve">*That includes a pledge of confidentiality that is not supported by authority established in statute </w:t>
      </w:r>
      <w:r>
        <w:rPr>
          <w:b/>
          <w:sz w:val="24"/>
          <w:szCs w:val="24"/>
        </w:rPr>
        <w:tab/>
      </w:r>
      <w:r w:rsidRPr="006A2B11">
        <w:rPr>
          <w:b/>
          <w:sz w:val="24"/>
          <w:szCs w:val="24"/>
        </w:rPr>
        <w:t xml:space="preserve">or regulation, that is not supported by disclosure and data security policies that are consistent </w:t>
      </w:r>
      <w:r>
        <w:rPr>
          <w:b/>
          <w:sz w:val="24"/>
          <w:szCs w:val="24"/>
        </w:rPr>
        <w:tab/>
      </w:r>
      <w:r w:rsidRPr="006A2B11">
        <w:rPr>
          <w:b/>
          <w:sz w:val="24"/>
          <w:szCs w:val="24"/>
        </w:rPr>
        <w:t xml:space="preserve">with the pledge, or which unnecessarily impedes </w:t>
      </w:r>
      <w:r>
        <w:rPr>
          <w:b/>
          <w:sz w:val="24"/>
          <w:szCs w:val="24"/>
        </w:rPr>
        <w:tab/>
      </w:r>
      <w:r w:rsidRPr="006A2B11">
        <w:rPr>
          <w:b/>
          <w:sz w:val="24"/>
          <w:szCs w:val="24"/>
        </w:rPr>
        <w:t xml:space="preserve">sharing of data with other agencies for </w:t>
      </w:r>
      <w:r>
        <w:rPr>
          <w:b/>
          <w:sz w:val="24"/>
          <w:szCs w:val="24"/>
        </w:rPr>
        <w:tab/>
      </w:r>
      <w:r w:rsidRPr="006A2B11">
        <w:rPr>
          <w:b/>
          <w:sz w:val="24"/>
          <w:szCs w:val="24"/>
        </w:rPr>
        <w:t xml:space="preserve">compatible confidential use; or  </w:t>
      </w:r>
    </w:p>
    <w:p w:rsidR="00B03063" w:rsidRDefault="00B03063">
      <w:pPr>
        <w:rPr>
          <w:b/>
          <w:sz w:val="24"/>
          <w:szCs w:val="24"/>
        </w:rPr>
      </w:pPr>
    </w:p>
    <w:p w:rsidR="00B03063" w:rsidRDefault="00355E1D">
      <w:pPr>
        <w:rPr>
          <w:sz w:val="24"/>
          <w:szCs w:val="24"/>
        </w:rPr>
      </w:pPr>
      <w:r>
        <w:rPr>
          <w:sz w:val="24"/>
          <w:szCs w:val="24"/>
        </w:rPr>
        <w:tab/>
      </w:r>
      <w:r w:rsidRPr="006A2B11">
        <w:rPr>
          <w:sz w:val="24"/>
          <w:szCs w:val="24"/>
        </w:rPr>
        <w:t>None</w:t>
      </w:r>
    </w:p>
    <w:p w:rsidR="00B03063" w:rsidRDefault="00B03063">
      <w:pPr>
        <w:rPr>
          <w:sz w:val="24"/>
          <w:szCs w:val="24"/>
        </w:rPr>
      </w:pPr>
    </w:p>
    <w:p w:rsidR="00B03063" w:rsidRDefault="00355E1D">
      <w:pPr>
        <w:rPr>
          <w:b/>
          <w:sz w:val="24"/>
          <w:szCs w:val="24"/>
        </w:rPr>
      </w:pPr>
      <w:r>
        <w:rPr>
          <w:b/>
          <w:sz w:val="24"/>
          <w:szCs w:val="24"/>
        </w:rPr>
        <w:tab/>
      </w:r>
      <w:r w:rsidRPr="006A2B11">
        <w:rPr>
          <w:b/>
          <w:sz w:val="24"/>
          <w:szCs w:val="24"/>
        </w:rPr>
        <w:t xml:space="preserve">* Requiring respondents to submit proprietary trade secrets, or other confidential information </w:t>
      </w:r>
      <w:r>
        <w:rPr>
          <w:b/>
          <w:sz w:val="24"/>
          <w:szCs w:val="24"/>
        </w:rPr>
        <w:tab/>
      </w:r>
      <w:r w:rsidRPr="006A2B11">
        <w:rPr>
          <w:b/>
          <w:sz w:val="24"/>
          <w:szCs w:val="24"/>
        </w:rPr>
        <w:t xml:space="preserve">unless the agency can demonstrate that it has instituted procedures to </w:t>
      </w:r>
      <w:r>
        <w:rPr>
          <w:b/>
          <w:sz w:val="24"/>
          <w:szCs w:val="24"/>
        </w:rPr>
        <w:tab/>
      </w:r>
      <w:r w:rsidRPr="006A2B11">
        <w:rPr>
          <w:b/>
          <w:sz w:val="24"/>
          <w:szCs w:val="24"/>
        </w:rPr>
        <w:t xml:space="preserve">protect the information's </w:t>
      </w:r>
      <w:r>
        <w:rPr>
          <w:b/>
          <w:sz w:val="24"/>
          <w:szCs w:val="24"/>
        </w:rPr>
        <w:tab/>
      </w:r>
      <w:r w:rsidRPr="006A2B11">
        <w:rPr>
          <w:b/>
          <w:sz w:val="24"/>
          <w:szCs w:val="24"/>
        </w:rPr>
        <w:t>confidentiality to the extent permitted by law.</w:t>
      </w:r>
    </w:p>
    <w:p w:rsidR="00B03063" w:rsidRDefault="00B03063">
      <w:pPr>
        <w:rPr>
          <w:b/>
          <w:sz w:val="24"/>
          <w:szCs w:val="24"/>
        </w:rPr>
      </w:pPr>
    </w:p>
    <w:p w:rsidR="00B03063" w:rsidRDefault="00355E1D">
      <w:pPr>
        <w:rPr>
          <w:sz w:val="24"/>
          <w:szCs w:val="24"/>
        </w:rPr>
      </w:pPr>
      <w:r>
        <w:rPr>
          <w:sz w:val="24"/>
          <w:szCs w:val="24"/>
        </w:rPr>
        <w:tab/>
      </w:r>
      <w:r w:rsidRPr="006A2B11">
        <w:rPr>
          <w:sz w:val="24"/>
          <w:szCs w:val="24"/>
        </w:rPr>
        <w:t>None</w:t>
      </w:r>
    </w:p>
    <w:p w:rsidR="00B03063" w:rsidRDefault="00B03063">
      <w:pPr>
        <w:pStyle w:val="ListParagraph"/>
        <w:autoSpaceDE w:val="0"/>
        <w:autoSpaceDN w:val="0"/>
        <w:adjustRightInd w:val="0"/>
        <w:spacing w:after="0" w:line="240" w:lineRule="auto"/>
        <w:ind w:left="0"/>
        <w:rPr>
          <w:rFonts w:ascii="Times New Roman" w:hAnsi="Times New Roman" w:cs="Times New Roman"/>
          <w:sz w:val="24"/>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876FCC">
        <w:rPr>
          <w:rFonts w:ascii="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DB7B62" w:rsidRDefault="00355E1D">
      <w:pPr>
        <w:rPr>
          <w:sz w:val="24"/>
          <w:szCs w:val="24"/>
        </w:rPr>
      </w:pPr>
      <w:r>
        <w:rPr>
          <w:sz w:val="24"/>
          <w:szCs w:val="24"/>
        </w:rPr>
        <w:tab/>
      </w:r>
    </w:p>
    <w:p w:rsidR="005A3D90" w:rsidRDefault="00DB7B62">
      <w:pPr>
        <w:rPr>
          <w:sz w:val="24"/>
          <w:szCs w:val="24"/>
        </w:rPr>
      </w:pPr>
      <w:r>
        <w:rPr>
          <w:sz w:val="24"/>
          <w:szCs w:val="24"/>
        </w:rPr>
        <w:tab/>
      </w:r>
      <w:r w:rsidR="005A3D90">
        <w:rPr>
          <w:sz w:val="24"/>
          <w:szCs w:val="24"/>
        </w:rPr>
        <w:t xml:space="preserve">This information collection was announced in the </w:t>
      </w:r>
      <w:r w:rsidR="005A3D90" w:rsidRPr="005A3D90">
        <w:rPr>
          <w:i/>
          <w:sz w:val="24"/>
          <w:szCs w:val="24"/>
        </w:rPr>
        <w:t>Federal Register</w:t>
      </w:r>
      <w:r w:rsidR="005A3D90">
        <w:rPr>
          <w:sz w:val="24"/>
          <w:szCs w:val="24"/>
        </w:rPr>
        <w:t>, Vol</w:t>
      </w:r>
      <w:r>
        <w:rPr>
          <w:sz w:val="24"/>
          <w:szCs w:val="24"/>
        </w:rPr>
        <w:t xml:space="preserve">ume 77, page14029, on March </w:t>
      </w:r>
      <w:r>
        <w:rPr>
          <w:sz w:val="24"/>
          <w:szCs w:val="24"/>
        </w:rPr>
        <w:tab/>
        <w:t xml:space="preserve">8, </w:t>
      </w:r>
      <w:r w:rsidR="005A3D90">
        <w:rPr>
          <w:sz w:val="24"/>
          <w:szCs w:val="24"/>
        </w:rPr>
        <w:t>2012.</w:t>
      </w:r>
    </w:p>
    <w:p w:rsidR="00B03063" w:rsidRDefault="00355E1D">
      <w:pPr>
        <w:rPr>
          <w:sz w:val="24"/>
          <w:szCs w:val="24"/>
        </w:rPr>
      </w:pPr>
      <w:r>
        <w:rPr>
          <w:sz w:val="24"/>
          <w:szCs w:val="24"/>
        </w:rPr>
        <w:lastRenderedPageBreak/>
        <w:tab/>
      </w:r>
    </w:p>
    <w:p w:rsidR="00B03063" w:rsidRDefault="00B03063">
      <w:pPr>
        <w:rPr>
          <w:b/>
          <w:sz w:val="24"/>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Explain any decision to provide any payment or gift to respondents, other than remuneration of contractors or grantees.</w:t>
      </w:r>
    </w:p>
    <w:p w:rsidR="00B03063" w:rsidRDefault="00B03063">
      <w:pPr>
        <w:rPr>
          <w:b/>
          <w:sz w:val="24"/>
          <w:szCs w:val="24"/>
        </w:rPr>
      </w:pPr>
    </w:p>
    <w:p w:rsidR="00B03063" w:rsidRDefault="00355E1D">
      <w:pPr>
        <w:rPr>
          <w:sz w:val="24"/>
          <w:szCs w:val="24"/>
        </w:rPr>
      </w:pPr>
      <w:r>
        <w:rPr>
          <w:sz w:val="24"/>
          <w:szCs w:val="24"/>
        </w:rPr>
        <w:tab/>
      </w:r>
      <w:r w:rsidRPr="006A2B11">
        <w:rPr>
          <w:sz w:val="24"/>
          <w:szCs w:val="24"/>
        </w:rPr>
        <w:t>No payment or gift will be granted to the respondents.</w:t>
      </w:r>
    </w:p>
    <w:p w:rsidR="00355E1D" w:rsidRDefault="00355E1D" w:rsidP="008105F1">
      <w:pPr>
        <w:rPr>
          <w:sz w:val="24"/>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Describe any assurance of confidentiality provided to respondents and the basis for the assurance in statute, regulation, or agency policy.</w:t>
      </w:r>
    </w:p>
    <w:p w:rsidR="00B03063" w:rsidRDefault="00B03063">
      <w:pPr>
        <w:rPr>
          <w:sz w:val="24"/>
          <w:szCs w:val="24"/>
        </w:rPr>
      </w:pPr>
    </w:p>
    <w:p w:rsidR="00B03063" w:rsidRDefault="00355E1D">
      <w:pPr>
        <w:rPr>
          <w:sz w:val="24"/>
          <w:szCs w:val="24"/>
        </w:rPr>
      </w:pPr>
      <w:r>
        <w:rPr>
          <w:sz w:val="24"/>
          <w:szCs w:val="24"/>
        </w:rPr>
        <w:tab/>
      </w:r>
      <w:r w:rsidRPr="006A2B11">
        <w:rPr>
          <w:sz w:val="24"/>
          <w:szCs w:val="24"/>
        </w:rPr>
        <w:t xml:space="preserve">Assurance of confidentiality is neither provided nor needed for this information collection.  </w:t>
      </w:r>
    </w:p>
    <w:p w:rsidR="00B03063" w:rsidRDefault="00B03063">
      <w:pPr>
        <w:rPr>
          <w:sz w:val="24"/>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03063" w:rsidRDefault="00B03063">
      <w:pPr>
        <w:rPr>
          <w:sz w:val="24"/>
          <w:szCs w:val="24"/>
        </w:rPr>
      </w:pPr>
    </w:p>
    <w:p w:rsidR="00B03063" w:rsidRDefault="00355E1D">
      <w:pPr>
        <w:rPr>
          <w:sz w:val="24"/>
          <w:szCs w:val="24"/>
        </w:rPr>
      </w:pPr>
      <w:r>
        <w:rPr>
          <w:sz w:val="24"/>
          <w:szCs w:val="24"/>
        </w:rPr>
        <w:tab/>
      </w:r>
      <w:r w:rsidRPr="006A2B11">
        <w:rPr>
          <w:sz w:val="24"/>
          <w:szCs w:val="24"/>
        </w:rPr>
        <w:t>No sensitive information is being asked by this collection.</w:t>
      </w:r>
    </w:p>
    <w:p w:rsidR="00B03063" w:rsidRDefault="00B03063">
      <w:pPr>
        <w:rPr>
          <w:sz w:val="24"/>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Provide estimates of the hour burden of the collection of information. The statement should:</w:t>
      </w:r>
    </w:p>
    <w:p w:rsidR="00B03063" w:rsidRDefault="00B03063">
      <w:pPr>
        <w:rPr>
          <w:b/>
          <w:sz w:val="24"/>
          <w:szCs w:val="24"/>
        </w:rPr>
      </w:pPr>
    </w:p>
    <w:p w:rsidR="00B03063" w:rsidRDefault="00355E1D">
      <w:pPr>
        <w:rPr>
          <w:b/>
          <w:sz w:val="24"/>
          <w:szCs w:val="24"/>
        </w:rPr>
      </w:pPr>
      <w:r>
        <w:rPr>
          <w:b/>
          <w:sz w:val="24"/>
          <w:szCs w:val="24"/>
        </w:rPr>
        <w:tab/>
      </w:r>
      <w:r w:rsidRPr="006A2B11">
        <w:rPr>
          <w:b/>
          <w:sz w:val="24"/>
          <w:szCs w:val="24"/>
        </w:rPr>
        <w:t xml:space="preserve">* Indicate the number of respondents, frequency of response, annual hour burden, and an </w:t>
      </w:r>
      <w:r>
        <w:rPr>
          <w:b/>
          <w:sz w:val="24"/>
          <w:szCs w:val="24"/>
        </w:rPr>
        <w:tab/>
      </w:r>
      <w:r w:rsidRPr="006A2B11">
        <w:rPr>
          <w:b/>
          <w:sz w:val="24"/>
          <w:szCs w:val="24"/>
        </w:rPr>
        <w:t xml:space="preserve">explanation of how the burden was estimated. Unless directed to do so, agencies should not </w:t>
      </w:r>
      <w:r>
        <w:rPr>
          <w:b/>
          <w:sz w:val="24"/>
          <w:szCs w:val="24"/>
        </w:rPr>
        <w:tab/>
      </w:r>
      <w:r w:rsidRPr="006A2B11">
        <w:rPr>
          <w:b/>
          <w:sz w:val="24"/>
          <w:szCs w:val="24"/>
        </w:rPr>
        <w:t xml:space="preserve">conduct special surveys to obtain information on which to base hour burden estimates. </w:t>
      </w:r>
      <w:r>
        <w:rPr>
          <w:b/>
          <w:sz w:val="24"/>
          <w:szCs w:val="24"/>
        </w:rPr>
        <w:tab/>
      </w:r>
      <w:r w:rsidRPr="006A2B11">
        <w:rPr>
          <w:b/>
          <w:sz w:val="24"/>
          <w:szCs w:val="24"/>
        </w:rPr>
        <w:t xml:space="preserve">Consultation with a sample (fewer than 10) of potential respondents is desirable. If the hour </w:t>
      </w:r>
      <w:r>
        <w:rPr>
          <w:b/>
          <w:sz w:val="24"/>
          <w:szCs w:val="24"/>
        </w:rPr>
        <w:tab/>
      </w:r>
      <w:r w:rsidRPr="006A2B11">
        <w:rPr>
          <w:b/>
          <w:sz w:val="24"/>
          <w:szCs w:val="24"/>
        </w:rPr>
        <w:t xml:space="preserve">burden on respondents is expected to vary widely because of differences in activity, size, or </w:t>
      </w:r>
      <w:r>
        <w:rPr>
          <w:b/>
          <w:sz w:val="24"/>
          <w:szCs w:val="24"/>
        </w:rPr>
        <w:tab/>
      </w:r>
      <w:r w:rsidRPr="006A2B11">
        <w:rPr>
          <w:b/>
          <w:sz w:val="24"/>
          <w:szCs w:val="24"/>
        </w:rPr>
        <w:t xml:space="preserve">complexity, show the range of estimated hour burden, and explain the reasons for the </w:t>
      </w:r>
      <w:r>
        <w:rPr>
          <w:b/>
          <w:sz w:val="24"/>
          <w:szCs w:val="24"/>
        </w:rPr>
        <w:tab/>
      </w:r>
      <w:r w:rsidRPr="006A2B11">
        <w:rPr>
          <w:b/>
          <w:sz w:val="24"/>
          <w:szCs w:val="24"/>
        </w:rPr>
        <w:t xml:space="preserve">variance. Generally, </w:t>
      </w:r>
      <w:r>
        <w:rPr>
          <w:b/>
          <w:sz w:val="24"/>
          <w:szCs w:val="24"/>
        </w:rPr>
        <w:tab/>
      </w:r>
      <w:r w:rsidRPr="006A2B11">
        <w:rPr>
          <w:b/>
          <w:sz w:val="24"/>
          <w:szCs w:val="24"/>
        </w:rPr>
        <w:t xml:space="preserve">estimates should not include burden hours for customary and usual business </w:t>
      </w:r>
      <w:r>
        <w:rPr>
          <w:b/>
          <w:sz w:val="24"/>
          <w:szCs w:val="24"/>
        </w:rPr>
        <w:tab/>
      </w:r>
      <w:r w:rsidRPr="006A2B11">
        <w:rPr>
          <w:b/>
          <w:sz w:val="24"/>
          <w:szCs w:val="24"/>
        </w:rPr>
        <w:t>practices.</w:t>
      </w:r>
    </w:p>
    <w:p w:rsidR="00B03063" w:rsidRDefault="00B03063">
      <w:pPr>
        <w:rPr>
          <w:b/>
          <w:sz w:val="24"/>
          <w:szCs w:val="24"/>
        </w:rPr>
      </w:pPr>
    </w:p>
    <w:p w:rsidR="00B03063" w:rsidRDefault="00355E1D">
      <w:pPr>
        <w:rPr>
          <w:b/>
          <w:sz w:val="24"/>
          <w:szCs w:val="24"/>
        </w:rPr>
      </w:pPr>
      <w:r>
        <w:rPr>
          <w:b/>
          <w:sz w:val="24"/>
          <w:szCs w:val="24"/>
        </w:rPr>
        <w:tab/>
      </w:r>
      <w:r w:rsidRPr="006A2B11">
        <w:rPr>
          <w:b/>
          <w:sz w:val="24"/>
          <w:szCs w:val="24"/>
        </w:rPr>
        <w:t xml:space="preserve">* If this request for approval covers more than one form, provide separate hour burden estimates </w:t>
      </w:r>
      <w:r>
        <w:rPr>
          <w:b/>
          <w:sz w:val="24"/>
          <w:szCs w:val="24"/>
        </w:rPr>
        <w:tab/>
      </w:r>
      <w:r w:rsidRPr="006A2B11">
        <w:rPr>
          <w:b/>
          <w:sz w:val="24"/>
          <w:szCs w:val="24"/>
        </w:rPr>
        <w:t>for each form and aggregate the hour burdens in Item 13 of OMB</w:t>
      </w:r>
      <w:r w:rsidR="00DB7B62">
        <w:rPr>
          <w:b/>
          <w:sz w:val="24"/>
          <w:szCs w:val="24"/>
        </w:rPr>
        <w:t xml:space="preserve"> </w:t>
      </w:r>
      <w:r w:rsidRPr="006A2B11">
        <w:rPr>
          <w:b/>
          <w:sz w:val="24"/>
          <w:szCs w:val="24"/>
        </w:rPr>
        <w:t>Form 83-I.</w:t>
      </w:r>
    </w:p>
    <w:p w:rsidR="00B03063" w:rsidRDefault="00B03063">
      <w:pPr>
        <w:rPr>
          <w:b/>
          <w:sz w:val="24"/>
          <w:szCs w:val="24"/>
        </w:rPr>
      </w:pPr>
    </w:p>
    <w:p w:rsidR="00B03063" w:rsidRDefault="00355E1D">
      <w:pPr>
        <w:rPr>
          <w:b/>
          <w:sz w:val="24"/>
          <w:szCs w:val="24"/>
        </w:rPr>
      </w:pPr>
      <w:r>
        <w:rPr>
          <w:b/>
          <w:sz w:val="24"/>
          <w:szCs w:val="24"/>
        </w:rPr>
        <w:tab/>
      </w:r>
      <w:r w:rsidRPr="006A2B11">
        <w:rPr>
          <w:b/>
          <w:sz w:val="24"/>
          <w:szCs w:val="24"/>
        </w:rPr>
        <w:t xml:space="preserve">* Provide estimates of annualized cost to respondents for the hour burdens for collections of </w:t>
      </w:r>
      <w:r>
        <w:rPr>
          <w:b/>
          <w:sz w:val="24"/>
          <w:szCs w:val="24"/>
        </w:rPr>
        <w:tab/>
      </w:r>
      <w:r w:rsidRPr="006A2B11">
        <w:rPr>
          <w:b/>
          <w:sz w:val="24"/>
          <w:szCs w:val="24"/>
        </w:rPr>
        <w:t xml:space="preserve">information, identifying and using appropriate wage rate categories. </w:t>
      </w:r>
      <w:r>
        <w:rPr>
          <w:b/>
          <w:sz w:val="24"/>
          <w:szCs w:val="24"/>
        </w:rPr>
        <w:tab/>
      </w:r>
      <w:r w:rsidRPr="006A2B11">
        <w:rPr>
          <w:b/>
          <w:sz w:val="24"/>
          <w:szCs w:val="24"/>
        </w:rPr>
        <w:t xml:space="preserve">The cost of contracting out </w:t>
      </w:r>
      <w:r>
        <w:rPr>
          <w:b/>
          <w:sz w:val="24"/>
          <w:szCs w:val="24"/>
        </w:rPr>
        <w:tab/>
      </w:r>
      <w:r w:rsidRPr="006A2B11">
        <w:rPr>
          <w:b/>
          <w:sz w:val="24"/>
          <w:szCs w:val="24"/>
        </w:rPr>
        <w:t xml:space="preserve">or paying outside parties for information collection activities should not be included here. </w:t>
      </w:r>
      <w:r>
        <w:rPr>
          <w:b/>
          <w:sz w:val="24"/>
          <w:szCs w:val="24"/>
        </w:rPr>
        <w:tab/>
      </w:r>
      <w:r w:rsidRPr="006A2B11">
        <w:rPr>
          <w:b/>
          <w:sz w:val="24"/>
          <w:szCs w:val="24"/>
        </w:rPr>
        <w:t>Instead, this cost should be included in Item 1</w:t>
      </w:r>
      <w:r>
        <w:rPr>
          <w:b/>
          <w:sz w:val="24"/>
          <w:szCs w:val="24"/>
        </w:rPr>
        <w:t>.</w:t>
      </w:r>
    </w:p>
    <w:p w:rsidR="00B03063" w:rsidRDefault="00B03063">
      <w:pPr>
        <w:rPr>
          <w:b/>
          <w:sz w:val="24"/>
          <w:szCs w:val="24"/>
        </w:rPr>
      </w:pPr>
    </w:p>
    <w:p w:rsidR="00B03063" w:rsidRDefault="00355E1D">
      <w:pPr>
        <w:rPr>
          <w:sz w:val="24"/>
          <w:szCs w:val="24"/>
        </w:rPr>
      </w:pPr>
      <w:r>
        <w:rPr>
          <w:sz w:val="24"/>
          <w:szCs w:val="24"/>
        </w:rPr>
        <w:tab/>
        <w:t xml:space="preserve">The number of respondents for the Public Housing and Mod Rehab RAD application forms </w:t>
      </w:r>
      <w:r>
        <w:rPr>
          <w:sz w:val="24"/>
          <w:szCs w:val="24"/>
        </w:rPr>
        <w:tab/>
        <w:t xml:space="preserve">reflected in the chart below indicates the amount of </w:t>
      </w:r>
      <w:r w:rsidRPr="008F7878">
        <w:rPr>
          <w:i/>
          <w:sz w:val="24"/>
          <w:szCs w:val="24"/>
        </w:rPr>
        <w:t>potential</w:t>
      </w:r>
      <w:r>
        <w:rPr>
          <w:sz w:val="24"/>
          <w:szCs w:val="24"/>
        </w:rPr>
        <w:t xml:space="preserve"> applicants. Individual application forms </w:t>
      </w:r>
      <w:r>
        <w:rPr>
          <w:sz w:val="24"/>
          <w:szCs w:val="24"/>
        </w:rPr>
        <w:tab/>
        <w:t xml:space="preserve">must be submitted for each Public Housing project seeking conversion under RAD. There are </w:t>
      </w:r>
      <w:r>
        <w:rPr>
          <w:sz w:val="24"/>
          <w:szCs w:val="24"/>
        </w:rPr>
        <w:tab/>
        <w:t xml:space="preserve">currently approximately 7,500 projects in the Public Housing inventory that could apply for RAD.  </w:t>
      </w:r>
      <w:r>
        <w:rPr>
          <w:sz w:val="24"/>
          <w:szCs w:val="24"/>
        </w:rPr>
        <w:tab/>
        <w:t xml:space="preserve">Similarly, there are 1,355 existing MOD Rehab expiring contracts that could apply to participate in </w:t>
      </w:r>
      <w:r>
        <w:rPr>
          <w:sz w:val="24"/>
          <w:szCs w:val="24"/>
        </w:rPr>
        <w:tab/>
        <w:t xml:space="preserve">RAD.  </w:t>
      </w:r>
    </w:p>
    <w:p w:rsidR="00B03063" w:rsidRDefault="00B03063">
      <w:pPr>
        <w:rPr>
          <w:sz w:val="24"/>
          <w:szCs w:val="24"/>
        </w:rPr>
      </w:pPr>
    </w:p>
    <w:p w:rsidR="00B03063" w:rsidRDefault="00355E1D">
      <w:pPr>
        <w:rPr>
          <w:sz w:val="24"/>
          <w:szCs w:val="24"/>
        </w:rPr>
      </w:pPr>
      <w:r>
        <w:rPr>
          <w:sz w:val="24"/>
          <w:szCs w:val="24"/>
        </w:rPr>
        <w:tab/>
        <w:t>The automated form takes approximately two hours to complete.</w:t>
      </w:r>
    </w:p>
    <w:p w:rsidR="00355E1D" w:rsidRPr="006A2B11" w:rsidRDefault="00355E1D" w:rsidP="008105F1">
      <w:pPr>
        <w:rPr>
          <w:b/>
          <w:sz w:val="24"/>
          <w:szCs w:val="24"/>
        </w:rPr>
      </w:pPr>
      <w:r>
        <w:rPr>
          <w:b/>
          <w:sz w:val="24"/>
          <w:szCs w:val="24"/>
        </w:rPr>
        <w:tab/>
      </w:r>
    </w:p>
    <w:tbl>
      <w:tblPr>
        <w:tblStyle w:val="TableGrid"/>
        <w:tblW w:w="11126" w:type="dxa"/>
        <w:tblLayout w:type="fixed"/>
        <w:tblLook w:val="04A0"/>
      </w:tblPr>
      <w:tblGrid>
        <w:gridCol w:w="1872"/>
        <w:gridCol w:w="1368"/>
        <w:gridCol w:w="1260"/>
        <w:gridCol w:w="1170"/>
        <w:gridCol w:w="1440"/>
        <w:gridCol w:w="1170"/>
        <w:gridCol w:w="1406"/>
        <w:gridCol w:w="1440"/>
      </w:tblGrid>
      <w:tr w:rsidR="00355E1D" w:rsidTr="00355E1D">
        <w:tc>
          <w:tcPr>
            <w:tcW w:w="1872" w:type="dxa"/>
            <w:vAlign w:val="bottom"/>
          </w:tcPr>
          <w:p w:rsidR="00355E1D" w:rsidRPr="00391C7D" w:rsidRDefault="00355E1D" w:rsidP="008105F1">
            <w:pPr>
              <w:rPr>
                <w:color w:val="000000"/>
                <w:sz w:val="24"/>
                <w:szCs w:val="24"/>
              </w:rPr>
            </w:pPr>
            <w:r w:rsidRPr="00391C7D">
              <w:rPr>
                <w:color w:val="000000"/>
                <w:sz w:val="24"/>
                <w:szCs w:val="24"/>
              </w:rPr>
              <w:t> </w:t>
            </w:r>
            <w:r>
              <w:rPr>
                <w:color w:val="000000"/>
                <w:sz w:val="24"/>
                <w:szCs w:val="24"/>
              </w:rPr>
              <w:t>Type of  Reporting</w:t>
            </w:r>
          </w:p>
        </w:tc>
        <w:tc>
          <w:tcPr>
            <w:tcW w:w="1368" w:type="dxa"/>
            <w:vAlign w:val="bottom"/>
          </w:tcPr>
          <w:p w:rsidR="00B03063" w:rsidRDefault="00355E1D">
            <w:pPr>
              <w:rPr>
                <w:color w:val="000000"/>
              </w:rPr>
            </w:pPr>
            <w:r w:rsidRPr="00C112DA">
              <w:rPr>
                <w:color w:val="000000"/>
              </w:rPr>
              <w:t>Respondents</w:t>
            </w:r>
          </w:p>
        </w:tc>
        <w:tc>
          <w:tcPr>
            <w:tcW w:w="1260" w:type="dxa"/>
            <w:vAlign w:val="bottom"/>
          </w:tcPr>
          <w:p w:rsidR="00B03063" w:rsidRDefault="00355E1D">
            <w:pPr>
              <w:rPr>
                <w:color w:val="000000"/>
              </w:rPr>
            </w:pPr>
            <w:r w:rsidRPr="00C112DA">
              <w:rPr>
                <w:color w:val="000000"/>
              </w:rPr>
              <w:t>Annual Responses</w:t>
            </w:r>
          </w:p>
        </w:tc>
        <w:tc>
          <w:tcPr>
            <w:tcW w:w="1170" w:type="dxa"/>
            <w:vAlign w:val="bottom"/>
          </w:tcPr>
          <w:p w:rsidR="00B03063" w:rsidRDefault="00355E1D">
            <w:pPr>
              <w:rPr>
                <w:color w:val="000000"/>
              </w:rPr>
            </w:pPr>
            <w:r w:rsidRPr="00C112DA">
              <w:rPr>
                <w:color w:val="000000"/>
              </w:rPr>
              <w:t>Total Responses</w:t>
            </w:r>
          </w:p>
        </w:tc>
        <w:tc>
          <w:tcPr>
            <w:tcW w:w="1440" w:type="dxa"/>
            <w:vAlign w:val="bottom"/>
          </w:tcPr>
          <w:p w:rsidR="00B03063" w:rsidRDefault="00355E1D">
            <w:pPr>
              <w:rPr>
                <w:color w:val="000000"/>
              </w:rPr>
            </w:pPr>
            <w:r w:rsidRPr="00C112DA">
              <w:rPr>
                <w:color w:val="000000"/>
              </w:rPr>
              <w:t>Burden Hours per Response</w:t>
            </w:r>
          </w:p>
        </w:tc>
        <w:tc>
          <w:tcPr>
            <w:tcW w:w="1170" w:type="dxa"/>
            <w:vAlign w:val="bottom"/>
          </w:tcPr>
          <w:p w:rsidR="00B03063" w:rsidRDefault="00355E1D">
            <w:pPr>
              <w:rPr>
                <w:color w:val="000000"/>
              </w:rPr>
            </w:pPr>
            <w:r w:rsidRPr="00C112DA">
              <w:rPr>
                <w:color w:val="000000"/>
              </w:rPr>
              <w:t>Total Burden Hours</w:t>
            </w:r>
          </w:p>
        </w:tc>
        <w:tc>
          <w:tcPr>
            <w:tcW w:w="1406" w:type="dxa"/>
            <w:vAlign w:val="bottom"/>
          </w:tcPr>
          <w:p w:rsidR="00B03063" w:rsidRDefault="00355E1D">
            <w:pPr>
              <w:rPr>
                <w:color w:val="000000"/>
              </w:rPr>
            </w:pPr>
            <w:r w:rsidRPr="00C112DA">
              <w:rPr>
                <w:color w:val="000000"/>
              </w:rPr>
              <w:t>Salary</w:t>
            </w:r>
          </w:p>
          <w:p w:rsidR="00B03063" w:rsidRDefault="00355E1D">
            <w:pPr>
              <w:rPr>
                <w:color w:val="000000"/>
              </w:rPr>
            </w:pPr>
            <w:r w:rsidRPr="00C112DA">
              <w:rPr>
                <w:color w:val="000000"/>
              </w:rPr>
              <w:t>(per hour)</w:t>
            </w:r>
          </w:p>
        </w:tc>
        <w:tc>
          <w:tcPr>
            <w:tcW w:w="1440" w:type="dxa"/>
            <w:vAlign w:val="bottom"/>
          </w:tcPr>
          <w:p w:rsidR="00B03063" w:rsidRDefault="00355E1D">
            <w:pPr>
              <w:rPr>
                <w:color w:val="000000"/>
              </w:rPr>
            </w:pPr>
            <w:r w:rsidRPr="00C112DA">
              <w:rPr>
                <w:color w:val="000000"/>
              </w:rPr>
              <w:t>Total Burden Cost</w:t>
            </w:r>
          </w:p>
        </w:tc>
      </w:tr>
      <w:tr w:rsidR="00355E1D" w:rsidTr="00355E1D">
        <w:trPr>
          <w:trHeight w:val="710"/>
        </w:trPr>
        <w:tc>
          <w:tcPr>
            <w:tcW w:w="1872" w:type="dxa"/>
            <w:vAlign w:val="bottom"/>
          </w:tcPr>
          <w:p w:rsidR="00355E1D" w:rsidRPr="00391C7D" w:rsidRDefault="00355E1D" w:rsidP="008105F1">
            <w:pPr>
              <w:rPr>
                <w:b/>
                <w:bCs/>
                <w:color w:val="000000"/>
              </w:rPr>
            </w:pPr>
            <w:r w:rsidRPr="00391C7D">
              <w:rPr>
                <w:b/>
                <w:bCs/>
                <w:color w:val="000000"/>
              </w:rPr>
              <w:lastRenderedPageBreak/>
              <w:t>Public Housing RAD-Application Form</w:t>
            </w:r>
          </w:p>
        </w:tc>
        <w:tc>
          <w:tcPr>
            <w:tcW w:w="1368" w:type="dxa"/>
            <w:vAlign w:val="bottom"/>
          </w:tcPr>
          <w:p w:rsidR="00B03063" w:rsidRDefault="00355E1D">
            <w:pPr>
              <w:rPr>
                <w:color w:val="000000"/>
                <w:sz w:val="24"/>
                <w:szCs w:val="24"/>
              </w:rPr>
            </w:pPr>
            <w:r>
              <w:rPr>
                <w:color w:val="000000"/>
                <w:sz w:val="24"/>
                <w:szCs w:val="24"/>
              </w:rPr>
              <w:t>7,500</w:t>
            </w:r>
          </w:p>
        </w:tc>
        <w:tc>
          <w:tcPr>
            <w:tcW w:w="1260" w:type="dxa"/>
            <w:vAlign w:val="bottom"/>
          </w:tcPr>
          <w:p w:rsidR="00B03063" w:rsidRDefault="00355E1D">
            <w:pPr>
              <w:rPr>
                <w:color w:val="000000"/>
                <w:sz w:val="24"/>
                <w:szCs w:val="24"/>
              </w:rPr>
            </w:pPr>
            <w:r>
              <w:rPr>
                <w:color w:val="000000"/>
                <w:sz w:val="24"/>
                <w:szCs w:val="24"/>
              </w:rPr>
              <w:t>1</w:t>
            </w:r>
          </w:p>
        </w:tc>
        <w:tc>
          <w:tcPr>
            <w:tcW w:w="1170" w:type="dxa"/>
            <w:vAlign w:val="bottom"/>
          </w:tcPr>
          <w:p w:rsidR="00B03063" w:rsidRDefault="00355E1D">
            <w:pPr>
              <w:rPr>
                <w:color w:val="000000"/>
                <w:sz w:val="24"/>
                <w:szCs w:val="24"/>
              </w:rPr>
            </w:pPr>
            <w:r>
              <w:rPr>
                <w:color w:val="000000"/>
                <w:sz w:val="24"/>
                <w:szCs w:val="24"/>
              </w:rPr>
              <w:t>7,500</w:t>
            </w:r>
          </w:p>
        </w:tc>
        <w:tc>
          <w:tcPr>
            <w:tcW w:w="1440" w:type="dxa"/>
            <w:vAlign w:val="bottom"/>
          </w:tcPr>
          <w:p w:rsidR="00B03063" w:rsidRDefault="00355E1D">
            <w:pPr>
              <w:rPr>
                <w:color w:val="000000"/>
                <w:sz w:val="24"/>
                <w:szCs w:val="24"/>
              </w:rPr>
            </w:pPr>
            <w:r>
              <w:rPr>
                <w:color w:val="000000"/>
                <w:sz w:val="24"/>
                <w:szCs w:val="24"/>
              </w:rPr>
              <w:t>2</w:t>
            </w:r>
          </w:p>
        </w:tc>
        <w:tc>
          <w:tcPr>
            <w:tcW w:w="1170" w:type="dxa"/>
            <w:vAlign w:val="bottom"/>
          </w:tcPr>
          <w:p w:rsidR="00B03063" w:rsidRDefault="00355E1D">
            <w:pPr>
              <w:rPr>
                <w:color w:val="000000"/>
                <w:sz w:val="24"/>
                <w:szCs w:val="24"/>
              </w:rPr>
            </w:pPr>
            <w:r>
              <w:rPr>
                <w:color w:val="000000"/>
                <w:sz w:val="24"/>
                <w:szCs w:val="24"/>
              </w:rPr>
              <w:t>15,000</w:t>
            </w:r>
          </w:p>
        </w:tc>
        <w:tc>
          <w:tcPr>
            <w:tcW w:w="1406" w:type="dxa"/>
            <w:vAlign w:val="bottom"/>
          </w:tcPr>
          <w:p w:rsidR="00B03063" w:rsidRDefault="00355E1D">
            <w:pPr>
              <w:ind w:left="-65" w:hanging="90"/>
              <w:rPr>
                <w:color w:val="000000"/>
                <w:sz w:val="24"/>
                <w:szCs w:val="24"/>
              </w:rPr>
            </w:pPr>
            <w:r>
              <w:rPr>
                <w:color w:val="000000"/>
                <w:sz w:val="24"/>
                <w:szCs w:val="24"/>
              </w:rPr>
              <w:t>$40</w:t>
            </w:r>
          </w:p>
        </w:tc>
        <w:tc>
          <w:tcPr>
            <w:tcW w:w="1440" w:type="dxa"/>
            <w:vAlign w:val="bottom"/>
          </w:tcPr>
          <w:p w:rsidR="00B03063" w:rsidRDefault="00355E1D">
            <w:pPr>
              <w:rPr>
                <w:color w:val="000000"/>
                <w:sz w:val="24"/>
                <w:szCs w:val="24"/>
              </w:rPr>
            </w:pPr>
            <w:r>
              <w:rPr>
                <w:color w:val="000000"/>
                <w:sz w:val="24"/>
                <w:szCs w:val="24"/>
              </w:rPr>
              <w:t>$600,000</w:t>
            </w:r>
          </w:p>
        </w:tc>
      </w:tr>
      <w:tr w:rsidR="00355E1D" w:rsidTr="00355E1D">
        <w:tc>
          <w:tcPr>
            <w:tcW w:w="1872" w:type="dxa"/>
            <w:vAlign w:val="bottom"/>
          </w:tcPr>
          <w:p w:rsidR="00355E1D" w:rsidRPr="00391C7D" w:rsidRDefault="00355E1D" w:rsidP="008105F1">
            <w:pPr>
              <w:rPr>
                <w:b/>
                <w:color w:val="000000"/>
              </w:rPr>
            </w:pPr>
            <w:r w:rsidRPr="00391C7D">
              <w:rPr>
                <w:color w:val="000000"/>
                <w:sz w:val="24"/>
                <w:szCs w:val="24"/>
              </w:rPr>
              <w:t> </w:t>
            </w:r>
            <w:r w:rsidRPr="00391C7D">
              <w:rPr>
                <w:b/>
                <w:color w:val="000000"/>
              </w:rPr>
              <w:t>MOD Rehab-RAD Application Form</w:t>
            </w:r>
          </w:p>
        </w:tc>
        <w:tc>
          <w:tcPr>
            <w:tcW w:w="1368" w:type="dxa"/>
            <w:vAlign w:val="bottom"/>
          </w:tcPr>
          <w:p w:rsidR="00B03063" w:rsidRDefault="00355E1D">
            <w:pPr>
              <w:rPr>
                <w:color w:val="000000"/>
                <w:sz w:val="24"/>
                <w:szCs w:val="24"/>
              </w:rPr>
            </w:pPr>
            <w:r>
              <w:rPr>
                <w:color w:val="000000"/>
                <w:sz w:val="24"/>
                <w:szCs w:val="24"/>
              </w:rPr>
              <w:t>1,355</w:t>
            </w:r>
          </w:p>
        </w:tc>
        <w:tc>
          <w:tcPr>
            <w:tcW w:w="1260" w:type="dxa"/>
            <w:vAlign w:val="bottom"/>
          </w:tcPr>
          <w:p w:rsidR="00B03063" w:rsidRDefault="00355E1D">
            <w:pPr>
              <w:rPr>
                <w:color w:val="000000"/>
                <w:sz w:val="24"/>
                <w:szCs w:val="24"/>
              </w:rPr>
            </w:pPr>
            <w:r>
              <w:rPr>
                <w:color w:val="000000"/>
                <w:sz w:val="24"/>
                <w:szCs w:val="24"/>
              </w:rPr>
              <w:t>1</w:t>
            </w:r>
          </w:p>
        </w:tc>
        <w:tc>
          <w:tcPr>
            <w:tcW w:w="1170" w:type="dxa"/>
            <w:vAlign w:val="bottom"/>
          </w:tcPr>
          <w:p w:rsidR="00B03063" w:rsidRDefault="00355E1D">
            <w:pPr>
              <w:rPr>
                <w:color w:val="000000"/>
                <w:sz w:val="24"/>
                <w:szCs w:val="24"/>
              </w:rPr>
            </w:pPr>
            <w:r>
              <w:rPr>
                <w:color w:val="000000"/>
                <w:sz w:val="24"/>
                <w:szCs w:val="24"/>
              </w:rPr>
              <w:t>1,355</w:t>
            </w:r>
          </w:p>
        </w:tc>
        <w:tc>
          <w:tcPr>
            <w:tcW w:w="1440" w:type="dxa"/>
            <w:vAlign w:val="bottom"/>
          </w:tcPr>
          <w:p w:rsidR="00B03063" w:rsidRDefault="00355E1D">
            <w:pPr>
              <w:rPr>
                <w:color w:val="000000"/>
                <w:sz w:val="24"/>
                <w:szCs w:val="24"/>
              </w:rPr>
            </w:pPr>
            <w:r>
              <w:rPr>
                <w:color w:val="000000"/>
                <w:sz w:val="24"/>
                <w:szCs w:val="24"/>
              </w:rPr>
              <w:t>2</w:t>
            </w:r>
          </w:p>
        </w:tc>
        <w:tc>
          <w:tcPr>
            <w:tcW w:w="1170" w:type="dxa"/>
            <w:vAlign w:val="bottom"/>
          </w:tcPr>
          <w:p w:rsidR="00B03063" w:rsidRDefault="00355E1D">
            <w:pPr>
              <w:rPr>
                <w:color w:val="000000"/>
                <w:sz w:val="24"/>
                <w:szCs w:val="24"/>
              </w:rPr>
            </w:pPr>
            <w:r>
              <w:rPr>
                <w:color w:val="000000"/>
                <w:sz w:val="24"/>
                <w:szCs w:val="24"/>
              </w:rPr>
              <w:t>2,710</w:t>
            </w:r>
          </w:p>
        </w:tc>
        <w:tc>
          <w:tcPr>
            <w:tcW w:w="1406" w:type="dxa"/>
            <w:vAlign w:val="bottom"/>
          </w:tcPr>
          <w:p w:rsidR="00B03063" w:rsidRDefault="00355E1D">
            <w:pPr>
              <w:rPr>
                <w:color w:val="000000"/>
                <w:sz w:val="24"/>
                <w:szCs w:val="24"/>
              </w:rPr>
            </w:pPr>
            <w:r>
              <w:rPr>
                <w:color w:val="000000"/>
                <w:sz w:val="24"/>
                <w:szCs w:val="24"/>
              </w:rPr>
              <w:t>$40</w:t>
            </w:r>
          </w:p>
        </w:tc>
        <w:tc>
          <w:tcPr>
            <w:tcW w:w="1440" w:type="dxa"/>
            <w:vAlign w:val="bottom"/>
          </w:tcPr>
          <w:p w:rsidR="00B03063" w:rsidRDefault="00355E1D">
            <w:pPr>
              <w:rPr>
                <w:color w:val="000000"/>
                <w:sz w:val="24"/>
                <w:szCs w:val="24"/>
              </w:rPr>
            </w:pPr>
            <w:r>
              <w:rPr>
                <w:color w:val="000000"/>
                <w:sz w:val="24"/>
                <w:szCs w:val="24"/>
              </w:rPr>
              <w:t>$108,400</w:t>
            </w:r>
          </w:p>
        </w:tc>
      </w:tr>
      <w:tr w:rsidR="00355E1D" w:rsidTr="00355E1D">
        <w:tc>
          <w:tcPr>
            <w:tcW w:w="1872" w:type="dxa"/>
            <w:vAlign w:val="bottom"/>
          </w:tcPr>
          <w:p w:rsidR="00355E1D" w:rsidRPr="00391C7D" w:rsidRDefault="00355E1D" w:rsidP="008105F1">
            <w:pPr>
              <w:rPr>
                <w:color w:val="000000"/>
                <w:sz w:val="24"/>
                <w:szCs w:val="24"/>
              </w:rPr>
            </w:pPr>
            <w:r>
              <w:rPr>
                <w:color w:val="000000"/>
                <w:sz w:val="24"/>
                <w:szCs w:val="24"/>
              </w:rPr>
              <w:t>Total</w:t>
            </w:r>
          </w:p>
        </w:tc>
        <w:tc>
          <w:tcPr>
            <w:tcW w:w="1368" w:type="dxa"/>
            <w:vAlign w:val="bottom"/>
          </w:tcPr>
          <w:p w:rsidR="00B03063" w:rsidRDefault="00355E1D">
            <w:pPr>
              <w:rPr>
                <w:b/>
                <w:color w:val="000000"/>
                <w:sz w:val="24"/>
                <w:szCs w:val="24"/>
              </w:rPr>
            </w:pPr>
            <w:r>
              <w:rPr>
                <w:b/>
                <w:color w:val="000000"/>
                <w:sz w:val="24"/>
                <w:szCs w:val="24"/>
              </w:rPr>
              <w:t>8,855</w:t>
            </w:r>
          </w:p>
        </w:tc>
        <w:tc>
          <w:tcPr>
            <w:tcW w:w="1260" w:type="dxa"/>
            <w:vAlign w:val="bottom"/>
          </w:tcPr>
          <w:p w:rsidR="00B03063" w:rsidRDefault="00B03063">
            <w:pPr>
              <w:rPr>
                <w:color w:val="000000"/>
                <w:sz w:val="24"/>
                <w:szCs w:val="24"/>
              </w:rPr>
            </w:pPr>
          </w:p>
        </w:tc>
        <w:tc>
          <w:tcPr>
            <w:tcW w:w="1170" w:type="dxa"/>
            <w:vAlign w:val="bottom"/>
          </w:tcPr>
          <w:p w:rsidR="00B03063" w:rsidRDefault="00355E1D">
            <w:pPr>
              <w:rPr>
                <w:b/>
                <w:color w:val="000000"/>
                <w:sz w:val="24"/>
                <w:szCs w:val="24"/>
              </w:rPr>
            </w:pPr>
            <w:r>
              <w:rPr>
                <w:b/>
                <w:color w:val="000000"/>
                <w:sz w:val="24"/>
                <w:szCs w:val="24"/>
              </w:rPr>
              <w:t>8,855</w:t>
            </w:r>
          </w:p>
        </w:tc>
        <w:tc>
          <w:tcPr>
            <w:tcW w:w="1440" w:type="dxa"/>
            <w:vAlign w:val="bottom"/>
          </w:tcPr>
          <w:p w:rsidR="00B03063" w:rsidRDefault="00B03063">
            <w:pPr>
              <w:rPr>
                <w:color w:val="000000"/>
                <w:sz w:val="24"/>
                <w:szCs w:val="24"/>
              </w:rPr>
            </w:pPr>
          </w:p>
        </w:tc>
        <w:tc>
          <w:tcPr>
            <w:tcW w:w="1170" w:type="dxa"/>
            <w:vAlign w:val="bottom"/>
          </w:tcPr>
          <w:p w:rsidR="00B03063" w:rsidRDefault="00355E1D">
            <w:pPr>
              <w:rPr>
                <w:b/>
                <w:color w:val="000000"/>
                <w:sz w:val="24"/>
                <w:szCs w:val="24"/>
              </w:rPr>
            </w:pPr>
            <w:r>
              <w:rPr>
                <w:b/>
                <w:color w:val="000000"/>
                <w:sz w:val="24"/>
                <w:szCs w:val="24"/>
              </w:rPr>
              <w:t>17,710</w:t>
            </w:r>
          </w:p>
        </w:tc>
        <w:tc>
          <w:tcPr>
            <w:tcW w:w="1406" w:type="dxa"/>
            <w:vAlign w:val="bottom"/>
          </w:tcPr>
          <w:p w:rsidR="00B03063" w:rsidRDefault="00B03063">
            <w:pPr>
              <w:rPr>
                <w:b/>
                <w:color w:val="000000"/>
                <w:sz w:val="24"/>
                <w:szCs w:val="24"/>
              </w:rPr>
            </w:pPr>
          </w:p>
        </w:tc>
        <w:tc>
          <w:tcPr>
            <w:tcW w:w="1440" w:type="dxa"/>
            <w:vAlign w:val="bottom"/>
          </w:tcPr>
          <w:p w:rsidR="00B03063" w:rsidRDefault="00355E1D">
            <w:pPr>
              <w:rPr>
                <w:b/>
                <w:color w:val="000000"/>
                <w:sz w:val="24"/>
                <w:szCs w:val="24"/>
              </w:rPr>
            </w:pPr>
            <w:r w:rsidRPr="00305133">
              <w:rPr>
                <w:b/>
                <w:color w:val="000000"/>
                <w:sz w:val="24"/>
                <w:szCs w:val="24"/>
              </w:rPr>
              <w:t>$</w:t>
            </w:r>
            <w:r>
              <w:rPr>
                <w:b/>
                <w:color w:val="000000"/>
                <w:sz w:val="24"/>
                <w:szCs w:val="24"/>
              </w:rPr>
              <w:t>708,400</w:t>
            </w:r>
          </w:p>
        </w:tc>
      </w:tr>
    </w:tbl>
    <w:p w:rsidR="00355E1D" w:rsidRPr="006A2B11" w:rsidRDefault="00355E1D" w:rsidP="008105F1">
      <w:pPr>
        <w:rPr>
          <w:b/>
          <w:sz w:val="24"/>
          <w:szCs w:val="24"/>
        </w:rPr>
      </w:pPr>
    </w:p>
    <w:p w:rsidR="00355E1D" w:rsidRDefault="00355E1D" w:rsidP="008105F1">
      <w:pPr>
        <w:rPr>
          <w:b/>
          <w:sz w:val="24"/>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Provide an estimate for the total annual cost burden to respondents or record-keepers resulting from the collection of information. (Do not include the cost of any hour burden shown in Items 12 and 14).</w:t>
      </w:r>
    </w:p>
    <w:p w:rsidR="00B03063" w:rsidRDefault="00B03063">
      <w:pPr>
        <w:pStyle w:val="BodyTextIndent2"/>
        <w:tabs>
          <w:tab w:val="left" w:pos="360"/>
        </w:tabs>
        <w:spacing w:line="240" w:lineRule="auto"/>
        <w:ind w:left="0"/>
        <w:rPr>
          <w:szCs w:val="24"/>
        </w:rPr>
      </w:pPr>
    </w:p>
    <w:p w:rsidR="00B03063" w:rsidRDefault="00355E1D">
      <w:pPr>
        <w:pStyle w:val="BodyTextIndent2"/>
        <w:tabs>
          <w:tab w:val="left" w:pos="360"/>
        </w:tabs>
        <w:spacing w:line="240" w:lineRule="auto"/>
        <w:ind w:left="0"/>
        <w:rPr>
          <w:sz w:val="24"/>
          <w:szCs w:val="24"/>
        </w:rPr>
      </w:pPr>
      <w:r>
        <w:rPr>
          <w:szCs w:val="24"/>
        </w:rPr>
        <w:tab/>
      </w:r>
      <w:r w:rsidRPr="00355E1D">
        <w:rPr>
          <w:sz w:val="24"/>
          <w:szCs w:val="24"/>
        </w:rPr>
        <w:tab/>
        <w:t xml:space="preserve">There are no start-up or additional costs to the respondents other than those reported in </w:t>
      </w:r>
      <w:r w:rsidRPr="00355E1D">
        <w:rPr>
          <w:sz w:val="24"/>
          <w:szCs w:val="24"/>
        </w:rPr>
        <w:tab/>
      </w:r>
      <w:r w:rsidRPr="00355E1D">
        <w:rPr>
          <w:sz w:val="24"/>
          <w:szCs w:val="24"/>
        </w:rPr>
        <w:tab/>
      </w:r>
      <w:r w:rsidRPr="00355E1D">
        <w:rPr>
          <w:sz w:val="24"/>
          <w:szCs w:val="24"/>
        </w:rPr>
        <w:tab/>
      </w:r>
      <w:r>
        <w:rPr>
          <w:sz w:val="24"/>
          <w:szCs w:val="24"/>
        </w:rPr>
        <w:tab/>
      </w:r>
      <w:r>
        <w:rPr>
          <w:sz w:val="24"/>
          <w:szCs w:val="24"/>
        </w:rPr>
        <w:tab/>
      </w:r>
      <w:r w:rsidRPr="00355E1D">
        <w:rPr>
          <w:sz w:val="24"/>
          <w:szCs w:val="24"/>
        </w:rPr>
        <w:t>Item 12 above in the Burden Cost Column.  The GS-14-1 wage was used for this</w:t>
      </w:r>
      <w:r w:rsidRPr="00355E1D">
        <w:rPr>
          <w:sz w:val="24"/>
          <w:szCs w:val="24"/>
        </w:rPr>
        <w:tab/>
      </w:r>
      <w:r w:rsidRPr="00355E1D">
        <w:rPr>
          <w:sz w:val="24"/>
          <w:szCs w:val="24"/>
        </w:rPr>
        <w:tab/>
      </w:r>
      <w:r w:rsidRPr="00355E1D">
        <w:rPr>
          <w:sz w:val="24"/>
          <w:szCs w:val="24"/>
        </w:rPr>
        <w:tab/>
      </w:r>
      <w:r w:rsidRPr="00355E1D">
        <w:rPr>
          <w:sz w:val="24"/>
          <w:szCs w:val="24"/>
        </w:rPr>
        <w:tab/>
      </w:r>
      <w:r>
        <w:rPr>
          <w:sz w:val="24"/>
          <w:szCs w:val="24"/>
        </w:rPr>
        <w:tab/>
      </w:r>
      <w:r>
        <w:rPr>
          <w:sz w:val="24"/>
          <w:szCs w:val="24"/>
        </w:rPr>
        <w:tab/>
      </w:r>
      <w:r w:rsidRPr="00355E1D">
        <w:rPr>
          <w:sz w:val="24"/>
          <w:szCs w:val="24"/>
        </w:rPr>
        <w:t xml:space="preserve">collection, at $40 per hour.  </w:t>
      </w:r>
    </w:p>
    <w:p w:rsidR="00B03063" w:rsidRDefault="00B03063">
      <w:pPr>
        <w:rPr>
          <w:b/>
          <w:sz w:val="24"/>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B6DBF" w:rsidRDefault="00FB6DBF" w:rsidP="00FB6DBF">
      <w:pPr>
        <w:rPr>
          <w:b/>
          <w:sz w:val="24"/>
          <w:szCs w:val="24"/>
        </w:rPr>
      </w:pPr>
    </w:p>
    <w:p w:rsidR="00FB6DBF" w:rsidRDefault="00FB6DBF" w:rsidP="00FB6DBF">
      <w:pPr>
        <w:rPr>
          <w:sz w:val="24"/>
          <w:szCs w:val="24"/>
        </w:rPr>
      </w:pPr>
      <w:r>
        <w:rPr>
          <w:sz w:val="24"/>
          <w:szCs w:val="24"/>
        </w:rPr>
        <w:tab/>
        <w:t xml:space="preserve">The number of respondents for the Public Housing and Mod Rehab RAD application forms reflected in </w:t>
      </w:r>
      <w:r>
        <w:rPr>
          <w:sz w:val="24"/>
          <w:szCs w:val="24"/>
        </w:rPr>
        <w:tab/>
        <w:t xml:space="preserve">the chart below indicates the amount of </w:t>
      </w:r>
      <w:r>
        <w:rPr>
          <w:i/>
          <w:sz w:val="24"/>
          <w:szCs w:val="24"/>
        </w:rPr>
        <w:t>expected</w:t>
      </w:r>
      <w:r>
        <w:rPr>
          <w:sz w:val="24"/>
          <w:szCs w:val="24"/>
        </w:rPr>
        <w:t xml:space="preserve"> applicants. Individual application forms must be </w:t>
      </w:r>
      <w:r>
        <w:rPr>
          <w:sz w:val="24"/>
          <w:szCs w:val="24"/>
        </w:rPr>
        <w:tab/>
        <w:t xml:space="preserve">submitted for each Public Housing project seeking conversion under RAD. There are currently </w:t>
      </w:r>
      <w:r>
        <w:rPr>
          <w:sz w:val="24"/>
          <w:szCs w:val="24"/>
        </w:rPr>
        <w:tab/>
        <w:t xml:space="preserve">approximately 7,500 projects in the Public Housing inventory that could apply for RAD, HUD expects </w:t>
      </w:r>
      <w:r>
        <w:rPr>
          <w:sz w:val="24"/>
          <w:szCs w:val="24"/>
        </w:rPr>
        <w:tab/>
        <w:t xml:space="preserve">that applications will be received for 10% of the public housing portfolio or 750 Public Housing </w:t>
      </w:r>
      <w:r>
        <w:rPr>
          <w:sz w:val="24"/>
          <w:szCs w:val="24"/>
        </w:rPr>
        <w:tab/>
        <w:t xml:space="preserve">Applications. Similarly, there are 1,355 existing MOD Rehab expiring contracts that could apply to </w:t>
      </w:r>
      <w:r>
        <w:rPr>
          <w:sz w:val="24"/>
          <w:szCs w:val="24"/>
        </w:rPr>
        <w:tab/>
        <w:t xml:space="preserve">participate in RAD and HUD expects that 5% of the Mod Rehab portfolio will apply under the first </w:t>
      </w:r>
      <w:r>
        <w:rPr>
          <w:sz w:val="24"/>
          <w:szCs w:val="24"/>
        </w:rPr>
        <w:tab/>
        <w:t>component using the Mod Rehab Application or roughly 68 applications.</w:t>
      </w:r>
    </w:p>
    <w:p w:rsidR="00FB6DBF" w:rsidRDefault="00FB6DBF" w:rsidP="00FB6DBF">
      <w:pPr>
        <w:rPr>
          <w:sz w:val="24"/>
          <w:szCs w:val="24"/>
        </w:rPr>
      </w:pPr>
      <w:r>
        <w:rPr>
          <w:sz w:val="24"/>
          <w:szCs w:val="24"/>
        </w:rPr>
        <w:tab/>
      </w:r>
    </w:p>
    <w:p w:rsidR="00FB6DBF" w:rsidRDefault="00FB6DBF" w:rsidP="00FB6DBF">
      <w:pPr>
        <w:rPr>
          <w:sz w:val="24"/>
          <w:szCs w:val="24"/>
        </w:rPr>
      </w:pPr>
      <w:r>
        <w:rPr>
          <w:sz w:val="24"/>
          <w:szCs w:val="24"/>
        </w:rPr>
        <w:tab/>
        <w:t xml:space="preserve">The automated form takes approximately three hours to review by a GS-12 Step 1 at an hourly salary of </w:t>
      </w:r>
      <w:r>
        <w:rPr>
          <w:sz w:val="24"/>
          <w:szCs w:val="24"/>
        </w:rPr>
        <w:tab/>
        <w:t xml:space="preserve">$35.88.  The expected cost to the federal government is therefore $88.050.  There are no additional costs </w:t>
      </w:r>
      <w:r>
        <w:rPr>
          <w:sz w:val="24"/>
          <w:szCs w:val="24"/>
        </w:rPr>
        <w:tab/>
        <w:t>expected for the processin</w:t>
      </w:r>
      <w:r w:rsidR="009F2DBB">
        <w:rPr>
          <w:sz w:val="24"/>
          <w:szCs w:val="24"/>
        </w:rPr>
        <w:t>g of these applications or operational costs associated with this data collection.</w:t>
      </w:r>
      <w:r>
        <w:rPr>
          <w:sz w:val="24"/>
          <w:szCs w:val="24"/>
        </w:rPr>
        <w:t xml:space="preserve"> </w:t>
      </w:r>
    </w:p>
    <w:p w:rsidR="00FB6DBF" w:rsidRDefault="00FB6DBF" w:rsidP="00FB6DBF">
      <w:pPr>
        <w:rPr>
          <w:b/>
          <w:sz w:val="24"/>
          <w:szCs w:val="24"/>
        </w:rPr>
      </w:pPr>
    </w:p>
    <w:p w:rsidR="00FB6DBF" w:rsidRPr="00FB6DBF" w:rsidRDefault="00FB6DBF" w:rsidP="00FB6DBF">
      <w:pPr>
        <w:rPr>
          <w:b/>
          <w:sz w:val="24"/>
          <w:szCs w:val="24"/>
        </w:rPr>
      </w:pPr>
    </w:p>
    <w:tbl>
      <w:tblPr>
        <w:tblStyle w:val="TableGrid"/>
        <w:tblW w:w="11126" w:type="dxa"/>
        <w:tblLayout w:type="fixed"/>
        <w:tblLook w:val="04A0"/>
      </w:tblPr>
      <w:tblGrid>
        <w:gridCol w:w="1872"/>
        <w:gridCol w:w="1368"/>
        <w:gridCol w:w="1260"/>
        <w:gridCol w:w="1170"/>
        <w:gridCol w:w="1440"/>
        <w:gridCol w:w="1170"/>
        <w:gridCol w:w="1406"/>
        <w:gridCol w:w="1440"/>
      </w:tblGrid>
      <w:tr w:rsidR="00FB6DBF" w:rsidTr="009C021D">
        <w:tc>
          <w:tcPr>
            <w:tcW w:w="1872" w:type="dxa"/>
            <w:vAlign w:val="bottom"/>
          </w:tcPr>
          <w:p w:rsidR="00FB6DBF" w:rsidRPr="00391C7D" w:rsidRDefault="00FB6DBF" w:rsidP="009C021D">
            <w:pPr>
              <w:rPr>
                <w:color w:val="000000"/>
                <w:sz w:val="24"/>
                <w:szCs w:val="24"/>
              </w:rPr>
            </w:pPr>
            <w:r w:rsidRPr="00391C7D">
              <w:rPr>
                <w:color w:val="000000"/>
                <w:sz w:val="24"/>
                <w:szCs w:val="24"/>
              </w:rPr>
              <w:t> </w:t>
            </w:r>
            <w:r>
              <w:rPr>
                <w:color w:val="000000"/>
                <w:sz w:val="24"/>
                <w:szCs w:val="24"/>
              </w:rPr>
              <w:t>Type of  Reporting</w:t>
            </w:r>
          </w:p>
        </w:tc>
        <w:tc>
          <w:tcPr>
            <w:tcW w:w="1368" w:type="dxa"/>
            <w:vAlign w:val="bottom"/>
          </w:tcPr>
          <w:p w:rsidR="00FB6DBF" w:rsidRDefault="00FB6DBF" w:rsidP="009C021D">
            <w:pPr>
              <w:rPr>
                <w:color w:val="000000"/>
              </w:rPr>
            </w:pPr>
            <w:r w:rsidRPr="00C112DA">
              <w:rPr>
                <w:color w:val="000000"/>
              </w:rPr>
              <w:t>Respondents</w:t>
            </w:r>
          </w:p>
        </w:tc>
        <w:tc>
          <w:tcPr>
            <w:tcW w:w="1260" w:type="dxa"/>
            <w:vAlign w:val="bottom"/>
          </w:tcPr>
          <w:p w:rsidR="00FB6DBF" w:rsidRDefault="00FB6DBF" w:rsidP="009C021D">
            <w:pPr>
              <w:rPr>
                <w:color w:val="000000"/>
              </w:rPr>
            </w:pPr>
            <w:r w:rsidRPr="00C112DA">
              <w:rPr>
                <w:color w:val="000000"/>
              </w:rPr>
              <w:t>Annual Responses</w:t>
            </w:r>
          </w:p>
        </w:tc>
        <w:tc>
          <w:tcPr>
            <w:tcW w:w="1170" w:type="dxa"/>
            <w:vAlign w:val="bottom"/>
          </w:tcPr>
          <w:p w:rsidR="00FB6DBF" w:rsidRDefault="00FB6DBF" w:rsidP="009C021D">
            <w:pPr>
              <w:rPr>
                <w:color w:val="000000"/>
              </w:rPr>
            </w:pPr>
            <w:r w:rsidRPr="00C112DA">
              <w:rPr>
                <w:color w:val="000000"/>
              </w:rPr>
              <w:t>Total Responses</w:t>
            </w:r>
          </w:p>
        </w:tc>
        <w:tc>
          <w:tcPr>
            <w:tcW w:w="1440" w:type="dxa"/>
            <w:vAlign w:val="bottom"/>
          </w:tcPr>
          <w:p w:rsidR="00FB6DBF" w:rsidRDefault="00FB6DBF" w:rsidP="009C021D">
            <w:pPr>
              <w:rPr>
                <w:color w:val="000000"/>
              </w:rPr>
            </w:pPr>
            <w:r w:rsidRPr="00C112DA">
              <w:rPr>
                <w:color w:val="000000"/>
              </w:rPr>
              <w:t>Burden Hours per Response</w:t>
            </w:r>
          </w:p>
        </w:tc>
        <w:tc>
          <w:tcPr>
            <w:tcW w:w="1170" w:type="dxa"/>
            <w:vAlign w:val="bottom"/>
          </w:tcPr>
          <w:p w:rsidR="00FB6DBF" w:rsidRDefault="00FB6DBF" w:rsidP="009C021D">
            <w:pPr>
              <w:rPr>
                <w:color w:val="000000"/>
              </w:rPr>
            </w:pPr>
            <w:r w:rsidRPr="00C112DA">
              <w:rPr>
                <w:color w:val="000000"/>
              </w:rPr>
              <w:t>Total Burden Hours</w:t>
            </w:r>
          </w:p>
        </w:tc>
        <w:tc>
          <w:tcPr>
            <w:tcW w:w="1406" w:type="dxa"/>
            <w:vAlign w:val="bottom"/>
          </w:tcPr>
          <w:p w:rsidR="00FB6DBF" w:rsidRDefault="00FB6DBF" w:rsidP="009C021D">
            <w:pPr>
              <w:rPr>
                <w:color w:val="000000"/>
              </w:rPr>
            </w:pPr>
            <w:r w:rsidRPr="00C112DA">
              <w:rPr>
                <w:color w:val="000000"/>
              </w:rPr>
              <w:t>Salary</w:t>
            </w:r>
          </w:p>
          <w:p w:rsidR="00FB6DBF" w:rsidRDefault="00FB6DBF" w:rsidP="009C021D">
            <w:pPr>
              <w:rPr>
                <w:color w:val="000000"/>
              </w:rPr>
            </w:pPr>
            <w:r w:rsidRPr="00C112DA">
              <w:rPr>
                <w:color w:val="000000"/>
              </w:rPr>
              <w:t>(per hour)</w:t>
            </w:r>
          </w:p>
        </w:tc>
        <w:tc>
          <w:tcPr>
            <w:tcW w:w="1440" w:type="dxa"/>
            <w:vAlign w:val="bottom"/>
          </w:tcPr>
          <w:p w:rsidR="00FB6DBF" w:rsidRDefault="00FB6DBF" w:rsidP="009C021D">
            <w:pPr>
              <w:rPr>
                <w:color w:val="000000"/>
              </w:rPr>
            </w:pPr>
            <w:r w:rsidRPr="00C112DA">
              <w:rPr>
                <w:color w:val="000000"/>
              </w:rPr>
              <w:t>Total Burden Cost</w:t>
            </w:r>
          </w:p>
        </w:tc>
      </w:tr>
      <w:tr w:rsidR="00FB6DBF" w:rsidTr="009C021D">
        <w:trPr>
          <w:trHeight w:val="710"/>
        </w:trPr>
        <w:tc>
          <w:tcPr>
            <w:tcW w:w="1872" w:type="dxa"/>
            <w:vAlign w:val="bottom"/>
          </w:tcPr>
          <w:p w:rsidR="00FB6DBF" w:rsidRPr="00391C7D" w:rsidRDefault="00FB6DBF" w:rsidP="009C021D">
            <w:pPr>
              <w:rPr>
                <w:b/>
                <w:bCs/>
                <w:color w:val="000000"/>
              </w:rPr>
            </w:pPr>
            <w:r w:rsidRPr="00391C7D">
              <w:rPr>
                <w:b/>
                <w:bCs/>
                <w:color w:val="000000"/>
              </w:rPr>
              <w:t>Public Housing RAD-Application Form</w:t>
            </w:r>
          </w:p>
        </w:tc>
        <w:tc>
          <w:tcPr>
            <w:tcW w:w="1368" w:type="dxa"/>
            <w:vAlign w:val="bottom"/>
          </w:tcPr>
          <w:p w:rsidR="00FB6DBF" w:rsidRDefault="00FB6DBF" w:rsidP="00FB6DBF">
            <w:pPr>
              <w:rPr>
                <w:color w:val="000000"/>
                <w:sz w:val="24"/>
                <w:szCs w:val="24"/>
              </w:rPr>
            </w:pPr>
            <w:r>
              <w:rPr>
                <w:color w:val="000000"/>
                <w:sz w:val="24"/>
                <w:szCs w:val="24"/>
              </w:rPr>
              <w:t>750</w:t>
            </w:r>
          </w:p>
        </w:tc>
        <w:tc>
          <w:tcPr>
            <w:tcW w:w="1260" w:type="dxa"/>
            <w:vAlign w:val="bottom"/>
          </w:tcPr>
          <w:p w:rsidR="00FB6DBF" w:rsidRDefault="00FB6DBF" w:rsidP="009C021D">
            <w:pPr>
              <w:rPr>
                <w:color w:val="000000"/>
                <w:sz w:val="24"/>
                <w:szCs w:val="24"/>
              </w:rPr>
            </w:pPr>
            <w:r>
              <w:rPr>
                <w:color w:val="000000"/>
                <w:sz w:val="24"/>
                <w:szCs w:val="24"/>
              </w:rPr>
              <w:t>1</w:t>
            </w:r>
          </w:p>
        </w:tc>
        <w:tc>
          <w:tcPr>
            <w:tcW w:w="1170" w:type="dxa"/>
            <w:vAlign w:val="bottom"/>
          </w:tcPr>
          <w:p w:rsidR="00FB6DBF" w:rsidRDefault="00FB6DBF" w:rsidP="009C021D">
            <w:pPr>
              <w:rPr>
                <w:color w:val="000000"/>
                <w:sz w:val="24"/>
                <w:szCs w:val="24"/>
              </w:rPr>
            </w:pPr>
            <w:r>
              <w:rPr>
                <w:color w:val="000000"/>
                <w:sz w:val="24"/>
                <w:szCs w:val="24"/>
              </w:rPr>
              <w:t>750</w:t>
            </w:r>
          </w:p>
        </w:tc>
        <w:tc>
          <w:tcPr>
            <w:tcW w:w="1440" w:type="dxa"/>
            <w:vAlign w:val="bottom"/>
          </w:tcPr>
          <w:p w:rsidR="00FB6DBF" w:rsidRDefault="00FB6DBF" w:rsidP="009C021D">
            <w:pPr>
              <w:rPr>
                <w:color w:val="000000"/>
                <w:sz w:val="24"/>
                <w:szCs w:val="24"/>
              </w:rPr>
            </w:pPr>
            <w:r>
              <w:rPr>
                <w:color w:val="000000"/>
                <w:sz w:val="24"/>
                <w:szCs w:val="24"/>
              </w:rPr>
              <w:t>3</w:t>
            </w:r>
          </w:p>
        </w:tc>
        <w:tc>
          <w:tcPr>
            <w:tcW w:w="1170" w:type="dxa"/>
            <w:vAlign w:val="bottom"/>
          </w:tcPr>
          <w:p w:rsidR="00FB6DBF" w:rsidRDefault="00FB6DBF" w:rsidP="00FB6DBF">
            <w:pPr>
              <w:rPr>
                <w:color w:val="000000"/>
                <w:sz w:val="24"/>
                <w:szCs w:val="24"/>
              </w:rPr>
            </w:pPr>
            <w:r>
              <w:rPr>
                <w:color w:val="000000"/>
                <w:sz w:val="24"/>
                <w:szCs w:val="24"/>
              </w:rPr>
              <w:t>2250</w:t>
            </w:r>
          </w:p>
        </w:tc>
        <w:tc>
          <w:tcPr>
            <w:tcW w:w="1406" w:type="dxa"/>
            <w:vAlign w:val="bottom"/>
          </w:tcPr>
          <w:p w:rsidR="00FB6DBF" w:rsidRDefault="00FB6DBF" w:rsidP="00FB6DBF">
            <w:pPr>
              <w:ind w:left="-65" w:firstLine="65"/>
              <w:rPr>
                <w:color w:val="000000"/>
                <w:sz w:val="24"/>
                <w:szCs w:val="24"/>
              </w:rPr>
            </w:pPr>
            <w:r>
              <w:rPr>
                <w:color w:val="000000"/>
                <w:sz w:val="24"/>
                <w:szCs w:val="24"/>
              </w:rPr>
              <w:t>$35.88</w:t>
            </w:r>
          </w:p>
        </w:tc>
        <w:tc>
          <w:tcPr>
            <w:tcW w:w="1440" w:type="dxa"/>
            <w:vAlign w:val="bottom"/>
          </w:tcPr>
          <w:p w:rsidR="00FB6DBF" w:rsidRDefault="00FB6DBF" w:rsidP="00FB6DBF">
            <w:pPr>
              <w:rPr>
                <w:color w:val="000000"/>
                <w:sz w:val="24"/>
                <w:szCs w:val="24"/>
              </w:rPr>
            </w:pPr>
            <w:r>
              <w:rPr>
                <w:color w:val="000000"/>
                <w:sz w:val="24"/>
                <w:szCs w:val="24"/>
              </w:rPr>
              <w:t>$80,730</w:t>
            </w:r>
          </w:p>
        </w:tc>
      </w:tr>
      <w:tr w:rsidR="00FB6DBF" w:rsidTr="009C021D">
        <w:tc>
          <w:tcPr>
            <w:tcW w:w="1872" w:type="dxa"/>
            <w:vAlign w:val="bottom"/>
          </w:tcPr>
          <w:p w:rsidR="00FB6DBF" w:rsidRPr="00391C7D" w:rsidRDefault="00FB6DBF" w:rsidP="009C021D">
            <w:pPr>
              <w:rPr>
                <w:b/>
                <w:color w:val="000000"/>
              </w:rPr>
            </w:pPr>
            <w:r w:rsidRPr="00391C7D">
              <w:rPr>
                <w:color w:val="000000"/>
                <w:sz w:val="24"/>
                <w:szCs w:val="24"/>
              </w:rPr>
              <w:t> </w:t>
            </w:r>
            <w:r w:rsidRPr="00391C7D">
              <w:rPr>
                <w:b/>
                <w:color w:val="000000"/>
              </w:rPr>
              <w:t>MOD Rehab-RAD Application Form</w:t>
            </w:r>
          </w:p>
        </w:tc>
        <w:tc>
          <w:tcPr>
            <w:tcW w:w="1368" w:type="dxa"/>
            <w:vAlign w:val="bottom"/>
          </w:tcPr>
          <w:p w:rsidR="00FB6DBF" w:rsidRDefault="00FB6DBF" w:rsidP="009C021D">
            <w:pPr>
              <w:rPr>
                <w:color w:val="000000"/>
                <w:sz w:val="24"/>
                <w:szCs w:val="24"/>
              </w:rPr>
            </w:pPr>
            <w:r>
              <w:rPr>
                <w:color w:val="000000"/>
                <w:sz w:val="24"/>
                <w:szCs w:val="24"/>
              </w:rPr>
              <w:t>68</w:t>
            </w:r>
          </w:p>
        </w:tc>
        <w:tc>
          <w:tcPr>
            <w:tcW w:w="1260" w:type="dxa"/>
            <w:vAlign w:val="bottom"/>
          </w:tcPr>
          <w:p w:rsidR="00FB6DBF" w:rsidRDefault="00FB6DBF" w:rsidP="009C021D">
            <w:pPr>
              <w:rPr>
                <w:color w:val="000000"/>
                <w:sz w:val="24"/>
                <w:szCs w:val="24"/>
              </w:rPr>
            </w:pPr>
            <w:r>
              <w:rPr>
                <w:color w:val="000000"/>
                <w:sz w:val="24"/>
                <w:szCs w:val="24"/>
              </w:rPr>
              <w:t>1</w:t>
            </w:r>
          </w:p>
        </w:tc>
        <w:tc>
          <w:tcPr>
            <w:tcW w:w="1170" w:type="dxa"/>
            <w:vAlign w:val="bottom"/>
          </w:tcPr>
          <w:p w:rsidR="00FB6DBF" w:rsidRDefault="00FB6DBF" w:rsidP="009C021D">
            <w:pPr>
              <w:rPr>
                <w:color w:val="000000"/>
                <w:sz w:val="24"/>
                <w:szCs w:val="24"/>
              </w:rPr>
            </w:pPr>
            <w:r>
              <w:rPr>
                <w:color w:val="000000"/>
                <w:sz w:val="24"/>
                <w:szCs w:val="24"/>
              </w:rPr>
              <w:t>68</w:t>
            </w:r>
          </w:p>
        </w:tc>
        <w:tc>
          <w:tcPr>
            <w:tcW w:w="1440" w:type="dxa"/>
            <w:vAlign w:val="bottom"/>
          </w:tcPr>
          <w:p w:rsidR="00FB6DBF" w:rsidRDefault="00FB6DBF" w:rsidP="009C021D">
            <w:pPr>
              <w:rPr>
                <w:color w:val="000000"/>
                <w:sz w:val="24"/>
                <w:szCs w:val="24"/>
              </w:rPr>
            </w:pPr>
            <w:r>
              <w:rPr>
                <w:color w:val="000000"/>
                <w:sz w:val="24"/>
                <w:szCs w:val="24"/>
              </w:rPr>
              <w:t>3</w:t>
            </w:r>
          </w:p>
        </w:tc>
        <w:tc>
          <w:tcPr>
            <w:tcW w:w="1170" w:type="dxa"/>
            <w:vAlign w:val="bottom"/>
          </w:tcPr>
          <w:p w:rsidR="00FB6DBF" w:rsidRDefault="00FB6DBF" w:rsidP="009C021D">
            <w:pPr>
              <w:rPr>
                <w:color w:val="000000"/>
                <w:sz w:val="24"/>
                <w:szCs w:val="24"/>
              </w:rPr>
            </w:pPr>
            <w:r>
              <w:rPr>
                <w:color w:val="000000"/>
                <w:sz w:val="24"/>
                <w:szCs w:val="24"/>
              </w:rPr>
              <w:t>204</w:t>
            </w:r>
          </w:p>
        </w:tc>
        <w:tc>
          <w:tcPr>
            <w:tcW w:w="1406" w:type="dxa"/>
            <w:vAlign w:val="bottom"/>
          </w:tcPr>
          <w:p w:rsidR="00FB6DBF" w:rsidRDefault="00FB6DBF" w:rsidP="009C021D">
            <w:pPr>
              <w:rPr>
                <w:color w:val="000000"/>
                <w:sz w:val="24"/>
                <w:szCs w:val="24"/>
              </w:rPr>
            </w:pPr>
            <w:r>
              <w:rPr>
                <w:color w:val="000000"/>
                <w:sz w:val="24"/>
                <w:szCs w:val="24"/>
              </w:rPr>
              <w:t>$35.88</w:t>
            </w:r>
          </w:p>
        </w:tc>
        <w:tc>
          <w:tcPr>
            <w:tcW w:w="1440" w:type="dxa"/>
            <w:vAlign w:val="bottom"/>
          </w:tcPr>
          <w:p w:rsidR="00FB6DBF" w:rsidRDefault="00FB6DBF" w:rsidP="00FB6DBF">
            <w:pPr>
              <w:rPr>
                <w:color w:val="000000"/>
                <w:sz w:val="24"/>
                <w:szCs w:val="24"/>
              </w:rPr>
            </w:pPr>
            <w:r>
              <w:rPr>
                <w:color w:val="000000"/>
                <w:sz w:val="24"/>
                <w:szCs w:val="24"/>
              </w:rPr>
              <w:t>$7,320</w:t>
            </w:r>
          </w:p>
        </w:tc>
      </w:tr>
      <w:tr w:rsidR="00FB6DBF" w:rsidTr="009C021D">
        <w:tc>
          <w:tcPr>
            <w:tcW w:w="1872" w:type="dxa"/>
            <w:vAlign w:val="bottom"/>
          </w:tcPr>
          <w:p w:rsidR="00FB6DBF" w:rsidRPr="00391C7D" w:rsidRDefault="00FB6DBF" w:rsidP="009C021D">
            <w:pPr>
              <w:rPr>
                <w:color w:val="000000"/>
                <w:sz w:val="24"/>
                <w:szCs w:val="24"/>
              </w:rPr>
            </w:pPr>
            <w:r>
              <w:rPr>
                <w:color w:val="000000"/>
                <w:sz w:val="24"/>
                <w:szCs w:val="24"/>
              </w:rPr>
              <w:t>Total</w:t>
            </w:r>
          </w:p>
        </w:tc>
        <w:tc>
          <w:tcPr>
            <w:tcW w:w="1368" w:type="dxa"/>
            <w:vAlign w:val="bottom"/>
          </w:tcPr>
          <w:p w:rsidR="00FB6DBF" w:rsidRDefault="00FB6DBF" w:rsidP="00A05F5D">
            <w:pPr>
              <w:rPr>
                <w:b/>
                <w:color w:val="000000"/>
                <w:sz w:val="24"/>
                <w:szCs w:val="24"/>
              </w:rPr>
            </w:pPr>
            <w:r>
              <w:rPr>
                <w:b/>
                <w:color w:val="000000"/>
                <w:sz w:val="24"/>
                <w:szCs w:val="24"/>
              </w:rPr>
              <w:t>8</w:t>
            </w:r>
            <w:r w:rsidR="00A05F5D">
              <w:rPr>
                <w:b/>
                <w:color w:val="000000"/>
                <w:sz w:val="24"/>
                <w:szCs w:val="24"/>
              </w:rPr>
              <w:t>18</w:t>
            </w:r>
          </w:p>
        </w:tc>
        <w:tc>
          <w:tcPr>
            <w:tcW w:w="1260" w:type="dxa"/>
            <w:vAlign w:val="bottom"/>
          </w:tcPr>
          <w:p w:rsidR="00FB6DBF" w:rsidRDefault="00FB6DBF" w:rsidP="009C021D">
            <w:pPr>
              <w:rPr>
                <w:color w:val="000000"/>
                <w:sz w:val="24"/>
                <w:szCs w:val="24"/>
              </w:rPr>
            </w:pPr>
          </w:p>
        </w:tc>
        <w:tc>
          <w:tcPr>
            <w:tcW w:w="1170" w:type="dxa"/>
            <w:vAlign w:val="bottom"/>
          </w:tcPr>
          <w:p w:rsidR="00FB6DBF" w:rsidRDefault="00FB6DBF" w:rsidP="009C021D">
            <w:pPr>
              <w:rPr>
                <w:b/>
                <w:color w:val="000000"/>
                <w:sz w:val="24"/>
                <w:szCs w:val="24"/>
              </w:rPr>
            </w:pPr>
            <w:r>
              <w:rPr>
                <w:b/>
                <w:color w:val="000000"/>
                <w:sz w:val="24"/>
                <w:szCs w:val="24"/>
              </w:rPr>
              <w:t>818</w:t>
            </w:r>
          </w:p>
        </w:tc>
        <w:tc>
          <w:tcPr>
            <w:tcW w:w="1440" w:type="dxa"/>
            <w:vAlign w:val="bottom"/>
          </w:tcPr>
          <w:p w:rsidR="00FB6DBF" w:rsidRDefault="00FB6DBF" w:rsidP="009C021D">
            <w:pPr>
              <w:rPr>
                <w:color w:val="000000"/>
                <w:sz w:val="24"/>
                <w:szCs w:val="24"/>
              </w:rPr>
            </w:pPr>
          </w:p>
        </w:tc>
        <w:tc>
          <w:tcPr>
            <w:tcW w:w="1170" w:type="dxa"/>
            <w:vAlign w:val="bottom"/>
          </w:tcPr>
          <w:p w:rsidR="00FB6DBF" w:rsidRDefault="00A05F5D" w:rsidP="009C021D">
            <w:pPr>
              <w:rPr>
                <w:b/>
                <w:color w:val="000000"/>
                <w:sz w:val="24"/>
                <w:szCs w:val="24"/>
              </w:rPr>
            </w:pPr>
            <w:r>
              <w:rPr>
                <w:b/>
                <w:color w:val="000000"/>
                <w:sz w:val="24"/>
                <w:szCs w:val="24"/>
              </w:rPr>
              <w:t>2</w:t>
            </w:r>
            <w:r w:rsidR="00774BF8">
              <w:rPr>
                <w:b/>
                <w:color w:val="000000"/>
                <w:sz w:val="24"/>
                <w:szCs w:val="24"/>
              </w:rPr>
              <w:t>,</w:t>
            </w:r>
            <w:r>
              <w:rPr>
                <w:b/>
                <w:color w:val="000000"/>
                <w:sz w:val="24"/>
                <w:szCs w:val="24"/>
              </w:rPr>
              <w:t>454</w:t>
            </w:r>
          </w:p>
        </w:tc>
        <w:tc>
          <w:tcPr>
            <w:tcW w:w="1406" w:type="dxa"/>
            <w:vAlign w:val="bottom"/>
          </w:tcPr>
          <w:p w:rsidR="00FB6DBF" w:rsidRDefault="00FB6DBF" w:rsidP="009C021D">
            <w:pPr>
              <w:rPr>
                <w:b/>
                <w:color w:val="000000"/>
                <w:sz w:val="24"/>
                <w:szCs w:val="24"/>
              </w:rPr>
            </w:pPr>
          </w:p>
        </w:tc>
        <w:tc>
          <w:tcPr>
            <w:tcW w:w="1440" w:type="dxa"/>
            <w:vAlign w:val="bottom"/>
          </w:tcPr>
          <w:p w:rsidR="00FB6DBF" w:rsidRDefault="00FB6DBF" w:rsidP="00FB6DBF">
            <w:pPr>
              <w:rPr>
                <w:b/>
                <w:color w:val="000000"/>
                <w:sz w:val="24"/>
                <w:szCs w:val="24"/>
              </w:rPr>
            </w:pPr>
            <w:r w:rsidRPr="00305133">
              <w:rPr>
                <w:b/>
                <w:color w:val="000000"/>
                <w:sz w:val="24"/>
                <w:szCs w:val="24"/>
              </w:rPr>
              <w:t>$</w:t>
            </w:r>
            <w:r>
              <w:rPr>
                <w:b/>
                <w:color w:val="000000"/>
                <w:sz w:val="24"/>
                <w:szCs w:val="24"/>
              </w:rPr>
              <w:t>88,050</w:t>
            </w:r>
          </w:p>
        </w:tc>
      </w:tr>
    </w:tbl>
    <w:p w:rsidR="00B03063" w:rsidRDefault="00B03063">
      <w:pPr>
        <w:rPr>
          <w:b/>
          <w:sz w:val="24"/>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 xml:space="preserve">Explain the reasons for any program changes or adjustments reported in Items 13 or 14 of the OMB Form 83-I. </w:t>
      </w:r>
    </w:p>
    <w:p w:rsidR="00B03063" w:rsidRDefault="00B03063">
      <w:pPr>
        <w:rPr>
          <w:sz w:val="24"/>
          <w:szCs w:val="24"/>
        </w:rPr>
      </w:pPr>
    </w:p>
    <w:p w:rsidR="00B03063" w:rsidRDefault="00355E1D">
      <w:pPr>
        <w:rPr>
          <w:sz w:val="24"/>
          <w:szCs w:val="24"/>
        </w:rPr>
      </w:pPr>
      <w:r>
        <w:rPr>
          <w:sz w:val="24"/>
          <w:szCs w:val="24"/>
        </w:rPr>
        <w:tab/>
      </w:r>
      <w:r w:rsidRPr="006A2B11">
        <w:rPr>
          <w:sz w:val="24"/>
          <w:szCs w:val="24"/>
        </w:rPr>
        <w:t>Not applicable</w:t>
      </w:r>
      <w:r>
        <w:rPr>
          <w:sz w:val="24"/>
          <w:szCs w:val="24"/>
        </w:rPr>
        <w:t>.</w:t>
      </w:r>
    </w:p>
    <w:p w:rsidR="00B03063" w:rsidRDefault="00B03063">
      <w:pPr>
        <w:pStyle w:val="BodyTextIndent2"/>
        <w:tabs>
          <w:tab w:val="left" w:pos="360"/>
        </w:tabs>
        <w:spacing w:line="240" w:lineRule="auto"/>
        <w:ind w:left="0"/>
        <w:rPr>
          <w:rFonts w:eastAsiaTheme="minorHAnsi"/>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 xml:space="preserve">For collections of information whose results will be published, outline plans for tabulation and publication. Address any complex analytical techniques that will be used. Provide the time </w:t>
      </w:r>
      <w:r w:rsidRPr="00C94FA4">
        <w:rPr>
          <w:rFonts w:ascii="Times New Roman" w:hAnsi="Times New Roman" w:cs="Times New Roman"/>
          <w:b/>
          <w:sz w:val="24"/>
          <w:szCs w:val="24"/>
        </w:rPr>
        <w:lastRenderedPageBreak/>
        <w:t>schedule for the entire project, including beginning and ending dates of the collection of information, completion of report, publication dates, and other actions.</w:t>
      </w:r>
    </w:p>
    <w:p w:rsidR="00B03063" w:rsidRDefault="00355E1D">
      <w:pPr>
        <w:pStyle w:val="BodyTextIndent2"/>
        <w:tabs>
          <w:tab w:val="left" w:pos="360"/>
        </w:tabs>
        <w:spacing w:line="240" w:lineRule="auto"/>
        <w:ind w:left="0"/>
        <w:rPr>
          <w:szCs w:val="24"/>
        </w:rPr>
      </w:pPr>
      <w:r w:rsidRPr="006A2B11">
        <w:rPr>
          <w:szCs w:val="24"/>
        </w:rPr>
        <w:tab/>
      </w:r>
    </w:p>
    <w:p w:rsidR="00B03063" w:rsidRDefault="00355E1D">
      <w:pPr>
        <w:pStyle w:val="BodyTextIndent2"/>
        <w:tabs>
          <w:tab w:val="left" w:pos="360"/>
        </w:tabs>
        <w:spacing w:line="240" w:lineRule="auto"/>
        <w:ind w:left="0"/>
        <w:rPr>
          <w:sz w:val="24"/>
          <w:szCs w:val="24"/>
        </w:rPr>
      </w:pPr>
      <w:r>
        <w:rPr>
          <w:szCs w:val="24"/>
        </w:rPr>
        <w:tab/>
      </w:r>
      <w:r>
        <w:rPr>
          <w:szCs w:val="24"/>
        </w:rPr>
        <w:tab/>
      </w:r>
      <w:r w:rsidRPr="00355E1D">
        <w:rPr>
          <w:sz w:val="24"/>
          <w:szCs w:val="24"/>
        </w:rPr>
        <w:t xml:space="preserve">Information collection results will not be published. </w:t>
      </w:r>
    </w:p>
    <w:p w:rsidR="00B03063" w:rsidRDefault="00B03063">
      <w:pPr>
        <w:rPr>
          <w:b/>
          <w:sz w:val="24"/>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B03063" w:rsidRDefault="00B03063">
      <w:pPr>
        <w:pStyle w:val="BodyTextIndent2"/>
        <w:tabs>
          <w:tab w:val="left" w:pos="360"/>
        </w:tabs>
        <w:spacing w:line="240" w:lineRule="auto"/>
        <w:ind w:left="0"/>
        <w:rPr>
          <w:szCs w:val="24"/>
        </w:rPr>
      </w:pPr>
    </w:p>
    <w:p w:rsidR="00B03063" w:rsidRDefault="00355E1D">
      <w:pPr>
        <w:pStyle w:val="BodyTextIndent2"/>
        <w:tabs>
          <w:tab w:val="left" w:pos="360"/>
        </w:tabs>
        <w:spacing w:line="240" w:lineRule="auto"/>
        <w:ind w:left="0"/>
        <w:rPr>
          <w:sz w:val="24"/>
          <w:szCs w:val="24"/>
        </w:rPr>
      </w:pPr>
      <w:r>
        <w:rPr>
          <w:szCs w:val="24"/>
        </w:rPr>
        <w:tab/>
      </w:r>
      <w:r>
        <w:rPr>
          <w:szCs w:val="24"/>
        </w:rPr>
        <w:tab/>
      </w:r>
      <w:r w:rsidRPr="00355E1D">
        <w:rPr>
          <w:sz w:val="24"/>
          <w:szCs w:val="24"/>
        </w:rPr>
        <w:t>The OMB approval number and date will appear on the HUD-prescribed forms.</w:t>
      </w:r>
    </w:p>
    <w:p w:rsidR="00B03063" w:rsidRDefault="00B03063">
      <w:pPr>
        <w:pStyle w:val="BodyTextIndent2"/>
        <w:tabs>
          <w:tab w:val="left" w:pos="360"/>
        </w:tabs>
        <w:spacing w:line="240" w:lineRule="auto"/>
        <w:ind w:left="0"/>
        <w:rPr>
          <w:szCs w:val="24"/>
        </w:rPr>
      </w:pPr>
    </w:p>
    <w:p w:rsidR="00B03063" w:rsidRDefault="00355E1D">
      <w:pPr>
        <w:pStyle w:val="BodyTextIndent2"/>
        <w:widowControl w:val="0"/>
        <w:numPr>
          <w:ilvl w:val="0"/>
          <w:numId w:val="11"/>
        </w:numPr>
        <w:tabs>
          <w:tab w:val="left" w:pos="-720"/>
          <w:tab w:val="left" w:pos="360"/>
        </w:tabs>
        <w:suppressAutoHyphens/>
        <w:spacing w:line="240" w:lineRule="auto"/>
        <w:rPr>
          <w:sz w:val="24"/>
          <w:szCs w:val="24"/>
        </w:rPr>
      </w:pPr>
      <w:r w:rsidRPr="00355E1D">
        <w:rPr>
          <w:b/>
          <w:sz w:val="24"/>
          <w:szCs w:val="24"/>
        </w:rPr>
        <w:t xml:space="preserve"> Explain each exception to the certification statement identified in Item 19, "Certification for Paperwork Reduction Act Submissions," of OMB Form 83-I.</w:t>
      </w:r>
    </w:p>
    <w:p w:rsidR="00B03063" w:rsidRDefault="00355E1D">
      <w:pPr>
        <w:pStyle w:val="BodyTextIndent2"/>
        <w:tabs>
          <w:tab w:val="left" w:pos="360"/>
        </w:tabs>
        <w:spacing w:line="240" w:lineRule="auto"/>
        <w:ind w:left="0"/>
        <w:rPr>
          <w:sz w:val="24"/>
          <w:szCs w:val="24"/>
        </w:rPr>
      </w:pPr>
      <w:r w:rsidRPr="00355E1D">
        <w:rPr>
          <w:sz w:val="24"/>
          <w:szCs w:val="24"/>
        </w:rPr>
        <w:tab/>
      </w:r>
    </w:p>
    <w:p w:rsidR="00B03063" w:rsidRDefault="00355E1D">
      <w:pPr>
        <w:rPr>
          <w:bCs/>
          <w:sz w:val="24"/>
          <w:szCs w:val="24"/>
        </w:rPr>
      </w:pPr>
      <w:r w:rsidRPr="00355E1D">
        <w:rPr>
          <w:bCs/>
          <w:sz w:val="24"/>
          <w:szCs w:val="24"/>
        </w:rPr>
        <w:tab/>
        <w:t>There are no exceptions to the certification statement.</w:t>
      </w:r>
    </w:p>
    <w:p w:rsidR="00B03063" w:rsidRDefault="00355E1D">
      <w:pPr>
        <w:pStyle w:val="BodyTextIndent2"/>
        <w:tabs>
          <w:tab w:val="left" w:pos="360"/>
        </w:tabs>
        <w:spacing w:line="240" w:lineRule="auto"/>
        <w:ind w:left="0"/>
        <w:rPr>
          <w:rFonts w:eastAsiaTheme="minorHAnsi"/>
          <w:sz w:val="24"/>
          <w:szCs w:val="24"/>
        </w:rPr>
      </w:pPr>
      <w:r w:rsidRPr="00355E1D">
        <w:rPr>
          <w:rFonts w:eastAsiaTheme="minorHAnsi"/>
          <w:sz w:val="24"/>
          <w:szCs w:val="24"/>
        </w:rPr>
        <w:tab/>
      </w:r>
    </w:p>
    <w:p w:rsidR="00B03063" w:rsidRDefault="00355E1D">
      <w:pPr>
        <w:pStyle w:val="BodyTextIndent2"/>
        <w:tabs>
          <w:tab w:val="left" w:pos="360"/>
        </w:tabs>
        <w:spacing w:line="240" w:lineRule="auto"/>
        <w:ind w:left="0"/>
        <w:rPr>
          <w:sz w:val="24"/>
          <w:szCs w:val="24"/>
        </w:rPr>
      </w:pPr>
      <w:r w:rsidRPr="00355E1D">
        <w:rPr>
          <w:b/>
          <w:sz w:val="24"/>
          <w:szCs w:val="24"/>
        </w:rPr>
        <w:tab/>
        <w:t xml:space="preserve">B. </w:t>
      </w:r>
      <w:r w:rsidRPr="00355E1D">
        <w:rPr>
          <w:b/>
          <w:sz w:val="24"/>
          <w:szCs w:val="24"/>
        </w:rPr>
        <w:tab/>
        <w:t>Collections of Information Employing Statistical Methods</w:t>
      </w:r>
    </w:p>
    <w:p w:rsidR="00B03063" w:rsidRDefault="00355E1D">
      <w:pPr>
        <w:pStyle w:val="BodyTextIndent2"/>
        <w:tabs>
          <w:tab w:val="left" w:pos="360"/>
        </w:tabs>
        <w:spacing w:line="240" w:lineRule="auto"/>
        <w:ind w:left="0"/>
        <w:rPr>
          <w:sz w:val="24"/>
          <w:szCs w:val="24"/>
        </w:rPr>
      </w:pPr>
      <w:r w:rsidRPr="00355E1D">
        <w:rPr>
          <w:sz w:val="24"/>
          <w:szCs w:val="24"/>
        </w:rPr>
        <w:tab/>
      </w:r>
      <w:r w:rsidRPr="00355E1D">
        <w:rPr>
          <w:sz w:val="24"/>
          <w:szCs w:val="24"/>
        </w:rPr>
        <w:tab/>
        <w:t>There are no collections of information that employ statistical methods.</w:t>
      </w:r>
    </w:p>
    <w:p w:rsidR="00C53525" w:rsidRPr="00355E1D" w:rsidRDefault="00C53525" w:rsidP="008105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24"/>
          <w:szCs w:val="24"/>
        </w:rPr>
      </w:pPr>
    </w:p>
    <w:sectPr w:rsidR="00C53525" w:rsidRPr="00355E1D" w:rsidSect="000E72F1">
      <w:footerReference w:type="default" r:id="rId8"/>
      <w:pgSz w:w="12240" w:h="15840"/>
      <w:pgMar w:top="480" w:right="720" w:bottom="480" w:left="600" w:header="480" w:footer="480" w:gutter="0"/>
      <w:cols w:space="480" w:equalWidth="0">
        <w:col w:w="108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493" w:rsidRDefault="00F63493">
      <w:r>
        <w:separator/>
      </w:r>
    </w:p>
  </w:endnote>
  <w:endnote w:type="continuationSeparator" w:id="0">
    <w:p w:rsidR="00F63493" w:rsidRDefault="00F634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522" w:rsidRDefault="00947522">
    <w:pPr>
      <w:pStyle w:val="Footer"/>
      <w:tabs>
        <w:tab w:val="clear" w:pos="4320"/>
        <w:tab w:val="clear" w:pos="8640"/>
        <w:tab w:val="right" w:pos="10920"/>
      </w:tabs>
      <w:spacing w:line="120" w:lineRule="exact"/>
      <w:ind w:left="-120" w:right="-120"/>
      <w:rPr>
        <w:rFonts w:ascii="Helvetica" w:hAnsi="Helvetica"/>
        <w:b/>
        <w:sz w:val="18"/>
      </w:rPr>
    </w:pPr>
  </w:p>
  <w:p w:rsidR="00947522" w:rsidRDefault="00947522">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493" w:rsidRDefault="00F63493">
      <w:r>
        <w:separator/>
      </w:r>
    </w:p>
  </w:footnote>
  <w:footnote w:type="continuationSeparator" w:id="0">
    <w:p w:rsidR="00F63493" w:rsidRDefault="00F63493">
      <w:r>
        <w:continuationSeparator/>
      </w:r>
    </w:p>
  </w:footnote>
  <w:footnote w:id="1">
    <w:p w:rsidR="00947522" w:rsidRPr="001F3B95" w:rsidRDefault="00947522" w:rsidP="00355E1D">
      <w:pPr>
        <w:pStyle w:val="FootnoteText"/>
        <w:rPr>
          <w:rFonts w:ascii="Times New Roman" w:hAnsi="Times New Roman"/>
        </w:rPr>
      </w:pPr>
      <w:r w:rsidRPr="00E3061B">
        <w:rPr>
          <w:rStyle w:val="FootnoteReference"/>
        </w:rPr>
        <w:footnoteRef/>
      </w:r>
      <w:r w:rsidRPr="00E3061B">
        <w:t xml:space="preserve"> </w:t>
      </w:r>
      <w:r>
        <w:rPr>
          <w:rFonts w:ascii="Times New Roman" w:hAnsi="Times New Roman"/>
        </w:rPr>
        <w:t>Public Law 112-55-Consolidated and Further Continuing Appropriations Act, 2012.  S</w:t>
      </w:r>
      <w:r w:rsidRPr="00E3061B">
        <w:rPr>
          <w:rFonts w:ascii="Times New Roman" w:hAnsi="Times New Roman"/>
        </w:rPr>
        <w:t>igned November 18,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68CB8A0"/>
    <w:lvl w:ilvl="0">
      <w:numFmt w:val="decimal"/>
      <w:lvlText w:val="*"/>
      <w:lvlJc w:val="left"/>
    </w:lvl>
  </w:abstractNum>
  <w:abstractNum w:abstractNumId="1">
    <w:nsid w:val="0D3D1FB6"/>
    <w:multiLevelType w:val="hybridMultilevel"/>
    <w:tmpl w:val="7070E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EF56DE"/>
    <w:multiLevelType w:val="hybridMultilevel"/>
    <w:tmpl w:val="E9888C4C"/>
    <w:lvl w:ilvl="0" w:tplc="AF608E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5">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6383660E"/>
    <w:multiLevelType w:val="hybridMultilevel"/>
    <w:tmpl w:val="DB84E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5810AE"/>
    <w:multiLevelType w:val="hybridMultilevel"/>
    <w:tmpl w:val="35DC9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6"/>
  </w:num>
  <w:num w:numId="2">
    <w:abstractNumId w:val="11"/>
  </w:num>
  <w:num w:numId="3">
    <w:abstractNumId w:val="3"/>
  </w:num>
  <w:num w:numId="4">
    <w:abstractNumId w:val="5"/>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4"/>
  </w:num>
  <w:num w:numId="10">
    <w:abstractNumId w:val="9"/>
  </w:num>
  <w:num w:numId="11">
    <w:abstractNumId w:val="2"/>
  </w:num>
  <w:num w:numId="12">
    <w:abstractNumId w:val="1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compat>
  <w:docVars>
    <w:docVar w:name="_AMO_XmlVersion" w:val="Empty"/>
  </w:docVars>
  <w:rsids>
    <w:rsidRoot w:val="00D84F73"/>
    <w:rsid w:val="00001DB8"/>
    <w:rsid w:val="00007881"/>
    <w:rsid w:val="00020DC4"/>
    <w:rsid w:val="00020F12"/>
    <w:rsid w:val="00036BC0"/>
    <w:rsid w:val="00065991"/>
    <w:rsid w:val="000D2776"/>
    <w:rsid w:val="000E3880"/>
    <w:rsid w:val="000E72F1"/>
    <w:rsid w:val="00100C45"/>
    <w:rsid w:val="0010626F"/>
    <w:rsid w:val="00110D82"/>
    <w:rsid w:val="0011311C"/>
    <w:rsid w:val="00126214"/>
    <w:rsid w:val="0014640C"/>
    <w:rsid w:val="0014773E"/>
    <w:rsid w:val="00151D19"/>
    <w:rsid w:val="001879A7"/>
    <w:rsid w:val="001E45D4"/>
    <w:rsid w:val="001F365B"/>
    <w:rsid w:val="00202971"/>
    <w:rsid w:val="0021395B"/>
    <w:rsid w:val="00233E23"/>
    <w:rsid w:val="002713E8"/>
    <w:rsid w:val="00297166"/>
    <w:rsid w:val="002A255F"/>
    <w:rsid w:val="002A2B6F"/>
    <w:rsid w:val="002D2733"/>
    <w:rsid w:val="002E69A3"/>
    <w:rsid w:val="002F6812"/>
    <w:rsid w:val="0031489D"/>
    <w:rsid w:val="0031500B"/>
    <w:rsid w:val="00352400"/>
    <w:rsid w:val="003554AD"/>
    <w:rsid w:val="00355E1D"/>
    <w:rsid w:val="00365B87"/>
    <w:rsid w:val="003730D3"/>
    <w:rsid w:val="00385731"/>
    <w:rsid w:val="00393447"/>
    <w:rsid w:val="003D1318"/>
    <w:rsid w:val="004202C0"/>
    <w:rsid w:val="00422141"/>
    <w:rsid w:val="004248AE"/>
    <w:rsid w:val="0043335A"/>
    <w:rsid w:val="00436B7B"/>
    <w:rsid w:val="00441F7F"/>
    <w:rsid w:val="00442817"/>
    <w:rsid w:val="00444AF2"/>
    <w:rsid w:val="00454B77"/>
    <w:rsid w:val="00471A24"/>
    <w:rsid w:val="00476BB5"/>
    <w:rsid w:val="0048334E"/>
    <w:rsid w:val="00491DB6"/>
    <w:rsid w:val="004A113A"/>
    <w:rsid w:val="004A71FC"/>
    <w:rsid w:val="004C65A9"/>
    <w:rsid w:val="004F2585"/>
    <w:rsid w:val="004F2EF2"/>
    <w:rsid w:val="005400BA"/>
    <w:rsid w:val="005508C9"/>
    <w:rsid w:val="00561440"/>
    <w:rsid w:val="00585225"/>
    <w:rsid w:val="0059794F"/>
    <w:rsid w:val="005A3D90"/>
    <w:rsid w:val="005B312E"/>
    <w:rsid w:val="005D6E42"/>
    <w:rsid w:val="005E4523"/>
    <w:rsid w:val="005F6E8B"/>
    <w:rsid w:val="006179E1"/>
    <w:rsid w:val="00617CF3"/>
    <w:rsid w:val="00652C65"/>
    <w:rsid w:val="00663A5A"/>
    <w:rsid w:val="00675E59"/>
    <w:rsid w:val="00675F61"/>
    <w:rsid w:val="006A71C9"/>
    <w:rsid w:val="006B5791"/>
    <w:rsid w:val="006B7DC4"/>
    <w:rsid w:val="006D278A"/>
    <w:rsid w:val="006E5454"/>
    <w:rsid w:val="007168C1"/>
    <w:rsid w:val="007351AE"/>
    <w:rsid w:val="00770BBC"/>
    <w:rsid w:val="00774BF8"/>
    <w:rsid w:val="007A1939"/>
    <w:rsid w:val="007F3808"/>
    <w:rsid w:val="00804AEC"/>
    <w:rsid w:val="008105F1"/>
    <w:rsid w:val="00833F66"/>
    <w:rsid w:val="00891FD7"/>
    <w:rsid w:val="008A4E9E"/>
    <w:rsid w:val="008A5135"/>
    <w:rsid w:val="008A6836"/>
    <w:rsid w:val="008E6DFA"/>
    <w:rsid w:val="008F4220"/>
    <w:rsid w:val="0090232B"/>
    <w:rsid w:val="00907830"/>
    <w:rsid w:val="009220EE"/>
    <w:rsid w:val="00947522"/>
    <w:rsid w:val="009600DA"/>
    <w:rsid w:val="00971349"/>
    <w:rsid w:val="009C28C4"/>
    <w:rsid w:val="009D2CE1"/>
    <w:rsid w:val="009E23E3"/>
    <w:rsid w:val="009F2DBB"/>
    <w:rsid w:val="00A05F5D"/>
    <w:rsid w:val="00A1013A"/>
    <w:rsid w:val="00A32209"/>
    <w:rsid w:val="00A55E0F"/>
    <w:rsid w:val="00A61FF6"/>
    <w:rsid w:val="00AA7F23"/>
    <w:rsid w:val="00AB4D73"/>
    <w:rsid w:val="00AC1E30"/>
    <w:rsid w:val="00AF01CE"/>
    <w:rsid w:val="00AF7E7B"/>
    <w:rsid w:val="00B03063"/>
    <w:rsid w:val="00B47679"/>
    <w:rsid w:val="00B549E0"/>
    <w:rsid w:val="00BA6F67"/>
    <w:rsid w:val="00BC2063"/>
    <w:rsid w:val="00BC5FB8"/>
    <w:rsid w:val="00BE1995"/>
    <w:rsid w:val="00C450CC"/>
    <w:rsid w:val="00C53525"/>
    <w:rsid w:val="00C672AD"/>
    <w:rsid w:val="00C74430"/>
    <w:rsid w:val="00C94185"/>
    <w:rsid w:val="00C97599"/>
    <w:rsid w:val="00CB2C47"/>
    <w:rsid w:val="00CF688E"/>
    <w:rsid w:val="00D12EC4"/>
    <w:rsid w:val="00D33E93"/>
    <w:rsid w:val="00D4606C"/>
    <w:rsid w:val="00D67061"/>
    <w:rsid w:val="00D746F6"/>
    <w:rsid w:val="00D82CD0"/>
    <w:rsid w:val="00D84F73"/>
    <w:rsid w:val="00DB7B62"/>
    <w:rsid w:val="00DE28EB"/>
    <w:rsid w:val="00DF0E51"/>
    <w:rsid w:val="00E0029E"/>
    <w:rsid w:val="00E12C04"/>
    <w:rsid w:val="00E23DA7"/>
    <w:rsid w:val="00E30C75"/>
    <w:rsid w:val="00E35B82"/>
    <w:rsid w:val="00E42AB4"/>
    <w:rsid w:val="00E454DC"/>
    <w:rsid w:val="00E73E85"/>
    <w:rsid w:val="00E93C6E"/>
    <w:rsid w:val="00EC5C62"/>
    <w:rsid w:val="00F3063C"/>
    <w:rsid w:val="00F4423C"/>
    <w:rsid w:val="00F453DC"/>
    <w:rsid w:val="00F63493"/>
    <w:rsid w:val="00F81D81"/>
    <w:rsid w:val="00FA6644"/>
    <w:rsid w:val="00FB6DBF"/>
    <w:rsid w:val="00FE3BE4"/>
    <w:rsid w:val="00FE46AC"/>
    <w:rsid w:val="00FF06BA"/>
    <w:rsid w:val="00FF1F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uiPriority w:val="59"/>
    <w:rsid w:val="003D13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2">
    <w:name w:val="Body Text Indent 2"/>
    <w:basedOn w:val="Normal"/>
    <w:link w:val="BodyTextIndent2Char"/>
    <w:rsid w:val="00355E1D"/>
    <w:pPr>
      <w:spacing w:after="120" w:line="480" w:lineRule="auto"/>
      <w:ind w:left="360"/>
    </w:pPr>
  </w:style>
  <w:style w:type="character" w:customStyle="1" w:styleId="BodyTextIndent2Char">
    <w:name w:val="Body Text Indent 2 Char"/>
    <w:basedOn w:val="DefaultParagraphFont"/>
    <w:link w:val="BodyTextIndent2"/>
    <w:rsid w:val="00355E1D"/>
  </w:style>
  <w:style w:type="paragraph" w:styleId="ListParagraph">
    <w:name w:val="List Paragraph"/>
    <w:basedOn w:val="Normal"/>
    <w:uiPriority w:val="99"/>
    <w:qFormat/>
    <w:rsid w:val="00355E1D"/>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NoSpacing">
    <w:name w:val="No Spacing"/>
    <w:uiPriority w:val="1"/>
    <w:qFormat/>
    <w:rsid w:val="00355E1D"/>
    <w:rPr>
      <w:rFonts w:asciiTheme="minorHAnsi" w:eastAsiaTheme="minorHAnsi" w:hAnsiTheme="minorHAnsi" w:cstheme="minorBidi"/>
      <w:sz w:val="22"/>
      <w:szCs w:val="22"/>
    </w:rPr>
  </w:style>
  <w:style w:type="paragraph" w:styleId="NormalWeb">
    <w:name w:val="Normal (Web)"/>
    <w:basedOn w:val="Normal"/>
    <w:uiPriority w:val="99"/>
    <w:unhideWhenUsed/>
    <w:rsid w:val="00355E1D"/>
    <w:pPr>
      <w:overflowPunct/>
      <w:autoSpaceDE/>
      <w:autoSpaceDN/>
      <w:adjustRightInd/>
      <w:spacing w:before="100" w:beforeAutospacing="1" w:after="100" w:afterAutospacing="1"/>
      <w:textAlignment w:val="auto"/>
    </w:pPr>
    <w:rPr>
      <w:sz w:val="24"/>
      <w:szCs w:val="24"/>
    </w:rPr>
  </w:style>
  <w:style w:type="paragraph" w:styleId="FootnoteText">
    <w:name w:val="footnote text"/>
    <w:basedOn w:val="Normal"/>
    <w:link w:val="FootnoteTextChar"/>
    <w:uiPriority w:val="99"/>
    <w:unhideWhenUsed/>
    <w:rsid w:val="00355E1D"/>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355E1D"/>
    <w:rPr>
      <w:rFonts w:asciiTheme="minorHAnsi" w:eastAsiaTheme="minorHAnsi" w:hAnsiTheme="minorHAnsi" w:cstheme="minorBidi"/>
    </w:rPr>
  </w:style>
  <w:style w:type="character" w:styleId="FootnoteReference">
    <w:name w:val="footnote reference"/>
    <w:basedOn w:val="DefaultParagraphFont"/>
    <w:uiPriority w:val="99"/>
    <w:unhideWhenUsed/>
    <w:rsid w:val="00355E1D"/>
    <w:rPr>
      <w:vertAlign w:val="superscript"/>
    </w:rPr>
  </w:style>
  <w:style w:type="character" w:styleId="CommentReference">
    <w:name w:val="annotation reference"/>
    <w:basedOn w:val="DefaultParagraphFont"/>
    <w:rsid w:val="0059794F"/>
    <w:rPr>
      <w:sz w:val="16"/>
      <w:szCs w:val="16"/>
    </w:rPr>
  </w:style>
  <w:style w:type="paragraph" w:styleId="CommentText">
    <w:name w:val="annotation text"/>
    <w:basedOn w:val="Normal"/>
    <w:link w:val="CommentTextChar"/>
    <w:rsid w:val="0059794F"/>
  </w:style>
  <w:style w:type="character" w:customStyle="1" w:styleId="CommentTextChar">
    <w:name w:val="Comment Text Char"/>
    <w:basedOn w:val="DefaultParagraphFont"/>
    <w:link w:val="CommentText"/>
    <w:rsid w:val="0059794F"/>
  </w:style>
  <w:style w:type="paragraph" w:styleId="CommentSubject">
    <w:name w:val="annotation subject"/>
    <w:basedOn w:val="CommentText"/>
    <w:next w:val="CommentText"/>
    <w:link w:val="CommentSubjectChar"/>
    <w:rsid w:val="0059794F"/>
    <w:rPr>
      <w:b/>
      <w:bCs/>
    </w:rPr>
  </w:style>
  <w:style w:type="character" w:customStyle="1" w:styleId="CommentSubjectChar">
    <w:name w:val="Comment Subject Char"/>
    <w:basedOn w:val="CommentTextChar"/>
    <w:link w:val="CommentSubject"/>
    <w:rsid w:val="0059794F"/>
    <w:rPr>
      <w:b/>
      <w:bCs/>
    </w:rPr>
  </w:style>
</w:styles>
</file>

<file path=word/webSettings.xml><?xml version="1.0" encoding="utf-8"?>
<w:webSettings xmlns:r="http://schemas.openxmlformats.org/officeDocument/2006/relationships" xmlns:w="http://schemas.openxmlformats.org/wordprocessingml/2006/main">
  <w:divs>
    <w:div w:id="125590883">
      <w:bodyDiv w:val="1"/>
      <w:marLeft w:val="0"/>
      <w:marRight w:val="0"/>
      <w:marTop w:val="0"/>
      <w:marBottom w:val="0"/>
      <w:divBdr>
        <w:top w:val="none" w:sz="0" w:space="0" w:color="auto"/>
        <w:left w:val="none" w:sz="0" w:space="0" w:color="auto"/>
        <w:bottom w:val="none" w:sz="0" w:space="0" w:color="auto"/>
        <w:right w:val="none" w:sz="0" w:space="0" w:color="auto"/>
      </w:divBdr>
    </w:div>
    <w:div w:id="584535973">
      <w:bodyDiv w:val="1"/>
      <w:marLeft w:val="0"/>
      <w:marRight w:val="0"/>
      <w:marTop w:val="0"/>
      <w:marBottom w:val="0"/>
      <w:divBdr>
        <w:top w:val="none" w:sz="0" w:space="0" w:color="auto"/>
        <w:left w:val="none" w:sz="0" w:space="0" w:color="auto"/>
        <w:bottom w:val="none" w:sz="0" w:space="0" w:color="auto"/>
        <w:right w:val="none" w:sz="0" w:space="0" w:color="auto"/>
      </w:divBdr>
    </w:div>
    <w:div w:id="679550392">
      <w:bodyDiv w:val="1"/>
      <w:marLeft w:val="0"/>
      <w:marRight w:val="0"/>
      <w:marTop w:val="0"/>
      <w:marBottom w:val="0"/>
      <w:divBdr>
        <w:top w:val="none" w:sz="0" w:space="0" w:color="auto"/>
        <w:left w:val="none" w:sz="0" w:space="0" w:color="auto"/>
        <w:bottom w:val="none" w:sz="0" w:space="0" w:color="auto"/>
        <w:right w:val="none" w:sz="0" w:space="0" w:color="auto"/>
      </w:divBdr>
    </w:div>
    <w:div w:id="1660189199">
      <w:bodyDiv w:val="1"/>
      <w:marLeft w:val="0"/>
      <w:marRight w:val="0"/>
      <w:marTop w:val="0"/>
      <w:marBottom w:val="0"/>
      <w:divBdr>
        <w:top w:val="none" w:sz="0" w:space="0" w:color="auto"/>
        <w:left w:val="none" w:sz="0" w:space="0" w:color="auto"/>
        <w:bottom w:val="none" w:sz="0" w:space="0" w:color="auto"/>
        <w:right w:val="none" w:sz="0" w:space="0" w:color="auto"/>
      </w:divBdr>
    </w:div>
    <w:div w:id="21060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C5C53-B79B-4863-ACDA-7E1616D82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3243</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2012-09-20T22:47:00Z</dcterms:created>
  <dcterms:modified xsi:type="dcterms:W3CDTF">2012-09-20T22:47:00Z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-1050140105</vt:i4>
  </property>
  <property fmtid="{D5CDD505-2E9C-101B-9397-08002B2CF9AE}" pid="3" name="_NewReviewCycle">
    <vt:lpwstr/>
  </property>
  <property fmtid="{D5CDD505-2E9C-101B-9397-08002B2CF9AE}" pid="4" name="_PreviousAdHocReviewCycleID">
    <vt:i4>1824494085</vt:i4>
  </property>
  <property fmtid="{D5CDD505-2E9C-101B-9397-08002B2CF9AE}" pid="5" name="_ReviewingToolsShownOnce">
    <vt:lpwstr/>
  </property>
</Properties>
</file>