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1060F4"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1060F4">
        <w:rPr>
          <w:b/>
          <w:sz w:val="24"/>
          <w:szCs w:val="24"/>
        </w:rPr>
        <w:t xml:space="preserve">Title: </w:t>
      </w:r>
      <w:r w:rsidR="00794632">
        <w:rPr>
          <w:b/>
          <w:bCs/>
          <w:sz w:val="24"/>
          <w:szCs w:val="24"/>
        </w:rPr>
        <w:t>Fellowship Placement Pilot Program</w:t>
      </w:r>
    </w:p>
    <w:p w:rsidR="00F25E2F" w:rsidRDefault="00E3227A" w:rsidP="00C9749C">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r w:rsidR="0056300C">
        <w:rPr>
          <w:rFonts w:asciiTheme="minorHAnsi" w:hAnsiTheme="minorHAnsi"/>
        </w:rPr>
        <w:t>New collection</w:t>
      </w:r>
    </w:p>
    <w:p w:rsidR="00C9749C" w:rsidRPr="00C9749C" w:rsidRDefault="00C9749C" w:rsidP="00C9749C"/>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060F4" w:rsidRPr="000F15EF" w:rsidRDefault="00585CCE" w:rsidP="001060F4">
      <w:pPr>
        <w:keepLines/>
        <w:tabs>
          <w:tab w:val="left" w:pos="360"/>
          <w:tab w:val="left" w:pos="720"/>
        </w:tabs>
        <w:spacing w:after="0" w:line="240" w:lineRule="auto"/>
        <w:rPr>
          <w:rFonts w:cs="Times New Roman"/>
        </w:rPr>
      </w:pPr>
      <w:r>
        <w:rPr>
          <w:rFonts w:cs="Times New Roman"/>
        </w:rPr>
        <w:t>The purpose of this N</w:t>
      </w:r>
      <w:r w:rsidR="000F15EF" w:rsidRPr="000F15EF">
        <w:rPr>
          <w:rFonts w:cs="Times New Roman"/>
        </w:rPr>
        <w:t>otice</w:t>
      </w:r>
      <w:r>
        <w:rPr>
          <w:rFonts w:cs="Times New Roman"/>
        </w:rPr>
        <w:t xml:space="preserve"> of Funding Availability (NOFA)</w:t>
      </w:r>
      <w:r w:rsidR="000F15EF" w:rsidRPr="000F15EF">
        <w:rPr>
          <w:rFonts w:cs="Times New Roman"/>
        </w:rPr>
        <w:t xml:space="preserve"> is to inform potential applicants that the Office of Policy Development and Research (PD&amp;R) of the </w:t>
      </w:r>
      <w:r w:rsidR="00B53E4D">
        <w:rPr>
          <w:rFonts w:cs="Times New Roman"/>
        </w:rPr>
        <w:t xml:space="preserve">U.S. </w:t>
      </w:r>
      <w:r w:rsidR="000F15EF" w:rsidRPr="000F15EF">
        <w:rPr>
          <w:rFonts w:cs="Times New Roman"/>
        </w:rPr>
        <w:t>Department of Housing and Urban Development (HUD) is inte</w:t>
      </w:r>
      <w:r w:rsidR="00B53E4D">
        <w:rPr>
          <w:rFonts w:cs="Times New Roman"/>
        </w:rPr>
        <w:t xml:space="preserve">rested in receiving </w:t>
      </w:r>
      <w:r w:rsidR="000F15EF" w:rsidRPr="000F15EF">
        <w:rPr>
          <w:rFonts w:cs="Times New Roman"/>
        </w:rPr>
        <w:t xml:space="preserve">applications </w:t>
      </w:r>
      <w:r>
        <w:rPr>
          <w:rFonts w:cs="Times New Roman"/>
        </w:rPr>
        <w:t xml:space="preserve">for </w:t>
      </w:r>
      <w:r w:rsidR="00B53E4D">
        <w:rPr>
          <w:rFonts w:cs="Times New Roman"/>
        </w:rPr>
        <w:t>the Strong Cities Strong Communities National Resource Network (SC2 Network)</w:t>
      </w:r>
      <w:r w:rsidR="000F15EF" w:rsidRPr="000F15EF">
        <w:rPr>
          <w:rFonts w:cs="Times New Roman"/>
        </w:rPr>
        <w:t xml:space="preserve">.  </w:t>
      </w:r>
    </w:p>
    <w:p w:rsidR="000F15EF" w:rsidRDefault="000F15EF" w:rsidP="001060F4">
      <w:pPr>
        <w:keepLines/>
        <w:tabs>
          <w:tab w:val="left" w:pos="360"/>
          <w:tab w:val="left" w:pos="720"/>
        </w:tabs>
        <w:spacing w:after="0" w:line="240" w:lineRule="auto"/>
        <w:rPr>
          <w:b/>
          <w:sz w:val="24"/>
          <w:szCs w:val="24"/>
        </w:rPr>
      </w:pPr>
    </w:p>
    <w:p w:rsidR="00636B17" w:rsidRPr="00D92DCC" w:rsidRDefault="00737D98" w:rsidP="001060F4">
      <w:pPr>
        <w:keepLines/>
        <w:tabs>
          <w:tab w:val="left" w:pos="360"/>
          <w:tab w:val="left" w:pos="720"/>
        </w:tabs>
        <w:spacing w:after="0" w:line="240" w:lineRule="auto"/>
      </w:pPr>
      <w:r>
        <w:t>Through a competitive process, HUD will select one grantee to be the Administrator of the SC2 Network.</w:t>
      </w:r>
      <w:r w:rsidR="00636B17" w:rsidRPr="00D92DCC">
        <w:t xml:space="preserve"> </w:t>
      </w:r>
      <w:r>
        <w:t>Therefore, a</w:t>
      </w:r>
      <w:r w:rsidR="00636B17" w:rsidRPr="00D92DCC">
        <w:t xml:space="preserve">pplicants are required to submit certain information as part of </w:t>
      </w:r>
      <w:r>
        <w:t>their application so that HUD can evaluate their capability in managing and implementing the SC2 Network</w:t>
      </w:r>
      <w:r w:rsidR="00636B17" w:rsidRPr="00D92DCC">
        <w:t xml:space="preserve">.  </w:t>
      </w:r>
      <w:r w:rsidR="00B53E4D">
        <w:t xml:space="preserve">In addition, </w:t>
      </w:r>
      <w:r>
        <w:t xml:space="preserve">the </w:t>
      </w:r>
      <w:r w:rsidR="00B53E4D">
        <w:t>g</w:t>
      </w:r>
      <w:r>
        <w:t>rantee will be</w:t>
      </w:r>
      <w:r w:rsidR="00636B17" w:rsidRPr="00D92DCC">
        <w:t xml:space="preserve"> r</w:t>
      </w:r>
      <w:r w:rsidR="005428AE">
        <w:t>equired to prepare a quarterly</w:t>
      </w:r>
      <w:r w:rsidR="00636B17" w:rsidRPr="00D92DCC">
        <w:t xml:space="preserve"> status </w:t>
      </w:r>
      <w:r>
        <w:t xml:space="preserve">report </w:t>
      </w:r>
      <w:r w:rsidR="00BC50A8">
        <w:t xml:space="preserve">so that HUD </w:t>
      </w:r>
      <w:r>
        <w:t>can monitor its progress</w:t>
      </w:r>
      <w:r w:rsidR="00636B17" w:rsidRPr="00D92DCC">
        <w:t>.</w:t>
      </w:r>
      <w:r w:rsidR="00636B17" w:rsidRPr="00D92DCC">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D90C05" w:rsidRPr="00C9749C" w:rsidRDefault="00E3227A" w:rsidP="00C9749C">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7F5CDF" w:rsidRDefault="007F5CDF" w:rsidP="00D90C05">
      <w:pPr>
        <w:keepLines/>
        <w:tabs>
          <w:tab w:val="left" w:pos="360"/>
          <w:tab w:val="left" w:pos="720"/>
        </w:tabs>
        <w:spacing w:line="240" w:lineRule="auto"/>
      </w:pPr>
      <w:r>
        <w:t xml:space="preserve">This is a new collection. </w:t>
      </w:r>
    </w:p>
    <w:p w:rsidR="00636B17" w:rsidRPr="001461EF" w:rsidRDefault="00636B17" w:rsidP="00D90C05">
      <w:pPr>
        <w:keepLines/>
        <w:tabs>
          <w:tab w:val="left" w:pos="360"/>
          <w:tab w:val="left" w:pos="720"/>
        </w:tabs>
        <w:spacing w:line="240" w:lineRule="auto"/>
      </w:pPr>
      <w:r w:rsidRPr="001461EF">
        <w:t>The information is collected during the application process.  Collec</w:t>
      </w:r>
      <w:r w:rsidR="001E559F">
        <w:t>tion of this dat</w:t>
      </w:r>
      <w:r w:rsidR="00C27145">
        <w:t>a will serve several</w:t>
      </w:r>
      <w:r w:rsidR="001E559F">
        <w:t xml:space="preserve"> </w:t>
      </w:r>
      <w:r w:rsidRPr="001461EF">
        <w:t>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w:t>
      </w:r>
      <w:r w:rsidR="007F5CDF">
        <w:t>le to determine which applicant</w:t>
      </w:r>
      <w:r w:rsidRPr="001461EF">
        <w:t xml:space="preserve"> to select.</w:t>
      </w:r>
    </w:p>
    <w:p w:rsidR="001E559F" w:rsidRDefault="001E559F" w:rsidP="00C9749C">
      <w:pPr>
        <w:keepLines/>
        <w:tabs>
          <w:tab w:val="left" w:pos="360"/>
        </w:tabs>
        <w:spacing w:after="80"/>
      </w:pPr>
      <w:r>
        <w:t>b) It</w:t>
      </w:r>
      <w:r w:rsidR="00636B17" w:rsidRPr="001461EF">
        <w:t xml:space="preserve"> will enable the Government Technical Representative (GTR) to monitor each grantee's performance.  It is the only way to determine that funds are being spent in accordance with the goals of the program.</w:t>
      </w:r>
      <w:r w:rsidR="00C27145">
        <w:t xml:space="preserve">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CF7736">
        <w:rPr>
          <w:b/>
          <w:sz w:val="24"/>
          <w:szCs w:val="24"/>
        </w:rPr>
        <w:t>Describe whether</w:t>
      </w:r>
      <w:r w:rsidRPr="00D92DCC">
        <w:rPr>
          <w:b/>
          <w:sz w:val="24"/>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0C05" w:rsidRPr="00C9749C" w:rsidRDefault="00A8380D" w:rsidP="00C9749C">
      <w:pPr>
        <w:keepLines/>
        <w:tabs>
          <w:tab w:val="left" w:pos="360"/>
        </w:tabs>
        <w:spacing w:after="80"/>
      </w:pPr>
      <w:r w:rsidRPr="00CD7404">
        <w:lastRenderedPageBreak/>
        <w:t>The</w:t>
      </w:r>
      <w:r w:rsidRPr="00CD7404">
        <w:rPr>
          <w:rFonts w:ascii="Verdana" w:hAnsi="Verdana"/>
          <w:color w:val="000000"/>
        </w:rPr>
        <w:t xml:space="preserve"> i</w:t>
      </w:r>
      <w:r w:rsidR="001E559F" w:rsidRPr="00CD7404">
        <w:t>nformation collected will be submitted by applic</w:t>
      </w:r>
      <w:r w:rsidR="00363FDC" w:rsidRPr="00CD7404">
        <w:t xml:space="preserve">ants electronically </w:t>
      </w:r>
      <w:r w:rsidR="007F5CDF" w:rsidRPr="00CD7404">
        <w:t>using grants.gov</w:t>
      </w:r>
      <w:r w:rsidR="00363FDC" w:rsidRPr="00CD7404">
        <w:t>.</w:t>
      </w:r>
      <w:r w:rsidRPr="00CD7404">
        <w:t xml:space="preserve"> HUD is</w:t>
      </w:r>
      <w:r>
        <w:t xml:space="preserve"> utilizing grant</w:t>
      </w:r>
      <w:r w:rsidRPr="00A8380D">
        <w:t>s</w:t>
      </w:r>
      <w:r>
        <w:t>.gov due to the agency and</w:t>
      </w:r>
      <w:r w:rsidRPr="00A8380D">
        <w:t xml:space="preserve"> federal government’s effort</w:t>
      </w:r>
      <w:r w:rsidR="00687B38">
        <w:t>s</w:t>
      </w:r>
      <w:r w:rsidRPr="00A8380D">
        <w:t xml:space="preserve"> to streamline grant applications</w:t>
      </w:r>
      <w:r>
        <w:t xml:space="preserve"> and make it easier for the public to apply.</w:t>
      </w: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31711C" w:rsidRPr="00C9749C" w:rsidRDefault="00E3227A" w:rsidP="00C9749C">
      <w:pPr>
        <w:keepLines/>
        <w:tabs>
          <w:tab w:val="left" w:pos="270"/>
          <w:tab w:val="left" w:pos="720"/>
        </w:tabs>
      </w:pPr>
      <w:r>
        <w:t>This program does not duplicate any existing government program.  No similar information is available.</w:t>
      </w: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490AD9" w:rsidRPr="00C9749C" w:rsidRDefault="0031711C" w:rsidP="00C9749C">
      <w:pPr>
        <w:keepLines/>
        <w:tabs>
          <w:tab w:val="left" w:pos="360"/>
          <w:tab w:val="left" w:pos="720"/>
        </w:tabs>
        <w:rPr>
          <w:noProof/>
        </w:rPr>
      </w:pPr>
      <w:r>
        <w:t xml:space="preserve">This </w:t>
      </w:r>
      <w:r w:rsidR="00636B17">
        <w:t xml:space="preserve">program </w:t>
      </w:r>
      <w:r w:rsidR="00E3227A">
        <w:rPr>
          <w:noProof/>
        </w:rPr>
        <w:t>does not involve small businesses.</w:t>
      </w:r>
    </w:p>
    <w:p w:rsidR="00D90C05" w:rsidRPr="00C9749C" w:rsidRDefault="0031711C" w:rsidP="00C9749C">
      <w:pPr>
        <w:keepLines/>
        <w:tabs>
          <w:tab w:val="left" w:pos="0"/>
          <w:tab w:val="left" w:pos="360"/>
        </w:tabs>
        <w:spacing w:after="80"/>
        <w:rPr>
          <w:b/>
          <w:sz w:val="24"/>
          <w:szCs w:val="24"/>
        </w:rPr>
      </w:pPr>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w:t>
      </w:r>
      <w:r w:rsidR="00CD7404">
        <w:rPr>
          <w:noProof/>
        </w:rPr>
        <w:t>itative way to select an applicant</w:t>
      </w:r>
      <w:r w:rsidR="00435D15">
        <w:rPr>
          <w:noProof/>
        </w:rPr>
        <w:t xml:space="preserve"> to award among the various applicantions submit</w:t>
      </w:r>
      <w:r w:rsidR="00CD7404">
        <w:rPr>
          <w:noProof/>
        </w:rPr>
        <w:t>ted</w:t>
      </w:r>
      <w:r w:rsidR="00435D15">
        <w:rPr>
          <w:noProof/>
        </w:rPr>
        <w:t>.  If information were not collected for monitoring purposes, HUD wo</w:t>
      </w:r>
      <w:r w:rsidR="00CD7404">
        <w:rPr>
          <w:noProof/>
        </w:rPr>
        <w:t>uld not be able to ensure that f</w:t>
      </w:r>
      <w:r w:rsidR="00435D15">
        <w:rPr>
          <w:noProof/>
        </w:rPr>
        <w:t>ederal dollars were being spent wisely and appropriately.</w:t>
      </w:r>
    </w:p>
    <w:p w:rsidR="0031711C" w:rsidRPr="00C9749C" w:rsidRDefault="00435D15" w:rsidP="00C9749C">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r w:rsidR="00C27145">
        <w:rPr>
          <w:noProof/>
        </w:rPr>
        <w:t xml:space="preserve"> </w:t>
      </w:r>
    </w:p>
    <w:p w:rsidR="00D90C05" w:rsidRPr="00D92DC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896676">
        <w:rPr>
          <w:b/>
          <w:noProof/>
          <w:sz w:val="24"/>
          <w:szCs w:val="24"/>
        </w:rPr>
        <w:t xml:space="preserve">7. </w:t>
      </w:r>
      <w:r w:rsidR="0031711C" w:rsidRPr="00896676">
        <w:rPr>
          <w:b/>
          <w:noProof/>
          <w:sz w:val="24"/>
          <w:szCs w:val="24"/>
        </w:rPr>
        <w:t xml:space="preserve"> </w:t>
      </w:r>
      <w:r w:rsidR="0031711C" w:rsidRPr="00896676">
        <w:rPr>
          <w:b/>
          <w:sz w:val="24"/>
          <w:szCs w:val="24"/>
        </w:rPr>
        <w:t>Explain any special circumstances</w:t>
      </w:r>
      <w:r w:rsidR="0031711C" w:rsidRPr="00D92DCC">
        <w:rPr>
          <w:b/>
          <w:sz w:val="24"/>
          <w:szCs w:val="24"/>
        </w:rPr>
        <w:t xml:space="preserve"> that would cause an information collection to be conducted in a manner: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896676">
        <w:rPr>
          <w:sz w:val="24"/>
          <w:szCs w:val="24"/>
        </w:rPr>
        <w:t>requiring respondents to report information</w:t>
      </w:r>
      <w:r w:rsidRPr="00AB3E0C">
        <w:rPr>
          <w:sz w:val="24"/>
          <w:szCs w:val="24"/>
        </w:rPr>
        <w:t xml:space="preserve"> to the agency more than quarterly;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prepare a written response to a collection of information in fewer than 30 days after receipt of it;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submit more than an original and two copies of any document;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retain records other than health, medical, government contract, grant-in-aid, or tax records for more than three years;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in connection with a statistical survey, that is not designed to produce valid and reliable results than can be generalized to the universe of study;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the use of a statistical data classification that has not been reviewed and approved by OMB;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3227A" w:rsidRPr="00C9749C" w:rsidRDefault="0031711C" w:rsidP="00D90C05">
      <w:pPr>
        <w:keepLines/>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F0B20" w:rsidRPr="00735A13" w:rsidRDefault="00BF0B20" w:rsidP="00BF0B20">
      <w:pPr>
        <w:spacing w:after="0" w:line="360" w:lineRule="auto"/>
        <w:ind w:right="99"/>
        <w:textAlignment w:val="baseline"/>
        <w:rPr>
          <w:rFonts w:cs="Times New Roman"/>
        </w:rPr>
      </w:pPr>
      <w:r>
        <w:rPr>
          <w:noProof/>
        </w:rPr>
        <w:t>There is none.</w:t>
      </w: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3227A" w:rsidRDefault="0031711C" w:rsidP="00E3227A">
      <w:pPr>
        <w:keepLines/>
        <w:tabs>
          <w:tab w:val="left" w:pos="360"/>
          <w:tab w:val="left" w:pos="720"/>
        </w:tabs>
      </w:pPr>
      <w:r>
        <w:tab/>
      </w:r>
      <w:r w:rsidR="00CD74A5">
        <w:t xml:space="preserve">A 60-Day </w:t>
      </w:r>
      <w:r w:rsidR="00E3227A">
        <w:t>Notice was published in the F</w:t>
      </w:r>
      <w:r w:rsidR="00AB3E0C">
        <w:t xml:space="preserve">ederal Register. </w:t>
      </w:r>
      <w:r w:rsidR="00E42147">
        <w:t>A copy is attached to this submission.</w:t>
      </w:r>
      <w:r w:rsidR="00AB3E0C">
        <w:t xml:space="preserve"> </w:t>
      </w:r>
      <w:r w:rsidR="00463902">
        <w:t>HUD received one comment regarding the general mission of HUD that was not relevant to the subject matter, and therefore, did not require further action.</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r w:rsidRPr="00D92DCC">
        <w:rPr>
          <w:b/>
          <w:sz w:val="24"/>
          <w:szCs w:val="24"/>
        </w:rPr>
        <w:t>10.</w:t>
      </w:r>
      <w:r w:rsidRPr="00D92DCC">
        <w:rPr>
          <w:b/>
          <w:sz w:val="24"/>
          <w:szCs w:val="24"/>
        </w:rPr>
        <w:tab/>
        <w:t>Describe any assurance of confidentiality provided to respondents and the basis for assurance in statute, regulation or agency policy.</w:t>
      </w:r>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AB3E0C" w:rsidRDefault="0031711C" w:rsidP="00C9749C">
      <w:pPr>
        <w:keepLines/>
        <w:tabs>
          <w:tab w:val="left" w:pos="360"/>
        </w:tabs>
        <w:spacing w:after="0" w:line="240" w:lineRule="auto"/>
        <w:rPr>
          <w:b/>
          <w:sz w:val="24"/>
          <w:szCs w:val="24"/>
        </w:rPr>
      </w:pPr>
      <w:r w:rsidRPr="00AB3E0C">
        <w:rPr>
          <w:b/>
          <w:sz w:val="24"/>
          <w:szCs w:val="24"/>
        </w:rPr>
        <w:lastRenderedPageBreak/>
        <w:t>11.</w:t>
      </w:r>
      <w:r w:rsidRPr="00AB3E0C">
        <w:rPr>
          <w:b/>
          <w:sz w:val="24"/>
          <w:szCs w:val="24"/>
        </w:rPr>
        <w:tab/>
        <w:t>Provide additional justification for any questions of a s</w:t>
      </w:r>
      <w:r w:rsidR="00D92DCC" w:rsidRPr="00AB3E0C">
        <w:rPr>
          <w:b/>
          <w:sz w:val="24"/>
          <w:szCs w:val="24"/>
        </w:rPr>
        <w:t>ensitive nature, such as sexual</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behavior and attitudes, religious beliefs, and other matters that are commonly considered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private.  This justification should include the reasons why the agency considers the questions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necessary, the specific uses to be made of the information, the explanation to be given to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persons from whom the information is requested, and any steps to be taken to obtain their </w:t>
      </w:r>
    </w:p>
    <w:p w:rsidR="0031711C" w:rsidRPr="00AB3E0C" w:rsidRDefault="0031711C" w:rsidP="00C9749C">
      <w:pPr>
        <w:keepLines/>
        <w:tabs>
          <w:tab w:val="left" w:pos="360"/>
        </w:tabs>
        <w:spacing w:after="0" w:line="240" w:lineRule="auto"/>
        <w:ind w:left="360" w:hanging="360"/>
        <w:rPr>
          <w:b/>
          <w:sz w:val="24"/>
          <w:szCs w:val="24"/>
        </w:rPr>
      </w:pPr>
      <w:r w:rsidRPr="00AB3E0C">
        <w:rPr>
          <w:b/>
          <w:sz w:val="24"/>
          <w:szCs w:val="24"/>
        </w:rPr>
        <w:t>consent.</w:t>
      </w:r>
    </w:p>
    <w:p w:rsidR="0031711C" w:rsidRDefault="0031711C" w:rsidP="00636B17">
      <w:pPr>
        <w:keepLines/>
        <w:tabs>
          <w:tab w:val="left" w:pos="360"/>
          <w:tab w:val="left" w:pos="720"/>
        </w:tabs>
      </w:pPr>
    </w:p>
    <w:p w:rsidR="00B376C5" w:rsidRDefault="00CF7736" w:rsidP="00636B17">
      <w:pPr>
        <w:keepLines/>
        <w:tabs>
          <w:tab w:val="left" w:pos="360"/>
          <w:tab w:val="left" w:pos="720"/>
        </w:tabs>
      </w:pPr>
      <w:r>
        <w:t>None.</w:t>
      </w: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r>
      <w:r w:rsidRPr="00896676">
        <w:rPr>
          <w:b/>
          <w:sz w:val="24"/>
          <w:szCs w:val="24"/>
        </w:rPr>
        <w:t>Provide estimates of</w:t>
      </w:r>
      <w:r w:rsidRPr="00490AD9">
        <w:rPr>
          <w:b/>
          <w:sz w:val="24"/>
          <w:szCs w:val="24"/>
        </w:rPr>
        <w:t xml:space="preserve"> the hour burden of the collection of information.  The statement should: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50" w:hanging="360"/>
        <w:textAlignment w:val="baseline"/>
        <w:rPr>
          <w:sz w:val="24"/>
          <w:szCs w:val="24"/>
        </w:rPr>
      </w:pPr>
      <w:r w:rsidRPr="00C9749C">
        <w:rPr>
          <w:sz w:val="24"/>
          <w:szCs w:val="24"/>
        </w:rPr>
        <w:t>I</w:t>
      </w:r>
      <w:r w:rsidR="0031711C" w:rsidRPr="00C9749C">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I</w:t>
      </w:r>
      <w:r w:rsidR="0031711C" w:rsidRPr="00C9749C">
        <w:rPr>
          <w:sz w:val="24"/>
          <w:szCs w:val="24"/>
        </w:rPr>
        <w:t xml:space="preserve">f this request covers more than one form, provide separate hour burden estimates for each form and aggregate the hour burdens in Item 13 of OMB Form 83-I; and </w:t>
      </w:r>
    </w:p>
    <w:p w:rsidR="001060F4" w:rsidRPr="00C9749C" w:rsidRDefault="003A7E77" w:rsidP="00636B17">
      <w:pPr>
        <w:keepLines/>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P</w:t>
      </w:r>
      <w:r w:rsidR="0031711C" w:rsidRPr="00C9749C">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36B17" w:rsidRDefault="00636B17" w:rsidP="00636B17">
      <w:pPr>
        <w:keepLines/>
        <w:tabs>
          <w:tab w:val="left" w:pos="360"/>
          <w:tab w:val="left" w:pos="720"/>
        </w:tabs>
      </w:pPr>
      <w:r>
        <w:t>1) Pre-Award</w:t>
      </w:r>
    </w:p>
    <w:p w:rsidR="002E2400" w:rsidRDefault="00636B17" w:rsidP="00636B17">
      <w:pPr>
        <w:keepLines/>
        <w:tabs>
          <w:tab w:val="left" w:pos="360"/>
          <w:tab w:val="left" w:pos="720"/>
        </w:tabs>
      </w:pPr>
      <w:r>
        <w:t xml:space="preserve"> HUD estimates that each </w:t>
      </w:r>
      <w:r w:rsidR="009C17BB">
        <w:t xml:space="preserve">applicant spends approximately </w:t>
      </w:r>
      <w:r w:rsidR="00A10A98">
        <w:t xml:space="preserve">560 </w:t>
      </w:r>
      <w:r>
        <w:t xml:space="preserve">person-hours to complete an application.  </w:t>
      </w:r>
      <w:r w:rsidR="002E2400">
        <w:t xml:space="preserve">This is mostly due to the fact that the applicant will be spending time responding to the four rating factors of the NOFA. These rating factors require a candidate to respond to a range of questions related to a candidate’s prior experience and capacity to perform the duties describe in the NOFA. Therefore, these rating factors are critical to allowing HUD to assess the qualifications of a candidate. </w:t>
      </w:r>
    </w:p>
    <w:p w:rsidR="001060F4" w:rsidRDefault="00636B17" w:rsidP="00636B17">
      <w:pPr>
        <w:keepLines/>
        <w:tabs>
          <w:tab w:val="left" w:pos="360"/>
          <w:tab w:val="left" w:pos="720"/>
        </w:tabs>
      </w:pPr>
      <w:r>
        <w:t>Almost al</w:t>
      </w:r>
      <w:r w:rsidR="00F32ABE">
        <w:t xml:space="preserve">l of this time is invested by the </w:t>
      </w:r>
      <w:r w:rsidR="00CF7736">
        <w:t>entity</w:t>
      </w:r>
      <w:r w:rsidR="00F32ABE">
        <w:t xml:space="preserve"> who will be the primary administrator of </w:t>
      </w:r>
      <w:r>
        <w:t>the</w:t>
      </w:r>
      <w:r w:rsidR="00CF7736">
        <w:t xml:space="preserve"> SC2 Network</w:t>
      </w:r>
      <w:r>
        <w:t>.  HUD estimates the mean hourly rate at $30.</w:t>
      </w:r>
      <w:r w:rsidR="00CF7736">
        <w:t xml:space="preserve">  For 25</w:t>
      </w:r>
      <w:r w:rsidR="001060F4">
        <w:t xml:space="preserve"> </w:t>
      </w:r>
      <w:r>
        <w:t>applications, t</w:t>
      </w:r>
      <w:r w:rsidR="001060F4">
        <w:t xml:space="preserve">he computation is as follows: </w:t>
      </w:r>
      <w:r w:rsidR="00F32ABE">
        <w:rPr>
          <w:b/>
        </w:rPr>
        <w:t>25</w:t>
      </w:r>
      <w:r w:rsidR="001060F4" w:rsidRPr="00F25E2F">
        <w:rPr>
          <w:b/>
        </w:rPr>
        <w:t xml:space="preserve"> </w:t>
      </w:r>
      <w:r w:rsidRPr="00F25E2F">
        <w:rPr>
          <w:b/>
        </w:rPr>
        <w:t>applications</w:t>
      </w:r>
      <w:r w:rsidR="00F81264">
        <w:rPr>
          <w:b/>
        </w:rPr>
        <w:t xml:space="preserve"> X </w:t>
      </w:r>
      <w:r w:rsidR="00A10A98">
        <w:rPr>
          <w:b/>
        </w:rPr>
        <w:t>22.4</w:t>
      </w:r>
      <w:r w:rsidR="00F32ABE">
        <w:rPr>
          <w:b/>
        </w:rPr>
        <w:t xml:space="preserve"> hours X $30 per hours= $</w:t>
      </w:r>
      <w:r w:rsidR="00A10A98">
        <w:rPr>
          <w:b/>
        </w:rPr>
        <w:t>16,800</w:t>
      </w:r>
      <w:r>
        <w:t>.</w:t>
      </w:r>
    </w:p>
    <w:p w:rsidR="00636B17" w:rsidRDefault="00636B17" w:rsidP="00636B17">
      <w:pPr>
        <w:keepLines/>
        <w:tabs>
          <w:tab w:val="left" w:pos="360"/>
          <w:tab w:val="left" w:pos="720"/>
        </w:tabs>
      </w:pPr>
      <w:r w:rsidRPr="00DD63FB">
        <w:t>2) Post-Award</w:t>
      </w:r>
    </w:p>
    <w:p w:rsidR="00636B17" w:rsidRDefault="00E574CF" w:rsidP="00636B17">
      <w:pPr>
        <w:keepLines/>
        <w:tabs>
          <w:tab w:val="left" w:pos="360"/>
          <w:tab w:val="left" w:pos="720"/>
        </w:tabs>
      </w:pPr>
      <w:r>
        <w:lastRenderedPageBreak/>
        <w:t>HUD estimates that the</w:t>
      </w:r>
      <w:r w:rsidR="00636B17">
        <w:t xml:space="preserve"> gr</w:t>
      </w:r>
      <w:r w:rsidR="00F6462B">
        <w:t>antee will spend approximately 4</w:t>
      </w:r>
      <w:r w:rsidR="00636B17">
        <w:t xml:space="preserve"> hours a year maintaining record</w:t>
      </w:r>
      <w:r>
        <w:t>s.  HUD also estimates that the</w:t>
      </w:r>
      <w:r w:rsidR="00636B17">
        <w:t xml:space="preserve"> gr</w:t>
      </w:r>
      <w:r w:rsidR="00F6462B">
        <w:t xml:space="preserve">antee will spend approximately </w:t>
      </w:r>
      <w:r w:rsidR="00A10A98">
        <w:t>24</w:t>
      </w:r>
      <w:r w:rsidR="00E224A3">
        <w:t xml:space="preserve"> hours a year preparing </w:t>
      </w:r>
      <w:r w:rsidR="00636B17">
        <w:t>monitoring reports</w:t>
      </w:r>
      <w:r w:rsidR="00E224A3">
        <w:t xml:space="preserve"> and financial records</w:t>
      </w:r>
      <w:r w:rsidR="00636B17">
        <w:t>.  Clerical staff and faculty/supervisory staff will share this burden.  HUD estimates the applicable hourly rate at $15.  Th</w:t>
      </w:r>
      <w:r w:rsidR="00490AD9">
        <w:t>e computation</w:t>
      </w:r>
      <w:r w:rsidR="001060F4">
        <w:t xml:space="preserve"> is as follow</w:t>
      </w:r>
      <w:r w:rsidR="00C27145">
        <w:t>s</w:t>
      </w:r>
      <w:r w:rsidR="001060F4">
        <w:t xml:space="preserve">:  </w:t>
      </w:r>
      <w:r>
        <w:rPr>
          <w:b/>
        </w:rPr>
        <w:t>1</w:t>
      </w:r>
      <w:r w:rsidR="001060F4" w:rsidRPr="00F25E2F">
        <w:rPr>
          <w:b/>
        </w:rPr>
        <w:t xml:space="preserve"> </w:t>
      </w:r>
      <w:r>
        <w:rPr>
          <w:b/>
        </w:rPr>
        <w:t>grantee</w:t>
      </w:r>
      <w:r w:rsidR="00F6462B">
        <w:rPr>
          <w:b/>
        </w:rPr>
        <w:t xml:space="preserve"> x </w:t>
      </w:r>
      <w:r w:rsidR="00A10A98">
        <w:rPr>
          <w:b/>
        </w:rPr>
        <w:t>28</w:t>
      </w:r>
      <w:r w:rsidR="00636B17" w:rsidRPr="00F25E2F">
        <w:rPr>
          <w:b/>
        </w:rPr>
        <w:t xml:space="preserve"> hours x $15 an hour = </w:t>
      </w:r>
      <w:r w:rsidR="00F6462B">
        <w:rPr>
          <w:b/>
        </w:rPr>
        <w:t>$</w:t>
      </w:r>
      <w:r w:rsidR="00A10A98">
        <w:rPr>
          <w:b/>
        </w:rPr>
        <w:t>420</w:t>
      </w:r>
      <w:r w:rsidR="00636B17">
        <w:t>.</w:t>
      </w:r>
    </w:p>
    <w:p w:rsidR="00C27145" w:rsidRPr="00C27145" w:rsidRDefault="00C27145" w:rsidP="00636B17">
      <w:pPr>
        <w:keepLines/>
        <w:tabs>
          <w:tab w:val="left" w:pos="360"/>
          <w:tab w:val="left" w:pos="720"/>
        </w:tabs>
        <w:rPr>
          <w:b/>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530"/>
        <w:gridCol w:w="1440"/>
        <w:gridCol w:w="1260"/>
        <w:gridCol w:w="1440"/>
        <w:gridCol w:w="1800"/>
      </w:tblGrid>
      <w:tr w:rsidR="00175AA4" w:rsidTr="00D90C05">
        <w:trPr>
          <w:trHeight w:val="872"/>
        </w:trPr>
        <w:tc>
          <w:tcPr>
            <w:tcW w:w="315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B33706" w:rsidP="00175AA4">
            <w:pPr>
              <w:keepLines/>
              <w:ind w:left="-228" w:right="252"/>
              <w:jc w:val="center"/>
              <w:rPr>
                <w:rFonts w:ascii="Helvetica" w:hAnsi="Helvetica"/>
                <w:sz w:val="18"/>
              </w:rPr>
            </w:pPr>
            <w:r>
              <w:rPr>
                <w:rFonts w:ascii="Helvetica" w:hAnsi="Helvetica"/>
                <w:sz w:val="18"/>
              </w:rPr>
              <w:t xml:space="preserve">     5.6</w:t>
            </w:r>
          </w:p>
        </w:tc>
        <w:tc>
          <w:tcPr>
            <w:tcW w:w="1800" w:type="dxa"/>
          </w:tcPr>
          <w:p w:rsidR="001060F4" w:rsidRDefault="00D548F8" w:rsidP="00D548F8">
            <w:pPr>
              <w:keepLines/>
              <w:ind w:left="-108" w:right="492"/>
              <w:rPr>
                <w:rFonts w:ascii="Helvetica" w:hAnsi="Helvetica"/>
                <w:sz w:val="18"/>
              </w:rPr>
            </w:pPr>
            <w:r>
              <w:rPr>
                <w:rFonts w:ascii="Helvetica" w:hAnsi="Helvetica"/>
                <w:sz w:val="18"/>
              </w:rPr>
              <w:t xml:space="preserve">        </w:t>
            </w:r>
            <w:r w:rsidR="001060F4">
              <w:rPr>
                <w:rFonts w:ascii="Helvetica" w:hAnsi="Helvetica"/>
                <w:sz w:val="18"/>
              </w:rPr>
              <w:t>140</w:t>
            </w:r>
            <w:r>
              <w:rPr>
                <w:rFonts w:ascii="Helvetica" w:hAnsi="Helvetica"/>
                <w:sz w:val="18"/>
              </w:rPr>
              <w:t>.00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B33706" w:rsidP="00175AA4">
            <w:pPr>
              <w:keepLines/>
              <w:ind w:left="-228" w:right="252"/>
              <w:jc w:val="center"/>
              <w:rPr>
                <w:rFonts w:ascii="Helvetica" w:hAnsi="Helvetica"/>
                <w:sz w:val="18"/>
              </w:rPr>
            </w:pPr>
            <w:r>
              <w:rPr>
                <w:rFonts w:ascii="Helvetica" w:hAnsi="Helvetica"/>
                <w:sz w:val="18"/>
              </w:rPr>
              <w:t xml:space="preserve">     5.6</w:t>
            </w:r>
          </w:p>
        </w:tc>
        <w:tc>
          <w:tcPr>
            <w:tcW w:w="1800" w:type="dxa"/>
          </w:tcPr>
          <w:p w:rsidR="001060F4" w:rsidRDefault="00D548F8" w:rsidP="001060F4">
            <w:r>
              <w:rPr>
                <w:rFonts w:ascii="Helvetica" w:hAnsi="Helvetica"/>
                <w:sz w:val="18"/>
              </w:rPr>
              <w:t xml:space="preserve">      </w:t>
            </w:r>
            <w:r w:rsidR="001060F4" w:rsidRPr="00AC55DB">
              <w:rPr>
                <w:rFonts w:ascii="Helvetica" w:hAnsi="Helvetica"/>
                <w:sz w:val="18"/>
              </w:rPr>
              <w:t>140</w:t>
            </w:r>
            <w:r>
              <w:rPr>
                <w:rFonts w:ascii="Helvetica" w:hAnsi="Helvetica"/>
                <w:sz w:val="18"/>
              </w:rPr>
              <w:t>.00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B33706" w:rsidP="00175AA4">
            <w:pPr>
              <w:keepLines/>
              <w:ind w:left="-228" w:right="252"/>
              <w:jc w:val="center"/>
              <w:rPr>
                <w:rFonts w:ascii="Helvetica" w:hAnsi="Helvetica"/>
                <w:sz w:val="18"/>
              </w:rPr>
            </w:pPr>
            <w:r>
              <w:rPr>
                <w:rFonts w:ascii="Helvetica" w:hAnsi="Helvetica"/>
                <w:sz w:val="18"/>
              </w:rPr>
              <w:t xml:space="preserve">     5.6</w:t>
            </w:r>
          </w:p>
        </w:tc>
        <w:tc>
          <w:tcPr>
            <w:tcW w:w="1800" w:type="dxa"/>
          </w:tcPr>
          <w:p w:rsidR="001060F4" w:rsidRDefault="00D548F8" w:rsidP="001060F4">
            <w:r>
              <w:rPr>
                <w:rFonts w:ascii="Helvetica" w:hAnsi="Helvetica"/>
                <w:sz w:val="18"/>
              </w:rPr>
              <w:t xml:space="preserve">      </w:t>
            </w:r>
            <w:r w:rsidR="001060F4" w:rsidRPr="00AC55DB">
              <w:rPr>
                <w:rFonts w:ascii="Helvetica" w:hAnsi="Helvetica"/>
                <w:sz w:val="18"/>
              </w:rPr>
              <w:t>140</w:t>
            </w:r>
            <w:r>
              <w:rPr>
                <w:rFonts w:ascii="Helvetica" w:hAnsi="Helvetica"/>
                <w:sz w:val="18"/>
              </w:rPr>
              <w:t>.00</w:t>
            </w:r>
          </w:p>
        </w:tc>
      </w:tr>
      <w:tr w:rsidR="00CF7736" w:rsidTr="00D90C05">
        <w:tc>
          <w:tcPr>
            <w:tcW w:w="3150" w:type="dxa"/>
          </w:tcPr>
          <w:p w:rsidR="00CF7736" w:rsidRDefault="00CF7736" w:rsidP="00175AA4">
            <w:pPr>
              <w:keepLines/>
              <w:tabs>
                <w:tab w:val="left" w:pos="360"/>
                <w:tab w:val="left" w:pos="720"/>
              </w:tabs>
              <w:rPr>
                <w:rFonts w:ascii="Helvetica" w:hAnsi="Helvetica"/>
                <w:sz w:val="18"/>
              </w:rPr>
            </w:pPr>
            <w:r>
              <w:rPr>
                <w:rFonts w:ascii="Helvetica" w:hAnsi="Helvetica"/>
                <w:sz w:val="18"/>
              </w:rPr>
              <w:t>Rating factor 4</w:t>
            </w:r>
          </w:p>
        </w:tc>
        <w:tc>
          <w:tcPr>
            <w:tcW w:w="1530" w:type="dxa"/>
          </w:tcPr>
          <w:p w:rsidR="00CF7736" w:rsidRPr="004E2E49" w:rsidRDefault="00CF7736" w:rsidP="001060F4">
            <w:pPr>
              <w:jc w:val="center"/>
              <w:rPr>
                <w:rFonts w:ascii="Helvetica" w:hAnsi="Helvetica"/>
                <w:sz w:val="18"/>
              </w:rPr>
            </w:pPr>
            <w:r>
              <w:rPr>
                <w:rFonts w:ascii="Helvetica" w:hAnsi="Helvetica"/>
                <w:sz w:val="18"/>
              </w:rPr>
              <w:t>25</w:t>
            </w:r>
          </w:p>
        </w:tc>
        <w:tc>
          <w:tcPr>
            <w:tcW w:w="1440" w:type="dxa"/>
          </w:tcPr>
          <w:p w:rsidR="00CF7736" w:rsidRDefault="00CF7736"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CF7736" w:rsidRPr="00BC7D63" w:rsidRDefault="00CF7736" w:rsidP="001060F4">
            <w:pPr>
              <w:jc w:val="center"/>
              <w:rPr>
                <w:rFonts w:ascii="Helvetica" w:hAnsi="Helvetica"/>
                <w:sz w:val="18"/>
              </w:rPr>
            </w:pPr>
            <w:r>
              <w:rPr>
                <w:rFonts w:ascii="Helvetica" w:hAnsi="Helvetica"/>
                <w:sz w:val="18"/>
              </w:rPr>
              <w:t>25</w:t>
            </w:r>
          </w:p>
        </w:tc>
        <w:tc>
          <w:tcPr>
            <w:tcW w:w="1440" w:type="dxa"/>
          </w:tcPr>
          <w:p w:rsidR="00CF7736" w:rsidRDefault="00CF7736" w:rsidP="00175AA4">
            <w:pPr>
              <w:keepLines/>
              <w:ind w:left="-468" w:right="372"/>
              <w:jc w:val="center"/>
              <w:rPr>
                <w:rFonts w:ascii="Helvetica" w:hAnsi="Helvetica"/>
                <w:sz w:val="18"/>
              </w:rPr>
            </w:pPr>
            <w:r>
              <w:rPr>
                <w:rFonts w:ascii="Helvetica" w:hAnsi="Helvetica"/>
                <w:sz w:val="18"/>
              </w:rPr>
              <w:t xml:space="preserve">            5.6</w:t>
            </w:r>
          </w:p>
        </w:tc>
        <w:tc>
          <w:tcPr>
            <w:tcW w:w="1800" w:type="dxa"/>
          </w:tcPr>
          <w:p w:rsidR="00CF7736" w:rsidRDefault="00D548F8" w:rsidP="00175AA4">
            <w:pPr>
              <w:keepLines/>
              <w:ind w:left="-348" w:right="612"/>
              <w:jc w:val="center"/>
              <w:rPr>
                <w:rFonts w:ascii="Helvetica" w:hAnsi="Helvetica"/>
                <w:sz w:val="18"/>
              </w:rPr>
            </w:pPr>
            <w:r>
              <w:rPr>
                <w:rFonts w:ascii="Helvetica" w:hAnsi="Helvetica"/>
                <w:sz w:val="18"/>
              </w:rPr>
              <w:t xml:space="preserve">          </w:t>
            </w:r>
            <w:r w:rsidR="00CF7736">
              <w:rPr>
                <w:rFonts w:ascii="Helvetica" w:hAnsi="Helvetica"/>
                <w:sz w:val="18"/>
              </w:rPr>
              <w:t>140</w:t>
            </w:r>
            <w:r>
              <w:rPr>
                <w:rFonts w:ascii="Helvetica" w:hAnsi="Helvetica"/>
                <w:sz w:val="18"/>
              </w:rPr>
              <w:t>.00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1060F4" w:rsidP="00C97631">
            <w:pPr>
              <w:keepLines/>
              <w:ind w:left="-468" w:right="372"/>
              <w:jc w:val="center"/>
              <w:rPr>
                <w:rFonts w:ascii="Helvetica" w:hAnsi="Helvetica"/>
                <w:sz w:val="18"/>
              </w:rPr>
            </w:pPr>
          </w:p>
        </w:tc>
        <w:tc>
          <w:tcPr>
            <w:tcW w:w="1800" w:type="dxa"/>
          </w:tcPr>
          <w:p w:rsidR="001060F4" w:rsidRDefault="009520E5" w:rsidP="00C97631">
            <w:pPr>
              <w:keepLines/>
              <w:ind w:left="-348" w:right="612"/>
              <w:jc w:val="center"/>
              <w:rPr>
                <w:rFonts w:ascii="Helvetica" w:hAnsi="Helvetica"/>
                <w:sz w:val="18"/>
              </w:rPr>
            </w:pPr>
            <w:r>
              <w:rPr>
                <w:rFonts w:ascii="Helvetica" w:hAnsi="Helvetica"/>
                <w:sz w:val="18"/>
              </w:rPr>
              <w:t xml:space="preserve">          </w:t>
            </w:r>
            <w:r w:rsidR="00C97631">
              <w:rPr>
                <w:rFonts w:ascii="Helvetica" w:hAnsi="Helvetica"/>
                <w:sz w:val="18"/>
              </w:rPr>
              <w:t>560</w:t>
            </w:r>
          </w:p>
        </w:tc>
      </w:tr>
      <w:tr w:rsidR="00CF152B" w:rsidTr="00D90C05">
        <w:tc>
          <w:tcPr>
            <w:tcW w:w="3150" w:type="dxa"/>
          </w:tcPr>
          <w:p w:rsidR="00CF152B" w:rsidRDefault="00CF152B" w:rsidP="00175AA4">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CF152B" w:rsidRDefault="00B33706" w:rsidP="00175AA4">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CF152B" w:rsidRDefault="00CF152B" w:rsidP="00175AA4">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CF152B" w:rsidRPr="00C97631" w:rsidRDefault="006513C7" w:rsidP="001060F4">
            <w:pPr>
              <w:jc w:val="center"/>
              <w:rPr>
                <w:rFonts w:ascii="Helvetica" w:hAnsi="Helvetica" w:cs="Helvetica"/>
                <w:sz w:val="18"/>
                <w:szCs w:val="18"/>
              </w:rPr>
            </w:pPr>
            <w:r w:rsidRPr="00C97631">
              <w:rPr>
                <w:rFonts w:ascii="Helvetica" w:hAnsi="Helvetica" w:cs="Helvetica"/>
                <w:sz w:val="18"/>
                <w:szCs w:val="18"/>
              </w:rPr>
              <w:t>4</w:t>
            </w:r>
          </w:p>
        </w:tc>
        <w:tc>
          <w:tcPr>
            <w:tcW w:w="1440" w:type="dxa"/>
          </w:tcPr>
          <w:p w:rsidR="00CF152B" w:rsidRDefault="00CF152B" w:rsidP="00175AA4">
            <w:pPr>
              <w:keepLines/>
              <w:ind w:left="-468" w:right="372"/>
              <w:jc w:val="center"/>
              <w:rPr>
                <w:rFonts w:ascii="Helvetica" w:hAnsi="Helvetica"/>
                <w:sz w:val="18"/>
              </w:rPr>
            </w:pPr>
            <w:r>
              <w:rPr>
                <w:rFonts w:ascii="Helvetica" w:hAnsi="Helvetica"/>
                <w:sz w:val="18"/>
              </w:rPr>
              <w:t xml:space="preserve">            6     </w:t>
            </w:r>
          </w:p>
        </w:tc>
        <w:tc>
          <w:tcPr>
            <w:tcW w:w="1800" w:type="dxa"/>
          </w:tcPr>
          <w:p w:rsidR="00CF152B" w:rsidRDefault="0001147C" w:rsidP="00175AA4">
            <w:pPr>
              <w:keepLines/>
              <w:ind w:left="-348" w:right="612"/>
              <w:jc w:val="center"/>
              <w:rPr>
                <w:rFonts w:ascii="Helvetica" w:hAnsi="Helvetica"/>
                <w:sz w:val="18"/>
              </w:rPr>
            </w:pPr>
            <w:r>
              <w:rPr>
                <w:rFonts w:ascii="Helvetica" w:hAnsi="Helvetica"/>
                <w:sz w:val="18"/>
              </w:rPr>
              <w:t xml:space="preserve">            </w:t>
            </w:r>
            <w:r w:rsidR="00B33706">
              <w:rPr>
                <w:rFonts w:ascii="Helvetica" w:hAnsi="Helvetica"/>
                <w:sz w:val="18"/>
              </w:rPr>
              <w:t>24</w:t>
            </w:r>
            <w:r>
              <w:rPr>
                <w:rFonts w:ascii="Helvetica" w:hAnsi="Helvetica"/>
                <w:sz w:val="18"/>
              </w:rPr>
              <w:t>.00</w:t>
            </w:r>
          </w:p>
        </w:tc>
      </w:tr>
      <w:tr w:rsidR="003A605E" w:rsidTr="00D90C05">
        <w:tc>
          <w:tcPr>
            <w:tcW w:w="3150" w:type="dxa"/>
          </w:tcPr>
          <w:p w:rsidR="003A605E" w:rsidRDefault="003A605E" w:rsidP="00175AA4">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3A605E" w:rsidRDefault="003A605E" w:rsidP="00175AA4">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3A605E" w:rsidRDefault="00C522E7" w:rsidP="00175AA4">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3A605E" w:rsidRDefault="00C522E7" w:rsidP="00175AA4">
            <w:pPr>
              <w:keepLines/>
              <w:tabs>
                <w:tab w:val="left" w:pos="360"/>
                <w:tab w:val="left" w:pos="720"/>
              </w:tabs>
              <w:jc w:val="center"/>
              <w:rPr>
                <w:rFonts w:ascii="Helvetica" w:hAnsi="Helvetica"/>
                <w:sz w:val="18"/>
              </w:rPr>
            </w:pPr>
            <w:r>
              <w:rPr>
                <w:rFonts w:ascii="Helvetica" w:hAnsi="Helvetica"/>
                <w:sz w:val="18"/>
              </w:rPr>
              <w:t>4</w:t>
            </w:r>
          </w:p>
        </w:tc>
        <w:tc>
          <w:tcPr>
            <w:tcW w:w="1440" w:type="dxa"/>
          </w:tcPr>
          <w:p w:rsidR="003A605E" w:rsidRDefault="003A605E" w:rsidP="00C522E7">
            <w:pPr>
              <w:keepLines/>
              <w:ind w:left="-468" w:right="372"/>
              <w:jc w:val="center"/>
              <w:rPr>
                <w:rFonts w:ascii="Helvetica" w:hAnsi="Helvetica"/>
                <w:sz w:val="18"/>
              </w:rPr>
            </w:pPr>
            <w:r>
              <w:rPr>
                <w:rFonts w:ascii="Helvetica" w:hAnsi="Helvetica"/>
                <w:sz w:val="18"/>
              </w:rPr>
              <w:t xml:space="preserve">            </w:t>
            </w:r>
            <w:r w:rsidR="00C522E7">
              <w:rPr>
                <w:rFonts w:ascii="Helvetica" w:hAnsi="Helvetica"/>
                <w:sz w:val="18"/>
              </w:rPr>
              <w:t>1</w:t>
            </w:r>
            <w:r>
              <w:rPr>
                <w:rFonts w:ascii="Helvetica" w:hAnsi="Helvetica"/>
                <w:sz w:val="18"/>
              </w:rPr>
              <w:t xml:space="preserve">    </w:t>
            </w:r>
          </w:p>
        </w:tc>
        <w:tc>
          <w:tcPr>
            <w:tcW w:w="1800" w:type="dxa"/>
          </w:tcPr>
          <w:p w:rsidR="003A605E" w:rsidRDefault="003A605E" w:rsidP="00175AA4">
            <w:pPr>
              <w:keepLines/>
              <w:ind w:left="-348" w:right="612"/>
              <w:jc w:val="center"/>
              <w:rPr>
                <w:rFonts w:ascii="Helvetica" w:hAnsi="Helvetica"/>
                <w:sz w:val="18"/>
              </w:rPr>
            </w:pPr>
            <w:r>
              <w:rPr>
                <w:rFonts w:ascii="Helvetica" w:hAnsi="Helvetica"/>
                <w:sz w:val="18"/>
              </w:rPr>
              <w:t xml:space="preserve">              4.00</w:t>
            </w:r>
          </w:p>
        </w:tc>
      </w:tr>
      <w:tr w:rsidR="003A605E" w:rsidTr="00D90C05">
        <w:tc>
          <w:tcPr>
            <w:tcW w:w="3150" w:type="dxa"/>
          </w:tcPr>
          <w:p w:rsidR="003A605E" w:rsidRDefault="003A605E"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3A605E" w:rsidRDefault="003A605E" w:rsidP="00175AA4">
            <w:pPr>
              <w:keepLines/>
              <w:tabs>
                <w:tab w:val="left" w:pos="360"/>
                <w:tab w:val="left" w:pos="720"/>
              </w:tabs>
              <w:jc w:val="center"/>
              <w:rPr>
                <w:rFonts w:ascii="Helvetica" w:hAnsi="Helvetica"/>
                <w:b/>
                <w:bCs/>
                <w:sz w:val="18"/>
              </w:rPr>
            </w:pPr>
            <w:r>
              <w:rPr>
                <w:rFonts w:ascii="Helvetica" w:hAnsi="Helvetica"/>
                <w:sz w:val="18"/>
              </w:rPr>
              <w:t>2</w:t>
            </w:r>
            <w:r w:rsidR="00527CC1">
              <w:rPr>
                <w:rFonts w:ascii="Helvetica" w:hAnsi="Helvetica"/>
                <w:sz w:val="18"/>
              </w:rPr>
              <w:t>9</w:t>
            </w:r>
          </w:p>
        </w:tc>
        <w:tc>
          <w:tcPr>
            <w:tcW w:w="1440" w:type="dxa"/>
          </w:tcPr>
          <w:p w:rsidR="003A605E" w:rsidRDefault="003A605E" w:rsidP="00175AA4">
            <w:pPr>
              <w:keepLines/>
              <w:tabs>
                <w:tab w:val="left" w:pos="360"/>
                <w:tab w:val="left" w:pos="720"/>
              </w:tabs>
              <w:jc w:val="center"/>
              <w:rPr>
                <w:rFonts w:ascii="Helvetica" w:hAnsi="Helvetica"/>
                <w:b/>
                <w:bCs/>
                <w:sz w:val="18"/>
              </w:rPr>
            </w:pPr>
          </w:p>
        </w:tc>
        <w:tc>
          <w:tcPr>
            <w:tcW w:w="1260" w:type="dxa"/>
          </w:tcPr>
          <w:p w:rsidR="003A605E" w:rsidRDefault="00527CC1" w:rsidP="00175AA4">
            <w:pPr>
              <w:keepLines/>
              <w:tabs>
                <w:tab w:val="left" w:pos="360"/>
                <w:tab w:val="left" w:pos="720"/>
              </w:tabs>
              <w:jc w:val="center"/>
              <w:rPr>
                <w:rFonts w:ascii="Helvetica" w:hAnsi="Helvetica"/>
                <w:b/>
                <w:bCs/>
                <w:sz w:val="18"/>
              </w:rPr>
            </w:pPr>
            <w:r>
              <w:rPr>
                <w:rFonts w:ascii="Helvetica" w:hAnsi="Helvetica"/>
                <w:b/>
                <w:bCs/>
                <w:sz w:val="18"/>
              </w:rPr>
              <w:t>29</w:t>
            </w:r>
          </w:p>
        </w:tc>
        <w:tc>
          <w:tcPr>
            <w:tcW w:w="1440" w:type="dxa"/>
          </w:tcPr>
          <w:p w:rsidR="003A605E" w:rsidRDefault="003A605E" w:rsidP="00C97631">
            <w:pPr>
              <w:keepLines/>
              <w:ind w:left="-228" w:right="252"/>
              <w:jc w:val="center"/>
              <w:rPr>
                <w:rFonts w:ascii="Helvetica" w:hAnsi="Helvetica"/>
                <w:b/>
                <w:bCs/>
                <w:sz w:val="18"/>
              </w:rPr>
            </w:pPr>
          </w:p>
        </w:tc>
        <w:tc>
          <w:tcPr>
            <w:tcW w:w="1800" w:type="dxa"/>
          </w:tcPr>
          <w:p w:rsidR="003A605E" w:rsidRDefault="009520E5" w:rsidP="00C97631">
            <w:pPr>
              <w:keepLines/>
              <w:ind w:left="-348" w:right="612"/>
              <w:jc w:val="center"/>
              <w:rPr>
                <w:rFonts w:ascii="Helvetica" w:hAnsi="Helvetica"/>
                <w:b/>
                <w:bCs/>
                <w:sz w:val="18"/>
              </w:rPr>
            </w:pPr>
            <w:r>
              <w:rPr>
                <w:rFonts w:ascii="Helvetica" w:hAnsi="Helvetica"/>
                <w:b/>
                <w:bCs/>
                <w:sz w:val="18"/>
              </w:rPr>
              <w:t xml:space="preserve">          </w:t>
            </w:r>
            <w:r w:rsidR="00C97631">
              <w:rPr>
                <w:rFonts w:ascii="Helvetica" w:hAnsi="Helvetica"/>
                <w:b/>
                <w:bCs/>
                <w:sz w:val="18"/>
              </w:rPr>
              <w:t>588</w:t>
            </w:r>
            <w:bookmarkStart w:id="0" w:name="_GoBack"/>
            <w:bookmarkEnd w:id="0"/>
          </w:p>
        </w:tc>
      </w:tr>
    </w:tbl>
    <w:p w:rsidR="0031711C" w:rsidRDefault="0031711C"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E574CF">
        <w:rPr>
          <w:b/>
          <w:sz w:val="24"/>
          <w:szCs w:val="24"/>
        </w:rPr>
        <w:t>13.</w:t>
      </w:r>
      <w:r w:rsidRPr="00E574CF">
        <w:rPr>
          <w:b/>
          <w:sz w:val="24"/>
          <w:szCs w:val="24"/>
        </w:rPr>
        <w:tab/>
        <w:t>Provide an estimate of the total annual cost burden to respondents or record</w:t>
      </w:r>
      <w:r w:rsidR="003D1D96" w:rsidRPr="00E574CF">
        <w:rPr>
          <w:b/>
          <w:sz w:val="24"/>
          <w:szCs w:val="24"/>
        </w:rPr>
        <w:t xml:space="preserve"> </w:t>
      </w:r>
      <w:r w:rsidRPr="00E574CF">
        <w:rPr>
          <w:b/>
          <w:sz w:val="24"/>
          <w:szCs w:val="24"/>
        </w:rPr>
        <w:t>keepers resulting from the collection of information (do not include the cost of any hour burden shown in Items 12 and 14).</w:t>
      </w:r>
      <w:r w:rsidRPr="00D90C05">
        <w:rPr>
          <w:b/>
          <w:sz w:val="24"/>
          <w:szCs w:val="24"/>
        </w:rPr>
        <w:t xml:space="preserve"> </w:t>
      </w:r>
    </w:p>
    <w:p w:rsidR="0031711C" w:rsidRPr="00C9749C" w:rsidRDefault="0031711C" w:rsidP="00C9749C">
      <w:pPr>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C9749C" w:rsidRDefault="00D90C05" w:rsidP="00C9749C">
      <w:pPr>
        <w:numPr>
          <w:ilvl w:val="0"/>
          <w:numId w:val="14"/>
        </w:numPr>
        <w:tabs>
          <w:tab w:val="left" w:pos="360"/>
        </w:tabs>
        <w:overflowPunct w:val="0"/>
        <w:autoSpaceDE w:val="0"/>
        <w:autoSpaceDN w:val="0"/>
        <w:adjustRightInd w:val="0"/>
        <w:spacing w:before="240" w:after="240" w:line="240" w:lineRule="auto"/>
        <w:ind w:left="360" w:hanging="480"/>
        <w:textAlignment w:val="baseline"/>
        <w:rPr>
          <w:sz w:val="24"/>
          <w:szCs w:val="24"/>
        </w:rPr>
      </w:pPr>
      <w:r w:rsidRPr="00C9749C">
        <w:rPr>
          <w:sz w:val="24"/>
          <w:szCs w:val="24"/>
        </w:rPr>
        <w:t xml:space="preserve"> </w:t>
      </w:r>
      <w:r w:rsidR="0031711C" w:rsidRPr="00C9749C">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w:t>
      </w:r>
      <w:r w:rsidR="0031711C" w:rsidRPr="00C9749C">
        <w:rPr>
          <w:sz w:val="24"/>
          <w:szCs w:val="24"/>
        </w:rPr>
        <w:lastRenderedPageBreak/>
        <w:t xml:space="preserve">utilize the 60-day pre-OMB submission public comment process and use existing economic or regulatory impact analysis associated with the rulemaking containing the information collection, as appropriate. </w:t>
      </w:r>
    </w:p>
    <w:p w:rsidR="00D90C05" w:rsidRPr="00C9749C" w:rsidRDefault="00D90C05" w:rsidP="00636B17">
      <w:pPr>
        <w:keepLines/>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G</w:t>
      </w:r>
      <w:r w:rsidR="0031711C" w:rsidRPr="00C9749C">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1711C" w:rsidRPr="00C9749C" w:rsidRDefault="00CF49B9" w:rsidP="00C9749C">
      <w:pPr>
        <w:keepLines/>
        <w:tabs>
          <w:tab w:val="left" w:pos="360"/>
          <w:tab w:val="left" w:pos="720"/>
        </w:tabs>
      </w:pPr>
      <w:r>
        <w:t>None</w:t>
      </w:r>
    </w:p>
    <w:p w:rsidR="003A7E77" w:rsidRDefault="0031711C" w:rsidP="00C9749C">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r>
      <w:r w:rsidRPr="007041C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w:t>
      </w:r>
      <w:r w:rsidR="00C9749C" w:rsidRPr="007041CC">
        <w:rPr>
          <w:b/>
          <w:sz w:val="24"/>
          <w:szCs w:val="24"/>
        </w:rPr>
        <w:t>2, 13, and 14 in a single table.</w:t>
      </w:r>
    </w:p>
    <w:p w:rsidR="00C9749C" w:rsidRPr="00C9749C" w:rsidRDefault="00C9749C" w:rsidP="00C9749C">
      <w:pPr>
        <w:keepLines/>
        <w:tabs>
          <w:tab w:val="left" w:pos="360"/>
        </w:tabs>
        <w:spacing w:after="80" w:line="240" w:lineRule="auto"/>
        <w:ind w:left="360" w:hanging="360"/>
        <w:rPr>
          <w:b/>
          <w:sz w:val="24"/>
          <w:szCs w:val="24"/>
        </w:rPr>
      </w:pPr>
    </w:p>
    <w:p w:rsidR="00175AA4" w:rsidRDefault="00175AA4" w:rsidP="00175AA4">
      <w:pPr>
        <w:keepLines/>
        <w:tabs>
          <w:tab w:val="left" w:pos="360"/>
          <w:tab w:val="left" w:pos="720"/>
        </w:tabs>
      </w:pPr>
      <w:r>
        <w:t>1) Pre-Award.</w:t>
      </w:r>
    </w:p>
    <w:p w:rsidR="00AB3E0C" w:rsidRDefault="00E574CF" w:rsidP="00175AA4">
      <w:pPr>
        <w:keepLines/>
        <w:tabs>
          <w:tab w:val="left" w:pos="360"/>
          <w:tab w:val="left" w:pos="720"/>
        </w:tabs>
      </w:pPr>
      <w:r>
        <w:t>Approximately 25</w:t>
      </w:r>
      <w:r w:rsidR="00175AA4">
        <w:t xml:space="preserve"> applications are expected to be received annually.  </w:t>
      </w:r>
      <w:r w:rsidR="00175AA4" w:rsidRPr="006E5215">
        <w:t>Each</w:t>
      </w:r>
      <w:r w:rsidR="00175AA4">
        <w:t xml:space="preserve"> application goes through a threshold review which takes one hour to conduct.  This review is conducted by </w:t>
      </w:r>
      <w:r>
        <w:rPr>
          <w:b/>
        </w:rPr>
        <w:t>up to</w:t>
      </w:r>
      <w:r w:rsidR="00AB3E0C">
        <w:rPr>
          <w:b/>
        </w:rPr>
        <w:t xml:space="preserve"> </w:t>
      </w:r>
      <w:r>
        <w:rPr>
          <w:b/>
        </w:rPr>
        <w:t>10</w:t>
      </w:r>
      <w:r w:rsidR="00175AA4">
        <w:t xml:space="preserve"> </w:t>
      </w:r>
      <w:r w:rsidR="00175AA4" w:rsidRPr="006E5215">
        <w:t>persons, having an ave</w:t>
      </w:r>
      <w:r>
        <w:t>rage grade of GS-13</w:t>
      </w:r>
      <w:r w:rsidR="00175AA4">
        <w:t xml:space="preserve"> at an </w:t>
      </w:r>
      <w:r w:rsidR="00175AA4" w:rsidRPr="00AB3E0C">
        <w:rPr>
          <w:b/>
        </w:rPr>
        <w:t>hourly rate of $45.00</w:t>
      </w:r>
      <w:r w:rsidR="00175AA4" w:rsidRPr="006E5215">
        <w:t xml:space="preserve">.  Thus the annual review </w:t>
      </w:r>
      <w:r w:rsidR="00175AA4">
        <w:t>p</w:t>
      </w:r>
      <w:r w:rsidR="001060F4">
        <w:t xml:space="preserve">rocess takes approximately </w:t>
      </w:r>
      <w:r w:rsidR="009C17BB">
        <w:rPr>
          <w:b/>
        </w:rPr>
        <w:t>2</w:t>
      </w:r>
      <w:r>
        <w:rPr>
          <w:b/>
        </w:rPr>
        <w:t>50</w:t>
      </w:r>
      <w:r w:rsidR="001060F4">
        <w:t xml:space="preserve"> </w:t>
      </w:r>
      <w:r w:rsidR="00175AA4" w:rsidRPr="006E5215">
        <w:t xml:space="preserve">staff hours.  </w:t>
      </w:r>
    </w:p>
    <w:p w:rsidR="00E93CE2" w:rsidRPr="00C9749C" w:rsidRDefault="00175AA4" w:rsidP="00175AA4">
      <w:pPr>
        <w:keepLines/>
        <w:tabs>
          <w:tab w:val="left" w:pos="360"/>
          <w:tab w:val="left" w:pos="720"/>
        </w:tabs>
        <w:rPr>
          <w:b/>
        </w:rPr>
      </w:pPr>
      <w:r w:rsidRPr="00AB3E0C">
        <w:rPr>
          <w:b/>
        </w:rPr>
        <w:t>Th</w:t>
      </w:r>
      <w:r w:rsidR="00E574CF">
        <w:rPr>
          <w:b/>
        </w:rPr>
        <w:t>e computation is as follows: 25</w:t>
      </w:r>
      <w:r w:rsidR="00131DBD" w:rsidRPr="00AB3E0C">
        <w:rPr>
          <w:b/>
        </w:rPr>
        <w:t xml:space="preserve"> </w:t>
      </w:r>
      <w:r w:rsidRPr="00AB3E0C">
        <w:rPr>
          <w:b/>
        </w:rPr>
        <w:t xml:space="preserve">applications x </w:t>
      </w:r>
      <w:r w:rsidR="00E574CF">
        <w:rPr>
          <w:b/>
        </w:rPr>
        <w:t>10</w:t>
      </w:r>
      <w:r w:rsidRPr="00AB3E0C">
        <w:rPr>
          <w:b/>
        </w:rPr>
        <w:t xml:space="preserve"> p</w:t>
      </w:r>
      <w:r w:rsidR="001060F4" w:rsidRPr="00AB3E0C">
        <w:rPr>
          <w:b/>
        </w:rPr>
        <w:t>ersons x 1 hours x $45.00 = $</w:t>
      </w:r>
      <w:r w:rsidR="00E574CF">
        <w:rPr>
          <w:b/>
        </w:rPr>
        <w:t>11,250</w:t>
      </w:r>
      <w:r w:rsidRPr="00AB3E0C">
        <w:rPr>
          <w:b/>
        </w:rPr>
        <w:t>.</w:t>
      </w:r>
    </w:p>
    <w:p w:rsidR="00175AA4" w:rsidRDefault="00175AA4" w:rsidP="00175AA4">
      <w:pPr>
        <w:keepLines/>
        <w:tabs>
          <w:tab w:val="left" w:pos="360"/>
          <w:tab w:val="left" w:pos="720"/>
        </w:tabs>
      </w:pPr>
      <w:r>
        <w:t>2) Post-Award</w:t>
      </w:r>
    </w:p>
    <w:p w:rsidR="003A7E77" w:rsidRPr="00B376C5" w:rsidRDefault="00E574CF" w:rsidP="007041CC">
      <w:pPr>
        <w:keepLines/>
        <w:tabs>
          <w:tab w:val="left" w:pos="360"/>
          <w:tab w:val="left" w:pos="720"/>
        </w:tabs>
      </w:pPr>
      <w:r>
        <w:t>HUD will award 1</w:t>
      </w:r>
      <w:r w:rsidR="001060F4">
        <w:t xml:space="preserve"> </w:t>
      </w:r>
      <w:r>
        <w:t xml:space="preserve">grant pursuant to the </w:t>
      </w:r>
      <w:r w:rsidR="002E449C">
        <w:t>NOFA for the SC2 Network</w:t>
      </w:r>
      <w:r w:rsidR="00175AA4">
        <w:t>.  With annual repor</w:t>
      </w:r>
      <w:r w:rsidR="001060F4">
        <w:t xml:space="preserve">ting, HUD would receive 4 </w:t>
      </w:r>
      <w:r w:rsidR="003A7E77">
        <w:t xml:space="preserve">quarterly </w:t>
      </w:r>
      <w:r w:rsidR="00175AA4">
        <w:t xml:space="preserve">progress reports </w:t>
      </w:r>
      <w:r w:rsidR="002C1315">
        <w:t xml:space="preserve">with financials </w:t>
      </w:r>
      <w:r w:rsidR="00175AA4">
        <w:t>for each funding cycle, requiring a total review time of one hour per gr</w:t>
      </w:r>
      <w:r w:rsidR="007041CC">
        <w:t xml:space="preserve">ant </w:t>
      </w:r>
      <w:r w:rsidR="00131DBD">
        <w:t xml:space="preserve">report, for a total of </w:t>
      </w:r>
      <w:r w:rsidR="007041CC">
        <w:t xml:space="preserve">one </w:t>
      </w:r>
      <w:r>
        <w:t>hour.  Assuming a GS-13</w:t>
      </w:r>
      <w:r w:rsidR="00175AA4">
        <w:t xml:space="preserve"> conducts the reviews, the cost is</w:t>
      </w:r>
      <w:r w:rsidR="001060F4">
        <w:t xml:space="preserve"> computed as follows: </w:t>
      </w:r>
      <w:r>
        <w:rPr>
          <w:b/>
        </w:rPr>
        <w:t>1 hour x 4</w:t>
      </w:r>
      <w:r w:rsidR="00175AA4" w:rsidRPr="00AB3E0C">
        <w:rPr>
          <w:b/>
        </w:rPr>
        <w:t xml:space="preserve"> </w:t>
      </w:r>
      <w:r>
        <w:rPr>
          <w:b/>
        </w:rPr>
        <w:t>reports x $45.00 an hour = $180</w:t>
      </w:r>
      <w:r w:rsidR="00175AA4" w:rsidRPr="00AB3E0C">
        <w:rPr>
          <w:b/>
        </w:rPr>
        <w:t>.</w:t>
      </w:r>
    </w:p>
    <w:p w:rsidR="0031711C" w:rsidRPr="003A7E77" w:rsidRDefault="0031711C" w:rsidP="00E93CE2">
      <w:pPr>
        <w:keepLines/>
        <w:tabs>
          <w:tab w:val="left" w:pos="0"/>
          <w:tab w:val="left" w:pos="360"/>
        </w:tabs>
        <w:spacing w:after="80"/>
        <w:rPr>
          <w:b/>
          <w:sz w:val="24"/>
          <w:szCs w:val="24"/>
        </w:rPr>
      </w:pPr>
      <w:r w:rsidRPr="00F60E3C">
        <w:rPr>
          <w:b/>
          <w:sz w:val="24"/>
          <w:szCs w:val="24"/>
        </w:rPr>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Default="0031711C" w:rsidP="00E3227A">
      <w:pPr>
        <w:keepLines/>
        <w:tabs>
          <w:tab w:val="left" w:pos="360"/>
          <w:tab w:val="left" w:pos="720"/>
        </w:tabs>
      </w:pPr>
    </w:p>
    <w:p w:rsidR="0031711C" w:rsidRDefault="0031711C" w:rsidP="00C9749C">
      <w:pPr>
        <w:keepLines/>
        <w:tabs>
          <w:tab w:val="left" w:pos="360"/>
        </w:tabs>
        <w:spacing w:after="80"/>
        <w:rPr>
          <w:b/>
          <w:sz w:val="24"/>
          <w:szCs w:val="24"/>
        </w:rPr>
      </w:pPr>
      <w:r w:rsidRPr="003A7E77">
        <w:rPr>
          <w:b/>
          <w:sz w:val="24"/>
          <w:szCs w:val="24"/>
        </w:rPr>
        <w:lastRenderedPageBreak/>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1711C" w:rsidRDefault="0031711C" w:rsidP="00C9749C">
      <w:pPr>
        <w:keepLines/>
        <w:tabs>
          <w:tab w:val="left" w:pos="360"/>
          <w:tab w:val="left" w:pos="720"/>
        </w:tabs>
        <w:rPr>
          <w:b/>
          <w:sz w:val="24"/>
          <w:szCs w:val="24"/>
        </w:rPr>
      </w:pPr>
    </w:p>
    <w:p w:rsidR="00091E15" w:rsidRDefault="00091E15" w:rsidP="003A7E77">
      <w:pPr>
        <w:keepLines/>
        <w:tabs>
          <w:tab w:val="left" w:pos="0"/>
        </w:tabs>
        <w:spacing w:after="80"/>
        <w:ind w:left="360" w:hanging="360"/>
        <w:rPr>
          <w:sz w:val="24"/>
          <w:szCs w:val="24"/>
        </w:rPr>
      </w:pPr>
      <w:r>
        <w:rPr>
          <w:sz w:val="24"/>
          <w:szCs w:val="24"/>
        </w:rPr>
        <w:t>N/A</w:t>
      </w:r>
    </w:p>
    <w:p w:rsidR="003A7E77" w:rsidRDefault="0031711C" w:rsidP="003A7E77">
      <w:pPr>
        <w:keepLines/>
        <w:tabs>
          <w:tab w:val="left" w:pos="0"/>
        </w:tabs>
        <w:spacing w:after="80"/>
        <w:ind w:left="360" w:hanging="360"/>
        <w:rPr>
          <w:b/>
          <w:sz w:val="24"/>
          <w:szCs w:val="24"/>
        </w:rPr>
      </w:pPr>
      <w:r w:rsidRPr="003A7E77">
        <w:rPr>
          <w:b/>
          <w:sz w:val="24"/>
          <w:szCs w:val="24"/>
        </w:rPr>
        <w:t>17.</w:t>
      </w:r>
      <w:r w:rsidRPr="003A7E77">
        <w:rPr>
          <w:b/>
          <w:sz w:val="24"/>
          <w:szCs w:val="24"/>
        </w:rPr>
        <w:tab/>
        <w:t>If seeking approval to not display the expirati</w:t>
      </w:r>
      <w:r w:rsidR="003A7E77">
        <w:rPr>
          <w:b/>
          <w:sz w:val="24"/>
          <w:szCs w:val="24"/>
        </w:rPr>
        <w:t xml:space="preserve">on date for OMB approval of the   </w:t>
      </w:r>
    </w:p>
    <w:p w:rsidR="0031711C" w:rsidRPr="003A7E77" w:rsidRDefault="0031711C" w:rsidP="003A7E77">
      <w:pPr>
        <w:keepLines/>
        <w:tabs>
          <w:tab w:val="left" w:pos="0"/>
        </w:tabs>
        <w:spacing w:after="80"/>
        <w:ind w:left="360" w:hanging="360"/>
        <w:rPr>
          <w:b/>
          <w:sz w:val="24"/>
          <w:szCs w:val="24"/>
        </w:rPr>
      </w:pPr>
      <w:r w:rsidRPr="003A7E77">
        <w:rPr>
          <w:b/>
          <w:sz w:val="24"/>
          <w:szCs w:val="24"/>
        </w:rPr>
        <w:t>information collection, explain the reasons that display would be inappropriate.</w:t>
      </w:r>
    </w:p>
    <w:p w:rsidR="0031711C" w:rsidRDefault="0031711C" w:rsidP="00E3227A">
      <w:pPr>
        <w:keepLines/>
        <w:tabs>
          <w:tab w:val="left" w:pos="360"/>
          <w:tab w:val="left" w:pos="720"/>
        </w:tabs>
      </w:pP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C2" w:rsidRDefault="00710AC2" w:rsidP="00C9749C">
      <w:pPr>
        <w:spacing w:after="0" w:line="240" w:lineRule="auto"/>
      </w:pPr>
      <w:r>
        <w:separator/>
      </w:r>
    </w:p>
  </w:endnote>
  <w:endnote w:type="continuationSeparator" w:id="0">
    <w:p w:rsidR="00710AC2" w:rsidRDefault="00710AC2" w:rsidP="00C9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B05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8876"/>
      <w:docPartObj>
        <w:docPartGallery w:val="Page Numbers (Bottom of Page)"/>
        <w:docPartUnique/>
      </w:docPartObj>
    </w:sdtPr>
    <w:sdtEndPr/>
    <w:sdtContent>
      <w:p w:rsidR="00527CC1" w:rsidRDefault="006E09B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527CC1" w:rsidRDefault="00527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C2" w:rsidRDefault="00710AC2" w:rsidP="00C9749C">
      <w:pPr>
        <w:spacing w:after="0" w:line="240" w:lineRule="auto"/>
      </w:pPr>
      <w:r>
        <w:separator/>
      </w:r>
    </w:p>
  </w:footnote>
  <w:footnote w:type="continuationSeparator" w:id="0">
    <w:p w:rsidR="00710AC2" w:rsidRDefault="00710AC2" w:rsidP="00C9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15BFF"/>
    <w:multiLevelType w:val="hybridMultilevel"/>
    <w:tmpl w:val="0D28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F2C91"/>
    <w:multiLevelType w:val="singleLevel"/>
    <w:tmpl w:val="A5E25C22"/>
    <w:lvl w:ilvl="0">
      <w:numFmt w:val="decimal"/>
      <w:lvlText w:val="*"/>
      <w:lvlJc w:val="left"/>
    </w:lvl>
  </w:abstractNum>
  <w:abstractNum w:abstractNumId="8">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51766B7B"/>
    <w:multiLevelType w:val="singleLevel"/>
    <w:tmpl w:val="A5E25C22"/>
    <w:lvl w:ilvl="0">
      <w:numFmt w:val="decimal"/>
      <w:lvlText w:val="*"/>
      <w:lvlJc w:val="left"/>
    </w:lvl>
  </w:abstractNum>
  <w:abstractNum w:abstractNumId="12">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6"/>
  </w:num>
  <w:num w:numId="5">
    <w:abstractNumId w:val="8"/>
  </w:num>
  <w:num w:numId="6">
    <w:abstractNumId w:val="13"/>
  </w:num>
  <w:num w:numId="7">
    <w:abstractNumId w:val="14"/>
  </w:num>
  <w:num w:numId="8">
    <w:abstractNumId w:val="2"/>
  </w:num>
  <w:num w:numId="9">
    <w:abstractNumId w:val="3"/>
  </w:num>
  <w:num w:numId="10">
    <w:abstractNumId w:val="9"/>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7"/>
  </w:num>
  <w:num w:numId="13">
    <w:abstractNumId w:val="11"/>
  </w:num>
  <w:num w:numId="14">
    <w:abstractNumId w:val="1"/>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17"/>
    <w:rsid w:val="0001147C"/>
    <w:rsid w:val="000133E8"/>
    <w:rsid w:val="00091E15"/>
    <w:rsid w:val="00097F59"/>
    <w:rsid w:val="000A133C"/>
    <w:rsid w:val="000B1D22"/>
    <w:rsid w:val="000C6C79"/>
    <w:rsid w:val="000D479C"/>
    <w:rsid w:val="000D5223"/>
    <w:rsid w:val="000E6961"/>
    <w:rsid w:val="000F15EF"/>
    <w:rsid w:val="001060F4"/>
    <w:rsid w:val="0012773B"/>
    <w:rsid w:val="00131DBD"/>
    <w:rsid w:val="00175AA4"/>
    <w:rsid w:val="0018123F"/>
    <w:rsid w:val="001D3983"/>
    <w:rsid w:val="001E559F"/>
    <w:rsid w:val="00226D04"/>
    <w:rsid w:val="00230D25"/>
    <w:rsid w:val="00261357"/>
    <w:rsid w:val="002661C8"/>
    <w:rsid w:val="00291A15"/>
    <w:rsid w:val="002936A6"/>
    <w:rsid w:val="002C1315"/>
    <w:rsid w:val="002C7AD6"/>
    <w:rsid w:val="002D693E"/>
    <w:rsid w:val="002E2400"/>
    <w:rsid w:val="002E449C"/>
    <w:rsid w:val="002E7228"/>
    <w:rsid w:val="002E7E1B"/>
    <w:rsid w:val="003115E4"/>
    <w:rsid w:val="0031711C"/>
    <w:rsid w:val="00363FDC"/>
    <w:rsid w:val="003832E6"/>
    <w:rsid w:val="003A605E"/>
    <w:rsid w:val="003A7E77"/>
    <w:rsid w:val="003B419B"/>
    <w:rsid w:val="003D1D96"/>
    <w:rsid w:val="00420D75"/>
    <w:rsid w:val="00435D15"/>
    <w:rsid w:val="00446A29"/>
    <w:rsid w:val="004566E3"/>
    <w:rsid w:val="00463902"/>
    <w:rsid w:val="004767CB"/>
    <w:rsid w:val="00482185"/>
    <w:rsid w:val="00490AD9"/>
    <w:rsid w:val="004931E2"/>
    <w:rsid w:val="004B586C"/>
    <w:rsid w:val="004C5386"/>
    <w:rsid w:val="004D520F"/>
    <w:rsid w:val="00516325"/>
    <w:rsid w:val="00527CC1"/>
    <w:rsid w:val="00534A7D"/>
    <w:rsid w:val="00535F7B"/>
    <w:rsid w:val="00536C5D"/>
    <w:rsid w:val="005428AE"/>
    <w:rsid w:val="00547A0F"/>
    <w:rsid w:val="0056300C"/>
    <w:rsid w:val="00576DCA"/>
    <w:rsid w:val="00585CCE"/>
    <w:rsid w:val="005A64B3"/>
    <w:rsid w:val="005B1766"/>
    <w:rsid w:val="005C48EE"/>
    <w:rsid w:val="005C5F73"/>
    <w:rsid w:val="00636B17"/>
    <w:rsid w:val="006513C7"/>
    <w:rsid w:val="0068173A"/>
    <w:rsid w:val="00687B38"/>
    <w:rsid w:val="0069782A"/>
    <w:rsid w:val="006C4547"/>
    <w:rsid w:val="006E09BC"/>
    <w:rsid w:val="006E237E"/>
    <w:rsid w:val="006E3284"/>
    <w:rsid w:val="006E6364"/>
    <w:rsid w:val="007041CC"/>
    <w:rsid w:val="00710AC2"/>
    <w:rsid w:val="00735A13"/>
    <w:rsid w:val="00737D98"/>
    <w:rsid w:val="00794632"/>
    <w:rsid w:val="007D478C"/>
    <w:rsid w:val="007F5CDF"/>
    <w:rsid w:val="00862002"/>
    <w:rsid w:val="008706FD"/>
    <w:rsid w:val="00896676"/>
    <w:rsid w:val="008A0757"/>
    <w:rsid w:val="008A2B62"/>
    <w:rsid w:val="008A4F1F"/>
    <w:rsid w:val="008B0917"/>
    <w:rsid w:val="008C5D09"/>
    <w:rsid w:val="008D04E3"/>
    <w:rsid w:val="009226D1"/>
    <w:rsid w:val="009520E5"/>
    <w:rsid w:val="0097515F"/>
    <w:rsid w:val="009A327A"/>
    <w:rsid w:val="009A3308"/>
    <w:rsid w:val="009A5D43"/>
    <w:rsid w:val="009C17BB"/>
    <w:rsid w:val="009C24CF"/>
    <w:rsid w:val="00A10A98"/>
    <w:rsid w:val="00A14452"/>
    <w:rsid w:val="00A50B72"/>
    <w:rsid w:val="00A66A4A"/>
    <w:rsid w:val="00A74409"/>
    <w:rsid w:val="00A7517D"/>
    <w:rsid w:val="00A8380D"/>
    <w:rsid w:val="00A86405"/>
    <w:rsid w:val="00A927EC"/>
    <w:rsid w:val="00AA0862"/>
    <w:rsid w:val="00AB3E0C"/>
    <w:rsid w:val="00AF026F"/>
    <w:rsid w:val="00B2302B"/>
    <w:rsid w:val="00B33706"/>
    <w:rsid w:val="00B376C5"/>
    <w:rsid w:val="00B524B8"/>
    <w:rsid w:val="00B53E4D"/>
    <w:rsid w:val="00B73388"/>
    <w:rsid w:val="00BC50A8"/>
    <w:rsid w:val="00BC7D52"/>
    <w:rsid w:val="00BE7D4C"/>
    <w:rsid w:val="00BF0B20"/>
    <w:rsid w:val="00C00015"/>
    <w:rsid w:val="00C165A9"/>
    <w:rsid w:val="00C27145"/>
    <w:rsid w:val="00C36E6A"/>
    <w:rsid w:val="00C4448F"/>
    <w:rsid w:val="00C522E7"/>
    <w:rsid w:val="00C9749C"/>
    <w:rsid w:val="00C97631"/>
    <w:rsid w:val="00CD4403"/>
    <w:rsid w:val="00CD7404"/>
    <w:rsid w:val="00CD74A5"/>
    <w:rsid w:val="00CF152B"/>
    <w:rsid w:val="00CF49B9"/>
    <w:rsid w:val="00CF7736"/>
    <w:rsid w:val="00D14D18"/>
    <w:rsid w:val="00D548F8"/>
    <w:rsid w:val="00D90C05"/>
    <w:rsid w:val="00D92DCC"/>
    <w:rsid w:val="00DC1342"/>
    <w:rsid w:val="00DD636A"/>
    <w:rsid w:val="00DD63FB"/>
    <w:rsid w:val="00E0441F"/>
    <w:rsid w:val="00E17BBC"/>
    <w:rsid w:val="00E224A3"/>
    <w:rsid w:val="00E3227A"/>
    <w:rsid w:val="00E42147"/>
    <w:rsid w:val="00E574CF"/>
    <w:rsid w:val="00E93CE2"/>
    <w:rsid w:val="00EF3F7C"/>
    <w:rsid w:val="00F25E2F"/>
    <w:rsid w:val="00F32ABE"/>
    <w:rsid w:val="00F44927"/>
    <w:rsid w:val="00F60E3C"/>
    <w:rsid w:val="00F6462B"/>
    <w:rsid w:val="00F67038"/>
    <w:rsid w:val="00F81264"/>
    <w:rsid w:val="00F95B5B"/>
    <w:rsid w:val="00FB7D84"/>
    <w:rsid w:val="00FE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E2CA-4C4B-43B7-81D9-F36738C2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h17799</dc:creator>
  <cp:lastModifiedBy>Patrick John Fuchs</cp:lastModifiedBy>
  <cp:revision>2</cp:revision>
  <cp:lastPrinted>2010-08-19T19:41:00Z</cp:lastPrinted>
  <dcterms:created xsi:type="dcterms:W3CDTF">2012-10-12T22:15:00Z</dcterms:created>
  <dcterms:modified xsi:type="dcterms:W3CDTF">2012-10-12T22:15:00Z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1515205816</vt:i4>
  </property>
  <property fmtid="{D5CDD505-2E9C-101B-9397-08002B2CF9AE}" pid="3" name="_NewReviewCycle">
    <vt:lpwstr/>
  </property>
  <property fmtid="{D5CDD505-2E9C-101B-9397-08002B2CF9AE}" pid="4" name="_EmailSubject">
    <vt:lpwstr>changes to OIRA worksheet</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557012477</vt:i4>
  </property>
  <property fmtid="{D5CDD505-2E9C-101B-9397-08002B2CF9AE}" pid="8" name="_ReviewingToolsShownOnce">
    <vt:lpwstr/>
  </property>
</Properties>
</file>