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2CF1" w:rsidRDefault="003F5962" w:rsidP="009565D4">
      <w:pPr>
        <w:pStyle w:val="CoverTextRed16pt"/>
        <w:rPr>
          <w:noProof/>
        </w:rPr>
      </w:pPr>
      <w:r>
        <w:rPr>
          <w:noProof/>
        </w:rPr>
        <w:t>Supporting Statement for Paperwork Reduction Act Submission</w:t>
      </w:r>
      <w:r w:rsidR="00052D80">
        <w:rPr>
          <w:noProof/>
        </w:rPr>
        <w:t>: Part A</w:t>
      </w:r>
    </w:p>
    <w:p w:rsidR="009565D4" w:rsidRDefault="009565D4" w:rsidP="009565D4">
      <w:pPr>
        <w:pStyle w:val="CoverText-Address"/>
        <w:rPr>
          <w:noProof/>
        </w:rPr>
      </w:pPr>
    </w:p>
    <w:p w:rsidR="009565D4" w:rsidRDefault="009565D4" w:rsidP="009565D4">
      <w:pPr>
        <w:pStyle w:val="CoverText-Address"/>
        <w:rPr>
          <w:noProof/>
        </w:rPr>
      </w:pPr>
    </w:p>
    <w:p w:rsidR="009565D4" w:rsidRDefault="009565D4" w:rsidP="009565D4">
      <w:pPr>
        <w:pStyle w:val="CoverText-Address"/>
        <w:rPr>
          <w:noProof/>
        </w:rPr>
      </w:pPr>
    </w:p>
    <w:p w:rsidR="00D35AE5" w:rsidRDefault="00D35AE5" w:rsidP="00802A0B">
      <w:pPr>
        <w:pStyle w:val="CoverTextRed16pt"/>
        <w:rPr>
          <w:noProof/>
        </w:rPr>
      </w:pPr>
    </w:p>
    <w:p w:rsidR="00D35AE5" w:rsidRDefault="00D35AE5" w:rsidP="00802A0B">
      <w:pPr>
        <w:pStyle w:val="CoverTextRed16pt"/>
        <w:rPr>
          <w:noProof/>
        </w:rPr>
      </w:pPr>
    </w:p>
    <w:p w:rsidR="00D35AE5" w:rsidRDefault="00D35AE5" w:rsidP="00802A0B">
      <w:pPr>
        <w:pStyle w:val="CoverTextRed16pt"/>
        <w:rPr>
          <w:noProof/>
        </w:rPr>
      </w:pPr>
    </w:p>
    <w:p w:rsidR="009565D4" w:rsidRPr="007631C7" w:rsidRDefault="00802A0B" w:rsidP="00802A0B">
      <w:pPr>
        <w:pStyle w:val="CoverTextRed16pt"/>
        <w:rPr>
          <w:noProof/>
        </w:rPr>
      </w:pPr>
      <w:r>
        <w:rPr>
          <w:noProof/>
        </w:rPr>
        <w:t>Pre-Purchase Homeownership Counseling Demonstration and Impact Evaluation</w:t>
      </w:r>
    </w:p>
    <w:p w:rsidR="001E2CF1" w:rsidRDefault="001E2CF1" w:rsidP="00744E2C">
      <w:pPr>
        <w:pStyle w:val="CoverText-Address"/>
      </w:pPr>
    </w:p>
    <w:p w:rsidR="00D35AE5" w:rsidRDefault="00D35AE5" w:rsidP="009565D4">
      <w:pPr>
        <w:pStyle w:val="CoverTextGreyBold"/>
      </w:pPr>
    </w:p>
    <w:p w:rsidR="00D35AE5" w:rsidRDefault="00D35AE5" w:rsidP="009565D4">
      <w:pPr>
        <w:pStyle w:val="CoverTextGreyBold"/>
      </w:pPr>
    </w:p>
    <w:p w:rsidR="00D35AE5" w:rsidRDefault="00D35AE5" w:rsidP="009565D4">
      <w:pPr>
        <w:pStyle w:val="CoverTextGreyBold"/>
      </w:pPr>
    </w:p>
    <w:p w:rsidR="00D35AE5" w:rsidRDefault="00D35AE5" w:rsidP="009565D4">
      <w:pPr>
        <w:pStyle w:val="CoverTextGreyBold"/>
      </w:pPr>
    </w:p>
    <w:p w:rsidR="00D35AE5" w:rsidRDefault="00D35AE5" w:rsidP="009565D4">
      <w:pPr>
        <w:pStyle w:val="CoverTextGreyBold"/>
      </w:pPr>
    </w:p>
    <w:p w:rsidR="00D35AE5" w:rsidRDefault="00D35AE5" w:rsidP="009565D4">
      <w:pPr>
        <w:pStyle w:val="CoverTextGreyBold"/>
      </w:pPr>
    </w:p>
    <w:p w:rsidR="00D35AE5" w:rsidRDefault="00D35AE5" w:rsidP="009565D4">
      <w:pPr>
        <w:pStyle w:val="CoverTextGreyBold"/>
      </w:pPr>
    </w:p>
    <w:p w:rsidR="00D35AE5" w:rsidRDefault="00D35AE5" w:rsidP="009565D4">
      <w:pPr>
        <w:pStyle w:val="CoverTextGreyBold"/>
      </w:pPr>
    </w:p>
    <w:p w:rsidR="00D35AE5" w:rsidRDefault="00D35AE5" w:rsidP="009565D4">
      <w:pPr>
        <w:pStyle w:val="CoverTextGreyBold"/>
      </w:pPr>
    </w:p>
    <w:p w:rsidR="00D35AE5" w:rsidRDefault="00D35AE5" w:rsidP="009565D4">
      <w:pPr>
        <w:pStyle w:val="CoverTextGreyBold"/>
      </w:pPr>
    </w:p>
    <w:p w:rsidR="00D35AE5" w:rsidRDefault="00D35AE5" w:rsidP="009565D4">
      <w:pPr>
        <w:pStyle w:val="CoverTextGreyBold"/>
      </w:pPr>
    </w:p>
    <w:p w:rsidR="00D35AE5" w:rsidRDefault="00D35AE5" w:rsidP="009565D4">
      <w:pPr>
        <w:pStyle w:val="CoverTextGreyBold"/>
      </w:pPr>
    </w:p>
    <w:p w:rsidR="00D35AE5" w:rsidRDefault="00D35AE5" w:rsidP="009565D4">
      <w:pPr>
        <w:pStyle w:val="CoverTextGreyBold"/>
      </w:pPr>
    </w:p>
    <w:p w:rsidR="009565D4" w:rsidRDefault="00802A0B" w:rsidP="009565D4">
      <w:pPr>
        <w:pStyle w:val="CoverTextGreyBold"/>
      </w:pPr>
      <w:r>
        <w:t>Contract # R-CHI-01108</w:t>
      </w:r>
    </w:p>
    <w:p w:rsidR="009565D4" w:rsidRDefault="009565D4" w:rsidP="009565D4">
      <w:pPr>
        <w:pStyle w:val="CoverText-Address"/>
      </w:pPr>
    </w:p>
    <w:p w:rsidR="009565D4" w:rsidRDefault="00A00253" w:rsidP="00A00253">
      <w:pPr>
        <w:pStyle w:val="CoverText-Address"/>
        <w:jc w:val="center"/>
      </w:pPr>
      <w:r>
        <w:tab/>
      </w:r>
      <w:r>
        <w:tab/>
      </w:r>
      <w:r>
        <w:tab/>
      </w:r>
      <w:r>
        <w:tab/>
      </w:r>
      <w:r>
        <w:tab/>
      </w:r>
      <w:r>
        <w:tab/>
      </w:r>
      <w:r>
        <w:tab/>
      </w:r>
    </w:p>
    <w:p w:rsidR="009565D4" w:rsidRDefault="009565D4" w:rsidP="009565D4">
      <w:pPr>
        <w:pStyle w:val="CoverText-Address"/>
      </w:pPr>
    </w:p>
    <w:p w:rsidR="009565D4" w:rsidRDefault="009565D4" w:rsidP="009565D4">
      <w:pPr>
        <w:pStyle w:val="CoverText-Address"/>
      </w:pPr>
    </w:p>
    <w:p w:rsidR="009565D4" w:rsidRPr="001E2CF1" w:rsidRDefault="00BD50A8" w:rsidP="00BA5543">
      <w:pPr>
        <w:pStyle w:val="CoverText-Address"/>
        <w:jc w:val="center"/>
      </w:pPr>
      <w:r>
        <w:tab/>
      </w:r>
      <w:r>
        <w:tab/>
      </w:r>
      <w:r>
        <w:tab/>
      </w:r>
      <w:r>
        <w:tab/>
        <w:t>November 28</w:t>
      </w:r>
      <w:r w:rsidR="00BA5543">
        <w:t xml:space="preserve">, </w:t>
      </w:r>
      <w:r w:rsidR="00D35AE5">
        <w:t>2012</w:t>
      </w:r>
    </w:p>
    <w:p w:rsidR="001E2CF1" w:rsidRPr="001E2CF1" w:rsidRDefault="001E2CF1" w:rsidP="001E2CF1">
      <w:pPr>
        <w:tabs>
          <w:tab w:val="left" w:pos="720"/>
          <w:tab w:val="left" w:pos="1080"/>
          <w:tab w:val="left" w:pos="1440"/>
          <w:tab w:val="left" w:pos="1800"/>
          <w:tab w:val="left" w:pos="6660"/>
        </w:tabs>
        <w:spacing w:after="0"/>
        <w:ind w:left="6490" w:right="-540"/>
        <w:jc w:val="right"/>
        <w:rPr>
          <w:rFonts w:ascii="Arial" w:hAnsi="Arial"/>
          <w:szCs w:val="24"/>
        </w:rPr>
      </w:pPr>
    </w:p>
    <w:p w:rsidR="009565D4" w:rsidRPr="001E2CF1" w:rsidRDefault="009565D4" w:rsidP="009565D4">
      <w:pPr>
        <w:pStyle w:val="CoverText-Address"/>
      </w:pPr>
    </w:p>
    <w:p w:rsidR="001E2CF1" w:rsidRPr="001E2CF1" w:rsidRDefault="001E2CF1" w:rsidP="00744E2C">
      <w:pPr>
        <w:pStyle w:val="CoverText-Address"/>
      </w:pPr>
    </w:p>
    <w:p w:rsidR="001E2CF1" w:rsidRPr="001E2CF1" w:rsidRDefault="001E2CF1" w:rsidP="00354503">
      <w:pPr>
        <w:pStyle w:val="CoverText-Address"/>
      </w:pPr>
    </w:p>
    <w:p w:rsidR="00157E04" w:rsidRDefault="00157E04" w:rsidP="00D979EA">
      <w:pPr>
        <w:sectPr w:rsidR="00157E04" w:rsidSect="007969A4">
          <w:headerReference w:type="default" r:id="rId9"/>
          <w:footerReference w:type="default" r:id="rId10"/>
          <w:pgSz w:w="12240" w:h="15840" w:code="1"/>
          <w:pgMar w:top="1440" w:right="1440" w:bottom="1440" w:left="1800" w:header="720" w:footer="720" w:gutter="0"/>
          <w:pgNumType w:fmt="lowerRoman" w:start="1"/>
          <w:cols w:space="720"/>
          <w:docGrid w:linePitch="299"/>
        </w:sectPr>
      </w:pPr>
    </w:p>
    <w:p w:rsidR="007B1904" w:rsidRPr="006B1DA6" w:rsidRDefault="003F5962" w:rsidP="006B1DA6">
      <w:pPr>
        <w:pStyle w:val="ReportTitle-TOCPage"/>
      </w:pPr>
      <w:r>
        <w:lastRenderedPageBreak/>
        <w:t>Supporting Statement for Paperwork Reduction Act Submission</w:t>
      </w:r>
    </w:p>
    <w:p w:rsidR="00752119" w:rsidRPr="00A178FC" w:rsidRDefault="00752119" w:rsidP="00AC6E6C">
      <w:pPr>
        <w:pStyle w:val="TOCHeader"/>
        <w:spacing w:after="120"/>
      </w:pPr>
      <w:r w:rsidRPr="00A178FC">
        <w:t>Table of Contents</w:t>
      </w:r>
    </w:p>
    <w:p w:rsidR="00E93ED8" w:rsidRDefault="00C43B8A">
      <w:pPr>
        <w:pStyle w:val="TOC1"/>
        <w:rPr>
          <w:rFonts w:asciiTheme="minorHAnsi" w:eastAsiaTheme="minorEastAsia" w:hAnsiTheme="minorHAnsi" w:cstheme="minorBidi"/>
          <w:b w:val="0"/>
          <w:szCs w:val="22"/>
        </w:rPr>
      </w:pPr>
      <w:r>
        <w:fldChar w:fldCharType="begin"/>
      </w:r>
      <w:r w:rsidR="001178CA">
        <w:instrText xml:space="preserve"> TOC \o "1-3" \h \z \u </w:instrText>
      </w:r>
      <w:r>
        <w:fldChar w:fldCharType="separate"/>
      </w:r>
      <w:hyperlink w:anchor="_Toc332378263" w:history="1">
        <w:r w:rsidR="00E93ED8" w:rsidRPr="002932DD">
          <w:rPr>
            <w:rStyle w:val="Hyperlink"/>
          </w:rPr>
          <w:t>A.</w:t>
        </w:r>
        <w:r w:rsidR="00E93ED8">
          <w:rPr>
            <w:rFonts w:asciiTheme="minorHAnsi" w:eastAsiaTheme="minorEastAsia" w:hAnsiTheme="minorHAnsi" w:cstheme="minorBidi"/>
            <w:b w:val="0"/>
            <w:szCs w:val="22"/>
          </w:rPr>
          <w:tab/>
        </w:r>
        <w:r w:rsidR="00E93ED8" w:rsidRPr="002932DD">
          <w:rPr>
            <w:rStyle w:val="Hyperlink"/>
          </w:rPr>
          <w:t>Justification</w:t>
        </w:r>
        <w:r w:rsidR="00E93ED8">
          <w:rPr>
            <w:webHidden/>
          </w:rPr>
          <w:tab/>
        </w:r>
        <w:r>
          <w:rPr>
            <w:webHidden/>
          </w:rPr>
          <w:fldChar w:fldCharType="begin"/>
        </w:r>
        <w:r w:rsidR="00E93ED8">
          <w:rPr>
            <w:webHidden/>
          </w:rPr>
          <w:instrText xml:space="preserve"> PAGEREF _Toc332378263 \h </w:instrText>
        </w:r>
        <w:r>
          <w:rPr>
            <w:webHidden/>
          </w:rPr>
        </w:r>
        <w:r>
          <w:rPr>
            <w:webHidden/>
          </w:rPr>
          <w:fldChar w:fldCharType="separate"/>
        </w:r>
        <w:r w:rsidR="00441E8D">
          <w:rPr>
            <w:webHidden/>
          </w:rPr>
          <w:t>A-1</w:t>
        </w:r>
        <w:r>
          <w:rPr>
            <w:webHidden/>
          </w:rPr>
          <w:fldChar w:fldCharType="end"/>
        </w:r>
      </w:hyperlink>
    </w:p>
    <w:p w:rsidR="00E93ED8" w:rsidRDefault="009B1C9F">
      <w:pPr>
        <w:pStyle w:val="TOC2"/>
        <w:rPr>
          <w:rFonts w:asciiTheme="minorHAnsi" w:eastAsiaTheme="minorEastAsia" w:hAnsiTheme="minorHAnsi" w:cstheme="minorBidi"/>
          <w:szCs w:val="22"/>
        </w:rPr>
      </w:pPr>
      <w:hyperlink w:anchor="_Toc332378264" w:history="1">
        <w:r w:rsidR="00E93ED8" w:rsidRPr="002932DD">
          <w:rPr>
            <w:rStyle w:val="Hyperlink"/>
          </w:rPr>
          <w:t>A.1</w:t>
        </w:r>
        <w:r w:rsidR="00E93ED8">
          <w:rPr>
            <w:rFonts w:asciiTheme="minorHAnsi" w:eastAsiaTheme="minorEastAsia" w:hAnsiTheme="minorHAnsi" w:cstheme="minorBidi"/>
            <w:szCs w:val="22"/>
          </w:rPr>
          <w:tab/>
        </w:r>
        <w:r w:rsidR="00E93ED8" w:rsidRPr="002932DD">
          <w:rPr>
            <w:rStyle w:val="Hyperlink"/>
          </w:rPr>
          <w:t>Circumstances that Make the Collection of Information Necessary</w:t>
        </w:r>
        <w:r w:rsidR="00E93ED8">
          <w:rPr>
            <w:webHidden/>
          </w:rPr>
          <w:tab/>
        </w:r>
        <w:r w:rsidR="00C43B8A">
          <w:rPr>
            <w:webHidden/>
          </w:rPr>
          <w:fldChar w:fldCharType="begin"/>
        </w:r>
        <w:r w:rsidR="00E93ED8">
          <w:rPr>
            <w:webHidden/>
          </w:rPr>
          <w:instrText xml:space="preserve"> PAGEREF _Toc332378264 \h </w:instrText>
        </w:r>
        <w:r w:rsidR="00C43B8A">
          <w:rPr>
            <w:webHidden/>
          </w:rPr>
        </w:r>
        <w:r w:rsidR="00C43B8A">
          <w:rPr>
            <w:webHidden/>
          </w:rPr>
          <w:fldChar w:fldCharType="separate"/>
        </w:r>
        <w:r w:rsidR="00441E8D">
          <w:rPr>
            <w:webHidden/>
          </w:rPr>
          <w:t>A-1</w:t>
        </w:r>
        <w:r w:rsidR="00C43B8A">
          <w:rPr>
            <w:webHidden/>
          </w:rPr>
          <w:fldChar w:fldCharType="end"/>
        </w:r>
      </w:hyperlink>
    </w:p>
    <w:p w:rsidR="00E93ED8" w:rsidRDefault="009B1C9F">
      <w:pPr>
        <w:pStyle w:val="TOC2"/>
        <w:rPr>
          <w:rFonts w:asciiTheme="minorHAnsi" w:eastAsiaTheme="minorEastAsia" w:hAnsiTheme="minorHAnsi" w:cstheme="minorBidi"/>
          <w:szCs w:val="22"/>
        </w:rPr>
      </w:pPr>
      <w:hyperlink w:anchor="_Toc332378265" w:history="1">
        <w:r w:rsidR="00E93ED8" w:rsidRPr="002932DD">
          <w:rPr>
            <w:rStyle w:val="Hyperlink"/>
          </w:rPr>
          <w:t>A.2</w:t>
        </w:r>
        <w:r w:rsidR="00E93ED8">
          <w:rPr>
            <w:rFonts w:asciiTheme="minorHAnsi" w:eastAsiaTheme="minorEastAsia" w:hAnsiTheme="minorHAnsi" w:cstheme="minorBidi"/>
            <w:szCs w:val="22"/>
          </w:rPr>
          <w:tab/>
        </w:r>
        <w:r w:rsidR="00E93ED8" w:rsidRPr="002932DD">
          <w:rPr>
            <w:rStyle w:val="Hyperlink"/>
          </w:rPr>
          <w:t>How and by Whom the Data will be Collected and Used</w:t>
        </w:r>
        <w:r w:rsidR="00E93ED8">
          <w:rPr>
            <w:webHidden/>
          </w:rPr>
          <w:tab/>
        </w:r>
        <w:r w:rsidR="00C43B8A">
          <w:rPr>
            <w:webHidden/>
          </w:rPr>
          <w:fldChar w:fldCharType="begin"/>
        </w:r>
        <w:r w:rsidR="00E93ED8">
          <w:rPr>
            <w:webHidden/>
          </w:rPr>
          <w:instrText xml:space="preserve"> PAGEREF _Toc332378265 \h </w:instrText>
        </w:r>
        <w:r w:rsidR="00C43B8A">
          <w:rPr>
            <w:webHidden/>
          </w:rPr>
        </w:r>
        <w:r w:rsidR="00C43B8A">
          <w:rPr>
            <w:webHidden/>
          </w:rPr>
          <w:fldChar w:fldCharType="separate"/>
        </w:r>
        <w:r w:rsidR="00441E8D">
          <w:rPr>
            <w:webHidden/>
          </w:rPr>
          <w:t>A-2</w:t>
        </w:r>
        <w:r w:rsidR="00C43B8A">
          <w:rPr>
            <w:webHidden/>
          </w:rPr>
          <w:fldChar w:fldCharType="end"/>
        </w:r>
      </w:hyperlink>
    </w:p>
    <w:p w:rsidR="00E93ED8" w:rsidRDefault="009B1C9F">
      <w:pPr>
        <w:pStyle w:val="TOC3"/>
        <w:rPr>
          <w:rFonts w:asciiTheme="minorHAnsi" w:eastAsiaTheme="minorEastAsia" w:hAnsiTheme="minorHAnsi" w:cstheme="minorBidi"/>
          <w:szCs w:val="22"/>
        </w:rPr>
      </w:pPr>
      <w:hyperlink w:anchor="_Toc332378266" w:history="1">
        <w:r w:rsidR="00E93ED8" w:rsidRPr="002932DD">
          <w:rPr>
            <w:rStyle w:val="Hyperlink"/>
          </w:rPr>
          <w:t>A.2.1</w:t>
        </w:r>
        <w:r w:rsidR="00E93ED8">
          <w:rPr>
            <w:rFonts w:asciiTheme="minorHAnsi" w:eastAsiaTheme="minorEastAsia" w:hAnsiTheme="minorHAnsi" w:cstheme="minorBidi"/>
            <w:szCs w:val="22"/>
          </w:rPr>
          <w:tab/>
        </w:r>
        <w:r w:rsidR="00E93ED8" w:rsidRPr="002932DD">
          <w:rPr>
            <w:rStyle w:val="Hyperlink"/>
          </w:rPr>
          <w:t>Project Overview</w:t>
        </w:r>
        <w:r w:rsidR="00E93ED8">
          <w:rPr>
            <w:webHidden/>
          </w:rPr>
          <w:tab/>
        </w:r>
        <w:r w:rsidR="00C43B8A">
          <w:rPr>
            <w:webHidden/>
          </w:rPr>
          <w:fldChar w:fldCharType="begin"/>
        </w:r>
        <w:r w:rsidR="00E93ED8">
          <w:rPr>
            <w:webHidden/>
          </w:rPr>
          <w:instrText xml:space="preserve"> PAGEREF _Toc332378266 \h </w:instrText>
        </w:r>
        <w:r w:rsidR="00C43B8A">
          <w:rPr>
            <w:webHidden/>
          </w:rPr>
        </w:r>
        <w:r w:rsidR="00C43B8A">
          <w:rPr>
            <w:webHidden/>
          </w:rPr>
          <w:fldChar w:fldCharType="separate"/>
        </w:r>
        <w:r w:rsidR="00441E8D">
          <w:rPr>
            <w:webHidden/>
          </w:rPr>
          <w:t>A-2</w:t>
        </w:r>
        <w:r w:rsidR="00C43B8A">
          <w:rPr>
            <w:webHidden/>
          </w:rPr>
          <w:fldChar w:fldCharType="end"/>
        </w:r>
      </w:hyperlink>
    </w:p>
    <w:p w:rsidR="00E93ED8" w:rsidRDefault="009B1C9F">
      <w:pPr>
        <w:pStyle w:val="TOC3"/>
        <w:rPr>
          <w:rFonts w:asciiTheme="minorHAnsi" w:eastAsiaTheme="minorEastAsia" w:hAnsiTheme="minorHAnsi" w:cstheme="minorBidi"/>
          <w:szCs w:val="22"/>
        </w:rPr>
      </w:pPr>
      <w:hyperlink w:anchor="_Toc332378267" w:history="1">
        <w:r w:rsidR="00E93ED8" w:rsidRPr="002932DD">
          <w:rPr>
            <w:rStyle w:val="Hyperlink"/>
          </w:rPr>
          <w:t>A.2.2</w:t>
        </w:r>
        <w:r w:rsidR="00E93ED8">
          <w:rPr>
            <w:rFonts w:asciiTheme="minorHAnsi" w:eastAsiaTheme="minorEastAsia" w:hAnsiTheme="minorHAnsi" w:cstheme="minorBidi"/>
            <w:szCs w:val="22"/>
          </w:rPr>
          <w:tab/>
        </w:r>
        <w:r w:rsidR="00E93ED8" w:rsidRPr="002932DD">
          <w:rPr>
            <w:rStyle w:val="Hyperlink"/>
          </w:rPr>
          <w:t>Purpose of Data Collection</w:t>
        </w:r>
        <w:r w:rsidR="00E93ED8">
          <w:rPr>
            <w:webHidden/>
          </w:rPr>
          <w:tab/>
        </w:r>
        <w:r w:rsidR="00C43B8A">
          <w:rPr>
            <w:webHidden/>
          </w:rPr>
          <w:fldChar w:fldCharType="begin"/>
        </w:r>
        <w:r w:rsidR="00E93ED8">
          <w:rPr>
            <w:webHidden/>
          </w:rPr>
          <w:instrText xml:space="preserve"> PAGEREF _Toc332378267 \h </w:instrText>
        </w:r>
        <w:r w:rsidR="00C43B8A">
          <w:rPr>
            <w:webHidden/>
          </w:rPr>
        </w:r>
        <w:r w:rsidR="00C43B8A">
          <w:rPr>
            <w:webHidden/>
          </w:rPr>
          <w:fldChar w:fldCharType="separate"/>
        </w:r>
        <w:r w:rsidR="00441E8D">
          <w:rPr>
            <w:webHidden/>
          </w:rPr>
          <w:t>A-7</w:t>
        </w:r>
        <w:r w:rsidR="00C43B8A">
          <w:rPr>
            <w:webHidden/>
          </w:rPr>
          <w:fldChar w:fldCharType="end"/>
        </w:r>
      </w:hyperlink>
    </w:p>
    <w:p w:rsidR="00E93ED8" w:rsidRDefault="009B1C9F">
      <w:pPr>
        <w:pStyle w:val="TOC3"/>
        <w:rPr>
          <w:rFonts w:asciiTheme="minorHAnsi" w:eastAsiaTheme="minorEastAsia" w:hAnsiTheme="minorHAnsi" w:cstheme="minorBidi"/>
          <w:szCs w:val="22"/>
        </w:rPr>
      </w:pPr>
      <w:hyperlink w:anchor="_Toc332378268" w:history="1">
        <w:r w:rsidR="00E93ED8" w:rsidRPr="002932DD">
          <w:rPr>
            <w:rStyle w:val="Hyperlink"/>
          </w:rPr>
          <w:t>A.2.3</w:t>
        </w:r>
        <w:r w:rsidR="00E93ED8">
          <w:rPr>
            <w:rFonts w:asciiTheme="minorHAnsi" w:eastAsiaTheme="minorEastAsia" w:hAnsiTheme="minorHAnsi" w:cstheme="minorBidi"/>
            <w:szCs w:val="22"/>
          </w:rPr>
          <w:tab/>
        </w:r>
        <w:r w:rsidR="00E93ED8" w:rsidRPr="002932DD">
          <w:rPr>
            <w:rStyle w:val="Hyperlink"/>
          </w:rPr>
          <w:t>Who Will Use this Information</w:t>
        </w:r>
        <w:r w:rsidR="00E93ED8">
          <w:rPr>
            <w:webHidden/>
          </w:rPr>
          <w:tab/>
        </w:r>
        <w:r w:rsidR="00C43B8A">
          <w:rPr>
            <w:webHidden/>
          </w:rPr>
          <w:fldChar w:fldCharType="begin"/>
        </w:r>
        <w:r w:rsidR="00E93ED8">
          <w:rPr>
            <w:webHidden/>
          </w:rPr>
          <w:instrText xml:space="preserve"> PAGEREF _Toc332378268 \h </w:instrText>
        </w:r>
        <w:r w:rsidR="00C43B8A">
          <w:rPr>
            <w:webHidden/>
          </w:rPr>
        </w:r>
        <w:r w:rsidR="00C43B8A">
          <w:rPr>
            <w:webHidden/>
          </w:rPr>
          <w:fldChar w:fldCharType="separate"/>
        </w:r>
        <w:r w:rsidR="00441E8D">
          <w:rPr>
            <w:webHidden/>
          </w:rPr>
          <w:t>A-10</w:t>
        </w:r>
        <w:r w:rsidR="00C43B8A">
          <w:rPr>
            <w:webHidden/>
          </w:rPr>
          <w:fldChar w:fldCharType="end"/>
        </w:r>
      </w:hyperlink>
    </w:p>
    <w:p w:rsidR="00E93ED8" w:rsidRDefault="009B1C9F">
      <w:pPr>
        <w:pStyle w:val="TOC3"/>
        <w:rPr>
          <w:rFonts w:asciiTheme="minorHAnsi" w:eastAsiaTheme="minorEastAsia" w:hAnsiTheme="minorHAnsi" w:cstheme="minorBidi"/>
          <w:szCs w:val="22"/>
        </w:rPr>
      </w:pPr>
      <w:hyperlink w:anchor="_Toc332378269" w:history="1">
        <w:r w:rsidR="00E93ED8" w:rsidRPr="002932DD">
          <w:rPr>
            <w:rStyle w:val="Hyperlink"/>
          </w:rPr>
          <w:t>A.2.4</w:t>
        </w:r>
        <w:r w:rsidR="00E93ED8">
          <w:rPr>
            <w:rFonts w:asciiTheme="minorHAnsi" w:eastAsiaTheme="minorEastAsia" w:hAnsiTheme="minorHAnsi" w:cstheme="minorBidi"/>
            <w:szCs w:val="22"/>
          </w:rPr>
          <w:tab/>
        </w:r>
        <w:r w:rsidR="00E93ED8" w:rsidRPr="002932DD">
          <w:rPr>
            <w:rStyle w:val="Hyperlink"/>
          </w:rPr>
          <w:t>Instrument Item-by-Item Justification Chart</w:t>
        </w:r>
        <w:r w:rsidR="00E93ED8">
          <w:rPr>
            <w:webHidden/>
          </w:rPr>
          <w:tab/>
        </w:r>
        <w:r w:rsidR="00C43B8A">
          <w:rPr>
            <w:webHidden/>
          </w:rPr>
          <w:fldChar w:fldCharType="begin"/>
        </w:r>
        <w:r w:rsidR="00E93ED8">
          <w:rPr>
            <w:webHidden/>
          </w:rPr>
          <w:instrText xml:space="preserve"> PAGEREF _Toc332378269 \h </w:instrText>
        </w:r>
        <w:r w:rsidR="00C43B8A">
          <w:rPr>
            <w:webHidden/>
          </w:rPr>
        </w:r>
        <w:r w:rsidR="00C43B8A">
          <w:rPr>
            <w:webHidden/>
          </w:rPr>
          <w:fldChar w:fldCharType="separate"/>
        </w:r>
        <w:r w:rsidR="00441E8D">
          <w:rPr>
            <w:webHidden/>
          </w:rPr>
          <w:t>A-10</w:t>
        </w:r>
        <w:r w:rsidR="00C43B8A">
          <w:rPr>
            <w:webHidden/>
          </w:rPr>
          <w:fldChar w:fldCharType="end"/>
        </w:r>
      </w:hyperlink>
    </w:p>
    <w:p w:rsidR="00E93ED8" w:rsidRDefault="009B1C9F">
      <w:pPr>
        <w:pStyle w:val="TOC2"/>
        <w:rPr>
          <w:rFonts w:asciiTheme="minorHAnsi" w:eastAsiaTheme="minorEastAsia" w:hAnsiTheme="minorHAnsi" w:cstheme="minorBidi"/>
          <w:szCs w:val="22"/>
        </w:rPr>
      </w:pPr>
      <w:hyperlink w:anchor="_Toc332378270" w:history="1">
        <w:r w:rsidR="00E93ED8" w:rsidRPr="002932DD">
          <w:rPr>
            <w:rStyle w:val="Hyperlink"/>
          </w:rPr>
          <w:t>A.3</w:t>
        </w:r>
        <w:r w:rsidR="00E93ED8">
          <w:rPr>
            <w:rFonts w:asciiTheme="minorHAnsi" w:eastAsiaTheme="minorEastAsia" w:hAnsiTheme="minorHAnsi" w:cstheme="minorBidi"/>
            <w:szCs w:val="22"/>
          </w:rPr>
          <w:tab/>
        </w:r>
        <w:r w:rsidR="00E93ED8" w:rsidRPr="002932DD">
          <w:rPr>
            <w:rStyle w:val="Hyperlink"/>
          </w:rPr>
          <w:t>Use of Improved Technologies</w:t>
        </w:r>
        <w:r w:rsidR="00E93ED8">
          <w:rPr>
            <w:webHidden/>
          </w:rPr>
          <w:tab/>
        </w:r>
        <w:r w:rsidR="00C43B8A">
          <w:rPr>
            <w:webHidden/>
          </w:rPr>
          <w:fldChar w:fldCharType="begin"/>
        </w:r>
        <w:r w:rsidR="00E93ED8">
          <w:rPr>
            <w:webHidden/>
          </w:rPr>
          <w:instrText xml:space="preserve"> PAGEREF _Toc332378270 \h </w:instrText>
        </w:r>
        <w:r w:rsidR="00C43B8A">
          <w:rPr>
            <w:webHidden/>
          </w:rPr>
        </w:r>
        <w:r w:rsidR="00C43B8A">
          <w:rPr>
            <w:webHidden/>
          </w:rPr>
          <w:fldChar w:fldCharType="separate"/>
        </w:r>
        <w:r w:rsidR="00441E8D">
          <w:rPr>
            <w:webHidden/>
          </w:rPr>
          <w:t>A-17</w:t>
        </w:r>
        <w:r w:rsidR="00C43B8A">
          <w:rPr>
            <w:webHidden/>
          </w:rPr>
          <w:fldChar w:fldCharType="end"/>
        </w:r>
      </w:hyperlink>
    </w:p>
    <w:p w:rsidR="00E93ED8" w:rsidRDefault="009B1C9F">
      <w:pPr>
        <w:pStyle w:val="TOC2"/>
        <w:rPr>
          <w:rFonts w:asciiTheme="minorHAnsi" w:eastAsiaTheme="minorEastAsia" w:hAnsiTheme="minorHAnsi" w:cstheme="minorBidi"/>
          <w:szCs w:val="22"/>
        </w:rPr>
      </w:pPr>
      <w:hyperlink w:anchor="_Toc332378271" w:history="1">
        <w:r w:rsidR="00E93ED8" w:rsidRPr="002932DD">
          <w:rPr>
            <w:rStyle w:val="Hyperlink"/>
          </w:rPr>
          <w:t>A.4</w:t>
        </w:r>
        <w:r w:rsidR="00E93ED8">
          <w:rPr>
            <w:rFonts w:asciiTheme="minorHAnsi" w:eastAsiaTheme="minorEastAsia" w:hAnsiTheme="minorHAnsi" w:cstheme="minorBidi"/>
            <w:szCs w:val="22"/>
          </w:rPr>
          <w:tab/>
        </w:r>
        <w:r w:rsidR="00E93ED8" w:rsidRPr="002932DD">
          <w:rPr>
            <w:rStyle w:val="Hyperlink"/>
          </w:rPr>
          <w:t>Efforts to Avoid Duplication</w:t>
        </w:r>
        <w:r w:rsidR="00E93ED8">
          <w:rPr>
            <w:webHidden/>
          </w:rPr>
          <w:tab/>
        </w:r>
        <w:r w:rsidR="00C43B8A">
          <w:rPr>
            <w:webHidden/>
          </w:rPr>
          <w:fldChar w:fldCharType="begin"/>
        </w:r>
        <w:r w:rsidR="00E93ED8">
          <w:rPr>
            <w:webHidden/>
          </w:rPr>
          <w:instrText xml:space="preserve"> PAGEREF _Toc332378271 \h </w:instrText>
        </w:r>
        <w:r w:rsidR="00C43B8A">
          <w:rPr>
            <w:webHidden/>
          </w:rPr>
        </w:r>
        <w:r w:rsidR="00C43B8A">
          <w:rPr>
            <w:webHidden/>
          </w:rPr>
          <w:fldChar w:fldCharType="separate"/>
        </w:r>
        <w:r w:rsidR="00441E8D">
          <w:rPr>
            <w:webHidden/>
          </w:rPr>
          <w:t>A-18</w:t>
        </w:r>
        <w:r w:rsidR="00C43B8A">
          <w:rPr>
            <w:webHidden/>
          </w:rPr>
          <w:fldChar w:fldCharType="end"/>
        </w:r>
      </w:hyperlink>
    </w:p>
    <w:p w:rsidR="00E93ED8" w:rsidRDefault="009B1C9F">
      <w:pPr>
        <w:pStyle w:val="TOC2"/>
        <w:rPr>
          <w:rFonts w:asciiTheme="minorHAnsi" w:eastAsiaTheme="minorEastAsia" w:hAnsiTheme="minorHAnsi" w:cstheme="minorBidi"/>
          <w:szCs w:val="22"/>
        </w:rPr>
      </w:pPr>
      <w:hyperlink w:anchor="_Toc332378272" w:history="1">
        <w:r w:rsidR="00E93ED8" w:rsidRPr="002932DD">
          <w:rPr>
            <w:rStyle w:val="Hyperlink"/>
          </w:rPr>
          <w:t>A.5</w:t>
        </w:r>
        <w:r w:rsidR="00E93ED8">
          <w:rPr>
            <w:rFonts w:asciiTheme="minorHAnsi" w:eastAsiaTheme="minorEastAsia" w:hAnsiTheme="minorHAnsi" w:cstheme="minorBidi"/>
            <w:szCs w:val="22"/>
          </w:rPr>
          <w:tab/>
        </w:r>
        <w:r w:rsidR="00E93ED8" w:rsidRPr="002932DD">
          <w:rPr>
            <w:rStyle w:val="Hyperlink"/>
          </w:rPr>
          <w:t>Involvement of Small Entities</w:t>
        </w:r>
        <w:r w:rsidR="00E93ED8">
          <w:rPr>
            <w:webHidden/>
          </w:rPr>
          <w:tab/>
        </w:r>
        <w:r w:rsidR="00C43B8A">
          <w:rPr>
            <w:webHidden/>
          </w:rPr>
          <w:fldChar w:fldCharType="begin"/>
        </w:r>
        <w:r w:rsidR="00E93ED8">
          <w:rPr>
            <w:webHidden/>
          </w:rPr>
          <w:instrText xml:space="preserve"> PAGEREF _Toc332378272 \h </w:instrText>
        </w:r>
        <w:r w:rsidR="00C43B8A">
          <w:rPr>
            <w:webHidden/>
          </w:rPr>
        </w:r>
        <w:r w:rsidR="00C43B8A">
          <w:rPr>
            <w:webHidden/>
          </w:rPr>
          <w:fldChar w:fldCharType="separate"/>
        </w:r>
        <w:r w:rsidR="00441E8D">
          <w:rPr>
            <w:webHidden/>
          </w:rPr>
          <w:t>A-19</w:t>
        </w:r>
        <w:r w:rsidR="00C43B8A">
          <w:rPr>
            <w:webHidden/>
          </w:rPr>
          <w:fldChar w:fldCharType="end"/>
        </w:r>
      </w:hyperlink>
    </w:p>
    <w:p w:rsidR="00E93ED8" w:rsidRDefault="009B1C9F">
      <w:pPr>
        <w:pStyle w:val="TOC2"/>
        <w:rPr>
          <w:rFonts w:asciiTheme="minorHAnsi" w:eastAsiaTheme="minorEastAsia" w:hAnsiTheme="minorHAnsi" w:cstheme="minorBidi"/>
          <w:szCs w:val="22"/>
        </w:rPr>
      </w:pPr>
      <w:hyperlink w:anchor="_Toc332378273" w:history="1">
        <w:r w:rsidR="00E93ED8" w:rsidRPr="002932DD">
          <w:rPr>
            <w:rStyle w:val="Hyperlink"/>
          </w:rPr>
          <w:t>A.6</w:t>
        </w:r>
        <w:r w:rsidR="00E93ED8">
          <w:rPr>
            <w:rFonts w:asciiTheme="minorHAnsi" w:eastAsiaTheme="minorEastAsia" w:hAnsiTheme="minorHAnsi" w:cstheme="minorBidi"/>
            <w:szCs w:val="22"/>
          </w:rPr>
          <w:tab/>
        </w:r>
        <w:r w:rsidR="00E93ED8" w:rsidRPr="002932DD">
          <w:rPr>
            <w:rStyle w:val="Hyperlink"/>
          </w:rPr>
          <w:t>Consequences of Less Frequent Data Collection</w:t>
        </w:r>
        <w:r w:rsidR="00E93ED8">
          <w:rPr>
            <w:webHidden/>
          </w:rPr>
          <w:tab/>
        </w:r>
        <w:r w:rsidR="00C43B8A">
          <w:rPr>
            <w:webHidden/>
          </w:rPr>
          <w:fldChar w:fldCharType="begin"/>
        </w:r>
        <w:r w:rsidR="00E93ED8">
          <w:rPr>
            <w:webHidden/>
          </w:rPr>
          <w:instrText xml:space="preserve"> PAGEREF _Toc332378273 \h </w:instrText>
        </w:r>
        <w:r w:rsidR="00C43B8A">
          <w:rPr>
            <w:webHidden/>
          </w:rPr>
        </w:r>
        <w:r w:rsidR="00C43B8A">
          <w:rPr>
            <w:webHidden/>
          </w:rPr>
          <w:fldChar w:fldCharType="separate"/>
        </w:r>
        <w:r w:rsidR="00441E8D">
          <w:rPr>
            <w:webHidden/>
          </w:rPr>
          <w:t>A-19</w:t>
        </w:r>
        <w:r w:rsidR="00C43B8A">
          <w:rPr>
            <w:webHidden/>
          </w:rPr>
          <w:fldChar w:fldCharType="end"/>
        </w:r>
      </w:hyperlink>
    </w:p>
    <w:p w:rsidR="00E93ED8" w:rsidRDefault="009B1C9F">
      <w:pPr>
        <w:pStyle w:val="TOC2"/>
        <w:rPr>
          <w:rFonts w:asciiTheme="minorHAnsi" w:eastAsiaTheme="minorEastAsia" w:hAnsiTheme="minorHAnsi" w:cstheme="minorBidi"/>
          <w:szCs w:val="22"/>
        </w:rPr>
      </w:pPr>
      <w:hyperlink w:anchor="_Toc332378274" w:history="1">
        <w:r w:rsidR="00E93ED8" w:rsidRPr="002932DD">
          <w:rPr>
            <w:rStyle w:val="Hyperlink"/>
          </w:rPr>
          <w:t>A.7</w:t>
        </w:r>
        <w:r w:rsidR="00E93ED8">
          <w:rPr>
            <w:rFonts w:asciiTheme="minorHAnsi" w:eastAsiaTheme="minorEastAsia" w:hAnsiTheme="minorHAnsi" w:cstheme="minorBidi"/>
            <w:szCs w:val="22"/>
          </w:rPr>
          <w:tab/>
        </w:r>
        <w:r w:rsidR="00E93ED8" w:rsidRPr="002932DD">
          <w:rPr>
            <w:rStyle w:val="Hyperlink"/>
          </w:rPr>
          <w:t>Special Circumstances</w:t>
        </w:r>
        <w:r w:rsidR="00E93ED8">
          <w:rPr>
            <w:webHidden/>
          </w:rPr>
          <w:tab/>
        </w:r>
        <w:r w:rsidR="00C43B8A">
          <w:rPr>
            <w:webHidden/>
          </w:rPr>
          <w:fldChar w:fldCharType="begin"/>
        </w:r>
        <w:r w:rsidR="00E93ED8">
          <w:rPr>
            <w:webHidden/>
          </w:rPr>
          <w:instrText xml:space="preserve"> PAGEREF _Toc332378274 \h </w:instrText>
        </w:r>
        <w:r w:rsidR="00C43B8A">
          <w:rPr>
            <w:webHidden/>
          </w:rPr>
        </w:r>
        <w:r w:rsidR="00C43B8A">
          <w:rPr>
            <w:webHidden/>
          </w:rPr>
          <w:fldChar w:fldCharType="separate"/>
        </w:r>
        <w:r w:rsidR="00441E8D">
          <w:rPr>
            <w:webHidden/>
          </w:rPr>
          <w:t>A-19</w:t>
        </w:r>
        <w:r w:rsidR="00C43B8A">
          <w:rPr>
            <w:webHidden/>
          </w:rPr>
          <w:fldChar w:fldCharType="end"/>
        </w:r>
      </w:hyperlink>
    </w:p>
    <w:p w:rsidR="00E93ED8" w:rsidRDefault="009B1C9F">
      <w:pPr>
        <w:pStyle w:val="TOC2"/>
        <w:rPr>
          <w:rFonts w:asciiTheme="minorHAnsi" w:eastAsiaTheme="minorEastAsia" w:hAnsiTheme="minorHAnsi" w:cstheme="minorBidi"/>
          <w:szCs w:val="22"/>
        </w:rPr>
      </w:pPr>
      <w:hyperlink w:anchor="_Toc332378275" w:history="1">
        <w:r w:rsidR="00E93ED8" w:rsidRPr="002932DD">
          <w:rPr>
            <w:rStyle w:val="Hyperlink"/>
          </w:rPr>
          <w:t>A.8</w:t>
        </w:r>
        <w:r w:rsidR="00E93ED8">
          <w:rPr>
            <w:rFonts w:asciiTheme="minorHAnsi" w:eastAsiaTheme="minorEastAsia" w:hAnsiTheme="minorHAnsi" w:cstheme="minorBidi"/>
            <w:szCs w:val="22"/>
          </w:rPr>
          <w:tab/>
        </w:r>
        <w:r w:rsidR="00E93ED8" w:rsidRPr="002932DD">
          <w:rPr>
            <w:rStyle w:val="Hyperlink"/>
          </w:rPr>
          <w:t>Consultations Outside the Agency</w:t>
        </w:r>
        <w:r w:rsidR="00E93ED8">
          <w:rPr>
            <w:webHidden/>
          </w:rPr>
          <w:tab/>
        </w:r>
        <w:r w:rsidR="00C43B8A">
          <w:rPr>
            <w:webHidden/>
          </w:rPr>
          <w:fldChar w:fldCharType="begin"/>
        </w:r>
        <w:r w:rsidR="00E93ED8">
          <w:rPr>
            <w:webHidden/>
          </w:rPr>
          <w:instrText xml:space="preserve"> PAGEREF _Toc332378275 \h </w:instrText>
        </w:r>
        <w:r w:rsidR="00C43B8A">
          <w:rPr>
            <w:webHidden/>
          </w:rPr>
        </w:r>
        <w:r w:rsidR="00C43B8A">
          <w:rPr>
            <w:webHidden/>
          </w:rPr>
          <w:fldChar w:fldCharType="separate"/>
        </w:r>
        <w:r w:rsidR="00441E8D">
          <w:rPr>
            <w:webHidden/>
          </w:rPr>
          <w:t>A-19</w:t>
        </w:r>
        <w:r w:rsidR="00C43B8A">
          <w:rPr>
            <w:webHidden/>
          </w:rPr>
          <w:fldChar w:fldCharType="end"/>
        </w:r>
      </w:hyperlink>
    </w:p>
    <w:p w:rsidR="00E93ED8" w:rsidRDefault="009B1C9F">
      <w:pPr>
        <w:pStyle w:val="TOC2"/>
        <w:rPr>
          <w:rFonts w:asciiTheme="minorHAnsi" w:eastAsiaTheme="minorEastAsia" w:hAnsiTheme="minorHAnsi" w:cstheme="minorBidi"/>
          <w:szCs w:val="22"/>
        </w:rPr>
      </w:pPr>
      <w:hyperlink w:anchor="_Toc332378276" w:history="1">
        <w:r w:rsidR="00E93ED8" w:rsidRPr="002932DD">
          <w:rPr>
            <w:rStyle w:val="Hyperlink"/>
          </w:rPr>
          <w:t>A.9</w:t>
        </w:r>
        <w:r w:rsidR="00E93ED8">
          <w:rPr>
            <w:rFonts w:asciiTheme="minorHAnsi" w:eastAsiaTheme="minorEastAsia" w:hAnsiTheme="minorHAnsi" w:cstheme="minorBidi"/>
            <w:szCs w:val="22"/>
          </w:rPr>
          <w:tab/>
        </w:r>
        <w:r w:rsidR="00E93ED8" w:rsidRPr="002932DD">
          <w:rPr>
            <w:rStyle w:val="Hyperlink"/>
          </w:rPr>
          <w:t>Payment to Respondents</w:t>
        </w:r>
        <w:r w:rsidR="00E93ED8">
          <w:rPr>
            <w:webHidden/>
          </w:rPr>
          <w:tab/>
        </w:r>
        <w:r w:rsidR="00C43B8A">
          <w:rPr>
            <w:webHidden/>
          </w:rPr>
          <w:fldChar w:fldCharType="begin"/>
        </w:r>
        <w:r w:rsidR="00E93ED8">
          <w:rPr>
            <w:webHidden/>
          </w:rPr>
          <w:instrText xml:space="preserve"> PAGEREF _Toc332378276 \h </w:instrText>
        </w:r>
        <w:r w:rsidR="00C43B8A">
          <w:rPr>
            <w:webHidden/>
          </w:rPr>
        </w:r>
        <w:r w:rsidR="00C43B8A">
          <w:rPr>
            <w:webHidden/>
          </w:rPr>
          <w:fldChar w:fldCharType="separate"/>
        </w:r>
        <w:r w:rsidR="00441E8D">
          <w:rPr>
            <w:webHidden/>
          </w:rPr>
          <w:t>A-20</w:t>
        </w:r>
        <w:r w:rsidR="00C43B8A">
          <w:rPr>
            <w:webHidden/>
          </w:rPr>
          <w:fldChar w:fldCharType="end"/>
        </w:r>
      </w:hyperlink>
    </w:p>
    <w:p w:rsidR="00E93ED8" w:rsidRDefault="009B1C9F">
      <w:pPr>
        <w:pStyle w:val="TOC3"/>
        <w:rPr>
          <w:rFonts w:asciiTheme="minorHAnsi" w:eastAsiaTheme="minorEastAsia" w:hAnsiTheme="minorHAnsi" w:cstheme="minorBidi"/>
          <w:szCs w:val="22"/>
        </w:rPr>
      </w:pPr>
      <w:hyperlink w:anchor="_Toc332378277" w:history="1">
        <w:r w:rsidR="00E93ED8" w:rsidRPr="002932DD">
          <w:rPr>
            <w:rStyle w:val="Hyperlink"/>
          </w:rPr>
          <w:t>A.9.1</w:t>
        </w:r>
        <w:r w:rsidR="00E93ED8">
          <w:rPr>
            <w:rFonts w:asciiTheme="minorHAnsi" w:eastAsiaTheme="minorEastAsia" w:hAnsiTheme="minorHAnsi" w:cstheme="minorBidi"/>
            <w:szCs w:val="22"/>
          </w:rPr>
          <w:tab/>
        </w:r>
        <w:r w:rsidR="00E93ED8" w:rsidRPr="002932DD">
          <w:rPr>
            <w:rStyle w:val="Hyperlink"/>
          </w:rPr>
          <w:t>Compensation for Study Participants</w:t>
        </w:r>
        <w:r w:rsidR="00E93ED8">
          <w:rPr>
            <w:webHidden/>
          </w:rPr>
          <w:tab/>
        </w:r>
        <w:r w:rsidR="00C43B8A">
          <w:rPr>
            <w:webHidden/>
          </w:rPr>
          <w:fldChar w:fldCharType="begin"/>
        </w:r>
        <w:r w:rsidR="00E93ED8">
          <w:rPr>
            <w:webHidden/>
          </w:rPr>
          <w:instrText xml:space="preserve"> PAGEREF _Toc332378277 \h </w:instrText>
        </w:r>
        <w:r w:rsidR="00C43B8A">
          <w:rPr>
            <w:webHidden/>
          </w:rPr>
        </w:r>
        <w:r w:rsidR="00C43B8A">
          <w:rPr>
            <w:webHidden/>
          </w:rPr>
          <w:fldChar w:fldCharType="separate"/>
        </w:r>
        <w:r w:rsidR="00441E8D">
          <w:rPr>
            <w:webHidden/>
          </w:rPr>
          <w:t>A-20</w:t>
        </w:r>
        <w:r w:rsidR="00C43B8A">
          <w:rPr>
            <w:webHidden/>
          </w:rPr>
          <w:fldChar w:fldCharType="end"/>
        </w:r>
      </w:hyperlink>
    </w:p>
    <w:p w:rsidR="00E93ED8" w:rsidRDefault="009B1C9F">
      <w:pPr>
        <w:pStyle w:val="TOC3"/>
        <w:rPr>
          <w:rFonts w:asciiTheme="minorHAnsi" w:eastAsiaTheme="minorEastAsia" w:hAnsiTheme="minorHAnsi" w:cstheme="minorBidi"/>
          <w:szCs w:val="22"/>
        </w:rPr>
      </w:pPr>
      <w:hyperlink w:anchor="_Toc332378278" w:history="1">
        <w:r w:rsidR="00E93ED8" w:rsidRPr="002932DD">
          <w:rPr>
            <w:rStyle w:val="Hyperlink"/>
          </w:rPr>
          <w:t>A.9.2</w:t>
        </w:r>
        <w:r w:rsidR="00E93ED8">
          <w:rPr>
            <w:rFonts w:asciiTheme="minorHAnsi" w:eastAsiaTheme="minorEastAsia" w:hAnsiTheme="minorHAnsi" w:cstheme="minorBidi"/>
            <w:szCs w:val="22"/>
          </w:rPr>
          <w:tab/>
        </w:r>
        <w:r w:rsidR="00E93ED8" w:rsidRPr="002932DD">
          <w:rPr>
            <w:rStyle w:val="Hyperlink"/>
          </w:rPr>
          <w:t>Compensation for Counseling Agencies</w:t>
        </w:r>
        <w:r w:rsidR="00E93ED8">
          <w:rPr>
            <w:webHidden/>
          </w:rPr>
          <w:tab/>
        </w:r>
        <w:r w:rsidR="00C43B8A">
          <w:rPr>
            <w:webHidden/>
          </w:rPr>
          <w:fldChar w:fldCharType="begin"/>
        </w:r>
        <w:r w:rsidR="00E93ED8">
          <w:rPr>
            <w:webHidden/>
          </w:rPr>
          <w:instrText xml:space="preserve"> PAGEREF _Toc332378278 \h </w:instrText>
        </w:r>
        <w:r w:rsidR="00C43B8A">
          <w:rPr>
            <w:webHidden/>
          </w:rPr>
        </w:r>
        <w:r w:rsidR="00C43B8A">
          <w:rPr>
            <w:webHidden/>
          </w:rPr>
          <w:fldChar w:fldCharType="separate"/>
        </w:r>
        <w:r w:rsidR="00441E8D">
          <w:rPr>
            <w:webHidden/>
          </w:rPr>
          <w:t>A-21</w:t>
        </w:r>
        <w:r w:rsidR="00C43B8A">
          <w:rPr>
            <w:webHidden/>
          </w:rPr>
          <w:fldChar w:fldCharType="end"/>
        </w:r>
      </w:hyperlink>
    </w:p>
    <w:p w:rsidR="00E93ED8" w:rsidRDefault="009B1C9F">
      <w:pPr>
        <w:pStyle w:val="TOC2"/>
        <w:rPr>
          <w:rFonts w:asciiTheme="minorHAnsi" w:eastAsiaTheme="minorEastAsia" w:hAnsiTheme="minorHAnsi" w:cstheme="minorBidi"/>
          <w:szCs w:val="22"/>
        </w:rPr>
      </w:pPr>
      <w:hyperlink w:anchor="_Toc332378279" w:history="1">
        <w:r w:rsidR="00E93ED8" w:rsidRPr="002932DD">
          <w:rPr>
            <w:rStyle w:val="Hyperlink"/>
          </w:rPr>
          <w:t>A.10</w:t>
        </w:r>
        <w:r w:rsidR="00E93ED8">
          <w:rPr>
            <w:rFonts w:asciiTheme="minorHAnsi" w:eastAsiaTheme="minorEastAsia" w:hAnsiTheme="minorHAnsi" w:cstheme="minorBidi"/>
            <w:szCs w:val="22"/>
          </w:rPr>
          <w:tab/>
        </w:r>
        <w:r w:rsidR="00E93ED8" w:rsidRPr="002932DD">
          <w:rPr>
            <w:rStyle w:val="Hyperlink"/>
          </w:rPr>
          <w:t>Arrangement and Assurances Regarding Confidentiality</w:t>
        </w:r>
        <w:r w:rsidR="00E93ED8">
          <w:rPr>
            <w:webHidden/>
          </w:rPr>
          <w:tab/>
        </w:r>
        <w:r w:rsidR="00C43B8A">
          <w:rPr>
            <w:webHidden/>
          </w:rPr>
          <w:fldChar w:fldCharType="begin"/>
        </w:r>
        <w:r w:rsidR="00E93ED8">
          <w:rPr>
            <w:webHidden/>
          </w:rPr>
          <w:instrText xml:space="preserve"> PAGEREF _Toc332378279 \h </w:instrText>
        </w:r>
        <w:r w:rsidR="00C43B8A">
          <w:rPr>
            <w:webHidden/>
          </w:rPr>
        </w:r>
        <w:r w:rsidR="00C43B8A">
          <w:rPr>
            <w:webHidden/>
          </w:rPr>
          <w:fldChar w:fldCharType="separate"/>
        </w:r>
        <w:r w:rsidR="00441E8D">
          <w:rPr>
            <w:webHidden/>
          </w:rPr>
          <w:t>A-22</w:t>
        </w:r>
        <w:r w:rsidR="00C43B8A">
          <w:rPr>
            <w:webHidden/>
          </w:rPr>
          <w:fldChar w:fldCharType="end"/>
        </w:r>
      </w:hyperlink>
    </w:p>
    <w:p w:rsidR="00E93ED8" w:rsidRDefault="009B1C9F">
      <w:pPr>
        <w:pStyle w:val="TOC3"/>
        <w:rPr>
          <w:rFonts w:asciiTheme="minorHAnsi" w:eastAsiaTheme="minorEastAsia" w:hAnsiTheme="minorHAnsi" w:cstheme="minorBidi"/>
          <w:szCs w:val="22"/>
        </w:rPr>
      </w:pPr>
      <w:hyperlink w:anchor="_Toc332378280" w:history="1">
        <w:r w:rsidR="00E93ED8" w:rsidRPr="002932DD">
          <w:rPr>
            <w:rStyle w:val="Hyperlink"/>
          </w:rPr>
          <w:t>A.10.1</w:t>
        </w:r>
        <w:r w:rsidR="00E93ED8">
          <w:rPr>
            <w:rFonts w:asciiTheme="minorHAnsi" w:eastAsiaTheme="minorEastAsia" w:hAnsiTheme="minorHAnsi" w:cstheme="minorBidi"/>
            <w:szCs w:val="22"/>
          </w:rPr>
          <w:tab/>
        </w:r>
        <w:r w:rsidR="00E93ED8" w:rsidRPr="002932DD">
          <w:rPr>
            <w:rStyle w:val="Hyperlink"/>
          </w:rPr>
          <w:t>Informed Consent</w:t>
        </w:r>
        <w:r w:rsidR="00E93ED8">
          <w:rPr>
            <w:webHidden/>
          </w:rPr>
          <w:tab/>
        </w:r>
        <w:r w:rsidR="00C43B8A">
          <w:rPr>
            <w:webHidden/>
          </w:rPr>
          <w:fldChar w:fldCharType="begin"/>
        </w:r>
        <w:r w:rsidR="00E93ED8">
          <w:rPr>
            <w:webHidden/>
          </w:rPr>
          <w:instrText xml:space="preserve"> PAGEREF _Toc332378280 \h </w:instrText>
        </w:r>
        <w:r w:rsidR="00C43B8A">
          <w:rPr>
            <w:webHidden/>
          </w:rPr>
        </w:r>
        <w:r w:rsidR="00C43B8A">
          <w:rPr>
            <w:webHidden/>
          </w:rPr>
          <w:fldChar w:fldCharType="separate"/>
        </w:r>
        <w:r w:rsidR="00441E8D">
          <w:rPr>
            <w:webHidden/>
          </w:rPr>
          <w:t>A-22</w:t>
        </w:r>
        <w:r w:rsidR="00C43B8A">
          <w:rPr>
            <w:webHidden/>
          </w:rPr>
          <w:fldChar w:fldCharType="end"/>
        </w:r>
      </w:hyperlink>
    </w:p>
    <w:p w:rsidR="00E93ED8" w:rsidRDefault="009B1C9F">
      <w:pPr>
        <w:pStyle w:val="TOC3"/>
        <w:rPr>
          <w:rFonts w:asciiTheme="minorHAnsi" w:eastAsiaTheme="minorEastAsia" w:hAnsiTheme="minorHAnsi" w:cstheme="minorBidi"/>
          <w:szCs w:val="22"/>
        </w:rPr>
      </w:pPr>
      <w:hyperlink w:anchor="_Toc332378281" w:history="1">
        <w:r w:rsidR="00E93ED8" w:rsidRPr="002932DD">
          <w:rPr>
            <w:rStyle w:val="Hyperlink"/>
          </w:rPr>
          <w:t>A.10.2</w:t>
        </w:r>
        <w:r w:rsidR="00E93ED8">
          <w:rPr>
            <w:rFonts w:asciiTheme="minorHAnsi" w:eastAsiaTheme="minorEastAsia" w:hAnsiTheme="minorHAnsi" w:cstheme="minorBidi"/>
            <w:szCs w:val="22"/>
          </w:rPr>
          <w:tab/>
        </w:r>
        <w:r w:rsidR="00E93ED8" w:rsidRPr="002932DD">
          <w:rPr>
            <w:rStyle w:val="Hyperlink"/>
          </w:rPr>
          <w:t>Data Confidentiality Protections</w:t>
        </w:r>
        <w:r w:rsidR="00E93ED8">
          <w:rPr>
            <w:webHidden/>
          </w:rPr>
          <w:tab/>
        </w:r>
        <w:r w:rsidR="00C43B8A">
          <w:rPr>
            <w:webHidden/>
          </w:rPr>
          <w:fldChar w:fldCharType="begin"/>
        </w:r>
        <w:r w:rsidR="00E93ED8">
          <w:rPr>
            <w:webHidden/>
          </w:rPr>
          <w:instrText xml:space="preserve"> PAGEREF _Toc332378281 \h </w:instrText>
        </w:r>
        <w:r w:rsidR="00C43B8A">
          <w:rPr>
            <w:webHidden/>
          </w:rPr>
        </w:r>
        <w:r w:rsidR="00C43B8A">
          <w:rPr>
            <w:webHidden/>
          </w:rPr>
          <w:fldChar w:fldCharType="separate"/>
        </w:r>
        <w:r w:rsidR="00441E8D">
          <w:rPr>
            <w:webHidden/>
          </w:rPr>
          <w:t>A-23</w:t>
        </w:r>
        <w:r w:rsidR="00C43B8A">
          <w:rPr>
            <w:webHidden/>
          </w:rPr>
          <w:fldChar w:fldCharType="end"/>
        </w:r>
      </w:hyperlink>
    </w:p>
    <w:p w:rsidR="00E93ED8" w:rsidRDefault="009B1C9F">
      <w:pPr>
        <w:pStyle w:val="TOC2"/>
        <w:rPr>
          <w:rFonts w:asciiTheme="minorHAnsi" w:eastAsiaTheme="minorEastAsia" w:hAnsiTheme="minorHAnsi" w:cstheme="minorBidi"/>
          <w:szCs w:val="22"/>
        </w:rPr>
      </w:pPr>
      <w:hyperlink w:anchor="_Toc332378282" w:history="1">
        <w:r w:rsidR="00E93ED8" w:rsidRPr="002932DD">
          <w:rPr>
            <w:rStyle w:val="Hyperlink"/>
          </w:rPr>
          <w:t>A.11</w:t>
        </w:r>
        <w:r w:rsidR="00E93ED8">
          <w:rPr>
            <w:rFonts w:asciiTheme="minorHAnsi" w:eastAsiaTheme="minorEastAsia" w:hAnsiTheme="minorHAnsi" w:cstheme="minorBidi"/>
            <w:szCs w:val="22"/>
          </w:rPr>
          <w:tab/>
        </w:r>
        <w:r w:rsidR="00E93ED8" w:rsidRPr="002932DD">
          <w:rPr>
            <w:rStyle w:val="Hyperlink"/>
          </w:rPr>
          <w:t>Sensitive Questions</w:t>
        </w:r>
        <w:r w:rsidR="00E93ED8">
          <w:rPr>
            <w:webHidden/>
          </w:rPr>
          <w:tab/>
        </w:r>
        <w:r w:rsidR="00C43B8A">
          <w:rPr>
            <w:webHidden/>
          </w:rPr>
          <w:fldChar w:fldCharType="begin"/>
        </w:r>
        <w:r w:rsidR="00E93ED8">
          <w:rPr>
            <w:webHidden/>
          </w:rPr>
          <w:instrText xml:space="preserve"> PAGEREF _Toc332378282 \h </w:instrText>
        </w:r>
        <w:r w:rsidR="00C43B8A">
          <w:rPr>
            <w:webHidden/>
          </w:rPr>
        </w:r>
        <w:r w:rsidR="00C43B8A">
          <w:rPr>
            <w:webHidden/>
          </w:rPr>
          <w:fldChar w:fldCharType="separate"/>
        </w:r>
        <w:r w:rsidR="00441E8D">
          <w:rPr>
            <w:webHidden/>
          </w:rPr>
          <w:t>A-24</w:t>
        </w:r>
        <w:r w:rsidR="00C43B8A">
          <w:rPr>
            <w:webHidden/>
          </w:rPr>
          <w:fldChar w:fldCharType="end"/>
        </w:r>
      </w:hyperlink>
    </w:p>
    <w:p w:rsidR="00E93ED8" w:rsidRDefault="009B1C9F">
      <w:pPr>
        <w:pStyle w:val="TOC2"/>
        <w:rPr>
          <w:rFonts w:asciiTheme="minorHAnsi" w:eastAsiaTheme="minorEastAsia" w:hAnsiTheme="minorHAnsi" w:cstheme="minorBidi"/>
          <w:szCs w:val="22"/>
        </w:rPr>
      </w:pPr>
      <w:hyperlink w:anchor="_Toc332378283" w:history="1">
        <w:r w:rsidR="00E93ED8" w:rsidRPr="002932DD">
          <w:rPr>
            <w:rStyle w:val="Hyperlink"/>
          </w:rPr>
          <w:t>A.12</w:t>
        </w:r>
        <w:r w:rsidR="00E93ED8">
          <w:rPr>
            <w:rFonts w:asciiTheme="minorHAnsi" w:eastAsiaTheme="minorEastAsia" w:hAnsiTheme="minorHAnsi" w:cstheme="minorBidi"/>
            <w:szCs w:val="22"/>
          </w:rPr>
          <w:tab/>
        </w:r>
        <w:r w:rsidR="00E93ED8" w:rsidRPr="002932DD">
          <w:rPr>
            <w:rStyle w:val="Hyperlink"/>
          </w:rPr>
          <w:t>Estimate of Annualized Burden of Hours</w:t>
        </w:r>
        <w:r w:rsidR="00E93ED8">
          <w:rPr>
            <w:webHidden/>
          </w:rPr>
          <w:tab/>
        </w:r>
        <w:r w:rsidR="00C43B8A">
          <w:rPr>
            <w:webHidden/>
          </w:rPr>
          <w:fldChar w:fldCharType="begin"/>
        </w:r>
        <w:r w:rsidR="00E93ED8">
          <w:rPr>
            <w:webHidden/>
          </w:rPr>
          <w:instrText xml:space="preserve"> PAGEREF _Toc332378283 \h </w:instrText>
        </w:r>
        <w:r w:rsidR="00C43B8A">
          <w:rPr>
            <w:webHidden/>
          </w:rPr>
        </w:r>
        <w:r w:rsidR="00C43B8A">
          <w:rPr>
            <w:webHidden/>
          </w:rPr>
          <w:fldChar w:fldCharType="separate"/>
        </w:r>
        <w:r w:rsidR="00441E8D">
          <w:rPr>
            <w:webHidden/>
          </w:rPr>
          <w:t>A-25</w:t>
        </w:r>
        <w:r w:rsidR="00C43B8A">
          <w:rPr>
            <w:webHidden/>
          </w:rPr>
          <w:fldChar w:fldCharType="end"/>
        </w:r>
      </w:hyperlink>
    </w:p>
    <w:p w:rsidR="00E93ED8" w:rsidRDefault="009B1C9F">
      <w:pPr>
        <w:pStyle w:val="TOC2"/>
        <w:rPr>
          <w:rFonts w:asciiTheme="minorHAnsi" w:eastAsiaTheme="minorEastAsia" w:hAnsiTheme="minorHAnsi" w:cstheme="minorBidi"/>
          <w:szCs w:val="22"/>
        </w:rPr>
      </w:pPr>
      <w:hyperlink w:anchor="_Toc332378284" w:history="1">
        <w:r w:rsidR="00E93ED8" w:rsidRPr="002932DD">
          <w:rPr>
            <w:rStyle w:val="Hyperlink"/>
          </w:rPr>
          <w:t>A.13</w:t>
        </w:r>
        <w:r w:rsidR="00E93ED8">
          <w:rPr>
            <w:rFonts w:asciiTheme="minorHAnsi" w:eastAsiaTheme="minorEastAsia" w:hAnsiTheme="minorHAnsi" w:cstheme="minorBidi"/>
            <w:szCs w:val="22"/>
          </w:rPr>
          <w:tab/>
        </w:r>
        <w:r w:rsidR="00E93ED8" w:rsidRPr="002932DD">
          <w:rPr>
            <w:rStyle w:val="Hyperlink"/>
          </w:rPr>
          <w:t>Estimated Record Keeping and Reporting Cost Burden on Respondents</w:t>
        </w:r>
        <w:r w:rsidR="00E93ED8">
          <w:rPr>
            <w:webHidden/>
          </w:rPr>
          <w:tab/>
        </w:r>
        <w:r w:rsidR="00C43B8A">
          <w:rPr>
            <w:webHidden/>
          </w:rPr>
          <w:fldChar w:fldCharType="begin"/>
        </w:r>
        <w:r w:rsidR="00E93ED8">
          <w:rPr>
            <w:webHidden/>
          </w:rPr>
          <w:instrText xml:space="preserve"> PAGEREF _Toc332378284 \h </w:instrText>
        </w:r>
        <w:r w:rsidR="00C43B8A">
          <w:rPr>
            <w:webHidden/>
          </w:rPr>
        </w:r>
        <w:r w:rsidR="00C43B8A">
          <w:rPr>
            <w:webHidden/>
          </w:rPr>
          <w:fldChar w:fldCharType="separate"/>
        </w:r>
        <w:r w:rsidR="00441E8D">
          <w:rPr>
            <w:webHidden/>
          </w:rPr>
          <w:t>A-27</w:t>
        </w:r>
        <w:r w:rsidR="00C43B8A">
          <w:rPr>
            <w:webHidden/>
          </w:rPr>
          <w:fldChar w:fldCharType="end"/>
        </w:r>
      </w:hyperlink>
    </w:p>
    <w:p w:rsidR="00E93ED8" w:rsidRDefault="009B1C9F">
      <w:pPr>
        <w:pStyle w:val="TOC2"/>
        <w:rPr>
          <w:rFonts w:asciiTheme="minorHAnsi" w:eastAsiaTheme="minorEastAsia" w:hAnsiTheme="minorHAnsi" w:cstheme="minorBidi"/>
          <w:szCs w:val="22"/>
        </w:rPr>
      </w:pPr>
      <w:hyperlink w:anchor="_Toc332378285" w:history="1">
        <w:r w:rsidR="00E93ED8" w:rsidRPr="002932DD">
          <w:rPr>
            <w:rStyle w:val="Hyperlink"/>
          </w:rPr>
          <w:t>A.14</w:t>
        </w:r>
        <w:r w:rsidR="00E93ED8">
          <w:rPr>
            <w:rFonts w:asciiTheme="minorHAnsi" w:eastAsiaTheme="minorEastAsia" w:hAnsiTheme="minorHAnsi" w:cstheme="minorBidi"/>
            <w:szCs w:val="22"/>
          </w:rPr>
          <w:tab/>
        </w:r>
        <w:r w:rsidR="00E93ED8" w:rsidRPr="002932DD">
          <w:rPr>
            <w:rStyle w:val="Hyperlink"/>
          </w:rPr>
          <w:t>Estimated Cost to Federal Government</w:t>
        </w:r>
        <w:r w:rsidR="00E93ED8">
          <w:rPr>
            <w:webHidden/>
          </w:rPr>
          <w:tab/>
        </w:r>
        <w:r w:rsidR="00C43B8A">
          <w:rPr>
            <w:webHidden/>
          </w:rPr>
          <w:fldChar w:fldCharType="begin"/>
        </w:r>
        <w:r w:rsidR="00E93ED8">
          <w:rPr>
            <w:webHidden/>
          </w:rPr>
          <w:instrText xml:space="preserve"> PAGEREF _Toc332378285 \h </w:instrText>
        </w:r>
        <w:r w:rsidR="00C43B8A">
          <w:rPr>
            <w:webHidden/>
          </w:rPr>
        </w:r>
        <w:r w:rsidR="00C43B8A">
          <w:rPr>
            <w:webHidden/>
          </w:rPr>
          <w:fldChar w:fldCharType="separate"/>
        </w:r>
        <w:r w:rsidR="00441E8D">
          <w:rPr>
            <w:webHidden/>
          </w:rPr>
          <w:t>A-27</w:t>
        </w:r>
        <w:r w:rsidR="00C43B8A">
          <w:rPr>
            <w:webHidden/>
          </w:rPr>
          <w:fldChar w:fldCharType="end"/>
        </w:r>
      </w:hyperlink>
    </w:p>
    <w:p w:rsidR="00E93ED8" w:rsidRDefault="009B1C9F">
      <w:pPr>
        <w:pStyle w:val="TOC2"/>
        <w:rPr>
          <w:rFonts w:asciiTheme="minorHAnsi" w:eastAsiaTheme="minorEastAsia" w:hAnsiTheme="minorHAnsi" w:cstheme="minorBidi"/>
          <w:szCs w:val="22"/>
        </w:rPr>
      </w:pPr>
      <w:hyperlink w:anchor="_Toc332378286" w:history="1">
        <w:r w:rsidR="00E93ED8" w:rsidRPr="002932DD">
          <w:rPr>
            <w:rStyle w:val="Hyperlink"/>
          </w:rPr>
          <w:t>A.15</w:t>
        </w:r>
        <w:r w:rsidR="00E93ED8">
          <w:rPr>
            <w:rFonts w:asciiTheme="minorHAnsi" w:eastAsiaTheme="minorEastAsia" w:hAnsiTheme="minorHAnsi" w:cstheme="minorBidi"/>
            <w:szCs w:val="22"/>
          </w:rPr>
          <w:tab/>
        </w:r>
        <w:r w:rsidR="00E93ED8" w:rsidRPr="002932DD">
          <w:rPr>
            <w:rStyle w:val="Hyperlink"/>
          </w:rPr>
          <w:t>Reasons for Changes in Burden</w:t>
        </w:r>
        <w:r w:rsidR="00E93ED8">
          <w:rPr>
            <w:webHidden/>
          </w:rPr>
          <w:tab/>
        </w:r>
        <w:r w:rsidR="00C43B8A">
          <w:rPr>
            <w:webHidden/>
          </w:rPr>
          <w:fldChar w:fldCharType="begin"/>
        </w:r>
        <w:r w:rsidR="00E93ED8">
          <w:rPr>
            <w:webHidden/>
          </w:rPr>
          <w:instrText xml:space="preserve"> PAGEREF _Toc332378286 \h </w:instrText>
        </w:r>
        <w:r w:rsidR="00C43B8A">
          <w:rPr>
            <w:webHidden/>
          </w:rPr>
        </w:r>
        <w:r w:rsidR="00C43B8A">
          <w:rPr>
            <w:webHidden/>
          </w:rPr>
          <w:fldChar w:fldCharType="separate"/>
        </w:r>
        <w:r w:rsidR="00441E8D">
          <w:rPr>
            <w:webHidden/>
          </w:rPr>
          <w:t>A-27</w:t>
        </w:r>
        <w:r w:rsidR="00C43B8A">
          <w:rPr>
            <w:webHidden/>
          </w:rPr>
          <w:fldChar w:fldCharType="end"/>
        </w:r>
      </w:hyperlink>
    </w:p>
    <w:p w:rsidR="00E93ED8" w:rsidRDefault="009B1C9F">
      <w:pPr>
        <w:pStyle w:val="TOC2"/>
        <w:rPr>
          <w:rFonts w:asciiTheme="minorHAnsi" w:eastAsiaTheme="minorEastAsia" w:hAnsiTheme="minorHAnsi" w:cstheme="minorBidi"/>
          <w:szCs w:val="22"/>
        </w:rPr>
      </w:pPr>
      <w:hyperlink w:anchor="_Toc332378287" w:history="1">
        <w:r w:rsidR="00E93ED8" w:rsidRPr="002932DD">
          <w:rPr>
            <w:rStyle w:val="Hyperlink"/>
          </w:rPr>
          <w:t>A.16</w:t>
        </w:r>
        <w:r w:rsidR="00E93ED8">
          <w:rPr>
            <w:rFonts w:asciiTheme="minorHAnsi" w:eastAsiaTheme="minorEastAsia" w:hAnsiTheme="minorHAnsi" w:cstheme="minorBidi"/>
            <w:szCs w:val="22"/>
          </w:rPr>
          <w:tab/>
        </w:r>
        <w:r w:rsidR="00E93ED8" w:rsidRPr="002932DD">
          <w:rPr>
            <w:rStyle w:val="Hyperlink"/>
          </w:rPr>
          <w:t>Tabulation Plan, Statistical Analysis and Study Schedule</w:t>
        </w:r>
        <w:r w:rsidR="00E93ED8">
          <w:rPr>
            <w:webHidden/>
          </w:rPr>
          <w:tab/>
        </w:r>
        <w:r w:rsidR="00C43B8A">
          <w:rPr>
            <w:webHidden/>
          </w:rPr>
          <w:fldChar w:fldCharType="begin"/>
        </w:r>
        <w:r w:rsidR="00E93ED8">
          <w:rPr>
            <w:webHidden/>
          </w:rPr>
          <w:instrText xml:space="preserve"> PAGEREF _Toc332378287 \h </w:instrText>
        </w:r>
        <w:r w:rsidR="00C43B8A">
          <w:rPr>
            <w:webHidden/>
          </w:rPr>
        </w:r>
        <w:r w:rsidR="00C43B8A">
          <w:rPr>
            <w:webHidden/>
          </w:rPr>
          <w:fldChar w:fldCharType="separate"/>
        </w:r>
        <w:r w:rsidR="00441E8D">
          <w:rPr>
            <w:webHidden/>
          </w:rPr>
          <w:t>A-27</w:t>
        </w:r>
        <w:r w:rsidR="00C43B8A">
          <w:rPr>
            <w:webHidden/>
          </w:rPr>
          <w:fldChar w:fldCharType="end"/>
        </w:r>
      </w:hyperlink>
    </w:p>
    <w:p w:rsidR="00E93ED8" w:rsidRDefault="009B1C9F">
      <w:pPr>
        <w:pStyle w:val="TOC3"/>
        <w:rPr>
          <w:rFonts w:asciiTheme="minorHAnsi" w:eastAsiaTheme="minorEastAsia" w:hAnsiTheme="minorHAnsi" w:cstheme="minorBidi"/>
          <w:szCs w:val="22"/>
        </w:rPr>
      </w:pPr>
      <w:hyperlink w:anchor="_Toc332378288" w:history="1">
        <w:r w:rsidR="00E93ED8" w:rsidRPr="002932DD">
          <w:rPr>
            <w:rStyle w:val="Hyperlink"/>
          </w:rPr>
          <w:t>A.16.1</w:t>
        </w:r>
        <w:r w:rsidR="00E93ED8">
          <w:rPr>
            <w:rFonts w:asciiTheme="minorHAnsi" w:eastAsiaTheme="minorEastAsia" w:hAnsiTheme="minorHAnsi" w:cstheme="minorBidi"/>
            <w:szCs w:val="22"/>
          </w:rPr>
          <w:tab/>
        </w:r>
        <w:r w:rsidR="00E93ED8" w:rsidRPr="002932DD">
          <w:rPr>
            <w:rStyle w:val="Hyperlink"/>
          </w:rPr>
          <w:t>Tabulation Plan and Statistical Analysis</w:t>
        </w:r>
        <w:r w:rsidR="00E93ED8">
          <w:rPr>
            <w:webHidden/>
          </w:rPr>
          <w:tab/>
        </w:r>
        <w:r w:rsidR="00C43B8A">
          <w:rPr>
            <w:webHidden/>
          </w:rPr>
          <w:fldChar w:fldCharType="begin"/>
        </w:r>
        <w:r w:rsidR="00E93ED8">
          <w:rPr>
            <w:webHidden/>
          </w:rPr>
          <w:instrText xml:space="preserve"> PAGEREF _Toc332378288 \h </w:instrText>
        </w:r>
        <w:r w:rsidR="00C43B8A">
          <w:rPr>
            <w:webHidden/>
          </w:rPr>
        </w:r>
        <w:r w:rsidR="00C43B8A">
          <w:rPr>
            <w:webHidden/>
          </w:rPr>
          <w:fldChar w:fldCharType="separate"/>
        </w:r>
        <w:r w:rsidR="00441E8D">
          <w:rPr>
            <w:webHidden/>
          </w:rPr>
          <w:t>A-27</w:t>
        </w:r>
        <w:r w:rsidR="00C43B8A">
          <w:rPr>
            <w:webHidden/>
          </w:rPr>
          <w:fldChar w:fldCharType="end"/>
        </w:r>
      </w:hyperlink>
    </w:p>
    <w:p w:rsidR="00E93ED8" w:rsidRDefault="009B1C9F">
      <w:pPr>
        <w:pStyle w:val="TOC3"/>
        <w:rPr>
          <w:rFonts w:asciiTheme="minorHAnsi" w:eastAsiaTheme="minorEastAsia" w:hAnsiTheme="minorHAnsi" w:cstheme="minorBidi"/>
          <w:szCs w:val="22"/>
        </w:rPr>
      </w:pPr>
      <w:hyperlink w:anchor="_Toc332378289" w:history="1">
        <w:r w:rsidR="00E93ED8" w:rsidRPr="002932DD">
          <w:rPr>
            <w:rStyle w:val="Hyperlink"/>
          </w:rPr>
          <w:t>A.16.2</w:t>
        </w:r>
        <w:r w:rsidR="00E93ED8">
          <w:rPr>
            <w:rFonts w:asciiTheme="minorHAnsi" w:eastAsiaTheme="minorEastAsia" w:hAnsiTheme="minorHAnsi" w:cstheme="minorBidi"/>
            <w:szCs w:val="22"/>
          </w:rPr>
          <w:tab/>
        </w:r>
        <w:r w:rsidR="00E93ED8" w:rsidRPr="002932DD">
          <w:rPr>
            <w:rStyle w:val="Hyperlink"/>
          </w:rPr>
          <w:t>Study Schedule</w:t>
        </w:r>
        <w:r w:rsidR="00E93ED8">
          <w:rPr>
            <w:webHidden/>
          </w:rPr>
          <w:tab/>
        </w:r>
        <w:r w:rsidR="00C43B8A">
          <w:rPr>
            <w:webHidden/>
          </w:rPr>
          <w:fldChar w:fldCharType="begin"/>
        </w:r>
        <w:r w:rsidR="00E93ED8">
          <w:rPr>
            <w:webHidden/>
          </w:rPr>
          <w:instrText xml:space="preserve"> PAGEREF _Toc332378289 \h </w:instrText>
        </w:r>
        <w:r w:rsidR="00C43B8A">
          <w:rPr>
            <w:webHidden/>
          </w:rPr>
        </w:r>
        <w:r w:rsidR="00C43B8A">
          <w:rPr>
            <w:webHidden/>
          </w:rPr>
          <w:fldChar w:fldCharType="separate"/>
        </w:r>
        <w:r w:rsidR="00441E8D">
          <w:rPr>
            <w:webHidden/>
          </w:rPr>
          <w:t>A-29</w:t>
        </w:r>
        <w:r w:rsidR="00C43B8A">
          <w:rPr>
            <w:webHidden/>
          </w:rPr>
          <w:fldChar w:fldCharType="end"/>
        </w:r>
      </w:hyperlink>
    </w:p>
    <w:p w:rsidR="00E93ED8" w:rsidRDefault="009B1C9F">
      <w:pPr>
        <w:pStyle w:val="TOC2"/>
        <w:rPr>
          <w:rFonts w:asciiTheme="minorHAnsi" w:eastAsiaTheme="minorEastAsia" w:hAnsiTheme="minorHAnsi" w:cstheme="minorBidi"/>
          <w:szCs w:val="22"/>
        </w:rPr>
      </w:pPr>
      <w:hyperlink w:anchor="_Toc332378290" w:history="1">
        <w:r w:rsidR="00E93ED8" w:rsidRPr="002932DD">
          <w:rPr>
            <w:rStyle w:val="Hyperlink"/>
          </w:rPr>
          <w:t>A.17</w:t>
        </w:r>
        <w:r w:rsidR="00E93ED8">
          <w:rPr>
            <w:rFonts w:asciiTheme="minorHAnsi" w:eastAsiaTheme="minorEastAsia" w:hAnsiTheme="minorHAnsi" w:cstheme="minorBidi"/>
            <w:szCs w:val="22"/>
          </w:rPr>
          <w:tab/>
        </w:r>
        <w:r w:rsidR="00E93ED8" w:rsidRPr="002932DD">
          <w:rPr>
            <w:rStyle w:val="Hyperlink"/>
          </w:rPr>
          <w:t>Expiration Date Display Exemption</w:t>
        </w:r>
        <w:r w:rsidR="00E93ED8">
          <w:rPr>
            <w:webHidden/>
          </w:rPr>
          <w:tab/>
        </w:r>
        <w:r w:rsidR="00C43B8A">
          <w:rPr>
            <w:webHidden/>
          </w:rPr>
          <w:fldChar w:fldCharType="begin"/>
        </w:r>
        <w:r w:rsidR="00E93ED8">
          <w:rPr>
            <w:webHidden/>
          </w:rPr>
          <w:instrText xml:space="preserve"> PAGEREF _Toc332378290 \h </w:instrText>
        </w:r>
        <w:r w:rsidR="00C43B8A">
          <w:rPr>
            <w:webHidden/>
          </w:rPr>
        </w:r>
        <w:r w:rsidR="00C43B8A">
          <w:rPr>
            <w:webHidden/>
          </w:rPr>
          <w:fldChar w:fldCharType="separate"/>
        </w:r>
        <w:r w:rsidR="00441E8D">
          <w:rPr>
            <w:webHidden/>
          </w:rPr>
          <w:t>A-29</w:t>
        </w:r>
        <w:r w:rsidR="00C43B8A">
          <w:rPr>
            <w:webHidden/>
          </w:rPr>
          <w:fldChar w:fldCharType="end"/>
        </w:r>
      </w:hyperlink>
    </w:p>
    <w:p w:rsidR="00E93ED8" w:rsidRDefault="009B1C9F">
      <w:pPr>
        <w:pStyle w:val="TOC2"/>
        <w:rPr>
          <w:rFonts w:asciiTheme="minorHAnsi" w:eastAsiaTheme="minorEastAsia" w:hAnsiTheme="minorHAnsi" w:cstheme="minorBidi"/>
          <w:szCs w:val="22"/>
        </w:rPr>
      </w:pPr>
      <w:hyperlink w:anchor="_Toc332378291" w:history="1">
        <w:r w:rsidR="00E93ED8" w:rsidRPr="002932DD">
          <w:rPr>
            <w:rStyle w:val="Hyperlink"/>
          </w:rPr>
          <w:t>A.18</w:t>
        </w:r>
        <w:r w:rsidR="00E93ED8">
          <w:rPr>
            <w:rFonts w:asciiTheme="minorHAnsi" w:eastAsiaTheme="minorEastAsia" w:hAnsiTheme="minorHAnsi" w:cstheme="minorBidi"/>
            <w:szCs w:val="22"/>
          </w:rPr>
          <w:tab/>
        </w:r>
        <w:r w:rsidR="00E93ED8" w:rsidRPr="002932DD">
          <w:rPr>
            <w:rStyle w:val="Hyperlink"/>
          </w:rPr>
          <w:t>Exceptions to Certification</w:t>
        </w:r>
        <w:r w:rsidR="00E93ED8">
          <w:rPr>
            <w:webHidden/>
          </w:rPr>
          <w:tab/>
        </w:r>
        <w:r w:rsidR="00C43B8A">
          <w:rPr>
            <w:webHidden/>
          </w:rPr>
          <w:fldChar w:fldCharType="begin"/>
        </w:r>
        <w:r w:rsidR="00E93ED8">
          <w:rPr>
            <w:webHidden/>
          </w:rPr>
          <w:instrText xml:space="preserve"> PAGEREF _Toc332378291 \h </w:instrText>
        </w:r>
        <w:r w:rsidR="00C43B8A">
          <w:rPr>
            <w:webHidden/>
          </w:rPr>
        </w:r>
        <w:r w:rsidR="00C43B8A">
          <w:rPr>
            <w:webHidden/>
          </w:rPr>
          <w:fldChar w:fldCharType="separate"/>
        </w:r>
        <w:r w:rsidR="00441E8D">
          <w:rPr>
            <w:webHidden/>
          </w:rPr>
          <w:t>A-29</w:t>
        </w:r>
        <w:r w:rsidR="00C43B8A">
          <w:rPr>
            <w:webHidden/>
          </w:rPr>
          <w:fldChar w:fldCharType="end"/>
        </w:r>
      </w:hyperlink>
    </w:p>
    <w:p w:rsidR="006B1DA6" w:rsidRDefault="00C43B8A" w:rsidP="00D979EA">
      <w:pPr>
        <w:pStyle w:val="BodyText"/>
        <w:sectPr w:rsidR="006B1DA6" w:rsidSect="00AC6E6C">
          <w:headerReference w:type="default" r:id="rId11"/>
          <w:footerReference w:type="default" r:id="rId12"/>
          <w:pgSz w:w="12240" w:h="15840" w:code="1"/>
          <w:pgMar w:top="1440" w:right="1440" w:bottom="1008" w:left="1800" w:header="1080" w:footer="720" w:gutter="0"/>
          <w:pgNumType w:fmt="lowerRoman" w:start="1"/>
          <w:cols w:space="720"/>
          <w:docGrid w:linePitch="299"/>
        </w:sectPr>
      </w:pPr>
      <w:r>
        <w:fldChar w:fldCharType="end"/>
      </w:r>
    </w:p>
    <w:p w:rsidR="007B1904" w:rsidRPr="007057ED" w:rsidRDefault="00802A0B" w:rsidP="00EB7E84">
      <w:pPr>
        <w:pStyle w:val="Heading1"/>
        <w:tabs>
          <w:tab w:val="clear" w:pos="432"/>
        </w:tabs>
        <w:ind w:left="720" w:hanging="720"/>
      </w:pPr>
      <w:bookmarkStart w:id="0" w:name="_Toc332378263"/>
      <w:r w:rsidRPr="00A900DC">
        <w:lastRenderedPageBreak/>
        <w:t>Justification</w:t>
      </w:r>
      <w:bookmarkEnd w:id="0"/>
    </w:p>
    <w:p w:rsidR="007B1904" w:rsidRPr="00C370A7" w:rsidRDefault="00802A0B" w:rsidP="002A5FC8">
      <w:pPr>
        <w:pStyle w:val="Heading2"/>
      </w:pPr>
      <w:bookmarkStart w:id="1" w:name="_Toc332378264"/>
      <w:r>
        <w:t xml:space="preserve">Circumstances that </w:t>
      </w:r>
      <w:r w:rsidR="00A900DC">
        <w:t>M</w:t>
      </w:r>
      <w:r>
        <w:t xml:space="preserve">ake the </w:t>
      </w:r>
      <w:r w:rsidR="00A900DC">
        <w:t>C</w:t>
      </w:r>
      <w:r>
        <w:t xml:space="preserve">ollection of </w:t>
      </w:r>
      <w:r w:rsidR="00A900DC">
        <w:t>I</w:t>
      </w:r>
      <w:r>
        <w:t xml:space="preserve">nformation </w:t>
      </w:r>
      <w:r w:rsidR="00A900DC">
        <w:t>N</w:t>
      </w:r>
      <w:r>
        <w:t>ecessary</w:t>
      </w:r>
      <w:bookmarkEnd w:id="1"/>
    </w:p>
    <w:p w:rsidR="00D979EA" w:rsidRDefault="006E7240" w:rsidP="00D979EA">
      <w:pPr>
        <w:pStyle w:val="BodyText"/>
      </w:pPr>
      <w:r>
        <w:t>T</w:t>
      </w:r>
      <w:r w:rsidR="00AB5C3B" w:rsidRPr="00AB5C3B">
        <w:t>he Department of Housing and Urban Development (HUD) seeks to understand the impact of pre-purchase homeownership counseling on a range of outcomes</w:t>
      </w:r>
      <w:r>
        <w:t xml:space="preserve"> for low-</w:t>
      </w:r>
      <w:r w:rsidR="00BA5543">
        <w:t>, moderate-, and middle-income</w:t>
      </w:r>
      <w:r w:rsidR="00BD50A8">
        <w:t xml:space="preserve"> </w:t>
      </w:r>
      <w:r w:rsidR="00BA5543">
        <w:t>(LMMI</w:t>
      </w:r>
      <w:proofErr w:type="gramStart"/>
      <w:r w:rsidR="00BA5543">
        <w:t xml:space="preserve">) </w:t>
      </w:r>
      <w:r>
        <w:t>,</w:t>
      </w:r>
      <w:proofErr w:type="gramEnd"/>
      <w:r>
        <w:t xml:space="preserve"> first-time</w:t>
      </w:r>
      <w:r w:rsidR="00AB5C3B" w:rsidRPr="00AB5C3B">
        <w:t xml:space="preserve"> homebuyers. In light of the recent collapse of the U.S. housing market and the precarious nature of the ongoing recovery, such an understanding is critical to policymakers as well as </w:t>
      </w:r>
      <w:r w:rsidR="006C0E22">
        <w:t xml:space="preserve">to </w:t>
      </w:r>
      <w:r w:rsidR="00A258D0">
        <w:t>mortgage lenders and housing counseling organizations</w:t>
      </w:r>
      <w:r w:rsidR="00AB5C3B" w:rsidRPr="00AB5C3B">
        <w:t xml:space="preserve">. </w:t>
      </w:r>
    </w:p>
    <w:p w:rsidR="003F5962" w:rsidRDefault="003F5962" w:rsidP="00D979EA">
      <w:pPr>
        <w:pStyle w:val="BodyText"/>
      </w:pPr>
      <w:r w:rsidRPr="006E7240">
        <w:t>The Pre-</w:t>
      </w:r>
      <w:r w:rsidR="00360D67">
        <w:t>P</w:t>
      </w:r>
      <w:r w:rsidRPr="006E7240">
        <w:t xml:space="preserve">urchase Homeownership Counseling Demonstration and Impact Evaluation will examine the impact </w:t>
      </w:r>
      <w:r w:rsidR="006C0E22">
        <w:t>of</w:t>
      </w:r>
      <w:r w:rsidR="004718A8">
        <w:t xml:space="preserve"> </w:t>
      </w:r>
      <w:r w:rsidRPr="006E7240">
        <w:t>different types of pre-purchase counseling</w:t>
      </w:r>
      <w:r w:rsidR="006C0E22">
        <w:t xml:space="preserve"> and education</w:t>
      </w:r>
      <w:r w:rsidRPr="006E7240">
        <w:t xml:space="preserve"> on h</w:t>
      </w:r>
      <w:r w:rsidR="009C67F5">
        <w:t>omeowner outcomes</w:t>
      </w:r>
      <w:r w:rsidRPr="006E7240">
        <w:t xml:space="preserve"> and loan performance for prospective </w:t>
      </w:r>
      <w:r>
        <w:t>first-time</w:t>
      </w:r>
      <w:r w:rsidRPr="006E7240">
        <w:t xml:space="preserve"> homebuyers</w:t>
      </w:r>
      <w:r w:rsidR="00B56571">
        <w:t xml:space="preserve"> with incomes below 120 percent of the area median</w:t>
      </w:r>
      <w:r w:rsidR="00A900DC">
        <w:t xml:space="preserve">. </w:t>
      </w:r>
      <w:r w:rsidR="00B56571">
        <w:t>T</w:t>
      </w:r>
      <w:r w:rsidRPr="006E7240">
        <w:t>his evaluation w</w:t>
      </w:r>
      <w:r>
        <w:t xml:space="preserve">ill </w:t>
      </w:r>
      <w:r w:rsidR="006C0E22">
        <w:t xml:space="preserve">measure </w:t>
      </w:r>
      <w:r>
        <w:t>the impact of two</w:t>
      </w:r>
      <w:r w:rsidRPr="006E7240">
        <w:t xml:space="preserve"> different pre-purchase counseling </w:t>
      </w:r>
      <w:r w:rsidR="006C0E22">
        <w:t xml:space="preserve">and education </w:t>
      </w:r>
      <w:r w:rsidRPr="006E7240">
        <w:t>interventions through a randomized experimental design</w:t>
      </w:r>
      <w:r w:rsidR="00A900DC">
        <w:t xml:space="preserve">. </w:t>
      </w:r>
    </w:p>
    <w:p w:rsidR="00C13D96" w:rsidRDefault="00AB5C3B" w:rsidP="00AB5C3B">
      <w:pPr>
        <w:pStyle w:val="BodyText"/>
      </w:pPr>
      <w:r>
        <w:t>The</w:t>
      </w:r>
      <w:r w:rsidR="006C0E22">
        <w:t>re are many potential</w:t>
      </w:r>
      <w:r>
        <w:t xml:space="preserve"> benefits of pre-purchase counseling</w:t>
      </w:r>
      <w:r w:rsidR="006C0E22">
        <w:t xml:space="preserve"> and education</w:t>
      </w:r>
      <w:r>
        <w:t>.</w:t>
      </w:r>
      <w:r w:rsidR="006C0E22">
        <w:rPr>
          <w:rStyle w:val="FootnoteReference"/>
        </w:rPr>
        <w:footnoteReference w:id="1"/>
      </w:r>
      <w:r>
        <w:t xml:space="preserve"> Informed consumers are expected to choose </w:t>
      </w:r>
      <w:r w:rsidR="006C0E22">
        <w:t xml:space="preserve">more </w:t>
      </w:r>
      <w:r>
        <w:t xml:space="preserve">appropriate homes and mortgages, improve their overall financial situation, and </w:t>
      </w:r>
      <w:r w:rsidR="006C0E22">
        <w:t>(over the long term) experience</w:t>
      </w:r>
      <w:r w:rsidR="003864F9">
        <w:t xml:space="preserve"> lower levels of </w:t>
      </w:r>
      <w:r w:rsidR="006C0E22">
        <w:t xml:space="preserve">mortgage </w:t>
      </w:r>
      <w:r w:rsidR="003864F9">
        <w:t>delinquency and exit from homeownership</w:t>
      </w:r>
      <w:r w:rsidR="00A900DC">
        <w:t xml:space="preserve">. </w:t>
      </w:r>
      <w:r w:rsidR="00C13D96">
        <w:t>Pre-purchase housing counseling may also play an important role for households who experienced a foreclosure and are preparing for a new home purchase.</w:t>
      </w:r>
    </w:p>
    <w:p w:rsidR="00AB5C3B" w:rsidRDefault="00AB5C3B" w:rsidP="00AB5C3B">
      <w:pPr>
        <w:pStyle w:val="BodyText"/>
      </w:pPr>
      <w:r>
        <w:t xml:space="preserve">Despite the widespread use of housing counseling, these </w:t>
      </w:r>
      <w:r w:rsidR="006C0E22">
        <w:t>benefits</w:t>
      </w:r>
      <w:r>
        <w:t xml:space="preserve"> have been difficult to document</w:t>
      </w:r>
      <w:r w:rsidR="00A900DC">
        <w:t xml:space="preserve">. </w:t>
      </w:r>
      <w:r>
        <w:t xml:space="preserve">Because most </w:t>
      </w:r>
      <w:r w:rsidR="00360D67">
        <w:t xml:space="preserve">housing </w:t>
      </w:r>
      <w:r>
        <w:t xml:space="preserve">counseling programs are small scale and offer a wide range of services to many different </w:t>
      </w:r>
      <w:r w:rsidR="00A628BA">
        <w:t>clients</w:t>
      </w:r>
      <w:r>
        <w:t>, robust comparisons are difficult. “Counseling” is also varied, as content and delivery mechanisms differ across programs</w:t>
      </w:r>
      <w:r w:rsidR="00A258D0">
        <w:t xml:space="preserve"> and providers</w:t>
      </w:r>
      <w:r>
        <w:t>. Moreover, the direct effects of borrower education are often hard to distinguish from other factors such as borrower self-selection or sorting (i.e., more self-motivated homebuyers are likely to approach agencies for counseling</w:t>
      </w:r>
      <w:r w:rsidR="006C0E22">
        <w:t xml:space="preserve"> services</w:t>
      </w:r>
      <w:r>
        <w:t xml:space="preserve">) or changes in lender behavior </w:t>
      </w:r>
      <w:r w:rsidR="006C0E22">
        <w:t xml:space="preserve">related to housing counseling </w:t>
      </w:r>
      <w:r>
        <w:t xml:space="preserve">(i.e., certain mortgage products </w:t>
      </w:r>
      <w:r w:rsidR="00B56571">
        <w:t xml:space="preserve">are </w:t>
      </w:r>
      <w:r>
        <w:t>only available if counseling is completed).</w:t>
      </w:r>
    </w:p>
    <w:p w:rsidR="00AB5C3B" w:rsidRDefault="00AB5C3B" w:rsidP="00AB5C3B">
      <w:pPr>
        <w:pStyle w:val="BodyText"/>
      </w:pPr>
      <w:r>
        <w:t>The absence of conclusive empirical evidence regarding the effectiveness of pre-purchase housing counseling is detrimental to policy discussions about federal support for housing counseling and the value of counseling requirements</w:t>
      </w:r>
      <w:r w:rsidR="00A900DC">
        <w:t xml:space="preserve">. </w:t>
      </w:r>
      <w:r>
        <w:t xml:space="preserve">Lenders’ use of </w:t>
      </w:r>
      <w:r w:rsidR="00360D67">
        <w:t xml:space="preserve">housing </w:t>
      </w:r>
      <w:r>
        <w:t>counseling requirements varies</w:t>
      </w:r>
      <w:r w:rsidR="00A900DC">
        <w:t xml:space="preserve">. </w:t>
      </w:r>
      <w:r>
        <w:t xml:space="preserve">About 15 years ago, many lenders—including Fannie Mae and Freddie Mac—made the receipt of </w:t>
      </w:r>
      <w:r w:rsidR="00360D67">
        <w:t xml:space="preserve">housing </w:t>
      </w:r>
      <w:r>
        <w:t>counseling a requirement for loan products targeted to lower-income, lower-wealth borrowers</w:t>
      </w:r>
      <w:r w:rsidR="00A900DC">
        <w:t xml:space="preserve">. </w:t>
      </w:r>
      <w:r>
        <w:t>This decision reflected a belief that pre-purchase</w:t>
      </w:r>
      <w:r w:rsidR="00360D67">
        <w:t xml:space="preserve"> housing</w:t>
      </w:r>
      <w:r>
        <w:t xml:space="preserve"> counseling created value for the lender</w:t>
      </w:r>
      <w:r w:rsidR="0014083E">
        <w:t xml:space="preserve"> and a more stable housing situation for the borrower</w:t>
      </w:r>
      <w:r w:rsidR="00EC60EF">
        <w:t>.</w:t>
      </w:r>
    </w:p>
    <w:p w:rsidR="00E1208B" w:rsidRDefault="00AB5C3B" w:rsidP="00E1208B">
      <w:pPr>
        <w:pStyle w:val="BodyText"/>
      </w:pPr>
      <w:r>
        <w:t>The current study represents an important effort to measure the impact of pre-purchase housing co</w:t>
      </w:r>
      <w:r w:rsidR="00F7284C">
        <w:t>unseling using experimental evaluation</w:t>
      </w:r>
      <w:r>
        <w:t xml:space="preserve"> methods.</w:t>
      </w:r>
      <w:r w:rsidR="004718A8">
        <w:t xml:space="preserve"> </w:t>
      </w:r>
      <w:r w:rsidR="00E1208B">
        <w:t>Whereas many of the previous studies have been limited by small sample sizes and non-experimental designs, this evaluation will recruit a large sample for a</w:t>
      </w:r>
      <w:r w:rsidR="00F7284C">
        <w:t>n experimental</w:t>
      </w:r>
      <w:r w:rsidR="00E1208B">
        <w:t xml:space="preserve"> impact evaluation</w:t>
      </w:r>
      <w:r w:rsidR="00F7284C">
        <w:t xml:space="preserve"> in which individuals are randomly assigned to receive </w:t>
      </w:r>
      <w:r w:rsidR="00360D67">
        <w:lastRenderedPageBreak/>
        <w:t xml:space="preserve">housing </w:t>
      </w:r>
      <w:r w:rsidR="00F7284C">
        <w:t>counseling or not</w:t>
      </w:r>
      <w:r w:rsidR="00A900DC">
        <w:t xml:space="preserve">. </w:t>
      </w:r>
      <w:r w:rsidR="00E1208B">
        <w:t xml:space="preserve">This design will produce impact estimates with strong internal validity with respect to each of the following modes of </w:t>
      </w:r>
      <w:r w:rsidR="00A05BB9">
        <w:t xml:space="preserve">pre-purchase </w:t>
      </w:r>
      <w:r w:rsidR="00360D67">
        <w:t xml:space="preserve">housing </w:t>
      </w:r>
      <w:r w:rsidR="00E1208B">
        <w:t xml:space="preserve">counseling: </w:t>
      </w:r>
    </w:p>
    <w:p w:rsidR="00E1208B" w:rsidRDefault="00E1208B" w:rsidP="00A900DC">
      <w:pPr>
        <w:pStyle w:val="Bullets"/>
      </w:pPr>
      <w:r w:rsidRPr="009C67F5">
        <w:rPr>
          <w:b/>
        </w:rPr>
        <w:t>Remote Counseling:</w:t>
      </w:r>
      <w:r>
        <w:t xml:space="preserve"> Online education + telephone counseling</w:t>
      </w:r>
    </w:p>
    <w:p w:rsidR="00E1208B" w:rsidRDefault="00E1208B" w:rsidP="00A900DC">
      <w:pPr>
        <w:pStyle w:val="BulletsLast"/>
      </w:pPr>
      <w:r w:rsidRPr="009C67F5">
        <w:rPr>
          <w:b/>
        </w:rPr>
        <w:t>In-Person Counseling:</w:t>
      </w:r>
      <w:r>
        <w:t xml:space="preserve"> Classroom-based education + in-person counseling</w:t>
      </w:r>
    </w:p>
    <w:p w:rsidR="00E1208B" w:rsidRDefault="00E1208B" w:rsidP="00E1208B">
      <w:pPr>
        <w:pStyle w:val="BodyText"/>
      </w:pPr>
      <w:r>
        <w:t xml:space="preserve">These modes of </w:t>
      </w:r>
      <w:r w:rsidR="00360D67">
        <w:t xml:space="preserve">housing </w:t>
      </w:r>
      <w:r>
        <w:t>counseling reflect the most common types of pre-purchase</w:t>
      </w:r>
      <w:r w:rsidR="00965F17">
        <w:t xml:space="preserve"> housing</w:t>
      </w:r>
      <w:r>
        <w:t xml:space="preserve"> education and counseling</w:t>
      </w:r>
      <w:r w:rsidR="007C4BA1">
        <w:t xml:space="preserve"> currently available. The </w:t>
      </w:r>
      <w:r>
        <w:t xml:space="preserve">curriculum </w:t>
      </w:r>
      <w:r w:rsidR="007C4BA1">
        <w:t xml:space="preserve">used for each </w:t>
      </w:r>
      <w:r w:rsidR="00965F17">
        <w:t xml:space="preserve">housing </w:t>
      </w:r>
      <w:r w:rsidR="007C4BA1">
        <w:t>counseling mode</w:t>
      </w:r>
      <w:r>
        <w:t xml:space="preserve"> will be consistent with the National Industry Standards</w:t>
      </w:r>
      <w:r w:rsidR="007C4BA1">
        <w:t xml:space="preserve"> f</w:t>
      </w:r>
      <w:r w:rsidR="007C4BA1" w:rsidRPr="00253B2F">
        <w:t>or Homeownership Education and Counseling</w:t>
      </w:r>
      <w:r w:rsidR="007C4BA1">
        <w:t>.</w:t>
      </w:r>
      <w:r w:rsidR="007C4BA1">
        <w:rPr>
          <w:rStyle w:val="FootnoteReference"/>
        </w:rPr>
        <w:footnoteReference w:id="2"/>
      </w:r>
    </w:p>
    <w:p w:rsidR="006D125B" w:rsidRDefault="007C4BA1" w:rsidP="006D125B">
      <w:r w:rsidRPr="006D125B">
        <w:t>The d</w:t>
      </w:r>
      <w:r w:rsidR="005D611D" w:rsidRPr="006D125B">
        <w:t xml:space="preserve">ata collection activities for </w:t>
      </w:r>
      <w:r w:rsidR="00235060" w:rsidRPr="006D125B">
        <w:t xml:space="preserve">which </w:t>
      </w:r>
      <w:r w:rsidRPr="006D125B">
        <w:t xml:space="preserve">OMB </w:t>
      </w:r>
      <w:r w:rsidR="00235060" w:rsidRPr="006D125B">
        <w:t xml:space="preserve">approval is requested in this submission </w:t>
      </w:r>
      <w:r w:rsidR="005D611D" w:rsidRPr="006D125B">
        <w:t xml:space="preserve">consist of </w:t>
      </w:r>
      <w:r w:rsidR="009930BF" w:rsidRPr="006D125B">
        <w:t>data</w:t>
      </w:r>
      <w:r w:rsidR="00BD50A8">
        <w:t xml:space="preserve"> </w:t>
      </w:r>
      <w:r w:rsidR="00235060" w:rsidRPr="006D125B">
        <w:t xml:space="preserve">to be collected </w:t>
      </w:r>
      <w:r w:rsidR="005D611D" w:rsidRPr="006D125B">
        <w:t>from</w:t>
      </w:r>
      <w:r w:rsidR="009C67F5" w:rsidRPr="006D125B">
        <w:t xml:space="preserve"> lenders,</w:t>
      </w:r>
      <w:r w:rsidR="005D611D" w:rsidRPr="006D125B">
        <w:t xml:space="preserve"> study participants</w:t>
      </w:r>
      <w:r w:rsidRPr="006D125B">
        <w:t>,</w:t>
      </w:r>
      <w:r w:rsidR="005D611D" w:rsidRPr="006D125B">
        <w:t xml:space="preserve"> and </w:t>
      </w:r>
      <w:r w:rsidR="00965F17">
        <w:t xml:space="preserve">HUD-approved housing </w:t>
      </w:r>
      <w:r w:rsidR="005D611D" w:rsidRPr="006D125B">
        <w:t>counseling agencies</w:t>
      </w:r>
      <w:r w:rsidR="00B81E0C" w:rsidRPr="006D125B">
        <w:t xml:space="preserve"> during the enrollment and implementation phases of the study</w:t>
      </w:r>
      <w:r w:rsidR="00D241C9" w:rsidRPr="006D125B">
        <w:t xml:space="preserve"> as described in </w:t>
      </w:r>
      <w:r w:rsidR="006D125B">
        <w:t>A.2.</w:t>
      </w:r>
      <w:r w:rsidR="005F6366">
        <w:t xml:space="preserve">A second </w:t>
      </w:r>
      <w:r w:rsidR="00A05BB9">
        <w:t>OMB approval request</w:t>
      </w:r>
      <w:r w:rsidR="005F6366">
        <w:t xml:space="preserve">, under a separate contract between HUD and the study team, will cover the follow-up participant interviews that will collect the primary outcome measures for impact analysis. </w:t>
      </w:r>
    </w:p>
    <w:p w:rsidR="00802A0B" w:rsidRPr="006D125B" w:rsidRDefault="00802A0B" w:rsidP="006D125B">
      <w:pPr>
        <w:pStyle w:val="Heading2"/>
      </w:pPr>
      <w:bookmarkStart w:id="2" w:name="_Toc332378265"/>
      <w:r w:rsidRPr="006D125B">
        <w:t>How an</w:t>
      </w:r>
      <w:r w:rsidR="009930BF" w:rsidRPr="006D125B">
        <w:t xml:space="preserve">d by </w:t>
      </w:r>
      <w:proofErr w:type="gramStart"/>
      <w:r w:rsidR="009930BF" w:rsidRPr="006D125B">
        <w:t>Whom</w:t>
      </w:r>
      <w:proofErr w:type="gramEnd"/>
      <w:r w:rsidR="009930BF" w:rsidRPr="006D125B">
        <w:t xml:space="preserve"> the Data will be Collected and Used</w:t>
      </w:r>
      <w:bookmarkEnd w:id="2"/>
    </w:p>
    <w:p w:rsidR="00802A0B" w:rsidRDefault="00802A0B" w:rsidP="00802A0B">
      <w:pPr>
        <w:pStyle w:val="Heading3"/>
      </w:pPr>
      <w:bookmarkStart w:id="3" w:name="_Toc332378266"/>
      <w:r>
        <w:t>Project Overview</w:t>
      </w:r>
      <w:bookmarkEnd w:id="3"/>
    </w:p>
    <w:p w:rsidR="00B81E0C" w:rsidRDefault="00B81E0C" w:rsidP="00B81E0C">
      <w:pPr>
        <w:pStyle w:val="BodyText"/>
        <w:rPr>
          <w:szCs w:val="22"/>
        </w:rPr>
      </w:pPr>
      <w:r>
        <w:rPr>
          <w:szCs w:val="22"/>
        </w:rPr>
        <w:t>The study design will be a randomized exp</w:t>
      </w:r>
      <w:r w:rsidR="00A27E49">
        <w:rPr>
          <w:szCs w:val="22"/>
        </w:rPr>
        <w:t xml:space="preserve">eriment. </w:t>
      </w:r>
      <w:r w:rsidR="00A27E49" w:rsidRPr="00F7284C">
        <w:rPr>
          <w:szCs w:val="22"/>
        </w:rPr>
        <w:t xml:space="preserve">We will recruit up to </w:t>
      </w:r>
      <w:r w:rsidR="00F7284C" w:rsidRPr="00F7284C">
        <w:rPr>
          <w:szCs w:val="22"/>
        </w:rPr>
        <w:t>7</w:t>
      </w:r>
      <w:r w:rsidRPr="00F7284C">
        <w:rPr>
          <w:szCs w:val="22"/>
        </w:rPr>
        <w:t xml:space="preserve">,000 </w:t>
      </w:r>
      <w:r w:rsidR="00EE6B5C">
        <w:rPr>
          <w:szCs w:val="22"/>
        </w:rPr>
        <w:t>LMMI</w:t>
      </w:r>
      <w:r w:rsidRPr="00F7284C">
        <w:rPr>
          <w:szCs w:val="22"/>
        </w:rPr>
        <w:t>, f</w:t>
      </w:r>
      <w:r w:rsidR="00A27E49" w:rsidRPr="00F7284C">
        <w:rPr>
          <w:szCs w:val="22"/>
        </w:rPr>
        <w:t xml:space="preserve">irst-time homebuyers in </w:t>
      </w:r>
      <w:r w:rsidR="00A27E49" w:rsidRPr="00A00253">
        <w:rPr>
          <w:szCs w:val="22"/>
        </w:rPr>
        <w:t>2</w:t>
      </w:r>
      <w:r w:rsidR="00A00253" w:rsidRPr="00EE6B5C">
        <w:rPr>
          <w:szCs w:val="22"/>
        </w:rPr>
        <w:t>8</w:t>
      </w:r>
      <w:r w:rsidRPr="008F233C">
        <w:rPr>
          <w:szCs w:val="22"/>
        </w:rPr>
        <w:t xml:space="preserve"> jurisdictions (cities) nationally</w:t>
      </w:r>
      <w:r w:rsidR="00A900DC" w:rsidRPr="00F7284C">
        <w:rPr>
          <w:szCs w:val="22"/>
        </w:rPr>
        <w:t xml:space="preserve">. </w:t>
      </w:r>
      <w:r w:rsidRPr="00F7284C">
        <w:rPr>
          <w:szCs w:val="22"/>
        </w:rPr>
        <w:t xml:space="preserve">Enrolled study participants will be assigned </w:t>
      </w:r>
      <w:r w:rsidR="00A34D1B" w:rsidRPr="00F7284C">
        <w:rPr>
          <w:szCs w:val="22"/>
        </w:rPr>
        <w:t xml:space="preserve">to one of </w:t>
      </w:r>
      <w:r w:rsidR="00B77649" w:rsidRPr="00F7284C">
        <w:rPr>
          <w:szCs w:val="22"/>
        </w:rPr>
        <w:t>three</w:t>
      </w:r>
      <w:r w:rsidR="00A34D1B" w:rsidRPr="00F7284C">
        <w:rPr>
          <w:szCs w:val="22"/>
        </w:rPr>
        <w:t xml:space="preserve"> groups: </w:t>
      </w:r>
      <w:r w:rsidRPr="00F7284C">
        <w:rPr>
          <w:szCs w:val="22"/>
        </w:rPr>
        <w:t xml:space="preserve">remote </w:t>
      </w:r>
      <w:r w:rsidR="00965F17">
        <w:rPr>
          <w:szCs w:val="22"/>
        </w:rPr>
        <w:t xml:space="preserve">housing </w:t>
      </w:r>
      <w:r w:rsidRPr="00F7284C">
        <w:rPr>
          <w:szCs w:val="22"/>
        </w:rPr>
        <w:t>counseling</w:t>
      </w:r>
      <w:r w:rsidR="00A34D1B" w:rsidRPr="00F7284C">
        <w:rPr>
          <w:szCs w:val="22"/>
        </w:rPr>
        <w:t xml:space="preserve"> (online</w:t>
      </w:r>
      <w:r w:rsidR="00A34D1B">
        <w:rPr>
          <w:szCs w:val="22"/>
        </w:rPr>
        <w:t xml:space="preserve"> education + telephone counseling)</w:t>
      </w:r>
      <w:r>
        <w:rPr>
          <w:szCs w:val="22"/>
        </w:rPr>
        <w:t xml:space="preserve">, in-person </w:t>
      </w:r>
      <w:r w:rsidR="00965F17">
        <w:rPr>
          <w:szCs w:val="22"/>
        </w:rPr>
        <w:t xml:space="preserve">housing </w:t>
      </w:r>
      <w:r>
        <w:rPr>
          <w:szCs w:val="22"/>
        </w:rPr>
        <w:t>counseling</w:t>
      </w:r>
      <w:r w:rsidR="00A34D1B">
        <w:rPr>
          <w:szCs w:val="22"/>
        </w:rPr>
        <w:t xml:space="preserve"> (classroom-based education + in-person counseling)</w:t>
      </w:r>
      <w:r>
        <w:rPr>
          <w:szCs w:val="22"/>
        </w:rPr>
        <w:t xml:space="preserve">, or a control group that </w:t>
      </w:r>
      <w:r w:rsidR="00F7284C">
        <w:rPr>
          <w:szCs w:val="22"/>
        </w:rPr>
        <w:t xml:space="preserve">does not have access to these </w:t>
      </w:r>
      <w:r w:rsidR="00965F17">
        <w:rPr>
          <w:szCs w:val="22"/>
        </w:rPr>
        <w:t xml:space="preserve">housing </w:t>
      </w:r>
      <w:r>
        <w:rPr>
          <w:szCs w:val="22"/>
        </w:rPr>
        <w:t>counseling services</w:t>
      </w:r>
      <w:r w:rsidR="00A900DC">
        <w:rPr>
          <w:szCs w:val="22"/>
        </w:rPr>
        <w:t xml:space="preserve">. </w:t>
      </w:r>
      <w:r>
        <w:rPr>
          <w:szCs w:val="22"/>
        </w:rPr>
        <w:t xml:space="preserve">Implementation of this study in the field requires that the study team coordinate with both lenders and </w:t>
      </w:r>
      <w:r w:rsidR="00965F17">
        <w:rPr>
          <w:szCs w:val="22"/>
        </w:rPr>
        <w:t xml:space="preserve">HUD-approved housing </w:t>
      </w:r>
      <w:r>
        <w:rPr>
          <w:szCs w:val="22"/>
        </w:rPr>
        <w:t>counseling agencies:</w:t>
      </w:r>
    </w:p>
    <w:p w:rsidR="00B81E0C" w:rsidRPr="006F05C2" w:rsidRDefault="00B81E0C" w:rsidP="00590FD6">
      <w:pPr>
        <w:pStyle w:val="ListParagraph"/>
        <w:numPr>
          <w:ilvl w:val="0"/>
          <w:numId w:val="10"/>
        </w:numPr>
        <w:rPr>
          <w:rFonts w:ascii="Times New Roman" w:hAnsi="Times New Roman" w:cs="Times New Roman"/>
        </w:rPr>
      </w:pPr>
      <w:r w:rsidRPr="006F05C2">
        <w:rPr>
          <w:rFonts w:ascii="Times New Roman" w:hAnsi="Times New Roman" w:cs="Times New Roman"/>
          <w:b/>
        </w:rPr>
        <w:t>Lenders</w:t>
      </w:r>
      <w:r w:rsidRPr="006F05C2">
        <w:rPr>
          <w:rFonts w:ascii="Times New Roman" w:hAnsi="Times New Roman" w:cs="Times New Roman"/>
        </w:rPr>
        <w:t xml:space="preserve">: </w:t>
      </w:r>
      <w:r w:rsidR="00A05BB9" w:rsidRPr="002419E2">
        <w:rPr>
          <w:rFonts w:ascii="Times New Roman" w:hAnsi="Times New Roman" w:cs="Times New Roman"/>
        </w:rPr>
        <w:t xml:space="preserve">The study team has partnered with three national lenders—Bank of America, Citibank, and Wells Fargo—for the implementation of this study. The participating lenders were chosen purposively, based on their volume of loan originations and willingness to partner for this study. </w:t>
      </w:r>
      <w:r w:rsidRPr="002419E2">
        <w:rPr>
          <w:rFonts w:ascii="Times New Roman" w:hAnsi="Times New Roman" w:cs="Times New Roman"/>
        </w:rPr>
        <w:t xml:space="preserve">Study participants will be recruited through </w:t>
      </w:r>
      <w:r w:rsidR="002419E2">
        <w:rPr>
          <w:rFonts w:ascii="Times New Roman" w:hAnsi="Times New Roman" w:cs="Times New Roman"/>
        </w:rPr>
        <w:t>the lenders</w:t>
      </w:r>
      <w:r w:rsidR="008B48AA">
        <w:rPr>
          <w:rFonts w:ascii="Times New Roman" w:hAnsi="Times New Roman" w:cs="Times New Roman"/>
        </w:rPr>
        <w:t>’</w:t>
      </w:r>
      <w:r w:rsidR="009949C8">
        <w:rPr>
          <w:rFonts w:ascii="Times New Roman" w:hAnsi="Times New Roman" w:cs="Times New Roman"/>
        </w:rPr>
        <w:t xml:space="preserve"> </w:t>
      </w:r>
      <w:r w:rsidR="0046720A" w:rsidRPr="002419E2">
        <w:rPr>
          <w:rFonts w:ascii="Times New Roman" w:hAnsi="Times New Roman" w:cs="Times New Roman"/>
        </w:rPr>
        <w:t xml:space="preserve">centralized, </w:t>
      </w:r>
      <w:r w:rsidR="00A27E49" w:rsidRPr="002419E2">
        <w:rPr>
          <w:rFonts w:ascii="Times New Roman" w:hAnsi="Times New Roman" w:cs="Times New Roman"/>
        </w:rPr>
        <w:t>telephone</w:t>
      </w:r>
      <w:r w:rsidR="0046720A" w:rsidRPr="002419E2">
        <w:rPr>
          <w:rFonts w:ascii="Times New Roman" w:hAnsi="Times New Roman" w:cs="Times New Roman"/>
        </w:rPr>
        <w:t>-based</w:t>
      </w:r>
      <w:r w:rsidR="00A27E49" w:rsidRPr="002419E2">
        <w:rPr>
          <w:rFonts w:ascii="Times New Roman" w:hAnsi="Times New Roman" w:cs="Times New Roman"/>
        </w:rPr>
        <w:t xml:space="preserve"> customer service team</w:t>
      </w:r>
      <w:r w:rsidR="002419E2">
        <w:rPr>
          <w:rFonts w:ascii="Times New Roman" w:hAnsi="Times New Roman" w:cs="Times New Roman"/>
        </w:rPr>
        <w:t>s</w:t>
      </w:r>
      <w:r w:rsidR="00A900DC" w:rsidRPr="002419E2">
        <w:rPr>
          <w:rFonts w:ascii="Times New Roman" w:hAnsi="Times New Roman" w:cs="Times New Roman"/>
        </w:rPr>
        <w:t xml:space="preserve">. </w:t>
      </w:r>
      <w:r w:rsidRPr="002419E2">
        <w:rPr>
          <w:rFonts w:ascii="Times New Roman" w:hAnsi="Times New Roman" w:cs="Times New Roman"/>
        </w:rPr>
        <w:t xml:space="preserve">The </w:t>
      </w:r>
      <w:r w:rsidR="00FF512D" w:rsidRPr="002419E2">
        <w:rPr>
          <w:rFonts w:ascii="Times New Roman" w:hAnsi="Times New Roman" w:cs="Times New Roman"/>
        </w:rPr>
        <w:t>telephone customer service team</w:t>
      </w:r>
      <w:r w:rsidR="0046720A" w:rsidRPr="002419E2">
        <w:rPr>
          <w:rFonts w:ascii="Times New Roman" w:hAnsi="Times New Roman" w:cs="Times New Roman"/>
        </w:rPr>
        <w:t>s</w:t>
      </w:r>
      <w:r w:rsidR="00FF512D" w:rsidRPr="002419E2">
        <w:rPr>
          <w:rFonts w:ascii="Times New Roman" w:hAnsi="Times New Roman" w:cs="Times New Roman"/>
        </w:rPr>
        <w:t xml:space="preserve"> with</w:t>
      </w:r>
      <w:r w:rsidRPr="002419E2">
        <w:rPr>
          <w:rFonts w:ascii="Times New Roman" w:hAnsi="Times New Roman" w:cs="Times New Roman"/>
        </w:rPr>
        <w:t xml:space="preserve"> each lender will int</w:t>
      </w:r>
      <w:r w:rsidR="00C67C7D">
        <w:rPr>
          <w:rFonts w:ascii="Times New Roman" w:hAnsi="Times New Roman" w:cs="Times New Roman"/>
        </w:rPr>
        <w:t>roduce the study to customers</w:t>
      </w:r>
      <w:r w:rsidRPr="002419E2">
        <w:rPr>
          <w:rFonts w:ascii="Times New Roman" w:hAnsi="Times New Roman" w:cs="Times New Roman"/>
        </w:rPr>
        <w:t>, r</w:t>
      </w:r>
      <w:r w:rsidR="00C67C7D">
        <w:rPr>
          <w:rFonts w:ascii="Times New Roman" w:hAnsi="Times New Roman" w:cs="Times New Roman"/>
        </w:rPr>
        <w:t>eferring interested customers</w:t>
      </w:r>
      <w:r w:rsidRPr="002419E2">
        <w:rPr>
          <w:rFonts w:ascii="Times New Roman" w:hAnsi="Times New Roman" w:cs="Times New Roman"/>
        </w:rPr>
        <w:t xml:space="preserve"> to the study team</w:t>
      </w:r>
      <w:r w:rsidR="00A900DC" w:rsidRPr="002419E2">
        <w:rPr>
          <w:rFonts w:ascii="Times New Roman" w:hAnsi="Times New Roman" w:cs="Times New Roman"/>
        </w:rPr>
        <w:t>.</w:t>
      </w:r>
    </w:p>
    <w:p w:rsidR="00B81E0C" w:rsidRDefault="00116B98" w:rsidP="00A900DC">
      <w:pPr>
        <w:pStyle w:val="BulletsLast"/>
      </w:pPr>
      <w:r>
        <w:rPr>
          <w:b/>
        </w:rPr>
        <w:t>HUD-A</w:t>
      </w:r>
      <w:r w:rsidR="00965F17">
        <w:rPr>
          <w:b/>
        </w:rPr>
        <w:t xml:space="preserve">pproved Housing </w:t>
      </w:r>
      <w:r w:rsidR="00B81E0C" w:rsidRPr="00D80331">
        <w:rPr>
          <w:b/>
        </w:rPr>
        <w:t>Counseling Agencies</w:t>
      </w:r>
      <w:r w:rsidR="00B81E0C">
        <w:t>: T</w:t>
      </w:r>
      <w:r w:rsidR="00C67C7D">
        <w:t>he study team will refer study participants</w:t>
      </w:r>
      <w:r w:rsidR="00B81E0C">
        <w:t xml:space="preserve"> in each treatment group to </w:t>
      </w:r>
      <w:r w:rsidR="00965F17">
        <w:t xml:space="preserve">HUD-approved housing </w:t>
      </w:r>
      <w:r w:rsidR="00B81E0C">
        <w:t xml:space="preserve">counseling agencies to receive </w:t>
      </w:r>
      <w:r w:rsidR="00965F17">
        <w:t xml:space="preserve">housing </w:t>
      </w:r>
      <w:r w:rsidR="00B81E0C">
        <w:t>counseling services</w:t>
      </w:r>
      <w:r w:rsidR="00A900DC">
        <w:t xml:space="preserve">. </w:t>
      </w:r>
      <w:r w:rsidR="00B81E0C">
        <w:t xml:space="preserve">The </w:t>
      </w:r>
      <w:r w:rsidR="00965F17">
        <w:t xml:space="preserve">housing </w:t>
      </w:r>
      <w:r w:rsidR="00B81E0C">
        <w:t xml:space="preserve">counseling agencies include one national remote </w:t>
      </w:r>
      <w:r>
        <w:t xml:space="preserve">housing </w:t>
      </w:r>
      <w:r w:rsidR="00B81E0C">
        <w:t xml:space="preserve">counseling provider and local affiliates of a national in-person </w:t>
      </w:r>
      <w:r>
        <w:t xml:space="preserve">housing </w:t>
      </w:r>
      <w:r w:rsidR="00B81E0C">
        <w:t>counseling intermediary</w:t>
      </w:r>
      <w:r w:rsidR="00A900DC">
        <w:t xml:space="preserve">. </w:t>
      </w:r>
      <w:r w:rsidR="006F05C2">
        <w:t xml:space="preserve">The study team selected </w:t>
      </w:r>
      <w:proofErr w:type="spellStart"/>
      <w:r w:rsidR="006F05C2">
        <w:t>CredAbility</w:t>
      </w:r>
      <w:proofErr w:type="spellEnd"/>
      <w:r w:rsidR="006F05C2">
        <w:t xml:space="preserve"> as the provider of remote</w:t>
      </w:r>
      <w:r>
        <w:t xml:space="preserve"> housing</w:t>
      </w:r>
      <w:r w:rsidR="006F05C2">
        <w:t xml:space="preserve"> counseling for the evaluation. For in-person </w:t>
      </w:r>
      <w:r>
        <w:t xml:space="preserve">housing </w:t>
      </w:r>
      <w:r w:rsidR="006F05C2" w:rsidRPr="00024507">
        <w:t>counseling</w:t>
      </w:r>
      <w:r w:rsidR="006F05C2">
        <w:t xml:space="preserve">, the study team is working with </w:t>
      </w:r>
      <w:proofErr w:type="spellStart"/>
      <w:r w:rsidR="006F05C2">
        <w:t>NeighborWorks</w:t>
      </w:r>
      <w:proofErr w:type="spellEnd"/>
      <w:r w:rsidR="006F05C2">
        <w:t xml:space="preserve"> America and will recruit local </w:t>
      </w:r>
      <w:proofErr w:type="spellStart"/>
      <w:r w:rsidR="00A05BB9">
        <w:t>NeighborWorks</w:t>
      </w:r>
      <w:proofErr w:type="spellEnd"/>
      <w:r w:rsidR="008B48AA">
        <w:t>’</w:t>
      </w:r>
      <w:r w:rsidR="009949C8">
        <w:t xml:space="preserve"> </w:t>
      </w:r>
      <w:r w:rsidR="006F05C2">
        <w:t xml:space="preserve">affiliate organizations to provide in-person </w:t>
      </w:r>
      <w:r>
        <w:t xml:space="preserve">housing </w:t>
      </w:r>
      <w:r w:rsidR="006F05C2">
        <w:t>counseling in each jurisdiction.</w:t>
      </w:r>
      <w:r w:rsidR="009949C8">
        <w:t xml:space="preserve"> </w:t>
      </w:r>
      <w:r w:rsidR="00FF512D">
        <w:t xml:space="preserve">However, depending on </w:t>
      </w:r>
      <w:proofErr w:type="spellStart"/>
      <w:r w:rsidR="00FF512D">
        <w:t>NeighborWorks</w:t>
      </w:r>
      <w:proofErr w:type="spellEnd"/>
      <w:r w:rsidR="00A05BB9">
        <w:t>’</w:t>
      </w:r>
      <w:r w:rsidR="00FF512D">
        <w:t xml:space="preserve"> coverage, the study team may explore other </w:t>
      </w:r>
      <w:r>
        <w:t xml:space="preserve">housing </w:t>
      </w:r>
      <w:r w:rsidR="00FF512D">
        <w:t xml:space="preserve">counseling agencies that fit the study’s needs in each </w:t>
      </w:r>
      <w:r w:rsidR="00FF512D">
        <w:lastRenderedPageBreak/>
        <w:t xml:space="preserve">jurisdiction. </w:t>
      </w:r>
      <w:r w:rsidR="00A97A34">
        <w:t xml:space="preserve">The </w:t>
      </w:r>
      <w:r>
        <w:t xml:space="preserve">housing </w:t>
      </w:r>
      <w:r w:rsidR="00A97A34">
        <w:t>counseling agencies will</w:t>
      </w:r>
      <w:r w:rsidR="002419E2">
        <w:t xml:space="preserve"> document all services provided to study participants</w:t>
      </w:r>
      <w:r w:rsidR="00A97A34">
        <w:t>.</w:t>
      </w:r>
    </w:p>
    <w:p w:rsidR="00B81E0C" w:rsidRDefault="00B81E0C" w:rsidP="00B81E0C">
      <w:pPr>
        <w:pStyle w:val="BodyText"/>
        <w:rPr>
          <w:szCs w:val="22"/>
        </w:rPr>
      </w:pPr>
      <w:r>
        <w:rPr>
          <w:szCs w:val="22"/>
        </w:rPr>
        <w:t xml:space="preserve">The study team is responsible for all other study activities—as well as for monitoring and coordinating the activities of the lenders and </w:t>
      </w:r>
      <w:r w:rsidR="00116B98">
        <w:rPr>
          <w:szCs w:val="22"/>
        </w:rPr>
        <w:t xml:space="preserve">housing </w:t>
      </w:r>
      <w:r>
        <w:rPr>
          <w:szCs w:val="22"/>
        </w:rPr>
        <w:t>counseling agencies</w:t>
      </w:r>
      <w:r w:rsidR="00A900DC">
        <w:rPr>
          <w:szCs w:val="22"/>
        </w:rPr>
        <w:t xml:space="preserve">. </w:t>
      </w:r>
    </w:p>
    <w:p w:rsidR="00B77649" w:rsidRDefault="00B81E0C" w:rsidP="00B81E0C">
      <w:pPr>
        <w:pStyle w:val="BodyText"/>
        <w:rPr>
          <w:szCs w:val="22"/>
        </w:rPr>
      </w:pPr>
      <w:r>
        <w:rPr>
          <w:szCs w:val="22"/>
        </w:rPr>
        <w:t xml:space="preserve">The recruitment and enrollment process includes </w:t>
      </w:r>
      <w:r w:rsidR="00213BF6">
        <w:rPr>
          <w:szCs w:val="22"/>
        </w:rPr>
        <w:t>several steps</w:t>
      </w:r>
      <w:r w:rsidR="00A900DC">
        <w:rPr>
          <w:szCs w:val="22"/>
        </w:rPr>
        <w:t xml:space="preserve">. </w:t>
      </w:r>
      <w:r w:rsidR="00213BF6">
        <w:rPr>
          <w:szCs w:val="22"/>
        </w:rPr>
        <w:t xml:space="preserve">Following </w:t>
      </w:r>
      <w:r w:rsidR="00213BF6" w:rsidRPr="005B6513">
        <w:rPr>
          <w:szCs w:val="22"/>
        </w:rPr>
        <w:t>lender intake and referral</w:t>
      </w:r>
      <w:r w:rsidRPr="005B6513">
        <w:rPr>
          <w:szCs w:val="22"/>
        </w:rPr>
        <w:t>, the study team will conduct the eligibility assessment, consent process, baseline survey</w:t>
      </w:r>
      <w:r>
        <w:rPr>
          <w:szCs w:val="22"/>
        </w:rPr>
        <w:t>, and random assignment</w:t>
      </w:r>
      <w:r w:rsidR="00A900DC">
        <w:rPr>
          <w:szCs w:val="22"/>
        </w:rPr>
        <w:t xml:space="preserve">. </w:t>
      </w:r>
      <w:r>
        <w:rPr>
          <w:szCs w:val="22"/>
        </w:rPr>
        <w:t xml:space="preserve">While lenders will apply screening criteria to determine whether to offer participation in the study, the eligibility assessment will confirm the </w:t>
      </w:r>
      <w:r w:rsidR="00C42276">
        <w:rPr>
          <w:szCs w:val="22"/>
        </w:rPr>
        <w:t xml:space="preserve">customer </w:t>
      </w:r>
      <w:r>
        <w:rPr>
          <w:szCs w:val="22"/>
        </w:rPr>
        <w:t>meets all study eligibility requirements</w:t>
      </w:r>
      <w:r w:rsidR="00A900DC">
        <w:rPr>
          <w:szCs w:val="22"/>
        </w:rPr>
        <w:t xml:space="preserve">. </w:t>
      </w:r>
      <w:r w:rsidR="002419E2">
        <w:rPr>
          <w:szCs w:val="22"/>
        </w:rPr>
        <w:t>The study team esti</w:t>
      </w:r>
      <w:r w:rsidR="00C67C7D">
        <w:rPr>
          <w:szCs w:val="22"/>
        </w:rPr>
        <w:t>mates that 40 percent of customers referred by</w:t>
      </w:r>
      <w:r w:rsidR="002419E2">
        <w:rPr>
          <w:szCs w:val="22"/>
        </w:rPr>
        <w:t xml:space="preserve"> participating lenders will </w:t>
      </w:r>
      <w:r w:rsidR="00C12E26">
        <w:rPr>
          <w:szCs w:val="22"/>
        </w:rPr>
        <w:t xml:space="preserve">be contacted by the study team, </w:t>
      </w:r>
      <w:r w:rsidR="002419E2">
        <w:rPr>
          <w:szCs w:val="22"/>
        </w:rPr>
        <w:t>meet all study eligibility requirement</w:t>
      </w:r>
      <w:r w:rsidR="00C12E26">
        <w:rPr>
          <w:szCs w:val="22"/>
        </w:rPr>
        <w:t>s,</w:t>
      </w:r>
      <w:r w:rsidR="002419E2">
        <w:rPr>
          <w:szCs w:val="22"/>
        </w:rPr>
        <w:t xml:space="preserve"> and agree to study participation. Therefore, we expect</w:t>
      </w:r>
      <w:r w:rsidR="009C67F5">
        <w:rPr>
          <w:szCs w:val="22"/>
        </w:rPr>
        <w:t xml:space="preserve"> to screen approximately </w:t>
      </w:r>
      <w:r w:rsidR="00FF512D">
        <w:rPr>
          <w:szCs w:val="22"/>
        </w:rPr>
        <w:t>1</w:t>
      </w:r>
      <w:r w:rsidR="005B6513">
        <w:rPr>
          <w:szCs w:val="22"/>
        </w:rPr>
        <w:t>7,5</w:t>
      </w:r>
      <w:r w:rsidR="00816F55">
        <w:rPr>
          <w:szCs w:val="22"/>
        </w:rPr>
        <w:t>00</w:t>
      </w:r>
      <w:r w:rsidR="00C67C7D">
        <w:rPr>
          <w:szCs w:val="22"/>
        </w:rPr>
        <w:t xml:space="preserve"> customer</w:t>
      </w:r>
      <w:r w:rsidR="009C67F5">
        <w:rPr>
          <w:szCs w:val="22"/>
        </w:rPr>
        <w:t>s for partici</w:t>
      </w:r>
      <w:r w:rsidR="00F7284C">
        <w:rPr>
          <w:szCs w:val="22"/>
        </w:rPr>
        <w:t>pation in this study.</w:t>
      </w:r>
    </w:p>
    <w:p w:rsidR="00B81E0C" w:rsidRDefault="00B81E0C" w:rsidP="00B81E0C">
      <w:pPr>
        <w:pStyle w:val="BodyText"/>
        <w:rPr>
          <w:szCs w:val="22"/>
        </w:rPr>
      </w:pPr>
      <w:r>
        <w:rPr>
          <w:szCs w:val="22"/>
        </w:rPr>
        <w:t>The eligibility criteria are:</w:t>
      </w:r>
    </w:p>
    <w:p w:rsidR="00B81E0C" w:rsidRDefault="00B81E0C" w:rsidP="00A900DC">
      <w:pPr>
        <w:pStyle w:val="Bullets"/>
      </w:pPr>
      <w:r>
        <w:t>C</w:t>
      </w:r>
      <w:r w:rsidR="00C67C7D">
        <w:t>ustomer</w:t>
      </w:r>
      <w:r w:rsidR="00F7284C">
        <w:t xml:space="preserve"> has made c</w:t>
      </w:r>
      <w:r>
        <w:t>ontact wi</w:t>
      </w:r>
      <w:r w:rsidR="00643D82">
        <w:t>th one of three participating lenders in one of the 2</w:t>
      </w:r>
      <w:r w:rsidR="008F233C">
        <w:t>8</w:t>
      </w:r>
      <w:r w:rsidR="00643D82">
        <w:t xml:space="preserve"> selected study jurisdictions about a purchase mortgage</w:t>
      </w:r>
      <w:r>
        <w:t>;</w:t>
      </w:r>
    </w:p>
    <w:p w:rsidR="00B81E0C" w:rsidRDefault="00C67C7D" w:rsidP="00A900DC">
      <w:pPr>
        <w:pStyle w:val="Bullets"/>
      </w:pPr>
      <w:r>
        <w:t>Customer</w:t>
      </w:r>
      <w:r w:rsidR="00F7284C">
        <w:t xml:space="preserve"> seeks</w:t>
      </w:r>
      <w:r w:rsidR="00643D82">
        <w:t xml:space="preserve"> a purchase mortgage</w:t>
      </w:r>
      <w:r w:rsidR="00B81E0C">
        <w:t xml:space="preserve"> for an owner-occupied home;</w:t>
      </w:r>
    </w:p>
    <w:p w:rsidR="00B81E0C" w:rsidRDefault="00C67C7D" w:rsidP="00A900DC">
      <w:pPr>
        <w:pStyle w:val="Bullets"/>
      </w:pPr>
      <w:r>
        <w:t>Customer</w:t>
      </w:r>
      <w:r w:rsidR="00215268">
        <w:t xml:space="preserve"> </w:t>
      </w:r>
      <w:r w:rsidR="00F7284C">
        <w:t xml:space="preserve">has </w:t>
      </w:r>
      <w:r w:rsidR="00B81E0C">
        <w:t>not owned a home in the previous three years;</w:t>
      </w:r>
    </w:p>
    <w:p w:rsidR="00B81E0C" w:rsidRDefault="00C67C7D" w:rsidP="00A900DC">
      <w:pPr>
        <w:pStyle w:val="Bullets"/>
      </w:pPr>
      <w:r>
        <w:t>Customer</w:t>
      </w:r>
      <w:r w:rsidR="00C44E40">
        <w:t xml:space="preserve"> is low</w:t>
      </w:r>
      <w:r w:rsidR="008B48AA">
        <w:t>-, moderate-, or middle-income</w:t>
      </w:r>
      <w:r w:rsidR="00C44E40">
        <w:t>: t</w:t>
      </w:r>
      <w:r w:rsidR="00B81E0C">
        <w:t xml:space="preserve">otal income of (co)borrowers </w:t>
      </w:r>
      <w:r w:rsidR="00C44E40">
        <w:t xml:space="preserve">is </w:t>
      </w:r>
      <w:r w:rsidR="00B81E0C">
        <w:t>less than 120</w:t>
      </w:r>
      <w:r w:rsidR="00C44E40">
        <w:t xml:space="preserve"> percent</w:t>
      </w:r>
      <w:r w:rsidR="008B3C50">
        <w:t xml:space="preserve"> of Area Median Income</w:t>
      </w:r>
      <w:r w:rsidR="00C44E40">
        <w:t xml:space="preserve"> (AMI)</w:t>
      </w:r>
      <w:r w:rsidR="00B81E0C">
        <w:t>;</w:t>
      </w:r>
    </w:p>
    <w:p w:rsidR="00B81E0C" w:rsidRDefault="00C67C7D" w:rsidP="00A900DC">
      <w:pPr>
        <w:pStyle w:val="Bullets"/>
      </w:pPr>
      <w:r>
        <w:t>Customer</w:t>
      </w:r>
      <w:r w:rsidR="00F7284C">
        <w:t xml:space="preserve"> has not</w:t>
      </w:r>
      <w:r w:rsidR="00B81E0C">
        <w:t xml:space="preserve"> previously completed pre-purchase housing counseling;</w:t>
      </w:r>
    </w:p>
    <w:p w:rsidR="00EC60EF" w:rsidRDefault="00C67C7D" w:rsidP="00A900DC">
      <w:pPr>
        <w:pStyle w:val="Bullets"/>
      </w:pPr>
      <w:r>
        <w:t>Customer</w:t>
      </w:r>
      <w:r w:rsidR="00F7284C">
        <w:t xml:space="preserve"> does not </w:t>
      </w:r>
      <w:r w:rsidR="00A05BB9">
        <w:t xml:space="preserve">already have </w:t>
      </w:r>
      <w:r w:rsidR="00EC60EF">
        <w:t>a</w:t>
      </w:r>
      <w:r w:rsidR="00116B98">
        <w:t xml:space="preserve"> housing</w:t>
      </w:r>
      <w:r w:rsidR="00EC60EF">
        <w:t xml:space="preserve"> counseling requirement from a down payment assistance provider or any other source;</w:t>
      </w:r>
    </w:p>
    <w:p w:rsidR="00B81E0C" w:rsidRDefault="00C67C7D" w:rsidP="00A900DC">
      <w:pPr>
        <w:pStyle w:val="Bullets"/>
      </w:pPr>
      <w:r>
        <w:t>Customer</w:t>
      </w:r>
      <w:r w:rsidR="00F7284C">
        <w:t xml:space="preserve"> has</w:t>
      </w:r>
      <w:r w:rsidR="00B81E0C">
        <w:t xml:space="preserve"> regular access to a computer and the internet;</w:t>
      </w:r>
    </w:p>
    <w:p w:rsidR="00B81E0C" w:rsidRDefault="00C67C7D" w:rsidP="00A900DC">
      <w:pPr>
        <w:pStyle w:val="Bullets"/>
      </w:pPr>
      <w:r>
        <w:t>Customer</w:t>
      </w:r>
      <w:r w:rsidR="00F7284C">
        <w:t xml:space="preserve"> has</w:t>
      </w:r>
      <w:r w:rsidR="00B81E0C">
        <w:t xml:space="preserve"> reliable access to transportation; and </w:t>
      </w:r>
    </w:p>
    <w:p w:rsidR="00B81E0C" w:rsidRDefault="00C67C7D" w:rsidP="00A900DC">
      <w:pPr>
        <w:pStyle w:val="BulletsLast"/>
      </w:pPr>
      <w:r>
        <w:t>Customer</w:t>
      </w:r>
      <w:r w:rsidR="00F7284C">
        <w:t xml:space="preserve"> has</w:t>
      </w:r>
      <w:r w:rsidR="00B81E0C">
        <w:t xml:space="preserve"> English or Spanish competency.</w:t>
      </w:r>
    </w:p>
    <w:p w:rsidR="00B81E0C" w:rsidRPr="00F7284C" w:rsidRDefault="00C67C7D" w:rsidP="00B81E0C">
      <w:pPr>
        <w:pStyle w:val="BodyText"/>
      </w:pPr>
      <w:r>
        <w:t>Customers</w:t>
      </w:r>
      <w:r w:rsidR="00B81E0C">
        <w:t xml:space="preserve"> who meet these eligibility requirements will complete the consent process and baseline survey with the study team</w:t>
      </w:r>
      <w:r w:rsidR="00A900DC">
        <w:t xml:space="preserve">. </w:t>
      </w:r>
      <w:r w:rsidR="00B81E0C">
        <w:t>Once the baseline</w:t>
      </w:r>
      <w:r>
        <w:t xml:space="preserve"> survey is completed, the study participant</w:t>
      </w:r>
      <w:r w:rsidR="00B81E0C">
        <w:t xml:space="preserve"> will be randomly assigned to receive one of the two </w:t>
      </w:r>
      <w:r w:rsidR="00116B98">
        <w:t xml:space="preserve">housing </w:t>
      </w:r>
      <w:r w:rsidR="00B81E0C">
        <w:t>counseling interventions or to the control group</w:t>
      </w:r>
      <w:r w:rsidR="00A900DC">
        <w:t xml:space="preserve">. </w:t>
      </w:r>
      <w:r w:rsidR="00B81E0C">
        <w:t>The study team will work with</w:t>
      </w:r>
      <w:r w:rsidR="00116B98">
        <w:t xml:space="preserve"> housing</w:t>
      </w:r>
      <w:r w:rsidR="00B81E0C">
        <w:t xml:space="preserve"> counseling agencies to monitor participants’ initiation and completion of the </w:t>
      </w:r>
      <w:r w:rsidR="00116B98">
        <w:t xml:space="preserve">housing </w:t>
      </w:r>
      <w:r w:rsidR="00B81E0C">
        <w:t>counseling intervention</w:t>
      </w:r>
      <w:r w:rsidR="00A900DC">
        <w:t xml:space="preserve">. </w:t>
      </w:r>
      <w:r w:rsidR="00116B98">
        <w:t>HUD-approved housing c</w:t>
      </w:r>
      <w:r w:rsidR="00213BF6">
        <w:t>ounseling agencies</w:t>
      </w:r>
      <w:r w:rsidR="002953A6">
        <w:t xml:space="preserve"> will </w:t>
      </w:r>
      <w:r w:rsidR="00EF142D">
        <w:t>provide information on</w:t>
      </w:r>
      <w:r w:rsidR="002953A6">
        <w:t xml:space="preserve"> the services provided to </w:t>
      </w:r>
      <w:r w:rsidR="00A628BA">
        <w:t>study participants</w:t>
      </w:r>
      <w:r w:rsidR="00215268">
        <w:t xml:space="preserve"> </w:t>
      </w:r>
      <w:r w:rsidR="002953A6">
        <w:t xml:space="preserve">for </w:t>
      </w:r>
      <w:r w:rsidR="009C67F5">
        <w:t>12 months following the enrollment of the final study participant</w:t>
      </w:r>
      <w:r w:rsidR="002953A6">
        <w:t xml:space="preserve">. </w:t>
      </w:r>
      <w:r w:rsidR="002953A6" w:rsidRPr="00F7284C">
        <w:t xml:space="preserve">This </w:t>
      </w:r>
      <w:r w:rsidR="00213BF6" w:rsidRPr="00F7284C">
        <w:t xml:space="preserve">service tracking data </w:t>
      </w:r>
      <w:r w:rsidR="002953A6" w:rsidRPr="00F7284C">
        <w:t xml:space="preserve">will permit the study team to monitor participants’ completion of the intervention and will provide </w:t>
      </w:r>
      <w:r w:rsidR="00213BF6" w:rsidRPr="00F7284C">
        <w:t>a key source of information for the analyses</w:t>
      </w:r>
      <w:r w:rsidR="002953A6" w:rsidRPr="00F7284C">
        <w:t xml:space="preserve"> of </w:t>
      </w:r>
      <w:r w:rsidR="00116B98">
        <w:t xml:space="preserve">housing </w:t>
      </w:r>
      <w:r w:rsidR="002953A6" w:rsidRPr="00F7284C">
        <w:t>counseling impact</w:t>
      </w:r>
      <w:r w:rsidR="00116B98">
        <w:t>s</w:t>
      </w:r>
      <w:r w:rsidR="00213BF6" w:rsidRPr="00F7284C">
        <w:t>.</w:t>
      </w:r>
    </w:p>
    <w:p w:rsidR="00C12E26" w:rsidRDefault="00C12E26" w:rsidP="00C12E26">
      <w:pPr>
        <w:pStyle w:val="BodyText"/>
      </w:pPr>
      <w:r>
        <w:t xml:space="preserve">The study team seeks to recruit up to 7,000 study participants.  The study team’s estimated conversion rates for each step of the recruitment process imply that this sample size requires lender outreach to approximately </w:t>
      </w:r>
      <w:r w:rsidR="00AE754A">
        <w:t>87,500</w:t>
      </w:r>
      <w:r>
        <w:t xml:space="preserve"> customers. The waterfall below shows the study’s estimated conversion rates for each step of the recruitment process, which are based on the projected conversion </w:t>
      </w:r>
      <w:r>
        <w:lastRenderedPageBreak/>
        <w:t>rates developed by the survey managers responsible for each step. These figures are estimates, and the study team will stop recruitment if 7,000 study participants complete enrollment before the end of the enrollment period. The estimated recruitment volumes and recruitment rates include:</w:t>
      </w:r>
    </w:p>
    <w:p w:rsidR="00C12E26" w:rsidRDefault="00C12E26" w:rsidP="00C12E26">
      <w:pPr>
        <w:pStyle w:val="BodyText"/>
        <w:numPr>
          <w:ilvl w:val="0"/>
          <w:numId w:val="17"/>
        </w:numPr>
      </w:pPr>
      <w:r>
        <w:t xml:space="preserve">Lender Outreach: Lenders’ identify approximately </w:t>
      </w:r>
      <w:r w:rsidR="00AE754A">
        <w:t>87,500</w:t>
      </w:r>
      <w:r>
        <w:t xml:space="preserve"> customers as potential study participants and initiate contact.</w:t>
      </w:r>
    </w:p>
    <w:p w:rsidR="00C12E26" w:rsidRDefault="00C12E26" w:rsidP="00C12E26">
      <w:pPr>
        <w:pStyle w:val="BodyText"/>
        <w:numPr>
          <w:ilvl w:val="0"/>
          <w:numId w:val="17"/>
        </w:numPr>
      </w:pPr>
      <w:r>
        <w:t>Lender Referrals to the Study Team: Lenders successfully contact and obtain consent to share contact informat</w:t>
      </w:r>
      <w:r w:rsidR="00AE754A">
        <w:t>ion for 17,500 customers (~20</w:t>
      </w:r>
      <w:r>
        <w:t>% conversion rate).</w:t>
      </w:r>
    </w:p>
    <w:p w:rsidR="00C12E26" w:rsidRDefault="00C12E26" w:rsidP="00C12E26">
      <w:pPr>
        <w:pStyle w:val="BodyText"/>
        <w:numPr>
          <w:ilvl w:val="0"/>
          <w:numId w:val="17"/>
        </w:numPr>
      </w:pPr>
      <w:r>
        <w:t>Enrolled Study Participants: The study team successfully contacts the referred customer and completes the eligibility assessment, consent process, and baseline survey with 7,000 study participants (~40% conversion rate).</w:t>
      </w:r>
    </w:p>
    <w:p w:rsidR="0084514A" w:rsidRPr="003042FA" w:rsidRDefault="0084514A" w:rsidP="0084514A">
      <w:pPr>
        <w:pStyle w:val="BodyText"/>
      </w:pPr>
      <w:r>
        <w:t>The study seeks OMB clearance for data collection for 7,000 study participants. The study has the resources and funding available to cover this number of study participants. However, given the number of first-time</w:t>
      </w:r>
      <w:r w:rsidR="00E16341">
        <w:t xml:space="preserve"> homebuyer applications that participating</w:t>
      </w:r>
      <w:r>
        <w:t xml:space="preserve"> lenders have seen over the past 18 months, the study is more likely to recruit 6,000 study participants. </w:t>
      </w:r>
      <w:r w:rsidR="00E16341">
        <w:t xml:space="preserve">Therefore, the submitted study materials that are attached to this OMB package note the study having 6,000 study participants. </w:t>
      </w:r>
      <w:r w:rsidR="00E16341" w:rsidRPr="003042FA">
        <w:t xml:space="preserve">The study’s statistical power under each sample size is described in Part B. </w:t>
      </w:r>
    </w:p>
    <w:p w:rsidR="00A22F13" w:rsidRDefault="004E2C44" w:rsidP="00C12E26">
      <w:pPr>
        <w:pStyle w:val="BodyText"/>
      </w:pPr>
      <w:r w:rsidRPr="00F7284C">
        <w:t>The</w:t>
      </w:r>
      <w:r w:rsidR="00213BF6" w:rsidRPr="00F7284C">
        <w:t xml:space="preserve"> study team will </w:t>
      </w:r>
      <w:r w:rsidRPr="00F7284C">
        <w:t xml:space="preserve">also </w:t>
      </w:r>
      <w:r w:rsidR="00A11427" w:rsidRPr="00F7284C">
        <w:t>conduct an implementation study</w:t>
      </w:r>
      <w:r w:rsidR="00213BF6" w:rsidRPr="00F7284C">
        <w:t xml:space="preserve"> to document the enrollment and implementation experience of the evaluation</w:t>
      </w:r>
      <w:r w:rsidR="00A900DC" w:rsidRPr="00F7284C">
        <w:t xml:space="preserve">. </w:t>
      </w:r>
      <w:r w:rsidR="00A11427" w:rsidRPr="00F7284C">
        <w:t>The implementation</w:t>
      </w:r>
      <w:r w:rsidR="00213BF6" w:rsidRPr="00F7284C">
        <w:t xml:space="preserve"> study </w:t>
      </w:r>
      <w:r w:rsidR="00A22F13" w:rsidRPr="00F7284C">
        <w:t xml:space="preserve">will </w:t>
      </w:r>
      <w:r w:rsidRPr="00F7284C">
        <w:t xml:space="preserve">draw upon </w:t>
      </w:r>
      <w:r w:rsidR="00A22F13" w:rsidRPr="00F7284C">
        <w:t>data collected from site visit interviews and observations that will t</w:t>
      </w:r>
      <w:r w:rsidR="00643D82" w:rsidRPr="00F7284C">
        <w:t>ake place during the first 16</w:t>
      </w:r>
      <w:r w:rsidR="00A22F13" w:rsidRPr="00F7284C">
        <w:t xml:space="preserve"> weeks of study participant enrollment</w:t>
      </w:r>
      <w:r w:rsidR="00EB7E84" w:rsidRPr="00F7284C">
        <w:t xml:space="preserve">. </w:t>
      </w:r>
      <w:r w:rsidR="00A11427" w:rsidRPr="00F7284C">
        <w:t>The implementation</w:t>
      </w:r>
      <w:r w:rsidR="008B3C50" w:rsidRPr="00F7284C">
        <w:t xml:space="preserve"> study </w:t>
      </w:r>
      <w:r w:rsidR="00A22F13" w:rsidRPr="00F7284C">
        <w:t xml:space="preserve">will also </w:t>
      </w:r>
      <w:r w:rsidRPr="00F7284C">
        <w:t xml:space="preserve">make use of </w:t>
      </w:r>
      <w:r w:rsidR="00A22F13" w:rsidRPr="00F7284C">
        <w:t xml:space="preserve">information from the study team’s monitoring activities that will occur throughout </w:t>
      </w:r>
      <w:r w:rsidR="00643D82" w:rsidRPr="00F7284C">
        <w:t xml:space="preserve">the </w:t>
      </w:r>
      <w:r w:rsidR="00A22F13" w:rsidRPr="008F233C">
        <w:t>enrollment</w:t>
      </w:r>
      <w:r w:rsidR="008B3C50" w:rsidRPr="008F233C">
        <w:t xml:space="preserve"> period</w:t>
      </w:r>
      <w:r w:rsidR="00EB7E84" w:rsidRPr="00F7284C">
        <w:t xml:space="preserve">. </w:t>
      </w:r>
      <w:r w:rsidR="00BD50A8">
        <w:t xml:space="preserve">The enrollment period will last up to 24 months. </w:t>
      </w:r>
      <w:r w:rsidR="00A11427" w:rsidRPr="00F7284C">
        <w:t>Additionally, the implementation</w:t>
      </w:r>
      <w:r w:rsidR="00A22F13" w:rsidRPr="00F7284C">
        <w:t xml:space="preserve"> study will include </w:t>
      </w:r>
      <w:r w:rsidR="00A11427" w:rsidRPr="00F7284C">
        <w:t>telephone</w:t>
      </w:r>
      <w:r w:rsidR="00213BF6" w:rsidRPr="00F7284C">
        <w:t xml:space="preserve"> interviews with </w:t>
      </w:r>
      <w:r w:rsidR="00A11427" w:rsidRPr="00F7284C">
        <w:t xml:space="preserve">a small subset of </w:t>
      </w:r>
      <w:r w:rsidR="00213BF6" w:rsidRPr="00F7284C">
        <w:t>study participants</w:t>
      </w:r>
      <w:r w:rsidR="00213BF6">
        <w:t xml:space="preserve"> that will collect information on their experience with the enrollment process and reasons for completing (or not completing) </w:t>
      </w:r>
      <w:r w:rsidR="00116B98">
        <w:t xml:space="preserve">housing </w:t>
      </w:r>
      <w:r w:rsidR="00213BF6">
        <w:t>counseling</w:t>
      </w:r>
      <w:r w:rsidR="00A900DC">
        <w:t xml:space="preserve">. </w:t>
      </w:r>
      <w:r w:rsidR="00643D82">
        <w:t xml:space="preserve">The study team will only select </w:t>
      </w:r>
      <w:r w:rsidR="00A05BB9">
        <w:t xml:space="preserve">for the interviews </w:t>
      </w:r>
      <w:r w:rsidR="00643D82">
        <w:t xml:space="preserve">study participants who have either completed the </w:t>
      </w:r>
      <w:r w:rsidR="00116B98">
        <w:t xml:space="preserve">housing </w:t>
      </w:r>
      <w:r w:rsidR="00643D82">
        <w:t xml:space="preserve">counseling intervention or have not initiated contact with their assigned </w:t>
      </w:r>
      <w:r w:rsidR="00116B98">
        <w:t xml:space="preserve">housing </w:t>
      </w:r>
      <w:r w:rsidR="00643D82">
        <w:t>counseling agency. No study participants will be selected for the interview that are in the midst of completing</w:t>
      </w:r>
      <w:r w:rsidR="00116B98">
        <w:t xml:space="preserve"> housing</w:t>
      </w:r>
      <w:r w:rsidR="00643D82">
        <w:t xml:space="preserve"> counseling.</w:t>
      </w:r>
    </w:p>
    <w:p w:rsidR="00B81E0C" w:rsidRDefault="00B81E0C" w:rsidP="00B81E0C">
      <w:pPr>
        <w:pStyle w:val="BodyText"/>
      </w:pPr>
      <w:r>
        <w:t xml:space="preserve">The study will also include </w:t>
      </w:r>
      <w:r w:rsidR="008B3C50">
        <w:t xml:space="preserve">large-scale </w:t>
      </w:r>
      <w:r>
        <w:t xml:space="preserve">follow-up </w:t>
      </w:r>
      <w:r w:rsidR="008B3C50">
        <w:t xml:space="preserve">surveys with </w:t>
      </w:r>
      <w:r>
        <w:t xml:space="preserve">study participants to document outcomes after enrollment and completion of </w:t>
      </w:r>
      <w:r w:rsidR="00116B98">
        <w:t xml:space="preserve">housing </w:t>
      </w:r>
      <w:r>
        <w:t>counseling</w:t>
      </w:r>
      <w:r w:rsidR="00A900DC">
        <w:t xml:space="preserve">. </w:t>
      </w:r>
      <w:r>
        <w:t>These follow-up surveys will be covered by a later OMB submission</w:t>
      </w:r>
      <w:r w:rsidR="00A900DC">
        <w:t xml:space="preserve">. </w:t>
      </w:r>
    </w:p>
    <w:p w:rsidR="00715A14" w:rsidRDefault="00B81E0C" w:rsidP="00715A14">
      <w:pPr>
        <w:pStyle w:val="BodyText"/>
      </w:pPr>
      <w:r>
        <w:t>Data collection activities for which approval is requested in this submission consist of data to be collected from study participants, lenders</w:t>
      </w:r>
      <w:r w:rsidR="008B3C50">
        <w:t>,</w:t>
      </w:r>
      <w:r>
        <w:t xml:space="preserve"> and </w:t>
      </w:r>
      <w:r w:rsidR="00116B98">
        <w:t xml:space="preserve">housing </w:t>
      </w:r>
      <w:r>
        <w:t>counseling agencies during the enrollment and implementation phases of the study. The data to be collected from each party are</w:t>
      </w:r>
      <w:r w:rsidR="001F3F5F">
        <w:t xml:space="preserve"> summarized in Exhibit </w:t>
      </w:r>
      <w:r w:rsidR="00E55A90">
        <w:t>A-1</w:t>
      </w:r>
      <w:r w:rsidR="001F3F5F">
        <w:t>and</w:t>
      </w:r>
      <w:r>
        <w:t xml:space="preserve"> described below.</w:t>
      </w:r>
    </w:p>
    <w:p w:rsidR="002B0558" w:rsidRDefault="002B0558" w:rsidP="00715A14">
      <w:pPr>
        <w:pStyle w:val="BodyText"/>
      </w:pPr>
    </w:p>
    <w:p w:rsidR="002B0558" w:rsidRDefault="002B0558" w:rsidP="00715A14">
      <w:pPr>
        <w:pStyle w:val="BodyText"/>
      </w:pPr>
    </w:p>
    <w:p w:rsidR="002B0558" w:rsidRDefault="002B0558" w:rsidP="00715A14">
      <w:pPr>
        <w:pStyle w:val="BodyText"/>
      </w:pPr>
    </w:p>
    <w:p w:rsidR="00C67C7D" w:rsidRPr="00A628BA" w:rsidRDefault="00C67C7D" w:rsidP="00A628BA">
      <w:pPr>
        <w:pStyle w:val="ExhibitText"/>
        <w:rPr>
          <w:b/>
        </w:rPr>
      </w:pPr>
      <w:proofErr w:type="gramStart"/>
      <w:r w:rsidRPr="00A628BA">
        <w:rPr>
          <w:b/>
        </w:rPr>
        <w:t xml:space="preserve">Exhibit </w:t>
      </w:r>
      <w:r w:rsidR="00F77DE8" w:rsidRPr="00A628BA">
        <w:rPr>
          <w:b/>
        </w:rPr>
        <w:t>A</w:t>
      </w:r>
      <w:r w:rsidR="00E55A90">
        <w:rPr>
          <w:b/>
        </w:rPr>
        <w:t>-</w:t>
      </w:r>
      <w:r w:rsidR="00F77DE8" w:rsidRPr="00A628BA">
        <w:rPr>
          <w:b/>
        </w:rPr>
        <w:t>1</w:t>
      </w:r>
      <w:r w:rsidR="00E55A90">
        <w:rPr>
          <w:b/>
        </w:rPr>
        <w:t>.</w:t>
      </w:r>
      <w:proofErr w:type="gramEnd"/>
      <w:r w:rsidR="00535EE2" w:rsidRPr="00A628BA">
        <w:rPr>
          <w:b/>
        </w:rPr>
        <w:t xml:space="preserve"> Data Collected</w:t>
      </w:r>
      <w:r w:rsidR="00F77DE8" w:rsidRPr="00A628BA">
        <w:rPr>
          <w:b/>
        </w:rPr>
        <w:t xml:space="preserve"> from Lenders, Study Participants, and Counseling Agencies</w:t>
      </w:r>
    </w:p>
    <w:tbl>
      <w:tblPr>
        <w:tblStyle w:val="TableGrid"/>
        <w:tblW w:w="0" w:type="auto"/>
        <w:tblLook w:val="04A0" w:firstRow="1" w:lastRow="0" w:firstColumn="1" w:lastColumn="0" w:noHBand="0" w:noVBand="1"/>
      </w:tblPr>
      <w:tblGrid>
        <w:gridCol w:w="4608"/>
        <w:gridCol w:w="4608"/>
      </w:tblGrid>
      <w:tr w:rsidR="001F3F5F" w:rsidTr="00590FD6">
        <w:tc>
          <w:tcPr>
            <w:tcW w:w="4608" w:type="dxa"/>
            <w:shd w:val="clear" w:color="auto" w:fill="C3C6A8" w:themeFill="accent4"/>
          </w:tcPr>
          <w:p w:rsidR="001F3F5F" w:rsidRPr="007763F1" w:rsidRDefault="001F3F5F" w:rsidP="00590FD6">
            <w:pPr>
              <w:pStyle w:val="ExhibitColumnHeader"/>
            </w:pPr>
            <w:r w:rsidRPr="007763F1">
              <w:lastRenderedPageBreak/>
              <w:t>Respondent Type</w:t>
            </w:r>
          </w:p>
        </w:tc>
        <w:tc>
          <w:tcPr>
            <w:tcW w:w="4608" w:type="dxa"/>
            <w:shd w:val="clear" w:color="auto" w:fill="C3C6A8" w:themeFill="accent4"/>
          </w:tcPr>
          <w:p w:rsidR="001F3F5F" w:rsidRPr="007763F1" w:rsidRDefault="001F3F5F" w:rsidP="00590FD6">
            <w:pPr>
              <w:pStyle w:val="ExhibitColumnHeader"/>
            </w:pPr>
            <w:r w:rsidRPr="007763F1">
              <w:t>Data to be Collected</w:t>
            </w:r>
          </w:p>
        </w:tc>
      </w:tr>
      <w:tr w:rsidR="001F3F5F" w:rsidTr="001F3F5F">
        <w:tc>
          <w:tcPr>
            <w:tcW w:w="4608" w:type="dxa"/>
          </w:tcPr>
          <w:p w:rsidR="001F3F5F" w:rsidRDefault="001F3F5F" w:rsidP="00590FD6">
            <w:pPr>
              <w:pStyle w:val="ExhibitText"/>
            </w:pPr>
            <w:r>
              <w:t>Lenders</w:t>
            </w:r>
          </w:p>
        </w:tc>
        <w:tc>
          <w:tcPr>
            <w:tcW w:w="4608" w:type="dxa"/>
          </w:tcPr>
          <w:p w:rsidR="001F3F5F" w:rsidRDefault="00382116" w:rsidP="00590FD6">
            <w:pPr>
              <w:pStyle w:val="ExhibitText"/>
              <w:numPr>
                <w:ilvl w:val="0"/>
                <w:numId w:val="13"/>
              </w:numPr>
              <w:ind w:left="360"/>
            </w:pPr>
            <w:r>
              <w:t>Lender intake data</w:t>
            </w:r>
          </w:p>
          <w:p w:rsidR="007763F1" w:rsidRDefault="00535EE2" w:rsidP="00590FD6">
            <w:pPr>
              <w:pStyle w:val="ExhibitText"/>
              <w:numPr>
                <w:ilvl w:val="0"/>
                <w:numId w:val="13"/>
              </w:numPr>
              <w:ind w:left="360"/>
            </w:pPr>
            <w:r>
              <w:t>Lender i</w:t>
            </w:r>
            <w:r w:rsidR="007763F1">
              <w:t>nterviews and observations</w:t>
            </w:r>
          </w:p>
          <w:p w:rsidR="0098389F" w:rsidRDefault="0098389F" w:rsidP="00590FD6">
            <w:pPr>
              <w:pStyle w:val="ExhibitText"/>
              <w:numPr>
                <w:ilvl w:val="0"/>
                <w:numId w:val="13"/>
              </w:numPr>
              <w:ind w:left="360"/>
            </w:pPr>
            <w:r>
              <w:t>Loan origination and performance data</w:t>
            </w:r>
          </w:p>
        </w:tc>
      </w:tr>
      <w:tr w:rsidR="001F3F5F" w:rsidTr="001F3F5F">
        <w:tc>
          <w:tcPr>
            <w:tcW w:w="4608" w:type="dxa"/>
          </w:tcPr>
          <w:p w:rsidR="001F3F5F" w:rsidRDefault="001F3F5F" w:rsidP="00590FD6">
            <w:pPr>
              <w:pStyle w:val="ExhibitText"/>
            </w:pPr>
            <w:r>
              <w:t>Participants</w:t>
            </w:r>
          </w:p>
        </w:tc>
        <w:tc>
          <w:tcPr>
            <w:tcW w:w="4608" w:type="dxa"/>
          </w:tcPr>
          <w:p w:rsidR="001F3F5F" w:rsidRDefault="001F3F5F" w:rsidP="00590FD6">
            <w:pPr>
              <w:pStyle w:val="ExhibitText"/>
              <w:numPr>
                <w:ilvl w:val="0"/>
                <w:numId w:val="13"/>
              </w:numPr>
              <w:ind w:left="360"/>
            </w:pPr>
            <w:r>
              <w:t>Eligibility assessment</w:t>
            </w:r>
          </w:p>
          <w:p w:rsidR="001F3F5F" w:rsidRDefault="001F3F5F" w:rsidP="00590FD6">
            <w:pPr>
              <w:pStyle w:val="ExhibitText"/>
              <w:numPr>
                <w:ilvl w:val="0"/>
                <w:numId w:val="13"/>
              </w:numPr>
              <w:ind w:left="360"/>
            </w:pPr>
            <w:r>
              <w:t>Consent agreement</w:t>
            </w:r>
          </w:p>
          <w:p w:rsidR="001F3F5F" w:rsidRDefault="001F3F5F" w:rsidP="00590FD6">
            <w:pPr>
              <w:pStyle w:val="ExhibitText"/>
              <w:numPr>
                <w:ilvl w:val="0"/>
                <w:numId w:val="13"/>
              </w:numPr>
              <w:ind w:left="360"/>
            </w:pPr>
            <w:r>
              <w:t>Baseline survey</w:t>
            </w:r>
          </w:p>
          <w:p w:rsidR="001F3F5F" w:rsidRDefault="007763F1" w:rsidP="00590FD6">
            <w:pPr>
              <w:pStyle w:val="ExhibitText"/>
              <w:numPr>
                <w:ilvl w:val="0"/>
                <w:numId w:val="13"/>
              </w:numPr>
              <w:ind w:left="360"/>
            </w:pPr>
            <w:r>
              <w:t>Co-borrower informed consent agreement</w:t>
            </w:r>
          </w:p>
          <w:p w:rsidR="0098389F" w:rsidRDefault="00206714" w:rsidP="00590FD6">
            <w:pPr>
              <w:pStyle w:val="ExhibitText"/>
              <w:numPr>
                <w:ilvl w:val="0"/>
                <w:numId w:val="13"/>
              </w:numPr>
              <w:ind w:left="360"/>
            </w:pPr>
            <w:r>
              <w:t>Implementation study telephone i</w:t>
            </w:r>
            <w:r w:rsidR="0098389F">
              <w:t>nterview</w:t>
            </w:r>
          </w:p>
          <w:p w:rsidR="00535EE2" w:rsidRDefault="00535EE2" w:rsidP="00590FD6">
            <w:pPr>
              <w:pStyle w:val="ExhibitText"/>
              <w:numPr>
                <w:ilvl w:val="0"/>
                <w:numId w:val="13"/>
              </w:numPr>
              <w:ind w:left="360"/>
            </w:pPr>
            <w:r>
              <w:t>Study participant tracking</w:t>
            </w:r>
          </w:p>
        </w:tc>
      </w:tr>
      <w:tr w:rsidR="001F3F5F" w:rsidTr="001F3F5F">
        <w:tc>
          <w:tcPr>
            <w:tcW w:w="4608" w:type="dxa"/>
          </w:tcPr>
          <w:p w:rsidR="001F3F5F" w:rsidRDefault="00116B98" w:rsidP="00590FD6">
            <w:pPr>
              <w:pStyle w:val="ExhibitText"/>
            </w:pPr>
            <w:r>
              <w:t xml:space="preserve">Housing </w:t>
            </w:r>
            <w:r w:rsidR="001F3F5F">
              <w:t>Counseling Agencies</w:t>
            </w:r>
          </w:p>
        </w:tc>
        <w:tc>
          <w:tcPr>
            <w:tcW w:w="4608" w:type="dxa"/>
          </w:tcPr>
          <w:p w:rsidR="001F3F5F" w:rsidRDefault="001F3F5F" w:rsidP="00590FD6">
            <w:pPr>
              <w:pStyle w:val="ExhibitText"/>
              <w:numPr>
                <w:ilvl w:val="0"/>
                <w:numId w:val="13"/>
              </w:numPr>
              <w:ind w:left="360"/>
            </w:pPr>
            <w:r>
              <w:t>Service tracking data</w:t>
            </w:r>
          </w:p>
          <w:p w:rsidR="001F3F5F" w:rsidRDefault="00116B98" w:rsidP="00590FD6">
            <w:pPr>
              <w:pStyle w:val="ExhibitText"/>
              <w:numPr>
                <w:ilvl w:val="0"/>
                <w:numId w:val="13"/>
              </w:numPr>
              <w:ind w:left="360"/>
            </w:pPr>
            <w:r>
              <w:t>Housing c</w:t>
            </w:r>
            <w:r w:rsidR="00206714">
              <w:t>ounseling agency i</w:t>
            </w:r>
            <w:r w:rsidR="007763F1">
              <w:t>nterviews</w:t>
            </w:r>
          </w:p>
        </w:tc>
      </w:tr>
    </w:tbl>
    <w:p w:rsidR="001F3F5F" w:rsidRDefault="001F3F5F" w:rsidP="00715A14">
      <w:pPr>
        <w:pStyle w:val="BodyText"/>
      </w:pPr>
    </w:p>
    <w:p w:rsidR="009C67F5" w:rsidRPr="009C67F5" w:rsidRDefault="009C67F5" w:rsidP="008B3C50">
      <w:pPr>
        <w:pStyle w:val="BodyText"/>
      </w:pPr>
      <w:r>
        <w:rPr>
          <w:b/>
        </w:rPr>
        <w:t>Lender</w:t>
      </w:r>
      <w:r w:rsidR="00382116">
        <w:rPr>
          <w:b/>
        </w:rPr>
        <w:t xml:space="preserve"> Intake Data</w:t>
      </w:r>
      <w:r>
        <w:t>: The evaluation will rely on lenders providing data</w:t>
      </w:r>
      <w:r w:rsidR="00BD50A8">
        <w:t xml:space="preserve"> </w:t>
      </w:r>
      <w:r w:rsidR="007763F1">
        <w:t>(names and contact information)</w:t>
      </w:r>
      <w:r w:rsidR="00535EE2">
        <w:t xml:space="preserve"> on customers</w:t>
      </w:r>
      <w:r>
        <w:t xml:space="preserve"> who meet the eligibility criteria for participation in this study.</w:t>
      </w:r>
      <w:r w:rsidR="00535EE2">
        <w:t xml:space="preserve"> Lenders will screen for customers</w:t>
      </w:r>
      <w:r>
        <w:t xml:space="preserve"> who are </w:t>
      </w:r>
      <w:r w:rsidR="003042FA">
        <w:t>LMMI</w:t>
      </w:r>
      <w:r w:rsidR="00DC3E11">
        <w:t>,</w:t>
      </w:r>
      <w:r>
        <w:t xml:space="preserve"> first-time homebuyers who are in the early stages of the borrowing process. Lenders will provide the study team this information on potential study participants either by data extracts or by entering information into the study’s data system. </w:t>
      </w:r>
    </w:p>
    <w:p w:rsidR="008B3C50" w:rsidRDefault="00A05DF9" w:rsidP="008B3C50">
      <w:pPr>
        <w:pStyle w:val="BodyText"/>
      </w:pPr>
      <w:r>
        <w:rPr>
          <w:b/>
        </w:rPr>
        <w:t>Study Par</w:t>
      </w:r>
      <w:r w:rsidR="00903E4B">
        <w:rPr>
          <w:b/>
        </w:rPr>
        <w:t>ticipant Eligibility Assessment</w:t>
      </w:r>
      <w:r w:rsidR="00D316F4">
        <w:rPr>
          <w:b/>
        </w:rPr>
        <w:t xml:space="preserve"> and Consent Agreement</w:t>
      </w:r>
      <w:r w:rsidR="006674D4">
        <w:t xml:space="preserve">: </w:t>
      </w:r>
      <w:r w:rsidR="00E84954">
        <w:t xml:space="preserve">Prior to </w:t>
      </w:r>
      <w:r w:rsidR="00FC45AF">
        <w:t xml:space="preserve">administering the </w:t>
      </w:r>
      <w:r w:rsidR="00EF142D">
        <w:t xml:space="preserve">study’s </w:t>
      </w:r>
      <w:r w:rsidR="00FC45AF">
        <w:t xml:space="preserve">participation </w:t>
      </w:r>
      <w:r w:rsidR="00903E4B">
        <w:t xml:space="preserve">consent </w:t>
      </w:r>
      <w:r w:rsidR="00FC45AF">
        <w:t xml:space="preserve">agreement to eligible </w:t>
      </w:r>
      <w:r w:rsidR="00535EE2">
        <w:t>customers</w:t>
      </w:r>
      <w:r w:rsidR="00FC45AF">
        <w:t xml:space="preserve"> who are interested in participating in the study</w:t>
      </w:r>
      <w:r w:rsidR="00E84954">
        <w:t xml:space="preserve">, the study team </w:t>
      </w:r>
      <w:r w:rsidR="00A628BA">
        <w:t>(</w:t>
      </w:r>
      <w:proofErr w:type="spellStart"/>
      <w:r w:rsidR="00A628BA">
        <w:t>Abt</w:t>
      </w:r>
      <w:proofErr w:type="spellEnd"/>
      <w:r w:rsidR="00A628BA">
        <w:t xml:space="preserve"> Associates’</w:t>
      </w:r>
      <w:r w:rsidR="00535EE2">
        <w:t xml:space="preserve"> survey subsidiary group) </w:t>
      </w:r>
      <w:r w:rsidR="00E84954">
        <w:t>will administer an eligibility asse</w:t>
      </w:r>
      <w:r w:rsidR="00535EE2">
        <w:t>ssment to verify that the customer</w:t>
      </w:r>
      <w:r w:rsidR="00E84954">
        <w:t xml:space="preserve"> meets the definition</w:t>
      </w:r>
      <w:r w:rsidR="00D24243">
        <w:t>s</w:t>
      </w:r>
      <w:r w:rsidR="00E84954">
        <w:t xml:space="preserve"> of </w:t>
      </w:r>
      <w:r w:rsidR="00EE6B5C">
        <w:t xml:space="preserve">LMMI </w:t>
      </w:r>
      <w:r w:rsidR="00E84954">
        <w:t xml:space="preserve">and first-time homebuyer. </w:t>
      </w:r>
      <w:r w:rsidR="008B3C50">
        <w:t>The eligibility assessment will also be used</w:t>
      </w:r>
      <w:r w:rsidR="00535EE2">
        <w:t xml:space="preserve"> to determine whether the customer</w:t>
      </w:r>
      <w:r w:rsidR="008B3C50">
        <w:t xml:space="preserve"> meets the study’s eligibility criteria in </w:t>
      </w:r>
      <w:r w:rsidR="00BF7FEA">
        <w:t>four</w:t>
      </w:r>
      <w:r w:rsidR="008B3C50">
        <w:t xml:space="preserve"> other areas</w:t>
      </w:r>
      <w:r w:rsidR="00EF142D">
        <w:t>:</w:t>
      </w:r>
    </w:p>
    <w:p w:rsidR="008B3C50" w:rsidRDefault="008B3C50" w:rsidP="009C67F5">
      <w:pPr>
        <w:pStyle w:val="Bullets"/>
      </w:pPr>
      <w:r w:rsidRPr="009C67F5">
        <w:rPr>
          <w:i/>
        </w:rPr>
        <w:t xml:space="preserve">Prior </w:t>
      </w:r>
      <w:r w:rsidR="00116B98">
        <w:rPr>
          <w:i/>
        </w:rPr>
        <w:t xml:space="preserve">housing </w:t>
      </w:r>
      <w:r w:rsidRPr="009C67F5">
        <w:rPr>
          <w:i/>
        </w:rPr>
        <w:t>counseling</w:t>
      </w:r>
      <w:r w:rsidR="00EF142D" w:rsidRPr="009C67F5">
        <w:rPr>
          <w:i/>
        </w:rPr>
        <w:t>.</w:t>
      </w:r>
      <w:r w:rsidR="009949C8">
        <w:rPr>
          <w:i/>
        </w:rPr>
        <w:t xml:space="preserve"> </w:t>
      </w:r>
      <w:r w:rsidR="00E84954">
        <w:t xml:space="preserve">Because enrolled participants may be randomly assigned to the control group, we will exclude any recruited </w:t>
      </w:r>
      <w:r w:rsidR="00B65F28">
        <w:t>c</w:t>
      </w:r>
      <w:r w:rsidR="005F1BAC">
        <w:t>ustomer</w:t>
      </w:r>
      <w:r w:rsidR="00E84954">
        <w:t xml:space="preserve">s </w:t>
      </w:r>
      <w:r w:rsidR="00EC60EF">
        <w:t>who</w:t>
      </w:r>
      <w:r w:rsidR="00E84954">
        <w:t xml:space="preserve"> have completed activities associated with a pre-purchase education or counseling program</w:t>
      </w:r>
      <w:r w:rsidR="00EC60EF">
        <w:t xml:space="preserve"> or who face a </w:t>
      </w:r>
      <w:r w:rsidR="00116B98">
        <w:t xml:space="preserve">housing </w:t>
      </w:r>
      <w:r w:rsidR="00EC60EF">
        <w:t>counseling requirement</w:t>
      </w:r>
      <w:r w:rsidR="00A900DC">
        <w:t xml:space="preserve">. </w:t>
      </w:r>
    </w:p>
    <w:p w:rsidR="008B3C50" w:rsidRDefault="008B3C50" w:rsidP="009C67F5">
      <w:pPr>
        <w:pStyle w:val="Bullets"/>
      </w:pPr>
      <w:r w:rsidRPr="009C67F5">
        <w:rPr>
          <w:i/>
        </w:rPr>
        <w:t>Internet and transportation access</w:t>
      </w:r>
      <w:r w:rsidR="00EF142D" w:rsidRPr="009C67F5">
        <w:rPr>
          <w:i/>
        </w:rPr>
        <w:t>.</w:t>
      </w:r>
      <w:r w:rsidR="009949C8">
        <w:rPr>
          <w:i/>
        </w:rPr>
        <w:t xml:space="preserve"> </w:t>
      </w:r>
      <w:r w:rsidR="007A678D">
        <w:t>Because participants may be randomly assigned to receive on-line counseling or in-person counseling, we also will exclude those who do not have access to the internet or to transportation</w:t>
      </w:r>
      <w:r w:rsidR="00A900DC">
        <w:t xml:space="preserve">. </w:t>
      </w:r>
    </w:p>
    <w:p w:rsidR="008B3C50" w:rsidRDefault="008B3C50" w:rsidP="009C67F5">
      <w:pPr>
        <w:pStyle w:val="Bullets"/>
      </w:pPr>
      <w:r w:rsidRPr="009C67F5">
        <w:rPr>
          <w:i/>
        </w:rPr>
        <w:t>Language</w:t>
      </w:r>
      <w:r w:rsidR="00EF142D" w:rsidRPr="009C67F5">
        <w:rPr>
          <w:i/>
        </w:rPr>
        <w:t>.</w:t>
      </w:r>
      <w:r>
        <w:t xml:space="preserve"> W</w:t>
      </w:r>
      <w:r w:rsidR="007A678D">
        <w:t xml:space="preserve">e will exclude those who would not be able to </w:t>
      </w:r>
      <w:r w:rsidR="00003775">
        <w:t xml:space="preserve">respond to a survey or </w:t>
      </w:r>
      <w:r w:rsidR="00EB470C">
        <w:t xml:space="preserve">read curriculum materials </w:t>
      </w:r>
      <w:r w:rsidR="007A678D">
        <w:t xml:space="preserve">in </w:t>
      </w:r>
      <w:r w:rsidR="00003775">
        <w:t xml:space="preserve">either </w:t>
      </w:r>
      <w:r w:rsidR="007A678D">
        <w:t>English or Spanish</w:t>
      </w:r>
      <w:r w:rsidR="00A900DC">
        <w:t xml:space="preserve">. </w:t>
      </w:r>
    </w:p>
    <w:p w:rsidR="001F3F5F" w:rsidRDefault="00B65F28" w:rsidP="008B3C50">
      <w:pPr>
        <w:pStyle w:val="BodyText"/>
      </w:pPr>
      <w:r>
        <w:t>Once customers</w:t>
      </w:r>
      <w:r w:rsidR="00D24243">
        <w:t>'</w:t>
      </w:r>
      <w:r w:rsidR="00D316F4">
        <w:t xml:space="preserve"> eligibility has been determined, </w:t>
      </w:r>
      <w:r w:rsidR="001F3F5F">
        <w:t>the study team will</w:t>
      </w:r>
      <w:r w:rsidR="00D316F4">
        <w:t xml:space="preserve"> read</w:t>
      </w:r>
      <w:r w:rsidR="001F3F5F">
        <w:t xml:space="preserve"> them</w:t>
      </w:r>
      <w:r w:rsidR="00D316F4">
        <w:t xml:space="preserve"> a statement that describes the study and their role in the study</w:t>
      </w:r>
      <w:r w:rsidR="00A900DC">
        <w:t xml:space="preserve">. </w:t>
      </w:r>
      <w:r w:rsidR="00D316F4">
        <w:t>If they are still interested in participating in the study, we ask them for a verbal consent and record that consent authorization at the end of the eligibility assessment.</w:t>
      </w:r>
    </w:p>
    <w:p w:rsidR="00A05DF9" w:rsidRDefault="00BF7FEA" w:rsidP="008B3C50">
      <w:pPr>
        <w:pStyle w:val="BodyText"/>
      </w:pPr>
      <w:r>
        <w:t>While capturing verbal consent from the study participant</w:t>
      </w:r>
      <w:r w:rsidR="001F3F5F">
        <w:t>,</w:t>
      </w:r>
      <w:r>
        <w:t xml:space="preserve"> the study team will ask </w:t>
      </w:r>
      <w:r w:rsidR="001F3F5F">
        <w:t xml:space="preserve">the participant </w:t>
      </w:r>
      <w:r>
        <w:t xml:space="preserve">to provide their social security number. </w:t>
      </w:r>
      <w:r w:rsidR="00050614">
        <w:t xml:space="preserve">Collection of social security numbers is necessary to track and assemble origination and servicing data from the Federal Housing Administration, lenders, and credit </w:t>
      </w:r>
      <w:r w:rsidR="00050614">
        <w:lastRenderedPageBreak/>
        <w:t xml:space="preserve">bureaus over the life of the study.  The last four digits of the SSN also allow the study team to authenticate the identity of the respondent during follow-up surveys. </w:t>
      </w:r>
    </w:p>
    <w:p w:rsidR="00A05DF9" w:rsidRDefault="00EB470C" w:rsidP="00A05DF9">
      <w:pPr>
        <w:pStyle w:val="BodyText"/>
      </w:pPr>
      <w:r>
        <w:rPr>
          <w:b/>
        </w:rPr>
        <w:t xml:space="preserve">Study Participant </w:t>
      </w:r>
      <w:r w:rsidR="009979F5" w:rsidRPr="00A05DF9">
        <w:rPr>
          <w:b/>
        </w:rPr>
        <w:t>Baseline Survey</w:t>
      </w:r>
      <w:r w:rsidR="009979F5">
        <w:t xml:space="preserve">: </w:t>
      </w:r>
      <w:r w:rsidR="00E84954">
        <w:t xml:space="preserve">After the eligibility assessment and consent have been completed, the baseline survey will be administered. </w:t>
      </w:r>
      <w:r w:rsidR="00A05DF9">
        <w:t xml:space="preserve">The baseline survey is the primary source of information </w:t>
      </w:r>
      <w:r w:rsidR="007C7D96">
        <w:t xml:space="preserve">on </w:t>
      </w:r>
      <w:r w:rsidR="00A05DF9">
        <w:t>participant characteristics prior to their participation in housing counseling and their purchase of a home</w:t>
      </w:r>
      <w:r w:rsidR="00A900DC">
        <w:t xml:space="preserve">. </w:t>
      </w:r>
      <w:r w:rsidR="00A05DF9">
        <w:t>It has two purposes:</w:t>
      </w:r>
    </w:p>
    <w:p w:rsidR="00A05DF9" w:rsidRDefault="00A05DF9" w:rsidP="00A900DC">
      <w:pPr>
        <w:pStyle w:val="BodyText"/>
        <w:ind w:left="360" w:hanging="360"/>
      </w:pPr>
      <w:r>
        <w:t>1.</w:t>
      </w:r>
      <w:r>
        <w:tab/>
      </w:r>
      <w:r w:rsidRPr="00EF142D">
        <w:rPr>
          <w:i/>
        </w:rPr>
        <w:t xml:space="preserve">Document the preparedness </w:t>
      </w:r>
      <w:r w:rsidR="001F3F5F">
        <w:rPr>
          <w:i/>
        </w:rPr>
        <w:t xml:space="preserve">for home purchase </w:t>
      </w:r>
      <w:r w:rsidRPr="00EF142D">
        <w:rPr>
          <w:i/>
        </w:rPr>
        <w:t xml:space="preserve">of participants </w:t>
      </w:r>
      <w:r w:rsidR="00EB470C" w:rsidRPr="00EF142D">
        <w:rPr>
          <w:i/>
        </w:rPr>
        <w:t>at the time of study entry</w:t>
      </w:r>
      <w:r w:rsidR="00D316F4" w:rsidRPr="00EF142D">
        <w:rPr>
          <w:i/>
        </w:rPr>
        <w:t>.</w:t>
      </w:r>
      <w:r>
        <w:t xml:space="preserve"> The baseline survey collects information that reflects the respondent’s stage in the home purchase process and preparedness for home purchase</w:t>
      </w:r>
      <w:r w:rsidR="00A900DC">
        <w:t xml:space="preserve">. </w:t>
      </w:r>
      <w:r>
        <w:t xml:space="preserve">For example, the extent of respondents’ home search prior </w:t>
      </w:r>
      <w:r w:rsidR="00D316F4">
        <w:t>entering the study</w:t>
      </w:r>
      <w:r>
        <w:t>, their intended down payment amount</w:t>
      </w:r>
      <w:r w:rsidR="009F027C">
        <w:t>s</w:t>
      </w:r>
      <w:r>
        <w:t>, and their expected timeline</w:t>
      </w:r>
      <w:r w:rsidR="009F027C">
        <w:t>s</w:t>
      </w:r>
      <w:r>
        <w:t xml:space="preserve"> for home purchase </w:t>
      </w:r>
      <w:r w:rsidR="009F027C">
        <w:t xml:space="preserve">will </w:t>
      </w:r>
      <w:r>
        <w:t>provide information about the timing of random assignment and housing counseling relative to other steps in the purchase process</w:t>
      </w:r>
      <w:r w:rsidR="007A678D">
        <w:t>.</w:t>
      </w:r>
    </w:p>
    <w:p w:rsidR="00A05DF9" w:rsidRDefault="00A05DF9" w:rsidP="00A900DC">
      <w:pPr>
        <w:pStyle w:val="BodyText"/>
        <w:ind w:left="360" w:hanging="360"/>
      </w:pPr>
      <w:r>
        <w:t>2.</w:t>
      </w:r>
      <w:r>
        <w:tab/>
      </w:r>
      <w:r w:rsidRPr="00EF142D">
        <w:rPr>
          <w:i/>
        </w:rPr>
        <w:t>Collect baseline characteristics of participants</w:t>
      </w:r>
      <w:r w:rsidR="00A900DC" w:rsidRPr="00EF142D">
        <w:rPr>
          <w:i/>
        </w:rPr>
        <w:t>.</w:t>
      </w:r>
      <w:r w:rsidR="009949C8">
        <w:rPr>
          <w:i/>
        </w:rPr>
        <w:t xml:space="preserve"> </w:t>
      </w:r>
      <w:r>
        <w:t>The baseline survey collects baseline measures for each of the time-varying outcomes</w:t>
      </w:r>
      <w:r w:rsidR="00A900DC">
        <w:t xml:space="preserve">. </w:t>
      </w:r>
      <w:r>
        <w:t xml:space="preserve">For example, financial literacy, non-housing savings/debts, and budgeting activity all reflect outcomes </w:t>
      </w:r>
      <w:r w:rsidR="007A678D">
        <w:t>for which</w:t>
      </w:r>
      <w:r>
        <w:t xml:space="preserve"> a baseline measure prior to housing counseling will help to evaluate the impact of counseling</w:t>
      </w:r>
      <w:r w:rsidR="00A900DC">
        <w:t xml:space="preserve">. </w:t>
      </w:r>
      <w:r>
        <w:t xml:space="preserve">The baseline survey also collects the set of baseline participant attributes that </w:t>
      </w:r>
      <w:r w:rsidR="007A678D">
        <w:t>may be used as covariates in the</w:t>
      </w:r>
      <w:r>
        <w:t xml:space="preserve"> eventual impact analyses</w:t>
      </w:r>
      <w:r w:rsidR="00A900DC">
        <w:t xml:space="preserve">. </w:t>
      </w:r>
      <w:r>
        <w:t>The attributes collected must include any attributes used to segment the sample into subgroups for analysis</w:t>
      </w:r>
      <w:r w:rsidR="00A900DC">
        <w:t xml:space="preserve">. </w:t>
      </w:r>
    </w:p>
    <w:p w:rsidR="00FB43A8" w:rsidRPr="00FB43A8" w:rsidRDefault="00FB43A8" w:rsidP="0003721C">
      <w:pPr>
        <w:pStyle w:val="BodyText"/>
      </w:pPr>
      <w:r w:rsidRPr="00FB43A8">
        <w:rPr>
          <w:b/>
        </w:rPr>
        <w:t>Study Participant Co-Borrower Informed Consent Agreement:</w:t>
      </w:r>
      <w:r w:rsidR="009949C8">
        <w:rPr>
          <w:b/>
        </w:rPr>
        <w:t xml:space="preserve"> </w:t>
      </w:r>
      <w:r w:rsidR="0003721C">
        <w:t xml:space="preserve">If a study participant secures a home loan with a co-borrower from a study participating lender, then the study team needs to obtain consent from the co-borrower to collect information on that </w:t>
      </w:r>
      <w:r w:rsidR="00816F55">
        <w:t xml:space="preserve">home </w:t>
      </w:r>
      <w:r w:rsidR="0003721C">
        <w:t xml:space="preserve">loan’s origination and performance data. The study team will collect co-borrower consent either at the time the study participant is providing consent for study participation or during a follow-up telephone call. </w:t>
      </w:r>
    </w:p>
    <w:p w:rsidR="00715A14" w:rsidRDefault="00EA746D" w:rsidP="00715A14">
      <w:pPr>
        <w:pStyle w:val="BodyText"/>
      </w:pPr>
      <w:r>
        <w:rPr>
          <w:b/>
        </w:rPr>
        <w:t xml:space="preserve">Service Tracking Data from </w:t>
      </w:r>
      <w:r w:rsidR="00116B98">
        <w:rPr>
          <w:b/>
        </w:rPr>
        <w:t xml:space="preserve">HUD-Approved Housing </w:t>
      </w:r>
      <w:r>
        <w:rPr>
          <w:b/>
        </w:rPr>
        <w:t>Counseling Agencies</w:t>
      </w:r>
      <w:r>
        <w:t xml:space="preserve">: </w:t>
      </w:r>
      <w:r w:rsidR="00F853D2">
        <w:t>T</w:t>
      </w:r>
      <w:r>
        <w:t xml:space="preserve">o provide the study team with essential information on </w:t>
      </w:r>
      <w:r w:rsidR="00EF142D">
        <w:t xml:space="preserve">the </w:t>
      </w:r>
      <w:r>
        <w:t xml:space="preserve">pre-purchase education and counseling services completed by study participants, </w:t>
      </w:r>
      <w:r w:rsidR="00116B98">
        <w:t xml:space="preserve">housing </w:t>
      </w:r>
      <w:r>
        <w:t>c</w:t>
      </w:r>
      <w:r w:rsidR="00715A14">
        <w:t>ounseling agencies will input or upload data</w:t>
      </w:r>
      <w:r>
        <w:t xml:space="preserve"> into the study’s data system</w:t>
      </w:r>
      <w:r w:rsidR="00715A14">
        <w:t xml:space="preserve"> on </w:t>
      </w:r>
      <w:r w:rsidR="00116B98">
        <w:t xml:space="preserve">housing </w:t>
      </w:r>
      <w:r w:rsidR="00715A14">
        <w:t>counseling participation and intensity</w:t>
      </w:r>
      <w:r w:rsidR="00A900DC">
        <w:t xml:space="preserve">. </w:t>
      </w:r>
      <w:r>
        <w:t>Th</w:t>
      </w:r>
      <w:r w:rsidR="005C72B0">
        <w:t>is</w:t>
      </w:r>
      <w:r w:rsidR="009949C8">
        <w:t xml:space="preserve"> </w:t>
      </w:r>
      <w:r w:rsidR="00715A14">
        <w:t>will provide the primary source of information on treatment take-up, intensity, and completion</w:t>
      </w:r>
      <w:r w:rsidR="00A900DC">
        <w:t xml:space="preserve">. </w:t>
      </w:r>
      <w:r w:rsidR="00116B98">
        <w:t>Housing c</w:t>
      </w:r>
      <w:r w:rsidR="00715A14">
        <w:t>ounseling activities will continue throughout the contract period (and into the subsequent study period</w:t>
      </w:r>
      <w:r w:rsidR="005C72B0">
        <w:t>,</w:t>
      </w:r>
      <w:r w:rsidR="00715A14">
        <w:t xml:space="preserve"> to be funded under</w:t>
      </w:r>
      <w:r>
        <w:t xml:space="preserve"> a separate contract)</w:t>
      </w:r>
      <w:r w:rsidR="00A900DC">
        <w:t xml:space="preserve">. </w:t>
      </w:r>
      <w:r>
        <w:t>The study’s data</w:t>
      </w:r>
      <w:r w:rsidR="00715A14">
        <w:t xml:space="preserve"> system will document these activities throughout the study period, allowing the data to be extracted and analyzed at any p</w:t>
      </w:r>
      <w:r w:rsidR="006674D4">
        <w:t>oint.</w:t>
      </w:r>
    </w:p>
    <w:p w:rsidR="00816F55" w:rsidRPr="005B6513" w:rsidRDefault="00EA746D" w:rsidP="00715A14">
      <w:pPr>
        <w:pStyle w:val="BodyText"/>
      </w:pPr>
      <w:r>
        <w:rPr>
          <w:b/>
        </w:rPr>
        <w:t xml:space="preserve">Staff Interviews </w:t>
      </w:r>
      <w:r w:rsidR="00535EE2">
        <w:rPr>
          <w:b/>
        </w:rPr>
        <w:t xml:space="preserve">with </w:t>
      </w:r>
      <w:r w:rsidR="00116B98">
        <w:rPr>
          <w:b/>
        </w:rPr>
        <w:t xml:space="preserve">Housing </w:t>
      </w:r>
      <w:r>
        <w:rPr>
          <w:b/>
        </w:rPr>
        <w:t>Counseling Agencies</w:t>
      </w:r>
      <w:r w:rsidR="00715A14">
        <w:t>:</w:t>
      </w:r>
      <w:r w:rsidR="009949C8">
        <w:t xml:space="preserve"> </w:t>
      </w:r>
      <w:r w:rsidR="00E27E52">
        <w:t>S</w:t>
      </w:r>
      <w:r w:rsidR="006674D4">
        <w:t xml:space="preserve">taff interviews </w:t>
      </w:r>
      <w:r w:rsidR="00E27E52">
        <w:t xml:space="preserve">at </w:t>
      </w:r>
      <w:r w:rsidR="00116B98">
        <w:t xml:space="preserve">housing </w:t>
      </w:r>
      <w:r w:rsidR="00E27E52">
        <w:t xml:space="preserve">counseling agencies </w:t>
      </w:r>
      <w:r w:rsidR="00715A14">
        <w:t>will document the implementation procedures and activities conducted at each organization and gather staff members’ input about the issues involved in enrollment and implementation.</w:t>
      </w:r>
      <w:r w:rsidR="00A22F13">
        <w:t xml:space="preserve"> These interviews w</w:t>
      </w:r>
      <w:r w:rsidR="0080560A">
        <w:t>ill occur within the first 16</w:t>
      </w:r>
      <w:r w:rsidR="00A22F13">
        <w:t xml:space="preserve"> weeks of study participant enrollment.</w:t>
      </w:r>
    </w:p>
    <w:p w:rsidR="00D35AE5" w:rsidRDefault="00D35AE5" w:rsidP="00715A14">
      <w:pPr>
        <w:pStyle w:val="BodyText"/>
      </w:pPr>
      <w:r w:rsidRPr="001F6465">
        <w:rPr>
          <w:b/>
        </w:rPr>
        <w:t>On-site Observations and In</w:t>
      </w:r>
      <w:r w:rsidR="006D3544">
        <w:rPr>
          <w:b/>
        </w:rPr>
        <w:t>terviews with the Lenders’ Customer Service</w:t>
      </w:r>
      <w:r w:rsidR="00D514BA">
        <w:rPr>
          <w:rStyle w:val="FootnoteReference"/>
          <w:b/>
        </w:rPr>
        <w:footnoteReference w:id="3"/>
      </w:r>
      <w:r w:rsidRPr="001F6465">
        <w:rPr>
          <w:b/>
        </w:rPr>
        <w:t xml:space="preserve"> Teams</w:t>
      </w:r>
      <w:r>
        <w:t>: Obser</w:t>
      </w:r>
      <w:r w:rsidR="00D514BA">
        <w:t>vations with the lenders’ customer service</w:t>
      </w:r>
      <w:r>
        <w:t xml:space="preserve"> teams will document how they have been trained to conduct study </w:t>
      </w:r>
      <w:r>
        <w:lastRenderedPageBreak/>
        <w:t>recruitment calls with customer</w:t>
      </w:r>
      <w:r w:rsidR="00D514BA">
        <w:t>s. Interviews with the customer service</w:t>
      </w:r>
      <w:r>
        <w:t xml:space="preserve"> teams will document their feedback on the recruitment calls</w:t>
      </w:r>
      <w:r w:rsidR="00D514BA">
        <w:t>,</w:t>
      </w:r>
      <w:r>
        <w:t xml:space="preserve"> noting </w:t>
      </w:r>
      <w:r w:rsidR="00D514BA">
        <w:t>how the study i</w:t>
      </w:r>
      <w:r w:rsidR="001F6465">
        <w:t>s perceived by</w:t>
      </w:r>
      <w:r>
        <w:t xml:space="preserve"> customers an</w:t>
      </w:r>
      <w:r w:rsidR="00D514BA">
        <w:t>d if</w:t>
      </w:r>
      <w:r>
        <w:t xml:space="preserve"> customers </w:t>
      </w:r>
      <w:r w:rsidR="00D514BA">
        <w:t>are interested in learning more about the study</w:t>
      </w:r>
      <w:r>
        <w:t xml:space="preserve">. The study team will also ask each </w:t>
      </w:r>
      <w:r w:rsidR="00D44A62">
        <w:t xml:space="preserve">lender’s customer service </w:t>
      </w:r>
      <w:r>
        <w:t>team to document the outcomes of the recruitment calls and provide us with a weekly report.</w:t>
      </w:r>
    </w:p>
    <w:p w:rsidR="001D54D3" w:rsidRDefault="00903E4B" w:rsidP="00D979EA">
      <w:pPr>
        <w:pStyle w:val="BodyText"/>
      </w:pPr>
      <w:r>
        <w:rPr>
          <w:b/>
        </w:rPr>
        <w:t xml:space="preserve">Study </w:t>
      </w:r>
      <w:r w:rsidR="007F264A">
        <w:rPr>
          <w:b/>
        </w:rPr>
        <w:t xml:space="preserve">Experience </w:t>
      </w:r>
      <w:r>
        <w:rPr>
          <w:b/>
        </w:rPr>
        <w:t>I</w:t>
      </w:r>
      <w:r w:rsidR="005C72B0">
        <w:rPr>
          <w:b/>
        </w:rPr>
        <w:t xml:space="preserve">nterviews with </w:t>
      </w:r>
      <w:r w:rsidR="00003775">
        <w:rPr>
          <w:b/>
        </w:rPr>
        <w:t xml:space="preserve">a Small Subset of </w:t>
      </w:r>
      <w:r w:rsidR="00EA746D" w:rsidRPr="006674D4">
        <w:rPr>
          <w:b/>
        </w:rPr>
        <w:t>Study Participant</w:t>
      </w:r>
      <w:r w:rsidR="005C72B0">
        <w:rPr>
          <w:b/>
        </w:rPr>
        <w:t>s</w:t>
      </w:r>
      <w:r w:rsidR="0080560A">
        <w:rPr>
          <w:b/>
        </w:rPr>
        <w:t>:</w:t>
      </w:r>
      <w:r w:rsidR="009949C8">
        <w:rPr>
          <w:b/>
        </w:rPr>
        <w:t xml:space="preserve"> </w:t>
      </w:r>
      <w:r w:rsidR="00034B6B">
        <w:t>During the final weeks of the enrol</w:t>
      </w:r>
      <w:r w:rsidR="0046720A">
        <w:t>lment period, we will conduct 200</w:t>
      </w:r>
      <w:r w:rsidR="00034B6B">
        <w:t xml:space="preserve"> study participant </w:t>
      </w:r>
      <w:r w:rsidR="0098389F">
        <w:t xml:space="preserve">telephone </w:t>
      </w:r>
      <w:r w:rsidR="00BC520C">
        <w:t>interviews</w:t>
      </w:r>
      <w:r w:rsidR="0046720A">
        <w:t xml:space="preserve"> across the</w:t>
      </w:r>
      <w:r w:rsidR="0080560A">
        <w:t xml:space="preserve"> 2</w:t>
      </w:r>
      <w:r w:rsidR="009724CE">
        <w:t>8</w:t>
      </w:r>
      <w:r w:rsidR="00EF142D">
        <w:t xml:space="preserve"> study </w:t>
      </w:r>
      <w:r w:rsidR="00D316F4">
        <w:t>sites</w:t>
      </w:r>
      <w:r w:rsidR="00034B6B">
        <w:t xml:space="preserve">. Interviews will explore participants’ progress towards home purchase and their interaction with the participating lenders and </w:t>
      </w:r>
      <w:r w:rsidR="00116B98">
        <w:t xml:space="preserve">housing </w:t>
      </w:r>
      <w:r w:rsidR="00034B6B">
        <w:t xml:space="preserve">counseling agencies. </w:t>
      </w:r>
      <w:r w:rsidR="00003775">
        <w:t>Selected study</w:t>
      </w:r>
      <w:r w:rsidR="00034B6B">
        <w:t xml:space="preserve"> participants will be asked about the process</w:t>
      </w:r>
      <w:r w:rsidR="008B1F83">
        <w:t>es</w:t>
      </w:r>
      <w:r w:rsidR="00E27E52">
        <w:t xml:space="preserve"> of</w:t>
      </w:r>
      <w:r w:rsidR="009949C8">
        <w:t xml:space="preserve"> </w:t>
      </w:r>
      <w:r w:rsidR="00034B6B">
        <w:t xml:space="preserve">study recruitment, enrollment, and </w:t>
      </w:r>
      <w:r w:rsidR="008B1F83">
        <w:t xml:space="preserve">participation in </w:t>
      </w:r>
      <w:r w:rsidR="00116B98">
        <w:t xml:space="preserve">housing </w:t>
      </w:r>
      <w:r w:rsidR="00034B6B">
        <w:t>counseling service</w:t>
      </w:r>
      <w:r w:rsidR="008B1F83">
        <w:t>s</w:t>
      </w:r>
      <w:r w:rsidR="00034B6B">
        <w:t xml:space="preserve">. </w:t>
      </w:r>
      <w:r w:rsidR="00003775">
        <w:t>Selected study</w:t>
      </w:r>
      <w:r w:rsidR="00034B6B">
        <w:t xml:space="preserve"> par</w:t>
      </w:r>
      <w:r w:rsidR="0080560A">
        <w:t>ticipants will include participants</w:t>
      </w:r>
      <w:r w:rsidR="00034B6B">
        <w:t xml:space="preserve"> who have and who have not completed </w:t>
      </w:r>
      <w:r w:rsidR="00116B98">
        <w:t xml:space="preserve">housing </w:t>
      </w:r>
      <w:r w:rsidR="00034B6B">
        <w:t>counseling activities to explore participants’ decision</w:t>
      </w:r>
      <w:r w:rsidR="005C72B0">
        <w:t>s</w:t>
      </w:r>
      <w:r w:rsidR="00034B6B">
        <w:t xml:space="preserve"> to complete </w:t>
      </w:r>
      <w:r w:rsidR="00116B98">
        <w:t xml:space="preserve">housing </w:t>
      </w:r>
      <w:r w:rsidR="00034B6B">
        <w:t>counseling activities. These study participant interviews will aid in our understanding of the study</w:t>
      </w:r>
      <w:r w:rsidR="00EF142D">
        <w:t>’s</w:t>
      </w:r>
      <w:r w:rsidR="00034B6B">
        <w:t xml:space="preserve"> implementation.</w:t>
      </w:r>
    </w:p>
    <w:p w:rsidR="001F6465" w:rsidRDefault="001F6465" w:rsidP="00D979EA">
      <w:pPr>
        <w:pStyle w:val="BodyText"/>
      </w:pPr>
      <w:r w:rsidRPr="001F6465">
        <w:rPr>
          <w:b/>
        </w:rPr>
        <w:t>Loan Origination and Performance Data</w:t>
      </w:r>
      <w:r>
        <w:t>: Study participants’ loan information and performance data will be requested at six month intervals throughout the study period from participating lenders</w:t>
      </w:r>
      <w:r w:rsidR="0037703F">
        <w:t xml:space="preserve"> and the Federal Housing Administration</w:t>
      </w:r>
      <w:r>
        <w:t>. This data will provide the study team detailed information on the timing of</w:t>
      </w:r>
      <w:r w:rsidR="006259B9">
        <w:t xml:space="preserve"> a</w:t>
      </w:r>
      <w:r>
        <w:t xml:space="preserve"> home purchase, underwriting characteristics, monthly housing costs, and mortgage terms and conditions for any study participant who purchases a home through a study participating lender.</w:t>
      </w:r>
    </w:p>
    <w:p w:rsidR="0080560A" w:rsidRPr="0080560A" w:rsidRDefault="0080560A" w:rsidP="00D979EA">
      <w:pPr>
        <w:pStyle w:val="BodyText"/>
      </w:pPr>
      <w:r w:rsidRPr="0080560A">
        <w:rPr>
          <w:b/>
        </w:rPr>
        <w:t xml:space="preserve">Credit </w:t>
      </w:r>
      <w:r w:rsidR="00390FEF">
        <w:rPr>
          <w:b/>
        </w:rPr>
        <w:t>Bureau</w:t>
      </w:r>
      <w:r w:rsidR="009949C8">
        <w:rPr>
          <w:b/>
        </w:rPr>
        <w:t xml:space="preserve"> </w:t>
      </w:r>
      <w:r w:rsidRPr="0080560A">
        <w:rPr>
          <w:b/>
        </w:rPr>
        <w:t>Data</w:t>
      </w:r>
      <w:r>
        <w:rPr>
          <w:b/>
        </w:rPr>
        <w:t>:</w:t>
      </w:r>
      <w:r w:rsidR="00B3427E">
        <w:t xml:space="preserve"> Collection of credit information during the enrollment period is necessary both to monitor the credit score distribution of enrolled participants and as a key baseline measure of participant credit quality. To accommodate this, the study team will request</w:t>
      </w:r>
      <w:r w:rsidR="0046720A">
        <w:t xml:space="preserve"> Equifax to provide credit report</w:t>
      </w:r>
      <w:r w:rsidR="00B3427E">
        <w:t xml:space="preserve"> data on study participants. Specifically, the study team will purchase credit report data at six different points during study participant enrollment</w:t>
      </w:r>
      <w:r w:rsidR="008E3DDD">
        <w:t xml:space="preserve">. </w:t>
      </w:r>
    </w:p>
    <w:p w:rsidR="001D54D3" w:rsidRDefault="001D54D3" w:rsidP="001D54D3">
      <w:pPr>
        <w:pStyle w:val="Heading3"/>
      </w:pPr>
      <w:bookmarkStart w:id="4" w:name="_Toc332378267"/>
      <w:r>
        <w:t>Purpose of Data Collection</w:t>
      </w:r>
      <w:bookmarkEnd w:id="4"/>
    </w:p>
    <w:p w:rsidR="001D54D3" w:rsidRDefault="001D54D3" w:rsidP="001D54D3">
      <w:pPr>
        <w:pStyle w:val="BodyText"/>
      </w:pPr>
      <w:r>
        <w:t xml:space="preserve">We are </w:t>
      </w:r>
      <w:r w:rsidR="006259B9">
        <w:t>r</w:t>
      </w:r>
      <w:r w:rsidR="0003721C">
        <w:t xml:space="preserve">equesting OMB </w:t>
      </w:r>
      <w:r w:rsidR="0003721C" w:rsidRPr="00424FA3">
        <w:t xml:space="preserve">approval for </w:t>
      </w:r>
      <w:r w:rsidR="00424FA3" w:rsidRPr="00424FA3">
        <w:t>11</w:t>
      </w:r>
      <w:r w:rsidRPr="00424FA3">
        <w:t>data</w:t>
      </w:r>
      <w:r>
        <w:t xml:space="preserve"> collection activities that will occur with study participants as well as study participating counseling agencies and lenders</w:t>
      </w:r>
      <w:r w:rsidR="00382116">
        <w:t>:</w:t>
      </w:r>
    </w:p>
    <w:p w:rsidR="00632437" w:rsidRDefault="00632437" w:rsidP="00590FD6">
      <w:pPr>
        <w:pStyle w:val="BodyText"/>
        <w:numPr>
          <w:ilvl w:val="0"/>
          <w:numId w:val="5"/>
        </w:numPr>
        <w:spacing w:after="120"/>
      </w:pPr>
      <w:r>
        <w:t xml:space="preserve">Collection of </w:t>
      </w:r>
      <w:r w:rsidR="00E55A90">
        <w:t xml:space="preserve">lender </w:t>
      </w:r>
      <w:r>
        <w:t xml:space="preserve">intake data </w:t>
      </w:r>
      <w:r w:rsidR="00E55A90">
        <w:t>on potential study participants</w:t>
      </w:r>
      <w:r>
        <w:t>;</w:t>
      </w:r>
    </w:p>
    <w:p w:rsidR="001D54D3" w:rsidRDefault="001D54D3" w:rsidP="00590FD6">
      <w:pPr>
        <w:pStyle w:val="BodyText"/>
        <w:numPr>
          <w:ilvl w:val="0"/>
          <w:numId w:val="5"/>
        </w:numPr>
        <w:spacing w:after="120"/>
      </w:pPr>
      <w:r>
        <w:t xml:space="preserve">Collection of </w:t>
      </w:r>
      <w:r w:rsidR="00B65F28">
        <w:t>customer</w:t>
      </w:r>
      <w:r w:rsidR="005418B8">
        <w:t xml:space="preserve">s’ information from the </w:t>
      </w:r>
      <w:r w:rsidR="00EF142D">
        <w:t xml:space="preserve">study’s </w:t>
      </w:r>
      <w:r>
        <w:t>eligibility assessment</w:t>
      </w:r>
      <w:r w:rsidR="009E5815">
        <w:t xml:space="preserve"> and</w:t>
      </w:r>
      <w:r w:rsidR="0043066F">
        <w:t xml:space="preserve"> participation </w:t>
      </w:r>
      <w:r w:rsidR="00903E4B">
        <w:t xml:space="preserve">consent </w:t>
      </w:r>
      <w:r w:rsidR="0043066F">
        <w:t>agreement</w:t>
      </w:r>
      <w:r w:rsidR="005418B8">
        <w:t>;</w:t>
      </w:r>
    </w:p>
    <w:p w:rsidR="0003721C" w:rsidRDefault="0003721C" w:rsidP="00590FD6">
      <w:pPr>
        <w:pStyle w:val="BodyText"/>
        <w:numPr>
          <w:ilvl w:val="0"/>
          <w:numId w:val="5"/>
        </w:numPr>
        <w:spacing w:after="120"/>
      </w:pPr>
      <w:r>
        <w:t xml:space="preserve">Collection </w:t>
      </w:r>
      <w:r w:rsidR="00390FEF">
        <w:t xml:space="preserve">of </w:t>
      </w:r>
      <w:r>
        <w:t>study participants’ co-borrower consent;</w:t>
      </w:r>
    </w:p>
    <w:p w:rsidR="009E5815" w:rsidRDefault="009E5815" w:rsidP="00590FD6">
      <w:pPr>
        <w:pStyle w:val="BodyText"/>
        <w:numPr>
          <w:ilvl w:val="0"/>
          <w:numId w:val="5"/>
        </w:numPr>
        <w:spacing w:after="120"/>
      </w:pPr>
      <w:r>
        <w:t>Collection of stud</w:t>
      </w:r>
      <w:r w:rsidR="00B53D49">
        <w:t>y participants’ baseline survey;</w:t>
      </w:r>
    </w:p>
    <w:p w:rsidR="009E5815" w:rsidRDefault="009E5815" w:rsidP="00590FD6">
      <w:pPr>
        <w:pStyle w:val="BodyText"/>
        <w:numPr>
          <w:ilvl w:val="0"/>
          <w:numId w:val="5"/>
        </w:numPr>
      </w:pPr>
      <w:r>
        <w:t>Collection of data on the intervention and on implementation of the study through int</w:t>
      </w:r>
      <w:r w:rsidR="00B53D49">
        <w:t>erviews with study participants;</w:t>
      </w:r>
    </w:p>
    <w:p w:rsidR="005418B8" w:rsidRDefault="005418B8" w:rsidP="00590FD6">
      <w:pPr>
        <w:pStyle w:val="BodyText"/>
        <w:numPr>
          <w:ilvl w:val="0"/>
          <w:numId w:val="5"/>
        </w:numPr>
        <w:spacing w:after="120"/>
      </w:pPr>
      <w:r>
        <w:lastRenderedPageBreak/>
        <w:t xml:space="preserve">Collection of study participants’ </w:t>
      </w:r>
      <w:r w:rsidR="00116B98">
        <w:t xml:space="preserve">housing </w:t>
      </w:r>
      <w:r>
        <w:t xml:space="preserve">counseling service data from </w:t>
      </w:r>
      <w:r w:rsidR="00116B98">
        <w:t xml:space="preserve">HUD-approved housing </w:t>
      </w:r>
      <w:r>
        <w:t>counseling agencies;</w:t>
      </w:r>
    </w:p>
    <w:p w:rsidR="00903E4B" w:rsidRDefault="005418B8" w:rsidP="00590FD6">
      <w:pPr>
        <w:pStyle w:val="BodyText"/>
        <w:numPr>
          <w:ilvl w:val="0"/>
          <w:numId w:val="5"/>
        </w:numPr>
        <w:spacing w:after="120"/>
      </w:pPr>
      <w:r>
        <w:t xml:space="preserve">Collection of </w:t>
      </w:r>
      <w:r w:rsidR="0043066F">
        <w:t xml:space="preserve">data on the intervention and on implementation of the study through </w:t>
      </w:r>
      <w:r>
        <w:t>interviews with staff from</w:t>
      </w:r>
      <w:r w:rsidR="009949C8">
        <w:t xml:space="preserve"> </w:t>
      </w:r>
      <w:r w:rsidR="00116B98">
        <w:t xml:space="preserve">housing </w:t>
      </w:r>
      <w:r w:rsidR="001F6465">
        <w:t>counseling agencies;</w:t>
      </w:r>
    </w:p>
    <w:p w:rsidR="001F6465" w:rsidRDefault="001F6465" w:rsidP="00590FD6">
      <w:pPr>
        <w:pStyle w:val="BodyText"/>
        <w:numPr>
          <w:ilvl w:val="0"/>
          <w:numId w:val="5"/>
        </w:numPr>
        <w:spacing w:after="120"/>
      </w:pPr>
      <w:r>
        <w:t>Collection of data from observations, interviews, and rep</w:t>
      </w:r>
      <w:r w:rsidR="006259B9">
        <w:t>orts from the lenders’ customer service</w:t>
      </w:r>
      <w:r w:rsidR="00B53D49">
        <w:t xml:space="preserve"> teams;</w:t>
      </w:r>
    </w:p>
    <w:p w:rsidR="00D04634" w:rsidRDefault="00B53D49" w:rsidP="00590FD6">
      <w:pPr>
        <w:pStyle w:val="BodyText"/>
        <w:numPr>
          <w:ilvl w:val="0"/>
          <w:numId w:val="5"/>
        </w:numPr>
        <w:spacing w:after="120"/>
      </w:pPr>
      <w:r>
        <w:t>Collection of contact data from study participants;</w:t>
      </w:r>
    </w:p>
    <w:p w:rsidR="00D04634" w:rsidRDefault="00D04634" w:rsidP="00590FD6">
      <w:pPr>
        <w:pStyle w:val="BodyText"/>
        <w:numPr>
          <w:ilvl w:val="0"/>
          <w:numId w:val="5"/>
        </w:numPr>
        <w:spacing w:after="120"/>
      </w:pPr>
      <w:r>
        <w:t>Collection of study participants’ credit scores and credit report data through Equifax; and</w:t>
      </w:r>
    </w:p>
    <w:p w:rsidR="009E5815" w:rsidRDefault="001F6465" w:rsidP="00590FD6">
      <w:pPr>
        <w:pStyle w:val="BodyText"/>
        <w:numPr>
          <w:ilvl w:val="0"/>
          <w:numId w:val="5"/>
        </w:numPr>
        <w:spacing w:after="240"/>
      </w:pPr>
      <w:r>
        <w:t>Collection of data on study participants</w:t>
      </w:r>
      <w:r w:rsidR="001F5E0C">
        <w:t>’</w:t>
      </w:r>
      <w:r>
        <w:t xml:space="preserve"> loan origination and mortgage performance</w:t>
      </w:r>
      <w:r w:rsidR="00D04634">
        <w:t>.</w:t>
      </w:r>
    </w:p>
    <w:p w:rsidR="006259B9" w:rsidRDefault="005418B8" w:rsidP="005B6513">
      <w:pPr>
        <w:pStyle w:val="BodyText"/>
      </w:pPr>
      <w:r>
        <w:t>The purpose of each data collection activity is described below.</w:t>
      </w:r>
    </w:p>
    <w:p w:rsidR="00632437" w:rsidRDefault="00632437" w:rsidP="00590FD6">
      <w:pPr>
        <w:pStyle w:val="BodyText"/>
        <w:numPr>
          <w:ilvl w:val="0"/>
          <w:numId w:val="6"/>
        </w:numPr>
        <w:ind w:left="360"/>
        <w:rPr>
          <w:b/>
        </w:rPr>
      </w:pPr>
      <w:r w:rsidRPr="006B0269">
        <w:rPr>
          <w:b/>
        </w:rPr>
        <w:t xml:space="preserve">Collection of </w:t>
      </w:r>
      <w:r>
        <w:rPr>
          <w:b/>
        </w:rPr>
        <w:t>lender intake data on potential study participants:</w:t>
      </w:r>
    </w:p>
    <w:p w:rsidR="00632437" w:rsidRPr="00632437" w:rsidRDefault="00632437" w:rsidP="00632437">
      <w:pPr>
        <w:pStyle w:val="BodyText"/>
        <w:ind w:left="360"/>
        <w:rPr>
          <w:b/>
        </w:rPr>
      </w:pPr>
      <w:r>
        <w:t>The first step in t</w:t>
      </w:r>
      <w:r w:rsidR="008E3DDD">
        <w:t>he enrollment process is for lenders’</w:t>
      </w:r>
      <w:r w:rsidR="009949C8">
        <w:t xml:space="preserve"> </w:t>
      </w:r>
      <w:r w:rsidR="008E3DDD">
        <w:t>staff</w:t>
      </w:r>
      <w:r>
        <w:t xml:space="preserve"> to determine whether a </w:t>
      </w:r>
      <w:r w:rsidR="00C42276">
        <w:t xml:space="preserve">customer </w:t>
      </w:r>
      <w:r>
        <w:t xml:space="preserve">meets the initial criteria to be offered the study. The key criteria such as income will be collected through each lender’s normal protocol for early-stage </w:t>
      </w:r>
      <w:r w:rsidR="00C42276">
        <w:t>customers</w:t>
      </w:r>
      <w:r>
        <w:t xml:space="preserve">. To supplement this information, the lender may need to ask questions to verify that the </w:t>
      </w:r>
      <w:r w:rsidR="00C42276">
        <w:t xml:space="preserve">customer </w:t>
      </w:r>
      <w:r>
        <w:t xml:space="preserve">is a first-time homebuyer, seeks a mortgage </w:t>
      </w:r>
      <w:r w:rsidR="00097BD0">
        <w:t xml:space="preserve">loan </w:t>
      </w:r>
      <w:r>
        <w:t>to purchase a home to occupy as a primary residence, and is interested in being referred to the study interviewers for the official eligibility assessment and study enrollment.</w:t>
      </w:r>
      <w:r w:rsidR="009949C8">
        <w:t xml:space="preserve"> </w:t>
      </w:r>
      <w:r w:rsidR="00382116" w:rsidRPr="008F63BF">
        <w:t>The lender intake form is provided in Appendix A.</w:t>
      </w:r>
    </w:p>
    <w:p w:rsidR="005418B8" w:rsidRDefault="005418B8" w:rsidP="00590FD6">
      <w:pPr>
        <w:pStyle w:val="BodyText"/>
        <w:numPr>
          <w:ilvl w:val="0"/>
          <w:numId w:val="6"/>
        </w:numPr>
        <w:ind w:left="360"/>
      </w:pPr>
      <w:r w:rsidRPr="005418B8">
        <w:rPr>
          <w:b/>
        </w:rPr>
        <w:t xml:space="preserve">Collection of </w:t>
      </w:r>
      <w:r w:rsidR="00B65F28">
        <w:rPr>
          <w:b/>
        </w:rPr>
        <w:t>customers</w:t>
      </w:r>
      <w:r w:rsidRPr="00B65F28">
        <w:rPr>
          <w:b/>
        </w:rPr>
        <w:t>’</w:t>
      </w:r>
      <w:r w:rsidRPr="005418B8">
        <w:rPr>
          <w:b/>
        </w:rPr>
        <w:t xml:space="preserve"> information from the eligibility assessment</w:t>
      </w:r>
      <w:r w:rsidR="009E5815">
        <w:rPr>
          <w:b/>
        </w:rPr>
        <w:t xml:space="preserve"> and</w:t>
      </w:r>
      <w:r w:rsidR="009949C8">
        <w:rPr>
          <w:b/>
        </w:rPr>
        <w:t xml:space="preserve"> </w:t>
      </w:r>
      <w:r w:rsidR="0098389F">
        <w:rPr>
          <w:b/>
        </w:rPr>
        <w:t xml:space="preserve">participant </w:t>
      </w:r>
      <w:r w:rsidR="00382116">
        <w:rPr>
          <w:b/>
        </w:rPr>
        <w:t xml:space="preserve">consent </w:t>
      </w:r>
      <w:r w:rsidR="00A80F75">
        <w:rPr>
          <w:b/>
        </w:rPr>
        <w:t>agreement</w:t>
      </w:r>
      <w:r>
        <w:rPr>
          <w:b/>
        </w:rPr>
        <w:t xml:space="preserve">: </w:t>
      </w:r>
    </w:p>
    <w:p w:rsidR="009E5815" w:rsidRDefault="009C6B8C" w:rsidP="0098389F">
      <w:pPr>
        <w:pStyle w:val="Bullet2"/>
        <w:ind w:left="360"/>
      </w:pPr>
      <w:r>
        <w:t>The information collected from the eligibility assessment wi</w:t>
      </w:r>
      <w:r w:rsidR="00E83130">
        <w:t xml:space="preserve">ll be used to verify </w:t>
      </w:r>
      <w:r w:rsidR="002E5289">
        <w:t xml:space="preserve">that </w:t>
      </w:r>
      <w:r w:rsidR="00E83130">
        <w:t>a</w:t>
      </w:r>
      <w:r w:rsidR="009949C8">
        <w:t xml:space="preserve"> </w:t>
      </w:r>
      <w:r w:rsidR="00C42276">
        <w:t xml:space="preserve">customer </w:t>
      </w:r>
      <w:r>
        <w:t xml:space="preserve">meets the definitions of a </w:t>
      </w:r>
      <w:proofErr w:type="gramStart"/>
      <w:r w:rsidR="00EE6B5C">
        <w:t xml:space="preserve">LMMI </w:t>
      </w:r>
      <w:r>
        <w:t xml:space="preserve"> and</w:t>
      </w:r>
      <w:proofErr w:type="gramEnd"/>
      <w:r>
        <w:t xml:space="preserve"> first-time</w:t>
      </w:r>
      <w:r w:rsidR="00E27E52">
        <w:t xml:space="preserve"> homebuyer</w:t>
      </w:r>
      <w:r w:rsidR="00A900DC">
        <w:t>.</w:t>
      </w:r>
      <w:r w:rsidR="004D7CDF">
        <w:t xml:space="preserve"> Additionally, t</w:t>
      </w:r>
      <w:r w:rsidR="00632437">
        <w:t>he eligibility assessment</w:t>
      </w:r>
      <w:r w:rsidR="009949C8">
        <w:t xml:space="preserve"> </w:t>
      </w:r>
      <w:r w:rsidR="004D7CDF">
        <w:t>will</w:t>
      </w:r>
      <w:r w:rsidR="009949C8">
        <w:t xml:space="preserve"> </w:t>
      </w:r>
      <w:r>
        <w:t xml:space="preserve">determine whether the </w:t>
      </w:r>
      <w:r w:rsidR="00C42276">
        <w:t xml:space="preserve">customer </w:t>
      </w:r>
      <w:r>
        <w:t>has received any pre-purchase counseling prior to study enrollment</w:t>
      </w:r>
      <w:r w:rsidR="001F5E0C">
        <w:t xml:space="preserve"> or currently faces a counseling requirement</w:t>
      </w:r>
      <w:r>
        <w:t xml:space="preserve">. This assessment will also </w:t>
      </w:r>
      <w:r w:rsidR="002E5289">
        <w:t>support screening out</w:t>
      </w:r>
      <w:r w:rsidR="004D7CDF">
        <w:t xml:space="preserve"> a</w:t>
      </w:r>
      <w:r w:rsidR="009949C8">
        <w:t xml:space="preserve"> </w:t>
      </w:r>
      <w:r w:rsidR="00C42276">
        <w:t xml:space="preserve">customer </w:t>
      </w:r>
      <w:r w:rsidR="002E5289">
        <w:t>based on</w:t>
      </w:r>
      <w:r w:rsidR="008E3DDD">
        <w:t xml:space="preserve"> lack of</w:t>
      </w:r>
      <w:r w:rsidR="009949C8">
        <w:t xml:space="preserve"> </w:t>
      </w:r>
      <w:r w:rsidR="004D7CDF">
        <w:t xml:space="preserve">English or Spanish </w:t>
      </w:r>
      <w:r w:rsidR="00632437">
        <w:t xml:space="preserve">language competency, </w:t>
      </w:r>
      <w:r>
        <w:t xml:space="preserve">transportation </w:t>
      </w:r>
      <w:r w:rsidR="002E5289">
        <w:t>availability,</w:t>
      </w:r>
      <w:r>
        <w:t xml:space="preserve"> and accessibility of a computer</w:t>
      </w:r>
      <w:r w:rsidR="002E5289">
        <w:t xml:space="preserve"> connected to the internet</w:t>
      </w:r>
      <w:r>
        <w:t xml:space="preserve">. </w:t>
      </w:r>
      <w:r w:rsidR="009E5815" w:rsidRPr="008F63BF">
        <w:t>The eligibility assessment form is provided in Appendix B.</w:t>
      </w:r>
    </w:p>
    <w:p w:rsidR="009C6B8C" w:rsidRDefault="0034182B" w:rsidP="0098389F">
      <w:pPr>
        <w:pStyle w:val="Bullet2"/>
        <w:ind w:left="360"/>
      </w:pPr>
      <w:r>
        <w:t xml:space="preserve">Once eligibility is determined, </w:t>
      </w:r>
      <w:r w:rsidR="006E2A7B">
        <w:t xml:space="preserve">the consent agreement will be read to the </w:t>
      </w:r>
      <w:r w:rsidR="00E55A90">
        <w:t>customer</w:t>
      </w:r>
      <w:r w:rsidR="006E2A7B">
        <w:t xml:space="preserve">, and for those who provide </w:t>
      </w:r>
      <w:r>
        <w:t>a verbal consent to participate in the study</w:t>
      </w:r>
      <w:r w:rsidR="006E2A7B">
        <w:t>, the consent</w:t>
      </w:r>
      <w:r>
        <w:t xml:space="preserve"> will be collected.</w:t>
      </w:r>
      <w:r w:rsidR="009E5815">
        <w:t xml:space="preserve"> The contact and identifying information (social security number and date of birth) collected in the study’s participation consent agreement will be used to contact and track study participants throughout the life of the study. The study participants’ social security numbers will be collected to ensure that study participants can be accurately identified in origination, servicing, and credit bureau records. </w:t>
      </w:r>
      <w:r w:rsidR="009E5815" w:rsidRPr="008F63BF">
        <w:t>The consent form is provided in Appendix C.</w:t>
      </w:r>
    </w:p>
    <w:p w:rsidR="0003721C" w:rsidRDefault="0003721C" w:rsidP="00590FD6">
      <w:pPr>
        <w:pStyle w:val="BodyText"/>
        <w:numPr>
          <w:ilvl w:val="0"/>
          <w:numId w:val="6"/>
        </w:numPr>
        <w:ind w:left="360"/>
        <w:rPr>
          <w:b/>
        </w:rPr>
      </w:pPr>
      <w:r w:rsidRPr="0003721C">
        <w:rPr>
          <w:b/>
        </w:rPr>
        <w:t xml:space="preserve">Collection </w:t>
      </w:r>
      <w:r w:rsidR="007676F6">
        <w:rPr>
          <w:b/>
        </w:rPr>
        <w:t xml:space="preserve">of </w:t>
      </w:r>
      <w:r w:rsidRPr="0003721C">
        <w:rPr>
          <w:b/>
        </w:rPr>
        <w:t>study pa</w:t>
      </w:r>
      <w:r w:rsidR="00B53D49">
        <w:rPr>
          <w:b/>
        </w:rPr>
        <w:t>rticipants’ co-borrower consent:</w:t>
      </w:r>
    </w:p>
    <w:p w:rsidR="006A3A33" w:rsidRPr="006A3A33" w:rsidRDefault="007676F6" w:rsidP="006A3A33">
      <w:pPr>
        <w:pStyle w:val="BodyText"/>
        <w:ind w:left="360"/>
      </w:pPr>
      <w:r>
        <w:t>For study participants who originate a loan with one or more co</w:t>
      </w:r>
      <w:r w:rsidR="00382116">
        <w:t>-</w:t>
      </w:r>
      <w:r>
        <w:t>borrowers, the c</w:t>
      </w:r>
      <w:r w:rsidR="006A3A33">
        <w:t>o-borrowers</w:t>
      </w:r>
      <w:r>
        <w:t>’</w:t>
      </w:r>
      <w:r w:rsidR="006A3A33">
        <w:t xml:space="preserve"> consent will be obtained and provided to lenders to collect home loan origination and loan performance data. In order to receive this information from lenders participating in this study, we </w:t>
      </w:r>
      <w:r w:rsidR="006A3A33">
        <w:lastRenderedPageBreak/>
        <w:t>need consent from each person who is listed on a study participant’s home loan.</w:t>
      </w:r>
      <w:r w:rsidR="009949C8">
        <w:t xml:space="preserve"> </w:t>
      </w:r>
      <w:r w:rsidR="009E5815" w:rsidRPr="008F63BF">
        <w:t xml:space="preserve">The co-borrower’s consent form is provided in Appendix </w:t>
      </w:r>
      <w:r w:rsidR="005526A3" w:rsidRPr="008F63BF">
        <w:t>D</w:t>
      </w:r>
      <w:r w:rsidR="009E5815" w:rsidRPr="008F63BF">
        <w:t>.</w:t>
      </w:r>
    </w:p>
    <w:p w:rsidR="009E5815" w:rsidRDefault="009E5815" w:rsidP="00590FD6">
      <w:pPr>
        <w:pStyle w:val="BodyText"/>
        <w:numPr>
          <w:ilvl w:val="0"/>
          <w:numId w:val="6"/>
        </w:numPr>
        <w:ind w:left="360"/>
        <w:rPr>
          <w:b/>
        </w:rPr>
      </w:pPr>
      <w:r>
        <w:rPr>
          <w:b/>
        </w:rPr>
        <w:t>Collection of stud</w:t>
      </w:r>
      <w:r w:rsidR="00B53D49">
        <w:rPr>
          <w:b/>
        </w:rPr>
        <w:t>y participants’ baseline survey:</w:t>
      </w:r>
    </w:p>
    <w:p w:rsidR="009E5815" w:rsidRPr="008F63BF" w:rsidRDefault="009E5815" w:rsidP="009E5815">
      <w:pPr>
        <w:pStyle w:val="BodyText"/>
        <w:ind w:left="360"/>
      </w:pPr>
      <w:r>
        <w:t xml:space="preserve">The baseline survey will be used to collect baseline information on study participants that will be useful for several parts of the study.  The impact analyses will rely on the baseline survey for information on covariates, subgroups, and baseline measures of outcomes.  Additionally, the baseline survey includes the measures necessary to describe the study sample and examine the random assignment of study participants across groups.  </w:t>
      </w:r>
      <w:r w:rsidRPr="008F63BF">
        <w:t xml:space="preserve">The baseline survey is provided in Appendix </w:t>
      </w:r>
      <w:r w:rsidR="005526A3" w:rsidRPr="008F63BF">
        <w:t>E</w:t>
      </w:r>
      <w:r w:rsidRPr="008F63BF">
        <w:t>.</w:t>
      </w:r>
    </w:p>
    <w:p w:rsidR="009E5815" w:rsidRPr="00E27E52" w:rsidRDefault="009E5815" w:rsidP="00590FD6">
      <w:pPr>
        <w:pStyle w:val="BodyText"/>
        <w:numPr>
          <w:ilvl w:val="0"/>
          <w:numId w:val="6"/>
        </w:numPr>
        <w:ind w:left="360"/>
        <w:rPr>
          <w:b/>
        </w:rPr>
      </w:pPr>
      <w:r w:rsidRPr="00E27E52">
        <w:rPr>
          <w:b/>
        </w:rPr>
        <w:t>Collection of data on the intervention and on implementation of the study through interviews with study participants</w:t>
      </w:r>
      <w:r>
        <w:rPr>
          <w:b/>
        </w:rPr>
        <w:t>:</w:t>
      </w:r>
    </w:p>
    <w:p w:rsidR="009E5815" w:rsidRPr="008F63BF" w:rsidRDefault="009E5815" w:rsidP="009E5815">
      <w:pPr>
        <w:pStyle w:val="BodyText"/>
        <w:ind w:left="360"/>
        <w:rPr>
          <w:b/>
        </w:rPr>
      </w:pPr>
      <w:r>
        <w:t xml:space="preserve">Data collected through interviews with study participants will explore participants’ progress towards home purchase and their interaction with the participating lenders and counseling agencies. Interview participants will be asked about the processes of applying to a lender, study recruitment, enrollment, and participation in counseling services. </w:t>
      </w:r>
      <w:r w:rsidRPr="008F63BF">
        <w:t xml:space="preserve">The participant interview guide is provided in Appendix </w:t>
      </w:r>
      <w:r w:rsidR="005526A3" w:rsidRPr="008F63BF">
        <w:t>F</w:t>
      </w:r>
      <w:r w:rsidRPr="008F63BF">
        <w:t>.</w:t>
      </w:r>
    </w:p>
    <w:p w:rsidR="007A259C" w:rsidRDefault="007A259C" w:rsidP="00590FD6">
      <w:pPr>
        <w:pStyle w:val="BodyText"/>
        <w:numPr>
          <w:ilvl w:val="0"/>
          <w:numId w:val="6"/>
        </w:numPr>
        <w:ind w:left="360"/>
        <w:rPr>
          <w:b/>
        </w:rPr>
      </w:pPr>
      <w:r w:rsidRPr="007A259C">
        <w:rPr>
          <w:b/>
        </w:rPr>
        <w:t xml:space="preserve">Collection of study participants’ </w:t>
      </w:r>
      <w:r w:rsidR="00116B98">
        <w:rPr>
          <w:b/>
        </w:rPr>
        <w:t xml:space="preserve">housing </w:t>
      </w:r>
      <w:r w:rsidRPr="007A259C">
        <w:rPr>
          <w:b/>
        </w:rPr>
        <w:t xml:space="preserve">counseling service data from </w:t>
      </w:r>
      <w:r w:rsidR="00116B98">
        <w:rPr>
          <w:b/>
        </w:rPr>
        <w:t xml:space="preserve">HUD-approved housing </w:t>
      </w:r>
      <w:r w:rsidRPr="007A259C">
        <w:rPr>
          <w:b/>
        </w:rPr>
        <w:t>counseling agencies</w:t>
      </w:r>
      <w:r w:rsidR="006259B9">
        <w:rPr>
          <w:b/>
        </w:rPr>
        <w:t>:</w:t>
      </w:r>
    </w:p>
    <w:p w:rsidR="007A259C" w:rsidRPr="008F63BF" w:rsidRDefault="007A259C" w:rsidP="00A900DC">
      <w:pPr>
        <w:pStyle w:val="BodyText"/>
        <w:ind w:left="360"/>
      </w:pPr>
      <w:r>
        <w:t xml:space="preserve">The data collected from </w:t>
      </w:r>
      <w:r w:rsidR="00116B98">
        <w:t xml:space="preserve">housing </w:t>
      </w:r>
      <w:r>
        <w:t xml:space="preserve">counseling agencies will serve as the primary source of information on </w:t>
      </w:r>
      <w:r w:rsidR="00116B98">
        <w:t xml:space="preserve">housing </w:t>
      </w:r>
      <w:r>
        <w:t xml:space="preserve">counseling take-up, intensity, and completion. </w:t>
      </w:r>
      <w:r w:rsidR="009E5815" w:rsidRPr="008F63BF">
        <w:t>The</w:t>
      </w:r>
      <w:r w:rsidR="00116B98">
        <w:t xml:space="preserve"> housing</w:t>
      </w:r>
      <w:r w:rsidR="009E5815" w:rsidRPr="008F63BF">
        <w:t xml:space="preserve"> counseling agency service tracking data collection module is provided in Appendix </w:t>
      </w:r>
      <w:r w:rsidR="005526A3" w:rsidRPr="008F63BF">
        <w:t>G</w:t>
      </w:r>
      <w:r w:rsidR="009E5815" w:rsidRPr="008F63BF">
        <w:t>.</w:t>
      </w:r>
    </w:p>
    <w:p w:rsidR="007A259C" w:rsidRPr="00E27E52" w:rsidRDefault="007A259C" w:rsidP="00590FD6">
      <w:pPr>
        <w:pStyle w:val="BodyText"/>
        <w:numPr>
          <w:ilvl w:val="0"/>
          <w:numId w:val="6"/>
        </w:numPr>
        <w:ind w:left="360"/>
        <w:rPr>
          <w:b/>
        </w:rPr>
      </w:pPr>
      <w:r w:rsidRPr="00E27E52">
        <w:rPr>
          <w:b/>
        </w:rPr>
        <w:t xml:space="preserve">Collection of </w:t>
      </w:r>
      <w:r w:rsidR="002E5289" w:rsidRPr="00E27E52">
        <w:rPr>
          <w:b/>
        </w:rPr>
        <w:t xml:space="preserve">data on the intervention and on implementation of the study through </w:t>
      </w:r>
      <w:r w:rsidRPr="00E27E52">
        <w:rPr>
          <w:b/>
        </w:rPr>
        <w:t>interviews with staff from</w:t>
      </w:r>
      <w:r w:rsidR="00215268">
        <w:rPr>
          <w:b/>
        </w:rPr>
        <w:t xml:space="preserve"> </w:t>
      </w:r>
      <w:r w:rsidR="00116B98">
        <w:rPr>
          <w:b/>
        </w:rPr>
        <w:t xml:space="preserve">housing </w:t>
      </w:r>
      <w:r w:rsidR="00816F55">
        <w:rPr>
          <w:b/>
        </w:rPr>
        <w:t>counseling agencies</w:t>
      </w:r>
      <w:r w:rsidR="006259B9">
        <w:rPr>
          <w:b/>
        </w:rPr>
        <w:t>:</w:t>
      </w:r>
    </w:p>
    <w:p w:rsidR="0098389F" w:rsidRDefault="006F7541" w:rsidP="0098389F">
      <w:pPr>
        <w:pStyle w:val="BodyText"/>
        <w:ind w:left="360"/>
        <w:rPr>
          <w:szCs w:val="22"/>
        </w:rPr>
      </w:pPr>
      <w:r w:rsidRPr="00451233">
        <w:rPr>
          <w:szCs w:val="22"/>
        </w:rPr>
        <w:t xml:space="preserve">Data collected through the </w:t>
      </w:r>
      <w:r w:rsidR="00116B98">
        <w:rPr>
          <w:szCs w:val="22"/>
        </w:rPr>
        <w:t xml:space="preserve">housing </w:t>
      </w:r>
      <w:r w:rsidRPr="00451233">
        <w:rPr>
          <w:szCs w:val="22"/>
        </w:rPr>
        <w:t>c</w:t>
      </w:r>
      <w:r w:rsidR="00816F55">
        <w:rPr>
          <w:szCs w:val="22"/>
        </w:rPr>
        <w:t>ounseling agencies’</w:t>
      </w:r>
      <w:r w:rsidRPr="00451233">
        <w:rPr>
          <w:szCs w:val="22"/>
        </w:rPr>
        <w:t xml:space="preserve"> staff interviews will document the implementation procedures and activities conducted at each organization and gather staff members’ input about the issues involved in implementation. </w:t>
      </w:r>
      <w:r w:rsidR="00451233" w:rsidRPr="00451233">
        <w:rPr>
          <w:szCs w:val="22"/>
        </w:rPr>
        <w:t>This information will also document fe</w:t>
      </w:r>
      <w:r w:rsidR="0098389F">
        <w:rPr>
          <w:szCs w:val="22"/>
        </w:rPr>
        <w:t xml:space="preserve">edback from </w:t>
      </w:r>
      <w:r w:rsidR="00116B98">
        <w:rPr>
          <w:szCs w:val="22"/>
        </w:rPr>
        <w:t xml:space="preserve">housing </w:t>
      </w:r>
      <w:r w:rsidR="0098389F">
        <w:rPr>
          <w:szCs w:val="22"/>
        </w:rPr>
        <w:t xml:space="preserve">counseling agencies </w:t>
      </w:r>
      <w:r w:rsidR="00451233" w:rsidRPr="00451233">
        <w:rPr>
          <w:szCs w:val="22"/>
        </w:rPr>
        <w:t>on whether there are problems with the implementation of the study design and the extent to which the study is implemented as designed.</w:t>
      </w:r>
      <w:r w:rsidR="00215268">
        <w:rPr>
          <w:szCs w:val="22"/>
        </w:rPr>
        <w:t xml:space="preserve"> </w:t>
      </w:r>
      <w:r w:rsidR="005526A3" w:rsidRPr="008F63BF">
        <w:rPr>
          <w:szCs w:val="22"/>
        </w:rPr>
        <w:t>The</w:t>
      </w:r>
      <w:r w:rsidR="00116B98">
        <w:rPr>
          <w:szCs w:val="22"/>
        </w:rPr>
        <w:t xml:space="preserve"> housing</w:t>
      </w:r>
      <w:r w:rsidR="005526A3" w:rsidRPr="008F63BF">
        <w:rPr>
          <w:szCs w:val="22"/>
        </w:rPr>
        <w:t xml:space="preserve"> counseling agency staff interview guide is provided in Appendix H.</w:t>
      </w:r>
    </w:p>
    <w:p w:rsidR="008C5E8F" w:rsidRDefault="00C64DA5" w:rsidP="00C64DA5">
      <w:pPr>
        <w:pStyle w:val="BodyText"/>
        <w:ind w:left="360" w:hanging="360"/>
        <w:rPr>
          <w:b/>
        </w:rPr>
      </w:pPr>
      <w:r>
        <w:rPr>
          <w:b/>
        </w:rPr>
        <w:t xml:space="preserve">(8) </w:t>
      </w:r>
      <w:r>
        <w:rPr>
          <w:b/>
        </w:rPr>
        <w:tab/>
      </w:r>
      <w:r w:rsidR="008C5E8F" w:rsidRPr="008C5E8F">
        <w:rPr>
          <w:b/>
        </w:rPr>
        <w:t>Collection of data from observations, interviews, and rep</w:t>
      </w:r>
      <w:r w:rsidR="006259B9">
        <w:rPr>
          <w:b/>
        </w:rPr>
        <w:t>orts from the lenders’ customer</w:t>
      </w:r>
      <w:r w:rsidR="00215268">
        <w:rPr>
          <w:b/>
        </w:rPr>
        <w:t xml:space="preserve"> </w:t>
      </w:r>
      <w:r w:rsidR="006259B9">
        <w:rPr>
          <w:b/>
        </w:rPr>
        <w:t>service</w:t>
      </w:r>
      <w:r w:rsidR="00215268">
        <w:rPr>
          <w:b/>
        </w:rPr>
        <w:t xml:space="preserve"> </w:t>
      </w:r>
      <w:r w:rsidR="008C5E8F" w:rsidRPr="008C5E8F">
        <w:rPr>
          <w:b/>
        </w:rPr>
        <w:t>teams</w:t>
      </w:r>
      <w:r w:rsidR="006259B9">
        <w:rPr>
          <w:b/>
        </w:rPr>
        <w:t>:</w:t>
      </w:r>
    </w:p>
    <w:p w:rsidR="008C5E8F" w:rsidRDefault="008C5E8F" w:rsidP="008C5E8F">
      <w:pPr>
        <w:pStyle w:val="BodyText"/>
        <w:ind w:left="360" w:hanging="360"/>
      </w:pPr>
      <w:r>
        <w:rPr>
          <w:b/>
        </w:rPr>
        <w:tab/>
      </w:r>
      <w:r>
        <w:t xml:space="preserve">Data collected through observations and interviews with the participating lenders’ customer service teams will document how </w:t>
      </w:r>
      <w:proofErr w:type="gramStart"/>
      <w:r>
        <w:t>staff have</w:t>
      </w:r>
      <w:proofErr w:type="gramEnd"/>
      <w:r>
        <w:t xml:space="preserve"> been trained to conduct study recruitment telephone calls with customers and how they are implemented. Additionally, follow-up interview questions will allow the study team to document the customer service teams experience making recruitment telephone calls, specifical</w:t>
      </w:r>
      <w:r w:rsidR="006259B9">
        <w:t>ly how the study i</w:t>
      </w:r>
      <w:r>
        <w:t>s perceived by</w:t>
      </w:r>
      <w:r w:rsidR="006259B9">
        <w:t xml:space="preserve"> customers and if customers are</w:t>
      </w:r>
      <w:r>
        <w:t xml:space="preserve"> interested in learning more about the study.</w:t>
      </w:r>
      <w:r w:rsidR="00215268">
        <w:t xml:space="preserve"> </w:t>
      </w:r>
      <w:r w:rsidR="003042FA">
        <w:t>The lender</w:t>
      </w:r>
      <w:r w:rsidR="005526A3" w:rsidRPr="008F63BF">
        <w:t>, observation</w:t>
      </w:r>
      <w:r w:rsidR="000F680A">
        <w:t xml:space="preserve"> and interview</w:t>
      </w:r>
      <w:r w:rsidR="005526A3" w:rsidRPr="008F63BF">
        <w:t xml:space="preserve"> guide, and lender recruitment outcome </w:t>
      </w:r>
      <w:proofErr w:type="gramStart"/>
      <w:r w:rsidR="000F680A">
        <w:t xml:space="preserve">report </w:t>
      </w:r>
      <w:r w:rsidR="005526A3" w:rsidRPr="008F63BF">
        <w:t xml:space="preserve"> are</w:t>
      </w:r>
      <w:proofErr w:type="gramEnd"/>
      <w:r w:rsidR="005526A3" w:rsidRPr="008F63BF">
        <w:t xml:space="preserve"> p</w:t>
      </w:r>
      <w:r w:rsidR="00F77DE8" w:rsidRPr="008F63BF">
        <w:t>resented in Appendices  J, and</w:t>
      </w:r>
      <w:r w:rsidR="005526A3" w:rsidRPr="008F63BF">
        <w:t xml:space="preserve"> K.</w:t>
      </w:r>
    </w:p>
    <w:p w:rsidR="00D04634" w:rsidRDefault="00B53D49" w:rsidP="00590FD6">
      <w:pPr>
        <w:pStyle w:val="BodyText"/>
        <w:numPr>
          <w:ilvl w:val="0"/>
          <w:numId w:val="12"/>
        </w:numPr>
        <w:ind w:left="360"/>
        <w:rPr>
          <w:b/>
        </w:rPr>
      </w:pPr>
      <w:r>
        <w:rPr>
          <w:b/>
        </w:rPr>
        <w:t>Collection of contact information from study p</w:t>
      </w:r>
      <w:r w:rsidR="00D04634">
        <w:rPr>
          <w:b/>
        </w:rPr>
        <w:t>articipants.</w:t>
      </w:r>
    </w:p>
    <w:p w:rsidR="00D04634" w:rsidRPr="008F63BF" w:rsidRDefault="00D04634" w:rsidP="00424FA3">
      <w:pPr>
        <w:ind w:left="450" w:hanging="450"/>
        <w:rPr>
          <w:i/>
        </w:rPr>
      </w:pPr>
      <w:r>
        <w:rPr>
          <w:b/>
        </w:rPr>
        <w:lastRenderedPageBreak/>
        <w:tab/>
      </w:r>
      <w:r w:rsidR="00424FA3">
        <w:t xml:space="preserve">Every four months, the study team will mail study participants a letter asking for updated contact information. If their contact information has changed since they agreed to participate in the study, study participants simply need to update the form and mail it </w:t>
      </w:r>
      <w:r w:rsidR="00424FA3" w:rsidRPr="00424FA3">
        <w:t>back</w:t>
      </w:r>
      <w:r w:rsidRPr="008F63BF">
        <w:t xml:space="preserve">. The study participant tracking </w:t>
      </w:r>
      <w:r w:rsidR="00F77DE8" w:rsidRPr="008F63BF">
        <w:t>letter is provided in Appendix L</w:t>
      </w:r>
      <w:r w:rsidRPr="008F63BF">
        <w:t>.</w:t>
      </w:r>
    </w:p>
    <w:p w:rsidR="00D04634" w:rsidRDefault="00D04634" w:rsidP="00590FD6">
      <w:pPr>
        <w:pStyle w:val="BodyText"/>
        <w:numPr>
          <w:ilvl w:val="0"/>
          <w:numId w:val="12"/>
        </w:numPr>
        <w:ind w:left="0" w:firstLine="0"/>
        <w:rPr>
          <w:b/>
        </w:rPr>
      </w:pPr>
      <w:r w:rsidRPr="00513563">
        <w:rPr>
          <w:b/>
        </w:rPr>
        <w:t xml:space="preserve">Collection of study participants’ credit </w:t>
      </w:r>
      <w:r>
        <w:rPr>
          <w:b/>
        </w:rPr>
        <w:t>bureau</w:t>
      </w:r>
      <w:r w:rsidRPr="00513563">
        <w:rPr>
          <w:b/>
        </w:rPr>
        <w:t xml:space="preserve"> data from Equifax</w:t>
      </w:r>
      <w:r>
        <w:rPr>
          <w:b/>
        </w:rPr>
        <w:t>:</w:t>
      </w:r>
    </w:p>
    <w:p w:rsidR="00D04634" w:rsidRPr="00513563" w:rsidRDefault="00D04634" w:rsidP="00D04634">
      <w:pPr>
        <w:pStyle w:val="BodyText"/>
        <w:ind w:left="330"/>
      </w:pPr>
      <w:r w:rsidRPr="00513563">
        <w:t>Credit score data obtained from Equifax will provide</w:t>
      </w:r>
      <w:r>
        <w:t xml:space="preserve"> the study team the ability to monitor the credit score distribution of enrolled study participants and a key baseline measure of study participant credit quality.</w:t>
      </w:r>
    </w:p>
    <w:p w:rsidR="008C5E8F" w:rsidRDefault="008C5E8F" w:rsidP="00590FD6">
      <w:pPr>
        <w:pStyle w:val="BodyText"/>
        <w:numPr>
          <w:ilvl w:val="0"/>
          <w:numId w:val="12"/>
        </w:numPr>
        <w:ind w:left="360"/>
        <w:rPr>
          <w:b/>
        </w:rPr>
      </w:pPr>
      <w:r w:rsidRPr="008C5E8F">
        <w:rPr>
          <w:b/>
        </w:rPr>
        <w:t>Collection of data on study participant’s loan origination and mortgage performance</w:t>
      </w:r>
      <w:r w:rsidR="006259B9">
        <w:rPr>
          <w:b/>
        </w:rPr>
        <w:t>:</w:t>
      </w:r>
    </w:p>
    <w:p w:rsidR="00F77DE8" w:rsidRPr="008F63BF" w:rsidRDefault="008C5E8F" w:rsidP="005956BC">
      <w:pPr>
        <w:pStyle w:val="BodyText"/>
        <w:ind w:left="360"/>
        <w:rPr>
          <w:i/>
        </w:rPr>
      </w:pPr>
      <w:r>
        <w:t xml:space="preserve">Data collected from lenders and the </w:t>
      </w:r>
      <w:r w:rsidR="0037703F">
        <w:t xml:space="preserve">Federal Housing Administration </w:t>
      </w:r>
      <w:r>
        <w:t xml:space="preserve">on study participants loan origination and mortgage performance </w:t>
      </w:r>
      <w:r w:rsidR="0037703F">
        <w:t xml:space="preserve">will document detailed information on the timing of </w:t>
      </w:r>
      <w:r w:rsidR="006259B9">
        <w:t xml:space="preserve">a </w:t>
      </w:r>
      <w:r w:rsidR="0037703F">
        <w:t>home purchase, purchase price and down payment, monthly housing costs, and mortgage terms and conditions.</w:t>
      </w:r>
      <w:r w:rsidR="009949C8">
        <w:t xml:space="preserve"> </w:t>
      </w:r>
      <w:r w:rsidR="00F77DE8" w:rsidRPr="008F63BF">
        <w:t>The loan origination and performance data collected from lender are presented in Appendix M.</w:t>
      </w:r>
    </w:p>
    <w:p w:rsidR="00F77DE8" w:rsidRDefault="005956BC" w:rsidP="00F77DE8">
      <w:pPr>
        <w:pStyle w:val="BodyText"/>
      </w:pPr>
      <w:r>
        <w:t>Additionally, there are 7</w:t>
      </w:r>
      <w:r w:rsidR="00F77DE8">
        <w:t xml:space="preserve"> appendices that will be included in this submission that are not data collection instruments</w:t>
      </w:r>
      <w:r w:rsidR="00E55A90">
        <w:t>:</w:t>
      </w:r>
    </w:p>
    <w:p w:rsidR="00F77DE8" w:rsidRDefault="00F77DE8" w:rsidP="00590FD6">
      <w:pPr>
        <w:pStyle w:val="Bullets"/>
      </w:pPr>
      <w:r>
        <w:t>Appendix N contains the Bank of Am</w:t>
      </w:r>
      <w:r w:rsidR="005956BC">
        <w:t>erica concierge team’s study participant recruitment script</w:t>
      </w:r>
      <w:r>
        <w:t>.</w:t>
      </w:r>
    </w:p>
    <w:p w:rsidR="00F77DE8" w:rsidRDefault="00F77DE8" w:rsidP="00590FD6">
      <w:pPr>
        <w:pStyle w:val="Bullets"/>
      </w:pPr>
      <w:r>
        <w:t xml:space="preserve">Appendix </w:t>
      </w:r>
      <w:r w:rsidR="005956BC">
        <w:t>O contains the Bank of America c</w:t>
      </w:r>
      <w:r>
        <w:t xml:space="preserve">oncierge </w:t>
      </w:r>
      <w:r w:rsidR="005956BC">
        <w:t>team’s study participant voicemail s</w:t>
      </w:r>
      <w:r>
        <w:t>cript.</w:t>
      </w:r>
    </w:p>
    <w:p w:rsidR="00F77DE8" w:rsidRDefault="00F77DE8" w:rsidP="00590FD6">
      <w:pPr>
        <w:pStyle w:val="Bullets"/>
      </w:pPr>
      <w:r>
        <w:t xml:space="preserve">Appendix P contains the Wells Fargo/Maritz </w:t>
      </w:r>
      <w:r w:rsidR="005956BC">
        <w:t>team’s study participant recruitment script.</w:t>
      </w:r>
    </w:p>
    <w:p w:rsidR="005956BC" w:rsidRDefault="005956BC" w:rsidP="00590FD6">
      <w:pPr>
        <w:pStyle w:val="Bullets"/>
      </w:pPr>
      <w:r>
        <w:t>Appendix Q contains the Citibank study participant recruitment script.</w:t>
      </w:r>
    </w:p>
    <w:p w:rsidR="005956BC" w:rsidRDefault="005956BC" w:rsidP="00590FD6">
      <w:pPr>
        <w:pStyle w:val="Bullets"/>
      </w:pPr>
      <w:r>
        <w:t xml:space="preserve">Appendix R contains the study recruitment letter to local </w:t>
      </w:r>
      <w:r w:rsidR="005B362D">
        <w:t xml:space="preserve">HUD-approved housing </w:t>
      </w:r>
      <w:r>
        <w:t>counseling agencies.</w:t>
      </w:r>
    </w:p>
    <w:p w:rsidR="005956BC" w:rsidRDefault="005956BC" w:rsidP="00590FD6">
      <w:pPr>
        <w:pStyle w:val="Bullets"/>
      </w:pPr>
      <w:r>
        <w:t>Appendix S contains samples of the random assignment letter to study participants.</w:t>
      </w:r>
    </w:p>
    <w:p w:rsidR="00E55A90" w:rsidRDefault="005956BC" w:rsidP="00590FD6">
      <w:pPr>
        <w:pStyle w:val="BulletsLast"/>
      </w:pPr>
      <w:r>
        <w:t>Appendix T cont</w:t>
      </w:r>
      <w:r w:rsidR="00B65F28">
        <w:t>ains the samples of the outreach letter</w:t>
      </w:r>
      <w:r>
        <w:t xml:space="preserve"> to non-responsive study participants.</w:t>
      </w:r>
    </w:p>
    <w:p w:rsidR="00271094" w:rsidRDefault="00271094" w:rsidP="00590FD6">
      <w:pPr>
        <w:pStyle w:val="BulletsLast"/>
      </w:pPr>
      <w:r>
        <w:t>Appendix U contains language for a study overview document that will be sent to potential study participants.</w:t>
      </w:r>
    </w:p>
    <w:p w:rsidR="00271094" w:rsidRDefault="00271094" w:rsidP="00590FD6">
      <w:pPr>
        <w:pStyle w:val="BulletsLast"/>
      </w:pPr>
      <w:r>
        <w:t>Appendix V contains language for a letter sent to potential study participants.</w:t>
      </w:r>
    </w:p>
    <w:p w:rsidR="00271094" w:rsidRPr="007A259C" w:rsidRDefault="00271094" w:rsidP="00590FD6">
      <w:pPr>
        <w:pStyle w:val="BulletsLast"/>
      </w:pPr>
      <w:r>
        <w:t>Appendix W</w:t>
      </w:r>
      <w:r w:rsidR="007A155F">
        <w:t xml:space="preserve"> contains</w:t>
      </w:r>
      <w:r>
        <w:t xml:space="preserve"> a sample brochure that will be sent to potential study participants and used by lenders at their branch locations and community events.</w:t>
      </w:r>
    </w:p>
    <w:p w:rsidR="005418B8" w:rsidRDefault="006F7541" w:rsidP="006F7541">
      <w:pPr>
        <w:pStyle w:val="Heading3"/>
      </w:pPr>
      <w:bookmarkStart w:id="5" w:name="_Toc332378268"/>
      <w:r>
        <w:t>Who Will Use this Information</w:t>
      </w:r>
      <w:bookmarkEnd w:id="5"/>
    </w:p>
    <w:p w:rsidR="00802A0B" w:rsidRDefault="001D54D3" w:rsidP="00DA7C8E">
      <w:pPr>
        <w:pStyle w:val="BodyText"/>
        <w:spacing w:line="276" w:lineRule="auto"/>
      </w:pPr>
      <w:r>
        <w:t xml:space="preserve">The primary beneficiary of the planned data collection will be HUD, which will use the information from the study to understand the impact of pre-purchase homeownership education and counseling on a range of outcomes for </w:t>
      </w:r>
      <w:proofErr w:type="gramStart"/>
      <w:r w:rsidR="00EE6B5C">
        <w:t xml:space="preserve">LMMI </w:t>
      </w:r>
      <w:r>
        <w:t>,</w:t>
      </w:r>
      <w:proofErr w:type="gramEnd"/>
      <w:r>
        <w:t xml:space="preserve"> first-time homebuyers</w:t>
      </w:r>
      <w:r w:rsidR="00EB7E84">
        <w:t xml:space="preserve">. </w:t>
      </w:r>
      <w:r w:rsidR="002D79F5">
        <w:t>The findings of the eventual impact analyses</w:t>
      </w:r>
      <w:r w:rsidR="009F027C">
        <w:t xml:space="preserve"> will be published by HUD and </w:t>
      </w:r>
      <w:r w:rsidR="002D79F5">
        <w:t>are relevant to a broader set of policymakers, financial institutions, counseling agencies, and researchers</w:t>
      </w:r>
      <w:r w:rsidR="00EB7E84">
        <w:t xml:space="preserve">. </w:t>
      </w:r>
    </w:p>
    <w:p w:rsidR="00802A0B" w:rsidRDefault="006F7541" w:rsidP="00802A0B">
      <w:pPr>
        <w:pStyle w:val="Heading3"/>
      </w:pPr>
      <w:bookmarkStart w:id="6" w:name="_Toc332378269"/>
      <w:r>
        <w:lastRenderedPageBreak/>
        <w:t>Instrument Item-by-Item Justification C</w:t>
      </w:r>
      <w:r w:rsidR="00802A0B">
        <w:t>hart</w:t>
      </w:r>
      <w:bookmarkEnd w:id="6"/>
    </w:p>
    <w:p w:rsidR="009949C8" w:rsidRDefault="00FB38F7" w:rsidP="00802A0B">
      <w:pPr>
        <w:pStyle w:val="BodyText"/>
      </w:pPr>
      <w:r>
        <w:t xml:space="preserve">Exhibit A-2 describes the target respondents, content, and reason </w:t>
      </w:r>
      <w:r w:rsidR="00EB470C">
        <w:t>f</w:t>
      </w:r>
      <w:r>
        <w:t xml:space="preserve">or inclusion for each data collection activity that involves study participants and </w:t>
      </w:r>
      <w:r w:rsidR="00B65A8D">
        <w:t xml:space="preserve">staff from </w:t>
      </w:r>
      <w:r>
        <w:t xml:space="preserve">participating lenders and counseling agencies. </w:t>
      </w:r>
      <w:r w:rsidR="005956BC">
        <w:t xml:space="preserve">This chart only lists items that are data collection instruments. </w:t>
      </w:r>
      <w:r>
        <w:t>Copies of the data collection instruments</w:t>
      </w:r>
      <w:r w:rsidR="00CF07C4">
        <w:t xml:space="preserve"> are provided as Appendices.</w:t>
      </w:r>
    </w:p>
    <w:p w:rsidR="00CF07C4" w:rsidRPr="00E27E52" w:rsidRDefault="00A900DC" w:rsidP="00A900DC">
      <w:pPr>
        <w:pStyle w:val="Caption"/>
      </w:pPr>
      <w:proofErr w:type="gramStart"/>
      <w:r>
        <w:t>Exhibit A-2.</w:t>
      </w:r>
      <w:proofErr w:type="gramEnd"/>
      <w:r>
        <w:tab/>
      </w:r>
      <w:r w:rsidR="00CF07C4" w:rsidRPr="00CF07C4">
        <w:t>Item</w:t>
      </w:r>
      <w:r w:rsidR="0034182B">
        <w:t>-</w:t>
      </w:r>
      <w:r w:rsidR="00CF07C4" w:rsidRPr="00CF07C4">
        <w:t>by</w:t>
      </w:r>
      <w:r w:rsidR="0034182B">
        <w:t>-</w:t>
      </w:r>
      <w:r w:rsidR="00CF07C4" w:rsidRPr="00CF07C4">
        <w:t>Item Justification of Data Collection Instruments</w:t>
      </w:r>
    </w:p>
    <w:tbl>
      <w:tblPr>
        <w:tblStyle w:val="TableGrid"/>
        <w:tblW w:w="0" w:type="auto"/>
        <w:tblBorders>
          <w:top w:val="single" w:sz="4" w:space="0" w:color="666969"/>
          <w:left w:val="single" w:sz="4" w:space="0" w:color="666969"/>
          <w:bottom w:val="single" w:sz="4" w:space="0" w:color="666969"/>
          <w:right w:val="single" w:sz="4" w:space="0" w:color="666969"/>
          <w:insideH w:val="single" w:sz="4" w:space="0" w:color="666969"/>
          <w:insideV w:val="single" w:sz="4" w:space="0" w:color="666969"/>
        </w:tblBorders>
        <w:tblLook w:val="04A0" w:firstRow="1" w:lastRow="0" w:firstColumn="1" w:lastColumn="0" w:noHBand="0" w:noVBand="1"/>
      </w:tblPr>
      <w:tblGrid>
        <w:gridCol w:w="1780"/>
        <w:gridCol w:w="2373"/>
        <w:gridCol w:w="5063"/>
      </w:tblGrid>
      <w:tr w:rsidR="00CF07C4" w:rsidRPr="00A900DC" w:rsidTr="00B65F28">
        <w:trPr>
          <w:cantSplit/>
          <w:tblHeader/>
        </w:trPr>
        <w:tc>
          <w:tcPr>
            <w:tcW w:w="1818" w:type="dxa"/>
            <w:tcBorders>
              <w:bottom w:val="single" w:sz="4" w:space="0" w:color="666969"/>
            </w:tcBorders>
            <w:shd w:val="clear" w:color="auto" w:fill="C3C6A8" w:themeFill="accent4"/>
          </w:tcPr>
          <w:p w:rsidR="00CF07C4" w:rsidRPr="00A900DC" w:rsidRDefault="00CF07C4" w:rsidP="00A900DC">
            <w:pPr>
              <w:spacing w:after="0"/>
              <w:rPr>
                <w:rFonts w:ascii="Arial" w:hAnsi="Arial" w:cs="Arial"/>
                <w:b/>
                <w:sz w:val="20"/>
              </w:rPr>
            </w:pPr>
            <w:r w:rsidRPr="00A900DC">
              <w:rPr>
                <w:rFonts w:ascii="Arial" w:hAnsi="Arial" w:cs="Arial"/>
                <w:b/>
                <w:sz w:val="20"/>
              </w:rPr>
              <w:t>Data Collection Activity</w:t>
            </w:r>
          </w:p>
        </w:tc>
        <w:tc>
          <w:tcPr>
            <w:tcW w:w="1890" w:type="dxa"/>
            <w:shd w:val="clear" w:color="auto" w:fill="C3C6A8" w:themeFill="accent4"/>
          </w:tcPr>
          <w:p w:rsidR="00CF07C4" w:rsidRPr="00A900DC" w:rsidRDefault="00CF07C4" w:rsidP="00A900DC">
            <w:pPr>
              <w:spacing w:after="0"/>
              <w:rPr>
                <w:rFonts w:ascii="Arial" w:hAnsi="Arial" w:cs="Arial"/>
                <w:b/>
                <w:sz w:val="20"/>
              </w:rPr>
            </w:pPr>
            <w:r w:rsidRPr="00A900DC">
              <w:rPr>
                <w:rFonts w:ascii="Arial" w:hAnsi="Arial" w:cs="Arial"/>
                <w:b/>
                <w:sz w:val="20"/>
              </w:rPr>
              <w:t>Data Collection Instrument(s)</w:t>
            </w:r>
          </w:p>
        </w:tc>
        <w:tc>
          <w:tcPr>
            <w:tcW w:w="5490" w:type="dxa"/>
            <w:shd w:val="clear" w:color="auto" w:fill="C3C6A8" w:themeFill="accent4"/>
            <w:vAlign w:val="bottom"/>
          </w:tcPr>
          <w:p w:rsidR="00CF07C4" w:rsidRPr="00A900DC" w:rsidRDefault="00CF07C4" w:rsidP="00190EC9">
            <w:pPr>
              <w:spacing w:after="0"/>
              <w:rPr>
                <w:rFonts w:ascii="Arial" w:hAnsi="Arial" w:cs="Arial"/>
                <w:b/>
                <w:sz w:val="20"/>
              </w:rPr>
            </w:pPr>
            <w:r w:rsidRPr="00A900DC">
              <w:rPr>
                <w:rFonts w:ascii="Arial" w:hAnsi="Arial" w:cs="Arial"/>
                <w:b/>
                <w:sz w:val="20"/>
              </w:rPr>
              <w:t>Respondents, Content, and Reason for Inclusion</w:t>
            </w:r>
          </w:p>
        </w:tc>
      </w:tr>
      <w:tr w:rsidR="00A5761D" w:rsidRPr="00A900DC" w:rsidTr="00B65F28">
        <w:trPr>
          <w:cantSplit/>
        </w:trPr>
        <w:tc>
          <w:tcPr>
            <w:tcW w:w="1818" w:type="dxa"/>
            <w:shd w:val="clear" w:color="auto" w:fill="898D8D"/>
          </w:tcPr>
          <w:p w:rsidR="00B2638B" w:rsidRPr="00C64DA5" w:rsidRDefault="006B0269" w:rsidP="00D04634">
            <w:pPr>
              <w:spacing w:after="0"/>
              <w:rPr>
                <w:rFonts w:ascii="Arial" w:hAnsi="Arial" w:cs="Arial"/>
                <w:b/>
                <w:color w:val="F0F4F6" w:themeColor="background1" w:themeTint="33"/>
                <w:sz w:val="20"/>
              </w:rPr>
            </w:pPr>
            <w:r w:rsidRPr="00C64DA5">
              <w:rPr>
                <w:rFonts w:ascii="Arial" w:hAnsi="Arial" w:cs="Arial"/>
                <w:b/>
                <w:color w:val="F0F4F6" w:themeColor="background1" w:themeTint="33"/>
                <w:sz w:val="20"/>
              </w:rPr>
              <w:t>Intake Information on Potential Study Participants</w:t>
            </w:r>
          </w:p>
        </w:tc>
        <w:tc>
          <w:tcPr>
            <w:tcW w:w="1890" w:type="dxa"/>
          </w:tcPr>
          <w:p w:rsidR="006B0269" w:rsidRPr="00A900DC" w:rsidRDefault="006B0269" w:rsidP="00A900DC">
            <w:pPr>
              <w:spacing w:after="0"/>
              <w:rPr>
                <w:rFonts w:ascii="Arial" w:hAnsi="Arial" w:cs="Arial"/>
                <w:b/>
                <w:sz w:val="20"/>
              </w:rPr>
            </w:pPr>
            <w:r w:rsidRPr="00A900DC">
              <w:rPr>
                <w:rFonts w:ascii="Arial" w:hAnsi="Arial" w:cs="Arial"/>
                <w:b/>
                <w:sz w:val="20"/>
              </w:rPr>
              <w:t>Lender Intake Form</w:t>
            </w:r>
          </w:p>
          <w:p w:rsidR="006E0445" w:rsidRPr="00A900DC" w:rsidRDefault="006E0445" w:rsidP="00A900DC">
            <w:pPr>
              <w:spacing w:after="0"/>
              <w:rPr>
                <w:rFonts w:ascii="Arial" w:hAnsi="Arial" w:cs="Arial"/>
                <w:b/>
                <w:sz w:val="20"/>
              </w:rPr>
            </w:pPr>
            <w:r w:rsidRPr="00A900DC">
              <w:rPr>
                <w:rFonts w:ascii="Arial" w:hAnsi="Arial" w:cs="Arial"/>
                <w:b/>
                <w:sz w:val="20"/>
              </w:rPr>
              <w:t>(Appendix A)</w:t>
            </w:r>
          </w:p>
        </w:tc>
        <w:tc>
          <w:tcPr>
            <w:tcW w:w="5490" w:type="dxa"/>
          </w:tcPr>
          <w:p w:rsidR="00B2638B" w:rsidRPr="00A900DC" w:rsidRDefault="00B2638B" w:rsidP="00A900DC">
            <w:pPr>
              <w:rPr>
                <w:rFonts w:ascii="Arial" w:hAnsi="Arial" w:cs="Arial"/>
                <w:sz w:val="20"/>
              </w:rPr>
            </w:pPr>
            <w:r w:rsidRPr="00A900DC">
              <w:rPr>
                <w:rFonts w:ascii="Arial" w:hAnsi="Arial" w:cs="Arial"/>
                <w:b/>
                <w:sz w:val="20"/>
              </w:rPr>
              <w:t xml:space="preserve">Respondents: </w:t>
            </w:r>
            <w:r w:rsidR="00E27E52" w:rsidRPr="00A900DC">
              <w:rPr>
                <w:rFonts w:ascii="Arial" w:hAnsi="Arial" w:cs="Arial"/>
                <w:sz w:val="20"/>
              </w:rPr>
              <w:t>L</w:t>
            </w:r>
            <w:r w:rsidR="00513563">
              <w:rPr>
                <w:rFonts w:ascii="Arial" w:hAnsi="Arial" w:cs="Arial"/>
                <w:sz w:val="20"/>
              </w:rPr>
              <w:t>enders’ staff</w:t>
            </w:r>
            <w:r w:rsidRPr="00A900DC">
              <w:rPr>
                <w:rFonts w:ascii="Arial" w:hAnsi="Arial" w:cs="Arial"/>
                <w:sz w:val="20"/>
              </w:rPr>
              <w:t xml:space="preserve"> at </w:t>
            </w:r>
            <w:r w:rsidR="00903E4B" w:rsidRPr="00A900DC">
              <w:rPr>
                <w:rFonts w:ascii="Arial" w:hAnsi="Arial" w:cs="Arial"/>
                <w:sz w:val="20"/>
              </w:rPr>
              <w:t>3 national</w:t>
            </w:r>
            <w:r w:rsidR="009949C8">
              <w:rPr>
                <w:rFonts w:ascii="Arial" w:hAnsi="Arial" w:cs="Arial"/>
                <w:sz w:val="20"/>
              </w:rPr>
              <w:t xml:space="preserve"> </w:t>
            </w:r>
            <w:r w:rsidRPr="00A900DC">
              <w:rPr>
                <w:rFonts w:ascii="Arial" w:hAnsi="Arial" w:cs="Arial"/>
                <w:sz w:val="20"/>
              </w:rPr>
              <w:t>study</w:t>
            </w:r>
            <w:r w:rsidR="00CC62A6">
              <w:rPr>
                <w:rFonts w:ascii="Arial" w:hAnsi="Arial" w:cs="Arial"/>
                <w:sz w:val="20"/>
              </w:rPr>
              <w:t>-</w:t>
            </w:r>
            <w:r w:rsidRPr="00A900DC">
              <w:rPr>
                <w:rFonts w:ascii="Arial" w:hAnsi="Arial" w:cs="Arial"/>
                <w:sz w:val="20"/>
              </w:rPr>
              <w:t>participating lenders</w:t>
            </w:r>
            <w:r w:rsidR="00513563">
              <w:rPr>
                <w:rFonts w:ascii="Arial" w:hAnsi="Arial" w:cs="Arial"/>
                <w:b/>
                <w:sz w:val="20"/>
              </w:rPr>
              <w:t>.</w:t>
            </w:r>
          </w:p>
          <w:p w:rsidR="00B2638B" w:rsidRPr="00A900DC" w:rsidRDefault="00B2638B" w:rsidP="00A900DC">
            <w:pPr>
              <w:spacing w:after="0"/>
              <w:rPr>
                <w:rFonts w:ascii="Arial" w:hAnsi="Arial" w:cs="Arial"/>
                <w:b/>
                <w:sz w:val="20"/>
              </w:rPr>
            </w:pPr>
            <w:r w:rsidRPr="00A900DC">
              <w:rPr>
                <w:rFonts w:ascii="Arial" w:hAnsi="Arial" w:cs="Arial"/>
                <w:b/>
                <w:sz w:val="20"/>
              </w:rPr>
              <w:t xml:space="preserve">Content: </w:t>
            </w:r>
          </w:p>
          <w:p w:rsidR="00B2638B" w:rsidRPr="00A900DC" w:rsidRDefault="005F1BAC" w:rsidP="00590FD6">
            <w:pPr>
              <w:pStyle w:val="ListParagraph"/>
              <w:numPr>
                <w:ilvl w:val="0"/>
                <w:numId w:val="9"/>
              </w:numPr>
              <w:spacing w:after="0" w:line="264" w:lineRule="auto"/>
              <w:ind w:left="351" w:hanging="270"/>
              <w:rPr>
                <w:rFonts w:ascii="Arial" w:hAnsi="Arial" w:cs="Arial"/>
                <w:sz w:val="20"/>
                <w:szCs w:val="20"/>
              </w:rPr>
            </w:pPr>
            <w:r>
              <w:rPr>
                <w:rFonts w:ascii="Arial" w:hAnsi="Arial" w:cs="Arial"/>
                <w:sz w:val="20"/>
                <w:szCs w:val="20"/>
              </w:rPr>
              <w:t>Customer’s</w:t>
            </w:r>
            <w:r w:rsidR="00B2638B" w:rsidRPr="00A900DC">
              <w:rPr>
                <w:rFonts w:ascii="Arial" w:hAnsi="Arial" w:cs="Arial"/>
                <w:sz w:val="20"/>
                <w:szCs w:val="20"/>
              </w:rPr>
              <w:t xml:space="preserve"> first and last name</w:t>
            </w:r>
            <w:r w:rsidR="006E0445" w:rsidRPr="00A900DC">
              <w:rPr>
                <w:rFonts w:ascii="Arial" w:hAnsi="Arial" w:cs="Arial"/>
                <w:sz w:val="20"/>
                <w:szCs w:val="20"/>
              </w:rPr>
              <w:t>;</w:t>
            </w:r>
          </w:p>
          <w:p w:rsidR="00B2638B" w:rsidRPr="00A900DC" w:rsidRDefault="005F1BAC" w:rsidP="00590FD6">
            <w:pPr>
              <w:pStyle w:val="ListParagraph"/>
              <w:numPr>
                <w:ilvl w:val="0"/>
                <w:numId w:val="9"/>
              </w:numPr>
              <w:spacing w:after="0" w:line="264" w:lineRule="auto"/>
              <w:ind w:left="351" w:hanging="270"/>
              <w:rPr>
                <w:rFonts w:ascii="Arial" w:hAnsi="Arial" w:cs="Arial"/>
                <w:sz w:val="20"/>
                <w:szCs w:val="20"/>
              </w:rPr>
            </w:pPr>
            <w:r>
              <w:rPr>
                <w:rFonts w:ascii="Arial" w:hAnsi="Arial" w:cs="Arial"/>
                <w:sz w:val="20"/>
                <w:szCs w:val="20"/>
              </w:rPr>
              <w:t>Customer’s</w:t>
            </w:r>
            <w:r w:rsidR="00B2638B" w:rsidRPr="00A900DC">
              <w:rPr>
                <w:rFonts w:ascii="Arial" w:hAnsi="Arial" w:cs="Arial"/>
                <w:sz w:val="20"/>
                <w:szCs w:val="20"/>
              </w:rPr>
              <w:t xml:space="preserve"> address</w:t>
            </w:r>
            <w:r w:rsidR="006E0445" w:rsidRPr="00A900DC">
              <w:rPr>
                <w:rFonts w:ascii="Arial" w:hAnsi="Arial" w:cs="Arial"/>
                <w:sz w:val="20"/>
                <w:szCs w:val="20"/>
              </w:rPr>
              <w:t>;</w:t>
            </w:r>
          </w:p>
          <w:p w:rsidR="00B2638B" w:rsidRPr="00A900DC" w:rsidRDefault="005F1BAC" w:rsidP="00590FD6">
            <w:pPr>
              <w:pStyle w:val="ListParagraph"/>
              <w:numPr>
                <w:ilvl w:val="0"/>
                <w:numId w:val="9"/>
              </w:numPr>
              <w:spacing w:after="0" w:line="264" w:lineRule="auto"/>
              <w:ind w:left="351" w:hanging="270"/>
              <w:rPr>
                <w:rFonts w:ascii="Arial" w:hAnsi="Arial" w:cs="Arial"/>
                <w:sz w:val="20"/>
                <w:szCs w:val="20"/>
              </w:rPr>
            </w:pPr>
            <w:r>
              <w:rPr>
                <w:rFonts w:ascii="Arial" w:hAnsi="Arial" w:cs="Arial"/>
                <w:sz w:val="20"/>
                <w:szCs w:val="20"/>
              </w:rPr>
              <w:t>Customer’s</w:t>
            </w:r>
            <w:r w:rsidR="00B2638B" w:rsidRPr="00A900DC">
              <w:rPr>
                <w:rFonts w:ascii="Arial" w:hAnsi="Arial" w:cs="Arial"/>
                <w:sz w:val="20"/>
                <w:szCs w:val="20"/>
              </w:rPr>
              <w:t xml:space="preserve"> telephone number and email address</w:t>
            </w:r>
            <w:r w:rsidR="006E0445" w:rsidRPr="00A900DC">
              <w:rPr>
                <w:rFonts w:ascii="Arial" w:hAnsi="Arial" w:cs="Arial"/>
                <w:sz w:val="20"/>
                <w:szCs w:val="20"/>
              </w:rPr>
              <w:t>;</w:t>
            </w:r>
          </w:p>
          <w:p w:rsidR="004D7CDF" w:rsidRDefault="005F1BAC" w:rsidP="00590FD6">
            <w:pPr>
              <w:pStyle w:val="ListParagraph"/>
              <w:numPr>
                <w:ilvl w:val="0"/>
                <w:numId w:val="9"/>
              </w:numPr>
              <w:spacing w:after="0" w:line="264" w:lineRule="auto"/>
              <w:ind w:left="351" w:hanging="270"/>
              <w:rPr>
                <w:rFonts w:ascii="Arial" w:hAnsi="Arial" w:cs="Arial"/>
                <w:sz w:val="20"/>
                <w:szCs w:val="20"/>
              </w:rPr>
            </w:pPr>
            <w:r>
              <w:rPr>
                <w:rFonts w:ascii="Arial" w:hAnsi="Arial" w:cs="Arial"/>
                <w:sz w:val="20"/>
                <w:szCs w:val="20"/>
              </w:rPr>
              <w:t>Customer’s</w:t>
            </w:r>
            <w:r w:rsidR="00F7284C">
              <w:rPr>
                <w:rFonts w:ascii="Arial" w:hAnsi="Arial" w:cs="Arial"/>
                <w:sz w:val="20"/>
                <w:szCs w:val="20"/>
              </w:rPr>
              <w:t xml:space="preserve"> date of b</w:t>
            </w:r>
            <w:r w:rsidR="004D7CDF">
              <w:rPr>
                <w:rFonts w:ascii="Arial" w:hAnsi="Arial" w:cs="Arial"/>
                <w:sz w:val="20"/>
                <w:szCs w:val="20"/>
              </w:rPr>
              <w:t>irth;</w:t>
            </w:r>
          </w:p>
          <w:p w:rsidR="000F680A" w:rsidRPr="00A900DC" w:rsidRDefault="000F680A" w:rsidP="00590FD6">
            <w:pPr>
              <w:pStyle w:val="ListParagraph"/>
              <w:numPr>
                <w:ilvl w:val="0"/>
                <w:numId w:val="9"/>
              </w:numPr>
              <w:spacing w:after="0" w:line="264" w:lineRule="auto"/>
              <w:ind w:left="351" w:hanging="270"/>
              <w:rPr>
                <w:rFonts w:ascii="Arial" w:hAnsi="Arial" w:cs="Arial"/>
                <w:sz w:val="20"/>
                <w:szCs w:val="20"/>
              </w:rPr>
            </w:pPr>
            <w:r>
              <w:rPr>
                <w:rFonts w:ascii="Arial" w:hAnsi="Arial" w:cs="Arial"/>
                <w:sz w:val="20"/>
                <w:szCs w:val="20"/>
              </w:rPr>
              <w:t>Date customer first contacted lender about home loan;</w:t>
            </w:r>
          </w:p>
          <w:p w:rsidR="00A92DF4" w:rsidRDefault="005F1BAC" w:rsidP="00590FD6">
            <w:pPr>
              <w:pStyle w:val="ListParagraph"/>
              <w:numPr>
                <w:ilvl w:val="0"/>
                <w:numId w:val="9"/>
              </w:numPr>
              <w:spacing w:after="0" w:line="264" w:lineRule="auto"/>
              <w:ind w:left="351" w:hanging="270"/>
              <w:rPr>
                <w:rFonts w:ascii="Arial" w:hAnsi="Arial" w:cs="Arial"/>
                <w:sz w:val="20"/>
                <w:szCs w:val="20"/>
              </w:rPr>
            </w:pPr>
            <w:r>
              <w:rPr>
                <w:rFonts w:ascii="Arial" w:hAnsi="Arial" w:cs="Arial"/>
                <w:sz w:val="20"/>
                <w:szCs w:val="20"/>
              </w:rPr>
              <w:t>Date  customer</w:t>
            </w:r>
            <w:r w:rsidR="009949C8">
              <w:rPr>
                <w:rFonts w:ascii="Arial" w:hAnsi="Arial" w:cs="Arial"/>
                <w:sz w:val="20"/>
                <w:szCs w:val="20"/>
              </w:rPr>
              <w:t xml:space="preserve"> </w:t>
            </w:r>
            <w:r w:rsidR="000F680A">
              <w:rPr>
                <w:rFonts w:ascii="Arial" w:hAnsi="Arial" w:cs="Arial"/>
                <w:sz w:val="20"/>
                <w:szCs w:val="20"/>
              </w:rPr>
              <w:t>gave consent for contact information to be sent to the study team;</w:t>
            </w:r>
            <w:r w:rsidR="008B1F83" w:rsidRPr="00A900DC">
              <w:rPr>
                <w:rFonts w:ascii="Arial" w:hAnsi="Arial" w:cs="Arial"/>
                <w:sz w:val="20"/>
                <w:szCs w:val="20"/>
              </w:rPr>
              <w:t>;</w:t>
            </w:r>
            <w:r w:rsidR="005B362D">
              <w:rPr>
                <w:rFonts w:ascii="Arial" w:hAnsi="Arial" w:cs="Arial"/>
                <w:sz w:val="20"/>
                <w:szCs w:val="20"/>
              </w:rPr>
              <w:t xml:space="preserve"> and,</w:t>
            </w:r>
          </w:p>
          <w:p w:rsidR="005B362D" w:rsidRDefault="005B362D" w:rsidP="00590FD6">
            <w:pPr>
              <w:pStyle w:val="ListParagraph"/>
              <w:numPr>
                <w:ilvl w:val="0"/>
                <w:numId w:val="9"/>
              </w:numPr>
              <w:spacing w:after="0" w:line="264" w:lineRule="auto"/>
              <w:ind w:left="351" w:hanging="270"/>
              <w:rPr>
                <w:rFonts w:ascii="Arial" w:hAnsi="Arial" w:cs="Arial"/>
                <w:sz w:val="20"/>
                <w:szCs w:val="20"/>
              </w:rPr>
            </w:pPr>
            <w:r>
              <w:rPr>
                <w:rFonts w:ascii="Arial" w:hAnsi="Arial" w:cs="Arial"/>
                <w:sz w:val="20"/>
                <w:szCs w:val="20"/>
              </w:rPr>
              <w:t>Unique customer identifier</w:t>
            </w:r>
          </w:p>
          <w:p w:rsidR="00FF6988" w:rsidRPr="00A900DC" w:rsidRDefault="00FF6988" w:rsidP="00590FD6">
            <w:pPr>
              <w:pStyle w:val="ListParagraph"/>
              <w:numPr>
                <w:ilvl w:val="0"/>
                <w:numId w:val="9"/>
              </w:numPr>
              <w:spacing w:after="0" w:line="264" w:lineRule="auto"/>
              <w:ind w:left="351" w:hanging="270"/>
              <w:rPr>
                <w:rFonts w:ascii="Arial" w:hAnsi="Arial" w:cs="Arial"/>
                <w:sz w:val="20"/>
                <w:szCs w:val="20"/>
              </w:rPr>
            </w:pPr>
            <w:r>
              <w:rPr>
                <w:rFonts w:ascii="Arial" w:hAnsi="Arial" w:cs="Arial"/>
                <w:sz w:val="20"/>
                <w:szCs w:val="20"/>
              </w:rPr>
              <w:t>Language preference</w:t>
            </w:r>
          </w:p>
          <w:p w:rsidR="000561D1" w:rsidRPr="00A900DC" w:rsidRDefault="000561D1" w:rsidP="000561D1">
            <w:pPr>
              <w:pStyle w:val="ListParagraph"/>
              <w:spacing w:after="0" w:line="264" w:lineRule="auto"/>
              <w:ind w:left="351"/>
              <w:rPr>
                <w:rFonts w:ascii="Arial" w:hAnsi="Arial" w:cs="Arial"/>
                <w:sz w:val="20"/>
                <w:szCs w:val="20"/>
              </w:rPr>
            </w:pPr>
          </w:p>
          <w:p w:rsidR="005D4E4D" w:rsidRPr="00A900DC" w:rsidRDefault="006E0445" w:rsidP="009940C0">
            <w:pPr>
              <w:spacing w:after="0"/>
              <w:rPr>
                <w:rFonts w:ascii="Arial" w:hAnsi="Arial" w:cs="Arial"/>
                <w:sz w:val="20"/>
              </w:rPr>
            </w:pPr>
            <w:r w:rsidRPr="00A900DC">
              <w:rPr>
                <w:rFonts w:ascii="Arial" w:hAnsi="Arial" w:cs="Arial"/>
                <w:b/>
                <w:sz w:val="20"/>
              </w:rPr>
              <w:t>Reason</w:t>
            </w:r>
            <w:r w:rsidRPr="00A900DC">
              <w:rPr>
                <w:rFonts w:ascii="Arial" w:hAnsi="Arial" w:cs="Arial"/>
                <w:sz w:val="20"/>
              </w:rPr>
              <w:t>: The collection of th</w:t>
            </w:r>
            <w:r w:rsidR="009940C0">
              <w:rPr>
                <w:rFonts w:ascii="Arial" w:hAnsi="Arial" w:cs="Arial"/>
                <w:sz w:val="20"/>
              </w:rPr>
              <w:t>e</w:t>
            </w:r>
            <w:r w:rsidRPr="00A900DC">
              <w:rPr>
                <w:rFonts w:ascii="Arial" w:hAnsi="Arial" w:cs="Arial"/>
                <w:sz w:val="20"/>
              </w:rPr>
              <w:t>s</w:t>
            </w:r>
            <w:r w:rsidR="009940C0">
              <w:rPr>
                <w:rFonts w:ascii="Arial" w:hAnsi="Arial" w:cs="Arial"/>
                <w:sz w:val="20"/>
              </w:rPr>
              <w:t>e</w:t>
            </w:r>
            <w:r w:rsidR="00A45229">
              <w:rPr>
                <w:rFonts w:ascii="Arial" w:hAnsi="Arial" w:cs="Arial"/>
                <w:sz w:val="20"/>
              </w:rPr>
              <w:t xml:space="preserve"> data is</w:t>
            </w:r>
            <w:r w:rsidRPr="00A900DC">
              <w:rPr>
                <w:rFonts w:ascii="Arial" w:hAnsi="Arial" w:cs="Arial"/>
                <w:sz w:val="20"/>
              </w:rPr>
              <w:t xml:space="preserve"> necessary to </w:t>
            </w:r>
            <w:r w:rsidR="006B0269" w:rsidRPr="00A900DC">
              <w:rPr>
                <w:rFonts w:ascii="Arial" w:hAnsi="Arial" w:cs="Arial"/>
                <w:sz w:val="20"/>
              </w:rPr>
              <w:t xml:space="preserve">identify potential study participants that meet eligibility criteria. </w:t>
            </w:r>
            <w:r w:rsidR="00B13F5A" w:rsidRPr="00A900DC">
              <w:rPr>
                <w:rFonts w:ascii="Arial" w:hAnsi="Arial" w:cs="Arial"/>
                <w:sz w:val="20"/>
              </w:rPr>
              <w:t>This information is also necessary to link each enrolled study participant to lenders’ administrative data on prequalification/application, origination, and loan performance.</w:t>
            </w:r>
          </w:p>
        </w:tc>
      </w:tr>
      <w:tr w:rsidR="00CF07C4" w:rsidRPr="00A900DC" w:rsidTr="00B65F28">
        <w:trPr>
          <w:cantSplit/>
        </w:trPr>
        <w:tc>
          <w:tcPr>
            <w:tcW w:w="1818" w:type="dxa"/>
            <w:shd w:val="clear" w:color="auto" w:fill="898D8D"/>
          </w:tcPr>
          <w:p w:rsidR="00CF07C4" w:rsidRPr="00C64DA5" w:rsidRDefault="00CF07C4" w:rsidP="00D04634">
            <w:pPr>
              <w:spacing w:after="0"/>
              <w:rPr>
                <w:rFonts w:ascii="Arial" w:hAnsi="Arial" w:cs="Arial"/>
                <w:b/>
                <w:color w:val="F0F4F6" w:themeColor="background1" w:themeTint="33"/>
                <w:sz w:val="20"/>
              </w:rPr>
            </w:pPr>
            <w:r w:rsidRPr="00C64DA5">
              <w:rPr>
                <w:rFonts w:ascii="Arial" w:hAnsi="Arial" w:cs="Arial"/>
                <w:b/>
                <w:color w:val="F0F4F6" w:themeColor="background1" w:themeTint="33"/>
                <w:sz w:val="20"/>
              </w:rPr>
              <w:lastRenderedPageBreak/>
              <w:t>Study Participant Eligibility Determination</w:t>
            </w:r>
            <w:r w:rsidR="005D4E4D" w:rsidRPr="00C64DA5">
              <w:rPr>
                <w:rFonts w:ascii="Arial" w:hAnsi="Arial" w:cs="Arial"/>
                <w:b/>
                <w:color w:val="F0F4F6" w:themeColor="background1" w:themeTint="33"/>
                <w:sz w:val="20"/>
              </w:rPr>
              <w:t xml:space="preserve"> and Consent to Participate</w:t>
            </w:r>
          </w:p>
        </w:tc>
        <w:tc>
          <w:tcPr>
            <w:tcW w:w="1890" w:type="dxa"/>
          </w:tcPr>
          <w:p w:rsidR="005D4E4D" w:rsidRPr="00A900DC" w:rsidRDefault="00A72ED0" w:rsidP="008C55D1">
            <w:pPr>
              <w:spacing w:after="0"/>
              <w:rPr>
                <w:rFonts w:ascii="Arial" w:hAnsi="Arial" w:cs="Arial"/>
                <w:b/>
                <w:sz w:val="20"/>
              </w:rPr>
            </w:pPr>
            <w:r>
              <w:rPr>
                <w:rFonts w:ascii="Arial" w:hAnsi="Arial" w:cs="Arial"/>
                <w:b/>
                <w:sz w:val="20"/>
              </w:rPr>
              <w:t xml:space="preserve">Eligibility Assessment(Appendix B) </w:t>
            </w:r>
            <w:r w:rsidR="005D4E4D" w:rsidRPr="00A900DC">
              <w:rPr>
                <w:rFonts w:ascii="Arial" w:hAnsi="Arial" w:cs="Arial"/>
                <w:b/>
                <w:sz w:val="20"/>
              </w:rPr>
              <w:t xml:space="preserve">and </w:t>
            </w:r>
            <w:r>
              <w:rPr>
                <w:rFonts w:ascii="Arial" w:hAnsi="Arial" w:cs="Arial"/>
                <w:b/>
                <w:sz w:val="20"/>
              </w:rPr>
              <w:t xml:space="preserve">Participant </w:t>
            </w:r>
            <w:r w:rsidR="005D4E4D" w:rsidRPr="00A900DC">
              <w:rPr>
                <w:rFonts w:ascii="Arial" w:hAnsi="Arial" w:cs="Arial"/>
                <w:b/>
                <w:sz w:val="20"/>
              </w:rPr>
              <w:t xml:space="preserve">Consent Agreement (Appendix </w:t>
            </w:r>
            <w:r>
              <w:rPr>
                <w:rFonts w:ascii="Arial" w:hAnsi="Arial" w:cs="Arial"/>
                <w:b/>
                <w:sz w:val="20"/>
              </w:rPr>
              <w:t>C</w:t>
            </w:r>
            <w:r w:rsidR="005D4E4D" w:rsidRPr="00A900DC">
              <w:rPr>
                <w:rFonts w:ascii="Arial" w:hAnsi="Arial" w:cs="Arial"/>
                <w:b/>
                <w:sz w:val="20"/>
              </w:rPr>
              <w:t>)</w:t>
            </w:r>
          </w:p>
        </w:tc>
        <w:tc>
          <w:tcPr>
            <w:tcW w:w="5490" w:type="dxa"/>
          </w:tcPr>
          <w:p w:rsidR="00CF07C4" w:rsidRPr="00A900DC" w:rsidRDefault="00CF07C4" w:rsidP="00A900DC">
            <w:pPr>
              <w:rPr>
                <w:rFonts w:ascii="Arial" w:hAnsi="Arial" w:cs="Arial"/>
                <w:sz w:val="20"/>
              </w:rPr>
            </w:pPr>
            <w:r w:rsidRPr="00A900DC">
              <w:rPr>
                <w:rFonts w:ascii="Arial" w:hAnsi="Arial" w:cs="Arial"/>
                <w:b/>
                <w:sz w:val="20"/>
              </w:rPr>
              <w:t xml:space="preserve">Respondents: </w:t>
            </w:r>
            <w:r w:rsidR="005B6513">
              <w:rPr>
                <w:rFonts w:ascii="Arial" w:hAnsi="Arial" w:cs="Arial"/>
                <w:sz w:val="20"/>
              </w:rPr>
              <w:t>Eligibility Assessment: 17,5</w:t>
            </w:r>
            <w:r w:rsidR="00816F55">
              <w:rPr>
                <w:rFonts w:ascii="Arial" w:hAnsi="Arial" w:cs="Arial"/>
                <w:sz w:val="20"/>
              </w:rPr>
              <w:t>00</w:t>
            </w:r>
            <w:r w:rsidR="00A45229" w:rsidRPr="00A45229">
              <w:rPr>
                <w:rFonts w:ascii="Arial" w:hAnsi="Arial" w:cs="Arial"/>
                <w:sz w:val="20"/>
              </w:rPr>
              <w:t xml:space="preserve"> (anticipated); Consent Form: </w:t>
            </w:r>
            <w:r w:rsidR="005B6513">
              <w:rPr>
                <w:rFonts w:ascii="Arial" w:hAnsi="Arial" w:cs="Arial"/>
                <w:sz w:val="20"/>
              </w:rPr>
              <w:t>7</w:t>
            </w:r>
            <w:r w:rsidR="0034182B" w:rsidRPr="00A45229">
              <w:rPr>
                <w:rFonts w:ascii="Arial" w:hAnsi="Arial" w:cs="Arial"/>
                <w:sz w:val="20"/>
              </w:rPr>
              <w:t>,</w:t>
            </w:r>
            <w:r w:rsidR="00996FEA" w:rsidRPr="00A45229">
              <w:rPr>
                <w:rFonts w:ascii="Arial" w:hAnsi="Arial" w:cs="Arial"/>
                <w:sz w:val="20"/>
              </w:rPr>
              <w:t xml:space="preserve">000 </w:t>
            </w:r>
            <w:proofErr w:type="gramStart"/>
            <w:r w:rsidR="00EE6B5C">
              <w:rPr>
                <w:rFonts w:ascii="Arial" w:hAnsi="Arial" w:cs="Arial"/>
                <w:sz w:val="20"/>
              </w:rPr>
              <w:t xml:space="preserve">LMMI </w:t>
            </w:r>
            <w:r w:rsidRPr="00A45229">
              <w:rPr>
                <w:rFonts w:ascii="Arial" w:hAnsi="Arial" w:cs="Arial"/>
                <w:sz w:val="20"/>
              </w:rPr>
              <w:t>,</w:t>
            </w:r>
            <w:proofErr w:type="gramEnd"/>
            <w:r w:rsidRPr="00A45229">
              <w:rPr>
                <w:rFonts w:ascii="Arial" w:hAnsi="Arial" w:cs="Arial"/>
                <w:sz w:val="20"/>
              </w:rPr>
              <w:t xml:space="preserve"> first-time homebuyers who are interested</w:t>
            </w:r>
            <w:r w:rsidRPr="00A900DC">
              <w:rPr>
                <w:rFonts w:ascii="Arial" w:hAnsi="Arial" w:cs="Arial"/>
                <w:sz w:val="20"/>
              </w:rPr>
              <w:t xml:space="preserve"> in pursuing a loan for home purchase through study participating lenders.</w:t>
            </w:r>
          </w:p>
          <w:p w:rsidR="00CF07C4" w:rsidRPr="00A900DC" w:rsidRDefault="00CF07C4" w:rsidP="00A900DC">
            <w:pPr>
              <w:spacing w:after="0"/>
              <w:rPr>
                <w:rFonts w:ascii="Arial" w:hAnsi="Arial" w:cs="Arial"/>
                <w:b/>
                <w:sz w:val="20"/>
              </w:rPr>
            </w:pPr>
            <w:r w:rsidRPr="00A900DC">
              <w:rPr>
                <w:rFonts w:ascii="Arial" w:hAnsi="Arial" w:cs="Arial"/>
                <w:b/>
                <w:sz w:val="20"/>
              </w:rPr>
              <w:t xml:space="preserve">Content: </w:t>
            </w:r>
          </w:p>
          <w:p w:rsidR="005D4E4D" w:rsidRPr="00A900DC" w:rsidRDefault="005F1BAC" w:rsidP="00590FD6">
            <w:pPr>
              <w:pStyle w:val="ListParagraph"/>
              <w:numPr>
                <w:ilvl w:val="0"/>
                <w:numId w:val="9"/>
              </w:numPr>
              <w:spacing w:after="0" w:line="264" w:lineRule="auto"/>
              <w:ind w:left="351" w:hanging="270"/>
              <w:rPr>
                <w:rFonts w:ascii="Arial" w:hAnsi="Arial" w:cs="Arial"/>
                <w:sz w:val="20"/>
                <w:szCs w:val="20"/>
              </w:rPr>
            </w:pPr>
            <w:r>
              <w:rPr>
                <w:rFonts w:ascii="Arial" w:hAnsi="Arial" w:cs="Arial"/>
                <w:sz w:val="20"/>
                <w:szCs w:val="20"/>
              </w:rPr>
              <w:t>Customer’s</w:t>
            </w:r>
            <w:r w:rsidR="005D4E4D" w:rsidRPr="00A900DC">
              <w:rPr>
                <w:rFonts w:ascii="Arial" w:hAnsi="Arial" w:cs="Arial"/>
                <w:sz w:val="20"/>
                <w:szCs w:val="20"/>
              </w:rPr>
              <w:t xml:space="preserve"> first and last name;</w:t>
            </w:r>
          </w:p>
          <w:p w:rsidR="005D4E4D" w:rsidRPr="00A900DC" w:rsidRDefault="005F1BAC" w:rsidP="00590FD6">
            <w:pPr>
              <w:pStyle w:val="ListParagraph"/>
              <w:numPr>
                <w:ilvl w:val="0"/>
                <w:numId w:val="9"/>
              </w:numPr>
              <w:spacing w:after="0" w:line="264" w:lineRule="auto"/>
              <w:ind w:left="351" w:hanging="270"/>
              <w:rPr>
                <w:rFonts w:ascii="Arial" w:hAnsi="Arial" w:cs="Arial"/>
                <w:sz w:val="20"/>
                <w:szCs w:val="20"/>
              </w:rPr>
            </w:pPr>
            <w:r>
              <w:rPr>
                <w:rFonts w:ascii="Arial" w:hAnsi="Arial" w:cs="Arial"/>
                <w:sz w:val="20"/>
                <w:szCs w:val="20"/>
              </w:rPr>
              <w:t>Customer’s</w:t>
            </w:r>
            <w:r w:rsidR="005D4E4D" w:rsidRPr="00A900DC">
              <w:rPr>
                <w:rFonts w:ascii="Arial" w:hAnsi="Arial" w:cs="Arial"/>
                <w:sz w:val="20"/>
                <w:szCs w:val="20"/>
              </w:rPr>
              <w:t xml:space="preserve"> contact information (address, email, telephone);</w:t>
            </w:r>
          </w:p>
          <w:p w:rsidR="005D4E4D" w:rsidRPr="00A900DC" w:rsidRDefault="005F1BAC" w:rsidP="00590FD6">
            <w:pPr>
              <w:pStyle w:val="ListParagraph"/>
              <w:numPr>
                <w:ilvl w:val="0"/>
                <w:numId w:val="9"/>
              </w:numPr>
              <w:spacing w:after="0" w:line="264" w:lineRule="auto"/>
              <w:ind w:left="351" w:hanging="270"/>
              <w:rPr>
                <w:rFonts w:ascii="Arial" w:hAnsi="Arial" w:cs="Arial"/>
                <w:sz w:val="20"/>
                <w:szCs w:val="20"/>
              </w:rPr>
            </w:pPr>
            <w:r>
              <w:rPr>
                <w:rFonts w:ascii="Arial" w:hAnsi="Arial" w:cs="Arial"/>
                <w:sz w:val="20"/>
                <w:szCs w:val="20"/>
              </w:rPr>
              <w:t>Customer’s</w:t>
            </w:r>
            <w:r w:rsidR="00F7284C">
              <w:rPr>
                <w:rFonts w:ascii="Arial" w:hAnsi="Arial" w:cs="Arial"/>
                <w:sz w:val="20"/>
                <w:szCs w:val="20"/>
              </w:rPr>
              <w:t xml:space="preserve"> s</w:t>
            </w:r>
            <w:r w:rsidR="005D4E4D" w:rsidRPr="00A900DC">
              <w:rPr>
                <w:rFonts w:ascii="Arial" w:hAnsi="Arial" w:cs="Arial"/>
                <w:sz w:val="20"/>
                <w:szCs w:val="20"/>
              </w:rPr>
              <w:t xml:space="preserve">ocial security number; </w:t>
            </w:r>
          </w:p>
          <w:p w:rsidR="005D4E4D" w:rsidRPr="00A900DC" w:rsidRDefault="005F1BAC" w:rsidP="00590FD6">
            <w:pPr>
              <w:pStyle w:val="ListParagraph"/>
              <w:numPr>
                <w:ilvl w:val="0"/>
                <w:numId w:val="9"/>
              </w:numPr>
              <w:spacing w:after="0" w:line="264" w:lineRule="auto"/>
              <w:ind w:left="351" w:hanging="270"/>
              <w:rPr>
                <w:rFonts w:ascii="Arial" w:hAnsi="Arial" w:cs="Arial"/>
                <w:sz w:val="20"/>
                <w:szCs w:val="20"/>
              </w:rPr>
            </w:pPr>
            <w:r>
              <w:rPr>
                <w:rFonts w:ascii="Arial" w:hAnsi="Arial" w:cs="Arial"/>
                <w:sz w:val="20"/>
                <w:szCs w:val="20"/>
              </w:rPr>
              <w:t>Customer’s</w:t>
            </w:r>
            <w:r w:rsidR="00F7284C">
              <w:rPr>
                <w:rFonts w:ascii="Arial" w:hAnsi="Arial" w:cs="Arial"/>
                <w:sz w:val="20"/>
                <w:szCs w:val="20"/>
              </w:rPr>
              <w:t xml:space="preserve"> d</w:t>
            </w:r>
            <w:r w:rsidR="005D4E4D" w:rsidRPr="00A900DC">
              <w:rPr>
                <w:rFonts w:ascii="Arial" w:hAnsi="Arial" w:cs="Arial"/>
                <w:sz w:val="20"/>
                <w:szCs w:val="20"/>
              </w:rPr>
              <w:t>ate of birth</w:t>
            </w:r>
            <w:r w:rsidR="00F53A68">
              <w:rPr>
                <w:rFonts w:ascii="Arial" w:hAnsi="Arial" w:cs="Arial"/>
                <w:sz w:val="20"/>
                <w:szCs w:val="20"/>
              </w:rPr>
              <w:t>;</w:t>
            </w:r>
          </w:p>
          <w:p w:rsidR="00CF07C4" w:rsidRPr="00A900DC" w:rsidRDefault="005F1BAC" w:rsidP="00590FD6">
            <w:pPr>
              <w:pStyle w:val="ListParagraph"/>
              <w:numPr>
                <w:ilvl w:val="0"/>
                <w:numId w:val="9"/>
              </w:numPr>
              <w:spacing w:after="0" w:line="264" w:lineRule="auto"/>
              <w:ind w:left="351" w:hanging="270"/>
              <w:rPr>
                <w:rFonts w:ascii="Arial" w:hAnsi="Arial" w:cs="Arial"/>
                <w:sz w:val="20"/>
                <w:szCs w:val="20"/>
              </w:rPr>
            </w:pPr>
            <w:r>
              <w:rPr>
                <w:rFonts w:ascii="Arial" w:hAnsi="Arial" w:cs="Arial"/>
                <w:sz w:val="20"/>
                <w:szCs w:val="20"/>
              </w:rPr>
              <w:t xml:space="preserve">Customer </w:t>
            </w:r>
            <w:r w:rsidR="00F7284C">
              <w:rPr>
                <w:rFonts w:ascii="Arial" w:hAnsi="Arial" w:cs="Arial"/>
                <w:sz w:val="20"/>
                <w:szCs w:val="20"/>
              </w:rPr>
              <w:t>i</w:t>
            </w:r>
            <w:r w:rsidR="00F53A68">
              <w:rPr>
                <w:rFonts w:ascii="Arial" w:hAnsi="Arial" w:cs="Arial"/>
                <w:sz w:val="20"/>
                <w:szCs w:val="20"/>
              </w:rPr>
              <w:t>ntends to use</w:t>
            </w:r>
            <w:r w:rsidR="00CF07C4" w:rsidRPr="00A900DC">
              <w:rPr>
                <w:rFonts w:ascii="Arial" w:hAnsi="Arial" w:cs="Arial"/>
                <w:sz w:val="20"/>
                <w:szCs w:val="20"/>
              </w:rPr>
              <w:t xml:space="preserve"> loan </w:t>
            </w:r>
            <w:r w:rsidR="00F53A68">
              <w:rPr>
                <w:rFonts w:ascii="Arial" w:hAnsi="Arial" w:cs="Arial"/>
                <w:sz w:val="20"/>
                <w:szCs w:val="20"/>
              </w:rPr>
              <w:t>to purchase</w:t>
            </w:r>
            <w:r w:rsidR="00CF07C4" w:rsidRPr="00A900DC">
              <w:rPr>
                <w:rFonts w:ascii="Arial" w:hAnsi="Arial" w:cs="Arial"/>
                <w:sz w:val="20"/>
                <w:szCs w:val="20"/>
              </w:rPr>
              <w:t xml:space="preserve"> an owner-occupied home;</w:t>
            </w:r>
          </w:p>
          <w:p w:rsidR="00CF07C4" w:rsidRPr="00A900DC" w:rsidRDefault="005F1BAC" w:rsidP="00590FD6">
            <w:pPr>
              <w:pStyle w:val="ListParagraph"/>
              <w:numPr>
                <w:ilvl w:val="0"/>
                <w:numId w:val="9"/>
              </w:numPr>
              <w:spacing w:after="0" w:line="264" w:lineRule="auto"/>
              <w:ind w:left="351" w:hanging="270"/>
              <w:rPr>
                <w:rFonts w:ascii="Arial" w:hAnsi="Arial" w:cs="Arial"/>
                <w:sz w:val="20"/>
                <w:szCs w:val="20"/>
              </w:rPr>
            </w:pPr>
            <w:r>
              <w:rPr>
                <w:rFonts w:ascii="Arial" w:hAnsi="Arial" w:cs="Arial"/>
                <w:sz w:val="20"/>
                <w:szCs w:val="20"/>
              </w:rPr>
              <w:t>Customer</w:t>
            </w:r>
            <w:r w:rsidR="00F7284C">
              <w:rPr>
                <w:rFonts w:ascii="Arial" w:hAnsi="Arial" w:cs="Arial"/>
                <w:sz w:val="20"/>
                <w:szCs w:val="20"/>
              </w:rPr>
              <w:t xml:space="preserve"> meets income threshold</w:t>
            </w:r>
            <w:r w:rsidR="00CF07C4" w:rsidRPr="00A900DC">
              <w:rPr>
                <w:rFonts w:ascii="Arial" w:hAnsi="Arial" w:cs="Arial"/>
                <w:sz w:val="20"/>
                <w:szCs w:val="20"/>
              </w:rPr>
              <w:t>;</w:t>
            </w:r>
          </w:p>
          <w:p w:rsidR="00CF07C4" w:rsidRDefault="005F1BAC" w:rsidP="00590FD6">
            <w:pPr>
              <w:pStyle w:val="ListParagraph"/>
              <w:numPr>
                <w:ilvl w:val="0"/>
                <w:numId w:val="9"/>
              </w:numPr>
              <w:spacing w:after="0" w:line="264" w:lineRule="auto"/>
              <w:ind w:left="351" w:hanging="270"/>
              <w:rPr>
                <w:rFonts w:ascii="Arial" w:hAnsi="Arial" w:cs="Arial"/>
                <w:sz w:val="20"/>
                <w:szCs w:val="20"/>
              </w:rPr>
            </w:pPr>
            <w:r>
              <w:rPr>
                <w:rFonts w:ascii="Arial" w:hAnsi="Arial" w:cs="Arial"/>
                <w:sz w:val="20"/>
                <w:szCs w:val="20"/>
              </w:rPr>
              <w:t>Customer</w:t>
            </w:r>
            <w:r w:rsidR="00F7284C">
              <w:rPr>
                <w:rFonts w:ascii="Arial" w:hAnsi="Arial" w:cs="Arial"/>
                <w:sz w:val="20"/>
                <w:szCs w:val="20"/>
              </w:rPr>
              <w:t xml:space="preserve"> is f</w:t>
            </w:r>
            <w:r w:rsidR="00CF07C4" w:rsidRPr="00A900DC">
              <w:rPr>
                <w:rFonts w:ascii="Arial" w:hAnsi="Arial" w:cs="Arial"/>
                <w:sz w:val="20"/>
                <w:szCs w:val="20"/>
              </w:rPr>
              <w:t>irst-time homebuyer;</w:t>
            </w:r>
          </w:p>
          <w:p w:rsidR="00CF07C4" w:rsidRPr="00A900DC" w:rsidRDefault="005F1BAC" w:rsidP="00590FD6">
            <w:pPr>
              <w:pStyle w:val="ListParagraph"/>
              <w:numPr>
                <w:ilvl w:val="0"/>
                <w:numId w:val="9"/>
              </w:numPr>
              <w:spacing w:after="0" w:line="264" w:lineRule="auto"/>
              <w:ind w:left="351" w:hanging="270"/>
              <w:rPr>
                <w:rFonts w:ascii="Arial" w:hAnsi="Arial" w:cs="Arial"/>
                <w:sz w:val="20"/>
                <w:szCs w:val="20"/>
              </w:rPr>
            </w:pPr>
            <w:r>
              <w:rPr>
                <w:rFonts w:ascii="Arial" w:hAnsi="Arial" w:cs="Arial"/>
                <w:sz w:val="20"/>
                <w:szCs w:val="20"/>
              </w:rPr>
              <w:t>Customer</w:t>
            </w:r>
            <w:r w:rsidR="00F7284C">
              <w:rPr>
                <w:rFonts w:ascii="Arial" w:hAnsi="Arial" w:cs="Arial"/>
                <w:sz w:val="20"/>
                <w:szCs w:val="20"/>
              </w:rPr>
              <w:t xml:space="preserve"> has r</w:t>
            </w:r>
            <w:r w:rsidR="00CF07C4" w:rsidRPr="00A900DC">
              <w:rPr>
                <w:rFonts w:ascii="Arial" w:hAnsi="Arial" w:cs="Arial"/>
                <w:sz w:val="20"/>
                <w:szCs w:val="20"/>
              </w:rPr>
              <w:t>egular access to a computer and the internet;</w:t>
            </w:r>
          </w:p>
          <w:p w:rsidR="00CF07C4" w:rsidRPr="00A900DC" w:rsidRDefault="005F1BAC" w:rsidP="00590FD6">
            <w:pPr>
              <w:pStyle w:val="ListParagraph"/>
              <w:numPr>
                <w:ilvl w:val="0"/>
                <w:numId w:val="9"/>
              </w:numPr>
              <w:spacing w:after="0" w:line="264" w:lineRule="auto"/>
              <w:ind w:left="351" w:hanging="270"/>
              <w:rPr>
                <w:rFonts w:ascii="Arial" w:hAnsi="Arial" w:cs="Arial"/>
                <w:sz w:val="20"/>
                <w:szCs w:val="20"/>
              </w:rPr>
            </w:pPr>
            <w:r>
              <w:rPr>
                <w:rFonts w:ascii="Arial" w:hAnsi="Arial" w:cs="Arial"/>
                <w:sz w:val="20"/>
                <w:szCs w:val="20"/>
              </w:rPr>
              <w:t>Customer</w:t>
            </w:r>
            <w:r w:rsidR="00F7284C">
              <w:rPr>
                <w:rFonts w:ascii="Arial" w:hAnsi="Arial" w:cs="Arial"/>
                <w:sz w:val="20"/>
                <w:szCs w:val="20"/>
              </w:rPr>
              <w:t xml:space="preserve"> has r</w:t>
            </w:r>
            <w:r w:rsidR="00CF07C4" w:rsidRPr="00A900DC">
              <w:rPr>
                <w:rFonts w:ascii="Arial" w:hAnsi="Arial" w:cs="Arial"/>
                <w:sz w:val="20"/>
                <w:szCs w:val="20"/>
              </w:rPr>
              <w:t>eliable access to transportation;</w:t>
            </w:r>
          </w:p>
          <w:p w:rsidR="007676F6" w:rsidRDefault="005F1BAC" w:rsidP="00590FD6">
            <w:pPr>
              <w:pStyle w:val="ListParagraph"/>
              <w:numPr>
                <w:ilvl w:val="0"/>
                <w:numId w:val="9"/>
              </w:numPr>
              <w:spacing w:after="0" w:line="264" w:lineRule="auto"/>
              <w:ind w:left="351" w:hanging="270"/>
              <w:rPr>
                <w:rFonts w:ascii="Arial" w:hAnsi="Arial" w:cs="Arial"/>
                <w:sz w:val="20"/>
                <w:szCs w:val="20"/>
              </w:rPr>
            </w:pPr>
            <w:r>
              <w:rPr>
                <w:rFonts w:ascii="Arial" w:hAnsi="Arial" w:cs="Arial"/>
                <w:sz w:val="20"/>
                <w:szCs w:val="20"/>
              </w:rPr>
              <w:t>Customer</w:t>
            </w:r>
            <w:r w:rsidR="00F7284C">
              <w:rPr>
                <w:rFonts w:ascii="Arial" w:hAnsi="Arial" w:cs="Arial"/>
                <w:sz w:val="20"/>
                <w:szCs w:val="20"/>
              </w:rPr>
              <w:t xml:space="preserve"> has </w:t>
            </w:r>
            <w:r w:rsidR="0037703F">
              <w:rPr>
                <w:rFonts w:ascii="Arial" w:hAnsi="Arial" w:cs="Arial"/>
                <w:sz w:val="20"/>
                <w:szCs w:val="20"/>
              </w:rPr>
              <w:t>English or Spanish competency</w:t>
            </w:r>
            <w:r w:rsidR="00CF07C4" w:rsidRPr="0037703F">
              <w:rPr>
                <w:rFonts w:ascii="Arial" w:hAnsi="Arial" w:cs="Arial"/>
                <w:sz w:val="20"/>
                <w:szCs w:val="20"/>
              </w:rPr>
              <w:t xml:space="preserve">; </w:t>
            </w:r>
          </w:p>
          <w:p w:rsidR="00CF07C4" w:rsidRPr="0037703F" w:rsidRDefault="005F1BAC" w:rsidP="00590FD6">
            <w:pPr>
              <w:pStyle w:val="ListParagraph"/>
              <w:numPr>
                <w:ilvl w:val="0"/>
                <w:numId w:val="9"/>
              </w:numPr>
              <w:spacing w:after="0" w:line="264" w:lineRule="auto"/>
              <w:ind w:left="351" w:hanging="270"/>
              <w:rPr>
                <w:rFonts w:ascii="Arial" w:hAnsi="Arial" w:cs="Arial"/>
                <w:sz w:val="20"/>
                <w:szCs w:val="20"/>
              </w:rPr>
            </w:pPr>
            <w:r>
              <w:rPr>
                <w:rFonts w:ascii="Arial" w:hAnsi="Arial" w:cs="Arial"/>
                <w:sz w:val="20"/>
                <w:szCs w:val="20"/>
              </w:rPr>
              <w:t>Customer</w:t>
            </w:r>
            <w:r w:rsidR="00F7284C">
              <w:rPr>
                <w:rFonts w:ascii="Arial" w:hAnsi="Arial" w:cs="Arial"/>
                <w:sz w:val="20"/>
                <w:szCs w:val="20"/>
              </w:rPr>
              <w:t xml:space="preserve"> h</w:t>
            </w:r>
            <w:r w:rsidR="007676F6" w:rsidRPr="00A900DC">
              <w:rPr>
                <w:rFonts w:ascii="Arial" w:hAnsi="Arial" w:cs="Arial"/>
                <w:sz w:val="20"/>
                <w:szCs w:val="20"/>
              </w:rPr>
              <w:t>as not previously completed pre-purchase homeownership counseling and/or an education course</w:t>
            </w:r>
            <w:r w:rsidR="007676F6">
              <w:rPr>
                <w:rFonts w:ascii="Arial" w:hAnsi="Arial" w:cs="Arial"/>
                <w:sz w:val="20"/>
                <w:szCs w:val="20"/>
              </w:rPr>
              <w:t>;</w:t>
            </w:r>
            <w:r w:rsidR="009949C8">
              <w:rPr>
                <w:rFonts w:ascii="Arial" w:hAnsi="Arial" w:cs="Arial"/>
                <w:sz w:val="20"/>
                <w:szCs w:val="20"/>
              </w:rPr>
              <w:t xml:space="preserve"> </w:t>
            </w:r>
            <w:r w:rsidR="00CF07C4" w:rsidRPr="0037703F">
              <w:rPr>
                <w:rFonts w:ascii="Arial" w:hAnsi="Arial" w:cs="Arial"/>
                <w:sz w:val="20"/>
                <w:szCs w:val="20"/>
              </w:rPr>
              <w:t>and</w:t>
            </w:r>
            <w:r w:rsidR="007676F6">
              <w:rPr>
                <w:rFonts w:ascii="Arial" w:hAnsi="Arial" w:cs="Arial"/>
                <w:sz w:val="20"/>
                <w:szCs w:val="20"/>
              </w:rPr>
              <w:t>,</w:t>
            </w:r>
          </w:p>
          <w:p w:rsidR="007676F6" w:rsidRPr="005B6513" w:rsidRDefault="005F1BAC" w:rsidP="00590FD6">
            <w:pPr>
              <w:pStyle w:val="ListParagraph"/>
              <w:numPr>
                <w:ilvl w:val="0"/>
                <w:numId w:val="9"/>
              </w:numPr>
              <w:spacing w:after="180" w:line="264" w:lineRule="auto"/>
              <w:ind w:left="351" w:hanging="265"/>
              <w:contextualSpacing w:val="0"/>
              <w:rPr>
                <w:rFonts w:ascii="Arial" w:hAnsi="Arial" w:cs="Arial"/>
                <w:sz w:val="20"/>
                <w:szCs w:val="20"/>
              </w:rPr>
            </w:pPr>
            <w:r>
              <w:rPr>
                <w:rFonts w:ascii="Arial" w:hAnsi="Arial" w:cs="Arial"/>
                <w:sz w:val="20"/>
                <w:szCs w:val="20"/>
              </w:rPr>
              <w:t>Customer</w:t>
            </w:r>
            <w:r w:rsidR="00F7284C">
              <w:rPr>
                <w:rFonts w:ascii="Arial" w:hAnsi="Arial" w:cs="Arial"/>
                <w:sz w:val="20"/>
                <w:szCs w:val="20"/>
              </w:rPr>
              <w:t xml:space="preserve"> is</w:t>
            </w:r>
            <w:r w:rsidR="007676F6">
              <w:rPr>
                <w:rFonts w:ascii="Arial" w:hAnsi="Arial" w:cs="Arial"/>
                <w:sz w:val="20"/>
                <w:szCs w:val="20"/>
              </w:rPr>
              <w:t xml:space="preserve"> not subject to a </w:t>
            </w:r>
            <w:r w:rsidR="005B362D">
              <w:rPr>
                <w:rFonts w:ascii="Arial" w:hAnsi="Arial" w:cs="Arial"/>
                <w:sz w:val="20"/>
                <w:szCs w:val="20"/>
              </w:rPr>
              <w:t xml:space="preserve">housing </w:t>
            </w:r>
            <w:r w:rsidR="007676F6">
              <w:rPr>
                <w:rFonts w:ascii="Arial" w:hAnsi="Arial" w:cs="Arial"/>
                <w:sz w:val="20"/>
                <w:szCs w:val="20"/>
              </w:rPr>
              <w:t>counseling requirement</w:t>
            </w:r>
          </w:p>
          <w:p w:rsidR="005D4E4D" w:rsidRPr="00A900DC" w:rsidRDefault="00CF07C4" w:rsidP="005B539E">
            <w:pPr>
              <w:spacing w:after="0"/>
              <w:rPr>
                <w:rFonts w:ascii="Arial" w:hAnsi="Arial" w:cs="Arial"/>
                <w:b/>
                <w:sz w:val="20"/>
              </w:rPr>
            </w:pPr>
            <w:r w:rsidRPr="00A900DC">
              <w:rPr>
                <w:rFonts w:ascii="Arial" w:hAnsi="Arial" w:cs="Arial"/>
                <w:b/>
                <w:sz w:val="20"/>
              </w:rPr>
              <w:t xml:space="preserve">Reason: </w:t>
            </w:r>
            <w:r w:rsidRPr="00A900DC">
              <w:rPr>
                <w:rFonts w:ascii="Arial" w:hAnsi="Arial" w:cs="Arial"/>
                <w:sz w:val="20"/>
              </w:rPr>
              <w:t xml:space="preserve">The collection of this information is necessary to determine if </w:t>
            </w:r>
            <w:r w:rsidR="005F1BAC">
              <w:rPr>
                <w:rFonts w:ascii="Arial" w:hAnsi="Arial" w:cs="Arial"/>
                <w:sz w:val="20"/>
              </w:rPr>
              <w:t>customer</w:t>
            </w:r>
            <w:r w:rsidRPr="00A900DC">
              <w:rPr>
                <w:rFonts w:ascii="Arial" w:hAnsi="Arial" w:cs="Arial"/>
                <w:sz w:val="20"/>
              </w:rPr>
              <w:t xml:space="preserve">s are eligible to participate in this evaluation. </w:t>
            </w:r>
            <w:r w:rsidR="009940C0">
              <w:rPr>
                <w:rFonts w:ascii="Arial" w:hAnsi="Arial" w:cs="Arial"/>
                <w:sz w:val="20"/>
              </w:rPr>
              <w:t>T</w:t>
            </w:r>
            <w:r w:rsidR="005D4E4D" w:rsidRPr="00A900DC">
              <w:rPr>
                <w:rFonts w:ascii="Arial" w:hAnsi="Arial" w:cs="Arial"/>
                <w:sz w:val="20"/>
              </w:rPr>
              <w:t>he collection of this information</w:t>
            </w:r>
            <w:r w:rsidR="009949C8">
              <w:rPr>
                <w:rFonts w:ascii="Arial" w:hAnsi="Arial" w:cs="Arial"/>
                <w:sz w:val="20"/>
              </w:rPr>
              <w:t xml:space="preserve"> </w:t>
            </w:r>
            <w:r w:rsidR="000561D1">
              <w:rPr>
                <w:rFonts w:ascii="Arial" w:hAnsi="Arial" w:cs="Arial"/>
                <w:sz w:val="20"/>
              </w:rPr>
              <w:t>is linked to a consent agreement</w:t>
            </w:r>
            <w:r w:rsidR="009949C8">
              <w:rPr>
                <w:rFonts w:ascii="Arial" w:hAnsi="Arial" w:cs="Arial"/>
                <w:sz w:val="20"/>
              </w:rPr>
              <w:t xml:space="preserve"> </w:t>
            </w:r>
            <w:r w:rsidR="005B539E">
              <w:rPr>
                <w:rFonts w:ascii="Arial" w:hAnsi="Arial" w:cs="Arial"/>
                <w:sz w:val="20"/>
              </w:rPr>
              <w:t xml:space="preserve">that </w:t>
            </w:r>
            <w:r w:rsidR="000561D1">
              <w:rPr>
                <w:rFonts w:ascii="Arial" w:hAnsi="Arial" w:cs="Arial"/>
                <w:sz w:val="20"/>
              </w:rPr>
              <w:t xml:space="preserve">documents that </w:t>
            </w:r>
            <w:r w:rsidR="005F1BAC">
              <w:rPr>
                <w:rFonts w:ascii="Arial" w:hAnsi="Arial" w:cs="Arial"/>
                <w:sz w:val="20"/>
              </w:rPr>
              <w:t>customer</w:t>
            </w:r>
            <w:r w:rsidR="005D4E4D" w:rsidRPr="00A900DC">
              <w:rPr>
                <w:rFonts w:ascii="Arial" w:hAnsi="Arial" w:cs="Arial"/>
                <w:sz w:val="20"/>
              </w:rPr>
              <w:t>s have been informed about the study</w:t>
            </w:r>
            <w:r w:rsidR="009949C8">
              <w:rPr>
                <w:rFonts w:ascii="Arial" w:hAnsi="Arial" w:cs="Arial"/>
                <w:sz w:val="20"/>
              </w:rPr>
              <w:t xml:space="preserve"> </w:t>
            </w:r>
            <w:r w:rsidR="00F53A68">
              <w:rPr>
                <w:rFonts w:ascii="Arial" w:hAnsi="Arial" w:cs="Arial"/>
                <w:sz w:val="20"/>
              </w:rPr>
              <w:t>and have agreed to participate in the study</w:t>
            </w:r>
            <w:r w:rsidR="005D4E4D" w:rsidRPr="00A900DC">
              <w:rPr>
                <w:rFonts w:ascii="Arial" w:hAnsi="Arial" w:cs="Arial"/>
                <w:sz w:val="20"/>
              </w:rPr>
              <w:t>.</w:t>
            </w:r>
          </w:p>
        </w:tc>
      </w:tr>
      <w:tr w:rsidR="0037703F" w:rsidRPr="00A900DC" w:rsidTr="00B65F28">
        <w:trPr>
          <w:cantSplit/>
        </w:trPr>
        <w:tc>
          <w:tcPr>
            <w:tcW w:w="1818" w:type="dxa"/>
            <w:shd w:val="clear" w:color="auto" w:fill="898D8D"/>
          </w:tcPr>
          <w:p w:rsidR="0037703F" w:rsidRPr="00C64DA5" w:rsidRDefault="00B53D49" w:rsidP="00D04634">
            <w:pPr>
              <w:spacing w:after="0"/>
              <w:rPr>
                <w:rFonts w:ascii="Arial" w:hAnsi="Arial" w:cs="Arial"/>
                <w:b/>
                <w:color w:val="F0F4F6" w:themeColor="background1" w:themeTint="33"/>
                <w:sz w:val="20"/>
              </w:rPr>
            </w:pPr>
            <w:r>
              <w:rPr>
                <w:rFonts w:ascii="Arial" w:hAnsi="Arial" w:cs="Arial"/>
                <w:b/>
                <w:color w:val="F0F4F6" w:themeColor="background1" w:themeTint="33"/>
                <w:sz w:val="20"/>
              </w:rPr>
              <w:t>Co-borrower’s Consent to Share D</w:t>
            </w:r>
            <w:r w:rsidR="0037703F" w:rsidRPr="00C64DA5">
              <w:rPr>
                <w:rFonts w:ascii="Arial" w:hAnsi="Arial" w:cs="Arial"/>
                <w:b/>
                <w:color w:val="F0F4F6" w:themeColor="background1" w:themeTint="33"/>
                <w:sz w:val="20"/>
              </w:rPr>
              <w:t>ata</w:t>
            </w:r>
          </w:p>
        </w:tc>
        <w:tc>
          <w:tcPr>
            <w:tcW w:w="1890" w:type="dxa"/>
          </w:tcPr>
          <w:p w:rsidR="0037703F" w:rsidRPr="00A900DC" w:rsidRDefault="00B53D49" w:rsidP="00A900DC">
            <w:pPr>
              <w:spacing w:after="0"/>
              <w:rPr>
                <w:rFonts w:ascii="Arial" w:hAnsi="Arial" w:cs="Arial"/>
                <w:b/>
                <w:sz w:val="20"/>
              </w:rPr>
            </w:pPr>
            <w:r>
              <w:rPr>
                <w:rFonts w:ascii="Arial" w:hAnsi="Arial" w:cs="Arial"/>
                <w:b/>
                <w:sz w:val="20"/>
              </w:rPr>
              <w:t>Co-borrower’s C</w:t>
            </w:r>
            <w:r w:rsidR="0037703F">
              <w:rPr>
                <w:rFonts w:ascii="Arial" w:hAnsi="Arial" w:cs="Arial"/>
                <w:b/>
                <w:sz w:val="20"/>
              </w:rPr>
              <w:t>onsent (Appendix D)</w:t>
            </w:r>
          </w:p>
        </w:tc>
        <w:tc>
          <w:tcPr>
            <w:tcW w:w="5490" w:type="dxa"/>
          </w:tcPr>
          <w:p w:rsidR="0037703F" w:rsidRDefault="0037703F" w:rsidP="00A900DC">
            <w:pPr>
              <w:rPr>
                <w:rFonts w:ascii="Arial" w:hAnsi="Arial" w:cs="Arial"/>
                <w:i/>
                <w:sz w:val="20"/>
              </w:rPr>
            </w:pPr>
            <w:r>
              <w:rPr>
                <w:rFonts w:ascii="Arial" w:hAnsi="Arial" w:cs="Arial"/>
                <w:b/>
                <w:sz w:val="20"/>
              </w:rPr>
              <w:t xml:space="preserve">Respondents: </w:t>
            </w:r>
            <w:r w:rsidRPr="0037703F">
              <w:rPr>
                <w:rFonts w:ascii="Arial" w:hAnsi="Arial" w:cs="Arial"/>
                <w:sz w:val="20"/>
              </w:rPr>
              <w:t>Any person who is a co-borrower on a study participant’s home loan.</w:t>
            </w:r>
            <w:r>
              <w:rPr>
                <w:rFonts w:ascii="Arial" w:hAnsi="Arial" w:cs="Arial"/>
                <w:sz w:val="20"/>
              </w:rPr>
              <w:t xml:space="preserve"> (</w:t>
            </w:r>
            <w:r w:rsidR="00606DB2">
              <w:rPr>
                <w:rFonts w:ascii="Arial" w:hAnsi="Arial" w:cs="Arial"/>
                <w:i/>
                <w:sz w:val="20"/>
              </w:rPr>
              <w:t xml:space="preserve">The number of respondents for this activity is undetermined at this time. However, the study team estimates the number of </w:t>
            </w:r>
            <w:r w:rsidR="005B539E">
              <w:rPr>
                <w:rFonts w:ascii="Arial" w:hAnsi="Arial" w:cs="Arial"/>
                <w:i/>
                <w:sz w:val="20"/>
              </w:rPr>
              <w:t xml:space="preserve">co-borrowers </w:t>
            </w:r>
            <w:r w:rsidR="00606DB2">
              <w:rPr>
                <w:rFonts w:ascii="Arial" w:hAnsi="Arial" w:cs="Arial"/>
                <w:i/>
                <w:sz w:val="20"/>
              </w:rPr>
              <w:t>to be approximately 30 perc</w:t>
            </w:r>
            <w:r w:rsidR="005F6366">
              <w:rPr>
                <w:rFonts w:ascii="Arial" w:hAnsi="Arial" w:cs="Arial"/>
                <w:i/>
                <w:sz w:val="20"/>
              </w:rPr>
              <w:t>ent of the study’s sample or 2,1</w:t>
            </w:r>
            <w:r w:rsidR="00606DB2">
              <w:rPr>
                <w:rFonts w:ascii="Arial" w:hAnsi="Arial" w:cs="Arial"/>
                <w:i/>
                <w:sz w:val="20"/>
              </w:rPr>
              <w:t>00 respondents.</w:t>
            </w:r>
            <w:r w:rsidRPr="0037703F">
              <w:rPr>
                <w:rFonts w:ascii="Arial" w:hAnsi="Arial" w:cs="Arial"/>
                <w:i/>
                <w:sz w:val="20"/>
              </w:rPr>
              <w:t>)</w:t>
            </w:r>
          </w:p>
          <w:p w:rsidR="0037703F" w:rsidRDefault="0037703F" w:rsidP="00606DB2">
            <w:pPr>
              <w:spacing w:line="240" w:lineRule="auto"/>
              <w:rPr>
                <w:rFonts w:ascii="Arial" w:hAnsi="Arial" w:cs="Arial"/>
                <w:b/>
                <w:sz w:val="20"/>
              </w:rPr>
            </w:pPr>
            <w:r w:rsidRPr="0037703F">
              <w:rPr>
                <w:rFonts w:ascii="Arial" w:hAnsi="Arial" w:cs="Arial"/>
                <w:b/>
                <w:sz w:val="20"/>
              </w:rPr>
              <w:t>Content:</w:t>
            </w:r>
          </w:p>
          <w:p w:rsidR="0037703F" w:rsidRPr="00606DB2" w:rsidRDefault="00606DB2" w:rsidP="00190EC9">
            <w:pPr>
              <w:spacing w:after="0"/>
              <w:rPr>
                <w:rFonts w:ascii="Arial" w:hAnsi="Arial" w:cs="Arial"/>
                <w:sz w:val="20"/>
              </w:rPr>
            </w:pPr>
            <w:r w:rsidRPr="00606DB2">
              <w:rPr>
                <w:rFonts w:ascii="Arial" w:hAnsi="Arial" w:cs="Arial"/>
                <w:sz w:val="20"/>
              </w:rPr>
              <w:t xml:space="preserve">Co-borrower’s first and last </w:t>
            </w:r>
            <w:proofErr w:type="spellStart"/>
            <w:r w:rsidRPr="00606DB2">
              <w:rPr>
                <w:rFonts w:ascii="Arial" w:hAnsi="Arial" w:cs="Arial"/>
                <w:sz w:val="20"/>
              </w:rPr>
              <w:t>name</w:t>
            </w:r>
            <w:proofErr w:type="gramStart"/>
            <w:r w:rsidR="00217572">
              <w:rPr>
                <w:rFonts w:ascii="Arial" w:hAnsi="Arial" w:cs="Arial"/>
                <w:sz w:val="20"/>
              </w:rPr>
              <w:t>;</w:t>
            </w:r>
            <w:r w:rsidR="0037703F">
              <w:rPr>
                <w:rFonts w:ascii="Arial" w:hAnsi="Arial" w:cs="Arial"/>
                <w:b/>
                <w:sz w:val="20"/>
              </w:rPr>
              <w:t>Reason</w:t>
            </w:r>
            <w:proofErr w:type="spellEnd"/>
            <w:proofErr w:type="gramEnd"/>
            <w:r w:rsidR="00BD50A8">
              <w:rPr>
                <w:rFonts w:ascii="Arial" w:hAnsi="Arial" w:cs="Arial"/>
                <w:b/>
                <w:sz w:val="20"/>
              </w:rPr>
              <w:t xml:space="preserve"> </w:t>
            </w:r>
            <w:r w:rsidR="0037703F">
              <w:rPr>
                <w:rFonts w:ascii="Arial" w:hAnsi="Arial" w:cs="Arial"/>
                <w:b/>
                <w:sz w:val="20"/>
              </w:rPr>
              <w:t>:</w:t>
            </w:r>
            <w:r>
              <w:rPr>
                <w:rFonts w:ascii="Arial" w:hAnsi="Arial" w:cs="Arial"/>
                <w:sz w:val="20"/>
              </w:rPr>
              <w:t>In order for the study team to receive information on study participants’ loan originations and performance data, lenders need consent from all borrowers on the home loan to share this information.</w:t>
            </w:r>
          </w:p>
        </w:tc>
      </w:tr>
      <w:tr w:rsidR="00CF07C4" w:rsidRPr="00A900DC" w:rsidTr="00B65F28">
        <w:trPr>
          <w:cantSplit/>
        </w:trPr>
        <w:tc>
          <w:tcPr>
            <w:tcW w:w="1818" w:type="dxa"/>
            <w:shd w:val="clear" w:color="auto" w:fill="898D8D"/>
          </w:tcPr>
          <w:p w:rsidR="00CF07C4" w:rsidRPr="00C64DA5" w:rsidRDefault="00CF07C4" w:rsidP="00D04634">
            <w:pPr>
              <w:spacing w:after="0"/>
              <w:rPr>
                <w:rFonts w:ascii="Arial" w:hAnsi="Arial" w:cs="Arial"/>
                <w:b/>
                <w:color w:val="F0F4F6" w:themeColor="background1" w:themeTint="33"/>
                <w:sz w:val="20"/>
              </w:rPr>
            </w:pPr>
            <w:r w:rsidRPr="00C64DA5">
              <w:rPr>
                <w:rFonts w:ascii="Arial" w:hAnsi="Arial" w:cs="Arial"/>
                <w:b/>
                <w:color w:val="F0F4F6" w:themeColor="background1" w:themeTint="33"/>
                <w:sz w:val="20"/>
              </w:rPr>
              <w:lastRenderedPageBreak/>
              <w:t>Study Participant Baseline Survey</w:t>
            </w:r>
          </w:p>
        </w:tc>
        <w:tc>
          <w:tcPr>
            <w:tcW w:w="1890" w:type="dxa"/>
          </w:tcPr>
          <w:p w:rsidR="00CF07C4" w:rsidRPr="00A900DC" w:rsidRDefault="00CF07C4" w:rsidP="00A900DC">
            <w:pPr>
              <w:spacing w:after="0"/>
              <w:rPr>
                <w:rFonts w:ascii="Arial" w:hAnsi="Arial" w:cs="Arial"/>
                <w:b/>
                <w:sz w:val="20"/>
              </w:rPr>
            </w:pPr>
            <w:r w:rsidRPr="00A900DC">
              <w:rPr>
                <w:rFonts w:ascii="Arial" w:hAnsi="Arial" w:cs="Arial"/>
                <w:b/>
                <w:sz w:val="20"/>
              </w:rPr>
              <w:t xml:space="preserve">Baseline Survey </w:t>
            </w:r>
            <w:r w:rsidR="00542799">
              <w:rPr>
                <w:rFonts w:ascii="Arial" w:hAnsi="Arial" w:cs="Arial"/>
                <w:b/>
                <w:sz w:val="20"/>
              </w:rPr>
              <w:t>(Appendix E</w:t>
            </w:r>
            <w:r w:rsidRPr="00A900DC">
              <w:rPr>
                <w:rFonts w:ascii="Arial" w:hAnsi="Arial" w:cs="Arial"/>
                <w:b/>
                <w:sz w:val="20"/>
              </w:rPr>
              <w:t>)</w:t>
            </w:r>
          </w:p>
        </w:tc>
        <w:tc>
          <w:tcPr>
            <w:tcW w:w="5490" w:type="dxa"/>
          </w:tcPr>
          <w:p w:rsidR="00CF07C4" w:rsidRPr="00A900DC" w:rsidRDefault="00CF07C4" w:rsidP="00A900DC">
            <w:pPr>
              <w:rPr>
                <w:rFonts w:ascii="Arial" w:hAnsi="Arial" w:cs="Arial"/>
                <w:sz w:val="20"/>
              </w:rPr>
            </w:pPr>
            <w:r w:rsidRPr="00A900DC">
              <w:rPr>
                <w:rFonts w:ascii="Arial" w:hAnsi="Arial" w:cs="Arial"/>
                <w:b/>
                <w:sz w:val="20"/>
              </w:rPr>
              <w:t xml:space="preserve">Respondents: </w:t>
            </w:r>
            <w:r w:rsidR="005B6513">
              <w:rPr>
                <w:rFonts w:ascii="Arial" w:hAnsi="Arial" w:cs="Arial"/>
                <w:sz w:val="20"/>
              </w:rPr>
              <w:t>7</w:t>
            </w:r>
            <w:r w:rsidR="0034182B" w:rsidRPr="00A900DC">
              <w:rPr>
                <w:rFonts w:ascii="Arial" w:hAnsi="Arial" w:cs="Arial"/>
                <w:sz w:val="20"/>
              </w:rPr>
              <w:t>,</w:t>
            </w:r>
            <w:r w:rsidRPr="00A900DC">
              <w:rPr>
                <w:rFonts w:ascii="Arial" w:hAnsi="Arial" w:cs="Arial"/>
                <w:sz w:val="20"/>
              </w:rPr>
              <w:t>0</w:t>
            </w:r>
            <w:r w:rsidR="00A45229">
              <w:rPr>
                <w:rFonts w:ascii="Arial" w:hAnsi="Arial" w:cs="Arial"/>
                <w:sz w:val="20"/>
              </w:rPr>
              <w:t>00 study participants across 2</w:t>
            </w:r>
            <w:r w:rsidR="00B97B87">
              <w:rPr>
                <w:rFonts w:ascii="Arial" w:hAnsi="Arial" w:cs="Arial"/>
                <w:sz w:val="20"/>
              </w:rPr>
              <w:t>8</w:t>
            </w:r>
            <w:r w:rsidRPr="00A900DC">
              <w:rPr>
                <w:rFonts w:ascii="Arial" w:hAnsi="Arial" w:cs="Arial"/>
                <w:sz w:val="20"/>
              </w:rPr>
              <w:t>jurisdictions</w:t>
            </w:r>
          </w:p>
          <w:p w:rsidR="00CF07C4" w:rsidRPr="00A900DC" w:rsidRDefault="00CF07C4" w:rsidP="00A900DC">
            <w:pPr>
              <w:spacing w:after="0"/>
              <w:rPr>
                <w:rFonts w:ascii="Arial" w:hAnsi="Arial" w:cs="Arial"/>
                <w:sz w:val="20"/>
              </w:rPr>
            </w:pPr>
            <w:r w:rsidRPr="00A900DC">
              <w:rPr>
                <w:rFonts w:ascii="Arial" w:hAnsi="Arial" w:cs="Arial"/>
                <w:b/>
                <w:sz w:val="20"/>
              </w:rPr>
              <w:t xml:space="preserve">Content: </w:t>
            </w:r>
          </w:p>
          <w:p w:rsidR="00CF07C4" w:rsidRPr="00A900DC" w:rsidRDefault="00CF07C4" w:rsidP="00590FD6">
            <w:pPr>
              <w:pStyle w:val="ListParagraph"/>
              <w:numPr>
                <w:ilvl w:val="0"/>
                <w:numId w:val="9"/>
              </w:numPr>
              <w:spacing w:after="0" w:line="264" w:lineRule="auto"/>
              <w:ind w:left="351" w:hanging="270"/>
              <w:rPr>
                <w:rFonts w:ascii="Arial" w:hAnsi="Arial" w:cs="Arial"/>
                <w:sz w:val="20"/>
                <w:szCs w:val="20"/>
              </w:rPr>
            </w:pPr>
            <w:r w:rsidRPr="00A900DC">
              <w:rPr>
                <w:rFonts w:ascii="Arial" w:hAnsi="Arial" w:cs="Arial"/>
                <w:sz w:val="20"/>
                <w:szCs w:val="20"/>
              </w:rPr>
              <w:t>Demographic characteristics (e.g., race/ethnicity, gender, marital status)</w:t>
            </w:r>
            <w:r w:rsidR="00F7284C">
              <w:rPr>
                <w:rFonts w:ascii="Arial" w:hAnsi="Arial" w:cs="Arial"/>
                <w:sz w:val="20"/>
                <w:szCs w:val="20"/>
              </w:rPr>
              <w:t xml:space="preserve"> and related preferences and tendencies (e.g. financial decision-making, self-efficacy, learning styles, follow-through)</w:t>
            </w:r>
            <w:r w:rsidRPr="00A900DC">
              <w:rPr>
                <w:rFonts w:ascii="Arial" w:hAnsi="Arial" w:cs="Arial"/>
                <w:sz w:val="20"/>
                <w:szCs w:val="20"/>
              </w:rPr>
              <w:t>;</w:t>
            </w:r>
          </w:p>
          <w:p w:rsidR="00CF07C4" w:rsidRPr="00A900DC" w:rsidRDefault="00CF07C4" w:rsidP="00590FD6">
            <w:pPr>
              <w:pStyle w:val="ListParagraph"/>
              <w:numPr>
                <w:ilvl w:val="0"/>
                <w:numId w:val="9"/>
              </w:numPr>
              <w:spacing w:after="0" w:line="264" w:lineRule="auto"/>
              <w:ind w:left="351" w:hanging="270"/>
              <w:rPr>
                <w:rFonts w:ascii="Arial" w:hAnsi="Arial" w:cs="Arial"/>
                <w:sz w:val="20"/>
                <w:szCs w:val="20"/>
              </w:rPr>
            </w:pPr>
            <w:r w:rsidRPr="00A900DC">
              <w:rPr>
                <w:rFonts w:ascii="Arial" w:hAnsi="Arial" w:cs="Arial"/>
                <w:sz w:val="20"/>
                <w:szCs w:val="20"/>
              </w:rPr>
              <w:t xml:space="preserve">The stage in the home purchase process and preparedness for home purchase (e.g., the extent of respondents’ home search prior to pre-qualification, intended down payment amount, expected timeline for home purchase); and </w:t>
            </w:r>
          </w:p>
          <w:p w:rsidR="00CF07C4" w:rsidRPr="00A900DC" w:rsidRDefault="006B0269" w:rsidP="00590FD6">
            <w:pPr>
              <w:pStyle w:val="ListParagraph"/>
              <w:numPr>
                <w:ilvl w:val="0"/>
                <w:numId w:val="9"/>
              </w:numPr>
              <w:spacing w:after="180" w:line="264" w:lineRule="auto"/>
              <w:ind w:left="351" w:hanging="265"/>
              <w:contextualSpacing w:val="0"/>
              <w:rPr>
                <w:rFonts w:ascii="Arial" w:hAnsi="Arial" w:cs="Arial"/>
                <w:sz w:val="20"/>
                <w:szCs w:val="20"/>
              </w:rPr>
            </w:pPr>
            <w:r w:rsidRPr="00A900DC">
              <w:rPr>
                <w:rFonts w:ascii="Arial" w:hAnsi="Arial" w:cs="Arial"/>
                <w:sz w:val="20"/>
                <w:szCs w:val="20"/>
              </w:rPr>
              <w:t>Baseline measures of time-varying study outcomes</w:t>
            </w:r>
            <w:r w:rsidR="00CF07C4" w:rsidRPr="00A900DC">
              <w:rPr>
                <w:rFonts w:ascii="Arial" w:hAnsi="Arial" w:cs="Arial"/>
                <w:sz w:val="20"/>
                <w:szCs w:val="20"/>
              </w:rPr>
              <w:t xml:space="preserve"> (e.g., income sources and total family income, financial literacy, non-housing savings/debts, budgeting activities, and employment and earnings)</w:t>
            </w:r>
            <w:r w:rsidR="00EB470C" w:rsidRPr="00A900DC">
              <w:rPr>
                <w:rFonts w:ascii="Arial" w:hAnsi="Arial" w:cs="Arial"/>
                <w:sz w:val="20"/>
                <w:szCs w:val="20"/>
              </w:rPr>
              <w:t>.</w:t>
            </w:r>
          </w:p>
          <w:p w:rsidR="00CF07C4" w:rsidRPr="00A900DC" w:rsidRDefault="00CF07C4" w:rsidP="00A900DC">
            <w:pPr>
              <w:rPr>
                <w:rFonts w:ascii="Arial" w:hAnsi="Arial" w:cs="Arial"/>
                <w:sz w:val="20"/>
              </w:rPr>
            </w:pPr>
            <w:r w:rsidRPr="00A900DC">
              <w:rPr>
                <w:rFonts w:ascii="Arial" w:hAnsi="Arial" w:cs="Arial"/>
                <w:b/>
                <w:sz w:val="20"/>
              </w:rPr>
              <w:t xml:space="preserve">Reason: </w:t>
            </w:r>
            <w:r w:rsidRPr="00A900DC">
              <w:rPr>
                <w:rFonts w:ascii="Arial" w:hAnsi="Arial" w:cs="Arial"/>
                <w:sz w:val="20"/>
              </w:rPr>
              <w:t>The baseline survey is the primary source of information of participant characteristics prior to their participation in housing counseling and their purchase of a home. It has two purposes:</w:t>
            </w:r>
          </w:p>
          <w:p w:rsidR="00CF07C4" w:rsidRPr="00A900DC" w:rsidRDefault="00CF07C4" w:rsidP="00590FD6">
            <w:pPr>
              <w:pStyle w:val="ListParagraph"/>
              <w:numPr>
                <w:ilvl w:val="0"/>
                <w:numId w:val="7"/>
              </w:numPr>
              <w:spacing w:after="0" w:line="264" w:lineRule="auto"/>
              <w:ind w:left="351" w:hanging="270"/>
              <w:rPr>
                <w:rFonts w:ascii="Arial" w:hAnsi="Arial" w:cs="Arial"/>
                <w:sz w:val="20"/>
                <w:szCs w:val="20"/>
              </w:rPr>
            </w:pPr>
            <w:r w:rsidRPr="00A900DC">
              <w:rPr>
                <w:rFonts w:ascii="Arial" w:hAnsi="Arial" w:cs="Arial"/>
                <w:sz w:val="20"/>
                <w:szCs w:val="20"/>
              </w:rPr>
              <w:t xml:space="preserve">To document the preparedness of participants at </w:t>
            </w:r>
            <w:r w:rsidR="00EB470C" w:rsidRPr="00A900DC">
              <w:rPr>
                <w:rFonts w:ascii="Arial" w:hAnsi="Arial" w:cs="Arial"/>
                <w:sz w:val="20"/>
                <w:szCs w:val="20"/>
              </w:rPr>
              <w:t xml:space="preserve">the time of </w:t>
            </w:r>
            <w:r w:rsidR="00003775" w:rsidRPr="00A900DC">
              <w:rPr>
                <w:rFonts w:ascii="Arial" w:hAnsi="Arial" w:cs="Arial"/>
                <w:sz w:val="20"/>
                <w:szCs w:val="20"/>
              </w:rPr>
              <w:t>entering the study</w:t>
            </w:r>
            <w:r w:rsidRPr="00A900DC">
              <w:rPr>
                <w:rFonts w:ascii="Arial" w:hAnsi="Arial" w:cs="Arial"/>
                <w:sz w:val="20"/>
                <w:szCs w:val="20"/>
              </w:rPr>
              <w:t>; and</w:t>
            </w:r>
            <w:r w:rsidR="000F680A">
              <w:rPr>
                <w:rFonts w:ascii="Arial" w:hAnsi="Arial" w:cs="Arial"/>
                <w:sz w:val="20"/>
                <w:szCs w:val="20"/>
              </w:rPr>
              <w:t>,</w:t>
            </w:r>
          </w:p>
          <w:p w:rsidR="00CF07C4" w:rsidRPr="00A900DC" w:rsidRDefault="00CF07C4" w:rsidP="00590FD6">
            <w:pPr>
              <w:pStyle w:val="ListParagraph"/>
              <w:numPr>
                <w:ilvl w:val="0"/>
                <w:numId w:val="7"/>
              </w:numPr>
              <w:spacing w:after="0" w:line="264" w:lineRule="auto"/>
              <w:ind w:left="351" w:hanging="270"/>
              <w:rPr>
                <w:rFonts w:ascii="Arial" w:hAnsi="Arial" w:cs="Arial"/>
                <w:sz w:val="20"/>
                <w:szCs w:val="20"/>
              </w:rPr>
            </w:pPr>
            <w:r w:rsidRPr="00A900DC">
              <w:rPr>
                <w:rFonts w:ascii="Arial" w:hAnsi="Arial" w:cs="Arial"/>
                <w:sz w:val="20"/>
                <w:szCs w:val="20"/>
              </w:rPr>
              <w:t>To collect baseline characteristics of participants</w:t>
            </w:r>
            <w:r w:rsidR="00540B53" w:rsidRPr="00A900DC">
              <w:rPr>
                <w:rFonts w:ascii="Arial" w:hAnsi="Arial" w:cs="Arial"/>
                <w:sz w:val="20"/>
                <w:szCs w:val="20"/>
              </w:rPr>
              <w:t xml:space="preserve"> that will be used as covariates</w:t>
            </w:r>
            <w:r w:rsidR="007676F6">
              <w:rPr>
                <w:rFonts w:ascii="Arial" w:hAnsi="Arial" w:cs="Arial"/>
                <w:sz w:val="20"/>
                <w:szCs w:val="20"/>
              </w:rPr>
              <w:t>,</w:t>
            </w:r>
            <w:r w:rsidR="00540B53" w:rsidRPr="00A900DC">
              <w:rPr>
                <w:rFonts w:ascii="Arial" w:hAnsi="Arial" w:cs="Arial"/>
                <w:sz w:val="20"/>
                <w:szCs w:val="20"/>
              </w:rPr>
              <w:t xml:space="preserve"> subgroup</w:t>
            </w:r>
            <w:r w:rsidR="007676F6">
              <w:rPr>
                <w:rFonts w:ascii="Arial" w:hAnsi="Arial" w:cs="Arial"/>
                <w:sz w:val="20"/>
                <w:szCs w:val="20"/>
              </w:rPr>
              <w:t>s, and baseline outcome measures</w:t>
            </w:r>
            <w:r w:rsidR="00540B53" w:rsidRPr="00A900DC">
              <w:rPr>
                <w:rFonts w:ascii="Arial" w:hAnsi="Arial" w:cs="Arial"/>
                <w:sz w:val="20"/>
                <w:szCs w:val="20"/>
              </w:rPr>
              <w:t xml:space="preserve"> in the impact analysis</w:t>
            </w:r>
          </w:p>
        </w:tc>
      </w:tr>
      <w:tr w:rsidR="00CF07C4" w:rsidRPr="00A900DC" w:rsidTr="00B65F28">
        <w:trPr>
          <w:cantSplit/>
          <w:trHeight w:val="70"/>
        </w:trPr>
        <w:tc>
          <w:tcPr>
            <w:tcW w:w="1818" w:type="dxa"/>
            <w:shd w:val="clear" w:color="auto" w:fill="898D8D"/>
          </w:tcPr>
          <w:p w:rsidR="00CF07C4" w:rsidRPr="00C64DA5" w:rsidRDefault="00CF07C4" w:rsidP="00C64DA5">
            <w:pPr>
              <w:spacing w:after="0"/>
              <w:rPr>
                <w:rFonts w:ascii="Arial" w:hAnsi="Arial" w:cs="Arial"/>
                <w:b/>
                <w:color w:val="F0F4F6" w:themeColor="background1" w:themeTint="33"/>
                <w:sz w:val="20"/>
              </w:rPr>
            </w:pPr>
            <w:r w:rsidRPr="00C64DA5">
              <w:rPr>
                <w:rFonts w:ascii="Arial" w:hAnsi="Arial" w:cs="Arial"/>
                <w:b/>
                <w:color w:val="F0F4F6" w:themeColor="background1" w:themeTint="33"/>
                <w:sz w:val="20"/>
              </w:rPr>
              <w:lastRenderedPageBreak/>
              <w:t xml:space="preserve">Study Participant </w:t>
            </w:r>
            <w:r w:rsidR="000F680A">
              <w:rPr>
                <w:rFonts w:ascii="Arial" w:hAnsi="Arial" w:cs="Arial"/>
                <w:b/>
                <w:color w:val="F0F4F6" w:themeColor="background1" w:themeTint="33"/>
                <w:sz w:val="20"/>
              </w:rPr>
              <w:t xml:space="preserve">Experience </w:t>
            </w:r>
            <w:r w:rsidRPr="00C64DA5">
              <w:rPr>
                <w:rFonts w:ascii="Arial" w:hAnsi="Arial" w:cs="Arial"/>
                <w:b/>
                <w:color w:val="F0F4F6" w:themeColor="background1" w:themeTint="33"/>
                <w:sz w:val="20"/>
              </w:rPr>
              <w:t>Interview</w:t>
            </w:r>
            <w:r w:rsidR="00A5761D" w:rsidRPr="00C64DA5">
              <w:rPr>
                <w:rFonts w:ascii="Arial" w:hAnsi="Arial" w:cs="Arial"/>
                <w:b/>
                <w:color w:val="F0F4F6" w:themeColor="background1" w:themeTint="33"/>
                <w:sz w:val="20"/>
              </w:rPr>
              <w:t>s</w:t>
            </w:r>
          </w:p>
        </w:tc>
        <w:tc>
          <w:tcPr>
            <w:tcW w:w="1890" w:type="dxa"/>
          </w:tcPr>
          <w:p w:rsidR="00CF07C4" w:rsidRPr="00A900DC" w:rsidRDefault="00F53A68" w:rsidP="000F680A">
            <w:pPr>
              <w:keepNext/>
              <w:spacing w:after="0"/>
              <w:rPr>
                <w:rFonts w:ascii="Arial" w:hAnsi="Arial" w:cs="Arial"/>
                <w:b/>
                <w:sz w:val="20"/>
              </w:rPr>
            </w:pPr>
            <w:r>
              <w:rPr>
                <w:rFonts w:ascii="Arial" w:hAnsi="Arial" w:cs="Arial"/>
                <w:b/>
                <w:sz w:val="20"/>
              </w:rPr>
              <w:t xml:space="preserve">Participant </w:t>
            </w:r>
            <w:r w:rsidR="000F680A">
              <w:rPr>
                <w:rFonts w:ascii="Arial" w:hAnsi="Arial" w:cs="Arial"/>
                <w:b/>
                <w:sz w:val="20"/>
              </w:rPr>
              <w:t xml:space="preserve">Experience </w:t>
            </w:r>
            <w:r w:rsidR="00CF07C4" w:rsidRPr="00A900DC">
              <w:rPr>
                <w:rFonts w:ascii="Arial" w:hAnsi="Arial" w:cs="Arial"/>
                <w:b/>
                <w:sz w:val="20"/>
              </w:rPr>
              <w:t>Interview</w:t>
            </w:r>
            <w:r>
              <w:rPr>
                <w:rFonts w:ascii="Arial" w:hAnsi="Arial" w:cs="Arial"/>
                <w:b/>
                <w:sz w:val="20"/>
              </w:rPr>
              <w:t>s on Implementation</w:t>
            </w:r>
            <w:r w:rsidR="007F264A">
              <w:rPr>
                <w:rFonts w:ascii="Arial" w:hAnsi="Arial" w:cs="Arial"/>
                <w:b/>
                <w:sz w:val="20"/>
              </w:rPr>
              <w:t xml:space="preserve"> </w:t>
            </w:r>
            <w:r w:rsidR="00542799">
              <w:rPr>
                <w:rFonts w:ascii="Arial" w:hAnsi="Arial" w:cs="Arial"/>
                <w:b/>
                <w:sz w:val="20"/>
              </w:rPr>
              <w:t>(Appendix F</w:t>
            </w:r>
            <w:r w:rsidR="00CF07C4" w:rsidRPr="00A900DC">
              <w:rPr>
                <w:rFonts w:ascii="Arial" w:hAnsi="Arial" w:cs="Arial"/>
                <w:b/>
                <w:sz w:val="20"/>
              </w:rPr>
              <w:t>)</w:t>
            </w:r>
          </w:p>
        </w:tc>
        <w:tc>
          <w:tcPr>
            <w:tcW w:w="5490" w:type="dxa"/>
          </w:tcPr>
          <w:p w:rsidR="00CF07C4" w:rsidRPr="00A900DC" w:rsidRDefault="00CF07C4" w:rsidP="00A900DC">
            <w:pPr>
              <w:rPr>
                <w:rFonts w:ascii="Arial" w:hAnsi="Arial" w:cs="Arial"/>
                <w:b/>
                <w:sz w:val="20"/>
              </w:rPr>
            </w:pPr>
            <w:r w:rsidRPr="00A900DC">
              <w:rPr>
                <w:rFonts w:ascii="Arial" w:hAnsi="Arial" w:cs="Arial"/>
                <w:b/>
                <w:sz w:val="20"/>
              </w:rPr>
              <w:t xml:space="preserve">Respondents: </w:t>
            </w:r>
            <w:r w:rsidR="0046720A">
              <w:rPr>
                <w:rFonts w:ascii="Arial" w:hAnsi="Arial" w:cs="Arial"/>
                <w:sz w:val="20"/>
              </w:rPr>
              <w:t>200 study participants across 2</w:t>
            </w:r>
            <w:r w:rsidR="00B97B87">
              <w:rPr>
                <w:rFonts w:ascii="Arial" w:hAnsi="Arial" w:cs="Arial"/>
                <w:sz w:val="20"/>
              </w:rPr>
              <w:t>8</w:t>
            </w:r>
            <w:r w:rsidR="00A45229">
              <w:rPr>
                <w:rFonts w:ascii="Arial" w:hAnsi="Arial" w:cs="Arial"/>
                <w:sz w:val="20"/>
              </w:rPr>
              <w:t xml:space="preserve"> study jurisdictions</w:t>
            </w:r>
          </w:p>
          <w:p w:rsidR="00CF07C4" w:rsidRPr="00A900DC" w:rsidRDefault="00CF07C4" w:rsidP="00A900DC">
            <w:pPr>
              <w:spacing w:after="0"/>
              <w:rPr>
                <w:rFonts w:ascii="Arial" w:hAnsi="Arial" w:cs="Arial"/>
                <w:b/>
                <w:sz w:val="20"/>
              </w:rPr>
            </w:pPr>
            <w:r w:rsidRPr="00A900DC">
              <w:rPr>
                <w:rFonts w:ascii="Arial" w:hAnsi="Arial" w:cs="Arial"/>
                <w:b/>
                <w:sz w:val="20"/>
              </w:rPr>
              <w:t>Content:</w:t>
            </w:r>
          </w:p>
          <w:p w:rsidR="00CF07C4" w:rsidRPr="00A900DC" w:rsidRDefault="00CF07C4" w:rsidP="00590FD6">
            <w:pPr>
              <w:pStyle w:val="ListParagraph"/>
              <w:numPr>
                <w:ilvl w:val="0"/>
                <w:numId w:val="9"/>
              </w:numPr>
              <w:spacing w:after="0" w:line="264" w:lineRule="auto"/>
              <w:ind w:left="351" w:hanging="270"/>
              <w:rPr>
                <w:rFonts w:ascii="Arial" w:hAnsi="Arial" w:cs="Arial"/>
                <w:sz w:val="20"/>
                <w:szCs w:val="20"/>
              </w:rPr>
            </w:pPr>
            <w:r w:rsidRPr="00A900DC">
              <w:rPr>
                <w:rFonts w:ascii="Arial" w:hAnsi="Arial" w:cs="Arial"/>
                <w:sz w:val="20"/>
                <w:szCs w:val="20"/>
              </w:rPr>
              <w:t>Participant’s experience with the study’s recruitment and enrollment process</w:t>
            </w:r>
            <w:r w:rsidR="00540B53" w:rsidRPr="00A900DC">
              <w:rPr>
                <w:rFonts w:ascii="Arial" w:hAnsi="Arial" w:cs="Arial"/>
                <w:sz w:val="20"/>
                <w:szCs w:val="20"/>
              </w:rPr>
              <w:t>es</w:t>
            </w:r>
            <w:r w:rsidRPr="00A900DC">
              <w:rPr>
                <w:rFonts w:ascii="Arial" w:hAnsi="Arial" w:cs="Arial"/>
                <w:sz w:val="20"/>
                <w:szCs w:val="20"/>
              </w:rPr>
              <w:t xml:space="preserve">; </w:t>
            </w:r>
          </w:p>
          <w:p w:rsidR="00CF07C4" w:rsidRPr="00A900DC" w:rsidRDefault="00CF07C4" w:rsidP="00590FD6">
            <w:pPr>
              <w:pStyle w:val="ListParagraph"/>
              <w:numPr>
                <w:ilvl w:val="0"/>
                <w:numId w:val="9"/>
              </w:numPr>
              <w:spacing w:after="0" w:line="264" w:lineRule="auto"/>
              <w:ind w:left="351" w:hanging="270"/>
              <w:rPr>
                <w:rFonts w:ascii="Arial" w:hAnsi="Arial" w:cs="Arial"/>
                <w:sz w:val="20"/>
                <w:szCs w:val="20"/>
              </w:rPr>
            </w:pPr>
            <w:r w:rsidRPr="00A900DC">
              <w:rPr>
                <w:rFonts w:ascii="Arial" w:hAnsi="Arial" w:cs="Arial"/>
                <w:sz w:val="20"/>
                <w:szCs w:val="20"/>
              </w:rPr>
              <w:t xml:space="preserve">Random assignment of </w:t>
            </w:r>
            <w:r w:rsidR="005B362D">
              <w:rPr>
                <w:rFonts w:ascii="Arial" w:hAnsi="Arial" w:cs="Arial"/>
                <w:sz w:val="20"/>
                <w:szCs w:val="20"/>
              </w:rPr>
              <w:t xml:space="preserve">housing </w:t>
            </w:r>
            <w:r w:rsidRPr="00A900DC">
              <w:rPr>
                <w:rFonts w:ascii="Arial" w:hAnsi="Arial" w:cs="Arial"/>
                <w:sz w:val="20"/>
                <w:szCs w:val="20"/>
              </w:rPr>
              <w:t xml:space="preserve">counseling services and whether or not study participants sought and received them; </w:t>
            </w:r>
          </w:p>
          <w:p w:rsidR="00CC62A6" w:rsidRDefault="00CF07C4" w:rsidP="00590FD6">
            <w:pPr>
              <w:pStyle w:val="ListParagraph"/>
              <w:numPr>
                <w:ilvl w:val="0"/>
                <w:numId w:val="9"/>
              </w:numPr>
              <w:spacing w:after="0" w:line="264" w:lineRule="auto"/>
              <w:ind w:left="351" w:hanging="270"/>
              <w:rPr>
                <w:rFonts w:ascii="Arial" w:hAnsi="Arial" w:cs="Arial"/>
                <w:sz w:val="20"/>
                <w:szCs w:val="20"/>
              </w:rPr>
            </w:pPr>
            <w:r w:rsidRPr="00A900DC">
              <w:rPr>
                <w:rFonts w:ascii="Arial" w:hAnsi="Arial" w:cs="Arial"/>
                <w:sz w:val="20"/>
                <w:szCs w:val="20"/>
              </w:rPr>
              <w:t>Opinions on the pre-purchase</w:t>
            </w:r>
            <w:r w:rsidR="005B362D">
              <w:rPr>
                <w:rFonts w:ascii="Arial" w:hAnsi="Arial" w:cs="Arial"/>
                <w:sz w:val="20"/>
                <w:szCs w:val="20"/>
              </w:rPr>
              <w:t xml:space="preserve"> housing</w:t>
            </w:r>
            <w:r w:rsidRPr="00A900DC">
              <w:rPr>
                <w:rFonts w:ascii="Arial" w:hAnsi="Arial" w:cs="Arial"/>
                <w:sz w:val="20"/>
                <w:szCs w:val="20"/>
              </w:rPr>
              <w:t xml:space="preserve"> counseling and education services study participants may have received</w:t>
            </w:r>
            <w:r w:rsidR="00CC62A6">
              <w:rPr>
                <w:rFonts w:ascii="Arial" w:hAnsi="Arial" w:cs="Arial"/>
                <w:sz w:val="20"/>
                <w:szCs w:val="20"/>
              </w:rPr>
              <w:t>; and</w:t>
            </w:r>
          </w:p>
          <w:p w:rsidR="00CF07C4" w:rsidRPr="00A900DC" w:rsidRDefault="005B539E" w:rsidP="00590FD6">
            <w:pPr>
              <w:pStyle w:val="ListParagraph"/>
              <w:numPr>
                <w:ilvl w:val="0"/>
                <w:numId w:val="9"/>
              </w:numPr>
              <w:spacing w:after="180" w:line="264" w:lineRule="auto"/>
              <w:ind w:left="351" w:hanging="265"/>
              <w:contextualSpacing w:val="0"/>
              <w:rPr>
                <w:rFonts w:ascii="Arial" w:hAnsi="Arial" w:cs="Arial"/>
                <w:sz w:val="20"/>
                <w:szCs w:val="20"/>
              </w:rPr>
            </w:pPr>
            <w:r>
              <w:rPr>
                <w:rFonts w:ascii="Arial" w:hAnsi="Arial" w:cs="Arial"/>
                <w:sz w:val="20"/>
                <w:szCs w:val="20"/>
              </w:rPr>
              <w:t xml:space="preserve">Participant’s stage </w:t>
            </w:r>
            <w:r w:rsidR="00CC62A6">
              <w:rPr>
                <w:rFonts w:ascii="Arial" w:hAnsi="Arial" w:cs="Arial"/>
                <w:sz w:val="20"/>
                <w:szCs w:val="20"/>
              </w:rPr>
              <w:t xml:space="preserve">in home purchase process. </w:t>
            </w:r>
          </w:p>
          <w:p w:rsidR="00A92DF4" w:rsidRPr="00A900DC" w:rsidRDefault="00CF07C4" w:rsidP="005B539E">
            <w:pPr>
              <w:spacing w:after="0"/>
              <w:rPr>
                <w:rFonts w:ascii="Arial" w:hAnsi="Arial" w:cs="Arial"/>
                <w:sz w:val="20"/>
              </w:rPr>
            </w:pPr>
            <w:r w:rsidRPr="00A900DC">
              <w:rPr>
                <w:rFonts w:ascii="Arial" w:hAnsi="Arial" w:cs="Arial"/>
                <w:b/>
                <w:sz w:val="20"/>
              </w:rPr>
              <w:t xml:space="preserve">Reason: </w:t>
            </w:r>
            <w:r w:rsidRPr="00A900DC">
              <w:rPr>
                <w:rFonts w:ascii="Arial" w:hAnsi="Arial" w:cs="Arial"/>
                <w:sz w:val="20"/>
              </w:rPr>
              <w:t xml:space="preserve">Interviews will explore participants’ interaction with participating lenders and </w:t>
            </w:r>
            <w:r w:rsidR="005B362D">
              <w:rPr>
                <w:rFonts w:ascii="Arial" w:hAnsi="Arial" w:cs="Arial"/>
                <w:sz w:val="20"/>
              </w:rPr>
              <w:t xml:space="preserve">housing </w:t>
            </w:r>
            <w:r w:rsidRPr="00A900DC">
              <w:rPr>
                <w:rFonts w:ascii="Arial" w:hAnsi="Arial" w:cs="Arial"/>
                <w:sz w:val="20"/>
              </w:rPr>
              <w:t>counseling agencies</w:t>
            </w:r>
            <w:r w:rsidR="005B539E">
              <w:rPr>
                <w:rFonts w:ascii="Arial" w:hAnsi="Arial" w:cs="Arial"/>
                <w:sz w:val="20"/>
              </w:rPr>
              <w:t xml:space="preserve">, including participation in </w:t>
            </w:r>
            <w:r w:rsidR="005B362D">
              <w:rPr>
                <w:rFonts w:ascii="Arial" w:hAnsi="Arial" w:cs="Arial"/>
                <w:sz w:val="20"/>
              </w:rPr>
              <w:t xml:space="preserve">housing </w:t>
            </w:r>
            <w:r w:rsidR="005B539E">
              <w:rPr>
                <w:rFonts w:ascii="Arial" w:hAnsi="Arial" w:cs="Arial"/>
                <w:sz w:val="20"/>
              </w:rPr>
              <w:t>counseling services</w:t>
            </w:r>
            <w:r w:rsidRPr="00A900DC">
              <w:rPr>
                <w:rFonts w:ascii="Arial" w:hAnsi="Arial" w:cs="Arial"/>
                <w:sz w:val="20"/>
              </w:rPr>
              <w:t xml:space="preserve">. </w:t>
            </w:r>
            <w:r w:rsidR="005B539E">
              <w:rPr>
                <w:rFonts w:ascii="Arial" w:hAnsi="Arial" w:cs="Arial"/>
                <w:sz w:val="20"/>
              </w:rPr>
              <w:t>Respondents</w:t>
            </w:r>
            <w:r w:rsidRPr="00A900DC">
              <w:rPr>
                <w:rFonts w:ascii="Arial" w:hAnsi="Arial" w:cs="Arial"/>
                <w:sz w:val="20"/>
              </w:rPr>
              <w:t xml:space="preserve"> will include </w:t>
            </w:r>
            <w:r w:rsidR="00A45229">
              <w:rPr>
                <w:rFonts w:ascii="Arial" w:hAnsi="Arial" w:cs="Arial"/>
                <w:sz w:val="20"/>
              </w:rPr>
              <w:t>study participants assigned to a treatment group</w:t>
            </w:r>
            <w:r w:rsidRPr="00A900DC">
              <w:rPr>
                <w:rFonts w:ascii="Arial" w:hAnsi="Arial" w:cs="Arial"/>
                <w:sz w:val="20"/>
              </w:rPr>
              <w:t xml:space="preserve"> who have and who have not completed </w:t>
            </w:r>
            <w:r w:rsidR="005B362D">
              <w:rPr>
                <w:rFonts w:ascii="Arial" w:hAnsi="Arial" w:cs="Arial"/>
                <w:sz w:val="20"/>
              </w:rPr>
              <w:t xml:space="preserve">housing </w:t>
            </w:r>
            <w:r w:rsidRPr="00A900DC">
              <w:rPr>
                <w:rFonts w:ascii="Arial" w:hAnsi="Arial" w:cs="Arial"/>
                <w:sz w:val="20"/>
              </w:rPr>
              <w:t xml:space="preserve">counseling activities to explore </w:t>
            </w:r>
            <w:r w:rsidR="00540B53" w:rsidRPr="00A900DC">
              <w:rPr>
                <w:rFonts w:ascii="Arial" w:hAnsi="Arial" w:cs="Arial"/>
                <w:sz w:val="20"/>
              </w:rPr>
              <w:t xml:space="preserve">their </w:t>
            </w:r>
            <w:r w:rsidRPr="00A900DC">
              <w:rPr>
                <w:rFonts w:ascii="Arial" w:hAnsi="Arial" w:cs="Arial"/>
                <w:sz w:val="20"/>
              </w:rPr>
              <w:t>decision</w:t>
            </w:r>
            <w:r w:rsidR="00540B53" w:rsidRPr="00A900DC">
              <w:rPr>
                <w:rFonts w:ascii="Arial" w:hAnsi="Arial" w:cs="Arial"/>
                <w:sz w:val="20"/>
              </w:rPr>
              <w:t>s</w:t>
            </w:r>
            <w:r w:rsidRPr="00A900DC">
              <w:rPr>
                <w:rFonts w:ascii="Arial" w:hAnsi="Arial" w:cs="Arial"/>
                <w:sz w:val="20"/>
              </w:rPr>
              <w:t xml:space="preserve"> to complete </w:t>
            </w:r>
            <w:r w:rsidR="005B362D">
              <w:rPr>
                <w:rFonts w:ascii="Arial" w:hAnsi="Arial" w:cs="Arial"/>
                <w:sz w:val="20"/>
              </w:rPr>
              <w:t xml:space="preserve">housing </w:t>
            </w:r>
            <w:r w:rsidRPr="00A900DC">
              <w:rPr>
                <w:rFonts w:ascii="Arial" w:hAnsi="Arial" w:cs="Arial"/>
                <w:sz w:val="20"/>
              </w:rPr>
              <w:t xml:space="preserve">counseling activities. </w:t>
            </w:r>
            <w:r w:rsidR="00E41D4D">
              <w:rPr>
                <w:rFonts w:ascii="Arial" w:hAnsi="Arial" w:cs="Arial"/>
                <w:sz w:val="20"/>
              </w:rPr>
              <w:t>In</w:t>
            </w:r>
            <w:r w:rsidR="00A45229">
              <w:rPr>
                <w:rFonts w:ascii="Arial" w:hAnsi="Arial" w:cs="Arial"/>
                <w:sz w:val="20"/>
              </w:rPr>
              <w:t>terviewees will also include study participants</w:t>
            </w:r>
            <w:r w:rsidR="00E41D4D">
              <w:rPr>
                <w:rFonts w:ascii="Arial" w:hAnsi="Arial" w:cs="Arial"/>
                <w:sz w:val="20"/>
              </w:rPr>
              <w:t xml:space="preserve"> who have and have not purchased a home to understand how </w:t>
            </w:r>
            <w:r w:rsidR="005B362D">
              <w:rPr>
                <w:rFonts w:ascii="Arial" w:hAnsi="Arial" w:cs="Arial"/>
                <w:sz w:val="20"/>
              </w:rPr>
              <w:t xml:space="preserve">housing </w:t>
            </w:r>
            <w:r w:rsidR="00E41D4D">
              <w:rPr>
                <w:rFonts w:ascii="Arial" w:hAnsi="Arial" w:cs="Arial"/>
                <w:sz w:val="20"/>
              </w:rPr>
              <w:t xml:space="preserve">counseling played into the home purchase decision. </w:t>
            </w:r>
            <w:r w:rsidR="005B539E">
              <w:rPr>
                <w:rFonts w:ascii="Arial" w:hAnsi="Arial" w:cs="Arial"/>
                <w:sz w:val="20"/>
              </w:rPr>
              <w:t>These</w:t>
            </w:r>
            <w:r w:rsidR="00A5761D" w:rsidRPr="00A900DC">
              <w:rPr>
                <w:rFonts w:ascii="Arial" w:hAnsi="Arial" w:cs="Arial"/>
                <w:sz w:val="20"/>
              </w:rPr>
              <w:t xml:space="preserve"> interviews are necessary for</w:t>
            </w:r>
            <w:r w:rsidRPr="00A900DC">
              <w:rPr>
                <w:rFonts w:ascii="Arial" w:hAnsi="Arial" w:cs="Arial"/>
                <w:sz w:val="20"/>
              </w:rPr>
              <w:t xml:space="preserve"> our understanding of study implementation, as well as why some participants decided to complete or not complete pre-purchase </w:t>
            </w:r>
            <w:r w:rsidR="005B362D">
              <w:rPr>
                <w:rFonts w:ascii="Arial" w:hAnsi="Arial" w:cs="Arial"/>
                <w:sz w:val="20"/>
              </w:rPr>
              <w:t xml:space="preserve">housing </w:t>
            </w:r>
            <w:r w:rsidRPr="00A900DC">
              <w:rPr>
                <w:rFonts w:ascii="Arial" w:hAnsi="Arial" w:cs="Arial"/>
                <w:sz w:val="20"/>
              </w:rPr>
              <w:t>counseling and education.</w:t>
            </w:r>
          </w:p>
        </w:tc>
      </w:tr>
      <w:tr w:rsidR="00CF07C4" w:rsidRPr="00A900DC" w:rsidTr="00B65F28">
        <w:trPr>
          <w:cantSplit/>
        </w:trPr>
        <w:tc>
          <w:tcPr>
            <w:tcW w:w="1818" w:type="dxa"/>
            <w:shd w:val="clear" w:color="auto" w:fill="898D8D"/>
          </w:tcPr>
          <w:p w:rsidR="00CF07C4" w:rsidRPr="00C64DA5" w:rsidRDefault="005B362D" w:rsidP="00D04634">
            <w:pPr>
              <w:spacing w:after="0"/>
              <w:rPr>
                <w:rFonts w:ascii="Arial" w:hAnsi="Arial" w:cs="Arial"/>
                <w:b/>
                <w:color w:val="F0F4F6" w:themeColor="background1" w:themeTint="33"/>
                <w:sz w:val="20"/>
              </w:rPr>
            </w:pPr>
            <w:r>
              <w:rPr>
                <w:rFonts w:ascii="Arial" w:hAnsi="Arial" w:cs="Arial"/>
                <w:b/>
                <w:color w:val="F0F4F6" w:themeColor="background1" w:themeTint="33"/>
                <w:sz w:val="20"/>
              </w:rPr>
              <w:lastRenderedPageBreak/>
              <w:t xml:space="preserve">Housing </w:t>
            </w:r>
            <w:r w:rsidR="00CF07C4" w:rsidRPr="00C64DA5">
              <w:rPr>
                <w:rFonts w:ascii="Arial" w:hAnsi="Arial" w:cs="Arial"/>
                <w:b/>
                <w:color w:val="F0F4F6" w:themeColor="background1" w:themeTint="33"/>
                <w:sz w:val="20"/>
              </w:rPr>
              <w:t>Counseling Agency Service Data</w:t>
            </w:r>
          </w:p>
        </w:tc>
        <w:tc>
          <w:tcPr>
            <w:tcW w:w="1890" w:type="dxa"/>
          </w:tcPr>
          <w:p w:rsidR="00CF07C4" w:rsidRPr="00A900DC" w:rsidRDefault="00CF07C4" w:rsidP="00A900DC">
            <w:pPr>
              <w:spacing w:after="0"/>
              <w:rPr>
                <w:rFonts w:ascii="Arial" w:hAnsi="Arial" w:cs="Arial"/>
                <w:b/>
                <w:sz w:val="20"/>
              </w:rPr>
            </w:pPr>
            <w:r w:rsidRPr="00A900DC">
              <w:rPr>
                <w:rFonts w:ascii="Arial" w:hAnsi="Arial" w:cs="Arial"/>
                <w:b/>
                <w:sz w:val="20"/>
              </w:rPr>
              <w:t>Service Tracking Da</w:t>
            </w:r>
            <w:r w:rsidR="00542799">
              <w:rPr>
                <w:rFonts w:ascii="Arial" w:hAnsi="Arial" w:cs="Arial"/>
                <w:b/>
                <w:sz w:val="20"/>
              </w:rPr>
              <w:t>ta Collection Module (Appendix G</w:t>
            </w:r>
            <w:r w:rsidRPr="00A900DC">
              <w:rPr>
                <w:rFonts w:ascii="Arial" w:hAnsi="Arial" w:cs="Arial"/>
                <w:b/>
                <w:sz w:val="20"/>
              </w:rPr>
              <w:t>)</w:t>
            </w:r>
          </w:p>
        </w:tc>
        <w:tc>
          <w:tcPr>
            <w:tcW w:w="5490" w:type="dxa"/>
          </w:tcPr>
          <w:p w:rsidR="00CF07C4" w:rsidRPr="00A900DC" w:rsidRDefault="00CF07C4" w:rsidP="00A900DC">
            <w:pPr>
              <w:rPr>
                <w:rFonts w:ascii="Arial" w:hAnsi="Arial" w:cs="Arial"/>
                <w:sz w:val="20"/>
              </w:rPr>
            </w:pPr>
            <w:r w:rsidRPr="00A900DC">
              <w:rPr>
                <w:rFonts w:ascii="Arial" w:hAnsi="Arial" w:cs="Arial"/>
                <w:b/>
                <w:sz w:val="20"/>
              </w:rPr>
              <w:t xml:space="preserve">Respondents: </w:t>
            </w:r>
            <w:r w:rsidR="005B362D">
              <w:rPr>
                <w:rFonts w:ascii="Arial" w:hAnsi="Arial" w:cs="Arial"/>
                <w:sz w:val="20"/>
              </w:rPr>
              <w:t>Housing c</w:t>
            </w:r>
            <w:r w:rsidR="005D4E4D" w:rsidRPr="00A900DC">
              <w:rPr>
                <w:rFonts w:ascii="Arial" w:hAnsi="Arial" w:cs="Arial"/>
                <w:sz w:val="20"/>
              </w:rPr>
              <w:t>ounseling agency staff</w:t>
            </w:r>
            <w:r w:rsidR="00996FEA" w:rsidRPr="00A900DC">
              <w:rPr>
                <w:rFonts w:ascii="Arial" w:hAnsi="Arial" w:cs="Arial"/>
                <w:sz w:val="20"/>
              </w:rPr>
              <w:t xml:space="preserve"> who</w:t>
            </w:r>
            <w:r w:rsidRPr="00A900DC">
              <w:rPr>
                <w:rFonts w:ascii="Arial" w:hAnsi="Arial" w:cs="Arial"/>
                <w:sz w:val="20"/>
              </w:rPr>
              <w:t xml:space="preserve"> record and enter data on services received by study participants.</w:t>
            </w:r>
            <w:r w:rsidR="005D4E4D" w:rsidRPr="00A900DC">
              <w:rPr>
                <w:rFonts w:ascii="Arial" w:hAnsi="Arial" w:cs="Arial"/>
                <w:sz w:val="20"/>
              </w:rPr>
              <w:t xml:space="preserve"> (</w:t>
            </w:r>
            <w:r w:rsidR="005D4E4D" w:rsidRPr="00A900DC">
              <w:rPr>
                <w:rFonts w:ascii="Arial" w:hAnsi="Arial" w:cs="Arial"/>
                <w:i/>
                <w:sz w:val="20"/>
              </w:rPr>
              <w:t xml:space="preserve">The number of </w:t>
            </w:r>
            <w:r w:rsidR="005B362D">
              <w:rPr>
                <w:rFonts w:ascii="Arial" w:hAnsi="Arial" w:cs="Arial"/>
                <w:i/>
                <w:sz w:val="20"/>
              </w:rPr>
              <w:t xml:space="preserve">housing </w:t>
            </w:r>
            <w:r w:rsidR="005D4E4D" w:rsidRPr="00A900DC">
              <w:rPr>
                <w:rFonts w:ascii="Arial" w:hAnsi="Arial" w:cs="Arial"/>
                <w:i/>
                <w:sz w:val="20"/>
              </w:rPr>
              <w:t>counseling agency st</w:t>
            </w:r>
            <w:r w:rsidR="00A72ED0">
              <w:rPr>
                <w:rFonts w:ascii="Arial" w:hAnsi="Arial" w:cs="Arial"/>
                <w:i/>
                <w:sz w:val="20"/>
              </w:rPr>
              <w:t xml:space="preserve">aff will be determined once all </w:t>
            </w:r>
            <w:r w:rsidR="005B362D">
              <w:rPr>
                <w:rFonts w:ascii="Arial" w:hAnsi="Arial" w:cs="Arial"/>
                <w:i/>
                <w:sz w:val="20"/>
              </w:rPr>
              <w:t xml:space="preserve">housing </w:t>
            </w:r>
            <w:r w:rsidR="00A72ED0">
              <w:rPr>
                <w:rFonts w:ascii="Arial" w:hAnsi="Arial" w:cs="Arial"/>
                <w:i/>
                <w:sz w:val="20"/>
              </w:rPr>
              <w:t xml:space="preserve">counseling </w:t>
            </w:r>
            <w:r w:rsidR="005D4E4D" w:rsidRPr="00A900DC">
              <w:rPr>
                <w:rFonts w:ascii="Arial" w:hAnsi="Arial" w:cs="Arial"/>
                <w:i/>
                <w:sz w:val="20"/>
              </w:rPr>
              <w:t>agencies have been selected and recruited into the study.)</w:t>
            </w:r>
          </w:p>
          <w:p w:rsidR="00CF07C4" w:rsidRPr="00A900DC" w:rsidRDefault="00CF07C4" w:rsidP="00A900DC">
            <w:pPr>
              <w:spacing w:after="0"/>
              <w:rPr>
                <w:rFonts w:ascii="Arial" w:hAnsi="Arial" w:cs="Arial"/>
                <w:b/>
                <w:sz w:val="20"/>
              </w:rPr>
            </w:pPr>
            <w:r w:rsidRPr="00A900DC">
              <w:rPr>
                <w:rFonts w:ascii="Arial" w:hAnsi="Arial" w:cs="Arial"/>
                <w:b/>
                <w:sz w:val="20"/>
              </w:rPr>
              <w:t>Content:</w:t>
            </w:r>
          </w:p>
          <w:p w:rsidR="00CF07C4" w:rsidRPr="00A900DC" w:rsidRDefault="00592BDD" w:rsidP="00590FD6">
            <w:pPr>
              <w:pStyle w:val="ListParagraph"/>
              <w:numPr>
                <w:ilvl w:val="0"/>
                <w:numId w:val="9"/>
              </w:numPr>
              <w:spacing w:after="0" w:line="264" w:lineRule="auto"/>
              <w:ind w:left="351" w:hanging="270"/>
              <w:rPr>
                <w:rFonts w:ascii="Arial" w:hAnsi="Arial" w:cs="Arial"/>
                <w:sz w:val="20"/>
                <w:szCs w:val="20"/>
              </w:rPr>
            </w:pPr>
            <w:r>
              <w:rPr>
                <w:rFonts w:ascii="Arial" w:hAnsi="Arial" w:cs="Arial"/>
                <w:sz w:val="20"/>
                <w:szCs w:val="20"/>
              </w:rPr>
              <w:t>N</w:t>
            </w:r>
            <w:r w:rsidR="00CF07C4" w:rsidRPr="00A900DC">
              <w:rPr>
                <w:rFonts w:ascii="Arial" w:hAnsi="Arial" w:cs="Arial"/>
                <w:sz w:val="20"/>
                <w:szCs w:val="20"/>
              </w:rPr>
              <w:t>ame and contact information</w:t>
            </w:r>
            <w:r w:rsidR="005B539E">
              <w:rPr>
                <w:rFonts w:ascii="Arial" w:hAnsi="Arial" w:cs="Arial"/>
                <w:sz w:val="20"/>
                <w:szCs w:val="20"/>
              </w:rPr>
              <w:t xml:space="preserve"> for participant</w:t>
            </w:r>
            <w:r w:rsidR="00CF07C4" w:rsidRPr="00A900DC">
              <w:rPr>
                <w:rFonts w:ascii="Arial" w:hAnsi="Arial" w:cs="Arial"/>
                <w:sz w:val="20"/>
                <w:szCs w:val="20"/>
              </w:rPr>
              <w:t>;</w:t>
            </w:r>
          </w:p>
          <w:p w:rsidR="00CF07C4" w:rsidRPr="00A900DC" w:rsidRDefault="00592BDD" w:rsidP="00590FD6">
            <w:pPr>
              <w:pStyle w:val="ListParagraph"/>
              <w:numPr>
                <w:ilvl w:val="0"/>
                <w:numId w:val="9"/>
              </w:numPr>
              <w:spacing w:after="0" w:line="264" w:lineRule="auto"/>
              <w:ind w:left="351" w:hanging="270"/>
              <w:rPr>
                <w:rFonts w:ascii="Arial" w:hAnsi="Arial" w:cs="Arial"/>
                <w:sz w:val="20"/>
                <w:szCs w:val="20"/>
              </w:rPr>
            </w:pPr>
            <w:r>
              <w:rPr>
                <w:rFonts w:ascii="Arial" w:hAnsi="Arial" w:cs="Arial"/>
                <w:sz w:val="20"/>
                <w:szCs w:val="20"/>
              </w:rPr>
              <w:t>D</w:t>
            </w:r>
            <w:r w:rsidR="00CF07C4" w:rsidRPr="00A900DC">
              <w:rPr>
                <w:rFonts w:ascii="Arial" w:hAnsi="Arial" w:cs="Arial"/>
                <w:sz w:val="20"/>
                <w:szCs w:val="20"/>
              </w:rPr>
              <w:t>ate of birth</w:t>
            </w:r>
            <w:r w:rsidR="005B539E">
              <w:rPr>
                <w:rFonts w:ascii="Arial" w:hAnsi="Arial" w:cs="Arial"/>
                <w:sz w:val="20"/>
                <w:szCs w:val="20"/>
              </w:rPr>
              <w:t xml:space="preserve"> for participant</w:t>
            </w:r>
            <w:r w:rsidR="00CC62A6">
              <w:rPr>
                <w:rFonts w:ascii="Arial" w:hAnsi="Arial" w:cs="Arial"/>
                <w:sz w:val="20"/>
                <w:szCs w:val="20"/>
              </w:rPr>
              <w:t>;</w:t>
            </w:r>
          </w:p>
          <w:p w:rsidR="00CF07C4" w:rsidRPr="00A900DC" w:rsidRDefault="00CF07C4" w:rsidP="00590FD6">
            <w:pPr>
              <w:pStyle w:val="ListParagraph"/>
              <w:numPr>
                <w:ilvl w:val="0"/>
                <w:numId w:val="9"/>
              </w:numPr>
              <w:spacing w:after="0" w:line="264" w:lineRule="auto"/>
              <w:ind w:left="351" w:hanging="270"/>
              <w:rPr>
                <w:rFonts w:ascii="Arial" w:hAnsi="Arial" w:cs="Arial"/>
                <w:sz w:val="20"/>
                <w:szCs w:val="20"/>
              </w:rPr>
            </w:pPr>
            <w:r w:rsidRPr="00A900DC">
              <w:rPr>
                <w:rFonts w:ascii="Arial" w:hAnsi="Arial" w:cs="Arial"/>
                <w:sz w:val="20"/>
                <w:szCs w:val="20"/>
              </w:rPr>
              <w:t>First contact date with counseling agency;</w:t>
            </w:r>
          </w:p>
          <w:p w:rsidR="00CF07C4" w:rsidRPr="00A900DC" w:rsidRDefault="00CF07C4" w:rsidP="00590FD6">
            <w:pPr>
              <w:pStyle w:val="ListParagraph"/>
              <w:numPr>
                <w:ilvl w:val="0"/>
                <w:numId w:val="9"/>
              </w:numPr>
              <w:spacing w:after="0" w:line="264" w:lineRule="auto"/>
              <w:ind w:left="351" w:hanging="270"/>
              <w:rPr>
                <w:rFonts w:ascii="Arial" w:hAnsi="Arial" w:cs="Arial"/>
                <w:sz w:val="20"/>
                <w:szCs w:val="20"/>
              </w:rPr>
            </w:pPr>
            <w:r w:rsidRPr="00A900DC">
              <w:rPr>
                <w:rFonts w:ascii="Arial" w:hAnsi="Arial" w:cs="Arial"/>
                <w:sz w:val="20"/>
                <w:szCs w:val="20"/>
              </w:rPr>
              <w:t>Number of times study participant signs into web-based educational module (</w:t>
            </w:r>
            <w:r w:rsidRPr="00A900DC">
              <w:rPr>
                <w:rFonts w:ascii="Arial" w:hAnsi="Arial" w:cs="Arial"/>
                <w:i/>
                <w:sz w:val="20"/>
                <w:szCs w:val="20"/>
              </w:rPr>
              <w:t>online education only</w:t>
            </w:r>
            <w:r w:rsidRPr="00A900DC">
              <w:rPr>
                <w:rFonts w:ascii="Arial" w:hAnsi="Arial" w:cs="Arial"/>
                <w:sz w:val="20"/>
                <w:szCs w:val="20"/>
              </w:rPr>
              <w:t>);</w:t>
            </w:r>
          </w:p>
          <w:p w:rsidR="00CF07C4" w:rsidRPr="00A900DC" w:rsidRDefault="00CF07C4" w:rsidP="00590FD6">
            <w:pPr>
              <w:pStyle w:val="ListParagraph"/>
              <w:numPr>
                <w:ilvl w:val="0"/>
                <w:numId w:val="9"/>
              </w:numPr>
              <w:spacing w:after="0" w:line="264" w:lineRule="auto"/>
              <w:ind w:left="351" w:hanging="270"/>
              <w:rPr>
                <w:rFonts w:ascii="Arial" w:hAnsi="Arial" w:cs="Arial"/>
                <w:sz w:val="20"/>
                <w:szCs w:val="20"/>
              </w:rPr>
            </w:pPr>
            <w:r w:rsidRPr="00A900DC">
              <w:rPr>
                <w:rFonts w:ascii="Arial" w:hAnsi="Arial" w:cs="Arial"/>
                <w:sz w:val="20"/>
                <w:szCs w:val="20"/>
              </w:rPr>
              <w:t>Type of session;</w:t>
            </w:r>
          </w:p>
          <w:p w:rsidR="00CF07C4" w:rsidRPr="00A900DC" w:rsidRDefault="00CF07C4" w:rsidP="00590FD6">
            <w:pPr>
              <w:pStyle w:val="ListParagraph"/>
              <w:numPr>
                <w:ilvl w:val="0"/>
                <w:numId w:val="9"/>
              </w:numPr>
              <w:spacing w:after="0" w:line="264" w:lineRule="auto"/>
              <w:ind w:left="351" w:hanging="270"/>
              <w:rPr>
                <w:rFonts w:ascii="Arial" w:hAnsi="Arial" w:cs="Arial"/>
                <w:sz w:val="20"/>
                <w:szCs w:val="20"/>
              </w:rPr>
            </w:pPr>
            <w:r w:rsidRPr="00A900DC">
              <w:rPr>
                <w:rFonts w:ascii="Arial" w:hAnsi="Arial" w:cs="Arial"/>
                <w:sz w:val="20"/>
                <w:szCs w:val="20"/>
              </w:rPr>
              <w:t>Date of session;</w:t>
            </w:r>
          </w:p>
          <w:p w:rsidR="00CF07C4" w:rsidRPr="00A900DC" w:rsidRDefault="00CF07C4" w:rsidP="00590FD6">
            <w:pPr>
              <w:pStyle w:val="ListParagraph"/>
              <w:numPr>
                <w:ilvl w:val="0"/>
                <w:numId w:val="9"/>
              </w:numPr>
              <w:spacing w:after="0" w:line="264" w:lineRule="auto"/>
              <w:ind w:left="351" w:hanging="270"/>
              <w:rPr>
                <w:rFonts w:ascii="Arial" w:hAnsi="Arial" w:cs="Arial"/>
                <w:sz w:val="20"/>
                <w:szCs w:val="20"/>
              </w:rPr>
            </w:pPr>
            <w:r w:rsidRPr="00A900DC">
              <w:rPr>
                <w:rFonts w:ascii="Arial" w:hAnsi="Arial" w:cs="Arial"/>
                <w:sz w:val="20"/>
                <w:szCs w:val="20"/>
              </w:rPr>
              <w:t xml:space="preserve">Number of participants </w:t>
            </w:r>
            <w:r w:rsidR="00CC62A6">
              <w:rPr>
                <w:rFonts w:ascii="Arial" w:hAnsi="Arial" w:cs="Arial"/>
                <w:sz w:val="20"/>
                <w:szCs w:val="20"/>
              </w:rPr>
              <w:t>in</w:t>
            </w:r>
            <w:r w:rsidR="009949C8">
              <w:rPr>
                <w:rFonts w:ascii="Arial" w:hAnsi="Arial" w:cs="Arial"/>
                <w:sz w:val="20"/>
                <w:szCs w:val="20"/>
              </w:rPr>
              <w:t xml:space="preserve"> </w:t>
            </w:r>
            <w:r w:rsidRPr="00A900DC">
              <w:rPr>
                <w:rFonts w:ascii="Arial" w:hAnsi="Arial" w:cs="Arial"/>
                <w:sz w:val="20"/>
                <w:szCs w:val="20"/>
              </w:rPr>
              <w:t>session;</w:t>
            </w:r>
          </w:p>
          <w:p w:rsidR="00CF07C4" w:rsidRPr="00A900DC" w:rsidRDefault="00CF07C4" w:rsidP="00590FD6">
            <w:pPr>
              <w:pStyle w:val="ListParagraph"/>
              <w:numPr>
                <w:ilvl w:val="0"/>
                <w:numId w:val="9"/>
              </w:numPr>
              <w:spacing w:after="0" w:line="264" w:lineRule="auto"/>
              <w:ind w:left="351" w:hanging="270"/>
              <w:rPr>
                <w:rFonts w:ascii="Arial" w:hAnsi="Arial" w:cs="Arial"/>
                <w:sz w:val="20"/>
                <w:szCs w:val="20"/>
              </w:rPr>
            </w:pPr>
            <w:r w:rsidRPr="00A900DC">
              <w:rPr>
                <w:rFonts w:ascii="Arial" w:hAnsi="Arial" w:cs="Arial"/>
                <w:sz w:val="20"/>
                <w:szCs w:val="20"/>
              </w:rPr>
              <w:t>Length of session time;</w:t>
            </w:r>
          </w:p>
          <w:p w:rsidR="00CF07C4" w:rsidRPr="00A900DC" w:rsidRDefault="00CF07C4" w:rsidP="00590FD6">
            <w:pPr>
              <w:pStyle w:val="ListParagraph"/>
              <w:numPr>
                <w:ilvl w:val="0"/>
                <w:numId w:val="9"/>
              </w:numPr>
              <w:spacing w:after="0" w:line="264" w:lineRule="auto"/>
              <w:ind w:left="351" w:hanging="270"/>
              <w:rPr>
                <w:rFonts w:ascii="Arial" w:hAnsi="Arial" w:cs="Arial"/>
                <w:sz w:val="20"/>
                <w:szCs w:val="20"/>
              </w:rPr>
            </w:pPr>
            <w:r w:rsidRPr="00A900DC">
              <w:rPr>
                <w:rFonts w:ascii="Arial" w:hAnsi="Arial" w:cs="Arial"/>
                <w:sz w:val="20"/>
                <w:szCs w:val="20"/>
              </w:rPr>
              <w:t>Topics covered;</w:t>
            </w:r>
          </w:p>
          <w:p w:rsidR="00CF07C4" w:rsidRPr="00A900DC" w:rsidRDefault="00CF07C4" w:rsidP="00590FD6">
            <w:pPr>
              <w:pStyle w:val="ListParagraph"/>
              <w:numPr>
                <w:ilvl w:val="0"/>
                <w:numId w:val="9"/>
              </w:numPr>
              <w:spacing w:after="0" w:line="264" w:lineRule="auto"/>
              <w:ind w:left="351" w:hanging="270"/>
              <w:rPr>
                <w:rFonts w:ascii="Arial" w:hAnsi="Arial" w:cs="Arial"/>
                <w:sz w:val="20"/>
                <w:szCs w:val="20"/>
              </w:rPr>
            </w:pPr>
            <w:r w:rsidRPr="00A900DC">
              <w:rPr>
                <w:rFonts w:ascii="Arial" w:hAnsi="Arial" w:cs="Arial"/>
                <w:sz w:val="20"/>
                <w:szCs w:val="20"/>
              </w:rPr>
              <w:t>Counseling agency staff member who taught/led session;</w:t>
            </w:r>
          </w:p>
          <w:p w:rsidR="00CF07C4" w:rsidRPr="00A900DC" w:rsidRDefault="00CF07C4" w:rsidP="00590FD6">
            <w:pPr>
              <w:pStyle w:val="ListParagraph"/>
              <w:numPr>
                <w:ilvl w:val="0"/>
                <w:numId w:val="9"/>
              </w:numPr>
              <w:spacing w:after="0" w:line="264" w:lineRule="auto"/>
              <w:ind w:left="351" w:hanging="270"/>
              <w:rPr>
                <w:rFonts w:ascii="Arial" w:hAnsi="Arial" w:cs="Arial"/>
                <w:sz w:val="20"/>
                <w:szCs w:val="20"/>
              </w:rPr>
            </w:pPr>
            <w:r w:rsidRPr="00A900DC">
              <w:rPr>
                <w:rFonts w:ascii="Arial" w:hAnsi="Arial" w:cs="Arial"/>
                <w:sz w:val="20"/>
                <w:szCs w:val="20"/>
              </w:rPr>
              <w:t>Action steps before, during</w:t>
            </w:r>
            <w:r w:rsidR="00422EB2">
              <w:rPr>
                <w:rFonts w:ascii="Arial" w:hAnsi="Arial" w:cs="Arial"/>
                <w:sz w:val="20"/>
                <w:szCs w:val="20"/>
              </w:rPr>
              <w:t>,</w:t>
            </w:r>
            <w:r w:rsidRPr="00A900DC">
              <w:rPr>
                <w:rFonts w:ascii="Arial" w:hAnsi="Arial" w:cs="Arial"/>
                <w:sz w:val="20"/>
                <w:szCs w:val="20"/>
              </w:rPr>
              <w:t xml:space="preserve"> or after session;</w:t>
            </w:r>
          </w:p>
          <w:p w:rsidR="00CF07C4" w:rsidRDefault="00CF07C4" w:rsidP="00590FD6">
            <w:pPr>
              <w:pStyle w:val="ListParagraph"/>
              <w:numPr>
                <w:ilvl w:val="0"/>
                <w:numId w:val="9"/>
              </w:numPr>
              <w:spacing w:after="0" w:line="264" w:lineRule="auto"/>
              <w:ind w:left="351" w:hanging="270"/>
              <w:rPr>
                <w:rFonts w:ascii="Arial" w:hAnsi="Arial" w:cs="Arial"/>
                <w:sz w:val="20"/>
                <w:szCs w:val="20"/>
              </w:rPr>
            </w:pPr>
            <w:r w:rsidRPr="00A900DC">
              <w:rPr>
                <w:rFonts w:ascii="Arial" w:hAnsi="Arial" w:cs="Arial"/>
                <w:sz w:val="20"/>
                <w:szCs w:val="20"/>
              </w:rPr>
              <w:t>Percent of educational curriculum completed;</w:t>
            </w:r>
          </w:p>
          <w:p w:rsidR="00422EB2" w:rsidRPr="00A900DC" w:rsidRDefault="00422EB2" w:rsidP="00590FD6">
            <w:pPr>
              <w:pStyle w:val="ListParagraph"/>
              <w:numPr>
                <w:ilvl w:val="0"/>
                <w:numId w:val="9"/>
              </w:numPr>
              <w:spacing w:after="0" w:line="264" w:lineRule="auto"/>
              <w:ind w:left="351" w:hanging="270"/>
              <w:rPr>
                <w:rFonts w:ascii="Arial" w:hAnsi="Arial" w:cs="Arial"/>
                <w:sz w:val="20"/>
                <w:szCs w:val="20"/>
              </w:rPr>
            </w:pPr>
            <w:r>
              <w:rPr>
                <w:rFonts w:ascii="Arial" w:hAnsi="Arial" w:cs="Arial"/>
                <w:sz w:val="20"/>
                <w:szCs w:val="20"/>
              </w:rPr>
              <w:t>Score of online module testing;</w:t>
            </w:r>
          </w:p>
          <w:p w:rsidR="00CF07C4" w:rsidRPr="00A900DC" w:rsidRDefault="00CF07C4" w:rsidP="00590FD6">
            <w:pPr>
              <w:pStyle w:val="ListParagraph"/>
              <w:numPr>
                <w:ilvl w:val="0"/>
                <w:numId w:val="9"/>
              </w:numPr>
              <w:spacing w:after="0" w:line="264" w:lineRule="auto"/>
              <w:ind w:left="351" w:hanging="270"/>
              <w:rPr>
                <w:rFonts w:ascii="Arial" w:hAnsi="Arial" w:cs="Arial"/>
                <w:sz w:val="20"/>
                <w:szCs w:val="20"/>
              </w:rPr>
            </w:pPr>
            <w:r w:rsidRPr="00A900DC">
              <w:rPr>
                <w:rFonts w:ascii="Arial" w:hAnsi="Arial" w:cs="Arial"/>
                <w:sz w:val="20"/>
                <w:szCs w:val="20"/>
              </w:rPr>
              <w:t>Outcome(s) of session; and</w:t>
            </w:r>
          </w:p>
          <w:p w:rsidR="00CF07C4" w:rsidRPr="00A900DC" w:rsidRDefault="00CF07C4" w:rsidP="00590FD6">
            <w:pPr>
              <w:pStyle w:val="ListParagraph"/>
              <w:numPr>
                <w:ilvl w:val="0"/>
                <w:numId w:val="9"/>
              </w:numPr>
              <w:spacing w:after="180" w:line="264" w:lineRule="auto"/>
              <w:ind w:left="351" w:hanging="265"/>
              <w:contextualSpacing w:val="0"/>
              <w:rPr>
                <w:rFonts w:ascii="Arial" w:hAnsi="Arial" w:cs="Arial"/>
                <w:sz w:val="20"/>
                <w:szCs w:val="20"/>
              </w:rPr>
            </w:pPr>
            <w:r w:rsidRPr="00A900DC">
              <w:rPr>
                <w:rFonts w:ascii="Arial" w:hAnsi="Arial" w:cs="Arial"/>
                <w:sz w:val="20"/>
                <w:szCs w:val="20"/>
              </w:rPr>
              <w:t>Recommendation(s) to study participant</w:t>
            </w:r>
            <w:r w:rsidR="00B53D49">
              <w:rPr>
                <w:rFonts w:ascii="Arial" w:hAnsi="Arial" w:cs="Arial"/>
                <w:sz w:val="20"/>
                <w:szCs w:val="20"/>
              </w:rPr>
              <w:t>.</w:t>
            </w:r>
          </w:p>
          <w:p w:rsidR="00002FB9" w:rsidRPr="00A900DC" w:rsidRDefault="00CF07C4" w:rsidP="00190EC9">
            <w:pPr>
              <w:spacing w:after="0"/>
              <w:rPr>
                <w:rFonts w:ascii="Arial" w:hAnsi="Arial" w:cs="Arial"/>
                <w:sz w:val="20"/>
              </w:rPr>
            </w:pPr>
            <w:r w:rsidRPr="00A900DC">
              <w:rPr>
                <w:rFonts w:ascii="Arial" w:hAnsi="Arial" w:cs="Arial"/>
                <w:b/>
                <w:sz w:val="20"/>
              </w:rPr>
              <w:t xml:space="preserve">Reason:  </w:t>
            </w:r>
            <w:r w:rsidRPr="00A900DC">
              <w:rPr>
                <w:rFonts w:ascii="Arial" w:hAnsi="Arial" w:cs="Arial"/>
                <w:sz w:val="20"/>
              </w:rPr>
              <w:t xml:space="preserve">This service tracking data will create a </w:t>
            </w:r>
            <w:r w:rsidR="00996FEA" w:rsidRPr="00A900DC">
              <w:rPr>
                <w:rFonts w:ascii="Arial" w:hAnsi="Arial" w:cs="Arial"/>
                <w:sz w:val="20"/>
              </w:rPr>
              <w:t>detailed</w:t>
            </w:r>
            <w:r w:rsidRPr="00A900DC">
              <w:rPr>
                <w:rFonts w:ascii="Arial" w:hAnsi="Arial" w:cs="Arial"/>
                <w:sz w:val="20"/>
              </w:rPr>
              <w:t xml:space="preserve"> record of the </w:t>
            </w:r>
            <w:r w:rsidR="005B362D">
              <w:rPr>
                <w:rFonts w:ascii="Arial" w:hAnsi="Arial" w:cs="Arial"/>
                <w:sz w:val="20"/>
              </w:rPr>
              <w:t xml:space="preserve">housing </w:t>
            </w:r>
            <w:r w:rsidRPr="00A900DC">
              <w:rPr>
                <w:rFonts w:ascii="Arial" w:hAnsi="Arial" w:cs="Arial"/>
                <w:sz w:val="20"/>
              </w:rPr>
              <w:t xml:space="preserve">counseling and education services provided to study participants. The compiled data will provide the basis for description of the </w:t>
            </w:r>
            <w:r w:rsidR="005B362D">
              <w:rPr>
                <w:rFonts w:ascii="Arial" w:hAnsi="Arial" w:cs="Arial"/>
                <w:sz w:val="20"/>
              </w:rPr>
              <w:t xml:space="preserve">housing </w:t>
            </w:r>
            <w:r w:rsidRPr="00A900DC">
              <w:rPr>
                <w:rFonts w:ascii="Arial" w:hAnsi="Arial" w:cs="Arial"/>
                <w:sz w:val="20"/>
              </w:rPr>
              <w:t xml:space="preserve">counseling interventions in the final report. A detailed understanding of the </w:t>
            </w:r>
            <w:r w:rsidR="005B362D">
              <w:rPr>
                <w:rFonts w:ascii="Arial" w:hAnsi="Arial" w:cs="Arial"/>
                <w:sz w:val="20"/>
              </w:rPr>
              <w:t xml:space="preserve">housing </w:t>
            </w:r>
            <w:r w:rsidRPr="00A900DC">
              <w:rPr>
                <w:rFonts w:ascii="Arial" w:hAnsi="Arial" w:cs="Arial"/>
                <w:sz w:val="20"/>
              </w:rPr>
              <w:t>counseling services received by treatment group members is central to interpreting the evaluation outcomes and impact estimates.</w:t>
            </w:r>
          </w:p>
        </w:tc>
      </w:tr>
      <w:tr w:rsidR="00CF07C4" w:rsidRPr="00A900DC" w:rsidTr="00B65F28">
        <w:trPr>
          <w:cantSplit/>
        </w:trPr>
        <w:tc>
          <w:tcPr>
            <w:tcW w:w="1818" w:type="dxa"/>
            <w:shd w:val="clear" w:color="auto" w:fill="898D8D"/>
          </w:tcPr>
          <w:p w:rsidR="00CF07C4" w:rsidRPr="00C64DA5" w:rsidRDefault="00CF07C4" w:rsidP="00D04634">
            <w:pPr>
              <w:spacing w:after="0"/>
              <w:rPr>
                <w:rFonts w:ascii="Arial" w:hAnsi="Arial" w:cs="Arial"/>
                <w:b/>
                <w:color w:val="F0F4F6" w:themeColor="background1" w:themeTint="33"/>
                <w:sz w:val="20"/>
              </w:rPr>
            </w:pPr>
            <w:r w:rsidRPr="00C64DA5">
              <w:rPr>
                <w:rFonts w:ascii="Arial" w:hAnsi="Arial" w:cs="Arial"/>
                <w:b/>
                <w:color w:val="F0F4F6" w:themeColor="background1" w:themeTint="33"/>
                <w:sz w:val="20"/>
              </w:rPr>
              <w:lastRenderedPageBreak/>
              <w:t xml:space="preserve">Interviews with </w:t>
            </w:r>
            <w:r w:rsidR="005B362D">
              <w:rPr>
                <w:rFonts w:ascii="Arial" w:hAnsi="Arial" w:cs="Arial"/>
                <w:b/>
                <w:color w:val="F0F4F6" w:themeColor="background1" w:themeTint="33"/>
                <w:sz w:val="20"/>
              </w:rPr>
              <w:t xml:space="preserve">Housing </w:t>
            </w:r>
            <w:r w:rsidRPr="00C64DA5">
              <w:rPr>
                <w:rFonts w:ascii="Arial" w:hAnsi="Arial" w:cs="Arial"/>
                <w:b/>
                <w:color w:val="F0F4F6" w:themeColor="background1" w:themeTint="33"/>
                <w:sz w:val="20"/>
              </w:rPr>
              <w:t>Counseling Agency Staff</w:t>
            </w:r>
          </w:p>
        </w:tc>
        <w:tc>
          <w:tcPr>
            <w:tcW w:w="1890" w:type="dxa"/>
          </w:tcPr>
          <w:p w:rsidR="00CF07C4" w:rsidRPr="00A900DC" w:rsidRDefault="005B362D" w:rsidP="00EB7E84">
            <w:pPr>
              <w:spacing w:after="0"/>
              <w:rPr>
                <w:rFonts w:ascii="Arial" w:hAnsi="Arial" w:cs="Arial"/>
                <w:b/>
                <w:sz w:val="20"/>
              </w:rPr>
            </w:pPr>
            <w:r>
              <w:rPr>
                <w:rFonts w:ascii="Arial" w:hAnsi="Arial" w:cs="Arial"/>
                <w:b/>
                <w:sz w:val="20"/>
              </w:rPr>
              <w:t xml:space="preserve">Housing </w:t>
            </w:r>
            <w:r w:rsidR="00CF07C4" w:rsidRPr="00A900DC">
              <w:rPr>
                <w:rFonts w:ascii="Arial" w:hAnsi="Arial" w:cs="Arial"/>
                <w:b/>
                <w:sz w:val="20"/>
              </w:rPr>
              <w:t>Counseling Ag</w:t>
            </w:r>
            <w:r w:rsidR="00A72ED0">
              <w:rPr>
                <w:rFonts w:ascii="Arial" w:hAnsi="Arial" w:cs="Arial"/>
                <w:b/>
                <w:sz w:val="20"/>
              </w:rPr>
              <w:t>ency Interview Guide</w:t>
            </w:r>
            <w:r w:rsidR="00EB7E84">
              <w:rPr>
                <w:rFonts w:ascii="Arial" w:hAnsi="Arial" w:cs="Arial"/>
                <w:b/>
                <w:sz w:val="20"/>
              </w:rPr>
              <w:br/>
            </w:r>
            <w:r w:rsidR="00542799">
              <w:rPr>
                <w:rFonts w:ascii="Arial" w:hAnsi="Arial" w:cs="Arial"/>
                <w:b/>
                <w:sz w:val="20"/>
              </w:rPr>
              <w:t>(Appendix H</w:t>
            </w:r>
            <w:r w:rsidR="00CF07C4" w:rsidRPr="00A900DC">
              <w:rPr>
                <w:rFonts w:ascii="Arial" w:hAnsi="Arial" w:cs="Arial"/>
                <w:b/>
                <w:sz w:val="20"/>
              </w:rPr>
              <w:t>)</w:t>
            </w:r>
          </w:p>
        </w:tc>
        <w:tc>
          <w:tcPr>
            <w:tcW w:w="5490" w:type="dxa"/>
          </w:tcPr>
          <w:p w:rsidR="00CF07C4" w:rsidRPr="00A900DC" w:rsidRDefault="00CF07C4" w:rsidP="00A900DC">
            <w:pPr>
              <w:rPr>
                <w:rFonts w:ascii="Arial" w:hAnsi="Arial" w:cs="Arial"/>
                <w:sz w:val="20"/>
              </w:rPr>
            </w:pPr>
            <w:r w:rsidRPr="00A900DC">
              <w:rPr>
                <w:rFonts w:ascii="Arial" w:hAnsi="Arial" w:cs="Arial"/>
                <w:b/>
                <w:sz w:val="20"/>
              </w:rPr>
              <w:t xml:space="preserve">Respondents: </w:t>
            </w:r>
            <w:r w:rsidR="005D4E4D" w:rsidRPr="00A900DC">
              <w:rPr>
                <w:rFonts w:ascii="Arial" w:hAnsi="Arial" w:cs="Arial"/>
                <w:sz w:val="20"/>
              </w:rPr>
              <w:t>F</w:t>
            </w:r>
            <w:r w:rsidRPr="00A900DC">
              <w:rPr>
                <w:rFonts w:ascii="Arial" w:hAnsi="Arial" w:cs="Arial"/>
                <w:sz w:val="20"/>
              </w:rPr>
              <w:t xml:space="preserve">ront line and management staff at participating </w:t>
            </w:r>
            <w:r w:rsidR="005B362D">
              <w:rPr>
                <w:rFonts w:ascii="Arial" w:hAnsi="Arial" w:cs="Arial"/>
                <w:sz w:val="20"/>
              </w:rPr>
              <w:t xml:space="preserve">HUD-approved housing </w:t>
            </w:r>
            <w:r w:rsidRPr="00A900DC">
              <w:rPr>
                <w:rFonts w:ascii="Arial" w:hAnsi="Arial" w:cs="Arial"/>
                <w:sz w:val="20"/>
              </w:rPr>
              <w:t>counseling agen</w:t>
            </w:r>
            <w:r w:rsidR="00E83130" w:rsidRPr="00A900DC">
              <w:rPr>
                <w:rFonts w:ascii="Arial" w:hAnsi="Arial" w:cs="Arial"/>
                <w:sz w:val="20"/>
              </w:rPr>
              <w:t>cies</w:t>
            </w:r>
            <w:r w:rsidR="005D4E4D" w:rsidRPr="00A900DC">
              <w:rPr>
                <w:rFonts w:ascii="Arial" w:hAnsi="Arial" w:cs="Arial"/>
                <w:sz w:val="20"/>
              </w:rPr>
              <w:t xml:space="preserve"> (</w:t>
            </w:r>
            <w:r w:rsidR="005D4E4D" w:rsidRPr="00A900DC">
              <w:rPr>
                <w:rFonts w:ascii="Arial" w:hAnsi="Arial" w:cs="Arial"/>
                <w:i/>
                <w:sz w:val="20"/>
              </w:rPr>
              <w:t xml:space="preserve">The number of </w:t>
            </w:r>
            <w:r w:rsidR="005B362D">
              <w:rPr>
                <w:rFonts w:ascii="Arial" w:hAnsi="Arial" w:cs="Arial"/>
                <w:i/>
                <w:sz w:val="20"/>
              </w:rPr>
              <w:t xml:space="preserve">housing </w:t>
            </w:r>
            <w:r w:rsidR="005D4E4D" w:rsidRPr="00A900DC">
              <w:rPr>
                <w:rFonts w:ascii="Arial" w:hAnsi="Arial" w:cs="Arial"/>
                <w:i/>
                <w:sz w:val="20"/>
              </w:rPr>
              <w:t xml:space="preserve">counseling agency staff will be determined once all </w:t>
            </w:r>
            <w:r w:rsidR="005B362D">
              <w:rPr>
                <w:rFonts w:ascii="Arial" w:hAnsi="Arial" w:cs="Arial"/>
                <w:i/>
                <w:sz w:val="20"/>
              </w:rPr>
              <w:t xml:space="preserve">housing </w:t>
            </w:r>
            <w:r w:rsidR="00A72ED0">
              <w:rPr>
                <w:rFonts w:ascii="Arial" w:hAnsi="Arial" w:cs="Arial"/>
                <w:i/>
                <w:sz w:val="20"/>
              </w:rPr>
              <w:t xml:space="preserve">counseling </w:t>
            </w:r>
            <w:r w:rsidR="005D4E4D" w:rsidRPr="00A900DC">
              <w:rPr>
                <w:rFonts w:ascii="Arial" w:hAnsi="Arial" w:cs="Arial"/>
                <w:i/>
                <w:sz w:val="20"/>
              </w:rPr>
              <w:t>agencies have been selected and recruited into the study.)</w:t>
            </w:r>
          </w:p>
          <w:p w:rsidR="00CF07C4" w:rsidRPr="00A900DC" w:rsidRDefault="00CF07C4" w:rsidP="00A900DC">
            <w:pPr>
              <w:spacing w:after="0"/>
              <w:rPr>
                <w:rFonts w:ascii="Arial" w:hAnsi="Arial" w:cs="Arial"/>
                <w:b/>
                <w:sz w:val="20"/>
              </w:rPr>
            </w:pPr>
            <w:r w:rsidRPr="00A900DC">
              <w:rPr>
                <w:rFonts w:ascii="Arial" w:hAnsi="Arial" w:cs="Arial"/>
                <w:b/>
                <w:sz w:val="20"/>
              </w:rPr>
              <w:t xml:space="preserve">Content: </w:t>
            </w:r>
          </w:p>
          <w:p w:rsidR="00CF07C4" w:rsidRPr="00A900DC" w:rsidRDefault="00CF07C4" w:rsidP="00590FD6">
            <w:pPr>
              <w:pStyle w:val="ListParagraph"/>
              <w:numPr>
                <w:ilvl w:val="0"/>
                <w:numId w:val="9"/>
              </w:numPr>
              <w:spacing w:after="0" w:line="264" w:lineRule="auto"/>
              <w:ind w:left="351" w:hanging="270"/>
              <w:rPr>
                <w:rFonts w:ascii="Arial" w:hAnsi="Arial" w:cs="Arial"/>
                <w:sz w:val="20"/>
                <w:szCs w:val="20"/>
              </w:rPr>
            </w:pPr>
            <w:r w:rsidRPr="00A900DC">
              <w:rPr>
                <w:rFonts w:ascii="Arial" w:hAnsi="Arial" w:cs="Arial"/>
                <w:sz w:val="20"/>
                <w:szCs w:val="20"/>
              </w:rPr>
              <w:t xml:space="preserve">Information on </w:t>
            </w:r>
            <w:r w:rsidR="005B362D">
              <w:rPr>
                <w:rFonts w:ascii="Arial" w:hAnsi="Arial" w:cs="Arial"/>
                <w:sz w:val="20"/>
                <w:szCs w:val="20"/>
              </w:rPr>
              <w:t xml:space="preserve">housing </w:t>
            </w:r>
            <w:r w:rsidRPr="00A900DC">
              <w:rPr>
                <w:rFonts w:ascii="Arial" w:hAnsi="Arial" w:cs="Arial"/>
                <w:sz w:val="20"/>
                <w:szCs w:val="20"/>
              </w:rPr>
              <w:t>counseling agency mission, population</w:t>
            </w:r>
            <w:r w:rsidR="005B539E">
              <w:rPr>
                <w:rFonts w:ascii="Arial" w:hAnsi="Arial" w:cs="Arial"/>
                <w:sz w:val="20"/>
                <w:szCs w:val="20"/>
              </w:rPr>
              <w:t>s</w:t>
            </w:r>
            <w:r w:rsidRPr="00A900DC">
              <w:rPr>
                <w:rFonts w:ascii="Arial" w:hAnsi="Arial" w:cs="Arial"/>
                <w:sz w:val="20"/>
                <w:szCs w:val="20"/>
              </w:rPr>
              <w:t xml:space="preserve"> served, services provided, </w:t>
            </w:r>
            <w:r w:rsidR="005B539E">
              <w:rPr>
                <w:rFonts w:ascii="Arial" w:hAnsi="Arial" w:cs="Arial"/>
                <w:sz w:val="20"/>
                <w:szCs w:val="20"/>
              </w:rPr>
              <w:t xml:space="preserve">and </w:t>
            </w:r>
            <w:r w:rsidRPr="00A900DC">
              <w:rPr>
                <w:rFonts w:ascii="Arial" w:hAnsi="Arial" w:cs="Arial"/>
                <w:sz w:val="20"/>
                <w:szCs w:val="20"/>
              </w:rPr>
              <w:t>funding;</w:t>
            </w:r>
          </w:p>
          <w:p w:rsidR="00CF07C4" w:rsidRPr="00A900DC" w:rsidRDefault="005B539E" w:rsidP="00590FD6">
            <w:pPr>
              <w:pStyle w:val="ListParagraph"/>
              <w:numPr>
                <w:ilvl w:val="0"/>
                <w:numId w:val="9"/>
              </w:numPr>
              <w:spacing w:after="0" w:line="264" w:lineRule="auto"/>
              <w:ind w:left="351" w:hanging="270"/>
              <w:rPr>
                <w:rFonts w:ascii="Arial" w:hAnsi="Arial" w:cs="Arial"/>
                <w:sz w:val="20"/>
                <w:szCs w:val="20"/>
              </w:rPr>
            </w:pPr>
            <w:r>
              <w:rPr>
                <w:rFonts w:ascii="Arial" w:hAnsi="Arial" w:cs="Arial"/>
                <w:sz w:val="20"/>
                <w:szCs w:val="20"/>
              </w:rPr>
              <w:t>Feedback on t</w:t>
            </w:r>
            <w:r w:rsidR="00CF07C4" w:rsidRPr="00A900DC">
              <w:rPr>
                <w:rFonts w:ascii="Arial" w:hAnsi="Arial" w:cs="Arial"/>
                <w:sz w:val="20"/>
                <w:szCs w:val="20"/>
              </w:rPr>
              <w:t>raining</w:t>
            </w:r>
            <w:r>
              <w:rPr>
                <w:rFonts w:ascii="Arial" w:hAnsi="Arial" w:cs="Arial"/>
                <w:sz w:val="20"/>
                <w:szCs w:val="20"/>
              </w:rPr>
              <w:t xml:space="preserve"> provided by study team</w:t>
            </w:r>
            <w:r w:rsidR="00CF07C4" w:rsidRPr="00A900DC">
              <w:rPr>
                <w:rFonts w:ascii="Arial" w:hAnsi="Arial" w:cs="Arial"/>
                <w:sz w:val="20"/>
                <w:szCs w:val="20"/>
              </w:rPr>
              <w:t xml:space="preserve"> on study protocols, random assignment interventions, and service tracking data collect</w:t>
            </w:r>
            <w:r>
              <w:rPr>
                <w:rFonts w:ascii="Arial" w:hAnsi="Arial" w:cs="Arial"/>
                <w:sz w:val="20"/>
                <w:szCs w:val="20"/>
              </w:rPr>
              <w:t>ion</w:t>
            </w:r>
            <w:r w:rsidR="00CF07C4" w:rsidRPr="00A900DC">
              <w:rPr>
                <w:rFonts w:ascii="Arial" w:hAnsi="Arial" w:cs="Arial"/>
                <w:sz w:val="20"/>
                <w:szCs w:val="20"/>
              </w:rPr>
              <w:t>;</w:t>
            </w:r>
          </w:p>
          <w:p w:rsidR="00CF07C4" w:rsidRPr="00A900DC" w:rsidRDefault="00A5761D" w:rsidP="00590FD6">
            <w:pPr>
              <w:pStyle w:val="ListParagraph"/>
              <w:numPr>
                <w:ilvl w:val="0"/>
                <w:numId w:val="9"/>
              </w:numPr>
              <w:spacing w:after="0" w:line="264" w:lineRule="auto"/>
              <w:ind w:left="351" w:hanging="270"/>
              <w:rPr>
                <w:rFonts w:ascii="Arial" w:hAnsi="Arial" w:cs="Arial"/>
                <w:sz w:val="20"/>
                <w:szCs w:val="20"/>
              </w:rPr>
            </w:pPr>
            <w:r w:rsidRPr="00A900DC">
              <w:rPr>
                <w:rFonts w:ascii="Arial" w:hAnsi="Arial" w:cs="Arial"/>
                <w:sz w:val="20"/>
                <w:szCs w:val="20"/>
              </w:rPr>
              <w:t>E</w:t>
            </w:r>
            <w:r w:rsidR="00CF07C4" w:rsidRPr="00A900DC">
              <w:rPr>
                <w:rFonts w:ascii="Arial" w:hAnsi="Arial" w:cs="Arial"/>
                <w:sz w:val="20"/>
                <w:szCs w:val="20"/>
              </w:rPr>
              <w:t>xperience with contacting study participants;</w:t>
            </w:r>
            <w:r w:rsidR="00EB470C" w:rsidRPr="00A900DC">
              <w:rPr>
                <w:rFonts w:ascii="Arial" w:hAnsi="Arial" w:cs="Arial"/>
                <w:sz w:val="20"/>
                <w:szCs w:val="20"/>
              </w:rPr>
              <w:t xml:space="preserve"> and</w:t>
            </w:r>
          </w:p>
          <w:p w:rsidR="00CF07C4" w:rsidRPr="00A900DC" w:rsidRDefault="005B539E" w:rsidP="00590FD6">
            <w:pPr>
              <w:pStyle w:val="ListParagraph"/>
              <w:numPr>
                <w:ilvl w:val="0"/>
                <w:numId w:val="9"/>
              </w:numPr>
              <w:spacing w:after="180" w:line="264" w:lineRule="auto"/>
              <w:ind w:left="351" w:hanging="265"/>
              <w:contextualSpacing w:val="0"/>
              <w:rPr>
                <w:rFonts w:ascii="Arial" w:hAnsi="Arial" w:cs="Arial"/>
                <w:sz w:val="20"/>
                <w:szCs w:val="20"/>
              </w:rPr>
            </w:pPr>
            <w:r>
              <w:rPr>
                <w:rFonts w:ascii="Arial" w:hAnsi="Arial" w:cs="Arial"/>
                <w:sz w:val="20"/>
                <w:szCs w:val="20"/>
              </w:rPr>
              <w:t>Description of p</w:t>
            </w:r>
            <w:r w:rsidR="00CF07C4" w:rsidRPr="00A900DC">
              <w:rPr>
                <w:rFonts w:ascii="Arial" w:hAnsi="Arial" w:cs="Arial"/>
                <w:sz w:val="20"/>
                <w:szCs w:val="20"/>
              </w:rPr>
              <w:t>re-purchase educat</w:t>
            </w:r>
            <w:r w:rsidR="00EB470C" w:rsidRPr="00A900DC">
              <w:rPr>
                <w:rFonts w:ascii="Arial" w:hAnsi="Arial" w:cs="Arial"/>
                <w:sz w:val="20"/>
                <w:szCs w:val="20"/>
              </w:rPr>
              <w:t xml:space="preserve">ion and </w:t>
            </w:r>
            <w:r w:rsidR="005B362D">
              <w:rPr>
                <w:rFonts w:ascii="Arial" w:hAnsi="Arial" w:cs="Arial"/>
                <w:sz w:val="20"/>
                <w:szCs w:val="20"/>
              </w:rPr>
              <w:t xml:space="preserve">housing </w:t>
            </w:r>
            <w:r w:rsidR="00EB470C" w:rsidRPr="00A900DC">
              <w:rPr>
                <w:rFonts w:ascii="Arial" w:hAnsi="Arial" w:cs="Arial"/>
                <w:sz w:val="20"/>
                <w:szCs w:val="20"/>
              </w:rPr>
              <w:t>counseling provided</w:t>
            </w:r>
            <w:r w:rsidR="00002FB9">
              <w:rPr>
                <w:rFonts w:ascii="Arial" w:hAnsi="Arial" w:cs="Arial"/>
                <w:sz w:val="20"/>
                <w:szCs w:val="20"/>
              </w:rPr>
              <w:t xml:space="preserve"> to study participants</w:t>
            </w:r>
            <w:r w:rsidR="00EB470C" w:rsidRPr="00A900DC">
              <w:rPr>
                <w:rFonts w:ascii="Arial" w:hAnsi="Arial" w:cs="Arial"/>
                <w:sz w:val="20"/>
                <w:szCs w:val="20"/>
              </w:rPr>
              <w:t>.</w:t>
            </w:r>
          </w:p>
          <w:p w:rsidR="00CF07C4" w:rsidRPr="00A900DC" w:rsidRDefault="00CF07C4" w:rsidP="00190EC9">
            <w:pPr>
              <w:pStyle w:val="CommentText"/>
              <w:spacing w:after="0"/>
              <w:rPr>
                <w:rFonts w:ascii="Arial" w:hAnsi="Arial" w:cs="Arial"/>
              </w:rPr>
            </w:pPr>
            <w:r w:rsidRPr="00A900DC">
              <w:rPr>
                <w:rFonts w:ascii="Arial" w:hAnsi="Arial" w:cs="Arial"/>
                <w:b/>
              </w:rPr>
              <w:t>Reason:</w:t>
            </w:r>
            <w:r w:rsidRPr="00A900DC">
              <w:rPr>
                <w:rFonts w:ascii="Arial" w:hAnsi="Arial" w:cs="Arial"/>
              </w:rPr>
              <w:t xml:space="preserve"> The collection of th</w:t>
            </w:r>
            <w:r w:rsidR="001F303D">
              <w:rPr>
                <w:rFonts w:ascii="Arial" w:hAnsi="Arial" w:cs="Arial"/>
              </w:rPr>
              <w:t>e</w:t>
            </w:r>
            <w:r w:rsidRPr="00A900DC">
              <w:rPr>
                <w:rFonts w:ascii="Arial" w:hAnsi="Arial" w:cs="Arial"/>
              </w:rPr>
              <w:t>s</w:t>
            </w:r>
            <w:r w:rsidR="001F303D">
              <w:rPr>
                <w:rFonts w:ascii="Arial" w:hAnsi="Arial" w:cs="Arial"/>
              </w:rPr>
              <w:t>e</w:t>
            </w:r>
            <w:r w:rsidRPr="00A900DC">
              <w:rPr>
                <w:rFonts w:ascii="Arial" w:hAnsi="Arial" w:cs="Arial"/>
              </w:rPr>
              <w:t xml:space="preserve"> d</w:t>
            </w:r>
            <w:r w:rsidR="00385EC5">
              <w:rPr>
                <w:rFonts w:ascii="Arial" w:hAnsi="Arial" w:cs="Arial"/>
              </w:rPr>
              <w:t xml:space="preserve">ata is necessary to document feedback from </w:t>
            </w:r>
            <w:r w:rsidR="005B362D">
              <w:rPr>
                <w:rFonts w:ascii="Arial" w:hAnsi="Arial" w:cs="Arial"/>
              </w:rPr>
              <w:t xml:space="preserve">housing </w:t>
            </w:r>
            <w:r w:rsidR="00385EC5">
              <w:rPr>
                <w:rFonts w:ascii="Arial" w:hAnsi="Arial" w:cs="Arial"/>
              </w:rPr>
              <w:t>counseling agencies on whether there are problems with the implementation of the study design and the extent to which the study is implemented as designed</w:t>
            </w:r>
            <w:r w:rsidR="00EB7E84">
              <w:rPr>
                <w:rFonts w:ascii="Arial" w:hAnsi="Arial" w:cs="Arial"/>
              </w:rPr>
              <w:t xml:space="preserve">. </w:t>
            </w:r>
            <w:r w:rsidRPr="00A900DC">
              <w:rPr>
                <w:rFonts w:ascii="Arial" w:hAnsi="Arial" w:cs="Arial"/>
              </w:rPr>
              <w:t>Additionally, these interviews will gather</w:t>
            </w:r>
            <w:r w:rsidR="005D4E4D" w:rsidRPr="00A900DC">
              <w:rPr>
                <w:rFonts w:ascii="Arial" w:hAnsi="Arial" w:cs="Arial"/>
              </w:rPr>
              <w:t xml:space="preserve"> information on </w:t>
            </w:r>
            <w:r w:rsidRPr="00A900DC">
              <w:rPr>
                <w:rFonts w:ascii="Arial" w:hAnsi="Arial" w:cs="Arial"/>
              </w:rPr>
              <w:t xml:space="preserve">pre-purchase </w:t>
            </w:r>
            <w:r w:rsidR="005B362D">
              <w:rPr>
                <w:rFonts w:ascii="Arial" w:hAnsi="Arial" w:cs="Arial"/>
              </w:rPr>
              <w:t xml:space="preserve">housing </w:t>
            </w:r>
            <w:r w:rsidRPr="00A900DC">
              <w:rPr>
                <w:rFonts w:ascii="Arial" w:hAnsi="Arial" w:cs="Arial"/>
              </w:rPr>
              <w:t>counseling and education services offered to study participa</w:t>
            </w:r>
            <w:r w:rsidR="005D4E4D" w:rsidRPr="00A900DC">
              <w:rPr>
                <w:rFonts w:ascii="Arial" w:hAnsi="Arial" w:cs="Arial"/>
              </w:rPr>
              <w:t>nts</w:t>
            </w:r>
            <w:r w:rsidRPr="00A900DC">
              <w:rPr>
                <w:rFonts w:ascii="Arial" w:hAnsi="Arial" w:cs="Arial"/>
              </w:rPr>
              <w:t xml:space="preserve">. </w:t>
            </w:r>
          </w:p>
        </w:tc>
      </w:tr>
      <w:tr w:rsidR="00542799" w:rsidRPr="00A900DC" w:rsidTr="00B65F28">
        <w:trPr>
          <w:cantSplit/>
        </w:trPr>
        <w:tc>
          <w:tcPr>
            <w:tcW w:w="1818" w:type="dxa"/>
            <w:shd w:val="clear" w:color="auto" w:fill="898D8D"/>
          </w:tcPr>
          <w:p w:rsidR="00542799" w:rsidRPr="00C64DA5" w:rsidRDefault="00542799" w:rsidP="00D04634">
            <w:pPr>
              <w:spacing w:after="0"/>
              <w:rPr>
                <w:rFonts w:ascii="Arial" w:hAnsi="Arial" w:cs="Arial"/>
                <w:b/>
                <w:color w:val="F0F4F6" w:themeColor="background1" w:themeTint="33"/>
                <w:sz w:val="20"/>
              </w:rPr>
            </w:pPr>
            <w:r w:rsidRPr="00C64DA5">
              <w:rPr>
                <w:rFonts w:ascii="Arial" w:hAnsi="Arial" w:cs="Arial"/>
                <w:b/>
                <w:color w:val="F0F4F6" w:themeColor="background1" w:themeTint="33"/>
                <w:sz w:val="20"/>
              </w:rPr>
              <w:t>Observations and Interviews with Customer Service Teams with Lenders</w:t>
            </w:r>
          </w:p>
        </w:tc>
        <w:tc>
          <w:tcPr>
            <w:tcW w:w="1890" w:type="dxa"/>
          </w:tcPr>
          <w:p w:rsidR="00542799" w:rsidRPr="00A900DC" w:rsidRDefault="00542799" w:rsidP="00EB7E84">
            <w:pPr>
              <w:spacing w:after="0"/>
              <w:rPr>
                <w:rFonts w:ascii="Arial" w:hAnsi="Arial" w:cs="Arial"/>
                <w:b/>
                <w:sz w:val="20"/>
              </w:rPr>
            </w:pPr>
            <w:r>
              <w:rPr>
                <w:rFonts w:ascii="Arial" w:hAnsi="Arial" w:cs="Arial"/>
                <w:b/>
                <w:sz w:val="20"/>
              </w:rPr>
              <w:t>Lenders’ Customer Service Team Observation Guide (Appendix J)</w:t>
            </w:r>
          </w:p>
        </w:tc>
        <w:tc>
          <w:tcPr>
            <w:tcW w:w="5490" w:type="dxa"/>
          </w:tcPr>
          <w:p w:rsidR="00542799" w:rsidRDefault="00542799" w:rsidP="00A900DC">
            <w:pPr>
              <w:rPr>
                <w:rFonts w:ascii="Arial" w:hAnsi="Arial" w:cs="Arial"/>
                <w:b/>
                <w:sz w:val="20"/>
              </w:rPr>
            </w:pPr>
            <w:r>
              <w:rPr>
                <w:rFonts w:ascii="Arial" w:hAnsi="Arial" w:cs="Arial"/>
                <w:b/>
                <w:sz w:val="20"/>
              </w:rPr>
              <w:t>Respondents:</w:t>
            </w:r>
            <w:r w:rsidR="009949C8">
              <w:rPr>
                <w:rFonts w:ascii="Arial" w:hAnsi="Arial" w:cs="Arial"/>
                <w:b/>
                <w:sz w:val="20"/>
              </w:rPr>
              <w:t xml:space="preserve"> </w:t>
            </w:r>
            <w:r w:rsidR="00606DB2" w:rsidRPr="00606DB2">
              <w:rPr>
                <w:rFonts w:ascii="Arial" w:hAnsi="Arial" w:cs="Arial"/>
                <w:sz w:val="20"/>
              </w:rPr>
              <w:t>Customer service team members with participating lenders</w:t>
            </w:r>
          </w:p>
          <w:p w:rsidR="00542799" w:rsidRDefault="00542799" w:rsidP="00C64DA5">
            <w:pPr>
              <w:spacing w:after="0"/>
              <w:rPr>
                <w:rFonts w:ascii="Arial" w:hAnsi="Arial" w:cs="Arial"/>
                <w:b/>
                <w:sz w:val="20"/>
              </w:rPr>
            </w:pPr>
            <w:r>
              <w:rPr>
                <w:rFonts w:ascii="Arial" w:hAnsi="Arial" w:cs="Arial"/>
                <w:b/>
                <w:sz w:val="20"/>
              </w:rPr>
              <w:t>Content:</w:t>
            </w:r>
          </w:p>
          <w:p w:rsidR="00606DB2" w:rsidRPr="00190EC9" w:rsidRDefault="00606DB2" w:rsidP="00590FD6">
            <w:pPr>
              <w:pStyle w:val="ListParagraph"/>
              <w:numPr>
                <w:ilvl w:val="0"/>
                <w:numId w:val="9"/>
              </w:numPr>
              <w:spacing w:after="0" w:line="264" w:lineRule="auto"/>
              <w:ind w:left="351" w:hanging="265"/>
              <w:contextualSpacing w:val="0"/>
              <w:rPr>
                <w:rFonts w:ascii="Arial" w:hAnsi="Arial" w:cs="Arial"/>
                <w:sz w:val="20"/>
                <w:szCs w:val="20"/>
              </w:rPr>
            </w:pPr>
            <w:r w:rsidRPr="0042411C">
              <w:rPr>
                <w:rFonts w:ascii="Arial" w:hAnsi="Arial" w:cs="Arial"/>
                <w:sz w:val="20"/>
              </w:rPr>
              <w:t>Observations made by the study team during training</w:t>
            </w:r>
            <w:r w:rsidR="000F680A">
              <w:rPr>
                <w:rFonts w:ascii="Arial" w:hAnsi="Arial" w:cs="Arial"/>
                <w:sz w:val="20"/>
              </w:rPr>
              <w:t>;</w:t>
            </w:r>
          </w:p>
          <w:p w:rsidR="00606DB2" w:rsidRPr="00190EC9" w:rsidRDefault="00606DB2" w:rsidP="00590FD6">
            <w:pPr>
              <w:pStyle w:val="ListParagraph"/>
              <w:numPr>
                <w:ilvl w:val="0"/>
                <w:numId w:val="9"/>
              </w:numPr>
              <w:spacing w:after="0" w:line="264" w:lineRule="auto"/>
              <w:ind w:left="351" w:hanging="265"/>
              <w:contextualSpacing w:val="0"/>
              <w:rPr>
                <w:rFonts w:ascii="Arial" w:hAnsi="Arial" w:cs="Arial"/>
                <w:sz w:val="20"/>
                <w:szCs w:val="20"/>
              </w:rPr>
            </w:pPr>
            <w:r w:rsidRPr="00190EC9">
              <w:rPr>
                <w:rFonts w:ascii="Arial" w:hAnsi="Arial" w:cs="Arial"/>
                <w:sz w:val="20"/>
                <w:szCs w:val="20"/>
              </w:rPr>
              <w:t>Observations made by the study team during study recruitment calls to customers</w:t>
            </w:r>
            <w:r w:rsidR="000F680A">
              <w:rPr>
                <w:rFonts w:ascii="Arial" w:hAnsi="Arial" w:cs="Arial"/>
                <w:sz w:val="20"/>
                <w:szCs w:val="20"/>
              </w:rPr>
              <w:t>; and,</w:t>
            </w:r>
          </w:p>
          <w:p w:rsidR="00606DB2" w:rsidRPr="0042411C" w:rsidRDefault="0042411C" w:rsidP="00590FD6">
            <w:pPr>
              <w:pStyle w:val="ListParagraph"/>
              <w:numPr>
                <w:ilvl w:val="0"/>
                <w:numId w:val="9"/>
              </w:numPr>
              <w:spacing w:after="180" w:line="264" w:lineRule="auto"/>
              <w:ind w:left="351" w:hanging="265"/>
              <w:contextualSpacing w:val="0"/>
              <w:rPr>
                <w:rFonts w:ascii="Arial" w:hAnsi="Arial" w:cs="Arial"/>
                <w:sz w:val="20"/>
              </w:rPr>
            </w:pPr>
            <w:r w:rsidRPr="00190EC9">
              <w:rPr>
                <w:rFonts w:ascii="Arial" w:hAnsi="Arial" w:cs="Arial"/>
                <w:sz w:val="20"/>
                <w:szCs w:val="20"/>
              </w:rPr>
              <w:t>Documenting</w:t>
            </w:r>
            <w:r w:rsidRPr="0042411C">
              <w:rPr>
                <w:rFonts w:ascii="Arial" w:hAnsi="Arial" w:cs="Arial"/>
                <w:sz w:val="20"/>
              </w:rPr>
              <w:t xml:space="preserve"> responses on the experiences of the customer service team members while making recruitment calls</w:t>
            </w:r>
          </w:p>
          <w:p w:rsidR="00542799" w:rsidRPr="0042411C" w:rsidRDefault="00542799" w:rsidP="00190EC9">
            <w:pPr>
              <w:spacing w:after="0"/>
              <w:rPr>
                <w:rFonts w:ascii="Arial" w:hAnsi="Arial" w:cs="Arial"/>
                <w:sz w:val="20"/>
              </w:rPr>
            </w:pPr>
            <w:r>
              <w:rPr>
                <w:rFonts w:ascii="Arial" w:hAnsi="Arial" w:cs="Arial"/>
                <w:b/>
                <w:sz w:val="20"/>
              </w:rPr>
              <w:t>Reason:</w:t>
            </w:r>
            <w:r w:rsidR="009949C8">
              <w:rPr>
                <w:rFonts w:ascii="Arial" w:hAnsi="Arial" w:cs="Arial"/>
                <w:b/>
                <w:sz w:val="20"/>
              </w:rPr>
              <w:t xml:space="preserve"> </w:t>
            </w:r>
            <w:r w:rsidR="0042411C">
              <w:rPr>
                <w:rFonts w:ascii="Arial" w:hAnsi="Arial" w:cs="Arial"/>
                <w:sz w:val="20"/>
              </w:rPr>
              <w:t>The collection of this information is necessary to document the training and implementation of study recruitment calls to customers, as well as</w:t>
            </w:r>
            <w:r w:rsidR="009949C8">
              <w:rPr>
                <w:rFonts w:ascii="Arial" w:hAnsi="Arial" w:cs="Arial"/>
                <w:sz w:val="20"/>
              </w:rPr>
              <w:t xml:space="preserve"> </w:t>
            </w:r>
            <w:r w:rsidR="0042411C">
              <w:rPr>
                <w:rFonts w:ascii="Arial" w:hAnsi="Arial" w:cs="Arial"/>
                <w:sz w:val="20"/>
              </w:rPr>
              <w:t>documenting the experiences of conducting this study activity.</w:t>
            </w:r>
          </w:p>
        </w:tc>
      </w:tr>
      <w:tr w:rsidR="00542799" w:rsidRPr="00A900DC" w:rsidTr="00B65F28">
        <w:trPr>
          <w:cantSplit/>
        </w:trPr>
        <w:tc>
          <w:tcPr>
            <w:tcW w:w="1818" w:type="dxa"/>
            <w:shd w:val="clear" w:color="auto" w:fill="898D8D"/>
          </w:tcPr>
          <w:p w:rsidR="00542799" w:rsidRPr="00C64DA5" w:rsidRDefault="00542799" w:rsidP="00D04634">
            <w:pPr>
              <w:spacing w:after="0"/>
              <w:rPr>
                <w:rFonts w:ascii="Arial" w:hAnsi="Arial" w:cs="Arial"/>
                <w:b/>
                <w:color w:val="F0F4F6" w:themeColor="background1" w:themeTint="33"/>
                <w:sz w:val="20"/>
              </w:rPr>
            </w:pPr>
            <w:r w:rsidRPr="00C64DA5">
              <w:rPr>
                <w:rFonts w:ascii="Arial" w:hAnsi="Arial" w:cs="Arial"/>
                <w:b/>
                <w:color w:val="F0F4F6" w:themeColor="background1" w:themeTint="33"/>
                <w:sz w:val="20"/>
              </w:rPr>
              <w:lastRenderedPageBreak/>
              <w:t>Outcomes of Lenders’ Customer Service Teams Study Recruitment Telephone Calls</w:t>
            </w:r>
          </w:p>
        </w:tc>
        <w:tc>
          <w:tcPr>
            <w:tcW w:w="1890" w:type="dxa"/>
          </w:tcPr>
          <w:p w:rsidR="00542799" w:rsidRDefault="00542799" w:rsidP="00EB7E84">
            <w:pPr>
              <w:spacing w:after="0"/>
              <w:rPr>
                <w:rFonts w:ascii="Arial" w:hAnsi="Arial" w:cs="Arial"/>
                <w:b/>
                <w:sz w:val="20"/>
              </w:rPr>
            </w:pPr>
            <w:r>
              <w:rPr>
                <w:rFonts w:ascii="Arial" w:hAnsi="Arial" w:cs="Arial"/>
                <w:b/>
                <w:sz w:val="20"/>
              </w:rPr>
              <w:t xml:space="preserve">Lenders’ Recruitment Call </w:t>
            </w:r>
            <w:r w:rsidR="0042411C">
              <w:rPr>
                <w:rFonts w:ascii="Arial" w:hAnsi="Arial" w:cs="Arial"/>
                <w:b/>
                <w:sz w:val="20"/>
              </w:rPr>
              <w:t xml:space="preserve">Outcome </w:t>
            </w:r>
            <w:r>
              <w:rPr>
                <w:rFonts w:ascii="Arial" w:hAnsi="Arial" w:cs="Arial"/>
                <w:b/>
                <w:sz w:val="20"/>
              </w:rPr>
              <w:t>Report (Appendix K)</w:t>
            </w:r>
          </w:p>
        </w:tc>
        <w:tc>
          <w:tcPr>
            <w:tcW w:w="5490" w:type="dxa"/>
          </w:tcPr>
          <w:p w:rsidR="00542799" w:rsidRPr="0042411C" w:rsidRDefault="00542799" w:rsidP="00A900DC">
            <w:pPr>
              <w:rPr>
                <w:rFonts w:ascii="Arial" w:hAnsi="Arial" w:cs="Arial"/>
                <w:sz w:val="20"/>
              </w:rPr>
            </w:pPr>
            <w:r>
              <w:rPr>
                <w:rFonts w:ascii="Arial" w:hAnsi="Arial" w:cs="Arial"/>
                <w:b/>
                <w:sz w:val="20"/>
              </w:rPr>
              <w:t>Respondents:</w:t>
            </w:r>
            <w:r w:rsidR="009949C8">
              <w:rPr>
                <w:rFonts w:ascii="Arial" w:hAnsi="Arial" w:cs="Arial"/>
                <w:b/>
                <w:sz w:val="20"/>
              </w:rPr>
              <w:t xml:space="preserve"> </w:t>
            </w:r>
            <w:r w:rsidR="0042411C" w:rsidRPr="0042411C">
              <w:rPr>
                <w:rFonts w:ascii="Arial" w:hAnsi="Arial" w:cs="Arial"/>
                <w:sz w:val="20"/>
              </w:rPr>
              <w:t>Study participating lenders’ customer service teams</w:t>
            </w:r>
          </w:p>
          <w:p w:rsidR="00542799" w:rsidRDefault="00542799" w:rsidP="00C64DA5">
            <w:pPr>
              <w:spacing w:after="0"/>
              <w:rPr>
                <w:rFonts w:ascii="Arial" w:hAnsi="Arial" w:cs="Arial"/>
                <w:b/>
                <w:sz w:val="20"/>
              </w:rPr>
            </w:pPr>
            <w:r>
              <w:rPr>
                <w:rFonts w:ascii="Arial" w:hAnsi="Arial" w:cs="Arial"/>
                <w:b/>
                <w:sz w:val="20"/>
              </w:rPr>
              <w:t>Content:</w:t>
            </w:r>
          </w:p>
          <w:p w:rsidR="0042411C" w:rsidRPr="0042411C" w:rsidRDefault="00C64DA5" w:rsidP="00590FD6">
            <w:pPr>
              <w:pStyle w:val="ListParagraph"/>
              <w:numPr>
                <w:ilvl w:val="0"/>
                <w:numId w:val="9"/>
              </w:numPr>
              <w:spacing w:after="0" w:line="264" w:lineRule="auto"/>
              <w:ind w:left="351" w:hanging="265"/>
              <w:contextualSpacing w:val="0"/>
              <w:rPr>
                <w:rFonts w:ascii="Arial" w:hAnsi="Arial" w:cs="Arial"/>
                <w:sz w:val="20"/>
              </w:rPr>
            </w:pPr>
            <w:r>
              <w:rPr>
                <w:rFonts w:ascii="Arial" w:hAnsi="Arial" w:cs="Arial"/>
                <w:sz w:val="20"/>
              </w:rPr>
              <w:t>Weekly outcomes</w:t>
            </w:r>
            <w:r w:rsidR="0042411C" w:rsidRPr="0042411C">
              <w:rPr>
                <w:rFonts w:ascii="Arial" w:hAnsi="Arial" w:cs="Arial"/>
                <w:sz w:val="20"/>
              </w:rPr>
              <w:t xml:space="preserve"> of study recruitment telephone calls</w:t>
            </w:r>
            <w:r w:rsidR="000F680A">
              <w:rPr>
                <w:rFonts w:ascii="Arial" w:hAnsi="Arial" w:cs="Arial"/>
                <w:sz w:val="20"/>
              </w:rPr>
              <w:t>; and,</w:t>
            </w:r>
          </w:p>
          <w:p w:rsidR="0042411C" w:rsidRPr="0042411C" w:rsidRDefault="0042411C" w:rsidP="00590FD6">
            <w:pPr>
              <w:pStyle w:val="ListParagraph"/>
              <w:numPr>
                <w:ilvl w:val="0"/>
                <w:numId w:val="9"/>
              </w:numPr>
              <w:spacing w:after="180" w:line="264" w:lineRule="auto"/>
              <w:ind w:left="351" w:hanging="265"/>
              <w:contextualSpacing w:val="0"/>
              <w:rPr>
                <w:rFonts w:ascii="Arial" w:hAnsi="Arial" w:cs="Arial"/>
                <w:sz w:val="20"/>
              </w:rPr>
            </w:pPr>
            <w:r w:rsidRPr="0042411C">
              <w:rPr>
                <w:rFonts w:ascii="Arial" w:hAnsi="Arial" w:cs="Arial"/>
                <w:sz w:val="20"/>
              </w:rPr>
              <w:t xml:space="preserve">Total </w:t>
            </w:r>
            <w:r w:rsidRPr="00190EC9">
              <w:rPr>
                <w:rFonts w:ascii="Arial" w:hAnsi="Arial" w:cs="Arial"/>
                <w:sz w:val="20"/>
                <w:szCs w:val="20"/>
              </w:rPr>
              <w:t>disposition</w:t>
            </w:r>
            <w:r w:rsidRPr="0042411C">
              <w:rPr>
                <w:rFonts w:ascii="Arial" w:hAnsi="Arial" w:cs="Arial"/>
                <w:sz w:val="20"/>
              </w:rPr>
              <w:t xml:space="preserve"> of study recruitment telephone calls</w:t>
            </w:r>
          </w:p>
          <w:p w:rsidR="005B6513" w:rsidRPr="0042411C" w:rsidRDefault="00542799" w:rsidP="00B140DB">
            <w:pPr>
              <w:spacing w:after="0"/>
              <w:rPr>
                <w:rFonts w:ascii="Arial" w:hAnsi="Arial" w:cs="Arial"/>
                <w:sz w:val="20"/>
              </w:rPr>
            </w:pPr>
            <w:r>
              <w:rPr>
                <w:rFonts w:ascii="Arial" w:hAnsi="Arial" w:cs="Arial"/>
                <w:b/>
                <w:sz w:val="20"/>
              </w:rPr>
              <w:t>Reason:</w:t>
            </w:r>
            <w:r w:rsidR="009949C8">
              <w:rPr>
                <w:rFonts w:ascii="Arial" w:hAnsi="Arial" w:cs="Arial"/>
                <w:b/>
                <w:sz w:val="20"/>
              </w:rPr>
              <w:t xml:space="preserve"> </w:t>
            </w:r>
            <w:r w:rsidR="0042411C">
              <w:rPr>
                <w:rFonts w:ascii="Arial" w:hAnsi="Arial" w:cs="Arial"/>
                <w:sz w:val="20"/>
              </w:rPr>
              <w:t xml:space="preserve">The collection of this information is necessary to document the outcomes of the study recruitment telephone calls made by the lenders’ customer service teams. The information in this report will provide the study team with data on the number of customers who were interested in learning more about the study, the number of customers who were not interested in learning more about the study, and the number of other dispositions that the customer service team received. </w:t>
            </w:r>
          </w:p>
        </w:tc>
      </w:tr>
      <w:tr w:rsidR="00542799" w:rsidRPr="00A900DC" w:rsidTr="00B65F28">
        <w:trPr>
          <w:cantSplit/>
        </w:trPr>
        <w:tc>
          <w:tcPr>
            <w:tcW w:w="1818" w:type="dxa"/>
            <w:shd w:val="clear" w:color="auto" w:fill="898D8D"/>
          </w:tcPr>
          <w:p w:rsidR="00542799" w:rsidRPr="00C64DA5" w:rsidRDefault="00542799" w:rsidP="00D04634">
            <w:pPr>
              <w:spacing w:after="0"/>
              <w:rPr>
                <w:rFonts w:ascii="Arial" w:hAnsi="Arial" w:cs="Arial"/>
                <w:b/>
                <w:color w:val="F0F4F6" w:themeColor="background1" w:themeTint="33"/>
                <w:sz w:val="20"/>
              </w:rPr>
            </w:pPr>
            <w:r w:rsidRPr="00C64DA5">
              <w:rPr>
                <w:rFonts w:ascii="Arial" w:hAnsi="Arial" w:cs="Arial"/>
                <w:b/>
                <w:color w:val="F0F4F6" w:themeColor="background1" w:themeTint="33"/>
                <w:sz w:val="20"/>
              </w:rPr>
              <w:t>Tracking of Study Participants</w:t>
            </w:r>
          </w:p>
        </w:tc>
        <w:tc>
          <w:tcPr>
            <w:tcW w:w="1890" w:type="dxa"/>
          </w:tcPr>
          <w:p w:rsidR="00542799" w:rsidRDefault="00542799" w:rsidP="003D186B">
            <w:pPr>
              <w:spacing w:after="0"/>
              <w:rPr>
                <w:rFonts w:ascii="Arial" w:hAnsi="Arial" w:cs="Arial"/>
                <w:b/>
                <w:sz w:val="20"/>
              </w:rPr>
            </w:pPr>
            <w:r>
              <w:rPr>
                <w:rFonts w:ascii="Arial" w:hAnsi="Arial" w:cs="Arial"/>
                <w:b/>
                <w:sz w:val="20"/>
              </w:rPr>
              <w:t>Study Particip</w:t>
            </w:r>
            <w:r w:rsidR="005956BC">
              <w:rPr>
                <w:rFonts w:ascii="Arial" w:hAnsi="Arial" w:cs="Arial"/>
                <w:b/>
                <w:sz w:val="20"/>
              </w:rPr>
              <w:t>ant Tracking Letters (Appendix L</w:t>
            </w:r>
            <w:r>
              <w:rPr>
                <w:rFonts w:ascii="Arial" w:hAnsi="Arial" w:cs="Arial"/>
                <w:b/>
                <w:sz w:val="20"/>
              </w:rPr>
              <w:t>)</w:t>
            </w:r>
          </w:p>
        </w:tc>
        <w:tc>
          <w:tcPr>
            <w:tcW w:w="5490" w:type="dxa"/>
          </w:tcPr>
          <w:p w:rsidR="00542799" w:rsidRPr="0042411C" w:rsidRDefault="00542799" w:rsidP="00A900DC">
            <w:pPr>
              <w:rPr>
                <w:rFonts w:ascii="Arial" w:hAnsi="Arial" w:cs="Arial"/>
                <w:sz w:val="20"/>
              </w:rPr>
            </w:pPr>
            <w:r>
              <w:rPr>
                <w:rFonts w:ascii="Arial" w:hAnsi="Arial" w:cs="Arial"/>
                <w:b/>
                <w:sz w:val="20"/>
              </w:rPr>
              <w:t>Respondents:</w:t>
            </w:r>
            <w:r w:rsidR="00BD50A8">
              <w:rPr>
                <w:rFonts w:ascii="Arial" w:hAnsi="Arial" w:cs="Arial"/>
                <w:b/>
                <w:sz w:val="20"/>
              </w:rPr>
              <w:t xml:space="preserve"> </w:t>
            </w:r>
            <w:r w:rsidR="005B6513">
              <w:rPr>
                <w:rFonts w:ascii="Arial" w:hAnsi="Arial" w:cs="Arial"/>
                <w:sz w:val="20"/>
              </w:rPr>
              <w:t>7</w:t>
            </w:r>
            <w:r w:rsidR="0042411C" w:rsidRPr="00A900DC">
              <w:rPr>
                <w:rFonts w:ascii="Arial" w:hAnsi="Arial" w:cs="Arial"/>
                <w:sz w:val="20"/>
              </w:rPr>
              <w:t>,0</w:t>
            </w:r>
            <w:r w:rsidR="0042411C">
              <w:rPr>
                <w:rFonts w:ascii="Arial" w:hAnsi="Arial" w:cs="Arial"/>
                <w:sz w:val="20"/>
              </w:rPr>
              <w:t xml:space="preserve">00 study participants across </w:t>
            </w:r>
            <w:r w:rsidR="0042411C" w:rsidRPr="000C0109">
              <w:rPr>
                <w:rFonts w:ascii="Arial" w:hAnsi="Arial" w:cs="Arial"/>
                <w:sz w:val="20"/>
              </w:rPr>
              <w:t>2</w:t>
            </w:r>
            <w:r w:rsidR="000C0109">
              <w:rPr>
                <w:rFonts w:ascii="Arial" w:hAnsi="Arial" w:cs="Arial"/>
                <w:sz w:val="20"/>
              </w:rPr>
              <w:t>8</w:t>
            </w:r>
            <w:r w:rsidR="0042411C" w:rsidRPr="000C0109">
              <w:rPr>
                <w:rFonts w:ascii="Arial" w:hAnsi="Arial" w:cs="Arial"/>
                <w:sz w:val="20"/>
              </w:rPr>
              <w:t xml:space="preserve"> jurisdictions</w:t>
            </w:r>
          </w:p>
          <w:p w:rsidR="00542799" w:rsidRDefault="00542799" w:rsidP="00C64DA5">
            <w:pPr>
              <w:spacing w:after="0"/>
              <w:rPr>
                <w:rFonts w:ascii="Arial" w:hAnsi="Arial" w:cs="Arial"/>
                <w:b/>
                <w:sz w:val="20"/>
              </w:rPr>
            </w:pPr>
            <w:r>
              <w:rPr>
                <w:rFonts w:ascii="Arial" w:hAnsi="Arial" w:cs="Arial"/>
                <w:b/>
                <w:sz w:val="20"/>
              </w:rPr>
              <w:t>Content:</w:t>
            </w:r>
          </w:p>
          <w:p w:rsidR="0042411C" w:rsidRPr="00B140DB" w:rsidRDefault="0042411C" w:rsidP="00590FD6">
            <w:pPr>
              <w:pStyle w:val="ListParagraph"/>
              <w:numPr>
                <w:ilvl w:val="0"/>
                <w:numId w:val="9"/>
              </w:numPr>
              <w:spacing w:after="180" w:line="264" w:lineRule="auto"/>
              <w:ind w:left="351" w:hanging="265"/>
              <w:contextualSpacing w:val="0"/>
              <w:rPr>
                <w:rFonts w:ascii="Arial" w:hAnsi="Arial" w:cs="Arial"/>
                <w:sz w:val="20"/>
              </w:rPr>
            </w:pPr>
            <w:r w:rsidRPr="00B140DB">
              <w:rPr>
                <w:rFonts w:ascii="Arial" w:hAnsi="Arial" w:cs="Arial"/>
                <w:sz w:val="20"/>
                <w:szCs w:val="20"/>
              </w:rPr>
              <w:t>Updated</w:t>
            </w:r>
            <w:r w:rsidRPr="00B140DB">
              <w:rPr>
                <w:rFonts w:ascii="Arial" w:hAnsi="Arial" w:cs="Arial"/>
                <w:sz w:val="20"/>
              </w:rPr>
              <w:t xml:space="preserve"> contact information for </w:t>
            </w:r>
            <w:r w:rsidR="00B140DB" w:rsidRPr="00B140DB">
              <w:rPr>
                <w:rFonts w:ascii="Arial" w:hAnsi="Arial" w:cs="Arial"/>
                <w:sz w:val="20"/>
              </w:rPr>
              <w:t xml:space="preserve">the </w:t>
            </w:r>
            <w:r w:rsidRPr="00B140DB">
              <w:rPr>
                <w:rFonts w:ascii="Arial" w:hAnsi="Arial" w:cs="Arial"/>
                <w:sz w:val="20"/>
              </w:rPr>
              <w:t>study participant</w:t>
            </w:r>
            <w:r w:rsidR="00B140DB" w:rsidRPr="00B140DB">
              <w:rPr>
                <w:rFonts w:ascii="Arial" w:hAnsi="Arial" w:cs="Arial"/>
                <w:sz w:val="20"/>
              </w:rPr>
              <w:t xml:space="preserve"> and a person </w:t>
            </w:r>
            <w:r w:rsidR="00873DE5" w:rsidRPr="00B140DB">
              <w:rPr>
                <w:rFonts w:ascii="Arial" w:hAnsi="Arial" w:cs="Arial"/>
                <w:sz w:val="20"/>
              </w:rPr>
              <w:t>outside of the participant’s household</w:t>
            </w:r>
            <w:r w:rsidR="00B140DB">
              <w:rPr>
                <w:rFonts w:ascii="Arial" w:hAnsi="Arial" w:cs="Arial"/>
                <w:sz w:val="20"/>
              </w:rPr>
              <w:t xml:space="preserve"> who would know how to locate the participant</w:t>
            </w:r>
          </w:p>
          <w:p w:rsidR="00542799" w:rsidRDefault="00542799" w:rsidP="00190EC9">
            <w:pPr>
              <w:spacing w:after="0"/>
              <w:rPr>
                <w:rFonts w:ascii="Arial" w:hAnsi="Arial" w:cs="Arial"/>
                <w:b/>
                <w:sz w:val="20"/>
              </w:rPr>
            </w:pPr>
            <w:r>
              <w:rPr>
                <w:rFonts w:ascii="Arial" w:hAnsi="Arial" w:cs="Arial"/>
                <w:b/>
                <w:sz w:val="20"/>
              </w:rPr>
              <w:t>Reason:</w:t>
            </w:r>
            <w:r w:rsidR="009949C8">
              <w:rPr>
                <w:rFonts w:ascii="Arial" w:hAnsi="Arial" w:cs="Arial"/>
                <w:b/>
                <w:sz w:val="20"/>
              </w:rPr>
              <w:t xml:space="preserve"> </w:t>
            </w:r>
            <w:r w:rsidR="00873DE5" w:rsidRPr="00873DE5">
              <w:rPr>
                <w:rFonts w:ascii="Arial" w:hAnsi="Arial" w:cs="Arial"/>
                <w:sz w:val="20"/>
              </w:rPr>
              <w:t xml:space="preserve">The collection of this information is necessary to confirm that the study team’s contact information is accurate and we will be able to reach </w:t>
            </w:r>
            <w:r w:rsidR="00873DE5">
              <w:rPr>
                <w:rFonts w:ascii="Arial" w:hAnsi="Arial" w:cs="Arial"/>
                <w:sz w:val="20"/>
              </w:rPr>
              <w:t xml:space="preserve">him or her </w:t>
            </w:r>
            <w:r w:rsidR="00873DE5" w:rsidRPr="00873DE5">
              <w:rPr>
                <w:rFonts w:ascii="Arial" w:hAnsi="Arial" w:cs="Arial"/>
                <w:sz w:val="20"/>
              </w:rPr>
              <w:t>for</w:t>
            </w:r>
            <w:r w:rsidR="00873DE5">
              <w:rPr>
                <w:rFonts w:ascii="Arial" w:hAnsi="Arial" w:cs="Arial"/>
                <w:sz w:val="20"/>
              </w:rPr>
              <w:t xml:space="preserve"> the study’s</w:t>
            </w:r>
            <w:r w:rsidR="00873DE5" w:rsidRPr="00873DE5">
              <w:rPr>
                <w:rFonts w:ascii="Arial" w:hAnsi="Arial" w:cs="Arial"/>
                <w:sz w:val="20"/>
              </w:rPr>
              <w:t xml:space="preserve"> follow-up data collection activities.</w:t>
            </w:r>
          </w:p>
        </w:tc>
      </w:tr>
      <w:tr w:rsidR="005956BC" w:rsidRPr="00A900DC" w:rsidTr="00B65F28">
        <w:trPr>
          <w:cantSplit/>
        </w:trPr>
        <w:tc>
          <w:tcPr>
            <w:tcW w:w="1818" w:type="dxa"/>
            <w:shd w:val="clear" w:color="auto" w:fill="898D8D"/>
          </w:tcPr>
          <w:p w:rsidR="005956BC" w:rsidRPr="00C64DA5" w:rsidRDefault="005956BC" w:rsidP="00D04634">
            <w:pPr>
              <w:spacing w:after="0"/>
              <w:rPr>
                <w:rFonts w:ascii="Arial" w:hAnsi="Arial" w:cs="Arial"/>
                <w:b/>
                <w:color w:val="F0F4F6" w:themeColor="background1" w:themeTint="33"/>
                <w:sz w:val="20"/>
              </w:rPr>
            </w:pPr>
            <w:r>
              <w:rPr>
                <w:rFonts w:ascii="Arial" w:hAnsi="Arial" w:cs="Arial"/>
                <w:b/>
                <w:color w:val="F0F4F6" w:themeColor="background1" w:themeTint="33"/>
                <w:sz w:val="20"/>
              </w:rPr>
              <w:lastRenderedPageBreak/>
              <w:t>Collection of loan origination and mortgage performance data from participating lenders</w:t>
            </w:r>
          </w:p>
        </w:tc>
        <w:tc>
          <w:tcPr>
            <w:tcW w:w="1890" w:type="dxa"/>
          </w:tcPr>
          <w:p w:rsidR="005956BC" w:rsidRDefault="005956BC" w:rsidP="003D186B">
            <w:pPr>
              <w:spacing w:after="0"/>
              <w:rPr>
                <w:rFonts w:ascii="Arial" w:hAnsi="Arial" w:cs="Arial"/>
                <w:b/>
                <w:sz w:val="20"/>
              </w:rPr>
            </w:pPr>
            <w:r>
              <w:rPr>
                <w:rFonts w:ascii="Arial" w:hAnsi="Arial" w:cs="Arial"/>
                <w:b/>
                <w:sz w:val="20"/>
              </w:rPr>
              <w:t>Loan Origination and Performance Data from Lenders (Appendix M)</w:t>
            </w:r>
          </w:p>
        </w:tc>
        <w:tc>
          <w:tcPr>
            <w:tcW w:w="5490" w:type="dxa"/>
          </w:tcPr>
          <w:p w:rsidR="005956BC" w:rsidRPr="005956BC" w:rsidRDefault="005956BC" w:rsidP="005956BC">
            <w:pPr>
              <w:rPr>
                <w:rFonts w:ascii="Arial" w:hAnsi="Arial" w:cs="Arial"/>
                <w:sz w:val="20"/>
              </w:rPr>
            </w:pPr>
            <w:r>
              <w:rPr>
                <w:rFonts w:ascii="Arial" w:hAnsi="Arial" w:cs="Arial"/>
                <w:b/>
                <w:sz w:val="20"/>
              </w:rPr>
              <w:t xml:space="preserve">Respondents: </w:t>
            </w:r>
            <w:r>
              <w:rPr>
                <w:rFonts w:ascii="Arial" w:hAnsi="Arial" w:cs="Arial"/>
                <w:sz w:val="20"/>
              </w:rPr>
              <w:t xml:space="preserve">Lenders’ </w:t>
            </w:r>
            <w:proofErr w:type="gramStart"/>
            <w:r>
              <w:rPr>
                <w:rFonts w:ascii="Arial" w:hAnsi="Arial" w:cs="Arial"/>
                <w:sz w:val="20"/>
              </w:rPr>
              <w:t>staff that provide</w:t>
            </w:r>
            <w:proofErr w:type="gramEnd"/>
            <w:r>
              <w:rPr>
                <w:rFonts w:ascii="Arial" w:hAnsi="Arial" w:cs="Arial"/>
                <w:sz w:val="20"/>
              </w:rPr>
              <w:t xml:space="preserve"> the study team data on loan originations and mortgage performance for study participants’ home loans.</w:t>
            </w:r>
          </w:p>
          <w:p w:rsidR="005956BC" w:rsidRDefault="005956BC" w:rsidP="005956BC">
            <w:pPr>
              <w:rPr>
                <w:rFonts w:ascii="Arial" w:hAnsi="Arial" w:cs="Arial"/>
                <w:b/>
                <w:sz w:val="20"/>
              </w:rPr>
            </w:pPr>
            <w:r>
              <w:rPr>
                <w:rFonts w:ascii="Arial" w:hAnsi="Arial" w:cs="Arial"/>
                <w:b/>
                <w:sz w:val="20"/>
              </w:rPr>
              <w:t>Content:</w:t>
            </w:r>
          </w:p>
          <w:p w:rsidR="005956BC" w:rsidRPr="005956BC" w:rsidRDefault="005956BC" w:rsidP="00590FD6">
            <w:pPr>
              <w:pStyle w:val="ListParagraph"/>
              <w:numPr>
                <w:ilvl w:val="0"/>
                <w:numId w:val="9"/>
              </w:numPr>
              <w:rPr>
                <w:rFonts w:ascii="Arial" w:hAnsi="Arial" w:cs="Arial"/>
                <w:b/>
                <w:sz w:val="20"/>
              </w:rPr>
            </w:pPr>
            <w:r>
              <w:rPr>
                <w:rFonts w:ascii="Arial" w:hAnsi="Arial" w:cs="Arial"/>
                <w:sz w:val="20"/>
              </w:rPr>
              <w:t>Loan number</w:t>
            </w:r>
            <w:r w:rsidR="00B53D49">
              <w:rPr>
                <w:rFonts w:ascii="Arial" w:hAnsi="Arial" w:cs="Arial"/>
                <w:sz w:val="20"/>
              </w:rPr>
              <w:t>;</w:t>
            </w:r>
          </w:p>
          <w:p w:rsidR="005956BC" w:rsidRPr="005956BC" w:rsidRDefault="005956BC" w:rsidP="00590FD6">
            <w:pPr>
              <w:pStyle w:val="ListParagraph"/>
              <w:numPr>
                <w:ilvl w:val="0"/>
                <w:numId w:val="9"/>
              </w:numPr>
              <w:rPr>
                <w:rFonts w:ascii="Arial" w:hAnsi="Arial" w:cs="Arial"/>
                <w:b/>
                <w:sz w:val="20"/>
              </w:rPr>
            </w:pPr>
            <w:r>
              <w:rPr>
                <w:rFonts w:ascii="Arial" w:hAnsi="Arial" w:cs="Arial"/>
                <w:sz w:val="20"/>
              </w:rPr>
              <w:t>Date of closing</w:t>
            </w:r>
            <w:r w:rsidR="00B53D49">
              <w:rPr>
                <w:rFonts w:ascii="Arial" w:hAnsi="Arial" w:cs="Arial"/>
                <w:sz w:val="20"/>
              </w:rPr>
              <w:t>;</w:t>
            </w:r>
          </w:p>
          <w:p w:rsidR="005956BC" w:rsidRPr="005956BC" w:rsidRDefault="005956BC" w:rsidP="00590FD6">
            <w:pPr>
              <w:pStyle w:val="ListParagraph"/>
              <w:numPr>
                <w:ilvl w:val="0"/>
                <w:numId w:val="9"/>
              </w:numPr>
              <w:rPr>
                <w:rFonts w:ascii="Arial" w:hAnsi="Arial" w:cs="Arial"/>
                <w:b/>
                <w:sz w:val="20"/>
              </w:rPr>
            </w:pPr>
            <w:r>
              <w:rPr>
                <w:rFonts w:ascii="Arial" w:hAnsi="Arial" w:cs="Arial"/>
                <w:sz w:val="20"/>
              </w:rPr>
              <w:t>Purchase price</w:t>
            </w:r>
            <w:r w:rsidR="00B53D49">
              <w:rPr>
                <w:rFonts w:ascii="Arial" w:hAnsi="Arial" w:cs="Arial"/>
                <w:sz w:val="20"/>
              </w:rPr>
              <w:t>;</w:t>
            </w:r>
          </w:p>
          <w:p w:rsidR="005956BC" w:rsidRPr="005956BC" w:rsidRDefault="005956BC" w:rsidP="00590FD6">
            <w:pPr>
              <w:pStyle w:val="ListParagraph"/>
              <w:numPr>
                <w:ilvl w:val="0"/>
                <w:numId w:val="9"/>
              </w:numPr>
              <w:rPr>
                <w:rFonts w:ascii="Arial" w:hAnsi="Arial" w:cs="Arial"/>
                <w:b/>
                <w:sz w:val="20"/>
              </w:rPr>
            </w:pPr>
            <w:r>
              <w:rPr>
                <w:rFonts w:ascii="Arial" w:hAnsi="Arial" w:cs="Arial"/>
                <w:sz w:val="20"/>
              </w:rPr>
              <w:t>Monthly income</w:t>
            </w:r>
            <w:r w:rsidR="00B53D49">
              <w:rPr>
                <w:rFonts w:ascii="Arial" w:hAnsi="Arial" w:cs="Arial"/>
                <w:sz w:val="20"/>
              </w:rPr>
              <w:t>;</w:t>
            </w:r>
          </w:p>
          <w:p w:rsidR="005956BC" w:rsidRPr="005956BC" w:rsidRDefault="005956BC" w:rsidP="00590FD6">
            <w:pPr>
              <w:pStyle w:val="ListParagraph"/>
              <w:numPr>
                <w:ilvl w:val="0"/>
                <w:numId w:val="9"/>
              </w:numPr>
              <w:rPr>
                <w:rFonts w:ascii="Arial" w:hAnsi="Arial" w:cs="Arial"/>
                <w:b/>
                <w:sz w:val="20"/>
              </w:rPr>
            </w:pPr>
            <w:r>
              <w:rPr>
                <w:rFonts w:ascii="Arial" w:hAnsi="Arial" w:cs="Arial"/>
                <w:sz w:val="20"/>
              </w:rPr>
              <w:t>Back end ratio</w:t>
            </w:r>
            <w:r w:rsidR="00B53D49">
              <w:rPr>
                <w:rFonts w:ascii="Arial" w:hAnsi="Arial" w:cs="Arial"/>
                <w:sz w:val="20"/>
              </w:rPr>
              <w:t>;</w:t>
            </w:r>
          </w:p>
          <w:p w:rsidR="005956BC" w:rsidRPr="005956BC" w:rsidRDefault="005956BC" w:rsidP="00590FD6">
            <w:pPr>
              <w:pStyle w:val="ListParagraph"/>
              <w:numPr>
                <w:ilvl w:val="0"/>
                <w:numId w:val="9"/>
              </w:numPr>
              <w:rPr>
                <w:rFonts w:ascii="Arial" w:hAnsi="Arial" w:cs="Arial"/>
                <w:b/>
                <w:sz w:val="20"/>
              </w:rPr>
            </w:pPr>
            <w:r>
              <w:rPr>
                <w:rFonts w:ascii="Arial" w:hAnsi="Arial" w:cs="Arial"/>
                <w:sz w:val="20"/>
              </w:rPr>
              <w:t>Front end ratio</w:t>
            </w:r>
            <w:r w:rsidR="00B53D49">
              <w:rPr>
                <w:rFonts w:ascii="Arial" w:hAnsi="Arial" w:cs="Arial"/>
                <w:sz w:val="20"/>
              </w:rPr>
              <w:t>;</w:t>
            </w:r>
          </w:p>
          <w:p w:rsidR="005956BC" w:rsidRPr="005956BC" w:rsidRDefault="005956BC" w:rsidP="00590FD6">
            <w:pPr>
              <w:pStyle w:val="ListParagraph"/>
              <w:numPr>
                <w:ilvl w:val="0"/>
                <w:numId w:val="9"/>
              </w:numPr>
              <w:rPr>
                <w:rFonts w:ascii="Arial" w:hAnsi="Arial" w:cs="Arial"/>
                <w:b/>
                <w:sz w:val="20"/>
              </w:rPr>
            </w:pPr>
            <w:r>
              <w:rPr>
                <w:rFonts w:ascii="Arial" w:hAnsi="Arial" w:cs="Arial"/>
                <w:sz w:val="20"/>
              </w:rPr>
              <w:t>Down payment</w:t>
            </w:r>
            <w:r w:rsidR="00B53D49">
              <w:rPr>
                <w:rFonts w:ascii="Arial" w:hAnsi="Arial" w:cs="Arial"/>
                <w:sz w:val="20"/>
              </w:rPr>
              <w:t>;</w:t>
            </w:r>
          </w:p>
          <w:p w:rsidR="005956BC" w:rsidRPr="005956BC" w:rsidRDefault="005956BC" w:rsidP="00590FD6">
            <w:pPr>
              <w:pStyle w:val="ListParagraph"/>
              <w:numPr>
                <w:ilvl w:val="0"/>
                <w:numId w:val="9"/>
              </w:numPr>
              <w:rPr>
                <w:rFonts w:ascii="Arial" w:hAnsi="Arial" w:cs="Arial"/>
                <w:b/>
                <w:sz w:val="20"/>
              </w:rPr>
            </w:pPr>
            <w:r>
              <w:rPr>
                <w:rFonts w:ascii="Arial" w:hAnsi="Arial" w:cs="Arial"/>
                <w:sz w:val="20"/>
              </w:rPr>
              <w:t>Initial LTV</w:t>
            </w:r>
            <w:r w:rsidR="00B53D49">
              <w:rPr>
                <w:rFonts w:ascii="Arial" w:hAnsi="Arial" w:cs="Arial"/>
                <w:sz w:val="20"/>
              </w:rPr>
              <w:t>;</w:t>
            </w:r>
          </w:p>
          <w:p w:rsidR="005956BC" w:rsidRPr="005956BC" w:rsidRDefault="005956BC" w:rsidP="00590FD6">
            <w:pPr>
              <w:pStyle w:val="ListParagraph"/>
              <w:numPr>
                <w:ilvl w:val="0"/>
                <w:numId w:val="9"/>
              </w:numPr>
              <w:rPr>
                <w:rFonts w:ascii="Arial" w:hAnsi="Arial" w:cs="Arial"/>
                <w:b/>
                <w:sz w:val="20"/>
              </w:rPr>
            </w:pPr>
            <w:r>
              <w:rPr>
                <w:rFonts w:ascii="Arial" w:hAnsi="Arial" w:cs="Arial"/>
                <w:sz w:val="20"/>
              </w:rPr>
              <w:t>Mortgage term</w:t>
            </w:r>
            <w:r w:rsidR="00B53D49">
              <w:rPr>
                <w:rFonts w:ascii="Arial" w:hAnsi="Arial" w:cs="Arial"/>
                <w:sz w:val="20"/>
              </w:rPr>
              <w:t>;</w:t>
            </w:r>
          </w:p>
          <w:p w:rsidR="005956BC" w:rsidRPr="005956BC" w:rsidRDefault="005956BC" w:rsidP="00590FD6">
            <w:pPr>
              <w:pStyle w:val="ListParagraph"/>
              <w:numPr>
                <w:ilvl w:val="0"/>
                <w:numId w:val="9"/>
              </w:numPr>
              <w:rPr>
                <w:rFonts w:ascii="Arial" w:hAnsi="Arial" w:cs="Arial"/>
                <w:b/>
                <w:sz w:val="20"/>
              </w:rPr>
            </w:pPr>
            <w:r>
              <w:rPr>
                <w:rFonts w:ascii="Arial" w:hAnsi="Arial" w:cs="Arial"/>
                <w:sz w:val="20"/>
              </w:rPr>
              <w:t>Mortgage type</w:t>
            </w:r>
            <w:r w:rsidR="00B53D49">
              <w:rPr>
                <w:rFonts w:ascii="Arial" w:hAnsi="Arial" w:cs="Arial"/>
                <w:sz w:val="20"/>
              </w:rPr>
              <w:t>;</w:t>
            </w:r>
          </w:p>
          <w:p w:rsidR="005956BC" w:rsidRPr="005956BC" w:rsidRDefault="005956BC" w:rsidP="00590FD6">
            <w:pPr>
              <w:pStyle w:val="ListParagraph"/>
              <w:numPr>
                <w:ilvl w:val="0"/>
                <w:numId w:val="9"/>
              </w:numPr>
              <w:rPr>
                <w:rFonts w:ascii="Arial" w:hAnsi="Arial" w:cs="Arial"/>
                <w:b/>
                <w:sz w:val="20"/>
              </w:rPr>
            </w:pPr>
            <w:r>
              <w:rPr>
                <w:rFonts w:ascii="Arial" w:hAnsi="Arial" w:cs="Arial"/>
                <w:sz w:val="20"/>
              </w:rPr>
              <w:t>Interest rate</w:t>
            </w:r>
            <w:r w:rsidR="00B53D49">
              <w:rPr>
                <w:rFonts w:ascii="Arial" w:hAnsi="Arial" w:cs="Arial"/>
                <w:sz w:val="20"/>
              </w:rPr>
              <w:t>;</w:t>
            </w:r>
          </w:p>
          <w:p w:rsidR="005956BC" w:rsidRPr="005956BC" w:rsidRDefault="005956BC" w:rsidP="00590FD6">
            <w:pPr>
              <w:pStyle w:val="ListParagraph"/>
              <w:numPr>
                <w:ilvl w:val="0"/>
                <w:numId w:val="9"/>
              </w:numPr>
              <w:rPr>
                <w:rFonts w:ascii="Arial" w:hAnsi="Arial" w:cs="Arial"/>
                <w:b/>
                <w:sz w:val="20"/>
              </w:rPr>
            </w:pPr>
            <w:r>
              <w:rPr>
                <w:rFonts w:ascii="Arial" w:hAnsi="Arial" w:cs="Arial"/>
                <w:sz w:val="20"/>
              </w:rPr>
              <w:t>Closing costs and fees</w:t>
            </w:r>
            <w:r w:rsidR="00B53D49">
              <w:rPr>
                <w:rFonts w:ascii="Arial" w:hAnsi="Arial" w:cs="Arial"/>
                <w:sz w:val="20"/>
              </w:rPr>
              <w:t>;</w:t>
            </w:r>
          </w:p>
          <w:p w:rsidR="005956BC" w:rsidRPr="005956BC" w:rsidRDefault="005956BC" w:rsidP="00590FD6">
            <w:pPr>
              <w:pStyle w:val="ListParagraph"/>
              <w:numPr>
                <w:ilvl w:val="0"/>
                <w:numId w:val="9"/>
              </w:numPr>
              <w:rPr>
                <w:rFonts w:ascii="Arial" w:hAnsi="Arial" w:cs="Arial"/>
                <w:b/>
                <w:sz w:val="20"/>
              </w:rPr>
            </w:pPr>
            <w:proofErr w:type="spellStart"/>
            <w:r>
              <w:rPr>
                <w:rFonts w:ascii="Arial" w:hAnsi="Arial" w:cs="Arial"/>
                <w:sz w:val="20"/>
              </w:rPr>
              <w:t>Ever</w:t>
            </w:r>
            <w:proofErr w:type="spellEnd"/>
            <w:r>
              <w:rPr>
                <w:rFonts w:ascii="Arial" w:hAnsi="Arial" w:cs="Arial"/>
                <w:sz w:val="20"/>
              </w:rPr>
              <w:t xml:space="preserve"> 30 days delinquent</w:t>
            </w:r>
            <w:r w:rsidR="00B53D49">
              <w:rPr>
                <w:rFonts w:ascii="Arial" w:hAnsi="Arial" w:cs="Arial"/>
                <w:sz w:val="20"/>
              </w:rPr>
              <w:t>;</w:t>
            </w:r>
          </w:p>
          <w:p w:rsidR="005956BC" w:rsidRPr="005956BC" w:rsidRDefault="005956BC" w:rsidP="00590FD6">
            <w:pPr>
              <w:pStyle w:val="ListParagraph"/>
              <w:numPr>
                <w:ilvl w:val="0"/>
                <w:numId w:val="9"/>
              </w:numPr>
              <w:rPr>
                <w:rFonts w:ascii="Arial" w:hAnsi="Arial" w:cs="Arial"/>
                <w:b/>
                <w:sz w:val="20"/>
              </w:rPr>
            </w:pPr>
            <w:proofErr w:type="spellStart"/>
            <w:r>
              <w:rPr>
                <w:rFonts w:ascii="Arial" w:hAnsi="Arial" w:cs="Arial"/>
                <w:sz w:val="20"/>
              </w:rPr>
              <w:t>Ever</w:t>
            </w:r>
            <w:proofErr w:type="spellEnd"/>
            <w:r>
              <w:rPr>
                <w:rFonts w:ascii="Arial" w:hAnsi="Arial" w:cs="Arial"/>
                <w:sz w:val="20"/>
              </w:rPr>
              <w:t xml:space="preserve"> 90 days delinquent</w:t>
            </w:r>
            <w:r w:rsidR="00B53D49">
              <w:rPr>
                <w:rFonts w:ascii="Arial" w:hAnsi="Arial" w:cs="Arial"/>
                <w:sz w:val="20"/>
              </w:rPr>
              <w:t>;</w:t>
            </w:r>
          </w:p>
          <w:p w:rsidR="005956BC" w:rsidRPr="005956BC" w:rsidRDefault="005956BC" w:rsidP="00590FD6">
            <w:pPr>
              <w:pStyle w:val="ListParagraph"/>
              <w:numPr>
                <w:ilvl w:val="0"/>
                <w:numId w:val="9"/>
              </w:numPr>
              <w:rPr>
                <w:rFonts w:ascii="Arial" w:hAnsi="Arial" w:cs="Arial"/>
                <w:b/>
                <w:sz w:val="20"/>
              </w:rPr>
            </w:pPr>
            <w:r>
              <w:rPr>
                <w:rFonts w:ascii="Arial" w:hAnsi="Arial" w:cs="Arial"/>
                <w:sz w:val="20"/>
              </w:rPr>
              <w:t>Prepayment</w:t>
            </w:r>
            <w:r w:rsidR="00B53D49">
              <w:rPr>
                <w:rFonts w:ascii="Arial" w:hAnsi="Arial" w:cs="Arial"/>
                <w:sz w:val="20"/>
              </w:rPr>
              <w:t>;</w:t>
            </w:r>
          </w:p>
          <w:p w:rsidR="005956BC" w:rsidRPr="005956BC" w:rsidRDefault="005956BC" w:rsidP="00590FD6">
            <w:pPr>
              <w:pStyle w:val="ListParagraph"/>
              <w:numPr>
                <w:ilvl w:val="0"/>
                <w:numId w:val="9"/>
              </w:numPr>
              <w:rPr>
                <w:rFonts w:ascii="Arial" w:hAnsi="Arial" w:cs="Arial"/>
                <w:b/>
                <w:sz w:val="20"/>
              </w:rPr>
            </w:pPr>
            <w:r>
              <w:rPr>
                <w:rFonts w:ascii="Arial" w:hAnsi="Arial" w:cs="Arial"/>
                <w:sz w:val="20"/>
              </w:rPr>
              <w:t>Foreclosure</w:t>
            </w:r>
            <w:r w:rsidR="00B53D49">
              <w:rPr>
                <w:rFonts w:ascii="Arial" w:hAnsi="Arial" w:cs="Arial"/>
                <w:sz w:val="20"/>
              </w:rPr>
              <w:t>;</w:t>
            </w:r>
          </w:p>
          <w:p w:rsidR="005956BC" w:rsidRPr="005956BC" w:rsidRDefault="005956BC" w:rsidP="00590FD6">
            <w:pPr>
              <w:pStyle w:val="ListParagraph"/>
              <w:numPr>
                <w:ilvl w:val="0"/>
                <w:numId w:val="9"/>
              </w:numPr>
              <w:rPr>
                <w:rFonts w:ascii="Arial" w:hAnsi="Arial" w:cs="Arial"/>
                <w:b/>
                <w:sz w:val="20"/>
              </w:rPr>
            </w:pPr>
            <w:r>
              <w:rPr>
                <w:rFonts w:ascii="Arial" w:hAnsi="Arial" w:cs="Arial"/>
                <w:sz w:val="20"/>
              </w:rPr>
              <w:t>Bankruptcy</w:t>
            </w:r>
            <w:r w:rsidR="00B53D49">
              <w:rPr>
                <w:rFonts w:ascii="Arial" w:hAnsi="Arial" w:cs="Arial"/>
                <w:sz w:val="20"/>
              </w:rPr>
              <w:t>; and</w:t>
            </w:r>
          </w:p>
          <w:p w:rsidR="005956BC" w:rsidRPr="005956BC" w:rsidRDefault="005956BC" w:rsidP="00590FD6">
            <w:pPr>
              <w:pStyle w:val="ListParagraph"/>
              <w:numPr>
                <w:ilvl w:val="0"/>
                <w:numId w:val="9"/>
              </w:numPr>
              <w:rPr>
                <w:rFonts w:ascii="Arial" w:hAnsi="Arial" w:cs="Arial"/>
                <w:b/>
                <w:sz w:val="20"/>
              </w:rPr>
            </w:pPr>
            <w:r>
              <w:rPr>
                <w:rFonts w:ascii="Arial" w:hAnsi="Arial" w:cs="Arial"/>
                <w:sz w:val="20"/>
              </w:rPr>
              <w:t>Updated mortgage balance</w:t>
            </w:r>
          </w:p>
          <w:p w:rsidR="005956BC" w:rsidRDefault="005956BC" w:rsidP="00F54C85">
            <w:pPr>
              <w:rPr>
                <w:rFonts w:ascii="Arial" w:hAnsi="Arial" w:cs="Arial"/>
                <w:b/>
                <w:sz w:val="20"/>
              </w:rPr>
            </w:pPr>
            <w:r>
              <w:rPr>
                <w:rFonts w:ascii="Arial" w:hAnsi="Arial" w:cs="Arial"/>
                <w:b/>
                <w:sz w:val="20"/>
              </w:rPr>
              <w:t xml:space="preserve">Reasons: </w:t>
            </w:r>
            <w:r w:rsidRPr="00F54C85">
              <w:rPr>
                <w:rFonts w:ascii="Arial" w:hAnsi="Arial" w:cs="Arial"/>
                <w:sz w:val="20"/>
              </w:rPr>
              <w:t>Data collected from lenders and the Federal Housing Administration on study participants loan origination and mortgage performance will document detailed information on the timing of a home purchase, purchase price and down payment, monthly housing costs, and mortgage terms and conditions.</w:t>
            </w:r>
          </w:p>
        </w:tc>
      </w:tr>
    </w:tbl>
    <w:p w:rsidR="00A900DC" w:rsidRPr="00A900DC" w:rsidRDefault="00A900DC" w:rsidP="00A900DC"/>
    <w:p w:rsidR="00802A0B" w:rsidRPr="00802A0B" w:rsidRDefault="00802A0B" w:rsidP="002A5FC8">
      <w:pPr>
        <w:pStyle w:val="Heading2"/>
      </w:pPr>
      <w:bookmarkStart w:id="7" w:name="_Toc332378270"/>
      <w:r>
        <w:t>Use of Improved Technologies</w:t>
      </w:r>
      <w:bookmarkEnd w:id="7"/>
    </w:p>
    <w:p w:rsidR="00DA7C8E" w:rsidRDefault="00DA7C8E" w:rsidP="008C55D1">
      <w:r w:rsidRPr="008C55D1">
        <w:t>Improved</w:t>
      </w:r>
      <w:r>
        <w:t xml:space="preserve"> information technology will be used in this evaluation in three distinct ways:</w:t>
      </w:r>
    </w:p>
    <w:p w:rsidR="00DA7C8E" w:rsidRDefault="00DA7C8E" w:rsidP="008C55D1">
      <w:pPr>
        <w:pStyle w:val="Bullets"/>
      </w:pPr>
      <w:r>
        <w:t xml:space="preserve">To maintain data </w:t>
      </w:r>
      <w:r w:rsidR="00A16DCE">
        <w:t xml:space="preserve">in a single location </w:t>
      </w:r>
      <w:r>
        <w:t>on all eligibility assessments, random assignments, loan pre-qualification</w:t>
      </w:r>
      <w:r w:rsidR="00CC62A6">
        <w:t>s</w:t>
      </w:r>
      <w:r>
        <w:t xml:space="preserve"> and </w:t>
      </w:r>
      <w:r w:rsidR="005B362D">
        <w:t xml:space="preserve">housing </w:t>
      </w:r>
      <w:r>
        <w:t>counseling service</w:t>
      </w:r>
      <w:r w:rsidR="00CC62A6">
        <w:t>s received</w:t>
      </w:r>
      <w:r>
        <w:t>;</w:t>
      </w:r>
    </w:p>
    <w:p w:rsidR="00DA7C8E" w:rsidRDefault="00DA7C8E" w:rsidP="008C55D1">
      <w:pPr>
        <w:pStyle w:val="Bullets"/>
      </w:pPr>
      <w:r>
        <w:t>To assist the ongoing sample tracking and locating efforts; and</w:t>
      </w:r>
    </w:p>
    <w:p w:rsidR="00DA7C8E" w:rsidRDefault="00DA7C8E" w:rsidP="008C55D1">
      <w:pPr>
        <w:pStyle w:val="BulletsLast"/>
      </w:pPr>
      <w:r>
        <w:t xml:space="preserve">To facilitate collection of the survey data in standardized and accurate ways </w:t>
      </w:r>
      <w:r w:rsidR="00BC520C">
        <w:t xml:space="preserve">that also </w:t>
      </w:r>
      <w:r w:rsidR="00A16DCE">
        <w:t>ensures</w:t>
      </w:r>
      <w:r>
        <w:t xml:space="preserve"> the </w:t>
      </w:r>
      <w:r w:rsidR="008100D1">
        <w:t xml:space="preserve">protection of the </w:t>
      </w:r>
      <w:r>
        <w:t>confidential</w:t>
      </w:r>
      <w:r w:rsidR="008100D1">
        <w:t>ity</w:t>
      </w:r>
      <w:r>
        <w:t xml:space="preserve"> of sensitive data.</w:t>
      </w:r>
    </w:p>
    <w:p w:rsidR="00B140DB" w:rsidRDefault="00B140DB" w:rsidP="008C55D1">
      <w:r>
        <w:t>The two main technologies that will be used are the R</w:t>
      </w:r>
      <w:r w:rsidR="00630399">
        <w:t>andom Assignment and Service Tracking (R</w:t>
      </w:r>
      <w:r>
        <w:t>AST</w:t>
      </w:r>
      <w:r w:rsidR="00630399">
        <w:t>)</w:t>
      </w:r>
      <w:r>
        <w:t xml:space="preserve"> system created for the study and CATI interviewing technology</w:t>
      </w:r>
      <w:r w:rsidR="006E313F">
        <w:t>.</w:t>
      </w:r>
    </w:p>
    <w:p w:rsidR="006E313F" w:rsidRDefault="006E313F" w:rsidP="00C64DA5">
      <w:pPr>
        <w:pStyle w:val="Heading4"/>
      </w:pPr>
      <w:r>
        <w:lastRenderedPageBreak/>
        <w:t>Random Assignment and Service Tracking System (RAST)</w:t>
      </w:r>
    </w:p>
    <w:p w:rsidR="001D07E5" w:rsidRDefault="00BD7F06" w:rsidP="006E313F">
      <w:r>
        <w:t xml:space="preserve">The </w:t>
      </w:r>
      <w:r w:rsidR="00B140DB">
        <w:t>study</w:t>
      </w:r>
      <w:r w:rsidR="00630399">
        <w:t xml:space="preserve"> </w:t>
      </w:r>
      <w:r w:rsidR="00DA7C8E">
        <w:t>will generate a substantial amount of data</w:t>
      </w:r>
      <w:r w:rsidR="00E83130">
        <w:t>, including eligibility assessments of potential study participants</w:t>
      </w:r>
      <w:r w:rsidR="00DA7C8E">
        <w:t>, random assignm</w:t>
      </w:r>
      <w:r>
        <w:t xml:space="preserve">ent records, and information provided by lenders and </w:t>
      </w:r>
      <w:r w:rsidR="005B362D">
        <w:t xml:space="preserve">housing </w:t>
      </w:r>
      <w:r>
        <w:t>counseling agencies</w:t>
      </w:r>
      <w:r w:rsidR="00A900DC">
        <w:t xml:space="preserve">. </w:t>
      </w:r>
      <w:r>
        <w:t>A random assignment and service tracking system (RAST)</w:t>
      </w:r>
      <w:r w:rsidR="00DA7C8E">
        <w:t xml:space="preserve"> will be developed to manage the variou</w:t>
      </w:r>
      <w:r>
        <w:t xml:space="preserve">s sources of data. The database </w:t>
      </w:r>
      <w:r w:rsidR="00DA7C8E">
        <w:t>will house information from</w:t>
      </w:r>
      <w:r>
        <w:t xml:space="preserve"> lenders, </w:t>
      </w:r>
      <w:r w:rsidR="005B362D">
        <w:t xml:space="preserve">housing </w:t>
      </w:r>
      <w:r>
        <w:t>counseli</w:t>
      </w:r>
      <w:r w:rsidR="00E83130">
        <w:t xml:space="preserve">ng agencies, </w:t>
      </w:r>
      <w:r w:rsidR="009B6B86">
        <w:t xml:space="preserve">and </w:t>
      </w:r>
      <w:r w:rsidR="00E83130">
        <w:t>study participants</w:t>
      </w:r>
      <w:r>
        <w:t xml:space="preserve"> throughout the life of the study</w:t>
      </w:r>
      <w:r w:rsidR="006E0445">
        <w:t>.</w:t>
      </w:r>
    </w:p>
    <w:p w:rsidR="00BD7F06" w:rsidRDefault="00050614" w:rsidP="00050614">
      <w:r>
        <w:t xml:space="preserve">A key function of the RAST system is to support the efforts of the study team to monitor </w:t>
      </w:r>
      <w:r w:rsidR="005B362D">
        <w:t xml:space="preserve">housing </w:t>
      </w:r>
      <w:r>
        <w:t xml:space="preserve">counseling take-up and track study participants over the course of the study period.  </w:t>
      </w:r>
      <w:r w:rsidR="005B362D">
        <w:t>Housing c</w:t>
      </w:r>
      <w:r>
        <w:t xml:space="preserve">ounseling agencies will upload or enter servicing tracking data directly into the RAST system, allowing study team members to ensure that study participants are completing assigned </w:t>
      </w:r>
      <w:r w:rsidR="005B362D">
        <w:t xml:space="preserve">housing </w:t>
      </w:r>
      <w:r>
        <w:t xml:space="preserve">counseling activities.  This will allow the study team to actively track study participants’ completion of </w:t>
      </w:r>
      <w:r w:rsidR="005B362D">
        <w:t xml:space="preserve">housing </w:t>
      </w:r>
      <w:r>
        <w:t xml:space="preserve">counseling activities and to promptly conduct outreach to study participants who have not completed </w:t>
      </w:r>
      <w:r w:rsidR="005B362D">
        <w:t xml:space="preserve">housing </w:t>
      </w:r>
      <w:r>
        <w:t xml:space="preserve">counseling activities.  </w:t>
      </w:r>
      <w:r w:rsidR="00486C44">
        <w:t>For such participants, s</w:t>
      </w:r>
      <w:r w:rsidR="001D07E5">
        <w:t xml:space="preserve">ite liaisons will contact </w:t>
      </w:r>
      <w:r w:rsidR="00B44A4C">
        <w:t xml:space="preserve">the </w:t>
      </w:r>
      <w:r w:rsidR="001D07E5">
        <w:t xml:space="preserve">participant </w:t>
      </w:r>
      <w:r w:rsidR="007D0FD6">
        <w:t>by phone, email, and</w:t>
      </w:r>
      <w:r w:rsidR="00B44A4C">
        <w:t xml:space="preserve"> mail </w:t>
      </w:r>
      <w:r w:rsidR="001D07E5">
        <w:t xml:space="preserve">regarding completion of </w:t>
      </w:r>
      <w:r w:rsidR="005B362D">
        <w:t xml:space="preserve">housing </w:t>
      </w:r>
      <w:r w:rsidR="001D07E5">
        <w:t>counseling service</w:t>
      </w:r>
      <w:r w:rsidR="00B44A4C">
        <w:t>.</w:t>
      </w:r>
    </w:p>
    <w:p w:rsidR="00716367" w:rsidRDefault="00A05F74" w:rsidP="00A05F74">
      <w:r>
        <w:t xml:space="preserve">A second function of the RAST system is to support the tracking of study participants over the course of the study </w:t>
      </w:r>
      <w:r w:rsidR="001D07E5">
        <w:t xml:space="preserve">to ensure a high response rate for future surveys. Throughout the study, the study team will passively track study </w:t>
      </w:r>
      <w:r w:rsidR="001D07E5" w:rsidRPr="008C55D1">
        <w:t>participants</w:t>
      </w:r>
      <w:r w:rsidR="001D07E5">
        <w:t xml:space="preserve"> through the U.S. Postal Service Change of Address database. A</w:t>
      </w:r>
      <w:r w:rsidR="00716367">
        <w:t xml:space="preserve">lso, </w:t>
      </w:r>
      <w:r w:rsidR="008736E7">
        <w:t>ever</w:t>
      </w:r>
      <w:r w:rsidR="00424FA3">
        <w:t>y</w:t>
      </w:r>
      <w:r w:rsidR="008736E7">
        <w:t xml:space="preserve"> four months</w:t>
      </w:r>
      <w:r w:rsidR="00CC62A6">
        <w:t xml:space="preserve">, </w:t>
      </w:r>
      <w:r w:rsidR="008736E7">
        <w:t>the study team will mail study participants</w:t>
      </w:r>
      <w:r w:rsidR="001D07E5">
        <w:t xml:space="preserve"> a letter asking for updated contact information. If </w:t>
      </w:r>
      <w:r w:rsidR="00B44A4C">
        <w:t>their contact</w:t>
      </w:r>
      <w:r w:rsidR="001D07E5">
        <w:t xml:space="preserve"> information has changed</w:t>
      </w:r>
      <w:r w:rsidR="00B44A4C">
        <w:t xml:space="preserve"> since they ag</w:t>
      </w:r>
      <w:r w:rsidR="00292F4D">
        <w:t>reed to participate in the study</w:t>
      </w:r>
      <w:r w:rsidR="008736E7">
        <w:t>, study participants</w:t>
      </w:r>
      <w:r w:rsidR="001D07E5">
        <w:t xml:space="preserve"> simply need to update the form and mail it back. </w:t>
      </w:r>
    </w:p>
    <w:p w:rsidR="001D07E5" w:rsidRDefault="00716367" w:rsidP="008C55D1">
      <w:r>
        <w:t xml:space="preserve">The </w:t>
      </w:r>
      <w:r w:rsidR="00A05F74">
        <w:t>RAST system</w:t>
      </w:r>
      <w:r>
        <w:t xml:space="preserve"> will store all tracking updates we collect, and link them to the participants</w:t>
      </w:r>
      <w:r w:rsidR="008736E7">
        <w:t>. </w:t>
      </w:r>
      <w:r w:rsidR="001D07E5">
        <w:t>Th</w:t>
      </w:r>
      <w:r w:rsidR="00F57B95">
        <w:t>r</w:t>
      </w:r>
      <w:r w:rsidR="001D07E5">
        <w:t xml:space="preserve">ough active and </w:t>
      </w:r>
      <w:r w:rsidR="001D07E5" w:rsidRPr="008C55D1">
        <w:t>passive</w:t>
      </w:r>
      <w:r w:rsidR="001D07E5">
        <w:t xml:space="preserve"> tracking, the study team will be able to monitor</w:t>
      </w:r>
      <w:r w:rsidR="00B44A4C">
        <w:t xml:space="preserve"> both</w:t>
      </w:r>
      <w:r w:rsidR="001D07E5">
        <w:t xml:space="preserve"> counseling service completion and change in location of study participants.</w:t>
      </w:r>
    </w:p>
    <w:p w:rsidR="006E313F" w:rsidRPr="006E313F" w:rsidRDefault="006E313F" w:rsidP="00C64DA5">
      <w:pPr>
        <w:pStyle w:val="Heading4"/>
      </w:pPr>
      <w:r>
        <w:t>Computer-Assisted Telephone Interviewing (CATI)</w:t>
      </w:r>
    </w:p>
    <w:p w:rsidR="00292F4D" w:rsidRPr="006E313F" w:rsidRDefault="006E313F" w:rsidP="006E313F">
      <w:r w:rsidRPr="00C64DA5">
        <w:t xml:space="preserve">The </w:t>
      </w:r>
      <w:r w:rsidR="00B140DB" w:rsidRPr="00B140DB">
        <w:t>study team will use</w:t>
      </w:r>
      <w:r w:rsidR="00292F4D" w:rsidRPr="00B140DB">
        <w:t xml:space="preserve"> CATI technology to administer the </w:t>
      </w:r>
      <w:r w:rsidR="000A5091" w:rsidRPr="00B140DB">
        <w:t xml:space="preserve">baseline </w:t>
      </w:r>
      <w:r w:rsidR="00292F4D" w:rsidRPr="00B140DB">
        <w:t>survey</w:t>
      </w:r>
      <w:r w:rsidR="006751FA" w:rsidRPr="00B140DB">
        <w:t>s</w:t>
      </w:r>
      <w:r w:rsidR="00B140DB" w:rsidRPr="00B140DB">
        <w:t>. The use of CATI</w:t>
      </w:r>
      <w:r w:rsidR="00292F4D" w:rsidRPr="00B140DB">
        <w:t xml:space="preserve"> reduce</w:t>
      </w:r>
      <w:r w:rsidR="006751FA" w:rsidRPr="00B140DB">
        <w:t>s</w:t>
      </w:r>
      <w:r w:rsidR="00292F4D" w:rsidRPr="00B140DB">
        <w:t xml:space="preserve"> respondent burden</w:t>
      </w:r>
      <w:r w:rsidR="006751FA" w:rsidRPr="00B140DB">
        <w:t>, as interviewers can proceed more quickly and accurately through the survey instruments, minimizing the interview length and the need for subsequent call-back</w:t>
      </w:r>
      <w:r w:rsidR="00A900DC" w:rsidRPr="00B140DB">
        <w:t xml:space="preserve">. </w:t>
      </w:r>
      <w:r w:rsidR="006751FA" w:rsidRPr="00B140DB">
        <w:t>Computer programs enable respondents to avoid inappropriate and non-applicable questions</w:t>
      </w:r>
      <w:r w:rsidR="00A900DC" w:rsidRPr="00B140DB">
        <w:t xml:space="preserve">. </w:t>
      </w:r>
      <w:r w:rsidR="006751FA" w:rsidRPr="00B140DB">
        <w:t>For example, respondents who were not offered</w:t>
      </w:r>
      <w:r w:rsidR="005B362D">
        <w:t xml:space="preserve"> housing</w:t>
      </w:r>
      <w:r w:rsidR="006751FA" w:rsidRPr="00B140DB">
        <w:t xml:space="preserve"> counseling will be routed past questions only relevant to those who were offered </w:t>
      </w:r>
      <w:r w:rsidR="005B362D">
        <w:t xml:space="preserve">housing </w:t>
      </w:r>
      <w:r w:rsidR="006751FA" w:rsidRPr="00B140DB">
        <w:t>counseling</w:t>
      </w:r>
      <w:r w:rsidR="00A900DC" w:rsidRPr="00B140DB">
        <w:t xml:space="preserve">. </w:t>
      </w:r>
      <w:r w:rsidR="006751FA" w:rsidRPr="00B140DB">
        <w:t>CATI also improves data quality through more uniform administration of the survey questions, more accurate implementation of the skip patterns, and immediate application of range checks, edit checks, and consistency checks of item-by-item responses</w:t>
      </w:r>
      <w:r w:rsidR="00292F4D" w:rsidRPr="00B140DB">
        <w:t>.</w:t>
      </w:r>
    </w:p>
    <w:p w:rsidR="00802A0B" w:rsidRDefault="00802A0B" w:rsidP="002A5FC8">
      <w:pPr>
        <w:pStyle w:val="Heading2"/>
      </w:pPr>
      <w:bookmarkStart w:id="8" w:name="_Toc332378271"/>
      <w:r>
        <w:t>Efforts to Avoid Duplication</w:t>
      </w:r>
      <w:bookmarkEnd w:id="8"/>
    </w:p>
    <w:p w:rsidR="00802A0B" w:rsidRDefault="00F77FF9" w:rsidP="00EB7E84">
      <w:r>
        <w:t xml:space="preserve">Staff at lenders and </w:t>
      </w:r>
      <w:r w:rsidR="00C462F6">
        <w:t xml:space="preserve">housing </w:t>
      </w:r>
      <w:r>
        <w:t>counseling agencies collect and e</w:t>
      </w:r>
      <w:r w:rsidR="00E83130">
        <w:t xml:space="preserve">nter a variety of </w:t>
      </w:r>
      <w:r w:rsidR="00C462F6">
        <w:t>c</w:t>
      </w:r>
      <w:r w:rsidR="005F1BAC">
        <w:t>ustomer</w:t>
      </w:r>
      <w:r>
        <w:t xml:space="preserve"> information in their own data systems. </w:t>
      </w:r>
      <w:r w:rsidR="00F853D2">
        <w:t>T</w:t>
      </w:r>
      <w:r w:rsidR="00E57D94">
        <w:t>o avoid duplicate data entry</w:t>
      </w:r>
      <w:r>
        <w:t>,</w:t>
      </w:r>
      <w:r w:rsidR="009949C8">
        <w:t xml:space="preserve"> </w:t>
      </w:r>
      <w:r>
        <w:t>the study team will develop a data upload feature within the study’s</w:t>
      </w:r>
      <w:r w:rsidR="006E313F">
        <w:t xml:space="preserve"> RAST</w:t>
      </w:r>
      <w:r w:rsidR="009949C8">
        <w:t xml:space="preserve"> </w:t>
      </w:r>
      <w:r w:rsidR="00E57D94">
        <w:t>system</w:t>
      </w:r>
      <w:r>
        <w:t xml:space="preserve"> for staff at lenders and </w:t>
      </w:r>
      <w:r w:rsidR="00C462F6">
        <w:t xml:space="preserve">housing </w:t>
      </w:r>
      <w:r>
        <w:t>counseling agencies to use</w:t>
      </w:r>
      <w:r w:rsidR="00E57D94">
        <w:t xml:space="preserve">. </w:t>
      </w:r>
      <w:r w:rsidR="006E313F">
        <w:t>P</w:t>
      </w:r>
      <w:r w:rsidR="00E57D94">
        <w:t>articipating lender</w:t>
      </w:r>
      <w:r w:rsidR="00B44A4C">
        <w:t>s</w:t>
      </w:r>
      <w:r w:rsidR="00E57D94">
        <w:t xml:space="preserve"> and </w:t>
      </w:r>
      <w:r w:rsidR="00C462F6">
        <w:t xml:space="preserve">housing </w:t>
      </w:r>
      <w:r w:rsidR="00E57D94">
        <w:t>counseling agenc</w:t>
      </w:r>
      <w:r w:rsidR="00B44A4C">
        <w:t>ies</w:t>
      </w:r>
      <w:r w:rsidR="006E313F">
        <w:t xml:space="preserve"> will be able</w:t>
      </w:r>
      <w:r w:rsidR="00E57D94">
        <w:t xml:space="preserve"> to create </w:t>
      </w:r>
      <w:r w:rsidR="00B44A4C">
        <w:t xml:space="preserve">extracts of </w:t>
      </w:r>
      <w:r w:rsidR="00E57D94">
        <w:t xml:space="preserve">data </w:t>
      </w:r>
      <w:r w:rsidR="00B44A4C">
        <w:t>from their own systems and</w:t>
      </w:r>
      <w:r>
        <w:t xml:space="preserve"> upload </w:t>
      </w:r>
      <w:r w:rsidR="00B44A4C">
        <w:t>them</w:t>
      </w:r>
      <w:r w:rsidR="009949C8">
        <w:t xml:space="preserve"> </w:t>
      </w:r>
      <w:r w:rsidR="006E313F">
        <w:t>directly to the RAST system</w:t>
      </w:r>
      <w:r w:rsidR="00E57D94">
        <w:t xml:space="preserve">. This feature is intended to decrease the </w:t>
      </w:r>
      <w:r w:rsidR="00E57D94" w:rsidRPr="008C55D1">
        <w:t>burden</w:t>
      </w:r>
      <w:r w:rsidR="009949C8">
        <w:t xml:space="preserve"> </w:t>
      </w:r>
      <w:r w:rsidR="006E313F">
        <w:t xml:space="preserve">on </w:t>
      </w:r>
      <w:r w:rsidR="00C462F6">
        <w:t xml:space="preserve">housing </w:t>
      </w:r>
      <w:r w:rsidR="00E57D94">
        <w:t xml:space="preserve">counseling agency and lender staff </w:t>
      </w:r>
      <w:r w:rsidR="006E313F">
        <w:t xml:space="preserve">associated with providing the data </w:t>
      </w:r>
      <w:r w:rsidR="00C1235E">
        <w:t>and</w:t>
      </w:r>
      <w:r w:rsidR="006E313F">
        <w:t xml:space="preserve"> to</w:t>
      </w:r>
      <w:r w:rsidR="00C1235E">
        <w:t xml:space="preserve"> increase data completeness</w:t>
      </w:r>
      <w:r w:rsidR="006E313F">
        <w:t xml:space="preserve"> and accuracy</w:t>
      </w:r>
      <w:r w:rsidR="00E57D94">
        <w:t>.</w:t>
      </w:r>
      <w:r w:rsidR="00FE5E64">
        <w:t xml:space="preserve"> During development of data collection instruments, the </w:t>
      </w:r>
      <w:r w:rsidR="00FE5E64">
        <w:lastRenderedPageBreak/>
        <w:t xml:space="preserve">study team has been </w:t>
      </w:r>
      <w:r w:rsidR="00FE5E64" w:rsidRPr="00EB7E84">
        <w:t>reviewing</w:t>
      </w:r>
      <w:r w:rsidR="00FE5E64">
        <w:t xml:space="preserve"> sample data from lenders and </w:t>
      </w:r>
      <w:r w:rsidR="00C462F6">
        <w:t xml:space="preserve">housing </w:t>
      </w:r>
      <w:r w:rsidR="00FE5E64">
        <w:t xml:space="preserve">counseling agencies to understand </w:t>
      </w:r>
      <w:r w:rsidR="00B44A4C">
        <w:t>the</w:t>
      </w:r>
      <w:r w:rsidR="00FE5E64">
        <w:t xml:space="preserve"> data </w:t>
      </w:r>
      <w:r w:rsidR="00B44A4C">
        <w:t xml:space="preserve">that </w:t>
      </w:r>
      <w:r w:rsidR="001F303D">
        <w:t>are</w:t>
      </w:r>
      <w:r w:rsidR="00FE5E64">
        <w:t xml:space="preserve"> already being collected</w:t>
      </w:r>
      <w:r w:rsidR="00A900DC">
        <w:t xml:space="preserve">. </w:t>
      </w:r>
      <w:r w:rsidR="00E57D94">
        <w:t xml:space="preserve">The study </w:t>
      </w:r>
      <w:r w:rsidR="004F179E">
        <w:t xml:space="preserve">team </w:t>
      </w:r>
      <w:r w:rsidR="00E57D94">
        <w:t xml:space="preserve">will </w:t>
      </w:r>
      <w:r w:rsidR="00FE5E64">
        <w:t xml:space="preserve">continue to </w:t>
      </w:r>
      <w:r w:rsidR="00E57D94">
        <w:t xml:space="preserve">work with </w:t>
      </w:r>
      <w:r w:rsidR="00C462F6">
        <w:t xml:space="preserve">housing </w:t>
      </w:r>
      <w:r w:rsidR="00E57D94">
        <w:t xml:space="preserve">counseling agencies and lenders to determine whether </w:t>
      </w:r>
      <w:r w:rsidR="006E313F">
        <w:t xml:space="preserve">the </w:t>
      </w:r>
      <w:r w:rsidR="00E57D94">
        <w:t xml:space="preserve">existing data </w:t>
      </w:r>
      <w:r w:rsidR="006E313F">
        <w:t xml:space="preserve">they collect </w:t>
      </w:r>
      <w:r w:rsidR="00E57D94">
        <w:t xml:space="preserve">on study participants </w:t>
      </w:r>
      <w:r w:rsidR="006E313F">
        <w:t xml:space="preserve">will be </w:t>
      </w:r>
      <w:r w:rsidR="00E57D94">
        <w:t>sufficient</w:t>
      </w:r>
      <w:r w:rsidR="00FE5E64">
        <w:t xml:space="preserve"> or </w:t>
      </w:r>
      <w:r w:rsidR="00C1235E">
        <w:t xml:space="preserve">whether </w:t>
      </w:r>
      <w:r w:rsidR="00FE5E64">
        <w:t>additional information will be needed</w:t>
      </w:r>
      <w:r w:rsidR="00E57D94">
        <w:t xml:space="preserve">. </w:t>
      </w:r>
    </w:p>
    <w:p w:rsidR="00802A0B" w:rsidRDefault="00802A0B" w:rsidP="002A5FC8">
      <w:pPr>
        <w:pStyle w:val="Heading2"/>
      </w:pPr>
      <w:bookmarkStart w:id="9" w:name="_Toc332378272"/>
      <w:r>
        <w:t>Involvement of Small Entities</w:t>
      </w:r>
      <w:bookmarkEnd w:id="9"/>
    </w:p>
    <w:p w:rsidR="00802A0B" w:rsidRDefault="000A5091" w:rsidP="008C55D1">
      <w:r>
        <w:t xml:space="preserve">The research team may work with small </w:t>
      </w:r>
      <w:r w:rsidR="00C462F6">
        <w:t xml:space="preserve">housing </w:t>
      </w:r>
      <w:r>
        <w:t xml:space="preserve">counseling agencies within study jurisdictions to deliver in-person </w:t>
      </w:r>
      <w:r w:rsidR="004C45BF">
        <w:t xml:space="preserve">pre-purchase education and </w:t>
      </w:r>
      <w:r w:rsidR="00C462F6">
        <w:t xml:space="preserve">housing </w:t>
      </w:r>
      <w:r w:rsidR="004C45BF">
        <w:t>counseling</w:t>
      </w:r>
      <w:r w:rsidR="00637CC3">
        <w:t>.</w:t>
      </w:r>
      <w:r w:rsidR="00C64DA5">
        <w:t xml:space="preserve"> We will work with </w:t>
      </w:r>
      <w:proofErr w:type="spellStart"/>
      <w:r w:rsidR="00C64DA5">
        <w:t>NeighborWorks</w:t>
      </w:r>
      <w:proofErr w:type="spellEnd"/>
      <w:r w:rsidR="009949C8">
        <w:t xml:space="preserve"> </w:t>
      </w:r>
      <w:r w:rsidR="004C45BF">
        <w:t>to ensure minimal burden of participating in this study.</w:t>
      </w:r>
      <w:r w:rsidR="007D0FD6">
        <w:t xml:space="preserve"> Participation in this study is voluntary for all </w:t>
      </w:r>
      <w:r w:rsidR="00C462F6">
        <w:t xml:space="preserve">housing </w:t>
      </w:r>
      <w:r w:rsidR="007D0FD6">
        <w:t>counseling agencies.</w:t>
      </w:r>
    </w:p>
    <w:p w:rsidR="001B6DC8" w:rsidRDefault="001B6DC8" w:rsidP="002A5FC8">
      <w:pPr>
        <w:pStyle w:val="Heading2"/>
      </w:pPr>
      <w:bookmarkStart w:id="10" w:name="_Toc332378273"/>
      <w:r>
        <w:t>Consequences of Less Frequent Data Collection</w:t>
      </w:r>
      <w:bookmarkEnd w:id="10"/>
    </w:p>
    <w:p w:rsidR="004D1317" w:rsidRDefault="003D3079" w:rsidP="008C55D1">
      <w:r>
        <w:t xml:space="preserve">The collection of </w:t>
      </w:r>
      <w:r w:rsidR="00D07679">
        <w:t xml:space="preserve">data through </w:t>
      </w:r>
      <w:r w:rsidR="00F77FF9">
        <w:t xml:space="preserve">the </w:t>
      </w:r>
      <w:r w:rsidR="00A405A5">
        <w:t xml:space="preserve">intake form, </w:t>
      </w:r>
      <w:r>
        <w:t>eligibility assessment, baseline survey</w:t>
      </w:r>
      <w:r w:rsidR="005375A1">
        <w:t>,</w:t>
      </w:r>
      <w:r>
        <w:t xml:space="preserve"> and study participant tracking efforts </w:t>
      </w:r>
      <w:r w:rsidR="00A405A5">
        <w:t xml:space="preserve">are </w:t>
      </w:r>
      <w:r>
        <w:t>essential to conducting the analysis of the impacts of pre-purchase education and counseling.</w:t>
      </w:r>
      <w:r w:rsidR="009949C8">
        <w:t xml:space="preserve"> </w:t>
      </w:r>
      <w:r w:rsidR="007D0FD6">
        <w:t>The intake form, eligibility assessment, and baseline survey</w:t>
      </w:r>
      <w:r w:rsidR="004D1317">
        <w:t xml:space="preserve"> are conducted only once.</w:t>
      </w:r>
      <w:r w:rsidR="007D0FD6">
        <w:t xml:space="preserve"> Particip</w:t>
      </w:r>
      <w:r w:rsidR="00F57B95">
        <w:t>ant tracking will occur every four months over the course of the next three years. Future tracking activities that extend past that date will be presented in future OMB packages.</w:t>
      </w:r>
    </w:p>
    <w:p w:rsidR="003D3079" w:rsidRPr="003D3079" w:rsidRDefault="00A405A5" w:rsidP="008C55D1">
      <w:r>
        <w:t xml:space="preserve">The collection of service tracking data by </w:t>
      </w:r>
      <w:r w:rsidR="00C462F6">
        <w:t xml:space="preserve">housing </w:t>
      </w:r>
      <w:r>
        <w:t>counseling agencies is t</w:t>
      </w:r>
      <w:r w:rsidR="00CB7563">
        <w:t xml:space="preserve">riggered by study participants’ use of the </w:t>
      </w:r>
      <w:r w:rsidR="00C462F6">
        <w:t xml:space="preserve">housing </w:t>
      </w:r>
      <w:r w:rsidR="00CB7563">
        <w:t>counseling services</w:t>
      </w:r>
      <w:r w:rsidR="00A900DC">
        <w:t xml:space="preserve">. </w:t>
      </w:r>
      <w:r w:rsidR="004C45BF">
        <w:t xml:space="preserve">The study team is requesting </w:t>
      </w:r>
      <w:r w:rsidR="006E313F">
        <w:t xml:space="preserve">that </w:t>
      </w:r>
      <w:r w:rsidR="00C462F6">
        <w:t xml:space="preserve">housing </w:t>
      </w:r>
      <w:r w:rsidR="004C45BF">
        <w:t xml:space="preserve">counseling agencies upload </w:t>
      </w:r>
      <w:r w:rsidR="004D1317">
        <w:t>service tracking data that they already collect</w:t>
      </w:r>
      <w:r w:rsidR="006E313F">
        <w:t xml:space="preserve"> directly</w:t>
      </w:r>
      <w:r w:rsidR="004C45BF">
        <w:t xml:space="preserve"> into the study’s data collection system</w:t>
      </w:r>
      <w:r w:rsidR="006E313F">
        <w:t xml:space="preserve"> (RAST)</w:t>
      </w:r>
      <w:r w:rsidR="004D1317">
        <w:t xml:space="preserve"> and, when needed,</w:t>
      </w:r>
      <w:r w:rsidR="004C45BF">
        <w:t xml:space="preserve"> input supplemental data </w:t>
      </w:r>
      <w:r w:rsidR="004D1317">
        <w:t xml:space="preserve">into this system. </w:t>
      </w:r>
      <w:r w:rsidR="006B6298">
        <w:t>T</w:t>
      </w:r>
      <w:r w:rsidR="004D1317">
        <w:t>o ensure data completeness of the study’s required data collection fields,</w:t>
      </w:r>
      <w:r w:rsidR="00C462F6">
        <w:t xml:space="preserve"> housing</w:t>
      </w:r>
      <w:r w:rsidR="004D1317">
        <w:t xml:space="preserve"> counseling agencies will need </w:t>
      </w:r>
      <w:r w:rsidR="00F808CB">
        <w:t xml:space="preserve">to provide information on </w:t>
      </w:r>
      <w:r w:rsidR="006E313F">
        <w:t xml:space="preserve">both the </w:t>
      </w:r>
      <w:r w:rsidR="00F808CB">
        <w:t xml:space="preserve">homeownership education and </w:t>
      </w:r>
      <w:r w:rsidR="006E313F">
        <w:t xml:space="preserve">the </w:t>
      </w:r>
      <w:r w:rsidR="00F808CB">
        <w:t>individualized counseling that study participants receive.</w:t>
      </w:r>
    </w:p>
    <w:p w:rsidR="001B6DC8" w:rsidRDefault="001B6DC8" w:rsidP="002A5FC8">
      <w:pPr>
        <w:pStyle w:val="Heading2"/>
      </w:pPr>
      <w:bookmarkStart w:id="11" w:name="_Toc332378274"/>
      <w:r>
        <w:t>Special Circumstances</w:t>
      </w:r>
      <w:bookmarkEnd w:id="11"/>
    </w:p>
    <w:p w:rsidR="003D3079" w:rsidRDefault="003D3079" w:rsidP="003D3079">
      <w:pPr>
        <w:autoSpaceDE w:val="0"/>
        <w:autoSpaceDN w:val="0"/>
        <w:adjustRightInd w:val="0"/>
        <w:spacing w:after="0" w:line="276" w:lineRule="auto"/>
        <w:rPr>
          <w:szCs w:val="22"/>
        </w:rPr>
      </w:pPr>
      <w:r>
        <w:rPr>
          <w:szCs w:val="22"/>
        </w:rPr>
        <w:t>The proposed data collection activities are consistent with the guidelines set forth in 5 CFR 1320.6</w:t>
      </w:r>
    </w:p>
    <w:p w:rsidR="001B6DC8" w:rsidRPr="003D3079" w:rsidRDefault="003D3079" w:rsidP="008C55D1">
      <w:proofErr w:type="gramStart"/>
      <w:r>
        <w:t xml:space="preserve">(Controlling Paperwork Burden on </w:t>
      </w:r>
      <w:r w:rsidRPr="008C55D1">
        <w:t>the</w:t>
      </w:r>
      <w:r>
        <w:t xml:space="preserve"> Public, General Information Collection Guidelines).</w:t>
      </w:r>
      <w:proofErr w:type="gramEnd"/>
      <w:r>
        <w:t xml:space="preserve"> There are no circumstances that require deviation from these guidelines.</w:t>
      </w:r>
    </w:p>
    <w:p w:rsidR="00802A0B" w:rsidRDefault="001B6DC8" w:rsidP="002A5FC8">
      <w:pPr>
        <w:pStyle w:val="Heading2"/>
      </w:pPr>
      <w:bookmarkStart w:id="12" w:name="_Toc332378275"/>
      <w:r>
        <w:t xml:space="preserve">Consultations </w:t>
      </w:r>
      <w:proofErr w:type="gramStart"/>
      <w:r>
        <w:t>Outside</w:t>
      </w:r>
      <w:proofErr w:type="gramEnd"/>
      <w:r>
        <w:t xml:space="preserve"> the Agency</w:t>
      </w:r>
      <w:bookmarkEnd w:id="12"/>
    </w:p>
    <w:p w:rsidR="00894BC2" w:rsidRDefault="00894BC2" w:rsidP="008C55D1">
      <w:r w:rsidRPr="00633AB2">
        <w:t xml:space="preserve">In accordance with the Paperwork Reduction Act of 1995, the Department of Housing and Urban Development (HUD) published a </w:t>
      </w:r>
      <w:r w:rsidRPr="008C55D1">
        <w:t>notice</w:t>
      </w:r>
      <w:r w:rsidRPr="00633AB2">
        <w:t xml:space="preserve"> in the Federal Register on </w:t>
      </w:r>
      <w:r w:rsidR="00213BF6">
        <w:t>October 19, 2011</w:t>
      </w:r>
      <w:r w:rsidR="00A900DC">
        <w:t xml:space="preserve">. </w:t>
      </w:r>
      <w:r>
        <w:t>The docket number is FR-5486-N-24</w:t>
      </w:r>
      <w:r w:rsidR="00A900DC">
        <w:t xml:space="preserve">. </w:t>
      </w:r>
      <w:r w:rsidRPr="00633AB2">
        <w:t xml:space="preserve">The Federal Register Notice appeared on pages </w:t>
      </w:r>
      <w:r w:rsidR="00BF525A">
        <w:t>64367 and 64368</w:t>
      </w:r>
      <w:r w:rsidR="00A900DC">
        <w:t xml:space="preserve">. </w:t>
      </w:r>
    </w:p>
    <w:p w:rsidR="00D07679" w:rsidRDefault="00894BC2" w:rsidP="008C55D1">
      <w:r w:rsidRPr="00633AB2">
        <w:t xml:space="preserve">The </w:t>
      </w:r>
      <w:r>
        <w:t xml:space="preserve">Pre-Purchase Homeownership Counseling Demonstration and Impact Evaluation </w:t>
      </w:r>
      <w:r w:rsidR="00AA080B">
        <w:t xml:space="preserve">is being implemented in partnership with </w:t>
      </w:r>
      <w:proofErr w:type="spellStart"/>
      <w:r w:rsidRPr="00633AB2">
        <w:t>Abt</w:t>
      </w:r>
      <w:proofErr w:type="spellEnd"/>
      <w:r w:rsidRPr="00633AB2">
        <w:t xml:space="preserve"> Associates Inc. </w:t>
      </w:r>
      <w:r w:rsidR="00CB7563">
        <w:t>(</w:t>
      </w:r>
      <w:r w:rsidRPr="00633AB2">
        <w:t>the prime contractor</w:t>
      </w:r>
      <w:r w:rsidR="00CB7563">
        <w:t xml:space="preserve">), </w:t>
      </w:r>
      <w:r w:rsidR="005B6513">
        <w:t xml:space="preserve">Sage Computing, </w:t>
      </w:r>
      <w:r w:rsidR="00CB7563">
        <w:t xml:space="preserve">the Center for Community Capital at the University of North Carolina, Doug Dylla LLC, and </w:t>
      </w:r>
      <w:r w:rsidR="006E313F">
        <w:t xml:space="preserve">Professor </w:t>
      </w:r>
      <w:r w:rsidR="00CB7563">
        <w:t xml:space="preserve">Stephanie Moulton </w:t>
      </w:r>
      <w:r w:rsidR="006E313F">
        <w:t xml:space="preserve">of </w:t>
      </w:r>
      <w:r w:rsidR="00CB7563">
        <w:t>Ohio State University</w:t>
      </w:r>
      <w:r w:rsidR="00A900DC">
        <w:t xml:space="preserve">. </w:t>
      </w:r>
    </w:p>
    <w:p w:rsidR="001B6DC8" w:rsidRDefault="00D07679" w:rsidP="008C55D1">
      <w:r>
        <w:t>In addition, the s</w:t>
      </w:r>
      <w:r w:rsidR="00AA080B">
        <w:t xml:space="preserve">tudy has an </w:t>
      </w:r>
      <w:r w:rsidR="00AA080B" w:rsidRPr="008C55D1">
        <w:t>advisory</w:t>
      </w:r>
      <w:r w:rsidR="00AA080B">
        <w:t xml:space="preserve"> panel of </w:t>
      </w:r>
      <w:r w:rsidR="007A651C">
        <w:t xml:space="preserve">approximately </w:t>
      </w:r>
      <w:proofErr w:type="gramStart"/>
      <w:r w:rsidR="00630399">
        <w:t xml:space="preserve">eight  </w:t>
      </w:r>
      <w:r w:rsidR="00DA37F0">
        <w:t>academic</w:t>
      </w:r>
      <w:proofErr w:type="gramEnd"/>
      <w:r w:rsidR="00DA37F0">
        <w:t xml:space="preserve"> and professional </w:t>
      </w:r>
      <w:r w:rsidR="00AA080B">
        <w:t>experts in the homeownership counseling field</w:t>
      </w:r>
      <w:r w:rsidR="00A900DC">
        <w:t xml:space="preserve">. </w:t>
      </w:r>
      <w:r w:rsidR="00630399">
        <w:t>The advisory panel includes Peter Zorn (Freddie Mac), Janis Bowdler (NCLR), J. Michael Collins (University of Wisconsin-Madison), Christopher Herbert (Harvard University), Kenne</w:t>
      </w:r>
      <w:r w:rsidR="003C5488">
        <w:t xml:space="preserve">th </w:t>
      </w:r>
      <w:proofErr w:type="spellStart"/>
      <w:r w:rsidR="003C5488">
        <w:t>Breevort</w:t>
      </w:r>
      <w:proofErr w:type="spellEnd"/>
      <w:r w:rsidR="003C5488">
        <w:t xml:space="preserve"> (Consumer Financial Protection Bureau</w:t>
      </w:r>
      <w:r w:rsidR="00630399">
        <w:t xml:space="preserve">), Jennifer </w:t>
      </w:r>
      <w:r w:rsidR="00630399">
        <w:lastRenderedPageBreak/>
        <w:t>Turnham (</w:t>
      </w:r>
      <w:proofErr w:type="spellStart"/>
      <w:r w:rsidR="00630399">
        <w:t>Abt</w:t>
      </w:r>
      <w:proofErr w:type="spellEnd"/>
      <w:r w:rsidR="00630399">
        <w:t xml:space="preserve"> Associates Inc.), Kristopher Rengert (FDIC), and Carolina Reid (UC Berkeley). Additionally, Dr. Don Dillman an expert in survey and response rate methodology at the </w:t>
      </w:r>
      <w:r w:rsidR="00FF6988">
        <w:t xml:space="preserve">Washington State </w:t>
      </w:r>
      <w:r w:rsidR="00630399">
        <w:t xml:space="preserve">University is a consultant on this project. </w:t>
      </w:r>
      <w:r w:rsidR="00AA080B">
        <w:t>The ad</w:t>
      </w:r>
      <w:r w:rsidR="00DA37F0">
        <w:t xml:space="preserve">visory panel </w:t>
      </w:r>
      <w:r w:rsidR="00BD23B9">
        <w:t>was</w:t>
      </w:r>
      <w:r w:rsidR="00DA37F0">
        <w:t xml:space="preserve"> engaged to review</w:t>
      </w:r>
      <w:r w:rsidR="00C1235E">
        <w:t xml:space="preserve"> two documents. First, </w:t>
      </w:r>
      <w:r w:rsidR="00BD23B9">
        <w:t xml:space="preserve">October </w:t>
      </w:r>
      <w:r w:rsidR="00C1235E" w:rsidRPr="004D1317">
        <w:t>2012</w:t>
      </w:r>
      <w:r w:rsidR="00B4481A">
        <w:t>,</w:t>
      </w:r>
      <w:r w:rsidR="00C1235E">
        <w:t xml:space="preserve"> the advisory panel review</w:t>
      </w:r>
      <w:r w:rsidR="00BD23B9">
        <w:t>ed</w:t>
      </w:r>
      <w:r w:rsidR="00C1235E">
        <w:t xml:space="preserve"> the</w:t>
      </w:r>
      <w:r w:rsidR="00DA37F0">
        <w:t xml:space="preserve"> research design, data collection and analysis plan</w:t>
      </w:r>
      <w:r w:rsidR="00C1235E">
        <w:t xml:space="preserve"> for the study</w:t>
      </w:r>
      <w:r w:rsidR="00BD23B9">
        <w:t xml:space="preserve"> and provided feedback during an Expert Panel Meeting convened at HUD on October 5, 2012</w:t>
      </w:r>
      <w:r w:rsidR="00C1235E">
        <w:t>. Next, at the conclusion of the participant e</w:t>
      </w:r>
      <w:r w:rsidR="004D1317">
        <w:t>nrol</w:t>
      </w:r>
      <w:r w:rsidR="007D0FD6">
        <w:t>lment period, approximately September 2014</w:t>
      </w:r>
      <w:r w:rsidR="00C1235E">
        <w:t>, the advisory panel will review a baseline report on participant characteristics and the early implementation of the study.</w:t>
      </w:r>
      <w:r w:rsidR="00DA37F0">
        <w:t xml:space="preserve"> HUD and the </w:t>
      </w:r>
      <w:proofErr w:type="spellStart"/>
      <w:r w:rsidR="00DA37F0">
        <w:t>Abt</w:t>
      </w:r>
      <w:proofErr w:type="spellEnd"/>
      <w:r w:rsidR="00DA37F0">
        <w:t xml:space="preserve"> team will convene </w:t>
      </w:r>
      <w:r w:rsidR="00C1235E">
        <w:t>meetings of the advisory panel</w:t>
      </w:r>
      <w:r w:rsidR="00BD23B9">
        <w:t xml:space="preserve"> at that time</w:t>
      </w:r>
      <w:r w:rsidR="00C1235E">
        <w:t xml:space="preserve"> so that the panel can discuss their </w:t>
      </w:r>
      <w:r w:rsidR="00DA37F0">
        <w:t>input and guidance</w:t>
      </w:r>
      <w:r w:rsidR="00C1235E">
        <w:t xml:space="preserve"> as a group</w:t>
      </w:r>
      <w:r w:rsidR="00EB7E84">
        <w:t xml:space="preserve">. </w:t>
      </w:r>
      <w:r w:rsidR="00894BC2" w:rsidRPr="00633AB2">
        <w:t xml:space="preserve">The purpose of </w:t>
      </w:r>
      <w:r w:rsidR="00B4481A">
        <w:t>this</w:t>
      </w:r>
      <w:r w:rsidR="00894BC2" w:rsidRPr="00633AB2">
        <w:t xml:space="preserve"> consultation is to ensure the technical soundness </w:t>
      </w:r>
      <w:r w:rsidR="00DA37F0">
        <w:t xml:space="preserve">of the research design and implementation </w:t>
      </w:r>
      <w:r w:rsidR="00DA37F0" w:rsidRPr="008C55D1">
        <w:t>plan</w:t>
      </w:r>
      <w:r w:rsidR="00DA37F0">
        <w:t xml:space="preserve">. </w:t>
      </w:r>
    </w:p>
    <w:p w:rsidR="001B6DC8" w:rsidRDefault="001B6DC8" w:rsidP="002A5FC8">
      <w:pPr>
        <w:pStyle w:val="Heading2"/>
      </w:pPr>
      <w:bookmarkStart w:id="13" w:name="_Toc332378276"/>
      <w:r>
        <w:t>Payment to Respondents</w:t>
      </w:r>
      <w:bookmarkEnd w:id="13"/>
    </w:p>
    <w:p w:rsidR="000607E3" w:rsidRDefault="00F853D2" w:rsidP="008C55D1">
      <w:r>
        <w:t>F</w:t>
      </w:r>
      <w:r w:rsidR="004D1317">
        <w:t>or the evaluation to be most successful, we have determined that payments should be provided both to</w:t>
      </w:r>
      <w:r w:rsidR="009949C8">
        <w:t xml:space="preserve"> </w:t>
      </w:r>
      <w:r w:rsidR="006D4A23">
        <w:t>study participants and</w:t>
      </w:r>
      <w:r w:rsidR="009949C8">
        <w:t xml:space="preserve"> </w:t>
      </w:r>
      <w:r w:rsidR="00B4481A">
        <w:t xml:space="preserve">to </w:t>
      </w:r>
      <w:r w:rsidR="00C462F6">
        <w:t xml:space="preserve">HUD-approved housing </w:t>
      </w:r>
      <w:r w:rsidR="004F179E" w:rsidRPr="00912895">
        <w:t xml:space="preserve">counseling agencies to compensate </w:t>
      </w:r>
      <w:r w:rsidR="00D07679">
        <w:t>them</w:t>
      </w:r>
      <w:r w:rsidR="004F179E" w:rsidRPr="00912895">
        <w:t xml:space="preserve"> for the time </w:t>
      </w:r>
      <w:r w:rsidR="004F179E">
        <w:t>associated with</w:t>
      </w:r>
      <w:r w:rsidR="00F77FF9">
        <w:t xml:space="preserve"> study</w:t>
      </w:r>
      <w:r w:rsidR="004F179E">
        <w:t xml:space="preserve"> participation</w:t>
      </w:r>
      <w:r w:rsidR="00A900DC">
        <w:t xml:space="preserve">. </w:t>
      </w:r>
      <w:r w:rsidR="00A77082">
        <w:t>Each type of compensation is discussed below</w:t>
      </w:r>
      <w:r w:rsidR="003D40DD">
        <w:t>.</w:t>
      </w:r>
    </w:p>
    <w:p w:rsidR="000607E3" w:rsidRDefault="00297A75" w:rsidP="006D4A23">
      <w:pPr>
        <w:pStyle w:val="Heading3"/>
      </w:pPr>
      <w:bookmarkStart w:id="14" w:name="_Toc332378277"/>
      <w:r>
        <w:t>Compensation</w:t>
      </w:r>
      <w:r w:rsidR="000607E3">
        <w:t xml:space="preserve"> for Study Participants</w:t>
      </w:r>
      <w:bookmarkEnd w:id="14"/>
    </w:p>
    <w:p w:rsidR="008A3D38" w:rsidRPr="008A3D38" w:rsidRDefault="00210889" w:rsidP="00BD3651">
      <w:pPr>
        <w:pStyle w:val="Heading4"/>
      </w:pPr>
      <w:r>
        <w:t>The Use of Pre-Incentives</w:t>
      </w:r>
    </w:p>
    <w:p w:rsidR="00EC1319" w:rsidRDefault="00EC1319" w:rsidP="008C55D1">
      <w:r>
        <w:t>Prior to study enrollment, all customers that are referred to the study team by participating lenders will receive a mailing that contains information about the study. Specifically, this mailing will contain a study brochure, a study overview, a copy of the study participant consent form, and a $</w:t>
      </w:r>
      <w:r w:rsidR="00FF6988">
        <w:t>2</w:t>
      </w:r>
      <w:r>
        <w:t xml:space="preserve"> </w:t>
      </w:r>
      <w:r w:rsidR="00CF3324">
        <w:t xml:space="preserve">cash </w:t>
      </w:r>
      <w:r>
        <w:t>pre-incentive.</w:t>
      </w:r>
      <w:r w:rsidR="009949C8">
        <w:t xml:space="preserve"> This mailing will go to all</w:t>
      </w:r>
      <w:r>
        <w:t xml:space="preserve"> customers who express interest in learning more about t</w:t>
      </w:r>
      <w:r w:rsidR="009949C8">
        <w:t>he study</w:t>
      </w:r>
      <w:r>
        <w:t>.</w:t>
      </w:r>
      <w:r w:rsidR="009949C8">
        <w:t xml:space="preserve"> The written documents are being provided for two reasons.</w:t>
      </w:r>
      <w:r>
        <w:t xml:space="preserve"> First, these documents will further explain the study components including study activities, random assignment, and study incentives. </w:t>
      </w:r>
      <w:r w:rsidR="008A3D38">
        <w:t>By having a copy of the study consent form, customers will be able to read along when the study team calls them for the study enrollment call, which will occur a few days later. Second, these documents will provide legitimacy</w:t>
      </w:r>
      <w:r w:rsidR="00630399">
        <w:t xml:space="preserve"> </w:t>
      </w:r>
      <w:r w:rsidR="008A3D38">
        <w:t xml:space="preserve">to the study. Therefore, when the study team contacts them for the study enrollment call, they are more likely to recognize the reason for the call and not think it is a scam. </w:t>
      </w:r>
    </w:p>
    <w:p w:rsidR="00210889" w:rsidRPr="00BD3651" w:rsidRDefault="009949C8" w:rsidP="00210889">
      <w:pPr>
        <w:pStyle w:val="BodyText"/>
        <w:rPr>
          <w:bCs/>
          <w:szCs w:val="22"/>
        </w:rPr>
      </w:pPr>
      <w:r>
        <w:rPr>
          <w:bCs/>
          <w:szCs w:val="22"/>
        </w:rPr>
        <w:t>The $</w:t>
      </w:r>
      <w:r w:rsidR="00FF6988">
        <w:rPr>
          <w:bCs/>
          <w:szCs w:val="22"/>
        </w:rPr>
        <w:t>2</w:t>
      </w:r>
      <w:r>
        <w:rPr>
          <w:bCs/>
          <w:szCs w:val="22"/>
        </w:rPr>
        <w:t xml:space="preserve"> cash is designed to provide an incentive for study participation. </w:t>
      </w:r>
      <w:r w:rsidR="00210889" w:rsidRPr="00BD3651">
        <w:rPr>
          <w:bCs/>
          <w:szCs w:val="22"/>
        </w:rPr>
        <w:t>Survey research literature has consistently shown that offering incentives can significantly increase response rates in telephone and mail survey. A study conducted in the early 1990s found that adding a $5 pre-paid cash incentive to the first mailing of the questionnaire significantly increased the response rate (49%) compared to a one-dollar bill (41%) and no incenti</w:t>
      </w:r>
      <w:r w:rsidR="003D13DE">
        <w:rPr>
          <w:bCs/>
          <w:szCs w:val="22"/>
        </w:rPr>
        <w:t>ve (21%)</w:t>
      </w:r>
      <w:r w:rsidR="00210889" w:rsidRPr="00BD3651">
        <w:rPr>
          <w:bCs/>
          <w:szCs w:val="22"/>
        </w:rPr>
        <w:t>.</w:t>
      </w:r>
      <w:r w:rsidR="003D13DE">
        <w:rPr>
          <w:rStyle w:val="FootnoteReference"/>
          <w:bCs/>
          <w:szCs w:val="22"/>
        </w:rPr>
        <w:footnoteReference w:id="4"/>
      </w:r>
    </w:p>
    <w:p w:rsidR="00210889" w:rsidRPr="002C2B5B" w:rsidRDefault="002C2B5B" w:rsidP="00210889">
      <w:pPr>
        <w:pStyle w:val="BodyText"/>
        <w:rPr>
          <w:bCs/>
          <w:szCs w:val="22"/>
        </w:rPr>
      </w:pPr>
      <w:r>
        <w:rPr>
          <w:bCs/>
          <w:szCs w:val="22"/>
        </w:rPr>
        <w:t>As discussed in Dillman</w:t>
      </w:r>
      <w:r w:rsidR="00210889" w:rsidRPr="002C2B5B">
        <w:rPr>
          <w:bCs/>
          <w:szCs w:val="22"/>
        </w:rPr>
        <w:t xml:space="preserve">, Smyth, and Christian’s 2009 book </w:t>
      </w:r>
      <w:r w:rsidR="00210889" w:rsidRPr="002C2B5B">
        <w:rPr>
          <w:bCs/>
          <w:i/>
          <w:szCs w:val="22"/>
        </w:rPr>
        <w:t>Internet, Mail, and Mixed-Mode Surveys: The Tailored Design Method</w:t>
      </w:r>
      <w:r w:rsidR="00CF3324">
        <w:rPr>
          <w:bCs/>
          <w:i/>
          <w:szCs w:val="22"/>
        </w:rPr>
        <w:t>,</w:t>
      </w:r>
      <w:r w:rsidR="00210889" w:rsidRPr="002C2B5B">
        <w:rPr>
          <w:bCs/>
          <w:szCs w:val="22"/>
        </w:rPr>
        <w:t xml:space="preserve"> providing a small financial incentive to potential study participants can be extremely beneficial to a research study. </w:t>
      </w:r>
    </w:p>
    <w:p w:rsidR="00210889" w:rsidRPr="009949C8" w:rsidRDefault="00210889" w:rsidP="009949C8">
      <w:pPr>
        <w:pStyle w:val="BodyText"/>
        <w:ind w:left="360"/>
        <w:rPr>
          <w:bCs/>
          <w:szCs w:val="22"/>
        </w:rPr>
      </w:pPr>
      <w:r w:rsidRPr="002C2B5B">
        <w:rPr>
          <w:bCs/>
          <w:szCs w:val="22"/>
        </w:rPr>
        <w:t xml:space="preserve">“One of the largest contributors to improved response rates, second only to multiple contacts (to be discussed later), is the appropriate use of prepaid token financial incentives. The token incentive serves two functions. It brings social exchange into play and encourages respondents to </w:t>
      </w:r>
      <w:r w:rsidRPr="002C2B5B">
        <w:rPr>
          <w:bCs/>
          <w:szCs w:val="22"/>
        </w:rPr>
        <w:lastRenderedPageBreak/>
        <w:t>reciprocate by completing the survey. Equally important, though, it is a novel and unexpected gesture that brings additional attention to the request so that respondents read and contemplate it rather than just tossing it.”</w:t>
      </w:r>
      <w:r w:rsidRPr="002C2B5B">
        <w:rPr>
          <w:rStyle w:val="FootnoteReference"/>
          <w:bCs/>
          <w:szCs w:val="22"/>
        </w:rPr>
        <w:footnoteReference w:id="5"/>
      </w:r>
    </w:p>
    <w:p w:rsidR="00CF3324" w:rsidRDefault="00210889" w:rsidP="00630399">
      <w:pPr>
        <w:pStyle w:val="Heading5"/>
      </w:pPr>
      <w:r>
        <w:t>Incentives for Study Activities</w:t>
      </w:r>
    </w:p>
    <w:p w:rsidR="00210889" w:rsidRDefault="006E313F" w:rsidP="008C55D1">
      <w:r>
        <w:t xml:space="preserve">All study </w:t>
      </w:r>
      <w:r w:rsidR="004F179E" w:rsidRPr="00912895">
        <w:t xml:space="preserve">participants will be </w:t>
      </w:r>
      <w:r w:rsidR="00CF3324">
        <w:t>provided a token of appreciation</w:t>
      </w:r>
      <w:r w:rsidR="00CF3324" w:rsidRPr="00912895">
        <w:t xml:space="preserve"> </w:t>
      </w:r>
      <w:r w:rsidR="004F179E" w:rsidRPr="00912895">
        <w:t xml:space="preserve">for completing the baseline survey and for participating in </w:t>
      </w:r>
      <w:r w:rsidR="000503BF">
        <w:t xml:space="preserve">activities related to study enrollment. </w:t>
      </w:r>
      <w:r w:rsidR="00A900DC">
        <w:t xml:space="preserve">. </w:t>
      </w:r>
      <w:r w:rsidR="004F179E" w:rsidRPr="00912895">
        <w:t xml:space="preserve">Participants will receive </w:t>
      </w:r>
      <w:r w:rsidR="00C613F9">
        <w:t xml:space="preserve">a </w:t>
      </w:r>
      <w:r w:rsidR="004F179E" w:rsidRPr="00B97B87">
        <w:t>$</w:t>
      </w:r>
      <w:r w:rsidR="00B97B87" w:rsidRPr="00B97B87">
        <w:t>30</w:t>
      </w:r>
      <w:r w:rsidR="004F179E" w:rsidRPr="00912895">
        <w:t xml:space="preserve"> </w:t>
      </w:r>
      <w:r w:rsidR="00C613F9">
        <w:t xml:space="preserve">check </w:t>
      </w:r>
      <w:r w:rsidR="004F179E" w:rsidRPr="00912895">
        <w:t>for completing the baseline survey</w:t>
      </w:r>
      <w:r w:rsidR="000503BF">
        <w:t>, which is the last stage in the enrollment process.</w:t>
      </w:r>
      <w:r w:rsidR="00210889">
        <w:t xml:space="preserve"> </w:t>
      </w:r>
      <w:r w:rsidR="001347DB">
        <w:t xml:space="preserve">The study team estimates that the </w:t>
      </w:r>
      <w:r w:rsidR="000503BF">
        <w:t xml:space="preserve">entire </w:t>
      </w:r>
      <w:r w:rsidR="001347DB">
        <w:t>enrollment pro</w:t>
      </w:r>
      <w:r w:rsidR="000503BF">
        <w:t>cess will last between 35 and 40 minutes, including</w:t>
      </w:r>
      <w:r w:rsidR="001347DB">
        <w:t xml:space="preserve"> the</w:t>
      </w:r>
      <w:r w:rsidR="00C12E26">
        <w:t xml:space="preserve"> </w:t>
      </w:r>
      <w:r w:rsidR="001347DB">
        <w:t xml:space="preserve">completion of the eligibility assessment, the informed consent, and baseline survey. </w:t>
      </w:r>
      <w:r w:rsidR="00C12E26">
        <w:t xml:space="preserve">This incentive is commensurate with the amount of time that study participants invest in the enrollment process. </w:t>
      </w:r>
    </w:p>
    <w:p w:rsidR="008505B7" w:rsidRDefault="001347DB" w:rsidP="008C55D1">
      <w:r>
        <w:t>Throughout the study period, study participants</w:t>
      </w:r>
      <w:r w:rsidR="00246FB8">
        <w:t xml:space="preserve"> </w:t>
      </w:r>
      <w:r w:rsidR="004F179E" w:rsidRPr="00912895">
        <w:t>will a</w:t>
      </w:r>
      <w:r w:rsidR="007D0FD6">
        <w:t xml:space="preserve">lso receive </w:t>
      </w:r>
      <w:r w:rsidR="00246FB8">
        <w:t xml:space="preserve">a </w:t>
      </w:r>
      <w:r w:rsidR="007D0FD6">
        <w:t>$5</w:t>
      </w:r>
      <w:r w:rsidR="00CB60B8">
        <w:t xml:space="preserve"> </w:t>
      </w:r>
      <w:r w:rsidR="00246FB8">
        <w:t xml:space="preserve">check </w:t>
      </w:r>
      <w:r w:rsidR="007D0FD6">
        <w:t>for returning</w:t>
      </w:r>
      <w:r w:rsidR="004F179E" w:rsidRPr="00912895">
        <w:t xml:space="preserve"> tracking letter</w:t>
      </w:r>
      <w:r w:rsidR="007D0FD6">
        <w:t>s</w:t>
      </w:r>
      <w:r w:rsidR="004F179E" w:rsidRPr="00912895">
        <w:t xml:space="preserve"> to confirm the</w:t>
      </w:r>
      <w:r w:rsidR="00DF3444">
        <w:t>ir current contact information</w:t>
      </w:r>
      <w:r w:rsidR="0034182B">
        <w:t xml:space="preserve"> (this</w:t>
      </w:r>
      <w:r w:rsidR="007A310B">
        <w:t xml:space="preserve"> letter</w:t>
      </w:r>
      <w:r w:rsidR="0034182B">
        <w:t xml:space="preserve"> is mailed approximately</w:t>
      </w:r>
      <w:r w:rsidR="007A310B">
        <w:t xml:space="preserve"> five months after they enroll in the study)</w:t>
      </w:r>
      <w:r w:rsidR="00A900DC">
        <w:t xml:space="preserve">. </w:t>
      </w:r>
      <w:r w:rsidR="00B65F28">
        <w:t>Every four months, the study team will mail study participants a letter asking for updated contact information. Study participants will receive</w:t>
      </w:r>
      <w:r w:rsidR="00246FB8">
        <w:t xml:space="preserve"> a</w:t>
      </w:r>
      <w:r w:rsidR="00B65F28">
        <w:t xml:space="preserve"> $5</w:t>
      </w:r>
      <w:r w:rsidR="00CB60B8">
        <w:t xml:space="preserve"> </w:t>
      </w:r>
      <w:r w:rsidR="003042FA">
        <w:t>check</w:t>
      </w:r>
      <w:r w:rsidR="00B65F28">
        <w:t xml:space="preserve"> for each tracking letter that is mailed back to the study team. </w:t>
      </w:r>
      <w:r w:rsidR="00DF485D">
        <w:t>Following random assignment, p</w:t>
      </w:r>
      <w:r w:rsidR="004F179E" w:rsidRPr="00912895">
        <w:t xml:space="preserve">articipants </w:t>
      </w:r>
      <w:r w:rsidR="006B6298">
        <w:t xml:space="preserve">who are assigned to </w:t>
      </w:r>
      <w:r w:rsidR="00DF485D">
        <w:t xml:space="preserve">the </w:t>
      </w:r>
      <w:r w:rsidR="006B6298">
        <w:t>treatment group</w:t>
      </w:r>
      <w:r w:rsidR="00DF485D">
        <w:t>s</w:t>
      </w:r>
      <w:r w:rsidR="00CB60B8">
        <w:t xml:space="preserve"> </w:t>
      </w:r>
      <w:r w:rsidR="004F179E" w:rsidRPr="00912895">
        <w:t>will receive</w:t>
      </w:r>
      <w:r w:rsidR="00DF485D" w:rsidRPr="00B97B87">
        <w:t>$</w:t>
      </w:r>
      <w:proofErr w:type="gramStart"/>
      <w:r w:rsidR="00DF485D" w:rsidRPr="00B97B87">
        <w:t>1</w:t>
      </w:r>
      <w:r w:rsidR="00B97B87" w:rsidRPr="00B97B87">
        <w:t>50</w:t>
      </w:r>
      <w:r w:rsidR="004F179E" w:rsidRPr="00912895">
        <w:t xml:space="preserve">to </w:t>
      </w:r>
      <w:r w:rsidR="003C5488">
        <w:t xml:space="preserve"> as</w:t>
      </w:r>
      <w:proofErr w:type="gramEnd"/>
      <w:r w:rsidR="003C5488">
        <w:t xml:space="preserve"> a thank you</w:t>
      </w:r>
      <w:r w:rsidR="00C12E26">
        <w:t xml:space="preserve"> </w:t>
      </w:r>
      <w:r w:rsidR="004F179E" w:rsidRPr="00912895">
        <w:t>for the time required to participate in housing counseling</w:t>
      </w:r>
      <w:r w:rsidR="00A900DC">
        <w:t xml:space="preserve">. </w:t>
      </w:r>
      <w:r w:rsidR="003C5A22">
        <w:t xml:space="preserve">The payment will be made in two parts. First, </w:t>
      </w:r>
      <w:r w:rsidR="0062576B">
        <w:t>participant</w:t>
      </w:r>
      <w:r w:rsidR="00B4481A">
        <w:t>s</w:t>
      </w:r>
      <w:r w:rsidR="0062576B">
        <w:t xml:space="preserve"> will receive </w:t>
      </w:r>
      <w:r w:rsidR="0062576B" w:rsidRPr="00B97B87">
        <w:t>a $</w:t>
      </w:r>
      <w:r w:rsidR="00297A75" w:rsidRPr="00B97B87">
        <w:t>50</w:t>
      </w:r>
      <w:r w:rsidR="00297A75">
        <w:t xml:space="preserve"> </w:t>
      </w:r>
      <w:r w:rsidR="00CB60B8">
        <w:t>check as a toke</w:t>
      </w:r>
      <w:r w:rsidR="00C613F9">
        <w:t>n</w:t>
      </w:r>
      <w:r w:rsidR="00CB60B8">
        <w:t xml:space="preserve"> of appreciation for their </w:t>
      </w:r>
      <w:r w:rsidR="00297A75">
        <w:t xml:space="preserve">study participation </w:t>
      </w:r>
      <w:r w:rsidR="0062576B">
        <w:t xml:space="preserve">when they initiate </w:t>
      </w:r>
      <w:r w:rsidR="00C462F6">
        <w:t xml:space="preserve">housing </w:t>
      </w:r>
      <w:r w:rsidR="0062576B">
        <w:t xml:space="preserve">counseling with the assigned </w:t>
      </w:r>
      <w:r w:rsidR="00C462F6">
        <w:t xml:space="preserve">housing </w:t>
      </w:r>
      <w:r w:rsidR="0062576B">
        <w:t>counseling provider</w:t>
      </w:r>
      <w:r w:rsidR="00A900DC">
        <w:t xml:space="preserve">. </w:t>
      </w:r>
      <w:r w:rsidR="003C5A22">
        <w:t>Second, t</w:t>
      </w:r>
      <w:r w:rsidR="0062576B">
        <w:t xml:space="preserve">hey will </w:t>
      </w:r>
      <w:r w:rsidR="0062576B" w:rsidRPr="00B97B87">
        <w:t xml:space="preserve">receive </w:t>
      </w:r>
      <w:r w:rsidR="00C12E26">
        <w:t xml:space="preserve">a </w:t>
      </w:r>
      <w:r w:rsidR="0062576B" w:rsidRPr="00B97B87">
        <w:t>$</w:t>
      </w:r>
      <w:r w:rsidR="00B97B87" w:rsidRPr="00B97B87">
        <w:t>100</w:t>
      </w:r>
      <w:r w:rsidR="0062576B">
        <w:t xml:space="preserve"> </w:t>
      </w:r>
      <w:r w:rsidR="00C613F9">
        <w:t xml:space="preserve">check </w:t>
      </w:r>
      <w:r w:rsidR="0062576B">
        <w:t xml:space="preserve">upon </w:t>
      </w:r>
      <w:r w:rsidR="003C5A22">
        <w:t xml:space="preserve">completing </w:t>
      </w:r>
      <w:r w:rsidR="00C462F6">
        <w:t xml:space="preserve">housing </w:t>
      </w:r>
      <w:r w:rsidR="0062576B">
        <w:t xml:space="preserve">counseling </w:t>
      </w:r>
      <w:r w:rsidR="00C12E26">
        <w:t>in recognition of</w:t>
      </w:r>
      <w:r w:rsidR="0062576B">
        <w:t xml:space="preserve"> the time</w:t>
      </w:r>
      <w:r w:rsidR="00CB60B8">
        <w:t xml:space="preserve"> and other expenses they may incur in order</w:t>
      </w:r>
      <w:r w:rsidR="0062576B">
        <w:t xml:space="preserve"> to participate in </w:t>
      </w:r>
      <w:r w:rsidR="00C462F6">
        <w:t xml:space="preserve">housing </w:t>
      </w:r>
      <w:r w:rsidR="0062576B">
        <w:t>counseling</w:t>
      </w:r>
      <w:r w:rsidR="00A900DC">
        <w:t xml:space="preserve">. </w:t>
      </w:r>
      <w:r w:rsidR="00A53399">
        <w:t>Study participants, who are assigned to the treatment groups, are expected to spend between 7 and 11 hours completing pre-purchase education and counseling through a study participating counseling agency. Additional</w:t>
      </w:r>
      <w:r w:rsidR="00BD3651">
        <w:t>ly, these study participants</w:t>
      </w:r>
      <w:r w:rsidR="00A53399">
        <w:t xml:space="preserve"> may also incur expenses for c</w:t>
      </w:r>
      <w:r w:rsidR="00BD3651">
        <w:t>hildcare, transportation, parking, internet service, and phone charges</w:t>
      </w:r>
      <w:r w:rsidR="00A53399">
        <w:t>. The incentives provided to the treatme</w:t>
      </w:r>
      <w:r w:rsidR="00930914">
        <w:t>nt group members are intended</w:t>
      </w:r>
      <w:r w:rsidR="00BD3651">
        <w:t xml:space="preserve"> help offset some of these charges</w:t>
      </w:r>
      <w:r w:rsidR="00930914">
        <w:t xml:space="preserve"> and are</w:t>
      </w:r>
      <w:r w:rsidR="00930914" w:rsidRPr="00930914">
        <w:t xml:space="preserve"> commensurate</w:t>
      </w:r>
      <w:r w:rsidR="00930914">
        <w:t xml:space="preserve"> with the amount of effort spent on study activities</w:t>
      </w:r>
      <w:r w:rsidR="00BD3651">
        <w:t xml:space="preserve">.  </w:t>
      </w:r>
      <w:r w:rsidR="00B4481A">
        <w:t>In addit</w:t>
      </w:r>
      <w:r w:rsidR="00F808CB">
        <w:t>i</w:t>
      </w:r>
      <w:r w:rsidR="00B4481A">
        <w:t>on, t</w:t>
      </w:r>
      <w:r w:rsidR="008505B7">
        <w:t xml:space="preserve">he </w:t>
      </w:r>
      <w:r w:rsidR="00C462F6">
        <w:t xml:space="preserve">housing </w:t>
      </w:r>
      <w:r w:rsidR="008505B7">
        <w:t xml:space="preserve">counseling services will be provided free of charge to participants in </w:t>
      </w:r>
      <w:r w:rsidR="00B4481A">
        <w:t>the two</w:t>
      </w:r>
      <w:r w:rsidR="008505B7">
        <w:t xml:space="preserve"> treatment group</w:t>
      </w:r>
      <w:r w:rsidR="00B4481A">
        <w:t>s</w:t>
      </w:r>
      <w:r w:rsidR="008505B7">
        <w:t>.</w:t>
      </w:r>
      <w:r w:rsidR="00C613F9">
        <w:t xml:space="preserve"> </w:t>
      </w:r>
      <w:r w:rsidR="00DF485D">
        <w:t xml:space="preserve">Participants who are assigned to the control group will receive </w:t>
      </w:r>
      <w:r w:rsidR="00C613F9">
        <w:t xml:space="preserve">a </w:t>
      </w:r>
      <w:r w:rsidR="00DF485D" w:rsidRPr="00B97B87">
        <w:t>$50</w:t>
      </w:r>
      <w:r w:rsidR="00C613F9">
        <w:t xml:space="preserve"> check after random assignment</w:t>
      </w:r>
      <w:r w:rsidR="00DF485D">
        <w:t>.</w:t>
      </w:r>
    </w:p>
    <w:p w:rsidR="00BD3651" w:rsidRDefault="00BD3651" w:rsidP="00BD3651">
      <w:r>
        <w:t xml:space="preserve">We believe that these </w:t>
      </w:r>
      <w:r w:rsidR="00CB60B8">
        <w:t>incentive payments</w:t>
      </w:r>
      <w:r w:rsidR="00CB60B8" w:rsidRPr="00912895">
        <w:t xml:space="preserve"> </w:t>
      </w:r>
      <w:r w:rsidRPr="00912895">
        <w:t xml:space="preserve">are necessary to encourage </w:t>
      </w:r>
      <w:r>
        <w:t xml:space="preserve">participation in the study and </w:t>
      </w:r>
      <w:r w:rsidRPr="00912895">
        <w:t xml:space="preserve">completion of the counseling interventions. </w:t>
      </w:r>
      <w:r>
        <w:t xml:space="preserve">Past studies have encountered issues with </w:t>
      </w:r>
      <w:r w:rsidR="005235C5">
        <w:t xml:space="preserve">both low enrollment and </w:t>
      </w:r>
      <w:r>
        <w:t>low participant take-up rates for counseling</w:t>
      </w:r>
      <w:r w:rsidR="005235C5">
        <w:t>,</w:t>
      </w:r>
      <w:r>
        <w:t xml:space="preserve"> which affected the study’s ability to effectively measure the impact of counseling.</w:t>
      </w:r>
      <w:r w:rsidR="00CB60B8">
        <w:t xml:space="preserve"> </w:t>
      </w:r>
      <w:r w:rsidR="00EA2E36" w:rsidRPr="00EA2E36">
        <w:rPr>
          <w:bCs/>
          <w:szCs w:val="22"/>
        </w:rPr>
        <w:t>Survey research literature indicates that higher incentives produce higher re</w:t>
      </w:r>
      <w:r w:rsidR="002C2B5B">
        <w:rPr>
          <w:bCs/>
          <w:szCs w:val="22"/>
        </w:rPr>
        <w:t>sponse rates</w:t>
      </w:r>
      <w:r w:rsidR="00EA2E36" w:rsidRPr="00EA2E36">
        <w:rPr>
          <w:bCs/>
          <w:szCs w:val="22"/>
        </w:rPr>
        <w:t>.</w:t>
      </w:r>
      <w:r w:rsidR="002C2B5B">
        <w:rPr>
          <w:rStyle w:val="FootnoteReference"/>
          <w:bCs/>
          <w:szCs w:val="22"/>
        </w:rPr>
        <w:footnoteReference w:id="6"/>
      </w:r>
      <w:r w:rsidR="00EA2E36" w:rsidRPr="00EA2E36">
        <w:rPr>
          <w:bCs/>
          <w:szCs w:val="22"/>
        </w:rPr>
        <w:t xml:space="preserve">  In a recent incentive experiment, participants in one wave of a longitudinal study were offered</w:t>
      </w:r>
      <w:r w:rsidR="002C2B5B">
        <w:rPr>
          <w:bCs/>
          <w:szCs w:val="22"/>
        </w:rPr>
        <w:t xml:space="preserve"> $20, $30, or $50</w:t>
      </w:r>
      <w:r w:rsidR="00EA2E36" w:rsidRPr="00EA2E36">
        <w:rPr>
          <w:bCs/>
          <w:szCs w:val="22"/>
        </w:rPr>
        <w:t>.</w:t>
      </w:r>
      <w:r w:rsidR="002C2B5B">
        <w:rPr>
          <w:rStyle w:val="FootnoteReference"/>
          <w:bCs/>
          <w:szCs w:val="22"/>
        </w:rPr>
        <w:footnoteReference w:id="7"/>
      </w:r>
      <w:r w:rsidR="00EA2E36" w:rsidRPr="00EA2E36">
        <w:rPr>
          <w:bCs/>
          <w:szCs w:val="22"/>
        </w:rPr>
        <w:t xml:space="preserve">  Offering the highest incentive of $50 showed </w:t>
      </w:r>
      <w:r w:rsidR="00EA2E36" w:rsidRPr="00EA2E36">
        <w:rPr>
          <w:bCs/>
          <w:szCs w:val="22"/>
        </w:rPr>
        <w:lastRenderedPageBreak/>
        <w:t xml:space="preserve">the greatest improvement in response rates and also had a positive impact on response rates for the next four waves. </w:t>
      </w:r>
      <w:r>
        <w:t xml:space="preserve">We feel that this compensation structure will help ensure that </w:t>
      </w:r>
      <w:r w:rsidR="00C613F9">
        <w:t>we reach high</w:t>
      </w:r>
      <w:r>
        <w:t xml:space="preserve"> take-up rates for counseling in this study</w:t>
      </w:r>
      <w:proofErr w:type="gramStart"/>
      <w:r w:rsidR="00C613F9">
        <w:t>.</w:t>
      </w:r>
      <w:r>
        <w:t>.</w:t>
      </w:r>
      <w:proofErr w:type="gramEnd"/>
    </w:p>
    <w:p w:rsidR="00EA2E36" w:rsidRDefault="00A77082" w:rsidP="008C55D1">
      <w:pPr>
        <w:pStyle w:val="Heading4"/>
        <w:rPr>
          <w:b w:val="0"/>
          <w:i w:val="0"/>
        </w:rPr>
      </w:pPr>
      <w:r w:rsidRPr="00EA2E36">
        <w:rPr>
          <w:b w:val="0"/>
          <w:i w:val="0"/>
        </w:rPr>
        <w:t xml:space="preserve">In addition to the compensations discussed above, a </w:t>
      </w:r>
      <w:r w:rsidR="004F179E" w:rsidRPr="00EA2E36">
        <w:rPr>
          <w:b w:val="0"/>
          <w:i w:val="0"/>
        </w:rPr>
        <w:t xml:space="preserve">subset of </w:t>
      </w:r>
      <w:r w:rsidR="007D0FD6" w:rsidRPr="00EA2E36">
        <w:rPr>
          <w:b w:val="0"/>
          <w:i w:val="0"/>
        </w:rPr>
        <w:t>200</w:t>
      </w:r>
      <w:r w:rsidR="00A00351" w:rsidRPr="00EA2E36">
        <w:rPr>
          <w:b w:val="0"/>
          <w:i w:val="0"/>
        </w:rPr>
        <w:t xml:space="preserve"> study </w:t>
      </w:r>
      <w:r w:rsidR="004F179E" w:rsidRPr="00EA2E36">
        <w:rPr>
          <w:b w:val="0"/>
          <w:i w:val="0"/>
        </w:rPr>
        <w:t>participants will be recruited to participate in telephone interviews</w:t>
      </w:r>
      <w:r w:rsidR="00A900DC" w:rsidRPr="00EA2E36">
        <w:rPr>
          <w:b w:val="0"/>
          <w:i w:val="0"/>
        </w:rPr>
        <w:t xml:space="preserve">. </w:t>
      </w:r>
      <w:r w:rsidRPr="00EA2E36">
        <w:rPr>
          <w:b w:val="0"/>
          <w:i w:val="0"/>
        </w:rPr>
        <w:t>These p</w:t>
      </w:r>
      <w:r w:rsidR="004F179E" w:rsidRPr="00EA2E36">
        <w:rPr>
          <w:b w:val="0"/>
          <w:i w:val="0"/>
        </w:rPr>
        <w:t>articipant</w:t>
      </w:r>
      <w:r w:rsidR="00D07679" w:rsidRPr="00EA2E36">
        <w:rPr>
          <w:b w:val="0"/>
          <w:i w:val="0"/>
        </w:rPr>
        <w:t>s</w:t>
      </w:r>
      <w:r w:rsidR="004F179E" w:rsidRPr="00EA2E36">
        <w:rPr>
          <w:b w:val="0"/>
          <w:i w:val="0"/>
        </w:rPr>
        <w:t xml:space="preserve"> will receive a $</w:t>
      </w:r>
      <w:r w:rsidR="00542799" w:rsidRPr="00EA2E36">
        <w:rPr>
          <w:b w:val="0"/>
          <w:i w:val="0"/>
        </w:rPr>
        <w:t>20</w:t>
      </w:r>
      <w:r w:rsidR="004F179E" w:rsidRPr="00EA2E36">
        <w:rPr>
          <w:b w:val="0"/>
          <w:i w:val="0"/>
        </w:rPr>
        <w:t xml:space="preserve"> </w:t>
      </w:r>
      <w:r w:rsidR="005235C5">
        <w:rPr>
          <w:b w:val="0"/>
          <w:i w:val="0"/>
        </w:rPr>
        <w:t>check as a token of appreciation</w:t>
      </w:r>
      <w:r w:rsidR="004F179E" w:rsidRPr="00EA2E36">
        <w:rPr>
          <w:b w:val="0"/>
          <w:i w:val="0"/>
        </w:rPr>
        <w:t xml:space="preserve"> fo</w:t>
      </w:r>
      <w:r w:rsidR="006E0984" w:rsidRPr="00EA2E36">
        <w:rPr>
          <w:b w:val="0"/>
          <w:i w:val="0"/>
        </w:rPr>
        <w:t>r their time for the telephone interview</w:t>
      </w:r>
      <w:r w:rsidR="002C2B5B">
        <w:rPr>
          <w:b w:val="0"/>
          <w:i w:val="0"/>
        </w:rPr>
        <w:t>.</w:t>
      </w:r>
    </w:p>
    <w:p w:rsidR="005873AB" w:rsidRDefault="005873AB" w:rsidP="008C55D1">
      <w:r>
        <w:t xml:space="preserve">Exhibit </w:t>
      </w:r>
      <w:r w:rsidR="005F1BAC">
        <w:t>A</w:t>
      </w:r>
      <w:r w:rsidR="00A77082">
        <w:t>-3</w:t>
      </w:r>
      <w:r w:rsidR="005F1BAC">
        <w:t xml:space="preserve"> summarizes the compensations</w:t>
      </w:r>
      <w:r>
        <w:t xml:space="preserve"> that will be provided to study participants:</w:t>
      </w:r>
    </w:p>
    <w:p w:rsidR="005F1BAC" w:rsidRPr="003D40DD" w:rsidRDefault="005F1BAC" w:rsidP="00590FD6">
      <w:pPr>
        <w:pStyle w:val="Caption"/>
      </w:pPr>
      <w:r w:rsidRPr="00590FD6">
        <w:t>Exhibit A</w:t>
      </w:r>
      <w:r w:rsidR="00A77082" w:rsidRPr="00590FD6">
        <w:t>-3</w:t>
      </w:r>
      <w:r w:rsidR="00590FD6" w:rsidRPr="00590FD6">
        <w:t xml:space="preserve">: </w:t>
      </w:r>
      <w:r w:rsidRPr="00590FD6">
        <w:t>Compensation for Study Participants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38"/>
        <w:gridCol w:w="3060"/>
        <w:gridCol w:w="1818"/>
      </w:tblGrid>
      <w:tr w:rsidR="005873AB" w:rsidRPr="005873AB" w:rsidTr="00590FD6">
        <w:trPr>
          <w:trHeight w:val="300"/>
        </w:trPr>
        <w:tc>
          <w:tcPr>
            <w:tcW w:w="4338" w:type="dxa"/>
            <w:shd w:val="clear" w:color="auto" w:fill="C3C6A8" w:themeFill="accent4"/>
            <w:noWrap/>
            <w:vAlign w:val="bottom"/>
            <w:hideMark/>
          </w:tcPr>
          <w:p w:rsidR="005873AB" w:rsidRPr="005873AB" w:rsidRDefault="005873AB" w:rsidP="00590FD6">
            <w:pPr>
              <w:pStyle w:val="ExhibitColumnHeader"/>
              <w:keepNext/>
            </w:pPr>
            <w:r w:rsidRPr="005873AB">
              <w:t>Participant Type</w:t>
            </w:r>
          </w:p>
        </w:tc>
        <w:tc>
          <w:tcPr>
            <w:tcW w:w="3060" w:type="dxa"/>
            <w:shd w:val="clear" w:color="auto" w:fill="C3C6A8" w:themeFill="accent4"/>
            <w:noWrap/>
            <w:vAlign w:val="bottom"/>
            <w:hideMark/>
          </w:tcPr>
          <w:p w:rsidR="005873AB" w:rsidRPr="005873AB" w:rsidRDefault="005873AB" w:rsidP="00590FD6">
            <w:pPr>
              <w:pStyle w:val="ExhibitColumnHeader"/>
              <w:keepNext/>
            </w:pPr>
            <w:r w:rsidRPr="005873AB">
              <w:t>Payment Trigger</w:t>
            </w:r>
          </w:p>
        </w:tc>
        <w:tc>
          <w:tcPr>
            <w:tcW w:w="1818" w:type="dxa"/>
            <w:shd w:val="clear" w:color="auto" w:fill="C3C6A8" w:themeFill="accent4"/>
            <w:noWrap/>
            <w:vAlign w:val="bottom"/>
            <w:hideMark/>
          </w:tcPr>
          <w:p w:rsidR="005873AB" w:rsidRPr="005873AB" w:rsidRDefault="005873AB" w:rsidP="00590FD6">
            <w:pPr>
              <w:pStyle w:val="ExhibitColumnHeader"/>
              <w:keepNext/>
            </w:pPr>
            <w:r w:rsidRPr="005873AB">
              <w:t xml:space="preserve">Payment </w:t>
            </w:r>
            <w:r>
              <w:t xml:space="preserve">Amount </w:t>
            </w:r>
          </w:p>
        </w:tc>
      </w:tr>
      <w:tr w:rsidR="00FF6988" w:rsidRPr="005873AB" w:rsidTr="00FF6988">
        <w:trPr>
          <w:trHeight w:val="300"/>
        </w:trPr>
        <w:tc>
          <w:tcPr>
            <w:tcW w:w="4338" w:type="dxa"/>
            <w:shd w:val="clear" w:color="auto" w:fill="auto"/>
            <w:noWrap/>
            <w:hideMark/>
          </w:tcPr>
          <w:p w:rsidR="00FF6988" w:rsidRPr="005873AB" w:rsidRDefault="00FF6988" w:rsidP="00FF6988">
            <w:pPr>
              <w:pStyle w:val="ExhibitText"/>
              <w:keepNext/>
            </w:pPr>
            <w:r>
              <w:t>All referred customers</w:t>
            </w:r>
          </w:p>
        </w:tc>
        <w:tc>
          <w:tcPr>
            <w:tcW w:w="3060" w:type="dxa"/>
            <w:shd w:val="clear" w:color="auto" w:fill="auto"/>
            <w:noWrap/>
            <w:hideMark/>
          </w:tcPr>
          <w:p w:rsidR="00FF6988" w:rsidRPr="005873AB" w:rsidRDefault="00FF6988" w:rsidP="00FF6988">
            <w:pPr>
              <w:pStyle w:val="ExhibitText"/>
              <w:keepNext/>
            </w:pPr>
            <w:r>
              <w:t>Pre-incentive</w:t>
            </w:r>
          </w:p>
        </w:tc>
        <w:tc>
          <w:tcPr>
            <w:tcW w:w="1818" w:type="dxa"/>
            <w:shd w:val="clear" w:color="auto" w:fill="auto"/>
            <w:noWrap/>
            <w:hideMark/>
          </w:tcPr>
          <w:p w:rsidR="00FF6988" w:rsidRPr="005873AB" w:rsidRDefault="00FF6988" w:rsidP="00FF6988">
            <w:pPr>
              <w:pStyle w:val="ExhibitText"/>
              <w:keepNext/>
            </w:pPr>
            <w:r w:rsidRPr="005873AB">
              <w:t>$</w:t>
            </w:r>
            <w:r>
              <w:t>2</w:t>
            </w:r>
          </w:p>
        </w:tc>
      </w:tr>
      <w:tr w:rsidR="005873AB" w:rsidRPr="005873AB" w:rsidTr="00590FD6">
        <w:trPr>
          <w:trHeight w:val="300"/>
        </w:trPr>
        <w:tc>
          <w:tcPr>
            <w:tcW w:w="4338" w:type="dxa"/>
            <w:shd w:val="clear" w:color="auto" w:fill="auto"/>
            <w:noWrap/>
            <w:hideMark/>
          </w:tcPr>
          <w:p w:rsidR="005873AB" w:rsidRPr="005873AB" w:rsidRDefault="005873AB" w:rsidP="00590FD6">
            <w:pPr>
              <w:pStyle w:val="ExhibitText"/>
              <w:keepNext/>
            </w:pPr>
            <w:r w:rsidRPr="005873AB">
              <w:t>All Participants</w:t>
            </w:r>
          </w:p>
        </w:tc>
        <w:tc>
          <w:tcPr>
            <w:tcW w:w="3060" w:type="dxa"/>
            <w:shd w:val="clear" w:color="auto" w:fill="auto"/>
            <w:noWrap/>
            <w:hideMark/>
          </w:tcPr>
          <w:p w:rsidR="005873AB" w:rsidRPr="005873AB" w:rsidRDefault="005873AB" w:rsidP="00590FD6">
            <w:pPr>
              <w:pStyle w:val="ExhibitText"/>
              <w:keepNext/>
            </w:pPr>
            <w:r w:rsidRPr="005873AB">
              <w:t>Completion of baseline survey</w:t>
            </w:r>
          </w:p>
        </w:tc>
        <w:tc>
          <w:tcPr>
            <w:tcW w:w="1818" w:type="dxa"/>
            <w:shd w:val="clear" w:color="auto" w:fill="auto"/>
            <w:noWrap/>
            <w:hideMark/>
          </w:tcPr>
          <w:p w:rsidR="005873AB" w:rsidRPr="005873AB" w:rsidRDefault="005873AB" w:rsidP="00590FD6">
            <w:pPr>
              <w:pStyle w:val="ExhibitText"/>
              <w:keepNext/>
            </w:pPr>
            <w:r w:rsidRPr="005873AB">
              <w:t>$</w:t>
            </w:r>
            <w:r w:rsidR="00B97B87">
              <w:t>30</w:t>
            </w:r>
          </w:p>
        </w:tc>
      </w:tr>
      <w:tr w:rsidR="005873AB" w:rsidRPr="005873AB" w:rsidTr="00590FD6">
        <w:trPr>
          <w:trHeight w:val="300"/>
        </w:trPr>
        <w:tc>
          <w:tcPr>
            <w:tcW w:w="4338" w:type="dxa"/>
            <w:shd w:val="clear" w:color="auto" w:fill="auto"/>
            <w:noWrap/>
            <w:hideMark/>
          </w:tcPr>
          <w:p w:rsidR="005873AB" w:rsidRPr="005873AB" w:rsidRDefault="005873AB" w:rsidP="00590FD6">
            <w:pPr>
              <w:pStyle w:val="ExhibitText"/>
              <w:keepNext/>
            </w:pPr>
            <w:r w:rsidRPr="005873AB">
              <w:t>All Participants</w:t>
            </w:r>
          </w:p>
        </w:tc>
        <w:tc>
          <w:tcPr>
            <w:tcW w:w="3060" w:type="dxa"/>
            <w:shd w:val="clear" w:color="auto" w:fill="auto"/>
            <w:noWrap/>
            <w:hideMark/>
          </w:tcPr>
          <w:p w:rsidR="005873AB" w:rsidRPr="005873AB" w:rsidRDefault="005873AB" w:rsidP="00590FD6">
            <w:pPr>
              <w:pStyle w:val="ExhibitText"/>
              <w:keepNext/>
            </w:pPr>
            <w:r w:rsidRPr="005873AB">
              <w:t>Return of tracking letter</w:t>
            </w:r>
          </w:p>
        </w:tc>
        <w:tc>
          <w:tcPr>
            <w:tcW w:w="1818" w:type="dxa"/>
            <w:shd w:val="clear" w:color="auto" w:fill="auto"/>
            <w:noWrap/>
            <w:hideMark/>
          </w:tcPr>
          <w:p w:rsidR="005873AB" w:rsidRPr="005873AB" w:rsidRDefault="005873AB" w:rsidP="00590FD6">
            <w:pPr>
              <w:pStyle w:val="ExhibitText"/>
              <w:keepNext/>
            </w:pPr>
            <w:r w:rsidRPr="005873AB">
              <w:t>$5</w:t>
            </w:r>
            <w:r w:rsidR="00E93ED8">
              <w:t xml:space="preserve"> (each tracking activity; approximately 3 tracking letters for 3 years; a total of $45.)</w:t>
            </w:r>
          </w:p>
        </w:tc>
      </w:tr>
      <w:tr w:rsidR="005873AB" w:rsidRPr="005873AB" w:rsidTr="00590FD6">
        <w:trPr>
          <w:trHeight w:val="300"/>
        </w:trPr>
        <w:tc>
          <w:tcPr>
            <w:tcW w:w="4338" w:type="dxa"/>
            <w:shd w:val="clear" w:color="auto" w:fill="auto"/>
            <w:noWrap/>
            <w:hideMark/>
          </w:tcPr>
          <w:p w:rsidR="005873AB" w:rsidRPr="005873AB" w:rsidRDefault="005873AB" w:rsidP="00590FD6">
            <w:pPr>
              <w:pStyle w:val="ExhibitText"/>
              <w:keepNext/>
            </w:pPr>
            <w:r w:rsidRPr="005873AB">
              <w:t>Participants assigned to the control group</w:t>
            </w:r>
          </w:p>
        </w:tc>
        <w:tc>
          <w:tcPr>
            <w:tcW w:w="3060" w:type="dxa"/>
            <w:shd w:val="clear" w:color="auto" w:fill="auto"/>
            <w:noWrap/>
            <w:hideMark/>
          </w:tcPr>
          <w:p w:rsidR="005873AB" w:rsidRPr="005873AB" w:rsidRDefault="00297A75" w:rsidP="00590FD6">
            <w:pPr>
              <w:pStyle w:val="ExhibitText"/>
              <w:keepNext/>
            </w:pPr>
            <w:r>
              <w:t>Assignment to control group</w:t>
            </w:r>
          </w:p>
        </w:tc>
        <w:tc>
          <w:tcPr>
            <w:tcW w:w="1818" w:type="dxa"/>
            <w:shd w:val="clear" w:color="auto" w:fill="auto"/>
            <w:noWrap/>
            <w:hideMark/>
          </w:tcPr>
          <w:p w:rsidR="005873AB" w:rsidRPr="005873AB" w:rsidRDefault="005873AB" w:rsidP="00590FD6">
            <w:pPr>
              <w:pStyle w:val="ExhibitText"/>
              <w:keepNext/>
            </w:pPr>
            <w:r w:rsidRPr="005873AB">
              <w:t>$50</w:t>
            </w:r>
          </w:p>
        </w:tc>
      </w:tr>
      <w:tr w:rsidR="005873AB" w:rsidRPr="005873AB" w:rsidTr="00590FD6">
        <w:trPr>
          <w:trHeight w:val="300"/>
        </w:trPr>
        <w:tc>
          <w:tcPr>
            <w:tcW w:w="4338" w:type="dxa"/>
            <w:shd w:val="clear" w:color="auto" w:fill="auto"/>
            <w:noWrap/>
            <w:hideMark/>
          </w:tcPr>
          <w:p w:rsidR="005873AB" w:rsidRPr="005873AB" w:rsidRDefault="005873AB" w:rsidP="00590FD6">
            <w:pPr>
              <w:pStyle w:val="ExhibitText"/>
              <w:keepNext/>
            </w:pPr>
            <w:r w:rsidRPr="005873AB">
              <w:t>Participants assigned to the treatment group</w:t>
            </w:r>
            <w:r w:rsidR="003D40DD">
              <w:t>s</w:t>
            </w:r>
          </w:p>
        </w:tc>
        <w:tc>
          <w:tcPr>
            <w:tcW w:w="3060" w:type="dxa"/>
            <w:shd w:val="clear" w:color="auto" w:fill="auto"/>
            <w:noWrap/>
            <w:hideMark/>
          </w:tcPr>
          <w:p w:rsidR="005873AB" w:rsidRPr="005873AB" w:rsidRDefault="005873AB" w:rsidP="00590FD6">
            <w:pPr>
              <w:pStyle w:val="ExhibitText"/>
              <w:keepNext/>
            </w:pPr>
            <w:r w:rsidRPr="005873AB">
              <w:t xml:space="preserve">Initiation of </w:t>
            </w:r>
            <w:r w:rsidR="00C462F6">
              <w:t xml:space="preserve">housing </w:t>
            </w:r>
            <w:r w:rsidRPr="005873AB">
              <w:t>counseling</w:t>
            </w:r>
          </w:p>
        </w:tc>
        <w:tc>
          <w:tcPr>
            <w:tcW w:w="1818" w:type="dxa"/>
            <w:shd w:val="clear" w:color="auto" w:fill="auto"/>
            <w:noWrap/>
            <w:hideMark/>
          </w:tcPr>
          <w:p w:rsidR="005873AB" w:rsidRPr="005873AB" w:rsidRDefault="005873AB" w:rsidP="00590FD6">
            <w:pPr>
              <w:pStyle w:val="ExhibitText"/>
              <w:keepNext/>
            </w:pPr>
            <w:r w:rsidRPr="005873AB">
              <w:t>$50</w:t>
            </w:r>
          </w:p>
        </w:tc>
      </w:tr>
      <w:tr w:rsidR="005873AB" w:rsidRPr="005873AB" w:rsidTr="00590FD6">
        <w:trPr>
          <w:trHeight w:val="300"/>
        </w:trPr>
        <w:tc>
          <w:tcPr>
            <w:tcW w:w="4338" w:type="dxa"/>
            <w:shd w:val="clear" w:color="auto" w:fill="auto"/>
            <w:noWrap/>
            <w:hideMark/>
          </w:tcPr>
          <w:p w:rsidR="005873AB" w:rsidRPr="005873AB" w:rsidRDefault="005873AB" w:rsidP="00590FD6">
            <w:pPr>
              <w:pStyle w:val="ExhibitText"/>
              <w:keepNext/>
            </w:pPr>
            <w:r w:rsidRPr="005873AB">
              <w:t>Participants assigned to the treatment group</w:t>
            </w:r>
            <w:r w:rsidR="003D40DD">
              <w:t>s</w:t>
            </w:r>
          </w:p>
        </w:tc>
        <w:tc>
          <w:tcPr>
            <w:tcW w:w="3060" w:type="dxa"/>
            <w:shd w:val="clear" w:color="auto" w:fill="auto"/>
            <w:noWrap/>
            <w:hideMark/>
          </w:tcPr>
          <w:p w:rsidR="005873AB" w:rsidRPr="005873AB" w:rsidRDefault="005873AB" w:rsidP="00590FD6">
            <w:pPr>
              <w:pStyle w:val="ExhibitText"/>
              <w:keepNext/>
            </w:pPr>
            <w:r w:rsidRPr="005873AB">
              <w:t xml:space="preserve">Completion of </w:t>
            </w:r>
            <w:r w:rsidR="00C462F6">
              <w:t xml:space="preserve">housing </w:t>
            </w:r>
            <w:r w:rsidRPr="005873AB">
              <w:t>counseling</w:t>
            </w:r>
          </w:p>
        </w:tc>
        <w:tc>
          <w:tcPr>
            <w:tcW w:w="1818" w:type="dxa"/>
            <w:shd w:val="clear" w:color="auto" w:fill="auto"/>
            <w:noWrap/>
            <w:hideMark/>
          </w:tcPr>
          <w:p w:rsidR="005873AB" w:rsidRPr="005873AB" w:rsidRDefault="005873AB" w:rsidP="00590FD6">
            <w:pPr>
              <w:pStyle w:val="ExhibitText"/>
              <w:keepNext/>
            </w:pPr>
            <w:r w:rsidRPr="005873AB">
              <w:t>$</w:t>
            </w:r>
            <w:r w:rsidR="00B97B87">
              <w:t>100</w:t>
            </w:r>
          </w:p>
        </w:tc>
      </w:tr>
      <w:tr w:rsidR="005873AB" w:rsidRPr="005873AB" w:rsidTr="00590FD6">
        <w:trPr>
          <w:trHeight w:val="300"/>
        </w:trPr>
        <w:tc>
          <w:tcPr>
            <w:tcW w:w="4338" w:type="dxa"/>
            <w:shd w:val="clear" w:color="auto" w:fill="auto"/>
            <w:noWrap/>
            <w:hideMark/>
          </w:tcPr>
          <w:p w:rsidR="005873AB" w:rsidRPr="005873AB" w:rsidRDefault="005873AB" w:rsidP="00590FD6">
            <w:pPr>
              <w:pStyle w:val="ExhibitText"/>
            </w:pPr>
            <w:r w:rsidRPr="005873AB">
              <w:t xml:space="preserve">Treatment group members selected for </w:t>
            </w:r>
            <w:r w:rsidR="00DF485D">
              <w:t xml:space="preserve">implementation </w:t>
            </w:r>
            <w:r w:rsidRPr="005873AB">
              <w:t>telephone interviews</w:t>
            </w:r>
          </w:p>
        </w:tc>
        <w:tc>
          <w:tcPr>
            <w:tcW w:w="3060" w:type="dxa"/>
            <w:shd w:val="clear" w:color="auto" w:fill="auto"/>
            <w:noWrap/>
            <w:hideMark/>
          </w:tcPr>
          <w:p w:rsidR="005873AB" w:rsidRPr="005873AB" w:rsidRDefault="005873AB" w:rsidP="00590FD6">
            <w:pPr>
              <w:pStyle w:val="ExhibitText"/>
            </w:pPr>
            <w:r w:rsidRPr="005873AB">
              <w:t>Completion of interview</w:t>
            </w:r>
          </w:p>
        </w:tc>
        <w:tc>
          <w:tcPr>
            <w:tcW w:w="1818" w:type="dxa"/>
            <w:shd w:val="clear" w:color="auto" w:fill="auto"/>
            <w:noWrap/>
            <w:hideMark/>
          </w:tcPr>
          <w:p w:rsidR="005873AB" w:rsidRPr="005873AB" w:rsidRDefault="005873AB" w:rsidP="00590FD6">
            <w:pPr>
              <w:pStyle w:val="ExhibitText"/>
            </w:pPr>
            <w:r w:rsidRPr="005873AB">
              <w:t>$20</w:t>
            </w:r>
          </w:p>
        </w:tc>
      </w:tr>
    </w:tbl>
    <w:p w:rsidR="005873AB" w:rsidRDefault="005873AB" w:rsidP="00590FD6">
      <w:pPr>
        <w:spacing w:after="0"/>
      </w:pPr>
    </w:p>
    <w:p w:rsidR="000607E3" w:rsidRPr="00912895" w:rsidRDefault="003E22BA" w:rsidP="006D4A23">
      <w:pPr>
        <w:pStyle w:val="Heading3"/>
      </w:pPr>
      <w:bookmarkStart w:id="15" w:name="_Toc332378278"/>
      <w:r>
        <w:t xml:space="preserve">Compensation </w:t>
      </w:r>
      <w:r w:rsidR="000607E3">
        <w:t xml:space="preserve">for </w:t>
      </w:r>
      <w:r w:rsidR="00C462F6">
        <w:t xml:space="preserve">HUD-Approved Housing </w:t>
      </w:r>
      <w:r w:rsidR="000607E3">
        <w:t>Counseling Agencies</w:t>
      </w:r>
      <w:bookmarkEnd w:id="15"/>
    </w:p>
    <w:p w:rsidR="00C10C0C" w:rsidRPr="003D40DD" w:rsidRDefault="00C10C0C" w:rsidP="00C10C0C">
      <w:pPr>
        <w:rPr>
          <w:szCs w:val="22"/>
        </w:rPr>
      </w:pPr>
      <w:r w:rsidRPr="003D40DD">
        <w:rPr>
          <w:szCs w:val="22"/>
        </w:rPr>
        <w:t xml:space="preserve">The compensation structure </w:t>
      </w:r>
      <w:r w:rsidR="003D40DD" w:rsidRPr="003D40DD">
        <w:rPr>
          <w:szCs w:val="22"/>
        </w:rPr>
        <w:t>proposed</w:t>
      </w:r>
      <w:r w:rsidRPr="003D40DD">
        <w:rPr>
          <w:szCs w:val="22"/>
        </w:rPr>
        <w:t xml:space="preserve"> for </w:t>
      </w:r>
      <w:r w:rsidR="00740A1C">
        <w:rPr>
          <w:szCs w:val="22"/>
        </w:rPr>
        <w:t xml:space="preserve">HUD-approved housing </w:t>
      </w:r>
      <w:r w:rsidRPr="003D40DD">
        <w:rPr>
          <w:szCs w:val="22"/>
        </w:rPr>
        <w:t xml:space="preserve">counseling agencies is a two part structure that recognizes </w:t>
      </w:r>
      <w:r w:rsidR="00A77082">
        <w:rPr>
          <w:szCs w:val="22"/>
        </w:rPr>
        <w:t>(</w:t>
      </w:r>
      <w:r w:rsidRPr="003D40DD">
        <w:rPr>
          <w:szCs w:val="22"/>
        </w:rPr>
        <w:t>1) the burden of responding to interview questions and (2) the burden of participating in the service tracking data collection</w:t>
      </w:r>
      <w:r w:rsidR="002C2B5B">
        <w:rPr>
          <w:szCs w:val="22"/>
        </w:rPr>
        <w:t xml:space="preserve"> and reporting</w:t>
      </w:r>
      <w:r w:rsidRPr="003D40DD">
        <w:rPr>
          <w:szCs w:val="22"/>
        </w:rPr>
        <w:t xml:space="preserve">, which will vary substantially across </w:t>
      </w:r>
      <w:r w:rsidR="00740A1C">
        <w:rPr>
          <w:szCs w:val="22"/>
        </w:rPr>
        <w:t xml:space="preserve">housing </w:t>
      </w:r>
      <w:r w:rsidRPr="003D40DD">
        <w:rPr>
          <w:szCs w:val="22"/>
        </w:rPr>
        <w:t xml:space="preserve">counseling agencies depending on how many study participants the </w:t>
      </w:r>
      <w:r w:rsidR="00740A1C">
        <w:rPr>
          <w:szCs w:val="22"/>
        </w:rPr>
        <w:t xml:space="preserve">housing </w:t>
      </w:r>
      <w:r w:rsidRPr="003D40DD">
        <w:rPr>
          <w:szCs w:val="22"/>
        </w:rPr>
        <w:t>counseling agency serve</w:t>
      </w:r>
      <w:r w:rsidR="003D40DD" w:rsidRPr="003D40DD">
        <w:rPr>
          <w:szCs w:val="22"/>
        </w:rPr>
        <w:t>s</w:t>
      </w:r>
      <w:r w:rsidRPr="003D40DD">
        <w:rPr>
          <w:szCs w:val="22"/>
        </w:rPr>
        <w:t xml:space="preserve">. The compensation is important for ensuring a high rate of participation in the study and full </w:t>
      </w:r>
      <w:r w:rsidR="00740A1C">
        <w:rPr>
          <w:szCs w:val="22"/>
        </w:rPr>
        <w:t xml:space="preserve">housing </w:t>
      </w:r>
      <w:r w:rsidRPr="003D40DD">
        <w:rPr>
          <w:szCs w:val="22"/>
        </w:rPr>
        <w:t xml:space="preserve">counseling agency cooperation in the data collection effort. </w:t>
      </w:r>
      <w:r w:rsidR="003E22BA" w:rsidRPr="003D40DD">
        <w:rPr>
          <w:szCs w:val="22"/>
        </w:rPr>
        <w:t xml:space="preserve">This study will rely heavily on the data provided by </w:t>
      </w:r>
      <w:r w:rsidR="00740A1C">
        <w:rPr>
          <w:szCs w:val="22"/>
        </w:rPr>
        <w:t xml:space="preserve">housing </w:t>
      </w:r>
      <w:r w:rsidR="003E22BA" w:rsidRPr="003D40DD">
        <w:rPr>
          <w:szCs w:val="22"/>
        </w:rPr>
        <w:t xml:space="preserve">counseling agencies. </w:t>
      </w:r>
      <w:r w:rsidRPr="003D40DD">
        <w:rPr>
          <w:szCs w:val="22"/>
        </w:rPr>
        <w:t>Our experience with missing</w:t>
      </w:r>
      <w:r w:rsidR="00DF485D" w:rsidRPr="003D40DD">
        <w:rPr>
          <w:szCs w:val="22"/>
        </w:rPr>
        <w:t>/unreliable</w:t>
      </w:r>
      <w:r w:rsidRPr="003D40DD">
        <w:rPr>
          <w:szCs w:val="22"/>
        </w:rPr>
        <w:t xml:space="preserve"> data </w:t>
      </w:r>
      <w:r w:rsidR="00DF485D" w:rsidRPr="003D40DD">
        <w:rPr>
          <w:szCs w:val="22"/>
        </w:rPr>
        <w:t xml:space="preserve">from </w:t>
      </w:r>
      <w:r w:rsidR="00740A1C">
        <w:rPr>
          <w:szCs w:val="22"/>
        </w:rPr>
        <w:t xml:space="preserve">housing </w:t>
      </w:r>
      <w:r w:rsidR="00DF485D" w:rsidRPr="003D40DD">
        <w:rPr>
          <w:szCs w:val="22"/>
        </w:rPr>
        <w:t xml:space="preserve">counseling agencies participating </w:t>
      </w:r>
      <w:r w:rsidRPr="003D40DD">
        <w:rPr>
          <w:szCs w:val="22"/>
        </w:rPr>
        <w:t xml:space="preserve">in the Housing Counseling Outcome Study underscores the importance in incentivizing the </w:t>
      </w:r>
      <w:r w:rsidR="00740A1C">
        <w:rPr>
          <w:szCs w:val="22"/>
        </w:rPr>
        <w:t xml:space="preserve">housing </w:t>
      </w:r>
      <w:r w:rsidRPr="003D40DD">
        <w:rPr>
          <w:szCs w:val="22"/>
        </w:rPr>
        <w:t xml:space="preserve">counseling agencies to ensure that they take seriously the responsibility for capturing and recording the data necessary for the study.  </w:t>
      </w:r>
    </w:p>
    <w:p w:rsidR="008A583D" w:rsidRDefault="004F179E" w:rsidP="008C55D1">
      <w:pPr>
        <w:rPr>
          <w:szCs w:val="22"/>
        </w:rPr>
      </w:pPr>
      <w:r w:rsidRPr="003D40DD">
        <w:rPr>
          <w:szCs w:val="22"/>
        </w:rPr>
        <w:t xml:space="preserve">For the online education </w:t>
      </w:r>
      <w:r w:rsidR="006E0984" w:rsidRPr="003D40DD">
        <w:rPr>
          <w:szCs w:val="22"/>
        </w:rPr>
        <w:t xml:space="preserve">plus telephone </w:t>
      </w:r>
      <w:r w:rsidR="00740A1C">
        <w:rPr>
          <w:szCs w:val="22"/>
        </w:rPr>
        <w:t xml:space="preserve">housing </w:t>
      </w:r>
      <w:r w:rsidR="006E0984" w:rsidRPr="003D40DD">
        <w:rPr>
          <w:szCs w:val="22"/>
        </w:rPr>
        <w:t xml:space="preserve">counseling intervention, we </w:t>
      </w:r>
      <w:r w:rsidR="00B3202C" w:rsidRPr="003D40DD">
        <w:rPr>
          <w:szCs w:val="22"/>
        </w:rPr>
        <w:t xml:space="preserve">have recruited </w:t>
      </w:r>
      <w:r w:rsidR="009C0939" w:rsidRPr="003D40DD">
        <w:rPr>
          <w:szCs w:val="22"/>
        </w:rPr>
        <w:t xml:space="preserve">one </w:t>
      </w:r>
      <w:r w:rsidR="00B3202C" w:rsidRPr="003D40DD">
        <w:rPr>
          <w:szCs w:val="22"/>
        </w:rPr>
        <w:t xml:space="preserve">national </w:t>
      </w:r>
      <w:r w:rsidR="00740A1C">
        <w:rPr>
          <w:szCs w:val="22"/>
        </w:rPr>
        <w:t xml:space="preserve">housing </w:t>
      </w:r>
      <w:r w:rsidR="00B3202C" w:rsidRPr="003D40DD">
        <w:rPr>
          <w:szCs w:val="22"/>
        </w:rPr>
        <w:t>counseling provider</w:t>
      </w:r>
      <w:r w:rsidR="005235C5">
        <w:rPr>
          <w:szCs w:val="22"/>
        </w:rPr>
        <w:t xml:space="preserve"> </w:t>
      </w:r>
      <w:r w:rsidR="00B3202C" w:rsidRPr="003D40DD">
        <w:rPr>
          <w:szCs w:val="22"/>
        </w:rPr>
        <w:t xml:space="preserve">to </w:t>
      </w:r>
      <w:r w:rsidRPr="003D40DD">
        <w:rPr>
          <w:szCs w:val="22"/>
        </w:rPr>
        <w:t xml:space="preserve">serve treatment group participants across all </w:t>
      </w:r>
      <w:r w:rsidR="0062576B" w:rsidRPr="003D40DD">
        <w:rPr>
          <w:szCs w:val="22"/>
        </w:rPr>
        <w:t>study jurisdictions</w:t>
      </w:r>
      <w:r w:rsidR="00A900DC" w:rsidRPr="003D40DD">
        <w:rPr>
          <w:szCs w:val="22"/>
        </w:rPr>
        <w:t xml:space="preserve">. </w:t>
      </w:r>
      <w:r w:rsidRPr="003D40DD">
        <w:rPr>
          <w:szCs w:val="22"/>
        </w:rPr>
        <w:t>We have budgeted for a $</w:t>
      </w:r>
      <w:r w:rsidR="006E0984" w:rsidRPr="003D40DD">
        <w:rPr>
          <w:szCs w:val="22"/>
        </w:rPr>
        <w:t>20,000 payment to compensate this</w:t>
      </w:r>
      <w:r w:rsidRPr="003D40DD">
        <w:rPr>
          <w:szCs w:val="22"/>
        </w:rPr>
        <w:t xml:space="preserve"> organization for the costs </w:t>
      </w:r>
      <w:r w:rsidRPr="003D40DD">
        <w:rPr>
          <w:szCs w:val="22"/>
        </w:rPr>
        <w:lastRenderedPageBreak/>
        <w:t>associated with</w:t>
      </w:r>
      <w:r w:rsidR="00EA2E36">
        <w:rPr>
          <w:szCs w:val="22"/>
        </w:rPr>
        <w:t xml:space="preserve"> conducting outreach to study participants to ensure a high</w:t>
      </w:r>
      <w:r w:rsidR="002C2B5B">
        <w:rPr>
          <w:szCs w:val="22"/>
        </w:rPr>
        <w:t xml:space="preserve"> completion rate for</w:t>
      </w:r>
      <w:r w:rsidR="00EA2E36">
        <w:rPr>
          <w:szCs w:val="22"/>
        </w:rPr>
        <w:t xml:space="preserve"> online-education and tele</w:t>
      </w:r>
      <w:r w:rsidR="002C2B5B">
        <w:rPr>
          <w:szCs w:val="22"/>
        </w:rPr>
        <w:t>phone counseling</w:t>
      </w:r>
      <w:r w:rsidR="00EA2E36">
        <w:rPr>
          <w:szCs w:val="22"/>
        </w:rPr>
        <w:t>,</w:t>
      </w:r>
      <w:r w:rsidRPr="003D40DD">
        <w:rPr>
          <w:szCs w:val="22"/>
        </w:rPr>
        <w:t xml:space="preserve"> documenting online</w:t>
      </w:r>
      <w:r w:rsidR="006E0984" w:rsidRPr="003D40DD">
        <w:rPr>
          <w:szCs w:val="22"/>
        </w:rPr>
        <w:t xml:space="preserve"> education and telephone </w:t>
      </w:r>
      <w:r w:rsidR="00740A1C">
        <w:rPr>
          <w:szCs w:val="22"/>
        </w:rPr>
        <w:t xml:space="preserve">housing </w:t>
      </w:r>
      <w:r w:rsidR="006E0984" w:rsidRPr="003D40DD">
        <w:rPr>
          <w:szCs w:val="22"/>
        </w:rPr>
        <w:t>counseling activities</w:t>
      </w:r>
      <w:r w:rsidR="00EA2E36">
        <w:rPr>
          <w:szCs w:val="22"/>
        </w:rPr>
        <w:t>,</w:t>
      </w:r>
      <w:r w:rsidR="006E0984" w:rsidRPr="003D40DD">
        <w:rPr>
          <w:szCs w:val="22"/>
        </w:rPr>
        <w:t xml:space="preserve"> and</w:t>
      </w:r>
      <w:r w:rsidRPr="003D40DD">
        <w:rPr>
          <w:szCs w:val="22"/>
        </w:rPr>
        <w:t xml:space="preserve"> uploading the inf</w:t>
      </w:r>
      <w:r w:rsidR="00A92DF4" w:rsidRPr="003D40DD">
        <w:rPr>
          <w:szCs w:val="22"/>
        </w:rPr>
        <w:t>ormation regularly into the study’s data collection</w:t>
      </w:r>
      <w:r w:rsidRPr="003D40DD">
        <w:rPr>
          <w:szCs w:val="22"/>
        </w:rPr>
        <w:t xml:space="preserve"> system</w:t>
      </w:r>
      <w:r w:rsidR="00A900DC" w:rsidRPr="003D40DD">
        <w:rPr>
          <w:szCs w:val="22"/>
        </w:rPr>
        <w:t xml:space="preserve">. </w:t>
      </w:r>
      <w:r w:rsidR="00EA2E36">
        <w:rPr>
          <w:szCs w:val="22"/>
        </w:rPr>
        <w:t>The study will be assigning over 1,700 study participants to thi</w:t>
      </w:r>
      <w:r w:rsidR="005B2A53">
        <w:rPr>
          <w:szCs w:val="22"/>
        </w:rPr>
        <w:t>s agency.</w:t>
      </w:r>
    </w:p>
    <w:p w:rsidR="004F179E" w:rsidRPr="003D40DD" w:rsidRDefault="005235C5" w:rsidP="008C55D1">
      <w:pPr>
        <w:rPr>
          <w:szCs w:val="22"/>
        </w:rPr>
      </w:pPr>
      <w:r>
        <w:rPr>
          <w:szCs w:val="22"/>
        </w:rPr>
        <w:t>Due to</w:t>
      </w:r>
      <w:r w:rsidR="00AE754A">
        <w:rPr>
          <w:szCs w:val="22"/>
        </w:rPr>
        <w:t xml:space="preserve"> </w:t>
      </w:r>
      <w:r w:rsidR="008A583D">
        <w:rPr>
          <w:szCs w:val="22"/>
        </w:rPr>
        <w:t>the</w:t>
      </w:r>
      <w:r w:rsidR="002C2B5B">
        <w:rPr>
          <w:szCs w:val="22"/>
        </w:rPr>
        <w:t xml:space="preserve"> number</w:t>
      </w:r>
      <w:r w:rsidR="003D13DE">
        <w:rPr>
          <w:szCs w:val="22"/>
        </w:rPr>
        <w:t xml:space="preserve"> of study participants being referred to this agency and the burden of additional data collection and reporting tasks that we are asking them to complete, </w:t>
      </w:r>
      <w:r w:rsidR="008A583D">
        <w:rPr>
          <w:szCs w:val="22"/>
        </w:rPr>
        <w:t>we feel that a $20,000 payment is appropriate for th</w:t>
      </w:r>
      <w:r w:rsidR="003D13DE">
        <w:rPr>
          <w:szCs w:val="22"/>
        </w:rPr>
        <w:t>eir</w:t>
      </w:r>
      <w:r w:rsidR="008A583D">
        <w:rPr>
          <w:szCs w:val="22"/>
        </w:rPr>
        <w:t xml:space="preserve"> effort</w:t>
      </w:r>
      <w:r w:rsidR="003D13DE">
        <w:rPr>
          <w:szCs w:val="22"/>
        </w:rPr>
        <w:t xml:space="preserve"> in the study</w:t>
      </w:r>
      <w:r w:rsidR="008A583D">
        <w:rPr>
          <w:szCs w:val="22"/>
        </w:rPr>
        <w:t>.</w:t>
      </w:r>
    </w:p>
    <w:p w:rsidR="009E08B4" w:rsidRPr="003D40DD" w:rsidRDefault="006E0984" w:rsidP="003D40DD">
      <w:pPr>
        <w:pStyle w:val="Bullets"/>
        <w:numPr>
          <w:ilvl w:val="0"/>
          <w:numId w:val="0"/>
        </w:numPr>
        <w:rPr>
          <w:szCs w:val="22"/>
        </w:rPr>
      </w:pPr>
      <w:r w:rsidRPr="003D40DD">
        <w:rPr>
          <w:szCs w:val="22"/>
        </w:rPr>
        <w:t xml:space="preserve">The classroom education plus in-person </w:t>
      </w:r>
      <w:r w:rsidR="00740A1C">
        <w:rPr>
          <w:szCs w:val="22"/>
        </w:rPr>
        <w:t xml:space="preserve">housing </w:t>
      </w:r>
      <w:r w:rsidRPr="003D40DD">
        <w:rPr>
          <w:szCs w:val="22"/>
        </w:rPr>
        <w:t>counseling intervention require</w:t>
      </w:r>
      <w:r w:rsidR="00D07679" w:rsidRPr="003D40DD">
        <w:rPr>
          <w:szCs w:val="22"/>
        </w:rPr>
        <w:t>s</w:t>
      </w:r>
      <w:r w:rsidRPr="003D40DD">
        <w:rPr>
          <w:szCs w:val="22"/>
        </w:rPr>
        <w:t xml:space="preserve"> a more complex incentive structure, because it is unlikely that we will find one organization that is able to serve treatment group participants in all jurisdictions</w:t>
      </w:r>
      <w:r w:rsidR="00A900DC" w:rsidRPr="003D40DD">
        <w:rPr>
          <w:szCs w:val="22"/>
        </w:rPr>
        <w:t xml:space="preserve">. </w:t>
      </w:r>
      <w:r w:rsidR="00D07679" w:rsidRPr="003D40DD">
        <w:rPr>
          <w:szCs w:val="22"/>
        </w:rPr>
        <w:t>Instead, we</w:t>
      </w:r>
      <w:r w:rsidR="00CD2BAE">
        <w:rPr>
          <w:szCs w:val="22"/>
        </w:rPr>
        <w:t xml:space="preserve"> </w:t>
      </w:r>
      <w:r w:rsidR="00B4481A" w:rsidRPr="003D40DD">
        <w:rPr>
          <w:szCs w:val="22"/>
        </w:rPr>
        <w:t xml:space="preserve">have recruited </w:t>
      </w:r>
      <w:proofErr w:type="spellStart"/>
      <w:r w:rsidR="00B4481A" w:rsidRPr="003D40DD">
        <w:rPr>
          <w:szCs w:val="22"/>
        </w:rPr>
        <w:t>NeighborWorks</w:t>
      </w:r>
      <w:proofErr w:type="spellEnd"/>
      <w:r w:rsidR="00B4481A" w:rsidRPr="003D40DD">
        <w:rPr>
          <w:szCs w:val="22"/>
        </w:rPr>
        <w:t xml:space="preserve"> America, a</w:t>
      </w:r>
      <w:r w:rsidR="009E08B4" w:rsidRPr="003D40DD">
        <w:rPr>
          <w:szCs w:val="22"/>
        </w:rPr>
        <w:t xml:space="preserve"> national</w:t>
      </w:r>
      <w:r w:rsidRPr="003D40DD">
        <w:rPr>
          <w:szCs w:val="22"/>
        </w:rPr>
        <w:t xml:space="preserve"> organization </w:t>
      </w:r>
      <w:r w:rsidR="00E41D4D" w:rsidRPr="003D40DD">
        <w:rPr>
          <w:szCs w:val="22"/>
        </w:rPr>
        <w:t>that has local affiliates in each of the selected study jurisdiction</w:t>
      </w:r>
      <w:r w:rsidR="00B4481A" w:rsidRPr="003D40DD">
        <w:rPr>
          <w:szCs w:val="22"/>
        </w:rPr>
        <w:t>s</w:t>
      </w:r>
      <w:r w:rsidR="00EB7E84" w:rsidRPr="003D40DD">
        <w:rPr>
          <w:szCs w:val="22"/>
        </w:rPr>
        <w:t xml:space="preserve">. </w:t>
      </w:r>
      <w:proofErr w:type="spellStart"/>
      <w:r w:rsidR="00CD2BAE">
        <w:rPr>
          <w:szCs w:val="22"/>
        </w:rPr>
        <w:t>NeighborWorks</w:t>
      </w:r>
      <w:proofErr w:type="spellEnd"/>
      <w:r w:rsidR="00CD2BAE">
        <w:rPr>
          <w:szCs w:val="22"/>
        </w:rPr>
        <w:t xml:space="preserve"> America</w:t>
      </w:r>
      <w:r w:rsidR="00E41D4D" w:rsidRPr="003D40DD">
        <w:rPr>
          <w:szCs w:val="22"/>
        </w:rPr>
        <w:t xml:space="preserve"> will</w:t>
      </w:r>
      <w:r w:rsidRPr="003D40DD">
        <w:rPr>
          <w:szCs w:val="22"/>
        </w:rPr>
        <w:t xml:space="preserve"> facili</w:t>
      </w:r>
      <w:r w:rsidR="00D9040C" w:rsidRPr="003D40DD">
        <w:rPr>
          <w:szCs w:val="22"/>
        </w:rPr>
        <w:t xml:space="preserve">tate </w:t>
      </w:r>
      <w:r w:rsidR="00E41D4D" w:rsidRPr="003D40DD">
        <w:rPr>
          <w:szCs w:val="22"/>
        </w:rPr>
        <w:t xml:space="preserve">the recruitment of local </w:t>
      </w:r>
      <w:r w:rsidR="00740A1C">
        <w:rPr>
          <w:szCs w:val="22"/>
        </w:rPr>
        <w:t xml:space="preserve">housing </w:t>
      </w:r>
      <w:r w:rsidR="00E41D4D" w:rsidRPr="003D40DD">
        <w:rPr>
          <w:szCs w:val="22"/>
        </w:rPr>
        <w:t>counseling agencies</w:t>
      </w:r>
      <w:r w:rsidR="00D9040C" w:rsidRPr="003D40DD">
        <w:rPr>
          <w:szCs w:val="22"/>
        </w:rPr>
        <w:t xml:space="preserve"> and support the study team</w:t>
      </w:r>
      <w:r w:rsidRPr="003D40DD">
        <w:rPr>
          <w:szCs w:val="22"/>
        </w:rPr>
        <w:t>’s monitoring</w:t>
      </w:r>
      <w:r w:rsidR="003D13DE">
        <w:rPr>
          <w:szCs w:val="22"/>
        </w:rPr>
        <w:t xml:space="preserve"> and data reporting </w:t>
      </w:r>
      <w:r w:rsidRPr="003D40DD">
        <w:rPr>
          <w:szCs w:val="22"/>
        </w:rPr>
        <w:t>activities</w:t>
      </w:r>
      <w:r w:rsidR="00A900DC" w:rsidRPr="003D40DD">
        <w:rPr>
          <w:szCs w:val="22"/>
        </w:rPr>
        <w:t xml:space="preserve">. </w:t>
      </w:r>
      <w:r w:rsidRPr="003D40DD">
        <w:rPr>
          <w:szCs w:val="22"/>
        </w:rPr>
        <w:t xml:space="preserve">We have budgeted for the national </w:t>
      </w:r>
      <w:r w:rsidR="00B4481A" w:rsidRPr="003D40DD">
        <w:rPr>
          <w:szCs w:val="22"/>
        </w:rPr>
        <w:t>organization</w:t>
      </w:r>
      <w:r w:rsidRPr="003D40DD">
        <w:rPr>
          <w:szCs w:val="22"/>
        </w:rPr>
        <w:t xml:space="preserve"> to receive a $10,000 incentive</w:t>
      </w:r>
      <w:r w:rsidR="00A900DC" w:rsidRPr="003D40DD">
        <w:rPr>
          <w:szCs w:val="22"/>
        </w:rPr>
        <w:t xml:space="preserve">. </w:t>
      </w:r>
      <w:r w:rsidR="00C10C0C" w:rsidRPr="003D40DD">
        <w:rPr>
          <w:szCs w:val="22"/>
        </w:rPr>
        <w:t xml:space="preserve">Having their involvement in the study will provide important motivation for the </w:t>
      </w:r>
      <w:r w:rsidR="00C613F9">
        <w:rPr>
          <w:szCs w:val="22"/>
        </w:rPr>
        <w:t>l</w:t>
      </w:r>
      <w:r w:rsidR="00C10C0C" w:rsidRPr="003D40DD">
        <w:rPr>
          <w:szCs w:val="22"/>
        </w:rPr>
        <w:t>ocal</w:t>
      </w:r>
      <w:r w:rsidR="00C613F9">
        <w:rPr>
          <w:szCs w:val="22"/>
        </w:rPr>
        <w:t xml:space="preserve"> </w:t>
      </w:r>
      <w:proofErr w:type="spellStart"/>
      <w:r w:rsidR="00C613F9">
        <w:rPr>
          <w:szCs w:val="22"/>
        </w:rPr>
        <w:t>NeighborWorks</w:t>
      </w:r>
      <w:proofErr w:type="spellEnd"/>
      <w:r w:rsidR="007866AD">
        <w:rPr>
          <w:szCs w:val="22"/>
        </w:rPr>
        <w:t xml:space="preserve"> America’s</w:t>
      </w:r>
      <w:r w:rsidR="00C613F9">
        <w:rPr>
          <w:szCs w:val="22"/>
        </w:rPr>
        <w:t xml:space="preserve"> </w:t>
      </w:r>
      <w:r w:rsidR="007866AD">
        <w:rPr>
          <w:szCs w:val="22"/>
        </w:rPr>
        <w:t>affiliate agencies</w:t>
      </w:r>
      <w:r w:rsidR="00C613F9">
        <w:rPr>
          <w:szCs w:val="22"/>
        </w:rPr>
        <w:t>.</w:t>
      </w:r>
      <w:r w:rsidR="00C10C0C" w:rsidRPr="003D40DD">
        <w:rPr>
          <w:szCs w:val="22"/>
        </w:rPr>
        <w:t xml:space="preserve">) </w:t>
      </w:r>
      <w:proofErr w:type="gramStart"/>
      <w:r w:rsidR="00C10C0C" w:rsidRPr="003D40DD">
        <w:rPr>
          <w:szCs w:val="22"/>
        </w:rPr>
        <w:t>given</w:t>
      </w:r>
      <w:proofErr w:type="gramEnd"/>
      <w:r w:rsidR="00C10C0C" w:rsidRPr="003D40DD">
        <w:rPr>
          <w:szCs w:val="22"/>
        </w:rPr>
        <w:t xml:space="preserve"> the relationships between the intermediaries and their sub-</w:t>
      </w:r>
      <w:r w:rsidR="003D40DD" w:rsidRPr="003D40DD">
        <w:rPr>
          <w:szCs w:val="22"/>
        </w:rPr>
        <w:t>grantees. We</w:t>
      </w:r>
      <w:r w:rsidR="00C613F9">
        <w:rPr>
          <w:szCs w:val="22"/>
        </w:rPr>
        <w:t xml:space="preserve"> </w:t>
      </w:r>
      <w:r w:rsidR="00ED4EA9" w:rsidRPr="003D40DD">
        <w:rPr>
          <w:szCs w:val="22"/>
        </w:rPr>
        <w:t xml:space="preserve">have </w:t>
      </w:r>
      <w:r w:rsidRPr="003D40DD">
        <w:rPr>
          <w:szCs w:val="22"/>
        </w:rPr>
        <w:t>also budget</w:t>
      </w:r>
      <w:r w:rsidR="00ED4EA9" w:rsidRPr="003D40DD">
        <w:rPr>
          <w:szCs w:val="22"/>
        </w:rPr>
        <w:t>ed</w:t>
      </w:r>
      <w:r w:rsidRPr="003D40DD">
        <w:rPr>
          <w:szCs w:val="22"/>
        </w:rPr>
        <w:t xml:space="preserve"> for </w:t>
      </w:r>
      <w:r w:rsidR="00ED4EA9" w:rsidRPr="003D40DD">
        <w:rPr>
          <w:szCs w:val="22"/>
        </w:rPr>
        <w:t xml:space="preserve">each </w:t>
      </w:r>
      <w:r w:rsidR="00CC47FC" w:rsidRPr="003D40DD">
        <w:rPr>
          <w:szCs w:val="22"/>
        </w:rPr>
        <w:t xml:space="preserve">of the </w:t>
      </w:r>
      <w:r w:rsidR="007866AD">
        <w:rPr>
          <w:szCs w:val="22"/>
        </w:rPr>
        <w:t xml:space="preserve">local </w:t>
      </w:r>
      <w:proofErr w:type="spellStart"/>
      <w:r w:rsidR="007866AD">
        <w:rPr>
          <w:szCs w:val="22"/>
        </w:rPr>
        <w:t>NeighborWorks</w:t>
      </w:r>
      <w:proofErr w:type="spellEnd"/>
      <w:r w:rsidR="007866AD">
        <w:rPr>
          <w:szCs w:val="22"/>
        </w:rPr>
        <w:t xml:space="preserve"> America’s agencies</w:t>
      </w:r>
      <w:r w:rsidR="00CC47FC" w:rsidRPr="003D40DD">
        <w:rPr>
          <w:szCs w:val="22"/>
        </w:rPr>
        <w:t xml:space="preserve"> serving </w:t>
      </w:r>
      <w:r w:rsidR="00C10C0C" w:rsidRPr="003D40DD">
        <w:rPr>
          <w:szCs w:val="22"/>
        </w:rPr>
        <w:t>study participants</w:t>
      </w:r>
      <w:r w:rsidR="00693F46" w:rsidRPr="003D40DD">
        <w:rPr>
          <w:szCs w:val="22"/>
        </w:rPr>
        <w:t xml:space="preserve"> to receive a $2</w:t>
      </w:r>
      <w:r w:rsidR="00A00351" w:rsidRPr="003D40DD">
        <w:rPr>
          <w:szCs w:val="22"/>
        </w:rPr>
        <w:t>,</w:t>
      </w:r>
      <w:r w:rsidR="00693F46" w:rsidRPr="003D40DD">
        <w:rPr>
          <w:szCs w:val="22"/>
        </w:rPr>
        <w:t>000 incentive, plus $100</w:t>
      </w:r>
      <w:r w:rsidR="00ED4EA9" w:rsidRPr="003D40DD">
        <w:rPr>
          <w:szCs w:val="22"/>
        </w:rPr>
        <w:t xml:space="preserve"> per </w:t>
      </w:r>
      <w:r w:rsidR="00C10C0C" w:rsidRPr="003D40DD">
        <w:rPr>
          <w:szCs w:val="22"/>
        </w:rPr>
        <w:t>study participant served</w:t>
      </w:r>
      <w:r w:rsidR="00EB7E84" w:rsidRPr="003D40DD">
        <w:rPr>
          <w:szCs w:val="22"/>
        </w:rPr>
        <w:t xml:space="preserve">. </w:t>
      </w:r>
      <w:r w:rsidR="00C10C0C" w:rsidRPr="003D40DD">
        <w:rPr>
          <w:szCs w:val="22"/>
        </w:rPr>
        <w:t>D</w:t>
      </w:r>
      <w:r w:rsidR="00693F46" w:rsidRPr="003D40DD">
        <w:rPr>
          <w:szCs w:val="22"/>
        </w:rPr>
        <w:t xml:space="preserve">epending on </w:t>
      </w:r>
      <w:proofErr w:type="spellStart"/>
      <w:r w:rsidR="00693F46" w:rsidRPr="003D40DD">
        <w:rPr>
          <w:szCs w:val="22"/>
        </w:rPr>
        <w:t>NeighborWorks</w:t>
      </w:r>
      <w:proofErr w:type="spellEnd"/>
      <w:r w:rsidR="00CD2BAE">
        <w:rPr>
          <w:szCs w:val="22"/>
        </w:rPr>
        <w:t xml:space="preserve"> America</w:t>
      </w:r>
      <w:r w:rsidR="00A36374">
        <w:rPr>
          <w:szCs w:val="22"/>
        </w:rPr>
        <w:t>’</w:t>
      </w:r>
      <w:r w:rsidR="00CD2BAE">
        <w:rPr>
          <w:szCs w:val="22"/>
        </w:rPr>
        <w:t>s</w:t>
      </w:r>
      <w:r w:rsidR="00693F46" w:rsidRPr="003D40DD">
        <w:rPr>
          <w:szCs w:val="22"/>
        </w:rPr>
        <w:t xml:space="preserve"> coverage, the study team may explore other </w:t>
      </w:r>
      <w:r w:rsidR="00740A1C">
        <w:rPr>
          <w:szCs w:val="22"/>
        </w:rPr>
        <w:t xml:space="preserve">housing </w:t>
      </w:r>
      <w:r w:rsidR="00693F46" w:rsidRPr="003D40DD">
        <w:rPr>
          <w:szCs w:val="22"/>
        </w:rPr>
        <w:t xml:space="preserve">counseling agencies that fit the study’s needs in each jurisdiction. Additional </w:t>
      </w:r>
      <w:r w:rsidR="00740A1C">
        <w:rPr>
          <w:szCs w:val="22"/>
        </w:rPr>
        <w:t xml:space="preserve">housing </w:t>
      </w:r>
      <w:r w:rsidR="00693F46" w:rsidRPr="003D40DD">
        <w:rPr>
          <w:szCs w:val="22"/>
        </w:rPr>
        <w:t xml:space="preserve">counseling agencies (outside of </w:t>
      </w:r>
      <w:proofErr w:type="spellStart"/>
      <w:r w:rsidR="00693F46" w:rsidRPr="003D40DD">
        <w:rPr>
          <w:szCs w:val="22"/>
        </w:rPr>
        <w:t>NeighborWorks</w:t>
      </w:r>
      <w:proofErr w:type="spellEnd"/>
      <w:r w:rsidR="00CD2BAE">
        <w:rPr>
          <w:szCs w:val="22"/>
        </w:rPr>
        <w:t xml:space="preserve"> America’s</w:t>
      </w:r>
      <w:r w:rsidR="00693F46" w:rsidRPr="003D40DD">
        <w:rPr>
          <w:szCs w:val="22"/>
        </w:rPr>
        <w:t xml:space="preserve"> network) will also receive a $2,000 incentive, plus $100 per </w:t>
      </w:r>
      <w:r w:rsidR="003E22BA" w:rsidRPr="003D40DD">
        <w:rPr>
          <w:szCs w:val="22"/>
        </w:rPr>
        <w:t>study participant</w:t>
      </w:r>
      <w:r w:rsidR="00693F46" w:rsidRPr="003D40DD">
        <w:rPr>
          <w:szCs w:val="22"/>
        </w:rPr>
        <w:t xml:space="preserve"> for data reporting.</w:t>
      </w:r>
    </w:p>
    <w:p w:rsidR="00CC5345" w:rsidRPr="003D40DD" w:rsidRDefault="009E08B4" w:rsidP="00EB7E84">
      <w:pPr>
        <w:rPr>
          <w:szCs w:val="22"/>
        </w:rPr>
      </w:pPr>
      <w:r w:rsidRPr="003D40DD">
        <w:rPr>
          <w:szCs w:val="22"/>
        </w:rPr>
        <w:t>These agency incentives compensate the organizations for the staff burden associated with</w:t>
      </w:r>
      <w:r w:rsidR="003D13DE">
        <w:rPr>
          <w:szCs w:val="22"/>
        </w:rPr>
        <w:t xml:space="preserve"> conducting outreach to study participants, collecting service tracking data on all study participants’ education and counseling activities, and reporting that</w:t>
      </w:r>
      <w:r w:rsidR="005235C5">
        <w:rPr>
          <w:szCs w:val="22"/>
        </w:rPr>
        <w:t xml:space="preserve"> </w:t>
      </w:r>
      <w:r w:rsidR="003D13DE">
        <w:rPr>
          <w:szCs w:val="22"/>
        </w:rPr>
        <w:t>data to the study team on a biweekly basis</w:t>
      </w:r>
      <w:r w:rsidR="00CD2BAE">
        <w:rPr>
          <w:szCs w:val="22"/>
        </w:rPr>
        <w:t>, activities that are outside of their usual housing counseling agency requirements</w:t>
      </w:r>
      <w:r w:rsidR="003D13DE">
        <w:rPr>
          <w:szCs w:val="22"/>
        </w:rPr>
        <w:t>.</w:t>
      </w:r>
      <w:r w:rsidR="00EB7E84" w:rsidRPr="003D40DD">
        <w:rPr>
          <w:szCs w:val="22"/>
        </w:rPr>
        <w:t xml:space="preserve">. </w:t>
      </w:r>
      <w:r w:rsidR="00B3202C" w:rsidRPr="003D40DD">
        <w:rPr>
          <w:szCs w:val="22"/>
        </w:rPr>
        <w:t xml:space="preserve">Any existing arrangements between the </w:t>
      </w:r>
      <w:r w:rsidR="00740A1C">
        <w:rPr>
          <w:szCs w:val="22"/>
        </w:rPr>
        <w:t xml:space="preserve">housing </w:t>
      </w:r>
      <w:r w:rsidR="00B3202C" w:rsidRPr="003D40DD">
        <w:rPr>
          <w:szCs w:val="22"/>
        </w:rPr>
        <w:t>counseling agencies and lenders or other funding sources will</w:t>
      </w:r>
      <w:r w:rsidR="00EB7E84" w:rsidRPr="003D40DD">
        <w:rPr>
          <w:szCs w:val="22"/>
        </w:rPr>
        <w:t xml:space="preserve"> not be affected by the study. </w:t>
      </w:r>
      <w:r w:rsidR="00B3202C" w:rsidRPr="003D40DD">
        <w:rPr>
          <w:szCs w:val="22"/>
        </w:rPr>
        <w:t xml:space="preserve">However, the study incentives will not directly compensate the organization for providing </w:t>
      </w:r>
      <w:r w:rsidR="00740A1C">
        <w:rPr>
          <w:szCs w:val="22"/>
        </w:rPr>
        <w:t xml:space="preserve">housing </w:t>
      </w:r>
      <w:r w:rsidR="00B3202C" w:rsidRPr="003D40DD">
        <w:rPr>
          <w:szCs w:val="22"/>
        </w:rPr>
        <w:t>counseling to a study participant when no existing funding source is available to compensate the organization for</w:t>
      </w:r>
      <w:r w:rsidR="00062B0E">
        <w:rPr>
          <w:szCs w:val="22"/>
        </w:rPr>
        <w:t xml:space="preserve"> </w:t>
      </w:r>
      <w:r w:rsidR="00740A1C">
        <w:rPr>
          <w:szCs w:val="22"/>
        </w:rPr>
        <w:t xml:space="preserve">housing </w:t>
      </w:r>
      <w:r w:rsidR="00EB7E84" w:rsidRPr="003D40DD">
        <w:rPr>
          <w:szCs w:val="22"/>
        </w:rPr>
        <w:t xml:space="preserve">counseling. </w:t>
      </w:r>
      <w:r w:rsidRPr="003D40DD">
        <w:rPr>
          <w:szCs w:val="22"/>
        </w:rPr>
        <w:t>The national provider of online education and telephone counseling has confirmed their willingness to</w:t>
      </w:r>
      <w:r w:rsidR="00B3202C" w:rsidRPr="003D40DD">
        <w:rPr>
          <w:szCs w:val="22"/>
        </w:rPr>
        <w:t xml:space="preserve"> provide </w:t>
      </w:r>
      <w:r w:rsidR="00740A1C">
        <w:rPr>
          <w:szCs w:val="22"/>
        </w:rPr>
        <w:t xml:space="preserve">housing </w:t>
      </w:r>
      <w:r w:rsidR="00B3202C" w:rsidRPr="003D40DD">
        <w:rPr>
          <w:szCs w:val="22"/>
        </w:rPr>
        <w:t xml:space="preserve">counseling to all </w:t>
      </w:r>
      <w:r w:rsidR="00C10C0C" w:rsidRPr="003D40DD">
        <w:rPr>
          <w:szCs w:val="22"/>
        </w:rPr>
        <w:t>study participants</w:t>
      </w:r>
      <w:r w:rsidR="00B3202C" w:rsidRPr="003D40DD">
        <w:rPr>
          <w:szCs w:val="22"/>
        </w:rPr>
        <w:t xml:space="preserve"> in the assigned treatment</w:t>
      </w:r>
      <w:r w:rsidR="00EB7E84" w:rsidRPr="003D40DD">
        <w:rPr>
          <w:szCs w:val="22"/>
        </w:rPr>
        <w:t xml:space="preserve"> group without charging a fee. </w:t>
      </w:r>
      <w:r w:rsidR="008A1749" w:rsidRPr="003D40DD">
        <w:rPr>
          <w:szCs w:val="22"/>
        </w:rPr>
        <w:t xml:space="preserve">Our conversations with </w:t>
      </w:r>
      <w:proofErr w:type="spellStart"/>
      <w:r w:rsidR="008A1749" w:rsidRPr="003D40DD">
        <w:rPr>
          <w:szCs w:val="22"/>
        </w:rPr>
        <w:t>NeighborWorks</w:t>
      </w:r>
      <w:proofErr w:type="spellEnd"/>
      <w:r w:rsidR="008A1749" w:rsidRPr="003D40DD">
        <w:rPr>
          <w:szCs w:val="22"/>
        </w:rPr>
        <w:t xml:space="preserve"> suggest that </w:t>
      </w:r>
      <w:r w:rsidR="005235C5">
        <w:rPr>
          <w:szCs w:val="22"/>
        </w:rPr>
        <w:t xml:space="preserve">a sufficient number of local </w:t>
      </w:r>
      <w:proofErr w:type="spellStart"/>
      <w:r w:rsidR="005235C5">
        <w:rPr>
          <w:szCs w:val="22"/>
        </w:rPr>
        <w:t>NeighborWorks</w:t>
      </w:r>
      <w:proofErr w:type="spellEnd"/>
      <w:r w:rsidR="005235C5">
        <w:rPr>
          <w:szCs w:val="22"/>
        </w:rPr>
        <w:t xml:space="preserve"> affiliate agencies will also be willing to participate in the study without compensation for the provision of housing counseling services</w:t>
      </w:r>
      <w:r w:rsidR="005D7F61">
        <w:rPr>
          <w:szCs w:val="22"/>
        </w:rPr>
        <w:t xml:space="preserve"> because they are a HUD housing counseling grantee</w:t>
      </w:r>
      <w:r w:rsidR="005235C5">
        <w:rPr>
          <w:szCs w:val="22"/>
        </w:rPr>
        <w:t>.</w:t>
      </w:r>
      <w:r w:rsidR="00EB7E84" w:rsidRPr="003D40DD">
        <w:rPr>
          <w:szCs w:val="22"/>
        </w:rPr>
        <w:t xml:space="preserve"> </w:t>
      </w:r>
    </w:p>
    <w:p w:rsidR="00F54C85" w:rsidRDefault="00CC47FC" w:rsidP="008C55D1">
      <w:pPr>
        <w:rPr>
          <w:spacing w:val="-4"/>
          <w:szCs w:val="22"/>
        </w:rPr>
      </w:pPr>
      <w:r w:rsidRPr="003D40DD">
        <w:rPr>
          <w:szCs w:val="22"/>
        </w:rPr>
        <w:t>The</w:t>
      </w:r>
      <w:r w:rsidR="00CC5345" w:rsidRPr="003D40DD">
        <w:rPr>
          <w:szCs w:val="22"/>
        </w:rPr>
        <w:t xml:space="preserve"> purpose of the</w:t>
      </w:r>
      <w:r w:rsidRPr="003D40DD">
        <w:rPr>
          <w:szCs w:val="22"/>
        </w:rPr>
        <w:t xml:space="preserve">se incentive payments </w:t>
      </w:r>
      <w:r w:rsidR="00CC5345" w:rsidRPr="003D40DD">
        <w:rPr>
          <w:szCs w:val="22"/>
        </w:rPr>
        <w:t>is to</w:t>
      </w:r>
      <w:r w:rsidRPr="003D40DD">
        <w:rPr>
          <w:szCs w:val="22"/>
        </w:rPr>
        <w:t xml:space="preserve"> help offset</w:t>
      </w:r>
      <w:r w:rsidR="00ED4EA9" w:rsidRPr="003D40DD">
        <w:rPr>
          <w:szCs w:val="22"/>
        </w:rPr>
        <w:t xml:space="preserve"> the burden of study participation for </w:t>
      </w:r>
      <w:r w:rsidR="00740A1C">
        <w:rPr>
          <w:szCs w:val="22"/>
        </w:rPr>
        <w:t xml:space="preserve">housing </w:t>
      </w:r>
      <w:r w:rsidR="00ED4EA9" w:rsidRPr="003D40DD">
        <w:rPr>
          <w:szCs w:val="22"/>
        </w:rPr>
        <w:t>counseling agencies and their staff</w:t>
      </w:r>
      <w:r w:rsidR="00A900DC" w:rsidRPr="003D40DD">
        <w:rPr>
          <w:szCs w:val="22"/>
        </w:rPr>
        <w:t xml:space="preserve">. </w:t>
      </w:r>
      <w:r w:rsidR="00CC5345" w:rsidRPr="003D40DD">
        <w:rPr>
          <w:szCs w:val="22"/>
        </w:rPr>
        <w:t>It will also help ensure study compliance, and accurate and consistent data reporting.</w:t>
      </w:r>
      <w:r w:rsidR="00062B0E">
        <w:rPr>
          <w:szCs w:val="22"/>
        </w:rPr>
        <w:t xml:space="preserve"> </w:t>
      </w:r>
      <w:r w:rsidR="00DF485D" w:rsidRPr="003D40DD">
        <w:rPr>
          <w:spacing w:val="-4"/>
          <w:szCs w:val="22"/>
        </w:rPr>
        <w:t xml:space="preserve">The compensation described will be provided </w:t>
      </w:r>
      <w:r w:rsidR="00DF485D" w:rsidRPr="003D40DD">
        <w:rPr>
          <w:i/>
          <w:spacing w:val="-4"/>
          <w:szCs w:val="22"/>
        </w:rPr>
        <w:t>to the agency and not to individual agency staff</w:t>
      </w:r>
      <w:r w:rsidR="00DF485D" w:rsidRPr="003D40DD">
        <w:rPr>
          <w:spacing w:val="-4"/>
          <w:szCs w:val="22"/>
        </w:rPr>
        <w:t xml:space="preserve">. </w:t>
      </w:r>
      <w:proofErr w:type="spellStart"/>
      <w:r w:rsidR="00DF485D" w:rsidRPr="003D40DD">
        <w:rPr>
          <w:spacing w:val="-4"/>
          <w:szCs w:val="22"/>
        </w:rPr>
        <w:t>Abt</w:t>
      </w:r>
      <w:proofErr w:type="spellEnd"/>
      <w:r w:rsidR="00DF485D" w:rsidRPr="003D40DD">
        <w:rPr>
          <w:spacing w:val="-4"/>
          <w:szCs w:val="22"/>
        </w:rPr>
        <w:t xml:space="preserve"> Associates will sign a</w:t>
      </w:r>
      <w:r w:rsidR="00941909">
        <w:rPr>
          <w:spacing w:val="-4"/>
          <w:szCs w:val="22"/>
        </w:rPr>
        <w:t xml:space="preserve"> grant agreement</w:t>
      </w:r>
      <w:r w:rsidR="00DF485D" w:rsidRPr="003D40DD">
        <w:rPr>
          <w:spacing w:val="-4"/>
          <w:szCs w:val="22"/>
        </w:rPr>
        <w:t xml:space="preserve"> with each agency as a condition of providing the payment. The </w:t>
      </w:r>
      <w:r w:rsidR="00941909">
        <w:rPr>
          <w:spacing w:val="-4"/>
          <w:szCs w:val="22"/>
        </w:rPr>
        <w:t>grant agreement</w:t>
      </w:r>
      <w:r w:rsidR="00DF485D" w:rsidRPr="003D40DD">
        <w:rPr>
          <w:spacing w:val="-4"/>
          <w:szCs w:val="22"/>
        </w:rPr>
        <w:t xml:space="preserve"> will state that “the compensation is expected to be used to defray personnel costs due directly to this information co</w:t>
      </w:r>
      <w:r w:rsidR="00F54C85">
        <w:rPr>
          <w:spacing w:val="-4"/>
          <w:szCs w:val="22"/>
        </w:rPr>
        <w:t>llection.”</w:t>
      </w:r>
    </w:p>
    <w:p w:rsidR="001B6DC8" w:rsidRDefault="001B6DC8" w:rsidP="002A5FC8">
      <w:pPr>
        <w:pStyle w:val="Heading2"/>
      </w:pPr>
      <w:bookmarkStart w:id="16" w:name="_Toc332378279"/>
      <w:r>
        <w:lastRenderedPageBreak/>
        <w:t>Arrangement and Assurances Regarding Confidentiality</w:t>
      </w:r>
      <w:bookmarkEnd w:id="16"/>
    </w:p>
    <w:p w:rsidR="00003288" w:rsidRDefault="00CC47FC" w:rsidP="008C55D1">
      <w:r>
        <w:t xml:space="preserve">Because of </w:t>
      </w:r>
      <w:r w:rsidR="00003288">
        <w:t xml:space="preserve">the nature of the information collected from and </w:t>
      </w:r>
      <w:r w:rsidR="00286A14">
        <w:t>about</w:t>
      </w:r>
      <w:r w:rsidR="00003288">
        <w:t xml:space="preserve"> study participants, strict confidentiality procedures </w:t>
      </w:r>
      <w:r w:rsidR="00003288" w:rsidRPr="008C55D1">
        <w:t>will</w:t>
      </w:r>
      <w:r w:rsidR="00003288">
        <w:t xml:space="preserve"> be followed for this evaluation</w:t>
      </w:r>
      <w:r w:rsidR="00A900DC">
        <w:t xml:space="preserve">. </w:t>
      </w:r>
      <w:r w:rsidR="00003288">
        <w:t>The information requested under this collection is protected and held confidential in accordance with 42 U.S.C. 1306, 20 CFR 401 and 402, 5 U.S.C.552 (Freedom of Information Act), 5 U.S.C. 552a (Privacy Act of 1974)</w:t>
      </w:r>
      <w:r w:rsidR="00A900DC">
        <w:t xml:space="preserve">. </w:t>
      </w:r>
      <w:r w:rsidR="00003288">
        <w:t xml:space="preserve">As required by 5 U.S.C. 552a (Privacy Act of 1974), HUD </w:t>
      </w:r>
      <w:r w:rsidR="00941909">
        <w:t>has published</w:t>
      </w:r>
      <w:r w:rsidR="00DB49E7">
        <w:t xml:space="preserve"> </w:t>
      </w:r>
      <w:r w:rsidR="00003288">
        <w:t>a Systems of Record Notice (SORN) in the Federal Register</w:t>
      </w:r>
      <w:r w:rsidR="00A900DC">
        <w:t xml:space="preserve">. </w:t>
      </w:r>
    </w:p>
    <w:p w:rsidR="00344478" w:rsidRDefault="00941909" w:rsidP="008C55D1">
      <w:r>
        <w:t>T</w:t>
      </w:r>
      <w:r w:rsidR="00344478">
        <w:t xml:space="preserve">he study protocols and consent process </w:t>
      </w:r>
      <w:r>
        <w:t>are currently being</w:t>
      </w:r>
      <w:r w:rsidR="00344478">
        <w:t xml:space="preserve"> reviewed in detail by </w:t>
      </w:r>
      <w:proofErr w:type="spellStart"/>
      <w:r w:rsidR="00344478">
        <w:t>Abt</w:t>
      </w:r>
      <w:proofErr w:type="spellEnd"/>
      <w:r w:rsidR="00344478">
        <w:t xml:space="preserve"> Associates’ Institutional Review Board (IRB)</w:t>
      </w:r>
      <w:r w:rsidR="00EB7E84">
        <w:t xml:space="preserve">. </w:t>
      </w:r>
      <w:r w:rsidR="00344478">
        <w:t xml:space="preserve">The IRB review </w:t>
      </w:r>
      <w:r w:rsidR="00164C09">
        <w:t>process will review all study protocols, including the consent process and confidentiality protections</w:t>
      </w:r>
      <w:r w:rsidR="00EB7E84">
        <w:t xml:space="preserve">. </w:t>
      </w:r>
      <w:r w:rsidR="00164C09">
        <w:t>Detailed plans for informed consent and data security procedures are described below.</w:t>
      </w:r>
    </w:p>
    <w:p w:rsidR="00003288" w:rsidRPr="008A4C69" w:rsidRDefault="00003288" w:rsidP="00003288">
      <w:pPr>
        <w:pStyle w:val="Heading3"/>
      </w:pPr>
      <w:bookmarkStart w:id="17" w:name="_Toc273017106"/>
      <w:bookmarkStart w:id="18" w:name="_Toc273017308"/>
      <w:bookmarkStart w:id="19" w:name="_Toc273116328"/>
      <w:bookmarkStart w:id="20" w:name="_Toc332378280"/>
      <w:r>
        <w:t>Informed Consent</w:t>
      </w:r>
      <w:bookmarkEnd w:id="17"/>
      <w:bookmarkEnd w:id="18"/>
      <w:bookmarkEnd w:id="19"/>
      <w:bookmarkEnd w:id="20"/>
    </w:p>
    <w:p w:rsidR="00003288" w:rsidRDefault="00B74983" w:rsidP="00EB7E84">
      <w:r>
        <w:t>Following the</w:t>
      </w:r>
      <w:r w:rsidR="006149CF">
        <w:t xml:space="preserve"> eligibilit</w:t>
      </w:r>
      <w:r w:rsidR="006D4A23">
        <w:t xml:space="preserve">y assessment, </w:t>
      </w:r>
      <w:proofErr w:type="spellStart"/>
      <w:r w:rsidR="006D4A23">
        <w:t>Abt</w:t>
      </w:r>
      <w:proofErr w:type="spellEnd"/>
      <w:r w:rsidR="006D4A23">
        <w:t xml:space="preserve"> Associates’ survey subsidiary</w:t>
      </w:r>
      <w:r w:rsidR="006149CF">
        <w:t xml:space="preserve"> will administer the study participation </w:t>
      </w:r>
      <w:r>
        <w:t xml:space="preserve">consent </w:t>
      </w:r>
      <w:r w:rsidR="006149CF">
        <w:t xml:space="preserve">agreement. </w:t>
      </w:r>
      <w:r w:rsidR="007F6C43">
        <w:t>(</w:t>
      </w:r>
      <w:r w:rsidR="007F6C43" w:rsidRPr="00633AB2">
        <w:t xml:space="preserve">The </w:t>
      </w:r>
      <w:r w:rsidR="007F6C43">
        <w:t>consent agreement is provided in</w:t>
      </w:r>
      <w:r w:rsidR="00F54184">
        <w:t xml:space="preserve"> </w:t>
      </w:r>
      <w:r w:rsidR="007F6C43">
        <w:t xml:space="preserve">Appendix C.) </w:t>
      </w:r>
      <w:r w:rsidR="00CC47FC">
        <w:t xml:space="preserve">The </w:t>
      </w:r>
      <w:r w:rsidRPr="008C55D1">
        <w:t>study</w:t>
      </w:r>
      <w:r>
        <w:t xml:space="preserve"> team member</w:t>
      </w:r>
      <w:r w:rsidR="00003288">
        <w:t xml:space="preserve"> will </w:t>
      </w:r>
      <w:r w:rsidR="00CC47FC">
        <w:t xml:space="preserve">read </w:t>
      </w:r>
      <w:r w:rsidR="00003288">
        <w:t xml:space="preserve">the participant </w:t>
      </w:r>
      <w:r w:rsidR="00122A2E">
        <w:t xml:space="preserve">consent </w:t>
      </w:r>
      <w:r w:rsidR="00003288">
        <w:t xml:space="preserve">agreement </w:t>
      </w:r>
      <w:r w:rsidR="00CC47FC">
        <w:t>to the prospective study participant</w:t>
      </w:r>
      <w:r w:rsidR="00A900DC">
        <w:t xml:space="preserve">. </w:t>
      </w:r>
      <w:r w:rsidR="00CC47FC">
        <w:t xml:space="preserve">The agreement </w:t>
      </w:r>
      <w:r>
        <w:t xml:space="preserve">briefly </w:t>
      </w:r>
      <w:r w:rsidR="00003288">
        <w:t xml:space="preserve">describes the study, </w:t>
      </w:r>
      <w:r w:rsidR="006149CF">
        <w:t xml:space="preserve">the random assignment process, </w:t>
      </w:r>
      <w:r w:rsidR="00CC47FC">
        <w:t xml:space="preserve">the </w:t>
      </w:r>
      <w:r w:rsidR="006149CF">
        <w:t xml:space="preserve">incentive structure, </w:t>
      </w:r>
      <w:r w:rsidR="00003288">
        <w:t xml:space="preserve">the risks associated with </w:t>
      </w:r>
      <w:r w:rsidR="006149CF">
        <w:t xml:space="preserve">study </w:t>
      </w:r>
      <w:r w:rsidR="00003288">
        <w:t xml:space="preserve">participation, what is being done to mitigate these risks, and what will be expected if the </w:t>
      </w:r>
      <w:r w:rsidR="00740A1C">
        <w:t>c</w:t>
      </w:r>
      <w:r w:rsidR="005F1BAC">
        <w:t>ustomer</w:t>
      </w:r>
      <w:r w:rsidR="00F54184">
        <w:t xml:space="preserve"> </w:t>
      </w:r>
      <w:r w:rsidR="00003288">
        <w:t>agre</w:t>
      </w:r>
      <w:r w:rsidR="006149CF">
        <w:t>es to participate in the study. Those who agree to participate in the study will provide verbal consent</w:t>
      </w:r>
      <w:r w:rsidR="00CC47FC">
        <w:t xml:space="preserve">, as the participation agreement will be administered </w:t>
      </w:r>
      <w:r w:rsidR="00CC47FC" w:rsidRPr="00EB7E84">
        <w:t>by</w:t>
      </w:r>
      <w:r w:rsidR="00CC47FC">
        <w:t xml:space="preserve"> telephone.</w:t>
      </w:r>
      <w:r>
        <w:t xml:space="preserve"> Participant consent will be collected verbally </w:t>
      </w:r>
      <w:r w:rsidR="00A2266D">
        <w:t xml:space="preserve">because it </w:t>
      </w:r>
      <w:r>
        <w:t>reduces the burden on lenders to colle</w:t>
      </w:r>
      <w:r w:rsidR="009E1EB8">
        <w:t xml:space="preserve">ct this information and mail the completed agreement </w:t>
      </w:r>
      <w:r>
        <w:t>form</w:t>
      </w:r>
      <w:r w:rsidR="009E1EB8">
        <w:t>s</w:t>
      </w:r>
      <w:r w:rsidR="00CD2BAE">
        <w:t xml:space="preserve"> </w:t>
      </w:r>
      <w:r w:rsidR="009E1EB8">
        <w:t xml:space="preserve">back to the study team. </w:t>
      </w:r>
      <w:r w:rsidR="00A2266D">
        <w:t>This consent agreement will be recorded to provide assurance to study participating lenders that their customer has consented to all study activities.</w:t>
      </w:r>
    </w:p>
    <w:p w:rsidR="00873DE5" w:rsidRDefault="007F6C43" w:rsidP="008C55D1">
      <w:r>
        <w:t>If</w:t>
      </w:r>
      <w:r w:rsidR="00873DE5">
        <w:t xml:space="preserve"> a study participant secures a home loan from a participating lender</w:t>
      </w:r>
      <w:r>
        <w:t xml:space="preserve"> with a </w:t>
      </w:r>
      <w:r w:rsidRPr="005F1BAC">
        <w:t>co-borrower</w:t>
      </w:r>
      <w:r w:rsidR="00873DE5" w:rsidRPr="005F1BAC">
        <w:t>,</w:t>
      </w:r>
      <w:r w:rsidR="00873DE5">
        <w:t xml:space="preserve"> then the study team</w:t>
      </w:r>
      <w:r>
        <w:t xml:space="preserve"> also</w:t>
      </w:r>
      <w:r w:rsidR="00873DE5">
        <w:t xml:space="preserve"> needs to obtain consent from the co-borrower to collect information on that loan origination and performance data. </w:t>
      </w:r>
      <w:r>
        <w:t>(The co-borrower consent agreement is provided in Appendix D.) Like the participant agreement, the co-borrower</w:t>
      </w:r>
      <w:r w:rsidR="00A2266D">
        <w:t xml:space="preserve"> consent agreement will be</w:t>
      </w:r>
      <w:r>
        <w:t xml:space="preserve"> read over the telephone and</w:t>
      </w:r>
      <w:r w:rsidR="00A2266D">
        <w:t xml:space="preserve"> recorded to provide assurance to study participating lenders that their customer has consented to </w:t>
      </w:r>
      <w:r>
        <w:t>have the lender</w:t>
      </w:r>
      <w:r w:rsidR="00F54184">
        <w:t xml:space="preserve"> </w:t>
      </w:r>
      <w:r>
        <w:t xml:space="preserve">provide </w:t>
      </w:r>
      <w:r w:rsidR="00A2266D">
        <w:t>loan origination and performance data to the research team.</w:t>
      </w:r>
    </w:p>
    <w:p w:rsidR="00003288" w:rsidRDefault="00581557" w:rsidP="00581557">
      <w:pPr>
        <w:pStyle w:val="Heading3"/>
      </w:pPr>
      <w:bookmarkStart w:id="21" w:name="_Toc273017107"/>
      <w:bookmarkStart w:id="22" w:name="_Toc273017309"/>
      <w:bookmarkStart w:id="23" w:name="_Toc273116329"/>
      <w:bookmarkStart w:id="24" w:name="_Toc332378281"/>
      <w:r>
        <w:t xml:space="preserve">Data </w:t>
      </w:r>
      <w:r w:rsidR="00003288">
        <w:t>Confidentiality Protections</w:t>
      </w:r>
      <w:bookmarkEnd w:id="21"/>
      <w:bookmarkEnd w:id="22"/>
      <w:bookmarkEnd w:id="23"/>
      <w:bookmarkEnd w:id="24"/>
    </w:p>
    <w:p w:rsidR="001B6DC8" w:rsidRDefault="00003288" w:rsidP="008C55D1">
      <w:r>
        <w:t>The research team has establish</w:t>
      </w:r>
      <w:r w:rsidR="00581557">
        <w:t xml:space="preserve">ed </w:t>
      </w:r>
      <w:r>
        <w:t>rigorous data security and confidential</w:t>
      </w:r>
      <w:r w:rsidR="00DA3F3A">
        <w:t>ity</w:t>
      </w:r>
      <w:r>
        <w:t xml:space="preserve"> provisions that are documented as part of the study’s Data Security Plan and in the Department’s SORN and Privacy Impact Assessment</w:t>
      </w:r>
      <w:r w:rsidR="00A900DC">
        <w:t xml:space="preserve">. </w:t>
      </w:r>
      <w:r>
        <w:t xml:space="preserve">First, all </w:t>
      </w:r>
      <w:r w:rsidR="00B13E85">
        <w:t xml:space="preserve">data </w:t>
      </w:r>
      <w:r>
        <w:t xml:space="preserve">users will be aware of </w:t>
      </w:r>
      <w:r w:rsidR="0043105D">
        <w:t xml:space="preserve">and trained on </w:t>
      </w:r>
      <w:r>
        <w:t>their resp</w:t>
      </w:r>
      <w:r w:rsidR="00581557">
        <w:t>onsibilities to protect</w:t>
      </w:r>
      <w:r>
        <w:t xml:space="preserve"> participants’ personal information, including the limitations on uses and disclosures of data</w:t>
      </w:r>
      <w:r w:rsidR="00A900DC">
        <w:t xml:space="preserve">. </w:t>
      </w:r>
      <w:r w:rsidR="00B13E85">
        <w:t>T</w:t>
      </w:r>
      <w:r>
        <w:t xml:space="preserve">he </w:t>
      </w:r>
      <w:r w:rsidR="006820F3">
        <w:t xml:space="preserve">study’s RAST data system </w:t>
      </w:r>
      <w:r>
        <w:t>will be designed to limit access to data to authorized users with levels of access commensurate with each person’s role on the project</w:t>
      </w:r>
      <w:r w:rsidR="00A900DC">
        <w:t xml:space="preserve">. </w:t>
      </w:r>
      <w:r>
        <w:t xml:space="preserve">The web server hosting the </w:t>
      </w:r>
      <w:r w:rsidR="006820F3">
        <w:t xml:space="preserve">data system </w:t>
      </w:r>
      <w:r>
        <w:t>will be maintained in a secure facility with power back up, network redundancy</w:t>
      </w:r>
      <w:r w:rsidR="00CC47FC">
        <w:t>,</w:t>
      </w:r>
      <w:r>
        <w:t xml:space="preserve"> and system monitoring. In addition, daily back up of </w:t>
      </w:r>
      <w:r w:rsidR="00CC47FC">
        <w:t xml:space="preserve">the </w:t>
      </w:r>
      <w:r>
        <w:t>server will be maintaine</w:t>
      </w:r>
      <w:r w:rsidR="00625890">
        <w:t>d at the data center and an off-</w:t>
      </w:r>
      <w:r>
        <w:t>site location</w:t>
      </w:r>
      <w:r w:rsidR="00A900DC">
        <w:t xml:space="preserve">. </w:t>
      </w:r>
      <w:r w:rsidR="00297A75">
        <w:t>The RAST</w:t>
      </w:r>
      <w:r>
        <w:t xml:space="preserve"> will be password protected</w:t>
      </w:r>
      <w:r w:rsidR="00CC47FC">
        <w:t>,</w:t>
      </w:r>
      <w:r>
        <w:t xml:space="preserve"> and access will be provided after user authentication. In </w:t>
      </w:r>
      <w:r w:rsidR="00CC47FC">
        <w:t xml:space="preserve">the </w:t>
      </w:r>
      <w:r>
        <w:t xml:space="preserve">case of </w:t>
      </w:r>
      <w:r w:rsidR="00CC47FC">
        <w:t xml:space="preserve">a </w:t>
      </w:r>
      <w:r>
        <w:t>forgotten password, the system will email the password to</w:t>
      </w:r>
      <w:r w:rsidR="00CC47FC">
        <w:t xml:space="preserve"> the</w:t>
      </w:r>
      <w:r w:rsidR="00D9040C">
        <w:t xml:space="preserve"> registered user</w:t>
      </w:r>
      <w:r w:rsidR="00CC47FC">
        <w:t>'s</w:t>
      </w:r>
      <w:r w:rsidR="00D9040C">
        <w:t xml:space="preserve"> email address.</w:t>
      </w:r>
    </w:p>
    <w:p w:rsidR="00E67B33" w:rsidRDefault="00E67B33" w:rsidP="008C55D1">
      <w:r>
        <w:lastRenderedPageBreak/>
        <w:t>An assurance of confidentiality is included in the</w:t>
      </w:r>
      <w:r w:rsidR="000503BF">
        <w:t xml:space="preserve"> </w:t>
      </w:r>
      <w:r w:rsidR="006820F3">
        <w:t xml:space="preserve">study participation consent agreement </w:t>
      </w:r>
      <w:r w:rsidR="00064627">
        <w:t>through which</w:t>
      </w:r>
      <w:r>
        <w:t xml:space="preserve"> participants will provide </w:t>
      </w:r>
      <w:r w:rsidR="00923C58">
        <w:t>informed consent (see Appendix C</w:t>
      </w:r>
      <w:r>
        <w:t xml:space="preserve">). An assurance of confidentiality also will be made to all respondents as part of the introduction to each of the surveys. For both survey data and corresponding administrative data on sample members, computer security will be maintained by passwords known only to </w:t>
      </w:r>
      <w:r w:rsidR="00F971F2">
        <w:t xml:space="preserve">a limited number of </w:t>
      </w:r>
      <w:r>
        <w:t xml:space="preserve">project staff members </w:t>
      </w:r>
      <w:r w:rsidR="00F971F2">
        <w:t>who need</w:t>
      </w:r>
      <w:r>
        <w:t xml:space="preserve"> access to these files.</w:t>
      </w:r>
    </w:p>
    <w:p w:rsidR="00E67B33" w:rsidRDefault="00E67B33" w:rsidP="008C55D1">
      <w:r w:rsidRPr="00E67B33">
        <w:t xml:space="preserve">The following </w:t>
      </w:r>
      <w:r w:rsidRPr="008C55D1">
        <w:t>safeguards</w:t>
      </w:r>
      <w:r w:rsidRPr="00E67B33">
        <w:t xml:space="preserve"> shall be used to secure data in storage, retrieval, during access, and disposal. </w:t>
      </w:r>
    </w:p>
    <w:p w:rsidR="00C8411A" w:rsidRDefault="00C8411A" w:rsidP="00190EC9">
      <w:pPr>
        <w:pStyle w:val="Bullets"/>
      </w:pPr>
      <w:r w:rsidRPr="00C8411A">
        <w:t>All personal data will be maintained on a secure workstation or server that is protected by a firewall and complex passwords, in a directory that can only be accessed by the network administrators and the analysts actively working on the data.</w:t>
      </w:r>
    </w:p>
    <w:p w:rsidR="00C8411A" w:rsidRPr="00C8411A" w:rsidRDefault="00C8411A" w:rsidP="00190EC9">
      <w:pPr>
        <w:pStyle w:val="Bullets"/>
      </w:pPr>
      <w:r w:rsidRPr="00C8411A">
        <w:t>Data files used for analysis will be stored in a separate location from files with identifying information to minimize the risk that an unauthorized user could use the unique identification number to link de-identified files with the identifiers.</w:t>
      </w:r>
    </w:p>
    <w:p w:rsidR="00C8411A" w:rsidRPr="00C8411A" w:rsidRDefault="00C8411A" w:rsidP="00190EC9">
      <w:pPr>
        <w:pStyle w:val="Bullets"/>
      </w:pPr>
      <w:r w:rsidRPr="00C8411A">
        <w:t>Access rights to the data are granted to limited researchers on a need-to-know basis, and the level of access provided to each researcher is based on the minimal level required that individual to fulfill his research role.</w:t>
      </w:r>
    </w:p>
    <w:p w:rsidR="00C8411A" w:rsidRPr="00C8411A" w:rsidRDefault="00C8411A" w:rsidP="00190EC9">
      <w:pPr>
        <w:pStyle w:val="Bullets"/>
      </w:pPr>
      <w:proofErr w:type="spellStart"/>
      <w:r w:rsidRPr="00C8411A">
        <w:t>Abt</w:t>
      </w:r>
      <w:proofErr w:type="spellEnd"/>
      <w:r w:rsidRPr="00C8411A">
        <w:t xml:space="preserve"> Associates will back-up the data on a regular basis </w:t>
      </w:r>
      <w:r w:rsidR="007676F6">
        <w:t>and use</w:t>
      </w:r>
      <w:r w:rsidRPr="00C8411A">
        <w:t xml:space="preserve"> offsite</w:t>
      </w:r>
      <w:r w:rsidR="007676F6">
        <w:t xml:space="preserve"> storage</w:t>
      </w:r>
      <w:r w:rsidRPr="00C8411A">
        <w:t xml:space="preserve"> to reduce the effects</w:t>
      </w:r>
      <w:r w:rsidR="007676F6">
        <w:t xml:space="preserve"> of</w:t>
      </w:r>
      <w:r w:rsidRPr="00C8411A">
        <w:t xml:space="preserve"> system failures or disasters.  Backup media will be encrypted. Data will never be stored on a laptop or on a movable media such as CDs, diskettes, or USB flash drives without encryption.</w:t>
      </w:r>
    </w:p>
    <w:p w:rsidR="00C8411A" w:rsidRPr="00C8411A" w:rsidRDefault="00C8411A" w:rsidP="00190EC9">
      <w:pPr>
        <w:pStyle w:val="Bullets"/>
      </w:pPr>
      <w:r w:rsidRPr="00C8411A">
        <w:t>If an authorized researcher leaves employment or is no longer working on this project, their user ID and access will be terminated within one day.  These steps will be documented as part of termination process.</w:t>
      </w:r>
    </w:p>
    <w:p w:rsidR="00C8411A" w:rsidRPr="00C8411A" w:rsidRDefault="00C8411A" w:rsidP="00190EC9">
      <w:pPr>
        <w:pStyle w:val="BulletsLast"/>
      </w:pPr>
      <w:r w:rsidRPr="00C8411A">
        <w:t>Study</w:t>
      </w:r>
      <w:r w:rsidR="00CD2BAE">
        <w:t xml:space="preserve"> </w:t>
      </w:r>
      <w:r w:rsidRPr="00C8411A">
        <w:t>team interviewers will securely store any hard copy documents with personal protected information, such as tracking letters.</w:t>
      </w:r>
    </w:p>
    <w:p w:rsidR="001B6DC8" w:rsidRDefault="001B6DC8" w:rsidP="002A5FC8">
      <w:pPr>
        <w:pStyle w:val="Heading2"/>
      </w:pPr>
      <w:bookmarkStart w:id="25" w:name="_Toc332378282"/>
      <w:r>
        <w:t>Sensitive Questions</w:t>
      </w:r>
      <w:bookmarkEnd w:id="25"/>
    </w:p>
    <w:p w:rsidR="008D3D55" w:rsidRDefault="008D3D55" w:rsidP="008C55D1">
      <w:r>
        <w:t xml:space="preserve">The lender intake form collects information on </w:t>
      </w:r>
      <w:r w:rsidR="005F1BAC">
        <w:t>the customer’s</w:t>
      </w:r>
      <w:r>
        <w:t xml:space="preserve"> name and contact information, co-borrower’s na</w:t>
      </w:r>
      <w:r w:rsidR="0046720A">
        <w:t>me and contact information</w:t>
      </w:r>
      <w:r>
        <w:t>, dat</w:t>
      </w:r>
      <w:r w:rsidR="0046720A">
        <w:t>e of birth, income,</w:t>
      </w:r>
      <w:r>
        <w:t xml:space="preserve"> and first-time homebuyer status. This information will be treated as sensitive, confidential information to be used only for the purposes of this study</w:t>
      </w:r>
      <w:r w:rsidR="00592BDD">
        <w:t>.</w:t>
      </w:r>
    </w:p>
    <w:p w:rsidR="00A2266D" w:rsidRDefault="00625890" w:rsidP="008C55D1">
      <w:r w:rsidRPr="00425676">
        <w:t xml:space="preserve">The </w:t>
      </w:r>
      <w:r w:rsidR="006D4A23">
        <w:t>eligibility assessment colle</w:t>
      </w:r>
      <w:r w:rsidR="008D3D55">
        <w:t xml:space="preserve">cts information on </w:t>
      </w:r>
      <w:r w:rsidR="005F1BAC">
        <w:t>the customer’s</w:t>
      </w:r>
      <w:r w:rsidR="006D4A23">
        <w:t xml:space="preserve"> first-tim</w:t>
      </w:r>
      <w:r w:rsidR="008D3D55">
        <w:t>e homebuyer status (validation check for len</w:t>
      </w:r>
      <w:r w:rsidR="00923C58">
        <w:t>der intake form)</w:t>
      </w:r>
      <w:r w:rsidR="006D4A23">
        <w:t>, access to transportation and a</w:t>
      </w:r>
      <w:r w:rsidR="008D3D55">
        <w:t xml:space="preserve"> computer, previous experience with pre-purchase education and/or </w:t>
      </w:r>
      <w:r w:rsidR="00740A1C">
        <w:t xml:space="preserve">housing </w:t>
      </w:r>
      <w:r w:rsidR="008D3D55">
        <w:t>counseling, and language competency</w:t>
      </w:r>
      <w:r w:rsidR="006D4A23">
        <w:t xml:space="preserve">. </w:t>
      </w:r>
      <w:r w:rsidR="0043105D" w:rsidRPr="00425676">
        <w:t xml:space="preserve">The participation </w:t>
      </w:r>
      <w:r w:rsidR="0043105D">
        <w:t xml:space="preserve">consent </w:t>
      </w:r>
      <w:r w:rsidR="0043105D" w:rsidRPr="008C55D1">
        <w:t>agreement</w:t>
      </w:r>
      <w:r w:rsidR="0043105D">
        <w:t xml:space="preserve"> collects the </w:t>
      </w:r>
      <w:r w:rsidR="005F1BAC">
        <w:t>customer’s</w:t>
      </w:r>
      <w:r w:rsidR="0043105D">
        <w:t xml:space="preserve"> name, social security number, and date of birth</w:t>
      </w:r>
      <w:r w:rsidR="00A2266D">
        <w:t>.</w:t>
      </w:r>
      <w:r w:rsidR="000503BF">
        <w:t xml:space="preserve"> </w:t>
      </w:r>
      <w:r w:rsidR="007C1643">
        <w:t xml:space="preserve">These questions are necessary to determine </w:t>
      </w:r>
      <w:r w:rsidR="0043105D">
        <w:t>consent</w:t>
      </w:r>
      <w:r w:rsidR="007C1643">
        <w:t xml:space="preserve"> status </w:t>
      </w:r>
      <w:r w:rsidR="00C60024">
        <w:t>and</w:t>
      </w:r>
      <w:r w:rsidR="006820F3">
        <w:t xml:space="preserve"> to confirm the identity </w:t>
      </w:r>
      <w:r w:rsidR="007C1643">
        <w:t xml:space="preserve">of </w:t>
      </w:r>
      <w:r w:rsidR="006820F3">
        <w:t>study participants</w:t>
      </w:r>
      <w:r w:rsidR="007C1643">
        <w:t>, and</w:t>
      </w:r>
      <w:r w:rsidR="00064627">
        <w:t>,</w:t>
      </w:r>
      <w:r w:rsidR="007C1643">
        <w:t xml:space="preserve"> therefore</w:t>
      </w:r>
      <w:r w:rsidR="00064627">
        <w:t>,</w:t>
      </w:r>
      <w:r w:rsidR="00CD2BAE">
        <w:t xml:space="preserve"> </w:t>
      </w:r>
      <w:r w:rsidR="00D9040C">
        <w:t>all questions must</w:t>
      </w:r>
      <w:r w:rsidR="007C1643">
        <w:t xml:space="preserve"> be answered by </w:t>
      </w:r>
      <w:r w:rsidR="005F1BAC">
        <w:t>customer</w:t>
      </w:r>
      <w:r w:rsidR="007C1643">
        <w:t>s interested in participating in the study.</w:t>
      </w:r>
      <w:r w:rsidR="008D3D55">
        <w:t xml:space="preserve"> This information will be treated as sensitive, confidential information to be used only for the purposes of this study.</w:t>
      </w:r>
    </w:p>
    <w:p w:rsidR="007C1643" w:rsidRDefault="007C1643" w:rsidP="008C55D1">
      <w:r>
        <w:rPr>
          <w:szCs w:val="22"/>
        </w:rPr>
        <w:lastRenderedPageBreak/>
        <w:t xml:space="preserve">The baseline survey </w:t>
      </w:r>
      <w:r w:rsidR="00625890" w:rsidRPr="00425676">
        <w:rPr>
          <w:szCs w:val="22"/>
        </w:rPr>
        <w:t xml:space="preserve">includes </w:t>
      </w:r>
      <w:r w:rsidR="00E67B33">
        <w:rPr>
          <w:szCs w:val="22"/>
        </w:rPr>
        <w:t xml:space="preserve">study participant’s contact information; </w:t>
      </w:r>
      <w:r>
        <w:t xml:space="preserve">demographic characteristics </w:t>
      </w:r>
      <w:r w:rsidR="00625890" w:rsidRPr="00425676">
        <w:t xml:space="preserve">(e.g., race/ethnicity, gender, marital status); </w:t>
      </w:r>
      <w:r w:rsidR="00167764">
        <w:t>the stage in the home purchase process and preparedness for home purchase (e.g., the extent of respondents’ home search prior to pre-qualification, intended down payment amount, expected timeline for home purchase</w:t>
      </w:r>
      <w:r w:rsidR="00A92DF4">
        <w:t>); and baseline measures of time-</w:t>
      </w:r>
      <w:r w:rsidR="002A5FC8">
        <w:t>varying</w:t>
      </w:r>
      <w:r w:rsidR="000503BF">
        <w:t xml:space="preserve"> </w:t>
      </w:r>
      <w:r w:rsidR="00A92DF4">
        <w:t>study outcomes</w:t>
      </w:r>
      <w:r w:rsidR="00167764">
        <w:t xml:space="preserve"> (e.g., </w:t>
      </w:r>
      <w:r w:rsidR="00625890" w:rsidRPr="00425676">
        <w:t>income sources and total family income</w:t>
      </w:r>
      <w:r w:rsidR="00167764">
        <w:t>, financial literacy, non-housing savings/debts, budgeting activities, and employment and earnings).This information will be treated as sensitive, confidential information to be used only for the purposes of this study</w:t>
      </w:r>
      <w:r w:rsidR="00F51EB4">
        <w:t xml:space="preserve">. </w:t>
      </w:r>
      <w:r w:rsidR="00DA3F3A">
        <w:t>Prior to the baseline survey, r</w:t>
      </w:r>
      <w:r w:rsidR="00F51EB4">
        <w:t>espondents will be reminded that they can refuse to answer any questions with no repercussion.</w:t>
      </w:r>
    </w:p>
    <w:p w:rsidR="00A2266D" w:rsidRDefault="00A2266D" w:rsidP="008C55D1">
      <w:r>
        <w:t>The co-borrower’s consent agreement collects and records the co-borrower’s name</w:t>
      </w:r>
      <w:r w:rsidR="00A36374">
        <w:t xml:space="preserve"> and social security number</w:t>
      </w:r>
      <w:r>
        <w:t>. This information is necessary to collect loan origination and performance data from study participating lenders.</w:t>
      </w:r>
    </w:p>
    <w:p w:rsidR="001B6DC8" w:rsidRDefault="00167764" w:rsidP="008C55D1">
      <w:r>
        <w:t xml:space="preserve">The </w:t>
      </w:r>
      <w:r w:rsidR="0043105D">
        <w:t>implementation</w:t>
      </w:r>
      <w:r w:rsidR="009E1EB8">
        <w:t xml:space="preserve"> study t</w:t>
      </w:r>
      <w:r>
        <w:t xml:space="preserve">elephone survey </w:t>
      </w:r>
      <w:r w:rsidR="00D9040C">
        <w:t>includes the participant</w:t>
      </w:r>
      <w:r w:rsidR="00F51EB4">
        <w:t>s</w:t>
      </w:r>
      <w:r w:rsidR="00D9040C">
        <w:t>’</w:t>
      </w:r>
      <w:r>
        <w:t xml:space="preserve"> experience</w:t>
      </w:r>
      <w:r w:rsidR="00D9040C">
        <w:t>s</w:t>
      </w:r>
      <w:r>
        <w:t xml:space="preserve"> with the study’s recruitment and enrollment process; </w:t>
      </w:r>
      <w:r w:rsidR="00DA3F3A">
        <w:t xml:space="preserve">participants’ assignment to </w:t>
      </w:r>
      <w:r w:rsidR="00740A1C">
        <w:t xml:space="preserve">housing </w:t>
      </w:r>
      <w:r w:rsidR="00DA3F3A">
        <w:t xml:space="preserve">counseling services and completion of </w:t>
      </w:r>
      <w:r w:rsidR="00740A1C">
        <w:t xml:space="preserve">housing </w:t>
      </w:r>
      <w:r w:rsidR="00DA3F3A">
        <w:t>counseling</w:t>
      </w:r>
      <w:r>
        <w:t xml:space="preserve">; and </w:t>
      </w:r>
      <w:r w:rsidR="00820112" w:rsidRPr="008C55D1">
        <w:t>participants’</w:t>
      </w:r>
      <w:r>
        <w:t xml:space="preserve"> opinions</w:t>
      </w:r>
      <w:r w:rsidR="00F51EB4">
        <w:t xml:space="preserve"> on the pre-purchase </w:t>
      </w:r>
      <w:r w:rsidR="00740A1C">
        <w:t xml:space="preserve">housing </w:t>
      </w:r>
      <w:r w:rsidR="00F51EB4">
        <w:t xml:space="preserve">counseling they received. This information will be treated as sensitive, confidential information to be used only for the purposes of this study. </w:t>
      </w:r>
      <w:r w:rsidR="00625890">
        <w:t xml:space="preserve">Respondents will also be reminded that they can refuse to answer any </w:t>
      </w:r>
      <w:r w:rsidR="00F51EB4">
        <w:t>questions with no repercussion.</w:t>
      </w:r>
    </w:p>
    <w:p w:rsidR="00F51EB4" w:rsidRDefault="00F51EB4" w:rsidP="008C55D1">
      <w:r>
        <w:t>The interview</w:t>
      </w:r>
      <w:r w:rsidR="00A2266D">
        <w:t xml:space="preserve"> and observation</w:t>
      </w:r>
      <w:r>
        <w:t xml:space="preserve"> guides </w:t>
      </w:r>
      <w:r w:rsidRPr="008C55D1">
        <w:t>developed</w:t>
      </w:r>
      <w:r>
        <w:t xml:space="preserve"> for </w:t>
      </w:r>
      <w:r w:rsidR="00740A1C">
        <w:t xml:space="preserve">housing </w:t>
      </w:r>
      <w:r>
        <w:t>counseling agencies and lenders do not include any questions of a sensitive nature.</w:t>
      </w:r>
    </w:p>
    <w:p w:rsidR="001B6DC8" w:rsidRDefault="001B6DC8" w:rsidP="002A5FC8">
      <w:pPr>
        <w:pStyle w:val="Heading2"/>
      </w:pPr>
      <w:bookmarkStart w:id="26" w:name="_Toc332378283"/>
      <w:r>
        <w:t>Estimate of Burden of Hours</w:t>
      </w:r>
      <w:bookmarkEnd w:id="26"/>
    </w:p>
    <w:p w:rsidR="00D9040C" w:rsidRDefault="00F51EB4" w:rsidP="008C55D1">
      <w:r w:rsidRPr="00F51EB4">
        <w:t xml:space="preserve">Estimation of the total </w:t>
      </w:r>
      <w:r w:rsidRPr="008C55D1">
        <w:t>number</w:t>
      </w:r>
      <w:r w:rsidRPr="00F51EB4">
        <w:t xml:space="preserve"> of hours needed to prepare the information collection including number of respondents, frequency of response, and hours of response:  </w:t>
      </w:r>
    </w:p>
    <w:p w:rsidR="00D9040C" w:rsidRDefault="00AD7CD2" w:rsidP="008C55D1">
      <w:pPr>
        <w:pStyle w:val="Bullets"/>
      </w:pPr>
      <w:r>
        <w:t xml:space="preserve">The average time per customer for the </w:t>
      </w:r>
      <w:r w:rsidRPr="00441E8D">
        <w:t>87,500 customers</w:t>
      </w:r>
      <w:r>
        <w:t xml:space="preserve"> to receive a study recruitment call from participating lenders is 3 minutes. This number estimates a 20 percent take-up rate for customers expressing interest in learning more about participating in the study. The study team anticipates that </w:t>
      </w:r>
      <w:r w:rsidRPr="00441E8D">
        <w:t>20 percent</w:t>
      </w:r>
      <w:r>
        <w:t xml:space="preserve"> is a very conservative take-up rate for customers, and </w:t>
      </w:r>
      <w:r w:rsidR="00332D31">
        <w:t>we do not expect that lenders will h</w:t>
      </w:r>
      <w:r w:rsidR="000503BF">
        <w:t>ave to contact 87,500 customers.</w:t>
      </w:r>
      <w:r w:rsidR="003042FA">
        <w:t xml:space="preserve"> </w:t>
      </w:r>
      <w:r w:rsidR="00F51EB4" w:rsidRPr="00F51EB4">
        <w:t>The a</w:t>
      </w:r>
      <w:r w:rsidR="00C60024">
        <w:t>v</w:t>
      </w:r>
      <w:r w:rsidR="005F6366">
        <w:t xml:space="preserve">erage time per </w:t>
      </w:r>
      <w:r w:rsidR="005F1BAC">
        <w:t>customer</w:t>
      </w:r>
      <w:r w:rsidR="005F6366">
        <w:t xml:space="preserve"> for the 17,5</w:t>
      </w:r>
      <w:r w:rsidR="00F51EB4" w:rsidRPr="00F51EB4">
        <w:t>00 potential study participants to comp</w:t>
      </w:r>
      <w:r w:rsidR="00C60024">
        <w:t>lete the eligibility assessment</w:t>
      </w:r>
      <w:r w:rsidR="000503BF">
        <w:t xml:space="preserve"> </w:t>
      </w:r>
      <w:r w:rsidR="00C60024">
        <w:t xml:space="preserve">is </w:t>
      </w:r>
      <w:r w:rsidR="000503BF">
        <w:t>3</w:t>
      </w:r>
      <w:r w:rsidR="00F51EB4" w:rsidRPr="00F51EB4">
        <w:t xml:space="preserve"> minutes</w:t>
      </w:r>
      <w:r w:rsidR="000503BF">
        <w:t xml:space="preserve"> and 30 seconds. </w:t>
      </w:r>
      <w:r w:rsidR="00646A09">
        <w:t>The average time for pre-test participants to complete the eligibility assessment was 3 minutes and 12 seconds.</w:t>
      </w:r>
    </w:p>
    <w:p w:rsidR="00C60024" w:rsidRDefault="00C60024" w:rsidP="008C55D1">
      <w:pPr>
        <w:pStyle w:val="Bullets"/>
      </w:pPr>
      <w:r>
        <w:t>The averag</w:t>
      </w:r>
      <w:r w:rsidR="005F1BAC">
        <w:t>e time per study participant</w:t>
      </w:r>
      <w:r>
        <w:t xml:space="preserve"> for th</w:t>
      </w:r>
      <w:r w:rsidR="005F6366">
        <w:t>e 7</w:t>
      </w:r>
      <w:r>
        <w:t xml:space="preserve">,000 potential study participants to complete the consent form is </w:t>
      </w:r>
      <w:r w:rsidR="00646A09">
        <w:t>11</w:t>
      </w:r>
      <w:r>
        <w:t xml:space="preserve"> minutes.</w:t>
      </w:r>
      <w:r w:rsidR="00646A09">
        <w:t xml:space="preserve"> The average time for pre-test participants to complete the consent process was 11 minutes and 10 seconds.</w:t>
      </w:r>
    </w:p>
    <w:p w:rsidR="00D9040C" w:rsidRDefault="00F51EB4" w:rsidP="008C55D1">
      <w:pPr>
        <w:pStyle w:val="Bullets"/>
      </w:pPr>
      <w:r w:rsidRPr="00F51EB4">
        <w:t>The a</w:t>
      </w:r>
      <w:r w:rsidR="005F6366">
        <w:t xml:space="preserve">verage time per </w:t>
      </w:r>
      <w:r w:rsidR="005F1BAC">
        <w:t>study participant</w:t>
      </w:r>
      <w:r w:rsidR="005F6366">
        <w:t xml:space="preserve"> for the 7</w:t>
      </w:r>
      <w:r w:rsidRPr="00F51EB4">
        <w:t>,000 enrolled study participants to complete the baseline survey is 25 minutes</w:t>
      </w:r>
      <w:r w:rsidR="00A900DC">
        <w:t xml:space="preserve">. </w:t>
      </w:r>
      <w:r w:rsidR="00646A09">
        <w:t xml:space="preserve"> The average time for pre-test participants to complete the baseline survey was 23 minutes and 18 seconds.</w:t>
      </w:r>
    </w:p>
    <w:p w:rsidR="00D53DF6" w:rsidRDefault="00D53DF6" w:rsidP="008C55D1">
      <w:pPr>
        <w:pStyle w:val="Bullets"/>
      </w:pPr>
      <w:r>
        <w:t>The a</w:t>
      </w:r>
      <w:r w:rsidR="005F6366">
        <w:t xml:space="preserve">verage time per </w:t>
      </w:r>
      <w:r w:rsidR="00F54C85">
        <w:t>study participant</w:t>
      </w:r>
      <w:r w:rsidR="005F6366">
        <w:t xml:space="preserve"> for the 7</w:t>
      </w:r>
      <w:r>
        <w:t>,000 enrolled study participants to complete each tracking letter is 5 minutes.</w:t>
      </w:r>
    </w:p>
    <w:p w:rsidR="00D9040C" w:rsidRDefault="00F51EB4" w:rsidP="008C55D1">
      <w:pPr>
        <w:pStyle w:val="Bullets"/>
      </w:pPr>
      <w:r w:rsidRPr="00F51EB4">
        <w:lastRenderedPageBreak/>
        <w:t xml:space="preserve">The average time per </w:t>
      </w:r>
      <w:r w:rsidR="00424FA3">
        <w:t>study participant</w:t>
      </w:r>
      <w:r w:rsidRPr="00F51EB4">
        <w:t xml:space="preserve"> for the </w:t>
      </w:r>
      <w:r w:rsidR="00C60024">
        <w:t>200</w:t>
      </w:r>
      <w:r w:rsidR="0091475F">
        <w:t xml:space="preserve"> study participants completing the </w:t>
      </w:r>
      <w:r w:rsidR="008D3D55">
        <w:t>implementation</w:t>
      </w:r>
      <w:r w:rsidR="009E1EB8">
        <w:t xml:space="preserve"> study telephone i</w:t>
      </w:r>
      <w:r w:rsidRPr="00F51EB4">
        <w:t>nterview is 30 minutes</w:t>
      </w:r>
      <w:r w:rsidR="00A900DC">
        <w:t xml:space="preserve">. </w:t>
      </w:r>
    </w:p>
    <w:p w:rsidR="00A2266D" w:rsidRDefault="00A2266D" w:rsidP="008C55D1">
      <w:pPr>
        <w:pStyle w:val="Bullets"/>
      </w:pPr>
      <w:r>
        <w:t>The average time for each study participant’s co-borrower to complete the co-borrower consent agreement is 3 minutes.</w:t>
      </w:r>
    </w:p>
    <w:p w:rsidR="002F14A5" w:rsidRDefault="002F14A5" w:rsidP="008C55D1">
      <w:pPr>
        <w:pStyle w:val="Bullets"/>
      </w:pPr>
      <w:r>
        <w:t>The average time per housing counseling agency to spend on pre-study enrollment activities and the site visit is 84 hours. These activities include training staff,</w:t>
      </w:r>
      <w:r w:rsidR="00D51264">
        <w:t xml:space="preserve"> planning for a site visit,</w:t>
      </w:r>
      <w:r>
        <w:t xml:space="preserve"> preparing an outreach plan</w:t>
      </w:r>
      <w:r w:rsidR="00D51264">
        <w:t xml:space="preserve"> and </w:t>
      </w:r>
      <w:r>
        <w:t xml:space="preserve">data transfer protocol, and participating in a site visit. </w:t>
      </w:r>
    </w:p>
    <w:p w:rsidR="002F14A5" w:rsidRDefault="00F51EB4" w:rsidP="002F14A5">
      <w:pPr>
        <w:pStyle w:val="Bullets"/>
      </w:pPr>
      <w:r w:rsidRPr="00F51EB4">
        <w:t xml:space="preserve">The average time per </w:t>
      </w:r>
      <w:r w:rsidR="00424FA3">
        <w:t>study participant</w:t>
      </w:r>
      <w:r w:rsidRPr="00F51EB4">
        <w:t xml:space="preserve"> for </w:t>
      </w:r>
      <w:r w:rsidR="00987EDF">
        <w:t xml:space="preserve">housing </w:t>
      </w:r>
      <w:r w:rsidRPr="00F51EB4">
        <w:t>counseling agencies to document the services provided to study participants is 10 minutes</w:t>
      </w:r>
      <w:r w:rsidR="00EB7E84">
        <w:t xml:space="preserve">. </w:t>
      </w:r>
      <w:r w:rsidR="00DA70D8">
        <w:t xml:space="preserve">Each </w:t>
      </w:r>
      <w:r w:rsidR="00987EDF">
        <w:t xml:space="preserve">housing </w:t>
      </w:r>
      <w:r w:rsidR="00DA70D8">
        <w:t xml:space="preserve">counseling intervention contains both homeownership education and individualized </w:t>
      </w:r>
      <w:r w:rsidR="00987EDF">
        <w:t xml:space="preserve">housing </w:t>
      </w:r>
      <w:r w:rsidR="00DA70D8">
        <w:t>counseling</w:t>
      </w:r>
      <w:r w:rsidR="00EB7E84">
        <w:t xml:space="preserve">. </w:t>
      </w:r>
      <w:r w:rsidR="00987EDF">
        <w:t>Housing c</w:t>
      </w:r>
      <w:r w:rsidR="00DA70D8">
        <w:t xml:space="preserve">ounseling agencies will create a separate entry for each </w:t>
      </w:r>
      <w:r w:rsidR="008D3D55">
        <w:t xml:space="preserve">education and counseling service received. The estimated total burden is 20 minutes per </w:t>
      </w:r>
      <w:proofErr w:type="spellStart"/>
      <w:r w:rsidR="008D3D55">
        <w:t>participant.</w:t>
      </w:r>
      <w:r w:rsidR="002F14A5">
        <w:t>The</w:t>
      </w:r>
      <w:proofErr w:type="spellEnd"/>
      <w:r w:rsidR="002F14A5">
        <w:t xml:space="preserve"> average time for housing counseling agencies to spend conducting outreach to study participants is 2 hours per participant. </w:t>
      </w:r>
    </w:p>
    <w:p w:rsidR="002F14A5" w:rsidRDefault="002F14A5" w:rsidP="002F14A5">
      <w:pPr>
        <w:pStyle w:val="Bullets"/>
      </w:pPr>
      <w:r>
        <w:t>The average time</w:t>
      </w:r>
      <w:r w:rsidR="00D51264">
        <w:t xml:space="preserve"> for housing counseling agencies to communicate with the study team is estimated to be 100 minutes per study participant. </w:t>
      </w:r>
      <w:r>
        <w:t xml:space="preserve"> </w:t>
      </w:r>
      <w:r w:rsidR="00D51264">
        <w:t>This includes discussions about outreach attempts, completion of pre-purchase education and counseling activities, and service tracking data.</w:t>
      </w:r>
    </w:p>
    <w:p w:rsidR="00D9040C" w:rsidRDefault="00F51EB4" w:rsidP="008C55D1">
      <w:pPr>
        <w:pStyle w:val="Bullets"/>
      </w:pPr>
      <w:r w:rsidRPr="00F51EB4">
        <w:t xml:space="preserve">The average time per </w:t>
      </w:r>
      <w:r w:rsidR="00424FA3">
        <w:t>c</w:t>
      </w:r>
      <w:r w:rsidR="005F1BAC">
        <w:t>ustomer</w:t>
      </w:r>
      <w:r w:rsidRPr="00F51EB4">
        <w:t xml:space="preserve"> for lender staff to</w:t>
      </w:r>
      <w:r w:rsidR="00332D31">
        <w:t xml:space="preserve"> contact customers and</w:t>
      </w:r>
      <w:r w:rsidRPr="00F51EB4">
        <w:t xml:space="preserve"> input the</w:t>
      </w:r>
      <w:r w:rsidR="00332D31">
        <w:t>ir</w:t>
      </w:r>
      <w:r w:rsidRPr="00F51EB4">
        <w:t xml:space="preserve"> intake information is 3 minutes, wi</w:t>
      </w:r>
      <w:r w:rsidR="003A1DE8">
        <w:t>t</w:t>
      </w:r>
      <w:r w:rsidR="00AD7CD2">
        <w:t>h</w:t>
      </w:r>
      <w:r w:rsidR="00332D31">
        <w:t xml:space="preserve"> contact and</w:t>
      </w:r>
      <w:r w:rsidR="00AD7CD2">
        <w:t xml:space="preserve"> intake conducted with up to 87,500</w:t>
      </w:r>
      <w:r w:rsidRPr="00F51EB4">
        <w:t xml:space="preserve"> potential study participants</w:t>
      </w:r>
      <w:r w:rsidR="00A900DC">
        <w:t xml:space="preserve">. </w:t>
      </w:r>
    </w:p>
    <w:p w:rsidR="00E67B33" w:rsidRPr="00441E8D" w:rsidRDefault="00E67B33" w:rsidP="008C55D1">
      <w:pPr>
        <w:pStyle w:val="BulletsLast"/>
      </w:pPr>
      <w:r>
        <w:t>The average time for</w:t>
      </w:r>
      <w:r w:rsidR="0033109C">
        <w:t xml:space="preserve"> the lender’s customer service team to complete recru</w:t>
      </w:r>
      <w:r w:rsidR="005F6366">
        <w:t>itment call outcome report is 30</w:t>
      </w:r>
      <w:r w:rsidR="0033109C">
        <w:t xml:space="preserve"> minutes. These reports will be provided to the study team weekly through the enrollment period.</w:t>
      </w:r>
      <w:r w:rsidR="00646A09">
        <w:t xml:space="preserve"> </w:t>
      </w:r>
      <w:r w:rsidR="0033109C">
        <w:t xml:space="preserve">The enrollment period is estimated to last </w:t>
      </w:r>
      <w:r w:rsidR="0033109C" w:rsidRPr="00441E8D">
        <w:t>52 weeks for each lender.</w:t>
      </w:r>
    </w:p>
    <w:p w:rsidR="006A3A33" w:rsidRDefault="0033109C" w:rsidP="00CF5479">
      <w:pPr>
        <w:pStyle w:val="BulletsLast"/>
      </w:pPr>
      <w:r>
        <w:t>The average time for the lender’s customer service team to participate in post-observation interview quest</w:t>
      </w:r>
      <w:r w:rsidR="00AD7CD2">
        <w:t>ions is 60 minutes. Up to 12</w:t>
      </w:r>
      <w:r>
        <w:t xml:space="preserve"> staff wi</w:t>
      </w:r>
      <w:r w:rsidR="003B7169">
        <w:t>ll be inte</w:t>
      </w:r>
      <w:r w:rsidR="005D69B4">
        <w:t xml:space="preserve">rviewed at </w:t>
      </w:r>
      <w:r w:rsidR="000D1ABA">
        <w:t>each participating</w:t>
      </w:r>
      <w:r w:rsidR="005D69B4">
        <w:t xml:space="preserve"> lender</w:t>
      </w:r>
      <w:proofErr w:type="gramStart"/>
      <w:r w:rsidR="000D1ABA">
        <w:t>.</w:t>
      </w:r>
      <w:r w:rsidR="003B7169">
        <w:t>.</w:t>
      </w:r>
      <w:proofErr w:type="gramEnd"/>
    </w:p>
    <w:p w:rsidR="00332D31" w:rsidRDefault="00332D31" w:rsidP="00CF5479">
      <w:pPr>
        <w:pStyle w:val="BulletsLast"/>
      </w:pPr>
      <w:r>
        <w:t xml:space="preserve">The average time for lenders to prepare study participants’ loan origination and performance data for the study team is 60 minutes. The study team will ask for this data at 6 points during the next 3 years. </w:t>
      </w:r>
    </w:p>
    <w:p w:rsidR="00CF5479" w:rsidRPr="00CF5479" w:rsidRDefault="00F51EB4" w:rsidP="00CF5479">
      <w:r w:rsidRPr="00F51EB4">
        <w:t xml:space="preserve">The total burden for </w:t>
      </w:r>
      <w:r w:rsidRPr="008C55D1">
        <w:t>the</w:t>
      </w:r>
      <w:r w:rsidR="003A1DE8">
        <w:t xml:space="preserve"> study is </w:t>
      </w:r>
      <w:r w:rsidR="00D51264">
        <w:rPr>
          <w:b/>
        </w:rPr>
        <w:t xml:space="preserve">42,805 </w:t>
      </w:r>
      <w:r w:rsidR="003A1DE8" w:rsidRPr="003A1DE8">
        <w:rPr>
          <w:b/>
        </w:rPr>
        <w:t>hours</w:t>
      </w:r>
      <w:r w:rsidR="003A1DE8">
        <w:t xml:space="preserve">: </w:t>
      </w:r>
      <w:proofErr w:type="gramStart"/>
      <w:r w:rsidR="00332D31">
        <w:rPr>
          <w:b/>
        </w:rPr>
        <w:t>1</w:t>
      </w:r>
      <w:r w:rsidR="00945B64">
        <w:rPr>
          <w:b/>
        </w:rPr>
        <w:t>4,946</w:t>
      </w:r>
      <w:r w:rsidR="002A6D9C">
        <w:rPr>
          <w:b/>
        </w:rPr>
        <w:t xml:space="preserve"> </w:t>
      </w:r>
      <w:r w:rsidRPr="003A1DE8">
        <w:rPr>
          <w:b/>
        </w:rPr>
        <w:t xml:space="preserve"> hours</w:t>
      </w:r>
      <w:proofErr w:type="gramEnd"/>
      <w:r w:rsidRPr="00F51EB4">
        <w:t xml:space="preserve"> for study participants and pot</w:t>
      </w:r>
      <w:r w:rsidR="003A1DE8">
        <w:t>ential study participants,</w:t>
      </w:r>
      <w:r w:rsidR="00BE28C3">
        <w:t xml:space="preserve"> </w:t>
      </w:r>
      <w:r w:rsidR="009610FB">
        <w:rPr>
          <w:b/>
        </w:rPr>
        <w:t>105</w:t>
      </w:r>
      <w:r w:rsidR="006A3A33" w:rsidRPr="006A3A33">
        <w:rPr>
          <w:b/>
        </w:rPr>
        <w:t xml:space="preserve"> hours</w:t>
      </w:r>
      <w:r w:rsidR="00646A09">
        <w:rPr>
          <w:b/>
        </w:rPr>
        <w:t xml:space="preserve"> </w:t>
      </w:r>
      <w:r w:rsidR="006820F3">
        <w:t xml:space="preserve">for </w:t>
      </w:r>
      <w:r w:rsidR="006A3A33">
        <w:t>study participants’ co-borrowers,</w:t>
      </w:r>
      <w:r w:rsidR="00BE28C3">
        <w:t xml:space="preserve"> </w:t>
      </w:r>
      <w:r w:rsidR="00D51264">
        <w:rPr>
          <w:b/>
        </w:rPr>
        <w:t>6,972</w:t>
      </w:r>
      <w:r w:rsidR="00305243">
        <w:rPr>
          <w:b/>
        </w:rPr>
        <w:t xml:space="preserve"> </w:t>
      </w:r>
      <w:r w:rsidRPr="003A1DE8">
        <w:rPr>
          <w:b/>
        </w:rPr>
        <w:t>hours</w:t>
      </w:r>
      <w:r w:rsidR="00945B64">
        <w:rPr>
          <w:b/>
        </w:rPr>
        <w:t xml:space="preserve"> </w:t>
      </w:r>
      <w:r w:rsidR="003A1DE8">
        <w:t xml:space="preserve">for </w:t>
      </w:r>
      <w:r w:rsidR="00D51264">
        <w:t xml:space="preserve">one-time activities for the </w:t>
      </w:r>
      <w:r w:rsidR="003A1DE8">
        <w:t xml:space="preserve">counseling agencies, </w:t>
      </w:r>
      <w:r w:rsidR="00D51264">
        <w:t>16,238 hours for counseling agencies</w:t>
      </w:r>
      <w:r w:rsidR="003042FA">
        <w:t>’</w:t>
      </w:r>
      <w:r w:rsidR="00D51264">
        <w:t xml:space="preserve"> </w:t>
      </w:r>
      <w:r w:rsidR="009B1C9F">
        <w:t xml:space="preserve">study-related </w:t>
      </w:r>
      <w:r w:rsidR="00D51264">
        <w:t xml:space="preserve">activities with study participants, </w:t>
      </w:r>
      <w:r w:rsidR="003A1DE8">
        <w:t xml:space="preserve">and </w:t>
      </w:r>
      <w:r w:rsidR="00BE28C3">
        <w:rPr>
          <w:b/>
        </w:rPr>
        <w:t>4,544</w:t>
      </w:r>
      <w:r w:rsidRPr="003A1DE8">
        <w:rPr>
          <w:b/>
        </w:rPr>
        <w:t xml:space="preserve"> hours</w:t>
      </w:r>
      <w:r w:rsidRPr="00F51EB4">
        <w:t xml:space="preserve"> for lenders.</w:t>
      </w:r>
    </w:p>
    <w:p w:rsidR="00F51EB4" w:rsidRPr="00E67B33" w:rsidRDefault="00E67B33" w:rsidP="008C55D1">
      <w:pPr>
        <w:pStyle w:val="Caption"/>
      </w:pPr>
      <w:r w:rsidRPr="00E67B33">
        <w:lastRenderedPageBreak/>
        <w:t>Exhibit A.12.1</w:t>
      </w:r>
      <w:r w:rsidR="008C55D1">
        <w:tab/>
      </w:r>
      <w:r w:rsidRPr="00E67B33">
        <w:t>Burden of Hours</w:t>
      </w:r>
    </w:p>
    <w:tbl>
      <w:tblPr>
        <w:tblW w:w="9468" w:type="dxa"/>
        <w:tblInd w:w="108" w:type="dxa"/>
        <w:tblLayout w:type="fixed"/>
        <w:tblCellMar>
          <w:left w:w="0" w:type="dxa"/>
          <w:right w:w="0" w:type="dxa"/>
        </w:tblCellMar>
        <w:tblLook w:val="04A0" w:firstRow="1" w:lastRow="0" w:firstColumn="1" w:lastColumn="0" w:noHBand="0" w:noVBand="1"/>
      </w:tblPr>
      <w:tblGrid>
        <w:gridCol w:w="3960"/>
        <w:gridCol w:w="1800"/>
        <w:gridCol w:w="1440"/>
        <w:gridCol w:w="1350"/>
        <w:gridCol w:w="918"/>
      </w:tblGrid>
      <w:tr w:rsidR="00AD7CD2" w:rsidTr="00AD7CD2">
        <w:tc>
          <w:tcPr>
            <w:tcW w:w="3960" w:type="dxa"/>
            <w:tcBorders>
              <w:top w:val="single" w:sz="8" w:space="0" w:color="666969"/>
              <w:left w:val="single" w:sz="8" w:space="0" w:color="666969"/>
              <w:bottom w:val="single" w:sz="8" w:space="0" w:color="666969"/>
              <w:right w:val="single" w:sz="8" w:space="0" w:color="666969"/>
            </w:tcBorders>
            <w:shd w:val="clear" w:color="auto" w:fill="8064A2"/>
            <w:tcMar>
              <w:top w:w="0" w:type="dxa"/>
              <w:left w:w="108" w:type="dxa"/>
              <w:bottom w:w="0" w:type="dxa"/>
              <w:right w:w="108" w:type="dxa"/>
            </w:tcMar>
            <w:vAlign w:val="bottom"/>
            <w:hideMark/>
          </w:tcPr>
          <w:p w:rsidR="00AD7CD2" w:rsidRDefault="00AD7CD2" w:rsidP="00AD7CD2">
            <w:pPr>
              <w:pStyle w:val="NoSpacing"/>
              <w:keepNext/>
              <w:rPr>
                <w:rFonts w:ascii="Arial" w:hAnsi="Arial" w:cs="Arial"/>
                <w:b/>
                <w:bCs/>
                <w:sz w:val="20"/>
                <w:szCs w:val="20"/>
              </w:rPr>
            </w:pPr>
            <w:r>
              <w:rPr>
                <w:rFonts w:ascii="Arial" w:hAnsi="Arial" w:cs="Arial"/>
                <w:b/>
                <w:bCs/>
                <w:sz w:val="20"/>
                <w:szCs w:val="20"/>
              </w:rPr>
              <w:t>Respondents</w:t>
            </w:r>
          </w:p>
        </w:tc>
        <w:tc>
          <w:tcPr>
            <w:tcW w:w="1800" w:type="dxa"/>
            <w:tcBorders>
              <w:top w:val="single" w:sz="8" w:space="0" w:color="666969"/>
              <w:left w:val="nil"/>
              <w:bottom w:val="single" w:sz="8" w:space="0" w:color="666969"/>
              <w:right w:val="single" w:sz="8" w:space="0" w:color="666969"/>
            </w:tcBorders>
            <w:shd w:val="clear" w:color="auto" w:fill="8064A2"/>
            <w:tcMar>
              <w:top w:w="0" w:type="dxa"/>
              <w:left w:w="108" w:type="dxa"/>
              <w:bottom w:w="0" w:type="dxa"/>
              <w:right w:w="108" w:type="dxa"/>
            </w:tcMar>
            <w:vAlign w:val="bottom"/>
            <w:hideMark/>
          </w:tcPr>
          <w:p w:rsidR="00AD7CD2" w:rsidRDefault="00AD7CD2" w:rsidP="00AD7CD2">
            <w:pPr>
              <w:pStyle w:val="NoSpacing"/>
              <w:keepNext/>
              <w:jc w:val="center"/>
              <w:rPr>
                <w:rFonts w:ascii="Arial" w:hAnsi="Arial" w:cs="Arial"/>
                <w:b/>
                <w:bCs/>
                <w:sz w:val="20"/>
                <w:szCs w:val="20"/>
              </w:rPr>
            </w:pPr>
            <w:r>
              <w:rPr>
                <w:rFonts w:ascii="Arial" w:hAnsi="Arial" w:cs="Arial"/>
                <w:b/>
                <w:bCs/>
                <w:sz w:val="20"/>
                <w:szCs w:val="20"/>
              </w:rPr>
              <w:t>Number of Respondents</w:t>
            </w:r>
          </w:p>
        </w:tc>
        <w:tc>
          <w:tcPr>
            <w:tcW w:w="1440" w:type="dxa"/>
            <w:tcBorders>
              <w:top w:val="single" w:sz="8" w:space="0" w:color="666969"/>
              <w:left w:val="nil"/>
              <w:bottom w:val="single" w:sz="8" w:space="0" w:color="666969"/>
              <w:right w:val="single" w:sz="8" w:space="0" w:color="666969"/>
            </w:tcBorders>
            <w:shd w:val="clear" w:color="auto" w:fill="8064A2"/>
            <w:tcMar>
              <w:top w:w="0" w:type="dxa"/>
              <w:left w:w="108" w:type="dxa"/>
              <w:bottom w:w="0" w:type="dxa"/>
              <w:right w:w="108" w:type="dxa"/>
            </w:tcMar>
            <w:vAlign w:val="bottom"/>
            <w:hideMark/>
          </w:tcPr>
          <w:p w:rsidR="00AD7CD2" w:rsidRDefault="00AD7CD2" w:rsidP="00AD7CD2">
            <w:pPr>
              <w:pStyle w:val="NoSpacing"/>
              <w:keepNext/>
              <w:jc w:val="center"/>
              <w:rPr>
                <w:rFonts w:ascii="Arial" w:hAnsi="Arial" w:cs="Arial"/>
                <w:b/>
                <w:bCs/>
                <w:sz w:val="20"/>
                <w:szCs w:val="20"/>
              </w:rPr>
            </w:pPr>
            <w:r>
              <w:rPr>
                <w:rFonts w:ascii="Arial" w:hAnsi="Arial" w:cs="Arial"/>
                <w:b/>
                <w:bCs/>
                <w:sz w:val="20"/>
                <w:szCs w:val="20"/>
              </w:rPr>
              <w:t>Responses per Entity</w:t>
            </w:r>
          </w:p>
        </w:tc>
        <w:tc>
          <w:tcPr>
            <w:tcW w:w="1350" w:type="dxa"/>
            <w:tcBorders>
              <w:top w:val="single" w:sz="8" w:space="0" w:color="666969"/>
              <w:left w:val="nil"/>
              <w:bottom w:val="single" w:sz="8" w:space="0" w:color="666969"/>
              <w:right w:val="single" w:sz="8" w:space="0" w:color="666969"/>
            </w:tcBorders>
            <w:shd w:val="clear" w:color="auto" w:fill="8064A2"/>
            <w:tcMar>
              <w:top w:w="0" w:type="dxa"/>
              <w:left w:w="108" w:type="dxa"/>
              <w:bottom w:w="0" w:type="dxa"/>
              <w:right w:w="108" w:type="dxa"/>
            </w:tcMar>
            <w:vAlign w:val="bottom"/>
            <w:hideMark/>
          </w:tcPr>
          <w:p w:rsidR="00AD7CD2" w:rsidRDefault="00AD7CD2" w:rsidP="00AD7CD2">
            <w:pPr>
              <w:pStyle w:val="NoSpacing"/>
              <w:keepNext/>
              <w:jc w:val="center"/>
              <w:rPr>
                <w:rFonts w:ascii="Arial" w:hAnsi="Arial" w:cs="Arial"/>
                <w:b/>
                <w:bCs/>
                <w:sz w:val="20"/>
                <w:szCs w:val="20"/>
              </w:rPr>
            </w:pPr>
            <w:r>
              <w:rPr>
                <w:rFonts w:ascii="Arial" w:hAnsi="Arial" w:cs="Arial"/>
                <w:b/>
                <w:bCs/>
                <w:sz w:val="20"/>
                <w:szCs w:val="20"/>
              </w:rPr>
              <w:t>Average Time to Complete in Minutes (min, max)</w:t>
            </w:r>
          </w:p>
        </w:tc>
        <w:tc>
          <w:tcPr>
            <w:tcW w:w="918" w:type="dxa"/>
            <w:tcBorders>
              <w:top w:val="single" w:sz="8" w:space="0" w:color="666969"/>
              <w:left w:val="nil"/>
              <w:bottom w:val="single" w:sz="8" w:space="0" w:color="666969"/>
              <w:right w:val="single" w:sz="8" w:space="0" w:color="666969"/>
            </w:tcBorders>
            <w:shd w:val="clear" w:color="auto" w:fill="8064A2"/>
            <w:tcMar>
              <w:top w:w="0" w:type="dxa"/>
              <w:left w:w="108" w:type="dxa"/>
              <w:bottom w:w="0" w:type="dxa"/>
              <w:right w:w="108" w:type="dxa"/>
            </w:tcMar>
            <w:vAlign w:val="bottom"/>
            <w:hideMark/>
          </w:tcPr>
          <w:p w:rsidR="00AD7CD2" w:rsidRDefault="00AD7CD2" w:rsidP="00AD7CD2">
            <w:pPr>
              <w:pStyle w:val="NoSpacing"/>
              <w:keepNext/>
              <w:jc w:val="center"/>
              <w:rPr>
                <w:rFonts w:ascii="Arial" w:hAnsi="Arial" w:cs="Arial"/>
                <w:b/>
                <w:bCs/>
                <w:sz w:val="20"/>
                <w:szCs w:val="20"/>
              </w:rPr>
            </w:pPr>
            <w:r>
              <w:rPr>
                <w:rFonts w:ascii="Arial" w:hAnsi="Arial" w:cs="Arial"/>
                <w:b/>
                <w:bCs/>
                <w:sz w:val="20"/>
                <w:szCs w:val="20"/>
              </w:rPr>
              <w:t>Burden (hours)</w:t>
            </w:r>
          </w:p>
        </w:tc>
      </w:tr>
      <w:tr w:rsidR="00AD7CD2" w:rsidTr="00AD7CD2">
        <w:tc>
          <w:tcPr>
            <w:tcW w:w="3960" w:type="dxa"/>
            <w:tcBorders>
              <w:top w:val="nil"/>
              <w:left w:val="single" w:sz="8" w:space="0" w:color="666969"/>
              <w:bottom w:val="single" w:sz="8" w:space="0" w:color="666969"/>
              <w:right w:val="single" w:sz="8" w:space="0" w:color="666969"/>
            </w:tcBorders>
            <w:tcMar>
              <w:top w:w="0" w:type="dxa"/>
              <w:left w:w="108" w:type="dxa"/>
              <w:bottom w:w="0" w:type="dxa"/>
              <w:right w:w="108" w:type="dxa"/>
            </w:tcMar>
            <w:vAlign w:val="center"/>
            <w:hideMark/>
          </w:tcPr>
          <w:p w:rsidR="00AD7CD2" w:rsidRDefault="00AD7CD2" w:rsidP="00AD7CD2">
            <w:pPr>
              <w:pStyle w:val="NoSpacing"/>
              <w:keepNext/>
              <w:rPr>
                <w:rFonts w:ascii="Arial" w:hAnsi="Arial" w:cs="Arial"/>
                <w:sz w:val="20"/>
                <w:szCs w:val="20"/>
              </w:rPr>
            </w:pPr>
            <w:r>
              <w:rPr>
                <w:rFonts w:ascii="Arial" w:hAnsi="Arial" w:cs="Arial"/>
                <w:sz w:val="20"/>
                <w:szCs w:val="20"/>
              </w:rPr>
              <w:t>Intake: Outreach to potential study participants</w:t>
            </w:r>
          </w:p>
        </w:tc>
        <w:tc>
          <w:tcPr>
            <w:tcW w:w="1800" w:type="dxa"/>
            <w:tcBorders>
              <w:top w:val="nil"/>
              <w:left w:val="nil"/>
              <w:bottom w:val="single" w:sz="8" w:space="0" w:color="666969"/>
              <w:right w:val="single" w:sz="8" w:space="0" w:color="666969"/>
            </w:tcBorders>
            <w:tcMar>
              <w:top w:w="0" w:type="dxa"/>
              <w:left w:w="108" w:type="dxa"/>
              <w:bottom w:w="0" w:type="dxa"/>
              <w:right w:w="108" w:type="dxa"/>
            </w:tcMar>
            <w:vAlign w:val="center"/>
            <w:hideMark/>
          </w:tcPr>
          <w:p w:rsidR="00AD7CD2" w:rsidRDefault="00AD7CD2" w:rsidP="00AD7CD2">
            <w:pPr>
              <w:pStyle w:val="NoSpacing"/>
              <w:keepNext/>
              <w:jc w:val="center"/>
              <w:rPr>
                <w:rFonts w:ascii="Arial" w:hAnsi="Arial" w:cs="Arial"/>
                <w:sz w:val="20"/>
                <w:szCs w:val="20"/>
              </w:rPr>
            </w:pPr>
            <w:r w:rsidRPr="007149A9">
              <w:rPr>
                <w:rFonts w:ascii="Arial" w:hAnsi="Arial" w:cs="Arial"/>
                <w:sz w:val="20"/>
                <w:szCs w:val="20"/>
              </w:rPr>
              <w:t>87,500</w:t>
            </w:r>
          </w:p>
        </w:tc>
        <w:tc>
          <w:tcPr>
            <w:tcW w:w="1440" w:type="dxa"/>
            <w:tcBorders>
              <w:top w:val="nil"/>
              <w:left w:val="nil"/>
              <w:bottom w:val="single" w:sz="8" w:space="0" w:color="666969"/>
              <w:right w:val="single" w:sz="8" w:space="0" w:color="666969"/>
            </w:tcBorders>
            <w:tcMar>
              <w:top w:w="0" w:type="dxa"/>
              <w:left w:w="108" w:type="dxa"/>
              <w:bottom w:w="0" w:type="dxa"/>
              <w:right w:w="108" w:type="dxa"/>
            </w:tcMar>
            <w:vAlign w:val="center"/>
            <w:hideMark/>
          </w:tcPr>
          <w:p w:rsidR="00AD7CD2" w:rsidRDefault="00AD7CD2" w:rsidP="00AD7CD2">
            <w:pPr>
              <w:pStyle w:val="NoSpacing"/>
              <w:keepNext/>
              <w:jc w:val="center"/>
              <w:rPr>
                <w:rFonts w:ascii="Arial" w:hAnsi="Arial" w:cs="Arial"/>
                <w:sz w:val="20"/>
                <w:szCs w:val="20"/>
              </w:rPr>
            </w:pPr>
            <w:r>
              <w:rPr>
                <w:rFonts w:ascii="Arial" w:hAnsi="Arial" w:cs="Arial"/>
                <w:sz w:val="20"/>
                <w:szCs w:val="20"/>
              </w:rPr>
              <w:t>1</w:t>
            </w:r>
          </w:p>
        </w:tc>
        <w:tc>
          <w:tcPr>
            <w:tcW w:w="1350" w:type="dxa"/>
            <w:tcBorders>
              <w:top w:val="nil"/>
              <w:left w:val="nil"/>
              <w:bottom w:val="single" w:sz="8" w:space="0" w:color="666969"/>
              <w:right w:val="single" w:sz="8" w:space="0" w:color="666969"/>
            </w:tcBorders>
            <w:tcMar>
              <w:top w:w="0" w:type="dxa"/>
              <w:left w:w="108" w:type="dxa"/>
              <w:bottom w:w="0" w:type="dxa"/>
              <w:right w:w="108" w:type="dxa"/>
            </w:tcMar>
            <w:vAlign w:val="center"/>
            <w:hideMark/>
          </w:tcPr>
          <w:p w:rsidR="00AD7CD2" w:rsidRDefault="00AD7CD2" w:rsidP="00AD7CD2">
            <w:pPr>
              <w:pStyle w:val="NoSpacing"/>
              <w:keepNext/>
              <w:jc w:val="center"/>
              <w:rPr>
                <w:rFonts w:ascii="Arial" w:hAnsi="Arial" w:cs="Arial"/>
                <w:sz w:val="20"/>
                <w:szCs w:val="20"/>
              </w:rPr>
            </w:pPr>
            <w:r>
              <w:rPr>
                <w:rFonts w:ascii="Arial" w:hAnsi="Arial" w:cs="Arial"/>
                <w:sz w:val="20"/>
                <w:szCs w:val="20"/>
              </w:rPr>
              <w:t>3 min. (2,4)</w:t>
            </w:r>
          </w:p>
        </w:tc>
        <w:tc>
          <w:tcPr>
            <w:tcW w:w="918" w:type="dxa"/>
            <w:tcBorders>
              <w:top w:val="nil"/>
              <w:left w:val="nil"/>
              <w:bottom w:val="single" w:sz="8" w:space="0" w:color="666969"/>
              <w:right w:val="single" w:sz="8" w:space="0" w:color="666969"/>
            </w:tcBorders>
            <w:tcMar>
              <w:top w:w="0" w:type="dxa"/>
              <w:left w:w="108" w:type="dxa"/>
              <w:bottom w:w="0" w:type="dxa"/>
              <w:right w:w="108" w:type="dxa"/>
            </w:tcMar>
            <w:vAlign w:val="center"/>
            <w:hideMark/>
          </w:tcPr>
          <w:p w:rsidR="00AD7CD2" w:rsidRDefault="00AD7CD2" w:rsidP="00AD7CD2">
            <w:pPr>
              <w:pStyle w:val="NoSpacing"/>
              <w:keepNext/>
              <w:jc w:val="center"/>
              <w:rPr>
                <w:rFonts w:ascii="Arial" w:hAnsi="Arial" w:cs="Arial"/>
                <w:sz w:val="20"/>
                <w:szCs w:val="20"/>
              </w:rPr>
            </w:pPr>
            <w:r>
              <w:rPr>
                <w:rFonts w:ascii="Arial" w:hAnsi="Arial" w:cs="Arial"/>
                <w:sz w:val="20"/>
                <w:szCs w:val="20"/>
              </w:rPr>
              <w:t>4,375</w:t>
            </w:r>
            <w:r w:rsidR="00226DD6">
              <w:rPr>
                <w:rFonts w:ascii="Arial" w:hAnsi="Arial" w:cs="Arial"/>
                <w:sz w:val="20"/>
                <w:szCs w:val="20"/>
              </w:rPr>
              <w:t>*</w:t>
            </w:r>
          </w:p>
        </w:tc>
      </w:tr>
      <w:tr w:rsidR="00AD7CD2" w:rsidTr="00AD7CD2">
        <w:tc>
          <w:tcPr>
            <w:tcW w:w="3960" w:type="dxa"/>
            <w:tcBorders>
              <w:top w:val="nil"/>
              <w:left w:val="single" w:sz="8" w:space="0" w:color="666969"/>
              <w:bottom w:val="single" w:sz="8" w:space="0" w:color="666969"/>
              <w:right w:val="single" w:sz="8" w:space="0" w:color="666969"/>
            </w:tcBorders>
            <w:tcMar>
              <w:top w:w="0" w:type="dxa"/>
              <w:left w:w="108" w:type="dxa"/>
              <w:bottom w:w="0" w:type="dxa"/>
              <w:right w:w="108" w:type="dxa"/>
            </w:tcMar>
            <w:vAlign w:val="center"/>
          </w:tcPr>
          <w:p w:rsidR="00AD7CD2" w:rsidRDefault="00AD7CD2" w:rsidP="00AD7CD2">
            <w:pPr>
              <w:pStyle w:val="NoSpacing"/>
              <w:keepNext/>
              <w:rPr>
                <w:rFonts w:ascii="Arial" w:hAnsi="Arial" w:cs="Arial"/>
                <w:sz w:val="20"/>
                <w:szCs w:val="20"/>
              </w:rPr>
            </w:pPr>
            <w:r>
              <w:rPr>
                <w:rFonts w:ascii="Arial" w:hAnsi="Arial" w:cs="Arial"/>
                <w:sz w:val="20"/>
                <w:szCs w:val="20"/>
              </w:rPr>
              <w:t>Eligibility Assessment</w:t>
            </w:r>
          </w:p>
        </w:tc>
        <w:tc>
          <w:tcPr>
            <w:tcW w:w="1800" w:type="dxa"/>
            <w:tcBorders>
              <w:top w:val="nil"/>
              <w:left w:val="nil"/>
              <w:bottom w:val="single" w:sz="8" w:space="0" w:color="666969"/>
              <w:right w:val="single" w:sz="8" w:space="0" w:color="666969"/>
            </w:tcBorders>
            <w:tcMar>
              <w:top w:w="0" w:type="dxa"/>
              <w:left w:w="108" w:type="dxa"/>
              <w:bottom w:w="0" w:type="dxa"/>
              <w:right w:w="108" w:type="dxa"/>
            </w:tcMar>
            <w:vAlign w:val="center"/>
          </w:tcPr>
          <w:p w:rsidR="00AD7CD2" w:rsidRDefault="00AD7CD2" w:rsidP="00AD7CD2">
            <w:pPr>
              <w:pStyle w:val="NoSpacing"/>
              <w:keepNext/>
              <w:jc w:val="center"/>
              <w:rPr>
                <w:rFonts w:ascii="Arial" w:hAnsi="Arial" w:cs="Arial"/>
                <w:sz w:val="20"/>
                <w:szCs w:val="20"/>
              </w:rPr>
            </w:pPr>
            <w:r>
              <w:rPr>
                <w:rFonts w:ascii="Arial" w:hAnsi="Arial" w:cs="Arial"/>
                <w:sz w:val="20"/>
                <w:szCs w:val="20"/>
              </w:rPr>
              <w:t>17,500</w:t>
            </w:r>
          </w:p>
        </w:tc>
        <w:tc>
          <w:tcPr>
            <w:tcW w:w="1440" w:type="dxa"/>
            <w:tcBorders>
              <w:top w:val="nil"/>
              <w:left w:val="nil"/>
              <w:bottom w:val="single" w:sz="8" w:space="0" w:color="666969"/>
              <w:right w:val="single" w:sz="8" w:space="0" w:color="666969"/>
            </w:tcBorders>
            <w:tcMar>
              <w:top w:w="0" w:type="dxa"/>
              <w:left w:w="108" w:type="dxa"/>
              <w:bottom w:w="0" w:type="dxa"/>
              <w:right w:w="108" w:type="dxa"/>
            </w:tcMar>
            <w:vAlign w:val="center"/>
          </w:tcPr>
          <w:p w:rsidR="00AD7CD2" w:rsidRDefault="00AD7CD2" w:rsidP="00AD7CD2">
            <w:pPr>
              <w:pStyle w:val="NoSpacing"/>
              <w:keepNext/>
              <w:jc w:val="center"/>
              <w:rPr>
                <w:rFonts w:ascii="Arial" w:hAnsi="Arial" w:cs="Arial"/>
                <w:sz w:val="20"/>
                <w:szCs w:val="20"/>
              </w:rPr>
            </w:pPr>
            <w:r>
              <w:rPr>
                <w:rFonts w:ascii="Arial" w:hAnsi="Arial" w:cs="Arial"/>
                <w:sz w:val="20"/>
                <w:szCs w:val="20"/>
              </w:rPr>
              <w:t>1</w:t>
            </w:r>
          </w:p>
        </w:tc>
        <w:tc>
          <w:tcPr>
            <w:tcW w:w="1350" w:type="dxa"/>
            <w:tcBorders>
              <w:top w:val="nil"/>
              <w:left w:val="nil"/>
              <w:bottom w:val="single" w:sz="8" w:space="0" w:color="666969"/>
              <w:right w:val="single" w:sz="8" w:space="0" w:color="666969"/>
            </w:tcBorders>
            <w:tcMar>
              <w:top w:w="0" w:type="dxa"/>
              <w:left w:w="108" w:type="dxa"/>
              <w:bottom w:w="0" w:type="dxa"/>
              <w:right w:w="108" w:type="dxa"/>
            </w:tcMar>
            <w:vAlign w:val="center"/>
          </w:tcPr>
          <w:p w:rsidR="00AD7CD2" w:rsidRDefault="00646A09" w:rsidP="00AD7CD2">
            <w:pPr>
              <w:pStyle w:val="NoSpacing"/>
              <w:keepNext/>
              <w:jc w:val="center"/>
              <w:rPr>
                <w:rFonts w:ascii="Arial" w:hAnsi="Arial" w:cs="Arial"/>
                <w:sz w:val="20"/>
                <w:szCs w:val="20"/>
              </w:rPr>
            </w:pPr>
            <w:r>
              <w:rPr>
                <w:rFonts w:ascii="Arial" w:hAnsi="Arial" w:cs="Arial"/>
                <w:sz w:val="20"/>
                <w:szCs w:val="20"/>
              </w:rPr>
              <w:t>3</w:t>
            </w:r>
            <w:r w:rsidR="00AD7CD2">
              <w:rPr>
                <w:rFonts w:ascii="Arial" w:hAnsi="Arial" w:cs="Arial"/>
                <w:sz w:val="20"/>
                <w:szCs w:val="20"/>
              </w:rPr>
              <w:t xml:space="preserve"> min </w:t>
            </w:r>
            <w:r>
              <w:rPr>
                <w:rFonts w:ascii="Arial" w:hAnsi="Arial" w:cs="Arial"/>
                <w:sz w:val="20"/>
                <w:szCs w:val="20"/>
              </w:rPr>
              <w:t xml:space="preserve"> 30 seconds </w:t>
            </w:r>
            <w:r w:rsidR="00AD7CD2">
              <w:rPr>
                <w:rFonts w:ascii="Arial" w:hAnsi="Arial" w:cs="Arial"/>
                <w:sz w:val="20"/>
                <w:szCs w:val="20"/>
              </w:rPr>
              <w:t>(</w:t>
            </w:r>
            <w:r>
              <w:rPr>
                <w:rFonts w:ascii="Arial" w:hAnsi="Arial" w:cs="Arial"/>
                <w:sz w:val="20"/>
                <w:szCs w:val="20"/>
              </w:rPr>
              <w:t>2</w:t>
            </w:r>
            <w:r w:rsidR="00AD7CD2">
              <w:rPr>
                <w:rFonts w:ascii="Arial" w:hAnsi="Arial" w:cs="Arial"/>
                <w:sz w:val="20"/>
                <w:szCs w:val="20"/>
              </w:rPr>
              <w:t xml:space="preserve">, </w:t>
            </w:r>
            <w:r>
              <w:rPr>
                <w:rFonts w:ascii="Arial" w:hAnsi="Arial" w:cs="Arial"/>
                <w:sz w:val="20"/>
                <w:szCs w:val="20"/>
              </w:rPr>
              <w:t>5</w:t>
            </w:r>
            <w:r w:rsidR="00AD7CD2">
              <w:rPr>
                <w:rFonts w:ascii="Arial" w:hAnsi="Arial" w:cs="Arial"/>
                <w:sz w:val="20"/>
                <w:szCs w:val="20"/>
              </w:rPr>
              <w:t>)</w:t>
            </w:r>
          </w:p>
        </w:tc>
        <w:tc>
          <w:tcPr>
            <w:tcW w:w="918" w:type="dxa"/>
            <w:tcBorders>
              <w:top w:val="nil"/>
              <w:left w:val="nil"/>
              <w:bottom w:val="single" w:sz="8" w:space="0" w:color="666969"/>
              <w:right w:val="single" w:sz="8" w:space="0" w:color="666969"/>
            </w:tcBorders>
            <w:tcMar>
              <w:top w:w="0" w:type="dxa"/>
              <w:left w:w="108" w:type="dxa"/>
              <w:bottom w:w="0" w:type="dxa"/>
              <w:right w:w="108" w:type="dxa"/>
            </w:tcMar>
            <w:vAlign w:val="center"/>
          </w:tcPr>
          <w:p w:rsidR="00646A09" w:rsidRDefault="00AD7CD2" w:rsidP="00AD7CD2">
            <w:pPr>
              <w:pStyle w:val="NoSpacing"/>
              <w:keepNext/>
              <w:jc w:val="center"/>
              <w:rPr>
                <w:rFonts w:ascii="Arial" w:hAnsi="Arial" w:cs="Arial"/>
                <w:sz w:val="20"/>
                <w:szCs w:val="20"/>
              </w:rPr>
            </w:pPr>
            <w:r>
              <w:rPr>
                <w:rFonts w:ascii="Arial" w:hAnsi="Arial" w:cs="Arial"/>
                <w:sz w:val="20"/>
                <w:szCs w:val="20"/>
              </w:rPr>
              <w:t>1,</w:t>
            </w:r>
            <w:r w:rsidR="00646A09">
              <w:rPr>
                <w:rFonts w:ascii="Arial" w:hAnsi="Arial" w:cs="Arial"/>
                <w:sz w:val="20"/>
                <w:szCs w:val="20"/>
              </w:rPr>
              <w:t>021</w:t>
            </w:r>
            <w:r w:rsidR="00226DD6">
              <w:rPr>
                <w:rFonts w:ascii="Arial" w:hAnsi="Arial" w:cs="Arial"/>
                <w:sz w:val="20"/>
                <w:szCs w:val="20"/>
              </w:rPr>
              <w:t>*</w:t>
            </w:r>
          </w:p>
          <w:p w:rsidR="00AD7CD2" w:rsidRDefault="00AD7CD2" w:rsidP="00AD7CD2">
            <w:pPr>
              <w:pStyle w:val="NoSpacing"/>
              <w:keepNext/>
              <w:jc w:val="center"/>
              <w:rPr>
                <w:rFonts w:ascii="Arial" w:hAnsi="Arial" w:cs="Arial"/>
                <w:sz w:val="20"/>
                <w:szCs w:val="20"/>
              </w:rPr>
            </w:pPr>
          </w:p>
        </w:tc>
      </w:tr>
      <w:tr w:rsidR="00AD7CD2" w:rsidTr="00AD7CD2">
        <w:tc>
          <w:tcPr>
            <w:tcW w:w="3960" w:type="dxa"/>
            <w:tcBorders>
              <w:top w:val="nil"/>
              <w:left w:val="single" w:sz="8" w:space="0" w:color="666969"/>
              <w:bottom w:val="single" w:sz="8" w:space="0" w:color="666969"/>
              <w:right w:val="single" w:sz="8" w:space="0" w:color="666969"/>
            </w:tcBorders>
            <w:tcMar>
              <w:top w:w="0" w:type="dxa"/>
              <w:left w:w="108" w:type="dxa"/>
              <w:bottom w:w="0" w:type="dxa"/>
              <w:right w:w="108" w:type="dxa"/>
            </w:tcMar>
            <w:vAlign w:val="center"/>
            <w:hideMark/>
          </w:tcPr>
          <w:p w:rsidR="00AD7CD2" w:rsidRDefault="00AD7CD2" w:rsidP="00AD7CD2">
            <w:pPr>
              <w:pStyle w:val="NoSpacing"/>
              <w:keepNext/>
              <w:rPr>
                <w:rFonts w:ascii="Arial" w:hAnsi="Arial" w:cs="Arial"/>
                <w:sz w:val="20"/>
                <w:szCs w:val="20"/>
              </w:rPr>
            </w:pPr>
            <w:r>
              <w:rPr>
                <w:rFonts w:ascii="Arial" w:hAnsi="Arial" w:cs="Arial"/>
                <w:sz w:val="20"/>
                <w:szCs w:val="20"/>
              </w:rPr>
              <w:t>Consent Agreement</w:t>
            </w:r>
          </w:p>
        </w:tc>
        <w:tc>
          <w:tcPr>
            <w:tcW w:w="1800" w:type="dxa"/>
            <w:tcBorders>
              <w:top w:val="nil"/>
              <w:left w:val="nil"/>
              <w:bottom w:val="single" w:sz="8" w:space="0" w:color="666969"/>
              <w:right w:val="single" w:sz="8" w:space="0" w:color="666969"/>
            </w:tcBorders>
            <w:tcMar>
              <w:top w:w="0" w:type="dxa"/>
              <w:left w:w="108" w:type="dxa"/>
              <w:bottom w:w="0" w:type="dxa"/>
              <w:right w:w="108" w:type="dxa"/>
            </w:tcMar>
            <w:vAlign w:val="center"/>
            <w:hideMark/>
          </w:tcPr>
          <w:p w:rsidR="00AD7CD2" w:rsidRDefault="00AD7CD2" w:rsidP="00AD7CD2">
            <w:pPr>
              <w:pStyle w:val="NoSpacing"/>
              <w:keepNext/>
              <w:jc w:val="center"/>
              <w:rPr>
                <w:rFonts w:ascii="Arial" w:hAnsi="Arial" w:cs="Arial"/>
                <w:sz w:val="20"/>
                <w:szCs w:val="20"/>
              </w:rPr>
            </w:pPr>
            <w:r>
              <w:rPr>
                <w:rFonts w:ascii="Arial" w:hAnsi="Arial" w:cs="Arial"/>
                <w:sz w:val="20"/>
                <w:szCs w:val="20"/>
              </w:rPr>
              <w:t>7,000</w:t>
            </w:r>
          </w:p>
        </w:tc>
        <w:tc>
          <w:tcPr>
            <w:tcW w:w="1440" w:type="dxa"/>
            <w:tcBorders>
              <w:top w:val="nil"/>
              <w:left w:val="nil"/>
              <w:bottom w:val="single" w:sz="8" w:space="0" w:color="666969"/>
              <w:right w:val="single" w:sz="8" w:space="0" w:color="666969"/>
            </w:tcBorders>
            <w:tcMar>
              <w:top w:w="0" w:type="dxa"/>
              <w:left w:w="108" w:type="dxa"/>
              <w:bottom w:w="0" w:type="dxa"/>
              <w:right w:w="108" w:type="dxa"/>
            </w:tcMar>
            <w:vAlign w:val="center"/>
            <w:hideMark/>
          </w:tcPr>
          <w:p w:rsidR="00AD7CD2" w:rsidRDefault="00AD7CD2" w:rsidP="00AD7CD2">
            <w:pPr>
              <w:pStyle w:val="NoSpacing"/>
              <w:keepNext/>
              <w:jc w:val="center"/>
              <w:rPr>
                <w:rFonts w:ascii="Arial" w:hAnsi="Arial" w:cs="Arial"/>
                <w:sz w:val="20"/>
                <w:szCs w:val="20"/>
              </w:rPr>
            </w:pPr>
            <w:r>
              <w:rPr>
                <w:rFonts w:ascii="Arial" w:hAnsi="Arial" w:cs="Arial"/>
                <w:sz w:val="20"/>
                <w:szCs w:val="20"/>
              </w:rPr>
              <w:t>1</w:t>
            </w:r>
          </w:p>
        </w:tc>
        <w:tc>
          <w:tcPr>
            <w:tcW w:w="1350" w:type="dxa"/>
            <w:tcBorders>
              <w:top w:val="nil"/>
              <w:left w:val="nil"/>
              <w:bottom w:val="single" w:sz="8" w:space="0" w:color="666969"/>
              <w:right w:val="single" w:sz="8" w:space="0" w:color="666969"/>
            </w:tcBorders>
            <w:tcMar>
              <w:top w:w="0" w:type="dxa"/>
              <w:left w:w="108" w:type="dxa"/>
              <w:bottom w:w="0" w:type="dxa"/>
              <w:right w:w="108" w:type="dxa"/>
            </w:tcMar>
            <w:vAlign w:val="center"/>
            <w:hideMark/>
          </w:tcPr>
          <w:p w:rsidR="00AD7CD2" w:rsidRDefault="00646A09" w:rsidP="00AD7CD2">
            <w:pPr>
              <w:pStyle w:val="NoSpacing"/>
              <w:keepNext/>
              <w:jc w:val="center"/>
              <w:rPr>
                <w:rFonts w:ascii="Arial" w:hAnsi="Arial" w:cs="Arial"/>
                <w:sz w:val="20"/>
                <w:szCs w:val="20"/>
              </w:rPr>
            </w:pPr>
            <w:r>
              <w:rPr>
                <w:rFonts w:ascii="Arial" w:hAnsi="Arial" w:cs="Arial"/>
                <w:sz w:val="20"/>
                <w:szCs w:val="20"/>
              </w:rPr>
              <w:t>11</w:t>
            </w:r>
            <w:r w:rsidR="00AD7CD2">
              <w:rPr>
                <w:rFonts w:ascii="Arial" w:hAnsi="Arial" w:cs="Arial"/>
                <w:sz w:val="20"/>
                <w:szCs w:val="20"/>
              </w:rPr>
              <w:t xml:space="preserve"> min (</w:t>
            </w:r>
            <w:r>
              <w:rPr>
                <w:rFonts w:ascii="Arial" w:hAnsi="Arial" w:cs="Arial"/>
                <w:sz w:val="20"/>
                <w:szCs w:val="20"/>
              </w:rPr>
              <w:t>9</w:t>
            </w:r>
            <w:r w:rsidR="00AD7CD2">
              <w:rPr>
                <w:rFonts w:ascii="Arial" w:hAnsi="Arial" w:cs="Arial"/>
                <w:sz w:val="20"/>
                <w:szCs w:val="20"/>
              </w:rPr>
              <w:t>,</w:t>
            </w:r>
            <w:r w:rsidR="002A6D9C">
              <w:rPr>
                <w:rFonts w:ascii="Arial" w:hAnsi="Arial" w:cs="Arial"/>
                <w:sz w:val="20"/>
                <w:szCs w:val="20"/>
              </w:rPr>
              <w:t>12</w:t>
            </w:r>
            <w:r w:rsidR="00AD7CD2">
              <w:rPr>
                <w:rFonts w:ascii="Arial" w:hAnsi="Arial" w:cs="Arial"/>
                <w:sz w:val="20"/>
                <w:szCs w:val="20"/>
              </w:rPr>
              <w:t>)</w:t>
            </w:r>
          </w:p>
        </w:tc>
        <w:tc>
          <w:tcPr>
            <w:tcW w:w="918" w:type="dxa"/>
            <w:tcBorders>
              <w:top w:val="nil"/>
              <w:left w:val="nil"/>
              <w:bottom w:val="single" w:sz="8" w:space="0" w:color="666969"/>
              <w:right w:val="single" w:sz="8" w:space="0" w:color="666969"/>
            </w:tcBorders>
            <w:tcMar>
              <w:top w:w="0" w:type="dxa"/>
              <w:left w:w="108" w:type="dxa"/>
              <w:bottom w:w="0" w:type="dxa"/>
              <w:right w:w="108" w:type="dxa"/>
            </w:tcMar>
            <w:vAlign w:val="center"/>
            <w:hideMark/>
          </w:tcPr>
          <w:p w:rsidR="00646A09" w:rsidRDefault="00646A09" w:rsidP="00AD7CD2">
            <w:pPr>
              <w:pStyle w:val="NoSpacing"/>
              <w:keepNext/>
              <w:jc w:val="center"/>
              <w:rPr>
                <w:rFonts w:ascii="Arial" w:hAnsi="Arial" w:cs="Arial"/>
                <w:sz w:val="20"/>
                <w:szCs w:val="20"/>
              </w:rPr>
            </w:pPr>
            <w:r>
              <w:rPr>
                <w:rFonts w:ascii="Arial" w:hAnsi="Arial" w:cs="Arial"/>
                <w:sz w:val="20"/>
                <w:szCs w:val="20"/>
              </w:rPr>
              <w:t>1,283</w:t>
            </w:r>
            <w:r w:rsidR="00226DD6">
              <w:rPr>
                <w:rFonts w:ascii="Arial" w:hAnsi="Arial" w:cs="Arial"/>
                <w:sz w:val="20"/>
                <w:szCs w:val="20"/>
              </w:rPr>
              <w:t>*</w:t>
            </w:r>
          </w:p>
          <w:p w:rsidR="00AD7CD2" w:rsidRDefault="00AD7CD2" w:rsidP="00AD7CD2">
            <w:pPr>
              <w:pStyle w:val="NoSpacing"/>
              <w:keepNext/>
              <w:jc w:val="center"/>
              <w:rPr>
                <w:rFonts w:ascii="Arial" w:hAnsi="Arial" w:cs="Arial"/>
                <w:sz w:val="20"/>
                <w:szCs w:val="20"/>
              </w:rPr>
            </w:pPr>
          </w:p>
        </w:tc>
      </w:tr>
      <w:tr w:rsidR="00AD7CD2" w:rsidTr="00AD7CD2">
        <w:tc>
          <w:tcPr>
            <w:tcW w:w="3960" w:type="dxa"/>
            <w:tcBorders>
              <w:top w:val="nil"/>
              <w:left w:val="single" w:sz="8" w:space="0" w:color="666969"/>
              <w:bottom w:val="single" w:sz="8" w:space="0" w:color="666969"/>
              <w:right w:val="single" w:sz="8" w:space="0" w:color="666969"/>
            </w:tcBorders>
            <w:tcMar>
              <w:top w:w="0" w:type="dxa"/>
              <w:left w:w="108" w:type="dxa"/>
              <w:bottom w:w="0" w:type="dxa"/>
              <w:right w:w="108" w:type="dxa"/>
            </w:tcMar>
            <w:vAlign w:val="center"/>
            <w:hideMark/>
          </w:tcPr>
          <w:p w:rsidR="00AD7CD2" w:rsidRDefault="00AD7CD2" w:rsidP="00AD7CD2">
            <w:pPr>
              <w:pStyle w:val="NoSpacing"/>
              <w:keepNext/>
              <w:rPr>
                <w:rFonts w:ascii="Arial" w:hAnsi="Arial" w:cs="Arial"/>
                <w:sz w:val="20"/>
                <w:szCs w:val="20"/>
              </w:rPr>
            </w:pPr>
            <w:r>
              <w:rPr>
                <w:rFonts w:ascii="Arial" w:hAnsi="Arial" w:cs="Arial"/>
                <w:sz w:val="20"/>
                <w:szCs w:val="20"/>
              </w:rPr>
              <w:t>Baseline survey:  study participants</w:t>
            </w:r>
          </w:p>
        </w:tc>
        <w:tc>
          <w:tcPr>
            <w:tcW w:w="1800" w:type="dxa"/>
            <w:tcBorders>
              <w:top w:val="nil"/>
              <w:left w:val="nil"/>
              <w:bottom w:val="single" w:sz="8" w:space="0" w:color="666969"/>
              <w:right w:val="single" w:sz="8" w:space="0" w:color="666969"/>
            </w:tcBorders>
            <w:tcMar>
              <w:top w:w="0" w:type="dxa"/>
              <w:left w:w="108" w:type="dxa"/>
              <w:bottom w:w="0" w:type="dxa"/>
              <w:right w:w="108" w:type="dxa"/>
            </w:tcMar>
            <w:vAlign w:val="center"/>
            <w:hideMark/>
          </w:tcPr>
          <w:p w:rsidR="00AD7CD2" w:rsidRDefault="00AD7CD2" w:rsidP="00AD7CD2">
            <w:pPr>
              <w:pStyle w:val="NoSpacing"/>
              <w:keepNext/>
              <w:jc w:val="center"/>
              <w:rPr>
                <w:rFonts w:ascii="Arial" w:hAnsi="Arial" w:cs="Arial"/>
                <w:sz w:val="20"/>
                <w:szCs w:val="20"/>
              </w:rPr>
            </w:pPr>
            <w:r>
              <w:rPr>
                <w:rFonts w:ascii="Arial" w:hAnsi="Arial" w:cs="Arial"/>
                <w:sz w:val="20"/>
                <w:szCs w:val="20"/>
              </w:rPr>
              <w:t>7,000</w:t>
            </w:r>
          </w:p>
        </w:tc>
        <w:tc>
          <w:tcPr>
            <w:tcW w:w="1440" w:type="dxa"/>
            <w:tcBorders>
              <w:top w:val="nil"/>
              <w:left w:val="nil"/>
              <w:bottom w:val="single" w:sz="8" w:space="0" w:color="666969"/>
              <w:right w:val="single" w:sz="8" w:space="0" w:color="666969"/>
            </w:tcBorders>
            <w:tcMar>
              <w:top w:w="0" w:type="dxa"/>
              <w:left w:w="108" w:type="dxa"/>
              <w:bottom w:w="0" w:type="dxa"/>
              <w:right w:w="108" w:type="dxa"/>
            </w:tcMar>
            <w:vAlign w:val="center"/>
            <w:hideMark/>
          </w:tcPr>
          <w:p w:rsidR="00AD7CD2" w:rsidRDefault="00AD7CD2" w:rsidP="00AD7CD2">
            <w:pPr>
              <w:pStyle w:val="NoSpacing"/>
              <w:keepNext/>
              <w:jc w:val="center"/>
              <w:rPr>
                <w:rFonts w:ascii="Arial" w:hAnsi="Arial" w:cs="Arial"/>
                <w:sz w:val="20"/>
                <w:szCs w:val="20"/>
              </w:rPr>
            </w:pPr>
            <w:r>
              <w:rPr>
                <w:rFonts w:ascii="Arial" w:hAnsi="Arial" w:cs="Arial"/>
                <w:sz w:val="20"/>
                <w:szCs w:val="20"/>
              </w:rPr>
              <w:t>1</w:t>
            </w:r>
          </w:p>
        </w:tc>
        <w:tc>
          <w:tcPr>
            <w:tcW w:w="1350" w:type="dxa"/>
            <w:tcBorders>
              <w:top w:val="nil"/>
              <w:left w:val="nil"/>
              <w:bottom w:val="single" w:sz="8" w:space="0" w:color="666969"/>
              <w:right w:val="single" w:sz="8" w:space="0" w:color="666969"/>
            </w:tcBorders>
            <w:tcMar>
              <w:top w:w="0" w:type="dxa"/>
              <w:left w:w="108" w:type="dxa"/>
              <w:bottom w:w="0" w:type="dxa"/>
              <w:right w:w="108" w:type="dxa"/>
            </w:tcMar>
            <w:vAlign w:val="center"/>
            <w:hideMark/>
          </w:tcPr>
          <w:p w:rsidR="00AD7CD2" w:rsidRDefault="00AD7CD2" w:rsidP="00AD7CD2">
            <w:pPr>
              <w:pStyle w:val="NoSpacing"/>
              <w:keepNext/>
              <w:jc w:val="center"/>
              <w:rPr>
                <w:rFonts w:ascii="Arial" w:hAnsi="Arial" w:cs="Arial"/>
                <w:sz w:val="20"/>
                <w:szCs w:val="20"/>
              </w:rPr>
            </w:pPr>
            <w:r>
              <w:rPr>
                <w:rFonts w:ascii="Arial" w:hAnsi="Arial" w:cs="Arial"/>
                <w:sz w:val="20"/>
                <w:szCs w:val="20"/>
              </w:rPr>
              <w:t>25 min. (20,30)</w:t>
            </w:r>
          </w:p>
        </w:tc>
        <w:tc>
          <w:tcPr>
            <w:tcW w:w="918" w:type="dxa"/>
            <w:tcBorders>
              <w:top w:val="nil"/>
              <w:left w:val="nil"/>
              <w:bottom w:val="single" w:sz="8" w:space="0" w:color="666969"/>
              <w:right w:val="single" w:sz="8" w:space="0" w:color="666969"/>
            </w:tcBorders>
            <w:tcMar>
              <w:top w:w="0" w:type="dxa"/>
              <w:left w:w="108" w:type="dxa"/>
              <w:bottom w:w="0" w:type="dxa"/>
              <w:right w:w="108" w:type="dxa"/>
            </w:tcMar>
            <w:vAlign w:val="center"/>
            <w:hideMark/>
          </w:tcPr>
          <w:p w:rsidR="00AD7CD2" w:rsidRDefault="00AD7CD2" w:rsidP="00AD7CD2">
            <w:pPr>
              <w:pStyle w:val="NoSpacing"/>
              <w:keepNext/>
              <w:jc w:val="center"/>
              <w:rPr>
                <w:rFonts w:ascii="Arial" w:hAnsi="Arial" w:cs="Arial"/>
                <w:sz w:val="20"/>
                <w:szCs w:val="20"/>
              </w:rPr>
            </w:pPr>
            <w:r>
              <w:rPr>
                <w:rFonts w:ascii="Arial" w:hAnsi="Arial" w:cs="Arial"/>
                <w:sz w:val="20"/>
                <w:szCs w:val="20"/>
              </w:rPr>
              <w:t>2,917</w:t>
            </w:r>
            <w:r w:rsidR="00226DD6">
              <w:rPr>
                <w:rFonts w:ascii="Arial" w:hAnsi="Arial" w:cs="Arial"/>
                <w:sz w:val="20"/>
                <w:szCs w:val="20"/>
              </w:rPr>
              <w:t>*</w:t>
            </w:r>
          </w:p>
        </w:tc>
      </w:tr>
      <w:tr w:rsidR="00AD7CD2" w:rsidTr="00AD7CD2">
        <w:tc>
          <w:tcPr>
            <w:tcW w:w="3960" w:type="dxa"/>
            <w:tcBorders>
              <w:top w:val="nil"/>
              <w:left w:val="single" w:sz="8" w:space="0" w:color="666969"/>
              <w:bottom w:val="single" w:sz="8" w:space="0" w:color="666969"/>
              <w:right w:val="single" w:sz="8" w:space="0" w:color="666969"/>
            </w:tcBorders>
            <w:tcMar>
              <w:top w:w="0" w:type="dxa"/>
              <w:left w:w="108" w:type="dxa"/>
              <w:bottom w:w="0" w:type="dxa"/>
              <w:right w:w="108" w:type="dxa"/>
            </w:tcMar>
            <w:vAlign w:val="center"/>
            <w:hideMark/>
          </w:tcPr>
          <w:p w:rsidR="00AD7CD2" w:rsidRDefault="00AD7CD2" w:rsidP="00AD7CD2">
            <w:pPr>
              <w:pStyle w:val="NoSpacing"/>
              <w:keepNext/>
              <w:rPr>
                <w:rFonts w:ascii="Arial" w:hAnsi="Arial" w:cs="Arial"/>
                <w:sz w:val="20"/>
                <w:szCs w:val="20"/>
              </w:rPr>
            </w:pPr>
            <w:r>
              <w:rPr>
                <w:rFonts w:ascii="Arial" w:hAnsi="Arial" w:cs="Arial"/>
                <w:sz w:val="20"/>
                <w:szCs w:val="20"/>
              </w:rPr>
              <w:t>Follow-up interviews: study participants</w:t>
            </w:r>
          </w:p>
        </w:tc>
        <w:tc>
          <w:tcPr>
            <w:tcW w:w="1800" w:type="dxa"/>
            <w:tcBorders>
              <w:top w:val="nil"/>
              <w:left w:val="nil"/>
              <w:bottom w:val="single" w:sz="8" w:space="0" w:color="666969"/>
              <w:right w:val="single" w:sz="8" w:space="0" w:color="666969"/>
            </w:tcBorders>
            <w:tcMar>
              <w:top w:w="0" w:type="dxa"/>
              <w:left w:w="108" w:type="dxa"/>
              <w:bottom w:w="0" w:type="dxa"/>
              <w:right w:w="108" w:type="dxa"/>
            </w:tcMar>
            <w:vAlign w:val="center"/>
            <w:hideMark/>
          </w:tcPr>
          <w:p w:rsidR="00AD7CD2" w:rsidRDefault="00AD7CD2" w:rsidP="00AD7CD2">
            <w:pPr>
              <w:pStyle w:val="NoSpacing"/>
              <w:keepNext/>
              <w:jc w:val="center"/>
              <w:rPr>
                <w:rFonts w:ascii="Arial" w:hAnsi="Arial" w:cs="Arial"/>
                <w:sz w:val="20"/>
                <w:szCs w:val="20"/>
              </w:rPr>
            </w:pPr>
            <w:r>
              <w:rPr>
                <w:rFonts w:ascii="Arial" w:hAnsi="Arial" w:cs="Arial"/>
                <w:sz w:val="20"/>
                <w:szCs w:val="20"/>
              </w:rPr>
              <w:t>200</w:t>
            </w:r>
          </w:p>
        </w:tc>
        <w:tc>
          <w:tcPr>
            <w:tcW w:w="1440" w:type="dxa"/>
            <w:tcBorders>
              <w:top w:val="nil"/>
              <w:left w:val="nil"/>
              <w:bottom w:val="single" w:sz="8" w:space="0" w:color="666969"/>
              <w:right w:val="single" w:sz="8" w:space="0" w:color="666969"/>
            </w:tcBorders>
            <w:tcMar>
              <w:top w:w="0" w:type="dxa"/>
              <w:left w:w="108" w:type="dxa"/>
              <w:bottom w:w="0" w:type="dxa"/>
              <w:right w:w="108" w:type="dxa"/>
            </w:tcMar>
            <w:vAlign w:val="center"/>
            <w:hideMark/>
          </w:tcPr>
          <w:p w:rsidR="00AD7CD2" w:rsidRDefault="00AD7CD2" w:rsidP="00AD7CD2">
            <w:pPr>
              <w:pStyle w:val="NoSpacing"/>
              <w:keepNext/>
              <w:jc w:val="center"/>
              <w:rPr>
                <w:rFonts w:ascii="Arial" w:hAnsi="Arial" w:cs="Arial"/>
                <w:sz w:val="20"/>
                <w:szCs w:val="20"/>
              </w:rPr>
            </w:pPr>
            <w:r>
              <w:rPr>
                <w:rFonts w:ascii="Arial" w:hAnsi="Arial" w:cs="Arial"/>
                <w:sz w:val="20"/>
                <w:szCs w:val="20"/>
              </w:rPr>
              <w:t>1</w:t>
            </w:r>
          </w:p>
        </w:tc>
        <w:tc>
          <w:tcPr>
            <w:tcW w:w="1350" w:type="dxa"/>
            <w:tcBorders>
              <w:top w:val="nil"/>
              <w:left w:val="nil"/>
              <w:bottom w:val="single" w:sz="8" w:space="0" w:color="666969"/>
              <w:right w:val="single" w:sz="8" w:space="0" w:color="666969"/>
            </w:tcBorders>
            <w:tcMar>
              <w:top w:w="0" w:type="dxa"/>
              <w:left w:w="108" w:type="dxa"/>
              <w:bottom w:w="0" w:type="dxa"/>
              <w:right w:w="108" w:type="dxa"/>
            </w:tcMar>
            <w:vAlign w:val="center"/>
            <w:hideMark/>
          </w:tcPr>
          <w:p w:rsidR="00AD7CD2" w:rsidRDefault="00AD7CD2" w:rsidP="00AD7CD2">
            <w:pPr>
              <w:pStyle w:val="NoSpacing"/>
              <w:keepNext/>
              <w:jc w:val="center"/>
              <w:rPr>
                <w:rFonts w:ascii="Arial" w:hAnsi="Arial" w:cs="Arial"/>
                <w:sz w:val="20"/>
                <w:szCs w:val="20"/>
              </w:rPr>
            </w:pPr>
            <w:r>
              <w:rPr>
                <w:rFonts w:ascii="Arial" w:hAnsi="Arial" w:cs="Arial"/>
                <w:sz w:val="20"/>
                <w:szCs w:val="20"/>
              </w:rPr>
              <w:t>30 min. (20,40)</w:t>
            </w:r>
          </w:p>
        </w:tc>
        <w:tc>
          <w:tcPr>
            <w:tcW w:w="918" w:type="dxa"/>
            <w:tcBorders>
              <w:top w:val="nil"/>
              <w:left w:val="nil"/>
              <w:bottom w:val="single" w:sz="8" w:space="0" w:color="666969"/>
              <w:right w:val="single" w:sz="8" w:space="0" w:color="666969"/>
            </w:tcBorders>
            <w:tcMar>
              <w:top w:w="0" w:type="dxa"/>
              <w:left w:w="108" w:type="dxa"/>
              <w:bottom w:w="0" w:type="dxa"/>
              <w:right w:w="108" w:type="dxa"/>
            </w:tcMar>
            <w:vAlign w:val="center"/>
            <w:hideMark/>
          </w:tcPr>
          <w:p w:rsidR="00AD7CD2" w:rsidRDefault="00AD7CD2" w:rsidP="00AD7CD2">
            <w:pPr>
              <w:pStyle w:val="NoSpacing"/>
              <w:keepNext/>
              <w:jc w:val="center"/>
              <w:rPr>
                <w:rFonts w:ascii="Arial" w:hAnsi="Arial" w:cs="Arial"/>
                <w:sz w:val="20"/>
                <w:szCs w:val="20"/>
              </w:rPr>
            </w:pPr>
            <w:r>
              <w:rPr>
                <w:rFonts w:ascii="Arial" w:hAnsi="Arial" w:cs="Arial"/>
                <w:sz w:val="20"/>
                <w:szCs w:val="20"/>
              </w:rPr>
              <w:t>100</w:t>
            </w:r>
            <w:r w:rsidR="00226DD6">
              <w:rPr>
                <w:rFonts w:ascii="Arial" w:hAnsi="Arial" w:cs="Arial"/>
                <w:sz w:val="20"/>
                <w:szCs w:val="20"/>
              </w:rPr>
              <w:t>**</w:t>
            </w:r>
          </w:p>
        </w:tc>
      </w:tr>
      <w:tr w:rsidR="00AD7CD2" w:rsidTr="00AD7CD2">
        <w:tc>
          <w:tcPr>
            <w:tcW w:w="3960" w:type="dxa"/>
            <w:tcBorders>
              <w:top w:val="nil"/>
              <w:left w:val="single" w:sz="8" w:space="0" w:color="666969"/>
              <w:bottom w:val="single" w:sz="8" w:space="0" w:color="666969"/>
              <w:right w:val="single" w:sz="8" w:space="0" w:color="666969"/>
            </w:tcBorders>
            <w:tcMar>
              <w:top w:w="0" w:type="dxa"/>
              <w:left w:w="108" w:type="dxa"/>
              <w:bottom w:w="0" w:type="dxa"/>
              <w:right w:w="108" w:type="dxa"/>
            </w:tcMar>
            <w:vAlign w:val="center"/>
            <w:hideMark/>
          </w:tcPr>
          <w:p w:rsidR="00AD7CD2" w:rsidRDefault="00AD7CD2" w:rsidP="00AD7CD2">
            <w:pPr>
              <w:pStyle w:val="NoSpacing"/>
              <w:keepNext/>
              <w:rPr>
                <w:rFonts w:ascii="Arial" w:hAnsi="Arial" w:cs="Arial"/>
                <w:sz w:val="20"/>
                <w:szCs w:val="20"/>
              </w:rPr>
            </w:pPr>
            <w:r>
              <w:rPr>
                <w:rFonts w:ascii="Arial" w:hAnsi="Arial" w:cs="Arial"/>
                <w:sz w:val="20"/>
                <w:szCs w:val="20"/>
              </w:rPr>
              <w:t>Tracking Letters</w:t>
            </w:r>
          </w:p>
        </w:tc>
        <w:tc>
          <w:tcPr>
            <w:tcW w:w="1800" w:type="dxa"/>
            <w:tcBorders>
              <w:top w:val="nil"/>
              <w:left w:val="nil"/>
              <w:bottom w:val="single" w:sz="8" w:space="0" w:color="666969"/>
              <w:right w:val="single" w:sz="8" w:space="0" w:color="666969"/>
            </w:tcBorders>
            <w:tcMar>
              <w:top w:w="0" w:type="dxa"/>
              <w:left w:w="108" w:type="dxa"/>
              <w:bottom w:w="0" w:type="dxa"/>
              <w:right w:w="108" w:type="dxa"/>
            </w:tcMar>
            <w:vAlign w:val="center"/>
            <w:hideMark/>
          </w:tcPr>
          <w:p w:rsidR="00AD7CD2" w:rsidRDefault="00AD7CD2" w:rsidP="00AD7CD2">
            <w:pPr>
              <w:pStyle w:val="NoSpacing"/>
              <w:keepNext/>
              <w:jc w:val="center"/>
              <w:rPr>
                <w:rFonts w:ascii="Arial" w:hAnsi="Arial" w:cs="Arial"/>
                <w:sz w:val="20"/>
                <w:szCs w:val="20"/>
              </w:rPr>
            </w:pPr>
            <w:r>
              <w:rPr>
                <w:rFonts w:ascii="Arial" w:hAnsi="Arial" w:cs="Arial"/>
                <w:sz w:val="20"/>
                <w:szCs w:val="20"/>
              </w:rPr>
              <w:t>7,000</w:t>
            </w:r>
          </w:p>
        </w:tc>
        <w:tc>
          <w:tcPr>
            <w:tcW w:w="1440" w:type="dxa"/>
            <w:tcBorders>
              <w:top w:val="nil"/>
              <w:left w:val="nil"/>
              <w:bottom w:val="single" w:sz="8" w:space="0" w:color="666969"/>
              <w:right w:val="single" w:sz="8" w:space="0" w:color="666969"/>
            </w:tcBorders>
            <w:tcMar>
              <w:top w:w="0" w:type="dxa"/>
              <w:left w:w="108" w:type="dxa"/>
              <w:bottom w:w="0" w:type="dxa"/>
              <w:right w:w="108" w:type="dxa"/>
            </w:tcMar>
            <w:vAlign w:val="center"/>
            <w:hideMark/>
          </w:tcPr>
          <w:p w:rsidR="00AD7CD2" w:rsidRDefault="00AD7CD2" w:rsidP="00AD7CD2">
            <w:pPr>
              <w:pStyle w:val="NoSpacing"/>
              <w:keepNext/>
              <w:jc w:val="center"/>
              <w:rPr>
                <w:rFonts w:ascii="Arial" w:hAnsi="Arial" w:cs="Arial"/>
                <w:sz w:val="20"/>
                <w:szCs w:val="20"/>
              </w:rPr>
            </w:pPr>
            <w:r>
              <w:rPr>
                <w:rFonts w:ascii="Arial" w:hAnsi="Arial" w:cs="Arial"/>
                <w:sz w:val="20"/>
                <w:szCs w:val="20"/>
              </w:rPr>
              <w:t>9</w:t>
            </w:r>
          </w:p>
        </w:tc>
        <w:tc>
          <w:tcPr>
            <w:tcW w:w="1350" w:type="dxa"/>
            <w:tcBorders>
              <w:top w:val="nil"/>
              <w:left w:val="nil"/>
              <w:bottom w:val="single" w:sz="8" w:space="0" w:color="666969"/>
              <w:right w:val="single" w:sz="8" w:space="0" w:color="666969"/>
            </w:tcBorders>
            <w:tcMar>
              <w:top w:w="0" w:type="dxa"/>
              <w:left w:w="108" w:type="dxa"/>
              <w:bottom w:w="0" w:type="dxa"/>
              <w:right w:w="108" w:type="dxa"/>
            </w:tcMar>
            <w:vAlign w:val="center"/>
            <w:hideMark/>
          </w:tcPr>
          <w:p w:rsidR="00AD7CD2" w:rsidRDefault="00AD7CD2" w:rsidP="00AD7CD2">
            <w:pPr>
              <w:pStyle w:val="NoSpacing"/>
              <w:keepNext/>
              <w:jc w:val="center"/>
              <w:rPr>
                <w:rFonts w:ascii="Arial" w:hAnsi="Arial" w:cs="Arial"/>
                <w:sz w:val="20"/>
                <w:szCs w:val="20"/>
              </w:rPr>
            </w:pPr>
            <w:r>
              <w:rPr>
                <w:rFonts w:ascii="Arial" w:hAnsi="Arial" w:cs="Arial"/>
                <w:sz w:val="20"/>
                <w:szCs w:val="20"/>
              </w:rPr>
              <w:t>5 min (3, 10)</w:t>
            </w:r>
          </w:p>
        </w:tc>
        <w:tc>
          <w:tcPr>
            <w:tcW w:w="918" w:type="dxa"/>
            <w:tcBorders>
              <w:top w:val="nil"/>
              <w:left w:val="nil"/>
              <w:bottom w:val="single" w:sz="8" w:space="0" w:color="666969"/>
              <w:right w:val="single" w:sz="8" w:space="0" w:color="666969"/>
            </w:tcBorders>
            <w:tcMar>
              <w:top w:w="0" w:type="dxa"/>
              <w:left w:w="108" w:type="dxa"/>
              <w:bottom w:w="0" w:type="dxa"/>
              <w:right w:w="108" w:type="dxa"/>
            </w:tcMar>
            <w:vAlign w:val="center"/>
            <w:hideMark/>
          </w:tcPr>
          <w:p w:rsidR="00AD7CD2" w:rsidRPr="00226DD6" w:rsidRDefault="00AD7CD2" w:rsidP="00226DD6">
            <w:pPr>
              <w:pStyle w:val="NoSpacing"/>
              <w:keepNext/>
              <w:rPr>
                <w:rFonts w:ascii="Arial" w:hAnsi="Arial" w:cs="Arial"/>
                <w:sz w:val="18"/>
                <w:szCs w:val="18"/>
              </w:rPr>
            </w:pPr>
            <w:r w:rsidRPr="00226DD6">
              <w:rPr>
                <w:rFonts w:ascii="Arial" w:hAnsi="Arial" w:cs="Arial"/>
                <w:sz w:val="18"/>
                <w:szCs w:val="18"/>
              </w:rPr>
              <w:t>5,250</w:t>
            </w:r>
            <w:r w:rsidR="00226DD6" w:rsidRPr="00226DD6">
              <w:rPr>
                <w:rFonts w:ascii="Arial" w:hAnsi="Arial" w:cs="Arial"/>
                <w:sz w:val="18"/>
                <w:szCs w:val="18"/>
              </w:rPr>
              <w:t>***</w:t>
            </w:r>
          </w:p>
        </w:tc>
      </w:tr>
      <w:tr w:rsidR="00AD7CD2" w:rsidTr="00AD7CD2">
        <w:tc>
          <w:tcPr>
            <w:tcW w:w="3960" w:type="dxa"/>
            <w:tcBorders>
              <w:top w:val="nil"/>
              <w:left w:val="single" w:sz="8" w:space="0" w:color="666969"/>
              <w:bottom w:val="single" w:sz="8" w:space="0" w:color="666969"/>
              <w:right w:val="single" w:sz="8" w:space="0" w:color="666969"/>
            </w:tcBorders>
            <w:shd w:val="clear" w:color="auto" w:fill="666969"/>
            <w:tcMar>
              <w:top w:w="0" w:type="dxa"/>
              <w:left w:w="108" w:type="dxa"/>
              <w:bottom w:w="0" w:type="dxa"/>
              <w:right w:w="108" w:type="dxa"/>
            </w:tcMar>
            <w:vAlign w:val="center"/>
            <w:hideMark/>
          </w:tcPr>
          <w:p w:rsidR="00AD7CD2" w:rsidRDefault="00AD7CD2" w:rsidP="00AD7CD2">
            <w:pPr>
              <w:pStyle w:val="NoSpacing"/>
              <w:keepNext/>
              <w:rPr>
                <w:rFonts w:ascii="Arial" w:hAnsi="Arial" w:cs="Arial"/>
                <w:b/>
                <w:bCs/>
                <w:color w:val="FFFFFF"/>
                <w:sz w:val="20"/>
                <w:szCs w:val="20"/>
              </w:rPr>
            </w:pPr>
            <w:r>
              <w:rPr>
                <w:rFonts w:ascii="Arial" w:hAnsi="Arial" w:cs="Arial"/>
                <w:b/>
                <w:bCs/>
                <w:i/>
                <w:iCs/>
                <w:color w:val="FFFFFF"/>
                <w:sz w:val="20"/>
                <w:szCs w:val="20"/>
              </w:rPr>
              <w:t>Subtotal: Study (and potential) participants</w:t>
            </w:r>
          </w:p>
        </w:tc>
        <w:tc>
          <w:tcPr>
            <w:tcW w:w="1800" w:type="dxa"/>
            <w:tcBorders>
              <w:top w:val="nil"/>
              <w:left w:val="nil"/>
              <w:bottom w:val="single" w:sz="8" w:space="0" w:color="666969"/>
              <w:right w:val="single" w:sz="8" w:space="0" w:color="666969"/>
            </w:tcBorders>
            <w:shd w:val="clear" w:color="auto" w:fill="666969"/>
            <w:tcMar>
              <w:top w:w="0" w:type="dxa"/>
              <w:left w:w="108" w:type="dxa"/>
              <w:bottom w:w="0" w:type="dxa"/>
              <w:right w:w="108" w:type="dxa"/>
            </w:tcMar>
            <w:vAlign w:val="center"/>
            <w:hideMark/>
          </w:tcPr>
          <w:p w:rsidR="00AD7CD2" w:rsidRDefault="00AD7CD2" w:rsidP="00AD7CD2">
            <w:pPr>
              <w:pStyle w:val="NoSpacing"/>
              <w:keepNext/>
              <w:jc w:val="center"/>
              <w:rPr>
                <w:rFonts w:ascii="Arial" w:hAnsi="Arial" w:cs="Arial"/>
                <w:b/>
                <w:bCs/>
                <w:color w:val="FFFFFF"/>
                <w:sz w:val="20"/>
                <w:szCs w:val="20"/>
              </w:rPr>
            </w:pPr>
            <w:r>
              <w:rPr>
                <w:rFonts w:ascii="Arial" w:hAnsi="Arial" w:cs="Arial"/>
                <w:b/>
                <w:bCs/>
                <w:color w:val="FFFFFF"/>
                <w:sz w:val="20"/>
                <w:szCs w:val="20"/>
              </w:rPr>
              <w:t>126,200</w:t>
            </w:r>
          </w:p>
        </w:tc>
        <w:tc>
          <w:tcPr>
            <w:tcW w:w="1440" w:type="dxa"/>
            <w:tcBorders>
              <w:top w:val="nil"/>
              <w:left w:val="nil"/>
              <w:bottom w:val="single" w:sz="8" w:space="0" w:color="666969"/>
              <w:right w:val="single" w:sz="8" w:space="0" w:color="666969"/>
            </w:tcBorders>
            <w:shd w:val="clear" w:color="auto" w:fill="666969"/>
            <w:tcMar>
              <w:top w:w="0" w:type="dxa"/>
              <w:left w:w="108" w:type="dxa"/>
              <w:bottom w:w="0" w:type="dxa"/>
              <w:right w:w="108" w:type="dxa"/>
            </w:tcMar>
            <w:vAlign w:val="center"/>
            <w:hideMark/>
          </w:tcPr>
          <w:p w:rsidR="00AD7CD2" w:rsidRDefault="00AD7CD2" w:rsidP="00AD7CD2">
            <w:pPr>
              <w:pStyle w:val="NoSpacing"/>
              <w:keepNext/>
              <w:jc w:val="center"/>
              <w:rPr>
                <w:rFonts w:ascii="Arial" w:hAnsi="Arial" w:cs="Arial"/>
                <w:b/>
                <w:bCs/>
                <w:color w:val="FFFFFF"/>
                <w:sz w:val="20"/>
                <w:szCs w:val="20"/>
              </w:rPr>
            </w:pPr>
            <w:r>
              <w:rPr>
                <w:rFonts w:ascii="Arial" w:hAnsi="Arial" w:cs="Arial"/>
                <w:b/>
                <w:bCs/>
                <w:color w:val="FFFFFF"/>
                <w:sz w:val="20"/>
                <w:szCs w:val="20"/>
              </w:rPr>
              <w:t>14</w:t>
            </w:r>
          </w:p>
        </w:tc>
        <w:tc>
          <w:tcPr>
            <w:tcW w:w="1350" w:type="dxa"/>
            <w:tcBorders>
              <w:top w:val="nil"/>
              <w:left w:val="nil"/>
              <w:bottom w:val="single" w:sz="8" w:space="0" w:color="666969"/>
              <w:right w:val="single" w:sz="8" w:space="0" w:color="666969"/>
            </w:tcBorders>
            <w:shd w:val="clear" w:color="auto" w:fill="666969"/>
            <w:tcMar>
              <w:top w:w="0" w:type="dxa"/>
              <w:left w:w="108" w:type="dxa"/>
              <w:bottom w:w="0" w:type="dxa"/>
              <w:right w:w="108" w:type="dxa"/>
            </w:tcMar>
            <w:vAlign w:val="center"/>
            <w:hideMark/>
          </w:tcPr>
          <w:p w:rsidR="00AD7CD2" w:rsidRDefault="00646A09" w:rsidP="00AD7CD2">
            <w:pPr>
              <w:pStyle w:val="NoSpacing"/>
              <w:keepNext/>
              <w:jc w:val="center"/>
              <w:rPr>
                <w:rFonts w:ascii="Arial" w:hAnsi="Arial" w:cs="Arial"/>
                <w:b/>
                <w:bCs/>
                <w:color w:val="FFFFFF"/>
                <w:sz w:val="20"/>
                <w:szCs w:val="20"/>
              </w:rPr>
            </w:pPr>
            <w:r>
              <w:rPr>
                <w:rFonts w:ascii="Arial" w:hAnsi="Arial" w:cs="Arial"/>
                <w:b/>
                <w:bCs/>
                <w:color w:val="FFFFFF"/>
                <w:sz w:val="20"/>
                <w:szCs w:val="20"/>
              </w:rPr>
              <w:t xml:space="preserve">77.5 </w:t>
            </w:r>
          </w:p>
        </w:tc>
        <w:tc>
          <w:tcPr>
            <w:tcW w:w="918" w:type="dxa"/>
            <w:tcBorders>
              <w:top w:val="nil"/>
              <w:left w:val="nil"/>
              <w:bottom w:val="single" w:sz="8" w:space="0" w:color="666969"/>
              <w:right w:val="single" w:sz="8" w:space="0" w:color="666969"/>
            </w:tcBorders>
            <w:shd w:val="clear" w:color="auto" w:fill="666969"/>
            <w:tcMar>
              <w:top w:w="0" w:type="dxa"/>
              <w:left w:w="108" w:type="dxa"/>
              <w:bottom w:w="0" w:type="dxa"/>
              <w:right w:w="108" w:type="dxa"/>
            </w:tcMar>
            <w:vAlign w:val="center"/>
            <w:hideMark/>
          </w:tcPr>
          <w:p w:rsidR="00AD7CD2" w:rsidRDefault="00AD7CD2" w:rsidP="00AD7CD2">
            <w:pPr>
              <w:pStyle w:val="NoSpacing"/>
              <w:keepNext/>
              <w:jc w:val="center"/>
              <w:rPr>
                <w:rFonts w:ascii="Arial" w:hAnsi="Arial" w:cs="Arial"/>
                <w:b/>
                <w:bCs/>
                <w:i/>
                <w:iCs/>
                <w:color w:val="FFFFFF"/>
                <w:sz w:val="20"/>
                <w:szCs w:val="20"/>
              </w:rPr>
            </w:pPr>
            <w:r>
              <w:rPr>
                <w:rFonts w:ascii="Arial" w:hAnsi="Arial" w:cs="Arial"/>
                <w:b/>
                <w:bCs/>
                <w:i/>
                <w:iCs/>
                <w:color w:val="FFFFFF"/>
                <w:sz w:val="20"/>
                <w:szCs w:val="20"/>
              </w:rPr>
              <w:t>1</w:t>
            </w:r>
            <w:r w:rsidR="00646A09">
              <w:rPr>
                <w:rFonts w:ascii="Arial" w:hAnsi="Arial" w:cs="Arial"/>
                <w:b/>
                <w:bCs/>
                <w:i/>
                <w:iCs/>
                <w:color w:val="FFFFFF"/>
                <w:sz w:val="20"/>
                <w:szCs w:val="20"/>
              </w:rPr>
              <w:t>4,946</w:t>
            </w:r>
          </w:p>
        </w:tc>
      </w:tr>
      <w:tr w:rsidR="00AD7CD2" w:rsidTr="00332D31">
        <w:tc>
          <w:tcPr>
            <w:tcW w:w="3960" w:type="dxa"/>
            <w:tcBorders>
              <w:top w:val="nil"/>
              <w:left w:val="single" w:sz="8" w:space="0" w:color="666969"/>
              <w:bottom w:val="single" w:sz="8" w:space="0" w:color="666969"/>
              <w:right w:val="single" w:sz="8" w:space="0" w:color="666969"/>
            </w:tcBorders>
            <w:tcMar>
              <w:top w:w="0" w:type="dxa"/>
              <w:left w:w="108" w:type="dxa"/>
              <w:bottom w:w="0" w:type="dxa"/>
              <w:right w:w="108" w:type="dxa"/>
            </w:tcMar>
            <w:vAlign w:val="center"/>
            <w:hideMark/>
          </w:tcPr>
          <w:p w:rsidR="00AD7CD2" w:rsidRDefault="00AD7CD2" w:rsidP="00AD7CD2">
            <w:pPr>
              <w:pStyle w:val="NoSpacing"/>
              <w:keepNext/>
              <w:rPr>
                <w:rFonts w:ascii="Arial" w:hAnsi="Arial" w:cs="Arial"/>
                <w:sz w:val="20"/>
                <w:szCs w:val="20"/>
              </w:rPr>
            </w:pPr>
            <w:r>
              <w:rPr>
                <w:rFonts w:ascii="Arial" w:hAnsi="Arial" w:cs="Arial"/>
                <w:sz w:val="20"/>
                <w:szCs w:val="20"/>
              </w:rPr>
              <w:t>Co-borrower consent</w:t>
            </w:r>
          </w:p>
        </w:tc>
        <w:tc>
          <w:tcPr>
            <w:tcW w:w="1800" w:type="dxa"/>
            <w:tcBorders>
              <w:top w:val="nil"/>
              <w:left w:val="nil"/>
              <w:bottom w:val="single" w:sz="8" w:space="0" w:color="666969"/>
              <w:right w:val="single" w:sz="8" w:space="0" w:color="666969"/>
            </w:tcBorders>
            <w:tcMar>
              <w:top w:w="0" w:type="dxa"/>
              <w:left w:w="108" w:type="dxa"/>
              <w:bottom w:w="0" w:type="dxa"/>
              <w:right w:w="108" w:type="dxa"/>
            </w:tcMar>
            <w:vAlign w:val="center"/>
            <w:hideMark/>
          </w:tcPr>
          <w:p w:rsidR="00AD7CD2" w:rsidRDefault="00AD7CD2" w:rsidP="00AD7CD2">
            <w:pPr>
              <w:pStyle w:val="NoSpacing"/>
              <w:keepNext/>
              <w:jc w:val="center"/>
              <w:rPr>
                <w:rFonts w:ascii="Arial" w:hAnsi="Arial" w:cs="Arial"/>
                <w:sz w:val="20"/>
                <w:szCs w:val="20"/>
              </w:rPr>
            </w:pPr>
            <w:r>
              <w:rPr>
                <w:rFonts w:ascii="Arial" w:hAnsi="Arial" w:cs="Arial"/>
                <w:sz w:val="20"/>
                <w:szCs w:val="20"/>
              </w:rPr>
              <w:t>2,100</w:t>
            </w:r>
          </w:p>
        </w:tc>
        <w:tc>
          <w:tcPr>
            <w:tcW w:w="1440" w:type="dxa"/>
            <w:tcBorders>
              <w:top w:val="nil"/>
              <w:left w:val="nil"/>
              <w:bottom w:val="single" w:sz="8" w:space="0" w:color="666969"/>
              <w:right w:val="single" w:sz="8" w:space="0" w:color="666969"/>
            </w:tcBorders>
            <w:tcMar>
              <w:top w:w="0" w:type="dxa"/>
              <w:left w:w="108" w:type="dxa"/>
              <w:bottom w:w="0" w:type="dxa"/>
              <w:right w:w="108" w:type="dxa"/>
            </w:tcMar>
            <w:vAlign w:val="center"/>
            <w:hideMark/>
          </w:tcPr>
          <w:p w:rsidR="00AD7CD2" w:rsidRDefault="00AD7CD2" w:rsidP="00AD7CD2">
            <w:pPr>
              <w:pStyle w:val="NoSpacing"/>
              <w:keepNext/>
              <w:jc w:val="center"/>
              <w:rPr>
                <w:rFonts w:ascii="Arial" w:hAnsi="Arial" w:cs="Arial"/>
                <w:sz w:val="20"/>
                <w:szCs w:val="20"/>
              </w:rPr>
            </w:pPr>
            <w:r>
              <w:rPr>
                <w:rFonts w:ascii="Arial" w:hAnsi="Arial" w:cs="Arial"/>
                <w:sz w:val="20"/>
                <w:szCs w:val="20"/>
              </w:rPr>
              <w:t>1</w:t>
            </w:r>
          </w:p>
        </w:tc>
        <w:tc>
          <w:tcPr>
            <w:tcW w:w="1350" w:type="dxa"/>
            <w:tcBorders>
              <w:top w:val="nil"/>
              <w:left w:val="nil"/>
              <w:bottom w:val="single" w:sz="8" w:space="0" w:color="666969"/>
              <w:right w:val="single" w:sz="8" w:space="0" w:color="666969"/>
            </w:tcBorders>
            <w:tcMar>
              <w:top w:w="0" w:type="dxa"/>
              <w:left w:w="108" w:type="dxa"/>
              <w:bottom w:w="0" w:type="dxa"/>
              <w:right w:w="108" w:type="dxa"/>
            </w:tcMar>
            <w:vAlign w:val="center"/>
            <w:hideMark/>
          </w:tcPr>
          <w:p w:rsidR="00AD7CD2" w:rsidRDefault="00AD7CD2" w:rsidP="00AD7CD2">
            <w:pPr>
              <w:pStyle w:val="NoSpacing"/>
              <w:keepNext/>
              <w:jc w:val="center"/>
              <w:rPr>
                <w:rFonts w:ascii="Arial" w:hAnsi="Arial" w:cs="Arial"/>
                <w:sz w:val="20"/>
                <w:szCs w:val="20"/>
              </w:rPr>
            </w:pPr>
            <w:r>
              <w:rPr>
                <w:rFonts w:ascii="Arial" w:hAnsi="Arial" w:cs="Arial"/>
                <w:sz w:val="20"/>
                <w:szCs w:val="20"/>
              </w:rPr>
              <w:t>3 min (2, 4)</w:t>
            </w:r>
          </w:p>
        </w:tc>
        <w:tc>
          <w:tcPr>
            <w:tcW w:w="918" w:type="dxa"/>
            <w:tcBorders>
              <w:top w:val="nil"/>
              <w:left w:val="nil"/>
              <w:bottom w:val="single" w:sz="8" w:space="0" w:color="666969"/>
              <w:right w:val="single" w:sz="8" w:space="0" w:color="666969"/>
            </w:tcBorders>
            <w:tcMar>
              <w:top w:w="0" w:type="dxa"/>
              <w:left w:w="108" w:type="dxa"/>
              <w:bottom w:w="0" w:type="dxa"/>
              <w:right w:w="108" w:type="dxa"/>
            </w:tcMar>
            <w:vAlign w:val="center"/>
            <w:hideMark/>
          </w:tcPr>
          <w:p w:rsidR="00AD7CD2" w:rsidRDefault="00AD7CD2" w:rsidP="00AD7CD2">
            <w:pPr>
              <w:pStyle w:val="NoSpacing"/>
              <w:keepNext/>
              <w:jc w:val="center"/>
              <w:rPr>
                <w:rFonts w:ascii="Arial" w:hAnsi="Arial" w:cs="Arial"/>
                <w:sz w:val="20"/>
                <w:szCs w:val="20"/>
              </w:rPr>
            </w:pPr>
            <w:r>
              <w:rPr>
                <w:rFonts w:ascii="Arial" w:hAnsi="Arial" w:cs="Arial"/>
                <w:sz w:val="20"/>
                <w:szCs w:val="20"/>
              </w:rPr>
              <w:t>105</w:t>
            </w:r>
            <w:r w:rsidR="00226DD6">
              <w:rPr>
                <w:rFonts w:ascii="Arial" w:hAnsi="Arial" w:cs="Arial"/>
                <w:sz w:val="20"/>
                <w:szCs w:val="20"/>
              </w:rPr>
              <w:t>*</w:t>
            </w:r>
          </w:p>
        </w:tc>
      </w:tr>
      <w:tr w:rsidR="00AD7CD2" w:rsidTr="00332D31">
        <w:tc>
          <w:tcPr>
            <w:tcW w:w="3960" w:type="dxa"/>
            <w:tcBorders>
              <w:top w:val="single" w:sz="8" w:space="0" w:color="666969"/>
              <w:left w:val="single" w:sz="8" w:space="0" w:color="666969"/>
              <w:bottom w:val="single" w:sz="8" w:space="0" w:color="666969"/>
              <w:right w:val="single" w:sz="8" w:space="0" w:color="666969"/>
            </w:tcBorders>
            <w:shd w:val="clear" w:color="auto" w:fill="646B6E" w:themeFill="accent3" w:themeFillShade="80"/>
            <w:tcMar>
              <w:top w:w="0" w:type="dxa"/>
              <w:left w:w="108" w:type="dxa"/>
              <w:bottom w:w="0" w:type="dxa"/>
              <w:right w:w="108" w:type="dxa"/>
            </w:tcMar>
            <w:vAlign w:val="center"/>
            <w:hideMark/>
          </w:tcPr>
          <w:p w:rsidR="00AD7CD2" w:rsidRDefault="00AD7CD2" w:rsidP="00AD7CD2">
            <w:pPr>
              <w:pStyle w:val="NoSpacing"/>
              <w:keepNext/>
              <w:rPr>
                <w:rFonts w:ascii="Arial" w:hAnsi="Arial" w:cs="Arial"/>
                <w:b/>
                <w:bCs/>
                <w:i/>
                <w:iCs/>
                <w:color w:val="FFFFFF"/>
                <w:sz w:val="20"/>
                <w:szCs w:val="20"/>
              </w:rPr>
            </w:pPr>
            <w:r>
              <w:rPr>
                <w:rFonts w:ascii="Arial" w:hAnsi="Arial" w:cs="Arial"/>
                <w:b/>
                <w:bCs/>
                <w:i/>
                <w:iCs/>
                <w:color w:val="FFFFFF"/>
                <w:sz w:val="20"/>
                <w:szCs w:val="20"/>
              </w:rPr>
              <w:t xml:space="preserve">Subtotal: Study participant co-borrowers                                                                             </w:t>
            </w:r>
          </w:p>
        </w:tc>
        <w:tc>
          <w:tcPr>
            <w:tcW w:w="1800" w:type="dxa"/>
            <w:tcBorders>
              <w:top w:val="single" w:sz="8" w:space="0" w:color="666969"/>
              <w:left w:val="nil"/>
              <w:bottom w:val="single" w:sz="8" w:space="0" w:color="666969"/>
              <w:right w:val="single" w:sz="8" w:space="0" w:color="666969"/>
            </w:tcBorders>
            <w:shd w:val="clear" w:color="auto" w:fill="646B6E" w:themeFill="accent3" w:themeFillShade="80"/>
            <w:tcMar>
              <w:top w:w="0" w:type="dxa"/>
              <w:left w:w="108" w:type="dxa"/>
              <w:bottom w:w="0" w:type="dxa"/>
              <w:right w:w="108" w:type="dxa"/>
            </w:tcMar>
            <w:vAlign w:val="center"/>
            <w:hideMark/>
          </w:tcPr>
          <w:p w:rsidR="00AD7CD2" w:rsidRDefault="00AD7CD2" w:rsidP="00AD7CD2">
            <w:pPr>
              <w:pStyle w:val="NoSpacing"/>
              <w:keepNext/>
              <w:jc w:val="center"/>
              <w:rPr>
                <w:rFonts w:ascii="Arial" w:hAnsi="Arial" w:cs="Arial"/>
                <w:b/>
                <w:bCs/>
                <w:i/>
                <w:iCs/>
                <w:color w:val="FFFFFF"/>
                <w:sz w:val="20"/>
                <w:szCs w:val="20"/>
              </w:rPr>
            </w:pPr>
            <w:r>
              <w:rPr>
                <w:rFonts w:ascii="Arial" w:hAnsi="Arial" w:cs="Arial"/>
                <w:b/>
                <w:bCs/>
                <w:i/>
                <w:iCs/>
                <w:color w:val="FFFFFF"/>
                <w:sz w:val="20"/>
                <w:szCs w:val="20"/>
              </w:rPr>
              <w:t>2,100</w:t>
            </w:r>
          </w:p>
        </w:tc>
        <w:tc>
          <w:tcPr>
            <w:tcW w:w="1440" w:type="dxa"/>
            <w:tcBorders>
              <w:top w:val="single" w:sz="8" w:space="0" w:color="666969"/>
              <w:left w:val="nil"/>
              <w:bottom w:val="single" w:sz="8" w:space="0" w:color="666969"/>
              <w:right w:val="single" w:sz="8" w:space="0" w:color="666969"/>
            </w:tcBorders>
            <w:shd w:val="clear" w:color="auto" w:fill="646B6E" w:themeFill="accent3" w:themeFillShade="80"/>
            <w:tcMar>
              <w:top w:w="0" w:type="dxa"/>
              <w:left w:w="108" w:type="dxa"/>
              <w:bottom w:w="0" w:type="dxa"/>
              <w:right w:w="108" w:type="dxa"/>
            </w:tcMar>
            <w:vAlign w:val="center"/>
            <w:hideMark/>
          </w:tcPr>
          <w:p w:rsidR="00AD7CD2" w:rsidRDefault="00AD7CD2" w:rsidP="00AD7CD2">
            <w:pPr>
              <w:pStyle w:val="NoSpacing"/>
              <w:keepNext/>
              <w:jc w:val="center"/>
              <w:rPr>
                <w:rFonts w:ascii="Arial" w:hAnsi="Arial" w:cs="Arial"/>
                <w:b/>
                <w:bCs/>
                <w:i/>
                <w:iCs/>
                <w:color w:val="FFFFFF"/>
                <w:sz w:val="20"/>
                <w:szCs w:val="20"/>
              </w:rPr>
            </w:pPr>
            <w:r>
              <w:rPr>
                <w:rFonts w:ascii="Arial" w:hAnsi="Arial" w:cs="Arial"/>
                <w:b/>
                <w:bCs/>
                <w:i/>
                <w:iCs/>
                <w:color w:val="FFFFFF"/>
                <w:sz w:val="20"/>
                <w:szCs w:val="20"/>
              </w:rPr>
              <w:t>1</w:t>
            </w:r>
          </w:p>
        </w:tc>
        <w:tc>
          <w:tcPr>
            <w:tcW w:w="1350" w:type="dxa"/>
            <w:tcBorders>
              <w:top w:val="single" w:sz="8" w:space="0" w:color="666969"/>
              <w:left w:val="nil"/>
              <w:bottom w:val="single" w:sz="8" w:space="0" w:color="666969"/>
              <w:right w:val="single" w:sz="8" w:space="0" w:color="666969"/>
            </w:tcBorders>
            <w:shd w:val="clear" w:color="auto" w:fill="646B6E" w:themeFill="accent3" w:themeFillShade="80"/>
            <w:tcMar>
              <w:top w:w="0" w:type="dxa"/>
              <w:left w:w="108" w:type="dxa"/>
              <w:bottom w:w="0" w:type="dxa"/>
              <w:right w:w="108" w:type="dxa"/>
            </w:tcMar>
            <w:vAlign w:val="center"/>
            <w:hideMark/>
          </w:tcPr>
          <w:p w:rsidR="00AD7CD2" w:rsidRDefault="00AD7CD2" w:rsidP="00AD7CD2">
            <w:pPr>
              <w:pStyle w:val="NoSpacing"/>
              <w:keepNext/>
              <w:jc w:val="center"/>
              <w:rPr>
                <w:rFonts w:ascii="Arial" w:hAnsi="Arial" w:cs="Arial"/>
                <w:b/>
                <w:bCs/>
                <w:i/>
                <w:iCs/>
                <w:color w:val="FFFFFF"/>
                <w:sz w:val="20"/>
                <w:szCs w:val="20"/>
              </w:rPr>
            </w:pPr>
            <w:r>
              <w:rPr>
                <w:rFonts w:ascii="Arial" w:hAnsi="Arial" w:cs="Arial"/>
                <w:b/>
                <w:bCs/>
                <w:i/>
                <w:iCs/>
                <w:color w:val="FFFFFF"/>
                <w:sz w:val="20"/>
                <w:szCs w:val="20"/>
              </w:rPr>
              <w:t>3</w:t>
            </w:r>
          </w:p>
        </w:tc>
        <w:tc>
          <w:tcPr>
            <w:tcW w:w="918" w:type="dxa"/>
            <w:tcBorders>
              <w:top w:val="single" w:sz="8" w:space="0" w:color="666969"/>
              <w:left w:val="nil"/>
              <w:bottom w:val="single" w:sz="8" w:space="0" w:color="666969"/>
              <w:right w:val="single" w:sz="8" w:space="0" w:color="666969"/>
            </w:tcBorders>
            <w:shd w:val="clear" w:color="auto" w:fill="646B6E" w:themeFill="accent3" w:themeFillShade="80"/>
            <w:tcMar>
              <w:top w:w="0" w:type="dxa"/>
              <w:left w:w="108" w:type="dxa"/>
              <w:bottom w:w="0" w:type="dxa"/>
              <w:right w:w="108" w:type="dxa"/>
            </w:tcMar>
            <w:vAlign w:val="center"/>
            <w:hideMark/>
          </w:tcPr>
          <w:p w:rsidR="00AD7CD2" w:rsidRDefault="00AD7CD2" w:rsidP="00AD7CD2">
            <w:pPr>
              <w:pStyle w:val="NoSpacing"/>
              <w:keepNext/>
              <w:jc w:val="center"/>
              <w:rPr>
                <w:rFonts w:ascii="Arial" w:hAnsi="Arial" w:cs="Arial"/>
                <w:b/>
                <w:bCs/>
                <w:i/>
                <w:iCs/>
                <w:color w:val="FFFFFF"/>
                <w:sz w:val="20"/>
                <w:szCs w:val="20"/>
              </w:rPr>
            </w:pPr>
            <w:r>
              <w:rPr>
                <w:rFonts w:ascii="Arial" w:hAnsi="Arial" w:cs="Arial"/>
                <w:b/>
                <w:bCs/>
                <w:i/>
                <w:iCs/>
                <w:color w:val="FFFFFF"/>
                <w:sz w:val="20"/>
                <w:szCs w:val="20"/>
              </w:rPr>
              <w:t>105</w:t>
            </w:r>
          </w:p>
        </w:tc>
      </w:tr>
      <w:tr w:rsidR="00D72228" w:rsidTr="009B1C9F">
        <w:tc>
          <w:tcPr>
            <w:tcW w:w="9468" w:type="dxa"/>
            <w:gridSpan w:val="5"/>
            <w:tcBorders>
              <w:top w:val="nil"/>
              <w:left w:val="single" w:sz="8" w:space="0" w:color="666969"/>
              <w:bottom w:val="single" w:sz="8" w:space="0" w:color="666969"/>
              <w:right w:val="single" w:sz="8" w:space="0" w:color="666969"/>
            </w:tcBorders>
            <w:tcMar>
              <w:top w:w="0" w:type="dxa"/>
              <w:left w:w="108" w:type="dxa"/>
              <w:bottom w:w="0" w:type="dxa"/>
              <w:right w:w="108" w:type="dxa"/>
            </w:tcMar>
            <w:vAlign w:val="center"/>
          </w:tcPr>
          <w:p w:rsidR="00D72228" w:rsidRDefault="00D72228" w:rsidP="00D72228">
            <w:pPr>
              <w:pStyle w:val="NoSpacing"/>
              <w:keepNext/>
              <w:rPr>
                <w:rFonts w:ascii="Arial" w:hAnsi="Arial" w:cs="Arial"/>
                <w:sz w:val="16"/>
                <w:szCs w:val="16"/>
              </w:rPr>
            </w:pPr>
            <w:r>
              <w:rPr>
                <w:rFonts w:ascii="Arial" w:hAnsi="Arial" w:cs="Arial"/>
                <w:sz w:val="20"/>
                <w:szCs w:val="20"/>
              </w:rPr>
              <w:t>Counseling agencies’ one-time activities</w:t>
            </w:r>
          </w:p>
        </w:tc>
      </w:tr>
      <w:tr w:rsidR="005E404F" w:rsidTr="00AD7CD2">
        <w:tc>
          <w:tcPr>
            <w:tcW w:w="3960" w:type="dxa"/>
            <w:tcBorders>
              <w:top w:val="nil"/>
              <w:left w:val="single" w:sz="8" w:space="0" w:color="666969"/>
              <w:bottom w:val="single" w:sz="8" w:space="0" w:color="666969"/>
              <w:right w:val="single" w:sz="8" w:space="0" w:color="666969"/>
            </w:tcBorders>
            <w:tcMar>
              <w:top w:w="0" w:type="dxa"/>
              <w:left w:w="108" w:type="dxa"/>
              <w:bottom w:w="0" w:type="dxa"/>
              <w:right w:w="108" w:type="dxa"/>
            </w:tcMar>
            <w:vAlign w:val="center"/>
          </w:tcPr>
          <w:p w:rsidR="005E404F" w:rsidRDefault="005E404F" w:rsidP="00D72228">
            <w:pPr>
              <w:pStyle w:val="NoSpacing"/>
              <w:keepNext/>
              <w:numPr>
                <w:ilvl w:val="0"/>
                <w:numId w:val="18"/>
              </w:numPr>
              <w:rPr>
                <w:rFonts w:ascii="Arial" w:hAnsi="Arial" w:cs="Arial"/>
                <w:sz w:val="20"/>
                <w:szCs w:val="20"/>
              </w:rPr>
            </w:pPr>
            <w:r>
              <w:rPr>
                <w:rFonts w:ascii="Arial" w:hAnsi="Arial" w:cs="Arial"/>
                <w:sz w:val="20"/>
                <w:szCs w:val="20"/>
              </w:rPr>
              <w:t>Counseling agency planning (training counseling agency staff)</w:t>
            </w:r>
          </w:p>
        </w:tc>
        <w:tc>
          <w:tcPr>
            <w:tcW w:w="1800" w:type="dxa"/>
            <w:tcBorders>
              <w:top w:val="nil"/>
              <w:left w:val="nil"/>
              <w:bottom w:val="single" w:sz="8" w:space="0" w:color="666969"/>
              <w:right w:val="single" w:sz="8" w:space="0" w:color="666969"/>
            </w:tcBorders>
            <w:tcMar>
              <w:top w:w="0" w:type="dxa"/>
              <w:left w:w="108" w:type="dxa"/>
              <w:bottom w:w="0" w:type="dxa"/>
              <w:right w:w="108" w:type="dxa"/>
            </w:tcMar>
            <w:vAlign w:val="center"/>
          </w:tcPr>
          <w:p w:rsidR="005E404F" w:rsidRDefault="005E404F" w:rsidP="00AD7CD2">
            <w:pPr>
              <w:pStyle w:val="NoSpacing"/>
              <w:keepNext/>
              <w:jc w:val="center"/>
              <w:rPr>
                <w:rFonts w:ascii="Arial" w:hAnsi="Arial" w:cs="Arial"/>
                <w:sz w:val="20"/>
                <w:szCs w:val="20"/>
              </w:rPr>
            </w:pPr>
            <w:r>
              <w:rPr>
                <w:rFonts w:ascii="Arial" w:hAnsi="Arial" w:cs="Arial"/>
                <w:sz w:val="20"/>
                <w:szCs w:val="20"/>
              </w:rPr>
              <w:t>84</w:t>
            </w:r>
          </w:p>
        </w:tc>
        <w:tc>
          <w:tcPr>
            <w:tcW w:w="1440" w:type="dxa"/>
            <w:tcBorders>
              <w:top w:val="nil"/>
              <w:left w:val="nil"/>
              <w:bottom w:val="single" w:sz="8" w:space="0" w:color="666969"/>
              <w:right w:val="single" w:sz="8" w:space="0" w:color="666969"/>
            </w:tcBorders>
            <w:tcMar>
              <w:top w:w="0" w:type="dxa"/>
              <w:left w:w="108" w:type="dxa"/>
              <w:bottom w:w="0" w:type="dxa"/>
              <w:right w:w="108" w:type="dxa"/>
            </w:tcMar>
            <w:vAlign w:val="center"/>
          </w:tcPr>
          <w:p w:rsidR="005E404F" w:rsidRDefault="005E404F" w:rsidP="00AD7CD2">
            <w:pPr>
              <w:pStyle w:val="NoSpacing"/>
              <w:keepNext/>
              <w:jc w:val="center"/>
              <w:rPr>
                <w:rFonts w:ascii="Arial" w:hAnsi="Arial" w:cs="Arial"/>
                <w:sz w:val="20"/>
                <w:szCs w:val="20"/>
              </w:rPr>
            </w:pPr>
            <w:r>
              <w:rPr>
                <w:rFonts w:ascii="Arial" w:hAnsi="Arial" w:cs="Arial"/>
                <w:sz w:val="20"/>
                <w:szCs w:val="20"/>
              </w:rPr>
              <w:t>3</w:t>
            </w:r>
          </w:p>
        </w:tc>
        <w:tc>
          <w:tcPr>
            <w:tcW w:w="1350" w:type="dxa"/>
            <w:tcBorders>
              <w:top w:val="nil"/>
              <w:left w:val="nil"/>
              <w:bottom w:val="single" w:sz="8" w:space="0" w:color="666969"/>
              <w:right w:val="single" w:sz="8" w:space="0" w:color="666969"/>
            </w:tcBorders>
            <w:tcMar>
              <w:top w:w="0" w:type="dxa"/>
              <w:left w:w="108" w:type="dxa"/>
              <w:bottom w:w="0" w:type="dxa"/>
              <w:right w:w="108" w:type="dxa"/>
            </w:tcMar>
            <w:vAlign w:val="center"/>
          </w:tcPr>
          <w:p w:rsidR="005E404F" w:rsidRPr="00E52D6C" w:rsidRDefault="00E52D6C" w:rsidP="00AD7CD2">
            <w:pPr>
              <w:pStyle w:val="NoSpacing"/>
              <w:keepNext/>
              <w:jc w:val="center"/>
              <w:rPr>
                <w:rFonts w:ascii="Arial" w:hAnsi="Arial" w:cs="Arial"/>
                <w:sz w:val="16"/>
                <w:szCs w:val="16"/>
              </w:rPr>
            </w:pPr>
            <w:r w:rsidRPr="00E52D6C">
              <w:rPr>
                <w:rFonts w:ascii="Arial" w:hAnsi="Arial" w:cs="Arial"/>
                <w:sz w:val="16"/>
                <w:szCs w:val="16"/>
              </w:rPr>
              <w:t xml:space="preserve">480 min/ </w:t>
            </w:r>
            <w:r w:rsidR="005E404F" w:rsidRPr="00E52D6C">
              <w:rPr>
                <w:rFonts w:ascii="Arial" w:hAnsi="Arial" w:cs="Arial"/>
                <w:sz w:val="16"/>
                <w:szCs w:val="16"/>
              </w:rPr>
              <w:t>8 hrs. (7,9)</w:t>
            </w:r>
          </w:p>
        </w:tc>
        <w:tc>
          <w:tcPr>
            <w:tcW w:w="918" w:type="dxa"/>
            <w:tcBorders>
              <w:top w:val="nil"/>
              <w:left w:val="nil"/>
              <w:bottom w:val="single" w:sz="8" w:space="0" w:color="666969"/>
              <w:right w:val="single" w:sz="8" w:space="0" w:color="666969"/>
            </w:tcBorders>
            <w:tcMar>
              <w:top w:w="0" w:type="dxa"/>
              <w:left w:w="108" w:type="dxa"/>
              <w:bottom w:w="0" w:type="dxa"/>
              <w:right w:w="108" w:type="dxa"/>
            </w:tcMar>
            <w:vAlign w:val="center"/>
          </w:tcPr>
          <w:p w:rsidR="005E404F" w:rsidRPr="002B0558" w:rsidRDefault="005E404F" w:rsidP="00AD7CD2">
            <w:pPr>
              <w:pStyle w:val="NoSpacing"/>
              <w:keepNext/>
              <w:jc w:val="center"/>
              <w:rPr>
                <w:rFonts w:ascii="Arial" w:hAnsi="Arial" w:cs="Arial"/>
                <w:sz w:val="16"/>
                <w:szCs w:val="16"/>
              </w:rPr>
            </w:pPr>
            <w:r>
              <w:rPr>
                <w:rFonts w:ascii="Arial" w:hAnsi="Arial" w:cs="Arial"/>
                <w:sz w:val="16"/>
                <w:szCs w:val="16"/>
              </w:rPr>
              <w:t>2,016</w:t>
            </w:r>
          </w:p>
        </w:tc>
      </w:tr>
      <w:tr w:rsidR="005E404F" w:rsidTr="00AD7CD2">
        <w:tc>
          <w:tcPr>
            <w:tcW w:w="3960" w:type="dxa"/>
            <w:tcBorders>
              <w:top w:val="nil"/>
              <w:left w:val="single" w:sz="8" w:space="0" w:color="666969"/>
              <w:bottom w:val="single" w:sz="8" w:space="0" w:color="666969"/>
              <w:right w:val="single" w:sz="8" w:space="0" w:color="666969"/>
            </w:tcBorders>
            <w:tcMar>
              <w:top w:w="0" w:type="dxa"/>
              <w:left w:w="108" w:type="dxa"/>
              <w:bottom w:w="0" w:type="dxa"/>
              <w:right w:w="108" w:type="dxa"/>
            </w:tcMar>
            <w:vAlign w:val="center"/>
          </w:tcPr>
          <w:p w:rsidR="005E404F" w:rsidRDefault="005E404F" w:rsidP="00D72228">
            <w:pPr>
              <w:pStyle w:val="NoSpacing"/>
              <w:keepNext/>
              <w:numPr>
                <w:ilvl w:val="0"/>
                <w:numId w:val="18"/>
              </w:numPr>
              <w:rPr>
                <w:rFonts w:ascii="Arial" w:hAnsi="Arial" w:cs="Arial"/>
                <w:sz w:val="20"/>
                <w:szCs w:val="20"/>
              </w:rPr>
            </w:pPr>
            <w:r>
              <w:rPr>
                <w:rFonts w:ascii="Arial" w:hAnsi="Arial" w:cs="Arial"/>
                <w:sz w:val="20"/>
                <w:szCs w:val="20"/>
              </w:rPr>
              <w:t>Preparing for outreach and data transfer protocols</w:t>
            </w:r>
          </w:p>
        </w:tc>
        <w:tc>
          <w:tcPr>
            <w:tcW w:w="1800" w:type="dxa"/>
            <w:tcBorders>
              <w:top w:val="nil"/>
              <w:left w:val="nil"/>
              <w:bottom w:val="single" w:sz="8" w:space="0" w:color="666969"/>
              <w:right w:val="single" w:sz="8" w:space="0" w:color="666969"/>
            </w:tcBorders>
            <w:tcMar>
              <w:top w:w="0" w:type="dxa"/>
              <w:left w:w="108" w:type="dxa"/>
              <w:bottom w:w="0" w:type="dxa"/>
              <w:right w:w="108" w:type="dxa"/>
            </w:tcMar>
            <w:vAlign w:val="center"/>
          </w:tcPr>
          <w:p w:rsidR="005E404F" w:rsidRDefault="005E404F" w:rsidP="00AD7CD2">
            <w:pPr>
              <w:pStyle w:val="NoSpacing"/>
              <w:keepNext/>
              <w:jc w:val="center"/>
              <w:rPr>
                <w:rFonts w:ascii="Arial" w:hAnsi="Arial" w:cs="Arial"/>
                <w:sz w:val="20"/>
                <w:szCs w:val="20"/>
              </w:rPr>
            </w:pPr>
            <w:r>
              <w:rPr>
                <w:rFonts w:ascii="Arial" w:hAnsi="Arial" w:cs="Arial"/>
                <w:sz w:val="20"/>
                <w:szCs w:val="20"/>
              </w:rPr>
              <w:t>84</w:t>
            </w:r>
          </w:p>
        </w:tc>
        <w:tc>
          <w:tcPr>
            <w:tcW w:w="1440" w:type="dxa"/>
            <w:tcBorders>
              <w:top w:val="nil"/>
              <w:left w:val="nil"/>
              <w:bottom w:val="single" w:sz="8" w:space="0" w:color="666969"/>
              <w:right w:val="single" w:sz="8" w:space="0" w:color="666969"/>
            </w:tcBorders>
            <w:tcMar>
              <w:top w:w="0" w:type="dxa"/>
              <w:left w:w="108" w:type="dxa"/>
              <w:bottom w:w="0" w:type="dxa"/>
              <w:right w:w="108" w:type="dxa"/>
            </w:tcMar>
            <w:vAlign w:val="center"/>
          </w:tcPr>
          <w:p w:rsidR="005E404F" w:rsidRDefault="005E404F" w:rsidP="00AD7CD2">
            <w:pPr>
              <w:pStyle w:val="NoSpacing"/>
              <w:keepNext/>
              <w:jc w:val="center"/>
              <w:rPr>
                <w:rFonts w:ascii="Arial" w:hAnsi="Arial" w:cs="Arial"/>
                <w:sz w:val="20"/>
                <w:szCs w:val="20"/>
              </w:rPr>
            </w:pPr>
            <w:r>
              <w:rPr>
                <w:rFonts w:ascii="Arial" w:hAnsi="Arial" w:cs="Arial"/>
                <w:sz w:val="20"/>
                <w:szCs w:val="20"/>
              </w:rPr>
              <w:t>3</w:t>
            </w:r>
          </w:p>
        </w:tc>
        <w:tc>
          <w:tcPr>
            <w:tcW w:w="1350" w:type="dxa"/>
            <w:tcBorders>
              <w:top w:val="nil"/>
              <w:left w:val="nil"/>
              <w:bottom w:val="single" w:sz="8" w:space="0" w:color="666969"/>
              <w:right w:val="single" w:sz="8" w:space="0" w:color="666969"/>
            </w:tcBorders>
            <w:tcMar>
              <w:top w:w="0" w:type="dxa"/>
              <w:left w:w="108" w:type="dxa"/>
              <w:bottom w:w="0" w:type="dxa"/>
              <w:right w:w="108" w:type="dxa"/>
            </w:tcMar>
            <w:vAlign w:val="center"/>
          </w:tcPr>
          <w:p w:rsidR="005E404F" w:rsidRPr="00E52D6C" w:rsidRDefault="00E52D6C" w:rsidP="00AD7CD2">
            <w:pPr>
              <w:pStyle w:val="NoSpacing"/>
              <w:keepNext/>
              <w:jc w:val="center"/>
              <w:rPr>
                <w:rFonts w:ascii="Arial" w:hAnsi="Arial" w:cs="Arial"/>
                <w:sz w:val="16"/>
                <w:szCs w:val="16"/>
              </w:rPr>
            </w:pPr>
            <w:r>
              <w:rPr>
                <w:rFonts w:ascii="Arial" w:hAnsi="Arial" w:cs="Arial"/>
                <w:sz w:val="16"/>
                <w:szCs w:val="16"/>
              </w:rPr>
              <w:t>780 min</w:t>
            </w:r>
            <w:proofErr w:type="gramStart"/>
            <w:r>
              <w:rPr>
                <w:rFonts w:ascii="Arial" w:hAnsi="Arial" w:cs="Arial"/>
                <w:sz w:val="16"/>
                <w:szCs w:val="16"/>
              </w:rPr>
              <w:t>./</w:t>
            </w:r>
            <w:proofErr w:type="gramEnd"/>
            <w:r w:rsidRPr="00E52D6C">
              <w:rPr>
                <w:rFonts w:ascii="Arial" w:hAnsi="Arial" w:cs="Arial"/>
                <w:sz w:val="16"/>
                <w:szCs w:val="16"/>
              </w:rPr>
              <w:t>13 hrs. (10,16</w:t>
            </w:r>
            <w:r w:rsidR="005E404F" w:rsidRPr="00E52D6C">
              <w:rPr>
                <w:rFonts w:ascii="Arial" w:hAnsi="Arial" w:cs="Arial"/>
                <w:sz w:val="16"/>
                <w:szCs w:val="16"/>
              </w:rPr>
              <w:t>)</w:t>
            </w:r>
          </w:p>
        </w:tc>
        <w:tc>
          <w:tcPr>
            <w:tcW w:w="918" w:type="dxa"/>
            <w:tcBorders>
              <w:top w:val="nil"/>
              <w:left w:val="nil"/>
              <w:bottom w:val="single" w:sz="8" w:space="0" w:color="666969"/>
              <w:right w:val="single" w:sz="8" w:space="0" w:color="666969"/>
            </w:tcBorders>
            <w:tcMar>
              <w:top w:w="0" w:type="dxa"/>
              <w:left w:w="108" w:type="dxa"/>
              <w:bottom w:w="0" w:type="dxa"/>
              <w:right w:w="108" w:type="dxa"/>
            </w:tcMar>
            <w:vAlign w:val="center"/>
          </w:tcPr>
          <w:p w:rsidR="005E404F" w:rsidRPr="002B0558" w:rsidRDefault="00E52D6C" w:rsidP="00AD7CD2">
            <w:pPr>
              <w:pStyle w:val="NoSpacing"/>
              <w:keepNext/>
              <w:jc w:val="center"/>
              <w:rPr>
                <w:rFonts w:ascii="Arial" w:hAnsi="Arial" w:cs="Arial"/>
                <w:sz w:val="16"/>
                <w:szCs w:val="16"/>
              </w:rPr>
            </w:pPr>
            <w:r>
              <w:rPr>
                <w:rFonts w:ascii="Arial" w:hAnsi="Arial" w:cs="Arial"/>
                <w:sz w:val="16"/>
                <w:szCs w:val="16"/>
              </w:rPr>
              <w:t>3,276</w:t>
            </w:r>
          </w:p>
        </w:tc>
      </w:tr>
      <w:tr w:rsidR="005E404F" w:rsidTr="00AD7CD2">
        <w:tc>
          <w:tcPr>
            <w:tcW w:w="3960" w:type="dxa"/>
            <w:tcBorders>
              <w:top w:val="nil"/>
              <w:left w:val="single" w:sz="8" w:space="0" w:color="666969"/>
              <w:bottom w:val="single" w:sz="8" w:space="0" w:color="666969"/>
              <w:right w:val="single" w:sz="8" w:space="0" w:color="666969"/>
            </w:tcBorders>
            <w:tcMar>
              <w:top w:w="0" w:type="dxa"/>
              <w:left w:w="108" w:type="dxa"/>
              <w:bottom w:w="0" w:type="dxa"/>
              <w:right w:w="108" w:type="dxa"/>
            </w:tcMar>
            <w:vAlign w:val="center"/>
          </w:tcPr>
          <w:p w:rsidR="005E404F" w:rsidRDefault="005E404F" w:rsidP="00D72228">
            <w:pPr>
              <w:pStyle w:val="NoSpacing"/>
              <w:keepNext/>
              <w:numPr>
                <w:ilvl w:val="0"/>
                <w:numId w:val="18"/>
              </w:numPr>
              <w:rPr>
                <w:rFonts w:ascii="Arial" w:hAnsi="Arial" w:cs="Arial"/>
                <w:sz w:val="20"/>
                <w:szCs w:val="20"/>
              </w:rPr>
            </w:pPr>
            <w:r>
              <w:rPr>
                <w:rFonts w:ascii="Arial" w:hAnsi="Arial" w:cs="Arial"/>
                <w:sz w:val="20"/>
                <w:szCs w:val="20"/>
              </w:rPr>
              <w:t>Site Visit Preparation and on-site monitoring activities</w:t>
            </w:r>
          </w:p>
        </w:tc>
        <w:tc>
          <w:tcPr>
            <w:tcW w:w="1800" w:type="dxa"/>
            <w:tcBorders>
              <w:top w:val="nil"/>
              <w:left w:val="nil"/>
              <w:bottom w:val="single" w:sz="8" w:space="0" w:color="666969"/>
              <w:right w:val="single" w:sz="8" w:space="0" w:color="666969"/>
            </w:tcBorders>
            <w:tcMar>
              <w:top w:w="0" w:type="dxa"/>
              <w:left w:w="108" w:type="dxa"/>
              <w:bottom w:w="0" w:type="dxa"/>
              <w:right w:w="108" w:type="dxa"/>
            </w:tcMar>
            <w:vAlign w:val="center"/>
          </w:tcPr>
          <w:p w:rsidR="005E404F" w:rsidRDefault="005E404F" w:rsidP="00AD7CD2">
            <w:pPr>
              <w:pStyle w:val="NoSpacing"/>
              <w:keepNext/>
              <w:jc w:val="center"/>
              <w:rPr>
                <w:rFonts w:ascii="Arial" w:hAnsi="Arial" w:cs="Arial"/>
                <w:sz w:val="20"/>
                <w:szCs w:val="20"/>
              </w:rPr>
            </w:pPr>
            <w:r>
              <w:rPr>
                <w:rFonts w:ascii="Arial" w:hAnsi="Arial" w:cs="Arial"/>
                <w:sz w:val="20"/>
                <w:szCs w:val="20"/>
              </w:rPr>
              <w:t>84</w:t>
            </w:r>
          </w:p>
        </w:tc>
        <w:tc>
          <w:tcPr>
            <w:tcW w:w="1440" w:type="dxa"/>
            <w:tcBorders>
              <w:top w:val="nil"/>
              <w:left w:val="nil"/>
              <w:bottom w:val="single" w:sz="8" w:space="0" w:color="666969"/>
              <w:right w:val="single" w:sz="8" w:space="0" w:color="666969"/>
            </w:tcBorders>
            <w:tcMar>
              <w:top w:w="0" w:type="dxa"/>
              <w:left w:w="108" w:type="dxa"/>
              <w:bottom w:w="0" w:type="dxa"/>
              <w:right w:w="108" w:type="dxa"/>
            </w:tcMar>
            <w:vAlign w:val="center"/>
          </w:tcPr>
          <w:p w:rsidR="005E404F" w:rsidRDefault="00E52D6C" w:rsidP="00AD7CD2">
            <w:pPr>
              <w:pStyle w:val="NoSpacing"/>
              <w:keepNext/>
              <w:jc w:val="center"/>
              <w:rPr>
                <w:rFonts w:ascii="Arial" w:hAnsi="Arial" w:cs="Arial"/>
                <w:sz w:val="20"/>
                <w:szCs w:val="20"/>
              </w:rPr>
            </w:pPr>
            <w:r>
              <w:rPr>
                <w:rFonts w:ascii="Arial" w:hAnsi="Arial" w:cs="Arial"/>
                <w:sz w:val="20"/>
                <w:szCs w:val="20"/>
              </w:rPr>
              <w:t>2</w:t>
            </w:r>
          </w:p>
        </w:tc>
        <w:tc>
          <w:tcPr>
            <w:tcW w:w="1350" w:type="dxa"/>
            <w:tcBorders>
              <w:top w:val="nil"/>
              <w:left w:val="nil"/>
              <w:bottom w:val="single" w:sz="8" w:space="0" w:color="666969"/>
              <w:right w:val="single" w:sz="8" w:space="0" w:color="666969"/>
            </w:tcBorders>
            <w:tcMar>
              <w:top w:w="0" w:type="dxa"/>
              <w:left w:w="108" w:type="dxa"/>
              <w:bottom w:w="0" w:type="dxa"/>
              <w:right w:w="108" w:type="dxa"/>
            </w:tcMar>
            <w:vAlign w:val="center"/>
          </w:tcPr>
          <w:p w:rsidR="005E404F" w:rsidRPr="006F10CB" w:rsidRDefault="005E404F" w:rsidP="00AD7CD2">
            <w:pPr>
              <w:pStyle w:val="NoSpacing"/>
              <w:keepNext/>
              <w:jc w:val="center"/>
              <w:rPr>
                <w:rFonts w:ascii="Arial" w:hAnsi="Arial" w:cs="Arial"/>
                <w:sz w:val="16"/>
                <w:szCs w:val="16"/>
              </w:rPr>
            </w:pPr>
            <w:r>
              <w:rPr>
                <w:rFonts w:ascii="Arial" w:hAnsi="Arial" w:cs="Arial"/>
                <w:sz w:val="20"/>
                <w:szCs w:val="20"/>
              </w:rPr>
              <w:t xml:space="preserve"> </w:t>
            </w:r>
            <w:r w:rsidR="00E52D6C" w:rsidRPr="006F10CB">
              <w:rPr>
                <w:rFonts w:ascii="Arial" w:hAnsi="Arial" w:cs="Arial"/>
                <w:sz w:val="16"/>
                <w:szCs w:val="16"/>
              </w:rPr>
              <w:t>360 min./6 hrs.(4,8</w:t>
            </w:r>
            <w:r w:rsidRPr="006F10CB">
              <w:rPr>
                <w:rFonts w:ascii="Arial" w:hAnsi="Arial" w:cs="Arial"/>
                <w:sz w:val="16"/>
                <w:szCs w:val="16"/>
              </w:rPr>
              <w:t>)</w:t>
            </w:r>
          </w:p>
        </w:tc>
        <w:tc>
          <w:tcPr>
            <w:tcW w:w="918" w:type="dxa"/>
            <w:tcBorders>
              <w:top w:val="nil"/>
              <w:left w:val="nil"/>
              <w:bottom w:val="single" w:sz="8" w:space="0" w:color="666969"/>
              <w:right w:val="single" w:sz="8" w:space="0" w:color="666969"/>
            </w:tcBorders>
            <w:tcMar>
              <w:top w:w="0" w:type="dxa"/>
              <w:left w:w="108" w:type="dxa"/>
              <w:bottom w:w="0" w:type="dxa"/>
              <w:right w:w="108" w:type="dxa"/>
            </w:tcMar>
            <w:vAlign w:val="center"/>
          </w:tcPr>
          <w:p w:rsidR="005E404F" w:rsidRPr="002B0558" w:rsidRDefault="00E52D6C" w:rsidP="00AD7CD2">
            <w:pPr>
              <w:pStyle w:val="NoSpacing"/>
              <w:keepNext/>
              <w:jc w:val="center"/>
              <w:rPr>
                <w:rFonts w:ascii="Arial" w:hAnsi="Arial" w:cs="Arial"/>
                <w:sz w:val="16"/>
                <w:szCs w:val="16"/>
              </w:rPr>
            </w:pPr>
            <w:r>
              <w:rPr>
                <w:rFonts w:ascii="Arial" w:hAnsi="Arial" w:cs="Arial"/>
                <w:sz w:val="16"/>
                <w:szCs w:val="16"/>
              </w:rPr>
              <w:t>1,008</w:t>
            </w:r>
          </w:p>
        </w:tc>
      </w:tr>
      <w:tr w:rsidR="005A6A8D" w:rsidTr="005A6A8D">
        <w:tc>
          <w:tcPr>
            <w:tcW w:w="3960" w:type="dxa"/>
            <w:tcBorders>
              <w:top w:val="nil"/>
              <w:left w:val="single" w:sz="8" w:space="0" w:color="666969"/>
              <w:bottom w:val="single" w:sz="8" w:space="0" w:color="666969"/>
              <w:right w:val="single" w:sz="8" w:space="0" w:color="666969"/>
            </w:tcBorders>
            <w:tcMar>
              <w:top w:w="0" w:type="dxa"/>
              <w:left w:w="108" w:type="dxa"/>
              <w:bottom w:w="0" w:type="dxa"/>
              <w:right w:w="108" w:type="dxa"/>
            </w:tcMar>
            <w:vAlign w:val="center"/>
          </w:tcPr>
          <w:p w:rsidR="00E52D6C" w:rsidRDefault="00E52D6C" w:rsidP="00D72228">
            <w:pPr>
              <w:pStyle w:val="NoSpacing"/>
              <w:keepNext/>
              <w:numPr>
                <w:ilvl w:val="0"/>
                <w:numId w:val="18"/>
              </w:numPr>
              <w:rPr>
                <w:rFonts w:ascii="Arial" w:hAnsi="Arial" w:cs="Arial"/>
                <w:sz w:val="20"/>
                <w:szCs w:val="20"/>
              </w:rPr>
            </w:pPr>
            <w:r>
              <w:rPr>
                <w:rFonts w:ascii="Arial" w:hAnsi="Arial" w:cs="Arial"/>
                <w:sz w:val="20"/>
                <w:szCs w:val="20"/>
              </w:rPr>
              <w:t>Interviews: Housing counseling agency staff</w:t>
            </w:r>
          </w:p>
        </w:tc>
        <w:tc>
          <w:tcPr>
            <w:tcW w:w="1800" w:type="dxa"/>
            <w:tcBorders>
              <w:top w:val="nil"/>
              <w:left w:val="nil"/>
              <w:bottom w:val="single" w:sz="8" w:space="0" w:color="666969"/>
              <w:right w:val="single" w:sz="8" w:space="0" w:color="666969"/>
            </w:tcBorders>
            <w:tcMar>
              <w:top w:w="0" w:type="dxa"/>
              <w:left w:w="108" w:type="dxa"/>
              <w:bottom w:w="0" w:type="dxa"/>
              <w:right w:w="108" w:type="dxa"/>
            </w:tcMar>
            <w:vAlign w:val="center"/>
          </w:tcPr>
          <w:p w:rsidR="00E52D6C" w:rsidRDefault="00E52D6C" w:rsidP="009B1C9F">
            <w:pPr>
              <w:pStyle w:val="NoSpacing"/>
              <w:keepNext/>
              <w:jc w:val="center"/>
              <w:rPr>
                <w:rFonts w:ascii="Arial" w:hAnsi="Arial" w:cs="Arial"/>
                <w:sz w:val="20"/>
                <w:szCs w:val="20"/>
              </w:rPr>
            </w:pPr>
            <w:r w:rsidRPr="00AE754A">
              <w:rPr>
                <w:rFonts w:ascii="Arial" w:hAnsi="Arial" w:cs="Arial"/>
                <w:sz w:val="20"/>
                <w:szCs w:val="20"/>
              </w:rPr>
              <w:t>84</w:t>
            </w:r>
          </w:p>
        </w:tc>
        <w:tc>
          <w:tcPr>
            <w:tcW w:w="1440" w:type="dxa"/>
            <w:tcBorders>
              <w:top w:val="nil"/>
              <w:left w:val="nil"/>
              <w:bottom w:val="single" w:sz="8" w:space="0" w:color="666969"/>
              <w:right w:val="single" w:sz="8" w:space="0" w:color="666969"/>
            </w:tcBorders>
            <w:tcMar>
              <w:top w:w="0" w:type="dxa"/>
              <w:left w:w="108" w:type="dxa"/>
              <w:bottom w:w="0" w:type="dxa"/>
              <w:right w:w="108" w:type="dxa"/>
            </w:tcMar>
            <w:vAlign w:val="center"/>
          </w:tcPr>
          <w:p w:rsidR="00E52D6C" w:rsidRDefault="00E52D6C" w:rsidP="009B1C9F">
            <w:pPr>
              <w:pStyle w:val="NoSpacing"/>
              <w:keepNext/>
              <w:jc w:val="center"/>
              <w:rPr>
                <w:rFonts w:ascii="Arial" w:hAnsi="Arial" w:cs="Arial"/>
                <w:sz w:val="20"/>
                <w:szCs w:val="20"/>
              </w:rPr>
            </w:pPr>
            <w:r>
              <w:rPr>
                <w:rFonts w:ascii="Arial" w:hAnsi="Arial" w:cs="Arial"/>
                <w:sz w:val="20"/>
                <w:szCs w:val="20"/>
              </w:rPr>
              <w:t>8</w:t>
            </w:r>
          </w:p>
        </w:tc>
        <w:tc>
          <w:tcPr>
            <w:tcW w:w="1350" w:type="dxa"/>
            <w:tcBorders>
              <w:top w:val="nil"/>
              <w:left w:val="nil"/>
              <w:bottom w:val="single" w:sz="8" w:space="0" w:color="666969"/>
              <w:right w:val="single" w:sz="8" w:space="0" w:color="666969"/>
            </w:tcBorders>
            <w:tcMar>
              <w:top w:w="0" w:type="dxa"/>
              <w:left w:w="108" w:type="dxa"/>
              <w:bottom w:w="0" w:type="dxa"/>
              <w:right w:w="108" w:type="dxa"/>
            </w:tcMar>
            <w:vAlign w:val="center"/>
          </w:tcPr>
          <w:p w:rsidR="00E52D6C" w:rsidRPr="006F10CB" w:rsidRDefault="00E52D6C" w:rsidP="009B1C9F">
            <w:pPr>
              <w:pStyle w:val="NoSpacing"/>
              <w:keepNext/>
              <w:jc w:val="center"/>
              <w:rPr>
                <w:rFonts w:ascii="Arial" w:hAnsi="Arial" w:cs="Arial"/>
                <w:sz w:val="16"/>
                <w:szCs w:val="16"/>
              </w:rPr>
            </w:pPr>
            <w:r w:rsidRPr="006F10CB">
              <w:rPr>
                <w:rFonts w:ascii="Arial" w:hAnsi="Arial" w:cs="Arial"/>
                <w:sz w:val="16"/>
                <w:szCs w:val="16"/>
              </w:rPr>
              <w:t>60 min.</w:t>
            </w:r>
            <w:r w:rsidR="006F10CB" w:rsidRPr="006F10CB">
              <w:rPr>
                <w:rFonts w:ascii="Arial" w:hAnsi="Arial" w:cs="Arial"/>
                <w:sz w:val="16"/>
                <w:szCs w:val="16"/>
              </w:rPr>
              <w:t xml:space="preserve">/1 </w:t>
            </w:r>
            <w:proofErr w:type="spellStart"/>
            <w:r w:rsidR="006F10CB" w:rsidRPr="006F10CB">
              <w:rPr>
                <w:rFonts w:ascii="Arial" w:hAnsi="Arial" w:cs="Arial"/>
                <w:sz w:val="16"/>
                <w:szCs w:val="16"/>
              </w:rPr>
              <w:t>hr</w:t>
            </w:r>
            <w:proofErr w:type="spellEnd"/>
            <w:r w:rsidRPr="006F10CB">
              <w:rPr>
                <w:rFonts w:ascii="Arial" w:hAnsi="Arial" w:cs="Arial"/>
                <w:sz w:val="16"/>
                <w:szCs w:val="16"/>
              </w:rPr>
              <w:t xml:space="preserve"> (45,75)</w:t>
            </w:r>
          </w:p>
        </w:tc>
        <w:tc>
          <w:tcPr>
            <w:tcW w:w="918" w:type="dxa"/>
            <w:tcBorders>
              <w:top w:val="nil"/>
              <w:left w:val="nil"/>
              <w:bottom w:val="single" w:sz="8" w:space="0" w:color="666969"/>
              <w:right w:val="single" w:sz="8" w:space="0" w:color="666969"/>
            </w:tcBorders>
            <w:tcMar>
              <w:top w:w="0" w:type="dxa"/>
              <w:left w:w="108" w:type="dxa"/>
              <w:bottom w:w="0" w:type="dxa"/>
              <w:right w:w="108" w:type="dxa"/>
            </w:tcMar>
            <w:vAlign w:val="center"/>
          </w:tcPr>
          <w:p w:rsidR="00E52D6C" w:rsidRPr="00E52D6C" w:rsidRDefault="00E52D6C" w:rsidP="009B1C9F">
            <w:pPr>
              <w:pStyle w:val="NoSpacing"/>
              <w:keepNext/>
              <w:jc w:val="center"/>
              <w:rPr>
                <w:rFonts w:ascii="Arial" w:hAnsi="Arial" w:cs="Arial"/>
                <w:sz w:val="16"/>
                <w:szCs w:val="16"/>
              </w:rPr>
            </w:pPr>
            <w:r w:rsidRPr="00E52D6C">
              <w:rPr>
                <w:rFonts w:ascii="Arial" w:hAnsi="Arial" w:cs="Arial"/>
                <w:sz w:val="16"/>
                <w:szCs w:val="16"/>
              </w:rPr>
              <w:t>672</w:t>
            </w:r>
          </w:p>
        </w:tc>
      </w:tr>
      <w:tr w:rsidR="005A6A8D" w:rsidRPr="002F14A5" w:rsidTr="005A6A8D">
        <w:tc>
          <w:tcPr>
            <w:tcW w:w="3960" w:type="dxa"/>
            <w:tcBorders>
              <w:top w:val="single" w:sz="8" w:space="0" w:color="666969"/>
              <w:left w:val="single" w:sz="8" w:space="0" w:color="666969"/>
              <w:bottom w:val="single" w:sz="8" w:space="0" w:color="666969"/>
              <w:right w:val="single" w:sz="8" w:space="0" w:color="666969"/>
            </w:tcBorders>
            <w:shd w:val="clear" w:color="auto" w:fill="646B6E" w:themeFill="background2" w:themeFillShade="80"/>
            <w:tcMar>
              <w:top w:w="0" w:type="dxa"/>
              <w:left w:w="108" w:type="dxa"/>
              <w:bottom w:w="0" w:type="dxa"/>
              <w:right w:w="108" w:type="dxa"/>
            </w:tcMar>
            <w:vAlign w:val="center"/>
          </w:tcPr>
          <w:p w:rsidR="00D72228" w:rsidRPr="002F14A5" w:rsidRDefault="00D72228" w:rsidP="00AD7CD2">
            <w:pPr>
              <w:pStyle w:val="NoSpacing"/>
              <w:keepNext/>
              <w:rPr>
                <w:rFonts w:ascii="Arial" w:hAnsi="Arial" w:cs="Arial"/>
                <w:b/>
                <w:i/>
                <w:color w:val="FFFFFF"/>
                <w:sz w:val="20"/>
                <w:szCs w:val="20"/>
              </w:rPr>
            </w:pPr>
            <w:r w:rsidRPr="002F14A5">
              <w:rPr>
                <w:rFonts w:ascii="Arial" w:hAnsi="Arial" w:cs="Arial"/>
                <w:b/>
                <w:i/>
                <w:color w:val="FFFFFF"/>
                <w:sz w:val="20"/>
                <w:szCs w:val="20"/>
              </w:rPr>
              <w:t>Subtotal: Housing Counseling agencies one-time activities</w:t>
            </w:r>
          </w:p>
        </w:tc>
        <w:tc>
          <w:tcPr>
            <w:tcW w:w="1800" w:type="dxa"/>
            <w:tcBorders>
              <w:top w:val="single" w:sz="8" w:space="0" w:color="666969"/>
              <w:left w:val="nil"/>
              <w:bottom w:val="single" w:sz="8" w:space="0" w:color="666969"/>
              <w:right w:val="single" w:sz="8" w:space="0" w:color="666969"/>
            </w:tcBorders>
            <w:shd w:val="clear" w:color="auto" w:fill="646B6E" w:themeFill="background2" w:themeFillShade="80"/>
            <w:tcMar>
              <w:top w:w="0" w:type="dxa"/>
              <w:left w:w="108" w:type="dxa"/>
              <w:bottom w:w="0" w:type="dxa"/>
              <w:right w:w="108" w:type="dxa"/>
            </w:tcMar>
            <w:vAlign w:val="center"/>
          </w:tcPr>
          <w:p w:rsidR="00D72228" w:rsidRPr="002F14A5" w:rsidRDefault="005A6A8D" w:rsidP="00AD7CD2">
            <w:pPr>
              <w:pStyle w:val="NoSpacing"/>
              <w:keepNext/>
              <w:jc w:val="center"/>
              <w:rPr>
                <w:rFonts w:ascii="Arial" w:hAnsi="Arial" w:cs="Arial"/>
                <w:b/>
                <w:i/>
                <w:color w:val="FFFFFF"/>
                <w:sz w:val="20"/>
                <w:szCs w:val="20"/>
              </w:rPr>
            </w:pPr>
            <w:r w:rsidRPr="002F14A5">
              <w:rPr>
                <w:rFonts w:ascii="Arial" w:hAnsi="Arial" w:cs="Arial"/>
                <w:b/>
                <w:i/>
                <w:color w:val="FFFFFF"/>
                <w:sz w:val="20"/>
                <w:szCs w:val="20"/>
              </w:rPr>
              <w:t>336</w:t>
            </w:r>
          </w:p>
        </w:tc>
        <w:tc>
          <w:tcPr>
            <w:tcW w:w="1440" w:type="dxa"/>
            <w:tcBorders>
              <w:top w:val="single" w:sz="8" w:space="0" w:color="666969"/>
              <w:left w:val="nil"/>
              <w:bottom w:val="single" w:sz="8" w:space="0" w:color="666969"/>
              <w:right w:val="single" w:sz="8" w:space="0" w:color="666969"/>
            </w:tcBorders>
            <w:shd w:val="clear" w:color="auto" w:fill="646B6E" w:themeFill="background2" w:themeFillShade="80"/>
            <w:tcMar>
              <w:top w:w="0" w:type="dxa"/>
              <w:left w:w="108" w:type="dxa"/>
              <w:bottom w:w="0" w:type="dxa"/>
              <w:right w:w="108" w:type="dxa"/>
            </w:tcMar>
            <w:vAlign w:val="center"/>
          </w:tcPr>
          <w:p w:rsidR="00D72228" w:rsidRPr="002F14A5" w:rsidRDefault="00D72228" w:rsidP="00AD7CD2">
            <w:pPr>
              <w:pStyle w:val="NoSpacing"/>
              <w:keepNext/>
              <w:jc w:val="center"/>
              <w:rPr>
                <w:rFonts w:ascii="Arial" w:hAnsi="Arial" w:cs="Arial"/>
                <w:b/>
                <w:i/>
                <w:color w:val="FFFFFF"/>
                <w:sz w:val="20"/>
                <w:szCs w:val="20"/>
              </w:rPr>
            </w:pPr>
            <w:r w:rsidRPr="002F14A5">
              <w:rPr>
                <w:rFonts w:ascii="Arial" w:hAnsi="Arial" w:cs="Arial"/>
                <w:b/>
                <w:i/>
                <w:color w:val="FFFFFF"/>
                <w:sz w:val="20"/>
                <w:szCs w:val="20"/>
              </w:rPr>
              <w:t>16</w:t>
            </w:r>
          </w:p>
        </w:tc>
        <w:tc>
          <w:tcPr>
            <w:tcW w:w="1350" w:type="dxa"/>
            <w:tcBorders>
              <w:top w:val="single" w:sz="8" w:space="0" w:color="666969"/>
              <w:left w:val="nil"/>
              <w:bottom w:val="single" w:sz="8" w:space="0" w:color="666969"/>
              <w:right w:val="single" w:sz="8" w:space="0" w:color="666969"/>
            </w:tcBorders>
            <w:shd w:val="clear" w:color="auto" w:fill="646B6E" w:themeFill="background2" w:themeFillShade="80"/>
            <w:tcMar>
              <w:top w:w="0" w:type="dxa"/>
              <w:left w:w="108" w:type="dxa"/>
              <w:bottom w:w="0" w:type="dxa"/>
              <w:right w:w="108" w:type="dxa"/>
            </w:tcMar>
            <w:vAlign w:val="center"/>
          </w:tcPr>
          <w:p w:rsidR="00D72228" w:rsidRPr="002F14A5" w:rsidRDefault="005A6A8D" w:rsidP="00AD7CD2">
            <w:pPr>
              <w:pStyle w:val="NoSpacing"/>
              <w:keepNext/>
              <w:jc w:val="center"/>
              <w:rPr>
                <w:rFonts w:ascii="Arial" w:hAnsi="Arial" w:cs="Arial"/>
                <w:b/>
                <w:i/>
                <w:color w:val="FFFFFF"/>
                <w:sz w:val="16"/>
                <w:szCs w:val="16"/>
              </w:rPr>
            </w:pPr>
            <w:r w:rsidRPr="002F14A5">
              <w:rPr>
                <w:rFonts w:ascii="Arial" w:hAnsi="Arial" w:cs="Arial"/>
                <w:b/>
                <w:i/>
                <w:color w:val="FFFFFF"/>
                <w:sz w:val="16"/>
                <w:szCs w:val="16"/>
              </w:rPr>
              <w:t>1,680 min/28 hrs.</w:t>
            </w:r>
          </w:p>
        </w:tc>
        <w:tc>
          <w:tcPr>
            <w:tcW w:w="918" w:type="dxa"/>
            <w:tcBorders>
              <w:top w:val="single" w:sz="8" w:space="0" w:color="666969"/>
              <w:left w:val="nil"/>
              <w:bottom w:val="single" w:sz="8" w:space="0" w:color="666969"/>
              <w:right w:val="single" w:sz="8" w:space="0" w:color="666969"/>
            </w:tcBorders>
            <w:shd w:val="clear" w:color="auto" w:fill="646B6E" w:themeFill="background2" w:themeFillShade="80"/>
            <w:tcMar>
              <w:top w:w="0" w:type="dxa"/>
              <w:left w:w="108" w:type="dxa"/>
              <w:bottom w:w="0" w:type="dxa"/>
              <w:right w:w="108" w:type="dxa"/>
            </w:tcMar>
            <w:vAlign w:val="center"/>
          </w:tcPr>
          <w:p w:rsidR="00D72228" w:rsidRPr="002F14A5" w:rsidRDefault="005A6A8D" w:rsidP="00AD7CD2">
            <w:pPr>
              <w:pStyle w:val="NoSpacing"/>
              <w:keepNext/>
              <w:jc w:val="center"/>
              <w:rPr>
                <w:rFonts w:ascii="Arial" w:hAnsi="Arial" w:cs="Arial"/>
                <w:b/>
                <w:i/>
                <w:color w:val="FFFFFF"/>
                <w:sz w:val="16"/>
                <w:szCs w:val="16"/>
              </w:rPr>
            </w:pPr>
            <w:r w:rsidRPr="002F14A5">
              <w:rPr>
                <w:rFonts w:ascii="Arial" w:hAnsi="Arial" w:cs="Arial"/>
                <w:b/>
                <w:i/>
                <w:color w:val="FFFFFF"/>
                <w:sz w:val="16"/>
                <w:szCs w:val="16"/>
              </w:rPr>
              <w:t>6,972</w:t>
            </w:r>
          </w:p>
        </w:tc>
      </w:tr>
      <w:tr w:rsidR="005A6A8D" w:rsidTr="009B1C9F">
        <w:tc>
          <w:tcPr>
            <w:tcW w:w="9468" w:type="dxa"/>
            <w:gridSpan w:val="5"/>
            <w:tcBorders>
              <w:top w:val="nil"/>
              <w:left w:val="single" w:sz="8" w:space="0" w:color="666969"/>
              <w:bottom w:val="single" w:sz="8" w:space="0" w:color="666969"/>
              <w:right w:val="single" w:sz="8" w:space="0" w:color="666969"/>
            </w:tcBorders>
            <w:tcMar>
              <w:top w:w="0" w:type="dxa"/>
              <w:left w:w="108" w:type="dxa"/>
              <w:bottom w:w="0" w:type="dxa"/>
              <w:right w:w="108" w:type="dxa"/>
            </w:tcMar>
            <w:vAlign w:val="center"/>
          </w:tcPr>
          <w:p w:rsidR="005A6A8D" w:rsidRPr="002B0558" w:rsidRDefault="005A6A8D" w:rsidP="005A6A8D">
            <w:pPr>
              <w:pStyle w:val="NoSpacing"/>
              <w:keepNext/>
              <w:rPr>
                <w:rFonts w:ascii="Arial" w:hAnsi="Arial" w:cs="Arial"/>
                <w:sz w:val="16"/>
                <w:szCs w:val="16"/>
              </w:rPr>
            </w:pPr>
            <w:r>
              <w:rPr>
                <w:rFonts w:ascii="Arial" w:hAnsi="Arial" w:cs="Arial"/>
                <w:sz w:val="20"/>
                <w:szCs w:val="20"/>
              </w:rPr>
              <w:t>Counseling agencies’</w:t>
            </w:r>
            <w:r w:rsidR="009B1C9F">
              <w:rPr>
                <w:rFonts w:ascii="Arial" w:hAnsi="Arial" w:cs="Arial"/>
                <w:sz w:val="20"/>
                <w:szCs w:val="20"/>
              </w:rPr>
              <w:t xml:space="preserve"> study-related</w:t>
            </w:r>
            <w:r>
              <w:rPr>
                <w:rFonts w:ascii="Arial" w:hAnsi="Arial" w:cs="Arial"/>
                <w:sz w:val="20"/>
                <w:szCs w:val="20"/>
              </w:rPr>
              <w:t xml:space="preserve"> activities per study participant</w:t>
            </w:r>
          </w:p>
        </w:tc>
      </w:tr>
      <w:tr w:rsidR="00AD7CD2" w:rsidTr="00AD7CD2">
        <w:tc>
          <w:tcPr>
            <w:tcW w:w="3960" w:type="dxa"/>
            <w:tcBorders>
              <w:top w:val="nil"/>
              <w:left w:val="single" w:sz="8" w:space="0" w:color="666969"/>
              <w:bottom w:val="single" w:sz="8" w:space="0" w:color="666969"/>
              <w:right w:val="single" w:sz="8" w:space="0" w:color="666969"/>
            </w:tcBorders>
            <w:tcMar>
              <w:top w:w="0" w:type="dxa"/>
              <w:left w:w="108" w:type="dxa"/>
              <w:bottom w:w="0" w:type="dxa"/>
              <w:right w:w="108" w:type="dxa"/>
            </w:tcMar>
            <w:vAlign w:val="center"/>
            <w:hideMark/>
          </w:tcPr>
          <w:p w:rsidR="00AD7CD2" w:rsidRDefault="00AD7CD2" w:rsidP="005A6A8D">
            <w:pPr>
              <w:pStyle w:val="NoSpacing"/>
              <w:keepNext/>
              <w:numPr>
                <w:ilvl w:val="0"/>
                <w:numId w:val="18"/>
              </w:numPr>
              <w:rPr>
                <w:rFonts w:ascii="Arial" w:hAnsi="Arial" w:cs="Arial"/>
                <w:sz w:val="20"/>
                <w:szCs w:val="20"/>
              </w:rPr>
            </w:pPr>
            <w:r>
              <w:rPr>
                <w:rFonts w:ascii="Arial" w:hAnsi="Arial" w:cs="Arial"/>
                <w:sz w:val="20"/>
                <w:szCs w:val="20"/>
              </w:rPr>
              <w:t>Service tracking information</w:t>
            </w:r>
            <w:r w:rsidR="005A6A8D">
              <w:rPr>
                <w:rFonts w:ascii="Arial" w:hAnsi="Arial" w:cs="Arial"/>
                <w:sz w:val="20"/>
                <w:szCs w:val="20"/>
              </w:rPr>
              <w:t xml:space="preserve"> collection</w:t>
            </w:r>
          </w:p>
          <w:p w:rsidR="00AD7CD2" w:rsidRDefault="00AD7CD2" w:rsidP="00AD7CD2">
            <w:pPr>
              <w:pStyle w:val="NoSpacing"/>
              <w:keepNext/>
              <w:rPr>
                <w:rFonts w:ascii="Arial" w:hAnsi="Arial" w:cs="Arial"/>
                <w:sz w:val="20"/>
                <w:szCs w:val="20"/>
              </w:rPr>
            </w:pPr>
          </w:p>
        </w:tc>
        <w:tc>
          <w:tcPr>
            <w:tcW w:w="1800" w:type="dxa"/>
            <w:tcBorders>
              <w:top w:val="nil"/>
              <w:left w:val="nil"/>
              <w:bottom w:val="single" w:sz="8" w:space="0" w:color="666969"/>
              <w:right w:val="single" w:sz="8" w:space="0" w:color="666969"/>
            </w:tcBorders>
            <w:tcMar>
              <w:top w:w="0" w:type="dxa"/>
              <w:left w:w="108" w:type="dxa"/>
              <w:bottom w:w="0" w:type="dxa"/>
              <w:right w:w="108" w:type="dxa"/>
            </w:tcMar>
            <w:vAlign w:val="center"/>
            <w:hideMark/>
          </w:tcPr>
          <w:p w:rsidR="00AD7CD2" w:rsidRDefault="00AD7CD2" w:rsidP="00AD7CD2">
            <w:pPr>
              <w:pStyle w:val="NoSpacing"/>
              <w:keepNext/>
              <w:jc w:val="center"/>
              <w:rPr>
                <w:rFonts w:ascii="Arial" w:hAnsi="Arial" w:cs="Arial"/>
                <w:sz w:val="20"/>
                <w:szCs w:val="20"/>
              </w:rPr>
            </w:pPr>
            <w:r>
              <w:rPr>
                <w:rFonts w:ascii="Arial" w:hAnsi="Arial" w:cs="Arial"/>
                <w:sz w:val="20"/>
                <w:szCs w:val="20"/>
              </w:rPr>
              <w:t>4,026</w:t>
            </w:r>
          </w:p>
        </w:tc>
        <w:tc>
          <w:tcPr>
            <w:tcW w:w="1440" w:type="dxa"/>
            <w:tcBorders>
              <w:top w:val="nil"/>
              <w:left w:val="nil"/>
              <w:bottom w:val="single" w:sz="8" w:space="0" w:color="666969"/>
              <w:right w:val="single" w:sz="8" w:space="0" w:color="666969"/>
            </w:tcBorders>
            <w:tcMar>
              <w:top w:w="0" w:type="dxa"/>
              <w:left w:w="108" w:type="dxa"/>
              <w:bottom w:w="0" w:type="dxa"/>
              <w:right w:w="108" w:type="dxa"/>
            </w:tcMar>
            <w:vAlign w:val="center"/>
            <w:hideMark/>
          </w:tcPr>
          <w:p w:rsidR="00AD7CD2" w:rsidRDefault="00AD7CD2" w:rsidP="00AD7CD2">
            <w:pPr>
              <w:pStyle w:val="NoSpacing"/>
              <w:keepNext/>
              <w:jc w:val="center"/>
              <w:rPr>
                <w:rFonts w:ascii="Arial" w:hAnsi="Arial" w:cs="Arial"/>
                <w:sz w:val="20"/>
                <w:szCs w:val="20"/>
              </w:rPr>
            </w:pPr>
            <w:r>
              <w:rPr>
                <w:rFonts w:ascii="Arial" w:hAnsi="Arial" w:cs="Arial"/>
                <w:sz w:val="20"/>
                <w:szCs w:val="20"/>
              </w:rPr>
              <w:t>2</w:t>
            </w:r>
          </w:p>
        </w:tc>
        <w:tc>
          <w:tcPr>
            <w:tcW w:w="1350" w:type="dxa"/>
            <w:tcBorders>
              <w:top w:val="nil"/>
              <w:left w:val="nil"/>
              <w:bottom w:val="single" w:sz="8" w:space="0" w:color="666969"/>
              <w:right w:val="single" w:sz="8" w:space="0" w:color="666969"/>
            </w:tcBorders>
            <w:tcMar>
              <w:top w:w="0" w:type="dxa"/>
              <w:left w:w="108" w:type="dxa"/>
              <w:bottom w:w="0" w:type="dxa"/>
              <w:right w:w="108" w:type="dxa"/>
            </w:tcMar>
            <w:vAlign w:val="center"/>
            <w:hideMark/>
          </w:tcPr>
          <w:p w:rsidR="00AD7CD2" w:rsidRPr="006F10CB" w:rsidRDefault="00AD7CD2" w:rsidP="00AD7CD2">
            <w:pPr>
              <w:pStyle w:val="NoSpacing"/>
              <w:keepNext/>
              <w:jc w:val="center"/>
              <w:rPr>
                <w:rFonts w:ascii="Arial" w:hAnsi="Arial" w:cs="Arial"/>
                <w:sz w:val="16"/>
                <w:szCs w:val="16"/>
              </w:rPr>
            </w:pPr>
            <w:r w:rsidRPr="006F10CB">
              <w:rPr>
                <w:rFonts w:ascii="Arial" w:hAnsi="Arial" w:cs="Arial"/>
                <w:sz w:val="16"/>
                <w:szCs w:val="16"/>
              </w:rPr>
              <w:t>10 min. (0,20)</w:t>
            </w:r>
          </w:p>
        </w:tc>
        <w:tc>
          <w:tcPr>
            <w:tcW w:w="918" w:type="dxa"/>
            <w:tcBorders>
              <w:top w:val="nil"/>
              <w:left w:val="nil"/>
              <w:bottom w:val="single" w:sz="8" w:space="0" w:color="666969"/>
              <w:right w:val="single" w:sz="8" w:space="0" w:color="666969"/>
            </w:tcBorders>
            <w:tcMar>
              <w:top w:w="0" w:type="dxa"/>
              <w:left w:w="108" w:type="dxa"/>
              <w:bottom w:w="0" w:type="dxa"/>
              <w:right w:w="108" w:type="dxa"/>
            </w:tcMar>
            <w:vAlign w:val="center"/>
            <w:hideMark/>
          </w:tcPr>
          <w:p w:rsidR="00AD7CD2" w:rsidRPr="002B0558" w:rsidRDefault="00AD7CD2" w:rsidP="00AD7CD2">
            <w:pPr>
              <w:pStyle w:val="NoSpacing"/>
              <w:keepNext/>
              <w:jc w:val="center"/>
              <w:rPr>
                <w:rFonts w:ascii="Arial" w:hAnsi="Arial" w:cs="Arial"/>
                <w:sz w:val="16"/>
                <w:szCs w:val="16"/>
              </w:rPr>
            </w:pPr>
            <w:r w:rsidRPr="002B0558">
              <w:rPr>
                <w:rFonts w:ascii="Arial" w:hAnsi="Arial" w:cs="Arial"/>
                <w:sz w:val="16"/>
                <w:szCs w:val="16"/>
              </w:rPr>
              <w:t>1,342</w:t>
            </w:r>
            <w:r w:rsidR="00226DD6" w:rsidRPr="002B0558">
              <w:rPr>
                <w:rFonts w:ascii="Arial" w:hAnsi="Arial" w:cs="Arial"/>
                <w:sz w:val="16"/>
                <w:szCs w:val="16"/>
              </w:rPr>
              <w:t>***</w:t>
            </w:r>
            <w:r w:rsidR="002B0558" w:rsidRPr="002B0558">
              <w:rPr>
                <w:rFonts w:ascii="Arial" w:hAnsi="Arial" w:cs="Arial"/>
                <w:sz w:val="16"/>
                <w:szCs w:val="16"/>
              </w:rPr>
              <w:t>*</w:t>
            </w:r>
          </w:p>
        </w:tc>
      </w:tr>
      <w:tr w:rsidR="005E404F" w:rsidTr="00AD7CD2">
        <w:tc>
          <w:tcPr>
            <w:tcW w:w="3960" w:type="dxa"/>
            <w:tcBorders>
              <w:top w:val="nil"/>
              <w:left w:val="single" w:sz="8" w:space="0" w:color="666969"/>
              <w:bottom w:val="single" w:sz="8" w:space="0" w:color="666969"/>
              <w:right w:val="single" w:sz="8" w:space="0" w:color="666969"/>
            </w:tcBorders>
            <w:tcMar>
              <w:top w:w="0" w:type="dxa"/>
              <w:left w:w="108" w:type="dxa"/>
              <w:bottom w:w="0" w:type="dxa"/>
              <w:right w:w="108" w:type="dxa"/>
            </w:tcMar>
            <w:vAlign w:val="center"/>
          </w:tcPr>
          <w:p w:rsidR="005E404F" w:rsidRDefault="006F10CB" w:rsidP="005A6A8D">
            <w:pPr>
              <w:pStyle w:val="NoSpacing"/>
              <w:keepNext/>
              <w:numPr>
                <w:ilvl w:val="0"/>
                <w:numId w:val="18"/>
              </w:numPr>
              <w:rPr>
                <w:rFonts w:ascii="Arial" w:hAnsi="Arial" w:cs="Arial"/>
                <w:sz w:val="20"/>
                <w:szCs w:val="20"/>
              </w:rPr>
            </w:pPr>
            <w:r>
              <w:rPr>
                <w:rFonts w:ascii="Arial" w:hAnsi="Arial" w:cs="Arial"/>
                <w:sz w:val="20"/>
                <w:szCs w:val="20"/>
              </w:rPr>
              <w:t>Outreach to study participants</w:t>
            </w:r>
          </w:p>
        </w:tc>
        <w:tc>
          <w:tcPr>
            <w:tcW w:w="1800" w:type="dxa"/>
            <w:tcBorders>
              <w:top w:val="nil"/>
              <w:left w:val="nil"/>
              <w:bottom w:val="single" w:sz="8" w:space="0" w:color="666969"/>
              <w:right w:val="single" w:sz="8" w:space="0" w:color="666969"/>
            </w:tcBorders>
            <w:tcMar>
              <w:top w:w="0" w:type="dxa"/>
              <w:left w:w="108" w:type="dxa"/>
              <w:bottom w:w="0" w:type="dxa"/>
              <w:right w:w="108" w:type="dxa"/>
            </w:tcMar>
            <w:vAlign w:val="center"/>
          </w:tcPr>
          <w:p w:rsidR="005E404F" w:rsidRDefault="006F10CB" w:rsidP="00AD7CD2">
            <w:pPr>
              <w:pStyle w:val="NoSpacing"/>
              <w:keepNext/>
              <w:jc w:val="center"/>
              <w:rPr>
                <w:rFonts w:ascii="Arial" w:hAnsi="Arial" w:cs="Arial"/>
                <w:sz w:val="20"/>
                <w:szCs w:val="20"/>
              </w:rPr>
            </w:pPr>
            <w:r>
              <w:rPr>
                <w:rFonts w:ascii="Arial" w:hAnsi="Arial" w:cs="Arial"/>
                <w:sz w:val="20"/>
                <w:szCs w:val="20"/>
              </w:rPr>
              <w:t>4,026</w:t>
            </w:r>
          </w:p>
        </w:tc>
        <w:tc>
          <w:tcPr>
            <w:tcW w:w="1440" w:type="dxa"/>
            <w:tcBorders>
              <w:top w:val="nil"/>
              <w:left w:val="nil"/>
              <w:bottom w:val="single" w:sz="8" w:space="0" w:color="666969"/>
              <w:right w:val="single" w:sz="8" w:space="0" w:color="666969"/>
            </w:tcBorders>
            <w:tcMar>
              <w:top w:w="0" w:type="dxa"/>
              <w:left w:w="108" w:type="dxa"/>
              <w:bottom w:w="0" w:type="dxa"/>
              <w:right w:w="108" w:type="dxa"/>
            </w:tcMar>
            <w:vAlign w:val="center"/>
          </w:tcPr>
          <w:p w:rsidR="005E404F" w:rsidRDefault="006F10CB" w:rsidP="00AD7CD2">
            <w:pPr>
              <w:pStyle w:val="NoSpacing"/>
              <w:keepNext/>
              <w:jc w:val="center"/>
              <w:rPr>
                <w:rFonts w:ascii="Arial" w:hAnsi="Arial" w:cs="Arial"/>
                <w:sz w:val="20"/>
                <w:szCs w:val="20"/>
              </w:rPr>
            </w:pPr>
            <w:r>
              <w:rPr>
                <w:rFonts w:ascii="Arial" w:hAnsi="Arial" w:cs="Arial"/>
                <w:sz w:val="20"/>
                <w:szCs w:val="20"/>
              </w:rPr>
              <w:t>1</w:t>
            </w:r>
          </w:p>
        </w:tc>
        <w:tc>
          <w:tcPr>
            <w:tcW w:w="1350" w:type="dxa"/>
            <w:tcBorders>
              <w:top w:val="nil"/>
              <w:left w:val="nil"/>
              <w:bottom w:val="single" w:sz="8" w:space="0" w:color="666969"/>
              <w:right w:val="single" w:sz="8" w:space="0" w:color="666969"/>
            </w:tcBorders>
            <w:tcMar>
              <w:top w:w="0" w:type="dxa"/>
              <w:left w:w="108" w:type="dxa"/>
              <w:bottom w:w="0" w:type="dxa"/>
              <w:right w:w="108" w:type="dxa"/>
            </w:tcMar>
            <w:vAlign w:val="center"/>
          </w:tcPr>
          <w:p w:rsidR="005E404F" w:rsidRPr="006F10CB" w:rsidRDefault="006F10CB" w:rsidP="00AD7CD2">
            <w:pPr>
              <w:pStyle w:val="NoSpacing"/>
              <w:keepNext/>
              <w:jc w:val="center"/>
              <w:rPr>
                <w:rFonts w:ascii="Arial" w:hAnsi="Arial" w:cs="Arial"/>
                <w:sz w:val="16"/>
                <w:szCs w:val="16"/>
              </w:rPr>
            </w:pPr>
            <w:r w:rsidRPr="006F10CB">
              <w:rPr>
                <w:rFonts w:ascii="Arial" w:hAnsi="Arial" w:cs="Arial"/>
                <w:sz w:val="16"/>
                <w:szCs w:val="16"/>
              </w:rPr>
              <w:t>120 min/2hrs.</w:t>
            </w:r>
          </w:p>
          <w:p w:rsidR="006F10CB" w:rsidRPr="006F10CB" w:rsidRDefault="006F10CB" w:rsidP="00AD7CD2">
            <w:pPr>
              <w:pStyle w:val="NoSpacing"/>
              <w:keepNext/>
              <w:jc w:val="center"/>
              <w:rPr>
                <w:rFonts w:ascii="Arial" w:hAnsi="Arial" w:cs="Arial"/>
                <w:sz w:val="16"/>
                <w:szCs w:val="16"/>
              </w:rPr>
            </w:pPr>
            <w:r w:rsidRPr="006F10CB">
              <w:rPr>
                <w:rFonts w:ascii="Arial" w:hAnsi="Arial" w:cs="Arial"/>
                <w:sz w:val="16"/>
                <w:szCs w:val="16"/>
              </w:rPr>
              <w:t>(1,3)</w:t>
            </w:r>
          </w:p>
        </w:tc>
        <w:tc>
          <w:tcPr>
            <w:tcW w:w="918" w:type="dxa"/>
            <w:tcBorders>
              <w:top w:val="nil"/>
              <w:left w:val="nil"/>
              <w:bottom w:val="single" w:sz="8" w:space="0" w:color="666969"/>
              <w:right w:val="single" w:sz="8" w:space="0" w:color="666969"/>
            </w:tcBorders>
            <w:tcMar>
              <w:top w:w="0" w:type="dxa"/>
              <w:left w:w="108" w:type="dxa"/>
              <w:bottom w:w="0" w:type="dxa"/>
              <w:right w:w="108" w:type="dxa"/>
            </w:tcMar>
            <w:vAlign w:val="center"/>
          </w:tcPr>
          <w:p w:rsidR="005E404F" w:rsidRPr="002B0558" w:rsidRDefault="006F10CB" w:rsidP="00AD7CD2">
            <w:pPr>
              <w:pStyle w:val="NoSpacing"/>
              <w:keepNext/>
              <w:jc w:val="center"/>
              <w:rPr>
                <w:rFonts w:ascii="Arial" w:hAnsi="Arial" w:cs="Arial"/>
                <w:sz w:val="16"/>
                <w:szCs w:val="16"/>
              </w:rPr>
            </w:pPr>
            <w:r>
              <w:rPr>
                <w:rFonts w:ascii="Arial" w:hAnsi="Arial" w:cs="Arial"/>
                <w:sz w:val="16"/>
                <w:szCs w:val="16"/>
              </w:rPr>
              <w:t>8</w:t>
            </w:r>
            <w:r w:rsidR="00157292">
              <w:rPr>
                <w:rFonts w:ascii="Arial" w:hAnsi="Arial" w:cs="Arial"/>
                <w:sz w:val="16"/>
                <w:szCs w:val="16"/>
              </w:rPr>
              <w:t>,</w:t>
            </w:r>
            <w:r>
              <w:rPr>
                <w:rFonts w:ascii="Arial" w:hAnsi="Arial" w:cs="Arial"/>
                <w:sz w:val="16"/>
                <w:szCs w:val="16"/>
              </w:rPr>
              <w:t>052</w:t>
            </w:r>
            <w:r w:rsidR="00157292">
              <w:rPr>
                <w:rFonts w:ascii="Arial" w:hAnsi="Arial" w:cs="Arial"/>
                <w:sz w:val="16"/>
                <w:szCs w:val="16"/>
              </w:rPr>
              <w:t>****</w:t>
            </w:r>
          </w:p>
        </w:tc>
      </w:tr>
      <w:tr w:rsidR="006F10CB" w:rsidDel="00E52D6C" w:rsidTr="00AD7CD2">
        <w:tc>
          <w:tcPr>
            <w:tcW w:w="3960" w:type="dxa"/>
            <w:tcBorders>
              <w:top w:val="nil"/>
              <w:left w:val="single" w:sz="8" w:space="0" w:color="666969"/>
              <w:bottom w:val="single" w:sz="8" w:space="0" w:color="666969"/>
              <w:right w:val="single" w:sz="8" w:space="0" w:color="666969"/>
            </w:tcBorders>
            <w:tcMar>
              <w:top w:w="0" w:type="dxa"/>
              <w:left w:w="108" w:type="dxa"/>
              <w:bottom w:w="0" w:type="dxa"/>
              <w:right w:w="108" w:type="dxa"/>
            </w:tcMar>
            <w:vAlign w:val="center"/>
          </w:tcPr>
          <w:p w:rsidR="006F10CB" w:rsidDel="00E52D6C" w:rsidRDefault="006F10CB" w:rsidP="005A6A8D">
            <w:pPr>
              <w:pStyle w:val="NoSpacing"/>
              <w:keepNext/>
              <w:numPr>
                <w:ilvl w:val="0"/>
                <w:numId w:val="18"/>
              </w:numPr>
              <w:rPr>
                <w:rFonts w:ascii="Arial" w:hAnsi="Arial" w:cs="Arial"/>
                <w:sz w:val="20"/>
                <w:szCs w:val="20"/>
              </w:rPr>
            </w:pPr>
            <w:r>
              <w:rPr>
                <w:rFonts w:ascii="Arial" w:hAnsi="Arial" w:cs="Arial"/>
                <w:sz w:val="20"/>
                <w:szCs w:val="20"/>
              </w:rPr>
              <w:t>Ongoing communication with study team</w:t>
            </w:r>
          </w:p>
        </w:tc>
        <w:tc>
          <w:tcPr>
            <w:tcW w:w="1800" w:type="dxa"/>
            <w:tcBorders>
              <w:top w:val="nil"/>
              <w:left w:val="nil"/>
              <w:bottom w:val="single" w:sz="8" w:space="0" w:color="666969"/>
              <w:right w:val="single" w:sz="8" w:space="0" w:color="666969"/>
            </w:tcBorders>
            <w:tcMar>
              <w:top w:w="0" w:type="dxa"/>
              <w:left w:w="108" w:type="dxa"/>
              <w:bottom w:w="0" w:type="dxa"/>
              <w:right w:w="108" w:type="dxa"/>
            </w:tcMar>
            <w:vAlign w:val="center"/>
          </w:tcPr>
          <w:p w:rsidR="006F10CB" w:rsidRPr="00AE754A" w:rsidRDefault="006F10CB" w:rsidP="00AD7CD2">
            <w:pPr>
              <w:pStyle w:val="NoSpacing"/>
              <w:keepNext/>
              <w:jc w:val="center"/>
              <w:rPr>
                <w:rFonts w:ascii="Arial" w:hAnsi="Arial" w:cs="Arial"/>
                <w:sz w:val="20"/>
                <w:szCs w:val="20"/>
              </w:rPr>
            </w:pPr>
            <w:r>
              <w:rPr>
                <w:rFonts w:ascii="Arial" w:hAnsi="Arial" w:cs="Arial"/>
                <w:sz w:val="20"/>
                <w:szCs w:val="20"/>
              </w:rPr>
              <w:t>4</w:t>
            </w:r>
            <w:r w:rsidR="00157292">
              <w:rPr>
                <w:rFonts w:ascii="Arial" w:hAnsi="Arial" w:cs="Arial"/>
                <w:sz w:val="20"/>
                <w:szCs w:val="20"/>
              </w:rPr>
              <w:t>,</w:t>
            </w:r>
            <w:r>
              <w:rPr>
                <w:rFonts w:ascii="Arial" w:hAnsi="Arial" w:cs="Arial"/>
                <w:sz w:val="20"/>
                <w:szCs w:val="20"/>
              </w:rPr>
              <w:t>026</w:t>
            </w:r>
          </w:p>
        </w:tc>
        <w:tc>
          <w:tcPr>
            <w:tcW w:w="1440" w:type="dxa"/>
            <w:tcBorders>
              <w:top w:val="nil"/>
              <w:left w:val="nil"/>
              <w:bottom w:val="single" w:sz="8" w:space="0" w:color="666969"/>
              <w:right w:val="single" w:sz="8" w:space="0" w:color="666969"/>
            </w:tcBorders>
            <w:tcMar>
              <w:top w:w="0" w:type="dxa"/>
              <w:left w:w="108" w:type="dxa"/>
              <w:bottom w:w="0" w:type="dxa"/>
              <w:right w:w="108" w:type="dxa"/>
            </w:tcMar>
            <w:vAlign w:val="center"/>
          </w:tcPr>
          <w:p w:rsidR="006F10CB" w:rsidDel="00E52D6C" w:rsidRDefault="006F10CB" w:rsidP="00AD7CD2">
            <w:pPr>
              <w:pStyle w:val="NoSpacing"/>
              <w:keepNext/>
              <w:jc w:val="center"/>
              <w:rPr>
                <w:rFonts w:ascii="Arial" w:hAnsi="Arial" w:cs="Arial"/>
                <w:sz w:val="20"/>
                <w:szCs w:val="20"/>
              </w:rPr>
            </w:pPr>
            <w:r>
              <w:rPr>
                <w:rFonts w:ascii="Arial" w:hAnsi="Arial" w:cs="Arial"/>
                <w:sz w:val="20"/>
                <w:szCs w:val="20"/>
              </w:rPr>
              <w:t>1</w:t>
            </w:r>
          </w:p>
        </w:tc>
        <w:tc>
          <w:tcPr>
            <w:tcW w:w="1350" w:type="dxa"/>
            <w:tcBorders>
              <w:top w:val="nil"/>
              <w:left w:val="nil"/>
              <w:bottom w:val="single" w:sz="8" w:space="0" w:color="666969"/>
              <w:right w:val="single" w:sz="8" w:space="0" w:color="666969"/>
            </w:tcBorders>
            <w:tcMar>
              <w:top w:w="0" w:type="dxa"/>
              <w:left w:w="108" w:type="dxa"/>
              <w:bottom w:w="0" w:type="dxa"/>
              <w:right w:w="108" w:type="dxa"/>
            </w:tcMar>
            <w:vAlign w:val="center"/>
          </w:tcPr>
          <w:p w:rsidR="006F10CB" w:rsidRPr="006F10CB" w:rsidDel="00E52D6C" w:rsidRDefault="006F10CB" w:rsidP="00AD7CD2">
            <w:pPr>
              <w:pStyle w:val="NoSpacing"/>
              <w:keepNext/>
              <w:jc w:val="center"/>
              <w:rPr>
                <w:rFonts w:ascii="Arial" w:hAnsi="Arial" w:cs="Arial"/>
                <w:sz w:val="16"/>
                <w:szCs w:val="16"/>
              </w:rPr>
            </w:pPr>
            <w:r>
              <w:rPr>
                <w:rFonts w:ascii="Arial" w:hAnsi="Arial" w:cs="Arial"/>
                <w:sz w:val="16"/>
                <w:szCs w:val="16"/>
              </w:rPr>
              <w:t>100 min/1.</w:t>
            </w:r>
            <w:r w:rsidR="00157292">
              <w:rPr>
                <w:rFonts w:ascii="Arial" w:hAnsi="Arial" w:cs="Arial"/>
                <w:sz w:val="16"/>
                <w:szCs w:val="16"/>
              </w:rPr>
              <w:t>7</w:t>
            </w:r>
            <w:r w:rsidRPr="006F10CB">
              <w:rPr>
                <w:rFonts w:ascii="Arial" w:hAnsi="Arial" w:cs="Arial"/>
                <w:sz w:val="16"/>
                <w:szCs w:val="16"/>
              </w:rPr>
              <w:t xml:space="preserve"> </w:t>
            </w:r>
            <w:proofErr w:type="spellStart"/>
            <w:r w:rsidRPr="006F10CB">
              <w:rPr>
                <w:rFonts w:ascii="Arial" w:hAnsi="Arial" w:cs="Arial"/>
                <w:sz w:val="16"/>
                <w:szCs w:val="16"/>
              </w:rPr>
              <w:t>hrs</w:t>
            </w:r>
            <w:proofErr w:type="spellEnd"/>
            <w:r w:rsidRPr="006F10CB">
              <w:rPr>
                <w:rFonts w:ascii="Arial" w:hAnsi="Arial" w:cs="Arial"/>
                <w:sz w:val="16"/>
                <w:szCs w:val="16"/>
              </w:rPr>
              <w:t xml:space="preserve"> (1,2)</w:t>
            </w:r>
          </w:p>
        </w:tc>
        <w:tc>
          <w:tcPr>
            <w:tcW w:w="918" w:type="dxa"/>
            <w:tcBorders>
              <w:top w:val="nil"/>
              <w:left w:val="nil"/>
              <w:bottom w:val="single" w:sz="8" w:space="0" w:color="666969"/>
              <w:right w:val="single" w:sz="8" w:space="0" w:color="666969"/>
            </w:tcBorders>
            <w:tcMar>
              <w:top w:w="0" w:type="dxa"/>
              <w:left w:w="108" w:type="dxa"/>
              <w:bottom w:w="0" w:type="dxa"/>
              <w:right w:w="108" w:type="dxa"/>
            </w:tcMar>
            <w:vAlign w:val="center"/>
          </w:tcPr>
          <w:p w:rsidR="006F10CB" w:rsidRPr="006F10CB" w:rsidDel="00AB5837" w:rsidRDefault="00157292" w:rsidP="00AD7CD2">
            <w:pPr>
              <w:pStyle w:val="NoSpacing"/>
              <w:keepNext/>
              <w:jc w:val="center"/>
              <w:rPr>
                <w:rFonts w:ascii="Arial" w:hAnsi="Arial" w:cs="Arial"/>
                <w:sz w:val="16"/>
                <w:szCs w:val="16"/>
              </w:rPr>
            </w:pPr>
            <w:r>
              <w:rPr>
                <w:rFonts w:ascii="Arial" w:hAnsi="Arial" w:cs="Arial"/>
                <w:sz w:val="16"/>
                <w:szCs w:val="16"/>
              </w:rPr>
              <w:t>6,844****</w:t>
            </w:r>
          </w:p>
        </w:tc>
      </w:tr>
      <w:tr w:rsidR="00AD7CD2" w:rsidTr="00AD7CD2">
        <w:tc>
          <w:tcPr>
            <w:tcW w:w="3960" w:type="dxa"/>
            <w:tcBorders>
              <w:top w:val="nil"/>
              <w:left w:val="single" w:sz="8" w:space="0" w:color="666969"/>
              <w:bottom w:val="single" w:sz="8" w:space="0" w:color="666969"/>
              <w:right w:val="single" w:sz="8" w:space="0" w:color="666969"/>
            </w:tcBorders>
            <w:shd w:val="clear" w:color="auto" w:fill="666969"/>
            <w:tcMar>
              <w:top w:w="0" w:type="dxa"/>
              <w:left w:w="108" w:type="dxa"/>
              <w:bottom w:w="0" w:type="dxa"/>
              <w:right w:w="108" w:type="dxa"/>
            </w:tcMar>
            <w:vAlign w:val="center"/>
            <w:hideMark/>
          </w:tcPr>
          <w:p w:rsidR="00AD7CD2" w:rsidRDefault="00AD7CD2" w:rsidP="00AD7CD2">
            <w:pPr>
              <w:pStyle w:val="NoSpacing"/>
              <w:keepNext/>
              <w:rPr>
                <w:rFonts w:ascii="Arial" w:hAnsi="Arial" w:cs="Arial"/>
                <w:b/>
                <w:bCs/>
                <w:color w:val="FFFFFF"/>
                <w:sz w:val="20"/>
                <w:szCs w:val="20"/>
              </w:rPr>
            </w:pPr>
            <w:r>
              <w:rPr>
                <w:rFonts w:ascii="Arial" w:hAnsi="Arial" w:cs="Arial"/>
                <w:b/>
                <w:bCs/>
                <w:i/>
                <w:iCs/>
                <w:color w:val="FFFFFF"/>
                <w:sz w:val="20"/>
                <w:szCs w:val="20"/>
              </w:rPr>
              <w:t xml:space="preserve">Subtotal: </w:t>
            </w:r>
            <w:r w:rsidR="00F1289F">
              <w:rPr>
                <w:rFonts w:ascii="Arial" w:hAnsi="Arial" w:cs="Arial"/>
                <w:b/>
                <w:bCs/>
                <w:i/>
                <w:iCs/>
                <w:color w:val="FFFFFF"/>
                <w:sz w:val="20"/>
                <w:szCs w:val="20"/>
              </w:rPr>
              <w:t>Housing c</w:t>
            </w:r>
            <w:r>
              <w:rPr>
                <w:rFonts w:ascii="Arial" w:hAnsi="Arial" w:cs="Arial"/>
                <w:b/>
                <w:bCs/>
                <w:i/>
                <w:iCs/>
                <w:color w:val="FFFFFF"/>
                <w:sz w:val="20"/>
                <w:szCs w:val="20"/>
              </w:rPr>
              <w:t>ounseling agencies</w:t>
            </w:r>
            <w:r w:rsidR="005A6A8D">
              <w:rPr>
                <w:rFonts w:ascii="Arial" w:hAnsi="Arial" w:cs="Arial"/>
                <w:b/>
                <w:bCs/>
                <w:i/>
                <w:iCs/>
                <w:color w:val="FFFFFF"/>
                <w:sz w:val="20"/>
                <w:szCs w:val="20"/>
              </w:rPr>
              <w:t xml:space="preserve"> per participant</w:t>
            </w:r>
          </w:p>
        </w:tc>
        <w:tc>
          <w:tcPr>
            <w:tcW w:w="1800" w:type="dxa"/>
            <w:tcBorders>
              <w:top w:val="nil"/>
              <w:left w:val="nil"/>
              <w:bottom w:val="single" w:sz="8" w:space="0" w:color="666969"/>
              <w:right w:val="single" w:sz="8" w:space="0" w:color="666969"/>
            </w:tcBorders>
            <w:shd w:val="clear" w:color="auto" w:fill="666969"/>
            <w:tcMar>
              <w:top w:w="0" w:type="dxa"/>
              <w:left w:w="108" w:type="dxa"/>
              <w:bottom w:w="0" w:type="dxa"/>
              <w:right w:w="108" w:type="dxa"/>
            </w:tcMar>
            <w:vAlign w:val="center"/>
            <w:hideMark/>
          </w:tcPr>
          <w:p w:rsidR="00AD7CD2" w:rsidRDefault="005A6A8D" w:rsidP="00AD7CD2">
            <w:pPr>
              <w:pStyle w:val="NoSpacing"/>
              <w:keepNext/>
              <w:jc w:val="center"/>
              <w:rPr>
                <w:rFonts w:ascii="Arial" w:hAnsi="Arial" w:cs="Arial"/>
                <w:b/>
                <w:bCs/>
                <w:color w:val="FFFFFF"/>
                <w:sz w:val="20"/>
                <w:szCs w:val="20"/>
              </w:rPr>
            </w:pPr>
            <w:r>
              <w:rPr>
                <w:rFonts w:ascii="Arial" w:hAnsi="Arial" w:cs="Arial"/>
                <w:b/>
                <w:bCs/>
                <w:color w:val="FFFFFF"/>
                <w:sz w:val="20"/>
                <w:szCs w:val="20"/>
              </w:rPr>
              <w:t xml:space="preserve">12,078 </w:t>
            </w:r>
          </w:p>
        </w:tc>
        <w:tc>
          <w:tcPr>
            <w:tcW w:w="1440" w:type="dxa"/>
            <w:tcBorders>
              <w:top w:val="nil"/>
              <w:left w:val="nil"/>
              <w:bottom w:val="single" w:sz="8" w:space="0" w:color="666969"/>
              <w:right w:val="single" w:sz="8" w:space="0" w:color="666969"/>
            </w:tcBorders>
            <w:shd w:val="clear" w:color="auto" w:fill="666969"/>
            <w:tcMar>
              <w:top w:w="0" w:type="dxa"/>
              <w:left w:w="108" w:type="dxa"/>
              <w:bottom w:w="0" w:type="dxa"/>
              <w:right w:w="108" w:type="dxa"/>
            </w:tcMar>
            <w:vAlign w:val="center"/>
            <w:hideMark/>
          </w:tcPr>
          <w:p w:rsidR="00AD7CD2" w:rsidRDefault="005A6A8D" w:rsidP="00AD7CD2">
            <w:pPr>
              <w:pStyle w:val="NoSpacing"/>
              <w:keepNext/>
              <w:jc w:val="center"/>
              <w:rPr>
                <w:rFonts w:ascii="Arial" w:hAnsi="Arial" w:cs="Arial"/>
                <w:b/>
                <w:bCs/>
                <w:color w:val="FFFFFF"/>
                <w:sz w:val="20"/>
                <w:szCs w:val="20"/>
              </w:rPr>
            </w:pPr>
            <w:r>
              <w:rPr>
                <w:rFonts w:ascii="Arial" w:hAnsi="Arial" w:cs="Arial"/>
                <w:b/>
                <w:bCs/>
                <w:color w:val="FFFFFF"/>
                <w:sz w:val="20"/>
                <w:szCs w:val="20"/>
              </w:rPr>
              <w:t xml:space="preserve">4 </w:t>
            </w:r>
          </w:p>
        </w:tc>
        <w:tc>
          <w:tcPr>
            <w:tcW w:w="1350" w:type="dxa"/>
            <w:tcBorders>
              <w:top w:val="nil"/>
              <w:left w:val="nil"/>
              <w:bottom w:val="single" w:sz="8" w:space="0" w:color="666969"/>
              <w:right w:val="single" w:sz="8" w:space="0" w:color="666969"/>
            </w:tcBorders>
            <w:shd w:val="clear" w:color="auto" w:fill="666969"/>
            <w:tcMar>
              <w:top w:w="0" w:type="dxa"/>
              <w:left w:w="108" w:type="dxa"/>
              <w:bottom w:w="0" w:type="dxa"/>
              <w:right w:w="108" w:type="dxa"/>
            </w:tcMar>
            <w:vAlign w:val="center"/>
            <w:hideMark/>
          </w:tcPr>
          <w:p w:rsidR="00AD7CD2" w:rsidRDefault="005A6A8D" w:rsidP="00AD7CD2">
            <w:pPr>
              <w:pStyle w:val="NoSpacing"/>
              <w:keepNext/>
              <w:jc w:val="center"/>
              <w:rPr>
                <w:rFonts w:ascii="Arial" w:hAnsi="Arial" w:cs="Arial"/>
                <w:b/>
                <w:bCs/>
                <w:color w:val="FFFFFF"/>
                <w:sz w:val="20"/>
                <w:szCs w:val="20"/>
              </w:rPr>
            </w:pPr>
            <w:r>
              <w:rPr>
                <w:rFonts w:ascii="Arial" w:hAnsi="Arial" w:cs="Arial"/>
                <w:b/>
                <w:bCs/>
                <w:color w:val="FFFFFF"/>
                <w:sz w:val="20"/>
                <w:szCs w:val="20"/>
              </w:rPr>
              <w:t>230 min.</w:t>
            </w:r>
          </w:p>
        </w:tc>
        <w:tc>
          <w:tcPr>
            <w:tcW w:w="918" w:type="dxa"/>
            <w:tcBorders>
              <w:top w:val="nil"/>
              <w:left w:val="nil"/>
              <w:bottom w:val="single" w:sz="8" w:space="0" w:color="666969"/>
              <w:right w:val="single" w:sz="8" w:space="0" w:color="666969"/>
            </w:tcBorders>
            <w:shd w:val="clear" w:color="auto" w:fill="666969"/>
            <w:tcMar>
              <w:top w:w="0" w:type="dxa"/>
              <w:left w:w="108" w:type="dxa"/>
              <w:bottom w:w="0" w:type="dxa"/>
              <w:right w:w="108" w:type="dxa"/>
            </w:tcMar>
            <w:vAlign w:val="center"/>
            <w:hideMark/>
          </w:tcPr>
          <w:p w:rsidR="00AD7CD2" w:rsidRDefault="005A6A8D" w:rsidP="005A6A8D">
            <w:pPr>
              <w:pStyle w:val="NoSpacing"/>
              <w:keepNext/>
              <w:rPr>
                <w:rFonts w:ascii="Arial" w:hAnsi="Arial" w:cs="Arial"/>
                <w:b/>
                <w:bCs/>
                <w:i/>
                <w:iCs/>
                <w:color w:val="FFFFFF"/>
                <w:sz w:val="20"/>
                <w:szCs w:val="20"/>
              </w:rPr>
            </w:pPr>
            <w:r>
              <w:rPr>
                <w:rFonts w:ascii="Arial" w:hAnsi="Arial" w:cs="Arial"/>
                <w:b/>
                <w:bCs/>
                <w:i/>
                <w:iCs/>
                <w:color w:val="FFFFFF"/>
                <w:sz w:val="20"/>
                <w:szCs w:val="20"/>
              </w:rPr>
              <w:t>16,238</w:t>
            </w:r>
          </w:p>
        </w:tc>
      </w:tr>
      <w:tr w:rsidR="00AD7CD2" w:rsidTr="00AD7CD2">
        <w:tc>
          <w:tcPr>
            <w:tcW w:w="3960" w:type="dxa"/>
            <w:tcBorders>
              <w:top w:val="nil"/>
              <w:left w:val="single" w:sz="8" w:space="0" w:color="666969"/>
              <w:bottom w:val="single" w:sz="8" w:space="0" w:color="666969"/>
              <w:right w:val="single" w:sz="8" w:space="0" w:color="666969"/>
            </w:tcBorders>
            <w:tcMar>
              <w:top w:w="0" w:type="dxa"/>
              <w:left w:w="108" w:type="dxa"/>
              <w:bottom w:w="0" w:type="dxa"/>
              <w:right w:w="108" w:type="dxa"/>
            </w:tcMar>
            <w:vAlign w:val="center"/>
            <w:hideMark/>
          </w:tcPr>
          <w:p w:rsidR="00AD7CD2" w:rsidRDefault="00AD7CD2" w:rsidP="00AD7CD2">
            <w:pPr>
              <w:pStyle w:val="NoSpacing"/>
              <w:keepNext/>
              <w:rPr>
                <w:rFonts w:ascii="Arial" w:hAnsi="Arial" w:cs="Arial"/>
                <w:sz w:val="20"/>
                <w:szCs w:val="20"/>
              </w:rPr>
            </w:pPr>
            <w:r>
              <w:rPr>
                <w:rFonts w:ascii="Arial" w:hAnsi="Arial" w:cs="Arial"/>
                <w:sz w:val="20"/>
                <w:szCs w:val="20"/>
              </w:rPr>
              <w:t>Intake: Lender staff (concierge teams)</w:t>
            </w:r>
          </w:p>
        </w:tc>
        <w:tc>
          <w:tcPr>
            <w:tcW w:w="1800" w:type="dxa"/>
            <w:tcBorders>
              <w:top w:val="nil"/>
              <w:left w:val="nil"/>
              <w:bottom w:val="single" w:sz="8" w:space="0" w:color="666969"/>
              <w:right w:val="single" w:sz="8" w:space="0" w:color="666969"/>
            </w:tcBorders>
            <w:tcMar>
              <w:top w:w="0" w:type="dxa"/>
              <w:left w:w="108" w:type="dxa"/>
              <w:bottom w:w="0" w:type="dxa"/>
              <w:right w:w="108" w:type="dxa"/>
            </w:tcMar>
            <w:vAlign w:val="center"/>
          </w:tcPr>
          <w:p w:rsidR="00AD7CD2" w:rsidRDefault="000D1ABA" w:rsidP="00AD7CD2">
            <w:pPr>
              <w:pStyle w:val="NoSpacing"/>
              <w:keepNext/>
              <w:jc w:val="center"/>
              <w:rPr>
                <w:rFonts w:ascii="Arial" w:hAnsi="Arial" w:cs="Arial"/>
                <w:sz w:val="20"/>
                <w:szCs w:val="20"/>
              </w:rPr>
            </w:pPr>
            <w:r>
              <w:rPr>
                <w:rFonts w:ascii="Arial" w:hAnsi="Arial" w:cs="Arial"/>
                <w:sz w:val="20"/>
                <w:szCs w:val="20"/>
              </w:rPr>
              <w:t>36</w:t>
            </w:r>
          </w:p>
        </w:tc>
        <w:tc>
          <w:tcPr>
            <w:tcW w:w="1440" w:type="dxa"/>
            <w:tcBorders>
              <w:top w:val="nil"/>
              <w:left w:val="nil"/>
              <w:bottom w:val="single" w:sz="8" w:space="0" w:color="666969"/>
              <w:right w:val="single" w:sz="8" w:space="0" w:color="666969"/>
            </w:tcBorders>
            <w:tcMar>
              <w:top w:w="0" w:type="dxa"/>
              <w:left w:w="108" w:type="dxa"/>
              <w:bottom w:w="0" w:type="dxa"/>
              <w:right w:w="108" w:type="dxa"/>
            </w:tcMar>
            <w:vAlign w:val="center"/>
          </w:tcPr>
          <w:p w:rsidR="00AD7CD2" w:rsidRDefault="002A6D9C" w:rsidP="00AD7CD2">
            <w:pPr>
              <w:pStyle w:val="NoSpacing"/>
              <w:keepNext/>
              <w:jc w:val="center"/>
              <w:rPr>
                <w:rFonts w:ascii="Arial" w:hAnsi="Arial" w:cs="Arial"/>
                <w:sz w:val="20"/>
                <w:szCs w:val="20"/>
              </w:rPr>
            </w:pPr>
            <w:r>
              <w:rPr>
                <w:rFonts w:ascii="Arial" w:hAnsi="Arial" w:cs="Arial"/>
                <w:sz w:val="20"/>
                <w:szCs w:val="20"/>
              </w:rPr>
              <w:t>2,</w:t>
            </w:r>
            <w:r w:rsidR="00945B64">
              <w:rPr>
                <w:rFonts w:ascii="Arial" w:hAnsi="Arial" w:cs="Arial"/>
                <w:sz w:val="20"/>
                <w:szCs w:val="20"/>
              </w:rPr>
              <w:t>431</w:t>
            </w:r>
            <w:r>
              <w:rPr>
                <w:rFonts w:ascii="Arial" w:hAnsi="Arial" w:cs="Arial"/>
                <w:sz w:val="20"/>
                <w:szCs w:val="20"/>
              </w:rPr>
              <w:t xml:space="preserve"> </w:t>
            </w:r>
          </w:p>
        </w:tc>
        <w:tc>
          <w:tcPr>
            <w:tcW w:w="1350" w:type="dxa"/>
            <w:tcBorders>
              <w:top w:val="nil"/>
              <w:left w:val="nil"/>
              <w:bottom w:val="single" w:sz="8" w:space="0" w:color="666969"/>
              <w:right w:val="single" w:sz="8" w:space="0" w:color="666969"/>
            </w:tcBorders>
            <w:tcMar>
              <w:top w:w="0" w:type="dxa"/>
              <w:left w:w="108" w:type="dxa"/>
              <w:bottom w:w="0" w:type="dxa"/>
              <w:right w:w="108" w:type="dxa"/>
            </w:tcMar>
            <w:vAlign w:val="center"/>
          </w:tcPr>
          <w:p w:rsidR="00AD7CD2" w:rsidRDefault="00AD7CD2" w:rsidP="00AD7CD2">
            <w:pPr>
              <w:pStyle w:val="NoSpacing"/>
              <w:keepNext/>
              <w:jc w:val="center"/>
              <w:rPr>
                <w:rFonts w:ascii="Arial" w:hAnsi="Arial" w:cs="Arial"/>
                <w:sz w:val="20"/>
                <w:szCs w:val="20"/>
              </w:rPr>
            </w:pPr>
            <w:r>
              <w:rPr>
                <w:rFonts w:ascii="Arial" w:hAnsi="Arial" w:cs="Arial"/>
                <w:sz w:val="20"/>
                <w:szCs w:val="20"/>
              </w:rPr>
              <w:t>3 min (2,4)</w:t>
            </w:r>
          </w:p>
        </w:tc>
        <w:tc>
          <w:tcPr>
            <w:tcW w:w="918" w:type="dxa"/>
            <w:tcBorders>
              <w:top w:val="nil"/>
              <w:left w:val="nil"/>
              <w:bottom w:val="single" w:sz="8" w:space="0" w:color="666969"/>
              <w:right w:val="single" w:sz="8" w:space="0" w:color="666969"/>
            </w:tcBorders>
            <w:tcMar>
              <w:top w:w="0" w:type="dxa"/>
              <w:left w:w="108" w:type="dxa"/>
              <w:bottom w:w="0" w:type="dxa"/>
              <w:right w:w="108" w:type="dxa"/>
            </w:tcMar>
            <w:vAlign w:val="center"/>
          </w:tcPr>
          <w:p w:rsidR="00AD7CD2" w:rsidRDefault="00945B64" w:rsidP="00AD7CD2">
            <w:pPr>
              <w:pStyle w:val="NoSpacing"/>
              <w:keepNext/>
              <w:jc w:val="center"/>
              <w:rPr>
                <w:rFonts w:ascii="Arial" w:hAnsi="Arial" w:cs="Arial"/>
                <w:sz w:val="20"/>
                <w:szCs w:val="20"/>
              </w:rPr>
            </w:pPr>
            <w:r>
              <w:rPr>
                <w:rFonts w:ascii="Arial" w:hAnsi="Arial" w:cs="Arial"/>
                <w:sz w:val="20"/>
                <w:szCs w:val="20"/>
              </w:rPr>
              <w:t>4,376</w:t>
            </w:r>
            <w:r w:rsidR="00226DD6">
              <w:rPr>
                <w:rFonts w:ascii="Arial" w:hAnsi="Arial" w:cs="Arial"/>
                <w:sz w:val="20"/>
                <w:szCs w:val="20"/>
              </w:rPr>
              <w:t>*</w:t>
            </w:r>
            <w:r>
              <w:rPr>
                <w:rFonts w:ascii="Arial" w:hAnsi="Arial" w:cs="Arial"/>
                <w:sz w:val="20"/>
                <w:szCs w:val="20"/>
              </w:rPr>
              <w:t xml:space="preserve"> </w:t>
            </w:r>
          </w:p>
        </w:tc>
      </w:tr>
      <w:tr w:rsidR="00AD7CD2" w:rsidTr="00AD7CD2">
        <w:tc>
          <w:tcPr>
            <w:tcW w:w="3960" w:type="dxa"/>
            <w:tcBorders>
              <w:top w:val="nil"/>
              <w:left w:val="single" w:sz="8" w:space="0" w:color="666969"/>
              <w:bottom w:val="single" w:sz="8" w:space="0" w:color="666969"/>
              <w:right w:val="single" w:sz="8" w:space="0" w:color="666969"/>
            </w:tcBorders>
            <w:tcMar>
              <w:top w:w="0" w:type="dxa"/>
              <w:left w:w="108" w:type="dxa"/>
              <w:bottom w:w="0" w:type="dxa"/>
              <w:right w:w="108" w:type="dxa"/>
            </w:tcMar>
            <w:vAlign w:val="center"/>
            <w:hideMark/>
          </w:tcPr>
          <w:p w:rsidR="00AD7CD2" w:rsidRDefault="00AD7CD2" w:rsidP="00AD7CD2">
            <w:pPr>
              <w:pStyle w:val="NoSpacing"/>
              <w:keepNext/>
              <w:rPr>
                <w:rFonts w:ascii="Arial" w:hAnsi="Arial" w:cs="Arial"/>
                <w:sz w:val="20"/>
                <w:szCs w:val="20"/>
              </w:rPr>
            </w:pPr>
            <w:r>
              <w:rPr>
                <w:rFonts w:ascii="Arial" w:hAnsi="Arial" w:cs="Arial"/>
                <w:sz w:val="20"/>
                <w:szCs w:val="20"/>
              </w:rPr>
              <w:t>Interviews: Lender staff</w:t>
            </w:r>
          </w:p>
        </w:tc>
        <w:tc>
          <w:tcPr>
            <w:tcW w:w="1800" w:type="dxa"/>
            <w:tcBorders>
              <w:top w:val="nil"/>
              <w:left w:val="nil"/>
              <w:bottom w:val="single" w:sz="8" w:space="0" w:color="666969"/>
              <w:right w:val="single" w:sz="8" w:space="0" w:color="666969"/>
            </w:tcBorders>
            <w:tcMar>
              <w:top w:w="0" w:type="dxa"/>
              <w:left w:w="108" w:type="dxa"/>
              <w:bottom w:w="0" w:type="dxa"/>
              <w:right w:w="108" w:type="dxa"/>
            </w:tcMar>
            <w:vAlign w:val="center"/>
            <w:hideMark/>
          </w:tcPr>
          <w:p w:rsidR="00AD7CD2" w:rsidRDefault="000D1ABA" w:rsidP="00AD7CD2">
            <w:pPr>
              <w:pStyle w:val="NoSpacing"/>
              <w:keepNext/>
              <w:jc w:val="center"/>
              <w:rPr>
                <w:rFonts w:ascii="Arial" w:hAnsi="Arial" w:cs="Arial"/>
                <w:sz w:val="20"/>
                <w:szCs w:val="20"/>
              </w:rPr>
            </w:pPr>
            <w:r>
              <w:rPr>
                <w:rFonts w:ascii="Arial" w:hAnsi="Arial" w:cs="Arial"/>
                <w:sz w:val="20"/>
                <w:szCs w:val="20"/>
              </w:rPr>
              <w:t>3</w:t>
            </w:r>
          </w:p>
        </w:tc>
        <w:tc>
          <w:tcPr>
            <w:tcW w:w="1440" w:type="dxa"/>
            <w:tcBorders>
              <w:top w:val="nil"/>
              <w:left w:val="nil"/>
              <w:bottom w:val="single" w:sz="8" w:space="0" w:color="666969"/>
              <w:right w:val="single" w:sz="8" w:space="0" w:color="666969"/>
            </w:tcBorders>
            <w:tcMar>
              <w:top w:w="0" w:type="dxa"/>
              <w:left w:w="108" w:type="dxa"/>
              <w:bottom w:w="0" w:type="dxa"/>
              <w:right w:w="108" w:type="dxa"/>
            </w:tcMar>
            <w:vAlign w:val="center"/>
            <w:hideMark/>
          </w:tcPr>
          <w:p w:rsidR="00AD7CD2" w:rsidRDefault="00AD7CD2" w:rsidP="00AD7CD2">
            <w:pPr>
              <w:pStyle w:val="NoSpacing"/>
              <w:keepNext/>
              <w:jc w:val="center"/>
              <w:rPr>
                <w:rFonts w:ascii="Arial" w:hAnsi="Arial" w:cs="Arial"/>
                <w:sz w:val="20"/>
                <w:szCs w:val="20"/>
              </w:rPr>
            </w:pPr>
            <w:r>
              <w:rPr>
                <w:rFonts w:ascii="Arial" w:hAnsi="Arial" w:cs="Arial"/>
                <w:sz w:val="20"/>
                <w:szCs w:val="20"/>
              </w:rPr>
              <w:t>12</w:t>
            </w:r>
          </w:p>
        </w:tc>
        <w:tc>
          <w:tcPr>
            <w:tcW w:w="1350" w:type="dxa"/>
            <w:tcBorders>
              <w:top w:val="nil"/>
              <w:left w:val="nil"/>
              <w:bottom w:val="single" w:sz="8" w:space="0" w:color="666969"/>
              <w:right w:val="single" w:sz="8" w:space="0" w:color="666969"/>
            </w:tcBorders>
            <w:tcMar>
              <w:top w:w="0" w:type="dxa"/>
              <w:left w:w="108" w:type="dxa"/>
              <w:bottom w:w="0" w:type="dxa"/>
              <w:right w:w="108" w:type="dxa"/>
            </w:tcMar>
            <w:vAlign w:val="center"/>
            <w:hideMark/>
          </w:tcPr>
          <w:p w:rsidR="00AD7CD2" w:rsidRDefault="00AD7CD2" w:rsidP="00AD7CD2">
            <w:pPr>
              <w:pStyle w:val="NoSpacing"/>
              <w:keepNext/>
              <w:jc w:val="center"/>
              <w:rPr>
                <w:rFonts w:ascii="Arial" w:hAnsi="Arial" w:cs="Arial"/>
                <w:sz w:val="20"/>
                <w:szCs w:val="20"/>
              </w:rPr>
            </w:pPr>
            <w:r>
              <w:rPr>
                <w:rFonts w:ascii="Arial" w:hAnsi="Arial" w:cs="Arial"/>
                <w:sz w:val="20"/>
                <w:szCs w:val="20"/>
              </w:rPr>
              <w:t>60 min. (45,75)</w:t>
            </w:r>
          </w:p>
        </w:tc>
        <w:tc>
          <w:tcPr>
            <w:tcW w:w="918" w:type="dxa"/>
            <w:tcBorders>
              <w:top w:val="nil"/>
              <w:left w:val="nil"/>
              <w:bottom w:val="single" w:sz="8" w:space="0" w:color="666969"/>
              <w:right w:val="single" w:sz="8" w:space="0" w:color="666969"/>
            </w:tcBorders>
            <w:tcMar>
              <w:top w:w="0" w:type="dxa"/>
              <w:left w:w="108" w:type="dxa"/>
              <w:bottom w:w="0" w:type="dxa"/>
              <w:right w:w="108" w:type="dxa"/>
            </w:tcMar>
            <w:vAlign w:val="center"/>
            <w:hideMark/>
          </w:tcPr>
          <w:p w:rsidR="00AD7CD2" w:rsidRDefault="000D1ABA" w:rsidP="00AD7CD2">
            <w:pPr>
              <w:pStyle w:val="NoSpacing"/>
              <w:keepNext/>
              <w:jc w:val="center"/>
              <w:rPr>
                <w:rFonts w:ascii="Arial" w:hAnsi="Arial" w:cs="Arial"/>
                <w:sz w:val="20"/>
                <w:szCs w:val="20"/>
              </w:rPr>
            </w:pPr>
            <w:r>
              <w:rPr>
                <w:rFonts w:ascii="Arial" w:hAnsi="Arial" w:cs="Arial"/>
                <w:sz w:val="20"/>
                <w:szCs w:val="20"/>
              </w:rPr>
              <w:t>36</w:t>
            </w:r>
          </w:p>
        </w:tc>
      </w:tr>
      <w:tr w:rsidR="00AD7CD2" w:rsidTr="00AD7CD2">
        <w:tc>
          <w:tcPr>
            <w:tcW w:w="3960" w:type="dxa"/>
            <w:tcBorders>
              <w:top w:val="nil"/>
              <w:left w:val="single" w:sz="8" w:space="0" w:color="666969"/>
              <w:bottom w:val="single" w:sz="8" w:space="0" w:color="666969"/>
              <w:right w:val="single" w:sz="8" w:space="0" w:color="666969"/>
            </w:tcBorders>
            <w:tcMar>
              <w:top w:w="0" w:type="dxa"/>
              <w:left w:w="108" w:type="dxa"/>
              <w:bottom w:w="0" w:type="dxa"/>
              <w:right w:w="108" w:type="dxa"/>
            </w:tcMar>
            <w:vAlign w:val="center"/>
            <w:hideMark/>
          </w:tcPr>
          <w:p w:rsidR="00AD7CD2" w:rsidRDefault="00AD7CD2" w:rsidP="00AD7CD2">
            <w:pPr>
              <w:pStyle w:val="NoSpacing"/>
              <w:keepNext/>
              <w:rPr>
                <w:rFonts w:ascii="Arial" w:hAnsi="Arial" w:cs="Arial"/>
                <w:sz w:val="20"/>
                <w:szCs w:val="20"/>
              </w:rPr>
            </w:pPr>
            <w:r>
              <w:rPr>
                <w:rFonts w:ascii="Arial" w:hAnsi="Arial" w:cs="Arial"/>
                <w:sz w:val="20"/>
                <w:szCs w:val="20"/>
              </w:rPr>
              <w:t>Recruitment Outcome Report</w:t>
            </w:r>
          </w:p>
        </w:tc>
        <w:tc>
          <w:tcPr>
            <w:tcW w:w="1800" w:type="dxa"/>
            <w:tcBorders>
              <w:top w:val="nil"/>
              <w:left w:val="nil"/>
              <w:bottom w:val="single" w:sz="8" w:space="0" w:color="666969"/>
              <w:right w:val="single" w:sz="8" w:space="0" w:color="666969"/>
            </w:tcBorders>
            <w:tcMar>
              <w:top w:w="0" w:type="dxa"/>
              <w:left w:w="108" w:type="dxa"/>
              <w:bottom w:w="0" w:type="dxa"/>
              <w:right w:w="108" w:type="dxa"/>
            </w:tcMar>
            <w:vAlign w:val="center"/>
            <w:hideMark/>
          </w:tcPr>
          <w:p w:rsidR="00AD7CD2" w:rsidRDefault="00AD7CD2" w:rsidP="00AD7CD2">
            <w:pPr>
              <w:pStyle w:val="NoSpacing"/>
              <w:keepNext/>
              <w:jc w:val="center"/>
              <w:rPr>
                <w:rFonts w:ascii="Arial" w:hAnsi="Arial" w:cs="Arial"/>
                <w:sz w:val="20"/>
                <w:szCs w:val="20"/>
              </w:rPr>
            </w:pPr>
            <w:r>
              <w:rPr>
                <w:rFonts w:ascii="Arial" w:hAnsi="Arial" w:cs="Arial"/>
                <w:sz w:val="20"/>
                <w:szCs w:val="20"/>
              </w:rPr>
              <w:t>3</w:t>
            </w:r>
          </w:p>
        </w:tc>
        <w:tc>
          <w:tcPr>
            <w:tcW w:w="1440" w:type="dxa"/>
            <w:tcBorders>
              <w:top w:val="nil"/>
              <w:left w:val="nil"/>
              <w:bottom w:val="single" w:sz="8" w:space="0" w:color="666969"/>
              <w:right w:val="single" w:sz="8" w:space="0" w:color="666969"/>
            </w:tcBorders>
            <w:tcMar>
              <w:top w:w="0" w:type="dxa"/>
              <w:left w:w="108" w:type="dxa"/>
              <w:bottom w:w="0" w:type="dxa"/>
              <w:right w:w="108" w:type="dxa"/>
            </w:tcMar>
            <w:vAlign w:val="center"/>
            <w:hideMark/>
          </w:tcPr>
          <w:p w:rsidR="00AD7CD2" w:rsidRDefault="00AD7CD2" w:rsidP="00AD7CD2">
            <w:pPr>
              <w:pStyle w:val="NoSpacing"/>
              <w:keepNext/>
              <w:jc w:val="center"/>
              <w:rPr>
                <w:rFonts w:ascii="Arial" w:hAnsi="Arial" w:cs="Arial"/>
                <w:sz w:val="20"/>
                <w:szCs w:val="20"/>
              </w:rPr>
            </w:pPr>
            <w:r>
              <w:rPr>
                <w:rFonts w:ascii="Arial" w:hAnsi="Arial" w:cs="Arial"/>
                <w:sz w:val="20"/>
                <w:szCs w:val="20"/>
              </w:rPr>
              <w:t>52</w:t>
            </w:r>
          </w:p>
        </w:tc>
        <w:tc>
          <w:tcPr>
            <w:tcW w:w="1350" w:type="dxa"/>
            <w:tcBorders>
              <w:top w:val="nil"/>
              <w:left w:val="nil"/>
              <w:bottom w:val="single" w:sz="8" w:space="0" w:color="666969"/>
              <w:right w:val="single" w:sz="8" w:space="0" w:color="666969"/>
            </w:tcBorders>
            <w:tcMar>
              <w:top w:w="0" w:type="dxa"/>
              <w:left w:w="108" w:type="dxa"/>
              <w:bottom w:w="0" w:type="dxa"/>
              <w:right w:w="108" w:type="dxa"/>
            </w:tcMar>
            <w:vAlign w:val="center"/>
            <w:hideMark/>
          </w:tcPr>
          <w:p w:rsidR="00AD7CD2" w:rsidRDefault="00AD7CD2" w:rsidP="00AD7CD2">
            <w:pPr>
              <w:pStyle w:val="NoSpacing"/>
              <w:keepNext/>
              <w:jc w:val="center"/>
              <w:rPr>
                <w:rFonts w:ascii="Arial" w:hAnsi="Arial" w:cs="Arial"/>
                <w:sz w:val="20"/>
                <w:szCs w:val="20"/>
              </w:rPr>
            </w:pPr>
            <w:r>
              <w:rPr>
                <w:rFonts w:ascii="Arial" w:hAnsi="Arial" w:cs="Arial"/>
                <w:sz w:val="20"/>
                <w:szCs w:val="20"/>
              </w:rPr>
              <w:t>30 (15, 45)</w:t>
            </w:r>
          </w:p>
        </w:tc>
        <w:tc>
          <w:tcPr>
            <w:tcW w:w="918" w:type="dxa"/>
            <w:tcBorders>
              <w:top w:val="nil"/>
              <w:left w:val="nil"/>
              <w:bottom w:val="single" w:sz="8" w:space="0" w:color="666969"/>
              <w:right w:val="single" w:sz="8" w:space="0" w:color="666969"/>
            </w:tcBorders>
            <w:tcMar>
              <w:top w:w="0" w:type="dxa"/>
              <w:left w:w="108" w:type="dxa"/>
              <w:bottom w:w="0" w:type="dxa"/>
              <w:right w:w="108" w:type="dxa"/>
            </w:tcMar>
            <w:vAlign w:val="center"/>
            <w:hideMark/>
          </w:tcPr>
          <w:p w:rsidR="00AD7CD2" w:rsidRDefault="00AD7CD2" w:rsidP="00AD7CD2">
            <w:pPr>
              <w:pStyle w:val="NoSpacing"/>
              <w:keepNext/>
              <w:jc w:val="center"/>
              <w:rPr>
                <w:rFonts w:ascii="Arial" w:hAnsi="Arial" w:cs="Arial"/>
                <w:sz w:val="20"/>
                <w:szCs w:val="20"/>
              </w:rPr>
            </w:pPr>
            <w:r>
              <w:rPr>
                <w:rFonts w:ascii="Arial" w:hAnsi="Arial" w:cs="Arial"/>
                <w:sz w:val="20"/>
                <w:szCs w:val="20"/>
              </w:rPr>
              <w:t>78</w:t>
            </w:r>
            <w:r w:rsidR="00226DD6">
              <w:rPr>
                <w:rFonts w:ascii="Arial" w:hAnsi="Arial" w:cs="Arial"/>
                <w:sz w:val="20"/>
                <w:szCs w:val="20"/>
              </w:rPr>
              <w:t>*</w:t>
            </w:r>
          </w:p>
        </w:tc>
      </w:tr>
      <w:tr w:rsidR="00AD7CD2" w:rsidTr="00AD7CD2">
        <w:tc>
          <w:tcPr>
            <w:tcW w:w="3960" w:type="dxa"/>
            <w:tcBorders>
              <w:top w:val="nil"/>
              <w:left w:val="single" w:sz="8" w:space="0" w:color="666969"/>
              <w:bottom w:val="single" w:sz="8" w:space="0" w:color="666969"/>
              <w:right w:val="single" w:sz="8" w:space="0" w:color="666969"/>
            </w:tcBorders>
            <w:tcMar>
              <w:top w:w="0" w:type="dxa"/>
              <w:left w:w="108" w:type="dxa"/>
              <w:bottom w:w="0" w:type="dxa"/>
              <w:right w:w="108" w:type="dxa"/>
            </w:tcMar>
            <w:vAlign w:val="center"/>
          </w:tcPr>
          <w:p w:rsidR="00AD7CD2" w:rsidRDefault="00AD7CD2" w:rsidP="00AD7CD2">
            <w:pPr>
              <w:pStyle w:val="NoSpacing"/>
              <w:keepNext/>
              <w:rPr>
                <w:rFonts w:ascii="Arial" w:hAnsi="Arial" w:cs="Arial"/>
                <w:sz w:val="20"/>
                <w:szCs w:val="20"/>
              </w:rPr>
            </w:pPr>
            <w:r>
              <w:rPr>
                <w:rFonts w:ascii="Arial" w:hAnsi="Arial" w:cs="Arial"/>
                <w:sz w:val="20"/>
                <w:szCs w:val="20"/>
              </w:rPr>
              <w:t>Loan origination and performance data</w:t>
            </w:r>
          </w:p>
        </w:tc>
        <w:tc>
          <w:tcPr>
            <w:tcW w:w="1800" w:type="dxa"/>
            <w:tcBorders>
              <w:top w:val="nil"/>
              <w:left w:val="nil"/>
              <w:bottom w:val="single" w:sz="8" w:space="0" w:color="666969"/>
              <w:right w:val="single" w:sz="8" w:space="0" w:color="666969"/>
            </w:tcBorders>
            <w:tcMar>
              <w:top w:w="0" w:type="dxa"/>
              <w:left w:w="108" w:type="dxa"/>
              <w:bottom w:w="0" w:type="dxa"/>
              <w:right w:w="108" w:type="dxa"/>
            </w:tcMar>
            <w:vAlign w:val="center"/>
          </w:tcPr>
          <w:p w:rsidR="00AD7CD2" w:rsidRDefault="00AD7CD2" w:rsidP="00AD7CD2">
            <w:pPr>
              <w:pStyle w:val="NoSpacing"/>
              <w:keepNext/>
              <w:jc w:val="center"/>
              <w:rPr>
                <w:rFonts w:ascii="Arial" w:hAnsi="Arial" w:cs="Arial"/>
                <w:sz w:val="20"/>
                <w:szCs w:val="20"/>
              </w:rPr>
            </w:pPr>
            <w:r>
              <w:rPr>
                <w:rFonts w:ascii="Arial" w:hAnsi="Arial" w:cs="Arial"/>
                <w:sz w:val="20"/>
                <w:szCs w:val="20"/>
              </w:rPr>
              <w:t>9</w:t>
            </w:r>
          </w:p>
        </w:tc>
        <w:tc>
          <w:tcPr>
            <w:tcW w:w="1440" w:type="dxa"/>
            <w:tcBorders>
              <w:top w:val="nil"/>
              <w:left w:val="nil"/>
              <w:bottom w:val="single" w:sz="8" w:space="0" w:color="666969"/>
              <w:right w:val="single" w:sz="8" w:space="0" w:color="666969"/>
            </w:tcBorders>
            <w:tcMar>
              <w:top w:w="0" w:type="dxa"/>
              <w:left w:w="108" w:type="dxa"/>
              <w:bottom w:w="0" w:type="dxa"/>
              <w:right w:w="108" w:type="dxa"/>
            </w:tcMar>
            <w:vAlign w:val="center"/>
          </w:tcPr>
          <w:p w:rsidR="00AD7CD2" w:rsidRDefault="00AD7CD2" w:rsidP="00AD7CD2">
            <w:pPr>
              <w:pStyle w:val="NoSpacing"/>
              <w:keepNext/>
              <w:jc w:val="center"/>
              <w:rPr>
                <w:rFonts w:ascii="Arial" w:hAnsi="Arial" w:cs="Arial"/>
                <w:sz w:val="20"/>
                <w:szCs w:val="20"/>
              </w:rPr>
            </w:pPr>
            <w:r>
              <w:rPr>
                <w:rFonts w:ascii="Arial" w:hAnsi="Arial" w:cs="Arial"/>
                <w:sz w:val="20"/>
                <w:szCs w:val="20"/>
              </w:rPr>
              <w:t>6</w:t>
            </w:r>
          </w:p>
        </w:tc>
        <w:tc>
          <w:tcPr>
            <w:tcW w:w="1350" w:type="dxa"/>
            <w:tcBorders>
              <w:top w:val="nil"/>
              <w:left w:val="nil"/>
              <w:bottom w:val="single" w:sz="8" w:space="0" w:color="666969"/>
              <w:right w:val="single" w:sz="8" w:space="0" w:color="666969"/>
            </w:tcBorders>
            <w:tcMar>
              <w:top w:w="0" w:type="dxa"/>
              <w:left w:w="108" w:type="dxa"/>
              <w:bottom w:w="0" w:type="dxa"/>
              <w:right w:w="108" w:type="dxa"/>
            </w:tcMar>
            <w:vAlign w:val="center"/>
          </w:tcPr>
          <w:p w:rsidR="00AD7CD2" w:rsidRDefault="00AD7CD2" w:rsidP="00AD7CD2">
            <w:pPr>
              <w:pStyle w:val="NoSpacing"/>
              <w:keepNext/>
              <w:jc w:val="center"/>
              <w:rPr>
                <w:rFonts w:ascii="Arial" w:hAnsi="Arial" w:cs="Arial"/>
                <w:sz w:val="20"/>
                <w:szCs w:val="20"/>
              </w:rPr>
            </w:pPr>
            <w:r>
              <w:rPr>
                <w:rFonts w:ascii="Arial" w:hAnsi="Arial" w:cs="Arial"/>
                <w:sz w:val="20"/>
                <w:szCs w:val="20"/>
              </w:rPr>
              <w:t>60 min (45, 75)</w:t>
            </w:r>
          </w:p>
        </w:tc>
        <w:tc>
          <w:tcPr>
            <w:tcW w:w="918" w:type="dxa"/>
            <w:tcBorders>
              <w:top w:val="nil"/>
              <w:left w:val="nil"/>
              <w:bottom w:val="single" w:sz="8" w:space="0" w:color="666969"/>
              <w:right w:val="single" w:sz="8" w:space="0" w:color="666969"/>
            </w:tcBorders>
            <w:tcMar>
              <w:top w:w="0" w:type="dxa"/>
              <w:left w:w="108" w:type="dxa"/>
              <w:bottom w:w="0" w:type="dxa"/>
              <w:right w:w="108" w:type="dxa"/>
            </w:tcMar>
            <w:vAlign w:val="center"/>
          </w:tcPr>
          <w:p w:rsidR="00AD7CD2" w:rsidRDefault="00AD7CD2" w:rsidP="00AD7CD2">
            <w:pPr>
              <w:pStyle w:val="NoSpacing"/>
              <w:keepNext/>
              <w:jc w:val="center"/>
              <w:rPr>
                <w:rFonts w:ascii="Arial" w:hAnsi="Arial" w:cs="Arial"/>
                <w:sz w:val="20"/>
                <w:szCs w:val="20"/>
              </w:rPr>
            </w:pPr>
            <w:r>
              <w:rPr>
                <w:rFonts w:ascii="Arial" w:hAnsi="Arial" w:cs="Arial"/>
                <w:sz w:val="20"/>
                <w:szCs w:val="20"/>
              </w:rPr>
              <w:t>54</w:t>
            </w:r>
            <w:r w:rsidR="00226DD6">
              <w:rPr>
                <w:rFonts w:ascii="Arial" w:hAnsi="Arial" w:cs="Arial"/>
                <w:sz w:val="20"/>
                <w:szCs w:val="20"/>
              </w:rPr>
              <w:t>***</w:t>
            </w:r>
          </w:p>
        </w:tc>
      </w:tr>
      <w:tr w:rsidR="00AD7CD2" w:rsidTr="00F371A7">
        <w:tc>
          <w:tcPr>
            <w:tcW w:w="3960" w:type="dxa"/>
            <w:tcBorders>
              <w:top w:val="nil"/>
              <w:left w:val="single" w:sz="8" w:space="0" w:color="666969"/>
              <w:bottom w:val="single" w:sz="8" w:space="0" w:color="666969"/>
              <w:right w:val="single" w:sz="8" w:space="0" w:color="666969"/>
            </w:tcBorders>
            <w:shd w:val="clear" w:color="auto" w:fill="666969"/>
            <w:tcMar>
              <w:top w:w="0" w:type="dxa"/>
              <w:left w:w="108" w:type="dxa"/>
              <w:bottom w:w="0" w:type="dxa"/>
              <w:right w:w="108" w:type="dxa"/>
            </w:tcMar>
            <w:vAlign w:val="center"/>
            <w:hideMark/>
          </w:tcPr>
          <w:p w:rsidR="00AD7CD2" w:rsidRDefault="00AD7CD2" w:rsidP="00AD7CD2">
            <w:pPr>
              <w:pStyle w:val="NoSpacing"/>
              <w:keepNext/>
              <w:rPr>
                <w:rFonts w:ascii="Arial" w:hAnsi="Arial" w:cs="Arial"/>
                <w:i/>
                <w:iCs/>
                <w:color w:val="FFFFFF"/>
                <w:sz w:val="20"/>
                <w:szCs w:val="20"/>
              </w:rPr>
            </w:pPr>
            <w:r>
              <w:rPr>
                <w:rFonts w:ascii="Arial" w:hAnsi="Arial" w:cs="Arial"/>
                <w:b/>
                <w:bCs/>
                <w:i/>
                <w:iCs/>
                <w:color w:val="FFFFFF"/>
                <w:sz w:val="20"/>
                <w:szCs w:val="20"/>
              </w:rPr>
              <w:t>Subtotal: Lenders</w:t>
            </w:r>
          </w:p>
        </w:tc>
        <w:tc>
          <w:tcPr>
            <w:tcW w:w="1800" w:type="dxa"/>
            <w:tcBorders>
              <w:top w:val="nil"/>
              <w:left w:val="nil"/>
              <w:bottom w:val="single" w:sz="8" w:space="0" w:color="666969"/>
              <w:right w:val="single" w:sz="8" w:space="0" w:color="666969"/>
            </w:tcBorders>
            <w:shd w:val="clear" w:color="auto" w:fill="666969"/>
            <w:tcMar>
              <w:top w:w="0" w:type="dxa"/>
              <w:left w:w="108" w:type="dxa"/>
              <w:bottom w:w="0" w:type="dxa"/>
              <w:right w:w="108" w:type="dxa"/>
            </w:tcMar>
            <w:vAlign w:val="center"/>
            <w:hideMark/>
          </w:tcPr>
          <w:p w:rsidR="00AD7CD2" w:rsidRDefault="00572830" w:rsidP="00AD7CD2">
            <w:pPr>
              <w:pStyle w:val="NoSpacing"/>
              <w:keepNext/>
              <w:jc w:val="center"/>
              <w:rPr>
                <w:rFonts w:ascii="Arial" w:hAnsi="Arial" w:cs="Arial"/>
                <w:b/>
                <w:bCs/>
                <w:i/>
                <w:iCs/>
                <w:color w:val="FFFFFF"/>
                <w:sz w:val="20"/>
                <w:szCs w:val="20"/>
              </w:rPr>
            </w:pPr>
            <w:r>
              <w:rPr>
                <w:rFonts w:ascii="Arial" w:hAnsi="Arial" w:cs="Arial"/>
                <w:b/>
                <w:bCs/>
                <w:i/>
                <w:iCs/>
                <w:color w:val="FFFFFF"/>
                <w:sz w:val="20"/>
                <w:szCs w:val="20"/>
              </w:rPr>
              <w:t>51</w:t>
            </w:r>
          </w:p>
        </w:tc>
        <w:tc>
          <w:tcPr>
            <w:tcW w:w="1440" w:type="dxa"/>
            <w:tcBorders>
              <w:top w:val="nil"/>
              <w:left w:val="nil"/>
              <w:bottom w:val="single" w:sz="8" w:space="0" w:color="666969"/>
              <w:right w:val="single" w:sz="8" w:space="0" w:color="666969"/>
            </w:tcBorders>
            <w:shd w:val="clear" w:color="auto" w:fill="666969"/>
            <w:tcMar>
              <w:top w:w="0" w:type="dxa"/>
              <w:left w:w="108" w:type="dxa"/>
              <w:bottom w:w="0" w:type="dxa"/>
              <w:right w:w="108" w:type="dxa"/>
            </w:tcMar>
            <w:vAlign w:val="center"/>
            <w:hideMark/>
          </w:tcPr>
          <w:p w:rsidR="00AD7CD2" w:rsidRDefault="00945B64" w:rsidP="00F371A7">
            <w:pPr>
              <w:pStyle w:val="NoSpacing"/>
              <w:keepNext/>
              <w:jc w:val="center"/>
              <w:rPr>
                <w:rFonts w:ascii="Arial" w:hAnsi="Arial" w:cs="Arial"/>
                <w:b/>
                <w:bCs/>
                <w:i/>
                <w:iCs/>
                <w:color w:val="FFFFFF"/>
                <w:sz w:val="20"/>
                <w:szCs w:val="20"/>
              </w:rPr>
            </w:pPr>
            <w:r>
              <w:rPr>
                <w:rFonts w:ascii="Arial" w:hAnsi="Arial" w:cs="Arial"/>
                <w:b/>
                <w:bCs/>
                <w:i/>
                <w:iCs/>
                <w:color w:val="FFFFFF"/>
                <w:sz w:val="20"/>
                <w:szCs w:val="20"/>
              </w:rPr>
              <w:t xml:space="preserve">2,501 </w:t>
            </w:r>
            <w:r w:rsidR="00572830">
              <w:rPr>
                <w:rFonts w:ascii="Arial" w:hAnsi="Arial" w:cs="Arial"/>
                <w:b/>
                <w:bCs/>
                <w:i/>
                <w:iCs/>
                <w:color w:val="FFFFFF"/>
                <w:sz w:val="20"/>
                <w:szCs w:val="20"/>
              </w:rPr>
              <w:t xml:space="preserve"> </w:t>
            </w:r>
          </w:p>
        </w:tc>
        <w:tc>
          <w:tcPr>
            <w:tcW w:w="1350" w:type="dxa"/>
            <w:tcBorders>
              <w:top w:val="nil"/>
              <w:left w:val="nil"/>
              <w:bottom w:val="single" w:sz="8" w:space="0" w:color="666969"/>
              <w:right w:val="single" w:sz="8" w:space="0" w:color="666969"/>
            </w:tcBorders>
            <w:shd w:val="clear" w:color="auto" w:fill="666969"/>
            <w:tcMar>
              <w:top w:w="0" w:type="dxa"/>
              <w:left w:w="108" w:type="dxa"/>
              <w:bottom w:w="0" w:type="dxa"/>
              <w:right w:w="108" w:type="dxa"/>
            </w:tcMar>
            <w:vAlign w:val="center"/>
            <w:hideMark/>
          </w:tcPr>
          <w:p w:rsidR="00AD7CD2" w:rsidRDefault="00572830" w:rsidP="00AD7CD2">
            <w:pPr>
              <w:pStyle w:val="NoSpacing"/>
              <w:keepNext/>
              <w:jc w:val="center"/>
              <w:rPr>
                <w:rFonts w:ascii="Arial" w:hAnsi="Arial" w:cs="Arial"/>
                <w:b/>
                <w:bCs/>
                <w:i/>
                <w:iCs/>
                <w:color w:val="FFFFFF"/>
                <w:sz w:val="20"/>
                <w:szCs w:val="20"/>
              </w:rPr>
            </w:pPr>
            <w:r>
              <w:rPr>
                <w:rFonts w:ascii="Arial" w:hAnsi="Arial" w:cs="Arial"/>
                <w:b/>
                <w:bCs/>
                <w:i/>
                <w:iCs/>
                <w:color w:val="FFFFFF"/>
                <w:sz w:val="20"/>
                <w:szCs w:val="20"/>
              </w:rPr>
              <w:t xml:space="preserve">153 </w:t>
            </w:r>
          </w:p>
        </w:tc>
        <w:tc>
          <w:tcPr>
            <w:tcW w:w="918" w:type="dxa"/>
            <w:tcBorders>
              <w:top w:val="nil"/>
              <w:left w:val="nil"/>
              <w:bottom w:val="single" w:sz="8" w:space="0" w:color="666969"/>
              <w:right w:val="single" w:sz="8" w:space="0" w:color="666969"/>
            </w:tcBorders>
            <w:shd w:val="clear" w:color="auto" w:fill="666969"/>
            <w:tcMar>
              <w:top w:w="0" w:type="dxa"/>
              <w:left w:w="108" w:type="dxa"/>
              <w:bottom w:w="0" w:type="dxa"/>
              <w:right w:w="108" w:type="dxa"/>
            </w:tcMar>
            <w:vAlign w:val="center"/>
            <w:hideMark/>
          </w:tcPr>
          <w:p w:rsidR="00AD7CD2" w:rsidRDefault="00945B64" w:rsidP="00AD7CD2">
            <w:pPr>
              <w:pStyle w:val="NoSpacing"/>
              <w:keepNext/>
              <w:jc w:val="center"/>
              <w:rPr>
                <w:rFonts w:ascii="Arial" w:hAnsi="Arial" w:cs="Arial"/>
                <w:b/>
                <w:bCs/>
                <w:i/>
                <w:iCs/>
                <w:color w:val="FFFFFF"/>
                <w:sz w:val="20"/>
                <w:szCs w:val="20"/>
              </w:rPr>
            </w:pPr>
            <w:r>
              <w:rPr>
                <w:rFonts w:ascii="Arial" w:hAnsi="Arial" w:cs="Arial"/>
                <w:b/>
                <w:bCs/>
                <w:i/>
                <w:iCs/>
                <w:color w:val="FFFFFF"/>
                <w:sz w:val="20"/>
                <w:szCs w:val="20"/>
              </w:rPr>
              <w:t>4,544</w:t>
            </w:r>
            <w:r w:rsidR="00572830">
              <w:rPr>
                <w:rFonts w:ascii="Arial" w:hAnsi="Arial" w:cs="Arial"/>
                <w:b/>
                <w:bCs/>
                <w:i/>
                <w:iCs/>
                <w:color w:val="FFFFFF"/>
                <w:sz w:val="20"/>
                <w:szCs w:val="20"/>
              </w:rPr>
              <w:t xml:space="preserve"> </w:t>
            </w:r>
          </w:p>
        </w:tc>
      </w:tr>
      <w:tr w:rsidR="00AD7CD2" w:rsidTr="00AD7CD2">
        <w:tc>
          <w:tcPr>
            <w:tcW w:w="3960" w:type="dxa"/>
            <w:tcBorders>
              <w:top w:val="nil"/>
              <w:left w:val="single" w:sz="8" w:space="0" w:color="666969"/>
              <w:bottom w:val="single" w:sz="8" w:space="0" w:color="666969"/>
              <w:right w:val="single" w:sz="8" w:space="0" w:color="666969"/>
            </w:tcBorders>
            <w:shd w:val="clear" w:color="auto" w:fill="FFFFFF"/>
            <w:tcMar>
              <w:top w:w="0" w:type="dxa"/>
              <w:left w:w="108" w:type="dxa"/>
              <w:bottom w:w="0" w:type="dxa"/>
              <w:right w:w="108" w:type="dxa"/>
            </w:tcMar>
            <w:vAlign w:val="center"/>
            <w:hideMark/>
          </w:tcPr>
          <w:p w:rsidR="00AD7CD2" w:rsidRDefault="00AD7CD2" w:rsidP="00AD7CD2">
            <w:pPr>
              <w:pStyle w:val="NoSpacing"/>
              <w:rPr>
                <w:rFonts w:ascii="Arial" w:hAnsi="Arial" w:cs="Arial"/>
                <w:i/>
                <w:iCs/>
                <w:sz w:val="20"/>
                <w:szCs w:val="20"/>
              </w:rPr>
            </w:pPr>
            <w:r>
              <w:rPr>
                <w:rFonts w:ascii="Arial" w:hAnsi="Arial" w:cs="Arial"/>
                <w:b/>
                <w:bCs/>
                <w:i/>
                <w:iCs/>
                <w:sz w:val="20"/>
                <w:szCs w:val="20"/>
              </w:rPr>
              <w:lastRenderedPageBreak/>
              <w:t>Total</w:t>
            </w:r>
          </w:p>
        </w:tc>
        <w:tc>
          <w:tcPr>
            <w:tcW w:w="1800" w:type="dxa"/>
            <w:tcBorders>
              <w:top w:val="nil"/>
              <w:left w:val="nil"/>
              <w:bottom w:val="single" w:sz="8" w:space="0" w:color="666969"/>
              <w:right w:val="single" w:sz="8" w:space="0" w:color="666969"/>
            </w:tcBorders>
            <w:shd w:val="clear" w:color="auto" w:fill="FFFFFF"/>
            <w:tcMar>
              <w:top w:w="0" w:type="dxa"/>
              <w:left w:w="108" w:type="dxa"/>
              <w:bottom w:w="0" w:type="dxa"/>
              <w:right w:w="108" w:type="dxa"/>
            </w:tcMar>
            <w:vAlign w:val="center"/>
            <w:hideMark/>
          </w:tcPr>
          <w:p w:rsidR="00AD7CD2" w:rsidRDefault="005A6A8D" w:rsidP="00945B64">
            <w:pPr>
              <w:pStyle w:val="NoSpacing"/>
              <w:jc w:val="center"/>
              <w:rPr>
                <w:rFonts w:ascii="Arial" w:hAnsi="Arial" w:cs="Arial"/>
                <w:i/>
                <w:iCs/>
                <w:sz w:val="20"/>
                <w:szCs w:val="20"/>
              </w:rPr>
            </w:pPr>
            <w:r>
              <w:rPr>
                <w:rFonts w:ascii="Arial" w:hAnsi="Arial" w:cs="Arial"/>
                <w:i/>
                <w:iCs/>
                <w:sz w:val="20"/>
                <w:szCs w:val="20"/>
              </w:rPr>
              <w:t xml:space="preserve">140,765 </w:t>
            </w:r>
          </w:p>
        </w:tc>
        <w:tc>
          <w:tcPr>
            <w:tcW w:w="1440" w:type="dxa"/>
            <w:tcBorders>
              <w:top w:val="nil"/>
              <w:left w:val="nil"/>
              <w:bottom w:val="single" w:sz="8" w:space="0" w:color="666969"/>
              <w:right w:val="single" w:sz="8" w:space="0" w:color="666969"/>
            </w:tcBorders>
            <w:shd w:val="clear" w:color="auto" w:fill="FFFFFF"/>
            <w:tcMar>
              <w:top w:w="0" w:type="dxa"/>
              <w:left w:w="108" w:type="dxa"/>
              <w:bottom w:w="0" w:type="dxa"/>
              <w:right w:w="108" w:type="dxa"/>
            </w:tcMar>
            <w:vAlign w:val="center"/>
            <w:hideMark/>
          </w:tcPr>
          <w:p w:rsidR="00AD7CD2" w:rsidRDefault="002F14A5" w:rsidP="00AD7CD2">
            <w:pPr>
              <w:pStyle w:val="NoSpacing"/>
              <w:jc w:val="center"/>
              <w:rPr>
                <w:rFonts w:ascii="Arial" w:hAnsi="Arial" w:cs="Arial"/>
                <w:i/>
                <w:iCs/>
                <w:sz w:val="20"/>
                <w:szCs w:val="20"/>
              </w:rPr>
            </w:pPr>
            <w:r>
              <w:rPr>
                <w:rFonts w:ascii="Arial" w:hAnsi="Arial" w:cs="Arial"/>
                <w:i/>
                <w:iCs/>
                <w:sz w:val="20"/>
                <w:szCs w:val="20"/>
              </w:rPr>
              <w:t>2,536</w:t>
            </w:r>
            <w:r w:rsidR="005A6A8D">
              <w:rPr>
                <w:rFonts w:ascii="Arial" w:hAnsi="Arial" w:cs="Arial"/>
                <w:i/>
                <w:iCs/>
                <w:sz w:val="20"/>
                <w:szCs w:val="20"/>
              </w:rPr>
              <w:t xml:space="preserve"> </w:t>
            </w:r>
          </w:p>
        </w:tc>
        <w:tc>
          <w:tcPr>
            <w:tcW w:w="1350" w:type="dxa"/>
            <w:tcBorders>
              <w:top w:val="nil"/>
              <w:left w:val="nil"/>
              <w:bottom w:val="single" w:sz="8" w:space="0" w:color="666969"/>
              <w:right w:val="single" w:sz="8" w:space="0" w:color="666969"/>
            </w:tcBorders>
            <w:shd w:val="clear" w:color="auto" w:fill="FFFFFF"/>
            <w:tcMar>
              <w:top w:w="0" w:type="dxa"/>
              <w:left w:w="108" w:type="dxa"/>
              <w:bottom w:w="0" w:type="dxa"/>
              <w:right w:w="108" w:type="dxa"/>
            </w:tcMar>
            <w:vAlign w:val="center"/>
            <w:hideMark/>
          </w:tcPr>
          <w:p w:rsidR="00AD7CD2" w:rsidRDefault="002F14A5" w:rsidP="00AD7CD2">
            <w:pPr>
              <w:pStyle w:val="NoSpacing"/>
              <w:jc w:val="center"/>
              <w:rPr>
                <w:rFonts w:ascii="Arial" w:hAnsi="Arial" w:cs="Arial"/>
                <w:i/>
                <w:iCs/>
                <w:sz w:val="20"/>
                <w:szCs w:val="20"/>
              </w:rPr>
            </w:pPr>
            <w:r>
              <w:rPr>
                <w:rFonts w:ascii="Arial" w:hAnsi="Arial" w:cs="Arial"/>
                <w:i/>
                <w:iCs/>
                <w:sz w:val="20"/>
                <w:szCs w:val="20"/>
              </w:rPr>
              <w:t>2,143.5</w:t>
            </w:r>
          </w:p>
        </w:tc>
        <w:tc>
          <w:tcPr>
            <w:tcW w:w="918" w:type="dxa"/>
            <w:tcBorders>
              <w:top w:val="nil"/>
              <w:left w:val="nil"/>
              <w:bottom w:val="single" w:sz="8" w:space="0" w:color="666969"/>
              <w:right w:val="single" w:sz="8" w:space="0" w:color="666969"/>
            </w:tcBorders>
            <w:shd w:val="clear" w:color="auto" w:fill="FFFFFF"/>
            <w:tcMar>
              <w:top w:w="0" w:type="dxa"/>
              <w:left w:w="108" w:type="dxa"/>
              <w:bottom w:w="0" w:type="dxa"/>
              <w:right w:w="108" w:type="dxa"/>
            </w:tcMar>
            <w:vAlign w:val="center"/>
            <w:hideMark/>
          </w:tcPr>
          <w:p w:rsidR="00AD7CD2" w:rsidRDefault="002F14A5" w:rsidP="00AD7CD2">
            <w:pPr>
              <w:pStyle w:val="NoSpacing"/>
              <w:jc w:val="center"/>
              <w:rPr>
                <w:rFonts w:ascii="Arial" w:hAnsi="Arial" w:cs="Arial"/>
                <w:b/>
                <w:bCs/>
                <w:i/>
                <w:iCs/>
                <w:sz w:val="20"/>
                <w:szCs w:val="20"/>
              </w:rPr>
            </w:pPr>
            <w:r>
              <w:rPr>
                <w:rFonts w:ascii="Arial" w:hAnsi="Arial" w:cs="Arial"/>
                <w:b/>
                <w:bCs/>
                <w:i/>
                <w:iCs/>
                <w:sz w:val="20"/>
                <w:szCs w:val="20"/>
              </w:rPr>
              <w:t>42,805</w:t>
            </w:r>
          </w:p>
        </w:tc>
      </w:tr>
    </w:tbl>
    <w:p w:rsidR="00A92DF4" w:rsidRPr="00226DD6" w:rsidRDefault="00226DD6" w:rsidP="00226DD6">
      <w:pPr>
        <w:pStyle w:val="Bullets"/>
        <w:numPr>
          <w:ilvl w:val="0"/>
          <w:numId w:val="0"/>
        </w:numPr>
        <w:ind w:left="90" w:hanging="180"/>
        <w:rPr>
          <w:rFonts w:ascii="Arial" w:hAnsi="Arial" w:cs="Arial"/>
          <w:sz w:val="18"/>
          <w:szCs w:val="18"/>
        </w:rPr>
      </w:pPr>
      <w:r w:rsidRPr="00226DD6">
        <w:rPr>
          <w:rFonts w:ascii="Arial" w:hAnsi="Arial" w:cs="Arial"/>
          <w:sz w:val="18"/>
          <w:szCs w:val="18"/>
        </w:rPr>
        <w:t>*This activity will span the duration of the enrollment period. The enrollment period may last up to 24 months depending on the rate of recruiting the study sample.</w:t>
      </w:r>
    </w:p>
    <w:p w:rsidR="00226DD6" w:rsidRPr="00226DD6" w:rsidRDefault="00226DD6" w:rsidP="00226DD6">
      <w:pPr>
        <w:pStyle w:val="Bullets"/>
        <w:numPr>
          <w:ilvl w:val="0"/>
          <w:numId w:val="0"/>
        </w:numPr>
        <w:ind w:left="90" w:hanging="180"/>
        <w:rPr>
          <w:rFonts w:ascii="Arial" w:hAnsi="Arial" w:cs="Arial"/>
          <w:sz w:val="18"/>
          <w:szCs w:val="18"/>
        </w:rPr>
      </w:pPr>
      <w:r w:rsidRPr="00226DD6">
        <w:rPr>
          <w:rFonts w:ascii="Arial" w:hAnsi="Arial" w:cs="Arial"/>
          <w:sz w:val="18"/>
          <w:szCs w:val="18"/>
        </w:rPr>
        <w:t xml:space="preserve">** This activity will occur </w:t>
      </w:r>
      <w:r w:rsidR="007F264A">
        <w:rPr>
          <w:rFonts w:ascii="Arial" w:hAnsi="Arial" w:cs="Arial"/>
          <w:sz w:val="18"/>
          <w:szCs w:val="18"/>
        </w:rPr>
        <w:t xml:space="preserve">during the final weeks </w:t>
      </w:r>
      <w:r w:rsidRPr="00226DD6">
        <w:rPr>
          <w:rFonts w:ascii="Arial" w:hAnsi="Arial" w:cs="Arial"/>
          <w:sz w:val="18"/>
          <w:szCs w:val="18"/>
        </w:rPr>
        <w:t>of the enrollment period.</w:t>
      </w:r>
    </w:p>
    <w:p w:rsidR="00226DD6" w:rsidRDefault="00226DD6" w:rsidP="00226DD6">
      <w:pPr>
        <w:pStyle w:val="Bullets"/>
        <w:numPr>
          <w:ilvl w:val="0"/>
          <w:numId w:val="0"/>
        </w:numPr>
        <w:ind w:left="90" w:hanging="180"/>
        <w:rPr>
          <w:rFonts w:ascii="Arial" w:hAnsi="Arial" w:cs="Arial"/>
          <w:sz w:val="18"/>
          <w:szCs w:val="18"/>
        </w:rPr>
      </w:pPr>
      <w:r w:rsidRPr="00226DD6">
        <w:rPr>
          <w:rFonts w:ascii="Arial" w:hAnsi="Arial" w:cs="Arial"/>
          <w:sz w:val="18"/>
          <w:szCs w:val="18"/>
        </w:rPr>
        <w:t xml:space="preserve">***This activity will span three years. </w:t>
      </w:r>
    </w:p>
    <w:p w:rsidR="002B0558" w:rsidRPr="00226DD6" w:rsidRDefault="002B0558" w:rsidP="00226DD6">
      <w:pPr>
        <w:pStyle w:val="Bullets"/>
        <w:numPr>
          <w:ilvl w:val="0"/>
          <w:numId w:val="0"/>
        </w:numPr>
        <w:ind w:left="90" w:hanging="180"/>
        <w:rPr>
          <w:rFonts w:ascii="Arial" w:hAnsi="Arial" w:cs="Arial"/>
          <w:sz w:val="18"/>
          <w:szCs w:val="18"/>
        </w:rPr>
      </w:pPr>
      <w:r>
        <w:rPr>
          <w:rFonts w:ascii="Arial" w:hAnsi="Arial" w:cs="Arial"/>
          <w:sz w:val="18"/>
          <w:szCs w:val="18"/>
        </w:rPr>
        <w:t>**** This activity will occur until 12 months after the end of enrollment.</w:t>
      </w:r>
    </w:p>
    <w:p w:rsidR="001B6DC8" w:rsidRDefault="001B6DC8" w:rsidP="002A5FC8">
      <w:pPr>
        <w:pStyle w:val="Heading2"/>
      </w:pPr>
      <w:bookmarkStart w:id="27" w:name="_Toc332378284"/>
      <w:r>
        <w:t>Estimated Record Keeping and Reporting Cost Burden on Respondents</w:t>
      </w:r>
      <w:bookmarkEnd w:id="27"/>
    </w:p>
    <w:p w:rsidR="001C76B9" w:rsidRDefault="00415BD8" w:rsidP="008C55D1">
      <w:r>
        <w:t>This data collection effort involves no recordkeeping or reporting costs for respondents other than the time burden to respond to questions on the data collection instruments as described in item A.12 above</w:t>
      </w:r>
      <w:r w:rsidR="00A900DC">
        <w:t xml:space="preserve">. </w:t>
      </w:r>
      <w:r>
        <w:t>There is no known cost burden to the respondents</w:t>
      </w:r>
      <w:r w:rsidR="00A900DC">
        <w:t xml:space="preserve">. </w:t>
      </w:r>
    </w:p>
    <w:p w:rsidR="001B6DC8" w:rsidRDefault="001B6DC8" w:rsidP="002A5FC8">
      <w:pPr>
        <w:pStyle w:val="Heading2"/>
      </w:pPr>
      <w:bookmarkStart w:id="28" w:name="_Toc332378285"/>
      <w:r>
        <w:t>Estimated Cost to Federal Government</w:t>
      </w:r>
      <w:bookmarkEnd w:id="28"/>
    </w:p>
    <w:p w:rsidR="00CF7232" w:rsidRDefault="001C76B9" w:rsidP="008C55D1">
      <w:r>
        <w:t xml:space="preserve">The total contract amount for </w:t>
      </w:r>
      <w:r w:rsidRPr="008C55D1">
        <w:t>this</w:t>
      </w:r>
      <w:r>
        <w:t xml:space="preserve"> evaluation effort is</w:t>
      </w:r>
      <w:r w:rsidR="00E53688">
        <w:t xml:space="preserve"> $</w:t>
      </w:r>
      <w:r w:rsidR="00D707A7">
        <w:t>3,953,503</w:t>
      </w:r>
      <w:r>
        <w:t>.</w:t>
      </w:r>
      <w:r w:rsidR="00B20CDF">
        <w:t>The budget for data collection is estimated to be approximately $3,402,086.</w:t>
      </w:r>
      <w:r w:rsidR="003C5488">
        <w:t xml:space="preserve"> </w:t>
      </w:r>
    </w:p>
    <w:p w:rsidR="001B6DC8" w:rsidRDefault="00CF7232" w:rsidP="008C55D1">
      <w:r>
        <w:t>The research team is currently seeking a modification because of changes to the study design. This modification would increase the total contract amount for the evaluation.</w:t>
      </w:r>
    </w:p>
    <w:p w:rsidR="001B6DC8" w:rsidRDefault="001B6DC8" w:rsidP="002A5FC8">
      <w:pPr>
        <w:pStyle w:val="Heading2"/>
      </w:pPr>
      <w:bookmarkStart w:id="29" w:name="_Toc332378286"/>
      <w:r>
        <w:t>Reasons for Changes in Burden</w:t>
      </w:r>
      <w:bookmarkEnd w:id="29"/>
    </w:p>
    <w:p w:rsidR="001C76B9" w:rsidRDefault="001C76B9" w:rsidP="008C55D1">
      <w:r>
        <w:t xml:space="preserve">This submission to OMB is a </w:t>
      </w:r>
      <w:r w:rsidRPr="008C55D1">
        <w:t>new</w:t>
      </w:r>
      <w:r>
        <w:t xml:space="preserve"> request for approval; there is no change in burden. </w:t>
      </w:r>
      <w:r w:rsidR="00F54C85">
        <w:t>However, there is a change in burden from the 60-day OMB submission due to a contract modification.</w:t>
      </w:r>
      <w:r w:rsidR="00A77082">
        <w:t xml:space="preserve"> In particular, the study sample increased from </w:t>
      </w:r>
      <w:r w:rsidR="00E93ED8">
        <w:t>4,000 to 7,000</w:t>
      </w:r>
      <w:r w:rsidR="0062516A">
        <w:t xml:space="preserve"> study participants</w:t>
      </w:r>
      <w:r w:rsidR="00A77082">
        <w:t xml:space="preserve">, resulting in </w:t>
      </w:r>
      <w:r w:rsidR="0062516A">
        <w:t xml:space="preserve">an overall </w:t>
      </w:r>
      <w:r w:rsidR="00A77082">
        <w:t>increased burden.</w:t>
      </w:r>
    </w:p>
    <w:p w:rsidR="00690D82" w:rsidRDefault="00690D82" w:rsidP="008C55D1">
      <w:r>
        <w:t xml:space="preserve">This submission to OMB is an updated request from the 30-day OMB submission due to a participating lender altering their recruitment process. As a result burden hours have decreased for lenders. </w:t>
      </w:r>
    </w:p>
    <w:p w:rsidR="000C785A" w:rsidRDefault="000C785A" w:rsidP="008C55D1">
      <w:r>
        <w:t>Additionally, in October 2012 the study team convened an expert panel that made some suggestions that altered the baseline survey and recruitment strategy. As a result, the baseline survey has been modified and the recruitment scripts and study participant outreach materials have been updated.</w:t>
      </w:r>
    </w:p>
    <w:p w:rsidR="001B6DC8" w:rsidRDefault="001B6DC8" w:rsidP="002A5FC8">
      <w:pPr>
        <w:pStyle w:val="Heading2"/>
      </w:pPr>
      <w:bookmarkStart w:id="30" w:name="_Toc332378287"/>
      <w:r>
        <w:t>Tabulation Plan, Statistical Analysis and Study Schedule</w:t>
      </w:r>
      <w:bookmarkEnd w:id="30"/>
    </w:p>
    <w:p w:rsidR="001B6DC8" w:rsidRDefault="001C76B9" w:rsidP="001C76B9">
      <w:pPr>
        <w:pStyle w:val="Heading3"/>
      </w:pPr>
      <w:bookmarkStart w:id="31" w:name="_Toc332378288"/>
      <w:r>
        <w:t>Tabulation Plan and Statistical Analysis</w:t>
      </w:r>
      <w:bookmarkEnd w:id="31"/>
    </w:p>
    <w:p w:rsidR="001164C3" w:rsidRDefault="00F139F3" w:rsidP="008C55D1">
      <w:r>
        <w:t>T</w:t>
      </w:r>
      <w:r w:rsidR="00FC2F02">
        <w:t xml:space="preserve">he data collection activities covered in this </w:t>
      </w:r>
      <w:r>
        <w:t xml:space="preserve">OMB submission </w:t>
      </w:r>
      <w:proofErr w:type="gramStart"/>
      <w:r w:rsidR="00CA7307">
        <w:t>are</w:t>
      </w:r>
      <w:proofErr w:type="gramEnd"/>
      <w:r>
        <w:t xml:space="preserve"> the enrollment and implementation activities for </w:t>
      </w:r>
      <w:r w:rsidR="0091475F">
        <w:t xml:space="preserve">the Pre-Purchase </w:t>
      </w:r>
      <w:r w:rsidR="0091475F" w:rsidRPr="008C55D1">
        <w:t>Homeownership</w:t>
      </w:r>
      <w:r w:rsidR="0091475F">
        <w:t xml:space="preserve"> Counseling Demonstration and I</w:t>
      </w:r>
      <w:r>
        <w:t xml:space="preserve">mpact </w:t>
      </w:r>
      <w:r w:rsidR="0091475F">
        <w:t>E</w:t>
      </w:r>
      <w:r>
        <w:t xml:space="preserve">valuation. Following completion of the enrollment period, these activities will be used to produce baseline analyses that describe the baseline characteristics of study participants, evaluate the random assignment of participants to treatment and control groups, and document the enrollment and implementation process. Additionally, a small number of initial impact analyses may be performed with respect to </w:t>
      </w:r>
      <w:r w:rsidR="001164C3">
        <w:t xml:space="preserve">outcomes </w:t>
      </w:r>
      <w:r w:rsidR="00CA7307">
        <w:t xml:space="preserve">measured </w:t>
      </w:r>
      <w:r w:rsidR="001164C3">
        <w:t>throu</w:t>
      </w:r>
      <w:r w:rsidR="00B20CDF">
        <w:t>gh credit report</w:t>
      </w:r>
      <w:r w:rsidR="001164C3">
        <w:t xml:space="preserve"> and lender data. A</w:t>
      </w:r>
      <w:r>
        <w:t xml:space="preserve"> second package, under a separate contract between HUD and the study team, will cover the follow-up participant interviews that will collect the </w:t>
      </w:r>
      <w:r w:rsidR="001164C3">
        <w:t xml:space="preserve">primary </w:t>
      </w:r>
      <w:r>
        <w:t>outcome measures for impact analysis</w:t>
      </w:r>
      <w:r w:rsidR="00A900DC">
        <w:t xml:space="preserve">. </w:t>
      </w:r>
    </w:p>
    <w:p w:rsidR="00C806E7" w:rsidRDefault="00C806E7" w:rsidP="008C55D1">
      <w:r>
        <w:lastRenderedPageBreak/>
        <w:t xml:space="preserve">The specific use of these data </w:t>
      </w:r>
      <w:r w:rsidR="001164C3">
        <w:t>collection activities</w:t>
      </w:r>
      <w:r>
        <w:t xml:space="preserve"> within each evaluatio</w:t>
      </w:r>
      <w:r w:rsidR="00DF3444">
        <w:t>n component is described below.</w:t>
      </w:r>
    </w:p>
    <w:p w:rsidR="00C806E7" w:rsidRPr="00F10E13" w:rsidRDefault="00C806E7" w:rsidP="00DF3444">
      <w:pPr>
        <w:pStyle w:val="Heading4"/>
      </w:pPr>
      <w:r w:rsidRPr="00F10E13">
        <w:t>Implementation Analyses</w:t>
      </w:r>
    </w:p>
    <w:p w:rsidR="00C806E7" w:rsidRDefault="00DF3444" w:rsidP="008C55D1">
      <w:r>
        <w:t xml:space="preserve">Implementation </w:t>
      </w:r>
      <w:r w:rsidR="00A92DF4">
        <w:t>a</w:t>
      </w:r>
      <w:r>
        <w:t xml:space="preserve">nalyses will document </w:t>
      </w:r>
      <w:r w:rsidR="00B21F89">
        <w:t>the implementation experience of each lender and</w:t>
      </w:r>
      <w:r w:rsidR="00F1289F">
        <w:t xml:space="preserve"> housing </w:t>
      </w:r>
      <w:r w:rsidR="00B21F89">
        <w:t>counseling agency partner in each jurisdiction</w:t>
      </w:r>
      <w:r w:rsidR="00A900DC">
        <w:t xml:space="preserve">. </w:t>
      </w:r>
      <w:r>
        <w:t xml:space="preserve">Due to the number of </w:t>
      </w:r>
      <w:r w:rsidR="0011679A">
        <w:t xml:space="preserve">staff at both participating lenders and </w:t>
      </w:r>
      <w:r w:rsidR="00F1289F">
        <w:t xml:space="preserve">housing </w:t>
      </w:r>
      <w:r>
        <w:t>counseling agencies that the study team will be working with, it is ext</w:t>
      </w:r>
      <w:r w:rsidR="009E1EB8">
        <w:t>remely important to document p</w:t>
      </w:r>
      <w:r>
        <w:t xml:space="preserve">rocedures and protocols that sites implement. </w:t>
      </w:r>
      <w:r w:rsidR="00B21F89">
        <w:t xml:space="preserve">The </w:t>
      </w:r>
      <w:r w:rsidR="00B21F89" w:rsidRPr="008C55D1">
        <w:t>implementation</w:t>
      </w:r>
      <w:r w:rsidR="00B21F89">
        <w:t xml:space="preserve"> analyses will integrate the information collected through the lender </w:t>
      </w:r>
      <w:r w:rsidR="0011679A">
        <w:t>customer service teams’ observations, recruitment call outcome report</w:t>
      </w:r>
      <w:r w:rsidR="00FB43A8">
        <w:t>s</w:t>
      </w:r>
      <w:r w:rsidR="0011679A">
        <w:t xml:space="preserve">, </w:t>
      </w:r>
      <w:r w:rsidR="00B21F89">
        <w:t xml:space="preserve">and </w:t>
      </w:r>
      <w:r w:rsidR="00F1289F">
        <w:t xml:space="preserve">housing </w:t>
      </w:r>
      <w:r w:rsidR="00B21F89">
        <w:t>counseling agency staff interviews with the site liaisons’ documentation of each partner’s implementation achievements</w:t>
      </w:r>
      <w:r w:rsidR="00A900DC">
        <w:t xml:space="preserve">. </w:t>
      </w:r>
    </w:p>
    <w:p w:rsidR="00DF3444" w:rsidRDefault="00DF3444" w:rsidP="008C55D1">
      <w:r>
        <w:t xml:space="preserve">The </w:t>
      </w:r>
      <w:r w:rsidR="00B21F89">
        <w:t>implementation analyses will describe</w:t>
      </w:r>
      <w:r>
        <w:t xml:space="preserve"> lenders’ fidelity to the study design and enrollment targets for each jurisdiction. We will </w:t>
      </w:r>
      <w:r w:rsidRPr="008C55D1">
        <w:t>examine</w:t>
      </w:r>
      <w:r>
        <w:t xml:space="preserve"> the step</w:t>
      </w:r>
      <w:r w:rsidR="00B21F89">
        <w:t>s that each lender used</w:t>
      </w:r>
      <w:r>
        <w:t xml:space="preserve"> for </w:t>
      </w:r>
      <w:r w:rsidR="00B21F89">
        <w:t xml:space="preserve">early stage </w:t>
      </w:r>
      <w:r w:rsidR="00F1289F">
        <w:t>c</w:t>
      </w:r>
      <w:r w:rsidR="005F1BAC">
        <w:t>ustomer</w:t>
      </w:r>
      <w:r w:rsidR="00B21F89">
        <w:t xml:space="preserve">s </w:t>
      </w:r>
      <w:r w:rsidR="00A50955">
        <w:t xml:space="preserve">and </w:t>
      </w:r>
      <w:r>
        <w:t>compare them across lender</w:t>
      </w:r>
      <w:r w:rsidR="00B21F89">
        <w:t>s and jurisdictions. In particular</w:t>
      </w:r>
      <w:r>
        <w:t xml:space="preserve">, </w:t>
      </w:r>
      <w:r w:rsidR="00B21F89">
        <w:t xml:space="preserve">we will document the extent to which lenders introduced the study to all </w:t>
      </w:r>
      <w:r w:rsidR="00424FA3">
        <w:t>c</w:t>
      </w:r>
      <w:r w:rsidR="005F1BAC">
        <w:t>ustomer</w:t>
      </w:r>
      <w:r w:rsidR="00B21F89">
        <w:t>s who might qualify for the study</w:t>
      </w:r>
      <w:r>
        <w:t xml:space="preserve">. </w:t>
      </w:r>
      <w:r w:rsidR="00B21F89">
        <w:t xml:space="preserve">The implementation analyses </w:t>
      </w:r>
      <w:r>
        <w:t xml:space="preserve">will identify the key operational challenges that emerged as recruitment was implemented, and we will examine how, and how well, those challenges were addressed. </w:t>
      </w:r>
    </w:p>
    <w:p w:rsidR="00EE0307" w:rsidRDefault="00205360" w:rsidP="008C55D1">
      <w:r>
        <w:t xml:space="preserve">The study team will examine three components of the </w:t>
      </w:r>
      <w:r w:rsidR="00F1289F">
        <w:t xml:space="preserve">housing </w:t>
      </w:r>
      <w:r>
        <w:t xml:space="preserve">counseling interventions assigned to study participants; (1) </w:t>
      </w:r>
      <w:r w:rsidR="00F1289F">
        <w:t xml:space="preserve">housing </w:t>
      </w:r>
      <w:r>
        <w:t xml:space="preserve">counseling </w:t>
      </w:r>
      <w:r w:rsidR="00A50955">
        <w:t xml:space="preserve">agencies’ </w:t>
      </w:r>
      <w:r>
        <w:t xml:space="preserve">fidelity to the specific interventions; (2) study participants’ experiences with services received at </w:t>
      </w:r>
      <w:r w:rsidRPr="008C55D1">
        <w:t>their</w:t>
      </w:r>
      <w:r>
        <w:t xml:space="preserve"> assigned counseling agency; and (3) </w:t>
      </w:r>
      <w:r w:rsidR="00F1289F">
        <w:t xml:space="preserve">housing </w:t>
      </w:r>
      <w:r>
        <w:t>counseling completion rates within each intervention. This information wi</w:t>
      </w:r>
      <w:r w:rsidR="00A92DF4">
        <w:t>ll be collected through the study’s data collection</w:t>
      </w:r>
      <w:r w:rsidR="00AA79CD">
        <w:t xml:space="preserve"> system</w:t>
      </w:r>
      <w:r w:rsidR="00CA7307">
        <w:t>,</w:t>
      </w:r>
      <w:r w:rsidR="00BE28C3">
        <w:t xml:space="preserve"> </w:t>
      </w:r>
      <w:r w:rsidR="00A72ED0">
        <w:t xml:space="preserve">site monitoring, </w:t>
      </w:r>
      <w:r>
        <w:t xml:space="preserve">staff interviews with </w:t>
      </w:r>
      <w:r w:rsidR="00F1289F">
        <w:t xml:space="preserve">housing </w:t>
      </w:r>
      <w:r>
        <w:t xml:space="preserve">counseling agencies, and interviews with a subset of study participants. </w:t>
      </w:r>
    </w:p>
    <w:p w:rsidR="00C806E7" w:rsidRDefault="00205360" w:rsidP="00B60F2A">
      <w:r>
        <w:t>The inform</w:t>
      </w:r>
      <w:r w:rsidR="00A92DF4">
        <w:t>ation collected through the study’s data collection</w:t>
      </w:r>
      <w:r>
        <w:t xml:space="preserve"> system will be used to document the timing and nature of the </w:t>
      </w:r>
      <w:r w:rsidRPr="008C55D1">
        <w:t>enrollment</w:t>
      </w:r>
      <w:r>
        <w:t xml:space="preserve"> and </w:t>
      </w:r>
      <w:r w:rsidR="00F1289F">
        <w:t xml:space="preserve">housing </w:t>
      </w:r>
      <w:r>
        <w:t>counseling activities that</w:t>
      </w:r>
      <w:r w:rsidR="00AA79CD">
        <w:t xml:space="preserve"> occur during the study period. Th</w:t>
      </w:r>
      <w:r w:rsidR="006D4788">
        <w:t>ese</w:t>
      </w:r>
      <w:r w:rsidR="00AA79CD">
        <w:t xml:space="preserve"> data </w:t>
      </w:r>
      <w:r>
        <w:t xml:space="preserve">will be coupled with </w:t>
      </w:r>
      <w:r w:rsidR="00A72ED0">
        <w:t>remote site monitoring, on-</w:t>
      </w:r>
      <w:r>
        <w:t xml:space="preserve">site observations, staff interviews, and study participant interviews to observe and learn </w:t>
      </w:r>
      <w:r w:rsidR="006D4788">
        <w:t xml:space="preserve">about </w:t>
      </w:r>
      <w:r>
        <w:t xml:space="preserve">the experiences that study participants had at the </w:t>
      </w:r>
      <w:r w:rsidR="00F1289F">
        <w:t xml:space="preserve">housing </w:t>
      </w:r>
      <w:r>
        <w:t xml:space="preserve">counseling agencies. The study participant interviews </w:t>
      </w:r>
      <w:r w:rsidRPr="008C55D1">
        <w:t>will</w:t>
      </w:r>
      <w:r>
        <w:t xml:space="preserve"> also examine why some </w:t>
      </w:r>
      <w:r w:rsidRPr="00B60F2A">
        <w:t>study</w:t>
      </w:r>
      <w:r>
        <w:t xml:space="preserve"> participants did not pursue or complete their assigned </w:t>
      </w:r>
      <w:r w:rsidR="00F1289F">
        <w:t xml:space="preserve">housing </w:t>
      </w:r>
      <w:r>
        <w:t xml:space="preserve">counseling service. </w:t>
      </w:r>
    </w:p>
    <w:p w:rsidR="00C806E7" w:rsidRPr="005A65DF" w:rsidRDefault="00C806E7" w:rsidP="00E1084F">
      <w:pPr>
        <w:pStyle w:val="Heading4"/>
      </w:pPr>
      <w:r w:rsidRPr="005A65DF">
        <w:t>Evaluation of the Random Assignment of Study Participants</w:t>
      </w:r>
    </w:p>
    <w:p w:rsidR="00C806E7" w:rsidRDefault="00C806E7" w:rsidP="00B60F2A">
      <w:r>
        <w:t xml:space="preserve">Data from the </w:t>
      </w:r>
      <w:r w:rsidR="00CA7307">
        <w:t xml:space="preserve">lender intake form, eligibility assessment, and </w:t>
      </w:r>
      <w:r>
        <w:t xml:space="preserve">baseline survey will be used </w:t>
      </w:r>
      <w:r w:rsidR="00592BDD">
        <w:t xml:space="preserve">most importantly for the impact analysis as well as to describe the study population, but also </w:t>
      </w:r>
      <w:r>
        <w:t xml:space="preserve">to </w:t>
      </w:r>
      <w:r w:rsidRPr="00F10E13">
        <w:t xml:space="preserve">examine the extent to which the randomized groups are balanced across </w:t>
      </w:r>
      <w:r w:rsidR="00425109">
        <w:t>relevant participant characteristics</w:t>
      </w:r>
      <w:r w:rsidR="00A900DC">
        <w:t xml:space="preserve">. </w:t>
      </w:r>
    </w:p>
    <w:p w:rsidR="00C806E7" w:rsidRPr="00F10E13" w:rsidRDefault="00C806E7" w:rsidP="00205360">
      <w:pPr>
        <w:pStyle w:val="Heading4"/>
      </w:pPr>
      <w:r>
        <w:t>Baseline</w:t>
      </w:r>
      <w:r w:rsidRPr="00F10E13">
        <w:t xml:space="preserve"> Analyses</w:t>
      </w:r>
    </w:p>
    <w:p w:rsidR="00C806E7" w:rsidRDefault="00C806E7" w:rsidP="00B60F2A">
      <w:r>
        <w:t xml:space="preserve">Data from the </w:t>
      </w:r>
      <w:r w:rsidR="00BE33AB">
        <w:t>enrollment process</w:t>
      </w:r>
      <w:r w:rsidR="009B4EF8">
        <w:t>—</w:t>
      </w:r>
      <w:r w:rsidR="00BE33AB" w:rsidRPr="00B60F2A">
        <w:t>the</w:t>
      </w:r>
      <w:r w:rsidR="00BE33AB">
        <w:t xml:space="preserve"> lender intake fo</w:t>
      </w:r>
      <w:r w:rsidR="009B4EF8">
        <w:t>rm, eligibility assessment, and</w:t>
      </w:r>
      <w:r>
        <w:t xml:space="preserve"> baseline survey</w:t>
      </w:r>
      <w:r w:rsidR="009B4EF8">
        <w:t>—</w:t>
      </w:r>
      <w:r w:rsidR="00592BDD">
        <w:t>will be used to accomplish four</w:t>
      </w:r>
      <w:r>
        <w:t xml:space="preserve"> objectives: </w:t>
      </w:r>
    </w:p>
    <w:p w:rsidR="00592BDD" w:rsidRPr="00592BDD" w:rsidRDefault="00592BDD" w:rsidP="00590FD6">
      <w:pPr>
        <w:pStyle w:val="BodyText"/>
        <w:numPr>
          <w:ilvl w:val="0"/>
          <w:numId w:val="8"/>
        </w:numPr>
        <w:ind w:left="360"/>
        <w:rPr>
          <w:szCs w:val="22"/>
        </w:rPr>
      </w:pPr>
      <w:r>
        <w:rPr>
          <w:szCs w:val="22"/>
        </w:rPr>
        <w:t>We will present detailed descriptive information about the sample of recruited borrowers, including initial measures of financial literacy, savings, debts, credit quality, and other characteristics.</w:t>
      </w:r>
    </w:p>
    <w:p w:rsidR="00C806E7" w:rsidRPr="00112F56" w:rsidRDefault="00BE33AB" w:rsidP="00590FD6">
      <w:pPr>
        <w:pStyle w:val="BodyText"/>
        <w:numPr>
          <w:ilvl w:val="0"/>
          <w:numId w:val="8"/>
        </w:numPr>
        <w:ind w:left="360"/>
        <w:rPr>
          <w:szCs w:val="22"/>
        </w:rPr>
      </w:pPr>
      <w:r>
        <w:t>W</w:t>
      </w:r>
      <w:r w:rsidR="00C806E7">
        <w:t xml:space="preserve">e will document </w:t>
      </w:r>
      <w:r w:rsidR="00C806E7" w:rsidRPr="00F10E13">
        <w:t>the stage of the home purchase process and the extent of previous search activities con</w:t>
      </w:r>
      <w:r w:rsidR="00C806E7">
        <w:t>ducted by enrolled participants.</w:t>
      </w:r>
    </w:p>
    <w:p w:rsidR="00C806E7" w:rsidRDefault="00425109" w:rsidP="00590FD6">
      <w:pPr>
        <w:pStyle w:val="BodyText"/>
        <w:numPr>
          <w:ilvl w:val="0"/>
          <w:numId w:val="8"/>
        </w:numPr>
        <w:ind w:left="360"/>
      </w:pPr>
      <w:r w:rsidRPr="001436FD">
        <w:lastRenderedPageBreak/>
        <w:t xml:space="preserve">We will compare </w:t>
      </w:r>
      <w:r w:rsidR="0027501E">
        <w:t>the sample of study</w:t>
      </w:r>
      <w:r w:rsidR="00AC6F0C">
        <w:t xml:space="preserve"> participants to lender data and to secondary data sources to examine the extent to which the sample differs from</w:t>
      </w:r>
      <w:r w:rsidR="00576628">
        <w:t xml:space="preserve"> two groups</w:t>
      </w:r>
      <w:r w:rsidR="00EB7E84">
        <w:t xml:space="preserve">. </w:t>
      </w:r>
      <w:r w:rsidR="00576628">
        <w:t xml:space="preserve">First, we will compare the study sample to the universe of </w:t>
      </w:r>
      <w:r w:rsidR="00F1289F">
        <w:t>c</w:t>
      </w:r>
      <w:r w:rsidR="005F1BAC">
        <w:t>ustomer</w:t>
      </w:r>
      <w:r w:rsidR="00576628">
        <w:t>s at each lender that meet the basic screening criteria to be offered participation</w:t>
      </w:r>
      <w:r w:rsidR="00931493">
        <w:t xml:space="preserve"> (defined in S</w:t>
      </w:r>
      <w:r w:rsidR="007B4C93">
        <w:t>ection B.1.1)</w:t>
      </w:r>
      <w:r w:rsidR="00EB7E84">
        <w:t xml:space="preserve">. </w:t>
      </w:r>
      <w:r w:rsidR="00576628">
        <w:t xml:space="preserve">This comparison provides insight into the extent to which refusal of study participation (or selective offer of study participation by loan officers) is more likely for certain types of lender </w:t>
      </w:r>
      <w:r w:rsidR="00F1289F">
        <w:t>c</w:t>
      </w:r>
      <w:r w:rsidR="005F1BAC">
        <w:t>ustomer</w:t>
      </w:r>
      <w:r w:rsidR="00576628">
        <w:t>s</w:t>
      </w:r>
      <w:r w:rsidR="00EB7E84">
        <w:t xml:space="preserve">. </w:t>
      </w:r>
      <w:r w:rsidR="00576628">
        <w:t xml:space="preserve">Second, we will compare the study sample to the population of </w:t>
      </w:r>
      <w:r w:rsidR="00EE6B5C">
        <w:t xml:space="preserve">LMMI </w:t>
      </w:r>
      <w:r w:rsidR="00576628">
        <w:t>first-time homebuyers and to the population of FHA homebuyers using secondary data and FHA administrative data, respectively</w:t>
      </w:r>
      <w:r w:rsidR="00EB7E84">
        <w:t xml:space="preserve">. </w:t>
      </w:r>
      <w:r w:rsidR="00576628">
        <w:t xml:space="preserve">These comparisons will examine the extent to which the sample of study participants differs from </w:t>
      </w:r>
      <w:r w:rsidR="00931493">
        <w:t>these broader populations</w:t>
      </w:r>
      <w:r w:rsidR="00EB7E84">
        <w:t xml:space="preserve">. </w:t>
      </w:r>
      <w:r w:rsidR="00576628">
        <w:t>In both cases, the a</w:t>
      </w:r>
      <w:r w:rsidR="00931493">
        <w:t xml:space="preserve">nalysis will be descriptive and cannot be used to formally extrapolate from </w:t>
      </w:r>
      <w:r w:rsidR="00576628">
        <w:t xml:space="preserve">the sample to </w:t>
      </w:r>
      <w:r w:rsidR="00931493">
        <w:t>either population. Instead, these comparisons are intended to provide context for how the study sample compares to broader populations of interest</w:t>
      </w:r>
      <w:r w:rsidR="00EB7E84">
        <w:t xml:space="preserve">. </w:t>
      </w:r>
    </w:p>
    <w:p w:rsidR="00592BDD" w:rsidRPr="001436FD" w:rsidRDefault="00592BDD" w:rsidP="00590FD6">
      <w:pPr>
        <w:pStyle w:val="BodyText"/>
        <w:numPr>
          <w:ilvl w:val="0"/>
          <w:numId w:val="8"/>
        </w:numPr>
        <w:ind w:left="360"/>
      </w:pPr>
      <w:r>
        <w:t xml:space="preserve">Finally, as is common in experimental evaluations of policy initiatives, </w:t>
      </w:r>
      <w:r w:rsidR="00480A8A">
        <w:t xml:space="preserve">we will use </w:t>
      </w:r>
      <w:r>
        <w:t>the baseline data to affirm that treatment and controls groups differ only by chance.</w:t>
      </w:r>
    </w:p>
    <w:p w:rsidR="00C806E7" w:rsidRPr="00F10E13" w:rsidRDefault="00C806E7" w:rsidP="00205360">
      <w:pPr>
        <w:pStyle w:val="Heading4"/>
      </w:pPr>
      <w:r w:rsidRPr="00F10E13">
        <w:t>Impact Analyses</w:t>
      </w:r>
    </w:p>
    <w:p w:rsidR="00592BDD" w:rsidRDefault="00425109" w:rsidP="00B60F2A">
      <w:r>
        <w:t>The</w:t>
      </w:r>
      <w:r w:rsidR="00C806E7">
        <w:t xml:space="preserve"> primary impact analyses </w:t>
      </w:r>
      <w:r>
        <w:t xml:space="preserve">for the evaluation </w:t>
      </w:r>
      <w:r w:rsidR="00C806E7">
        <w:t>will be conducted using outcomes collected in follow-up surveys, which</w:t>
      </w:r>
      <w:r>
        <w:t xml:space="preserve"> will be covered in a separate </w:t>
      </w:r>
      <w:r w:rsidR="00C806E7">
        <w:t>OMB package</w:t>
      </w:r>
      <w:r w:rsidR="00A900DC">
        <w:t xml:space="preserve">. </w:t>
      </w:r>
      <w:r w:rsidR="00415B57">
        <w:t xml:space="preserve">These analyses will rely on the data collection activities covered in this submission for baseline measures </w:t>
      </w:r>
      <w:r w:rsidR="003B4C78">
        <w:t xml:space="preserve">of the time-varying study outcomes </w:t>
      </w:r>
      <w:r w:rsidR="00415B57">
        <w:t>and to define covariates and subgroups for the impact analyses</w:t>
      </w:r>
      <w:r w:rsidR="00A900DC">
        <w:t xml:space="preserve">. </w:t>
      </w:r>
      <w:r w:rsidR="00592BDD">
        <w:t>These covariates serve the important purpose of increasing the precision of impact estimates, thereby reducing the size of an impact that we can detect, if it exists, given sample size constraints. In addition</w:t>
      </w:r>
      <w:r w:rsidR="00415B57">
        <w:t>, subgroups may be defined with respect to</w:t>
      </w:r>
      <w:r w:rsidR="00AE754A">
        <w:t xml:space="preserve"> </w:t>
      </w:r>
      <w:r w:rsidR="00C806E7">
        <w:t xml:space="preserve">borrower personal characteristics (from the baseline survey); financial characteristics (from the lender </w:t>
      </w:r>
      <w:r w:rsidR="00415B57">
        <w:t>intake form and baseline survey</w:t>
      </w:r>
      <w:r w:rsidR="00C806E7">
        <w:t xml:space="preserve">); </w:t>
      </w:r>
      <w:r w:rsidR="00592BDD">
        <w:t xml:space="preserve">and </w:t>
      </w:r>
      <w:r w:rsidR="00C806E7">
        <w:t>neighborhood characteristics (which requires knowledge of the borrower’s address from the baseline survey</w:t>
      </w:r>
      <w:r w:rsidR="00592BDD">
        <w:t xml:space="preserve">). We also anticipate examining endogenously-defined subgroups (for example, </w:t>
      </w:r>
      <w:r w:rsidR="00F1289F">
        <w:t xml:space="preserve">housing </w:t>
      </w:r>
      <w:r w:rsidR="00592BDD">
        <w:t xml:space="preserve">counseling intensity levels (from the </w:t>
      </w:r>
      <w:r w:rsidR="00F1289F">
        <w:t xml:space="preserve">housing </w:t>
      </w:r>
      <w:r w:rsidR="00592BDD">
        <w:t xml:space="preserve">counseling service data)), which provide justification for our inclusion of various baseline measures on participants’ financial decision-making, self-efficacy, learning styles, and follow-through, for example. </w:t>
      </w:r>
    </w:p>
    <w:p w:rsidR="00415B57" w:rsidRDefault="00415B57" w:rsidP="00B60F2A">
      <w:r>
        <w:t>A small number of preliminary impact analyses may be performed at the time of the baseline analyses using outcome measures defined from administrative lender data</w:t>
      </w:r>
      <w:r w:rsidR="00EB7E84">
        <w:t xml:space="preserve">. </w:t>
      </w:r>
      <w:r w:rsidR="00DA70D8">
        <w:t>These analyses are similar to the impact analyses with respect to outcomes measured in the follow-up interviews</w:t>
      </w:r>
      <w:r w:rsidR="00EB7E84">
        <w:t xml:space="preserve">. </w:t>
      </w:r>
      <w:r w:rsidR="00DA70D8">
        <w:t>The data collection activities covered in this submission would be used as baseline meas</w:t>
      </w:r>
      <w:r w:rsidR="00C24381">
        <w:t>ures for time-varying outcomes</w:t>
      </w:r>
      <w:r w:rsidR="00182EB6">
        <w:t>,</w:t>
      </w:r>
      <w:r w:rsidR="00C24381">
        <w:t xml:space="preserve"> to define covariates </w:t>
      </w:r>
      <w:r w:rsidR="003B3C1F">
        <w:t xml:space="preserve">needed to increase precision </w:t>
      </w:r>
      <w:r w:rsidR="00C24381">
        <w:t>and subgroups</w:t>
      </w:r>
      <w:r w:rsidR="003B3C1F">
        <w:t xml:space="preserve"> of interest</w:t>
      </w:r>
      <w:r w:rsidR="00182EB6">
        <w:t>, and to define the initial outcome measures</w:t>
      </w:r>
      <w:r w:rsidR="00DA70D8">
        <w:t>.</w:t>
      </w:r>
    </w:p>
    <w:p w:rsidR="001C76B9" w:rsidRDefault="001C76B9" w:rsidP="001C76B9">
      <w:pPr>
        <w:pStyle w:val="Heading3"/>
      </w:pPr>
      <w:bookmarkStart w:id="32" w:name="_Toc332378289"/>
      <w:r>
        <w:t>Study Schedule</w:t>
      </w:r>
      <w:bookmarkEnd w:id="32"/>
    </w:p>
    <w:p w:rsidR="00A20CE8" w:rsidRDefault="001C76B9" w:rsidP="001B6DC8">
      <w:pPr>
        <w:pStyle w:val="BodyText"/>
      </w:pPr>
      <w:r>
        <w:t>Under the current schedule, study participant recruitment and enrol</w:t>
      </w:r>
      <w:r w:rsidR="00B20CDF">
        <w:t xml:space="preserve">lment will be conducted over a </w:t>
      </w:r>
      <w:r w:rsidR="00182EB6">
        <w:t xml:space="preserve">1 month pilot period followed by </w:t>
      </w:r>
      <w:r w:rsidR="00DB49E7">
        <w:t>an</w:t>
      </w:r>
      <w:r>
        <w:t xml:space="preserve"> </w:t>
      </w:r>
      <w:r w:rsidR="00182EB6">
        <w:t xml:space="preserve">enrollment </w:t>
      </w:r>
      <w:r>
        <w:t>period</w:t>
      </w:r>
      <w:r w:rsidR="00DB49E7">
        <w:t xml:space="preserve"> that may last up to 24 months</w:t>
      </w:r>
      <w:r>
        <w:t xml:space="preserve">. </w:t>
      </w:r>
      <w:r w:rsidR="00CF7232">
        <w:t>The study’</w:t>
      </w:r>
      <w:r w:rsidR="00C43A9B">
        <w:t>s current design has study participant recruitment and enrollment</w:t>
      </w:r>
      <w:r w:rsidR="00CF7232">
        <w:t xml:space="preserve"> conducted over a 12 month period. However, the </w:t>
      </w:r>
      <w:r w:rsidR="00C43A9B">
        <w:t xml:space="preserve">recruitment and </w:t>
      </w:r>
      <w:r w:rsidR="00CF7232">
        <w:t>enrollment period may extend</w:t>
      </w:r>
      <w:r w:rsidR="00C43A9B">
        <w:t xml:space="preserve"> up to 24 months in order to reach the minimum sample size of 5,000 study participants. </w:t>
      </w:r>
      <w:r>
        <w:t>Assuming OMB approval</w:t>
      </w:r>
      <w:r w:rsidR="00FB43A8">
        <w:t xml:space="preserve"> in </w:t>
      </w:r>
      <w:r w:rsidR="00941909">
        <w:t>February 2013</w:t>
      </w:r>
      <w:r>
        <w:t>, data collection w</w:t>
      </w:r>
      <w:r w:rsidR="00FB43A8">
        <w:t xml:space="preserve">ill take place </w:t>
      </w:r>
      <w:r w:rsidR="00941909">
        <w:t>during the pilot month in April 2013 then during the enrollment period from mid-May 2013 until mid-May 201</w:t>
      </w:r>
      <w:r w:rsidR="00CF7232">
        <w:t>5</w:t>
      </w:r>
      <w:r w:rsidR="00DB49E7">
        <w:t xml:space="preserve"> </w:t>
      </w:r>
      <w:r w:rsidR="006F05C2">
        <w:t>with a draft baseli</w:t>
      </w:r>
      <w:r w:rsidR="00FB43A8">
        <w:t>ne report submitted in September</w:t>
      </w:r>
      <w:r w:rsidR="00B20CDF">
        <w:t xml:space="preserve"> </w:t>
      </w:r>
      <w:r w:rsidR="00DB49E7">
        <w:t>2015</w:t>
      </w:r>
      <w:r w:rsidR="006F05C2">
        <w:t>.</w:t>
      </w:r>
    </w:p>
    <w:p w:rsidR="001B6DC8" w:rsidRDefault="001B6DC8" w:rsidP="002A5FC8">
      <w:pPr>
        <w:pStyle w:val="Heading2"/>
      </w:pPr>
      <w:bookmarkStart w:id="33" w:name="_Toc332378290"/>
      <w:r>
        <w:lastRenderedPageBreak/>
        <w:t>Expiration Date Display Exemption</w:t>
      </w:r>
      <w:bookmarkEnd w:id="33"/>
    </w:p>
    <w:p w:rsidR="001C76B9" w:rsidRDefault="001C76B9" w:rsidP="001B6DC8">
      <w:pPr>
        <w:pStyle w:val="BodyText"/>
      </w:pPr>
      <w:r>
        <w:t>All data collection instruments will prominently display the expiration date for OMB approval.</w:t>
      </w:r>
    </w:p>
    <w:p w:rsidR="001B6DC8" w:rsidRPr="001B6DC8" w:rsidRDefault="001B6DC8" w:rsidP="002A5FC8">
      <w:pPr>
        <w:pStyle w:val="Heading2"/>
      </w:pPr>
      <w:bookmarkStart w:id="34" w:name="_Toc332378291"/>
      <w:r>
        <w:t>Exceptions to Certification</w:t>
      </w:r>
      <w:bookmarkEnd w:id="34"/>
    </w:p>
    <w:p w:rsidR="001B6DC8" w:rsidRDefault="001C76B9" w:rsidP="001B6DC8">
      <w:pPr>
        <w:pStyle w:val="BodyText"/>
      </w:pPr>
      <w:r>
        <w:t>This submission describing data collection requests no exceptions to the Certificate for Paperwork Reduction Act (5 CRF 1320.9).</w:t>
      </w:r>
    </w:p>
    <w:p w:rsidR="00024507" w:rsidRDefault="00024507" w:rsidP="001B6DC8">
      <w:pPr>
        <w:pStyle w:val="BodyText"/>
      </w:pPr>
    </w:p>
    <w:p w:rsidR="001F2CBD" w:rsidRPr="007D418D" w:rsidRDefault="001F2CBD" w:rsidP="005B3F2A">
      <w:bookmarkStart w:id="35" w:name="_GoBack"/>
      <w:bookmarkEnd w:id="35"/>
    </w:p>
    <w:sectPr w:rsidR="001F2CBD" w:rsidRPr="007D418D" w:rsidSect="00967D7C">
      <w:footerReference w:type="default" r:id="rId13"/>
      <w:pgSz w:w="12240" w:h="15840" w:code="1"/>
      <w:pgMar w:top="1440" w:right="1440" w:bottom="1440" w:left="1800" w:header="1080" w:footer="720" w:gutter="0"/>
      <w:pgNumType w:start="1" w:chapStyle="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2707" w:rsidRDefault="00D42707" w:rsidP="00D979EA">
      <w:r>
        <w:separator/>
      </w:r>
    </w:p>
  </w:endnote>
  <w:endnote w:type="continuationSeparator" w:id="0">
    <w:p w:rsidR="00D42707" w:rsidRDefault="00D42707" w:rsidP="00D979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pitch w:val="variable"/>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1C9F" w:rsidRDefault="009B1C9F" w:rsidP="00744E2C">
    <w:pPr>
      <w:pStyle w:val="Footer"/>
      <w:pBdr>
        <w:top w:val="none" w:sz="0" w:space="0" w:color="auto"/>
      </w:pBd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1C9F" w:rsidRPr="0066134E" w:rsidRDefault="009B1C9F" w:rsidP="00D979EA">
    <w:pPr>
      <w:pStyle w:val="Footer"/>
    </w:pPr>
    <w:r>
      <w:rPr>
        <w:color w:val="DA291C"/>
      </w:rPr>
      <w:t>HUD’s Pre-Purchase Homeownership Counseling Demonstration and Impact Evaluation</w:t>
    </w:r>
    <w:r w:rsidRPr="0066134E">
      <w:tab/>
    </w:r>
    <w:r>
      <w:rPr>
        <w:rStyle w:val="PageNumber"/>
        <w:b/>
      </w:rPr>
      <w:t> </w:t>
    </w:r>
    <w:r>
      <w:rPr>
        <w:rStyle w:val="PageNumber"/>
        <w:rFonts w:cs="Arial"/>
        <w:b/>
      </w:rPr>
      <w:t>▌</w:t>
    </w:r>
    <w:r>
      <w:rPr>
        <w:rStyle w:val="PageNumber"/>
        <w:b/>
      </w:rPr>
      <w:t xml:space="preserve">pg. </w:t>
    </w:r>
    <w:r w:rsidRPr="002064D3">
      <w:rPr>
        <w:rStyle w:val="PageNumber"/>
        <w:b/>
        <w:color w:val="DA291C"/>
      </w:rPr>
      <w:fldChar w:fldCharType="begin"/>
    </w:r>
    <w:r w:rsidRPr="002064D3">
      <w:rPr>
        <w:rStyle w:val="PageNumber"/>
        <w:b/>
        <w:color w:val="DA291C"/>
      </w:rPr>
      <w:instrText xml:space="preserve"> PAGE   \* MERGEFORMAT </w:instrText>
    </w:r>
    <w:r w:rsidRPr="002064D3">
      <w:rPr>
        <w:rStyle w:val="PageNumber"/>
        <w:b/>
        <w:color w:val="DA291C"/>
      </w:rPr>
      <w:fldChar w:fldCharType="separate"/>
    </w:r>
    <w:r w:rsidR="003042FA">
      <w:rPr>
        <w:rStyle w:val="PageNumber"/>
        <w:b/>
        <w:noProof/>
        <w:color w:val="DA291C"/>
      </w:rPr>
      <w:t>i</w:t>
    </w:r>
    <w:r w:rsidRPr="002064D3">
      <w:rPr>
        <w:rStyle w:val="PageNumber"/>
        <w:b/>
        <w:noProof/>
        <w:color w:val="DA291C"/>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1C9F" w:rsidRPr="0066134E" w:rsidRDefault="009B1C9F" w:rsidP="00D979EA">
    <w:pPr>
      <w:pStyle w:val="Footer"/>
    </w:pPr>
    <w:r>
      <w:rPr>
        <w:color w:val="DA291C"/>
      </w:rPr>
      <w:t>Pre-Purchase Homeownership Counseling Demonstration and Impact Evaluation</w:t>
    </w:r>
    <w:r w:rsidRPr="0066134E">
      <w:rPr>
        <w:rStyle w:val="PageNumber"/>
        <w:b/>
      </w:rPr>
      <w:tab/>
    </w:r>
    <w:r>
      <w:rPr>
        <w:rStyle w:val="PageNumber"/>
        <w:b/>
      </w:rPr>
      <w:t> </w:t>
    </w:r>
    <w:r>
      <w:rPr>
        <w:rStyle w:val="PageNumber"/>
        <w:rFonts w:cs="Arial"/>
        <w:b/>
      </w:rPr>
      <w:t>▌</w:t>
    </w:r>
    <w:r>
      <w:rPr>
        <w:rStyle w:val="PageNumber"/>
        <w:b/>
      </w:rPr>
      <w:t xml:space="preserve">pg. </w:t>
    </w:r>
    <w:r w:rsidRPr="002064D3">
      <w:rPr>
        <w:rStyle w:val="PageNumber"/>
        <w:b/>
        <w:color w:val="DA291C"/>
      </w:rPr>
      <w:fldChar w:fldCharType="begin"/>
    </w:r>
    <w:r w:rsidRPr="002064D3">
      <w:rPr>
        <w:rStyle w:val="PageNumber"/>
        <w:b/>
        <w:color w:val="DA291C"/>
      </w:rPr>
      <w:instrText xml:space="preserve"> PAGE   \* MERGEFORMAT </w:instrText>
    </w:r>
    <w:r w:rsidRPr="002064D3">
      <w:rPr>
        <w:rStyle w:val="PageNumber"/>
        <w:b/>
        <w:color w:val="DA291C"/>
      </w:rPr>
      <w:fldChar w:fldCharType="separate"/>
    </w:r>
    <w:r w:rsidR="003042FA">
      <w:rPr>
        <w:rStyle w:val="PageNumber"/>
        <w:b/>
        <w:noProof/>
        <w:color w:val="DA291C"/>
      </w:rPr>
      <w:t>A-33</w:t>
    </w:r>
    <w:r w:rsidRPr="002064D3">
      <w:rPr>
        <w:rStyle w:val="PageNumber"/>
        <w:b/>
        <w:noProof/>
        <w:color w:val="DA291C"/>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2707" w:rsidRDefault="00D42707" w:rsidP="00D979EA">
      <w:r>
        <w:separator/>
      </w:r>
    </w:p>
  </w:footnote>
  <w:footnote w:type="continuationSeparator" w:id="0">
    <w:p w:rsidR="00D42707" w:rsidRDefault="00D42707" w:rsidP="00D979EA">
      <w:r>
        <w:continuationSeparator/>
      </w:r>
    </w:p>
  </w:footnote>
  <w:footnote w:id="1">
    <w:p w:rsidR="009B1C9F" w:rsidRDefault="009B1C9F">
      <w:pPr>
        <w:pStyle w:val="FootnoteText"/>
      </w:pPr>
      <w:r>
        <w:rPr>
          <w:rStyle w:val="FootnoteReference"/>
        </w:rPr>
        <w:footnoteRef/>
      </w:r>
      <w:r>
        <w:tab/>
        <w:t>Henceforth in this document we use the term pre-purchase “counseling” to refer to both individual counseling services and group homebuyer education.</w:t>
      </w:r>
    </w:p>
  </w:footnote>
  <w:footnote w:id="2">
    <w:p w:rsidR="009B1C9F" w:rsidRDefault="009B1C9F" w:rsidP="007C4BA1">
      <w:pPr>
        <w:pStyle w:val="FootnoteText"/>
      </w:pPr>
      <w:r>
        <w:rPr>
          <w:rStyle w:val="FootnoteReference"/>
        </w:rPr>
        <w:footnoteRef/>
      </w:r>
      <w:r>
        <w:tab/>
        <w:t xml:space="preserve">The National Industry Standards can be found at </w:t>
      </w:r>
      <w:r w:rsidRPr="00F6564E">
        <w:t>http://www.homeownershipstandards.org/standards</w:t>
      </w:r>
      <w:r>
        <w:t>.</w:t>
      </w:r>
    </w:p>
  </w:footnote>
  <w:footnote w:id="3">
    <w:p w:rsidR="009B1C9F" w:rsidRDefault="009B1C9F" w:rsidP="00190EC9">
      <w:pPr>
        <w:pStyle w:val="FootnoteText"/>
      </w:pPr>
      <w:r>
        <w:rPr>
          <w:rStyle w:val="FootnoteReference"/>
        </w:rPr>
        <w:footnoteRef/>
      </w:r>
      <w:r>
        <w:tab/>
        <w:t>All study participating lenders have designated groups (either staff within the bank or outside of the bank) to be responsible for study recruitment calls to customers. Bank of America has assigned this responsibility to its concierge team. Wells Fargo has contracted this responsibility to Maritz Research. Citibank will either use an internal customer service team or contract a vendor to conduct the recruitment calls. To standardize the name of these teams across lenders in the OMB submission, the study team has identified them as ‘</w:t>
      </w:r>
      <w:r w:rsidRPr="00D514BA">
        <w:rPr>
          <w:i/>
        </w:rPr>
        <w:t>customer service teams’</w:t>
      </w:r>
      <w:r>
        <w:t>.</w:t>
      </w:r>
    </w:p>
  </w:footnote>
  <w:footnote w:id="4">
    <w:p w:rsidR="009B1C9F" w:rsidRDefault="009B1C9F">
      <w:pPr>
        <w:pStyle w:val="FootnoteText"/>
      </w:pPr>
      <w:r>
        <w:rPr>
          <w:rStyle w:val="FootnoteReference"/>
        </w:rPr>
        <w:footnoteRef/>
      </w:r>
      <w:proofErr w:type="gramStart"/>
      <w:r>
        <w:t xml:space="preserve">James, Jeannine M. and Richard </w:t>
      </w:r>
      <w:proofErr w:type="spellStart"/>
      <w:r>
        <w:t>Bolstein</w:t>
      </w:r>
      <w:proofErr w:type="spellEnd"/>
      <w:r>
        <w:t>.</w:t>
      </w:r>
      <w:proofErr w:type="gramEnd"/>
      <w:r>
        <w:t xml:space="preserve"> 1992. “Large Monetary Incentives and Their Effect on Mail </w:t>
      </w:r>
      <w:proofErr w:type="spellStart"/>
      <w:r>
        <w:t>SurveyResponse</w:t>
      </w:r>
      <w:proofErr w:type="spellEnd"/>
      <w:r>
        <w:t xml:space="preserve"> Rates.” Public Opinion Quarterly 56: 442-453.</w:t>
      </w:r>
    </w:p>
  </w:footnote>
  <w:footnote w:id="5">
    <w:p w:rsidR="009B1C9F" w:rsidRPr="00210889" w:rsidRDefault="009B1C9F" w:rsidP="00210889">
      <w:pPr>
        <w:pStyle w:val="FootnoteText"/>
      </w:pPr>
      <w:r>
        <w:rPr>
          <w:rStyle w:val="FootnoteReference"/>
        </w:rPr>
        <w:footnoteRef/>
      </w:r>
      <w:r>
        <w:t xml:space="preserve">Don A. Dillman, Jolene D. Smyth, Leah </w:t>
      </w:r>
      <w:proofErr w:type="spellStart"/>
      <w:r>
        <w:t>Melani</w:t>
      </w:r>
      <w:proofErr w:type="spellEnd"/>
      <w:r>
        <w:t xml:space="preserve"> Christian. </w:t>
      </w:r>
      <w:r w:rsidRPr="000B1F13">
        <w:rPr>
          <w:i/>
        </w:rPr>
        <w:t>Internet, Mail and Mixed-Mode Surveys: The Tailored Design Method</w:t>
      </w:r>
      <w:r>
        <w:rPr>
          <w:i/>
        </w:rPr>
        <w:t xml:space="preserve"> </w:t>
      </w:r>
      <w:r>
        <w:t>(Hoboken, NJ: John Wiley &amp; Sons, Inc., 2009), 238.</w:t>
      </w:r>
    </w:p>
  </w:footnote>
  <w:footnote w:id="6">
    <w:p w:rsidR="009B1C9F" w:rsidRPr="002C2B5B" w:rsidRDefault="009B1C9F" w:rsidP="002C2B5B">
      <w:pPr>
        <w:pStyle w:val="FootnoteText"/>
        <w:rPr>
          <w:bCs/>
        </w:rPr>
      </w:pPr>
      <w:r>
        <w:rPr>
          <w:rStyle w:val="FootnoteReference"/>
        </w:rPr>
        <w:footnoteRef/>
      </w:r>
      <w:proofErr w:type="gramStart"/>
      <w:r w:rsidRPr="002C2B5B">
        <w:rPr>
          <w:bCs/>
        </w:rPr>
        <w:t xml:space="preserve">Goldenberg, Karen L., David McGrath, and </w:t>
      </w:r>
      <w:proofErr w:type="spellStart"/>
      <w:r w:rsidRPr="002C2B5B">
        <w:rPr>
          <w:bCs/>
        </w:rPr>
        <w:t>Lucilla</w:t>
      </w:r>
      <w:proofErr w:type="spellEnd"/>
      <w:r w:rsidRPr="002C2B5B">
        <w:rPr>
          <w:bCs/>
        </w:rPr>
        <w:t xml:space="preserve"> Tan.</w:t>
      </w:r>
      <w:proofErr w:type="gramEnd"/>
      <w:r w:rsidRPr="002C2B5B">
        <w:rPr>
          <w:bCs/>
        </w:rPr>
        <w:t xml:space="preserve">  2009. “The Effects of Incentives on the Consumer Expenditure Interview Survey.” </w:t>
      </w:r>
      <w:proofErr w:type="gramStart"/>
      <w:r w:rsidRPr="002C2B5B">
        <w:rPr>
          <w:bCs/>
        </w:rPr>
        <w:t>Proceedings of the Survey Research Methods Section, American Statistical Association (ASA).</w:t>
      </w:r>
      <w:proofErr w:type="gramEnd"/>
      <w:r w:rsidRPr="002C2B5B">
        <w:rPr>
          <w:bCs/>
        </w:rPr>
        <w:t xml:space="preserve"> Accessed via </w:t>
      </w:r>
      <w:hyperlink r:id="rId1" w:history="1">
        <w:r w:rsidRPr="002C2B5B">
          <w:rPr>
            <w:rStyle w:val="Hyperlink"/>
            <w:bCs/>
          </w:rPr>
          <w:t>http://www.amstat.org/sections/srms/proceedings/allyearsf.html</w:t>
        </w:r>
      </w:hyperlink>
    </w:p>
  </w:footnote>
  <w:footnote w:id="7">
    <w:p w:rsidR="009B1C9F" w:rsidRPr="002C2B5B" w:rsidRDefault="009B1C9F" w:rsidP="002C2B5B">
      <w:pPr>
        <w:pStyle w:val="FootnoteText"/>
        <w:rPr>
          <w:bCs/>
        </w:rPr>
      </w:pPr>
      <w:r>
        <w:rPr>
          <w:rStyle w:val="FootnoteReference"/>
        </w:rPr>
        <w:footnoteRef/>
      </w:r>
      <w:r w:rsidRPr="002C2B5B">
        <w:rPr>
          <w:bCs/>
        </w:rPr>
        <w:t>Rodgers, Willard. 2011. “Effects of Increasing the Incentive Size in a Longitudinal Study.” Journal of Official Statistics 27 (2): 279-299.</w:t>
      </w:r>
    </w:p>
    <w:p w:rsidR="009B1C9F" w:rsidRDefault="009B1C9F" w:rsidP="002C2B5B">
      <w:pPr>
        <w:pStyle w:val="FootnoteText"/>
        <w:ind w:left="0" w:firstLine="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1C9F" w:rsidRPr="0005750B" w:rsidRDefault="009B1C9F" w:rsidP="0005750B">
    <w:pPr>
      <w:pStyle w:val="Header"/>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1C9F" w:rsidRDefault="009B1C9F" w:rsidP="0082033D">
    <w:pPr>
      <w:pStyle w:val="Header"/>
    </w:pPr>
    <w:r>
      <w:t>OMB Submission: Part A</w:t>
    </w:r>
    <w:r>
      <w:tab/>
    </w:r>
    <w:r>
      <w:tab/>
      <w:t>Contract # R-CHI-01108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E2C14"/>
    <w:multiLevelType w:val="hybridMultilevel"/>
    <w:tmpl w:val="8EC247A2"/>
    <w:lvl w:ilvl="0" w:tplc="EC181368">
      <w:start w:val="9"/>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E148B3"/>
    <w:multiLevelType w:val="hybridMultilevel"/>
    <w:tmpl w:val="F4D64F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684D9F"/>
    <w:multiLevelType w:val="hybridMultilevel"/>
    <w:tmpl w:val="18EC814A"/>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152A150A"/>
    <w:multiLevelType w:val="hybridMultilevel"/>
    <w:tmpl w:val="9ACE6262"/>
    <w:lvl w:ilvl="0" w:tplc="B984B604">
      <w:start w:val="1"/>
      <w:numFmt w:val="bullet"/>
      <w:lvlText w:val=""/>
      <w:lvlJc w:val="left"/>
      <w:pPr>
        <w:ind w:left="720" w:hanging="360"/>
      </w:pPr>
      <w:rPr>
        <w:rFonts w:ascii="Symbol" w:hAnsi="Symbol" w:hint="default"/>
        <w:color w:val="DA291C"/>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4AC259B"/>
    <w:multiLevelType w:val="singleLevel"/>
    <w:tmpl w:val="01AC6EA0"/>
    <w:lvl w:ilvl="0">
      <w:start w:val="1"/>
      <w:numFmt w:val="decimal"/>
      <w:pStyle w:val="Numbers"/>
      <w:lvlText w:val="%1."/>
      <w:lvlJc w:val="left"/>
      <w:pPr>
        <w:tabs>
          <w:tab w:val="num" w:pos="1080"/>
        </w:tabs>
        <w:ind w:left="1080" w:hanging="360"/>
      </w:pPr>
    </w:lvl>
  </w:abstractNum>
  <w:abstractNum w:abstractNumId="5">
    <w:nsid w:val="2F75587C"/>
    <w:multiLevelType w:val="hybridMultilevel"/>
    <w:tmpl w:val="AEBCD1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87B0CA2"/>
    <w:multiLevelType w:val="hybridMultilevel"/>
    <w:tmpl w:val="EAB82CF2"/>
    <w:lvl w:ilvl="0" w:tplc="466CEB0A">
      <w:start w:val="1"/>
      <w:numFmt w:val="bullet"/>
      <w:lvlText w:val=""/>
      <w:lvlJc w:val="left"/>
      <w:pPr>
        <w:ind w:left="720" w:hanging="360"/>
      </w:pPr>
      <w:rPr>
        <w:rFonts w:ascii="Symbol" w:hAnsi="Symbol" w:hint="default"/>
        <w:color w:val="DA291C" w:themeColor="accent1"/>
      </w:rPr>
    </w:lvl>
    <w:lvl w:ilvl="1" w:tplc="2F066BD4">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EAD33C4"/>
    <w:multiLevelType w:val="multilevel"/>
    <w:tmpl w:val="4FA612BA"/>
    <w:lvl w:ilvl="0">
      <w:start w:val="1"/>
      <w:numFmt w:val="upperLetter"/>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720"/>
        </w:tabs>
        <w:ind w:left="720" w:hanging="720"/>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none"/>
      <w:pStyle w:val="Heading4"/>
      <w:lvlText w:val=""/>
      <w:lvlJc w:val="left"/>
      <w:pPr>
        <w:tabs>
          <w:tab w:val="num" w:pos="0"/>
        </w:tabs>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upperLetter"/>
      <w:pStyle w:val="Heading7"/>
      <w:suff w:val="space"/>
      <w:lvlText w:val="Appendix %7"/>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8">
    <w:nsid w:val="4069480E"/>
    <w:multiLevelType w:val="hybridMultilevel"/>
    <w:tmpl w:val="E9FC0CAA"/>
    <w:lvl w:ilvl="0" w:tplc="383819F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5A7F1491"/>
    <w:multiLevelType w:val="hybridMultilevel"/>
    <w:tmpl w:val="92A8C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9104CB4"/>
    <w:multiLevelType w:val="hybridMultilevel"/>
    <w:tmpl w:val="A74EEE54"/>
    <w:lvl w:ilvl="0" w:tplc="24C04E58">
      <w:start w:val="1"/>
      <w:numFmt w:val="decimal"/>
      <w:lvlText w:val="(%1)"/>
      <w:lvlJc w:val="left"/>
      <w:pPr>
        <w:ind w:left="720" w:hanging="360"/>
      </w:pPr>
      <w:rPr>
        <w:rFonts w:hint="default"/>
        <w:b/>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B0C747D"/>
    <w:multiLevelType w:val="hybridMultilevel"/>
    <w:tmpl w:val="04626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C9318D6"/>
    <w:multiLevelType w:val="hybridMultilevel"/>
    <w:tmpl w:val="F484FE3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70757A70"/>
    <w:multiLevelType w:val="hybridMultilevel"/>
    <w:tmpl w:val="1AE2D482"/>
    <w:lvl w:ilvl="0" w:tplc="466CEB0A">
      <w:start w:val="1"/>
      <w:numFmt w:val="bullet"/>
      <w:lvlText w:val=""/>
      <w:lvlJc w:val="left"/>
      <w:pPr>
        <w:ind w:left="720" w:hanging="360"/>
      </w:pPr>
      <w:rPr>
        <w:rFonts w:ascii="Symbol" w:hAnsi="Symbol" w:hint="default"/>
        <w:color w:val="DA291C"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26F644F"/>
    <w:multiLevelType w:val="singleLevel"/>
    <w:tmpl w:val="4852FEBA"/>
    <w:lvl w:ilvl="0">
      <w:start w:val="1"/>
      <w:numFmt w:val="decimal"/>
      <w:pStyle w:val="RefNumbers"/>
      <w:lvlText w:val="%1."/>
      <w:lvlJc w:val="left"/>
      <w:pPr>
        <w:tabs>
          <w:tab w:val="num" w:pos="720"/>
        </w:tabs>
        <w:ind w:left="720" w:hanging="720"/>
      </w:pPr>
    </w:lvl>
  </w:abstractNum>
  <w:abstractNum w:abstractNumId="15">
    <w:nsid w:val="734A2AE4"/>
    <w:multiLevelType w:val="hybridMultilevel"/>
    <w:tmpl w:val="58262190"/>
    <w:lvl w:ilvl="0" w:tplc="466CEB0A">
      <w:start w:val="1"/>
      <w:numFmt w:val="bullet"/>
      <w:lvlText w:val=""/>
      <w:lvlJc w:val="left"/>
      <w:pPr>
        <w:ind w:left="360" w:hanging="360"/>
      </w:pPr>
      <w:rPr>
        <w:rFonts w:ascii="Symbol" w:hAnsi="Symbol" w:hint="default"/>
        <w:color w:val="DA291C" w:themeColor="accent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7AD63DA6"/>
    <w:multiLevelType w:val="singleLevel"/>
    <w:tmpl w:val="D1227EF6"/>
    <w:lvl w:ilvl="0">
      <w:start w:val="1"/>
      <w:numFmt w:val="bullet"/>
      <w:pStyle w:val="Bullets"/>
      <w:lvlText w:val=""/>
      <w:lvlJc w:val="left"/>
      <w:pPr>
        <w:ind w:left="360" w:hanging="360"/>
      </w:pPr>
      <w:rPr>
        <w:rFonts w:ascii="Symbol" w:hAnsi="Symbol" w:hint="default"/>
        <w:color w:val="DA291C"/>
        <w:sz w:val="22"/>
      </w:rPr>
    </w:lvl>
  </w:abstractNum>
  <w:abstractNum w:abstractNumId="17">
    <w:nsid w:val="7FC86E58"/>
    <w:multiLevelType w:val="hybridMultilevel"/>
    <w:tmpl w:val="F4D64F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4"/>
  </w:num>
  <w:num w:numId="3">
    <w:abstractNumId w:val="16"/>
  </w:num>
  <w:num w:numId="4">
    <w:abstractNumId w:val="7"/>
  </w:num>
  <w:num w:numId="5">
    <w:abstractNumId w:val="12"/>
  </w:num>
  <w:num w:numId="6">
    <w:abstractNumId w:val="10"/>
  </w:num>
  <w:num w:numId="7">
    <w:abstractNumId w:val="5"/>
  </w:num>
  <w:num w:numId="8">
    <w:abstractNumId w:val="8"/>
  </w:num>
  <w:num w:numId="9">
    <w:abstractNumId w:val="6"/>
  </w:num>
  <w:num w:numId="10">
    <w:abstractNumId w:val="15"/>
  </w:num>
  <w:num w:numId="11">
    <w:abstractNumId w:val="13"/>
  </w:num>
  <w:num w:numId="12">
    <w:abstractNumId w:val="0"/>
  </w:num>
  <w:num w:numId="13">
    <w:abstractNumId w:val="3"/>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num>
  <w:num w:numId="16">
    <w:abstractNumId w:val="1"/>
  </w:num>
  <w:num w:numId="17">
    <w:abstractNumId w:val="11"/>
  </w:num>
  <w:num w:numId="18">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8" w:dllVersion="513" w:checkStyle="1"/>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360"/>
  <w:drawingGridHorizontalSpacing w:val="110"/>
  <w:drawingGridVerticalSpacing w:val="299"/>
  <w:displayHorizontalDrawingGridEvery w:val="0"/>
  <w:displayVerticalDrawingGridEvery w:val="0"/>
  <w:noPunctuationKerning/>
  <w:characterSpacingControl w:val="doNotCompress"/>
  <w:hdrShapeDefaults>
    <o:shapedefaults v:ext="edit" spidmax="2049">
      <o:colormru v:ext="edit" colors="#e1e1ff,#069,#bad1e8,#afd787,#cde6b4,#d1e8ba,#0000ac"/>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2A0B"/>
    <w:rsid w:val="00002FB9"/>
    <w:rsid w:val="00003288"/>
    <w:rsid w:val="00003775"/>
    <w:rsid w:val="00003A2C"/>
    <w:rsid w:val="00004217"/>
    <w:rsid w:val="00006B3A"/>
    <w:rsid w:val="000136F3"/>
    <w:rsid w:val="00016E17"/>
    <w:rsid w:val="0002216E"/>
    <w:rsid w:val="00024507"/>
    <w:rsid w:val="00034B6B"/>
    <w:rsid w:val="0003721C"/>
    <w:rsid w:val="00040E00"/>
    <w:rsid w:val="00043766"/>
    <w:rsid w:val="00046728"/>
    <w:rsid w:val="000503BF"/>
    <w:rsid w:val="00050614"/>
    <w:rsid w:val="000525E0"/>
    <w:rsid w:val="00052D80"/>
    <w:rsid w:val="00053EEF"/>
    <w:rsid w:val="000543DC"/>
    <w:rsid w:val="00055022"/>
    <w:rsid w:val="000561D1"/>
    <w:rsid w:val="0005750B"/>
    <w:rsid w:val="0006045E"/>
    <w:rsid w:val="000607E3"/>
    <w:rsid w:val="00062B0E"/>
    <w:rsid w:val="00064627"/>
    <w:rsid w:val="0006587B"/>
    <w:rsid w:val="00070322"/>
    <w:rsid w:val="000718D2"/>
    <w:rsid w:val="00073A13"/>
    <w:rsid w:val="00074E14"/>
    <w:rsid w:val="00082D01"/>
    <w:rsid w:val="00087856"/>
    <w:rsid w:val="000902AA"/>
    <w:rsid w:val="00095D40"/>
    <w:rsid w:val="00097BD0"/>
    <w:rsid w:val="000A00A2"/>
    <w:rsid w:val="000A1C6D"/>
    <w:rsid w:val="000A5091"/>
    <w:rsid w:val="000A5ACD"/>
    <w:rsid w:val="000A6630"/>
    <w:rsid w:val="000A7D69"/>
    <w:rsid w:val="000B33D1"/>
    <w:rsid w:val="000C0109"/>
    <w:rsid w:val="000C0A39"/>
    <w:rsid w:val="000C3040"/>
    <w:rsid w:val="000C6227"/>
    <w:rsid w:val="000C680E"/>
    <w:rsid w:val="000C785A"/>
    <w:rsid w:val="000D1ABA"/>
    <w:rsid w:val="000D3480"/>
    <w:rsid w:val="000D53F1"/>
    <w:rsid w:val="000D5777"/>
    <w:rsid w:val="000E5311"/>
    <w:rsid w:val="000E6B75"/>
    <w:rsid w:val="000F53F4"/>
    <w:rsid w:val="000F680A"/>
    <w:rsid w:val="001034D7"/>
    <w:rsid w:val="00104F2A"/>
    <w:rsid w:val="00106C0C"/>
    <w:rsid w:val="00107A04"/>
    <w:rsid w:val="0011170B"/>
    <w:rsid w:val="001164C3"/>
    <w:rsid w:val="0011679A"/>
    <w:rsid w:val="00116B98"/>
    <w:rsid w:val="001178CA"/>
    <w:rsid w:val="00117B53"/>
    <w:rsid w:val="00122A2E"/>
    <w:rsid w:val="00122BAF"/>
    <w:rsid w:val="00127DCB"/>
    <w:rsid w:val="001307A5"/>
    <w:rsid w:val="00133FCA"/>
    <w:rsid w:val="001347DB"/>
    <w:rsid w:val="0014083E"/>
    <w:rsid w:val="001436FD"/>
    <w:rsid w:val="0015189A"/>
    <w:rsid w:val="00152153"/>
    <w:rsid w:val="00155A22"/>
    <w:rsid w:val="00155ADC"/>
    <w:rsid w:val="00157292"/>
    <w:rsid w:val="00157E04"/>
    <w:rsid w:val="00160456"/>
    <w:rsid w:val="00160657"/>
    <w:rsid w:val="00160B87"/>
    <w:rsid w:val="00162290"/>
    <w:rsid w:val="00162322"/>
    <w:rsid w:val="00164C09"/>
    <w:rsid w:val="00167764"/>
    <w:rsid w:val="001677DC"/>
    <w:rsid w:val="001706A7"/>
    <w:rsid w:val="00172119"/>
    <w:rsid w:val="00182EB6"/>
    <w:rsid w:val="0018701F"/>
    <w:rsid w:val="00190EC9"/>
    <w:rsid w:val="001A046B"/>
    <w:rsid w:val="001A04CE"/>
    <w:rsid w:val="001A0E0A"/>
    <w:rsid w:val="001A23B5"/>
    <w:rsid w:val="001A403F"/>
    <w:rsid w:val="001A4633"/>
    <w:rsid w:val="001B4509"/>
    <w:rsid w:val="001B6DC8"/>
    <w:rsid w:val="001B7A6C"/>
    <w:rsid w:val="001C016B"/>
    <w:rsid w:val="001C0891"/>
    <w:rsid w:val="001C10AF"/>
    <w:rsid w:val="001C5F02"/>
    <w:rsid w:val="001C76B9"/>
    <w:rsid w:val="001D07E5"/>
    <w:rsid w:val="001D41D5"/>
    <w:rsid w:val="001D4FDD"/>
    <w:rsid w:val="001D5282"/>
    <w:rsid w:val="001D54D3"/>
    <w:rsid w:val="001E2CF1"/>
    <w:rsid w:val="001F026A"/>
    <w:rsid w:val="001F2CBD"/>
    <w:rsid w:val="001F303D"/>
    <w:rsid w:val="001F3F5F"/>
    <w:rsid w:val="001F5E0C"/>
    <w:rsid w:val="001F6465"/>
    <w:rsid w:val="00200E58"/>
    <w:rsid w:val="00205360"/>
    <w:rsid w:val="002064D3"/>
    <w:rsid w:val="00206714"/>
    <w:rsid w:val="002106BF"/>
    <w:rsid w:val="00210889"/>
    <w:rsid w:val="00213BF6"/>
    <w:rsid w:val="00215268"/>
    <w:rsid w:val="002157D0"/>
    <w:rsid w:val="00217572"/>
    <w:rsid w:val="002176B8"/>
    <w:rsid w:val="002216AD"/>
    <w:rsid w:val="00221D99"/>
    <w:rsid w:val="00221ED8"/>
    <w:rsid w:val="00223A9F"/>
    <w:rsid w:val="0022674D"/>
    <w:rsid w:val="00226DD6"/>
    <w:rsid w:val="00227977"/>
    <w:rsid w:val="002320C4"/>
    <w:rsid w:val="00233716"/>
    <w:rsid w:val="0023449A"/>
    <w:rsid w:val="00235060"/>
    <w:rsid w:val="00235F88"/>
    <w:rsid w:val="00237BC9"/>
    <w:rsid w:val="002419E2"/>
    <w:rsid w:val="0024673F"/>
    <w:rsid w:val="00246FB8"/>
    <w:rsid w:val="00255975"/>
    <w:rsid w:val="002633C0"/>
    <w:rsid w:val="00263F0B"/>
    <w:rsid w:val="002702F7"/>
    <w:rsid w:val="00271094"/>
    <w:rsid w:val="00273EAA"/>
    <w:rsid w:val="00274DE2"/>
    <w:rsid w:val="0027501E"/>
    <w:rsid w:val="00276702"/>
    <w:rsid w:val="0028328D"/>
    <w:rsid w:val="002838F5"/>
    <w:rsid w:val="00285BB6"/>
    <w:rsid w:val="00286257"/>
    <w:rsid w:val="00286A14"/>
    <w:rsid w:val="00292F4D"/>
    <w:rsid w:val="0029491C"/>
    <w:rsid w:val="002953A6"/>
    <w:rsid w:val="0029757B"/>
    <w:rsid w:val="00297A75"/>
    <w:rsid w:val="002A4078"/>
    <w:rsid w:val="002A5CE0"/>
    <w:rsid w:val="002A5FC8"/>
    <w:rsid w:val="002A678F"/>
    <w:rsid w:val="002A6D9C"/>
    <w:rsid w:val="002B0558"/>
    <w:rsid w:val="002B2F3C"/>
    <w:rsid w:val="002C2B5B"/>
    <w:rsid w:val="002C32AB"/>
    <w:rsid w:val="002C41F9"/>
    <w:rsid w:val="002C4495"/>
    <w:rsid w:val="002C5AC8"/>
    <w:rsid w:val="002C76AB"/>
    <w:rsid w:val="002D4536"/>
    <w:rsid w:val="002D6658"/>
    <w:rsid w:val="002D79F5"/>
    <w:rsid w:val="002E2A38"/>
    <w:rsid w:val="002E5289"/>
    <w:rsid w:val="002F14A5"/>
    <w:rsid w:val="002F4833"/>
    <w:rsid w:val="002F48C8"/>
    <w:rsid w:val="002F55CE"/>
    <w:rsid w:val="002F76F5"/>
    <w:rsid w:val="003042FA"/>
    <w:rsid w:val="00305243"/>
    <w:rsid w:val="00305D00"/>
    <w:rsid w:val="00314A8A"/>
    <w:rsid w:val="003215E3"/>
    <w:rsid w:val="0032386B"/>
    <w:rsid w:val="00324EC2"/>
    <w:rsid w:val="003279F2"/>
    <w:rsid w:val="00330FDC"/>
    <w:rsid w:val="0033109C"/>
    <w:rsid w:val="00332778"/>
    <w:rsid w:val="00332D31"/>
    <w:rsid w:val="00332DB7"/>
    <w:rsid w:val="00335F36"/>
    <w:rsid w:val="0034182B"/>
    <w:rsid w:val="00342BA9"/>
    <w:rsid w:val="00342CD9"/>
    <w:rsid w:val="00344478"/>
    <w:rsid w:val="003455BC"/>
    <w:rsid w:val="00352B14"/>
    <w:rsid w:val="00354503"/>
    <w:rsid w:val="00356D83"/>
    <w:rsid w:val="00360D67"/>
    <w:rsid w:val="003623F0"/>
    <w:rsid w:val="00370164"/>
    <w:rsid w:val="003711CD"/>
    <w:rsid w:val="0037703F"/>
    <w:rsid w:val="00380DB1"/>
    <w:rsid w:val="00382116"/>
    <w:rsid w:val="00383BFC"/>
    <w:rsid w:val="00384611"/>
    <w:rsid w:val="00384CA0"/>
    <w:rsid w:val="00385EC5"/>
    <w:rsid w:val="003864F9"/>
    <w:rsid w:val="003870BA"/>
    <w:rsid w:val="00390FEF"/>
    <w:rsid w:val="003914D1"/>
    <w:rsid w:val="00395A89"/>
    <w:rsid w:val="0039751A"/>
    <w:rsid w:val="003A1DE8"/>
    <w:rsid w:val="003A2FA8"/>
    <w:rsid w:val="003A3403"/>
    <w:rsid w:val="003A42E2"/>
    <w:rsid w:val="003B2232"/>
    <w:rsid w:val="003B3C1F"/>
    <w:rsid w:val="003B4770"/>
    <w:rsid w:val="003B4C78"/>
    <w:rsid w:val="003B7169"/>
    <w:rsid w:val="003B7973"/>
    <w:rsid w:val="003C131A"/>
    <w:rsid w:val="003C20BF"/>
    <w:rsid w:val="003C5488"/>
    <w:rsid w:val="003C5A22"/>
    <w:rsid w:val="003C6698"/>
    <w:rsid w:val="003D13DE"/>
    <w:rsid w:val="003D186B"/>
    <w:rsid w:val="003D3079"/>
    <w:rsid w:val="003D40DD"/>
    <w:rsid w:val="003D4E60"/>
    <w:rsid w:val="003D5616"/>
    <w:rsid w:val="003E1E95"/>
    <w:rsid w:val="003E22BA"/>
    <w:rsid w:val="003E666B"/>
    <w:rsid w:val="003F3E19"/>
    <w:rsid w:val="003F3FF1"/>
    <w:rsid w:val="003F5962"/>
    <w:rsid w:val="003F6C42"/>
    <w:rsid w:val="00404DEA"/>
    <w:rsid w:val="004061F1"/>
    <w:rsid w:val="00415B57"/>
    <w:rsid w:val="00415BD8"/>
    <w:rsid w:val="00422ABD"/>
    <w:rsid w:val="00422EB2"/>
    <w:rsid w:val="00423092"/>
    <w:rsid w:val="0042411C"/>
    <w:rsid w:val="00424FA3"/>
    <w:rsid w:val="00425109"/>
    <w:rsid w:val="004253E8"/>
    <w:rsid w:val="00427EA9"/>
    <w:rsid w:val="0043066F"/>
    <w:rsid w:val="0043105D"/>
    <w:rsid w:val="004319BC"/>
    <w:rsid w:val="00432585"/>
    <w:rsid w:val="00434F63"/>
    <w:rsid w:val="004350B0"/>
    <w:rsid w:val="00436CE5"/>
    <w:rsid w:val="00441E8D"/>
    <w:rsid w:val="00444903"/>
    <w:rsid w:val="00444A09"/>
    <w:rsid w:val="00451233"/>
    <w:rsid w:val="00453C36"/>
    <w:rsid w:val="00466586"/>
    <w:rsid w:val="0046720A"/>
    <w:rsid w:val="00470AB4"/>
    <w:rsid w:val="004718A8"/>
    <w:rsid w:val="00472E16"/>
    <w:rsid w:val="004734DF"/>
    <w:rsid w:val="0047431B"/>
    <w:rsid w:val="00480A8A"/>
    <w:rsid w:val="00483DCD"/>
    <w:rsid w:val="00486943"/>
    <w:rsid w:val="00486C44"/>
    <w:rsid w:val="00491DD4"/>
    <w:rsid w:val="00495B91"/>
    <w:rsid w:val="004A5408"/>
    <w:rsid w:val="004B354D"/>
    <w:rsid w:val="004C18DF"/>
    <w:rsid w:val="004C29E5"/>
    <w:rsid w:val="004C2B46"/>
    <w:rsid w:val="004C45BF"/>
    <w:rsid w:val="004C7514"/>
    <w:rsid w:val="004D1317"/>
    <w:rsid w:val="004D4C6D"/>
    <w:rsid w:val="004D69A3"/>
    <w:rsid w:val="004D7CDF"/>
    <w:rsid w:val="004E01A4"/>
    <w:rsid w:val="004E2C44"/>
    <w:rsid w:val="004E64E4"/>
    <w:rsid w:val="004F179E"/>
    <w:rsid w:val="004F4356"/>
    <w:rsid w:val="004F639A"/>
    <w:rsid w:val="004F6742"/>
    <w:rsid w:val="004F709B"/>
    <w:rsid w:val="00502800"/>
    <w:rsid w:val="00503049"/>
    <w:rsid w:val="005037C0"/>
    <w:rsid w:val="00513563"/>
    <w:rsid w:val="005235C5"/>
    <w:rsid w:val="00527FBD"/>
    <w:rsid w:val="00534B03"/>
    <w:rsid w:val="00534C33"/>
    <w:rsid w:val="00535EE2"/>
    <w:rsid w:val="00536DB4"/>
    <w:rsid w:val="005375A1"/>
    <w:rsid w:val="0054025D"/>
    <w:rsid w:val="00540B53"/>
    <w:rsid w:val="005418B8"/>
    <w:rsid w:val="00542799"/>
    <w:rsid w:val="00546D74"/>
    <w:rsid w:val="0055123E"/>
    <w:rsid w:val="005526A3"/>
    <w:rsid w:val="00552E7A"/>
    <w:rsid w:val="005676E6"/>
    <w:rsid w:val="00572830"/>
    <w:rsid w:val="00574572"/>
    <w:rsid w:val="00576628"/>
    <w:rsid w:val="00581557"/>
    <w:rsid w:val="00585CA4"/>
    <w:rsid w:val="005873AB"/>
    <w:rsid w:val="00590FD6"/>
    <w:rsid w:val="00592BDD"/>
    <w:rsid w:val="005956BC"/>
    <w:rsid w:val="00597948"/>
    <w:rsid w:val="005A1A51"/>
    <w:rsid w:val="005A5DE8"/>
    <w:rsid w:val="005A6A8D"/>
    <w:rsid w:val="005B1AC5"/>
    <w:rsid w:val="005B2A53"/>
    <w:rsid w:val="005B362D"/>
    <w:rsid w:val="005B3F2A"/>
    <w:rsid w:val="005B539E"/>
    <w:rsid w:val="005B6513"/>
    <w:rsid w:val="005B6A25"/>
    <w:rsid w:val="005C4647"/>
    <w:rsid w:val="005C63E7"/>
    <w:rsid w:val="005C72B0"/>
    <w:rsid w:val="005D4E4D"/>
    <w:rsid w:val="005D611D"/>
    <w:rsid w:val="005D69B4"/>
    <w:rsid w:val="005D7F61"/>
    <w:rsid w:val="005E0CF2"/>
    <w:rsid w:val="005E2AEA"/>
    <w:rsid w:val="005E404F"/>
    <w:rsid w:val="005E6B70"/>
    <w:rsid w:val="005F1BAC"/>
    <w:rsid w:val="005F2CBF"/>
    <w:rsid w:val="005F6366"/>
    <w:rsid w:val="00606DB2"/>
    <w:rsid w:val="006078E6"/>
    <w:rsid w:val="006122D8"/>
    <w:rsid w:val="0061247A"/>
    <w:rsid w:val="006149CF"/>
    <w:rsid w:val="00615938"/>
    <w:rsid w:val="00623E98"/>
    <w:rsid w:val="0062516A"/>
    <w:rsid w:val="0062576B"/>
    <w:rsid w:val="00625890"/>
    <w:rsid w:val="0062595E"/>
    <w:rsid w:val="006259B9"/>
    <w:rsid w:val="0063014E"/>
    <w:rsid w:val="00630399"/>
    <w:rsid w:val="00632437"/>
    <w:rsid w:val="00637CC3"/>
    <w:rsid w:val="0064023A"/>
    <w:rsid w:val="00643D82"/>
    <w:rsid w:val="00646A09"/>
    <w:rsid w:val="00650B96"/>
    <w:rsid w:val="0065112D"/>
    <w:rsid w:val="0065156C"/>
    <w:rsid w:val="00653EB3"/>
    <w:rsid w:val="0065527B"/>
    <w:rsid w:val="00660CF2"/>
    <w:rsid w:val="0066134E"/>
    <w:rsid w:val="006674D4"/>
    <w:rsid w:val="00671B13"/>
    <w:rsid w:val="006727E9"/>
    <w:rsid w:val="006751FA"/>
    <w:rsid w:val="006814BB"/>
    <w:rsid w:val="006820F3"/>
    <w:rsid w:val="006831D9"/>
    <w:rsid w:val="006840EB"/>
    <w:rsid w:val="006846ED"/>
    <w:rsid w:val="00690D82"/>
    <w:rsid w:val="00691F0C"/>
    <w:rsid w:val="006928B2"/>
    <w:rsid w:val="0069342C"/>
    <w:rsid w:val="00693F46"/>
    <w:rsid w:val="006A15EC"/>
    <w:rsid w:val="006A3A33"/>
    <w:rsid w:val="006A541C"/>
    <w:rsid w:val="006A5B3B"/>
    <w:rsid w:val="006B0269"/>
    <w:rsid w:val="006B1DA6"/>
    <w:rsid w:val="006B6298"/>
    <w:rsid w:val="006C0E22"/>
    <w:rsid w:val="006C7A4C"/>
    <w:rsid w:val="006D0853"/>
    <w:rsid w:val="006D125B"/>
    <w:rsid w:val="006D2F1E"/>
    <w:rsid w:val="006D3544"/>
    <w:rsid w:val="006D406B"/>
    <w:rsid w:val="006D4788"/>
    <w:rsid w:val="006D4A23"/>
    <w:rsid w:val="006E0445"/>
    <w:rsid w:val="006E0984"/>
    <w:rsid w:val="006E2A7B"/>
    <w:rsid w:val="006E2B32"/>
    <w:rsid w:val="006E313F"/>
    <w:rsid w:val="006E4281"/>
    <w:rsid w:val="006E67D8"/>
    <w:rsid w:val="006E7240"/>
    <w:rsid w:val="006F05C2"/>
    <w:rsid w:val="006F10CB"/>
    <w:rsid w:val="006F2B34"/>
    <w:rsid w:val="006F480F"/>
    <w:rsid w:val="006F4950"/>
    <w:rsid w:val="006F5FAF"/>
    <w:rsid w:val="006F7541"/>
    <w:rsid w:val="007031BD"/>
    <w:rsid w:val="0070570B"/>
    <w:rsid w:val="007057ED"/>
    <w:rsid w:val="0070672F"/>
    <w:rsid w:val="007105A6"/>
    <w:rsid w:val="00715417"/>
    <w:rsid w:val="00715A14"/>
    <w:rsid w:val="00716367"/>
    <w:rsid w:val="00722BC0"/>
    <w:rsid w:val="00726DD4"/>
    <w:rsid w:val="00730F56"/>
    <w:rsid w:val="00740A1C"/>
    <w:rsid w:val="0074357D"/>
    <w:rsid w:val="00744E2C"/>
    <w:rsid w:val="00747E93"/>
    <w:rsid w:val="00752119"/>
    <w:rsid w:val="00752F64"/>
    <w:rsid w:val="00754408"/>
    <w:rsid w:val="007631C7"/>
    <w:rsid w:val="00763CCC"/>
    <w:rsid w:val="007676F6"/>
    <w:rsid w:val="00775F6E"/>
    <w:rsid w:val="007763F1"/>
    <w:rsid w:val="00776C72"/>
    <w:rsid w:val="0078258F"/>
    <w:rsid w:val="007846BC"/>
    <w:rsid w:val="007866AD"/>
    <w:rsid w:val="00786E59"/>
    <w:rsid w:val="007901C8"/>
    <w:rsid w:val="00791BCC"/>
    <w:rsid w:val="0079449D"/>
    <w:rsid w:val="00794B6E"/>
    <w:rsid w:val="00795DBB"/>
    <w:rsid w:val="007969A4"/>
    <w:rsid w:val="007A0114"/>
    <w:rsid w:val="007A155F"/>
    <w:rsid w:val="007A259C"/>
    <w:rsid w:val="007A310B"/>
    <w:rsid w:val="007A3587"/>
    <w:rsid w:val="007A651C"/>
    <w:rsid w:val="007A678D"/>
    <w:rsid w:val="007B1321"/>
    <w:rsid w:val="007B1904"/>
    <w:rsid w:val="007B31E5"/>
    <w:rsid w:val="007B3DE3"/>
    <w:rsid w:val="007B4C93"/>
    <w:rsid w:val="007C1643"/>
    <w:rsid w:val="007C489F"/>
    <w:rsid w:val="007C4BA1"/>
    <w:rsid w:val="007C63D8"/>
    <w:rsid w:val="007C7D96"/>
    <w:rsid w:val="007D0FD6"/>
    <w:rsid w:val="007D418D"/>
    <w:rsid w:val="007D6370"/>
    <w:rsid w:val="007E092F"/>
    <w:rsid w:val="007E54DE"/>
    <w:rsid w:val="007E5EC0"/>
    <w:rsid w:val="007F0E23"/>
    <w:rsid w:val="007F264A"/>
    <w:rsid w:val="007F348B"/>
    <w:rsid w:val="007F532F"/>
    <w:rsid w:val="007F6C43"/>
    <w:rsid w:val="007F6F80"/>
    <w:rsid w:val="0080098A"/>
    <w:rsid w:val="0080122A"/>
    <w:rsid w:val="00801761"/>
    <w:rsid w:val="00802A0B"/>
    <w:rsid w:val="0080560A"/>
    <w:rsid w:val="008100D1"/>
    <w:rsid w:val="008111EB"/>
    <w:rsid w:val="008130C9"/>
    <w:rsid w:val="00813D02"/>
    <w:rsid w:val="00814833"/>
    <w:rsid w:val="00816F55"/>
    <w:rsid w:val="00820112"/>
    <w:rsid w:val="0082033D"/>
    <w:rsid w:val="008222AD"/>
    <w:rsid w:val="0083104D"/>
    <w:rsid w:val="008349AE"/>
    <w:rsid w:val="008370A0"/>
    <w:rsid w:val="00840D86"/>
    <w:rsid w:val="00841DF0"/>
    <w:rsid w:val="0084514A"/>
    <w:rsid w:val="00846D77"/>
    <w:rsid w:val="00846F5B"/>
    <w:rsid w:val="008501B3"/>
    <w:rsid w:val="008505B7"/>
    <w:rsid w:val="00852480"/>
    <w:rsid w:val="00852713"/>
    <w:rsid w:val="00856632"/>
    <w:rsid w:val="00863BEC"/>
    <w:rsid w:val="00867308"/>
    <w:rsid w:val="00872548"/>
    <w:rsid w:val="008736E7"/>
    <w:rsid w:val="00873DE5"/>
    <w:rsid w:val="0088672E"/>
    <w:rsid w:val="00890B2D"/>
    <w:rsid w:val="00892F12"/>
    <w:rsid w:val="00893E19"/>
    <w:rsid w:val="00894BC2"/>
    <w:rsid w:val="008A0DA5"/>
    <w:rsid w:val="008A1749"/>
    <w:rsid w:val="008A3C08"/>
    <w:rsid w:val="008A3D38"/>
    <w:rsid w:val="008A583D"/>
    <w:rsid w:val="008A5A49"/>
    <w:rsid w:val="008B0543"/>
    <w:rsid w:val="008B1F83"/>
    <w:rsid w:val="008B3C50"/>
    <w:rsid w:val="008B48AA"/>
    <w:rsid w:val="008C0888"/>
    <w:rsid w:val="008C3505"/>
    <w:rsid w:val="008C55D1"/>
    <w:rsid w:val="008C5E8F"/>
    <w:rsid w:val="008D30EA"/>
    <w:rsid w:val="008D3D55"/>
    <w:rsid w:val="008D55C8"/>
    <w:rsid w:val="008E20DE"/>
    <w:rsid w:val="008E3DDD"/>
    <w:rsid w:val="008E696D"/>
    <w:rsid w:val="008F1770"/>
    <w:rsid w:val="008F233C"/>
    <w:rsid w:val="008F63BF"/>
    <w:rsid w:val="008F654E"/>
    <w:rsid w:val="009013C5"/>
    <w:rsid w:val="00903E4B"/>
    <w:rsid w:val="00904932"/>
    <w:rsid w:val="009061A4"/>
    <w:rsid w:val="00912E02"/>
    <w:rsid w:val="0091475F"/>
    <w:rsid w:val="00923C58"/>
    <w:rsid w:val="00930914"/>
    <w:rsid w:val="00931493"/>
    <w:rsid w:val="00934E6B"/>
    <w:rsid w:val="00941909"/>
    <w:rsid w:val="00942024"/>
    <w:rsid w:val="00944550"/>
    <w:rsid w:val="00945B64"/>
    <w:rsid w:val="009550AD"/>
    <w:rsid w:val="009565D4"/>
    <w:rsid w:val="00957415"/>
    <w:rsid w:val="009610FB"/>
    <w:rsid w:val="00965F17"/>
    <w:rsid w:val="00967D7C"/>
    <w:rsid w:val="009724CE"/>
    <w:rsid w:val="00974533"/>
    <w:rsid w:val="00976925"/>
    <w:rsid w:val="00977D73"/>
    <w:rsid w:val="0098389F"/>
    <w:rsid w:val="00987EDF"/>
    <w:rsid w:val="009913BE"/>
    <w:rsid w:val="0099262A"/>
    <w:rsid w:val="009930BF"/>
    <w:rsid w:val="00993FA1"/>
    <w:rsid w:val="009940C0"/>
    <w:rsid w:val="009949C8"/>
    <w:rsid w:val="00996FEA"/>
    <w:rsid w:val="009979F5"/>
    <w:rsid w:val="009A05F3"/>
    <w:rsid w:val="009B1C9F"/>
    <w:rsid w:val="009B4EF8"/>
    <w:rsid w:val="009B56DA"/>
    <w:rsid w:val="009B6B86"/>
    <w:rsid w:val="009C0939"/>
    <w:rsid w:val="009C67F5"/>
    <w:rsid w:val="009C6B8C"/>
    <w:rsid w:val="009C79EB"/>
    <w:rsid w:val="009D13BB"/>
    <w:rsid w:val="009D3FBB"/>
    <w:rsid w:val="009D50EB"/>
    <w:rsid w:val="009D65D1"/>
    <w:rsid w:val="009D75F8"/>
    <w:rsid w:val="009E08B4"/>
    <w:rsid w:val="009E1EB8"/>
    <w:rsid w:val="009E32F5"/>
    <w:rsid w:val="009E5815"/>
    <w:rsid w:val="009E6279"/>
    <w:rsid w:val="009E7829"/>
    <w:rsid w:val="009F027C"/>
    <w:rsid w:val="009F2649"/>
    <w:rsid w:val="009F2F5B"/>
    <w:rsid w:val="009F4405"/>
    <w:rsid w:val="009F704C"/>
    <w:rsid w:val="00A00253"/>
    <w:rsid w:val="00A00351"/>
    <w:rsid w:val="00A0215D"/>
    <w:rsid w:val="00A05BB9"/>
    <w:rsid w:val="00A05DF9"/>
    <w:rsid w:val="00A05F74"/>
    <w:rsid w:val="00A06666"/>
    <w:rsid w:val="00A105E0"/>
    <w:rsid w:val="00A11427"/>
    <w:rsid w:val="00A16DCE"/>
    <w:rsid w:val="00A20CE8"/>
    <w:rsid w:val="00A2266D"/>
    <w:rsid w:val="00A22F13"/>
    <w:rsid w:val="00A258D0"/>
    <w:rsid w:val="00A27E49"/>
    <w:rsid w:val="00A3018B"/>
    <w:rsid w:val="00A3128D"/>
    <w:rsid w:val="00A324EA"/>
    <w:rsid w:val="00A32F7E"/>
    <w:rsid w:val="00A33A46"/>
    <w:rsid w:val="00A34D1B"/>
    <w:rsid w:val="00A36374"/>
    <w:rsid w:val="00A405A5"/>
    <w:rsid w:val="00A45229"/>
    <w:rsid w:val="00A45B43"/>
    <w:rsid w:val="00A4794A"/>
    <w:rsid w:val="00A50955"/>
    <w:rsid w:val="00A53399"/>
    <w:rsid w:val="00A533DE"/>
    <w:rsid w:val="00A53E2B"/>
    <w:rsid w:val="00A5761D"/>
    <w:rsid w:val="00A628BA"/>
    <w:rsid w:val="00A72C1E"/>
    <w:rsid w:val="00A72ED0"/>
    <w:rsid w:val="00A758ED"/>
    <w:rsid w:val="00A77082"/>
    <w:rsid w:val="00A80F75"/>
    <w:rsid w:val="00A817CE"/>
    <w:rsid w:val="00A8599E"/>
    <w:rsid w:val="00A900DC"/>
    <w:rsid w:val="00A91301"/>
    <w:rsid w:val="00A928FA"/>
    <w:rsid w:val="00A92DF4"/>
    <w:rsid w:val="00A96F9F"/>
    <w:rsid w:val="00A97A34"/>
    <w:rsid w:val="00AA080B"/>
    <w:rsid w:val="00AA79CD"/>
    <w:rsid w:val="00AA7B0B"/>
    <w:rsid w:val="00AB2BB9"/>
    <w:rsid w:val="00AB32CF"/>
    <w:rsid w:val="00AB5837"/>
    <w:rsid w:val="00AB5C3B"/>
    <w:rsid w:val="00AC213E"/>
    <w:rsid w:val="00AC483A"/>
    <w:rsid w:val="00AC59EB"/>
    <w:rsid w:val="00AC6E6C"/>
    <w:rsid w:val="00AC6F0C"/>
    <w:rsid w:val="00AD2235"/>
    <w:rsid w:val="00AD71EC"/>
    <w:rsid w:val="00AD7CD2"/>
    <w:rsid w:val="00AE754A"/>
    <w:rsid w:val="00AF0F67"/>
    <w:rsid w:val="00B02599"/>
    <w:rsid w:val="00B13E85"/>
    <w:rsid w:val="00B13F5A"/>
    <w:rsid w:val="00B14060"/>
    <w:rsid w:val="00B140DB"/>
    <w:rsid w:val="00B16B3C"/>
    <w:rsid w:val="00B20CDF"/>
    <w:rsid w:val="00B21F89"/>
    <w:rsid w:val="00B25EE3"/>
    <w:rsid w:val="00B2638B"/>
    <w:rsid w:val="00B269D4"/>
    <w:rsid w:val="00B3202C"/>
    <w:rsid w:val="00B3357C"/>
    <w:rsid w:val="00B3427E"/>
    <w:rsid w:val="00B360CF"/>
    <w:rsid w:val="00B44156"/>
    <w:rsid w:val="00B4481A"/>
    <w:rsid w:val="00B44A4C"/>
    <w:rsid w:val="00B53D49"/>
    <w:rsid w:val="00B54F0A"/>
    <w:rsid w:val="00B56571"/>
    <w:rsid w:val="00B60F2A"/>
    <w:rsid w:val="00B61363"/>
    <w:rsid w:val="00B61C4A"/>
    <w:rsid w:val="00B61EC9"/>
    <w:rsid w:val="00B65A8D"/>
    <w:rsid w:val="00B65F28"/>
    <w:rsid w:val="00B679AD"/>
    <w:rsid w:val="00B74983"/>
    <w:rsid w:val="00B7744A"/>
    <w:rsid w:val="00B77649"/>
    <w:rsid w:val="00B81E0C"/>
    <w:rsid w:val="00B82D4D"/>
    <w:rsid w:val="00B87EE6"/>
    <w:rsid w:val="00B9260A"/>
    <w:rsid w:val="00B96ABD"/>
    <w:rsid w:val="00B97B87"/>
    <w:rsid w:val="00BA5543"/>
    <w:rsid w:val="00BC0C14"/>
    <w:rsid w:val="00BC520C"/>
    <w:rsid w:val="00BD23B9"/>
    <w:rsid w:val="00BD3651"/>
    <w:rsid w:val="00BD50A8"/>
    <w:rsid w:val="00BD5671"/>
    <w:rsid w:val="00BD7F06"/>
    <w:rsid w:val="00BE28C3"/>
    <w:rsid w:val="00BE33AB"/>
    <w:rsid w:val="00BE5E67"/>
    <w:rsid w:val="00BF18DC"/>
    <w:rsid w:val="00BF1AF6"/>
    <w:rsid w:val="00BF525A"/>
    <w:rsid w:val="00BF78FE"/>
    <w:rsid w:val="00BF7FEA"/>
    <w:rsid w:val="00C04B4F"/>
    <w:rsid w:val="00C10C0C"/>
    <w:rsid w:val="00C12224"/>
    <w:rsid w:val="00C1235E"/>
    <w:rsid w:val="00C12E26"/>
    <w:rsid w:val="00C13D96"/>
    <w:rsid w:val="00C13DE2"/>
    <w:rsid w:val="00C14408"/>
    <w:rsid w:val="00C14776"/>
    <w:rsid w:val="00C17F58"/>
    <w:rsid w:val="00C224A1"/>
    <w:rsid w:val="00C24381"/>
    <w:rsid w:val="00C24426"/>
    <w:rsid w:val="00C307E7"/>
    <w:rsid w:val="00C3226C"/>
    <w:rsid w:val="00C33711"/>
    <w:rsid w:val="00C34A92"/>
    <w:rsid w:val="00C35829"/>
    <w:rsid w:val="00C370A7"/>
    <w:rsid w:val="00C40914"/>
    <w:rsid w:val="00C42276"/>
    <w:rsid w:val="00C43A9B"/>
    <w:rsid w:val="00C43B8A"/>
    <w:rsid w:val="00C44E40"/>
    <w:rsid w:val="00C45C5E"/>
    <w:rsid w:val="00C462F6"/>
    <w:rsid w:val="00C52F9F"/>
    <w:rsid w:val="00C54499"/>
    <w:rsid w:val="00C57E90"/>
    <w:rsid w:val="00C60024"/>
    <w:rsid w:val="00C613F9"/>
    <w:rsid w:val="00C62F1C"/>
    <w:rsid w:val="00C6380F"/>
    <w:rsid w:val="00C6443D"/>
    <w:rsid w:val="00C64DA5"/>
    <w:rsid w:val="00C67C7D"/>
    <w:rsid w:val="00C744A3"/>
    <w:rsid w:val="00C745C6"/>
    <w:rsid w:val="00C806E7"/>
    <w:rsid w:val="00C8159E"/>
    <w:rsid w:val="00C81DB5"/>
    <w:rsid w:val="00C827F7"/>
    <w:rsid w:val="00C8411A"/>
    <w:rsid w:val="00C900FF"/>
    <w:rsid w:val="00C9757F"/>
    <w:rsid w:val="00CA0A1B"/>
    <w:rsid w:val="00CA1A29"/>
    <w:rsid w:val="00CA7307"/>
    <w:rsid w:val="00CB2F95"/>
    <w:rsid w:val="00CB3FC8"/>
    <w:rsid w:val="00CB442A"/>
    <w:rsid w:val="00CB60B8"/>
    <w:rsid w:val="00CB6D12"/>
    <w:rsid w:val="00CB7563"/>
    <w:rsid w:val="00CC14A3"/>
    <w:rsid w:val="00CC47FC"/>
    <w:rsid w:val="00CC5345"/>
    <w:rsid w:val="00CC62A6"/>
    <w:rsid w:val="00CC6747"/>
    <w:rsid w:val="00CD2BAE"/>
    <w:rsid w:val="00CD4B2E"/>
    <w:rsid w:val="00CD4DE4"/>
    <w:rsid w:val="00CD6527"/>
    <w:rsid w:val="00CD6B3F"/>
    <w:rsid w:val="00CE01AD"/>
    <w:rsid w:val="00CF004C"/>
    <w:rsid w:val="00CF07C4"/>
    <w:rsid w:val="00CF3324"/>
    <w:rsid w:val="00CF3E63"/>
    <w:rsid w:val="00CF41FE"/>
    <w:rsid w:val="00CF5479"/>
    <w:rsid w:val="00CF561E"/>
    <w:rsid w:val="00CF5AD7"/>
    <w:rsid w:val="00CF5DF7"/>
    <w:rsid w:val="00CF7232"/>
    <w:rsid w:val="00CF761B"/>
    <w:rsid w:val="00D001D7"/>
    <w:rsid w:val="00D04634"/>
    <w:rsid w:val="00D07679"/>
    <w:rsid w:val="00D12B9E"/>
    <w:rsid w:val="00D143BA"/>
    <w:rsid w:val="00D17438"/>
    <w:rsid w:val="00D20DD2"/>
    <w:rsid w:val="00D241C9"/>
    <w:rsid w:val="00D24243"/>
    <w:rsid w:val="00D27047"/>
    <w:rsid w:val="00D316F4"/>
    <w:rsid w:val="00D34EEE"/>
    <w:rsid w:val="00D35AE5"/>
    <w:rsid w:val="00D37BAF"/>
    <w:rsid w:val="00D406AD"/>
    <w:rsid w:val="00D42707"/>
    <w:rsid w:val="00D44A62"/>
    <w:rsid w:val="00D471F0"/>
    <w:rsid w:val="00D47863"/>
    <w:rsid w:val="00D51264"/>
    <w:rsid w:val="00D514BA"/>
    <w:rsid w:val="00D51B1E"/>
    <w:rsid w:val="00D53DF6"/>
    <w:rsid w:val="00D707A7"/>
    <w:rsid w:val="00D72228"/>
    <w:rsid w:val="00D75614"/>
    <w:rsid w:val="00D80331"/>
    <w:rsid w:val="00D81BFB"/>
    <w:rsid w:val="00D874AE"/>
    <w:rsid w:val="00D9040C"/>
    <w:rsid w:val="00D96598"/>
    <w:rsid w:val="00D979EA"/>
    <w:rsid w:val="00DA02B9"/>
    <w:rsid w:val="00DA37F0"/>
    <w:rsid w:val="00DA3F3A"/>
    <w:rsid w:val="00DA42EA"/>
    <w:rsid w:val="00DA6EBE"/>
    <w:rsid w:val="00DA70D8"/>
    <w:rsid w:val="00DA7C8E"/>
    <w:rsid w:val="00DA7FEA"/>
    <w:rsid w:val="00DB269B"/>
    <w:rsid w:val="00DB49E7"/>
    <w:rsid w:val="00DC02B5"/>
    <w:rsid w:val="00DC18EB"/>
    <w:rsid w:val="00DC3E11"/>
    <w:rsid w:val="00DD26E2"/>
    <w:rsid w:val="00DD27D1"/>
    <w:rsid w:val="00DE04D5"/>
    <w:rsid w:val="00DE1903"/>
    <w:rsid w:val="00DE2020"/>
    <w:rsid w:val="00DE221A"/>
    <w:rsid w:val="00DE2334"/>
    <w:rsid w:val="00DE34B1"/>
    <w:rsid w:val="00DE5C1E"/>
    <w:rsid w:val="00DF3444"/>
    <w:rsid w:val="00DF485D"/>
    <w:rsid w:val="00DF6621"/>
    <w:rsid w:val="00DF68F0"/>
    <w:rsid w:val="00DF6CDE"/>
    <w:rsid w:val="00E0113D"/>
    <w:rsid w:val="00E039CB"/>
    <w:rsid w:val="00E1084F"/>
    <w:rsid w:val="00E1208B"/>
    <w:rsid w:val="00E1423B"/>
    <w:rsid w:val="00E145A0"/>
    <w:rsid w:val="00E16341"/>
    <w:rsid w:val="00E16B82"/>
    <w:rsid w:val="00E27E52"/>
    <w:rsid w:val="00E317E1"/>
    <w:rsid w:val="00E33231"/>
    <w:rsid w:val="00E40FF4"/>
    <w:rsid w:val="00E41D4D"/>
    <w:rsid w:val="00E456DD"/>
    <w:rsid w:val="00E5125B"/>
    <w:rsid w:val="00E52D6C"/>
    <w:rsid w:val="00E53688"/>
    <w:rsid w:val="00E55A90"/>
    <w:rsid w:val="00E57D94"/>
    <w:rsid w:val="00E6186E"/>
    <w:rsid w:val="00E67B33"/>
    <w:rsid w:val="00E72F03"/>
    <w:rsid w:val="00E7429A"/>
    <w:rsid w:val="00E75D89"/>
    <w:rsid w:val="00E83130"/>
    <w:rsid w:val="00E84434"/>
    <w:rsid w:val="00E84954"/>
    <w:rsid w:val="00E93ED8"/>
    <w:rsid w:val="00E9644E"/>
    <w:rsid w:val="00EA0512"/>
    <w:rsid w:val="00EA1341"/>
    <w:rsid w:val="00EA2E36"/>
    <w:rsid w:val="00EA746D"/>
    <w:rsid w:val="00EB30F5"/>
    <w:rsid w:val="00EB470C"/>
    <w:rsid w:val="00EB5C8B"/>
    <w:rsid w:val="00EB7E84"/>
    <w:rsid w:val="00EC1319"/>
    <w:rsid w:val="00EC3CC1"/>
    <w:rsid w:val="00EC47CA"/>
    <w:rsid w:val="00EC5930"/>
    <w:rsid w:val="00EC60EF"/>
    <w:rsid w:val="00ED0DCF"/>
    <w:rsid w:val="00ED263C"/>
    <w:rsid w:val="00ED2A92"/>
    <w:rsid w:val="00ED4EA9"/>
    <w:rsid w:val="00ED503D"/>
    <w:rsid w:val="00EE0307"/>
    <w:rsid w:val="00EE11FD"/>
    <w:rsid w:val="00EE1D07"/>
    <w:rsid w:val="00EE6B5C"/>
    <w:rsid w:val="00EF142D"/>
    <w:rsid w:val="00F113B8"/>
    <w:rsid w:val="00F12832"/>
    <w:rsid w:val="00F1289F"/>
    <w:rsid w:val="00F13235"/>
    <w:rsid w:val="00F139F3"/>
    <w:rsid w:val="00F13BF9"/>
    <w:rsid w:val="00F1494E"/>
    <w:rsid w:val="00F22537"/>
    <w:rsid w:val="00F23798"/>
    <w:rsid w:val="00F260AC"/>
    <w:rsid w:val="00F26DFB"/>
    <w:rsid w:val="00F27043"/>
    <w:rsid w:val="00F32C54"/>
    <w:rsid w:val="00F32E6E"/>
    <w:rsid w:val="00F371A7"/>
    <w:rsid w:val="00F40FDD"/>
    <w:rsid w:val="00F4263A"/>
    <w:rsid w:val="00F47E96"/>
    <w:rsid w:val="00F50A3A"/>
    <w:rsid w:val="00F51EB4"/>
    <w:rsid w:val="00F53A68"/>
    <w:rsid w:val="00F54184"/>
    <w:rsid w:val="00F54C85"/>
    <w:rsid w:val="00F57B95"/>
    <w:rsid w:val="00F62A1E"/>
    <w:rsid w:val="00F64DB9"/>
    <w:rsid w:val="00F65513"/>
    <w:rsid w:val="00F679AD"/>
    <w:rsid w:val="00F7284C"/>
    <w:rsid w:val="00F76801"/>
    <w:rsid w:val="00F77DE8"/>
    <w:rsid w:val="00F77FF9"/>
    <w:rsid w:val="00F808CB"/>
    <w:rsid w:val="00F85399"/>
    <w:rsid w:val="00F853D2"/>
    <w:rsid w:val="00F93183"/>
    <w:rsid w:val="00F949C5"/>
    <w:rsid w:val="00F958DB"/>
    <w:rsid w:val="00F971F2"/>
    <w:rsid w:val="00FA035F"/>
    <w:rsid w:val="00FA686C"/>
    <w:rsid w:val="00FA6932"/>
    <w:rsid w:val="00FB38F7"/>
    <w:rsid w:val="00FB3972"/>
    <w:rsid w:val="00FB43A8"/>
    <w:rsid w:val="00FB5814"/>
    <w:rsid w:val="00FB70DE"/>
    <w:rsid w:val="00FC2BD1"/>
    <w:rsid w:val="00FC2F02"/>
    <w:rsid w:val="00FC45AF"/>
    <w:rsid w:val="00FD0346"/>
    <w:rsid w:val="00FD17C2"/>
    <w:rsid w:val="00FD634F"/>
    <w:rsid w:val="00FE0A7C"/>
    <w:rsid w:val="00FE2611"/>
    <w:rsid w:val="00FE5E64"/>
    <w:rsid w:val="00FF2067"/>
    <w:rsid w:val="00FF3FFA"/>
    <w:rsid w:val="00FF512D"/>
    <w:rsid w:val="00FF698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e1e1ff,#069,#bad1e8,#afd787,#cde6b4,#d1e8ba,#0000ac"/>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979EA"/>
    <w:pPr>
      <w:spacing w:after="180" w:line="264" w:lineRule="auto"/>
    </w:pPr>
    <w:rPr>
      <w:sz w:val="22"/>
    </w:rPr>
  </w:style>
  <w:style w:type="paragraph" w:styleId="Heading1">
    <w:name w:val="heading 1"/>
    <w:basedOn w:val="Normal"/>
    <w:next w:val="BodyText"/>
    <w:qFormat/>
    <w:rsid w:val="00A900DC"/>
    <w:pPr>
      <w:keepNext/>
      <w:keepLines/>
      <w:pageBreakBefore/>
      <w:numPr>
        <w:numId w:val="4"/>
      </w:numPr>
      <w:pBdr>
        <w:top w:val="single" w:sz="6" w:space="3" w:color="DA291C"/>
        <w:bottom w:val="single" w:sz="6" w:space="3" w:color="DA291C"/>
      </w:pBdr>
      <w:shd w:val="clear" w:color="auto" w:fill="DA291C"/>
      <w:outlineLvl w:val="0"/>
    </w:pPr>
    <w:rPr>
      <w:rFonts w:ascii="Arial" w:hAnsi="Arial"/>
      <w:b/>
      <w:color w:val="FFFFFF"/>
      <w:kern w:val="28"/>
      <w:sz w:val="28"/>
    </w:rPr>
  </w:style>
  <w:style w:type="paragraph" w:styleId="Heading2">
    <w:name w:val="heading 2"/>
    <w:basedOn w:val="Normal"/>
    <w:next w:val="BodyText"/>
    <w:qFormat/>
    <w:rsid w:val="002A5FC8"/>
    <w:pPr>
      <w:keepNext/>
      <w:numPr>
        <w:ilvl w:val="1"/>
        <w:numId w:val="4"/>
      </w:numPr>
      <w:pBdr>
        <w:top w:val="single" w:sz="6" w:space="1" w:color="D0D3D4"/>
        <w:bottom w:val="single" w:sz="6" w:space="1" w:color="D0D3D4"/>
      </w:pBdr>
      <w:shd w:val="clear" w:color="auto" w:fill="D0D3D4"/>
      <w:spacing w:before="120" w:after="120"/>
      <w:outlineLvl w:val="1"/>
    </w:pPr>
    <w:rPr>
      <w:rFonts w:ascii="Arial" w:hAnsi="Arial" w:cs="Arial"/>
      <w:b/>
      <w:bCs/>
      <w:iCs/>
      <w:color w:val="000000" w:themeColor="text1"/>
      <w:sz w:val="24"/>
      <w:szCs w:val="28"/>
    </w:rPr>
  </w:style>
  <w:style w:type="paragraph" w:styleId="Heading3">
    <w:name w:val="heading 3"/>
    <w:basedOn w:val="Normal"/>
    <w:next w:val="BodyText"/>
    <w:qFormat/>
    <w:rsid w:val="001034D7"/>
    <w:pPr>
      <w:keepNext/>
      <w:numPr>
        <w:ilvl w:val="2"/>
        <w:numId w:val="4"/>
      </w:numPr>
      <w:spacing w:before="60" w:after="120"/>
      <w:outlineLvl w:val="2"/>
    </w:pPr>
    <w:rPr>
      <w:rFonts w:ascii="Arial" w:hAnsi="Arial"/>
      <w:b/>
      <w:color w:val="DA291C"/>
      <w:sz w:val="20"/>
    </w:rPr>
  </w:style>
  <w:style w:type="paragraph" w:styleId="Heading4">
    <w:name w:val="heading 4"/>
    <w:basedOn w:val="Normal"/>
    <w:next w:val="BodyText"/>
    <w:qFormat/>
    <w:rsid w:val="00B60F2A"/>
    <w:pPr>
      <w:keepNext/>
      <w:numPr>
        <w:ilvl w:val="3"/>
        <w:numId w:val="4"/>
      </w:numPr>
      <w:spacing w:before="60" w:after="60"/>
      <w:outlineLvl w:val="3"/>
    </w:pPr>
    <w:rPr>
      <w:b/>
      <w:i/>
    </w:rPr>
  </w:style>
  <w:style w:type="paragraph" w:styleId="Heading5">
    <w:name w:val="heading 5"/>
    <w:basedOn w:val="Normal"/>
    <w:next w:val="BodyText"/>
    <w:qFormat/>
    <w:rsid w:val="001034D7"/>
    <w:pPr>
      <w:keepNext/>
      <w:keepLines/>
      <w:numPr>
        <w:ilvl w:val="4"/>
        <w:numId w:val="4"/>
      </w:numPr>
      <w:spacing w:before="60" w:after="120"/>
      <w:outlineLvl w:val="4"/>
    </w:pPr>
    <w:rPr>
      <w:b/>
      <w:i/>
      <w:color w:val="DA291C"/>
    </w:rPr>
  </w:style>
  <w:style w:type="paragraph" w:styleId="Heading6">
    <w:name w:val="heading 6"/>
    <w:basedOn w:val="Normal"/>
    <w:next w:val="Normal"/>
    <w:qFormat/>
    <w:rsid w:val="00495B91"/>
    <w:pPr>
      <w:numPr>
        <w:ilvl w:val="5"/>
        <w:numId w:val="4"/>
      </w:numPr>
      <w:spacing w:before="60" w:after="60"/>
      <w:outlineLvl w:val="5"/>
    </w:pPr>
    <w:rPr>
      <w:b/>
      <w:bCs/>
      <w:szCs w:val="22"/>
    </w:rPr>
  </w:style>
  <w:style w:type="paragraph" w:styleId="Heading7">
    <w:name w:val="heading 7"/>
    <w:basedOn w:val="Normal"/>
    <w:next w:val="Normal"/>
    <w:qFormat/>
    <w:rsid w:val="003A3403"/>
    <w:pPr>
      <w:numPr>
        <w:ilvl w:val="6"/>
        <w:numId w:val="4"/>
      </w:numPr>
      <w:spacing w:before="240" w:after="60"/>
      <w:outlineLvl w:val="6"/>
    </w:pPr>
    <w:rPr>
      <w:sz w:val="24"/>
      <w:szCs w:val="24"/>
    </w:rPr>
  </w:style>
  <w:style w:type="paragraph" w:styleId="Heading8">
    <w:name w:val="heading 8"/>
    <w:basedOn w:val="Normal"/>
    <w:next w:val="Normal"/>
    <w:qFormat/>
    <w:rsid w:val="003A3403"/>
    <w:pPr>
      <w:numPr>
        <w:ilvl w:val="7"/>
        <w:numId w:val="4"/>
      </w:numPr>
      <w:spacing w:before="240" w:after="60"/>
      <w:outlineLvl w:val="7"/>
    </w:pPr>
    <w:rPr>
      <w:i/>
      <w:iCs/>
      <w:sz w:val="24"/>
      <w:szCs w:val="24"/>
    </w:rPr>
  </w:style>
  <w:style w:type="paragraph" w:styleId="Heading9">
    <w:name w:val="heading 9"/>
    <w:basedOn w:val="Normal"/>
    <w:next w:val="Normal"/>
    <w:qFormat/>
    <w:rsid w:val="003A3403"/>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967D7C"/>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rsid w:val="00967D7C"/>
    <w:rPr>
      <w:rFonts w:ascii="Arial" w:hAnsi="Arial"/>
      <w:b/>
      <w:color w:val="595959" w:themeColor="text1" w:themeTint="A6"/>
      <w:sz w:val="18"/>
    </w:rPr>
  </w:style>
  <w:style w:type="paragraph" w:customStyle="1" w:styleId="ExhibitRowHeader">
    <w:name w:val="Exhibit Row Header"/>
    <w:basedOn w:val="BodyText"/>
    <w:rsid w:val="00E33231"/>
    <w:pPr>
      <w:spacing w:before="20" w:after="20" w:line="240" w:lineRule="auto"/>
      <w:jc w:val="center"/>
    </w:pPr>
    <w:rPr>
      <w:rFonts w:ascii="Arial" w:hAnsi="Arial" w:cs="Arial"/>
      <w:b/>
      <w:color w:val="F8F8F8"/>
      <w:sz w:val="20"/>
    </w:rPr>
  </w:style>
  <w:style w:type="paragraph" w:styleId="BodyText">
    <w:name w:val="Body Text"/>
    <w:basedOn w:val="Normal"/>
    <w:link w:val="BodyTextChar"/>
    <w:rsid w:val="0005750B"/>
  </w:style>
  <w:style w:type="character" w:customStyle="1" w:styleId="BodyTextChar">
    <w:name w:val="Body Text Char"/>
    <w:basedOn w:val="DefaultParagraphFont"/>
    <w:link w:val="BodyText"/>
    <w:rsid w:val="0005750B"/>
    <w:rPr>
      <w:sz w:val="22"/>
    </w:rPr>
  </w:style>
  <w:style w:type="character" w:styleId="PageNumber">
    <w:name w:val="page number"/>
    <w:basedOn w:val="DefaultParagraphFont"/>
    <w:rsid w:val="001034D7"/>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rsid w:val="00C6380F"/>
    <w:pPr>
      <w:spacing w:after="180"/>
    </w:pPr>
  </w:style>
  <w:style w:type="paragraph" w:customStyle="1" w:styleId="Bullets">
    <w:name w:val="Bullets"/>
    <w:basedOn w:val="BodyText"/>
    <w:rsid w:val="001034D7"/>
    <w:pPr>
      <w:numPr>
        <w:numId w:val="3"/>
      </w:numPr>
      <w:spacing w:after="120"/>
    </w:pPr>
  </w:style>
  <w:style w:type="paragraph" w:customStyle="1" w:styleId="RefNumbers">
    <w:name w:val="Ref Numbers"/>
    <w:basedOn w:val="BodyText"/>
    <w:rsid w:val="00650B96"/>
    <w:pPr>
      <w:numPr>
        <w:numId w:val="2"/>
      </w:numPr>
      <w:spacing w:after="240"/>
    </w:pPr>
  </w:style>
  <w:style w:type="paragraph" w:styleId="Header">
    <w:name w:val="header"/>
    <w:basedOn w:val="Normal"/>
    <w:rsid w:val="001034D7"/>
    <w:pPr>
      <w:pBdr>
        <w:bottom w:val="single" w:sz="12" w:space="1" w:color="898D8D"/>
      </w:pBdr>
      <w:tabs>
        <w:tab w:val="center" w:pos="4507"/>
        <w:tab w:val="right" w:pos="9000"/>
      </w:tabs>
    </w:pPr>
    <w:rPr>
      <w:rFonts w:ascii="Arial" w:hAnsi="Arial"/>
      <w:b/>
      <w:color w:val="595959" w:themeColor="text1" w:themeTint="A6"/>
      <w:sz w:val="18"/>
    </w:rPr>
  </w:style>
  <w:style w:type="paragraph" w:styleId="TOC1">
    <w:name w:val="toc 1"/>
    <w:basedOn w:val="BodyText"/>
    <w:next w:val="BodyText"/>
    <w:uiPriority w:val="39"/>
    <w:rsid w:val="00190EC9"/>
    <w:pPr>
      <w:tabs>
        <w:tab w:val="left" w:pos="540"/>
        <w:tab w:val="right" w:leader="dot" w:pos="8990"/>
      </w:tabs>
      <w:spacing w:before="240" w:after="0"/>
    </w:pPr>
    <w:rPr>
      <w:b/>
      <w:noProof/>
    </w:rPr>
  </w:style>
  <w:style w:type="character" w:styleId="CommentReference">
    <w:name w:val="annotation reference"/>
    <w:basedOn w:val="DefaultParagraphFont"/>
    <w:semiHidden/>
    <w:rsid w:val="00650B96"/>
    <w:rPr>
      <w:sz w:val="16"/>
    </w:rPr>
  </w:style>
  <w:style w:type="paragraph" w:styleId="TOC2">
    <w:name w:val="toc 2"/>
    <w:basedOn w:val="BodyText"/>
    <w:next w:val="BodyText"/>
    <w:uiPriority w:val="39"/>
    <w:rsid w:val="006F480F"/>
    <w:pPr>
      <w:tabs>
        <w:tab w:val="left" w:pos="1260"/>
        <w:tab w:val="right" w:leader="dot" w:pos="8990"/>
      </w:tabs>
      <w:spacing w:before="120" w:after="0"/>
      <w:ind w:left="547"/>
    </w:pPr>
    <w:rPr>
      <w:noProof/>
    </w:rPr>
  </w:style>
  <w:style w:type="paragraph" w:styleId="TOC3">
    <w:name w:val="toc 3"/>
    <w:basedOn w:val="BodyText"/>
    <w:next w:val="BodyText"/>
    <w:uiPriority w:val="39"/>
    <w:rsid w:val="00190EC9"/>
    <w:pPr>
      <w:tabs>
        <w:tab w:val="left" w:pos="1980"/>
        <w:tab w:val="right" w:leader="dot" w:pos="9000"/>
      </w:tabs>
      <w:spacing w:after="0"/>
      <w:ind w:left="1980" w:right="576" w:hanging="720"/>
    </w:pPr>
    <w:rPr>
      <w:noProof/>
    </w:rPr>
  </w:style>
  <w:style w:type="paragraph" w:styleId="TOC4">
    <w:name w:val="toc 4"/>
    <w:basedOn w:val="BodyText"/>
    <w:next w:val="BodyText"/>
    <w:semiHidden/>
    <w:rsid w:val="00650B96"/>
    <w:pPr>
      <w:ind w:left="1728"/>
    </w:pPr>
  </w:style>
  <w:style w:type="paragraph" w:styleId="TOC5">
    <w:name w:val="toc 5"/>
    <w:basedOn w:val="Normal"/>
    <w:next w:val="Normal"/>
    <w:autoRedefine/>
    <w:semiHidden/>
    <w:rsid w:val="00650B96"/>
    <w:pPr>
      <w:ind w:left="960"/>
    </w:pPr>
  </w:style>
  <w:style w:type="paragraph" w:styleId="TOC6">
    <w:name w:val="toc 6"/>
    <w:basedOn w:val="Normal"/>
    <w:next w:val="Normal"/>
    <w:autoRedefine/>
    <w:semiHidden/>
    <w:rsid w:val="00650B96"/>
    <w:pPr>
      <w:ind w:left="1200"/>
    </w:pPr>
  </w:style>
  <w:style w:type="paragraph" w:styleId="TOC7">
    <w:name w:val="toc 7"/>
    <w:basedOn w:val="Normal"/>
    <w:next w:val="Normal"/>
    <w:autoRedefine/>
    <w:semiHidden/>
    <w:rsid w:val="00650B96"/>
    <w:pPr>
      <w:ind w:left="1440"/>
    </w:pPr>
  </w:style>
  <w:style w:type="paragraph" w:styleId="TOC8">
    <w:name w:val="toc 8"/>
    <w:basedOn w:val="Normal"/>
    <w:next w:val="Normal"/>
    <w:autoRedefine/>
    <w:semiHidden/>
    <w:rsid w:val="00650B96"/>
    <w:pPr>
      <w:ind w:left="1680"/>
    </w:pPr>
  </w:style>
  <w:style w:type="paragraph" w:styleId="TOC9">
    <w:name w:val="toc 9"/>
    <w:basedOn w:val="Normal"/>
    <w:next w:val="Normal"/>
    <w:autoRedefine/>
    <w:semiHidden/>
    <w:rsid w:val="00650B96"/>
    <w:pPr>
      <w:ind w:left="1920"/>
    </w:pPr>
  </w:style>
  <w:style w:type="character" w:styleId="FootnoteReference">
    <w:name w:val="footnote reference"/>
    <w:basedOn w:val="DefaultParagraphFont"/>
    <w:rsid w:val="007B1904"/>
    <w:rPr>
      <w:vertAlign w:val="superscript"/>
    </w:rPr>
  </w:style>
  <w:style w:type="paragraph" w:customStyle="1" w:styleId="Exhibit">
    <w:name w:val="Exhibit"/>
    <w:basedOn w:val="Normal"/>
    <w:rsid w:val="00223A9F"/>
    <w:rPr>
      <w:rFonts w:ascii="Arial" w:hAnsi="Arial"/>
      <w:sz w:val="18"/>
    </w:rPr>
  </w:style>
  <w:style w:type="paragraph" w:styleId="FootnoteText">
    <w:name w:val="footnote text"/>
    <w:basedOn w:val="Normal"/>
    <w:link w:val="FootnoteTextChar"/>
    <w:rsid w:val="00650B96"/>
    <w:pPr>
      <w:spacing w:after="120"/>
      <w:ind w:left="360" w:hanging="360"/>
    </w:pPr>
    <w:rPr>
      <w:sz w:val="20"/>
    </w:rPr>
  </w:style>
  <w:style w:type="paragraph" w:styleId="Index1">
    <w:name w:val="index 1"/>
    <w:basedOn w:val="Normal"/>
    <w:next w:val="Normal"/>
    <w:autoRedefine/>
    <w:semiHidden/>
    <w:rsid w:val="00650B96"/>
    <w:pPr>
      <w:ind w:left="220" w:hanging="220"/>
    </w:pPr>
    <w:rPr>
      <w:sz w:val="20"/>
    </w:rPr>
  </w:style>
  <w:style w:type="paragraph" w:styleId="Index2">
    <w:name w:val="index 2"/>
    <w:basedOn w:val="Normal"/>
    <w:next w:val="Normal"/>
    <w:autoRedefine/>
    <w:semiHidden/>
    <w:rsid w:val="00650B96"/>
    <w:pPr>
      <w:ind w:left="440" w:hanging="220"/>
    </w:pPr>
    <w:rPr>
      <w:sz w:val="20"/>
    </w:rPr>
  </w:style>
  <w:style w:type="paragraph" w:styleId="Index3">
    <w:name w:val="index 3"/>
    <w:basedOn w:val="Normal"/>
    <w:next w:val="Normal"/>
    <w:autoRedefine/>
    <w:semiHidden/>
    <w:rsid w:val="00650B96"/>
    <w:pPr>
      <w:ind w:left="660" w:hanging="220"/>
    </w:pPr>
    <w:rPr>
      <w:sz w:val="20"/>
    </w:rPr>
  </w:style>
  <w:style w:type="paragraph" w:customStyle="1" w:styleId="Numbers">
    <w:name w:val="Numbers"/>
    <w:basedOn w:val="BodyText"/>
    <w:rsid w:val="00650B96"/>
    <w:pPr>
      <w:numPr>
        <w:numId w:val="1"/>
      </w:numPr>
      <w:ind w:left="720"/>
    </w:pPr>
  </w:style>
  <w:style w:type="paragraph" w:customStyle="1" w:styleId="BoxText">
    <w:name w:val="Box Text"/>
    <w:basedOn w:val="BodyText"/>
    <w:rsid w:val="00C6380F"/>
    <w:rPr>
      <w:rFonts w:ascii="Arial" w:hAnsi="Arial" w:cs="Arial"/>
      <w:sz w:val="18"/>
    </w:rPr>
  </w:style>
  <w:style w:type="paragraph" w:styleId="CommentText">
    <w:name w:val="annotation text"/>
    <w:basedOn w:val="Normal"/>
    <w:link w:val="CommentTextChar"/>
    <w:semiHidden/>
    <w:rsid w:val="00D34EEE"/>
    <w:rPr>
      <w:sz w:val="20"/>
    </w:rPr>
  </w:style>
  <w:style w:type="paragraph" w:styleId="CommentSubject">
    <w:name w:val="annotation subject"/>
    <w:basedOn w:val="CommentText"/>
    <w:next w:val="CommentText"/>
    <w:semiHidden/>
    <w:rsid w:val="00D34EEE"/>
    <w:rPr>
      <w:b/>
      <w:bCs/>
    </w:rPr>
  </w:style>
  <w:style w:type="paragraph" w:styleId="BalloonText">
    <w:name w:val="Balloon Text"/>
    <w:basedOn w:val="Normal"/>
    <w:semiHidden/>
    <w:rsid w:val="00D34EEE"/>
    <w:rPr>
      <w:rFonts w:ascii="Tahoma" w:hAnsi="Tahoma" w:cs="Tahoma"/>
      <w:sz w:val="16"/>
      <w:szCs w:val="16"/>
    </w:rPr>
  </w:style>
  <w:style w:type="table" w:styleId="TableGrid">
    <w:name w:val="Table Grid"/>
    <w:basedOn w:val="TableNormal"/>
    <w:uiPriority w:val="59"/>
    <w:rsid w:val="005B1AC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752119"/>
    <w:rPr>
      <w:color w:val="0000FF"/>
      <w:u w:val="single"/>
    </w:rPr>
  </w:style>
  <w:style w:type="paragraph" w:customStyle="1" w:styleId="TOCHeader">
    <w:name w:val="TOC Header"/>
    <w:basedOn w:val="Normal"/>
    <w:next w:val="BodyText"/>
    <w:rsid w:val="002064D3"/>
    <w:rPr>
      <w:rFonts w:ascii="Arial" w:hAnsi="Arial"/>
      <w:b/>
      <w:color w:val="898D8D"/>
      <w:sz w:val="24"/>
    </w:rPr>
  </w:style>
  <w:style w:type="paragraph" w:customStyle="1" w:styleId="ReportTitle-TOCPage">
    <w:name w:val="Report Title - TOC Page"/>
    <w:basedOn w:val="Normal"/>
    <w:next w:val="BodyText"/>
    <w:rsid w:val="006B1DA6"/>
    <w:pPr>
      <w:pBdr>
        <w:top w:val="single" w:sz="2" w:space="2" w:color="DA291C"/>
        <w:bottom w:val="single" w:sz="2" w:space="2" w:color="DA291C"/>
      </w:pBdr>
      <w:shd w:val="clear" w:color="auto" w:fill="DA291C"/>
      <w:tabs>
        <w:tab w:val="left" w:pos="1170"/>
      </w:tabs>
    </w:pPr>
    <w:rPr>
      <w:rFonts w:ascii="Arial Bold" w:hAnsi="Arial Bold"/>
      <w:b/>
      <w:color w:val="FFFFFF"/>
      <w:sz w:val="24"/>
      <w:szCs w:val="24"/>
    </w:rPr>
  </w:style>
  <w:style w:type="paragraph" w:styleId="Caption">
    <w:name w:val="caption"/>
    <w:basedOn w:val="Normal"/>
    <w:next w:val="Normal"/>
    <w:qFormat/>
    <w:rsid w:val="00A900DC"/>
    <w:pPr>
      <w:keepNext/>
      <w:keepLines/>
      <w:widowControl w:val="0"/>
      <w:tabs>
        <w:tab w:val="left" w:pos="1440"/>
      </w:tabs>
      <w:spacing w:after="120"/>
      <w:ind w:left="1440" w:hanging="1440"/>
    </w:pPr>
    <w:rPr>
      <w:rFonts w:ascii="Arial" w:hAnsi="Arial"/>
      <w:b/>
      <w:bCs/>
      <w:sz w:val="20"/>
    </w:rPr>
  </w:style>
  <w:style w:type="paragraph" w:customStyle="1" w:styleId="FooterLandscape">
    <w:name w:val="Footer Landscape"/>
    <w:basedOn w:val="Footer"/>
    <w:rsid w:val="00EE1D07"/>
    <w:pPr>
      <w:tabs>
        <w:tab w:val="clear" w:pos="4507"/>
        <w:tab w:val="clear" w:pos="9000"/>
        <w:tab w:val="center" w:pos="6480"/>
        <w:tab w:val="right" w:pos="12960"/>
      </w:tabs>
    </w:pPr>
  </w:style>
  <w:style w:type="paragraph" w:customStyle="1" w:styleId="CoverTechorBusiness">
    <w:name w:val="Cover Tech or Business"/>
    <w:basedOn w:val="Normal"/>
    <w:qFormat/>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rsid w:val="0066134E"/>
    <w:pPr>
      <w:spacing w:after="120"/>
    </w:pPr>
  </w:style>
  <w:style w:type="paragraph" w:customStyle="1" w:styleId="ProposalTitle">
    <w:name w:val="Proposal Title"/>
    <w:basedOn w:val="Normal"/>
    <w:qFormat/>
    <w:rsid w:val="00536DB4"/>
    <w:pPr>
      <w:autoSpaceDE w:val="0"/>
      <w:autoSpaceDN w:val="0"/>
      <w:adjustRightInd w:val="0"/>
      <w:ind w:left="6696" w:right="-792"/>
    </w:pPr>
    <w:rPr>
      <w:b/>
      <w:sz w:val="32"/>
      <w:szCs w:val="32"/>
    </w:rPr>
  </w:style>
  <w:style w:type="paragraph" w:customStyle="1" w:styleId="RFPNumber">
    <w:name w:val="RFP Number"/>
    <w:basedOn w:val="Normal"/>
    <w:qFormat/>
    <w:rsid w:val="00536DB4"/>
    <w:pPr>
      <w:autoSpaceDE w:val="0"/>
      <w:autoSpaceDN w:val="0"/>
      <w:adjustRightInd w:val="0"/>
      <w:ind w:left="6696" w:right="-792"/>
    </w:pPr>
    <w:rPr>
      <w:sz w:val="32"/>
      <w:szCs w:val="32"/>
    </w:rPr>
  </w:style>
  <w:style w:type="paragraph" w:customStyle="1" w:styleId="CoverTextRed16pt">
    <w:name w:val="Cover Text  Red 16pt"/>
    <w:basedOn w:val="Normal"/>
    <w:qFormat/>
    <w:rsid w:val="006B1DA6"/>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qFormat/>
    <w:rsid w:val="001E2CF1"/>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qFormat/>
    <w:rsid w:val="001E2CF1"/>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paragraph" w:customStyle="1" w:styleId="DisclaimerText">
    <w:name w:val="Disclaimer Text"/>
    <w:basedOn w:val="Normal"/>
    <w:qFormat/>
    <w:rsid w:val="00536DB4"/>
    <w:rPr>
      <w:sz w:val="18"/>
      <w:szCs w:val="18"/>
    </w:rPr>
  </w:style>
  <w:style w:type="character" w:customStyle="1" w:styleId="FootnoteTextChar">
    <w:name w:val="Footnote Text Char"/>
    <w:basedOn w:val="DefaultParagraphFont"/>
    <w:link w:val="FootnoteText"/>
    <w:rsid w:val="00574572"/>
  </w:style>
  <w:style w:type="paragraph" w:customStyle="1" w:styleId="TableText">
    <w:name w:val="Table Text"/>
    <w:basedOn w:val="Normal"/>
    <w:qFormat/>
    <w:rsid w:val="009550AD"/>
    <w:pPr>
      <w:spacing w:before="40" w:after="40"/>
    </w:pPr>
    <w:rPr>
      <w:rFonts w:ascii="Arial" w:hAnsi="Arial" w:cs="Arial"/>
      <w:bCs/>
      <w:color w:val="000000"/>
      <w:sz w:val="20"/>
    </w:rPr>
  </w:style>
  <w:style w:type="paragraph" w:customStyle="1" w:styleId="ExhibitSource">
    <w:name w:val="Exhibit Source"/>
    <w:basedOn w:val="Normal"/>
    <w:qFormat/>
    <w:rsid w:val="00434F63"/>
    <w:pPr>
      <w:spacing w:before="120" w:after="240"/>
    </w:pPr>
    <w:rPr>
      <w:rFonts w:ascii="Arial" w:hAnsi="Arial" w:cs="Arial"/>
      <w:sz w:val="18"/>
    </w:rPr>
  </w:style>
  <w:style w:type="paragraph" w:customStyle="1" w:styleId="ExhibitText">
    <w:name w:val="Exhibit Text"/>
    <w:basedOn w:val="TableText"/>
    <w:qFormat/>
    <w:rsid w:val="009550AD"/>
  </w:style>
  <w:style w:type="paragraph" w:customStyle="1" w:styleId="ExhibitColumnHeader">
    <w:name w:val="Exhibit Column Header"/>
    <w:basedOn w:val="ExhibitRowHeader"/>
    <w:qFormat/>
    <w:rsid w:val="001E2CF1"/>
    <w:rPr>
      <w:color w:val="000000" w:themeColor="text1"/>
    </w:rPr>
  </w:style>
  <w:style w:type="paragraph" w:customStyle="1" w:styleId="CoverTextGreyBold">
    <w:name w:val="Cover Text Grey Bold"/>
    <w:basedOn w:val="Normal"/>
    <w:qFormat/>
    <w:rsid w:val="00744E2C"/>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qFormat/>
    <w:rsid w:val="00744E2C"/>
    <w:pPr>
      <w:shd w:val="solid" w:color="FFFFFF" w:fill="FFFFFF"/>
      <w:spacing w:line="240" w:lineRule="auto"/>
      <w:jc w:val="both"/>
    </w:pPr>
    <w:rPr>
      <w:rFonts w:ascii="Arial" w:hAnsi="Arial"/>
      <w:color w:val="000000"/>
      <w:sz w:val="18"/>
    </w:rPr>
  </w:style>
  <w:style w:type="paragraph" w:customStyle="1" w:styleId="AbtHeadC">
    <w:name w:val="AbtHead C"/>
    <w:basedOn w:val="Normal"/>
    <w:next w:val="BodyText"/>
    <w:rsid w:val="00003288"/>
    <w:pPr>
      <w:keepNext/>
      <w:keepLines/>
      <w:tabs>
        <w:tab w:val="left" w:pos="720"/>
        <w:tab w:val="left" w:pos="1080"/>
        <w:tab w:val="left" w:pos="1440"/>
        <w:tab w:val="left" w:pos="1800"/>
      </w:tabs>
      <w:spacing w:after="240"/>
      <w:outlineLvl w:val="2"/>
    </w:pPr>
    <w:rPr>
      <w:rFonts w:ascii="Arial" w:hAnsi="Arial"/>
      <w:b/>
      <w:sz w:val="20"/>
    </w:rPr>
  </w:style>
  <w:style w:type="paragraph" w:styleId="NoSpacing">
    <w:name w:val="No Spacing"/>
    <w:uiPriority w:val="1"/>
    <w:qFormat/>
    <w:rsid w:val="00F51EB4"/>
    <w:rPr>
      <w:rFonts w:asciiTheme="minorHAnsi" w:eastAsiaTheme="minorHAnsi" w:hAnsiTheme="minorHAnsi" w:cstheme="minorBidi"/>
      <w:sz w:val="22"/>
      <w:szCs w:val="22"/>
    </w:rPr>
  </w:style>
  <w:style w:type="paragraph" w:styleId="ListParagraph">
    <w:name w:val="List Paragraph"/>
    <w:basedOn w:val="Normal"/>
    <w:uiPriority w:val="34"/>
    <w:qFormat/>
    <w:rsid w:val="00CF07C4"/>
    <w:pPr>
      <w:spacing w:after="200" w:line="276" w:lineRule="auto"/>
      <w:ind w:left="720"/>
      <w:contextualSpacing/>
    </w:pPr>
    <w:rPr>
      <w:rFonts w:asciiTheme="minorHAnsi" w:eastAsiaTheme="minorHAnsi" w:hAnsiTheme="minorHAnsi" w:cstheme="minorBidi"/>
      <w:szCs w:val="22"/>
    </w:rPr>
  </w:style>
  <w:style w:type="character" w:customStyle="1" w:styleId="CommentTextChar">
    <w:name w:val="Comment Text Char"/>
    <w:basedOn w:val="DefaultParagraphFont"/>
    <w:link w:val="CommentText"/>
    <w:uiPriority w:val="99"/>
    <w:semiHidden/>
    <w:rsid w:val="00C806E7"/>
  </w:style>
  <w:style w:type="table" w:customStyle="1" w:styleId="TableGrid1">
    <w:name w:val="Table Grid1"/>
    <w:basedOn w:val="TableNormal"/>
    <w:next w:val="TableGrid"/>
    <w:uiPriority w:val="59"/>
    <w:rsid w:val="00C806E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rsid w:val="00E67B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rPr>
  </w:style>
  <w:style w:type="character" w:customStyle="1" w:styleId="HTMLPreformattedChar">
    <w:name w:val="HTML Preformatted Char"/>
    <w:basedOn w:val="DefaultParagraphFont"/>
    <w:link w:val="HTMLPreformatted"/>
    <w:rsid w:val="00E67B33"/>
    <w:rPr>
      <w:rFonts w:ascii="Courier New" w:hAnsi="Courier New" w:cs="Courier New"/>
    </w:rPr>
  </w:style>
  <w:style w:type="paragraph" w:customStyle="1" w:styleId="ExhibitColumnHeads">
    <w:name w:val="Exhibit Column Heads"/>
    <w:basedOn w:val="BodyText"/>
    <w:rsid w:val="002F4833"/>
    <w:pPr>
      <w:spacing w:before="20" w:after="20" w:line="240" w:lineRule="auto"/>
      <w:jc w:val="center"/>
    </w:pPr>
    <w:rPr>
      <w:rFonts w:ascii="Arial" w:hAnsi="Arial" w:cs="Arial"/>
      <w:b/>
      <w:sz w:val="20"/>
    </w:rPr>
  </w:style>
  <w:style w:type="paragraph" w:customStyle="1" w:styleId="Default">
    <w:name w:val="Default"/>
    <w:rsid w:val="009D3FBB"/>
    <w:pPr>
      <w:autoSpaceDE w:val="0"/>
      <w:autoSpaceDN w:val="0"/>
      <w:adjustRightInd w:val="0"/>
    </w:pPr>
    <w:rPr>
      <w:color w:val="000000"/>
      <w:sz w:val="24"/>
      <w:szCs w:val="24"/>
    </w:rPr>
  </w:style>
  <w:style w:type="paragraph" w:customStyle="1" w:styleId="Bullet2Last">
    <w:name w:val="Bullet2Last"/>
    <w:basedOn w:val="Bullet2"/>
    <w:next w:val="Normal"/>
    <w:qFormat/>
    <w:rsid w:val="00A900DC"/>
    <w:pPr>
      <w:spacing w:after="240"/>
    </w:pPr>
  </w:style>
  <w:style w:type="paragraph" w:styleId="Revision">
    <w:name w:val="Revision"/>
    <w:hidden/>
    <w:uiPriority w:val="99"/>
    <w:semiHidden/>
    <w:rsid w:val="007C4BA1"/>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979EA"/>
    <w:pPr>
      <w:spacing w:after="180" w:line="264" w:lineRule="auto"/>
    </w:pPr>
    <w:rPr>
      <w:sz w:val="22"/>
    </w:rPr>
  </w:style>
  <w:style w:type="paragraph" w:styleId="Heading1">
    <w:name w:val="heading 1"/>
    <w:basedOn w:val="Normal"/>
    <w:next w:val="BodyText"/>
    <w:qFormat/>
    <w:rsid w:val="00A900DC"/>
    <w:pPr>
      <w:keepNext/>
      <w:keepLines/>
      <w:pageBreakBefore/>
      <w:numPr>
        <w:numId w:val="4"/>
      </w:numPr>
      <w:pBdr>
        <w:top w:val="single" w:sz="6" w:space="3" w:color="DA291C"/>
        <w:bottom w:val="single" w:sz="6" w:space="3" w:color="DA291C"/>
      </w:pBdr>
      <w:shd w:val="clear" w:color="auto" w:fill="DA291C"/>
      <w:outlineLvl w:val="0"/>
    </w:pPr>
    <w:rPr>
      <w:rFonts w:ascii="Arial" w:hAnsi="Arial"/>
      <w:b/>
      <w:color w:val="FFFFFF"/>
      <w:kern w:val="28"/>
      <w:sz w:val="28"/>
    </w:rPr>
  </w:style>
  <w:style w:type="paragraph" w:styleId="Heading2">
    <w:name w:val="heading 2"/>
    <w:basedOn w:val="Normal"/>
    <w:next w:val="BodyText"/>
    <w:qFormat/>
    <w:rsid w:val="002A5FC8"/>
    <w:pPr>
      <w:keepNext/>
      <w:numPr>
        <w:ilvl w:val="1"/>
        <w:numId w:val="4"/>
      </w:numPr>
      <w:pBdr>
        <w:top w:val="single" w:sz="6" w:space="1" w:color="D0D3D4"/>
        <w:bottom w:val="single" w:sz="6" w:space="1" w:color="D0D3D4"/>
      </w:pBdr>
      <w:shd w:val="clear" w:color="auto" w:fill="D0D3D4"/>
      <w:spacing w:before="120" w:after="120"/>
      <w:outlineLvl w:val="1"/>
    </w:pPr>
    <w:rPr>
      <w:rFonts w:ascii="Arial" w:hAnsi="Arial" w:cs="Arial"/>
      <w:b/>
      <w:bCs/>
      <w:iCs/>
      <w:color w:val="000000" w:themeColor="text1"/>
      <w:sz w:val="24"/>
      <w:szCs w:val="28"/>
    </w:rPr>
  </w:style>
  <w:style w:type="paragraph" w:styleId="Heading3">
    <w:name w:val="heading 3"/>
    <w:basedOn w:val="Normal"/>
    <w:next w:val="BodyText"/>
    <w:qFormat/>
    <w:rsid w:val="001034D7"/>
    <w:pPr>
      <w:keepNext/>
      <w:numPr>
        <w:ilvl w:val="2"/>
        <w:numId w:val="4"/>
      </w:numPr>
      <w:spacing w:before="60" w:after="120"/>
      <w:outlineLvl w:val="2"/>
    </w:pPr>
    <w:rPr>
      <w:rFonts w:ascii="Arial" w:hAnsi="Arial"/>
      <w:b/>
      <w:color w:val="DA291C"/>
      <w:sz w:val="20"/>
    </w:rPr>
  </w:style>
  <w:style w:type="paragraph" w:styleId="Heading4">
    <w:name w:val="heading 4"/>
    <w:basedOn w:val="Normal"/>
    <w:next w:val="BodyText"/>
    <w:qFormat/>
    <w:rsid w:val="00B60F2A"/>
    <w:pPr>
      <w:keepNext/>
      <w:numPr>
        <w:ilvl w:val="3"/>
        <w:numId w:val="4"/>
      </w:numPr>
      <w:spacing w:before="60" w:after="60"/>
      <w:outlineLvl w:val="3"/>
    </w:pPr>
    <w:rPr>
      <w:b/>
      <w:i/>
    </w:rPr>
  </w:style>
  <w:style w:type="paragraph" w:styleId="Heading5">
    <w:name w:val="heading 5"/>
    <w:basedOn w:val="Normal"/>
    <w:next w:val="BodyText"/>
    <w:qFormat/>
    <w:rsid w:val="001034D7"/>
    <w:pPr>
      <w:keepNext/>
      <w:keepLines/>
      <w:numPr>
        <w:ilvl w:val="4"/>
        <w:numId w:val="4"/>
      </w:numPr>
      <w:spacing w:before="60" w:after="120"/>
      <w:outlineLvl w:val="4"/>
    </w:pPr>
    <w:rPr>
      <w:b/>
      <w:i/>
      <w:color w:val="DA291C"/>
    </w:rPr>
  </w:style>
  <w:style w:type="paragraph" w:styleId="Heading6">
    <w:name w:val="heading 6"/>
    <w:basedOn w:val="Normal"/>
    <w:next w:val="Normal"/>
    <w:qFormat/>
    <w:rsid w:val="00495B91"/>
    <w:pPr>
      <w:numPr>
        <w:ilvl w:val="5"/>
        <w:numId w:val="4"/>
      </w:numPr>
      <w:spacing w:before="60" w:after="60"/>
      <w:outlineLvl w:val="5"/>
    </w:pPr>
    <w:rPr>
      <w:b/>
      <w:bCs/>
      <w:szCs w:val="22"/>
    </w:rPr>
  </w:style>
  <w:style w:type="paragraph" w:styleId="Heading7">
    <w:name w:val="heading 7"/>
    <w:basedOn w:val="Normal"/>
    <w:next w:val="Normal"/>
    <w:qFormat/>
    <w:rsid w:val="003A3403"/>
    <w:pPr>
      <w:numPr>
        <w:ilvl w:val="6"/>
        <w:numId w:val="4"/>
      </w:numPr>
      <w:spacing w:before="240" w:after="60"/>
      <w:outlineLvl w:val="6"/>
    </w:pPr>
    <w:rPr>
      <w:sz w:val="24"/>
      <w:szCs w:val="24"/>
    </w:rPr>
  </w:style>
  <w:style w:type="paragraph" w:styleId="Heading8">
    <w:name w:val="heading 8"/>
    <w:basedOn w:val="Normal"/>
    <w:next w:val="Normal"/>
    <w:qFormat/>
    <w:rsid w:val="003A3403"/>
    <w:pPr>
      <w:numPr>
        <w:ilvl w:val="7"/>
        <w:numId w:val="4"/>
      </w:numPr>
      <w:spacing w:before="240" w:after="60"/>
      <w:outlineLvl w:val="7"/>
    </w:pPr>
    <w:rPr>
      <w:i/>
      <w:iCs/>
      <w:sz w:val="24"/>
      <w:szCs w:val="24"/>
    </w:rPr>
  </w:style>
  <w:style w:type="paragraph" w:styleId="Heading9">
    <w:name w:val="heading 9"/>
    <w:basedOn w:val="Normal"/>
    <w:next w:val="Normal"/>
    <w:qFormat/>
    <w:rsid w:val="003A3403"/>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967D7C"/>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rsid w:val="00967D7C"/>
    <w:rPr>
      <w:rFonts w:ascii="Arial" w:hAnsi="Arial"/>
      <w:b/>
      <w:color w:val="595959" w:themeColor="text1" w:themeTint="A6"/>
      <w:sz w:val="18"/>
    </w:rPr>
  </w:style>
  <w:style w:type="paragraph" w:customStyle="1" w:styleId="ExhibitRowHeader">
    <w:name w:val="Exhibit Row Header"/>
    <w:basedOn w:val="BodyText"/>
    <w:rsid w:val="00E33231"/>
    <w:pPr>
      <w:spacing w:before="20" w:after="20" w:line="240" w:lineRule="auto"/>
      <w:jc w:val="center"/>
    </w:pPr>
    <w:rPr>
      <w:rFonts w:ascii="Arial" w:hAnsi="Arial" w:cs="Arial"/>
      <w:b/>
      <w:color w:val="F8F8F8"/>
      <w:sz w:val="20"/>
    </w:rPr>
  </w:style>
  <w:style w:type="paragraph" w:styleId="BodyText">
    <w:name w:val="Body Text"/>
    <w:basedOn w:val="Normal"/>
    <w:link w:val="BodyTextChar"/>
    <w:rsid w:val="0005750B"/>
  </w:style>
  <w:style w:type="character" w:customStyle="1" w:styleId="BodyTextChar">
    <w:name w:val="Body Text Char"/>
    <w:basedOn w:val="DefaultParagraphFont"/>
    <w:link w:val="BodyText"/>
    <w:rsid w:val="0005750B"/>
    <w:rPr>
      <w:sz w:val="22"/>
    </w:rPr>
  </w:style>
  <w:style w:type="character" w:styleId="PageNumber">
    <w:name w:val="page number"/>
    <w:basedOn w:val="DefaultParagraphFont"/>
    <w:rsid w:val="001034D7"/>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rsid w:val="00C6380F"/>
    <w:pPr>
      <w:spacing w:after="180"/>
    </w:pPr>
  </w:style>
  <w:style w:type="paragraph" w:customStyle="1" w:styleId="Bullets">
    <w:name w:val="Bullets"/>
    <w:basedOn w:val="BodyText"/>
    <w:rsid w:val="001034D7"/>
    <w:pPr>
      <w:numPr>
        <w:numId w:val="3"/>
      </w:numPr>
      <w:spacing w:after="120"/>
    </w:pPr>
  </w:style>
  <w:style w:type="paragraph" w:customStyle="1" w:styleId="RefNumbers">
    <w:name w:val="Ref Numbers"/>
    <w:basedOn w:val="BodyText"/>
    <w:rsid w:val="00650B96"/>
    <w:pPr>
      <w:numPr>
        <w:numId w:val="2"/>
      </w:numPr>
      <w:spacing w:after="240"/>
    </w:pPr>
  </w:style>
  <w:style w:type="paragraph" w:styleId="Header">
    <w:name w:val="header"/>
    <w:basedOn w:val="Normal"/>
    <w:rsid w:val="001034D7"/>
    <w:pPr>
      <w:pBdr>
        <w:bottom w:val="single" w:sz="12" w:space="1" w:color="898D8D"/>
      </w:pBdr>
      <w:tabs>
        <w:tab w:val="center" w:pos="4507"/>
        <w:tab w:val="right" w:pos="9000"/>
      </w:tabs>
    </w:pPr>
    <w:rPr>
      <w:rFonts w:ascii="Arial" w:hAnsi="Arial"/>
      <w:b/>
      <w:color w:val="595959" w:themeColor="text1" w:themeTint="A6"/>
      <w:sz w:val="18"/>
    </w:rPr>
  </w:style>
  <w:style w:type="paragraph" w:styleId="TOC1">
    <w:name w:val="toc 1"/>
    <w:basedOn w:val="BodyText"/>
    <w:next w:val="BodyText"/>
    <w:uiPriority w:val="39"/>
    <w:rsid w:val="00190EC9"/>
    <w:pPr>
      <w:tabs>
        <w:tab w:val="left" w:pos="540"/>
        <w:tab w:val="right" w:leader="dot" w:pos="8990"/>
      </w:tabs>
      <w:spacing w:before="240" w:after="0"/>
    </w:pPr>
    <w:rPr>
      <w:b/>
      <w:noProof/>
    </w:rPr>
  </w:style>
  <w:style w:type="character" w:styleId="CommentReference">
    <w:name w:val="annotation reference"/>
    <w:basedOn w:val="DefaultParagraphFont"/>
    <w:semiHidden/>
    <w:rsid w:val="00650B96"/>
    <w:rPr>
      <w:sz w:val="16"/>
    </w:rPr>
  </w:style>
  <w:style w:type="paragraph" w:styleId="TOC2">
    <w:name w:val="toc 2"/>
    <w:basedOn w:val="BodyText"/>
    <w:next w:val="BodyText"/>
    <w:uiPriority w:val="39"/>
    <w:rsid w:val="006F480F"/>
    <w:pPr>
      <w:tabs>
        <w:tab w:val="left" w:pos="1260"/>
        <w:tab w:val="right" w:leader="dot" w:pos="8990"/>
      </w:tabs>
      <w:spacing w:before="120" w:after="0"/>
      <w:ind w:left="547"/>
    </w:pPr>
    <w:rPr>
      <w:noProof/>
    </w:rPr>
  </w:style>
  <w:style w:type="paragraph" w:styleId="TOC3">
    <w:name w:val="toc 3"/>
    <w:basedOn w:val="BodyText"/>
    <w:next w:val="BodyText"/>
    <w:uiPriority w:val="39"/>
    <w:rsid w:val="00190EC9"/>
    <w:pPr>
      <w:tabs>
        <w:tab w:val="left" w:pos="1980"/>
        <w:tab w:val="right" w:leader="dot" w:pos="9000"/>
      </w:tabs>
      <w:spacing w:after="0"/>
      <w:ind w:left="1980" w:right="576" w:hanging="720"/>
    </w:pPr>
    <w:rPr>
      <w:noProof/>
    </w:rPr>
  </w:style>
  <w:style w:type="paragraph" w:styleId="TOC4">
    <w:name w:val="toc 4"/>
    <w:basedOn w:val="BodyText"/>
    <w:next w:val="BodyText"/>
    <w:semiHidden/>
    <w:rsid w:val="00650B96"/>
    <w:pPr>
      <w:ind w:left="1728"/>
    </w:pPr>
  </w:style>
  <w:style w:type="paragraph" w:styleId="TOC5">
    <w:name w:val="toc 5"/>
    <w:basedOn w:val="Normal"/>
    <w:next w:val="Normal"/>
    <w:autoRedefine/>
    <w:semiHidden/>
    <w:rsid w:val="00650B96"/>
    <w:pPr>
      <w:ind w:left="960"/>
    </w:pPr>
  </w:style>
  <w:style w:type="paragraph" w:styleId="TOC6">
    <w:name w:val="toc 6"/>
    <w:basedOn w:val="Normal"/>
    <w:next w:val="Normal"/>
    <w:autoRedefine/>
    <w:semiHidden/>
    <w:rsid w:val="00650B96"/>
    <w:pPr>
      <w:ind w:left="1200"/>
    </w:pPr>
  </w:style>
  <w:style w:type="paragraph" w:styleId="TOC7">
    <w:name w:val="toc 7"/>
    <w:basedOn w:val="Normal"/>
    <w:next w:val="Normal"/>
    <w:autoRedefine/>
    <w:semiHidden/>
    <w:rsid w:val="00650B96"/>
    <w:pPr>
      <w:ind w:left="1440"/>
    </w:pPr>
  </w:style>
  <w:style w:type="paragraph" w:styleId="TOC8">
    <w:name w:val="toc 8"/>
    <w:basedOn w:val="Normal"/>
    <w:next w:val="Normal"/>
    <w:autoRedefine/>
    <w:semiHidden/>
    <w:rsid w:val="00650B96"/>
    <w:pPr>
      <w:ind w:left="1680"/>
    </w:pPr>
  </w:style>
  <w:style w:type="paragraph" w:styleId="TOC9">
    <w:name w:val="toc 9"/>
    <w:basedOn w:val="Normal"/>
    <w:next w:val="Normal"/>
    <w:autoRedefine/>
    <w:semiHidden/>
    <w:rsid w:val="00650B96"/>
    <w:pPr>
      <w:ind w:left="1920"/>
    </w:pPr>
  </w:style>
  <w:style w:type="character" w:styleId="FootnoteReference">
    <w:name w:val="footnote reference"/>
    <w:basedOn w:val="DefaultParagraphFont"/>
    <w:rsid w:val="007B1904"/>
    <w:rPr>
      <w:vertAlign w:val="superscript"/>
    </w:rPr>
  </w:style>
  <w:style w:type="paragraph" w:customStyle="1" w:styleId="Exhibit">
    <w:name w:val="Exhibit"/>
    <w:basedOn w:val="Normal"/>
    <w:rsid w:val="00223A9F"/>
    <w:rPr>
      <w:rFonts w:ascii="Arial" w:hAnsi="Arial"/>
      <w:sz w:val="18"/>
    </w:rPr>
  </w:style>
  <w:style w:type="paragraph" w:styleId="FootnoteText">
    <w:name w:val="footnote text"/>
    <w:basedOn w:val="Normal"/>
    <w:link w:val="FootnoteTextChar"/>
    <w:rsid w:val="00650B96"/>
    <w:pPr>
      <w:spacing w:after="120"/>
      <w:ind w:left="360" w:hanging="360"/>
    </w:pPr>
    <w:rPr>
      <w:sz w:val="20"/>
    </w:rPr>
  </w:style>
  <w:style w:type="paragraph" w:styleId="Index1">
    <w:name w:val="index 1"/>
    <w:basedOn w:val="Normal"/>
    <w:next w:val="Normal"/>
    <w:autoRedefine/>
    <w:semiHidden/>
    <w:rsid w:val="00650B96"/>
    <w:pPr>
      <w:ind w:left="220" w:hanging="220"/>
    </w:pPr>
    <w:rPr>
      <w:sz w:val="20"/>
    </w:rPr>
  </w:style>
  <w:style w:type="paragraph" w:styleId="Index2">
    <w:name w:val="index 2"/>
    <w:basedOn w:val="Normal"/>
    <w:next w:val="Normal"/>
    <w:autoRedefine/>
    <w:semiHidden/>
    <w:rsid w:val="00650B96"/>
    <w:pPr>
      <w:ind w:left="440" w:hanging="220"/>
    </w:pPr>
    <w:rPr>
      <w:sz w:val="20"/>
    </w:rPr>
  </w:style>
  <w:style w:type="paragraph" w:styleId="Index3">
    <w:name w:val="index 3"/>
    <w:basedOn w:val="Normal"/>
    <w:next w:val="Normal"/>
    <w:autoRedefine/>
    <w:semiHidden/>
    <w:rsid w:val="00650B96"/>
    <w:pPr>
      <w:ind w:left="660" w:hanging="220"/>
    </w:pPr>
    <w:rPr>
      <w:sz w:val="20"/>
    </w:rPr>
  </w:style>
  <w:style w:type="paragraph" w:customStyle="1" w:styleId="Numbers">
    <w:name w:val="Numbers"/>
    <w:basedOn w:val="BodyText"/>
    <w:rsid w:val="00650B96"/>
    <w:pPr>
      <w:numPr>
        <w:numId w:val="1"/>
      </w:numPr>
      <w:ind w:left="720"/>
    </w:pPr>
  </w:style>
  <w:style w:type="paragraph" w:customStyle="1" w:styleId="BoxText">
    <w:name w:val="Box Text"/>
    <w:basedOn w:val="BodyText"/>
    <w:rsid w:val="00C6380F"/>
    <w:rPr>
      <w:rFonts w:ascii="Arial" w:hAnsi="Arial" w:cs="Arial"/>
      <w:sz w:val="18"/>
    </w:rPr>
  </w:style>
  <w:style w:type="paragraph" w:styleId="CommentText">
    <w:name w:val="annotation text"/>
    <w:basedOn w:val="Normal"/>
    <w:link w:val="CommentTextChar"/>
    <w:semiHidden/>
    <w:rsid w:val="00D34EEE"/>
    <w:rPr>
      <w:sz w:val="20"/>
    </w:rPr>
  </w:style>
  <w:style w:type="paragraph" w:styleId="CommentSubject">
    <w:name w:val="annotation subject"/>
    <w:basedOn w:val="CommentText"/>
    <w:next w:val="CommentText"/>
    <w:semiHidden/>
    <w:rsid w:val="00D34EEE"/>
    <w:rPr>
      <w:b/>
      <w:bCs/>
    </w:rPr>
  </w:style>
  <w:style w:type="paragraph" w:styleId="BalloonText">
    <w:name w:val="Balloon Text"/>
    <w:basedOn w:val="Normal"/>
    <w:semiHidden/>
    <w:rsid w:val="00D34EEE"/>
    <w:rPr>
      <w:rFonts w:ascii="Tahoma" w:hAnsi="Tahoma" w:cs="Tahoma"/>
      <w:sz w:val="16"/>
      <w:szCs w:val="16"/>
    </w:rPr>
  </w:style>
  <w:style w:type="table" w:styleId="TableGrid">
    <w:name w:val="Table Grid"/>
    <w:basedOn w:val="TableNormal"/>
    <w:uiPriority w:val="59"/>
    <w:rsid w:val="005B1AC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752119"/>
    <w:rPr>
      <w:color w:val="0000FF"/>
      <w:u w:val="single"/>
    </w:rPr>
  </w:style>
  <w:style w:type="paragraph" w:customStyle="1" w:styleId="TOCHeader">
    <w:name w:val="TOC Header"/>
    <w:basedOn w:val="Normal"/>
    <w:next w:val="BodyText"/>
    <w:rsid w:val="002064D3"/>
    <w:rPr>
      <w:rFonts w:ascii="Arial" w:hAnsi="Arial"/>
      <w:b/>
      <w:color w:val="898D8D"/>
      <w:sz w:val="24"/>
    </w:rPr>
  </w:style>
  <w:style w:type="paragraph" w:customStyle="1" w:styleId="ReportTitle-TOCPage">
    <w:name w:val="Report Title - TOC Page"/>
    <w:basedOn w:val="Normal"/>
    <w:next w:val="BodyText"/>
    <w:rsid w:val="006B1DA6"/>
    <w:pPr>
      <w:pBdr>
        <w:top w:val="single" w:sz="2" w:space="2" w:color="DA291C"/>
        <w:bottom w:val="single" w:sz="2" w:space="2" w:color="DA291C"/>
      </w:pBdr>
      <w:shd w:val="clear" w:color="auto" w:fill="DA291C"/>
      <w:tabs>
        <w:tab w:val="left" w:pos="1170"/>
      </w:tabs>
    </w:pPr>
    <w:rPr>
      <w:rFonts w:ascii="Arial Bold" w:hAnsi="Arial Bold"/>
      <w:b/>
      <w:color w:val="FFFFFF"/>
      <w:sz w:val="24"/>
      <w:szCs w:val="24"/>
    </w:rPr>
  </w:style>
  <w:style w:type="paragraph" w:styleId="Caption">
    <w:name w:val="caption"/>
    <w:basedOn w:val="Normal"/>
    <w:next w:val="Normal"/>
    <w:qFormat/>
    <w:rsid w:val="00A900DC"/>
    <w:pPr>
      <w:keepNext/>
      <w:keepLines/>
      <w:widowControl w:val="0"/>
      <w:tabs>
        <w:tab w:val="left" w:pos="1440"/>
      </w:tabs>
      <w:spacing w:after="120"/>
      <w:ind w:left="1440" w:hanging="1440"/>
    </w:pPr>
    <w:rPr>
      <w:rFonts w:ascii="Arial" w:hAnsi="Arial"/>
      <w:b/>
      <w:bCs/>
      <w:sz w:val="20"/>
    </w:rPr>
  </w:style>
  <w:style w:type="paragraph" w:customStyle="1" w:styleId="FooterLandscape">
    <w:name w:val="Footer Landscape"/>
    <w:basedOn w:val="Footer"/>
    <w:rsid w:val="00EE1D07"/>
    <w:pPr>
      <w:tabs>
        <w:tab w:val="clear" w:pos="4507"/>
        <w:tab w:val="clear" w:pos="9000"/>
        <w:tab w:val="center" w:pos="6480"/>
        <w:tab w:val="right" w:pos="12960"/>
      </w:tabs>
    </w:pPr>
  </w:style>
  <w:style w:type="paragraph" w:customStyle="1" w:styleId="CoverTechorBusiness">
    <w:name w:val="Cover Tech or Business"/>
    <w:basedOn w:val="Normal"/>
    <w:qFormat/>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rsid w:val="0066134E"/>
    <w:pPr>
      <w:spacing w:after="120"/>
    </w:pPr>
  </w:style>
  <w:style w:type="paragraph" w:customStyle="1" w:styleId="ProposalTitle">
    <w:name w:val="Proposal Title"/>
    <w:basedOn w:val="Normal"/>
    <w:qFormat/>
    <w:rsid w:val="00536DB4"/>
    <w:pPr>
      <w:autoSpaceDE w:val="0"/>
      <w:autoSpaceDN w:val="0"/>
      <w:adjustRightInd w:val="0"/>
      <w:ind w:left="6696" w:right="-792"/>
    </w:pPr>
    <w:rPr>
      <w:b/>
      <w:sz w:val="32"/>
      <w:szCs w:val="32"/>
    </w:rPr>
  </w:style>
  <w:style w:type="paragraph" w:customStyle="1" w:styleId="RFPNumber">
    <w:name w:val="RFP Number"/>
    <w:basedOn w:val="Normal"/>
    <w:qFormat/>
    <w:rsid w:val="00536DB4"/>
    <w:pPr>
      <w:autoSpaceDE w:val="0"/>
      <w:autoSpaceDN w:val="0"/>
      <w:adjustRightInd w:val="0"/>
      <w:ind w:left="6696" w:right="-792"/>
    </w:pPr>
    <w:rPr>
      <w:sz w:val="32"/>
      <w:szCs w:val="32"/>
    </w:rPr>
  </w:style>
  <w:style w:type="paragraph" w:customStyle="1" w:styleId="CoverTextRed16pt">
    <w:name w:val="Cover Text  Red 16pt"/>
    <w:basedOn w:val="Normal"/>
    <w:qFormat/>
    <w:rsid w:val="006B1DA6"/>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qFormat/>
    <w:rsid w:val="001E2CF1"/>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qFormat/>
    <w:rsid w:val="001E2CF1"/>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paragraph" w:customStyle="1" w:styleId="DisclaimerText">
    <w:name w:val="Disclaimer Text"/>
    <w:basedOn w:val="Normal"/>
    <w:qFormat/>
    <w:rsid w:val="00536DB4"/>
    <w:rPr>
      <w:sz w:val="18"/>
      <w:szCs w:val="18"/>
    </w:rPr>
  </w:style>
  <w:style w:type="character" w:customStyle="1" w:styleId="FootnoteTextChar">
    <w:name w:val="Footnote Text Char"/>
    <w:basedOn w:val="DefaultParagraphFont"/>
    <w:link w:val="FootnoteText"/>
    <w:rsid w:val="00574572"/>
  </w:style>
  <w:style w:type="paragraph" w:customStyle="1" w:styleId="TableText">
    <w:name w:val="Table Text"/>
    <w:basedOn w:val="Normal"/>
    <w:qFormat/>
    <w:rsid w:val="009550AD"/>
    <w:pPr>
      <w:spacing w:before="40" w:after="40"/>
    </w:pPr>
    <w:rPr>
      <w:rFonts w:ascii="Arial" w:hAnsi="Arial" w:cs="Arial"/>
      <w:bCs/>
      <w:color w:val="000000"/>
      <w:sz w:val="20"/>
    </w:rPr>
  </w:style>
  <w:style w:type="paragraph" w:customStyle="1" w:styleId="ExhibitSource">
    <w:name w:val="Exhibit Source"/>
    <w:basedOn w:val="Normal"/>
    <w:qFormat/>
    <w:rsid w:val="00434F63"/>
    <w:pPr>
      <w:spacing w:before="120" w:after="240"/>
    </w:pPr>
    <w:rPr>
      <w:rFonts w:ascii="Arial" w:hAnsi="Arial" w:cs="Arial"/>
      <w:sz w:val="18"/>
    </w:rPr>
  </w:style>
  <w:style w:type="paragraph" w:customStyle="1" w:styleId="ExhibitText">
    <w:name w:val="Exhibit Text"/>
    <w:basedOn w:val="TableText"/>
    <w:qFormat/>
    <w:rsid w:val="009550AD"/>
  </w:style>
  <w:style w:type="paragraph" w:customStyle="1" w:styleId="ExhibitColumnHeader">
    <w:name w:val="Exhibit Column Header"/>
    <w:basedOn w:val="ExhibitRowHeader"/>
    <w:qFormat/>
    <w:rsid w:val="001E2CF1"/>
    <w:rPr>
      <w:color w:val="000000" w:themeColor="text1"/>
    </w:rPr>
  </w:style>
  <w:style w:type="paragraph" w:customStyle="1" w:styleId="CoverTextGreyBold">
    <w:name w:val="Cover Text Grey Bold"/>
    <w:basedOn w:val="Normal"/>
    <w:qFormat/>
    <w:rsid w:val="00744E2C"/>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qFormat/>
    <w:rsid w:val="00744E2C"/>
    <w:pPr>
      <w:shd w:val="solid" w:color="FFFFFF" w:fill="FFFFFF"/>
      <w:spacing w:line="240" w:lineRule="auto"/>
      <w:jc w:val="both"/>
    </w:pPr>
    <w:rPr>
      <w:rFonts w:ascii="Arial" w:hAnsi="Arial"/>
      <w:color w:val="000000"/>
      <w:sz w:val="18"/>
    </w:rPr>
  </w:style>
  <w:style w:type="paragraph" w:customStyle="1" w:styleId="AbtHeadC">
    <w:name w:val="AbtHead C"/>
    <w:basedOn w:val="Normal"/>
    <w:next w:val="BodyText"/>
    <w:rsid w:val="00003288"/>
    <w:pPr>
      <w:keepNext/>
      <w:keepLines/>
      <w:tabs>
        <w:tab w:val="left" w:pos="720"/>
        <w:tab w:val="left" w:pos="1080"/>
        <w:tab w:val="left" w:pos="1440"/>
        <w:tab w:val="left" w:pos="1800"/>
      </w:tabs>
      <w:spacing w:after="240"/>
      <w:outlineLvl w:val="2"/>
    </w:pPr>
    <w:rPr>
      <w:rFonts w:ascii="Arial" w:hAnsi="Arial"/>
      <w:b/>
      <w:sz w:val="20"/>
    </w:rPr>
  </w:style>
  <w:style w:type="paragraph" w:styleId="NoSpacing">
    <w:name w:val="No Spacing"/>
    <w:uiPriority w:val="1"/>
    <w:qFormat/>
    <w:rsid w:val="00F51EB4"/>
    <w:rPr>
      <w:rFonts w:asciiTheme="minorHAnsi" w:eastAsiaTheme="minorHAnsi" w:hAnsiTheme="minorHAnsi" w:cstheme="minorBidi"/>
      <w:sz w:val="22"/>
      <w:szCs w:val="22"/>
    </w:rPr>
  </w:style>
  <w:style w:type="paragraph" w:styleId="ListParagraph">
    <w:name w:val="List Paragraph"/>
    <w:basedOn w:val="Normal"/>
    <w:uiPriority w:val="34"/>
    <w:qFormat/>
    <w:rsid w:val="00CF07C4"/>
    <w:pPr>
      <w:spacing w:after="200" w:line="276" w:lineRule="auto"/>
      <w:ind w:left="720"/>
      <w:contextualSpacing/>
    </w:pPr>
    <w:rPr>
      <w:rFonts w:asciiTheme="minorHAnsi" w:eastAsiaTheme="minorHAnsi" w:hAnsiTheme="minorHAnsi" w:cstheme="minorBidi"/>
      <w:szCs w:val="22"/>
    </w:rPr>
  </w:style>
  <w:style w:type="character" w:customStyle="1" w:styleId="CommentTextChar">
    <w:name w:val="Comment Text Char"/>
    <w:basedOn w:val="DefaultParagraphFont"/>
    <w:link w:val="CommentText"/>
    <w:uiPriority w:val="99"/>
    <w:semiHidden/>
    <w:rsid w:val="00C806E7"/>
  </w:style>
  <w:style w:type="table" w:customStyle="1" w:styleId="TableGrid1">
    <w:name w:val="Table Grid1"/>
    <w:basedOn w:val="TableNormal"/>
    <w:next w:val="TableGrid"/>
    <w:uiPriority w:val="59"/>
    <w:rsid w:val="00C806E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rsid w:val="00E67B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rPr>
  </w:style>
  <w:style w:type="character" w:customStyle="1" w:styleId="HTMLPreformattedChar">
    <w:name w:val="HTML Preformatted Char"/>
    <w:basedOn w:val="DefaultParagraphFont"/>
    <w:link w:val="HTMLPreformatted"/>
    <w:rsid w:val="00E67B33"/>
    <w:rPr>
      <w:rFonts w:ascii="Courier New" w:hAnsi="Courier New" w:cs="Courier New"/>
    </w:rPr>
  </w:style>
  <w:style w:type="paragraph" w:customStyle="1" w:styleId="ExhibitColumnHeads">
    <w:name w:val="Exhibit Column Heads"/>
    <w:basedOn w:val="BodyText"/>
    <w:rsid w:val="002F4833"/>
    <w:pPr>
      <w:spacing w:before="20" w:after="20" w:line="240" w:lineRule="auto"/>
      <w:jc w:val="center"/>
    </w:pPr>
    <w:rPr>
      <w:rFonts w:ascii="Arial" w:hAnsi="Arial" w:cs="Arial"/>
      <w:b/>
      <w:sz w:val="20"/>
    </w:rPr>
  </w:style>
  <w:style w:type="paragraph" w:customStyle="1" w:styleId="Default">
    <w:name w:val="Default"/>
    <w:rsid w:val="009D3FBB"/>
    <w:pPr>
      <w:autoSpaceDE w:val="0"/>
      <w:autoSpaceDN w:val="0"/>
      <w:adjustRightInd w:val="0"/>
    </w:pPr>
    <w:rPr>
      <w:color w:val="000000"/>
      <w:sz w:val="24"/>
      <w:szCs w:val="24"/>
    </w:rPr>
  </w:style>
  <w:style w:type="paragraph" w:customStyle="1" w:styleId="Bullet2Last">
    <w:name w:val="Bullet2Last"/>
    <w:basedOn w:val="Bullet2"/>
    <w:next w:val="Normal"/>
    <w:qFormat/>
    <w:rsid w:val="00A900DC"/>
    <w:pPr>
      <w:spacing w:after="240"/>
    </w:pPr>
  </w:style>
  <w:style w:type="paragraph" w:styleId="Revision">
    <w:name w:val="Revision"/>
    <w:hidden/>
    <w:uiPriority w:val="99"/>
    <w:semiHidden/>
    <w:rsid w:val="007C4BA1"/>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8611822">
      <w:bodyDiv w:val="1"/>
      <w:marLeft w:val="0"/>
      <w:marRight w:val="0"/>
      <w:marTop w:val="0"/>
      <w:marBottom w:val="0"/>
      <w:divBdr>
        <w:top w:val="none" w:sz="0" w:space="0" w:color="auto"/>
        <w:left w:val="none" w:sz="0" w:space="0" w:color="auto"/>
        <w:bottom w:val="none" w:sz="0" w:space="0" w:color="auto"/>
        <w:right w:val="none" w:sz="0" w:space="0" w:color="auto"/>
      </w:divBdr>
    </w:div>
    <w:div w:id="1110659533">
      <w:bodyDiv w:val="1"/>
      <w:marLeft w:val="0"/>
      <w:marRight w:val="0"/>
      <w:marTop w:val="0"/>
      <w:marBottom w:val="0"/>
      <w:divBdr>
        <w:top w:val="none" w:sz="0" w:space="0" w:color="auto"/>
        <w:left w:val="none" w:sz="0" w:space="0" w:color="auto"/>
        <w:bottom w:val="none" w:sz="0" w:space="0" w:color="auto"/>
        <w:right w:val="none" w:sz="0" w:space="0" w:color="auto"/>
      </w:divBdr>
    </w:div>
    <w:div w:id="1126317541">
      <w:bodyDiv w:val="1"/>
      <w:marLeft w:val="0"/>
      <w:marRight w:val="0"/>
      <w:marTop w:val="0"/>
      <w:marBottom w:val="0"/>
      <w:divBdr>
        <w:top w:val="none" w:sz="0" w:space="0" w:color="auto"/>
        <w:left w:val="none" w:sz="0" w:space="0" w:color="auto"/>
        <w:bottom w:val="none" w:sz="0" w:space="0" w:color="auto"/>
        <w:right w:val="none" w:sz="0" w:space="0" w:color="auto"/>
      </w:divBdr>
    </w:div>
    <w:div w:id="1528178199">
      <w:bodyDiv w:val="1"/>
      <w:marLeft w:val="0"/>
      <w:marRight w:val="0"/>
      <w:marTop w:val="0"/>
      <w:marBottom w:val="0"/>
      <w:divBdr>
        <w:top w:val="none" w:sz="0" w:space="0" w:color="auto"/>
        <w:left w:val="none" w:sz="0" w:space="0" w:color="auto"/>
        <w:bottom w:val="none" w:sz="0" w:space="0" w:color="auto"/>
        <w:right w:val="none" w:sz="0" w:space="0" w:color="auto"/>
      </w:divBdr>
      <w:divsChild>
        <w:div w:id="807550729">
          <w:marLeft w:val="0"/>
          <w:marRight w:val="0"/>
          <w:marTop w:val="0"/>
          <w:marBottom w:val="0"/>
          <w:divBdr>
            <w:top w:val="none" w:sz="0" w:space="0" w:color="auto"/>
            <w:left w:val="none" w:sz="0" w:space="0" w:color="auto"/>
            <w:bottom w:val="none" w:sz="0" w:space="0" w:color="auto"/>
            <w:right w:val="none" w:sz="0" w:space="0" w:color="auto"/>
          </w:divBdr>
          <w:divsChild>
            <w:div w:id="37011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330637">
      <w:bodyDiv w:val="1"/>
      <w:marLeft w:val="0"/>
      <w:marRight w:val="0"/>
      <w:marTop w:val="0"/>
      <w:marBottom w:val="0"/>
      <w:divBdr>
        <w:top w:val="none" w:sz="0" w:space="0" w:color="auto"/>
        <w:left w:val="none" w:sz="0" w:space="0" w:color="auto"/>
        <w:bottom w:val="none" w:sz="0" w:space="0" w:color="auto"/>
        <w:right w:val="none" w:sz="0" w:space="0" w:color="auto"/>
      </w:divBdr>
    </w:div>
    <w:div w:id="1876188770">
      <w:bodyDiv w:val="1"/>
      <w:marLeft w:val="0"/>
      <w:marRight w:val="0"/>
      <w:marTop w:val="0"/>
      <w:marBottom w:val="0"/>
      <w:divBdr>
        <w:top w:val="none" w:sz="0" w:space="0" w:color="auto"/>
        <w:left w:val="none" w:sz="0" w:space="0" w:color="auto"/>
        <w:bottom w:val="none" w:sz="0" w:space="0" w:color="auto"/>
        <w:right w:val="none" w:sz="0" w:space="0" w:color="auto"/>
      </w:divBdr>
    </w:div>
    <w:div w:id="2069450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amstat.org/sections/srms/proceedings/allyearsf.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templates\abttemplates\Abt%20Standards\Abt%20Report%207-15-2011.dotm" TargetMode="External"/></Relationships>
</file>

<file path=word/theme/theme1.xml><?xml version="1.0" encoding="utf-8"?>
<a:theme xmlns:a="http://schemas.openxmlformats.org/drawingml/2006/main" name="Office Theme">
  <a:themeElements>
    <a:clrScheme name="Abt New Branding Colors">
      <a:dk1>
        <a:sysClr val="windowText" lastClr="000000"/>
      </a:dk1>
      <a:lt1>
        <a:srgbClr val="B7C9D3"/>
      </a:lt1>
      <a:dk2>
        <a:srgbClr val="898D8D"/>
      </a:dk2>
      <a:lt2>
        <a:srgbClr val="D0D3D4"/>
      </a:lt2>
      <a:accent1>
        <a:srgbClr val="DA291C"/>
      </a:accent1>
      <a:accent2>
        <a:srgbClr val="898D8D"/>
      </a:accent2>
      <a:accent3>
        <a:srgbClr val="D0D3D4"/>
      </a:accent3>
      <a:accent4>
        <a:srgbClr val="C3C6A8"/>
      </a:accent4>
      <a:accent5>
        <a:srgbClr val="DFD1A7"/>
      </a:accent5>
      <a:accent6>
        <a:srgbClr val="E87722"/>
      </a:accent6>
      <a:hlink>
        <a:srgbClr val="0070C0"/>
      </a:hlink>
      <a:folHlink>
        <a:srgbClr val="0070C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55DBD8-56B0-427F-B770-10EB4F7B41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Abt Report 7-15-2011</Template>
  <TotalTime>1</TotalTime>
  <Pages>35</Pages>
  <Words>13338</Words>
  <Characters>76033</Characters>
  <Application>Microsoft Office Word</Application>
  <DocSecurity>0</DocSecurity>
  <Lines>633</Lines>
  <Paragraphs>178</Paragraphs>
  <ScaleCrop>false</ScaleCrop>
  <HeadingPairs>
    <vt:vector size="2" baseType="variant">
      <vt:variant>
        <vt:lpstr>Title</vt:lpstr>
      </vt:variant>
      <vt:variant>
        <vt:i4>1</vt:i4>
      </vt:variant>
    </vt:vector>
  </HeadingPairs>
  <TitlesOfParts>
    <vt:vector size="1" baseType="lpstr">
      <vt:lpstr>Abt Single-Sided Body Template</vt:lpstr>
    </vt:vector>
  </TitlesOfParts>
  <Company>Abt Associates Inc.</Company>
  <LinksUpToDate>false</LinksUpToDate>
  <CharactersWithSpaces>89193</CharactersWithSpaces>
  <SharedDoc>false</SharedDoc>
  <HLinks>
    <vt:vector size="18" baseType="variant">
      <vt:variant>
        <vt:i4>1507382</vt:i4>
      </vt:variant>
      <vt:variant>
        <vt:i4>14</vt:i4>
      </vt:variant>
      <vt:variant>
        <vt:i4>0</vt:i4>
      </vt:variant>
      <vt:variant>
        <vt:i4>5</vt:i4>
      </vt:variant>
      <vt:variant>
        <vt:lpwstr/>
      </vt:variant>
      <vt:variant>
        <vt:lpwstr>_Toc245919048</vt:lpwstr>
      </vt:variant>
      <vt:variant>
        <vt:i4>1507382</vt:i4>
      </vt:variant>
      <vt:variant>
        <vt:i4>8</vt:i4>
      </vt:variant>
      <vt:variant>
        <vt:i4>0</vt:i4>
      </vt:variant>
      <vt:variant>
        <vt:i4>5</vt:i4>
      </vt:variant>
      <vt:variant>
        <vt:lpwstr/>
      </vt:variant>
      <vt:variant>
        <vt:lpwstr>_Toc245919047</vt:lpwstr>
      </vt:variant>
      <vt:variant>
        <vt:i4>1507382</vt:i4>
      </vt:variant>
      <vt:variant>
        <vt:i4>2</vt:i4>
      </vt:variant>
      <vt:variant>
        <vt:i4>0</vt:i4>
      </vt:variant>
      <vt:variant>
        <vt:i4>5</vt:i4>
      </vt:variant>
      <vt:variant>
        <vt:lpwstr/>
      </vt:variant>
      <vt:variant>
        <vt:lpwstr>_Toc245919046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Abt Single-Sided Body Template</dc:title>
  <dc:creator>Nichole Fiore</dc:creator>
  <cp:keywords>Single-Sided body Templates</cp:keywords>
  <cp:lastModifiedBy>Marina L Myhre</cp:lastModifiedBy>
  <cp:revision>2</cp:revision>
  <cp:lastPrinted>2012-11-21T22:03:00Z</cp:lastPrinted>
  <dcterms:created xsi:type="dcterms:W3CDTF">2013-03-05T19:47:00Z</dcterms:created>
  <dcterms:modified xsi:type="dcterms:W3CDTF">2013-03-05T19:47:00Z</dcterms:modified>
  <cp:category>Templates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-1461698987</vt:i4>
  </property>
  <property fmtid="{D5CDD505-2E9C-101B-9397-08002B2CF9AE}" pid="4" name="_EmailSubject">
    <vt:lpwstr>ROCIS Check: OIRA-HUD: Pre-Purchase Counseling</vt:lpwstr>
  </property>
  <property fmtid="{D5CDD505-2E9C-101B-9397-08002B2CF9AE}" pid="5" name="_AuthorEmail">
    <vt:lpwstr>Marina.L.Myhre@hud.gov</vt:lpwstr>
  </property>
  <property fmtid="{D5CDD505-2E9C-101B-9397-08002B2CF9AE}" pid="6" name="_AuthorEmailDisplayName">
    <vt:lpwstr>Myhre, Marina L</vt:lpwstr>
  </property>
</Properties>
</file>