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1FF" w:rsidRPr="00DA1372" w:rsidRDefault="00DA1372" w:rsidP="00DA1372">
      <w:pPr>
        <w:pStyle w:val="Heading1"/>
        <w:numPr>
          <w:ilvl w:val="0"/>
          <w:numId w:val="0"/>
        </w:numPr>
      </w:pPr>
      <w:bookmarkStart w:id="0" w:name="_Toc310927634"/>
      <w:r>
        <w:t>B.</w:t>
      </w:r>
      <w:r>
        <w:tab/>
      </w:r>
      <w:r w:rsidR="003F31FF" w:rsidRPr="00DA1372">
        <w:t>Statistical Methods</w:t>
      </w:r>
      <w:bookmarkEnd w:id="0"/>
    </w:p>
    <w:p w:rsidR="003F31FF" w:rsidRPr="00DA1372" w:rsidRDefault="003F31FF" w:rsidP="00DA1372">
      <w:pPr>
        <w:pStyle w:val="Heading1"/>
        <w:sectPr w:rsidR="003F31FF" w:rsidRPr="00DA1372" w:rsidSect="00DA1372">
          <w:footerReference w:type="default" r:id="rId9"/>
          <w:pgSz w:w="12240" w:h="15840" w:code="1"/>
          <w:pgMar w:top="1440" w:right="1440" w:bottom="1440" w:left="1800" w:header="1080" w:footer="720" w:gutter="0"/>
          <w:pgNumType w:start="1" w:chapStyle="1"/>
          <w:cols w:space="720"/>
          <w:docGrid w:linePitch="299"/>
        </w:sectPr>
      </w:pPr>
      <w:bookmarkStart w:id="1" w:name="_Toc310927635"/>
    </w:p>
    <w:p w:rsidR="003F31FF" w:rsidRPr="002D1BFC" w:rsidRDefault="00DA1372" w:rsidP="002D1BFC">
      <w:pPr>
        <w:pStyle w:val="Heading2"/>
      </w:pPr>
      <w:r w:rsidRPr="002D1BFC">
        <w:lastRenderedPageBreak/>
        <w:t>B.1</w:t>
      </w:r>
      <w:r w:rsidRPr="002D1BFC">
        <w:tab/>
      </w:r>
      <w:r w:rsidR="003F31FF" w:rsidRPr="002D1BFC">
        <w:t>Potential Response Universe</w:t>
      </w:r>
      <w:bookmarkEnd w:id="1"/>
    </w:p>
    <w:p w:rsidR="00AA14EE" w:rsidRPr="00AA14EE" w:rsidRDefault="001C58AE" w:rsidP="00AA14EE">
      <w:r w:rsidRPr="00AA14EE">
        <w:t xml:space="preserve">A sample of 125 </w:t>
      </w:r>
      <w:r w:rsidR="003F31FF" w:rsidRPr="00AA14EE">
        <w:t>public housing agencies</w:t>
      </w:r>
      <w:r w:rsidRPr="00AA14EE">
        <w:t xml:space="preserve"> that responded to the PHA census </w:t>
      </w:r>
      <w:r w:rsidR="003F31FF" w:rsidRPr="00AA14EE">
        <w:t xml:space="preserve">will be invited to participate in </w:t>
      </w:r>
      <w:r w:rsidR="00B43159" w:rsidRPr="00AA14EE">
        <w:t xml:space="preserve">follow-up interviews for </w:t>
      </w:r>
      <w:r w:rsidR="003F31FF" w:rsidRPr="00AA14EE">
        <w:t xml:space="preserve">the Study of PHAs Engagement with Homeless Households. </w:t>
      </w:r>
      <w:r w:rsidRPr="00AA14EE">
        <w:t>The contractor will select 75 PHAs that have homeless preferences and 50 PHAs that do not. The balance between PHAs with and without preferences may be revised based on findings from the census.</w:t>
      </w:r>
      <w:r w:rsidR="00A04426" w:rsidRPr="00AA14EE">
        <w:t xml:space="preserve">  The Final Report, and all other publications resulting from this research effort, will clearly note that the findings from the telephone survey are based on a purposive sample of 125 public housing agencies, and therefore, the results cannot be generalized to </w:t>
      </w:r>
      <w:bookmarkStart w:id="2" w:name="_GoBack"/>
      <w:bookmarkEnd w:id="2"/>
      <w:r w:rsidR="00A04426" w:rsidRPr="00AA14EE">
        <w:t>a broader population.  Findings from the telephone survey are intended to be descriptive and illustrative in nature.    </w:t>
      </w:r>
      <w:bookmarkStart w:id="3" w:name="_Toc310927636"/>
    </w:p>
    <w:p w:rsidR="003F31FF" w:rsidRDefault="00DA1372" w:rsidP="00DA1372">
      <w:pPr>
        <w:pStyle w:val="Heading3"/>
        <w:numPr>
          <w:ilvl w:val="0"/>
          <w:numId w:val="0"/>
        </w:numPr>
      </w:pPr>
      <w:r>
        <w:t>B.1.1</w:t>
      </w:r>
      <w:r>
        <w:tab/>
      </w:r>
      <w:r w:rsidR="003F31FF" w:rsidRPr="00D9040C">
        <w:t>Study Participants</w:t>
      </w:r>
      <w:bookmarkEnd w:id="3"/>
    </w:p>
    <w:p w:rsidR="003F31FF" w:rsidRPr="0007753E" w:rsidRDefault="003F31FF" w:rsidP="00276416">
      <w:r>
        <w:t>The primary respon</w:t>
      </w:r>
      <w:r w:rsidR="006F39C4">
        <w:t>dent from each PHA will be the E</w:t>
      </w:r>
      <w:r>
        <w:t xml:space="preserve">xecutive </w:t>
      </w:r>
      <w:r w:rsidR="006F39C4">
        <w:t>D</w:t>
      </w:r>
      <w:r>
        <w:t xml:space="preserve">irector.  However, in many instances </w:t>
      </w:r>
      <w:r w:rsidR="005A49C4">
        <w:t xml:space="preserve">the research team </w:t>
      </w:r>
      <w:r>
        <w:t>anticipate</w:t>
      </w:r>
      <w:r w:rsidR="005A49C4">
        <w:t>s</w:t>
      </w:r>
      <w:r>
        <w:t xml:space="preserve"> that multiple respondents may be necessary to complete the </w:t>
      </w:r>
      <w:r w:rsidR="001C58AE">
        <w:t>follow-up interview</w:t>
      </w:r>
      <w:r>
        <w:t xml:space="preserve">.  Particularly in larger agencies, it is likely that the Executive Director will complete some parts of the </w:t>
      </w:r>
      <w:r w:rsidR="001C58AE">
        <w:t>interview</w:t>
      </w:r>
      <w:r>
        <w:t xml:space="preserve">, but staff from within the Public Housing and Housing Choice Voucher programs may need to complete </w:t>
      </w:r>
      <w:r w:rsidR="00003F4B">
        <w:t xml:space="preserve">the </w:t>
      </w:r>
      <w:r>
        <w:t xml:space="preserve">parts of the </w:t>
      </w:r>
      <w:r w:rsidR="001C58AE">
        <w:t>interview</w:t>
      </w:r>
      <w:r>
        <w:t xml:space="preserve"> related to their respective programs.  Thus, it is possible to have from one to three respondents per PHA.</w:t>
      </w:r>
    </w:p>
    <w:p w:rsidR="003F31FF" w:rsidRDefault="002D1BFC" w:rsidP="002D1BFC">
      <w:pPr>
        <w:pStyle w:val="Heading2"/>
      </w:pPr>
      <w:bookmarkStart w:id="4" w:name="_Toc310927637"/>
      <w:r>
        <w:t>B.2</w:t>
      </w:r>
      <w:r>
        <w:tab/>
      </w:r>
      <w:r w:rsidR="003F31FF">
        <w:t>Statistical Methods</w:t>
      </w:r>
      <w:bookmarkEnd w:id="4"/>
    </w:p>
    <w:p w:rsidR="003F31FF" w:rsidRPr="00C806E7" w:rsidRDefault="002D1BFC" w:rsidP="002D1BFC">
      <w:pPr>
        <w:pStyle w:val="Heading3"/>
        <w:numPr>
          <w:ilvl w:val="0"/>
          <w:numId w:val="0"/>
        </w:numPr>
      </w:pPr>
      <w:bookmarkStart w:id="5" w:name="_Toc245609870"/>
      <w:bookmarkStart w:id="6" w:name="_Toc248818774"/>
      <w:bookmarkStart w:id="7" w:name="_Toc280179455"/>
      <w:bookmarkStart w:id="8" w:name="_Toc310927638"/>
      <w:r>
        <w:t>B.2.1</w:t>
      </w:r>
      <w:r>
        <w:tab/>
      </w:r>
      <w:r w:rsidR="003F31FF" w:rsidRPr="00C806E7">
        <w:t>Sampling Plan</w:t>
      </w:r>
      <w:bookmarkEnd w:id="5"/>
      <w:bookmarkEnd w:id="6"/>
      <w:bookmarkEnd w:id="7"/>
      <w:bookmarkEnd w:id="8"/>
    </w:p>
    <w:p w:rsidR="00C65C04" w:rsidRDefault="001C58AE" w:rsidP="001C58AE">
      <w:bookmarkStart w:id="9" w:name="_Toc216772859"/>
      <w:r>
        <w:t xml:space="preserve">Upon completion of the census data collection, HUD’s contractor will examine the data to select a sample for the follow-up survey. During this review, </w:t>
      </w:r>
      <w:r w:rsidR="006533F0">
        <w:t xml:space="preserve">the research team </w:t>
      </w:r>
      <w:r>
        <w:t>will identify</w:t>
      </w:r>
      <w:r w:rsidR="006533F0">
        <w:t>:</w:t>
      </w:r>
      <w:r>
        <w:t xml:space="preserve"> whether the PHAs administer Public Housing, HCV, or both</w:t>
      </w:r>
      <w:r w:rsidR="002C35A1">
        <w:t>;</w:t>
      </w:r>
      <w:r>
        <w:t xml:space="preserve"> which PHAs have homelessness preferences and which do not</w:t>
      </w:r>
      <w:r w:rsidR="006533F0">
        <w:t>;</w:t>
      </w:r>
      <w:r>
        <w:t xml:space="preserve"> whether PHAs with homeless preferences have formed partnerships with homeless </w:t>
      </w:r>
      <w:r w:rsidR="006F39C4">
        <w:t xml:space="preserve">assistance </w:t>
      </w:r>
      <w:r>
        <w:t>providers</w:t>
      </w:r>
      <w:r w:rsidR="006533F0">
        <w:t>;</w:t>
      </w:r>
      <w:r>
        <w:t xml:space="preserve"> and whether PHAs without preferences operate within CoCs that have large numbers of homeless people. </w:t>
      </w:r>
      <w:r w:rsidR="00C65C04">
        <w:t>Using sampling strata defined below, a sample of 125 PHAs</w:t>
      </w:r>
      <w:r w:rsidR="006533F0">
        <w:t xml:space="preserve"> will be selected</w:t>
      </w:r>
      <w:r w:rsidR="00C65C04">
        <w:t xml:space="preserve">. In order to maximize response to the follow-up </w:t>
      </w:r>
      <w:r w:rsidR="006533F0">
        <w:t xml:space="preserve">survey while still </w:t>
      </w:r>
      <w:r w:rsidR="00C65C04">
        <w:t>allow</w:t>
      </w:r>
      <w:r w:rsidR="006533F0">
        <w:t>ing</w:t>
      </w:r>
      <w:r w:rsidR="00C65C04">
        <w:t xml:space="preserve"> for </w:t>
      </w:r>
      <w:r w:rsidR="006533F0">
        <w:t xml:space="preserve">some </w:t>
      </w:r>
      <w:r w:rsidR="00C65C04">
        <w:t xml:space="preserve">refusals, </w:t>
      </w:r>
      <w:r w:rsidR="006533F0">
        <w:t>the team</w:t>
      </w:r>
      <w:r w:rsidR="00C65C04">
        <w:t xml:space="preserve"> will also identify a number of PHAs in each sampling strata to be used as replacement </w:t>
      </w:r>
      <w:r w:rsidR="006533F0">
        <w:t>case</w:t>
      </w:r>
      <w:r w:rsidR="00C65C04">
        <w:t>s.</w:t>
      </w:r>
      <w:r>
        <w:t xml:space="preserve"> </w:t>
      </w:r>
    </w:p>
    <w:p w:rsidR="001C58AE" w:rsidRDefault="001C58AE" w:rsidP="001C58AE">
      <w:r>
        <w:t xml:space="preserve">The sampling strata </w:t>
      </w:r>
      <w:r w:rsidR="00E93D8B">
        <w:t xml:space="preserve">will </w:t>
      </w:r>
      <w:r>
        <w:t xml:space="preserve">be based on </w:t>
      </w:r>
      <w:r w:rsidR="006533F0">
        <w:t xml:space="preserve">a </w:t>
      </w:r>
      <w:r>
        <w:t xml:space="preserve">combination of these factors:  </w:t>
      </w:r>
    </w:p>
    <w:p w:rsidR="001C58AE" w:rsidRPr="00276416" w:rsidRDefault="001C58AE" w:rsidP="00276416">
      <w:pPr>
        <w:pStyle w:val="Bullets"/>
      </w:pPr>
      <w:r w:rsidRPr="00276416">
        <w:t xml:space="preserve">Whether or not the PHA uses homeless preferences (including waitlist preferences and set-asides for public housing and/or vouchers); </w:t>
      </w:r>
    </w:p>
    <w:p w:rsidR="001C58AE" w:rsidRPr="00276416" w:rsidRDefault="001C58AE" w:rsidP="00276416">
      <w:pPr>
        <w:pStyle w:val="Bullets"/>
      </w:pPr>
      <w:r w:rsidRPr="00276416">
        <w:t>What type of homeless preferences the PHA uses—general preferences or partnerships with homeless service providers based on partnerships;</w:t>
      </w:r>
    </w:p>
    <w:p w:rsidR="00B43159" w:rsidRPr="00276416" w:rsidRDefault="001B3CE1" w:rsidP="00276416">
      <w:pPr>
        <w:pStyle w:val="Bullets"/>
      </w:pPr>
      <w:r w:rsidRPr="00276416">
        <w:t xml:space="preserve">Whether the </w:t>
      </w:r>
      <w:r w:rsidR="00876B2E" w:rsidRPr="00276416">
        <w:t xml:space="preserve">PHA </w:t>
      </w:r>
      <w:r w:rsidRPr="00276416">
        <w:t xml:space="preserve">has </w:t>
      </w:r>
      <w:r w:rsidR="00B43159" w:rsidRPr="00276416">
        <w:t>preferences in Public Housing only, in HCV only, in both Public Housing and HCV programs, and through other programs serving homeless households</w:t>
      </w:r>
      <w:r w:rsidRPr="00276416">
        <w:t>;</w:t>
      </w:r>
    </w:p>
    <w:p w:rsidR="001C58AE" w:rsidRPr="00276416" w:rsidRDefault="001C58AE" w:rsidP="00276416">
      <w:pPr>
        <w:pStyle w:val="Bullets"/>
      </w:pPr>
      <w:r w:rsidRPr="00276416">
        <w:t>Whether or not the PHA modifies screening rules to make it easier to service homeless households;</w:t>
      </w:r>
    </w:p>
    <w:p w:rsidR="001C58AE" w:rsidRPr="00276416" w:rsidRDefault="001C58AE" w:rsidP="00276416">
      <w:pPr>
        <w:pStyle w:val="Bullets"/>
      </w:pPr>
      <w:r w:rsidRPr="00276416">
        <w:t>Whether or not the PHA administers other programs to serve homeless households;</w:t>
      </w:r>
    </w:p>
    <w:p w:rsidR="001C58AE" w:rsidRPr="00276416" w:rsidRDefault="001C58AE" w:rsidP="00276416">
      <w:pPr>
        <w:pStyle w:val="Bullets"/>
      </w:pPr>
      <w:r w:rsidRPr="00276416">
        <w:lastRenderedPageBreak/>
        <w:t>Whether or not the PHA is in one of the 25 priority communities for HUD technical assistance;</w:t>
      </w:r>
    </w:p>
    <w:p w:rsidR="001C58AE" w:rsidRDefault="001C58AE" w:rsidP="00276416">
      <w:pPr>
        <w:pStyle w:val="Bullets"/>
      </w:pPr>
      <w:r w:rsidRPr="00276416">
        <w:t xml:space="preserve">The size of homeless </w:t>
      </w:r>
      <w:r>
        <w:t>population in the CoC that includes the PHA's jurisdiction; and</w:t>
      </w:r>
    </w:p>
    <w:p w:rsidR="001C58AE" w:rsidRDefault="001C58AE" w:rsidP="00276416">
      <w:pPr>
        <w:pStyle w:val="BulletsLast"/>
      </w:pPr>
      <w:r>
        <w:t xml:space="preserve">The PHA’s program </w:t>
      </w:r>
      <w:r w:rsidRPr="00276416">
        <w:t>size</w:t>
      </w:r>
      <w:r>
        <w:t xml:space="preserve"> (number of HCV and public housing units).</w:t>
      </w:r>
    </w:p>
    <w:p w:rsidR="00E33300" w:rsidRDefault="006533F0" w:rsidP="00276416">
      <w:r>
        <w:t xml:space="preserve">The research team </w:t>
      </w:r>
      <w:r w:rsidR="001C58AE">
        <w:t>will purposively select 75 homeless-engaged PHAs that together identify a range of approaches to serving homeless people.  Selection of the remaining 50 PHAs</w:t>
      </w:r>
      <w:r>
        <w:t xml:space="preserve"> in the sample</w:t>
      </w:r>
      <w:r w:rsidR="001C58AE">
        <w:t xml:space="preserve"> will focus on agencies in areas with large homeless populations that through the census</w:t>
      </w:r>
      <w:r>
        <w:t xml:space="preserve"> reported</w:t>
      </w:r>
      <w:r w:rsidR="001C58AE">
        <w:t xml:space="preserve"> they have no preferences</w:t>
      </w:r>
      <w:r w:rsidR="00E33300">
        <w:t>,</w:t>
      </w:r>
      <w:r w:rsidR="001C58AE">
        <w:t xml:space="preserve"> </w:t>
      </w:r>
      <w:r>
        <w:t>n</w:t>
      </w:r>
      <w:r w:rsidR="001C58AE">
        <w:t>or</w:t>
      </w:r>
      <w:r>
        <w:t xml:space="preserve"> any</w:t>
      </w:r>
      <w:r w:rsidR="001C58AE">
        <w:t xml:space="preserve"> other targeted engagement with homeless families.</w:t>
      </w:r>
      <w:r w:rsidR="005A49C4">
        <w:t xml:space="preserve">  </w:t>
      </w:r>
      <w:r w:rsidR="00E33300">
        <w:t xml:space="preserve">HUD </w:t>
      </w:r>
      <w:r w:rsidR="001C58AE">
        <w:t xml:space="preserve">may also prioritize PHA </w:t>
      </w:r>
      <w:r w:rsidR="001C58AE" w:rsidRPr="00276416">
        <w:t>jurisdictions</w:t>
      </w:r>
      <w:r w:rsidR="001C58AE">
        <w:t xml:space="preserve"> that fall into one of 25 HUD-identified priority communities for technical assistance. </w:t>
      </w:r>
      <w:r w:rsidR="00E33300">
        <w:t>It would also be desirable to select four to six PHAs that have Moving to Work (MTW) designation from HUD.</w:t>
      </w:r>
    </w:p>
    <w:p w:rsidR="00E93D8B" w:rsidRDefault="001C58AE" w:rsidP="00276416">
      <w:r>
        <w:t xml:space="preserve">Even with purposive selection, </w:t>
      </w:r>
      <w:r w:rsidR="00E33300">
        <w:t xml:space="preserve">the research team </w:t>
      </w:r>
      <w:r>
        <w:t>will use a formal process of allocating PHAs to sampling frame cells by the final criteria and nominating agencies by cell for inclusion in the sample.</w:t>
      </w:r>
      <w:r w:rsidR="00527FEF">
        <w:t xml:space="preserve">  </w:t>
      </w:r>
      <w:r w:rsidR="00E93D8B">
        <w:t xml:space="preserve">The table below provides an initial approach for </w:t>
      </w:r>
      <w:r w:rsidR="00E33300">
        <w:t xml:space="preserve">allocating </w:t>
      </w:r>
      <w:r w:rsidR="00E93D8B">
        <w:t xml:space="preserve">the sample </w:t>
      </w:r>
      <w:r w:rsidR="00527FEF">
        <w:t xml:space="preserve">based on </w:t>
      </w:r>
      <w:r w:rsidR="001B3CE1">
        <w:t xml:space="preserve">the factors listed above </w:t>
      </w:r>
      <w:r w:rsidR="00527FEF">
        <w:t>and type of housing programs operated by the agenc</w:t>
      </w:r>
      <w:r w:rsidR="00E33300">
        <w:t>ies</w:t>
      </w:r>
      <w:r w:rsidR="00E93D8B">
        <w:t>.</w:t>
      </w:r>
    </w:p>
    <w:p w:rsidR="003F31FF" w:rsidRPr="00527FEF" w:rsidRDefault="00527FEF" w:rsidP="00276416">
      <w:pPr>
        <w:pStyle w:val="Caption"/>
      </w:pPr>
      <w:bookmarkStart w:id="10" w:name="_Toc190490672"/>
      <w:bookmarkStart w:id="11" w:name="_Toc248818775"/>
      <w:bookmarkStart w:id="12" w:name="_Toc280179456"/>
      <w:bookmarkEnd w:id="9"/>
      <w:r w:rsidRPr="00527FEF">
        <w:t>Table B.1</w:t>
      </w:r>
      <w:r>
        <w:t xml:space="preserve"> Initial Sampling Approach for Purposive Sample</w:t>
      </w:r>
    </w:p>
    <w:tbl>
      <w:tblPr>
        <w:tblStyle w:val="TableGrid"/>
        <w:tblW w:w="9000" w:type="dxa"/>
        <w:tblInd w:w="108" w:type="dxa"/>
        <w:tblLook w:val="04A0" w:firstRow="1" w:lastRow="0" w:firstColumn="1" w:lastColumn="0" w:noHBand="0" w:noVBand="1"/>
      </w:tblPr>
      <w:tblGrid>
        <w:gridCol w:w="3060"/>
        <w:gridCol w:w="2970"/>
        <w:gridCol w:w="2970"/>
      </w:tblGrid>
      <w:tr w:rsidR="00527FEF" w:rsidRPr="00527FEF" w:rsidTr="00F01598">
        <w:tc>
          <w:tcPr>
            <w:tcW w:w="3060" w:type="dxa"/>
            <w:shd w:val="clear" w:color="auto" w:fill="7F7F7F" w:themeFill="text1" w:themeFillTint="80"/>
          </w:tcPr>
          <w:p w:rsidR="00527FEF" w:rsidRPr="00527FEF" w:rsidRDefault="00527FEF" w:rsidP="00F01598">
            <w:pPr>
              <w:jc w:val="center"/>
              <w:rPr>
                <w:rFonts w:ascii="Arial" w:hAnsi="Arial" w:cs="Arial"/>
                <w:b/>
              </w:rPr>
            </w:pPr>
          </w:p>
        </w:tc>
        <w:tc>
          <w:tcPr>
            <w:tcW w:w="2970" w:type="dxa"/>
            <w:shd w:val="clear" w:color="auto" w:fill="7F7F7F" w:themeFill="text1" w:themeFillTint="80"/>
          </w:tcPr>
          <w:p w:rsidR="00527FEF" w:rsidRPr="00276416" w:rsidRDefault="00527FEF" w:rsidP="00276416">
            <w:pPr>
              <w:pStyle w:val="ExhibitColumnHeader"/>
              <w:rPr>
                <w:color w:val="FFFFFF" w:themeColor="background1"/>
              </w:rPr>
            </w:pPr>
            <w:r w:rsidRPr="00276416">
              <w:rPr>
                <w:color w:val="FFFFFF" w:themeColor="background1"/>
              </w:rPr>
              <w:t>Priority Community or Large Homeless Population</w:t>
            </w:r>
          </w:p>
        </w:tc>
        <w:tc>
          <w:tcPr>
            <w:tcW w:w="2970" w:type="dxa"/>
            <w:shd w:val="clear" w:color="auto" w:fill="7F7F7F" w:themeFill="text1" w:themeFillTint="80"/>
          </w:tcPr>
          <w:p w:rsidR="00527FEF" w:rsidRPr="00276416" w:rsidRDefault="00527FEF" w:rsidP="00276416">
            <w:pPr>
              <w:pStyle w:val="ExhibitColumnHeader"/>
              <w:rPr>
                <w:color w:val="FFFFFF" w:themeColor="background1"/>
              </w:rPr>
            </w:pPr>
            <w:r w:rsidRPr="00276416">
              <w:rPr>
                <w:color w:val="FFFFFF" w:themeColor="background1"/>
              </w:rPr>
              <w:t>Other large PHAs—aim for geographic diversity</w:t>
            </w:r>
          </w:p>
        </w:tc>
      </w:tr>
      <w:tr w:rsidR="00527FEF" w:rsidTr="00F01598">
        <w:tc>
          <w:tcPr>
            <w:tcW w:w="9000" w:type="dxa"/>
            <w:gridSpan w:val="3"/>
            <w:shd w:val="clear" w:color="auto" w:fill="D9D9D9" w:themeFill="background1" w:themeFillShade="D9"/>
          </w:tcPr>
          <w:p w:rsidR="00527FEF" w:rsidRPr="00F01598" w:rsidRDefault="00527FEF" w:rsidP="00F01598">
            <w:pPr>
              <w:spacing w:before="60" w:after="60"/>
              <w:rPr>
                <w:rFonts w:ascii="Arial" w:hAnsi="Arial" w:cs="Arial"/>
                <w:b/>
              </w:rPr>
            </w:pPr>
            <w:r w:rsidRPr="00F01598">
              <w:rPr>
                <w:rFonts w:ascii="Arial" w:hAnsi="Arial" w:cs="Arial"/>
                <w:b/>
              </w:rPr>
              <w:t>Strong general preference or set-aside of vouchers or public housing  N=75</w:t>
            </w:r>
          </w:p>
        </w:tc>
      </w:tr>
      <w:tr w:rsidR="00527FEF" w:rsidTr="00F01598">
        <w:tc>
          <w:tcPr>
            <w:tcW w:w="3060" w:type="dxa"/>
          </w:tcPr>
          <w:p w:rsidR="00527FEF" w:rsidRPr="00527FEF" w:rsidRDefault="00527FEF" w:rsidP="00F01598">
            <w:pPr>
              <w:spacing w:before="60" w:after="60"/>
              <w:rPr>
                <w:rFonts w:ascii="Arial" w:hAnsi="Arial" w:cs="Arial"/>
              </w:rPr>
            </w:pPr>
            <w:r w:rsidRPr="00527FEF">
              <w:rPr>
                <w:rFonts w:ascii="Arial" w:hAnsi="Arial" w:cs="Arial"/>
              </w:rPr>
              <w:t>Strong general preference</w:t>
            </w:r>
          </w:p>
        </w:tc>
        <w:tc>
          <w:tcPr>
            <w:tcW w:w="2970" w:type="dxa"/>
          </w:tcPr>
          <w:p w:rsidR="00527FEF" w:rsidRPr="00527FEF" w:rsidRDefault="00527FEF" w:rsidP="00F01598">
            <w:pPr>
              <w:spacing w:before="60" w:after="60"/>
              <w:ind w:right="1246"/>
              <w:jc w:val="right"/>
              <w:rPr>
                <w:rFonts w:ascii="Arial" w:hAnsi="Arial" w:cs="Arial"/>
              </w:rPr>
            </w:pPr>
            <w:r w:rsidRPr="00527FEF">
              <w:rPr>
                <w:rFonts w:ascii="Arial" w:hAnsi="Arial" w:cs="Arial"/>
              </w:rPr>
              <w:t>15</w:t>
            </w:r>
          </w:p>
        </w:tc>
        <w:tc>
          <w:tcPr>
            <w:tcW w:w="2970" w:type="dxa"/>
          </w:tcPr>
          <w:p w:rsidR="00527FEF" w:rsidRPr="00527FEF" w:rsidRDefault="00527FEF" w:rsidP="00F01598">
            <w:pPr>
              <w:spacing w:before="60" w:after="60"/>
              <w:ind w:right="1246"/>
              <w:jc w:val="right"/>
              <w:rPr>
                <w:rFonts w:ascii="Arial" w:hAnsi="Arial" w:cs="Arial"/>
              </w:rPr>
            </w:pPr>
            <w:r w:rsidRPr="00527FEF">
              <w:rPr>
                <w:rFonts w:ascii="Arial" w:hAnsi="Arial" w:cs="Arial"/>
              </w:rPr>
              <w:t>10</w:t>
            </w:r>
          </w:p>
        </w:tc>
      </w:tr>
      <w:tr w:rsidR="00527FEF" w:rsidTr="00F01598">
        <w:tc>
          <w:tcPr>
            <w:tcW w:w="3060" w:type="dxa"/>
          </w:tcPr>
          <w:p w:rsidR="00527FEF" w:rsidRPr="00527FEF" w:rsidRDefault="00527FEF" w:rsidP="00F01598">
            <w:pPr>
              <w:spacing w:before="60" w:after="60"/>
              <w:rPr>
                <w:rFonts w:ascii="Arial" w:hAnsi="Arial" w:cs="Arial"/>
              </w:rPr>
            </w:pPr>
            <w:r w:rsidRPr="00527FEF">
              <w:rPr>
                <w:rFonts w:ascii="Arial" w:hAnsi="Arial" w:cs="Arial"/>
              </w:rPr>
              <w:t>Set-aside of vouchers</w:t>
            </w:r>
          </w:p>
        </w:tc>
        <w:tc>
          <w:tcPr>
            <w:tcW w:w="2970" w:type="dxa"/>
          </w:tcPr>
          <w:p w:rsidR="00527FEF" w:rsidRPr="00527FEF" w:rsidRDefault="00527FEF" w:rsidP="00F01598">
            <w:pPr>
              <w:spacing w:before="60" w:after="60"/>
              <w:ind w:right="1246"/>
              <w:jc w:val="right"/>
              <w:rPr>
                <w:rFonts w:ascii="Arial" w:hAnsi="Arial" w:cs="Arial"/>
              </w:rPr>
            </w:pPr>
            <w:r w:rsidRPr="00527FEF">
              <w:rPr>
                <w:rFonts w:ascii="Arial" w:hAnsi="Arial" w:cs="Arial"/>
              </w:rPr>
              <w:t>15</w:t>
            </w:r>
          </w:p>
        </w:tc>
        <w:tc>
          <w:tcPr>
            <w:tcW w:w="2970" w:type="dxa"/>
          </w:tcPr>
          <w:p w:rsidR="00527FEF" w:rsidRPr="00527FEF" w:rsidRDefault="00527FEF" w:rsidP="00F01598">
            <w:pPr>
              <w:spacing w:before="60" w:after="60"/>
              <w:ind w:right="1246"/>
              <w:jc w:val="right"/>
              <w:rPr>
                <w:rFonts w:ascii="Arial" w:hAnsi="Arial" w:cs="Arial"/>
              </w:rPr>
            </w:pPr>
            <w:r w:rsidRPr="00527FEF">
              <w:rPr>
                <w:rFonts w:ascii="Arial" w:hAnsi="Arial" w:cs="Arial"/>
              </w:rPr>
              <w:t>10</w:t>
            </w:r>
          </w:p>
        </w:tc>
      </w:tr>
      <w:tr w:rsidR="00527FEF" w:rsidTr="00F01598">
        <w:tc>
          <w:tcPr>
            <w:tcW w:w="3060" w:type="dxa"/>
          </w:tcPr>
          <w:p w:rsidR="00527FEF" w:rsidRPr="00527FEF" w:rsidRDefault="00527FEF" w:rsidP="00F01598">
            <w:pPr>
              <w:spacing w:before="60" w:after="60"/>
              <w:rPr>
                <w:rFonts w:ascii="Arial" w:hAnsi="Arial" w:cs="Arial"/>
              </w:rPr>
            </w:pPr>
            <w:r w:rsidRPr="00527FEF">
              <w:rPr>
                <w:rFonts w:ascii="Arial" w:hAnsi="Arial" w:cs="Arial"/>
              </w:rPr>
              <w:t>Set-aside of public housing</w:t>
            </w:r>
          </w:p>
        </w:tc>
        <w:tc>
          <w:tcPr>
            <w:tcW w:w="2970" w:type="dxa"/>
          </w:tcPr>
          <w:p w:rsidR="00527FEF" w:rsidRPr="00527FEF" w:rsidRDefault="00527FEF" w:rsidP="00F01598">
            <w:pPr>
              <w:spacing w:before="60" w:after="60"/>
              <w:ind w:right="1246"/>
              <w:jc w:val="right"/>
              <w:rPr>
                <w:rFonts w:ascii="Arial" w:hAnsi="Arial" w:cs="Arial"/>
              </w:rPr>
            </w:pPr>
            <w:r w:rsidRPr="00527FEF">
              <w:rPr>
                <w:rFonts w:ascii="Arial" w:hAnsi="Arial" w:cs="Arial"/>
              </w:rPr>
              <w:t>10</w:t>
            </w:r>
          </w:p>
        </w:tc>
        <w:tc>
          <w:tcPr>
            <w:tcW w:w="2970" w:type="dxa"/>
          </w:tcPr>
          <w:p w:rsidR="00527FEF" w:rsidRPr="00527FEF" w:rsidRDefault="00527FEF" w:rsidP="00F01598">
            <w:pPr>
              <w:spacing w:before="60" w:after="60"/>
              <w:ind w:right="1246"/>
              <w:jc w:val="right"/>
              <w:rPr>
                <w:rFonts w:ascii="Arial" w:hAnsi="Arial" w:cs="Arial"/>
              </w:rPr>
            </w:pPr>
            <w:r w:rsidRPr="00527FEF">
              <w:rPr>
                <w:rFonts w:ascii="Arial" w:hAnsi="Arial" w:cs="Arial"/>
              </w:rPr>
              <w:t xml:space="preserve">  5</w:t>
            </w:r>
          </w:p>
        </w:tc>
      </w:tr>
      <w:tr w:rsidR="00527FEF" w:rsidTr="00F01598">
        <w:tc>
          <w:tcPr>
            <w:tcW w:w="3060" w:type="dxa"/>
          </w:tcPr>
          <w:p w:rsidR="00527FEF" w:rsidRPr="00527FEF" w:rsidRDefault="00527FEF" w:rsidP="00F01598">
            <w:pPr>
              <w:spacing w:before="60" w:after="60"/>
              <w:rPr>
                <w:rFonts w:ascii="Arial" w:hAnsi="Arial" w:cs="Arial"/>
              </w:rPr>
            </w:pPr>
            <w:r w:rsidRPr="00527FEF">
              <w:rPr>
                <w:rFonts w:ascii="Arial" w:hAnsi="Arial" w:cs="Arial"/>
              </w:rPr>
              <w:t>Alters screening</w:t>
            </w:r>
          </w:p>
        </w:tc>
        <w:tc>
          <w:tcPr>
            <w:tcW w:w="2970" w:type="dxa"/>
          </w:tcPr>
          <w:p w:rsidR="00527FEF" w:rsidRPr="00527FEF" w:rsidRDefault="00527FEF" w:rsidP="00F01598">
            <w:pPr>
              <w:spacing w:before="60" w:after="60"/>
              <w:ind w:right="1246"/>
              <w:jc w:val="right"/>
              <w:rPr>
                <w:rFonts w:ascii="Arial" w:hAnsi="Arial" w:cs="Arial"/>
              </w:rPr>
            </w:pPr>
            <w:r w:rsidRPr="00527FEF">
              <w:rPr>
                <w:rFonts w:ascii="Arial" w:hAnsi="Arial" w:cs="Arial"/>
              </w:rPr>
              <w:t xml:space="preserve"> 5</w:t>
            </w:r>
          </w:p>
        </w:tc>
        <w:tc>
          <w:tcPr>
            <w:tcW w:w="2970" w:type="dxa"/>
          </w:tcPr>
          <w:p w:rsidR="00527FEF" w:rsidRPr="00527FEF" w:rsidRDefault="00527FEF" w:rsidP="00F01598">
            <w:pPr>
              <w:spacing w:before="60" w:after="60"/>
              <w:ind w:right="1246"/>
              <w:jc w:val="right"/>
              <w:rPr>
                <w:rFonts w:ascii="Arial" w:hAnsi="Arial" w:cs="Arial"/>
              </w:rPr>
            </w:pPr>
            <w:r w:rsidRPr="00527FEF">
              <w:rPr>
                <w:rFonts w:ascii="Arial" w:hAnsi="Arial" w:cs="Arial"/>
              </w:rPr>
              <w:t xml:space="preserve">  5</w:t>
            </w:r>
          </w:p>
        </w:tc>
      </w:tr>
      <w:tr w:rsidR="00527FEF" w:rsidTr="00F01598">
        <w:tc>
          <w:tcPr>
            <w:tcW w:w="9000" w:type="dxa"/>
            <w:gridSpan w:val="3"/>
            <w:shd w:val="clear" w:color="auto" w:fill="D9D9D9" w:themeFill="background1" w:themeFillShade="D9"/>
          </w:tcPr>
          <w:p w:rsidR="00527FEF" w:rsidRPr="00F01598" w:rsidRDefault="00527FEF" w:rsidP="00F01598">
            <w:pPr>
              <w:spacing w:before="60" w:after="60"/>
              <w:rPr>
                <w:rFonts w:ascii="Arial" w:hAnsi="Arial" w:cs="Arial"/>
                <w:b/>
              </w:rPr>
            </w:pPr>
            <w:r w:rsidRPr="00F01598">
              <w:rPr>
                <w:rFonts w:ascii="Arial" w:hAnsi="Arial" w:cs="Arial"/>
                <w:b/>
              </w:rPr>
              <w:t>No strong general preference or set-aside of vouchers or public housing  N=50</w:t>
            </w:r>
          </w:p>
        </w:tc>
      </w:tr>
      <w:tr w:rsidR="00527FEF" w:rsidTr="00F01598">
        <w:tc>
          <w:tcPr>
            <w:tcW w:w="3060" w:type="dxa"/>
          </w:tcPr>
          <w:p w:rsidR="00527FEF" w:rsidRPr="00527FEF" w:rsidRDefault="00527FEF" w:rsidP="00F01598">
            <w:pPr>
              <w:spacing w:before="60" w:after="60"/>
              <w:rPr>
                <w:rFonts w:ascii="Arial" w:hAnsi="Arial" w:cs="Arial"/>
              </w:rPr>
            </w:pPr>
            <w:r w:rsidRPr="00527FEF">
              <w:rPr>
                <w:rFonts w:ascii="Arial" w:hAnsi="Arial" w:cs="Arial"/>
              </w:rPr>
              <w:t>Vouchers and public housing</w:t>
            </w:r>
          </w:p>
        </w:tc>
        <w:tc>
          <w:tcPr>
            <w:tcW w:w="2970" w:type="dxa"/>
          </w:tcPr>
          <w:p w:rsidR="00527FEF" w:rsidRPr="00527FEF" w:rsidRDefault="00527FEF" w:rsidP="00F01598">
            <w:pPr>
              <w:spacing w:before="60" w:after="60"/>
              <w:ind w:right="1236"/>
              <w:jc w:val="right"/>
              <w:rPr>
                <w:rFonts w:ascii="Arial" w:hAnsi="Arial" w:cs="Arial"/>
              </w:rPr>
            </w:pPr>
            <w:r w:rsidRPr="00527FEF">
              <w:rPr>
                <w:rFonts w:ascii="Arial" w:hAnsi="Arial" w:cs="Arial"/>
              </w:rPr>
              <w:t>20</w:t>
            </w:r>
          </w:p>
        </w:tc>
        <w:tc>
          <w:tcPr>
            <w:tcW w:w="2970" w:type="dxa"/>
          </w:tcPr>
          <w:p w:rsidR="00527FEF" w:rsidRPr="00527FEF" w:rsidRDefault="00527FEF" w:rsidP="00F01598">
            <w:pPr>
              <w:spacing w:before="60" w:after="60"/>
              <w:ind w:right="1236"/>
              <w:jc w:val="right"/>
              <w:rPr>
                <w:rFonts w:ascii="Arial" w:hAnsi="Arial" w:cs="Arial"/>
              </w:rPr>
            </w:pPr>
            <w:r w:rsidRPr="00527FEF">
              <w:rPr>
                <w:rFonts w:ascii="Arial" w:hAnsi="Arial" w:cs="Arial"/>
              </w:rPr>
              <w:t>10</w:t>
            </w:r>
          </w:p>
        </w:tc>
      </w:tr>
      <w:tr w:rsidR="00527FEF" w:rsidTr="00F01598">
        <w:tc>
          <w:tcPr>
            <w:tcW w:w="3060" w:type="dxa"/>
          </w:tcPr>
          <w:p w:rsidR="00527FEF" w:rsidRPr="00527FEF" w:rsidRDefault="00527FEF" w:rsidP="00F01598">
            <w:pPr>
              <w:spacing w:before="60" w:after="60"/>
              <w:rPr>
                <w:rFonts w:ascii="Arial" w:hAnsi="Arial" w:cs="Arial"/>
              </w:rPr>
            </w:pPr>
            <w:r w:rsidRPr="00527FEF">
              <w:rPr>
                <w:rFonts w:ascii="Arial" w:hAnsi="Arial" w:cs="Arial"/>
              </w:rPr>
              <w:t>Public housing only</w:t>
            </w:r>
          </w:p>
        </w:tc>
        <w:tc>
          <w:tcPr>
            <w:tcW w:w="2970" w:type="dxa"/>
          </w:tcPr>
          <w:p w:rsidR="00527FEF" w:rsidRPr="00527FEF" w:rsidRDefault="00527FEF" w:rsidP="00F01598">
            <w:pPr>
              <w:spacing w:before="60" w:after="60"/>
              <w:ind w:right="1236"/>
              <w:jc w:val="right"/>
              <w:rPr>
                <w:rFonts w:ascii="Arial" w:hAnsi="Arial" w:cs="Arial"/>
              </w:rPr>
            </w:pPr>
            <w:r w:rsidRPr="00527FEF">
              <w:rPr>
                <w:rFonts w:ascii="Arial" w:hAnsi="Arial" w:cs="Arial"/>
              </w:rPr>
              <w:t xml:space="preserve">  2</w:t>
            </w:r>
          </w:p>
        </w:tc>
        <w:tc>
          <w:tcPr>
            <w:tcW w:w="2970" w:type="dxa"/>
          </w:tcPr>
          <w:p w:rsidR="00527FEF" w:rsidRPr="00527FEF" w:rsidRDefault="00527FEF" w:rsidP="00F01598">
            <w:pPr>
              <w:spacing w:before="60" w:after="60"/>
              <w:ind w:right="1236"/>
              <w:jc w:val="right"/>
              <w:rPr>
                <w:rFonts w:ascii="Arial" w:hAnsi="Arial" w:cs="Arial"/>
              </w:rPr>
            </w:pPr>
            <w:r w:rsidRPr="00527FEF">
              <w:rPr>
                <w:rFonts w:ascii="Arial" w:hAnsi="Arial" w:cs="Arial"/>
              </w:rPr>
              <w:t>2</w:t>
            </w:r>
          </w:p>
        </w:tc>
      </w:tr>
      <w:tr w:rsidR="00527FEF" w:rsidTr="00F01598">
        <w:tc>
          <w:tcPr>
            <w:tcW w:w="3060" w:type="dxa"/>
          </w:tcPr>
          <w:p w:rsidR="00527FEF" w:rsidRPr="00527FEF" w:rsidRDefault="00527FEF" w:rsidP="00F01598">
            <w:pPr>
              <w:spacing w:before="60" w:after="60"/>
              <w:rPr>
                <w:rFonts w:ascii="Arial" w:hAnsi="Arial" w:cs="Arial"/>
              </w:rPr>
            </w:pPr>
            <w:r w:rsidRPr="00527FEF">
              <w:rPr>
                <w:rFonts w:ascii="Arial" w:hAnsi="Arial" w:cs="Arial"/>
              </w:rPr>
              <w:t>Vouchers only</w:t>
            </w:r>
          </w:p>
        </w:tc>
        <w:tc>
          <w:tcPr>
            <w:tcW w:w="2970" w:type="dxa"/>
          </w:tcPr>
          <w:p w:rsidR="00527FEF" w:rsidRPr="00527FEF" w:rsidRDefault="00527FEF" w:rsidP="00F01598">
            <w:pPr>
              <w:spacing w:before="60" w:after="60"/>
              <w:ind w:right="1236"/>
              <w:jc w:val="right"/>
              <w:rPr>
                <w:rFonts w:ascii="Arial" w:hAnsi="Arial" w:cs="Arial"/>
              </w:rPr>
            </w:pPr>
            <w:r w:rsidRPr="00527FEF">
              <w:rPr>
                <w:rFonts w:ascii="Arial" w:hAnsi="Arial" w:cs="Arial"/>
              </w:rPr>
              <w:t xml:space="preserve">  5</w:t>
            </w:r>
          </w:p>
        </w:tc>
        <w:tc>
          <w:tcPr>
            <w:tcW w:w="2970" w:type="dxa"/>
          </w:tcPr>
          <w:p w:rsidR="00527FEF" w:rsidRPr="00527FEF" w:rsidRDefault="00527FEF" w:rsidP="00F01598">
            <w:pPr>
              <w:spacing w:before="60" w:after="60"/>
              <w:ind w:right="1236"/>
              <w:jc w:val="right"/>
              <w:rPr>
                <w:rFonts w:ascii="Arial" w:hAnsi="Arial" w:cs="Arial"/>
              </w:rPr>
            </w:pPr>
            <w:r w:rsidRPr="00527FEF">
              <w:rPr>
                <w:rFonts w:ascii="Arial" w:hAnsi="Arial" w:cs="Arial"/>
              </w:rPr>
              <w:t>5</w:t>
            </w:r>
          </w:p>
        </w:tc>
      </w:tr>
      <w:tr w:rsidR="00527FEF" w:rsidTr="00F01598">
        <w:tc>
          <w:tcPr>
            <w:tcW w:w="3060" w:type="dxa"/>
          </w:tcPr>
          <w:p w:rsidR="00527FEF" w:rsidRPr="00F01598" w:rsidRDefault="00527FEF" w:rsidP="00F01598">
            <w:pPr>
              <w:spacing w:before="60" w:after="60"/>
              <w:rPr>
                <w:rFonts w:ascii="Arial" w:hAnsi="Arial" w:cs="Arial"/>
                <w:spacing w:val="-4"/>
              </w:rPr>
            </w:pPr>
            <w:r w:rsidRPr="00F01598">
              <w:rPr>
                <w:rFonts w:ascii="Arial" w:hAnsi="Arial" w:cs="Arial"/>
                <w:spacing w:val="-4"/>
              </w:rPr>
              <w:t>Other programs serve homeless</w:t>
            </w:r>
          </w:p>
        </w:tc>
        <w:tc>
          <w:tcPr>
            <w:tcW w:w="2970" w:type="dxa"/>
          </w:tcPr>
          <w:p w:rsidR="00527FEF" w:rsidRPr="00527FEF" w:rsidRDefault="00527FEF" w:rsidP="00F01598">
            <w:pPr>
              <w:spacing w:before="60" w:after="60"/>
              <w:ind w:right="1236"/>
              <w:jc w:val="right"/>
              <w:rPr>
                <w:rFonts w:ascii="Arial" w:hAnsi="Arial" w:cs="Arial"/>
              </w:rPr>
            </w:pPr>
            <w:r w:rsidRPr="00527FEF">
              <w:rPr>
                <w:rFonts w:ascii="Arial" w:hAnsi="Arial" w:cs="Arial"/>
              </w:rPr>
              <w:t xml:space="preserve">  3</w:t>
            </w:r>
          </w:p>
        </w:tc>
        <w:tc>
          <w:tcPr>
            <w:tcW w:w="2970" w:type="dxa"/>
          </w:tcPr>
          <w:p w:rsidR="00527FEF" w:rsidRPr="00527FEF" w:rsidRDefault="00527FEF" w:rsidP="00F01598">
            <w:pPr>
              <w:spacing w:before="60" w:after="60"/>
              <w:ind w:right="1236"/>
              <w:jc w:val="right"/>
              <w:rPr>
                <w:rFonts w:ascii="Arial" w:hAnsi="Arial" w:cs="Arial"/>
              </w:rPr>
            </w:pPr>
            <w:r w:rsidRPr="00527FEF">
              <w:rPr>
                <w:rFonts w:ascii="Arial" w:hAnsi="Arial" w:cs="Arial"/>
              </w:rPr>
              <w:t>3</w:t>
            </w:r>
          </w:p>
        </w:tc>
      </w:tr>
    </w:tbl>
    <w:p w:rsidR="00527FEF" w:rsidRDefault="00527FEF" w:rsidP="00527FEF"/>
    <w:p w:rsidR="003F31FF" w:rsidRPr="00C806E7" w:rsidRDefault="002D1BFC" w:rsidP="002D1BFC">
      <w:pPr>
        <w:pStyle w:val="Heading3"/>
        <w:numPr>
          <w:ilvl w:val="0"/>
          <w:numId w:val="0"/>
        </w:numPr>
      </w:pPr>
      <w:bookmarkStart w:id="13" w:name="_Toc310927639"/>
      <w:r>
        <w:t>B.2.2</w:t>
      </w:r>
      <w:r>
        <w:tab/>
      </w:r>
      <w:r w:rsidR="003F31FF" w:rsidRPr="00C806E7">
        <w:t>Justification of Level of Accuracy</w:t>
      </w:r>
      <w:bookmarkEnd w:id="10"/>
      <w:bookmarkEnd w:id="11"/>
      <w:bookmarkEnd w:id="12"/>
      <w:bookmarkEnd w:id="13"/>
    </w:p>
    <w:p w:rsidR="003F31FF" w:rsidRPr="005E6B56" w:rsidRDefault="00E93D8B" w:rsidP="00276416">
      <w:r w:rsidRPr="005E6B56">
        <w:t>The 125 follow</w:t>
      </w:r>
      <w:r w:rsidR="000A1661">
        <w:t>-</w:t>
      </w:r>
      <w:r w:rsidRPr="005E6B56">
        <w:t xml:space="preserve">up telephone surveys will gather qualitative information about each agency’s preferences, set-asides, and targeted programs for homeless households, and </w:t>
      </w:r>
      <w:r w:rsidR="006B6D8A">
        <w:t xml:space="preserve">about </w:t>
      </w:r>
      <w:r w:rsidRPr="005E6B56">
        <w:t>the motivations, challenges and barriers in establishing them.  In response to open-ended questions, the</w:t>
      </w:r>
      <w:r w:rsidR="006B6D8A">
        <w:t xml:space="preserve"> PHA Executive Director (or other designated staff)</w:t>
      </w:r>
      <w:r w:rsidRPr="005E6B56">
        <w:t xml:space="preserve"> will confirm responses from the census survey and will be asked to provide additional detail based on those responses.   The information will provide contextual reference and examples of the trends that are observed in the census survey results f</w:t>
      </w:r>
      <w:r w:rsidR="006B6D8A">
        <w:t>or</w:t>
      </w:r>
      <w:r w:rsidRPr="005E6B56">
        <w:t xml:space="preserve"> all PHAs.  The qualitative data will be analyzed according to categories or themes.  </w:t>
      </w:r>
    </w:p>
    <w:p w:rsidR="003F31FF" w:rsidRPr="00C806E7" w:rsidRDefault="002D1BFC" w:rsidP="002D1BFC">
      <w:pPr>
        <w:pStyle w:val="Heading3"/>
        <w:numPr>
          <w:ilvl w:val="0"/>
          <w:numId w:val="0"/>
        </w:numPr>
        <w:ind w:left="720" w:hanging="720"/>
      </w:pPr>
      <w:bookmarkStart w:id="14" w:name="_Toc216772861"/>
      <w:bookmarkStart w:id="15" w:name="_Toc310927640"/>
      <w:r>
        <w:lastRenderedPageBreak/>
        <w:t>B.2.3</w:t>
      </w:r>
      <w:r>
        <w:tab/>
      </w:r>
      <w:r w:rsidR="003F31FF" w:rsidRPr="00C806E7">
        <w:t>Unusual Problems Requiring Specialized Sampling Procedures</w:t>
      </w:r>
      <w:bookmarkEnd w:id="14"/>
      <w:bookmarkEnd w:id="15"/>
    </w:p>
    <w:p w:rsidR="003F31FF" w:rsidRPr="00C806E7" w:rsidRDefault="003F31FF" w:rsidP="00276416">
      <w:r w:rsidRPr="00C806E7">
        <w:t xml:space="preserve">There are no </w:t>
      </w:r>
      <w:r w:rsidRPr="00434F63">
        <w:t>unusual</w:t>
      </w:r>
      <w:r w:rsidRPr="00C806E7">
        <w:t xml:space="preserve"> problems associated with this sample.</w:t>
      </w:r>
      <w:r>
        <w:t xml:space="preserve"> The study seeks responses from </w:t>
      </w:r>
      <w:r w:rsidR="00850F55">
        <w:t xml:space="preserve">a purposive sample of </w:t>
      </w:r>
      <w:r>
        <w:t>Public Housing Agencies</w:t>
      </w:r>
      <w:r w:rsidR="006B6D8A">
        <w:t>, to supplement information from the census previously approved by OMB</w:t>
      </w:r>
      <w:r w:rsidR="00850F55">
        <w:t>.</w:t>
      </w:r>
    </w:p>
    <w:p w:rsidR="003F31FF" w:rsidRPr="00C806E7" w:rsidRDefault="002D1BFC" w:rsidP="002D1BFC">
      <w:pPr>
        <w:pStyle w:val="Heading3"/>
        <w:numPr>
          <w:ilvl w:val="0"/>
          <w:numId w:val="0"/>
        </w:numPr>
        <w:ind w:left="720" w:hanging="720"/>
      </w:pPr>
      <w:bookmarkStart w:id="16" w:name="_Toc216772862"/>
      <w:bookmarkStart w:id="17" w:name="_Toc310927641"/>
      <w:r>
        <w:t>B.2.4</w:t>
      </w:r>
      <w:r>
        <w:tab/>
      </w:r>
      <w:r w:rsidR="003F31FF" w:rsidRPr="00C806E7">
        <w:t>Any Use of Periodic (less frequent than annual) Data Collection Cycles to Reduce Burden</w:t>
      </w:r>
      <w:bookmarkEnd w:id="16"/>
      <w:bookmarkEnd w:id="17"/>
    </w:p>
    <w:p w:rsidR="00F01598" w:rsidRDefault="003F31FF" w:rsidP="003F31FF">
      <w:r w:rsidRPr="00C806E7">
        <w:t xml:space="preserve">Not applicable to this </w:t>
      </w:r>
      <w:r w:rsidRPr="00EB7E84">
        <w:t>study</w:t>
      </w:r>
      <w:r>
        <w:t xml:space="preserve">. </w:t>
      </w:r>
    </w:p>
    <w:p w:rsidR="003F31FF" w:rsidRDefault="002D1BFC" w:rsidP="002D1BFC">
      <w:pPr>
        <w:pStyle w:val="Heading2"/>
      </w:pPr>
      <w:bookmarkStart w:id="18" w:name="_Toc310927642"/>
      <w:r>
        <w:t>B.3</w:t>
      </w:r>
      <w:r>
        <w:tab/>
      </w:r>
      <w:r w:rsidR="003F31FF">
        <w:t>Maximizing Response Rates</w:t>
      </w:r>
      <w:bookmarkEnd w:id="18"/>
    </w:p>
    <w:p w:rsidR="005F7D71" w:rsidRDefault="0049479F" w:rsidP="00276416">
      <w:r>
        <w:t>HUD</w:t>
      </w:r>
      <w:r w:rsidR="0060328B">
        <w:t>’</w:t>
      </w:r>
      <w:r>
        <w:t xml:space="preserve">s contractor will administer the follow-up interviews with a two-person team—an interviewer and a research assistant.  The interviewer will </w:t>
      </w:r>
      <w:r w:rsidR="005F7D71">
        <w:t>administer the questions and guide the respondent through the interview instrument, prob</w:t>
      </w:r>
      <w:r w:rsidR="00527FEF">
        <w:t>ing</w:t>
      </w:r>
      <w:r w:rsidR="005F7D71">
        <w:t xml:space="preserve"> for additional information where </w:t>
      </w:r>
      <w:r w:rsidR="00527FEF">
        <w:t>appropriate</w:t>
      </w:r>
      <w:r w:rsidR="005F7D71">
        <w:t>. The research assistant will record all responses independently.  This will ensure that there</w:t>
      </w:r>
      <w:r w:rsidR="006B6D8A">
        <w:t xml:space="preserve"> are</w:t>
      </w:r>
      <w:r w:rsidR="005F7D71">
        <w:t xml:space="preserve"> complete notes on all items collected in the interview and will </w:t>
      </w:r>
      <w:r w:rsidR="00804E4A">
        <w:t xml:space="preserve">aid in the </w:t>
      </w:r>
      <w:r w:rsidR="0060328B">
        <w:t xml:space="preserve">subsequent </w:t>
      </w:r>
      <w:r w:rsidR="00804E4A">
        <w:t>analysis stage.</w:t>
      </w:r>
      <w:r w:rsidR="005F7D71">
        <w:t xml:space="preserve"> </w:t>
      </w:r>
    </w:p>
    <w:p w:rsidR="005F7D71" w:rsidRDefault="005F7D71" w:rsidP="00276416">
      <w:r>
        <w:t>Maximizing</w:t>
      </w:r>
      <w:r w:rsidR="00D34C8C">
        <w:t xml:space="preserve"> the response rate to the follow-up interview requires an approach that </w:t>
      </w:r>
      <w:r w:rsidR="001C58AE">
        <w:t xml:space="preserve">acknowledges the challenges of reaching busy PHA </w:t>
      </w:r>
      <w:r w:rsidR="006B6D8A">
        <w:t xml:space="preserve">directors and </w:t>
      </w:r>
      <w:r w:rsidR="001C58AE">
        <w:t xml:space="preserve">staff and </w:t>
      </w:r>
      <w:r>
        <w:t>encourages the</w:t>
      </w:r>
      <w:r w:rsidR="001C58AE">
        <w:t xml:space="preserve"> participation of the sampled PHAs. </w:t>
      </w:r>
    </w:p>
    <w:p w:rsidR="005F7D71" w:rsidRDefault="005F7D71" w:rsidP="00276416">
      <w:r>
        <w:t xml:space="preserve">Following the completion of the PHA census, HUD’s contractor will compile a database of key contact information for all PHAs that may be included in the sample and </w:t>
      </w:r>
      <w:r w:rsidR="006B6D8A">
        <w:t xml:space="preserve">include the values of the variables needed to assign PHAs to sample strata for the follow-up survey. </w:t>
      </w:r>
      <w:r>
        <w:t xml:space="preserve"> </w:t>
      </w:r>
      <w:r w:rsidR="005250F5">
        <w:t>Once the sample is selected, t</w:t>
      </w:r>
      <w:r>
        <w:t xml:space="preserve">hese flags will allow </w:t>
      </w:r>
      <w:r w:rsidR="005A49C4">
        <w:t xml:space="preserve">the research team to </w:t>
      </w:r>
      <w:r>
        <w:t xml:space="preserve">tailor the initial outreach letter for the follow-up sample survey. </w:t>
      </w:r>
    </w:p>
    <w:p w:rsidR="001C58AE" w:rsidRDefault="005250F5" w:rsidP="00276416">
      <w:r>
        <w:t>The approach to completing the follow-up interviews has four key</w:t>
      </w:r>
      <w:r w:rsidR="001C58AE">
        <w:t xml:space="preserve"> steps: </w:t>
      </w:r>
    </w:p>
    <w:p w:rsidR="001C58AE" w:rsidRDefault="001C58AE" w:rsidP="001C58AE">
      <w:pPr>
        <w:pStyle w:val="Numbers"/>
        <w:numPr>
          <w:ilvl w:val="0"/>
          <w:numId w:val="6"/>
        </w:numPr>
        <w:tabs>
          <w:tab w:val="clear" w:pos="1080"/>
          <w:tab w:val="num" w:pos="720"/>
        </w:tabs>
        <w:spacing w:after="120"/>
        <w:ind w:left="720"/>
      </w:pPr>
      <w:r>
        <w:t xml:space="preserve">Letter from HUD referring to the census and explaining the further purpose of the follow-up survey. The letter will  encourage cooperation and alert PHA to expect contact from the </w:t>
      </w:r>
      <w:r w:rsidR="005250F5">
        <w:t xml:space="preserve">HUD’s contractor </w:t>
      </w:r>
      <w:r>
        <w:t xml:space="preserve"> team;</w:t>
      </w:r>
    </w:p>
    <w:p w:rsidR="001C58AE" w:rsidRDefault="001C58AE" w:rsidP="001C58AE">
      <w:pPr>
        <w:pStyle w:val="Numbers"/>
        <w:numPr>
          <w:ilvl w:val="0"/>
          <w:numId w:val="6"/>
        </w:numPr>
        <w:tabs>
          <w:tab w:val="clear" w:pos="1080"/>
          <w:tab w:val="num" w:pos="720"/>
        </w:tabs>
        <w:spacing w:after="120"/>
        <w:ind w:left="720"/>
      </w:pPr>
      <w:r>
        <w:t xml:space="preserve">Email follow-up from </w:t>
      </w:r>
      <w:r w:rsidR="005250F5">
        <w:t>the contractor</w:t>
      </w:r>
      <w:r>
        <w:t xml:space="preserve"> to introduce the senior interviewer and explain more about the survey;</w:t>
      </w:r>
    </w:p>
    <w:p w:rsidR="001C58AE" w:rsidRDefault="001C58AE" w:rsidP="001C58AE">
      <w:pPr>
        <w:pStyle w:val="Numbers"/>
        <w:numPr>
          <w:ilvl w:val="0"/>
          <w:numId w:val="6"/>
        </w:numPr>
        <w:tabs>
          <w:tab w:val="clear" w:pos="1080"/>
          <w:tab w:val="num" w:pos="720"/>
        </w:tabs>
        <w:spacing w:after="120"/>
        <w:ind w:left="720"/>
      </w:pPr>
      <w:r>
        <w:t>Phone outreach and scheduling; and</w:t>
      </w:r>
    </w:p>
    <w:p w:rsidR="001C58AE" w:rsidRDefault="002C35A1" w:rsidP="001C58AE">
      <w:pPr>
        <w:pStyle w:val="Numbers"/>
        <w:numPr>
          <w:ilvl w:val="0"/>
          <w:numId w:val="6"/>
        </w:numPr>
        <w:tabs>
          <w:tab w:val="clear" w:pos="1080"/>
          <w:tab w:val="num" w:pos="720"/>
        </w:tabs>
        <w:spacing w:after="240"/>
        <w:ind w:left="720"/>
      </w:pPr>
      <w:r>
        <w:t>Survey</w:t>
      </w:r>
      <w:r w:rsidR="001C58AE">
        <w:t xml:space="preserve"> administration.</w:t>
      </w:r>
    </w:p>
    <w:p w:rsidR="001C58AE" w:rsidRPr="00276416" w:rsidRDefault="005250F5" w:rsidP="00276416">
      <w:pPr>
        <w:rPr>
          <w:spacing w:val="-2"/>
        </w:rPr>
      </w:pPr>
      <w:r w:rsidRPr="00276416">
        <w:rPr>
          <w:spacing w:val="-2"/>
        </w:rPr>
        <w:t>The contractor will help</w:t>
      </w:r>
      <w:r w:rsidR="001C58AE" w:rsidRPr="00276416">
        <w:rPr>
          <w:spacing w:val="-2"/>
        </w:rPr>
        <w:t xml:space="preserve"> draft a set of letters for the Assistant Secretary for Public and Indian Housing to send to PHA executive directors, introducing the second part of the study. The letters will thank the PHA for their participation in the census and explain the general nature </w:t>
      </w:r>
      <w:r w:rsidRPr="00276416">
        <w:rPr>
          <w:spacing w:val="-2"/>
        </w:rPr>
        <w:t>of the follow-up interview</w:t>
      </w:r>
      <w:r w:rsidR="001C58AE" w:rsidRPr="00276416">
        <w:rPr>
          <w:spacing w:val="-2"/>
        </w:rPr>
        <w:t xml:space="preserve">. For example, one version would be for agencies with homeless waitlist preferences in their Public Housing programs; a different version would be for agencies with no public housing units but with HCV set-asides for homeless people. By tailoring the letters, </w:t>
      </w:r>
      <w:r w:rsidR="005A49C4" w:rsidRPr="00276416">
        <w:rPr>
          <w:spacing w:val="-2"/>
        </w:rPr>
        <w:t>the effort that the PHAs have already put into the study is acknowledged and shows</w:t>
      </w:r>
      <w:r w:rsidR="001C58AE" w:rsidRPr="00276416">
        <w:rPr>
          <w:spacing w:val="-2"/>
        </w:rPr>
        <w:t xml:space="preserve"> that </w:t>
      </w:r>
      <w:r w:rsidR="005A49C4" w:rsidRPr="00276416">
        <w:rPr>
          <w:spacing w:val="-2"/>
        </w:rPr>
        <w:t xml:space="preserve">this second step </w:t>
      </w:r>
      <w:r w:rsidR="001C58AE" w:rsidRPr="00276416">
        <w:rPr>
          <w:spacing w:val="-2"/>
        </w:rPr>
        <w:t>build</w:t>
      </w:r>
      <w:r w:rsidR="005A49C4" w:rsidRPr="00276416">
        <w:rPr>
          <w:spacing w:val="-2"/>
        </w:rPr>
        <w:t>s</w:t>
      </w:r>
      <w:r w:rsidR="001C58AE" w:rsidRPr="00276416">
        <w:rPr>
          <w:spacing w:val="-2"/>
        </w:rPr>
        <w:t xml:space="preserve"> on the information already provided. </w:t>
      </w:r>
      <w:r w:rsidR="00927760" w:rsidRPr="00276416">
        <w:rPr>
          <w:spacing w:val="-2"/>
        </w:rPr>
        <w:t>L</w:t>
      </w:r>
      <w:r w:rsidR="001C58AE" w:rsidRPr="00276416">
        <w:rPr>
          <w:spacing w:val="-2"/>
        </w:rPr>
        <w:t>etters</w:t>
      </w:r>
      <w:r w:rsidR="00927760" w:rsidRPr="00276416">
        <w:rPr>
          <w:spacing w:val="-2"/>
        </w:rPr>
        <w:t xml:space="preserve"> will be generated for</w:t>
      </w:r>
      <w:r w:rsidR="001C58AE" w:rsidRPr="00276416">
        <w:rPr>
          <w:spacing w:val="-2"/>
        </w:rPr>
        <w:t xml:space="preserve"> a substantially larger number than 125 PHAs</w:t>
      </w:r>
      <w:r w:rsidR="00927760" w:rsidRPr="00276416">
        <w:rPr>
          <w:spacing w:val="-2"/>
        </w:rPr>
        <w:t>,</w:t>
      </w:r>
      <w:r w:rsidR="001C58AE" w:rsidRPr="00276416">
        <w:rPr>
          <w:spacing w:val="-2"/>
        </w:rPr>
        <w:t xml:space="preserve"> so as to </w:t>
      </w:r>
      <w:r w:rsidR="00927760" w:rsidRPr="00276416">
        <w:rPr>
          <w:spacing w:val="-2"/>
        </w:rPr>
        <w:t xml:space="preserve">have available </w:t>
      </w:r>
      <w:r w:rsidR="001C58AE" w:rsidRPr="00276416">
        <w:rPr>
          <w:spacing w:val="-2"/>
        </w:rPr>
        <w:t xml:space="preserve">letters </w:t>
      </w:r>
      <w:r w:rsidRPr="00276416">
        <w:rPr>
          <w:spacing w:val="-2"/>
        </w:rPr>
        <w:t xml:space="preserve">for potential replacement </w:t>
      </w:r>
      <w:r w:rsidR="001C58AE" w:rsidRPr="00276416">
        <w:rPr>
          <w:spacing w:val="-2"/>
        </w:rPr>
        <w:t xml:space="preserve">PHAs in each of the sampling strata. Previous experience has shown that </w:t>
      </w:r>
      <w:r w:rsidRPr="00276416">
        <w:rPr>
          <w:spacing w:val="-2"/>
        </w:rPr>
        <w:t xml:space="preserve">not all selected PHAs can or will agree to participate.  </w:t>
      </w:r>
      <w:r w:rsidR="00927760" w:rsidRPr="00276416">
        <w:rPr>
          <w:spacing w:val="-2"/>
        </w:rPr>
        <w:t xml:space="preserve">The research team </w:t>
      </w:r>
      <w:r w:rsidRPr="00276416">
        <w:rPr>
          <w:spacing w:val="-2"/>
        </w:rPr>
        <w:t xml:space="preserve">will predetermine a list of </w:t>
      </w:r>
      <w:r w:rsidRPr="00276416">
        <w:rPr>
          <w:spacing w:val="-2"/>
        </w:rPr>
        <w:lastRenderedPageBreak/>
        <w:t>potential replacement PHAs in each strat</w:t>
      </w:r>
      <w:r w:rsidR="00527FEF" w:rsidRPr="00276416">
        <w:rPr>
          <w:spacing w:val="-2"/>
        </w:rPr>
        <w:t>um</w:t>
      </w:r>
      <w:r w:rsidRPr="00276416">
        <w:rPr>
          <w:spacing w:val="-2"/>
        </w:rPr>
        <w:t xml:space="preserve"> to try to maximize the response to this effort.  Having a letter ready to go to replacement sample in advance will allow the replacement process</w:t>
      </w:r>
      <w:r w:rsidR="00927760" w:rsidRPr="00276416">
        <w:rPr>
          <w:spacing w:val="-2"/>
        </w:rPr>
        <w:t xml:space="preserve"> to be expedited</w:t>
      </w:r>
      <w:r w:rsidRPr="00276416">
        <w:rPr>
          <w:spacing w:val="-2"/>
        </w:rPr>
        <w:t xml:space="preserve">. </w:t>
      </w:r>
    </w:p>
    <w:p w:rsidR="001C58AE" w:rsidRDefault="001C58AE" w:rsidP="00276416">
      <w:r>
        <w:t xml:space="preserve">The introductory letter will also indicate that </w:t>
      </w:r>
      <w:r w:rsidR="00927760">
        <w:t>the researchers</w:t>
      </w:r>
      <w:r w:rsidR="005250F5">
        <w:t xml:space="preserve"> </w:t>
      </w:r>
      <w:r>
        <w:t xml:space="preserve">may need to speak to more than one respondent. </w:t>
      </w:r>
      <w:r w:rsidR="00927760">
        <w:t>The</w:t>
      </w:r>
      <w:r>
        <w:t xml:space="preserve"> actual interview time for the PHA follow-up survey </w:t>
      </w:r>
      <w:r w:rsidR="00927760">
        <w:t>is estimated to</w:t>
      </w:r>
      <w:r>
        <w:t xml:space="preserve"> be about one hour per </w:t>
      </w:r>
      <w:r w:rsidR="005A49C4">
        <w:t>PHA, on average</w:t>
      </w:r>
      <w:r>
        <w:t xml:space="preserve">. Within three business days of sending the introductory letter, </w:t>
      </w:r>
      <w:r w:rsidR="005250F5">
        <w:t xml:space="preserve">the lead interviewers </w:t>
      </w:r>
      <w:r>
        <w:t xml:space="preserve">will email each PHA to introduce themselves and alert respondents that </w:t>
      </w:r>
      <w:r w:rsidR="005250F5">
        <w:t>they</w:t>
      </w:r>
      <w:r>
        <w:t xml:space="preserve"> will be calling to schedule interviews. The email will also contain study team contact information, in case PHA staff members have questions. Within 48 hours of the email, </w:t>
      </w:r>
      <w:r w:rsidR="005250F5">
        <w:t xml:space="preserve">interviewers </w:t>
      </w:r>
      <w:r>
        <w:t xml:space="preserve">will begin telephone outreach efforts to schedule interviews, identify </w:t>
      </w:r>
      <w:r w:rsidR="005250F5">
        <w:t xml:space="preserve">all potential </w:t>
      </w:r>
      <w:r>
        <w:t xml:space="preserve">respondents within the </w:t>
      </w:r>
      <w:r w:rsidR="004D6C8E">
        <w:t>PHA</w:t>
      </w:r>
      <w:r w:rsidR="00927760">
        <w:t>,</w:t>
      </w:r>
      <w:r w:rsidR="004D6C8E">
        <w:t xml:space="preserve"> </w:t>
      </w:r>
      <w:r>
        <w:t xml:space="preserve">and </w:t>
      </w:r>
      <w:r w:rsidR="00927760">
        <w:t xml:space="preserve">then </w:t>
      </w:r>
      <w:r>
        <w:t xml:space="preserve">complete the surveys. </w:t>
      </w:r>
    </w:p>
    <w:p w:rsidR="00927760" w:rsidRDefault="005250F5" w:rsidP="00276416">
      <w:r>
        <w:t>Staff will</w:t>
      </w:r>
      <w:r w:rsidR="001C58AE">
        <w:t xml:space="preserve"> send up to four email reminders</w:t>
      </w:r>
      <w:r w:rsidR="00927760">
        <w:t>,</w:t>
      </w:r>
      <w:r w:rsidR="001C58AE">
        <w:t xml:space="preserve"> to invited PHAs who fail to respond after the telephone outreach call. All non-responders after the second email attempt will receive a reminder phone call from the interviewer. Subsequent contact attempts will alternate between telephone and email invitation, until an interview is completed or a determination is made to move on. </w:t>
      </w:r>
    </w:p>
    <w:p w:rsidR="003F31FF" w:rsidRDefault="00927760" w:rsidP="00276416">
      <w:pPr>
        <w:rPr>
          <w:szCs w:val="22"/>
        </w:rPr>
      </w:pPr>
      <w:r>
        <w:t xml:space="preserve">This will be </w:t>
      </w:r>
      <w:r w:rsidR="001C58AE">
        <w:t>treat</w:t>
      </w:r>
      <w:r>
        <w:t>ed</w:t>
      </w:r>
      <w:r w:rsidR="001C58AE">
        <w:t xml:space="preserve"> as a quota sample, with PHAs assigned priorities within the sample strata. Thus, if </w:t>
      </w:r>
      <w:r>
        <w:t xml:space="preserve">the researchers </w:t>
      </w:r>
      <w:r w:rsidR="001C58AE">
        <w:t>are unable to achieve a completed interview with a particular agency,</w:t>
      </w:r>
      <w:r w:rsidR="00C65C04">
        <w:t xml:space="preserve"> </w:t>
      </w:r>
      <w:r>
        <w:t>th</w:t>
      </w:r>
      <w:r w:rsidR="00C65C04">
        <w:t>e</w:t>
      </w:r>
      <w:r>
        <w:t>y</w:t>
      </w:r>
      <w:r w:rsidR="00C65C04">
        <w:t xml:space="preserve"> will move to begin outreach efforts with the next</w:t>
      </w:r>
      <w:r w:rsidR="001C58AE">
        <w:t xml:space="preserve"> PHA </w:t>
      </w:r>
      <w:r>
        <w:t xml:space="preserve">in </w:t>
      </w:r>
      <w:r w:rsidR="001C58AE">
        <w:t>the same stratum</w:t>
      </w:r>
      <w:r w:rsidR="00C65C04">
        <w:t xml:space="preserve">.  Once a replacement PHA is </w:t>
      </w:r>
      <w:r w:rsidR="001C58AE">
        <w:t>activated for the survey</w:t>
      </w:r>
      <w:r>
        <w:t>,</w:t>
      </w:r>
      <w:r w:rsidR="001C58AE">
        <w:t xml:space="preserve"> </w:t>
      </w:r>
      <w:r w:rsidR="00C65C04">
        <w:t xml:space="preserve">interviewers will follow </w:t>
      </w:r>
      <w:r w:rsidR="001C58AE">
        <w:t>the same steps to engage the new respondent and complete the interview.</w:t>
      </w:r>
    </w:p>
    <w:p w:rsidR="003F31FF" w:rsidRDefault="002D1BFC" w:rsidP="002D1BFC">
      <w:pPr>
        <w:pStyle w:val="Heading2"/>
      </w:pPr>
      <w:bookmarkStart w:id="19" w:name="_Toc310927643"/>
      <w:r>
        <w:t>B.4</w:t>
      </w:r>
      <w:r>
        <w:tab/>
      </w:r>
      <w:r w:rsidR="003F31FF">
        <w:t>Tests of Procedures or Methods</w:t>
      </w:r>
      <w:bookmarkEnd w:id="19"/>
    </w:p>
    <w:p w:rsidR="003F31FF" w:rsidRDefault="003F31FF" w:rsidP="003F31FF">
      <w:r>
        <w:t xml:space="preserve">HUD personnel, </w:t>
      </w:r>
      <w:r w:rsidR="007D7511">
        <w:t xml:space="preserve">staff from Contractor </w:t>
      </w:r>
      <w:r>
        <w:t>Abt Associates</w:t>
      </w:r>
      <w:r w:rsidR="007D7511">
        <w:t>,</w:t>
      </w:r>
      <w:r>
        <w:t xml:space="preserve"> and other project team members, the </w:t>
      </w:r>
      <w:r w:rsidR="001C561B">
        <w:t xml:space="preserve">U.S. </w:t>
      </w:r>
      <w:r>
        <w:t>Interagency Council on Homelessness,</w:t>
      </w:r>
      <w:r w:rsidR="002D1BFC">
        <w:t xml:space="preserve"> </w:t>
      </w:r>
      <w:r>
        <w:t>National Association of Housing and Redevelopment Officials and Council on Large Public Housing Agencies</w:t>
      </w:r>
      <w:r w:rsidR="007D7511">
        <w:t>’</w:t>
      </w:r>
      <w:r>
        <w:t xml:space="preserve"> staff reviewed draft versions of the </w:t>
      </w:r>
      <w:r w:rsidR="00310503">
        <w:t xml:space="preserve">follow-up </w:t>
      </w:r>
      <w:r w:rsidR="00927760">
        <w:t>telephone survey</w:t>
      </w:r>
      <w:r>
        <w:t xml:space="preserve">.  Their comments are reflected in the version of the </w:t>
      </w:r>
      <w:r w:rsidR="00310503">
        <w:t xml:space="preserve">follow-up </w:t>
      </w:r>
      <w:r w:rsidR="00927760">
        <w:t xml:space="preserve">instrument </w:t>
      </w:r>
      <w:r>
        <w:t>included in this package.</w:t>
      </w:r>
    </w:p>
    <w:p w:rsidR="00B111F0" w:rsidRPr="00CE0BEA" w:rsidRDefault="003F31FF" w:rsidP="00B111F0">
      <w:r>
        <w:t>D</w:t>
      </w:r>
      <w:r w:rsidR="001D0E4D">
        <w:t xml:space="preserve">uring the review period of the </w:t>
      </w:r>
      <w:r>
        <w:t xml:space="preserve">request for OMB clearance, the study team </w:t>
      </w:r>
      <w:r w:rsidR="00310503">
        <w:t>will complete a pretest with few</w:t>
      </w:r>
      <w:r w:rsidR="005A49C4">
        <w:t>er than 9</w:t>
      </w:r>
      <w:r w:rsidR="00310503">
        <w:t xml:space="preserve"> </w:t>
      </w:r>
      <w:r>
        <w:t xml:space="preserve">PHAs.  </w:t>
      </w:r>
      <w:r w:rsidR="00310503">
        <w:t>Feedback from the PHAs that participated in the pretest will be reflected in the final version of the request for clearance</w:t>
      </w:r>
      <w:r w:rsidR="001D0E4D" w:rsidRPr="006A1391">
        <w:t>.</w:t>
      </w:r>
      <w:r w:rsidRPr="00CE0BEA">
        <w:t xml:space="preserve"> </w:t>
      </w:r>
      <w:r w:rsidR="00A72D77">
        <w:t xml:space="preserve">At the time of submission of this document to OMB, the pre-test has been completed with </w:t>
      </w:r>
      <w:r w:rsidR="00B111F0">
        <w:t xml:space="preserve">3 </w:t>
      </w:r>
      <w:r w:rsidR="00A72D77">
        <w:t xml:space="preserve">PHAs.  Results of this pre-test thus far indicate that the time required to complete the survey is approximately one hour, as estimated.  </w:t>
      </w:r>
      <w:r w:rsidR="00B111F0">
        <w:t xml:space="preserve">As a result of the pre-test, we have made wording clarifications to the survey.  </w:t>
      </w:r>
    </w:p>
    <w:p w:rsidR="003F31FF" w:rsidRDefault="002D1BFC" w:rsidP="002D1BFC">
      <w:pPr>
        <w:pStyle w:val="Heading2"/>
      </w:pPr>
      <w:r>
        <w:t>B.5</w:t>
      </w:r>
      <w:r>
        <w:tab/>
      </w:r>
      <w:r w:rsidR="003F31FF">
        <w:t xml:space="preserve"> </w:t>
      </w:r>
      <w:bookmarkStart w:id="20" w:name="_Toc310927644"/>
      <w:r w:rsidR="003F31FF">
        <w:t>Statistical Consultation and Information Collection Agents</w:t>
      </w:r>
      <w:bookmarkEnd w:id="20"/>
    </w:p>
    <w:p w:rsidR="00F86953" w:rsidRDefault="003F31FF" w:rsidP="00276416">
      <w:r>
        <w:t xml:space="preserve">HUD’s Office of Policy Development and Research will work with the contractor, Abt Associates, to conduct the proposed </w:t>
      </w:r>
      <w:r w:rsidRPr="00434F63">
        <w:t>data</w:t>
      </w:r>
      <w:r>
        <w:t xml:space="preserve"> </w:t>
      </w:r>
      <w:r w:rsidRPr="00EB7E84">
        <w:t>collection</w:t>
      </w:r>
      <w:r>
        <w:t xml:space="preserve">. </w:t>
      </w:r>
      <w:r w:rsidRPr="00265D65">
        <w:t>Anne Fletcher, a Social Science Analyst in HUD’s Office of Policy Development and Research, Program Evaluation Division, serves as Government Technical Representative (GTR).  Within Abt Associates, Dr. Jill Khadduri</w:t>
      </w:r>
      <w:r>
        <w:t xml:space="preserve"> </w:t>
      </w:r>
      <w:r w:rsidR="007D7511">
        <w:t>(</w:t>
      </w:r>
      <w:r w:rsidRPr="00265D65">
        <w:t>the study’s Principal Investigator</w:t>
      </w:r>
      <w:r w:rsidR="007D7511">
        <w:t>)</w:t>
      </w:r>
      <w:r w:rsidRPr="00265D65">
        <w:t xml:space="preserve"> and Dr. Judith Feins </w:t>
      </w:r>
      <w:r w:rsidR="007D7511">
        <w:t>(</w:t>
      </w:r>
      <w:r w:rsidRPr="00265D65">
        <w:t>the study’s Project Quality Advisor</w:t>
      </w:r>
      <w:r w:rsidR="007D7511">
        <w:t>)</w:t>
      </w:r>
      <w:r w:rsidRPr="00265D65">
        <w:t xml:space="preserve"> contributed to the review of the PHA </w:t>
      </w:r>
      <w:r w:rsidR="00310503">
        <w:t>follow-up interview</w:t>
      </w:r>
      <w:r w:rsidRPr="00265D65">
        <w:t xml:space="preserve"> and this information request. </w:t>
      </w:r>
    </w:p>
    <w:sectPr w:rsidR="00F86953" w:rsidSect="00DA1372">
      <w:type w:val="continuous"/>
      <w:pgSz w:w="12240" w:h="15840" w:code="1"/>
      <w:pgMar w:top="1440" w:right="1440" w:bottom="144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A1" w:rsidRDefault="002C35A1" w:rsidP="002D1BFC">
      <w:pPr>
        <w:spacing w:after="0" w:line="240" w:lineRule="auto"/>
      </w:pPr>
      <w:r>
        <w:separator/>
      </w:r>
    </w:p>
  </w:endnote>
  <w:endnote w:type="continuationSeparator" w:id="0">
    <w:p w:rsidR="002C35A1" w:rsidRDefault="002C35A1" w:rsidP="002D1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A1" w:rsidRPr="0066134E" w:rsidRDefault="002C35A1" w:rsidP="00DA1372">
    <w:pPr>
      <w:pStyle w:val="Footer"/>
    </w:pPr>
    <w:r w:rsidRPr="0066134E">
      <w:tab/>
    </w:r>
    <w:r w:rsidRPr="0066134E">
      <w:rPr>
        <w:rStyle w:val="PageNumber"/>
        <w:b/>
      </w:rPr>
      <w:tab/>
    </w:r>
    <w:r>
      <w:rPr>
        <w:rStyle w:val="PageNumber"/>
        <w:b/>
      </w:rPr>
      <w:t>B.  Statistical Methods</w:t>
    </w:r>
    <w:r>
      <w:rPr>
        <w:rStyle w:val="PageNumber"/>
        <w:b/>
      </w:rPr>
      <w:t> </w:t>
    </w:r>
    <w:r>
      <w:rPr>
        <w:rStyle w:val="PageNumber"/>
        <w:rFonts w:cs="Arial"/>
        <w:b/>
      </w:rPr>
      <w:t>▌</w:t>
    </w:r>
    <w:r>
      <w:rPr>
        <w:rStyle w:val="PageNumber"/>
        <w:b/>
      </w:rPr>
      <w:t xml:space="preserve">pg. </w:t>
    </w:r>
    <w:r w:rsidRPr="002D1BFC">
      <w:rPr>
        <w:rStyle w:val="PageNumber"/>
        <w:b/>
        <w:color w:val="auto"/>
      </w:rPr>
      <w:t>B-</w:t>
    </w:r>
    <w:r w:rsidR="00515C4E" w:rsidRPr="002D1BFC">
      <w:rPr>
        <w:rStyle w:val="PageNumber"/>
        <w:b/>
        <w:color w:val="auto"/>
      </w:rPr>
      <w:fldChar w:fldCharType="begin"/>
    </w:r>
    <w:r w:rsidRPr="002D1BFC">
      <w:rPr>
        <w:rStyle w:val="PageNumber"/>
        <w:b/>
        <w:color w:val="auto"/>
      </w:rPr>
      <w:instrText xml:space="preserve"> PAGE   \* MERGEFORMAT </w:instrText>
    </w:r>
    <w:r w:rsidR="00515C4E" w:rsidRPr="002D1BFC">
      <w:rPr>
        <w:rStyle w:val="PageNumber"/>
        <w:b/>
        <w:color w:val="auto"/>
      </w:rPr>
      <w:fldChar w:fldCharType="separate"/>
    </w:r>
    <w:r w:rsidR="00AA14EE">
      <w:rPr>
        <w:rStyle w:val="PageNumber"/>
        <w:b/>
        <w:noProof/>
        <w:color w:val="auto"/>
      </w:rPr>
      <w:t>2</w:t>
    </w:r>
    <w:r w:rsidR="00515C4E" w:rsidRPr="002D1BFC">
      <w:rPr>
        <w:rStyle w:val="PageNumber"/>
        <w:b/>
        <w:noProof/>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A1" w:rsidRDefault="002C35A1" w:rsidP="002D1BFC">
      <w:pPr>
        <w:spacing w:after="0" w:line="240" w:lineRule="auto"/>
      </w:pPr>
      <w:r>
        <w:separator/>
      </w:r>
    </w:p>
  </w:footnote>
  <w:footnote w:type="continuationSeparator" w:id="0">
    <w:p w:rsidR="002C35A1" w:rsidRDefault="002C35A1" w:rsidP="002D1B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3F6E"/>
    <w:multiLevelType w:val="hybridMultilevel"/>
    <w:tmpl w:val="557AA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
    <w:nsid w:val="2A443F91"/>
    <w:multiLevelType w:val="hybridMultilevel"/>
    <w:tmpl w:val="A61AD97C"/>
    <w:lvl w:ilvl="0" w:tplc="281E760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AD33C4"/>
    <w:multiLevelType w:val="multilevel"/>
    <w:tmpl w:val="C3288976"/>
    <w:lvl w:ilvl="0">
      <w:start w:val="1"/>
      <w:numFmt w:val="upperLetter"/>
      <w:pStyle w:val="Heading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710D5CD5"/>
    <w:multiLevelType w:val="hybridMultilevel"/>
    <w:tmpl w:val="5314889E"/>
    <w:lvl w:ilvl="0" w:tplc="2138DCA8">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3747CA6"/>
    <w:multiLevelType w:val="hybridMultilevel"/>
    <w:tmpl w:val="A472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D63DA6"/>
    <w:multiLevelType w:val="singleLevel"/>
    <w:tmpl w:val="D1227EF6"/>
    <w:lvl w:ilvl="0">
      <w:start w:val="1"/>
      <w:numFmt w:val="bullet"/>
      <w:lvlText w:val=""/>
      <w:lvlJc w:val="left"/>
      <w:pPr>
        <w:ind w:left="360" w:hanging="360"/>
      </w:pPr>
      <w:rPr>
        <w:rFonts w:ascii="Symbol" w:hAnsi="Symbol" w:hint="default"/>
        <w:color w:val="DA291C"/>
        <w:sz w:val="22"/>
      </w:rPr>
    </w:lvl>
  </w:abstractNum>
  <w:num w:numId="1">
    <w:abstractNumId w:val="6"/>
  </w:num>
  <w:num w:numId="2">
    <w:abstractNumId w:val="3"/>
  </w:num>
  <w:num w:numId="3">
    <w:abstractNumId w:val="4"/>
  </w:num>
  <w:num w:numId="4">
    <w:abstractNumId w:val="5"/>
  </w:num>
  <w:num w:numId="5">
    <w:abstractNumId w:val="1"/>
  </w:num>
  <w:num w:numId="6">
    <w:abstractNumId w:val="1"/>
    <w:lvlOverride w:ilvl="0">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FF"/>
    <w:rsid w:val="00003F4B"/>
    <w:rsid w:val="00004B35"/>
    <w:rsid w:val="00022B1C"/>
    <w:rsid w:val="0004063E"/>
    <w:rsid w:val="00040C1A"/>
    <w:rsid w:val="000533FF"/>
    <w:rsid w:val="000739B0"/>
    <w:rsid w:val="00083E95"/>
    <w:rsid w:val="00094C5E"/>
    <w:rsid w:val="000A1661"/>
    <w:rsid w:val="000C3FA2"/>
    <w:rsid w:val="000C7BED"/>
    <w:rsid w:val="000F5575"/>
    <w:rsid w:val="001263E9"/>
    <w:rsid w:val="001274C2"/>
    <w:rsid w:val="001768DF"/>
    <w:rsid w:val="0018657A"/>
    <w:rsid w:val="001A2625"/>
    <w:rsid w:val="001A5F87"/>
    <w:rsid w:val="001B3CE1"/>
    <w:rsid w:val="001B68FD"/>
    <w:rsid w:val="001C561B"/>
    <w:rsid w:val="001C58AE"/>
    <w:rsid w:val="001D0E4D"/>
    <w:rsid w:val="001D3FFF"/>
    <w:rsid w:val="00276416"/>
    <w:rsid w:val="002C35A1"/>
    <w:rsid w:val="002D1BFC"/>
    <w:rsid w:val="00310503"/>
    <w:rsid w:val="0031388E"/>
    <w:rsid w:val="00355538"/>
    <w:rsid w:val="00361588"/>
    <w:rsid w:val="00382A86"/>
    <w:rsid w:val="003B3C0F"/>
    <w:rsid w:val="003B419E"/>
    <w:rsid w:val="003B534D"/>
    <w:rsid w:val="003F31FF"/>
    <w:rsid w:val="004013E9"/>
    <w:rsid w:val="004246C8"/>
    <w:rsid w:val="0046283E"/>
    <w:rsid w:val="0047714E"/>
    <w:rsid w:val="0049191F"/>
    <w:rsid w:val="0049479F"/>
    <w:rsid w:val="004B078B"/>
    <w:rsid w:val="004D6C8E"/>
    <w:rsid w:val="004E740C"/>
    <w:rsid w:val="00515C4E"/>
    <w:rsid w:val="005250F5"/>
    <w:rsid w:val="00527FEF"/>
    <w:rsid w:val="005A49C4"/>
    <w:rsid w:val="005E6B56"/>
    <w:rsid w:val="005F1BFE"/>
    <w:rsid w:val="005F7D71"/>
    <w:rsid w:val="0060328B"/>
    <w:rsid w:val="00610263"/>
    <w:rsid w:val="00622280"/>
    <w:rsid w:val="006232F5"/>
    <w:rsid w:val="00626467"/>
    <w:rsid w:val="00645ABA"/>
    <w:rsid w:val="006533F0"/>
    <w:rsid w:val="0067334C"/>
    <w:rsid w:val="006A1391"/>
    <w:rsid w:val="006B6D8A"/>
    <w:rsid w:val="006F39C4"/>
    <w:rsid w:val="00714163"/>
    <w:rsid w:val="00764A06"/>
    <w:rsid w:val="007B73D0"/>
    <w:rsid w:val="007D6FBE"/>
    <w:rsid w:val="007D7511"/>
    <w:rsid w:val="00804E4A"/>
    <w:rsid w:val="00850F55"/>
    <w:rsid w:val="00876B2E"/>
    <w:rsid w:val="00880894"/>
    <w:rsid w:val="00881303"/>
    <w:rsid w:val="008A752E"/>
    <w:rsid w:val="008A7621"/>
    <w:rsid w:val="008C5B31"/>
    <w:rsid w:val="008C63B8"/>
    <w:rsid w:val="00927760"/>
    <w:rsid w:val="00930442"/>
    <w:rsid w:val="0093537D"/>
    <w:rsid w:val="00937457"/>
    <w:rsid w:val="00976788"/>
    <w:rsid w:val="00997645"/>
    <w:rsid w:val="00A04426"/>
    <w:rsid w:val="00A14E24"/>
    <w:rsid w:val="00A34381"/>
    <w:rsid w:val="00A72D77"/>
    <w:rsid w:val="00AA14EE"/>
    <w:rsid w:val="00AC6FF0"/>
    <w:rsid w:val="00AD6BE5"/>
    <w:rsid w:val="00B04CA7"/>
    <w:rsid w:val="00B111F0"/>
    <w:rsid w:val="00B31D1E"/>
    <w:rsid w:val="00B43159"/>
    <w:rsid w:val="00B960E8"/>
    <w:rsid w:val="00BE54BE"/>
    <w:rsid w:val="00BF39AB"/>
    <w:rsid w:val="00C11072"/>
    <w:rsid w:val="00C17730"/>
    <w:rsid w:val="00C56727"/>
    <w:rsid w:val="00C64B18"/>
    <w:rsid w:val="00C65C04"/>
    <w:rsid w:val="00C702FE"/>
    <w:rsid w:val="00CB5BC6"/>
    <w:rsid w:val="00CE0BEA"/>
    <w:rsid w:val="00CE2B02"/>
    <w:rsid w:val="00CE76C5"/>
    <w:rsid w:val="00D16B0D"/>
    <w:rsid w:val="00D34C8C"/>
    <w:rsid w:val="00D70A3A"/>
    <w:rsid w:val="00D84BE3"/>
    <w:rsid w:val="00D904CC"/>
    <w:rsid w:val="00DA1372"/>
    <w:rsid w:val="00DA4877"/>
    <w:rsid w:val="00DC4371"/>
    <w:rsid w:val="00DF21D0"/>
    <w:rsid w:val="00DF69ED"/>
    <w:rsid w:val="00E01FF9"/>
    <w:rsid w:val="00E120BF"/>
    <w:rsid w:val="00E223C6"/>
    <w:rsid w:val="00E33300"/>
    <w:rsid w:val="00E40D29"/>
    <w:rsid w:val="00E50C2C"/>
    <w:rsid w:val="00E67324"/>
    <w:rsid w:val="00E93D8B"/>
    <w:rsid w:val="00EC4FD8"/>
    <w:rsid w:val="00EE450D"/>
    <w:rsid w:val="00F01598"/>
    <w:rsid w:val="00F2317B"/>
    <w:rsid w:val="00F31F8F"/>
    <w:rsid w:val="00F41447"/>
    <w:rsid w:val="00F61832"/>
    <w:rsid w:val="00F86953"/>
    <w:rsid w:val="00FE3A3C"/>
    <w:rsid w:val="00FF3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1FF"/>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4246C8"/>
    <w:pPr>
      <w:keepNext/>
      <w:keepLines/>
      <w:pageBreakBefore/>
      <w:numPr>
        <w:numId w:val="2"/>
      </w:numPr>
      <w:shd w:val="clear" w:color="auto" w:fill="8C8C8C"/>
      <w:outlineLvl w:val="0"/>
    </w:pPr>
    <w:rPr>
      <w:rFonts w:ascii="Arial" w:hAnsi="Arial"/>
      <w:b/>
      <w:color w:val="FFFFFF"/>
      <w:kern w:val="28"/>
      <w:sz w:val="28"/>
    </w:rPr>
  </w:style>
  <w:style w:type="paragraph" w:styleId="Heading2">
    <w:name w:val="heading 2"/>
    <w:basedOn w:val="Normal"/>
    <w:next w:val="BodyText"/>
    <w:link w:val="Heading2Char"/>
    <w:qFormat/>
    <w:rsid w:val="002D1BFC"/>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D1BFC"/>
    <w:pPr>
      <w:keepNext/>
      <w:numPr>
        <w:ilvl w:val="2"/>
        <w:numId w:val="2"/>
      </w:numPr>
      <w:tabs>
        <w:tab w:val="clear" w:pos="900"/>
        <w:tab w:val="num" w:pos="720"/>
      </w:tabs>
      <w:spacing w:before="60" w:after="120"/>
      <w:ind w:left="720"/>
      <w:outlineLvl w:val="2"/>
    </w:pPr>
    <w:rPr>
      <w:rFonts w:ascii="Arial" w:hAnsi="Arial"/>
      <w:b/>
      <w:color w:val="000000" w:themeColor="text1"/>
      <w:sz w:val="20"/>
    </w:rPr>
  </w:style>
  <w:style w:type="paragraph" w:styleId="Heading4">
    <w:name w:val="heading 4"/>
    <w:basedOn w:val="Normal"/>
    <w:next w:val="BodyText"/>
    <w:link w:val="Heading4Char"/>
    <w:qFormat/>
    <w:rsid w:val="003F31FF"/>
    <w:pPr>
      <w:keepNext/>
      <w:numPr>
        <w:ilvl w:val="3"/>
        <w:numId w:val="2"/>
      </w:numPr>
      <w:spacing w:before="60" w:after="60"/>
      <w:outlineLvl w:val="3"/>
    </w:pPr>
    <w:rPr>
      <w:b/>
      <w:i/>
    </w:rPr>
  </w:style>
  <w:style w:type="paragraph" w:styleId="Heading5">
    <w:name w:val="heading 5"/>
    <w:basedOn w:val="Normal"/>
    <w:next w:val="BodyText"/>
    <w:link w:val="Heading5Char"/>
    <w:qFormat/>
    <w:rsid w:val="003F31FF"/>
    <w:pPr>
      <w:keepNext/>
      <w:keepLines/>
      <w:numPr>
        <w:ilvl w:val="4"/>
        <w:numId w:val="2"/>
      </w:numPr>
      <w:spacing w:before="60" w:after="120"/>
      <w:outlineLvl w:val="4"/>
    </w:pPr>
    <w:rPr>
      <w:b/>
      <w:i/>
      <w:color w:val="DA291C"/>
    </w:rPr>
  </w:style>
  <w:style w:type="paragraph" w:styleId="Heading6">
    <w:name w:val="heading 6"/>
    <w:basedOn w:val="Normal"/>
    <w:next w:val="Normal"/>
    <w:link w:val="Heading6Char"/>
    <w:qFormat/>
    <w:rsid w:val="003F31FF"/>
    <w:pPr>
      <w:numPr>
        <w:ilvl w:val="5"/>
        <w:numId w:val="2"/>
      </w:numPr>
      <w:spacing w:before="60" w:after="60"/>
      <w:outlineLvl w:val="5"/>
    </w:pPr>
    <w:rPr>
      <w:b/>
      <w:bCs/>
      <w:szCs w:val="22"/>
    </w:rPr>
  </w:style>
  <w:style w:type="paragraph" w:styleId="Heading7">
    <w:name w:val="heading 7"/>
    <w:basedOn w:val="Normal"/>
    <w:next w:val="Normal"/>
    <w:link w:val="Heading7Char"/>
    <w:qFormat/>
    <w:rsid w:val="003F31FF"/>
    <w:pPr>
      <w:numPr>
        <w:ilvl w:val="6"/>
        <w:numId w:val="2"/>
      </w:numPr>
      <w:spacing w:before="240" w:after="60"/>
      <w:outlineLvl w:val="6"/>
    </w:pPr>
    <w:rPr>
      <w:sz w:val="24"/>
      <w:szCs w:val="24"/>
    </w:rPr>
  </w:style>
  <w:style w:type="paragraph" w:styleId="Heading8">
    <w:name w:val="heading 8"/>
    <w:basedOn w:val="Normal"/>
    <w:next w:val="Normal"/>
    <w:link w:val="Heading8Char"/>
    <w:qFormat/>
    <w:rsid w:val="003F31FF"/>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F31FF"/>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6C8"/>
    <w:rPr>
      <w:rFonts w:ascii="Arial" w:eastAsia="Times New Roman" w:hAnsi="Arial" w:cs="Times New Roman"/>
      <w:b/>
      <w:color w:val="FFFFFF"/>
      <w:kern w:val="28"/>
      <w:sz w:val="28"/>
      <w:szCs w:val="20"/>
      <w:shd w:val="clear" w:color="auto" w:fill="8C8C8C"/>
    </w:rPr>
  </w:style>
  <w:style w:type="character" w:customStyle="1" w:styleId="Heading2Char">
    <w:name w:val="Heading 2 Char"/>
    <w:basedOn w:val="DefaultParagraphFont"/>
    <w:link w:val="Heading2"/>
    <w:rsid w:val="002D1BFC"/>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D1BFC"/>
    <w:rPr>
      <w:rFonts w:ascii="Arial" w:eastAsia="Times New Roman" w:hAnsi="Arial" w:cs="Times New Roman"/>
      <w:b/>
      <w:color w:val="000000" w:themeColor="text1"/>
      <w:sz w:val="20"/>
      <w:szCs w:val="20"/>
    </w:rPr>
  </w:style>
  <w:style w:type="character" w:customStyle="1" w:styleId="Heading4Char">
    <w:name w:val="Heading 4 Char"/>
    <w:basedOn w:val="DefaultParagraphFont"/>
    <w:link w:val="Heading4"/>
    <w:rsid w:val="003F31F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3F31F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F31FF"/>
    <w:rPr>
      <w:rFonts w:ascii="Times New Roman" w:eastAsia="Times New Roman" w:hAnsi="Times New Roman" w:cs="Times New Roman"/>
      <w:b/>
      <w:bCs/>
    </w:rPr>
  </w:style>
  <w:style w:type="character" w:customStyle="1" w:styleId="Heading7Char">
    <w:name w:val="Heading 7 Char"/>
    <w:basedOn w:val="DefaultParagraphFont"/>
    <w:link w:val="Heading7"/>
    <w:rsid w:val="003F31F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F31F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F31FF"/>
    <w:rPr>
      <w:rFonts w:ascii="Arial" w:eastAsia="Times New Roman" w:hAnsi="Arial" w:cs="Arial"/>
    </w:rPr>
  </w:style>
  <w:style w:type="paragraph" w:styleId="Footer">
    <w:name w:val="footer"/>
    <w:basedOn w:val="Normal"/>
    <w:link w:val="FooterChar"/>
    <w:rsid w:val="003F31FF"/>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3F31FF"/>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3F31FF"/>
  </w:style>
  <w:style w:type="character" w:customStyle="1" w:styleId="BodyTextChar">
    <w:name w:val="Body Text Char"/>
    <w:basedOn w:val="DefaultParagraphFont"/>
    <w:link w:val="BodyText"/>
    <w:rsid w:val="003F31FF"/>
    <w:rPr>
      <w:rFonts w:ascii="Times New Roman" w:eastAsia="Times New Roman" w:hAnsi="Times New Roman" w:cs="Times New Roman"/>
      <w:szCs w:val="20"/>
    </w:rPr>
  </w:style>
  <w:style w:type="character" w:styleId="PageNumber">
    <w:name w:val="page number"/>
    <w:basedOn w:val="DefaultParagraphFont"/>
    <w:rsid w:val="003F31FF"/>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3F31FF"/>
    <w:pPr>
      <w:spacing w:after="180"/>
    </w:pPr>
  </w:style>
  <w:style w:type="paragraph" w:customStyle="1" w:styleId="Bullets">
    <w:name w:val="Bullets"/>
    <w:basedOn w:val="BodyText"/>
    <w:rsid w:val="00276416"/>
    <w:pPr>
      <w:numPr>
        <w:numId w:val="8"/>
      </w:numPr>
      <w:spacing w:after="120"/>
    </w:pPr>
  </w:style>
  <w:style w:type="character" w:styleId="CommentReference">
    <w:name w:val="annotation reference"/>
    <w:basedOn w:val="DefaultParagraphFont"/>
    <w:uiPriority w:val="99"/>
    <w:rsid w:val="003F31FF"/>
    <w:rPr>
      <w:sz w:val="16"/>
    </w:rPr>
  </w:style>
  <w:style w:type="paragraph" w:styleId="CommentText">
    <w:name w:val="annotation text"/>
    <w:basedOn w:val="Normal"/>
    <w:link w:val="CommentTextChar"/>
    <w:uiPriority w:val="99"/>
    <w:rsid w:val="003F31FF"/>
    <w:rPr>
      <w:sz w:val="20"/>
    </w:rPr>
  </w:style>
  <w:style w:type="character" w:customStyle="1" w:styleId="CommentTextChar">
    <w:name w:val="Comment Text Char"/>
    <w:basedOn w:val="DefaultParagraphFont"/>
    <w:link w:val="CommentText"/>
    <w:uiPriority w:val="99"/>
    <w:rsid w:val="003F31FF"/>
    <w:rPr>
      <w:rFonts w:ascii="Times New Roman" w:eastAsia="Times New Roman" w:hAnsi="Times New Roman" w:cs="Times New Roman"/>
      <w:sz w:val="20"/>
      <w:szCs w:val="20"/>
    </w:rPr>
  </w:style>
  <w:style w:type="paragraph" w:styleId="Caption">
    <w:name w:val="caption"/>
    <w:basedOn w:val="Normal"/>
    <w:next w:val="Normal"/>
    <w:qFormat/>
    <w:rsid w:val="003F31FF"/>
    <w:pPr>
      <w:keepNext/>
      <w:keepLines/>
      <w:widowControl w:val="0"/>
      <w:tabs>
        <w:tab w:val="left" w:pos="1440"/>
      </w:tabs>
      <w:spacing w:after="120"/>
      <w:ind w:left="1440" w:hanging="1440"/>
    </w:pPr>
    <w:rPr>
      <w:rFonts w:ascii="Arial" w:hAnsi="Arial"/>
      <w:b/>
      <w:bCs/>
      <w:sz w:val="20"/>
    </w:rPr>
  </w:style>
  <w:style w:type="paragraph" w:customStyle="1" w:styleId="ExhibitSource">
    <w:name w:val="Exhibit Source"/>
    <w:basedOn w:val="Normal"/>
    <w:qFormat/>
    <w:rsid w:val="003F31FF"/>
    <w:pPr>
      <w:spacing w:before="120" w:after="240"/>
    </w:pPr>
    <w:rPr>
      <w:rFonts w:ascii="Arial" w:hAnsi="Arial" w:cs="Arial"/>
      <w:sz w:val="18"/>
    </w:rPr>
  </w:style>
  <w:style w:type="paragraph" w:customStyle="1" w:styleId="ExhibitColumnHeader">
    <w:name w:val="Exhibit Column Header"/>
    <w:basedOn w:val="Normal"/>
    <w:qFormat/>
    <w:rsid w:val="003F31FF"/>
    <w:pPr>
      <w:spacing w:before="20" w:after="20" w:line="240" w:lineRule="auto"/>
      <w:jc w:val="center"/>
    </w:pPr>
    <w:rPr>
      <w:rFonts w:ascii="Arial" w:hAnsi="Arial" w:cs="Arial"/>
      <w:b/>
      <w:color w:val="000000" w:themeColor="text1"/>
      <w:sz w:val="20"/>
    </w:rPr>
  </w:style>
  <w:style w:type="paragraph" w:styleId="BalloonText">
    <w:name w:val="Balloon Text"/>
    <w:basedOn w:val="Normal"/>
    <w:link w:val="BalloonTextChar"/>
    <w:uiPriority w:val="99"/>
    <w:semiHidden/>
    <w:unhideWhenUsed/>
    <w:rsid w:val="003F3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1FF"/>
    <w:rPr>
      <w:rFonts w:ascii="Tahoma" w:eastAsia="Times New Roman" w:hAnsi="Tahoma" w:cs="Tahoma"/>
      <w:sz w:val="16"/>
      <w:szCs w:val="16"/>
    </w:rPr>
  </w:style>
  <w:style w:type="paragraph" w:styleId="Header">
    <w:name w:val="header"/>
    <w:basedOn w:val="Normal"/>
    <w:link w:val="HeaderChar"/>
    <w:uiPriority w:val="99"/>
    <w:unhideWhenUsed/>
    <w:rsid w:val="002D1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BFC"/>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C63B8"/>
    <w:pPr>
      <w:spacing w:line="240" w:lineRule="auto"/>
    </w:pPr>
    <w:rPr>
      <w:b/>
      <w:bCs/>
    </w:rPr>
  </w:style>
  <w:style w:type="character" w:customStyle="1" w:styleId="CommentSubjectChar">
    <w:name w:val="Comment Subject Char"/>
    <w:basedOn w:val="CommentTextChar"/>
    <w:link w:val="CommentSubject"/>
    <w:uiPriority w:val="99"/>
    <w:semiHidden/>
    <w:rsid w:val="008C63B8"/>
    <w:rPr>
      <w:rFonts w:ascii="Times New Roman" w:eastAsia="Times New Roman" w:hAnsi="Times New Roman" w:cs="Times New Roman"/>
      <w:b/>
      <w:bCs/>
      <w:sz w:val="20"/>
      <w:szCs w:val="20"/>
    </w:rPr>
  </w:style>
  <w:style w:type="paragraph" w:styleId="ListParagraph">
    <w:name w:val="List Paragraph"/>
    <w:basedOn w:val="Normal"/>
    <w:uiPriority w:val="34"/>
    <w:qFormat/>
    <w:rsid w:val="00022B1C"/>
    <w:pPr>
      <w:ind w:left="720"/>
      <w:contextualSpacing/>
    </w:pPr>
  </w:style>
  <w:style w:type="paragraph" w:styleId="PlainText">
    <w:name w:val="Plain Text"/>
    <w:basedOn w:val="Normal"/>
    <w:link w:val="PlainTextChar"/>
    <w:uiPriority w:val="99"/>
    <w:semiHidden/>
    <w:unhideWhenUsed/>
    <w:rsid w:val="008A7621"/>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8A7621"/>
    <w:rPr>
      <w:rFonts w:ascii="Calibri" w:hAnsi="Calibri"/>
      <w:szCs w:val="21"/>
    </w:rPr>
  </w:style>
  <w:style w:type="table" w:styleId="TableGrid">
    <w:name w:val="Table Grid"/>
    <w:basedOn w:val="TableNormal"/>
    <w:uiPriority w:val="59"/>
    <w:rsid w:val="00E01F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rce">
    <w:name w:val="Source"/>
    <w:basedOn w:val="Normal"/>
    <w:qFormat/>
    <w:rsid w:val="00E01FF9"/>
    <w:pPr>
      <w:spacing w:after="240"/>
    </w:pPr>
    <w:rPr>
      <w:color w:val="000000"/>
      <w:sz w:val="20"/>
    </w:rPr>
  </w:style>
  <w:style w:type="paragraph" w:customStyle="1" w:styleId="Numbers">
    <w:name w:val="Numbers"/>
    <w:basedOn w:val="BodyText"/>
    <w:rsid w:val="001C58AE"/>
    <w:pPr>
      <w:numPr>
        <w:numId w:val="5"/>
      </w:num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1FF"/>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4246C8"/>
    <w:pPr>
      <w:keepNext/>
      <w:keepLines/>
      <w:pageBreakBefore/>
      <w:numPr>
        <w:numId w:val="2"/>
      </w:numPr>
      <w:shd w:val="clear" w:color="auto" w:fill="8C8C8C"/>
      <w:outlineLvl w:val="0"/>
    </w:pPr>
    <w:rPr>
      <w:rFonts w:ascii="Arial" w:hAnsi="Arial"/>
      <w:b/>
      <w:color w:val="FFFFFF"/>
      <w:kern w:val="28"/>
      <w:sz w:val="28"/>
    </w:rPr>
  </w:style>
  <w:style w:type="paragraph" w:styleId="Heading2">
    <w:name w:val="heading 2"/>
    <w:basedOn w:val="Normal"/>
    <w:next w:val="BodyText"/>
    <w:link w:val="Heading2Char"/>
    <w:qFormat/>
    <w:rsid w:val="002D1BFC"/>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D1BFC"/>
    <w:pPr>
      <w:keepNext/>
      <w:numPr>
        <w:ilvl w:val="2"/>
        <w:numId w:val="2"/>
      </w:numPr>
      <w:tabs>
        <w:tab w:val="clear" w:pos="900"/>
        <w:tab w:val="num" w:pos="720"/>
      </w:tabs>
      <w:spacing w:before="60" w:after="120"/>
      <w:ind w:left="720"/>
      <w:outlineLvl w:val="2"/>
    </w:pPr>
    <w:rPr>
      <w:rFonts w:ascii="Arial" w:hAnsi="Arial"/>
      <w:b/>
      <w:color w:val="000000" w:themeColor="text1"/>
      <w:sz w:val="20"/>
    </w:rPr>
  </w:style>
  <w:style w:type="paragraph" w:styleId="Heading4">
    <w:name w:val="heading 4"/>
    <w:basedOn w:val="Normal"/>
    <w:next w:val="BodyText"/>
    <w:link w:val="Heading4Char"/>
    <w:qFormat/>
    <w:rsid w:val="003F31FF"/>
    <w:pPr>
      <w:keepNext/>
      <w:numPr>
        <w:ilvl w:val="3"/>
        <w:numId w:val="2"/>
      </w:numPr>
      <w:spacing w:before="60" w:after="60"/>
      <w:outlineLvl w:val="3"/>
    </w:pPr>
    <w:rPr>
      <w:b/>
      <w:i/>
    </w:rPr>
  </w:style>
  <w:style w:type="paragraph" w:styleId="Heading5">
    <w:name w:val="heading 5"/>
    <w:basedOn w:val="Normal"/>
    <w:next w:val="BodyText"/>
    <w:link w:val="Heading5Char"/>
    <w:qFormat/>
    <w:rsid w:val="003F31FF"/>
    <w:pPr>
      <w:keepNext/>
      <w:keepLines/>
      <w:numPr>
        <w:ilvl w:val="4"/>
        <w:numId w:val="2"/>
      </w:numPr>
      <w:spacing w:before="60" w:after="120"/>
      <w:outlineLvl w:val="4"/>
    </w:pPr>
    <w:rPr>
      <w:b/>
      <w:i/>
      <w:color w:val="DA291C"/>
    </w:rPr>
  </w:style>
  <w:style w:type="paragraph" w:styleId="Heading6">
    <w:name w:val="heading 6"/>
    <w:basedOn w:val="Normal"/>
    <w:next w:val="Normal"/>
    <w:link w:val="Heading6Char"/>
    <w:qFormat/>
    <w:rsid w:val="003F31FF"/>
    <w:pPr>
      <w:numPr>
        <w:ilvl w:val="5"/>
        <w:numId w:val="2"/>
      </w:numPr>
      <w:spacing w:before="60" w:after="60"/>
      <w:outlineLvl w:val="5"/>
    </w:pPr>
    <w:rPr>
      <w:b/>
      <w:bCs/>
      <w:szCs w:val="22"/>
    </w:rPr>
  </w:style>
  <w:style w:type="paragraph" w:styleId="Heading7">
    <w:name w:val="heading 7"/>
    <w:basedOn w:val="Normal"/>
    <w:next w:val="Normal"/>
    <w:link w:val="Heading7Char"/>
    <w:qFormat/>
    <w:rsid w:val="003F31FF"/>
    <w:pPr>
      <w:numPr>
        <w:ilvl w:val="6"/>
        <w:numId w:val="2"/>
      </w:numPr>
      <w:spacing w:before="240" w:after="60"/>
      <w:outlineLvl w:val="6"/>
    </w:pPr>
    <w:rPr>
      <w:sz w:val="24"/>
      <w:szCs w:val="24"/>
    </w:rPr>
  </w:style>
  <w:style w:type="paragraph" w:styleId="Heading8">
    <w:name w:val="heading 8"/>
    <w:basedOn w:val="Normal"/>
    <w:next w:val="Normal"/>
    <w:link w:val="Heading8Char"/>
    <w:qFormat/>
    <w:rsid w:val="003F31FF"/>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F31FF"/>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6C8"/>
    <w:rPr>
      <w:rFonts w:ascii="Arial" w:eastAsia="Times New Roman" w:hAnsi="Arial" w:cs="Times New Roman"/>
      <w:b/>
      <w:color w:val="FFFFFF"/>
      <w:kern w:val="28"/>
      <w:sz w:val="28"/>
      <w:szCs w:val="20"/>
      <w:shd w:val="clear" w:color="auto" w:fill="8C8C8C"/>
    </w:rPr>
  </w:style>
  <w:style w:type="character" w:customStyle="1" w:styleId="Heading2Char">
    <w:name w:val="Heading 2 Char"/>
    <w:basedOn w:val="DefaultParagraphFont"/>
    <w:link w:val="Heading2"/>
    <w:rsid w:val="002D1BFC"/>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D1BFC"/>
    <w:rPr>
      <w:rFonts w:ascii="Arial" w:eastAsia="Times New Roman" w:hAnsi="Arial" w:cs="Times New Roman"/>
      <w:b/>
      <w:color w:val="000000" w:themeColor="text1"/>
      <w:sz w:val="20"/>
      <w:szCs w:val="20"/>
    </w:rPr>
  </w:style>
  <w:style w:type="character" w:customStyle="1" w:styleId="Heading4Char">
    <w:name w:val="Heading 4 Char"/>
    <w:basedOn w:val="DefaultParagraphFont"/>
    <w:link w:val="Heading4"/>
    <w:rsid w:val="003F31F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3F31F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F31FF"/>
    <w:rPr>
      <w:rFonts w:ascii="Times New Roman" w:eastAsia="Times New Roman" w:hAnsi="Times New Roman" w:cs="Times New Roman"/>
      <w:b/>
      <w:bCs/>
    </w:rPr>
  </w:style>
  <w:style w:type="character" w:customStyle="1" w:styleId="Heading7Char">
    <w:name w:val="Heading 7 Char"/>
    <w:basedOn w:val="DefaultParagraphFont"/>
    <w:link w:val="Heading7"/>
    <w:rsid w:val="003F31F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F31F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F31FF"/>
    <w:rPr>
      <w:rFonts w:ascii="Arial" w:eastAsia="Times New Roman" w:hAnsi="Arial" w:cs="Arial"/>
    </w:rPr>
  </w:style>
  <w:style w:type="paragraph" w:styleId="Footer">
    <w:name w:val="footer"/>
    <w:basedOn w:val="Normal"/>
    <w:link w:val="FooterChar"/>
    <w:rsid w:val="003F31FF"/>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3F31FF"/>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3F31FF"/>
  </w:style>
  <w:style w:type="character" w:customStyle="1" w:styleId="BodyTextChar">
    <w:name w:val="Body Text Char"/>
    <w:basedOn w:val="DefaultParagraphFont"/>
    <w:link w:val="BodyText"/>
    <w:rsid w:val="003F31FF"/>
    <w:rPr>
      <w:rFonts w:ascii="Times New Roman" w:eastAsia="Times New Roman" w:hAnsi="Times New Roman" w:cs="Times New Roman"/>
      <w:szCs w:val="20"/>
    </w:rPr>
  </w:style>
  <w:style w:type="character" w:styleId="PageNumber">
    <w:name w:val="page number"/>
    <w:basedOn w:val="DefaultParagraphFont"/>
    <w:rsid w:val="003F31FF"/>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3F31FF"/>
    <w:pPr>
      <w:spacing w:after="180"/>
    </w:pPr>
  </w:style>
  <w:style w:type="paragraph" w:customStyle="1" w:styleId="Bullets">
    <w:name w:val="Bullets"/>
    <w:basedOn w:val="BodyText"/>
    <w:rsid w:val="00276416"/>
    <w:pPr>
      <w:numPr>
        <w:numId w:val="8"/>
      </w:numPr>
      <w:spacing w:after="120"/>
    </w:pPr>
  </w:style>
  <w:style w:type="character" w:styleId="CommentReference">
    <w:name w:val="annotation reference"/>
    <w:basedOn w:val="DefaultParagraphFont"/>
    <w:uiPriority w:val="99"/>
    <w:rsid w:val="003F31FF"/>
    <w:rPr>
      <w:sz w:val="16"/>
    </w:rPr>
  </w:style>
  <w:style w:type="paragraph" w:styleId="CommentText">
    <w:name w:val="annotation text"/>
    <w:basedOn w:val="Normal"/>
    <w:link w:val="CommentTextChar"/>
    <w:uiPriority w:val="99"/>
    <w:rsid w:val="003F31FF"/>
    <w:rPr>
      <w:sz w:val="20"/>
    </w:rPr>
  </w:style>
  <w:style w:type="character" w:customStyle="1" w:styleId="CommentTextChar">
    <w:name w:val="Comment Text Char"/>
    <w:basedOn w:val="DefaultParagraphFont"/>
    <w:link w:val="CommentText"/>
    <w:uiPriority w:val="99"/>
    <w:rsid w:val="003F31FF"/>
    <w:rPr>
      <w:rFonts w:ascii="Times New Roman" w:eastAsia="Times New Roman" w:hAnsi="Times New Roman" w:cs="Times New Roman"/>
      <w:sz w:val="20"/>
      <w:szCs w:val="20"/>
    </w:rPr>
  </w:style>
  <w:style w:type="paragraph" w:styleId="Caption">
    <w:name w:val="caption"/>
    <w:basedOn w:val="Normal"/>
    <w:next w:val="Normal"/>
    <w:qFormat/>
    <w:rsid w:val="003F31FF"/>
    <w:pPr>
      <w:keepNext/>
      <w:keepLines/>
      <w:widowControl w:val="0"/>
      <w:tabs>
        <w:tab w:val="left" w:pos="1440"/>
      </w:tabs>
      <w:spacing w:after="120"/>
      <w:ind w:left="1440" w:hanging="1440"/>
    </w:pPr>
    <w:rPr>
      <w:rFonts w:ascii="Arial" w:hAnsi="Arial"/>
      <w:b/>
      <w:bCs/>
      <w:sz w:val="20"/>
    </w:rPr>
  </w:style>
  <w:style w:type="paragraph" w:customStyle="1" w:styleId="ExhibitSource">
    <w:name w:val="Exhibit Source"/>
    <w:basedOn w:val="Normal"/>
    <w:qFormat/>
    <w:rsid w:val="003F31FF"/>
    <w:pPr>
      <w:spacing w:before="120" w:after="240"/>
    </w:pPr>
    <w:rPr>
      <w:rFonts w:ascii="Arial" w:hAnsi="Arial" w:cs="Arial"/>
      <w:sz w:val="18"/>
    </w:rPr>
  </w:style>
  <w:style w:type="paragraph" w:customStyle="1" w:styleId="ExhibitColumnHeader">
    <w:name w:val="Exhibit Column Header"/>
    <w:basedOn w:val="Normal"/>
    <w:qFormat/>
    <w:rsid w:val="003F31FF"/>
    <w:pPr>
      <w:spacing w:before="20" w:after="20" w:line="240" w:lineRule="auto"/>
      <w:jc w:val="center"/>
    </w:pPr>
    <w:rPr>
      <w:rFonts w:ascii="Arial" w:hAnsi="Arial" w:cs="Arial"/>
      <w:b/>
      <w:color w:val="000000" w:themeColor="text1"/>
      <w:sz w:val="20"/>
    </w:rPr>
  </w:style>
  <w:style w:type="paragraph" w:styleId="BalloonText">
    <w:name w:val="Balloon Text"/>
    <w:basedOn w:val="Normal"/>
    <w:link w:val="BalloonTextChar"/>
    <w:uiPriority w:val="99"/>
    <w:semiHidden/>
    <w:unhideWhenUsed/>
    <w:rsid w:val="003F3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1FF"/>
    <w:rPr>
      <w:rFonts w:ascii="Tahoma" w:eastAsia="Times New Roman" w:hAnsi="Tahoma" w:cs="Tahoma"/>
      <w:sz w:val="16"/>
      <w:szCs w:val="16"/>
    </w:rPr>
  </w:style>
  <w:style w:type="paragraph" w:styleId="Header">
    <w:name w:val="header"/>
    <w:basedOn w:val="Normal"/>
    <w:link w:val="HeaderChar"/>
    <w:uiPriority w:val="99"/>
    <w:unhideWhenUsed/>
    <w:rsid w:val="002D1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BFC"/>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C63B8"/>
    <w:pPr>
      <w:spacing w:line="240" w:lineRule="auto"/>
    </w:pPr>
    <w:rPr>
      <w:b/>
      <w:bCs/>
    </w:rPr>
  </w:style>
  <w:style w:type="character" w:customStyle="1" w:styleId="CommentSubjectChar">
    <w:name w:val="Comment Subject Char"/>
    <w:basedOn w:val="CommentTextChar"/>
    <w:link w:val="CommentSubject"/>
    <w:uiPriority w:val="99"/>
    <w:semiHidden/>
    <w:rsid w:val="008C63B8"/>
    <w:rPr>
      <w:rFonts w:ascii="Times New Roman" w:eastAsia="Times New Roman" w:hAnsi="Times New Roman" w:cs="Times New Roman"/>
      <w:b/>
      <w:bCs/>
      <w:sz w:val="20"/>
      <w:szCs w:val="20"/>
    </w:rPr>
  </w:style>
  <w:style w:type="paragraph" w:styleId="ListParagraph">
    <w:name w:val="List Paragraph"/>
    <w:basedOn w:val="Normal"/>
    <w:uiPriority w:val="34"/>
    <w:qFormat/>
    <w:rsid w:val="00022B1C"/>
    <w:pPr>
      <w:ind w:left="720"/>
      <w:contextualSpacing/>
    </w:pPr>
  </w:style>
  <w:style w:type="paragraph" w:styleId="PlainText">
    <w:name w:val="Plain Text"/>
    <w:basedOn w:val="Normal"/>
    <w:link w:val="PlainTextChar"/>
    <w:uiPriority w:val="99"/>
    <w:semiHidden/>
    <w:unhideWhenUsed/>
    <w:rsid w:val="008A7621"/>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8A7621"/>
    <w:rPr>
      <w:rFonts w:ascii="Calibri" w:hAnsi="Calibri"/>
      <w:szCs w:val="21"/>
    </w:rPr>
  </w:style>
  <w:style w:type="table" w:styleId="TableGrid">
    <w:name w:val="Table Grid"/>
    <w:basedOn w:val="TableNormal"/>
    <w:uiPriority w:val="59"/>
    <w:rsid w:val="00E01F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rce">
    <w:name w:val="Source"/>
    <w:basedOn w:val="Normal"/>
    <w:qFormat/>
    <w:rsid w:val="00E01FF9"/>
    <w:pPr>
      <w:spacing w:after="240"/>
    </w:pPr>
    <w:rPr>
      <w:color w:val="000000"/>
      <w:sz w:val="20"/>
    </w:rPr>
  </w:style>
  <w:style w:type="paragraph" w:customStyle="1" w:styleId="Numbers">
    <w:name w:val="Numbers"/>
    <w:basedOn w:val="BodyText"/>
    <w:rsid w:val="001C58AE"/>
    <w:pPr>
      <w:numPr>
        <w:numId w:val="5"/>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13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7AD48-5727-401C-AB08-0C695FE9C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Kean</dc:creator>
  <cp:lastModifiedBy>Anne Fletcher</cp:lastModifiedBy>
  <cp:revision>2</cp:revision>
  <cp:lastPrinted>2012-05-17T18:47:00Z</cp:lastPrinted>
  <dcterms:created xsi:type="dcterms:W3CDTF">2013-01-11T21:22:00Z</dcterms:created>
  <dcterms:modified xsi:type="dcterms:W3CDTF">2013-01-11T21:22:00Z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754308022</vt:i4>
  </property>
  <property fmtid="{D5CDD505-2E9C-101B-9397-08002B2CF9AE}" pid="4" name="_EmailSubject">
    <vt:lpwstr>Update on PRA Clearance- Study of Public Housing Agencies' Engagement with Homeless Households</vt:lpwstr>
  </property>
  <property fmtid="{D5CDD505-2E9C-101B-9397-08002B2CF9AE}" pid="5" name="_AuthorEmail">
    <vt:lpwstr>Anne.L.Fletcher@hud.gov</vt:lpwstr>
  </property>
  <property fmtid="{D5CDD505-2E9C-101B-9397-08002B2CF9AE}" pid="6" name="_AuthorEmailDisplayName">
    <vt:lpwstr>Fletcher, Anne L</vt:lpwstr>
  </property>
</Properties>
</file>