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AAF" w:rsidRDefault="00A509D1">
      <w:r>
        <w:rPr>
          <w:noProof/>
          <w:lang w:eastAsia="zh-TW"/>
        </w:rPr>
        <w:pict>
          <v:shapetype id="_x0000_t202" coordsize="21600,21600" o:spt="202" path="m,l,21600r21600,l21600,xe">
            <v:stroke joinstyle="miter"/>
            <v:path gradientshapeok="t" o:connecttype="rect"/>
          </v:shapetype>
          <v:shape id="_x0000_s1026" type="#_x0000_t202" style="position:absolute;margin-left:11.7pt;margin-top:10.3pt;width:300.6pt;height:97.9pt;z-index:251660288;mso-width-relative:margin;mso-height-relative:margin" stroked="f">
            <v:textbox>
              <w:txbxContent>
                <w:p w:rsidR="003C7A92" w:rsidRPr="00955EC2" w:rsidRDefault="003C7A92" w:rsidP="00955EC2">
                  <w:pPr>
                    <w:rPr>
                      <w:rFonts w:ascii="Arial" w:hAnsi="Arial" w:cs="Arial"/>
                      <w:b/>
                      <w:sz w:val="24"/>
                    </w:rPr>
                  </w:pPr>
                  <w:r w:rsidRPr="00955EC2">
                    <w:rPr>
                      <w:rFonts w:ascii="Arial" w:hAnsi="Arial" w:cs="Arial"/>
                      <w:b/>
                      <w:sz w:val="24"/>
                    </w:rPr>
                    <w:t>U.S. Energy Information Administration</w:t>
                  </w:r>
                </w:p>
                <w:p w:rsidR="003C7A92" w:rsidRPr="00955EC2" w:rsidRDefault="003C7A92" w:rsidP="00955EC2">
                  <w:pPr>
                    <w:rPr>
                      <w:rFonts w:ascii="Arial" w:hAnsi="Arial" w:cs="Arial"/>
                      <w:b/>
                      <w:sz w:val="24"/>
                    </w:rPr>
                  </w:pPr>
                  <w:r>
                    <w:rPr>
                      <w:rFonts w:ascii="Arial" w:hAnsi="Arial" w:cs="Arial"/>
                      <w:b/>
                      <w:sz w:val="24"/>
                    </w:rPr>
                    <w:t>Assistant Administrator for</w:t>
                  </w:r>
                  <w:r w:rsidRPr="00955EC2">
                    <w:rPr>
                      <w:rFonts w:ascii="Arial" w:hAnsi="Arial" w:cs="Arial"/>
                      <w:b/>
                      <w:sz w:val="24"/>
                    </w:rPr>
                    <w:t xml:space="preserve"> Energy Statistics</w:t>
                  </w:r>
                </w:p>
                <w:p w:rsidR="003C7A92" w:rsidRPr="00955EC2" w:rsidRDefault="003C7A92" w:rsidP="00955EC2">
                  <w:pPr>
                    <w:rPr>
                      <w:rFonts w:ascii="Arial" w:hAnsi="Arial" w:cs="Arial"/>
                      <w:b/>
                      <w:sz w:val="24"/>
                    </w:rPr>
                  </w:pPr>
                  <w:r w:rsidRPr="00955EC2">
                    <w:rPr>
                      <w:rFonts w:ascii="Arial" w:hAnsi="Arial" w:cs="Arial"/>
                      <w:b/>
                      <w:sz w:val="24"/>
                    </w:rPr>
                    <w:t>Office of Electric, Renewables, and Uranium Statistics</w:t>
                  </w:r>
                </w:p>
                <w:p w:rsidR="003C7A92" w:rsidRDefault="003C7A92"/>
              </w:txbxContent>
            </v:textbox>
          </v:shape>
        </w:pict>
      </w:r>
      <w:r w:rsidR="00955EC2">
        <w:rPr>
          <w:noProof/>
        </w:rPr>
        <w:drawing>
          <wp:anchor distT="0" distB="0" distL="114300" distR="114300" simplePos="0" relativeHeight="251662336" behindDoc="0" locked="0" layoutInCell="1" allowOverlap="1">
            <wp:simplePos x="0" y="0"/>
            <wp:positionH relativeFrom="column">
              <wp:posOffset>-241300</wp:posOffset>
            </wp:positionH>
            <wp:positionV relativeFrom="paragraph">
              <wp:posOffset>82550</wp:posOffset>
            </wp:positionV>
            <wp:extent cx="1273810" cy="1246505"/>
            <wp:effectExtent l="19050" t="0" r="254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73810" cy="1246505"/>
                    </a:xfrm>
                    <a:prstGeom prst="rect">
                      <a:avLst/>
                    </a:prstGeom>
                    <a:noFill/>
                    <a:ln w="9525">
                      <a:noFill/>
                      <a:miter lim="800000"/>
                      <a:headEnd/>
                      <a:tailEnd/>
                    </a:ln>
                  </pic:spPr>
                </pic:pic>
              </a:graphicData>
            </a:graphic>
          </wp:anchor>
        </w:drawing>
      </w:r>
    </w:p>
    <w:p w:rsidR="00955EC2" w:rsidRDefault="00955EC2"/>
    <w:p w:rsidR="00955EC2" w:rsidRDefault="00955EC2"/>
    <w:p w:rsidR="00955EC2" w:rsidRDefault="00955EC2"/>
    <w:p w:rsidR="00071AAF" w:rsidRDefault="00071AAF"/>
    <w:p w:rsidR="00955EC2" w:rsidRDefault="00955EC2">
      <w:pPr>
        <w:rPr>
          <w:rFonts w:ascii="Arial Black" w:hAnsi="Arial Black"/>
          <w:sz w:val="28"/>
        </w:rPr>
      </w:pPr>
    </w:p>
    <w:p w:rsidR="00071AAF" w:rsidRPr="00071AAF" w:rsidRDefault="00071AAF">
      <w:pPr>
        <w:rPr>
          <w:rFonts w:ascii="Arial Black" w:hAnsi="Arial Black"/>
          <w:sz w:val="28"/>
        </w:rPr>
      </w:pPr>
      <w:r w:rsidRPr="00071AAF">
        <w:rPr>
          <w:rFonts w:ascii="Arial Black" w:hAnsi="Arial Black"/>
          <w:sz w:val="28"/>
        </w:rPr>
        <w:t>Supporting Statement for Survey Clearance</w:t>
      </w:r>
    </w:p>
    <w:p w:rsidR="00071AAF" w:rsidRPr="00071AAF" w:rsidRDefault="00071AAF">
      <w:pPr>
        <w:rPr>
          <w:rFonts w:ascii="Arial Black" w:hAnsi="Arial Black"/>
        </w:rPr>
      </w:pPr>
    </w:p>
    <w:p w:rsidR="001A0365" w:rsidRDefault="001A0365">
      <w:pPr>
        <w:rPr>
          <w:rFonts w:ascii="Arial Black" w:hAnsi="Arial Black"/>
        </w:rPr>
      </w:pPr>
      <w:r>
        <w:rPr>
          <w:rFonts w:ascii="Arial Black" w:hAnsi="Arial Black"/>
        </w:rPr>
        <w:t>URANIUM DATA PROGRAM</w:t>
      </w:r>
    </w:p>
    <w:p w:rsidR="00071AAF" w:rsidRDefault="00071AAF">
      <w:pPr>
        <w:rPr>
          <w:rFonts w:ascii="Arial Black" w:hAnsi="Arial Black"/>
        </w:rPr>
      </w:pPr>
      <w:r w:rsidRPr="00071AAF">
        <w:rPr>
          <w:rFonts w:ascii="Arial Black" w:hAnsi="Arial Black"/>
        </w:rPr>
        <w:t>Form EIA-</w:t>
      </w:r>
      <w:r w:rsidR="00335255">
        <w:rPr>
          <w:rFonts w:ascii="Arial Black" w:hAnsi="Arial Black"/>
        </w:rPr>
        <w:t>851A</w:t>
      </w:r>
      <w:r w:rsidRPr="00071AAF">
        <w:rPr>
          <w:rFonts w:ascii="Arial Black" w:hAnsi="Arial Black"/>
        </w:rPr>
        <w:t xml:space="preserve">, </w:t>
      </w:r>
      <w:r w:rsidR="00335255">
        <w:rPr>
          <w:rFonts w:ascii="Arial Black" w:hAnsi="Arial Black"/>
        </w:rPr>
        <w:t>DOMESTIC URANIUM PRODUCTION</w:t>
      </w:r>
      <w:r w:rsidRPr="00071AAF">
        <w:rPr>
          <w:rFonts w:ascii="Arial Black" w:hAnsi="Arial Black"/>
        </w:rPr>
        <w:t xml:space="preserve"> REPORT</w:t>
      </w:r>
      <w:r w:rsidR="00335255">
        <w:rPr>
          <w:rFonts w:ascii="Arial Black" w:hAnsi="Arial Black"/>
        </w:rPr>
        <w:t xml:space="preserve"> (ANNUAL)</w:t>
      </w:r>
    </w:p>
    <w:p w:rsidR="00335255" w:rsidRDefault="00335255">
      <w:pPr>
        <w:rPr>
          <w:rFonts w:ascii="Arial Black" w:hAnsi="Arial Black"/>
        </w:rPr>
      </w:pPr>
      <w:r w:rsidRPr="00071AAF">
        <w:rPr>
          <w:rFonts w:ascii="Arial Black" w:hAnsi="Arial Black"/>
        </w:rPr>
        <w:t>Form EIA-</w:t>
      </w:r>
      <w:r>
        <w:rPr>
          <w:rFonts w:ascii="Arial Black" w:hAnsi="Arial Black"/>
        </w:rPr>
        <w:t>851Q</w:t>
      </w:r>
      <w:r w:rsidRPr="00071AAF">
        <w:rPr>
          <w:rFonts w:ascii="Arial Black" w:hAnsi="Arial Black"/>
        </w:rPr>
        <w:t xml:space="preserve">, </w:t>
      </w:r>
      <w:r>
        <w:rPr>
          <w:rFonts w:ascii="Arial Black" w:hAnsi="Arial Black"/>
        </w:rPr>
        <w:t>DOMESTIC URANIUM PRODUCTION</w:t>
      </w:r>
      <w:r w:rsidRPr="00071AAF">
        <w:rPr>
          <w:rFonts w:ascii="Arial Black" w:hAnsi="Arial Black"/>
        </w:rPr>
        <w:t xml:space="preserve"> REPORT</w:t>
      </w:r>
      <w:r>
        <w:rPr>
          <w:rFonts w:ascii="Arial Black" w:hAnsi="Arial Black"/>
        </w:rPr>
        <w:t xml:space="preserve"> (QUARTERLY)</w:t>
      </w:r>
    </w:p>
    <w:p w:rsidR="00335255" w:rsidRPr="00071AAF" w:rsidRDefault="00335255">
      <w:pPr>
        <w:rPr>
          <w:rFonts w:ascii="Arial Black" w:hAnsi="Arial Black"/>
        </w:rPr>
      </w:pPr>
      <w:r w:rsidRPr="00071AAF">
        <w:rPr>
          <w:rFonts w:ascii="Arial Black" w:hAnsi="Arial Black"/>
        </w:rPr>
        <w:t>Form EIA-</w:t>
      </w:r>
      <w:r>
        <w:rPr>
          <w:rFonts w:ascii="Arial Black" w:hAnsi="Arial Black"/>
        </w:rPr>
        <w:t>858</w:t>
      </w:r>
      <w:r w:rsidRPr="00071AAF">
        <w:rPr>
          <w:rFonts w:ascii="Arial Black" w:hAnsi="Arial Black"/>
        </w:rPr>
        <w:t xml:space="preserve">, </w:t>
      </w:r>
      <w:r>
        <w:rPr>
          <w:rFonts w:ascii="Arial Black" w:hAnsi="Arial Black"/>
        </w:rPr>
        <w:t>URANIUM MARKETING ANNUAL SURVEY</w:t>
      </w:r>
    </w:p>
    <w:p w:rsidR="00071AAF" w:rsidRPr="00071AAF" w:rsidRDefault="00071AAF">
      <w:pPr>
        <w:rPr>
          <w:rFonts w:ascii="Arial Black" w:hAnsi="Arial Black"/>
        </w:rPr>
      </w:pPr>
      <w:r w:rsidRPr="00071AAF">
        <w:rPr>
          <w:rFonts w:ascii="Arial Black" w:hAnsi="Arial Black"/>
        </w:rPr>
        <w:t>OMB No. 1905-</w:t>
      </w:r>
      <w:r w:rsidR="00335255">
        <w:rPr>
          <w:rFonts w:ascii="Arial Black" w:hAnsi="Arial Black"/>
        </w:rPr>
        <w:t>0160</w:t>
      </w:r>
    </w:p>
    <w:p w:rsidR="00071AAF" w:rsidRDefault="00071AAF"/>
    <w:tbl>
      <w:tblPr>
        <w:tblStyle w:val="TableGrid"/>
        <w:tblW w:w="0" w:type="auto"/>
        <w:tblLook w:val="04A0"/>
      </w:tblPr>
      <w:tblGrid>
        <w:gridCol w:w="6048"/>
      </w:tblGrid>
      <w:tr w:rsidR="00634A3A" w:rsidTr="00634A3A">
        <w:tc>
          <w:tcPr>
            <w:tcW w:w="6048" w:type="dxa"/>
            <w:vAlign w:val="center"/>
          </w:tcPr>
          <w:p w:rsidR="00634A3A" w:rsidRPr="00634A3A" w:rsidRDefault="00634A3A" w:rsidP="00634A3A">
            <w:pPr>
              <w:spacing w:before="360" w:after="240"/>
              <w:rPr>
                <w:rFonts w:ascii="Arial Black" w:hAnsi="Arial Black"/>
              </w:rPr>
            </w:pPr>
            <w:r w:rsidRPr="00634A3A">
              <w:rPr>
                <w:rFonts w:ascii="Arial Black" w:hAnsi="Arial Black"/>
              </w:rPr>
              <w:t>Background and Proposal; Part A Materials</w:t>
            </w:r>
          </w:p>
          <w:p w:rsidR="00634A3A" w:rsidRDefault="00634A3A" w:rsidP="00634A3A"/>
        </w:tc>
      </w:tr>
    </w:tbl>
    <w:p w:rsidR="00634A3A" w:rsidRDefault="00634A3A"/>
    <w:p w:rsidR="00071AAF" w:rsidRDefault="00071AAF"/>
    <w:p w:rsidR="00071AAF" w:rsidRDefault="00071AAF">
      <w:r>
        <w:t xml:space="preserve">Original Date: </w:t>
      </w:r>
      <w:r w:rsidR="00305B9F">
        <w:t>June</w:t>
      </w:r>
      <w:r w:rsidR="00AC7171">
        <w:t xml:space="preserve"> </w:t>
      </w:r>
      <w:r w:rsidR="009D6A58">
        <w:t>2</w:t>
      </w:r>
      <w:r w:rsidR="00EB4FFD">
        <w:t>9</w:t>
      </w:r>
      <w:r w:rsidR="00335255">
        <w:t>,</w:t>
      </w:r>
      <w:r>
        <w:t xml:space="preserve"> 2012</w:t>
      </w:r>
    </w:p>
    <w:p w:rsidR="00071AAF" w:rsidRDefault="00071AAF">
      <w:r>
        <w:t xml:space="preserve">Revision Date: </w:t>
      </w:r>
      <w:r w:rsidR="00D50037">
        <w:t>July 24</w:t>
      </w:r>
      <w:r w:rsidR="000C0300">
        <w:t>, 2012</w:t>
      </w:r>
    </w:p>
    <w:p w:rsidR="00B34E75" w:rsidRDefault="00B34E75">
      <w:r>
        <w:br w:type="page"/>
      </w:r>
    </w:p>
    <w:p w:rsidR="00071AAF" w:rsidRPr="00B34E75" w:rsidRDefault="00B34E75">
      <w:pPr>
        <w:rPr>
          <w:rFonts w:ascii="Arial Black" w:hAnsi="Arial Black"/>
          <w:sz w:val="28"/>
        </w:rPr>
      </w:pPr>
      <w:r w:rsidRPr="00B34E75">
        <w:rPr>
          <w:rFonts w:ascii="Arial Black" w:hAnsi="Arial Black"/>
          <w:sz w:val="28"/>
        </w:rPr>
        <w:lastRenderedPageBreak/>
        <w:t>Table of Contents</w:t>
      </w:r>
    </w:p>
    <w:p w:rsidR="00D50037" w:rsidRDefault="00A509D1">
      <w:pPr>
        <w:pStyle w:val="TOC1"/>
        <w:tabs>
          <w:tab w:val="right" w:leader="dot" w:pos="9350"/>
        </w:tabs>
        <w:rPr>
          <w:rFonts w:eastAsiaTheme="minorEastAsia"/>
          <w:noProof/>
        </w:rPr>
      </w:pPr>
      <w:r>
        <w:fldChar w:fldCharType="begin"/>
      </w:r>
      <w:r w:rsidR="00D41F02">
        <w:instrText xml:space="preserve"> TOC \h \z \u \t "Heading 5,1" </w:instrText>
      </w:r>
      <w:r>
        <w:fldChar w:fldCharType="separate"/>
      </w:r>
      <w:hyperlink w:anchor="_Toc330888146" w:history="1">
        <w:r w:rsidR="00D50037" w:rsidRPr="00686397">
          <w:rPr>
            <w:rStyle w:val="Hyperlink"/>
            <w:noProof/>
          </w:rPr>
          <w:t>Background and Proposal</w:t>
        </w:r>
        <w:r w:rsidR="00D50037">
          <w:rPr>
            <w:noProof/>
            <w:webHidden/>
          </w:rPr>
          <w:tab/>
        </w:r>
        <w:r w:rsidR="00D50037">
          <w:rPr>
            <w:noProof/>
            <w:webHidden/>
          </w:rPr>
          <w:fldChar w:fldCharType="begin"/>
        </w:r>
        <w:r w:rsidR="00D50037">
          <w:rPr>
            <w:noProof/>
            <w:webHidden/>
          </w:rPr>
          <w:instrText xml:space="preserve"> PAGEREF _Toc330888146 \h </w:instrText>
        </w:r>
        <w:r w:rsidR="00D50037">
          <w:rPr>
            <w:noProof/>
            <w:webHidden/>
          </w:rPr>
        </w:r>
        <w:r w:rsidR="00D50037">
          <w:rPr>
            <w:noProof/>
            <w:webHidden/>
          </w:rPr>
          <w:fldChar w:fldCharType="separate"/>
        </w:r>
        <w:r w:rsidR="00D50037">
          <w:rPr>
            <w:noProof/>
            <w:webHidden/>
          </w:rPr>
          <w:t>4</w:t>
        </w:r>
        <w:r w:rsidR="00D50037">
          <w:rPr>
            <w:noProof/>
            <w:webHidden/>
          </w:rPr>
          <w:fldChar w:fldCharType="end"/>
        </w:r>
      </w:hyperlink>
    </w:p>
    <w:p w:rsidR="00D50037" w:rsidRDefault="00D50037">
      <w:pPr>
        <w:pStyle w:val="TOC1"/>
        <w:tabs>
          <w:tab w:val="right" w:leader="dot" w:pos="9350"/>
        </w:tabs>
        <w:rPr>
          <w:rFonts w:eastAsiaTheme="minorEastAsia"/>
          <w:noProof/>
        </w:rPr>
      </w:pPr>
      <w:hyperlink w:anchor="_Toc330888147" w:history="1">
        <w:r w:rsidRPr="00686397">
          <w:rPr>
            <w:rStyle w:val="Hyperlink"/>
            <w:noProof/>
          </w:rPr>
          <w:t>Background</w:t>
        </w:r>
        <w:r>
          <w:rPr>
            <w:noProof/>
            <w:webHidden/>
          </w:rPr>
          <w:tab/>
        </w:r>
        <w:r>
          <w:rPr>
            <w:noProof/>
            <w:webHidden/>
          </w:rPr>
          <w:fldChar w:fldCharType="begin"/>
        </w:r>
        <w:r>
          <w:rPr>
            <w:noProof/>
            <w:webHidden/>
          </w:rPr>
          <w:instrText xml:space="preserve"> PAGEREF _Toc330888147 \h </w:instrText>
        </w:r>
        <w:r>
          <w:rPr>
            <w:noProof/>
            <w:webHidden/>
          </w:rPr>
        </w:r>
        <w:r>
          <w:rPr>
            <w:noProof/>
            <w:webHidden/>
          </w:rPr>
          <w:fldChar w:fldCharType="separate"/>
        </w:r>
        <w:r>
          <w:rPr>
            <w:noProof/>
            <w:webHidden/>
          </w:rPr>
          <w:t>4</w:t>
        </w:r>
        <w:r>
          <w:rPr>
            <w:noProof/>
            <w:webHidden/>
          </w:rPr>
          <w:fldChar w:fldCharType="end"/>
        </w:r>
      </w:hyperlink>
    </w:p>
    <w:p w:rsidR="00D50037" w:rsidRDefault="00D50037">
      <w:pPr>
        <w:pStyle w:val="TOC1"/>
        <w:tabs>
          <w:tab w:val="right" w:leader="dot" w:pos="9350"/>
        </w:tabs>
        <w:rPr>
          <w:rFonts w:eastAsiaTheme="minorEastAsia"/>
          <w:noProof/>
        </w:rPr>
      </w:pPr>
      <w:hyperlink w:anchor="_Toc330888148" w:history="1">
        <w:r w:rsidRPr="00686397">
          <w:rPr>
            <w:rStyle w:val="Hyperlink"/>
            <w:noProof/>
          </w:rPr>
          <w:t>Proposal</w:t>
        </w:r>
        <w:r>
          <w:rPr>
            <w:noProof/>
            <w:webHidden/>
          </w:rPr>
          <w:tab/>
        </w:r>
        <w:r>
          <w:rPr>
            <w:noProof/>
            <w:webHidden/>
          </w:rPr>
          <w:fldChar w:fldCharType="begin"/>
        </w:r>
        <w:r>
          <w:rPr>
            <w:noProof/>
            <w:webHidden/>
          </w:rPr>
          <w:instrText xml:space="preserve"> PAGEREF _Toc330888148 \h </w:instrText>
        </w:r>
        <w:r>
          <w:rPr>
            <w:noProof/>
            <w:webHidden/>
          </w:rPr>
        </w:r>
        <w:r>
          <w:rPr>
            <w:noProof/>
            <w:webHidden/>
          </w:rPr>
          <w:fldChar w:fldCharType="separate"/>
        </w:r>
        <w:r>
          <w:rPr>
            <w:noProof/>
            <w:webHidden/>
          </w:rPr>
          <w:t>4</w:t>
        </w:r>
        <w:r>
          <w:rPr>
            <w:noProof/>
            <w:webHidden/>
          </w:rPr>
          <w:fldChar w:fldCharType="end"/>
        </w:r>
      </w:hyperlink>
    </w:p>
    <w:p w:rsidR="00D50037" w:rsidRDefault="00D50037">
      <w:pPr>
        <w:pStyle w:val="TOC1"/>
        <w:tabs>
          <w:tab w:val="right" w:leader="dot" w:pos="9350"/>
        </w:tabs>
        <w:rPr>
          <w:rFonts w:eastAsiaTheme="minorEastAsia"/>
          <w:noProof/>
        </w:rPr>
      </w:pPr>
      <w:hyperlink w:anchor="_Toc330888149" w:history="1">
        <w:r w:rsidRPr="00686397">
          <w:rPr>
            <w:rStyle w:val="Hyperlink"/>
            <w:noProof/>
          </w:rPr>
          <w:t>A. Justification</w:t>
        </w:r>
        <w:r>
          <w:rPr>
            <w:noProof/>
            <w:webHidden/>
          </w:rPr>
          <w:tab/>
        </w:r>
        <w:r>
          <w:rPr>
            <w:noProof/>
            <w:webHidden/>
          </w:rPr>
          <w:fldChar w:fldCharType="begin"/>
        </w:r>
        <w:r>
          <w:rPr>
            <w:noProof/>
            <w:webHidden/>
          </w:rPr>
          <w:instrText xml:space="preserve"> PAGEREF _Toc330888149 \h </w:instrText>
        </w:r>
        <w:r>
          <w:rPr>
            <w:noProof/>
            <w:webHidden/>
          </w:rPr>
        </w:r>
        <w:r>
          <w:rPr>
            <w:noProof/>
            <w:webHidden/>
          </w:rPr>
          <w:fldChar w:fldCharType="separate"/>
        </w:r>
        <w:r>
          <w:rPr>
            <w:noProof/>
            <w:webHidden/>
          </w:rPr>
          <w:t>6</w:t>
        </w:r>
        <w:r>
          <w:rPr>
            <w:noProof/>
            <w:webHidden/>
          </w:rPr>
          <w:fldChar w:fldCharType="end"/>
        </w:r>
      </w:hyperlink>
    </w:p>
    <w:p w:rsidR="00D50037" w:rsidRDefault="00D50037">
      <w:pPr>
        <w:pStyle w:val="TOC1"/>
        <w:tabs>
          <w:tab w:val="right" w:leader="dot" w:pos="9350"/>
        </w:tabs>
        <w:rPr>
          <w:rFonts w:eastAsiaTheme="minorEastAsia"/>
          <w:noProof/>
        </w:rPr>
      </w:pPr>
      <w:hyperlink w:anchor="_Toc330888150" w:history="1">
        <w:r w:rsidRPr="00686397">
          <w:rPr>
            <w:rStyle w:val="Hyperlink"/>
            <w:noProof/>
          </w:rPr>
          <w:t>A.1. Legal Justification</w:t>
        </w:r>
        <w:r>
          <w:rPr>
            <w:noProof/>
            <w:webHidden/>
          </w:rPr>
          <w:tab/>
        </w:r>
        <w:r>
          <w:rPr>
            <w:noProof/>
            <w:webHidden/>
          </w:rPr>
          <w:fldChar w:fldCharType="begin"/>
        </w:r>
        <w:r>
          <w:rPr>
            <w:noProof/>
            <w:webHidden/>
          </w:rPr>
          <w:instrText xml:space="preserve"> PAGEREF _Toc330888150 \h </w:instrText>
        </w:r>
        <w:r>
          <w:rPr>
            <w:noProof/>
            <w:webHidden/>
          </w:rPr>
        </w:r>
        <w:r>
          <w:rPr>
            <w:noProof/>
            <w:webHidden/>
          </w:rPr>
          <w:fldChar w:fldCharType="separate"/>
        </w:r>
        <w:r>
          <w:rPr>
            <w:noProof/>
            <w:webHidden/>
          </w:rPr>
          <w:t>6</w:t>
        </w:r>
        <w:r>
          <w:rPr>
            <w:noProof/>
            <w:webHidden/>
          </w:rPr>
          <w:fldChar w:fldCharType="end"/>
        </w:r>
      </w:hyperlink>
    </w:p>
    <w:p w:rsidR="00D50037" w:rsidRDefault="00D50037">
      <w:pPr>
        <w:pStyle w:val="TOC1"/>
        <w:tabs>
          <w:tab w:val="right" w:leader="dot" w:pos="9350"/>
        </w:tabs>
        <w:rPr>
          <w:rFonts w:eastAsiaTheme="minorEastAsia"/>
          <w:noProof/>
        </w:rPr>
      </w:pPr>
      <w:hyperlink w:anchor="_Toc330888151" w:history="1">
        <w:r w:rsidRPr="00686397">
          <w:rPr>
            <w:rStyle w:val="Hyperlink"/>
            <w:noProof/>
          </w:rPr>
          <w:t>A.2. Needs and Uses of Data</w:t>
        </w:r>
        <w:r>
          <w:rPr>
            <w:noProof/>
            <w:webHidden/>
          </w:rPr>
          <w:tab/>
        </w:r>
        <w:r>
          <w:rPr>
            <w:noProof/>
            <w:webHidden/>
          </w:rPr>
          <w:fldChar w:fldCharType="begin"/>
        </w:r>
        <w:r>
          <w:rPr>
            <w:noProof/>
            <w:webHidden/>
          </w:rPr>
          <w:instrText xml:space="preserve"> PAGEREF _Toc330888151 \h </w:instrText>
        </w:r>
        <w:r>
          <w:rPr>
            <w:noProof/>
            <w:webHidden/>
          </w:rPr>
        </w:r>
        <w:r>
          <w:rPr>
            <w:noProof/>
            <w:webHidden/>
          </w:rPr>
          <w:fldChar w:fldCharType="separate"/>
        </w:r>
        <w:r>
          <w:rPr>
            <w:noProof/>
            <w:webHidden/>
          </w:rPr>
          <w:t>8</w:t>
        </w:r>
        <w:r>
          <w:rPr>
            <w:noProof/>
            <w:webHidden/>
          </w:rPr>
          <w:fldChar w:fldCharType="end"/>
        </w:r>
      </w:hyperlink>
    </w:p>
    <w:p w:rsidR="00D50037" w:rsidRDefault="00D50037">
      <w:pPr>
        <w:pStyle w:val="TOC1"/>
        <w:tabs>
          <w:tab w:val="right" w:leader="dot" w:pos="9350"/>
        </w:tabs>
        <w:rPr>
          <w:rFonts w:eastAsiaTheme="minorEastAsia"/>
          <w:noProof/>
        </w:rPr>
      </w:pPr>
      <w:hyperlink w:anchor="_Toc330888152" w:history="1">
        <w:r w:rsidRPr="00686397">
          <w:rPr>
            <w:rStyle w:val="Hyperlink"/>
            <w:noProof/>
          </w:rPr>
          <w:t>A.2.1. Overview of Data Needs and Uses</w:t>
        </w:r>
        <w:r>
          <w:rPr>
            <w:noProof/>
            <w:webHidden/>
          </w:rPr>
          <w:tab/>
        </w:r>
        <w:r>
          <w:rPr>
            <w:noProof/>
            <w:webHidden/>
          </w:rPr>
          <w:fldChar w:fldCharType="begin"/>
        </w:r>
        <w:r>
          <w:rPr>
            <w:noProof/>
            <w:webHidden/>
          </w:rPr>
          <w:instrText xml:space="preserve"> PAGEREF _Toc330888152 \h </w:instrText>
        </w:r>
        <w:r>
          <w:rPr>
            <w:noProof/>
            <w:webHidden/>
          </w:rPr>
        </w:r>
        <w:r>
          <w:rPr>
            <w:noProof/>
            <w:webHidden/>
          </w:rPr>
          <w:fldChar w:fldCharType="separate"/>
        </w:r>
        <w:r>
          <w:rPr>
            <w:noProof/>
            <w:webHidden/>
          </w:rPr>
          <w:t>8</w:t>
        </w:r>
        <w:r>
          <w:rPr>
            <w:noProof/>
            <w:webHidden/>
          </w:rPr>
          <w:fldChar w:fldCharType="end"/>
        </w:r>
      </w:hyperlink>
    </w:p>
    <w:p w:rsidR="00D50037" w:rsidRDefault="00D50037">
      <w:pPr>
        <w:pStyle w:val="TOC1"/>
        <w:tabs>
          <w:tab w:val="right" w:leader="dot" w:pos="9350"/>
        </w:tabs>
        <w:rPr>
          <w:rFonts w:eastAsiaTheme="minorEastAsia"/>
          <w:noProof/>
        </w:rPr>
      </w:pPr>
      <w:hyperlink w:anchor="_Toc330888153" w:history="1">
        <w:r w:rsidRPr="00686397">
          <w:rPr>
            <w:rStyle w:val="Hyperlink"/>
            <w:noProof/>
          </w:rPr>
          <w:t>A.2.2. Overview of Data Collections</w:t>
        </w:r>
        <w:r>
          <w:rPr>
            <w:noProof/>
            <w:webHidden/>
          </w:rPr>
          <w:tab/>
        </w:r>
        <w:r>
          <w:rPr>
            <w:noProof/>
            <w:webHidden/>
          </w:rPr>
          <w:fldChar w:fldCharType="begin"/>
        </w:r>
        <w:r>
          <w:rPr>
            <w:noProof/>
            <w:webHidden/>
          </w:rPr>
          <w:instrText xml:space="preserve"> PAGEREF _Toc330888153 \h </w:instrText>
        </w:r>
        <w:r>
          <w:rPr>
            <w:noProof/>
            <w:webHidden/>
          </w:rPr>
        </w:r>
        <w:r>
          <w:rPr>
            <w:noProof/>
            <w:webHidden/>
          </w:rPr>
          <w:fldChar w:fldCharType="separate"/>
        </w:r>
        <w:r>
          <w:rPr>
            <w:noProof/>
            <w:webHidden/>
          </w:rPr>
          <w:t>10</w:t>
        </w:r>
        <w:r>
          <w:rPr>
            <w:noProof/>
            <w:webHidden/>
          </w:rPr>
          <w:fldChar w:fldCharType="end"/>
        </w:r>
      </w:hyperlink>
    </w:p>
    <w:p w:rsidR="00D50037" w:rsidRDefault="00D50037">
      <w:pPr>
        <w:pStyle w:val="TOC1"/>
        <w:tabs>
          <w:tab w:val="right" w:leader="dot" w:pos="9350"/>
        </w:tabs>
        <w:rPr>
          <w:rFonts w:eastAsiaTheme="minorEastAsia"/>
          <w:noProof/>
        </w:rPr>
      </w:pPr>
      <w:hyperlink w:anchor="_Toc330888154" w:history="1">
        <w:r w:rsidRPr="00686397">
          <w:rPr>
            <w:rStyle w:val="Hyperlink"/>
            <w:noProof/>
          </w:rPr>
          <w:t>A.2.3. Individual Form Data Uses</w:t>
        </w:r>
        <w:r>
          <w:rPr>
            <w:noProof/>
            <w:webHidden/>
          </w:rPr>
          <w:tab/>
        </w:r>
        <w:r>
          <w:rPr>
            <w:noProof/>
            <w:webHidden/>
          </w:rPr>
          <w:fldChar w:fldCharType="begin"/>
        </w:r>
        <w:r>
          <w:rPr>
            <w:noProof/>
            <w:webHidden/>
          </w:rPr>
          <w:instrText xml:space="preserve"> PAGEREF _Toc330888154 \h </w:instrText>
        </w:r>
        <w:r>
          <w:rPr>
            <w:noProof/>
            <w:webHidden/>
          </w:rPr>
        </w:r>
        <w:r>
          <w:rPr>
            <w:noProof/>
            <w:webHidden/>
          </w:rPr>
          <w:fldChar w:fldCharType="separate"/>
        </w:r>
        <w:r>
          <w:rPr>
            <w:noProof/>
            <w:webHidden/>
          </w:rPr>
          <w:t>11</w:t>
        </w:r>
        <w:r>
          <w:rPr>
            <w:noProof/>
            <w:webHidden/>
          </w:rPr>
          <w:fldChar w:fldCharType="end"/>
        </w:r>
      </w:hyperlink>
    </w:p>
    <w:p w:rsidR="00D50037" w:rsidRDefault="00D50037">
      <w:pPr>
        <w:pStyle w:val="TOC1"/>
        <w:tabs>
          <w:tab w:val="right" w:leader="dot" w:pos="9350"/>
        </w:tabs>
        <w:rPr>
          <w:rFonts w:eastAsiaTheme="minorEastAsia"/>
          <w:noProof/>
        </w:rPr>
      </w:pPr>
      <w:hyperlink w:anchor="_Toc330888155" w:history="1">
        <w:r w:rsidRPr="00686397">
          <w:rPr>
            <w:rStyle w:val="Hyperlink"/>
            <w:noProof/>
          </w:rPr>
          <w:t>A.3. Use of Technology</w:t>
        </w:r>
        <w:r>
          <w:rPr>
            <w:noProof/>
            <w:webHidden/>
          </w:rPr>
          <w:tab/>
        </w:r>
        <w:r>
          <w:rPr>
            <w:noProof/>
            <w:webHidden/>
          </w:rPr>
          <w:fldChar w:fldCharType="begin"/>
        </w:r>
        <w:r>
          <w:rPr>
            <w:noProof/>
            <w:webHidden/>
          </w:rPr>
          <w:instrText xml:space="preserve"> PAGEREF _Toc330888155 \h </w:instrText>
        </w:r>
        <w:r>
          <w:rPr>
            <w:noProof/>
            <w:webHidden/>
          </w:rPr>
        </w:r>
        <w:r>
          <w:rPr>
            <w:noProof/>
            <w:webHidden/>
          </w:rPr>
          <w:fldChar w:fldCharType="separate"/>
        </w:r>
        <w:r>
          <w:rPr>
            <w:noProof/>
            <w:webHidden/>
          </w:rPr>
          <w:t>12</w:t>
        </w:r>
        <w:r>
          <w:rPr>
            <w:noProof/>
            <w:webHidden/>
          </w:rPr>
          <w:fldChar w:fldCharType="end"/>
        </w:r>
      </w:hyperlink>
    </w:p>
    <w:p w:rsidR="00D50037" w:rsidRDefault="00D50037">
      <w:pPr>
        <w:pStyle w:val="TOC1"/>
        <w:tabs>
          <w:tab w:val="right" w:leader="dot" w:pos="9350"/>
        </w:tabs>
        <w:rPr>
          <w:rFonts w:eastAsiaTheme="minorEastAsia"/>
          <w:noProof/>
        </w:rPr>
      </w:pPr>
      <w:hyperlink w:anchor="_Toc330888156" w:history="1">
        <w:r w:rsidRPr="00686397">
          <w:rPr>
            <w:rStyle w:val="Hyperlink"/>
            <w:noProof/>
          </w:rPr>
          <w:t>A.3.1. General</w:t>
        </w:r>
        <w:r>
          <w:rPr>
            <w:noProof/>
            <w:webHidden/>
          </w:rPr>
          <w:tab/>
        </w:r>
        <w:r>
          <w:rPr>
            <w:noProof/>
            <w:webHidden/>
          </w:rPr>
          <w:fldChar w:fldCharType="begin"/>
        </w:r>
        <w:r>
          <w:rPr>
            <w:noProof/>
            <w:webHidden/>
          </w:rPr>
          <w:instrText xml:space="preserve"> PAGEREF _Toc330888156 \h </w:instrText>
        </w:r>
        <w:r>
          <w:rPr>
            <w:noProof/>
            <w:webHidden/>
          </w:rPr>
        </w:r>
        <w:r>
          <w:rPr>
            <w:noProof/>
            <w:webHidden/>
          </w:rPr>
          <w:fldChar w:fldCharType="separate"/>
        </w:r>
        <w:r>
          <w:rPr>
            <w:noProof/>
            <w:webHidden/>
          </w:rPr>
          <w:t>12</w:t>
        </w:r>
        <w:r>
          <w:rPr>
            <w:noProof/>
            <w:webHidden/>
          </w:rPr>
          <w:fldChar w:fldCharType="end"/>
        </w:r>
      </w:hyperlink>
    </w:p>
    <w:p w:rsidR="00D50037" w:rsidRDefault="00D50037">
      <w:pPr>
        <w:pStyle w:val="TOC1"/>
        <w:tabs>
          <w:tab w:val="right" w:leader="dot" w:pos="9350"/>
        </w:tabs>
        <w:rPr>
          <w:rFonts w:eastAsiaTheme="minorEastAsia"/>
          <w:noProof/>
        </w:rPr>
      </w:pPr>
      <w:hyperlink w:anchor="_Toc330888157" w:history="1">
        <w:r w:rsidRPr="00686397">
          <w:rPr>
            <w:rStyle w:val="Hyperlink"/>
            <w:noProof/>
          </w:rPr>
          <w:t>A.3.2. Use of Pick-Lists (Including Dynamic Lists)</w:t>
        </w:r>
        <w:r>
          <w:rPr>
            <w:noProof/>
            <w:webHidden/>
          </w:rPr>
          <w:tab/>
        </w:r>
        <w:r>
          <w:rPr>
            <w:noProof/>
            <w:webHidden/>
          </w:rPr>
          <w:fldChar w:fldCharType="begin"/>
        </w:r>
        <w:r>
          <w:rPr>
            <w:noProof/>
            <w:webHidden/>
          </w:rPr>
          <w:instrText xml:space="preserve"> PAGEREF _Toc330888157 \h </w:instrText>
        </w:r>
        <w:r>
          <w:rPr>
            <w:noProof/>
            <w:webHidden/>
          </w:rPr>
        </w:r>
        <w:r>
          <w:rPr>
            <w:noProof/>
            <w:webHidden/>
          </w:rPr>
          <w:fldChar w:fldCharType="separate"/>
        </w:r>
        <w:r>
          <w:rPr>
            <w:noProof/>
            <w:webHidden/>
          </w:rPr>
          <w:t>13</w:t>
        </w:r>
        <w:r>
          <w:rPr>
            <w:noProof/>
            <w:webHidden/>
          </w:rPr>
          <w:fldChar w:fldCharType="end"/>
        </w:r>
      </w:hyperlink>
    </w:p>
    <w:p w:rsidR="00D50037" w:rsidRDefault="00D50037">
      <w:pPr>
        <w:pStyle w:val="TOC1"/>
        <w:tabs>
          <w:tab w:val="right" w:leader="dot" w:pos="9350"/>
        </w:tabs>
        <w:rPr>
          <w:rFonts w:eastAsiaTheme="minorEastAsia"/>
          <w:noProof/>
        </w:rPr>
      </w:pPr>
      <w:hyperlink w:anchor="_Toc330888158" w:history="1">
        <w:r w:rsidRPr="00686397">
          <w:rPr>
            <w:rStyle w:val="Hyperlink"/>
            <w:noProof/>
          </w:rPr>
          <w:t>A.4. Efforts to Reduce Duplication</w:t>
        </w:r>
        <w:r>
          <w:rPr>
            <w:noProof/>
            <w:webHidden/>
          </w:rPr>
          <w:tab/>
        </w:r>
        <w:r>
          <w:rPr>
            <w:noProof/>
            <w:webHidden/>
          </w:rPr>
          <w:fldChar w:fldCharType="begin"/>
        </w:r>
        <w:r>
          <w:rPr>
            <w:noProof/>
            <w:webHidden/>
          </w:rPr>
          <w:instrText xml:space="preserve"> PAGEREF _Toc330888158 \h </w:instrText>
        </w:r>
        <w:r>
          <w:rPr>
            <w:noProof/>
            <w:webHidden/>
          </w:rPr>
        </w:r>
        <w:r>
          <w:rPr>
            <w:noProof/>
            <w:webHidden/>
          </w:rPr>
          <w:fldChar w:fldCharType="separate"/>
        </w:r>
        <w:r>
          <w:rPr>
            <w:noProof/>
            <w:webHidden/>
          </w:rPr>
          <w:t>15</w:t>
        </w:r>
        <w:r>
          <w:rPr>
            <w:noProof/>
            <w:webHidden/>
          </w:rPr>
          <w:fldChar w:fldCharType="end"/>
        </w:r>
      </w:hyperlink>
    </w:p>
    <w:p w:rsidR="00D50037" w:rsidRDefault="00D50037">
      <w:pPr>
        <w:pStyle w:val="TOC1"/>
        <w:tabs>
          <w:tab w:val="right" w:leader="dot" w:pos="9350"/>
        </w:tabs>
        <w:rPr>
          <w:rFonts w:eastAsiaTheme="minorEastAsia"/>
          <w:noProof/>
        </w:rPr>
      </w:pPr>
      <w:hyperlink w:anchor="_Toc330888159" w:history="1">
        <w:r w:rsidRPr="00686397">
          <w:rPr>
            <w:rStyle w:val="Hyperlink"/>
            <w:noProof/>
          </w:rPr>
          <w:t>A.4.1. Analysis of Similar Existing Information</w:t>
        </w:r>
        <w:r>
          <w:rPr>
            <w:noProof/>
            <w:webHidden/>
          </w:rPr>
          <w:tab/>
        </w:r>
        <w:r>
          <w:rPr>
            <w:noProof/>
            <w:webHidden/>
          </w:rPr>
          <w:fldChar w:fldCharType="begin"/>
        </w:r>
        <w:r>
          <w:rPr>
            <w:noProof/>
            <w:webHidden/>
          </w:rPr>
          <w:instrText xml:space="preserve"> PAGEREF _Toc330888159 \h </w:instrText>
        </w:r>
        <w:r>
          <w:rPr>
            <w:noProof/>
            <w:webHidden/>
          </w:rPr>
        </w:r>
        <w:r>
          <w:rPr>
            <w:noProof/>
            <w:webHidden/>
          </w:rPr>
          <w:fldChar w:fldCharType="separate"/>
        </w:r>
        <w:r>
          <w:rPr>
            <w:noProof/>
            <w:webHidden/>
          </w:rPr>
          <w:t>15</w:t>
        </w:r>
        <w:r>
          <w:rPr>
            <w:noProof/>
            <w:webHidden/>
          </w:rPr>
          <w:fldChar w:fldCharType="end"/>
        </w:r>
      </w:hyperlink>
    </w:p>
    <w:p w:rsidR="00D50037" w:rsidRDefault="00D50037">
      <w:pPr>
        <w:pStyle w:val="TOC1"/>
        <w:tabs>
          <w:tab w:val="right" w:leader="dot" w:pos="9350"/>
        </w:tabs>
        <w:rPr>
          <w:rFonts w:eastAsiaTheme="minorEastAsia"/>
          <w:noProof/>
        </w:rPr>
      </w:pPr>
      <w:hyperlink w:anchor="_Toc330888160" w:history="1">
        <w:r w:rsidRPr="00686397">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_Toc330888160 \h </w:instrText>
        </w:r>
        <w:r>
          <w:rPr>
            <w:noProof/>
            <w:webHidden/>
          </w:rPr>
        </w:r>
        <w:r>
          <w:rPr>
            <w:noProof/>
            <w:webHidden/>
          </w:rPr>
          <w:fldChar w:fldCharType="separate"/>
        </w:r>
        <w:r>
          <w:rPr>
            <w:noProof/>
            <w:webHidden/>
          </w:rPr>
          <w:t>16</w:t>
        </w:r>
        <w:r>
          <w:rPr>
            <w:noProof/>
            <w:webHidden/>
          </w:rPr>
          <w:fldChar w:fldCharType="end"/>
        </w:r>
      </w:hyperlink>
    </w:p>
    <w:p w:rsidR="00D50037" w:rsidRDefault="00D50037">
      <w:pPr>
        <w:pStyle w:val="TOC1"/>
        <w:tabs>
          <w:tab w:val="right" w:leader="dot" w:pos="9350"/>
        </w:tabs>
        <w:rPr>
          <w:rFonts w:eastAsiaTheme="minorEastAsia"/>
          <w:noProof/>
        </w:rPr>
      </w:pPr>
      <w:hyperlink w:anchor="_Toc330888161" w:history="1">
        <w:r w:rsidRPr="00686397">
          <w:rPr>
            <w:rStyle w:val="Hyperlink"/>
            <w:noProof/>
          </w:rPr>
          <w:t>A.6. Consequences of Less-Frequent Reporting</w:t>
        </w:r>
        <w:r>
          <w:rPr>
            <w:noProof/>
            <w:webHidden/>
          </w:rPr>
          <w:tab/>
        </w:r>
        <w:r>
          <w:rPr>
            <w:noProof/>
            <w:webHidden/>
          </w:rPr>
          <w:fldChar w:fldCharType="begin"/>
        </w:r>
        <w:r>
          <w:rPr>
            <w:noProof/>
            <w:webHidden/>
          </w:rPr>
          <w:instrText xml:space="preserve"> PAGEREF _Toc330888161 \h </w:instrText>
        </w:r>
        <w:r>
          <w:rPr>
            <w:noProof/>
            <w:webHidden/>
          </w:rPr>
        </w:r>
        <w:r>
          <w:rPr>
            <w:noProof/>
            <w:webHidden/>
          </w:rPr>
          <w:fldChar w:fldCharType="separate"/>
        </w:r>
        <w:r>
          <w:rPr>
            <w:noProof/>
            <w:webHidden/>
          </w:rPr>
          <w:t>17</w:t>
        </w:r>
        <w:r>
          <w:rPr>
            <w:noProof/>
            <w:webHidden/>
          </w:rPr>
          <w:fldChar w:fldCharType="end"/>
        </w:r>
      </w:hyperlink>
    </w:p>
    <w:p w:rsidR="00D50037" w:rsidRDefault="00D50037">
      <w:pPr>
        <w:pStyle w:val="TOC1"/>
        <w:tabs>
          <w:tab w:val="right" w:leader="dot" w:pos="9350"/>
        </w:tabs>
        <w:rPr>
          <w:rFonts w:eastAsiaTheme="minorEastAsia"/>
          <w:noProof/>
        </w:rPr>
      </w:pPr>
      <w:hyperlink w:anchor="_Toc330888162" w:history="1">
        <w:r w:rsidRPr="00686397">
          <w:rPr>
            <w:rStyle w:val="Hyperlink"/>
            <w:noProof/>
          </w:rPr>
          <w:t>A.7. Compliance with 5 CFR 1320.5</w:t>
        </w:r>
        <w:r>
          <w:rPr>
            <w:noProof/>
            <w:webHidden/>
          </w:rPr>
          <w:tab/>
        </w:r>
        <w:r>
          <w:rPr>
            <w:noProof/>
            <w:webHidden/>
          </w:rPr>
          <w:fldChar w:fldCharType="begin"/>
        </w:r>
        <w:r>
          <w:rPr>
            <w:noProof/>
            <w:webHidden/>
          </w:rPr>
          <w:instrText xml:space="preserve"> PAGEREF _Toc330888162 \h </w:instrText>
        </w:r>
        <w:r>
          <w:rPr>
            <w:noProof/>
            <w:webHidden/>
          </w:rPr>
        </w:r>
        <w:r>
          <w:rPr>
            <w:noProof/>
            <w:webHidden/>
          </w:rPr>
          <w:fldChar w:fldCharType="separate"/>
        </w:r>
        <w:r>
          <w:rPr>
            <w:noProof/>
            <w:webHidden/>
          </w:rPr>
          <w:t>18</w:t>
        </w:r>
        <w:r>
          <w:rPr>
            <w:noProof/>
            <w:webHidden/>
          </w:rPr>
          <w:fldChar w:fldCharType="end"/>
        </w:r>
      </w:hyperlink>
    </w:p>
    <w:p w:rsidR="00D50037" w:rsidRDefault="00D50037">
      <w:pPr>
        <w:pStyle w:val="TOC1"/>
        <w:tabs>
          <w:tab w:val="right" w:leader="dot" w:pos="9350"/>
        </w:tabs>
        <w:rPr>
          <w:rFonts w:eastAsiaTheme="minorEastAsia"/>
          <w:noProof/>
        </w:rPr>
      </w:pPr>
      <w:hyperlink w:anchor="_Toc330888163" w:history="1">
        <w:r w:rsidRPr="00686397">
          <w:rPr>
            <w:rStyle w:val="Hyperlink"/>
            <w:noProof/>
          </w:rPr>
          <w:t>A.8. Summary of Consultations outside the Agency</w:t>
        </w:r>
        <w:r>
          <w:rPr>
            <w:noProof/>
            <w:webHidden/>
          </w:rPr>
          <w:tab/>
        </w:r>
        <w:r>
          <w:rPr>
            <w:noProof/>
            <w:webHidden/>
          </w:rPr>
          <w:fldChar w:fldCharType="begin"/>
        </w:r>
        <w:r>
          <w:rPr>
            <w:noProof/>
            <w:webHidden/>
          </w:rPr>
          <w:instrText xml:space="preserve"> PAGEREF _Toc330888163 \h </w:instrText>
        </w:r>
        <w:r>
          <w:rPr>
            <w:noProof/>
            <w:webHidden/>
          </w:rPr>
        </w:r>
        <w:r>
          <w:rPr>
            <w:noProof/>
            <w:webHidden/>
          </w:rPr>
          <w:fldChar w:fldCharType="separate"/>
        </w:r>
        <w:r>
          <w:rPr>
            <w:noProof/>
            <w:webHidden/>
          </w:rPr>
          <w:t>19</w:t>
        </w:r>
        <w:r>
          <w:rPr>
            <w:noProof/>
            <w:webHidden/>
          </w:rPr>
          <w:fldChar w:fldCharType="end"/>
        </w:r>
      </w:hyperlink>
    </w:p>
    <w:p w:rsidR="00D50037" w:rsidRDefault="00D50037">
      <w:pPr>
        <w:pStyle w:val="TOC1"/>
        <w:tabs>
          <w:tab w:val="right" w:leader="dot" w:pos="9350"/>
        </w:tabs>
        <w:rPr>
          <w:rFonts w:eastAsiaTheme="minorEastAsia"/>
          <w:noProof/>
        </w:rPr>
      </w:pPr>
      <w:hyperlink w:anchor="_Toc330888164" w:history="1">
        <w:r w:rsidRPr="00686397">
          <w:rPr>
            <w:rStyle w:val="Hyperlink"/>
            <w:noProof/>
          </w:rPr>
          <w:t>A.9. Payments or Gifts to Respondents</w:t>
        </w:r>
        <w:r>
          <w:rPr>
            <w:noProof/>
            <w:webHidden/>
          </w:rPr>
          <w:tab/>
        </w:r>
        <w:r>
          <w:rPr>
            <w:noProof/>
            <w:webHidden/>
          </w:rPr>
          <w:fldChar w:fldCharType="begin"/>
        </w:r>
        <w:r>
          <w:rPr>
            <w:noProof/>
            <w:webHidden/>
          </w:rPr>
          <w:instrText xml:space="preserve"> PAGEREF _Toc330888164 \h </w:instrText>
        </w:r>
        <w:r>
          <w:rPr>
            <w:noProof/>
            <w:webHidden/>
          </w:rPr>
        </w:r>
        <w:r>
          <w:rPr>
            <w:noProof/>
            <w:webHidden/>
          </w:rPr>
          <w:fldChar w:fldCharType="separate"/>
        </w:r>
        <w:r>
          <w:rPr>
            <w:noProof/>
            <w:webHidden/>
          </w:rPr>
          <w:t>20</w:t>
        </w:r>
        <w:r>
          <w:rPr>
            <w:noProof/>
            <w:webHidden/>
          </w:rPr>
          <w:fldChar w:fldCharType="end"/>
        </w:r>
      </w:hyperlink>
    </w:p>
    <w:p w:rsidR="00D50037" w:rsidRDefault="00D50037">
      <w:pPr>
        <w:pStyle w:val="TOC1"/>
        <w:tabs>
          <w:tab w:val="right" w:leader="dot" w:pos="9350"/>
        </w:tabs>
        <w:rPr>
          <w:rFonts w:eastAsiaTheme="minorEastAsia"/>
          <w:noProof/>
        </w:rPr>
      </w:pPr>
      <w:hyperlink w:anchor="_Toc330888165" w:history="1">
        <w:r w:rsidRPr="00686397">
          <w:rPr>
            <w:rStyle w:val="Hyperlink"/>
            <w:noProof/>
          </w:rPr>
          <w:t>A.10. Provisions for Confidentiality of Information</w:t>
        </w:r>
        <w:r>
          <w:rPr>
            <w:noProof/>
            <w:webHidden/>
          </w:rPr>
          <w:tab/>
        </w:r>
        <w:r>
          <w:rPr>
            <w:noProof/>
            <w:webHidden/>
          </w:rPr>
          <w:fldChar w:fldCharType="begin"/>
        </w:r>
        <w:r>
          <w:rPr>
            <w:noProof/>
            <w:webHidden/>
          </w:rPr>
          <w:instrText xml:space="preserve"> PAGEREF _Toc330888165 \h </w:instrText>
        </w:r>
        <w:r>
          <w:rPr>
            <w:noProof/>
            <w:webHidden/>
          </w:rPr>
        </w:r>
        <w:r>
          <w:rPr>
            <w:noProof/>
            <w:webHidden/>
          </w:rPr>
          <w:fldChar w:fldCharType="separate"/>
        </w:r>
        <w:r>
          <w:rPr>
            <w:noProof/>
            <w:webHidden/>
          </w:rPr>
          <w:t>21</w:t>
        </w:r>
        <w:r>
          <w:rPr>
            <w:noProof/>
            <w:webHidden/>
          </w:rPr>
          <w:fldChar w:fldCharType="end"/>
        </w:r>
      </w:hyperlink>
    </w:p>
    <w:p w:rsidR="00D50037" w:rsidRDefault="00D50037">
      <w:pPr>
        <w:pStyle w:val="TOC1"/>
        <w:tabs>
          <w:tab w:val="right" w:leader="dot" w:pos="9350"/>
        </w:tabs>
        <w:rPr>
          <w:rFonts w:eastAsiaTheme="minorEastAsia"/>
          <w:noProof/>
        </w:rPr>
      </w:pPr>
      <w:hyperlink w:anchor="_Toc330888166" w:history="1">
        <w:r w:rsidRPr="00686397">
          <w:rPr>
            <w:rStyle w:val="Hyperlink"/>
            <w:noProof/>
          </w:rPr>
          <w:t>A.11. Justification for Sensitive Questions</w:t>
        </w:r>
        <w:r>
          <w:rPr>
            <w:noProof/>
            <w:webHidden/>
          </w:rPr>
          <w:tab/>
        </w:r>
        <w:r>
          <w:rPr>
            <w:noProof/>
            <w:webHidden/>
          </w:rPr>
          <w:fldChar w:fldCharType="begin"/>
        </w:r>
        <w:r>
          <w:rPr>
            <w:noProof/>
            <w:webHidden/>
          </w:rPr>
          <w:instrText xml:space="preserve"> PAGEREF _Toc330888166 \h </w:instrText>
        </w:r>
        <w:r>
          <w:rPr>
            <w:noProof/>
            <w:webHidden/>
          </w:rPr>
        </w:r>
        <w:r>
          <w:rPr>
            <w:noProof/>
            <w:webHidden/>
          </w:rPr>
          <w:fldChar w:fldCharType="separate"/>
        </w:r>
        <w:r>
          <w:rPr>
            <w:noProof/>
            <w:webHidden/>
          </w:rPr>
          <w:t>24</w:t>
        </w:r>
        <w:r>
          <w:rPr>
            <w:noProof/>
            <w:webHidden/>
          </w:rPr>
          <w:fldChar w:fldCharType="end"/>
        </w:r>
      </w:hyperlink>
    </w:p>
    <w:p w:rsidR="00D50037" w:rsidRDefault="00D50037">
      <w:pPr>
        <w:pStyle w:val="TOC1"/>
        <w:tabs>
          <w:tab w:val="right" w:leader="dot" w:pos="9350"/>
        </w:tabs>
        <w:rPr>
          <w:rFonts w:eastAsiaTheme="minorEastAsia"/>
          <w:noProof/>
        </w:rPr>
      </w:pPr>
      <w:hyperlink w:anchor="_Toc330888167" w:history="1">
        <w:r w:rsidRPr="00686397">
          <w:rPr>
            <w:rStyle w:val="Hyperlink"/>
            <w:noProof/>
          </w:rPr>
          <w:t>A.12. Estimate of Respondent Burden Hours and Cost</w:t>
        </w:r>
        <w:r>
          <w:rPr>
            <w:noProof/>
            <w:webHidden/>
          </w:rPr>
          <w:tab/>
        </w:r>
        <w:r>
          <w:rPr>
            <w:noProof/>
            <w:webHidden/>
          </w:rPr>
          <w:fldChar w:fldCharType="begin"/>
        </w:r>
        <w:r>
          <w:rPr>
            <w:noProof/>
            <w:webHidden/>
          </w:rPr>
          <w:instrText xml:space="preserve"> PAGEREF _Toc330888167 \h </w:instrText>
        </w:r>
        <w:r>
          <w:rPr>
            <w:noProof/>
            <w:webHidden/>
          </w:rPr>
        </w:r>
        <w:r>
          <w:rPr>
            <w:noProof/>
            <w:webHidden/>
          </w:rPr>
          <w:fldChar w:fldCharType="separate"/>
        </w:r>
        <w:r>
          <w:rPr>
            <w:noProof/>
            <w:webHidden/>
          </w:rPr>
          <w:t>25</w:t>
        </w:r>
        <w:r>
          <w:rPr>
            <w:noProof/>
            <w:webHidden/>
          </w:rPr>
          <w:fldChar w:fldCharType="end"/>
        </w:r>
      </w:hyperlink>
    </w:p>
    <w:p w:rsidR="00D50037" w:rsidRDefault="00D50037">
      <w:pPr>
        <w:pStyle w:val="TOC1"/>
        <w:tabs>
          <w:tab w:val="right" w:leader="dot" w:pos="9350"/>
        </w:tabs>
        <w:rPr>
          <w:rFonts w:eastAsiaTheme="minorEastAsia"/>
          <w:noProof/>
        </w:rPr>
      </w:pPr>
      <w:hyperlink w:anchor="_Toc330888168" w:history="1">
        <w:r w:rsidRPr="00686397">
          <w:rPr>
            <w:rStyle w:val="Hyperlink"/>
            <w:noProof/>
          </w:rPr>
          <w:t>A.13. Annual Reporting and Record Keeping Cost</w:t>
        </w:r>
        <w:r>
          <w:rPr>
            <w:noProof/>
            <w:webHidden/>
          </w:rPr>
          <w:tab/>
        </w:r>
        <w:r>
          <w:rPr>
            <w:noProof/>
            <w:webHidden/>
          </w:rPr>
          <w:fldChar w:fldCharType="begin"/>
        </w:r>
        <w:r>
          <w:rPr>
            <w:noProof/>
            <w:webHidden/>
          </w:rPr>
          <w:instrText xml:space="preserve"> PAGEREF _Toc330888168 \h </w:instrText>
        </w:r>
        <w:r>
          <w:rPr>
            <w:noProof/>
            <w:webHidden/>
          </w:rPr>
        </w:r>
        <w:r>
          <w:rPr>
            <w:noProof/>
            <w:webHidden/>
          </w:rPr>
          <w:fldChar w:fldCharType="separate"/>
        </w:r>
        <w:r>
          <w:rPr>
            <w:noProof/>
            <w:webHidden/>
          </w:rPr>
          <w:t>27</w:t>
        </w:r>
        <w:r>
          <w:rPr>
            <w:noProof/>
            <w:webHidden/>
          </w:rPr>
          <w:fldChar w:fldCharType="end"/>
        </w:r>
      </w:hyperlink>
    </w:p>
    <w:p w:rsidR="00D50037" w:rsidRDefault="00D50037">
      <w:pPr>
        <w:pStyle w:val="TOC1"/>
        <w:tabs>
          <w:tab w:val="right" w:leader="dot" w:pos="9350"/>
        </w:tabs>
        <w:rPr>
          <w:rFonts w:eastAsiaTheme="minorEastAsia"/>
          <w:noProof/>
        </w:rPr>
      </w:pPr>
      <w:hyperlink w:anchor="_Toc330888169" w:history="1">
        <w:r w:rsidRPr="00686397">
          <w:rPr>
            <w:rStyle w:val="Hyperlink"/>
            <w:noProof/>
          </w:rPr>
          <w:t>A.14. Annual Cost to the Federal Government</w:t>
        </w:r>
        <w:r>
          <w:rPr>
            <w:noProof/>
            <w:webHidden/>
          </w:rPr>
          <w:tab/>
        </w:r>
        <w:r>
          <w:rPr>
            <w:noProof/>
            <w:webHidden/>
          </w:rPr>
          <w:fldChar w:fldCharType="begin"/>
        </w:r>
        <w:r>
          <w:rPr>
            <w:noProof/>
            <w:webHidden/>
          </w:rPr>
          <w:instrText xml:space="preserve"> PAGEREF _Toc330888169 \h </w:instrText>
        </w:r>
        <w:r>
          <w:rPr>
            <w:noProof/>
            <w:webHidden/>
          </w:rPr>
        </w:r>
        <w:r>
          <w:rPr>
            <w:noProof/>
            <w:webHidden/>
          </w:rPr>
          <w:fldChar w:fldCharType="separate"/>
        </w:r>
        <w:r>
          <w:rPr>
            <w:noProof/>
            <w:webHidden/>
          </w:rPr>
          <w:t>28</w:t>
        </w:r>
        <w:r>
          <w:rPr>
            <w:noProof/>
            <w:webHidden/>
          </w:rPr>
          <w:fldChar w:fldCharType="end"/>
        </w:r>
      </w:hyperlink>
    </w:p>
    <w:p w:rsidR="00D50037" w:rsidRDefault="00D50037">
      <w:pPr>
        <w:pStyle w:val="TOC1"/>
        <w:tabs>
          <w:tab w:val="right" w:leader="dot" w:pos="9350"/>
        </w:tabs>
        <w:rPr>
          <w:rFonts w:eastAsiaTheme="minorEastAsia"/>
          <w:noProof/>
        </w:rPr>
      </w:pPr>
      <w:hyperlink w:anchor="_Toc330888170" w:history="1">
        <w:r w:rsidRPr="00686397">
          <w:rPr>
            <w:rStyle w:val="Hyperlink"/>
            <w:noProof/>
          </w:rPr>
          <w:t>A.15. Changes in Burden</w:t>
        </w:r>
        <w:r>
          <w:rPr>
            <w:noProof/>
            <w:webHidden/>
          </w:rPr>
          <w:tab/>
        </w:r>
        <w:r>
          <w:rPr>
            <w:noProof/>
            <w:webHidden/>
          </w:rPr>
          <w:fldChar w:fldCharType="begin"/>
        </w:r>
        <w:r>
          <w:rPr>
            <w:noProof/>
            <w:webHidden/>
          </w:rPr>
          <w:instrText xml:space="preserve"> PAGEREF _Toc330888170 \h </w:instrText>
        </w:r>
        <w:r>
          <w:rPr>
            <w:noProof/>
            <w:webHidden/>
          </w:rPr>
        </w:r>
        <w:r>
          <w:rPr>
            <w:noProof/>
            <w:webHidden/>
          </w:rPr>
          <w:fldChar w:fldCharType="separate"/>
        </w:r>
        <w:r>
          <w:rPr>
            <w:noProof/>
            <w:webHidden/>
          </w:rPr>
          <w:t>29</w:t>
        </w:r>
        <w:r>
          <w:rPr>
            <w:noProof/>
            <w:webHidden/>
          </w:rPr>
          <w:fldChar w:fldCharType="end"/>
        </w:r>
      </w:hyperlink>
    </w:p>
    <w:p w:rsidR="00D50037" w:rsidRDefault="00D50037">
      <w:pPr>
        <w:pStyle w:val="TOC1"/>
        <w:tabs>
          <w:tab w:val="right" w:leader="dot" w:pos="9350"/>
        </w:tabs>
        <w:rPr>
          <w:rFonts w:eastAsiaTheme="minorEastAsia"/>
          <w:noProof/>
        </w:rPr>
      </w:pPr>
      <w:hyperlink w:anchor="_Toc330888171" w:history="1">
        <w:r w:rsidRPr="00686397">
          <w:rPr>
            <w:rStyle w:val="Hyperlink"/>
            <w:noProof/>
          </w:rPr>
          <w:t>A.16. Collection, Tabulation, and Publication Plans</w:t>
        </w:r>
        <w:r>
          <w:rPr>
            <w:noProof/>
            <w:webHidden/>
          </w:rPr>
          <w:tab/>
        </w:r>
        <w:r>
          <w:rPr>
            <w:noProof/>
            <w:webHidden/>
          </w:rPr>
          <w:fldChar w:fldCharType="begin"/>
        </w:r>
        <w:r>
          <w:rPr>
            <w:noProof/>
            <w:webHidden/>
          </w:rPr>
          <w:instrText xml:space="preserve"> PAGEREF _Toc330888171 \h </w:instrText>
        </w:r>
        <w:r>
          <w:rPr>
            <w:noProof/>
            <w:webHidden/>
          </w:rPr>
        </w:r>
        <w:r>
          <w:rPr>
            <w:noProof/>
            <w:webHidden/>
          </w:rPr>
          <w:fldChar w:fldCharType="separate"/>
        </w:r>
        <w:r>
          <w:rPr>
            <w:noProof/>
            <w:webHidden/>
          </w:rPr>
          <w:t>30</w:t>
        </w:r>
        <w:r>
          <w:rPr>
            <w:noProof/>
            <w:webHidden/>
          </w:rPr>
          <w:fldChar w:fldCharType="end"/>
        </w:r>
      </w:hyperlink>
    </w:p>
    <w:p w:rsidR="00D50037" w:rsidRDefault="00D50037">
      <w:pPr>
        <w:pStyle w:val="TOC1"/>
        <w:tabs>
          <w:tab w:val="right" w:leader="dot" w:pos="9350"/>
        </w:tabs>
        <w:rPr>
          <w:rFonts w:eastAsiaTheme="minorEastAsia"/>
          <w:noProof/>
        </w:rPr>
      </w:pPr>
      <w:hyperlink w:anchor="_Toc330888172" w:history="1">
        <w:r w:rsidRPr="00686397">
          <w:rPr>
            <w:rStyle w:val="Hyperlink"/>
            <w:noProof/>
          </w:rPr>
          <w:t>A.17. OMB Number and Expiration Date</w:t>
        </w:r>
        <w:r>
          <w:rPr>
            <w:noProof/>
            <w:webHidden/>
          </w:rPr>
          <w:tab/>
        </w:r>
        <w:r>
          <w:rPr>
            <w:noProof/>
            <w:webHidden/>
          </w:rPr>
          <w:fldChar w:fldCharType="begin"/>
        </w:r>
        <w:r>
          <w:rPr>
            <w:noProof/>
            <w:webHidden/>
          </w:rPr>
          <w:instrText xml:space="preserve"> PAGEREF _Toc330888172 \h </w:instrText>
        </w:r>
        <w:r>
          <w:rPr>
            <w:noProof/>
            <w:webHidden/>
          </w:rPr>
        </w:r>
        <w:r>
          <w:rPr>
            <w:noProof/>
            <w:webHidden/>
          </w:rPr>
          <w:fldChar w:fldCharType="separate"/>
        </w:r>
        <w:r>
          <w:rPr>
            <w:noProof/>
            <w:webHidden/>
          </w:rPr>
          <w:t>31</w:t>
        </w:r>
        <w:r>
          <w:rPr>
            <w:noProof/>
            <w:webHidden/>
          </w:rPr>
          <w:fldChar w:fldCharType="end"/>
        </w:r>
      </w:hyperlink>
    </w:p>
    <w:p w:rsidR="00D50037" w:rsidRDefault="00D50037">
      <w:pPr>
        <w:pStyle w:val="TOC1"/>
        <w:tabs>
          <w:tab w:val="right" w:leader="dot" w:pos="9350"/>
        </w:tabs>
        <w:rPr>
          <w:rFonts w:eastAsiaTheme="minorEastAsia"/>
          <w:noProof/>
        </w:rPr>
      </w:pPr>
      <w:hyperlink w:anchor="_Toc330888173" w:history="1">
        <w:r w:rsidRPr="00686397">
          <w:rPr>
            <w:rStyle w:val="Hyperlink"/>
            <w:noProof/>
          </w:rPr>
          <w:t>A.18. Certification Statement</w:t>
        </w:r>
        <w:r>
          <w:rPr>
            <w:noProof/>
            <w:webHidden/>
          </w:rPr>
          <w:tab/>
        </w:r>
        <w:r>
          <w:rPr>
            <w:noProof/>
            <w:webHidden/>
          </w:rPr>
          <w:fldChar w:fldCharType="begin"/>
        </w:r>
        <w:r>
          <w:rPr>
            <w:noProof/>
            <w:webHidden/>
          </w:rPr>
          <w:instrText xml:space="preserve"> PAGEREF _Toc330888173 \h </w:instrText>
        </w:r>
        <w:r>
          <w:rPr>
            <w:noProof/>
            <w:webHidden/>
          </w:rPr>
        </w:r>
        <w:r>
          <w:rPr>
            <w:noProof/>
            <w:webHidden/>
          </w:rPr>
          <w:fldChar w:fldCharType="separate"/>
        </w:r>
        <w:r>
          <w:rPr>
            <w:noProof/>
            <w:webHidden/>
          </w:rPr>
          <w:t>32</w:t>
        </w:r>
        <w:r>
          <w:rPr>
            <w:noProof/>
            <w:webHidden/>
          </w:rPr>
          <w:fldChar w:fldCharType="end"/>
        </w:r>
      </w:hyperlink>
    </w:p>
    <w:p w:rsidR="00D50037" w:rsidRDefault="00D50037">
      <w:pPr>
        <w:pStyle w:val="TOC1"/>
        <w:tabs>
          <w:tab w:val="right" w:leader="dot" w:pos="9350"/>
        </w:tabs>
        <w:rPr>
          <w:rFonts w:eastAsiaTheme="minorEastAsia"/>
          <w:noProof/>
        </w:rPr>
      </w:pPr>
      <w:hyperlink w:anchor="_Toc330888174" w:history="1">
        <w:r w:rsidRPr="00686397">
          <w:rPr>
            <w:rStyle w:val="Hyperlink"/>
            <w:noProof/>
          </w:rPr>
          <w:t xml:space="preserve">Appendix 1: Summary of Comments Received in Response to the Open </w:t>
        </w:r>
        <w:r w:rsidRPr="00686397">
          <w:rPr>
            <w:rStyle w:val="Hyperlink"/>
            <w:i/>
            <w:noProof/>
          </w:rPr>
          <w:t>Federal Register</w:t>
        </w:r>
        <w:r w:rsidRPr="00686397">
          <w:rPr>
            <w:rStyle w:val="Hyperlink"/>
            <w:noProof/>
          </w:rPr>
          <w:t xml:space="preserve"> Notice (Vol. 77. No. 58) Published March 26, 2012</w:t>
        </w:r>
        <w:r>
          <w:rPr>
            <w:noProof/>
            <w:webHidden/>
          </w:rPr>
          <w:tab/>
        </w:r>
        <w:r>
          <w:rPr>
            <w:noProof/>
            <w:webHidden/>
          </w:rPr>
          <w:fldChar w:fldCharType="begin"/>
        </w:r>
        <w:r>
          <w:rPr>
            <w:noProof/>
            <w:webHidden/>
          </w:rPr>
          <w:instrText xml:space="preserve"> PAGEREF _Toc330888174 \h </w:instrText>
        </w:r>
        <w:r>
          <w:rPr>
            <w:noProof/>
            <w:webHidden/>
          </w:rPr>
        </w:r>
        <w:r>
          <w:rPr>
            <w:noProof/>
            <w:webHidden/>
          </w:rPr>
          <w:fldChar w:fldCharType="separate"/>
        </w:r>
        <w:r>
          <w:rPr>
            <w:noProof/>
            <w:webHidden/>
          </w:rPr>
          <w:t>33</w:t>
        </w:r>
        <w:r>
          <w:rPr>
            <w:noProof/>
            <w:webHidden/>
          </w:rPr>
          <w:fldChar w:fldCharType="end"/>
        </w:r>
      </w:hyperlink>
    </w:p>
    <w:p w:rsidR="00071AAF" w:rsidRDefault="00A509D1">
      <w:r>
        <w:fldChar w:fldCharType="end"/>
      </w:r>
      <w:r w:rsidR="00071AAF">
        <w:br w:type="page"/>
      </w:r>
    </w:p>
    <w:p w:rsidR="00071AAF" w:rsidRDefault="000875AD" w:rsidP="00B12FB3">
      <w:pPr>
        <w:pStyle w:val="Heading5"/>
      </w:pPr>
      <w:bookmarkStart w:id="0" w:name="_Toc330888146"/>
      <w:r w:rsidRPr="00B12FB3">
        <w:lastRenderedPageBreak/>
        <w:t>Background</w:t>
      </w:r>
      <w:r>
        <w:t xml:space="preserve"> and Proposal</w:t>
      </w:r>
      <w:bookmarkEnd w:id="0"/>
    </w:p>
    <w:p w:rsidR="000875AD" w:rsidRDefault="000875AD" w:rsidP="000875AD">
      <w:pPr>
        <w:pStyle w:val="Heading5"/>
        <w:ind w:left="720"/>
      </w:pPr>
      <w:bookmarkStart w:id="1" w:name="_Toc330888147"/>
      <w:r>
        <w:t>Background</w:t>
      </w:r>
      <w:bookmarkEnd w:id="1"/>
    </w:p>
    <w:p w:rsidR="00F74D1A" w:rsidRDefault="00F74D1A" w:rsidP="00F74D1A">
      <w:r>
        <w:t xml:space="preserve">The U.S. Energy Information Administration (EIA) </w:t>
      </w:r>
      <w:r w:rsidRPr="00326575">
        <w:t>is the statistical and analytical agency within the U.S. Department of Energy</w:t>
      </w:r>
      <w:r>
        <w:t xml:space="preserve"> (DOE)</w:t>
      </w:r>
      <w:r w:rsidRPr="00326575">
        <w:t>. It collects, analyzes, and disseminates independent and impartial energy information to promote sound policymaking, efficient markets, and public understanding regarding energy and its interaction with the economy and the environment.</w:t>
      </w:r>
      <w:r>
        <w:t xml:space="preserve">  </w:t>
      </w:r>
    </w:p>
    <w:p w:rsidR="003806C8" w:rsidRDefault="00F74D1A" w:rsidP="003806C8">
      <w:r>
        <w:t xml:space="preserve">The uranium surveys discussed herein constitute EIA’s Uranium Data Program (UDP) and are part of EIA’s comprehensive energy data program.  The surveys are intended to collect </w:t>
      </w:r>
      <w:r w:rsidRPr="009134BC">
        <w:t xml:space="preserve">high-quality statistical data </w:t>
      </w:r>
      <w:r>
        <w:t xml:space="preserve">on domestic uranium supply and demand activities, including production, exploration and development, trade, and purchases and sales </w:t>
      </w:r>
      <w:r w:rsidRPr="009134BC">
        <w:t xml:space="preserve">available to </w:t>
      </w:r>
      <w:r>
        <w:t>the U.S.  The audience for these data includes the Congress, other Executive Branch agencies, the nuclear industry, and the public in general.  The specific surveys are:</w:t>
      </w:r>
    </w:p>
    <w:p w:rsidR="00F74D1A" w:rsidRPr="00F74D1A" w:rsidRDefault="00F74D1A" w:rsidP="00F74D1A">
      <w:pPr>
        <w:pStyle w:val="ListParagraph"/>
        <w:numPr>
          <w:ilvl w:val="0"/>
          <w:numId w:val="16"/>
        </w:numPr>
      </w:pPr>
      <w:r w:rsidRPr="009134BC">
        <w:t xml:space="preserve">Form EIA-851A “Domestic Uranium Production Report </w:t>
      </w:r>
      <w:r w:rsidR="00C92F06">
        <w:t>(Annual)</w:t>
      </w:r>
      <w:r w:rsidRPr="009134BC">
        <w:t xml:space="preserve">” </w:t>
      </w:r>
      <w:r w:rsidRPr="00061345">
        <w:rPr>
          <w:rFonts w:ascii="Calibri" w:eastAsia="Calibri" w:hAnsi="Calibri" w:cs="Times New Roman"/>
        </w:rPr>
        <w:t>collects annual data from the U.S. uranium industry on uranium milling and processing, uranium feed sources, uranium mining, employment, drilling, expenditures, and uranium reserves.</w:t>
      </w:r>
    </w:p>
    <w:p w:rsidR="00F74D1A" w:rsidRPr="00F74D1A" w:rsidRDefault="00F74D1A" w:rsidP="00F74D1A">
      <w:pPr>
        <w:pStyle w:val="ListParagraph"/>
        <w:numPr>
          <w:ilvl w:val="0"/>
          <w:numId w:val="16"/>
        </w:numPr>
      </w:pPr>
      <w:r w:rsidRPr="009134BC">
        <w:t xml:space="preserve">Form EIA-851Q “Domestic Uranium Production </w:t>
      </w:r>
      <w:r w:rsidR="001A782D" w:rsidRPr="009134BC">
        <w:t xml:space="preserve">Report </w:t>
      </w:r>
      <w:r w:rsidR="001A782D">
        <w:t>(</w:t>
      </w:r>
      <w:r w:rsidRPr="009134BC">
        <w:t>Quarterly</w:t>
      </w:r>
      <w:r w:rsidR="00C92F06">
        <w:t>)</w:t>
      </w:r>
      <w:r w:rsidRPr="009134BC">
        <w:t xml:space="preserve">” </w:t>
      </w:r>
      <w:r w:rsidRPr="00061345">
        <w:rPr>
          <w:rFonts w:ascii="Calibri" w:eastAsia="Calibri" w:hAnsi="Calibri" w:cs="Times New Roman"/>
        </w:rPr>
        <w:t>collects monthly data from the U.S. uranium industry on uranium production and sources (mines and other) on a quarterly basis.</w:t>
      </w:r>
    </w:p>
    <w:p w:rsidR="00F74D1A" w:rsidRPr="009134BC" w:rsidRDefault="00F74D1A" w:rsidP="00F74D1A">
      <w:pPr>
        <w:pStyle w:val="ListParagraph"/>
        <w:numPr>
          <w:ilvl w:val="0"/>
          <w:numId w:val="16"/>
        </w:numPr>
      </w:pPr>
      <w:r w:rsidRPr="009134BC">
        <w:t xml:space="preserve">Form EIA-858 “Uranium Marketing Annual Survey” </w:t>
      </w:r>
      <w:r w:rsidRPr="00061345">
        <w:rPr>
          <w:rFonts w:ascii="Calibri" w:eastAsia="Calibri" w:hAnsi="Calibri" w:cs="Times New Roman"/>
        </w:rPr>
        <w:t>collects annual data from the U.S. uranium market on uranium contracts</w:t>
      </w:r>
      <w:r w:rsidR="009C5DCC">
        <w:rPr>
          <w:rFonts w:ascii="Calibri" w:eastAsia="Calibri" w:hAnsi="Calibri" w:cs="Times New Roman"/>
        </w:rPr>
        <w:t xml:space="preserve"> and</w:t>
      </w:r>
      <w:r w:rsidRPr="00061345">
        <w:rPr>
          <w:rFonts w:ascii="Calibri" w:eastAsia="Calibri" w:hAnsi="Calibri" w:cs="Times New Roman"/>
        </w:rPr>
        <w:t xml:space="preserve"> deliveries, inventories, enrichment services purchased, uranium in fuel assemblies, feed deliveries to enrichers, and unfilled market requirements. </w:t>
      </w:r>
      <w:r w:rsidR="000F1208">
        <w:rPr>
          <w:rFonts w:ascii="Calibri" w:eastAsia="Calibri" w:hAnsi="Calibri" w:cs="Times New Roman"/>
        </w:rPr>
        <w:t xml:space="preserve"> </w:t>
      </w:r>
      <w:r w:rsidRPr="00061345">
        <w:rPr>
          <w:rFonts w:ascii="Calibri" w:eastAsia="Calibri" w:hAnsi="Calibri" w:cs="Times New Roman"/>
        </w:rPr>
        <w:t>Uranium deliveries, feed deliveries to enrichers, and unfilled market requirements are reported both for the current reporting year and for the following ten years.</w:t>
      </w:r>
    </w:p>
    <w:p w:rsidR="003806C8" w:rsidRPr="009134BC" w:rsidRDefault="006925DE" w:rsidP="003806C8">
      <w:r w:rsidRPr="009134BC">
        <w:t>The information collection proposed in this supporting statement has been reviewed in light of applicable EIA information quality guidelines.  It has been determined that the information would be collected, maintained, and used in a manner consistent with the Office of Management and Budget (OMB), DOE, and EIA information quality guidelines</w:t>
      </w:r>
      <w:r w:rsidR="003806C8" w:rsidRPr="009134BC">
        <w:t>.</w:t>
      </w:r>
    </w:p>
    <w:p w:rsidR="000875AD" w:rsidRDefault="003806C8" w:rsidP="003806C8">
      <w:pPr>
        <w:pStyle w:val="Heading5"/>
        <w:ind w:left="720"/>
      </w:pPr>
      <w:bookmarkStart w:id="2" w:name="_Toc330888148"/>
      <w:r>
        <w:t>Proposal</w:t>
      </w:r>
      <w:bookmarkEnd w:id="2"/>
    </w:p>
    <w:p w:rsidR="00405E3B" w:rsidRPr="00405E3B" w:rsidRDefault="000875AD" w:rsidP="00405E3B">
      <w:r w:rsidRPr="00405E3B">
        <w:t xml:space="preserve">EIA requests </w:t>
      </w:r>
      <w:r w:rsidR="00405E3B" w:rsidRPr="00405E3B">
        <w:t>a three-year clearance to modify and continue the use of Form EIA-851A “Domes</w:t>
      </w:r>
      <w:r w:rsidR="005B4FF9">
        <w:t>tic Uranium Production Report (</w:t>
      </w:r>
      <w:r w:rsidR="00405E3B" w:rsidRPr="00405E3B">
        <w:t>Annual</w:t>
      </w:r>
      <w:r w:rsidR="005B4FF9">
        <w:t>)</w:t>
      </w:r>
      <w:r w:rsidR="00405E3B" w:rsidRPr="00405E3B">
        <w:t xml:space="preserve">,” Form EIA-851Q “Domestic Uranium Production Report </w:t>
      </w:r>
      <w:r w:rsidR="005B4FF9">
        <w:t>(</w:t>
      </w:r>
      <w:r w:rsidR="00405E3B" w:rsidRPr="00405E3B">
        <w:t>Quarterly</w:t>
      </w:r>
      <w:r w:rsidR="005B4FF9">
        <w:t>)</w:t>
      </w:r>
      <w:r w:rsidR="00405E3B" w:rsidRPr="00405E3B">
        <w:t>,” and the Form EIA-858 “Uranium Marketing Annual Survey” through 12/31/2015</w:t>
      </w:r>
      <w:r w:rsidR="002F6A2E">
        <w:t xml:space="preserve">, instead of 1/31/2016, </w:t>
      </w:r>
      <w:r w:rsidR="00497687">
        <w:t>to</w:t>
      </w:r>
      <w:r w:rsidR="002F6A2E">
        <w:t xml:space="preserve"> start collecting data on their regular schedule</w:t>
      </w:r>
      <w:r w:rsidR="00405E3B" w:rsidRPr="00405E3B">
        <w:t>.  These forms were previously cleared under OMB number 1905-0160</w:t>
      </w:r>
      <w:r w:rsidR="00C42422">
        <w:t xml:space="preserve"> </w:t>
      </w:r>
      <w:r w:rsidR="00405E3B" w:rsidRPr="00405E3B">
        <w:t>through 1/31/2013.</w:t>
      </w:r>
    </w:p>
    <w:p w:rsidR="00405E3B" w:rsidRDefault="00405E3B" w:rsidP="00405E3B">
      <w:r w:rsidRPr="00405E3B">
        <w:lastRenderedPageBreak/>
        <w:t xml:space="preserve">EIA </w:t>
      </w:r>
      <w:r w:rsidR="00437D0D">
        <w:t xml:space="preserve">is </w:t>
      </w:r>
      <w:r w:rsidRPr="00405E3B">
        <w:t>propos</w:t>
      </w:r>
      <w:r w:rsidR="00437D0D">
        <w:t>ing</w:t>
      </w:r>
      <w:r w:rsidRPr="00405E3B">
        <w:t xml:space="preserve"> minor changes to Form EIA-851Q and its reporting instructions, and to the reporting instructions to Form EIA-851A and Form EIA-858</w:t>
      </w:r>
      <w:r w:rsidR="00437D0D">
        <w:t>.  These proposed changes</w:t>
      </w:r>
      <w:r w:rsidRPr="00405E3B">
        <w:t xml:space="preserve"> were published on March 26, 2012 in </w:t>
      </w:r>
      <w:r w:rsidR="00D8615C">
        <w:t xml:space="preserve">the </w:t>
      </w:r>
      <w:r w:rsidRPr="00D8615C">
        <w:rPr>
          <w:i/>
        </w:rPr>
        <w:t>Federal Register</w:t>
      </w:r>
      <w:r w:rsidRPr="00405E3B">
        <w:t xml:space="preserve"> Vol. 77, No. 58.  Public comments to the proposed</w:t>
      </w:r>
      <w:r w:rsidR="004E2E41">
        <w:t xml:space="preserve"> changes</w:t>
      </w:r>
      <w:r w:rsidRPr="00405E3B">
        <w:t xml:space="preserve"> are summarized in </w:t>
      </w:r>
      <w:r w:rsidR="00BB01DC">
        <w:t xml:space="preserve">Appendix </w:t>
      </w:r>
      <w:r w:rsidR="004E2E41">
        <w:t>1</w:t>
      </w:r>
      <w:r w:rsidRPr="00405E3B">
        <w:t xml:space="preserve"> of this supporting statement.</w:t>
      </w:r>
    </w:p>
    <w:p w:rsidR="00D6435F" w:rsidRDefault="00D6435F" w:rsidP="00D6435F">
      <w:r>
        <w:t>For Form EIA-851Q, EIA purposes to collect supervisor information in addition to the responding company, the parent company, and the contact/preparer information.</w:t>
      </w:r>
      <w:r>
        <w:rPr>
          <w:rStyle w:val="trigger"/>
        </w:rPr>
        <w:t xml:space="preserve">  The name of the supervisor is routinely collected on other EIA surveys to provide a contact</w:t>
      </w:r>
      <w:r w:rsidRPr="00DA5EAB">
        <w:rPr>
          <w:rStyle w:val="trigger"/>
          <w:color w:val="FF0000"/>
        </w:rPr>
        <w:t xml:space="preserve"> </w:t>
      </w:r>
      <w:r w:rsidR="00844168" w:rsidRPr="00844168">
        <w:rPr>
          <w:rStyle w:val="trigger"/>
        </w:rPr>
        <w:t>point</w:t>
      </w:r>
      <w:r>
        <w:rPr>
          <w:rStyle w:val="trigger"/>
        </w:rPr>
        <w:t xml:space="preserve"> in the event of non-response problems.</w:t>
      </w:r>
      <w:r w:rsidR="00271C7B">
        <w:t xml:space="preserve">  For Form EIA-851A, EIA proposes two minor changes to clarify the instructions for Item 8, Reserve (Reasonably Assured Resource) Estimate.  </w:t>
      </w:r>
      <w:r>
        <w:t>For Form EIA-858, EIA proposes a change to clarify the instructions for Item 5, Uranium Feed Deliveries to U.S. and Foreign Enrichers in the Survey Year.  These changes are:</w:t>
      </w:r>
    </w:p>
    <w:p w:rsidR="00D6435F" w:rsidRDefault="00D6435F" w:rsidP="00D6435F">
      <w:pPr>
        <w:pStyle w:val="ListParagraph"/>
        <w:numPr>
          <w:ilvl w:val="0"/>
          <w:numId w:val="18"/>
        </w:numPr>
      </w:pPr>
      <w:r>
        <w:t xml:space="preserve">Form EIA-851A, Item 8 instructions: </w:t>
      </w:r>
    </w:p>
    <w:p w:rsidR="00D6435F" w:rsidRPr="00FD3DB8" w:rsidRDefault="00D6435F" w:rsidP="00D6435F">
      <w:pPr>
        <w:pStyle w:val="ListParagraph"/>
        <w:numPr>
          <w:ilvl w:val="1"/>
          <w:numId w:val="18"/>
        </w:numPr>
        <w:autoSpaceDE w:val="0"/>
        <w:autoSpaceDN w:val="0"/>
        <w:adjustRightInd w:val="0"/>
        <w:rPr>
          <w:sz w:val="17"/>
          <w:szCs w:val="17"/>
        </w:rPr>
      </w:pPr>
      <w:r w:rsidRPr="00FD3DB8">
        <w:rPr>
          <w:u w:val="single"/>
        </w:rPr>
        <w:t>State</w:t>
      </w:r>
      <w:r w:rsidRPr="00DB721F">
        <w:t xml:space="preserve"> – </w:t>
      </w:r>
      <w:r w:rsidRPr="00FD3DB8">
        <w:rPr>
          <w:bCs/>
        </w:rPr>
        <w:t xml:space="preserve">Enter the </w:t>
      </w:r>
      <w:r w:rsidRPr="00FD3DB8">
        <w:rPr>
          <w:bCs/>
          <w:strike/>
          <w:color w:val="FF0000"/>
        </w:rPr>
        <w:t>two-letter U.S. Postal Service abbreviation for the</w:t>
      </w:r>
      <w:r w:rsidRPr="00FD3DB8">
        <w:rPr>
          <w:bCs/>
        </w:rPr>
        <w:t xml:space="preserve"> State of the property.</w:t>
      </w:r>
    </w:p>
    <w:p w:rsidR="00D6435F" w:rsidRPr="00FD3DB8" w:rsidRDefault="00D6435F" w:rsidP="00D6435F">
      <w:pPr>
        <w:pStyle w:val="ListParagraph"/>
        <w:numPr>
          <w:ilvl w:val="1"/>
          <w:numId w:val="18"/>
        </w:numPr>
        <w:autoSpaceDE w:val="0"/>
        <w:autoSpaceDN w:val="0"/>
        <w:adjustRightInd w:val="0"/>
        <w:rPr>
          <w:sz w:val="17"/>
          <w:szCs w:val="17"/>
        </w:rPr>
      </w:pPr>
      <w:r w:rsidRPr="00FD3DB8">
        <w:rPr>
          <w:u w:val="single"/>
        </w:rPr>
        <w:t>Reserve (Reasonably Assured Resource) Estimates by Forward Cost Categories</w:t>
      </w:r>
      <w:r w:rsidRPr="00DB721F">
        <w:t xml:space="preserve"> – Enter the reserve (</w:t>
      </w:r>
      <w:r w:rsidRPr="00FD3DB8">
        <w:rPr>
          <w:color w:val="FF0000"/>
        </w:rPr>
        <w:t xml:space="preserve">reasonably assured </w:t>
      </w:r>
      <w:r w:rsidR="00BF71D9" w:rsidRPr="00BF71D9">
        <w:t>resource</w:t>
      </w:r>
      <w:r w:rsidRPr="00DB721F">
        <w:t xml:space="preserve">) quantities </w:t>
      </w:r>
      <w:r w:rsidR="00BF71D9" w:rsidRPr="00BF71D9">
        <w:rPr>
          <w:color w:val="FF0000"/>
        </w:rPr>
        <w:t>for</w:t>
      </w:r>
      <w:r w:rsidRPr="00DB721F">
        <w:t xml:space="preserve"> </w:t>
      </w:r>
      <w:r w:rsidRPr="00FD3DB8">
        <w:rPr>
          <w:color w:val="FF0000"/>
        </w:rPr>
        <w:t>ore, grade, and pounds U</w:t>
      </w:r>
      <w:r w:rsidRPr="00FD3DB8">
        <w:rPr>
          <w:color w:val="FF0000"/>
          <w:vertAlign w:val="subscript"/>
        </w:rPr>
        <w:t>3</w:t>
      </w:r>
      <w:r w:rsidRPr="00FD3DB8">
        <w:rPr>
          <w:color w:val="FF0000"/>
        </w:rPr>
        <w:t>O</w:t>
      </w:r>
      <w:r w:rsidRPr="00FD3DB8">
        <w:rPr>
          <w:color w:val="FF0000"/>
          <w:vertAlign w:val="subscript"/>
        </w:rPr>
        <w:t>8</w:t>
      </w:r>
      <w:r w:rsidRPr="00DB721F">
        <w:t xml:space="preserve"> by cost categories.  For reporting purposes, EIA considers reserves and reasonably assured resources to be functionally equivalent.  </w:t>
      </w:r>
      <w:r w:rsidRPr="00FD3DB8">
        <w:rPr>
          <w:color w:val="FF0000"/>
        </w:rPr>
        <w:t>Do not report inferred resources.</w:t>
      </w:r>
    </w:p>
    <w:p w:rsidR="00202344" w:rsidRPr="00202344" w:rsidRDefault="00D6435F" w:rsidP="00D6435F">
      <w:pPr>
        <w:pStyle w:val="ListParagraph"/>
        <w:numPr>
          <w:ilvl w:val="0"/>
          <w:numId w:val="18"/>
        </w:numPr>
        <w:autoSpaceDE w:val="0"/>
        <w:autoSpaceDN w:val="0"/>
        <w:adjustRightInd w:val="0"/>
        <w:rPr>
          <w:rFonts w:ascii="Times New Roman" w:hAnsi="Times New Roman"/>
          <w:sz w:val="24"/>
          <w:szCs w:val="24"/>
        </w:rPr>
      </w:pPr>
      <w:r w:rsidRPr="00E97AA9">
        <w:t>Form EIA-858, Item 5 instructions</w:t>
      </w:r>
      <w:r>
        <w:t>:</w:t>
      </w:r>
    </w:p>
    <w:p w:rsidR="00405E3B" w:rsidRPr="00202344" w:rsidRDefault="00D6435F" w:rsidP="00202344">
      <w:pPr>
        <w:pStyle w:val="ListParagraph"/>
        <w:numPr>
          <w:ilvl w:val="1"/>
          <w:numId w:val="18"/>
        </w:numPr>
        <w:autoSpaceDE w:val="0"/>
        <w:autoSpaceDN w:val="0"/>
        <w:adjustRightInd w:val="0"/>
        <w:rPr>
          <w:rFonts w:ascii="Times New Roman" w:hAnsi="Times New Roman"/>
          <w:sz w:val="24"/>
          <w:szCs w:val="24"/>
        </w:rPr>
      </w:pPr>
      <w:r w:rsidRPr="00202344">
        <w:rPr>
          <w:b/>
          <w:bCs/>
          <w:color w:val="000000"/>
        </w:rPr>
        <w:t xml:space="preserve">Item 5. Uranium Feed Deliveries to U.S. and Foreign Enrichers in the Survey Year: </w:t>
      </w:r>
      <w:r w:rsidRPr="00202344">
        <w:rPr>
          <w:color w:val="000000"/>
        </w:rPr>
        <w:t xml:space="preserve">Enter the country origins and associated quantity of uranium feed </w:t>
      </w:r>
      <w:r w:rsidRPr="00202344">
        <w:rPr>
          <w:color w:val="000000"/>
          <w:u w:val="single"/>
        </w:rPr>
        <w:t xml:space="preserve">shipped </w:t>
      </w:r>
      <w:r w:rsidRPr="00202344">
        <w:rPr>
          <w:color w:val="000000"/>
        </w:rPr>
        <w:t xml:space="preserve">to enrichment plants, indicating each country where </w:t>
      </w:r>
      <w:r w:rsidR="005C2714">
        <w:rPr>
          <w:color w:val="000000"/>
        </w:rPr>
        <w:t xml:space="preserve">the </w:t>
      </w:r>
      <w:r w:rsidRPr="00202344">
        <w:rPr>
          <w:color w:val="000000"/>
        </w:rPr>
        <w:t xml:space="preserve">enrichment plant is located. </w:t>
      </w:r>
      <w:r w:rsidRPr="00202344">
        <w:rPr>
          <w:strike/>
          <w:color w:val="FF0000"/>
        </w:rPr>
        <w:t>Do not include deliveries placed in your usage agreement account that are not intended for withdrawal until in the next calendar year or later. Withdrawals of enriched uranium from your usage agreement account in the Survey Year, however, should be included as appropriate in your response(s).</w:t>
      </w:r>
      <w:r w:rsidR="00405E3B" w:rsidRPr="00202344">
        <w:rPr>
          <w:rFonts w:ascii="Times New Roman" w:hAnsi="Times New Roman"/>
          <w:sz w:val="24"/>
          <w:szCs w:val="24"/>
        </w:rPr>
        <w:br w:type="page"/>
      </w:r>
    </w:p>
    <w:p w:rsidR="000875AD" w:rsidRDefault="000875AD" w:rsidP="000875AD">
      <w:pPr>
        <w:pStyle w:val="Heading5"/>
      </w:pPr>
      <w:bookmarkStart w:id="3" w:name="_Toc330888149"/>
      <w:r>
        <w:lastRenderedPageBreak/>
        <w:t>A. Justification</w:t>
      </w:r>
      <w:bookmarkEnd w:id="3"/>
    </w:p>
    <w:p w:rsidR="000875AD" w:rsidRDefault="000875AD" w:rsidP="00950640">
      <w:pPr>
        <w:pStyle w:val="Heading5"/>
        <w:ind w:firstLine="720"/>
      </w:pPr>
      <w:bookmarkStart w:id="4" w:name="_Toc330888150"/>
      <w:r>
        <w:t>A.1. Legal Justification</w:t>
      </w:r>
      <w:bookmarkEnd w:id="4"/>
    </w:p>
    <w:p w:rsidR="000875AD" w:rsidRDefault="000875AD" w:rsidP="000875AD">
      <w:r>
        <w:t>The authority for this data collection is derived from the following provision:</w:t>
      </w:r>
    </w:p>
    <w:p w:rsidR="000875AD" w:rsidRDefault="000875AD" w:rsidP="000875AD">
      <w:r>
        <w:t>Section 13(b), 15 U.S.C. §772(b), of the Federal Energy Administration Act (FEA Act), Public Law 93-275, outlines the types of individuals subject to the data collection authority delegated to the Administrator and the general parameters of the type of data which can be required.  Section 13(b) states:</w:t>
      </w:r>
    </w:p>
    <w:p w:rsidR="000875AD" w:rsidRDefault="000875AD" w:rsidP="000875AD">
      <w:pPr>
        <w:ind w:left="720"/>
      </w:pPr>
      <w: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rsidR="000875AD" w:rsidRDefault="000875AD" w:rsidP="000875AD">
      <w:r>
        <w:t>The objectives of the FEA Act are set forth in Section 5(b), 15 U.S.C. §764(b), of the FEA Act, which states that the Secretary shall, to the extent (s)he is authorized by Section 5(a) of the FEA Act,</w:t>
      </w:r>
    </w:p>
    <w:p w:rsidR="000875AD" w:rsidRDefault="000875AD" w:rsidP="000875AD">
      <w:pPr>
        <w:ind w:left="720"/>
      </w:pPr>
      <w:r>
        <w:t>“(2) assess the adequacy of energy resources to meet demands in the immediate and longer range future for all sectors of the economy and for the general public;...</w:t>
      </w:r>
    </w:p>
    <w:p w:rsidR="000875AD" w:rsidRDefault="000875AD" w:rsidP="000875AD">
      <w:pPr>
        <w:ind w:left="720"/>
      </w:pPr>
      <w:r>
        <w:t xml:space="preserve">(9) </w:t>
      </w:r>
      <w:proofErr w:type="gramStart"/>
      <w:r>
        <w:t>collect</w:t>
      </w:r>
      <w:proofErr w:type="gramEnd"/>
      <w:r>
        <w:t>, evaluate, assemble, and analyze energy information on reserves, production, demand, and related economic data;</w:t>
      </w:r>
    </w:p>
    <w:p w:rsidR="000875AD" w:rsidRDefault="000875AD" w:rsidP="000875AD">
      <w:pPr>
        <w:ind w:left="720"/>
      </w:pPr>
      <w:r>
        <w:t xml:space="preserve">(12) </w:t>
      </w:r>
      <w:proofErr w:type="gramStart"/>
      <w:r>
        <w:t>perform</w:t>
      </w:r>
      <w:proofErr w:type="gramEnd"/>
      <w:r>
        <w:t xml:space="preserve"> such other functions as may be prescribed by law.”</w:t>
      </w:r>
    </w:p>
    <w:p w:rsidR="000875AD" w:rsidRDefault="000875AD" w:rsidP="000875AD">
      <w:r>
        <w:t>As the authority for invoking Section 5(b) above, Section 5(a), and 15 U.S.C. §764(a), of the FEA Act in turn states:</w:t>
      </w:r>
    </w:p>
    <w:p w:rsidR="000875AD" w:rsidRDefault="000875AD" w:rsidP="000875AD">
      <w:pPr>
        <w:ind w:left="720"/>
      </w:pPr>
      <w:r>
        <w:t xml:space="preserve"> “Subject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rsidR="000875AD" w:rsidRDefault="000875AD" w:rsidP="000875AD">
      <w:pPr>
        <w:ind w:left="720"/>
      </w:pPr>
      <w:r>
        <w:t>(1) specifically transferred to or vested in him by or pursuant to this Act</w:t>
      </w:r>
      <w:proofErr w:type="gramStart"/>
      <w:r>
        <w:t>;...</w:t>
      </w:r>
      <w:proofErr w:type="gramEnd"/>
    </w:p>
    <w:p w:rsidR="000875AD" w:rsidRDefault="000875AD" w:rsidP="000875AD">
      <w:pPr>
        <w:ind w:left="720"/>
      </w:pPr>
      <w:r>
        <w:t>(3) otherwise specifically vested in the [Secretary] by the Congress.”</w:t>
      </w:r>
    </w:p>
    <w:p w:rsidR="000875AD" w:rsidRDefault="000875AD" w:rsidP="000875AD">
      <w:r>
        <w:t xml:space="preserve">Authority for invoking Section 5(a) of the FEA Act is provided by Section 52, 15 U.S.C. §790(a) and (b), of the FEA Act, which states </w:t>
      </w:r>
      <w:proofErr w:type="gramStart"/>
      <w:r>
        <w:t>that</w:t>
      </w:r>
      <w:proofErr w:type="gramEnd"/>
      <w:r>
        <w:t xml:space="preserve"> the Administrator of the EIA:</w:t>
      </w:r>
    </w:p>
    <w:p w:rsidR="000875AD" w:rsidRDefault="000875AD" w:rsidP="000875AD"/>
    <w:p w:rsidR="000875AD" w:rsidRDefault="000875AD" w:rsidP="000875AD">
      <w:pPr>
        <w:ind w:left="720"/>
      </w:pPr>
      <w:r>
        <w:t>“(</w:t>
      </w:r>
      <w:proofErr w:type="gramStart"/>
      <w:r>
        <w:t>a</w:t>
      </w:r>
      <w:proofErr w:type="gramEnd"/>
      <w:r>
        <w:t>)... [Shall] establish a National Energy Information System... [</w:t>
      </w:r>
      <w:proofErr w:type="gramStart"/>
      <w:r>
        <w:t>which</w:t>
      </w:r>
      <w:proofErr w:type="gramEnd"/>
      <w:r>
        <w:t>] shall contain such information as is required to provide a description of and facilitate analysis of energy supply and consumption...</w:t>
      </w:r>
    </w:p>
    <w:p w:rsidR="000875AD" w:rsidRDefault="000875AD" w:rsidP="000875AD">
      <w:pPr>
        <w:ind w:left="720"/>
      </w:pPr>
      <w:r>
        <w:t>(b) ...the System shall contain such energy information as is necessary to carry out the Administration's statistical and forecasting activities..., and such energy information as is required to define and permit analysis of...</w:t>
      </w:r>
    </w:p>
    <w:p w:rsidR="000875AD" w:rsidRDefault="000875AD" w:rsidP="000875AD">
      <w:pPr>
        <w:ind w:left="1440"/>
      </w:pPr>
      <w:r>
        <w:t>(1) the institutional structure of the energy supply system, including patterns of ownership and control of mineral fuel and non-mineral energy resources and the production, distribution, and marketing of mineral fuels and electricity;</w:t>
      </w:r>
    </w:p>
    <w:p w:rsidR="000875AD" w:rsidRDefault="000875AD" w:rsidP="000875AD">
      <w:pPr>
        <w:ind w:left="1440"/>
      </w:pPr>
      <w:r>
        <w:t xml:space="preserve">(2) </w:t>
      </w:r>
      <w:proofErr w:type="gramStart"/>
      <w:r>
        <w:t>the</w:t>
      </w:r>
      <w:proofErr w:type="gramEnd"/>
      <w:r>
        <w:t xml:space="preserve"> consumption of mineral fuels, non-mineral energy resources, and electricity by such classes, sectors, and regions as may be appropriate for the purposes of this Act;</w:t>
      </w:r>
    </w:p>
    <w:p w:rsidR="000875AD" w:rsidRDefault="000875AD" w:rsidP="000875AD">
      <w:pPr>
        <w:ind w:left="1440"/>
      </w:pPr>
      <w:r>
        <w:t xml:space="preserve">(3) </w:t>
      </w:r>
      <w:proofErr w:type="gramStart"/>
      <w:r>
        <w:t>the</w:t>
      </w:r>
      <w:proofErr w:type="gramEnd"/>
      <w:r>
        <w:t xml:space="preserve"> sensitivity of energy resource reserves, exploration, development, production, transportation, and consumption to economic factors, environmental constraints, technological improvements, and substitutability of alternate energy sources; . . . </w:t>
      </w:r>
    </w:p>
    <w:p w:rsidR="000875AD" w:rsidRDefault="000875AD" w:rsidP="000875AD">
      <w:pPr>
        <w:ind w:left="1440"/>
      </w:pPr>
      <w:r>
        <w:t>(5) ...industrial, labor, and regional impacts of changes and patterns of energy supply and consumption...”</w:t>
      </w:r>
    </w:p>
    <w:p w:rsidR="00EC1753" w:rsidRPr="00EC1753" w:rsidRDefault="00EC1753" w:rsidP="00EC17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1753">
        <w:t>Additional authority for collection of uranium information on Form EIA-858 "Uranium Marketing Annual Survey," is provided through the Energy Policy Act of 1992 (EPACT 1992), Public Law 102-486.</w:t>
      </w:r>
      <w:r w:rsidR="000D5C72">
        <w:t xml:space="preserve"> </w:t>
      </w:r>
      <w:r w:rsidRPr="00EC1753">
        <w:t xml:space="preserve"> This law </w:t>
      </w:r>
      <w:r w:rsidR="00051B74">
        <w:t>states</w:t>
      </w:r>
      <w:r w:rsidRPr="00EC1753">
        <w:t xml:space="preserve"> under Subtitle B, 42 U.S.C. § 2296b-4, S</w:t>
      </w:r>
      <w:r w:rsidR="000D5C72">
        <w:t>EC</w:t>
      </w:r>
      <w:r w:rsidRPr="00EC1753">
        <w:t>. 1015</w:t>
      </w:r>
      <w:r w:rsidR="000D5C72">
        <w:t>. ANNUAL URANIUM PURCHASE REPORTS.</w:t>
      </w:r>
    </w:p>
    <w:p w:rsidR="00EC1753" w:rsidRPr="00EC1753" w:rsidRDefault="00EC1753" w:rsidP="006625F1">
      <w:pPr>
        <w:pStyle w:val="indent2"/>
        <w:tabs>
          <w:tab w:val="clear" w:pos="730"/>
          <w:tab w:val="left" w:pos="0"/>
          <w:tab w:val="left" w:pos="1440"/>
          <w:tab w:val="left" w:pos="1530"/>
          <w:tab w:val="left" w:pos="1710"/>
          <w:tab w:val="left" w:pos="1890"/>
        </w:tabs>
        <w:rPr>
          <w:rFonts w:asciiTheme="minorHAnsi" w:hAnsiTheme="minorHAnsi"/>
          <w:i w:val="0"/>
          <w:iCs w:val="0"/>
          <w:sz w:val="22"/>
          <w:szCs w:val="22"/>
        </w:rPr>
      </w:pPr>
      <w:r w:rsidRPr="00EC1753">
        <w:rPr>
          <w:rFonts w:asciiTheme="minorHAnsi" w:hAnsiTheme="minorHAnsi"/>
          <w:i w:val="0"/>
          <w:iCs w:val="0"/>
          <w:sz w:val="22"/>
          <w:szCs w:val="22"/>
        </w:rPr>
        <w:t>“</w:t>
      </w:r>
      <w:r w:rsidR="00EC3367">
        <w:rPr>
          <w:rFonts w:asciiTheme="minorHAnsi" w:hAnsiTheme="minorHAnsi"/>
          <w:i w:val="0"/>
          <w:iCs w:val="0"/>
          <w:sz w:val="22"/>
          <w:szCs w:val="22"/>
        </w:rPr>
        <w:t xml:space="preserve">(a) IN GENERAL- By January 1 of each year, </w:t>
      </w:r>
      <w:r w:rsidRPr="00EC1753">
        <w:rPr>
          <w:rFonts w:asciiTheme="minorHAnsi" w:hAnsiTheme="minorHAnsi"/>
          <w:i w:val="0"/>
          <w:iCs w:val="0"/>
          <w:sz w:val="22"/>
          <w:szCs w:val="22"/>
        </w:rPr>
        <w:t>the owner or operator of any civilian nuclear power reactor shall report to the Secretary (of Energy), acting through the Administrator of the Energy Information Administration, for activities of the previous fiscal yea</w:t>
      </w:r>
      <w:r w:rsidR="004C5B9D">
        <w:rPr>
          <w:rFonts w:asciiTheme="minorHAnsi" w:hAnsiTheme="minorHAnsi"/>
          <w:i w:val="0"/>
          <w:iCs w:val="0"/>
          <w:sz w:val="22"/>
          <w:szCs w:val="22"/>
        </w:rPr>
        <w:t>r--</w:t>
      </w:r>
      <w:r w:rsidRPr="00EC1753">
        <w:rPr>
          <w:rFonts w:asciiTheme="minorHAnsi" w:hAnsiTheme="minorHAnsi"/>
          <w:i w:val="0"/>
          <w:iCs w:val="0"/>
          <w:sz w:val="22"/>
          <w:szCs w:val="22"/>
        </w:rPr>
        <w:tab/>
      </w:r>
    </w:p>
    <w:p w:rsidR="00EC1753" w:rsidRPr="00EC1753" w:rsidRDefault="00EC1753" w:rsidP="004C5B9D">
      <w:pPr>
        <w:pStyle w:val="indent2"/>
        <w:tabs>
          <w:tab w:val="clear" w:pos="730"/>
          <w:tab w:val="left" w:pos="0"/>
          <w:tab w:val="left" w:pos="1710"/>
        </w:tabs>
        <w:ind w:left="1440"/>
        <w:rPr>
          <w:rFonts w:asciiTheme="minorHAnsi" w:hAnsiTheme="minorHAnsi"/>
          <w:sz w:val="22"/>
          <w:szCs w:val="22"/>
        </w:rPr>
      </w:pPr>
      <w:r w:rsidRPr="00EC1753">
        <w:rPr>
          <w:rFonts w:asciiTheme="minorHAnsi" w:hAnsiTheme="minorHAnsi"/>
          <w:i w:val="0"/>
          <w:iCs w:val="0"/>
          <w:sz w:val="22"/>
          <w:szCs w:val="22"/>
        </w:rPr>
        <w:t>(1) the country of origin and the seller of any uranium or enriched uranium purchased or imported into the United States either directly or indirectly by such owner or operator; and</w:t>
      </w:r>
    </w:p>
    <w:p w:rsidR="004C5B9D" w:rsidRDefault="00EC1753" w:rsidP="004C5B9D">
      <w:pPr>
        <w:pStyle w:val="indent2"/>
        <w:tabs>
          <w:tab w:val="clear" w:pos="730"/>
          <w:tab w:val="left" w:pos="0"/>
          <w:tab w:val="left" w:pos="1710"/>
        </w:tabs>
        <w:ind w:left="1440"/>
        <w:rPr>
          <w:rFonts w:asciiTheme="minorHAnsi" w:hAnsiTheme="minorHAnsi"/>
          <w:i w:val="0"/>
          <w:iCs w:val="0"/>
          <w:sz w:val="22"/>
          <w:szCs w:val="22"/>
        </w:rPr>
      </w:pPr>
      <w:r w:rsidRPr="00EC1753">
        <w:rPr>
          <w:rFonts w:asciiTheme="minorHAnsi" w:hAnsiTheme="minorHAnsi"/>
          <w:i w:val="0"/>
          <w:iCs w:val="0"/>
          <w:sz w:val="22"/>
          <w:szCs w:val="22"/>
        </w:rPr>
        <w:t xml:space="preserve">(2) </w:t>
      </w:r>
      <w:proofErr w:type="gramStart"/>
      <w:r w:rsidRPr="00EC1753">
        <w:rPr>
          <w:rFonts w:asciiTheme="minorHAnsi" w:hAnsiTheme="minorHAnsi"/>
          <w:i w:val="0"/>
          <w:iCs w:val="0"/>
          <w:sz w:val="22"/>
          <w:szCs w:val="22"/>
        </w:rPr>
        <w:t>the</w:t>
      </w:r>
      <w:proofErr w:type="gramEnd"/>
      <w:r w:rsidRPr="00EC1753">
        <w:rPr>
          <w:rFonts w:asciiTheme="minorHAnsi" w:hAnsiTheme="minorHAnsi"/>
          <w:i w:val="0"/>
          <w:iCs w:val="0"/>
          <w:sz w:val="22"/>
          <w:szCs w:val="22"/>
        </w:rPr>
        <w:t xml:space="preserve"> country of origin and the seller of any enrichment services purchased by such owner or operator.</w:t>
      </w:r>
    </w:p>
    <w:p w:rsidR="00EC1753" w:rsidRPr="00EC1753" w:rsidRDefault="004C5B9D" w:rsidP="004C5B9D">
      <w:pPr>
        <w:pStyle w:val="indent2"/>
        <w:tabs>
          <w:tab w:val="clear" w:pos="730"/>
          <w:tab w:val="left" w:pos="0"/>
          <w:tab w:val="left" w:pos="1710"/>
        </w:tabs>
        <w:rPr>
          <w:rFonts w:asciiTheme="minorHAnsi" w:hAnsiTheme="minorHAnsi"/>
          <w:sz w:val="22"/>
          <w:szCs w:val="22"/>
        </w:rPr>
      </w:pPr>
      <w:r>
        <w:rPr>
          <w:rFonts w:asciiTheme="minorHAnsi" w:hAnsiTheme="minorHAnsi"/>
          <w:i w:val="0"/>
          <w:iCs w:val="0"/>
          <w:sz w:val="22"/>
          <w:szCs w:val="22"/>
        </w:rPr>
        <w:t>(b) CONGRESSIONAL ACCESS- The information provided to the Secretary pursuant to this section shall be made available to the Congress by March 1 of each year.</w:t>
      </w:r>
      <w:r w:rsidR="00EC1753" w:rsidRPr="00EC1753">
        <w:rPr>
          <w:rFonts w:asciiTheme="minorHAnsi" w:hAnsiTheme="minorHAnsi"/>
          <w:i w:val="0"/>
          <w:iCs w:val="0"/>
          <w:sz w:val="22"/>
          <w:szCs w:val="22"/>
        </w:rPr>
        <w:t>”</w:t>
      </w:r>
    </w:p>
    <w:p w:rsidR="000875AD" w:rsidRPr="00EC1753" w:rsidRDefault="000875AD" w:rsidP="000875AD"/>
    <w:p w:rsidR="000875AD" w:rsidRDefault="000875AD"/>
    <w:p w:rsidR="000875AD" w:rsidRDefault="000875AD">
      <w:r>
        <w:br w:type="page"/>
      </w:r>
    </w:p>
    <w:p w:rsidR="000875AD" w:rsidRPr="00955EC2" w:rsidRDefault="000875AD">
      <w:pPr>
        <w:rPr>
          <w:rStyle w:val="Heading5Char"/>
        </w:rPr>
      </w:pPr>
      <w:bookmarkStart w:id="5" w:name="_Toc330888151"/>
      <w:r w:rsidRPr="003806C8">
        <w:rPr>
          <w:rStyle w:val="Heading5Char"/>
        </w:rPr>
        <w:lastRenderedPageBreak/>
        <w:t xml:space="preserve">A.2. Needs and </w:t>
      </w:r>
      <w:r w:rsidRPr="00955EC2">
        <w:rPr>
          <w:rStyle w:val="Heading5Char"/>
        </w:rPr>
        <w:t>Uses of Data</w:t>
      </w:r>
      <w:bookmarkEnd w:id="5"/>
    </w:p>
    <w:p w:rsidR="000875AD" w:rsidRDefault="003806C8" w:rsidP="003806C8">
      <w:pPr>
        <w:pStyle w:val="Heading5"/>
        <w:ind w:left="720"/>
      </w:pPr>
      <w:bookmarkStart w:id="6" w:name="_Toc330888152"/>
      <w:r w:rsidRPr="003806C8">
        <w:t xml:space="preserve">A.2.1. Overview of Data </w:t>
      </w:r>
      <w:r w:rsidR="009E618E">
        <w:t xml:space="preserve">Needs and </w:t>
      </w:r>
      <w:r w:rsidRPr="003806C8">
        <w:t>Uses</w:t>
      </w:r>
      <w:bookmarkEnd w:id="6"/>
    </w:p>
    <w:p w:rsidR="00155718" w:rsidRDefault="000D2B85" w:rsidP="003806C8">
      <w:r>
        <w:t xml:space="preserve">The EIA Uranium Data Program (UDP) are intended to collect </w:t>
      </w:r>
      <w:r w:rsidRPr="009134BC">
        <w:t xml:space="preserve">high-quality statistical data </w:t>
      </w:r>
      <w:r>
        <w:t xml:space="preserve">on domestic uranium supply and demand activities, including production, exploration and development, trade, and purchases and sales </w:t>
      </w:r>
      <w:r w:rsidRPr="009134BC">
        <w:t xml:space="preserve">available to </w:t>
      </w:r>
      <w:r>
        <w:t>the U.S.  The audience for these data includes the Congress, other Executive Branch agencies, the nuclear industry, and the public in general.  The specific surveys are:</w:t>
      </w:r>
      <w:r w:rsidR="00765842" w:rsidRPr="009F2C6B">
        <w:t xml:space="preserve">  </w:t>
      </w:r>
    </w:p>
    <w:p w:rsidR="00CA5649" w:rsidRPr="00F74D1A" w:rsidRDefault="00CA5649" w:rsidP="00CA5649">
      <w:pPr>
        <w:pStyle w:val="ListParagraph"/>
        <w:numPr>
          <w:ilvl w:val="0"/>
          <w:numId w:val="16"/>
        </w:numPr>
      </w:pPr>
      <w:r w:rsidRPr="009134BC">
        <w:t xml:space="preserve">Form EIA-851A “Domestic Uranium Production Report </w:t>
      </w:r>
      <w:r>
        <w:t>(Annual)</w:t>
      </w:r>
      <w:r w:rsidRPr="009134BC">
        <w:t xml:space="preserve">” </w:t>
      </w:r>
      <w:r w:rsidRPr="00061345">
        <w:rPr>
          <w:rFonts w:ascii="Calibri" w:eastAsia="Calibri" w:hAnsi="Calibri" w:cs="Times New Roman"/>
        </w:rPr>
        <w:t>collects annual data from the U.S. uranium industry on uranium milling and processing, uranium feed sources, uranium mining, employment, drilling, expenditures, and uranium reserves.</w:t>
      </w:r>
    </w:p>
    <w:p w:rsidR="00CA5649" w:rsidRPr="00F74D1A" w:rsidRDefault="00CA5649" w:rsidP="00CA5649">
      <w:pPr>
        <w:pStyle w:val="ListParagraph"/>
        <w:numPr>
          <w:ilvl w:val="0"/>
          <w:numId w:val="16"/>
        </w:numPr>
      </w:pPr>
      <w:r w:rsidRPr="009134BC">
        <w:t xml:space="preserve">Form EIA-851Q “Domestic Uranium Production Report </w:t>
      </w:r>
      <w:r>
        <w:t>(</w:t>
      </w:r>
      <w:r w:rsidRPr="009134BC">
        <w:t>Quarterly</w:t>
      </w:r>
      <w:r>
        <w:t>)</w:t>
      </w:r>
      <w:r w:rsidRPr="009134BC">
        <w:t xml:space="preserve">” </w:t>
      </w:r>
      <w:r w:rsidRPr="00061345">
        <w:rPr>
          <w:rFonts w:ascii="Calibri" w:eastAsia="Calibri" w:hAnsi="Calibri" w:cs="Times New Roman"/>
        </w:rPr>
        <w:t>collects monthly data from the U.S. uranium industry on uranium production and sources (mines and other) on a quarterly basis.</w:t>
      </w:r>
    </w:p>
    <w:p w:rsidR="00CA5649" w:rsidRPr="009134BC" w:rsidRDefault="00CA5649" w:rsidP="00CA5649">
      <w:pPr>
        <w:pStyle w:val="ListParagraph"/>
        <w:numPr>
          <w:ilvl w:val="0"/>
          <w:numId w:val="16"/>
        </w:numPr>
      </w:pPr>
      <w:r w:rsidRPr="009134BC">
        <w:t xml:space="preserve">Form EIA-858 “Uranium Marketing Annual Survey” </w:t>
      </w:r>
      <w:r w:rsidRPr="00061345">
        <w:rPr>
          <w:rFonts w:ascii="Calibri" w:eastAsia="Calibri" w:hAnsi="Calibri" w:cs="Times New Roman"/>
        </w:rPr>
        <w:t>collects annual data from the U.S. uranium market on uranium contracts</w:t>
      </w:r>
      <w:r>
        <w:rPr>
          <w:rFonts w:ascii="Calibri" w:eastAsia="Calibri" w:hAnsi="Calibri" w:cs="Times New Roman"/>
        </w:rPr>
        <w:t xml:space="preserve"> and</w:t>
      </w:r>
      <w:r w:rsidRPr="00061345">
        <w:rPr>
          <w:rFonts w:ascii="Calibri" w:eastAsia="Calibri" w:hAnsi="Calibri" w:cs="Times New Roman"/>
        </w:rPr>
        <w:t xml:space="preserve"> deliveries, inventories, enrichment services purchased, uranium in fuel assemblies, feed deliveries to enrichers, and unfilled market requirements. </w:t>
      </w:r>
      <w:r>
        <w:rPr>
          <w:rFonts w:ascii="Calibri" w:eastAsia="Calibri" w:hAnsi="Calibri" w:cs="Times New Roman"/>
        </w:rPr>
        <w:t xml:space="preserve"> </w:t>
      </w:r>
      <w:r w:rsidRPr="00061345">
        <w:rPr>
          <w:rFonts w:ascii="Calibri" w:eastAsia="Calibri" w:hAnsi="Calibri" w:cs="Times New Roman"/>
        </w:rPr>
        <w:t>Uranium deliveries, feed deliveries to enrichers, and unfilled market requirements are reported both for the current reporting year and for the following ten years.</w:t>
      </w:r>
    </w:p>
    <w:p w:rsidR="003806C8" w:rsidRPr="00095756" w:rsidRDefault="00765842" w:rsidP="00CB28EB">
      <w:r w:rsidRPr="009F2C6B">
        <w:t xml:space="preserve"> The data collected on these surveys are unique.  Although limited amounts of related or somewhat similar data </w:t>
      </w:r>
      <w:r w:rsidR="000801D8">
        <w:t>may</w:t>
      </w:r>
      <w:r w:rsidRPr="009F2C6B">
        <w:t xml:space="preserve"> be available from other Federal agencies, industry, and private sources, those data collections are not reasonable alternatives for the data sets obtained th</w:t>
      </w:r>
      <w:r w:rsidR="00223AAC">
        <w:t>rough the UDP</w:t>
      </w:r>
      <w:r w:rsidRPr="009F2C6B">
        <w:t xml:space="preserve"> surveys.</w:t>
      </w:r>
    </w:p>
    <w:p w:rsidR="006665A5" w:rsidRPr="00095756" w:rsidRDefault="006665A5" w:rsidP="006665A5">
      <w:r w:rsidRPr="00095756">
        <w:t xml:space="preserve">The data collected on the </w:t>
      </w:r>
      <w:r w:rsidR="006344A0" w:rsidRPr="00095756">
        <w:t xml:space="preserve">Form </w:t>
      </w:r>
      <w:r w:rsidRPr="00095756">
        <w:t>EIA-851</w:t>
      </w:r>
      <w:r w:rsidR="004A4333" w:rsidRPr="00095756">
        <w:t>A</w:t>
      </w:r>
      <w:r w:rsidRPr="00095756">
        <w:t xml:space="preserve"> </w:t>
      </w:r>
      <w:r w:rsidR="004A4333" w:rsidRPr="00095756">
        <w:t>are</w:t>
      </w:r>
      <w:r w:rsidR="006344A0" w:rsidRPr="00095756">
        <w:t xml:space="preserve"> </w:t>
      </w:r>
      <w:r w:rsidR="009E618E" w:rsidRPr="00095756">
        <w:t xml:space="preserve">needed for and </w:t>
      </w:r>
      <w:r w:rsidR="006344A0" w:rsidRPr="00095756">
        <w:t>used to</w:t>
      </w:r>
      <w:r w:rsidR="002E7C73" w:rsidRPr="00095756">
        <w:t xml:space="preserve"> publish</w:t>
      </w:r>
      <w:r w:rsidR="00961A5E" w:rsidRPr="00095756">
        <w:t xml:space="preserve"> annually</w:t>
      </w:r>
      <w:r w:rsidR="004A4333" w:rsidRPr="00095756">
        <w:t>:</w:t>
      </w:r>
    </w:p>
    <w:p w:rsidR="00CC0186" w:rsidRPr="00095756" w:rsidRDefault="00770AD8" w:rsidP="003806C8">
      <w:pPr>
        <w:pStyle w:val="ListParagraph"/>
        <w:numPr>
          <w:ilvl w:val="0"/>
          <w:numId w:val="12"/>
        </w:numPr>
      </w:pPr>
      <w:r w:rsidRPr="00095756">
        <w:t>E</w:t>
      </w:r>
      <w:r w:rsidR="004A4333" w:rsidRPr="00095756">
        <w:t xml:space="preserve">xploration and development </w:t>
      </w:r>
      <w:r w:rsidR="007455AF" w:rsidRPr="00095756">
        <w:t xml:space="preserve">drilling </w:t>
      </w:r>
      <w:r w:rsidR="004A4333" w:rsidRPr="00095756">
        <w:t xml:space="preserve">activities in the U.S. uranium </w:t>
      </w:r>
      <w:r w:rsidR="007455AF" w:rsidRPr="00095756">
        <w:t xml:space="preserve">production </w:t>
      </w:r>
      <w:r w:rsidR="004A4333" w:rsidRPr="00095756">
        <w:t xml:space="preserve">industry including data on </w:t>
      </w:r>
      <w:r w:rsidR="007455AF" w:rsidRPr="00095756">
        <w:t>number of holes</w:t>
      </w:r>
      <w:r w:rsidR="00CC0186" w:rsidRPr="00095756">
        <w:t xml:space="preserve"> and</w:t>
      </w:r>
      <w:r w:rsidR="007455AF" w:rsidRPr="00095756">
        <w:t xml:space="preserve"> drilling footage</w:t>
      </w:r>
      <w:r w:rsidR="00CC0186" w:rsidRPr="00095756">
        <w:t>;</w:t>
      </w:r>
    </w:p>
    <w:p w:rsidR="00FC43C7" w:rsidRDefault="005438B0" w:rsidP="00BF71D9">
      <w:pPr>
        <w:pStyle w:val="ListParagraph"/>
        <w:numPr>
          <w:ilvl w:val="0"/>
          <w:numId w:val="12"/>
        </w:numPr>
        <w:spacing w:line="240" w:lineRule="auto"/>
      </w:pPr>
      <w:r w:rsidRPr="00095756">
        <w:t>U.S. uranium mine production and number of operating mines;</w:t>
      </w:r>
    </w:p>
    <w:p w:rsidR="00BF71D9" w:rsidRDefault="00BF71D9" w:rsidP="00BF71D9">
      <w:pPr>
        <w:pStyle w:val="ListParagraph"/>
        <w:numPr>
          <w:ilvl w:val="0"/>
          <w:numId w:val="12"/>
        </w:numPr>
        <w:spacing w:line="240" w:lineRule="auto"/>
      </w:pPr>
      <w:r w:rsidRPr="00FC43C7">
        <w:t xml:space="preserve">Activities at U.S. uranium mills and </w:t>
      </w:r>
      <w:r w:rsidR="00201C4B">
        <w:t>in-</w:t>
      </w:r>
      <w:r w:rsidRPr="00FC43C7">
        <w:t>situ leach plants including uranium concentrate production and shipments;</w:t>
      </w:r>
    </w:p>
    <w:p w:rsidR="00DB7072" w:rsidRPr="00095756" w:rsidRDefault="00DB7072" w:rsidP="003806C8">
      <w:pPr>
        <w:pStyle w:val="ListParagraph"/>
        <w:numPr>
          <w:ilvl w:val="0"/>
          <w:numId w:val="12"/>
        </w:numPr>
      </w:pPr>
      <w:r w:rsidRPr="00095756">
        <w:t>Owner, location, capacity, and operating status of existing and planned uranium concentrate facilities</w:t>
      </w:r>
      <w:r w:rsidR="00857681" w:rsidRPr="00095756">
        <w:t>;</w:t>
      </w:r>
    </w:p>
    <w:p w:rsidR="004B250E" w:rsidRPr="00095756" w:rsidRDefault="00857681" w:rsidP="003806C8">
      <w:pPr>
        <w:pStyle w:val="ListParagraph"/>
        <w:numPr>
          <w:ilvl w:val="0"/>
          <w:numId w:val="12"/>
        </w:numPr>
      </w:pPr>
      <w:r w:rsidRPr="00095756">
        <w:t>E</w:t>
      </w:r>
      <w:r w:rsidR="004B250E" w:rsidRPr="00095756">
        <w:t xml:space="preserve">mployment in the </w:t>
      </w:r>
      <w:r w:rsidRPr="00095756">
        <w:t xml:space="preserve">U.S. </w:t>
      </w:r>
      <w:r w:rsidR="00C43421">
        <w:t xml:space="preserve">uranium </w:t>
      </w:r>
      <w:r w:rsidRPr="00095756">
        <w:t>production industry by</w:t>
      </w:r>
      <w:r w:rsidR="004B250E" w:rsidRPr="00095756">
        <w:t xml:space="preserve"> </w:t>
      </w:r>
      <w:r w:rsidR="00F00B0F" w:rsidRPr="00095756">
        <w:t xml:space="preserve">exploration, mining, milling, processing, and reclamation </w:t>
      </w:r>
      <w:r w:rsidR="006F4BA2">
        <w:t>categor</w:t>
      </w:r>
      <w:r w:rsidR="005C3616">
        <w:t>ies</w:t>
      </w:r>
      <w:r w:rsidRPr="00095756">
        <w:t xml:space="preserve"> </w:t>
      </w:r>
      <w:r w:rsidR="006F4BA2">
        <w:t xml:space="preserve">and </w:t>
      </w:r>
      <w:r w:rsidR="0064550D">
        <w:t xml:space="preserve">by </w:t>
      </w:r>
      <w:r w:rsidR="006F4BA2">
        <w:t>State</w:t>
      </w:r>
      <w:r w:rsidR="00D47C7E" w:rsidRPr="00095756">
        <w:t>;</w:t>
      </w:r>
    </w:p>
    <w:p w:rsidR="00CC0186" w:rsidRPr="00095756" w:rsidRDefault="00CC0186" w:rsidP="003806C8">
      <w:pPr>
        <w:pStyle w:val="ListParagraph"/>
        <w:numPr>
          <w:ilvl w:val="0"/>
          <w:numId w:val="12"/>
        </w:numPr>
      </w:pPr>
      <w:r w:rsidRPr="00095756">
        <w:t xml:space="preserve">Expenditures for land, exploration, drilling, </w:t>
      </w:r>
      <w:r w:rsidR="00CD4E28" w:rsidRPr="00095756">
        <w:t xml:space="preserve">production, </w:t>
      </w:r>
      <w:r w:rsidRPr="00095756">
        <w:t>and reclamation in the U.S. uranium production industry;</w:t>
      </w:r>
    </w:p>
    <w:p w:rsidR="005B34F5" w:rsidRPr="00095756" w:rsidRDefault="00792420" w:rsidP="003806C8">
      <w:pPr>
        <w:pStyle w:val="ListParagraph"/>
        <w:numPr>
          <w:ilvl w:val="0"/>
          <w:numId w:val="12"/>
        </w:numPr>
      </w:pPr>
      <w:r w:rsidRPr="00095756">
        <w:t xml:space="preserve">U.S. questionnaire </w:t>
      </w:r>
      <w:r w:rsidR="006C2EB8" w:rsidRPr="00095756">
        <w:t xml:space="preserve">input to the </w:t>
      </w:r>
      <w:r w:rsidRPr="00095756">
        <w:rPr>
          <w:i/>
        </w:rPr>
        <w:t xml:space="preserve">Uranium Resources, Production and Demand </w:t>
      </w:r>
      <w:r w:rsidR="006C2EB8" w:rsidRPr="00095756">
        <w:t>“Red Book” (</w:t>
      </w:r>
      <w:r w:rsidRPr="00095756">
        <w:t>OECD/Nuclear Energy Agency and International Atomic Energy Agency);</w:t>
      </w:r>
    </w:p>
    <w:p w:rsidR="009109A1" w:rsidRDefault="006C2EB8" w:rsidP="003806C8">
      <w:pPr>
        <w:pStyle w:val="ListParagraph"/>
        <w:numPr>
          <w:ilvl w:val="0"/>
          <w:numId w:val="12"/>
        </w:numPr>
      </w:pPr>
      <w:r w:rsidRPr="005B34F5">
        <w:lastRenderedPageBreak/>
        <w:t xml:space="preserve">U.S. questionnaire </w:t>
      </w:r>
      <w:r>
        <w:t>input to the</w:t>
      </w:r>
      <w:r w:rsidR="009109A1" w:rsidRPr="005B34F5">
        <w:t xml:space="preserve"> </w:t>
      </w:r>
      <w:r w:rsidR="009109A1" w:rsidRPr="00F84758">
        <w:rPr>
          <w:i/>
        </w:rPr>
        <w:t>Nuclear Energy Data</w:t>
      </w:r>
      <w:r>
        <w:t xml:space="preserve"> “Brown Book” (</w:t>
      </w:r>
      <w:r w:rsidR="009109A1">
        <w:t>OECD/</w:t>
      </w:r>
      <w:r w:rsidR="009109A1" w:rsidRPr="005B34F5">
        <w:t>Nuclear Energy Agency)</w:t>
      </w:r>
      <w:r w:rsidR="009109A1">
        <w:t>;</w:t>
      </w:r>
    </w:p>
    <w:p w:rsidR="00B61F12" w:rsidRPr="00B61F12" w:rsidRDefault="00B61F12" w:rsidP="003806C8">
      <w:pPr>
        <w:pStyle w:val="ListParagraph"/>
        <w:numPr>
          <w:ilvl w:val="0"/>
          <w:numId w:val="12"/>
        </w:numPr>
      </w:pPr>
      <w:r w:rsidRPr="00B61F12">
        <w:t>U.S. input</w:t>
      </w:r>
      <w:r w:rsidR="0073192F">
        <w:t xml:space="preserve"> for </w:t>
      </w:r>
      <w:r w:rsidRPr="00B61F12">
        <w:t xml:space="preserve">the </w:t>
      </w:r>
      <w:r w:rsidRPr="00B61F12">
        <w:rPr>
          <w:rFonts w:cs="Tahoma"/>
          <w:i/>
          <w:iCs/>
          <w:color w:val="000000"/>
        </w:rPr>
        <w:t>U.S. Country Nuclear Power Profile</w:t>
      </w:r>
      <w:r w:rsidR="0073192F">
        <w:t xml:space="preserve"> </w:t>
      </w:r>
      <w:r w:rsidRPr="00B61F12">
        <w:t>(International Atomic Energy Agency);</w:t>
      </w:r>
    </w:p>
    <w:p w:rsidR="003806C8" w:rsidRDefault="003E7976" w:rsidP="003806C8">
      <w:pPr>
        <w:pStyle w:val="ListParagraph"/>
        <w:numPr>
          <w:ilvl w:val="0"/>
          <w:numId w:val="12"/>
        </w:numPr>
      </w:pPr>
      <w:r>
        <w:t xml:space="preserve">Data to support </w:t>
      </w:r>
      <w:r w:rsidR="003C7A92">
        <w:t xml:space="preserve">future updates on </w:t>
      </w:r>
      <w:r w:rsidR="00890257" w:rsidRPr="00890257">
        <w:t xml:space="preserve">U.S. </w:t>
      </w:r>
      <w:r w:rsidR="00EE6136">
        <w:t xml:space="preserve">uranium </w:t>
      </w:r>
      <w:r w:rsidR="00890257">
        <w:t>r</w:t>
      </w:r>
      <w:r w:rsidR="004B250E" w:rsidRPr="00890257">
        <w:t>eserve</w:t>
      </w:r>
      <w:r w:rsidR="00890257" w:rsidRPr="00890257">
        <w:t xml:space="preserve"> </w:t>
      </w:r>
      <w:r w:rsidR="00890257">
        <w:t>e</w:t>
      </w:r>
      <w:r w:rsidR="00890257" w:rsidRPr="00890257">
        <w:t>stimates by mining method and State</w:t>
      </w:r>
      <w:r w:rsidR="003C7A92">
        <w:t xml:space="preserve"> </w:t>
      </w:r>
      <w:hyperlink r:id="rId9" w:history="1">
        <w:r w:rsidR="003C7A92" w:rsidRPr="00A3265C">
          <w:rPr>
            <w:rStyle w:val="Hyperlink"/>
          </w:rPr>
          <w:t>(U.S. Uranium Reserve Estimates</w:t>
        </w:r>
      </w:hyperlink>
      <w:r w:rsidR="003C7A92">
        <w:t>)</w:t>
      </w:r>
      <w:r w:rsidR="00922D9C">
        <w:t>;</w:t>
      </w:r>
    </w:p>
    <w:p w:rsidR="00B26D5B" w:rsidRDefault="00922D9C" w:rsidP="003806C8">
      <w:pPr>
        <w:pStyle w:val="ListParagraph"/>
        <w:numPr>
          <w:ilvl w:val="0"/>
          <w:numId w:val="12"/>
        </w:numPr>
      </w:pPr>
      <w:r>
        <w:t>Confidential Information Protection and Statistical Efficiency Act of 2002 (</w:t>
      </w:r>
      <w:r w:rsidRPr="00043DA0">
        <w:t>CIPSEA</w:t>
      </w:r>
      <w:r>
        <w:t>)</w:t>
      </w:r>
      <w:r w:rsidR="00B26D5B">
        <w:t xml:space="preserve"> </w:t>
      </w:r>
      <w:r>
        <w:t>I</w:t>
      </w:r>
      <w:r w:rsidR="00B26D5B">
        <w:t xml:space="preserve">nformation Access Agreement </w:t>
      </w:r>
      <w:r w:rsidR="006D0C9A">
        <w:t xml:space="preserve">signed in March 2012 </w:t>
      </w:r>
      <w:r w:rsidR="00B26D5B">
        <w:t>between the EIA and U.S. Geological Survey</w:t>
      </w:r>
      <w:r>
        <w:t xml:space="preserve"> (USGS</w:t>
      </w:r>
      <w:r w:rsidR="00CC571E">
        <w:t xml:space="preserve">), to support USGS studies of domestic uranium resources including undiscovered resource assessments. </w:t>
      </w:r>
      <w:r w:rsidR="007779FC">
        <w:t xml:space="preserve"> Form EIA-851A data will be </w:t>
      </w:r>
      <w:r w:rsidR="006813F9">
        <w:t xml:space="preserve">used by </w:t>
      </w:r>
      <w:r w:rsidR="001E1AFF">
        <w:t xml:space="preserve">the </w:t>
      </w:r>
      <w:r w:rsidR="006813F9">
        <w:t xml:space="preserve">USGS </w:t>
      </w:r>
      <w:r w:rsidR="007779FC">
        <w:t>to calculate grade/tonnage curves of undiscovered uranium resources.  This agreement provides for the disclosure by the EIA of individually-identifiable survey information submitted to the EIA</w:t>
      </w:r>
      <w:r w:rsidR="000608A7">
        <w:t xml:space="preserve"> </w:t>
      </w:r>
      <w:r w:rsidR="007779FC">
        <w:t xml:space="preserve"> as confidential and for exclusively statistical purposes in accordance with the </w:t>
      </w:r>
      <w:r w:rsidR="00AE3D71">
        <w:t>Confidential</w:t>
      </w:r>
      <w:r w:rsidR="007779FC">
        <w:t xml:space="preserve"> Info</w:t>
      </w:r>
      <w:r w:rsidR="006D0C9A">
        <w:t xml:space="preserve">rmation Protection and Statistical </w:t>
      </w:r>
      <w:r w:rsidR="00AE3D71">
        <w:t>Efficiency Act of 2002 (CIPSEA) to the USGS.</w:t>
      </w:r>
      <w:r w:rsidR="009D255C">
        <w:t xml:space="preserve">  This </w:t>
      </w:r>
      <w:r w:rsidR="000608A7">
        <w:t xml:space="preserve">data </w:t>
      </w:r>
      <w:r w:rsidR="009D255C">
        <w:t>will be used for statistical purposes</w:t>
      </w:r>
      <w:r w:rsidR="001E1AFF">
        <w:t xml:space="preserve"> only </w:t>
      </w:r>
      <w:r w:rsidR="009D255C">
        <w:t xml:space="preserve">by </w:t>
      </w:r>
      <w:r w:rsidR="001E1AFF">
        <w:t xml:space="preserve">the </w:t>
      </w:r>
      <w:r w:rsidR="009D255C">
        <w:t>USGS.</w:t>
      </w:r>
    </w:p>
    <w:p w:rsidR="00AC4679" w:rsidRDefault="00AC4679" w:rsidP="00AC4679">
      <w:r w:rsidRPr="009F2C6B">
        <w:t xml:space="preserve">The data collected on the Form EIA-851Q are </w:t>
      </w:r>
      <w:r w:rsidR="00031876">
        <w:t xml:space="preserve">needed for and </w:t>
      </w:r>
      <w:r w:rsidR="00031876" w:rsidRPr="009F2C6B">
        <w:t>used to</w:t>
      </w:r>
      <w:r w:rsidR="00031876">
        <w:t xml:space="preserve"> publish quarterly</w:t>
      </w:r>
      <w:r>
        <w:t>:</w:t>
      </w:r>
    </w:p>
    <w:p w:rsidR="00AC4679" w:rsidRDefault="00AC4679" w:rsidP="00AC4679">
      <w:pPr>
        <w:pStyle w:val="ListParagraph"/>
        <w:numPr>
          <w:ilvl w:val="0"/>
          <w:numId w:val="12"/>
        </w:numPr>
      </w:pPr>
      <w:r w:rsidRPr="009F2C6B">
        <w:t>U.S. production of uranium concentrate from ore and/or solutions from different methods of mining, including</w:t>
      </w:r>
      <w:r>
        <w:t xml:space="preserve"> </w:t>
      </w:r>
      <w:r w:rsidRPr="009F2C6B">
        <w:t>in</w:t>
      </w:r>
      <w:r w:rsidR="000D5339">
        <w:t>-</w:t>
      </w:r>
      <w:r w:rsidRPr="009F2C6B">
        <w:t xml:space="preserve">situ leaching, </w:t>
      </w:r>
      <w:r>
        <w:t xml:space="preserve">open pit, </w:t>
      </w:r>
      <w:r w:rsidRPr="009F2C6B">
        <w:t>underground, and other sources;</w:t>
      </w:r>
    </w:p>
    <w:p w:rsidR="00AC4679" w:rsidRDefault="00AC4679" w:rsidP="00AC4679">
      <w:pPr>
        <w:pStyle w:val="ListParagraph"/>
        <w:numPr>
          <w:ilvl w:val="0"/>
          <w:numId w:val="12"/>
        </w:numPr>
      </w:pPr>
      <w:r>
        <w:t>Number of U.S. uranium facilities producing uranium concentrate;</w:t>
      </w:r>
    </w:p>
    <w:p w:rsidR="00AC4679" w:rsidRPr="009F2C6B" w:rsidRDefault="00AC4679" w:rsidP="00AC4679">
      <w:pPr>
        <w:pStyle w:val="ListParagraph"/>
        <w:numPr>
          <w:ilvl w:val="0"/>
          <w:numId w:val="12"/>
        </w:numPr>
      </w:pPr>
      <w:r>
        <w:t>Owner, location, capacity, and operating status of existing and planned uranium concentrate</w:t>
      </w:r>
      <w:r w:rsidR="000918A4">
        <w:t xml:space="preserve"> processing</w:t>
      </w:r>
      <w:r>
        <w:t xml:space="preserve"> facilities.</w:t>
      </w:r>
    </w:p>
    <w:p w:rsidR="006344A0" w:rsidRPr="00387D31" w:rsidRDefault="006344A0" w:rsidP="006344A0">
      <w:bookmarkStart w:id="7" w:name="_Toc524334488"/>
      <w:bookmarkStart w:id="8" w:name="_Toc524334570"/>
      <w:bookmarkStart w:id="9" w:name="_Toc524334718"/>
      <w:bookmarkStart w:id="10" w:name="_Toc524334911"/>
      <w:r w:rsidRPr="00387D31">
        <w:t xml:space="preserve">The data collected on the Form EIA-858 are </w:t>
      </w:r>
      <w:r w:rsidR="00427BC9">
        <w:t xml:space="preserve">needed for and </w:t>
      </w:r>
      <w:r w:rsidR="00427BC9" w:rsidRPr="009F2C6B">
        <w:t>used to</w:t>
      </w:r>
      <w:r w:rsidR="00427BC9">
        <w:t xml:space="preserve"> publish annually</w:t>
      </w:r>
      <w:r w:rsidRPr="00387D31">
        <w:t>:</w:t>
      </w:r>
    </w:p>
    <w:p w:rsidR="006344A0" w:rsidRPr="00387D31" w:rsidRDefault="00603B36" w:rsidP="006344A0">
      <w:pPr>
        <w:pStyle w:val="ListParagraph"/>
        <w:numPr>
          <w:ilvl w:val="0"/>
          <w:numId w:val="12"/>
        </w:numPr>
      </w:pPr>
      <w:r>
        <w:t>Data made available</w:t>
      </w:r>
      <w:r w:rsidR="006344A0" w:rsidRPr="00387D31">
        <w:t xml:space="preserve"> to Congress </w:t>
      </w:r>
      <w:r w:rsidR="00B82280">
        <w:t xml:space="preserve">on </w:t>
      </w:r>
      <w:r w:rsidR="006344A0" w:rsidRPr="00387D31">
        <w:t>the origin countries and sellers of any uranium and enrichment services purchased or imported into the United States by owners or operators of any U.S. civilian nuclear power reactors;</w:t>
      </w:r>
    </w:p>
    <w:p w:rsidR="006344A0" w:rsidRPr="00387D31" w:rsidRDefault="00DF339A" w:rsidP="006344A0">
      <w:pPr>
        <w:pStyle w:val="ListParagraph"/>
        <w:numPr>
          <w:ilvl w:val="0"/>
          <w:numId w:val="12"/>
        </w:numPr>
      </w:pPr>
      <w:r>
        <w:t>Data</w:t>
      </w:r>
      <w:r w:rsidR="006344A0" w:rsidRPr="00387D31">
        <w:t xml:space="preserve"> on uranium marketing activities in the </w:t>
      </w:r>
      <w:r>
        <w:t xml:space="preserve">United States, including quantities, prices and origins </w:t>
      </w:r>
      <w:r w:rsidR="006344A0" w:rsidRPr="00387D31">
        <w:t>of uranium transactions</w:t>
      </w:r>
      <w:r>
        <w:t xml:space="preserve"> and enrichment services</w:t>
      </w:r>
      <w:r w:rsidR="006344A0" w:rsidRPr="00387D31">
        <w:t>, contract and material type</w:t>
      </w:r>
      <w:r>
        <w:t>s</w:t>
      </w:r>
      <w:r w:rsidR="006344A0" w:rsidRPr="00387D31">
        <w:t>,</w:t>
      </w:r>
      <w:r w:rsidR="00FC6454">
        <w:t xml:space="preserve"> </w:t>
      </w:r>
      <w:r w:rsidR="00FC6454" w:rsidRPr="00387D31">
        <w:t xml:space="preserve">domestic </w:t>
      </w:r>
      <w:r w:rsidR="00C93413">
        <w:t>and</w:t>
      </w:r>
      <w:r w:rsidR="00FC6454" w:rsidRPr="00387D31">
        <w:t xml:space="preserve"> foreign purchase</w:t>
      </w:r>
      <w:r w:rsidR="00FC6454">
        <w:t>s</w:t>
      </w:r>
      <w:r w:rsidR="00FC6454" w:rsidRPr="00387D31">
        <w:t xml:space="preserve"> and sale</w:t>
      </w:r>
      <w:r w:rsidR="00FC6454">
        <w:t>s,</w:t>
      </w:r>
      <w:r w:rsidR="006344A0" w:rsidRPr="00387D31">
        <w:t xml:space="preserve"> </w:t>
      </w:r>
      <w:r w:rsidR="00C93413">
        <w:t>origin</w:t>
      </w:r>
      <w:r w:rsidRPr="00387D31">
        <w:t xml:space="preserve"> and destinations of enrichment feed deliveries </w:t>
      </w:r>
      <w:r>
        <w:t xml:space="preserve">, </w:t>
      </w:r>
      <w:r w:rsidR="00FC6454">
        <w:t xml:space="preserve">quantity of </w:t>
      </w:r>
      <w:r w:rsidR="006344A0" w:rsidRPr="00387D31">
        <w:t>uranium loaded into U.S. civilian nuclear power reactors, and uranium inventories;</w:t>
      </w:r>
    </w:p>
    <w:p w:rsidR="00D47C7E" w:rsidRDefault="007A2CFA" w:rsidP="00387D31">
      <w:pPr>
        <w:pStyle w:val="ListParagraph"/>
        <w:numPr>
          <w:ilvl w:val="0"/>
          <w:numId w:val="12"/>
        </w:numPr>
      </w:pPr>
      <w:r>
        <w:t>D</w:t>
      </w:r>
      <w:r w:rsidR="006344A0" w:rsidRPr="00387D31">
        <w:t xml:space="preserve">ata on U.S. uranium market requirements, including </w:t>
      </w:r>
      <w:r>
        <w:t xml:space="preserve">future </w:t>
      </w:r>
      <w:r w:rsidR="006344A0" w:rsidRPr="00387D31">
        <w:t>contracted deliveries (filled requirements), unfilled market requirements, and proje</w:t>
      </w:r>
      <w:r w:rsidR="00D47C7E">
        <w:t>cted enrichment feed deliveries;</w:t>
      </w:r>
    </w:p>
    <w:p w:rsidR="002F68AE" w:rsidRDefault="002F68AE" w:rsidP="002F68AE">
      <w:pPr>
        <w:pStyle w:val="ListParagraph"/>
        <w:numPr>
          <w:ilvl w:val="0"/>
          <w:numId w:val="12"/>
        </w:numPr>
      </w:pPr>
      <w:r w:rsidRPr="005B34F5">
        <w:t xml:space="preserve">U.S. questionnaire </w:t>
      </w:r>
      <w:r>
        <w:t xml:space="preserve">input to the </w:t>
      </w:r>
      <w:r w:rsidRPr="00F84758">
        <w:rPr>
          <w:i/>
        </w:rPr>
        <w:t xml:space="preserve">Uranium Resources, Production and Demand </w:t>
      </w:r>
      <w:r>
        <w:t>“Red Book” (OECD/</w:t>
      </w:r>
      <w:r w:rsidRPr="005B34F5">
        <w:t>Nuclear Energy Agency and International Atomic Energy Agency)</w:t>
      </w:r>
      <w:r>
        <w:t>;</w:t>
      </w:r>
    </w:p>
    <w:p w:rsidR="002F68AE" w:rsidRPr="005B34F5" w:rsidRDefault="002F68AE" w:rsidP="002F68AE">
      <w:pPr>
        <w:pStyle w:val="ListParagraph"/>
        <w:numPr>
          <w:ilvl w:val="0"/>
          <w:numId w:val="12"/>
        </w:numPr>
      </w:pPr>
      <w:r w:rsidRPr="005B34F5">
        <w:t xml:space="preserve">U.S. questionnaire </w:t>
      </w:r>
      <w:r>
        <w:t>input to the</w:t>
      </w:r>
      <w:r w:rsidRPr="005B34F5">
        <w:t xml:space="preserve"> </w:t>
      </w:r>
      <w:r w:rsidRPr="00F84758">
        <w:rPr>
          <w:i/>
        </w:rPr>
        <w:t>Nuclear Energy Data</w:t>
      </w:r>
      <w:r>
        <w:t xml:space="preserve"> “Brown Book” (OECD/</w:t>
      </w:r>
      <w:r w:rsidRPr="005B34F5">
        <w:t>Nuclear Energy Agency)</w:t>
      </w:r>
      <w:r>
        <w:t>;</w:t>
      </w:r>
    </w:p>
    <w:p w:rsidR="005143C0" w:rsidRDefault="0073192F" w:rsidP="00387D31">
      <w:pPr>
        <w:pStyle w:val="ListParagraph"/>
        <w:numPr>
          <w:ilvl w:val="0"/>
          <w:numId w:val="12"/>
        </w:numPr>
      </w:pPr>
      <w:r w:rsidRPr="00B61F12">
        <w:t>U.S. input</w:t>
      </w:r>
      <w:r>
        <w:t xml:space="preserve"> for </w:t>
      </w:r>
      <w:r w:rsidRPr="00B61F12">
        <w:t xml:space="preserve">the </w:t>
      </w:r>
      <w:r w:rsidRPr="00B61F12">
        <w:rPr>
          <w:rFonts w:cs="Tahoma"/>
          <w:i/>
          <w:iCs/>
          <w:color w:val="000000"/>
        </w:rPr>
        <w:t>U.S. Country Nuclear Power Profile</w:t>
      </w:r>
      <w:r w:rsidRPr="00B61F12">
        <w:t xml:space="preserve"> (International Atomic Energy Agency)</w:t>
      </w:r>
      <w:r>
        <w:t>.</w:t>
      </w:r>
    </w:p>
    <w:p w:rsidR="003806C8" w:rsidRPr="00387D31" w:rsidRDefault="003806C8" w:rsidP="00387D31">
      <w:pPr>
        <w:pStyle w:val="ListParagraph"/>
        <w:numPr>
          <w:ilvl w:val="0"/>
          <w:numId w:val="12"/>
        </w:numPr>
      </w:pPr>
      <w:r w:rsidRPr="00387D31">
        <w:rPr>
          <w:i/>
          <w:szCs w:val="24"/>
        </w:rPr>
        <w:br w:type="page"/>
      </w:r>
    </w:p>
    <w:p w:rsidR="003806C8" w:rsidRPr="00583461" w:rsidRDefault="003806C8" w:rsidP="00A95FE0">
      <w:pPr>
        <w:pStyle w:val="Heading5"/>
        <w:ind w:left="720"/>
      </w:pPr>
      <w:bookmarkStart w:id="11" w:name="_Toc330888153"/>
      <w:r w:rsidRPr="00583461">
        <w:lastRenderedPageBreak/>
        <w:t>A.2.2. Overview of Data Collections</w:t>
      </w:r>
      <w:bookmarkEnd w:id="7"/>
      <w:bookmarkEnd w:id="8"/>
      <w:bookmarkEnd w:id="9"/>
      <w:bookmarkEnd w:id="10"/>
      <w:bookmarkEnd w:id="11"/>
    </w:p>
    <w:p w:rsidR="00B40E84" w:rsidRPr="005A39E6" w:rsidRDefault="00B40E84" w:rsidP="00B40E84">
      <w:pPr>
        <w:rPr>
          <w:color w:val="FF0000"/>
        </w:rPr>
      </w:pPr>
      <w:r w:rsidRPr="005A39E6">
        <w:t xml:space="preserve">Form EIA-851A “Domestic Uranium Production Report </w:t>
      </w:r>
      <w:r w:rsidR="005D06C5">
        <w:t>(</w:t>
      </w:r>
      <w:r w:rsidRPr="005A39E6">
        <w:t>Annual</w:t>
      </w:r>
      <w:r w:rsidR="005D06C5">
        <w:t>)</w:t>
      </w:r>
      <w:r w:rsidRPr="005A39E6">
        <w:t xml:space="preserve">” </w:t>
      </w:r>
      <w:r w:rsidRPr="005A39E6">
        <w:rPr>
          <w:rFonts w:eastAsia="Calibri" w:cs="Times New Roman"/>
        </w:rPr>
        <w:t>collects annual data from the U.S. uranium industry on uranium milling and processing, uranium feed sources, uranium mining, employment, drilling, expenditures, and uranium reserves.</w:t>
      </w:r>
    </w:p>
    <w:p w:rsidR="00B40E84" w:rsidRPr="005A39E6" w:rsidRDefault="00B40E84" w:rsidP="00B40E84">
      <w:pPr>
        <w:rPr>
          <w:rFonts w:cs="Times New Roman"/>
        </w:rPr>
      </w:pPr>
      <w:r w:rsidRPr="005A39E6">
        <w:t>Form EIA-851Q “Dom</w:t>
      </w:r>
      <w:r w:rsidR="005D06C5">
        <w:t>estic Uranium Production Report (</w:t>
      </w:r>
      <w:r w:rsidRPr="005A39E6">
        <w:t>Quarterly</w:t>
      </w:r>
      <w:r w:rsidR="005D06C5">
        <w:t>)</w:t>
      </w:r>
      <w:r w:rsidRPr="005A39E6">
        <w:t xml:space="preserve">” </w:t>
      </w:r>
      <w:r w:rsidRPr="005A39E6">
        <w:rPr>
          <w:rFonts w:eastAsia="Calibri" w:cs="Times New Roman"/>
        </w:rPr>
        <w:t>collects monthly data from the U.S. uranium industry on uranium production and sources (mines and other) on a quarterly basis.</w:t>
      </w:r>
    </w:p>
    <w:p w:rsidR="003806C8" w:rsidRPr="0050407B" w:rsidRDefault="00B40E84" w:rsidP="00B40E84">
      <w:pPr>
        <w:pStyle w:val="ListParagraph"/>
        <w:ind w:left="0"/>
      </w:pPr>
      <w:r w:rsidRPr="005A39E6">
        <w:t xml:space="preserve">Form EIA-858 “Uranium Marketing Annual Survey” </w:t>
      </w:r>
      <w:r w:rsidRPr="005A39E6">
        <w:rPr>
          <w:rFonts w:eastAsia="Calibri" w:cs="Times New Roman"/>
        </w:rPr>
        <w:t>collects annual data from the U.S. uranium market on uranium contracts, deliveries, inventories, enrichment services purchased, uranium in fuel assemblies, feed deliveries to enrichers, and unfilled market requirements. Uranium deliveries, feed deliveries to enrichers, and unfilled market requirements are reported both for the current reporting year and for the following ten years.</w:t>
      </w:r>
    </w:p>
    <w:p w:rsidR="003806C8" w:rsidRPr="00A95FE0" w:rsidRDefault="003806C8" w:rsidP="003806C8">
      <w:pPr>
        <w:pStyle w:val="Heading4"/>
        <w:rPr>
          <w:b w:val="0"/>
          <w:i w:val="0"/>
          <w:szCs w:val="24"/>
        </w:rPr>
      </w:pPr>
      <w:bookmarkStart w:id="12" w:name="_Toc524334489"/>
      <w:bookmarkStart w:id="13" w:name="_Toc524334571"/>
      <w:bookmarkStart w:id="14" w:name="_Toc524334719"/>
      <w:bookmarkStart w:id="15" w:name="_Toc524334912"/>
    </w:p>
    <w:p w:rsidR="00A95FE0" w:rsidRDefault="00A95FE0">
      <w:pPr>
        <w:rPr>
          <w:rFonts w:ascii="Times New Roman" w:eastAsia="Times New Roman" w:hAnsi="Times New Roman" w:cs="Times New Roman"/>
          <w:bCs/>
          <w:sz w:val="24"/>
          <w:szCs w:val="24"/>
        </w:rPr>
      </w:pPr>
      <w:r>
        <w:rPr>
          <w:b/>
          <w:i/>
          <w:szCs w:val="24"/>
        </w:rPr>
        <w:br w:type="page"/>
      </w:r>
    </w:p>
    <w:p w:rsidR="003806C8" w:rsidRPr="00583461" w:rsidRDefault="003806C8" w:rsidP="00817B5B">
      <w:pPr>
        <w:pStyle w:val="Heading5"/>
        <w:ind w:left="720"/>
      </w:pPr>
      <w:bookmarkStart w:id="16" w:name="_Toc330888154"/>
      <w:r w:rsidRPr="00583461">
        <w:lastRenderedPageBreak/>
        <w:t>A.2.3. Individual Form Data Uses</w:t>
      </w:r>
      <w:bookmarkEnd w:id="12"/>
      <w:bookmarkEnd w:id="13"/>
      <w:bookmarkEnd w:id="14"/>
      <w:bookmarkEnd w:id="15"/>
      <w:bookmarkEnd w:id="16"/>
    </w:p>
    <w:p w:rsidR="003806C8" w:rsidRPr="000D6A2A" w:rsidRDefault="003806C8" w:rsidP="003806C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D6A2A">
        <w:t xml:space="preserve">The </w:t>
      </w:r>
      <w:r w:rsidR="00681992">
        <w:t xml:space="preserve">EIA UDP </w:t>
      </w:r>
      <w:r w:rsidRPr="000D6A2A">
        <w:t xml:space="preserve">data </w:t>
      </w:r>
      <w:r w:rsidR="007A5538">
        <w:t>are</w:t>
      </w:r>
      <w:r w:rsidRPr="000D6A2A">
        <w:t xml:space="preserve"> collected, reviewed, tabulated and used to provide statistics on </w:t>
      </w:r>
      <w:r w:rsidR="00E24A28">
        <w:t xml:space="preserve">the </w:t>
      </w:r>
      <w:r w:rsidRPr="000D6A2A">
        <w:t xml:space="preserve">U.S. </w:t>
      </w:r>
      <w:r w:rsidR="006152A7">
        <w:t>uranium production</w:t>
      </w:r>
      <w:r w:rsidR="008B3EB3">
        <w:t xml:space="preserve"> </w:t>
      </w:r>
      <w:r w:rsidR="0022678A">
        <w:t>industry and</w:t>
      </w:r>
      <w:r w:rsidR="006152A7">
        <w:t xml:space="preserve"> market</w:t>
      </w:r>
      <w:r w:rsidRPr="000D6A2A">
        <w:t>.  The data appear in several EIA publications that are</w:t>
      </w:r>
      <w:r w:rsidR="00D7732B">
        <w:t xml:space="preserve"> available from EIA’s website</w:t>
      </w:r>
      <w:r w:rsidR="007A5538">
        <w:t>.</w:t>
      </w:r>
    </w:p>
    <w:p w:rsidR="003806C8" w:rsidRPr="00D7732B" w:rsidRDefault="006152A7" w:rsidP="003806C8">
      <w:pPr>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strike/>
        </w:rPr>
      </w:pPr>
      <w:r w:rsidRPr="00D7732B">
        <w:rPr>
          <w:i/>
        </w:rPr>
        <w:t>Domestic Uranium Production Report</w:t>
      </w:r>
      <w:r w:rsidR="00465D50" w:rsidRPr="00D7732B">
        <w:rPr>
          <w:i/>
        </w:rPr>
        <w:t xml:space="preserve"> </w:t>
      </w:r>
      <w:r w:rsidR="00D7732B" w:rsidRPr="00D7732B">
        <w:rPr>
          <w:i/>
        </w:rPr>
        <w:t>–</w:t>
      </w:r>
      <w:r w:rsidR="00465D50" w:rsidRPr="00D7732B">
        <w:rPr>
          <w:i/>
        </w:rPr>
        <w:t xml:space="preserve"> Annual</w:t>
      </w:r>
      <w:r w:rsidR="00D7732B" w:rsidRPr="00D7732B">
        <w:rPr>
          <w:i/>
        </w:rPr>
        <w:t xml:space="preserve"> </w:t>
      </w:r>
      <w:hyperlink r:id="rId10" w:history="1">
        <w:r w:rsidR="00D7732B" w:rsidRPr="00E93E97">
          <w:rPr>
            <w:rStyle w:val="Hyperlink"/>
          </w:rPr>
          <w:t>http://www.eia.gov/uranium/production/annual/</w:t>
        </w:r>
      </w:hyperlink>
    </w:p>
    <w:p w:rsidR="00D7732B" w:rsidRPr="000D6A2A" w:rsidRDefault="00D7732B" w:rsidP="00D773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rPr>
          <w:strike/>
        </w:rPr>
      </w:pPr>
    </w:p>
    <w:p w:rsidR="00AF35FA" w:rsidRPr="000D6A2A" w:rsidRDefault="00AF35FA" w:rsidP="00AF35FA">
      <w:pPr>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strike/>
        </w:rPr>
      </w:pPr>
      <w:r w:rsidRPr="00D7732B">
        <w:rPr>
          <w:i/>
        </w:rPr>
        <w:t xml:space="preserve">Domestic Uranium Production Report - Quarterly </w:t>
      </w:r>
      <w:hyperlink r:id="rId11" w:history="1">
        <w:r>
          <w:rPr>
            <w:rStyle w:val="Hyperlink"/>
          </w:rPr>
          <w:t>http://www.eia.gov/uranium/production/quarterly/</w:t>
        </w:r>
      </w:hyperlink>
    </w:p>
    <w:p w:rsidR="00D7732B" w:rsidRPr="00D7732B" w:rsidRDefault="00D7732B" w:rsidP="00D773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pPr>
    </w:p>
    <w:p w:rsidR="00D7732B" w:rsidRPr="00D7732B" w:rsidRDefault="006152A7" w:rsidP="00D7732B">
      <w:pPr>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i/>
        </w:rPr>
      </w:pPr>
      <w:r w:rsidRPr="00D7732B">
        <w:rPr>
          <w:i/>
        </w:rPr>
        <w:t>Uranium Marketing Annual Report</w:t>
      </w:r>
    </w:p>
    <w:p w:rsidR="003806C8" w:rsidRDefault="00A509D1" w:rsidP="00D773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pPr>
      <w:hyperlink r:id="rId12" w:history="1">
        <w:r w:rsidR="00090800">
          <w:rPr>
            <w:rStyle w:val="Hyperlink"/>
          </w:rPr>
          <w:t>http://www.eia.gov/uranium/marketing/</w:t>
        </w:r>
      </w:hyperlink>
    </w:p>
    <w:p w:rsidR="00D7732B" w:rsidRPr="000D6A2A" w:rsidRDefault="00D7732B" w:rsidP="00D773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pPr>
    </w:p>
    <w:p w:rsidR="00D7732B" w:rsidRDefault="003806C8" w:rsidP="003806C8">
      <w:pPr>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pPr>
      <w:r w:rsidRPr="00D7732B">
        <w:rPr>
          <w:i/>
        </w:rPr>
        <w:t>Annual Energy Review</w:t>
      </w:r>
    </w:p>
    <w:p w:rsidR="003806C8" w:rsidRPr="000D6A2A" w:rsidRDefault="00A509D1" w:rsidP="00D773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720"/>
      </w:pPr>
      <w:hyperlink r:id="rId13" w:history="1">
        <w:r w:rsidR="00BC1DD9">
          <w:rPr>
            <w:rStyle w:val="Hyperlink"/>
          </w:rPr>
          <w:t>http://www.eia.gov/totalenergy/data/annual/</w:t>
        </w:r>
      </w:hyperlink>
    </w:p>
    <w:p w:rsidR="00A95FE0" w:rsidRDefault="00A95FE0">
      <w:pPr>
        <w:rPr>
          <w:rFonts w:ascii="Times New Roman" w:eastAsia="Times New Roman" w:hAnsi="Times New Roman" w:cs="Times New Roman"/>
          <w:sz w:val="24"/>
          <w:szCs w:val="20"/>
        </w:rPr>
      </w:pPr>
      <w:r>
        <w:br w:type="page"/>
      </w:r>
    </w:p>
    <w:p w:rsidR="003806C8" w:rsidRDefault="003806C8" w:rsidP="00A95FE0">
      <w:pPr>
        <w:pStyle w:val="Heading5"/>
      </w:pPr>
      <w:bookmarkStart w:id="17" w:name="_Toc318697074"/>
      <w:bookmarkStart w:id="18" w:name="_Toc524334491"/>
      <w:bookmarkStart w:id="19" w:name="_Toc524334573"/>
      <w:bookmarkStart w:id="20" w:name="_Toc524334721"/>
      <w:bookmarkStart w:id="21" w:name="_Toc524334914"/>
      <w:bookmarkStart w:id="22" w:name="_Toc330888155"/>
      <w:r w:rsidRPr="00583461">
        <w:lastRenderedPageBreak/>
        <w:t>A.3. Use of Technology</w:t>
      </w:r>
      <w:bookmarkEnd w:id="17"/>
      <w:bookmarkEnd w:id="22"/>
    </w:p>
    <w:p w:rsidR="00B92317" w:rsidRPr="00B92317" w:rsidRDefault="00B92317" w:rsidP="006709E5">
      <w:pPr>
        <w:pStyle w:val="Heading5"/>
        <w:ind w:left="720"/>
      </w:pPr>
      <w:bookmarkStart w:id="23" w:name="_Toc330888156"/>
      <w:r>
        <w:t>A.3</w:t>
      </w:r>
      <w:r w:rsidRPr="003806C8">
        <w:t xml:space="preserve">.1. </w:t>
      </w:r>
      <w:r>
        <w:t>General</w:t>
      </w:r>
      <w:bookmarkEnd w:id="23"/>
    </w:p>
    <w:p w:rsidR="00632932" w:rsidRDefault="003806C8" w:rsidP="003806C8">
      <w:r w:rsidRPr="000D6A2A">
        <w:t xml:space="preserve">The EIA is utilizing information technology to improve reporting options for respondents to all </w:t>
      </w:r>
      <w:r w:rsidR="00AA076E">
        <w:t>uranium</w:t>
      </w:r>
      <w:r w:rsidRPr="000D6A2A">
        <w:t xml:space="preserve"> surveys.  The EIA provide</w:t>
      </w:r>
      <w:r w:rsidR="001167BF">
        <w:t xml:space="preserve">s </w:t>
      </w:r>
      <w:r w:rsidRPr="000D6A2A">
        <w:t>an electronic e-filing system that respondents may use to complete and submit the surveys via a secure internet browser-b</w:t>
      </w:r>
      <w:r w:rsidR="00432AF9">
        <w:t xml:space="preserve">ased system.  </w:t>
      </w:r>
      <w:r w:rsidR="005C03D0" w:rsidRPr="0035736E">
        <w:t>Th</w:t>
      </w:r>
      <w:r w:rsidR="00E42ADD">
        <w:t xml:space="preserve">e e-filing </w:t>
      </w:r>
      <w:r w:rsidR="005C03D0" w:rsidRPr="0035736E">
        <w:t>system</w:t>
      </w:r>
      <w:r w:rsidR="00E42ADD">
        <w:t xml:space="preserve"> for the Form EIA-85</w:t>
      </w:r>
      <w:r w:rsidR="00E42ADD" w:rsidRPr="0035736E">
        <w:t>8</w:t>
      </w:r>
      <w:r w:rsidR="00E42ADD">
        <w:t xml:space="preserve"> survey</w:t>
      </w:r>
      <w:r w:rsidR="00E42ADD" w:rsidRPr="0035736E">
        <w:t xml:space="preserve"> </w:t>
      </w:r>
      <w:r w:rsidR="0035736E" w:rsidRPr="0035736E">
        <w:t>ha</w:t>
      </w:r>
      <w:r w:rsidR="00E42ADD">
        <w:t>s</w:t>
      </w:r>
      <w:r w:rsidR="0035736E" w:rsidRPr="0035736E">
        <w:t xml:space="preserve"> been</w:t>
      </w:r>
      <w:r w:rsidR="005C03D0" w:rsidRPr="0035736E">
        <w:t xml:space="preserve"> in operation since 20</w:t>
      </w:r>
      <w:r w:rsidR="00322809" w:rsidRPr="0035736E">
        <w:t>0</w:t>
      </w:r>
      <w:r w:rsidR="0055742A">
        <w:t xml:space="preserve">6 and </w:t>
      </w:r>
      <w:r w:rsidR="00E42ADD">
        <w:t>the e-filing system for the Form EIA-</w:t>
      </w:r>
      <w:r w:rsidR="00D541A5">
        <w:t xml:space="preserve">851A and Form EIA-851Q surveys </w:t>
      </w:r>
      <w:r w:rsidR="00E42ADD">
        <w:t xml:space="preserve">has been in operation </w:t>
      </w:r>
      <w:r w:rsidR="0055742A">
        <w:t>since 2008</w:t>
      </w:r>
      <w:r w:rsidR="005C03D0" w:rsidRPr="0035736E">
        <w:t>.</w:t>
      </w:r>
      <w:r w:rsidR="005C03D0" w:rsidRPr="00E95BD8">
        <w:rPr>
          <w:color w:val="FF0000"/>
        </w:rPr>
        <w:t xml:space="preserve">  </w:t>
      </w:r>
      <w:r w:rsidRPr="000D6A2A">
        <w:t xml:space="preserve">The e-filing system allows respondents to enter their data directly into the EIA survey database. </w:t>
      </w:r>
      <w:r w:rsidR="00432AF9">
        <w:t xml:space="preserve"> </w:t>
      </w:r>
      <w:r w:rsidRPr="000D6A2A">
        <w:t>The system also allows respondents to make necessary correction</w:t>
      </w:r>
      <w:r w:rsidR="00346D48">
        <w:t>s</w:t>
      </w:r>
      <w:r w:rsidRPr="000D6A2A">
        <w:t xml:space="preserve"> or to explain unusual events impacting the rep</w:t>
      </w:r>
      <w:r w:rsidR="00432AF9">
        <w:t>orted data prior to submission</w:t>
      </w:r>
      <w:r w:rsidR="00A22E4A">
        <w:t xml:space="preserve"> by identifying </w:t>
      </w:r>
      <w:r w:rsidR="00A22E4A" w:rsidRPr="000D6A2A">
        <w:t>data that fails edits prior to submission</w:t>
      </w:r>
      <w:r w:rsidR="00432AF9">
        <w:t xml:space="preserve">.  </w:t>
      </w:r>
      <w:r w:rsidRPr="000D6A2A">
        <w:t>This reduces respondent burden by reducing the number of times a respondent must resubmit forms prior to acceptance by EIA.</w:t>
      </w:r>
      <w:r w:rsidR="00432AF9">
        <w:t xml:space="preserve"> </w:t>
      </w:r>
      <w:r w:rsidRPr="000D6A2A">
        <w:t xml:space="preserve"> The only equipment and software the respondent is required to have is a connection to the Internet and a standard industry web browser that supports secured socket layering.  The EIA will continue to make all survey forms and instructions available for printing or downloading from the EIA website.</w:t>
      </w:r>
    </w:p>
    <w:p w:rsidR="00632932" w:rsidRDefault="00632932">
      <w:r>
        <w:br w:type="page"/>
      </w:r>
    </w:p>
    <w:p w:rsidR="003806C8" w:rsidRPr="000D6A2A" w:rsidRDefault="00632932" w:rsidP="00632932">
      <w:pPr>
        <w:pStyle w:val="Heading5"/>
        <w:ind w:left="720"/>
      </w:pPr>
      <w:bookmarkStart w:id="24" w:name="_Toc330888157"/>
      <w:r>
        <w:lastRenderedPageBreak/>
        <w:t>A.3</w:t>
      </w:r>
      <w:r w:rsidR="00237DD8">
        <w:t>.2</w:t>
      </w:r>
      <w:r w:rsidRPr="003806C8">
        <w:t xml:space="preserve">. </w:t>
      </w:r>
      <w:r w:rsidR="00F30941" w:rsidRPr="00E30279">
        <w:rPr>
          <w:szCs w:val="24"/>
        </w:rPr>
        <w:t>Use of Pick-Lists (Including Dynamic Lists)</w:t>
      </w:r>
      <w:bookmarkEnd w:id="24"/>
    </w:p>
    <w:p w:rsidR="00B94ED5" w:rsidRPr="00796DF6" w:rsidRDefault="00B94ED5">
      <w:r w:rsidRPr="00796DF6">
        <w:t>Pick-lists are a means of limiting a respondent’s answers to a question to a finite set of acceptable choices.  The objectives are to reduce respondent burden and to improve data quality, while reducing the time and effort needed by EIA to edit a response.</w:t>
      </w:r>
    </w:p>
    <w:p w:rsidR="00415BE0" w:rsidRPr="00796DF6" w:rsidRDefault="00415BE0" w:rsidP="00415BE0">
      <w:r w:rsidRPr="00796DF6">
        <w:t>Pick-lists</w:t>
      </w:r>
      <w:r w:rsidRPr="00796DF6">
        <w:rPr>
          <w:rStyle w:val="FootnoteReference"/>
        </w:rPr>
        <w:footnoteReference w:id="1"/>
      </w:r>
      <w:r w:rsidRPr="00796DF6">
        <w:t xml:space="preserve"> are used in software-enabled surveys to:</w:t>
      </w:r>
    </w:p>
    <w:p w:rsidR="00415BE0" w:rsidRPr="00796DF6" w:rsidRDefault="00415BE0" w:rsidP="00415BE0">
      <w:pPr>
        <w:pStyle w:val="ListParagraph"/>
        <w:numPr>
          <w:ilvl w:val="0"/>
          <w:numId w:val="19"/>
        </w:numPr>
        <w:spacing w:line="240" w:lineRule="auto"/>
        <w:contextualSpacing w:val="0"/>
        <w:rPr>
          <w:rFonts w:eastAsia="Calibri"/>
        </w:rPr>
      </w:pPr>
      <w:r w:rsidRPr="00796DF6">
        <w:rPr>
          <w:rFonts w:eastAsia="Calibri"/>
        </w:rPr>
        <w:t xml:space="preserve">Avoid typographical errors, such as mistyping the abbreviation for a state or month; </w:t>
      </w:r>
    </w:p>
    <w:p w:rsidR="00415BE0" w:rsidRPr="00796DF6" w:rsidRDefault="00415BE0" w:rsidP="00415BE0">
      <w:pPr>
        <w:pStyle w:val="ListParagraph"/>
        <w:numPr>
          <w:ilvl w:val="0"/>
          <w:numId w:val="19"/>
        </w:numPr>
        <w:spacing w:line="240" w:lineRule="auto"/>
        <w:contextualSpacing w:val="0"/>
        <w:rPr>
          <w:rFonts w:eastAsia="Calibri"/>
        </w:rPr>
      </w:pPr>
      <w:r w:rsidRPr="00796DF6">
        <w:rPr>
          <w:rFonts w:eastAsia="Calibri"/>
        </w:rPr>
        <w:t xml:space="preserve">Assure consistent responses to questions asking standard information, such as entering a state as text or a number; </w:t>
      </w:r>
    </w:p>
    <w:p w:rsidR="00415BE0" w:rsidRPr="00796DF6" w:rsidRDefault="00415BE0" w:rsidP="00415BE0">
      <w:pPr>
        <w:pStyle w:val="ListParagraph"/>
        <w:numPr>
          <w:ilvl w:val="0"/>
          <w:numId w:val="19"/>
        </w:numPr>
        <w:spacing w:line="240" w:lineRule="auto"/>
        <w:contextualSpacing w:val="0"/>
        <w:rPr>
          <w:rFonts w:eastAsia="Calibri"/>
        </w:rPr>
      </w:pPr>
      <w:r w:rsidRPr="00796DF6">
        <w:rPr>
          <w:rFonts w:eastAsia="Calibri"/>
        </w:rPr>
        <w:t xml:space="preserve">Assure consistent responses to questions asking for technical information when the same concept has multiple monikers (e.g., “short term” and “spot” fuel supply contracts).  </w:t>
      </w:r>
    </w:p>
    <w:p w:rsidR="00415BE0" w:rsidRPr="00796DF6" w:rsidRDefault="00415BE0" w:rsidP="00415BE0">
      <w:r w:rsidRPr="00796DF6">
        <w:t>When the pick-list requests a choice of technical information, the list typically includes an “Other” choice.  In some cases the “Other” choice is accompanied by a request for the respondent to provide additional information in a comment area in the survey.  The “Other” choice acts as a mechanism to ensure that the form is capable of collecting all possible categories when a pick-list is variable.</w:t>
      </w:r>
    </w:p>
    <w:p w:rsidR="00415BE0" w:rsidRPr="00796DF6" w:rsidRDefault="00415BE0" w:rsidP="00415BE0">
      <w:r w:rsidRPr="00796DF6">
        <w:t xml:space="preserve"> There are three types of pick-lists that may be used in software-enabled EIA surveys:</w:t>
      </w:r>
    </w:p>
    <w:p w:rsidR="00415BE0" w:rsidRPr="00796DF6" w:rsidRDefault="00415BE0" w:rsidP="00415BE0">
      <w:pPr>
        <w:pStyle w:val="ListParagraph"/>
        <w:numPr>
          <w:ilvl w:val="0"/>
          <w:numId w:val="20"/>
        </w:numPr>
        <w:spacing w:line="240" w:lineRule="auto"/>
        <w:contextualSpacing w:val="0"/>
        <w:rPr>
          <w:rFonts w:eastAsia="Calibri"/>
        </w:rPr>
      </w:pPr>
      <w:r w:rsidRPr="00796DF6">
        <w:rPr>
          <w:rFonts w:eastAsia="Calibri"/>
        </w:rPr>
        <w:t>Static pick-lists include information which does not change, such as a list of months.</w:t>
      </w:r>
    </w:p>
    <w:p w:rsidR="00415BE0" w:rsidRPr="00796DF6" w:rsidRDefault="00415BE0" w:rsidP="00415BE0">
      <w:pPr>
        <w:pStyle w:val="ListParagraph"/>
        <w:numPr>
          <w:ilvl w:val="0"/>
          <w:numId w:val="20"/>
        </w:numPr>
        <w:spacing w:line="240" w:lineRule="auto"/>
        <w:contextualSpacing w:val="0"/>
        <w:rPr>
          <w:rFonts w:eastAsia="Calibri"/>
        </w:rPr>
      </w:pPr>
      <w:r w:rsidRPr="00796DF6">
        <w:rPr>
          <w:rFonts w:eastAsia="Calibri"/>
        </w:rPr>
        <w:t xml:space="preserve">Variable pick-lists include choices that may be changed by EIA depending on the period of time covered by the survey or another circumstance.  </w:t>
      </w:r>
    </w:p>
    <w:p w:rsidR="00415BE0" w:rsidRPr="00796DF6" w:rsidRDefault="00415BE0" w:rsidP="00415BE0">
      <w:pPr>
        <w:pStyle w:val="ListParagraph"/>
        <w:numPr>
          <w:ilvl w:val="1"/>
          <w:numId w:val="20"/>
        </w:numPr>
        <w:spacing w:line="240" w:lineRule="auto"/>
        <w:contextualSpacing w:val="0"/>
        <w:rPr>
          <w:rFonts w:eastAsia="Calibri"/>
        </w:rPr>
      </w:pPr>
      <w:r w:rsidRPr="00796DF6">
        <w:rPr>
          <w:rFonts w:eastAsia="Calibri"/>
          <w:b/>
        </w:rPr>
        <w:t>Time Dependent</w:t>
      </w:r>
      <w:r w:rsidRPr="00796DF6">
        <w:rPr>
          <w:rFonts w:eastAsia="Calibri"/>
        </w:rPr>
        <w:t xml:space="preserve">: </w:t>
      </w:r>
      <w:r w:rsidRPr="00232D9A">
        <w:t>In the case of t</w:t>
      </w:r>
      <w:r w:rsidR="009E3A87">
        <w:t xml:space="preserve">he </w:t>
      </w:r>
      <w:r w:rsidRPr="00232D9A">
        <w:t>EIA-</w:t>
      </w:r>
      <w:r w:rsidR="00232D9A" w:rsidRPr="00232D9A">
        <w:t>858</w:t>
      </w:r>
      <w:r w:rsidR="009E3A87">
        <w:t xml:space="preserve"> </w:t>
      </w:r>
      <w:r w:rsidR="009E3A87" w:rsidRPr="00232D9A">
        <w:t>Item 6</w:t>
      </w:r>
      <w:r w:rsidR="00232D9A" w:rsidRPr="00232D9A">
        <w:t>, data is collected</w:t>
      </w:r>
      <w:r w:rsidRPr="00232D9A">
        <w:t xml:space="preserve"> </w:t>
      </w:r>
      <w:r w:rsidR="00232D9A" w:rsidRPr="00232D9A">
        <w:rPr>
          <w:rFonts w:ascii="Calibri" w:eastAsia="Calibri" w:hAnsi="Calibri" w:cs="Times New Roman"/>
        </w:rPr>
        <w:t>for the following ten years</w:t>
      </w:r>
      <w:r w:rsidRPr="00232D9A">
        <w:t xml:space="preserve">.  Therefore, for the </w:t>
      </w:r>
      <w:r w:rsidR="00232D9A" w:rsidRPr="00232D9A">
        <w:t>2012</w:t>
      </w:r>
      <w:r w:rsidRPr="00232D9A">
        <w:t xml:space="preserve"> data collection the pick-list of </w:t>
      </w:r>
      <w:r w:rsidR="00232D9A" w:rsidRPr="00232D9A">
        <w:t>years</w:t>
      </w:r>
      <w:r w:rsidRPr="00232D9A">
        <w:t xml:space="preserve"> would be limited to </w:t>
      </w:r>
      <w:r w:rsidR="00232D9A" w:rsidRPr="00232D9A">
        <w:t>2013 through 2022</w:t>
      </w:r>
      <w:r w:rsidRPr="00232D9A">
        <w:t>.</w:t>
      </w:r>
    </w:p>
    <w:p w:rsidR="007B24B7" w:rsidRDefault="00415BE0" w:rsidP="007B24B7">
      <w:pPr>
        <w:pStyle w:val="ListParagraph"/>
        <w:numPr>
          <w:ilvl w:val="1"/>
          <w:numId w:val="20"/>
        </w:numPr>
        <w:spacing w:line="240" w:lineRule="auto"/>
        <w:contextualSpacing w:val="0"/>
        <w:rPr>
          <w:rFonts w:eastAsia="Calibri"/>
        </w:rPr>
      </w:pPr>
      <w:r w:rsidRPr="00796DF6">
        <w:rPr>
          <w:rFonts w:eastAsia="Calibri"/>
          <w:b/>
        </w:rPr>
        <w:t>Circumstance Dependent</w:t>
      </w:r>
      <w:r w:rsidRPr="00796DF6">
        <w:rPr>
          <w:rFonts w:eastAsia="Calibri"/>
        </w:rPr>
        <w:t xml:space="preserve">: </w:t>
      </w:r>
      <w:r w:rsidR="00BA2C02">
        <w:rPr>
          <w:rFonts w:eastAsia="Calibri"/>
        </w:rPr>
        <w:t>For instance, t</w:t>
      </w:r>
      <w:r w:rsidRPr="00BA2C02">
        <w:t>he EIA-</w:t>
      </w:r>
      <w:r w:rsidR="009F5632" w:rsidRPr="00BA2C02">
        <w:t>851A</w:t>
      </w:r>
      <w:r w:rsidR="00D14B16" w:rsidRPr="00BA2C02">
        <w:t xml:space="preserve"> and EIA-851Q</w:t>
      </w:r>
      <w:r w:rsidRPr="00BA2C02">
        <w:t xml:space="preserve"> include a pick-list of </w:t>
      </w:r>
      <w:r w:rsidR="009F5632" w:rsidRPr="00BA2C02">
        <w:rPr>
          <w:rFonts w:eastAsia="Calibri"/>
        </w:rPr>
        <w:t xml:space="preserve">uranium facility types </w:t>
      </w:r>
      <w:r w:rsidRPr="00BA2C02">
        <w:t xml:space="preserve">(such as in </w:t>
      </w:r>
      <w:r w:rsidR="009F5632" w:rsidRPr="00BA2C02">
        <w:t>Item 1</w:t>
      </w:r>
      <w:r w:rsidRPr="00BA2C02">
        <w:t>)</w:t>
      </w:r>
      <w:r w:rsidRPr="00BA2C02">
        <w:rPr>
          <w:rFonts w:eastAsia="Calibri"/>
        </w:rPr>
        <w:t xml:space="preserve">.  Therefore </w:t>
      </w:r>
      <w:r w:rsidRPr="00BA2C02">
        <w:t>the</w:t>
      </w:r>
      <w:r w:rsidRPr="00BA2C02">
        <w:rPr>
          <w:rFonts w:eastAsia="Calibri"/>
        </w:rPr>
        <w:t xml:space="preserve"> pick</w:t>
      </w:r>
      <w:r w:rsidRPr="00BA2C02">
        <w:t>-</w:t>
      </w:r>
      <w:r w:rsidRPr="00BA2C02">
        <w:rPr>
          <w:rFonts w:eastAsia="Calibri"/>
        </w:rPr>
        <w:t xml:space="preserve">list of </w:t>
      </w:r>
      <w:r w:rsidR="0096155B" w:rsidRPr="00BA2C02">
        <w:rPr>
          <w:rFonts w:eastAsia="Calibri"/>
        </w:rPr>
        <w:t>types</w:t>
      </w:r>
      <w:r w:rsidRPr="00BA2C02">
        <w:rPr>
          <w:rFonts w:eastAsia="Calibri"/>
        </w:rPr>
        <w:t xml:space="preserve"> included in a survey for </w:t>
      </w:r>
      <w:r w:rsidR="0096155B" w:rsidRPr="00BA2C02">
        <w:rPr>
          <w:rFonts w:eastAsia="Calibri"/>
        </w:rPr>
        <w:t>2011</w:t>
      </w:r>
      <w:r w:rsidRPr="00BA2C02">
        <w:rPr>
          <w:rFonts w:eastAsia="Calibri"/>
        </w:rPr>
        <w:t xml:space="preserve"> might be shorter </w:t>
      </w:r>
      <w:r w:rsidRPr="00BA2C02">
        <w:t xml:space="preserve">than the list for </w:t>
      </w:r>
      <w:r w:rsidR="0096155B" w:rsidRPr="00BA2C02">
        <w:t>2012</w:t>
      </w:r>
      <w:r w:rsidRPr="00BA2C02">
        <w:rPr>
          <w:rFonts w:eastAsia="Calibri"/>
        </w:rPr>
        <w:t xml:space="preserve"> (i.e., edited by EIA</w:t>
      </w:r>
      <w:r w:rsidRPr="00BA2C02">
        <w:t>, as a routine maintenance function,</w:t>
      </w:r>
      <w:r w:rsidRPr="00BA2C02">
        <w:rPr>
          <w:rFonts w:eastAsia="Calibri"/>
        </w:rPr>
        <w:t xml:space="preserve"> in the software application).</w:t>
      </w:r>
    </w:p>
    <w:p w:rsidR="00415BE0" w:rsidRPr="007B24B7" w:rsidRDefault="00415BE0" w:rsidP="007B24B7">
      <w:pPr>
        <w:pStyle w:val="ListParagraph"/>
        <w:numPr>
          <w:ilvl w:val="0"/>
          <w:numId w:val="20"/>
        </w:numPr>
        <w:spacing w:line="240" w:lineRule="auto"/>
        <w:contextualSpacing w:val="0"/>
        <w:rPr>
          <w:rFonts w:eastAsia="Calibri"/>
        </w:rPr>
      </w:pPr>
      <w:r w:rsidRPr="007B24B7">
        <w:rPr>
          <w:rFonts w:eastAsia="Calibri"/>
        </w:rPr>
        <w:t>Dynamic pick-lists include a list of choices that varies depending on the respondent</w:t>
      </w:r>
      <w:r w:rsidR="00084376" w:rsidRPr="007B24B7">
        <w:rPr>
          <w:rFonts w:eastAsia="Calibri"/>
        </w:rPr>
        <w:t>’s answer to another question.</w:t>
      </w:r>
    </w:p>
    <w:p w:rsidR="00415BE0" w:rsidRPr="00796DF6" w:rsidRDefault="00415BE0" w:rsidP="00415BE0">
      <w:r w:rsidRPr="00796DF6">
        <w:t xml:space="preserve">A dynamic pick-list is analogous to another standard technique in software-enabled surveys, the skip pattern, also used to avoid spurious responses and to reduce respondent burden.  As currently </w:t>
      </w:r>
      <w:r w:rsidRPr="00796DF6">
        <w:lastRenderedPageBreak/>
        <w:t>configured the</w:t>
      </w:r>
      <w:r w:rsidRPr="00881FFF">
        <w:t xml:space="preserve"> </w:t>
      </w:r>
      <w:r w:rsidR="00881FFF" w:rsidRPr="00881FFF">
        <w:t>UDP</w:t>
      </w:r>
      <w:r w:rsidR="00881FFF">
        <w:rPr>
          <w:color w:val="FF0000"/>
        </w:rPr>
        <w:t xml:space="preserve"> </w:t>
      </w:r>
      <w:r w:rsidR="00881FFF">
        <w:t xml:space="preserve">e-filing </w:t>
      </w:r>
      <w:r w:rsidR="00881FFF" w:rsidRPr="0035736E">
        <w:t>system</w:t>
      </w:r>
      <w:r w:rsidR="00881FFF">
        <w:t>s</w:t>
      </w:r>
      <w:r w:rsidRPr="00796DF6">
        <w:t xml:space="preserve"> do not include dynamic pick-lists, but this feature may be added to assist respondent data entry as part of routine software maintenance and upgrades.</w:t>
      </w:r>
    </w:p>
    <w:p w:rsidR="00B94ED5" w:rsidRDefault="00B94ED5">
      <w:pPr>
        <w:rPr>
          <w:sz w:val="24"/>
          <w:szCs w:val="24"/>
        </w:rPr>
      </w:pPr>
    </w:p>
    <w:p w:rsidR="00B94ED5" w:rsidRDefault="00B94ED5">
      <w:pPr>
        <w:rPr>
          <w:sz w:val="24"/>
          <w:szCs w:val="24"/>
        </w:rPr>
      </w:pPr>
      <w:r>
        <w:rPr>
          <w:sz w:val="24"/>
          <w:szCs w:val="24"/>
        </w:rPr>
        <w:br w:type="page"/>
      </w:r>
    </w:p>
    <w:p w:rsidR="003806C8" w:rsidRPr="00583461" w:rsidRDefault="003806C8" w:rsidP="00A95FE0">
      <w:pPr>
        <w:pStyle w:val="Heading5"/>
      </w:pPr>
      <w:bookmarkStart w:id="25" w:name="_Toc318697075"/>
      <w:bookmarkStart w:id="26" w:name="_Toc330888158"/>
      <w:r w:rsidRPr="00583461">
        <w:lastRenderedPageBreak/>
        <w:t>A.4. Efforts to Reduce Duplication</w:t>
      </w:r>
      <w:bookmarkEnd w:id="18"/>
      <w:bookmarkEnd w:id="19"/>
      <w:bookmarkEnd w:id="20"/>
      <w:bookmarkEnd w:id="21"/>
      <w:bookmarkEnd w:id="25"/>
      <w:bookmarkEnd w:id="26"/>
    </w:p>
    <w:p w:rsidR="003806C8" w:rsidRDefault="003806C8" w:rsidP="00A95FE0">
      <w:pPr>
        <w:rPr>
          <w:color w:val="FF0000"/>
          <w:szCs w:val="24"/>
        </w:rPr>
      </w:pPr>
      <w:r w:rsidRPr="00583461">
        <w:rPr>
          <w:szCs w:val="24"/>
        </w:rPr>
        <w:t>Every effort has been made</w:t>
      </w:r>
      <w:r w:rsidR="0037505C">
        <w:rPr>
          <w:szCs w:val="24"/>
        </w:rPr>
        <w:t xml:space="preserve"> by EIA</w:t>
      </w:r>
      <w:r w:rsidRPr="00583461">
        <w:rPr>
          <w:szCs w:val="24"/>
        </w:rPr>
        <w:t xml:space="preserve"> to ensure that data are not collected by more than one Federal government agency</w:t>
      </w:r>
      <w:r w:rsidR="00444B05">
        <w:rPr>
          <w:szCs w:val="24"/>
        </w:rPr>
        <w:t>.</w:t>
      </w:r>
    </w:p>
    <w:p w:rsidR="003806C8" w:rsidRPr="002D135B" w:rsidRDefault="003806C8" w:rsidP="00A95FE0">
      <w:pPr>
        <w:pStyle w:val="Heading5"/>
        <w:ind w:left="720"/>
      </w:pPr>
      <w:bookmarkStart w:id="27" w:name="_Toc524334492"/>
      <w:bookmarkStart w:id="28" w:name="_Toc524334574"/>
      <w:bookmarkStart w:id="29" w:name="_Toc524334722"/>
      <w:bookmarkStart w:id="30" w:name="_Toc524334915"/>
      <w:bookmarkStart w:id="31" w:name="_Toc309722606"/>
      <w:bookmarkStart w:id="32" w:name="_Toc318697076"/>
      <w:bookmarkStart w:id="33" w:name="_Toc330888159"/>
      <w:r w:rsidRPr="002D135B">
        <w:t>A.4.1. Analysis of Similar Existing Information</w:t>
      </w:r>
      <w:bookmarkEnd w:id="27"/>
      <w:bookmarkEnd w:id="28"/>
      <w:bookmarkEnd w:id="29"/>
      <w:bookmarkEnd w:id="30"/>
      <w:bookmarkEnd w:id="31"/>
      <w:bookmarkEnd w:id="32"/>
      <w:bookmarkEnd w:id="33"/>
    </w:p>
    <w:p w:rsidR="007D5D07" w:rsidRPr="001F3954" w:rsidRDefault="007D5D07" w:rsidP="007D5D07">
      <w:pPr>
        <w:rPr>
          <w:rFonts w:cs="Arial"/>
        </w:rPr>
      </w:pPr>
      <w:r w:rsidRPr="001F3954">
        <w:t xml:space="preserve">EIA is </w:t>
      </w:r>
      <w:r w:rsidR="00222F50">
        <w:t xml:space="preserve">the only principal </w:t>
      </w:r>
      <w:r w:rsidRPr="001F3954">
        <w:t xml:space="preserve">statistical </w:t>
      </w:r>
      <w:r w:rsidR="00222F50" w:rsidRPr="001F3954">
        <w:t>agenc</w:t>
      </w:r>
      <w:r w:rsidR="00222F50">
        <w:t>y</w:t>
      </w:r>
      <w:r w:rsidR="00222F50" w:rsidRPr="001F3954">
        <w:t xml:space="preserve"> that collect</w:t>
      </w:r>
      <w:r w:rsidR="00222F50">
        <w:t>s</w:t>
      </w:r>
      <w:r w:rsidR="00222F50" w:rsidRPr="001F3954">
        <w:t xml:space="preserve"> and/or maintains</w:t>
      </w:r>
      <w:r w:rsidRPr="001F3954">
        <w:t xml:space="preserve"> uranium </w:t>
      </w:r>
      <w:r w:rsidR="003B2FC0">
        <w:t>d</w:t>
      </w:r>
      <w:r w:rsidR="00222F50">
        <w:t>ata in the Federal Government.</w:t>
      </w:r>
    </w:p>
    <w:p w:rsidR="007D5D07" w:rsidRDefault="005B3BA7" w:rsidP="007D5D07">
      <w:r>
        <w:t>Federal agencies with statistical programs</w:t>
      </w:r>
      <w:r w:rsidR="007D5D07" w:rsidRPr="001F3954">
        <w:t xml:space="preserve"> that collect</w:t>
      </w:r>
      <w:r w:rsidR="00631063">
        <w:t xml:space="preserve"> and/or maintain </w:t>
      </w:r>
      <w:r w:rsidR="007D5D07" w:rsidRPr="001F3954">
        <w:t xml:space="preserve">uranium data in the </w:t>
      </w:r>
      <w:r w:rsidR="00631063">
        <w:t xml:space="preserve">U.S. </w:t>
      </w:r>
      <w:r w:rsidR="007D5D07" w:rsidRPr="001F3954">
        <w:t>Federal Government include:</w:t>
      </w:r>
    </w:p>
    <w:p w:rsidR="005B3BA7" w:rsidRDefault="005B3BA7" w:rsidP="005B3BA7">
      <w:pPr>
        <w:pStyle w:val="ListParagraph"/>
        <w:numPr>
          <w:ilvl w:val="0"/>
          <w:numId w:val="15"/>
        </w:numPr>
      </w:pPr>
      <w:r>
        <w:t>Environmental Protection Agency (EPA)</w:t>
      </w:r>
    </w:p>
    <w:p w:rsidR="005B3BA7" w:rsidRDefault="005B3BA7" w:rsidP="005B3BA7">
      <w:pPr>
        <w:pStyle w:val="ListParagraph"/>
        <w:numPr>
          <w:ilvl w:val="0"/>
          <w:numId w:val="15"/>
        </w:numPr>
      </w:pPr>
      <w:r>
        <w:t>U.S. Geological Survey (USGS)</w:t>
      </w:r>
    </w:p>
    <w:p w:rsidR="005B3BA7" w:rsidRPr="001F3954" w:rsidRDefault="005B3BA7" w:rsidP="007D5D07">
      <w:r>
        <w:t xml:space="preserve">Non-statistical agencies that collect and/or maintain uranium data in the U.S. Federal Government include: </w:t>
      </w:r>
    </w:p>
    <w:p w:rsidR="007D5D07" w:rsidRDefault="007D5D07" w:rsidP="007D5D07">
      <w:pPr>
        <w:pStyle w:val="ListParagraph"/>
        <w:numPr>
          <w:ilvl w:val="0"/>
          <w:numId w:val="15"/>
        </w:numPr>
      </w:pPr>
      <w:r w:rsidRPr="001F3954">
        <w:t>Department of Commerce</w:t>
      </w:r>
      <w:r w:rsidR="006153DC">
        <w:t>,</w:t>
      </w:r>
      <w:r w:rsidRPr="001F3954">
        <w:t xml:space="preserve"> Bureau of Industry and Security (BIS), U.S. Additional Protocol</w:t>
      </w:r>
      <w:r w:rsidR="004F5F7D">
        <w:t xml:space="preserve"> (AP)</w:t>
      </w:r>
    </w:p>
    <w:p w:rsidR="006153DC" w:rsidRDefault="006153DC" w:rsidP="007D5D07">
      <w:pPr>
        <w:pStyle w:val="ListParagraph"/>
        <w:numPr>
          <w:ilvl w:val="0"/>
          <w:numId w:val="15"/>
        </w:numPr>
      </w:pPr>
      <w:r>
        <w:t>Department of Commerce, International Trade Administration (ITA)</w:t>
      </w:r>
    </w:p>
    <w:p w:rsidR="00677FF9" w:rsidRDefault="0053142B" w:rsidP="007D5D07">
      <w:pPr>
        <w:pStyle w:val="ListParagraph"/>
        <w:numPr>
          <w:ilvl w:val="0"/>
          <w:numId w:val="15"/>
        </w:numPr>
      </w:pPr>
      <w:r>
        <w:t>Department of Energy, Office of Environmental Management</w:t>
      </w:r>
      <w:r w:rsidR="00545BC3">
        <w:t xml:space="preserve"> </w:t>
      </w:r>
      <w:r w:rsidR="00577C05">
        <w:t>(EM)</w:t>
      </w:r>
    </w:p>
    <w:p w:rsidR="00D717D8" w:rsidRDefault="00D717D8" w:rsidP="007D5D07">
      <w:pPr>
        <w:pStyle w:val="ListParagraph"/>
        <w:numPr>
          <w:ilvl w:val="0"/>
          <w:numId w:val="15"/>
        </w:numPr>
      </w:pPr>
      <w:r>
        <w:t>Department of Energy, Office of Legacy Management (LM)</w:t>
      </w:r>
    </w:p>
    <w:p w:rsidR="00677FF9" w:rsidRDefault="00677FF9" w:rsidP="007D5D07">
      <w:pPr>
        <w:pStyle w:val="ListParagraph"/>
        <w:numPr>
          <w:ilvl w:val="0"/>
          <w:numId w:val="15"/>
        </w:numPr>
      </w:pPr>
      <w:r>
        <w:t>Department of Energy, Office of Nuclear Energy (NE)</w:t>
      </w:r>
    </w:p>
    <w:p w:rsidR="0053142B" w:rsidRDefault="00B10468" w:rsidP="007D5D07">
      <w:pPr>
        <w:pStyle w:val="ListParagraph"/>
        <w:numPr>
          <w:ilvl w:val="0"/>
          <w:numId w:val="15"/>
        </w:numPr>
      </w:pPr>
      <w:r>
        <w:t>Department of Energy,</w:t>
      </w:r>
      <w:r w:rsidR="0053142B">
        <w:t xml:space="preserve"> National Nuclear Security Administration</w:t>
      </w:r>
      <w:r>
        <w:t xml:space="preserve"> (NNSA), Nuclear Materials Management &amp; Safeguard System (NMMSS)</w:t>
      </w:r>
    </w:p>
    <w:p w:rsidR="002D045C" w:rsidRDefault="002D045C" w:rsidP="007D5D07">
      <w:pPr>
        <w:pStyle w:val="ListParagraph"/>
        <w:numPr>
          <w:ilvl w:val="0"/>
          <w:numId w:val="15"/>
        </w:numPr>
      </w:pPr>
      <w:r>
        <w:t>Department of</w:t>
      </w:r>
      <w:r w:rsidR="00A77613">
        <w:t xml:space="preserve"> the</w:t>
      </w:r>
      <w:r>
        <w:t xml:space="preserve"> Interior, Bureau of Land Management (BLM)</w:t>
      </w:r>
    </w:p>
    <w:p w:rsidR="007D5D07" w:rsidRDefault="007D5D07" w:rsidP="007D5D07">
      <w:pPr>
        <w:pStyle w:val="ListParagraph"/>
        <w:numPr>
          <w:ilvl w:val="0"/>
          <w:numId w:val="15"/>
        </w:numPr>
      </w:pPr>
      <w:r w:rsidRPr="001F3954">
        <w:t>Nuclear Regulatory Commission (NRC)</w:t>
      </w:r>
    </w:p>
    <w:p w:rsidR="006153DC" w:rsidRPr="001F3954" w:rsidRDefault="005E6085" w:rsidP="007D5D07">
      <w:pPr>
        <w:pStyle w:val="ListParagraph"/>
        <w:numPr>
          <w:ilvl w:val="0"/>
          <w:numId w:val="15"/>
        </w:numPr>
      </w:pPr>
      <w:r>
        <w:t xml:space="preserve">U.S. </w:t>
      </w:r>
      <w:r w:rsidR="006153DC">
        <w:t xml:space="preserve">International Trade </w:t>
      </w:r>
      <w:r>
        <w:t>Commission (US ITC)</w:t>
      </w:r>
    </w:p>
    <w:p w:rsidR="00D17662" w:rsidRPr="001F3954" w:rsidRDefault="00A53946" w:rsidP="007D5D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EIA evaluated the above sources of publicly available uranium data and found no other source as comprehensive, timely, or detailed </w:t>
      </w:r>
      <w:r w:rsidR="000B7685">
        <w:t xml:space="preserve">as </w:t>
      </w:r>
      <w:r>
        <w:t>the data collected on Form EIA-851A, Form EIA-851Q, and Form EIA-858.</w:t>
      </w:r>
      <w:r w:rsidR="00152829">
        <w:t xml:space="preserve">  </w:t>
      </w:r>
      <w:r w:rsidR="00552374">
        <w:t xml:space="preserve">EIA surveys </w:t>
      </w:r>
      <w:r w:rsidR="00152829">
        <w:t xml:space="preserve">capture the entire </w:t>
      </w:r>
      <w:r w:rsidR="009A2AF4">
        <w:t xml:space="preserve">U.S. </w:t>
      </w:r>
      <w:r w:rsidR="00152829">
        <w:t>uranium industry</w:t>
      </w:r>
      <w:r w:rsidR="003368E8">
        <w:t xml:space="preserve"> and market, </w:t>
      </w:r>
      <w:r w:rsidR="00152829">
        <w:t>and keep the reporting burden to a minimum.</w:t>
      </w:r>
    </w:p>
    <w:p w:rsidR="00A95FE0" w:rsidRDefault="00A95FE0">
      <w:pPr>
        <w:rPr>
          <w:rFonts w:asciiTheme="majorHAnsi" w:eastAsiaTheme="majorEastAsia" w:hAnsiTheme="majorHAnsi" w:cs="Arial"/>
          <w:b/>
          <w:color w:val="000000"/>
          <w:szCs w:val="24"/>
        </w:rPr>
      </w:pPr>
      <w:bookmarkStart w:id="34" w:name="_Toc318697077"/>
      <w:r>
        <w:rPr>
          <w:rFonts w:cs="Arial"/>
          <w:bCs/>
          <w:color w:val="000000"/>
          <w:szCs w:val="24"/>
        </w:rPr>
        <w:br w:type="page"/>
      </w:r>
    </w:p>
    <w:p w:rsidR="003806C8" w:rsidRPr="00583461" w:rsidRDefault="003806C8" w:rsidP="00A95FE0">
      <w:pPr>
        <w:pStyle w:val="Heading5"/>
      </w:pPr>
      <w:bookmarkStart w:id="35" w:name="_Toc330888160"/>
      <w:r w:rsidRPr="00583461">
        <w:lastRenderedPageBreak/>
        <w:t>A.5. Provisions for Reducing Burden on Small Businesses</w:t>
      </w:r>
      <w:bookmarkEnd w:id="34"/>
      <w:bookmarkEnd w:id="35"/>
      <w:r w:rsidRPr="00583461">
        <w:t xml:space="preserve"> </w:t>
      </w:r>
    </w:p>
    <w:p w:rsidR="00E71313" w:rsidRPr="00A702D3" w:rsidRDefault="006031F5" w:rsidP="003806C8">
      <w:pPr>
        <w:rPr>
          <w:color w:val="000000"/>
        </w:rPr>
      </w:pPr>
      <w:r w:rsidRPr="00A702D3">
        <w:t>Minimizing the burden on small businesses responding to EIA surveys</w:t>
      </w:r>
      <w:r w:rsidR="005B3BA7">
        <w:t xml:space="preserve"> </w:t>
      </w:r>
      <w:r w:rsidRPr="00A702D3">
        <w:t xml:space="preserve">is of primary concern to the EIA.  </w:t>
      </w:r>
      <w:r w:rsidR="005B3BA7" w:rsidRPr="00A702D3">
        <w:rPr>
          <w:color w:val="000000"/>
        </w:rPr>
        <w:t xml:space="preserve">To the extent possible EIA designs its data surveys so that small operations are not unduly affected.  </w:t>
      </w:r>
      <w:r w:rsidR="005B3BA7">
        <w:t xml:space="preserve">This is especially important to the UDP as small business constitute a sizeable segment of the U.S. uranium industry.  </w:t>
      </w:r>
      <w:r w:rsidR="00FA5219" w:rsidRPr="00A702D3">
        <w:t xml:space="preserve">Companies engaged in the U.S. uranium industry range in size from small firms </w:t>
      </w:r>
      <w:r w:rsidR="0044167C">
        <w:t xml:space="preserve">to large firms.  The small firms </w:t>
      </w:r>
      <w:r w:rsidR="00FA5219" w:rsidRPr="00A702D3">
        <w:t>participate in a limited or full range of industry activities from land acquisition through exploration, drilling, mining, milling, processing, conversion, and U.S. market broker/traders</w:t>
      </w:r>
      <w:r w:rsidR="0044167C">
        <w:t>.  The large firms</w:t>
      </w:r>
      <w:r w:rsidR="00FA5219" w:rsidRPr="00A702D3">
        <w:t xml:space="preserve"> own and operate U.S. nuclear power reactors, enrich uranium, and fabricate nuclear fuel assemblies.  </w:t>
      </w:r>
      <w:r w:rsidR="00E71313" w:rsidRPr="00A702D3">
        <w:t xml:space="preserve">Given the relatively small number of firms in the </w:t>
      </w:r>
      <w:r w:rsidR="00F947C4" w:rsidRPr="00A702D3">
        <w:t xml:space="preserve">U.S. </w:t>
      </w:r>
      <w:r w:rsidR="00E71313" w:rsidRPr="00A702D3">
        <w:t xml:space="preserve">uranium industry, it is important that each firm in the industry, regardless of </w:t>
      </w:r>
      <w:r w:rsidR="00B413A0" w:rsidRPr="00A702D3">
        <w:t>its</w:t>
      </w:r>
      <w:r w:rsidR="00E71313" w:rsidRPr="00A702D3">
        <w:t xml:space="preserve"> size, participate in the EIA's </w:t>
      </w:r>
      <w:r w:rsidR="00A026F3" w:rsidRPr="00A702D3">
        <w:t>UDP</w:t>
      </w:r>
      <w:r w:rsidR="00E71313" w:rsidRPr="00A702D3">
        <w:t xml:space="preserve"> surveys in order for the resulting statistical information to accurately represent the entire </w:t>
      </w:r>
      <w:r w:rsidR="005D5E51" w:rsidRPr="00A702D3">
        <w:t>U.S.</w:t>
      </w:r>
      <w:r w:rsidR="00E71313" w:rsidRPr="00A702D3">
        <w:t xml:space="preserve"> industry</w:t>
      </w:r>
      <w:r w:rsidR="00C657D6" w:rsidRPr="00A702D3">
        <w:t xml:space="preserve"> and market</w:t>
      </w:r>
      <w:r w:rsidR="00E71313" w:rsidRPr="00A702D3">
        <w:t>.</w:t>
      </w:r>
      <w:r w:rsidR="00326C67" w:rsidRPr="00A702D3">
        <w:t xml:space="preserve">  </w:t>
      </w:r>
      <w:r w:rsidR="00C74088" w:rsidRPr="00A702D3">
        <w:rPr>
          <w:color w:val="000000"/>
        </w:rPr>
        <w:t xml:space="preserve">To accomplish this, the </w:t>
      </w:r>
      <w:r w:rsidR="00E71313" w:rsidRPr="00A702D3">
        <w:t xml:space="preserve">UDP survey forms </w:t>
      </w:r>
      <w:r w:rsidR="002A6581" w:rsidRPr="00A702D3">
        <w:t xml:space="preserve">only </w:t>
      </w:r>
      <w:r w:rsidR="00E71313" w:rsidRPr="00A702D3">
        <w:t xml:space="preserve">request data for items that are normally recorded in maintaining any business.  Of the data elements requested, </w:t>
      </w:r>
      <w:r w:rsidR="00376D3D" w:rsidRPr="00A702D3">
        <w:t xml:space="preserve">EIA anticipates that </w:t>
      </w:r>
      <w:r w:rsidR="00E71313" w:rsidRPr="00A702D3">
        <w:t>little time will</w:t>
      </w:r>
      <w:r w:rsidR="00376D3D" w:rsidRPr="00A702D3">
        <w:t xml:space="preserve"> be</w:t>
      </w:r>
      <w:r w:rsidR="00E71313" w:rsidRPr="00A702D3">
        <w:t xml:space="preserve"> </w:t>
      </w:r>
      <w:r w:rsidR="00AE2F98" w:rsidRPr="00A702D3">
        <w:t>required of</w:t>
      </w:r>
      <w:r w:rsidR="003D4784" w:rsidRPr="00A702D3">
        <w:t xml:space="preserve"> </w:t>
      </w:r>
      <w:r w:rsidR="00E71313" w:rsidRPr="00A702D3">
        <w:t>small companies in preparing their responses.</w:t>
      </w:r>
      <w:r w:rsidR="00A702D3" w:rsidRPr="00A702D3">
        <w:t xml:space="preserve">  </w:t>
      </w:r>
      <w:r w:rsidR="00A702D3" w:rsidRPr="00A702D3">
        <w:rPr>
          <w:color w:val="000000"/>
        </w:rPr>
        <w:t xml:space="preserve">The use of electronic data collection, including features such as pick-lists (see A.3., above) is also intended to reduce the response </w:t>
      </w:r>
      <w:r w:rsidR="00B04690">
        <w:rPr>
          <w:color w:val="000000"/>
        </w:rPr>
        <w:t xml:space="preserve">burden on </w:t>
      </w:r>
      <w:r w:rsidR="00A702D3" w:rsidRPr="00A702D3">
        <w:rPr>
          <w:color w:val="000000"/>
        </w:rPr>
        <w:t>small business.</w:t>
      </w:r>
    </w:p>
    <w:p w:rsidR="00A95FE0" w:rsidRDefault="00A95FE0">
      <w:pPr>
        <w:rPr>
          <w:rFonts w:asciiTheme="majorHAnsi" w:eastAsiaTheme="majorEastAsia" w:hAnsiTheme="majorHAnsi" w:cstheme="majorBidi"/>
          <w:b/>
          <w:bCs/>
          <w:color w:val="4F81BD" w:themeColor="accent1"/>
          <w:szCs w:val="24"/>
        </w:rPr>
      </w:pPr>
      <w:bookmarkStart w:id="36" w:name="_Toc524334494"/>
      <w:bookmarkStart w:id="37" w:name="_Toc524334576"/>
      <w:bookmarkStart w:id="38" w:name="_Toc524334724"/>
      <w:bookmarkStart w:id="39" w:name="_Toc524334917"/>
      <w:r>
        <w:rPr>
          <w:szCs w:val="24"/>
        </w:rPr>
        <w:br w:type="page"/>
      </w:r>
    </w:p>
    <w:p w:rsidR="003806C8" w:rsidRPr="00583461" w:rsidRDefault="003806C8" w:rsidP="00A95FE0">
      <w:pPr>
        <w:pStyle w:val="Heading5"/>
      </w:pPr>
      <w:bookmarkStart w:id="40" w:name="_Toc318697078"/>
      <w:bookmarkStart w:id="41" w:name="_Toc330888161"/>
      <w:r w:rsidRPr="00583461">
        <w:lastRenderedPageBreak/>
        <w:t>A.6. Consequences of Less-Frequent Reporting</w:t>
      </w:r>
      <w:bookmarkEnd w:id="36"/>
      <w:bookmarkEnd w:id="37"/>
      <w:bookmarkEnd w:id="38"/>
      <w:bookmarkEnd w:id="39"/>
      <w:bookmarkEnd w:id="40"/>
      <w:bookmarkEnd w:id="41"/>
    </w:p>
    <w:p w:rsidR="007413F4" w:rsidRPr="00CD6071" w:rsidRDefault="00801190" w:rsidP="003806C8">
      <w:r w:rsidRPr="00CD6071">
        <w:t>Less frequent reporting would not enable EIA to meet its mandate of providing timely, reliable information on the U.S.</w:t>
      </w:r>
      <w:r>
        <w:t xml:space="preserve"> uranium industry</w:t>
      </w:r>
      <w:r w:rsidR="00DD34B7">
        <w:t xml:space="preserve"> and market</w:t>
      </w:r>
      <w:r>
        <w:t xml:space="preserve"> to </w:t>
      </w:r>
      <w:r w:rsidR="00631F13">
        <w:t xml:space="preserve">the </w:t>
      </w:r>
      <w:r w:rsidR="00F81E88">
        <w:t xml:space="preserve">Congress, other Federal, State and </w:t>
      </w:r>
      <w:r w:rsidR="00011000">
        <w:t>l</w:t>
      </w:r>
      <w:r w:rsidR="003806C8" w:rsidRPr="00CD6071">
        <w:t>ocal governments, industry</w:t>
      </w:r>
      <w:r w:rsidR="00DD34B7">
        <w:t>, and the general public</w:t>
      </w:r>
      <w:r w:rsidR="00F81E88">
        <w:t>.</w:t>
      </w:r>
      <w:r w:rsidR="003B2FC0">
        <w:t xml:space="preserve">  </w:t>
      </w:r>
      <w:r w:rsidR="007413F4" w:rsidRPr="00CD6071">
        <w:t>Form EIA-851A and Form EIA-858 surveys collect uran</w:t>
      </w:r>
      <w:r w:rsidR="008956A7">
        <w:t xml:space="preserve">ium data </w:t>
      </w:r>
      <w:r w:rsidR="00011000">
        <w:t>on an annual basis</w:t>
      </w:r>
      <w:r w:rsidR="008956A7">
        <w:t>.</w:t>
      </w:r>
      <w:r w:rsidR="003B2FC0">
        <w:t xml:space="preserve"> </w:t>
      </w:r>
      <w:r w:rsidR="008956A7">
        <w:t xml:space="preserve"> </w:t>
      </w:r>
      <w:r w:rsidR="007413F4" w:rsidRPr="00CD6071">
        <w:t xml:space="preserve">Form EIA-851Q survey collects three months of </w:t>
      </w:r>
      <w:r w:rsidR="00CA200F">
        <w:t xml:space="preserve">U.S. </w:t>
      </w:r>
      <w:r w:rsidR="007413F4" w:rsidRPr="00CD6071">
        <w:t xml:space="preserve">uranium production data </w:t>
      </w:r>
      <w:r w:rsidR="00EF35D5">
        <w:t>on a quarterly basis</w:t>
      </w:r>
      <w:r w:rsidR="007413F4" w:rsidRPr="00CD6071">
        <w:t xml:space="preserve">.  </w:t>
      </w:r>
    </w:p>
    <w:p w:rsidR="00A95FE0" w:rsidRDefault="00A95FE0">
      <w:pPr>
        <w:rPr>
          <w:b/>
          <w:bCs/>
          <w:sz w:val="24"/>
          <w:szCs w:val="24"/>
        </w:rPr>
      </w:pPr>
      <w:r>
        <w:rPr>
          <w:b/>
          <w:bCs/>
          <w:sz w:val="24"/>
          <w:szCs w:val="24"/>
        </w:rPr>
        <w:br w:type="page"/>
      </w:r>
    </w:p>
    <w:p w:rsidR="003806C8" w:rsidRPr="00583461" w:rsidRDefault="003806C8" w:rsidP="00A95FE0">
      <w:pPr>
        <w:pStyle w:val="Heading5"/>
      </w:pPr>
      <w:bookmarkStart w:id="42" w:name="_Toc318697079"/>
      <w:bookmarkStart w:id="43" w:name="_Toc330888162"/>
      <w:r w:rsidRPr="00583461">
        <w:lastRenderedPageBreak/>
        <w:t>A.7. Compliance with 5 CFR 1320.</w:t>
      </w:r>
      <w:bookmarkEnd w:id="42"/>
      <w:r w:rsidR="00673DFC" w:rsidRPr="00673DFC">
        <w:rPr>
          <w:color w:val="auto"/>
        </w:rPr>
        <w:t>5</w:t>
      </w:r>
      <w:bookmarkEnd w:id="43"/>
    </w:p>
    <w:p w:rsidR="003806C8" w:rsidRPr="000D6A2A" w:rsidRDefault="00827D57" w:rsidP="003806C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EIA U</w:t>
      </w:r>
      <w:r w:rsidR="002D05DE">
        <w:t>D</w:t>
      </w:r>
      <w:r>
        <w:t>P</w:t>
      </w:r>
      <w:r w:rsidR="003806C8" w:rsidRPr="000D6A2A">
        <w:t xml:space="preserve"> data are being collected consistent with the guidelines in 5 C.F.R. 1320.5. </w:t>
      </w:r>
    </w:p>
    <w:p w:rsidR="00A95FE0" w:rsidRDefault="00A95FE0">
      <w:bookmarkStart w:id="44" w:name="_Toc524334496"/>
      <w:bookmarkStart w:id="45" w:name="_Toc524334578"/>
      <w:bookmarkStart w:id="46" w:name="_Toc524334726"/>
      <w:bookmarkStart w:id="47" w:name="_Toc524334919"/>
      <w:r>
        <w:br w:type="page"/>
      </w:r>
    </w:p>
    <w:p w:rsidR="003806C8" w:rsidRPr="00583461" w:rsidRDefault="003806C8" w:rsidP="00A95FE0">
      <w:pPr>
        <w:pStyle w:val="Heading5"/>
      </w:pPr>
      <w:bookmarkStart w:id="48" w:name="_Toc318697080"/>
      <w:bookmarkStart w:id="49" w:name="_Toc330888163"/>
      <w:r w:rsidRPr="00583461">
        <w:lastRenderedPageBreak/>
        <w:t>A.8. Summary of Consultations outside the Agency</w:t>
      </w:r>
      <w:bookmarkEnd w:id="44"/>
      <w:bookmarkEnd w:id="45"/>
      <w:bookmarkEnd w:id="46"/>
      <w:bookmarkEnd w:id="47"/>
      <w:bookmarkEnd w:id="48"/>
      <w:bookmarkEnd w:id="49"/>
    </w:p>
    <w:p w:rsidR="003806C8" w:rsidRPr="00673DFC" w:rsidRDefault="003806C8" w:rsidP="00A95FE0">
      <w:pPr>
        <w:rPr>
          <w:color w:val="0000FF"/>
        </w:rPr>
      </w:pPr>
      <w:r w:rsidRPr="00673DFC">
        <w:t>Consultations were conducted</w:t>
      </w:r>
      <w:r w:rsidR="00577BDB">
        <w:t xml:space="preserve"> by EIA </w:t>
      </w:r>
      <w:r w:rsidRPr="00673DFC">
        <w:t xml:space="preserve">using a </w:t>
      </w:r>
      <w:r w:rsidRPr="008D3600">
        <w:rPr>
          <w:i/>
        </w:rPr>
        <w:t>Federal Register</w:t>
      </w:r>
      <w:r w:rsidR="00673DFC" w:rsidRPr="00673DFC">
        <w:t xml:space="preserve"> N</w:t>
      </w:r>
      <w:r w:rsidRPr="00673DFC">
        <w:t xml:space="preserve">otice (FR Vol. </w:t>
      </w:r>
      <w:r w:rsidR="00BD74E3" w:rsidRPr="00673DFC">
        <w:t>77</w:t>
      </w:r>
      <w:r w:rsidRPr="00673DFC">
        <w:t xml:space="preserve">, No. </w:t>
      </w:r>
      <w:r w:rsidR="00BD74E3" w:rsidRPr="00673DFC">
        <w:t>58</w:t>
      </w:r>
      <w:r w:rsidRPr="00673DFC">
        <w:t>, p</w:t>
      </w:r>
      <w:r w:rsidR="003E64DE">
        <w:t>p</w:t>
      </w:r>
      <w:r w:rsidRPr="00673DFC">
        <w:t xml:space="preserve">. </w:t>
      </w:r>
      <w:r w:rsidR="00BD74E3" w:rsidRPr="00673DFC">
        <w:t>17464-17465</w:t>
      </w:r>
      <w:r w:rsidRPr="00673DFC">
        <w:t xml:space="preserve">) published on </w:t>
      </w:r>
      <w:r w:rsidR="00BD74E3" w:rsidRPr="00673DFC">
        <w:t>March 26, 2012</w:t>
      </w:r>
      <w:r w:rsidRPr="00673DFC">
        <w:t xml:space="preserve">.  Copies of the notice were </w:t>
      </w:r>
      <w:r w:rsidR="00577BDB">
        <w:t>e-</w:t>
      </w:r>
      <w:r w:rsidRPr="00673DFC">
        <w:t>mailed to potential respondents</w:t>
      </w:r>
      <w:r w:rsidR="00BD74E3" w:rsidRPr="00673DFC">
        <w:t xml:space="preserve"> and </w:t>
      </w:r>
      <w:r w:rsidR="00CA162B">
        <w:t xml:space="preserve">the </w:t>
      </w:r>
      <w:r w:rsidR="00BD74E3" w:rsidRPr="00673DFC">
        <w:t xml:space="preserve">Nuclear Energy </w:t>
      </w:r>
      <w:r w:rsidR="001A2D24" w:rsidRPr="00673DFC">
        <w:t>Institute</w:t>
      </w:r>
      <w:r w:rsidR="00BD74E3" w:rsidRPr="00673DFC">
        <w:t xml:space="preserve"> (NEI)</w:t>
      </w:r>
      <w:r w:rsidRPr="00673DFC">
        <w:t xml:space="preserve"> for comment.  This supporting statement will be made available on the EIA website, along with drafts of the proposed </w:t>
      </w:r>
      <w:r w:rsidR="00C52E3E">
        <w:t>UDP</w:t>
      </w:r>
      <w:r w:rsidR="003D15F8">
        <w:t xml:space="preserve"> </w:t>
      </w:r>
      <w:r w:rsidRPr="00673DFC">
        <w:t>form</w:t>
      </w:r>
      <w:r w:rsidR="00CA162B">
        <w:t>s</w:t>
      </w:r>
      <w:r w:rsidRPr="00673DFC">
        <w:t xml:space="preserve"> and instructions.  A summary of the comments received, along with the EIA responses provided are in Appendix </w:t>
      </w:r>
      <w:r w:rsidR="00CA162B">
        <w:t>1</w:t>
      </w:r>
      <w:r w:rsidRPr="00673DFC">
        <w:t>.</w:t>
      </w:r>
    </w:p>
    <w:p w:rsidR="00A95FE0" w:rsidRDefault="00A95FE0">
      <w:pPr>
        <w:rPr>
          <w:color w:val="0000FF"/>
          <w:sz w:val="24"/>
          <w:szCs w:val="24"/>
        </w:rPr>
      </w:pPr>
      <w:r>
        <w:rPr>
          <w:color w:val="0000FF"/>
          <w:sz w:val="24"/>
          <w:szCs w:val="24"/>
        </w:rPr>
        <w:br w:type="page"/>
      </w:r>
    </w:p>
    <w:p w:rsidR="003806C8" w:rsidRPr="00583461" w:rsidRDefault="003806C8" w:rsidP="00A95FE0">
      <w:pPr>
        <w:pStyle w:val="Heading5"/>
      </w:pPr>
      <w:bookmarkStart w:id="50" w:name="_Toc524334497"/>
      <w:bookmarkStart w:id="51" w:name="_Toc524334579"/>
      <w:bookmarkStart w:id="52" w:name="_Toc524334727"/>
      <w:bookmarkStart w:id="53" w:name="_Toc524334920"/>
      <w:bookmarkStart w:id="54" w:name="_Toc318697081"/>
      <w:bookmarkStart w:id="55" w:name="_Toc330888164"/>
      <w:r w:rsidRPr="00583461">
        <w:lastRenderedPageBreak/>
        <w:t>A.9. Payments or Gifts to Respondents</w:t>
      </w:r>
      <w:bookmarkEnd w:id="50"/>
      <w:bookmarkEnd w:id="51"/>
      <w:bookmarkEnd w:id="52"/>
      <w:bookmarkEnd w:id="53"/>
      <w:bookmarkEnd w:id="54"/>
      <w:bookmarkEnd w:id="55"/>
    </w:p>
    <w:p w:rsidR="003806C8" w:rsidRPr="000D6A2A" w:rsidRDefault="00D70E61" w:rsidP="003806C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No </w:t>
      </w:r>
      <w:r w:rsidR="003806C8" w:rsidRPr="000D6A2A">
        <w:t>payments or gifts are made to the respondents of the</w:t>
      </w:r>
      <w:r w:rsidR="00DB413F">
        <w:t>se</w:t>
      </w:r>
      <w:r w:rsidR="003806C8" w:rsidRPr="000D6A2A">
        <w:t xml:space="preserve"> </w:t>
      </w:r>
      <w:r w:rsidR="00225363">
        <w:t xml:space="preserve">UDP </w:t>
      </w:r>
      <w:r w:rsidR="003806C8" w:rsidRPr="000D6A2A">
        <w:t>survey</w:t>
      </w:r>
      <w:r w:rsidR="00DB413F">
        <w:t>s</w:t>
      </w:r>
      <w:r w:rsidR="003806C8" w:rsidRPr="000D6A2A">
        <w:t>.</w:t>
      </w:r>
    </w:p>
    <w:p w:rsidR="00A95FE0" w:rsidRDefault="00A95FE0">
      <w:pPr>
        <w:rPr>
          <w:szCs w:val="24"/>
        </w:rPr>
      </w:pPr>
      <w:bookmarkStart w:id="56" w:name="_Toc524334498"/>
      <w:bookmarkStart w:id="57" w:name="_Toc524334580"/>
      <w:bookmarkStart w:id="58" w:name="_Toc524334728"/>
      <w:bookmarkStart w:id="59" w:name="_Toc524334921"/>
      <w:r>
        <w:rPr>
          <w:szCs w:val="24"/>
        </w:rPr>
        <w:br w:type="page"/>
      </w:r>
    </w:p>
    <w:p w:rsidR="003806C8" w:rsidRPr="00583461" w:rsidRDefault="003806C8" w:rsidP="00A95FE0">
      <w:pPr>
        <w:pStyle w:val="Heading5"/>
      </w:pPr>
      <w:bookmarkStart w:id="60" w:name="_Toc318697082"/>
      <w:bookmarkStart w:id="61" w:name="_Toc330888165"/>
      <w:r w:rsidRPr="00583461">
        <w:lastRenderedPageBreak/>
        <w:t>A.10. Provisions for Confidentiality of Information</w:t>
      </w:r>
      <w:bookmarkEnd w:id="56"/>
      <w:bookmarkEnd w:id="57"/>
      <w:bookmarkEnd w:id="58"/>
      <w:bookmarkEnd w:id="59"/>
      <w:bookmarkEnd w:id="60"/>
      <w:bookmarkEnd w:id="61"/>
    </w:p>
    <w:p w:rsidR="004E29A5" w:rsidRPr="00043DA0" w:rsidRDefault="00120E6F" w:rsidP="004E29A5">
      <w:r>
        <w:t xml:space="preserve">EIA UDP </w:t>
      </w:r>
      <w:r w:rsidR="004E29A5" w:rsidRPr="00043DA0">
        <w:t xml:space="preserve">surveys </w:t>
      </w:r>
      <w:r>
        <w:t xml:space="preserve">are </w:t>
      </w:r>
      <w:r w:rsidR="004E29A5" w:rsidRPr="00043DA0">
        <w:t xml:space="preserve">collected under </w:t>
      </w:r>
      <w:r w:rsidR="00992058">
        <w:t xml:space="preserve">the </w:t>
      </w:r>
      <w:r w:rsidR="00043DA0">
        <w:t xml:space="preserve">Confidential Information Protection and Statistical Efficiency Act </w:t>
      </w:r>
      <w:r w:rsidR="00F1665A">
        <w:t xml:space="preserve">of 2002 </w:t>
      </w:r>
      <w:r w:rsidR="00043DA0">
        <w:t>(</w:t>
      </w:r>
      <w:r w:rsidR="004E29A5" w:rsidRPr="00043DA0">
        <w:t>CIPSEA</w:t>
      </w:r>
      <w:r w:rsidR="00043DA0">
        <w:t>)</w:t>
      </w:r>
      <w:r w:rsidR="00DC7FB1">
        <w:t xml:space="preserve">. </w:t>
      </w:r>
      <w:r w:rsidR="004E29A5" w:rsidRPr="00043DA0">
        <w:t xml:space="preserve"> </w:t>
      </w:r>
      <w:r w:rsidR="00F1665A">
        <w:t xml:space="preserve">CIPSEA provides legal authority for a federal statistical agency to </w:t>
      </w:r>
      <w:r w:rsidR="00660699">
        <w:t xml:space="preserve">provide a pledge of </w:t>
      </w:r>
      <w:r w:rsidR="00F1665A">
        <w:t xml:space="preserve">confidentiality protection to its statistical survey information collection activities.   A copy of CIPSEA is available at </w:t>
      </w:r>
      <w:hyperlink r:id="rId14" w:history="1">
        <w:r w:rsidR="00F1665A">
          <w:rPr>
            <w:rStyle w:val="Hyperlink"/>
          </w:rPr>
          <w:t>http://www.eia.doe.gov/oss/CIPSEA.pdf</w:t>
        </w:r>
      </w:hyperlink>
      <w:r w:rsidR="00F1665A">
        <w:t xml:space="preserve">.  </w:t>
      </w:r>
      <w:r w:rsidR="004E29A5" w:rsidRPr="00043DA0">
        <w:t xml:space="preserve">EIA is required to pledge to respondents that it will keep the </w:t>
      </w:r>
      <w:r w:rsidR="00992058">
        <w:t xml:space="preserve">provided </w:t>
      </w:r>
      <w:r w:rsidR="004E29A5" w:rsidRPr="00043DA0">
        <w:t xml:space="preserve">information confidential and that the information will be exclusively used for statistical purposes.  The appropriate wording should be incorporated into the survey instructions and the form should include a reference to the instructions for details about confidentiality.  If all the elements on a form are not subject to the same confidentiality provisions, the instructions should be explicit on which confidentiality provisions apply to specific data elements. </w:t>
      </w:r>
    </w:p>
    <w:p w:rsidR="004E29A5" w:rsidRPr="00043DA0" w:rsidRDefault="0075411A" w:rsidP="004E29A5">
      <w:r>
        <w:t xml:space="preserve">The following </w:t>
      </w:r>
      <w:r w:rsidR="00DC3B84">
        <w:t xml:space="preserve">text </w:t>
      </w:r>
      <w:r>
        <w:t>is</w:t>
      </w:r>
      <w:r w:rsidR="004E29A5" w:rsidRPr="00043DA0">
        <w:t xml:space="preserve"> used by EIA for th</w:t>
      </w:r>
      <w:r w:rsidR="005F772B">
        <w:t>e CIPSEA confidentiality pledge:</w:t>
      </w:r>
    </w:p>
    <w:p w:rsidR="004E29A5" w:rsidRDefault="004E29A5" w:rsidP="004E29A5">
      <w:pPr>
        <w:pStyle w:val="BodyTextIndent"/>
        <w:ind w:right="720"/>
        <w:rPr>
          <w:rFonts w:asciiTheme="minorHAnsi" w:hAnsiTheme="minorHAnsi"/>
          <w:sz w:val="22"/>
          <w:szCs w:val="22"/>
        </w:rPr>
      </w:pPr>
      <w:r w:rsidRPr="00043DA0">
        <w:rPr>
          <w:rFonts w:asciiTheme="minorHAnsi" w:hAnsiTheme="minorHAnsi"/>
          <w:sz w:val="22"/>
          <w:szCs w:val="22"/>
        </w:rPr>
        <w:t xml:space="preserve">The information you provide will be used for statistical purposes only.  In accordance with the Confidential Information Protection provisions of Title V, Subtitle </w:t>
      </w:r>
      <w:proofErr w:type="gramStart"/>
      <w:r w:rsidRPr="00043DA0">
        <w:rPr>
          <w:rFonts w:asciiTheme="minorHAnsi" w:hAnsiTheme="minorHAnsi"/>
          <w:sz w:val="22"/>
          <w:szCs w:val="22"/>
        </w:rPr>
        <w:t>A</w:t>
      </w:r>
      <w:proofErr w:type="gramEnd"/>
      <w:r w:rsidRPr="00043DA0">
        <w:rPr>
          <w:rFonts w:asciiTheme="minorHAnsi" w:hAnsiTheme="minorHAnsi"/>
          <w:sz w:val="22"/>
          <w:szCs w:val="22"/>
        </w:rPr>
        <w:t xml:space="preserve"> of Public Law 107-347 and other applicable Federal laws, your responses will be kept confidential and will not be disclosed in identifiable form to anyone other than employees or agents </w:t>
      </w:r>
      <w:r w:rsidRPr="001625DC">
        <w:rPr>
          <w:rFonts w:asciiTheme="minorHAnsi" w:hAnsiTheme="minorHAnsi"/>
          <w:sz w:val="22"/>
          <w:szCs w:val="22"/>
        </w:rPr>
        <w:t>without your consent.  By law, every EIA employee, as well as every agent, is subject to a jail term, a fine of up to $250,000, or both if he or she discloses ANY identifiable information about you.</w:t>
      </w:r>
    </w:p>
    <w:p w:rsidR="001625DC" w:rsidRPr="001625DC" w:rsidRDefault="001625DC" w:rsidP="004E29A5">
      <w:pPr>
        <w:pStyle w:val="BodyTextIndent"/>
        <w:ind w:right="720"/>
        <w:rPr>
          <w:rFonts w:asciiTheme="minorHAnsi" w:hAnsiTheme="minorHAnsi"/>
          <w:sz w:val="22"/>
          <w:szCs w:val="22"/>
        </w:rPr>
      </w:pPr>
    </w:p>
    <w:p w:rsidR="005F772B" w:rsidRPr="009142DD" w:rsidRDefault="005F772B" w:rsidP="005F77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142DD">
        <w:t>Laws and regulations considered are:</w:t>
      </w:r>
    </w:p>
    <w:p w:rsidR="005F772B" w:rsidRPr="009142DD" w:rsidRDefault="005F772B" w:rsidP="005F772B">
      <w:pPr>
        <w:pStyle w:val="ListParagraph"/>
        <w:numPr>
          <w:ilvl w:val="0"/>
          <w:numId w:val="14"/>
        </w:numPr>
      </w:pPr>
      <w:r w:rsidRPr="009142DD">
        <w:t>Confidential Information Protection and Statistical Efficiency Act of 2002, (</w:t>
      </w:r>
      <w:r>
        <w:t>44 U.S.C. 3501)</w:t>
      </w:r>
    </w:p>
    <w:p w:rsidR="005F772B" w:rsidRPr="009142DD" w:rsidRDefault="005F772B" w:rsidP="005F772B">
      <w:pPr>
        <w:pStyle w:val="ListParagraph"/>
        <w:numPr>
          <w:ilvl w:val="0"/>
          <w:numId w:val="14"/>
        </w:numPr>
      </w:pPr>
      <w:r w:rsidRPr="009142DD">
        <w:t xml:space="preserve">The Trade Secrets Act, (18 U.S.C. 1905); </w:t>
      </w:r>
    </w:p>
    <w:p w:rsidR="005F772B" w:rsidRPr="009142DD" w:rsidRDefault="005F772B" w:rsidP="005F772B">
      <w:pPr>
        <w:pStyle w:val="ListParagraph"/>
        <w:numPr>
          <w:ilvl w:val="0"/>
          <w:numId w:val="14"/>
        </w:numPr>
      </w:pPr>
      <w:r w:rsidRPr="009142DD">
        <w:t xml:space="preserve">The Freedom of Information Act (FOIA), (5 U.S.C. 552);   </w:t>
      </w:r>
    </w:p>
    <w:p w:rsidR="005F772B" w:rsidRDefault="005F772B" w:rsidP="005F772B">
      <w:pPr>
        <w:pStyle w:val="ListParagraph"/>
        <w:numPr>
          <w:ilvl w:val="0"/>
          <w:numId w:val="14"/>
        </w:numPr>
      </w:pPr>
      <w:r w:rsidRPr="009142DD">
        <w:t xml:space="preserve">The Department of Energy, Freedom of Information Act (FOIA) Regulations, (10 C.F.R. 1004); </w:t>
      </w:r>
    </w:p>
    <w:p w:rsidR="005F772B" w:rsidRPr="009142DD" w:rsidRDefault="005F772B" w:rsidP="005F772B">
      <w:pPr>
        <w:pStyle w:val="ListParagraph"/>
        <w:numPr>
          <w:ilvl w:val="0"/>
          <w:numId w:val="14"/>
        </w:numPr>
      </w:pPr>
      <w:r w:rsidRPr="009142DD">
        <w:t>The Paperwork Reduction Act, (44 U.S.C. 35).</w:t>
      </w:r>
    </w:p>
    <w:p w:rsidR="00381F3B" w:rsidRPr="00EA2380" w:rsidRDefault="00D0487A" w:rsidP="003806C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5F772B">
        <w:rPr>
          <w:u w:val="single"/>
        </w:rPr>
        <w:t>Except for the elements listed below</w:t>
      </w:r>
      <w:r w:rsidRPr="00EA2380">
        <w:t xml:space="preserve">, </w:t>
      </w:r>
      <w:r w:rsidR="004E29A5" w:rsidRPr="00EA2380">
        <w:t>the information provide</w:t>
      </w:r>
      <w:r w:rsidR="00043DA0" w:rsidRPr="00EA2380">
        <w:t>d</w:t>
      </w:r>
      <w:r w:rsidR="004E29A5" w:rsidRPr="00EA2380">
        <w:t xml:space="preserve"> </w:t>
      </w:r>
      <w:r w:rsidR="005F772B">
        <w:t xml:space="preserve">on the EIA UDP forms </w:t>
      </w:r>
      <w:r w:rsidR="004E29A5" w:rsidRPr="00EA2380">
        <w:t>will be used for statistical purposes only</w:t>
      </w:r>
      <w:r w:rsidR="001625DC" w:rsidRPr="00EA2380">
        <w:t xml:space="preserve"> and kept confidential</w:t>
      </w:r>
      <w:r w:rsidR="005F772B">
        <w:t xml:space="preserve"> </w:t>
      </w:r>
      <w:r w:rsidR="005F772B" w:rsidRPr="00043DA0">
        <w:t xml:space="preserve">under </w:t>
      </w:r>
      <w:r w:rsidR="0075411A">
        <w:t xml:space="preserve">the </w:t>
      </w:r>
      <w:r w:rsidR="005F772B">
        <w:t>Confidential Information Protection and Statistical Efficiency Act of 2002 (</w:t>
      </w:r>
      <w:r w:rsidR="005F772B" w:rsidRPr="00043DA0">
        <w:t>CIPSEA</w:t>
      </w:r>
      <w:r w:rsidR="005F772B">
        <w:t>)</w:t>
      </w:r>
      <w:r w:rsidR="001625DC" w:rsidRPr="00EA2380">
        <w:t xml:space="preserve">. </w:t>
      </w:r>
    </w:p>
    <w:p w:rsidR="00D93490" w:rsidRPr="00EA2380" w:rsidRDefault="00D93490" w:rsidP="003806C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EA2380">
        <w:t xml:space="preserve">The following elements reported on the </w:t>
      </w:r>
      <w:r w:rsidR="00DC7FB1">
        <w:t xml:space="preserve">EIA </w:t>
      </w:r>
      <w:r w:rsidR="00EA2380" w:rsidRPr="00EA2380">
        <w:t>UDP</w:t>
      </w:r>
      <w:r w:rsidRPr="00EA2380">
        <w:t xml:space="preserve"> surveys will be </w:t>
      </w:r>
      <w:r w:rsidRPr="00EA2380">
        <w:rPr>
          <w:iCs/>
        </w:rPr>
        <w:t>considered “public information” and may be publicly released in company or individually identifiable form, and will not be protected from disclosure in identifiable form.</w:t>
      </w:r>
    </w:p>
    <w:p w:rsidR="00D93490" w:rsidRPr="00EA2380" w:rsidRDefault="00D93490" w:rsidP="005F1E75">
      <w:pPr>
        <w:spacing w:line="240" w:lineRule="auto"/>
        <w:ind w:left="1100"/>
        <w:rPr>
          <w:u w:val="single"/>
        </w:rPr>
      </w:pPr>
      <w:r w:rsidRPr="00EA2380">
        <w:rPr>
          <w:bCs/>
          <w:u w:val="single"/>
        </w:rPr>
        <w:t>Form EIA-851A (Annual) and Form EIA-851Q (Quarterly)</w:t>
      </w:r>
      <w:r w:rsidRPr="00EA2380">
        <w:rPr>
          <w:u w:val="single"/>
        </w:rPr>
        <w:t>:</w:t>
      </w:r>
    </w:p>
    <w:p w:rsidR="00D93490" w:rsidRPr="00EA2380" w:rsidRDefault="00D93490" w:rsidP="005F1E75">
      <w:pPr>
        <w:spacing w:line="240" w:lineRule="auto"/>
        <w:ind w:left="1100"/>
      </w:pPr>
      <w:r w:rsidRPr="00EA2380">
        <w:t>Respondent and Contact Information:</w:t>
      </w:r>
    </w:p>
    <w:p w:rsidR="00D93490" w:rsidRPr="00EA2380" w:rsidRDefault="00D93490" w:rsidP="005F1E75">
      <w:pPr>
        <w:spacing w:line="240" w:lineRule="auto"/>
        <w:ind w:left="1100" w:firstLine="340"/>
      </w:pPr>
      <w:r w:rsidRPr="00EA2380">
        <w:t>- Company Name</w:t>
      </w:r>
    </w:p>
    <w:p w:rsidR="00D93490" w:rsidRPr="00EA2380" w:rsidRDefault="00D93490" w:rsidP="005F1E75">
      <w:pPr>
        <w:spacing w:line="240" w:lineRule="auto"/>
        <w:ind w:left="1100"/>
      </w:pPr>
      <w:r w:rsidRPr="00EA2380">
        <w:lastRenderedPageBreak/>
        <w:t>Item 1: Facility Information</w:t>
      </w:r>
    </w:p>
    <w:p w:rsidR="00D93490" w:rsidRPr="00EA2380" w:rsidRDefault="00D93490" w:rsidP="005F1E75">
      <w:pPr>
        <w:spacing w:line="240" w:lineRule="auto"/>
        <w:ind w:left="1100" w:firstLine="340"/>
      </w:pPr>
      <w:r w:rsidRPr="00EA2380">
        <w:t>- Name</w:t>
      </w:r>
    </w:p>
    <w:p w:rsidR="00D93490" w:rsidRPr="00EA2380" w:rsidRDefault="00D93490" w:rsidP="005F1E75">
      <w:pPr>
        <w:spacing w:line="240" w:lineRule="auto"/>
        <w:ind w:left="1100"/>
      </w:pPr>
      <w:r w:rsidRPr="00EA2380">
        <w:tab/>
        <w:t>- County</w:t>
      </w:r>
    </w:p>
    <w:p w:rsidR="00D93490" w:rsidRPr="00EA2380" w:rsidRDefault="00D93490" w:rsidP="005F1E75">
      <w:pPr>
        <w:spacing w:line="240" w:lineRule="auto"/>
        <w:ind w:left="1100"/>
      </w:pPr>
      <w:r w:rsidRPr="00EA2380">
        <w:tab/>
        <w:t>- State</w:t>
      </w:r>
    </w:p>
    <w:p w:rsidR="00D93490" w:rsidRPr="00EA2380" w:rsidRDefault="00D93490" w:rsidP="005F1E75">
      <w:pPr>
        <w:spacing w:line="240" w:lineRule="auto"/>
        <w:ind w:left="1100"/>
      </w:pPr>
      <w:r w:rsidRPr="00EA2380">
        <w:tab/>
        <w:t>- Owner</w:t>
      </w:r>
    </w:p>
    <w:p w:rsidR="00D93490" w:rsidRPr="00EA2380" w:rsidRDefault="00D93490" w:rsidP="005F1E75">
      <w:pPr>
        <w:spacing w:line="240" w:lineRule="auto"/>
        <w:ind w:left="1100"/>
      </w:pPr>
      <w:r w:rsidRPr="00EA2380">
        <w:tab/>
        <w:t>- Rated Capacity</w:t>
      </w:r>
    </w:p>
    <w:p w:rsidR="00D93490" w:rsidRPr="00EA2380" w:rsidRDefault="00D93490" w:rsidP="005F1E75">
      <w:pPr>
        <w:spacing w:line="240" w:lineRule="auto"/>
        <w:ind w:left="1100"/>
      </w:pPr>
      <w:r w:rsidRPr="00EA2380">
        <w:tab/>
        <w:t>- Operating Status</w:t>
      </w:r>
    </w:p>
    <w:p w:rsidR="00D93490" w:rsidRPr="00EA2380" w:rsidRDefault="00D93490" w:rsidP="005F1E75">
      <w:pPr>
        <w:spacing w:line="240" w:lineRule="auto"/>
        <w:ind w:left="1100"/>
        <w:rPr>
          <w:u w:val="single"/>
        </w:rPr>
      </w:pPr>
      <w:r w:rsidRPr="00EA2380">
        <w:rPr>
          <w:bCs/>
          <w:u w:val="single"/>
        </w:rPr>
        <w:t>Form EIA-858</w:t>
      </w:r>
      <w:r w:rsidRPr="00EA2380">
        <w:rPr>
          <w:u w:val="single"/>
        </w:rPr>
        <w:t>:</w:t>
      </w:r>
    </w:p>
    <w:p w:rsidR="00D93490" w:rsidRPr="00EA2380" w:rsidRDefault="00D93490" w:rsidP="005F1E75">
      <w:pPr>
        <w:spacing w:line="240" w:lineRule="auto"/>
        <w:ind w:left="1100"/>
      </w:pPr>
      <w:r w:rsidRPr="00EA2380">
        <w:t>Respondent and Contact Information:</w:t>
      </w:r>
    </w:p>
    <w:p w:rsidR="00D93490" w:rsidRPr="00EA2380" w:rsidRDefault="00D93490" w:rsidP="005F1E75">
      <w:pPr>
        <w:spacing w:line="240" w:lineRule="auto"/>
        <w:ind w:left="1100" w:firstLine="340"/>
      </w:pPr>
      <w:r w:rsidRPr="00EA2380">
        <w:t xml:space="preserve">- Company Name </w:t>
      </w:r>
    </w:p>
    <w:p w:rsidR="00D93490" w:rsidRPr="00EA2380" w:rsidRDefault="00D93490" w:rsidP="005F1E75">
      <w:pPr>
        <w:spacing w:line="240" w:lineRule="auto"/>
        <w:ind w:left="1100"/>
      </w:pPr>
      <w:r w:rsidRPr="00EA2380">
        <w:t>Item 1: Contract</w:t>
      </w:r>
    </w:p>
    <w:p w:rsidR="00D93490" w:rsidRPr="00EA2380" w:rsidRDefault="00D93490" w:rsidP="005F1E75">
      <w:pPr>
        <w:spacing w:line="240" w:lineRule="auto"/>
        <w:ind w:left="1100" w:firstLine="340"/>
      </w:pPr>
      <w:r w:rsidRPr="00EA2380">
        <w:t xml:space="preserve">- A. Other Party Name </w:t>
      </w:r>
    </w:p>
    <w:p w:rsidR="00D93490" w:rsidRPr="00EA2380" w:rsidRDefault="00D93490" w:rsidP="005F1E75">
      <w:pPr>
        <w:spacing w:line="240" w:lineRule="auto"/>
        <w:ind w:left="1100"/>
      </w:pPr>
      <w:r w:rsidRPr="00EA2380">
        <w:t>Item 3, Enrichment Services Purchased by Owners and Operators of Civilian Nuclear Power Reactors</w:t>
      </w:r>
    </w:p>
    <w:p w:rsidR="00D93490" w:rsidRPr="00EA2380" w:rsidRDefault="00D93490" w:rsidP="005F1E75">
      <w:pPr>
        <w:spacing w:line="240" w:lineRule="auto"/>
        <w:ind w:left="1100" w:firstLine="340"/>
      </w:pPr>
      <w:r w:rsidRPr="00EA2380">
        <w:t>- B. Seller's Name</w:t>
      </w:r>
    </w:p>
    <w:p w:rsidR="000A04C6" w:rsidRPr="00422F75" w:rsidRDefault="00BF71D9" w:rsidP="005F77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422F75">
        <w:t>For respondents to Form EIA-851A</w:t>
      </w:r>
      <w:r w:rsidR="007264C0">
        <w:t xml:space="preserve"> and Form EIA-851Q</w:t>
      </w:r>
      <w:r w:rsidRPr="00422F75">
        <w:t>, the pledge will read:</w:t>
      </w:r>
    </w:p>
    <w:p w:rsidR="00BF71D9" w:rsidRDefault="00DA3341" w:rsidP="00BF71D9">
      <w:pPr>
        <w:spacing w:line="240" w:lineRule="auto"/>
        <w:ind w:left="1100"/>
      </w:pPr>
      <w:r w:rsidRPr="001E6862">
        <w:rPr>
          <w:rFonts w:cs="Arial"/>
        </w:rPr>
        <w:t>The information elements (</w:t>
      </w:r>
      <w:r>
        <w:rPr>
          <w:rFonts w:cs="Arial"/>
        </w:rPr>
        <w:t xml:space="preserve">Company name, </w:t>
      </w:r>
      <w:r w:rsidRPr="00EA2380">
        <w:t>Facility Information</w:t>
      </w:r>
      <w:r>
        <w:t xml:space="preserve"> reported in Item including Name, County, State, Owner, Rated Capacity and Operating Status)</w:t>
      </w:r>
      <w:r w:rsidRPr="001E6862">
        <w:rPr>
          <w:rFonts w:cs="Arial"/>
        </w:rPr>
        <w:t xml:space="preserve"> reported on Form EIA-</w:t>
      </w:r>
      <w:r>
        <w:rPr>
          <w:rFonts w:cs="Arial"/>
        </w:rPr>
        <w:t>851A</w:t>
      </w:r>
      <w:r w:rsidR="007264C0">
        <w:rPr>
          <w:rFonts w:cs="Arial"/>
        </w:rPr>
        <w:t xml:space="preserve"> and Form EIA-851Q</w:t>
      </w:r>
      <w:r w:rsidRPr="001E6862">
        <w:rPr>
          <w:rFonts w:cs="Arial"/>
        </w:rPr>
        <w:t xml:space="preserve"> will be treated as </w:t>
      </w:r>
      <w:r>
        <w:rPr>
          <w:rFonts w:cs="Arial"/>
        </w:rPr>
        <w:t xml:space="preserve">public information and released in identifiable form.  </w:t>
      </w:r>
      <w:r w:rsidR="000A04C6">
        <w:rPr>
          <w:b/>
          <w:sz w:val="24"/>
          <w:szCs w:val="24"/>
        </w:rPr>
        <w:t xml:space="preserve"> </w:t>
      </w:r>
      <w:r>
        <w:rPr>
          <w:sz w:val="24"/>
          <w:szCs w:val="24"/>
        </w:rPr>
        <w:t xml:space="preserve">All other information </w:t>
      </w:r>
      <w:r w:rsidRPr="00043DA0">
        <w:t xml:space="preserve">you provide will be used for statistical purposes only.  In accordance with the Confidential Information Protection provisions of Title V, Subtitle A of Public Law 107-347 and other applicable Federal laws, your responses will be kept confidential and will not be disclosed in identifiable form to anyone other than employees or agents </w:t>
      </w:r>
      <w:r w:rsidRPr="001625DC">
        <w:t>without your consent.  By law, every EIA employee, as well as every agent, is subject to a jail term, a fine of up to $250,000, or both if he or she discloses ANY identifiable information about you.</w:t>
      </w:r>
    </w:p>
    <w:p w:rsidR="00DA3341" w:rsidRPr="00CC4CDA" w:rsidRDefault="00BF71D9" w:rsidP="00DA334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CC4CDA">
        <w:t>For respondents to Form EIA-858, the pledge will read:</w:t>
      </w:r>
    </w:p>
    <w:p w:rsidR="00BF71D9" w:rsidRDefault="00DA3341" w:rsidP="00BF71D9">
      <w:pPr>
        <w:spacing w:line="240" w:lineRule="auto"/>
        <w:ind w:left="1100"/>
      </w:pPr>
      <w:r w:rsidRPr="001E6862">
        <w:rPr>
          <w:rFonts w:cs="Arial"/>
        </w:rPr>
        <w:t>The information elements (</w:t>
      </w:r>
      <w:r>
        <w:rPr>
          <w:rFonts w:cs="Arial"/>
        </w:rPr>
        <w:t>Company name, Other Party Name</w:t>
      </w:r>
      <w:r w:rsidR="007264C0">
        <w:rPr>
          <w:rFonts w:cs="Arial"/>
        </w:rPr>
        <w:t xml:space="preserve"> under Item 1</w:t>
      </w:r>
      <w:r>
        <w:t xml:space="preserve"> and Seller’s Name under Item 3)</w:t>
      </w:r>
      <w:r w:rsidRPr="001E6862">
        <w:rPr>
          <w:rFonts w:cs="Arial"/>
        </w:rPr>
        <w:t xml:space="preserve"> reported on Form EIA-</w:t>
      </w:r>
      <w:r>
        <w:rPr>
          <w:rFonts w:cs="Arial"/>
        </w:rPr>
        <w:t>858</w:t>
      </w:r>
      <w:r w:rsidRPr="001E6862">
        <w:rPr>
          <w:rFonts w:cs="Arial"/>
        </w:rPr>
        <w:t xml:space="preserve"> will be treated as </w:t>
      </w:r>
      <w:r>
        <w:rPr>
          <w:rFonts w:cs="Arial"/>
        </w:rPr>
        <w:t xml:space="preserve">public information and released in identifiable form.  </w:t>
      </w:r>
      <w:r>
        <w:rPr>
          <w:b/>
          <w:sz w:val="24"/>
          <w:szCs w:val="24"/>
        </w:rPr>
        <w:t xml:space="preserve"> </w:t>
      </w:r>
      <w:r>
        <w:rPr>
          <w:sz w:val="24"/>
          <w:szCs w:val="24"/>
        </w:rPr>
        <w:t xml:space="preserve">All other information </w:t>
      </w:r>
      <w:r w:rsidRPr="00043DA0">
        <w:t xml:space="preserve">you provide will be used for statistical purposes only.  In accordance with the Confidential Information Protection provisions of Title V, Subtitle A of Public Law 107-347 and other applicable Federal laws, your responses </w:t>
      </w:r>
      <w:r w:rsidRPr="00043DA0">
        <w:lastRenderedPageBreak/>
        <w:t xml:space="preserve">will be kept confidential and will not be disclosed in identifiable form to anyone other than employees or agents </w:t>
      </w:r>
      <w:r w:rsidRPr="001625DC">
        <w:t>without your consent.  By law, every EIA employee, as well as every agent, is subject to a jail term, a fine of up to $250,000, or both if he or she discloses ANY identifiable information about you</w:t>
      </w:r>
      <w:r w:rsidR="0061791B">
        <w:t>.</w:t>
      </w:r>
    </w:p>
    <w:p w:rsidR="00BF71D9" w:rsidRDefault="00A95FE0" w:rsidP="00BF71D9">
      <w:pPr>
        <w:spacing w:line="240" w:lineRule="auto"/>
        <w:ind w:left="1100"/>
        <w:rPr>
          <w:color w:val="FF0000"/>
        </w:rPr>
      </w:pPr>
      <w:r w:rsidRPr="00D31700">
        <w:rPr>
          <w:b/>
          <w:sz w:val="24"/>
          <w:szCs w:val="24"/>
        </w:rPr>
        <w:br w:type="page"/>
      </w:r>
    </w:p>
    <w:p w:rsidR="003806C8" w:rsidRPr="00583461" w:rsidRDefault="003806C8" w:rsidP="003806C8">
      <w:pPr>
        <w:pStyle w:val="Heading5"/>
      </w:pPr>
      <w:bookmarkStart w:id="62" w:name="_Toc78797041"/>
      <w:bookmarkStart w:id="63" w:name="_Toc81025454"/>
      <w:bookmarkStart w:id="64" w:name="_Toc318697083"/>
      <w:bookmarkStart w:id="65" w:name="_Toc330888166"/>
      <w:r w:rsidRPr="00583461">
        <w:lastRenderedPageBreak/>
        <w:t>A.11. Justification for Sensitive Questions</w:t>
      </w:r>
      <w:bookmarkEnd w:id="62"/>
      <w:bookmarkEnd w:id="63"/>
      <w:bookmarkEnd w:id="64"/>
      <w:bookmarkEnd w:id="65"/>
    </w:p>
    <w:p w:rsidR="003806C8" w:rsidRPr="000D6A2A" w:rsidRDefault="003806C8" w:rsidP="003806C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D6A2A">
        <w:t xml:space="preserve">There are no questions </w:t>
      </w:r>
      <w:r w:rsidR="00977676">
        <w:t>on the EIA U</w:t>
      </w:r>
      <w:r w:rsidR="00C9049D">
        <w:t>DP</w:t>
      </w:r>
      <w:r w:rsidR="00977676">
        <w:t xml:space="preserve"> surveys </w:t>
      </w:r>
      <w:r w:rsidRPr="000D6A2A">
        <w:t>of a sensitive nature.</w:t>
      </w:r>
    </w:p>
    <w:p w:rsidR="00A95FE0" w:rsidRDefault="00A95FE0" w:rsidP="003806C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A95FE0" w:rsidRDefault="00A95FE0">
      <w:pPr>
        <w:rPr>
          <w:sz w:val="24"/>
          <w:szCs w:val="24"/>
        </w:rPr>
      </w:pPr>
      <w:r>
        <w:rPr>
          <w:sz w:val="24"/>
          <w:szCs w:val="24"/>
        </w:rPr>
        <w:br w:type="page"/>
      </w:r>
    </w:p>
    <w:p w:rsidR="003806C8" w:rsidRPr="00583461" w:rsidRDefault="003806C8" w:rsidP="00A95FE0">
      <w:pPr>
        <w:pStyle w:val="Heading5"/>
      </w:pPr>
      <w:bookmarkStart w:id="66" w:name="_Toc318697084"/>
      <w:bookmarkStart w:id="67" w:name="_Toc330888167"/>
      <w:r w:rsidRPr="00583461">
        <w:lastRenderedPageBreak/>
        <w:t>A.12. Estimate of Respondent Burden Hours and Cost</w:t>
      </w:r>
      <w:bookmarkEnd w:id="66"/>
      <w:bookmarkEnd w:id="67"/>
    </w:p>
    <w:p w:rsidR="003806C8" w:rsidRPr="00583461" w:rsidRDefault="003806C8" w:rsidP="00A95FE0">
      <w:r w:rsidRPr="003C32DC">
        <w:t xml:space="preserve">The number of respondents </w:t>
      </w:r>
      <w:r w:rsidR="00560016">
        <w:t xml:space="preserve">on the EIA UDP surveys </w:t>
      </w:r>
      <w:r w:rsidRPr="003C32DC">
        <w:t xml:space="preserve">can fluctuate at any given </w:t>
      </w:r>
      <w:r w:rsidR="0006028F">
        <w:t>time</w:t>
      </w:r>
      <w:r w:rsidRPr="003C32DC">
        <w:t>.</w:t>
      </w:r>
      <w:r>
        <w:t xml:space="preserve">  </w:t>
      </w:r>
      <w:r w:rsidRPr="00583461">
        <w:t>As in the past, the burden estimate includes time gathering and maintaining the data needed, and completing and reviewing the collection of information.</w:t>
      </w:r>
    </w:p>
    <w:tbl>
      <w:tblPr>
        <w:tblpPr w:leftFromText="180" w:rightFromText="180" w:vertAnchor="text" w:horzAnchor="margin" w:tblpY="67"/>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162"/>
        <w:gridCol w:w="1400"/>
        <w:gridCol w:w="1781"/>
        <w:gridCol w:w="1653"/>
        <w:gridCol w:w="1781"/>
      </w:tblGrid>
      <w:tr w:rsidR="00A95FE0" w:rsidRPr="00583461" w:rsidTr="00C13C4D">
        <w:trPr>
          <w:trHeight w:val="531"/>
        </w:trPr>
        <w:tc>
          <w:tcPr>
            <w:tcW w:w="8777" w:type="dxa"/>
            <w:gridSpan w:val="5"/>
            <w:tcBorders>
              <w:bottom w:val="single" w:sz="4" w:space="0" w:color="auto"/>
            </w:tcBorders>
            <w:shd w:val="clear" w:color="auto" w:fill="B3B3B3"/>
            <w:vAlign w:val="center"/>
          </w:tcPr>
          <w:p w:rsidR="00A95FE0" w:rsidRPr="00583461" w:rsidRDefault="00A95FE0" w:rsidP="005F2AFF">
            <w:pPr>
              <w:jc w:val="center"/>
              <w:rPr>
                <w:b/>
                <w:bCs/>
              </w:rPr>
            </w:pPr>
            <w:r w:rsidRPr="00583461">
              <w:rPr>
                <w:b/>
                <w:bCs/>
              </w:rPr>
              <w:t>Form  EIA-</w:t>
            </w:r>
            <w:r w:rsidR="0006028F">
              <w:rPr>
                <w:b/>
                <w:bCs/>
              </w:rPr>
              <w:t>851A</w:t>
            </w:r>
            <w:r w:rsidRPr="00583461">
              <w:rPr>
                <w:b/>
                <w:bCs/>
              </w:rPr>
              <w:t xml:space="preserve"> “</w:t>
            </w:r>
            <w:r w:rsidR="0006028F">
              <w:rPr>
                <w:b/>
                <w:bCs/>
              </w:rPr>
              <w:t>Domestic Uranium Production Report (Annual)</w:t>
            </w:r>
            <w:r w:rsidRPr="00583461">
              <w:rPr>
                <w:b/>
                <w:bCs/>
              </w:rPr>
              <w:t>”</w:t>
            </w:r>
          </w:p>
        </w:tc>
      </w:tr>
      <w:tr w:rsidR="00A95FE0" w:rsidRPr="00583461" w:rsidTr="00C13C4D">
        <w:trPr>
          <w:trHeight w:val="1062"/>
        </w:trPr>
        <w:tc>
          <w:tcPr>
            <w:tcW w:w="2162" w:type="dxa"/>
            <w:shd w:val="clear" w:color="auto" w:fill="auto"/>
            <w:vAlign w:val="bottom"/>
          </w:tcPr>
          <w:p w:rsidR="00A95FE0" w:rsidRPr="00583461" w:rsidRDefault="00A95FE0" w:rsidP="0006028F">
            <w:pPr>
              <w:jc w:val="center"/>
              <w:rPr>
                <w:b/>
                <w:bCs/>
                <w:sz w:val="18"/>
                <w:szCs w:val="18"/>
              </w:rPr>
            </w:pPr>
            <w:r w:rsidRPr="00583461">
              <w:rPr>
                <w:b/>
                <w:bCs/>
                <w:sz w:val="18"/>
                <w:szCs w:val="18"/>
              </w:rPr>
              <w:t xml:space="preserve">Number of Respondents Per </w:t>
            </w:r>
            <w:r w:rsidR="0006028F">
              <w:rPr>
                <w:b/>
                <w:bCs/>
                <w:sz w:val="18"/>
                <w:szCs w:val="18"/>
              </w:rPr>
              <w:t>Year</w:t>
            </w:r>
          </w:p>
        </w:tc>
        <w:tc>
          <w:tcPr>
            <w:tcW w:w="1400" w:type="dxa"/>
            <w:shd w:val="clear" w:color="auto" w:fill="auto"/>
            <w:vAlign w:val="bottom"/>
          </w:tcPr>
          <w:p w:rsidR="00A95FE0" w:rsidRPr="00583461" w:rsidRDefault="00A95FE0" w:rsidP="00A95FE0">
            <w:pPr>
              <w:jc w:val="center"/>
              <w:rPr>
                <w:b/>
                <w:bCs/>
                <w:sz w:val="18"/>
                <w:szCs w:val="18"/>
              </w:rPr>
            </w:pPr>
            <w:r w:rsidRPr="00583461">
              <w:rPr>
                <w:b/>
                <w:bCs/>
                <w:sz w:val="18"/>
                <w:szCs w:val="18"/>
              </w:rPr>
              <w:t>Burden Hours per Response</w:t>
            </w:r>
          </w:p>
        </w:tc>
        <w:tc>
          <w:tcPr>
            <w:tcW w:w="1781" w:type="dxa"/>
            <w:shd w:val="clear" w:color="auto" w:fill="auto"/>
            <w:vAlign w:val="bottom"/>
          </w:tcPr>
          <w:p w:rsidR="00A95FE0" w:rsidRPr="00583461" w:rsidRDefault="00A95FE0" w:rsidP="00D777C4">
            <w:pPr>
              <w:jc w:val="center"/>
              <w:rPr>
                <w:b/>
                <w:bCs/>
                <w:sz w:val="18"/>
                <w:szCs w:val="18"/>
              </w:rPr>
            </w:pPr>
            <w:r w:rsidRPr="00583461">
              <w:rPr>
                <w:b/>
                <w:bCs/>
                <w:sz w:val="18"/>
                <w:szCs w:val="18"/>
              </w:rPr>
              <w:t xml:space="preserve">Number of Responses per Year per </w:t>
            </w:r>
            <w:r w:rsidR="00D777C4">
              <w:rPr>
                <w:b/>
                <w:bCs/>
                <w:sz w:val="18"/>
                <w:szCs w:val="18"/>
              </w:rPr>
              <w:t>Respondent</w:t>
            </w:r>
          </w:p>
        </w:tc>
        <w:tc>
          <w:tcPr>
            <w:tcW w:w="1653" w:type="dxa"/>
            <w:shd w:val="clear" w:color="auto" w:fill="auto"/>
            <w:vAlign w:val="bottom"/>
          </w:tcPr>
          <w:p w:rsidR="00A95FE0" w:rsidRPr="00583461" w:rsidRDefault="00A95FE0" w:rsidP="00A95FE0">
            <w:pPr>
              <w:jc w:val="center"/>
              <w:rPr>
                <w:b/>
                <w:bCs/>
                <w:sz w:val="18"/>
                <w:szCs w:val="18"/>
              </w:rPr>
            </w:pPr>
          </w:p>
          <w:p w:rsidR="00A95FE0" w:rsidRPr="00583461" w:rsidRDefault="00A95FE0" w:rsidP="00A95FE0">
            <w:pPr>
              <w:jc w:val="center"/>
              <w:rPr>
                <w:b/>
                <w:bCs/>
                <w:sz w:val="18"/>
                <w:szCs w:val="18"/>
              </w:rPr>
            </w:pPr>
            <w:r w:rsidRPr="00583461">
              <w:rPr>
                <w:b/>
                <w:bCs/>
                <w:sz w:val="18"/>
                <w:szCs w:val="18"/>
              </w:rPr>
              <w:t>Annual Number of Responses</w:t>
            </w:r>
          </w:p>
        </w:tc>
        <w:tc>
          <w:tcPr>
            <w:tcW w:w="1781" w:type="dxa"/>
            <w:shd w:val="clear" w:color="auto" w:fill="auto"/>
            <w:vAlign w:val="bottom"/>
          </w:tcPr>
          <w:p w:rsidR="00A95FE0" w:rsidRPr="00583461" w:rsidRDefault="00A95FE0" w:rsidP="00A95FE0">
            <w:pPr>
              <w:jc w:val="center"/>
              <w:rPr>
                <w:b/>
                <w:bCs/>
                <w:sz w:val="18"/>
                <w:szCs w:val="18"/>
              </w:rPr>
            </w:pPr>
            <w:r w:rsidRPr="00583461">
              <w:rPr>
                <w:b/>
                <w:bCs/>
                <w:sz w:val="18"/>
                <w:szCs w:val="18"/>
              </w:rPr>
              <w:t>Annual Burden Hours</w:t>
            </w:r>
          </w:p>
        </w:tc>
      </w:tr>
      <w:tr w:rsidR="00A95FE0" w:rsidRPr="00583461" w:rsidTr="00A95FE0">
        <w:trPr>
          <w:trHeight w:val="262"/>
        </w:trPr>
        <w:tc>
          <w:tcPr>
            <w:tcW w:w="2162" w:type="dxa"/>
            <w:shd w:val="clear" w:color="auto" w:fill="auto"/>
            <w:vAlign w:val="bottom"/>
          </w:tcPr>
          <w:p w:rsidR="00A95FE0" w:rsidRPr="00583461" w:rsidRDefault="00A8538B" w:rsidP="00A95FE0">
            <w:pPr>
              <w:spacing w:before="120" w:after="120"/>
              <w:jc w:val="center"/>
            </w:pPr>
            <w:r>
              <w:t>76</w:t>
            </w:r>
          </w:p>
        </w:tc>
        <w:tc>
          <w:tcPr>
            <w:tcW w:w="1400" w:type="dxa"/>
            <w:vAlign w:val="bottom"/>
          </w:tcPr>
          <w:p w:rsidR="00A95FE0" w:rsidRPr="00583461" w:rsidRDefault="0006028F" w:rsidP="00A95FE0">
            <w:pPr>
              <w:spacing w:before="120" w:after="120"/>
              <w:jc w:val="center"/>
            </w:pPr>
            <w:r>
              <w:t>5</w:t>
            </w:r>
          </w:p>
        </w:tc>
        <w:tc>
          <w:tcPr>
            <w:tcW w:w="1781" w:type="dxa"/>
            <w:shd w:val="clear" w:color="auto" w:fill="auto"/>
            <w:vAlign w:val="bottom"/>
          </w:tcPr>
          <w:p w:rsidR="00A95FE0" w:rsidRPr="00583461" w:rsidRDefault="0006028F" w:rsidP="00A95FE0">
            <w:pPr>
              <w:spacing w:before="120" w:after="120"/>
              <w:jc w:val="center"/>
            </w:pPr>
            <w:r>
              <w:t>1</w:t>
            </w:r>
          </w:p>
        </w:tc>
        <w:tc>
          <w:tcPr>
            <w:tcW w:w="1653" w:type="dxa"/>
            <w:vAlign w:val="bottom"/>
          </w:tcPr>
          <w:p w:rsidR="00A95FE0" w:rsidRPr="00583461" w:rsidRDefault="00A8538B" w:rsidP="00A95FE0">
            <w:pPr>
              <w:spacing w:before="120" w:after="120"/>
              <w:jc w:val="center"/>
            </w:pPr>
            <w:r>
              <w:t>76</w:t>
            </w:r>
          </w:p>
        </w:tc>
        <w:tc>
          <w:tcPr>
            <w:tcW w:w="1781" w:type="dxa"/>
            <w:shd w:val="clear" w:color="auto" w:fill="auto"/>
            <w:vAlign w:val="bottom"/>
          </w:tcPr>
          <w:p w:rsidR="00A95FE0" w:rsidRPr="00583461" w:rsidRDefault="0006028F" w:rsidP="009569F9">
            <w:pPr>
              <w:spacing w:before="120" w:after="120"/>
              <w:jc w:val="center"/>
            </w:pPr>
            <w:r>
              <w:t>38</w:t>
            </w:r>
            <w:r w:rsidR="009569F9">
              <w:t>0</w:t>
            </w:r>
          </w:p>
        </w:tc>
      </w:tr>
    </w:tbl>
    <w:p w:rsidR="003806C8" w:rsidRDefault="003806C8" w:rsidP="00A95FE0"/>
    <w:p w:rsidR="003806C8" w:rsidRDefault="003806C8" w:rsidP="00A95FE0"/>
    <w:p w:rsidR="000875AD" w:rsidRDefault="000875AD" w:rsidP="00A95FE0"/>
    <w:p w:rsidR="000875AD" w:rsidRDefault="000875AD" w:rsidP="00A95FE0"/>
    <w:p w:rsidR="000875AD" w:rsidRDefault="000875AD" w:rsidP="00A95FE0"/>
    <w:tbl>
      <w:tblPr>
        <w:tblpPr w:leftFromText="180" w:rightFromText="180" w:vertAnchor="text" w:horzAnchor="margin" w:tblpY="67"/>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162"/>
        <w:gridCol w:w="1400"/>
        <w:gridCol w:w="1781"/>
        <w:gridCol w:w="1653"/>
        <w:gridCol w:w="1781"/>
      </w:tblGrid>
      <w:tr w:rsidR="00444612" w:rsidRPr="00583461" w:rsidTr="00C13C4D">
        <w:trPr>
          <w:trHeight w:val="617"/>
        </w:trPr>
        <w:tc>
          <w:tcPr>
            <w:tcW w:w="8777" w:type="dxa"/>
            <w:gridSpan w:val="5"/>
            <w:tcBorders>
              <w:bottom w:val="single" w:sz="4" w:space="0" w:color="auto"/>
            </w:tcBorders>
            <w:shd w:val="clear" w:color="auto" w:fill="B3B3B3"/>
            <w:vAlign w:val="center"/>
          </w:tcPr>
          <w:p w:rsidR="00444612" w:rsidRPr="00583461" w:rsidRDefault="00444612" w:rsidP="005F2AFF">
            <w:pPr>
              <w:jc w:val="center"/>
              <w:rPr>
                <w:b/>
                <w:bCs/>
              </w:rPr>
            </w:pPr>
            <w:r w:rsidRPr="00583461">
              <w:rPr>
                <w:b/>
                <w:bCs/>
              </w:rPr>
              <w:t>Form  EIA-</w:t>
            </w:r>
            <w:r>
              <w:rPr>
                <w:b/>
                <w:bCs/>
              </w:rPr>
              <w:t>851</w:t>
            </w:r>
            <w:r w:rsidR="00AE13FF">
              <w:rPr>
                <w:b/>
                <w:bCs/>
              </w:rPr>
              <w:t>Q</w:t>
            </w:r>
            <w:r w:rsidRPr="00583461">
              <w:rPr>
                <w:b/>
                <w:bCs/>
              </w:rPr>
              <w:t xml:space="preserve"> “</w:t>
            </w:r>
            <w:r>
              <w:rPr>
                <w:b/>
                <w:bCs/>
              </w:rPr>
              <w:t>Domestic Uranium Production Report (</w:t>
            </w:r>
            <w:r w:rsidR="00AE13FF">
              <w:rPr>
                <w:b/>
                <w:bCs/>
              </w:rPr>
              <w:t>Quarter</w:t>
            </w:r>
            <w:r w:rsidR="004F7D7A">
              <w:rPr>
                <w:b/>
                <w:bCs/>
              </w:rPr>
              <w:t>ly</w:t>
            </w:r>
            <w:r>
              <w:rPr>
                <w:b/>
                <w:bCs/>
              </w:rPr>
              <w:t>)</w:t>
            </w:r>
            <w:r w:rsidRPr="00583461">
              <w:rPr>
                <w:b/>
                <w:bCs/>
              </w:rPr>
              <w:t>”</w:t>
            </w:r>
          </w:p>
        </w:tc>
      </w:tr>
      <w:tr w:rsidR="00444612" w:rsidRPr="00583461" w:rsidTr="00C13C4D">
        <w:trPr>
          <w:trHeight w:val="1085"/>
        </w:trPr>
        <w:tc>
          <w:tcPr>
            <w:tcW w:w="2162" w:type="dxa"/>
            <w:shd w:val="clear" w:color="auto" w:fill="auto"/>
            <w:vAlign w:val="bottom"/>
          </w:tcPr>
          <w:p w:rsidR="00444612" w:rsidRPr="00583461" w:rsidRDefault="00444612" w:rsidP="00AE13FF">
            <w:pPr>
              <w:jc w:val="center"/>
              <w:rPr>
                <w:b/>
                <w:bCs/>
                <w:sz w:val="18"/>
                <w:szCs w:val="18"/>
              </w:rPr>
            </w:pPr>
            <w:r w:rsidRPr="00583461">
              <w:rPr>
                <w:b/>
                <w:bCs/>
                <w:sz w:val="18"/>
                <w:szCs w:val="18"/>
              </w:rPr>
              <w:t xml:space="preserve">Number of Respondents Per </w:t>
            </w:r>
            <w:r w:rsidR="00AE13FF">
              <w:rPr>
                <w:b/>
                <w:bCs/>
                <w:sz w:val="18"/>
                <w:szCs w:val="18"/>
              </w:rPr>
              <w:t>Quarter</w:t>
            </w:r>
          </w:p>
        </w:tc>
        <w:tc>
          <w:tcPr>
            <w:tcW w:w="1400" w:type="dxa"/>
            <w:shd w:val="clear" w:color="auto" w:fill="auto"/>
            <w:vAlign w:val="bottom"/>
          </w:tcPr>
          <w:p w:rsidR="00444612" w:rsidRPr="00583461" w:rsidRDefault="00444612" w:rsidP="00610637">
            <w:pPr>
              <w:jc w:val="center"/>
              <w:rPr>
                <w:b/>
                <w:bCs/>
                <w:sz w:val="18"/>
                <w:szCs w:val="18"/>
              </w:rPr>
            </w:pPr>
            <w:r w:rsidRPr="00583461">
              <w:rPr>
                <w:b/>
                <w:bCs/>
                <w:sz w:val="18"/>
                <w:szCs w:val="18"/>
              </w:rPr>
              <w:t>Burden Hours per Response</w:t>
            </w:r>
          </w:p>
        </w:tc>
        <w:tc>
          <w:tcPr>
            <w:tcW w:w="1781" w:type="dxa"/>
            <w:shd w:val="clear" w:color="auto" w:fill="auto"/>
            <w:vAlign w:val="bottom"/>
          </w:tcPr>
          <w:p w:rsidR="00444612" w:rsidRPr="00583461" w:rsidRDefault="00444612" w:rsidP="00D777C4">
            <w:pPr>
              <w:jc w:val="center"/>
              <w:rPr>
                <w:b/>
                <w:bCs/>
                <w:sz w:val="18"/>
                <w:szCs w:val="18"/>
              </w:rPr>
            </w:pPr>
            <w:r w:rsidRPr="00583461">
              <w:rPr>
                <w:b/>
                <w:bCs/>
                <w:sz w:val="18"/>
                <w:szCs w:val="18"/>
              </w:rPr>
              <w:t xml:space="preserve">Number of Responses per Year per </w:t>
            </w:r>
            <w:r w:rsidR="00D777C4">
              <w:rPr>
                <w:b/>
                <w:bCs/>
                <w:sz w:val="18"/>
                <w:szCs w:val="18"/>
              </w:rPr>
              <w:t>Respondent</w:t>
            </w:r>
          </w:p>
        </w:tc>
        <w:tc>
          <w:tcPr>
            <w:tcW w:w="1653" w:type="dxa"/>
            <w:shd w:val="clear" w:color="auto" w:fill="auto"/>
            <w:vAlign w:val="bottom"/>
          </w:tcPr>
          <w:p w:rsidR="00444612" w:rsidRPr="00583461" w:rsidRDefault="00444612" w:rsidP="00610637">
            <w:pPr>
              <w:jc w:val="center"/>
              <w:rPr>
                <w:b/>
                <w:bCs/>
                <w:sz w:val="18"/>
                <w:szCs w:val="18"/>
              </w:rPr>
            </w:pPr>
          </w:p>
          <w:p w:rsidR="00444612" w:rsidRPr="00583461" w:rsidRDefault="00444612" w:rsidP="00610637">
            <w:pPr>
              <w:jc w:val="center"/>
              <w:rPr>
                <w:b/>
                <w:bCs/>
                <w:sz w:val="18"/>
                <w:szCs w:val="18"/>
              </w:rPr>
            </w:pPr>
            <w:r w:rsidRPr="00583461">
              <w:rPr>
                <w:b/>
                <w:bCs/>
                <w:sz w:val="18"/>
                <w:szCs w:val="18"/>
              </w:rPr>
              <w:t>Annual Number of Responses</w:t>
            </w:r>
          </w:p>
        </w:tc>
        <w:tc>
          <w:tcPr>
            <w:tcW w:w="1781" w:type="dxa"/>
            <w:shd w:val="clear" w:color="auto" w:fill="auto"/>
            <w:vAlign w:val="bottom"/>
          </w:tcPr>
          <w:p w:rsidR="00444612" w:rsidRPr="00583461" w:rsidRDefault="00444612" w:rsidP="00610637">
            <w:pPr>
              <w:jc w:val="center"/>
              <w:rPr>
                <w:b/>
                <w:bCs/>
                <w:sz w:val="18"/>
                <w:szCs w:val="18"/>
              </w:rPr>
            </w:pPr>
            <w:r w:rsidRPr="00583461">
              <w:rPr>
                <w:b/>
                <w:bCs/>
                <w:sz w:val="18"/>
                <w:szCs w:val="18"/>
              </w:rPr>
              <w:t>Annual Burden Hours</w:t>
            </w:r>
          </w:p>
        </w:tc>
      </w:tr>
      <w:tr w:rsidR="00444612" w:rsidRPr="00583461" w:rsidTr="00610637">
        <w:trPr>
          <w:trHeight w:val="262"/>
        </w:trPr>
        <w:tc>
          <w:tcPr>
            <w:tcW w:w="2162" w:type="dxa"/>
            <w:shd w:val="clear" w:color="auto" w:fill="auto"/>
            <w:vAlign w:val="bottom"/>
          </w:tcPr>
          <w:p w:rsidR="00444612" w:rsidRPr="00583461" w:rsidRDefault="00AE13FF" w:rsidP="00610637">
            <w:pPr>
              <w:spacing w:before="120" w:after="120"/>
              <w:jc w:val="center"/>
            </w:pPr>
            <w:r>
              <w:t>15</w:t>
            </w:r>
          </w:p>
        </w:tc>
        <w:tc>
          <w:tcPr>
            <w:tcW w:w="1400" w:type="dxa"/>
            <w:vAlign w:val="bottom"/>
          </w:tcPr>
          <w:p w:rsidR="00444612" w:rsidRPr="00583461" w:rsidRDefault="00AE13FF" w:rsidP="00610637">
            <w:pPr>
              <w:spacing w:before="120" w:after="120"/>
              <w:jc w:val="center"/>
            </w:pPr>
            <w:r>
              <w:t>0.75</w:t>
            </w:r>
          </w:p>
        </w:tc>
        <w:tc>
          <w:tcPr>
            <w:tcW w:w="1781" w:type="dxa"/>
            <w:shd w:val="clear" w:color="auto" w:fill="auto"/>
            <w:vAlign w:val="bottom"/>
          </w:tcPr>
          <w:p w:rsidR="00444612" w:rsidRPr="00583461" w:rsidRDefault="00AE13FF" w:rsidP="00610637">
            <w:pPr>
              <w:spacing w:before="120" w:after="120"/>
              <w:jc w:val="center"/>
            </w:pPr>
            <w:r>
              <w:t>4</w:t>
            </w:r>
          </w:p>
        </w:tc>
        <w:tc>
          <w:tcPr>
            <w:tcW w:w="1653" w:type="dxa"/>
            <w:vAlign w:val="bottom"/>
          </w:tcPr>
          <w:p w:rsidR="00444612" w:rsidRPr="00583461" w:rsidRDefault="00AE13FF" w:rsidP="00610637">
            <w:pPr>
              <w:spacing w:before="120" w:after="120"/>
              <w:jc w:val="center"/>
            </w:pPr>
            <w:r>
              <w:t>60</w:t>
            </w:r>
          </w:p>
        </w:tc>
        <w:tc>
          <w:tcPr>
            <w:tcW w:w="1781" w:type="dxa"/>
            <w:shd w:val="clear" w:color="auto" w:fill="auto"/>
            <w:vAlign w:val="bottom"/>
          </w:tcPr>
          <w:p w:rsidR="00444612" w:rsidRPr="00583461" w:rsidRDefault="00AE13FF" w:rsidP="00610637">
            <w:pPr>
              <w:spacing w:before="120" w:after="120"/>
              <w:jc w:val="center"/>
            </w:pPr>
            <w:r>
              <w:t>45</w:t>
            </w:r>
          </w:p>
        </w:tc>
      </w:tr>
    </w:tbl>
    <w:p w:rsidR="00444612" w:rsidRDefault="00444612" w:rsidP="000D6A2A"/>
    <w:p w:rsidR="00444612" w:rsidRDefault="00444612" w:rsidP="000D6A2A"/>
    <w:p w:rsidR="00444612" w:rsidRDefault="00444612" w:rsidP="000D6A2A"/>
    <w:p w:rsidR="00444612" w:rsidRDefault="00444612" w:rsidP="000D6A2A"/>
    <w:p w:rsidR="00444612" w:rsidRDefault="00444612" w:rsidP="000D6A2A"/>
    <w:tbl>
      <w:tblPr>
        <w:tblpPr w:leftFromText="180" w:rightFromText="180" w:vertAnchor="text" w:horzAnchor="margin" w:tblpY="67"/>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162"/>
        <w:gridCol w:w="1400"/>
        <w:gridCol w:w="1781"/>
        <w:gridCol w:w="1653"/>
        <w:gridCol w:w="1781"/>
      </w:tblGrid>
      <w:tr w:rsidR="003F769A" w:rsidRPr="00583461" w:rsidTr="00C13C4D">
        <w:trPr>
          <w:trHeight w:val="621"/>
        </w:trPr>
        <w:tc>
          <w:tcPr>
            <w:tcW w:w="8777" w:type="dxa"/>
            <w:gridSpan w:val="5"/>
            <w:tcBorders>
              <w:bottom w:val="single" w:sz="4" w:space="0" w:color="auto"/>
            </w:tcBorders>
            <w:shd w:val="clear" w:color="auto" w:fill="B3B3B3"/>
            <w:vAlign w:val="center"/>
          </w:tcPr>
          <w:p w:rsidR="003F769A" w:rsidRPr="00583461" w:rsidRDefault="003F769A" w:rsidP="005F2AFF">
            <w:pPr>
              <w:jc w:val="center"/>
              <w:rPr>
                <w:b/>
                <w:bCs/>
              </w:rPr>
            </w:pPr>
            <w:r w:rsidRPr="00583461">
              <w:rPr>
                <w:b/>
                <w:bCs/>
              </w:rPr>
              <w:t>Form  EIA-</w:t>
            </w:r>
            <w:r>
              <w:rPr>
                <w:b/>
                <w:bCs/>
              </w:rPr>
              <w:t>858</w:t>
            </w:r>
            <w:r w:rsidRPr="00583461">
              <w:rPr>
                <w:b/>
                <w:bCs/>
              </w:rPr>
              <w:t xml:space="preserve"> “</w:t>
            </w:r>
            <w:r>
              <w:rPr>
                <w:b/>
                <w:bCs/>
              </w:rPr>
              <w:t>Uranium Marketing Annual Survey</w:t>
            </w:r>
            <w:r w:rsidRPr="00583461">
              <w:rPr>
                <w:b/>
                <w:bCs/>
              </w:rPr>
              <w:t>”</w:t>
            </w:r>
          </w:p>
        </w:tc>
      </w:tr>
      <w:tr w:rsidR="003F769A" w:rsidRPr="00583461" w:rsidTr="00610637">
        <w:trPr>
          <w:trHeight w:val="729"/>
        </w:trPr>
        <w:tc>
          <w:tcPr>
            <w:tcW w:w="2162" w:type="dxa"/>
            <w:shd w:val="clear" w:color="auto" w:fill="auto"/>
            <w:vAlign w:val="bottom"/>
          </w:tcPr>
          <w:p w:rsidR="003F769A" w:rsidRPr="00583461" w:rsidRDefault="003F769A" w:rsidP="00610637">
            <w:pPr>
              <w:jc w:val="center"/>
              <w:rPr>
                <w:b/>
                <w:bCs/>
                <w:sz w:val="18"/>
                <w:szCs w:val="18"/>
              </w:rPr>
            </w:pPr>
            <w:r w:rsidRPr="00583461">
              <w:rPr>
                <w:b/>
                <w:bCs/>
                <w:sz w:val="18"/>
                <w:szCs w:val="18"/>
              </w:rPr>
              <w:t xml:space="preserve">Number of Respondents Per </w:t>
            </w:r>
            <w:r>
              <w:rPr>
                <w:b/>
                <w:bCs/>
                <w:sz w:val="18"/>
                <w:szCs w:val="18"/>
              </w:rPr>
              <w:t>Year</w:t>
            </w:r>
          </w:p>
        </w:tc>
        <w:tc>
          <w:tcPr>
            <w:tcW w:w="1400" w:type="dxa"/>
            <w:shd w:val="clear" w:color="auto" w:fill="auto"/>
            <w:vAlign w:val="bottom"/>
          </w:tcPr>
          <w:p w:rsidR="003F769A" w:rsidRPr="00583461" w:rsidRDefault="003F769A" w:rsidP="00610637">
            <w:pPr>
              <w:jc w:val="center"/>
              <w:rPr>
                <w:b/>
                <w:bCs/>
                <w:sz w:val="18"/>
                <w:szCs w:val="18"/>
              </w:rPr>
            </w:pPr>
            <w:r w:rsidRPr="00583461">
              <w:rPr>
                <w:b/>
                <w:bCs/>
                <w:sz w:val="18"/>
                <w:szCs w:val="18"/>
              </w:rPr>
              <w:t>Burden Hours per Response</w:t>
            </w:r>
          </w:p>
        </w:tc>
        <w:tc>
          <w:tcPr>
            <w:tcW w:w="1781" w:type="dxa"/>
            <w:shd w:val="clear" w:color="auto" w:fill="auto"/>
            <w:vAlign w:val="bottom"/>
          </w:tcPr>
          <w:p w:rsidR="003F769A" w:rsidRPr="00583461" w:rsidRDefault="003F769A" w:rsidP="00D777C4">
            <w:pPr>
              <w:jc w:val="center"/>
              <w:rPr>
                <w:b/>
                <w:bCs/>
                <w:sz w:val="18"/>
                <w:szCs w:val="18"/>
              </w:rPr>
            </w:pPr>
            <w:r w:rsidRPr="00583461">
              <w:rPr>
                <w:b/>
                <w:bCs/>
                <w:sz w:val="18"/>
                <w:szCs w:val="18"/>
              </w:rPr>
              <w:t xml:space="preserve">Number of Responses per Year per </w:t>
            </w:r>
            <w:r w:rsidR="00D777C4">
              <w:rPr>
                <w:b/>
                <w:bCs/>
                <w:sz w:val="18"/>
                <w:szCs w:val="18"/>
              </w:rPr>
              <w:t>Respondent</w:t>
            </w:r>
          </w:p>
        </w:tc>
        <w:tc>
          <w:tcPr>
            <w:tcW w:w="1653" w:type="dxa"/>
            <w:shd w:val="clear" w:color="auto" w:fill="auto"/>
            <w:vAlign w:val="bottom"/>
          </w:tcPr>
          <w:p w:rsidR="003F769A" w:rsidRPr="00583461" w:rsidRDefault="003F769A" w:rsidP="00610637">
            <w:pPr>
              <w:jc w:val="center"/>
              <w:rPr>
                <w:b/>
                <w:bCs/>
                <w:sz w:val="18"/>
                <w:szCs w:val="18"/>
              </w:rPr>
            </w:pPr>
          </w:p>
          <w:p w:rsidR="003F769A" w:rsidRPr="00583461" w:rsidRDefault="003F769A" w:rsidP="00610637">
            <w:pPr>
              <w:jc w:val="center"/>
              <w:rPr>
                <w:b/>
                <w:bCs/>
                <w:sz w:val="18"/>
                <w:szCs w:val="18"/>
              </w:rPr>
            </w:pPr>
            <w:r w:rsidRPr="00583461">
              <w:rPr>
                <w:b/>
                <w:bCs/>
                <w:sz w:val="18"/>
                <w:szCs w:val="18"/>
              </w:rPr>
              <w:t>Annual Number of Responses</w:t>
            </w:r>
          </w:p>
        </w:tc>
        <w:tc>
          <w:tcPr>
            <w:tcW w:w="1781" w:type="dxa"/>
            <w:shd w:val="clear" w:color="auto" w:fill="auto"/>
            <w:vAlign w:val="bottom"/>
          </w:tcPr>
          <w:p w:rsidR="003F769A" w:rsidRPr="00583461" w:rsidRDefault="003F769A" w:rsidP="00610637">
            <w:pPr>
              <w:jc w:val="center"/>
              <w:rPr>
                <w:b/>
                <w:bCs/>
                <w:sz w:val="18"/>
                <w:szCs w:val="18"/>
              </w:rPr>
            </w:pPr>
            <w:r w:rsidRPr="00583461">
              <w:rPr>
                <w:b/>
                <w:bCs/>
                <w:sz w:val="18"/>
                <w:szCs w:val="18"/>
              </w:rPr>
              <w:t>Annual Burden Hours</w:t>
            </w:r>
          </w:p>
        </w:tc>
      </w:tr>
      <w:tr w:rsidR="003F769A" w:rsidRPr="00583461" w:rsidTr="00610637">
        <w:trPr>
          <w:trHeight w:val="262"/>
        </w:trPr>
        <w:tc>
          <w:tcPr>
            <w:tcW w:w="2162" w:type="dxa"/>
            <w:shd w:val="clear" w:color="auto" w:fill="auto"/>
            <w:vAlign w:val="bottom"/>
          </w:tcPr>
          <w:p w:rsidR="003F769A" w:rsidRPr="00583461" w:rsidRDefault="003F769A" w:rsidP="009569F9">
            <w:pPr>
              <w:spacing w:before="120" w:after="120"/>
              <w:jc w:val="center"/>
            </w:pPr>
            <w:r>
              <w:t>6</w:t>
            </w:r>
            <w:r w:rsidR="009569F9">
              <w:t>9</w:t>
            </w:r>
          </w:p>
        </w:tc>
        <w:tc>
          <w:tcPr>
            <w:tcW w:w="1400" w:type="dxa"/>
            <w:vAlign w:val="bottom"/>
          </w:tcPr>
          <w:p w:rsidR="003F769A" w:rsidRPr="00583461" w:rsidRDefault="003F769A" w:rsidP="00610637">
            <w:pPr>
              <w:spacing w:before="120" w:after="120"/>
              <w:jc w:val="center"/>
            </w:pPr>
            <w:r>
              <w:t>15</w:t>
            </w:r>
          </w:p>
        </w:tc>
        <w:tc>
          <w:tcPr>
            <w:tcW w:w="1781" w:type="dxa"/>
            <w:shd w:val="clear" w:color="auto" w:fill="auto"/>
            <w:vAlign w:val="bottom"/>
          </w:tcPr>
          <w:p w:rsidR="003F769A" w:rsidRPr="00583461" w:rsidRDefault="003F769A" w:rsidP="00610637">
            <w:pPr>
              <w:spacing w:before="120" w:after="120"/>
              <w:jc w:val="center"/>
            </w:pPr>
            <w:r>
              <w:t>1</w:t>
            </w:r>
          </w:p>
        </w:tc>
        <w:tc>
          <w:tcPr>
            <w:tcW w:w="1653" w:type="dxa"/>
            <w:vAlign w:val="bottom"/>
          </w:tcPr>
          <w:p w:rsidR="003F769A" w:rsidRPr="00583461" w:rsidRDefault="003F769A" w:rsidP="009569F9">
            <w:pPr>
              <w:spacing w:before="120" w:after="120"/>
              <w:jc w:val="center"/>
            </w:pPr>
            <w:r>
              <w:t>6</w:t>
            </w:r>
            <w:r w:rsidR="009569F9">
              <w:t>9</w:t>
            </w:r>
          </w:p>
        </w:tc>
        <w:tc>
          <w:tcPr>
            <w:tcW w:w="1781" w:type="dxa"/>
            <w:shd w:val="clear" w:color="auto" w:fill="auto"/>
            <w:vAlign w:val="bottom"/>
          </w:tcPr>
          <w:p w:rsidR="003F769A" w:rsidRPr="00583461" w:rsidRDefault="003F769A" w:rsidP="009569F9">
            <w:pPr>
              <w:spacing w:before="120" w:after="120"/>
              <w:jc w:val="center"/>
            </w:pPr>
            <w:r>
              <w:t>1,0</w:t>
            </w:r>
            <w:r w:rsidR="009569F9">
              <w:t>35</w:t>
            </w:r>
          </w:p>
        </w:tc>
      </w:tr>
    </w:tbl>
    <w:p w:rsidR="003F769A" w:rsidRDefault="003F769A" w:rsidP="000D6A2A"/>
    <w:p w:rsidR="003F769A" w:rsidRDefault="003F769A" w:rsidP="000D6A2A"/>
    <w:p w:rsidR="003F769A" w:rsidRDefault="003F769A" w:rsidP="000D6A2A"/>
    <w:p w:rsidR="00444612" w:rsidRDefault="00444612" w:rsidP="000D6A2A"/>
    <w:p w:rsidR="00444612" w:rsidRDefault="00444612" w:rsidP="000D6A2A"/>
    <w:p w:rsidR="00444612" w:rsidRDefault="00444612" w:rsidP="000D6A2A"/>
    <w:p w:rsidR="00A95FE0" w:rsidRDefault="009569F9">
      <w:pPr>
        <w:rPr>
          <w:rFonts w:asciiTheme="majorHAnsi" w:eastAsiaTheme="majorEastAsia" w:hAnsiTheme="majorHAnsi" w:cstheme="majorBidi"/>
          <w:b/>
          <w:bCs/>
          <w:color w:val="4F81BD" w:themeColor="accent1"/>
          <w:szCs w:val="24"/>
        </w:rPr>
      </w:pPr>
      <w:r>
        <w:t xml:space="preserve">The </w:t>
      </w:r>
      <w:r w:rsidR="00EC5F3B">
        <w:t xml:space="preserve">overall </w:t>
      </w:r>
      <w:r>
        <w:t xml:space="preserve">total burden for </w:t>
      </w:r>
      <w:r w:rsidR="008B3265">
        <w:t xml:space="preserve">the </w:t>
      </w:r>
      <w:r w:rsidR="00617624">
        <w:t xml:space="preserve">EIA </w:t>
      </w:r>
      <w:r w:rsidR="008B3265">
        <w:t>UDP</w:t>
      </w:r>
      <w:r>
        <w:t xml:space="preserve"> surveys is 1,460 hours annually</w:t>
      </w:r>
      <w:r w:rsidR="00E167CC">
        <w:t>.</w:t>
      </w:r>
      <w:r w:rsidR="00EB29BC">
        <w:t xml:space="preserve">  </w:t>
      </w:r>
      <w:r w:rsidR="00E167CC">
        <w:t>There are a total of 131 respondents who file a total of 205 forms annually, as some respondents report on more than one of the UDP forms</w:t>
      </w:r>
      <w:r>
        <w:t xml:space="preserve">.  </w:t>
      </w:r>
      <w:r w:rsidR="00E167CC">
        <w:t xml:space="preserve">This results in an average of 1.56 individual responses (filings of an individual form) per year per respondent with each response averaging 7.12 hours, yielding an average annual burden of 11.14 hours per respondent.  </w:t>
      </w:r>
      <w:r w:rsidR="00A95FE0" w:rsidRPr="00583461">
        <w:t>The total annual cost of the surveys is estimated to be $</w:t>
      </w:r>
      <w:r w:rsidR="003F6EE3">
        <w:t>98,</w:t>
      </w:r>
      <w:r>
        <w:t>900</w:t>
      </w:r>
      <w:r w:rsidR="00EB29BC">
        <w:t xml:space="preserve"> </w:t>
      </w:r>
      <w:r w:rsidR="00A95FE0" w:rsidRPr="00583461">
        <w:t>(burden hours times $6</w:t>
      </w:r>
      <w:r w:rsidR="00A95FE0">
        <w:t>7</w:t>
      </w:r>
      <w:r w:rsidR="00A95FE0" w:rsidRPr="00583461">
        <w:t>.</w:t>
      </w:r>
      <w:r w:rsidR="00A95FE0">
        <w:t>74</w:t>
      </w:r>
      <w:r w:rsidR="00CC65A6">
        <w:t xml:space="preserve"> per hour).  </w:t>
      </w:r>
      <w:r w:rsidR="00A95FE0" w:rsidRPr="00583461">
        <w:t>An average cost per hour of $6</w:t>
      </w:r>
      <w:r w:rsidR="00A95FE0">
        <w:t>7</w:t>
      </w:r>
      <w:r w:rsidR="00A95FE0" w:rsidRPr="00583461">
        <w:t>.</w:t>
      </w:r>
      <w:r w:rsidR="00A95FE0">
        <w:t>74</w:t>
      </w:r>
      <w:r w:rsidR="00A95FE0" w:rsidRPr="00583461">
        <w:t xml:space="preserve"> is used because that is the average loaded (salary plus benefits) cost for an EIA employee.  EIA assumes that the survey respondent workforce completing surveys is comparable with the EIA workforce. </w:t>
      </w:r>
      <w:r w:rsidR="00A95FE0">
        <w:rPr>
          <w:szCs w:val="24"/>
        </w:rPr>
        <w:br w:type="page"/>
      </w:r>
    </w:p>
    <w:p w:rsidR="00A95FE0" w:rsidRPr="00583461" w:rsidRDefault="00A95FE0" w:rsidP="00A95FE0">
      <w:pPr>
        <w:pStyle w:val="Heading5"/>
      </w:pPr>
      <w:bookmarkStart w:id="68" w:name="_Toc318697085"/>
      <w:bookmarkStart w:id="69" w:name="_Toc330888168"/>
      <w:r w:rsidRPr="00583461">
        <w:lastRenderedPageBreak/>
        <w:t>A.13. Annual Reporting and Record Keeping Cost</w:t>
      </w:r>
      <w:bookmarkEnd w:id="68"/>
      <w:bookmarkEnd w:id="69"/>
    </w:p>
    <w:p w:rsidR="00A95FE0" w:rsidRPr="00DF09A3" w:rsidRDefault="00A95FE0" w:rsidP="000D6A2A">
      <w:r w:rsidRPr="00DF09A3">
        <w:t xml:space="preserve">There are no additional capital and start-up cost components or operations and maintenance associated with </w:t>
      </w:r>
      <w:r w:rsidR="00B83F33" w:rsidRPr="00DF09A3">
        <w:t>the UDP</w:t>
      </w:r>
      <w:r w:rsidRPr="00DF09A3">
        <w:t xml:space="preserve"> data collection effort that is being funded by the EIA.  The information is maintained in the normal course of business.  Therefore, other than the cost of burden hours, there are no additional costs for generating, maintaining, and providing the information.</w:t>
      </w:r>
      <w:r w:rsidR="00DF09A3" w:rsidRPr="00DF09A3">
        <w:t xml:space="preserve">  EIA’s expectation is that the </w:t>
      </w:r>
      <w:r w:rsidR="00DF09A3" w:rsidRPr="00DF09A3">
        <w:rPr>
          <w:color w:val="000000"/>
        </w:rPr>
        <w:t>use of electronic data collection, including features such as pick-lists (see A.3., above) will help minimize the burden on respondents.  In addition, by improving data quality these features will reduce the need for respondents to spend time resolving data errors with EIA.</w:t>
      </w:r>
    </w:p>
    <w:p w:rsidR="00A95FE0" w:rsidRDefault="00A95FE0" w:rsidP="000D6A2A">
      <w:pPr>
        <w:rPr>
          <w:rFonts w:ascii="Times New Roman" w:eastAsia="Times New Roman" w:hAnsi="Times New Roman" w:cs="Times New Roman"/>
          <w:sz w:val="24"/>
          <w:szCs w:val="24"/>
        </w:rPr>
      </w:pPr>
      <w:r>
        <w:rPr>
          <w:szCs w:val="24"/>
        </w:rPr>
        <w:br w:type="page"/>
      </w:r>
    </w:p>
    <w:p w:rsidR="00A95FE0" w:rsidRPr="00583461" w:rsidRDefault="00A95FE0" w:rsidP="00A95FE0">
      <w:pPr>
        <w:pStyle w:val="Heading5"/>
      </w:pPr>
      <w:bookmarkStart w:id="70" w:name="_Toc524334503"/>
      <w:bookmarkStart w:id="71" w:name="_Toc524334585"/>
      <w:bookmarkStart w:id="72" w:name="_Toc524334732"/>
      <w:bookmarkStart w:id="73" w:name="_Toc524334925"/>
      <w:bookmarkStart w:id="74" w:name="_Toc318697086"/>
      <w:bookmarkStart w:id="75" w:name="_Toc330888169"/>
      <w:r w:rsidRPr="00583461">
        <w:lastRenderedPageBreak/>
        <w:t>A.14. Annual Cost to the Federal Government</w:t>
      </w:r>
      <w:bookmarkEnd w:id="70"/>
      <w:bookmarkEnd w:id="71"/>
      <w:bookmarkEnd w:id="72"/>
      <w:bookmarkEnd w:id="73"/>
      <w:bookmarkEnd w:id="74"/>
      <w:bookmarkEnd w:id="75"/>
    </w:p>
    <w:p w:rsidR="00A95FE0" w:rsidRPr="009E665B" w:rsidRDefault="00A95FE0" w:rsidP="000D6A2A">
      <w:r w:rsidRPr="009E665B">
        <w:t>The annual cost</w:t>
      </w:r>
      <w:r w:rsidR="00121D7E" w:rsidRPr="009E665B">
        <w:t xml:space="preserve"> for </w:t>
      </w:r>
      <w:r w:rsidR="00BF116F" w:rsidRPr="009E665B">
        <w:t>EIA’s</w:t>
      </w:r>
      <w:r w:rsidR="00121D7E" w:rsidRPr="009E665B">
        <w:t xml:space="preserve"> UDP </w:t>
      </w:r>
      <w:r w:rsidRPr="009E665B">
        <w:t>is estimated at $</w:t>
      </w:r>
      <w:r w:rsidR="004F7DB3" w:rsidRPr="009E665B">
        <w:t>141,000</w:t>
      </w:r>
      <w:r w:rsidRPr="009E665B">
        <w:t xml:space="preserve"> in FY 201</w:t>
      </w:r>
      <w:r w:rsidR="005E50F0" w:rsidRPr="009E665B">
        <w:t>2</w:t>
      </w:r>
      <w:r w:rsidR="00BF116F" w:rsidRPr="009E665B">
        <w:t xml:space="preserve"> (</w:t>
      </w:r>
      <w:r w:rsidR="003A3612" w:rsidRPr="009E665B">
        <w:t>comprising 1 Full-</w:t>
      </w:r>
      <w:r w:rsidR="00BF116F" w:rsidRPr="009E665B">
        <w:t>Time Equivalent at $67.74 per hour</w:t>
      </w:r>
      <w:r w:rsidR="008963E2" w:rsidRPr="009E665B">
        <w:t>, salary plus benefits</w:t>
      </w:r>
      <w:r w:rsidR="00BF116F" w:rsidRPr="009E665B">
        <w:t>)</w:t>
      </w:r>
      <w:r w:rsidRPr="009E665B">
        <w:t>.  This cost estimate includes personnel, maintenance, collection, and processing by EIA.  Regulatory analysis and support are outside the scope of this survey.</w:t>
      </w:r>
      <w:r w:rsidR="009E665B" w:rsidRPr="009E665B">
        <w:t xml:space="preserve">  The estimate also reflects the expected benefits from the use of electronic data </w:t>
      </w:r>
      <w:r w:rsidR="00847715" w:rsidRPr="009E665B">
        <w:t>collection;</w:t>
      </w:r>
      <w:r w:rsidR="009E665B" w:rsidRPr="009E665B">
        <w:t xml:space="preserve"> </w:t>
      </w:r>
      <w:r w:rsidR="009E665B" w:rsidRPr="009E665B">
        <w:rPr>
          <w:color w:val="000000"/>
        </w:rPr>
        <w:t>including features such as pick-lists (see A.3., above).</w:t>
      </w:r>
    </w:p>
    <w:p w:rsidR="00A95FE0" w:rsidRDefault="00A95FE0" w:rsidP="000D6A2A">
      <w:r>
        <w:br w:type="page"/>
      </w:r>
    </w:p>
    <w:p w:rsidR="00A95FE0" w:rsidRPr="00583461" w:rsidRDefault="00A95FE0" w:rsidP="00A95FE0">
      <w:pPr>
        <w:pStyle w:val="Heading5"/>
      </w:pPr>
      <w:bookmarkStart w:id="76" w:name="_Toc309722617"/>
      <w:bookmarkStart w:id="77" w:name="_Toc318697087"/>
      <w:bookmarkStart w:id="78" w:name="_Toc330888170"/>
      <w:r w:rsidRPr="00583461">
        <w:lastRenderedPageBreak/>
        <w:t>A.15. Changes in Burden</w:t>
      </w:r>
      <w:bookmarkEnd w:id="76"/>
      <w:bookmarkEnd w:id="77"/>
      <w:bookmarkEnd w:id="78"/>
    </w:p>
    <w:tbl>
      <w:tblPr>
        <w:tblpPr w:leftFromText="187" w:rightFromText="187" w:vertAnchor="page" w:horzAnchor="margin" w:tblpY="3869"/>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8"/>
        <w:gridCol w:w="1620"/>
        <w:gridCol w:w="1620"/>
        <w:gridCol w:w="1980"/>
        <w:gridCol w:w="1890"/>
      </w:tblGrid>
      <w:tr w:rsidR="00874A2A" w:rsidRPr="001A0450" w:rsidTr="00874A2A">
        <w:trPr>
          <w:trHeight w:val="797"/>
        </w:trPr>
        <w:tc>
          <w:tcPr>
            <w:tcW w:w="1638" w:type="dxa"/>
            <w:shd w:val="pct20" w:color="auto" w:fill="auto"/>
            <w:vAlign w:val="bottom"/>
          </w:tcPr>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EIA Form Number</w:t>
            </w:r>
          </w:p>
        </w:tc>
        <w:tc>
          <w:tcPr>
            <w:tcW w:w="1620" w:type="dxa"/>
            <w:shd w:val="pct20" w:color="auto" w:fill="auto"/>
            <w:vAlign w:val="bottom"/>
          </w:tcPr>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2009 Burden</w:t>
            </w:r>
          </w:p>
        </w:tc>
        <w:tc>
          <w:tcPr>
            <w:tcW w:w="1620" w:type="dxa"/>
            <w:shd w:val="pct20" w:color="auto" w:fill="auto"/>
            <w:vAlign w:val="bottom"/>
          </w:tcPr>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2012 Burden</w:t>
            </w:r>
          </w:p>
        </w:tc>
        <w:tc>
          <w:tcPr>
            <w:tcW w:w="1980" w:type="dxa"/>
            <w:shd w:val="pct20" w:color="auto" w:fill="auto"/>
            <w:vAlign w:val="bottom"/>
          </w:tcPr>
          <w:p w:rsidR="00667508" w:rsidRPr="00F306CC" w:rsidRDefault="00667508" w:rsidP="00874A2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Difference due to Adjustment</w:t>
            </w:r>
          </w:p>
        </w:tc>
        <w:tc>
          <w:tcPr>
            <w:tcW w:w="1890" w:type="dxa"/>
            <w:shd w:val="pct20" w:color="auto" w:fill="auto"/>
            <w:vAlign w:val="bottom"/>
          </w:tcPr>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Difference due to Program Change</w:t>
            </w:r>
          </w:p>
        </w:tc>
      </w:tr>
      <w:tr w:rsidR="00874A2A" w:rsidRPr="001A0450" w:rsidTr="00874A2A">
        <w:trPr>
          <w:trHeight w:val="518"/>
        </w:trPr>
        <w:tc>
          <w:tcPr>
            <w:tcW w:w="1638" w:type="dxa"/>
          </w:tcPr>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Form EIA-851A</w:t>
            </w:r>
          </w:p>
        </w:tc>
        <w:tc>
          <w:tcPr>
            <w:tcW w:w="1620" w:type="dxa"/>
          </w:tcPr>
          <w:p w:rsidR="00667508"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505 hours</w:t>
            </w:r>
          </w:p>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101 responses</w:t>
            </w:r>
          </w:p>
        </w:tc>
        <w:tc>
          <w:tcPr>
            <w:tcW w:w="1620" w:type="dxa"/>
          </w:tcPr>
          <w:p w:rsidR="00667508"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380 hours</w:t>
            </w:r>
          </w:p>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76  responses</w:t>
            </w:r>
          </w:p>
        </w:tc>
        <w:tc>
          <w:tcPr>
            <w:tcW w:w="1980" w:type="dxa"/>
          </w:tcPr>
          <w:p w:rsidR="00667508"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-125 hours</w:t>
            </w:r>
          </w:p>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-25  responses</w:t>
            </w:r>
          </w:p>
        </w:tc>
        <w:tc>
          <w:tcPr>
            <w:tcW w:w="1890" w:type="dxa"/>
          </w:tcPr>
          <w:p w:rsidR="00667508"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None</w:t>
            </w:r>
          </w:p>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p>
        </w:tc>
      </w:tr>
      <w:tr w:rsidR="00874A2A" w:rsidRPr="001A0450" w:rsidTr="00874A2A">
        <w:trPr>
          <w:trHeight w:val="392"/>
        </w:trPr>
        <w:tc>
          <w:tcPr>
            <w:tcW w:w="1638" w:type="dxa"/>
          </w:tcPr>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Form EIA-851Q</w:t>
            </w:r>
          </w:p>
        </w:tc>
        <w:tc>
          <w:tcPr>
            <w:tcW w:w="1620" w:type="dxa"/>
          </w:tcPr>
          <w:p w:rsidR="00667508"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51 hours</w:t>
            </w:r>
          </w:p>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68  responses</w:t>
            </w:r>
          </w:p>
        </w:tc>
        <w:tc>
          <w:tcPr>
            <w:tcW w:w="1620" w:type="dxa"/>
          </w:tcPr>
          <w:p w:rsidR="00667508"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45 hours</w:t>
            </w:r>
          </w:p>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60  responses</w:t>
            </w:r>
          </w:p>
        </w:tc>
        <w:tc>
          <w:tcPr>
            <w:tcW w:w="1980" w:type="dxa"/>
          </w:tcPr>
          <w:p w:rsidR="00667508"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-6 hours</w:t>
            </w:r>
          </w:p>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-8  responses</w:t>
            </w:r>
          </w:p>
        </w:tc>
        <w:tc>
          <w:tcPr>
            <w:tcW w:w="1890" w:type="dxa"/>
          </w:tcPr>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None</w:t>
            </w:r>
          </w:p>
        </w:tc>
      </w:tr>
      <w:tr w:rsidR="00874A2A" w:rsidRPr="001A0450" w:rsidTr="00874A2A">
        <w:tc>
          <w:tcPr>
            <w:tcW w:w="1638" w:type="dxa"/>
          </w:tcPr>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Form EIA-858</w:t>
            </w:r>
          </w:p>
        </w:tc>
        <w:tc>
          <w:tcPr>
            <w:tcW w:w="1620" w:type="dxa"/>
          </w:tcPr>
          <w:p w:rsidR="00667508"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975 hours</w:t>
            </w:r>
          </w:p>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65  responses</w:t>
            </w:r>
          </w:p>
        </w:tc>
        <w:tc>
          <w:tcPr>
            <w:tcW w:w="1620" w:type="dxa"/>
          </w:tcPr>
          <w:p w:rsidR="00667508"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1,035 hours</w:t>
            </w:r>
          </w:p>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69  responses</w:t>
            </w:r>
          </w:p>
        </w:tc>
        <w:tc>
          <w:tcPr>
            <w:tcW w:w="1980" w:type="dxa"/>
          </w:tcPr>
          <w:p w:rsidR="00667508"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+60 hours</w:t>
            </w:r>
          </w:p>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+4  responses</w:t>
            </w:r>
          </w:p>
        </w:tc>
        <w:tc>
          <w:tcPr>
            <w:tcW w:w="1890" w:type="dxa"/>
          </w:tcPr>
          <w:p w:rsidR="00667508" w:rsidRPr="00F306CC"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pPr>
            <w:r>
              <w:t>None</w:t>
            </w:r>
          </w:p>
        </w:tc>
      </w:tr>
      <w:tr w:rsidR="00874A2A" w:rsidRPr="001A0450" w:rsidTr="00874A2A">
        <w:trPr>
          <w:trHeight w:val="455"/>
        </w:trPr>
        <w:tc>
          <w:tcPr>
            <w:tcW w:w="1638" w:type="dxa"/>
          </w:tcPr>
          <w:p w:rsidR="00667508" w:rsidRPr="00F70CE4" w:rsidRDefault="00667508" w:rsidP="00667508">
            <w:pPr>
              <w:numPr>
                <w:ilvl w:val="12"/>
                <w:numId w:val="0"/>
              </w:numPr>
              <w:tabs>
                <w:tab w:val="left" w:pos="-1980"/>
                <w:tab w:val="left" w:pos="0"/>
                <w:tab w:val="left" w:pos="1080"/>
                <w:tab w:val="left" w:pos="2880"/>
                <w:tab w:val="left" w:pos="3600"/>
                <w:tab w:val="left" w:pos="4320"/>
                <w:tab w:val="left" w:pos="5040"/>
                <w:tab w:val="left" w:pos="5760"/>
                <w:tab w:val="left" w:pos="6480"/>
                <w:tab w:val="left" w:pos="7200"/>
                <w:tab w:val="left" w:pos="7920"/>
                <w:tab w:val="left" w:pos="8640"/>
              </w:tabs>
              <w:spacing w:line="240" w:lineRule="auto"/>
              <w:rPr>
                <w:b/>
              </w:rPr>
            </w:pPr>
            <w:r w:rsidRPr="00F70CE4">
              <w:rPr>
                <w:b/>
              </w:rPr>
              <w:t>Total</w:t>
            </w:r>
          </w:p>
        </w:tc>
        <w:tc>
          <w:tcPr>
            <w:tcW w:w="1620" w:type="dxa"/>
          </w:tcPr>
          <w:p w:rsidR="00667508" w:rsidRPr="00F70CE4"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rPr>
                <w:b/>
              </w:rPr>
            </w:pPr>
            <w:r w:rsidRPr="00F70CE4">
              <w:rPr>
                <w:b/>
              </w:rPr>
              <w:t>1,531 hours</w:t>
            </w:r>
          </w:p>
          <w:p w:rsidR="00667508" w:rsidRPr="00F70CE4"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rPr>
                <w:b/>
              </w:rPr>
            </w:pPr>
            <w:r w:rsidRPr="00F70CE4">
              <w:rPr>
                <w:b/>
              </w:rPr>
              <w:t>234  responses</w:t>
            </w:r>
          </w:p>
        </w:tc>
        <w:tc>
          <w:tcPr>
            <w:tcW w:w="1620" w:type="dxa"/>
          </w:tcPr>
          <w:p w:rsidR="00667508" w:rsidRPr="00F70CE4"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rPr>
                <w:b/>
              </w:rPr>
            </w:pPr>
            <w:r w:rsidRPr="00F70CE4">
              <w:rPr>
                <w:b/>
              </w:rPr>
              <w:t>1,460 hours</w:t>
            </w:r>
          </w:p>
          <w:p w:rsidR="00667508" w:rsidRPr="00F70CE4"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rPr>
                <w:b/>
              </w:rPr>
            </w:pPr>
            <w:r w:rsidRPr="00F70CE4">
              <w:rPr>
                <w:b/>
              </w:rPr>
              <w:t>205  responses</w:t>
            </w:r>
          </w:p>
        </w:tc>
        <w:tc>
          <w:tcPr>
            <w:tcW w:w="1980" w:type="dxa"/>
          </w:tcPr>
          <w:p w:rsidR="00667508" w:rsidRPr="00F70CE4"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rPr>
                <w:b/>
              </w:rPr>
            </w:pPr>
            <w:r w:rsidRPr="00F70CE4">
              <w:rPr>
                <w:b/>
              </w:rPr>
              <w:t>-71 hours</w:t>
            </w:r>
          </w:p>
          <w:p w:rsidR="00667508" w:rsidRPr="00F70CE4"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rPr>
                <w:b/>
              </w:rPr>
            </w:pPr>
            <w:r>
              <w:rPr>
                <w:b/>
              </w:rPr>
              <w:t>-</w:t>
            </w:r>
            <w:r w:rsidRPr="00F70CE4">
              <w:rPr>
                <w:b/>
              </w:rPr>
              <w:t>29  responses</w:t>
            </w:r>
          </w:p>
        </w:tc>
        <w:tc>
          <w:tcPr>
            <w:tcW w:w="1890" w:type="dxa"/>
          </w:tcPr>
          <w:p w:rsidR="00667508" w:rsidRPr="00F70CE4" w:rsidRDefault="00667508" w:rsidP="006675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rPr>
                <w:b/>
              </w:rPr>
            </w:pPr>
            <w:r w:rsidRPr="00F70CE4">
              <w:rPr>
                <w:b/>
              </w:rPr>
              <w:t>None</w:t>
            </w:r>
          </w:p>
        </w:tc>
      </w:tr>
    </w:tbl>
    <w:p w:rsidR="00A95FE0" w:rsidRDefault="003F10A1">
      <w:r w:rsidRPr="00F6686C">
        <w:t xml:space="preserve"> </w:t>
      </w:r>
      <w:r w:rsidR="00F6686C" w:rsidRPr="00F6686C">
        <w:t>The currently appro</w:t>
      </w:r>
      <w:r w:rsidR="00F6686C">
        <w:t xml:space="preserve">ved burden </w:t>
      </w:r>
      <w:r w:rsidR="00A90EF7">
        <w:t xml:space="preserve">in 2009 </w:t>
      </w:r>
      <w:r w:rsidR="00F6686C">
        <w:t xml:space="preserve">for </w:t>
      </w:r>
      <w:r w:rsidR="002121B6">
        <w:t>the EIA UDP (</w:t>
      </w:r>
      <w:r w:rsidR="00F6686C">
        <w:t>OMB Number 1905-0160</w:t>
      </w:r>
      <w:r w:rsidR="002121B6">
        <w:t>)</w:t>
      </w:r>
      <w:r w:rsidR="00F6686C" w:rsidRPr="00F6686C">
        <w:t xml:space="preserve"> is </w:t>
      </w:r>
      <w:r w:rsidR="00F57B7E">
        <w:t xml:space="preserve">234 responses annually for a total of </w:t>
      </w:r>
      <w:r w:rsidR="00F6686C">
        <w:t>1,531</w:t>
      </w:r>
      <w:r w:rsidR="00F6686C" w:rsidRPr="00F6686C">
        <w:t xml:space="preserve"> hours</w:t>
      </w:r>
      <w:r w:rsidR="00F57B7E">
        <w:t>.  Th</w:t>
      </w:r>
      <w:r w:rsidR="00A90EF7">
        <w:t>e</w:t>
      </w:r>
      <w:r w:rsidR="00F6686C" w:rsidRPr="00F6686C">
        <w:t xml:space="preserve"> proposed burden for this request is </w:t>
      </w:r>
      <w:r w:rsidR="00F57B7E">
        <w:t xml:space="preserve">205 responses annually for a total of </w:t>
      </w:r>
      <w:r w:rsidR="00F6686C">
        <w:t>1,460</w:t>
      </w:r>
      <w:r w:rsidR="00F6686C" w:rsidRPr="00F6686C">
        <w:t xml:space="preserve"> hours</w:t>
      </w:r>
      <w:r w:rsidR="00F6686C">
        <w:t>.  This</w:t>
      </w:r>
      <w:r w:rsidR="00F6686C" w:rsidRPr="00F6686C">
        <w:t xml:space="preserve"> is a</w:t>
      </w:r>
      <w:r w:rsidR="00F6686C">
        <w:t xml:space="preserve"> de</w:t>
      </w:r>
      <w:r w:rsidR="00F6686C" w:rsidRPr="00F6686C">
        <w:t xml:space="preserve">crease of </w:t>
      </w:r>
      <w:r w:rsidR="00290E59">
        <w:t xml:space="preserve">29 responses annually and </w:t>
      </w:r>
      <w:r w:rsidR="00F6686C">
        <w:t>71</w:t>
      </w:r>
      <w:r w:rsidR="00F6686C" w:rsidRPr="00F6686C">
        <w:t xml:space="preserve"> hours</w:t>
      </w:r>
      <w:r w:rsidR="00F6686C">
        <w:t xml:space="preserve"> annually</w:t>
      </w:r>
      <w:r w:rsidR="00F6686C" w:rsidRPr="00F6686C">
        <w:t xml:space="preserve">, due to </w:t>
      </w:r>
      <w:r w:rsidR="00F6686C">
        <w:t>a</w:t>
      </w:r>
      <w:r w:rsidR="00F306CC" w:rsidRPr="007C2C54">
        <w:rPr>
          <w:szCs w:val="20"/>
        </w:rPr>
        <w:t xml:space="preserve"> </w:t>
      </w:r>
      <w:r w:rsidR="005E50F0" w:rsidRPr="007C2C54">
        <w:rPr>
          <w:szCs w:val="20"/>
        </w:rPr>
        <w:t>decrease in</w:t>
      </w:r>
      <w:r w:rsidR="005A735F">
        <w:rPr>
          <w:szCs w:val="20"/>
        </w:rPr>
        <w:t xml:space="preserve"> the</w:t>
      </w:r>
      <w:r w:rsidR="005E50F0" w:rsidRPr="007C2C54">
        <w:rPr>
          <w:szCs w:val="20"/>
        </w:rPr>
        <w:t xml:space="preserve"> number of respondents</w:t>
      </w:r>
      <w:r w:rsidR="00282CE1">
        <w:rPr>
          <w:szCs w:val="20"/>
        </w:rPr>
        <w:t xml:space="preserve"> </w:t>
      </w:r>
      <w:r w:rsidR="005A095F">
        <w:t>across the surveys</w:t>
      </w:r>
      <w:r w:rsidR="005E50F0" w:rsidRPr="007C2C54">
        <w:t xml:space="preserve">.  There is no change </w:t>
      </w:r>
      <w:r w:rsidR="00324336">
        <w:t xml:space="preserve">resulting from an EIA </w:t>
      </w:r>
      <w:r w:rsidR="005E50F0" w:rsidRPr="007C2C54">
        <w:t>program change.</w:t>
      </w:r>
      <w:r w:rsidR="00A95FE0">
        <w:br w:type="page"/>
      </w:r>
    </w:p>
    <w:p w:rsidR="00A95FE0" w:rsidRPr="00583461" w:rsidRDefault="00A95FE0" w:rsidP="00B34E75">
      <w:pPr>
        <w:pStyle w:val="Heading5"/>
      </w:pPr>
      <w:bookmarkStart w:id="79" w:name="_Toc524334505"/>
      <w:bookmarkStart w:id="80" w:name="_Toc524334587"/>
      <w:bookmarkStart w:id="81" w:name="_Toc524334734"/>
      <w:bookmarkStart w:id="82" w:name="_Toc524334927"/>
      <w:bookmarkStart w:id="83" w:name="_Toc309722618"/>
      <w:bookmarkStart w:id="84" w:name="_Toc318697088"/>
      <w:bookmarkStart w:id="85" w:name="_Toc330888171"/>
      <w:r w:rsidRPr="00583461">
        <w:lastRenderedPageBreak/>
        <w:t>A.16. Collection, Tabulation, and Publication Plans</w:t>
      </w:r>
      <w:bookmarkEnd w:id="79"/>
      <w:bookmarkEnd w:id="80"/>
      <w:bookmarkEnd w:id="81"/>
      <w:bookmarkEnd w:id="82"/>
      <w:bookmarkEnd w:id="83"/>
      <w:bookmarkEnd w:id="84"/>
      <w:bookmarkEnd w:id="85"/>
    </w:p>
    <w:p w:rsidR="00A95FE0" w:rsidRPr="000D6A2A" w:rsidRDefault="00814094" w:rsidP="00A95F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heme="minorHAnsi"/>
        </w:rPr>
      </w:pPr>
      <w:r>
        <w:rPr>
          <w:rFonts w:cstheme="minorHAnsi"/>
        </w:rPr>
        <w:t xml:space="preserve">The </w:t>
      </w:r>
      <w:r w:rsidR="0098269B">
        <w:rPr>
          <w:rFonts w:cstheme="minorHAnsi"/>
        </w:rPr>
        <w:t xml:space="preserve">data collected on the UDP </w:t>
      </w:r>
      <w:r w:rsidR="00A95FE0" w:rsidRPr="000D6A2A">
        <w:rPr>
          <w:rFonts w:cstheme="minorHAnsi"/>
        </w:rPr>
        <w:t>form</w:t>
      </w:r>
      <w:r>
        <w:rPr>
          <w:rFonts w:cstheme="minorHAnsi"/>
        </w:rPr>
        <w:t>s</w:t>
      </w:r>
      <w:r w:rsidR="00A95FE0" w:rsidRPr="000D6A2A">
        <w:rPr>
          <w:rFonts w:cstheme="minorHAnsi"/>
        </w:rPr>
        <w:t xml:space="preserve"> will be </w:t>
      </w:r>
      <w:r w:rsidR="00610722">
        <w:rPr>
          <w:rFonts w:cstheme="minorHAnsi"/>
        </w:rPr>
        <w:t>aggregated</w:t>
      </w:r>
      <w:r w:rsidR="00A95FE0" w:rsidRPr="000D6A2A">
        <w:rPr>
          <w:rFonts w:cstheme="minorHAnsi"/>
        </w:rPr>
        <w:t xml:space="preserve"> in EIA reports and made available on the EIA website.  </w:t>
      </w:r>
    </w:p>
    <w:p w:rsidR="00A95FE0" w:rsidRPr="000D6A2A" w:rsidRDefault="00A95FE0" w:rsidP="00A95FE0">
      <w:pPr>
        <w:pStyle w:val="Caption"/>
        <w:rPr>
          <w:rFonts w:asciiTheme="minorHAnsi" w:hAnsiTheme="minorHAnsi" w:cstheme="minorHAnsi"/>
          <w:sz w:val="22"/>
          <w:szCs w:val="22"/>
        </w:rPr>
      </w:pPr>
      <w:bookmarkStart w:id="86" w:name="_Toc524420604"/>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1260"/>
        <w:gridCol w:w="1260"/>
        <w:gridCol w:w="1080"/>
        <w:gridCol w:w="4500"/>
        <w:gridCol w:w="1170"/>
      </w:tblGrid>
      <w:tr w:rsidR="00A95FE0" w:rsidRPr="000D6A2A" w:rsidTr="00013006">
        <w:trPr>
          <w:trHeight w:val="259"/>
          <w:tblHeader/>
        </w:trPr>
        <w:tc>
          <w:tcPr>
            <w:tcW w:w="918" w:type="dxa"/>
            <w:shd w:val="clear" w:color="auto" w:fill="CCCCCC"/>
            <w:vAlign w:val="bottom"/>
          </w:tcPr>
          <w:bookmarkEnd w:id="86"/>
          <w:p w:rsidR="00A95FE0" w:rsidRPr="000D6A2A" w:rsidRDefault="00A95FE0" w:rsidP="00B34E75">
            <w:pPr>
              <w:spacing w:before="120" w:after="120" w:line="240" w:lineRule="auto"/>
              <w:jc w:val="center"/>
              <w:rPr>
                <w:rFonts w:cstheme="minorHAnsi"/>
                <w:b/>
                <w:bCs/>
              </w:rPr>
            </w:pPr>
            <w:r w:rsidRPr="000D6A2A">
              <w:rPr>
                <w:rFonts w:cstheme="minorHAnsi"/>
                <w:b/>
                <w:bCs/>
              </w:rPr>
              <w:t>Form</w:t>
            </w:r>
          </w:p>
        </w:tc>
        <w:tc>
          <w:tcPr>
            <w:tcW w:w="1260" w:type="dxa"/>
            <w:shd w:val="clear" w:color="auto" w:fill="CCCCCC"/>
            <w:vAlign w:val="bottom"/>
          </w:tcPr>
          <w:p w:rsidR="00A95FE0" w:rsidRPr="000D6A2A" w:rsidRDefault="00036C6F" w:rsidP="00B34E75">
            <w:pPr>
              <w:spacing w:before="120" w:after="120" w:line="240" w:lineRule="auto"/>
              <w:jc w:val="center"/>
              <w:rPr>
                <w:rFonts w:cstheme="minorHAnsi"/>
                <w:b/>
                <w:bCs/>
              </w:rPr>
            </w:pPr>
            <w:r>
              <w:rPr>
                <w:rFonts w:cstheme="minorHAnsi"/>
                <w:b/>
                <w:bCs/>
              </w:rPr>
              <w:t>Start Date</w:t>
            </w:r>
          </w:p>
        </w:tc>
        <w:tc>
          <w:tcPr>
            <w:tcW w:w="1260" w:type="dxa"/>
            <w:tcBorders>
              <w:bottom w:val="single" w:sz="4" w:space="0" w:color="auto"/>
            </w:tcBorders>
            <w:shd w:val="clear" w:color="auto" w:fill="CCCCCC"/>
            <w:vAlign w:val="bottom"/>
          </w:tcPr>
          <w:p w:rsidR="00A95FE0" w:rsidRPr="000D6A2A" w:rsidRDefault="00A95FE0" w:rsidP="00B34E75">
            <w:pPr>
              <w:spacing w:before="120" w:after="120" w:line="240" w:lineRule="auto"/>
              <w:jc w:val="center"/>
              <w:rPr>
                <w:rFonts w:cstheme="minorHAnsi"/>
                <w:b/>
                <w:bCs/>
              </w:rPr>
            </w:pPr>
            <w:r w:rsidRPr="000D6A2A">
              <w:rPr>
                <w:rFonts w:cstheme="minorHAnsi"/>
                <w:b/>
                <w:bCs/>
              </w:rPr>
              <w:t>Due Date</w:t>
            </w:r>
          </w:p>
        </w:tc>
        <w:tc>
          <w:tcPr>
            <w:tcW w:w="1080" w:type="dxa"/>
            <w:shd w:val="clear" w:color="auto" w:fill="CCCCCC"/>
            <w:vAlign w:val="bottom"/>
          </w:tcPr>
          <w:p w:rsidR="00A95FE0" w:rsidRPr="000D6A2A" w:rsidRDefault="00A95FE0" w:rsidP="00B34E75">
            <w:pPr>
              <w:spacing w:before="120" w:after="120" w:line="240" w:lineRule="auto"/>
              <w:jc w:val="center"/>
              <w:rPr>
                <w:rFonts w:cstheme="minorHAnsi"/>
                <w:b/>
                <w:bCs/>
              </w:rPr>
            </w:pPr>
            <w:r w:rsidRPr="000D6A2A">
              <w:rPr>
                <w:rFonts w:cstheme="minorHAnsi"/>
                <w:b/>
                <w:bCs/>
              </w:rPr>
              <w:t>Period</w:t>
            </w:r>
          </w:p>
        </w:tc>
        <w:tc>
          <w:tcPr>
            <w:tcW w:w="4500" w:type="dxa"/>
            <w:shd w:val="clear" w:color="auto" w:fill="CCCCCC"/>
            <w:vAlign w:val="bottom"/>
          </w:tcPr>
          <w:p w:rsidR="00A95FE0" w:rsidRPr="000D6A2A" w:rsidRDefault="005048F6" w:rsidP="00B34E75">
            <w:pPr>
              <w:pStyle w:val="z-BottomofForm"/>
              <w:spacing w:before="120" w:after="120"/>
              <w:rPr>
                <w:rFonts w:asciiTheme="minorHAnsi" w:hAnsiTheme="minorHAnsi" w:cstheme="minorHAnsi"/>
                <w:bCs/>
                <w:sz w:val="22"/>
                <w:szCs w:val="22"/>
              </w:rPr>
            </w:pPr>
            <w:r>
              <w:rPr>
                <w:rFonts w:asciiTheme="minorHAnsi" w:hAnsiTheme="minorHAnsi" w:cstheme="minorHAnsi"/>
                <w:bCs/>
                <w:sz w:val="22"/>
                <w:szCs w:val="22"/>
              </w:rPr>
              <w:t>Publication</w:t>
            </w:r>
          </w:p>
        </w:tc>
        <w:tc>
          <w:tcPr>
            <w:tcW w:w="1170" w:type="dxa"/>
            <w:shd w:val="clear" w:color="auto" w:fill="CCCCCC"/>
            <w:vAlign w:val="bottom"/>
          </w:tcPr>
          <w:p w:rsidR="00A95FE0" w:rsidRPr="000D6A2A" w:rsidRDefault="000D760F" w:rsidP="00B34E75">
            <w:pPr>
              <w:spacing w:before="120" w:after="120" w:line="240" w:lineRule="auto"/>
              <w:jc w:val="center"/>
              <w:rPr>
                <w:rFonts w:cstheme="minorHAnsi"/>
                <w:b/>
                <w:bCs/>
              </w:rPr>
            </w:pPr>
            <w:r>
              <w:rPr>
                <w:rFonts w:cstheme="minorHAnsi"/>
                <w:b/>
                <w:bCs/>
              </w:rPr>
              <w:t>On EIA website</w:t>
            </w:r>
          </w:p>
        </w:tc>
      </w:tr>
      <w:tr w:rsidR="00A95FE0" w:rsidRPr="000D6A2A" w:rsidTr="00013006">
        <w:trPr>
          <w:trHeight w:val="259"/>
        </w:trPr>
        <w:tc>
          <w:tcPr>
            <w:tcW w:w="918" w:type="dxa"/>
          </w:tcPr>
          <w:p w:rsidR="00A95FE0" w:rsidRPr="000D6A2A" w:rsidRDefault="00A95FE0" w:rsidP="00B34E75">
            <w:pPr>
              <w:spacing w:before="120" w:after="120" w:line="240" w:lineRule="auto"/>
              <w:rPr>
                <w:rFonts w:cstheme="minorHAnsi"/>
              </w:rPr>
            </w:pPr>
            <w:r w:rsidRPr="000D6A2A">
              <w:rPr>
                <w:rFonts w:cstheme="minorHAnsi"/>
              </w:rPr>
              <w:t>EIA-</w:t>
            </w:r>
            <w:r w:rsidR="000D760F">
              <w:rPr>
                <w:rFonts w:cstheme="minorHAnsi"/>
              </w:rPr>
              <w:t>851A</w:t>
            </w:r>
          </w:p>
        </w:tc>
        <w:tc>
          <w:tcPr>
            <w:tcW w:w="1260" w:type="dxa"/>
          </w:tcPr>
          <w:p w:rsidR="00A95FE0" w:rsidRPr="000D6A2A" w:rsidRDefault="0060192E" w:rsidP="0060192E">
            <w:pPr>
              <w:spacing w:before="120" w:after="120" w:line="240" w:lineRule="auto"/>
              <w:rPr>
                <w:rFonts w:cstheme="minorHAnsi"/>
              </w:rPr>
            </w:pPr>
            <w:r>
              <w:rPr>
                <w:rFonts w:cstheme="minorHAnsi"/>
              </w:rPr>
              <w:t>January 2</w:t>
            </w:r>
            <w:r w:rsidR="00A95FE0" w:rsidRPr="000D6A2A">
              <w:rPr>
                <w:rFonts w:cstheme="minorHAnsi"/>
              </w:rPr>
              <w:t xml:space="preserve">  </w:t>
            </w:r>
          </w:p>
        </w:tc>
        <w:tc>
          <w:tcPr>
            <w:tcW w:w="1260" w:type="dxa"/>
          </w:tcPr>
          <w:p w:rsidR="00A95FE0" w:rsidRPr="000D6A2A" w:rsidRDefault="000D760F" w:rsidP="00B34E75">
            <w:pPr>
              <w:spacing w:before="120" w:after="120" w:line="240" w:lineRule="auto"/>
              <w:rPr>
                <w:rFonts w:cstheme="minorHAnsi"/>
              </w:rPr>
            </w:pPr>
            <w:r>
              <w:rPr>
                <w:rFonts w:cstheme="minorHAnsi"/>
              </w:rPr>
              <w:t>March 1</w:t>
            </w:r>
          </w:p>
        </w:tc>
        <w:tc>
          <w:tcPr>
            <w:tcW w:w="1080" w:type="dxa"/>
          </w:tcPr>
          <w:p w:rsidR="00A95FE0" w:rsidRPr="000D6A2A" w:rsidRDefault="000D760F" w:rsidP="00B34E75">
            <w:pPr>
              <w:spacing w:before="120" w:after="120" w:line="240" w:lineRule="auto"/>
              <w:rPr>
                <w:rFonts w:cstheme="minorHAnsi"/>
              </w:rPr>
            </w:pPr>
            <w:r>
              <w:rPr>
                <w:rFonts w:cstheme="minorHAnsi"/>
              </w:rPr>
              <w:t>Annual</w:t>
            </w:r>
          </w:p>
        </w:tc>
        <w:tc>
          <w:tcPr>
            <w:tcW w:w="4500" w:type="dxa"/>
          </w:tcPr>
          <w:p w:rsidR="00A95FE0" w:rsidRPr="00F23BAB" w:rsidRDefault="005048F6" w:rsidP="00B34E75">
            <w:pPr>
              <w:spacing w:before="120" w:after="120" w:line="240" w:lineRule="auto"/>
              <w:rPr>
                <w:rFonts w:cstheme="minorHAnsi"/>
                <w:color w:val="FF0000"/>
                <w:sz w:val="20"/>
                <w:szCs w:val="20"/>
              </w:rPr>
            </w:pPr>
            <w:r w:rsidRPr="00F23BAB">
              <w:rPr>
                <w:i/>
                <w:sz w:val="20"/>
                <w:szCs w:val="20"/>
              </w:rPr>
              <w:t xml:space="preserve">Domestic Uranium Production Report – Annual </w:t>
            </w:r>
            <w:hyperlink r:id="rId15" w:history="1">
              <w:r w:rsidRPr="00F23BAB">
                <w:rPr>
                  <w:rStyle w:val="Hyperlink"/>
                  <w:sz w:val="20"/>
                  <w:szCs w:val="20"/>
                </w:rPr>
                <w:t>http://www.eia.gov/uranium/production/annual/</w:t>
              </w:r>
            </w:hyperlink>
          </w:p>
        </w:tc>
        <w:tc>
          <w:tcPr>
            <w:tcW w:w="1170" w:type="dxa"/>
          </w:tcPr>
          <w:p w:rsidR="00A95FE0" w:rsidRPr="000D6A2A" w:rsidRDefault="000D760F" w:rsidP="00B34E75">
            <w:pPr>
              <w:spacing w:before="120" w:after="120" w:line="240" w:lineRule="auto"/>
              <w:rPr>
                <w:rFonts w:cstheme="minorHAnsi"/>
              </w:rPr>
            </w:pPr>
            <w:r>
              <w:rPr>
                <w:rFonts w:cstheme="minorHAnsi"/>
              </w:rPr>
              <w:t>May</w:t>
            </w:r>
          </w:p>
        </w:tc>
      </w:tr>
      <w:tr w:rsidR="000D760F" w:rsidRPr="000D6A2A" w:rsidTr="00013006">
        <w:trPr>
          <w:trHeight w:val="259"/>
        </w:trPr>
        <w:tc>
          <w:tcPr>
            <w:tcW w:w="918" w:type="dxa"/>
          </w:tcPr>
          <w:p w:rsidR="000D760F" w:rsidRPr="000D6A2A" w:rsidRDefault="000D760F" w:rsidP="00B34E75">
            <w:pPr>
              <w:spacing w:before="120" w:after="120" w:line="240" w:lineRule="auto"/>
              <w:rPr>
                <w:rFonts w:cstheme="minorHAnsi"/>
              </w:rPr>
            </w:pPr>
            <w:r>
              <w:rPr>
                <w:rFonts w:cstheme="minorHAnsi"/>
              </w:rPr>
              <w:t>EIA-851Q</w:t>
            </w:r>
          </w:p>
        </w:tc>
        <w:tc>
          <w:tcPr>
            <w:tcW w:w="1260" w:type="dxa"/>
          </w:tcPr>
          <w:p w:rsidR="0060192E" w:rsidRDefault="0060192E" w:rsidP="0060192E">
            <w:pPr>
              <w:spacing w:before="120" w:after="120" w:line="240" w:lineRule="auto"/>
              <w:rPr>
                <w:rFonts w:cstheme="minorHAnsi"/>
              </w:rPr>
            </w:pPr>
            <w:r>
              <w:rPr>
                <w:rFonts w:cstheme="minorHAnsi"/>
              </w:rPr>
              <w:t>January 2;</w:t>
            </w:r>
          </w:p>
          <w:p w:rsidR="0060192E" w:rsidRDefault="0060192E" w:rsidP="0060192E">
            <w:pPr>
              <w:spacing w:before="120" w:after="120" w:line="240" w:lineRule="auto"/>
              <w:rPr>
                <w:rFonts w:cstheme="minorHAnsi"/>
              </w:rPr>
            </w:pPr>
            <w:r>
              <w:rPr>
                <w:rFonts w:cstheme="minorHAnsi"/>
              </w:rPr>
              <w:t>April 1;</w:t>
            </w:r>
          </w:p>
          <w:p w:rsidR="0060192E" w:rsidRDefault="0060192E" w:rsidP="0060192E">
            <w:pPr>
              <w:spacing w:before="120" w:after="120" w:line="240" w:lineRule="auto"/>
              <w:rPr>
                <w:rFonts w:cstheme="minorHAnsi"/>
              </w:rPr>
            </w:pPr>
            <w:r>
              <w:rPr>
                <w:rFonts w:cstheme="minorHAnsi"/>
              </w:rPr>
              <w:t>July 1;</w:t>
            </w:r>
          </w:p>
          <w:p w:rsidR="000D760F" w:rsidRPr="000D6A2A" w:rsidRDefault="0060192E" w:rsidP="0060192E">
            <w:pPr>
              <w:spacing w:before="120" w:after="120" w:line="240" w:lineRule="auto"/>
              <w:rPr>
                <w:rFonts w:cstheme="minorHAnsi"/>
              </w:rPr>
            </w:pPr>
            <w:r>
              <w:rPr>
                <w:rFonts w:cstheme="minorHAnsi"/>
              </w:rPr>
              <w:t>October 1</w:t>
            </w:r>
          </w:p>
        </w:tc>
        <w:tc>
          <w:tcPr>
            <w:tcW w:w="1260" w:type="dxa"/>
          </w:tcPr>
          <w:p w:rsidR="000D760F" w:rsidRDefault="000D760F" w:rsidP="00B34E75">
            <w:pPr>
              <w:spacing w:before="120" w:after="120" w:line="240" w:lineRule="auto"/>
              <w:rPr>
                <w:rFonts w:cstheme="minorHAnsi"/>
              </w:rPr>
            </w:pPr>
            <w:r>
              <w:rPr>
                <w:rFonts w:cstheme="minorHAnsi"/>
              </w:rPr>
              <w:t>January 15</w:t>
            </w:r>
            <w:r w:rsidR="00F23BAB">
              <w:rPr>
                <w:rFonts w:cstheme="minorHAnsi"/>
              </w:rPr>
              <w:t>;</w:t>
            </w:r>
          </w:p>
          <w:p w:rsidR="000D760F" w:rsidRDefault="000D760F" w:rsidP="00B34E75">
            <w:pPr>
              <w:spacing w:before="120" w:after="120" w:line="240" w:lineRule="auto"/>
              <w:rPr>
                <w:rFonts w:cstheme="minorHAnsi"/>
              </w:rPr>
            </w:pPr>
            <w:r>
              <w:rPr>
                <w:rFonts w:cstheme="minorHAnsi"/>
              </w:rPr>
              <w:t>April 15</w:t>
            </w:r>
            <w:r w:rsidR="00F23BAB">
              <w:rPr>
                <w:rFonts w:cstheme="minorHAnsi"/>
              </w:rPr>
              <w:t>;</w:t>
            </w:r>
          </w:p>
          <w:p w:rsidR="000D760F" w:rsidRDefault="000D760F" w:rsidP="00B34E75">
            <w:pPr>
              <w:spacing w:before="120" w:after="120" w:line="240" w:lineRule="auto"/>
              <w:rPr>
                <w:rFonts w:cstheme="minorHAnsi"/>
              </w:rPr>
            </w:pPr>
            <w:r>
              <w:rPr>
                <w:rFonts w:cstheme="minorHAnsi"/>
              </w:rPr>
              <w:t>July 15</w:t>
            </w:r>
            <w:r w:rsidR="00F23BAB">
              <w:rPr>
                <w:rFonts w:cstheme="minorHAnsi"/>
              </w:rPr>
              <w:t>;</w:t>
            </w:r>
          </w:p>
          <w:p w:rsidR="000D760F" w:rsidRDefault="000D760F" w:rsidP="00B34E75">
            <w:pPr>
              <w:spacing w:before="120" w:after="120" w:line="240" w:lineRule="auto"/>
              <w:rPr>
                <w:rFonts w:cstheme="minorHAnsi"/>
              </w:rPr>
            </w:pPr>
            <w:r>
              <w:rPr>
                <w:rFonts w:cstheme="minorHAnsi"/>
              </w:rPr>
              <w:t>October 15</w:t>
            </w:r>
          </w:p>
        </w:tc>
        <w:tc>
          <w:tcPr>
            <w:tcW w:w="1080" w:type="dxa"/>
          </w:tcPr>
          <w:p w:rsidR="000D760F" w:rsidRDefault="000D760F" w:rsidP="00B34E75">
            <w:pPr>
              <w:spacing w:before="120" w:after="120" w:line="240" w:lineRule="auto"/>
              <w:rPr>
                <w:rFonts w:cstheme="minorHAnsi"/>
              </w:rPr>
            </w:pPr>
            <w:r>
              <w:rPr>
                <w:rFonts w:cstheme="minorHAnsi"/>
              </w:rPr>
              <w:t>Quarterly</w:t>
            </w:r>
          </w:p>
        </w:tc>
        <w:tc>
          <w:tcPr>
            <w:tcW w:w="4500" w:type="dxa"/>
          </w:tcPr>
          <w:p w:rsidR="000D760F" w:rsidRPr="00F23BAB" w:rsidRDefault="002D4D77" w:rsidP="00B34E75">
            <w:pPr>
              <w:spacing w:before="120" w:after="120" w:line="240" w:lineRule="auto"/>
              <w:rPr>
                <w:rFonts w:cstheme="minorHAnsi"/>
                <w:color w:val="FF0000"/>
                <w:sz w:val="20"/>
                <w:szCs w:val="20"/>
              </w:rPr>
            </w:pPr>
            <w:r w:rsidRPr="00F23BAB">
              <w:rPr>
                <w:i/>
                <w:sz w:val="20"/>
                <w:szCs w:val="20"/>
              </w:rPr>
              <w:t xml:space="preserve">Domestic Uranium Production Report - Quarterly </w:t>
            </w:r>
            <w:hyperlink r:id="rId16" w:history="1">
              <w:r w:rsidRPr="00F23BAB">
                <w:rPr>
                  <w:rStyle w:val="Hyperlink"/>
                  <w:sz w:val="20"/>
                  <w:szCs w:val="20"/>
                </w:rPr>
                <w:t>http://www.eia.gov/uranium/production/quarterly/</w:t>
              </w:r>
            </w:hyperlink>
          </w:p>
        </w:tc>
        <w:tc>
          <w:tcPr>
            <w:tcW w:w="1170" w:type="dxa"/>
          </w:tcPr>
          <w:p w:rsidR="000D760F" w:rsidRDefault="005F104A" w:rsidP="00B34E75">
            <w:pPr>
              <w:spacing w:before="120" w:after="120" w:line="240" w:lineRule="auto"/>
              <w:rPr>
                <w:rFonts w:cstheme="minorHAnsi"/>
              </w:rPr>
            </w:pPr>
            <w:r>
              <w:rPr>
                <w:rFonts w:cstheme="minorHAnsi"/>
              </w:rPr>
              <w:t>February</w:t>
            </w:r>
            <w:r w:rsidR="001275AE">
              <w:rPr>
                <w:rFonts w:cstheme="minorHAnsi"/>
              </w:rPr>
              <w:t>;</w:t>
            </w:r>
          </w:p>
          <w:p w:rsidR="005F104A" w:rsidRDefault="005F104A" w:rsidP="00B34E75">
            <w:pPr>
              <w:spacing w:before="120" w:after="120" w:line="240" w:lineRule="auto"/>
              <w:rPr>
                <w:rFonts w:cstheme="minorHAnsi"/>
              </w:rPr>
            </w:pPr>
            <w:r>
              <w:rPr>
                <w:rFonts w:cstheme="minorHAnsi"/>
              </w:rPr>
              <w:t>May</w:t>
            </w:r>
            <w:r w:rsidR="001275AE">
              <w:rPr>
                <w:rFonts w:cstheme="minorHAnsi"/>
              </w:rPr>
              <w:t>;</w:t>
            </w:r>
          </w:p>
          <w:p w:rsidR="005F104A" w:rsidRDefault="005F104A" w:rsidP="00B34E75">
            <w:pPr>
              <w:spacing w:before="120" w:after="120" w:line="240" w:lineRule="auto"/>
              <w:rPr>
                <w:rFonts w:cstheme="minorHAnsi"/>
              </w:rPr>
            </w:pPr>
            <w:r>
              <w:rPr>
                <w:rFonts w:cstheme="minorHAnsi"/>
              </w:rPr>
              <w:t>August</w:t>
            </w:r>
            <w:r w:rsidR="001275AE">
              <w:rPr>
                <w:rFonts w:cstheme="minorHAnsi"/>
              </w:rPr>
              <w:t>;</w:t>
            </w:r>
          </w:p>
          <w:p w:rsidR="005F104A" w:rsidRDefault="005F104A" w:rsidP="00B34E75">
            <w:pPr>
              <w:spacing w:before="120" w:after="120" w:line="240" w:lineRule="auto"/>
              <w:rPr>
                <w:rFonts w:cstheme="minorHAnsi"/>
              </w:rPr>
            </w:pPr>
            <w:r>
              <w:rPr>
                <w:rFonts w:cstheme="minorHAnsi"/>
              </w:rPr>
              <w:t>November</w:t>
            </w:r>
          </w:p>
        </w:tc>
      </w:tr>
      <w:tr w:rsidR="007F1A03" w:rsidRPr="000D6A2A" w:rsidTr="00013006">
        <w:trPr>
          <w:trHeight w:val="259"/>
        </w:trPr>
        <w:tc>
          <w:tcPr>
            <w:tcW w:w="918" w:type="dxa"/>
          </w:tcPr>
          <w:p w:rsidR="007F1A03" w:rsidRDefault="007F1A03" w:rsidP="00B34E75">
            <w:pPr>
              <w:spacing w:before="120" w:after="120" w:line="240" w:lineRule="auto"/>
              <w:rPr>
                <w:rFonts w:cstheme="minorHAnsi"/>
              </w:rPr>
            </w:pPr>
            <w:r>
              <w:rPr>
                <w:rFonts w:cstheme="minorHAnsi"/>
              </w:rPr>
              <w:t>EIA-858</w:t>
            </w:r>
          </w:p>
        </w:tc>
        <w:tc>
          <w:tcPr>
            <w:tcW w:w="1260" w:type="dxa"/>
          </w:tcPr>
          <w:p w:rsidR="007F1A03" w:rsidRDefault="0060192E" w:rsidP="000D760F">
            <w:pPr>
              <w:spacing w:before="120" w:after="120" w:line="240" w:lineRule="auto"/>
              <w:rPr>
                <w:rFonts w:cstheme="minorHAnsi"/>
              </w:rPr>
            </w:pPr>
            <w:r>
              <w:rPr>
                <w:rFonts w:cstheme="minorHAnsi"/>
              </w:rPr>
              <w:t>January 2</w:t>
            </w:r>
            <w:r w:rsidRPr="000D6A2A">
              <w:rPr>
                <w:rFonts w:cstheme="minorHAnsi"/>
              </w:rPr>
              <w:t xml:space="preserve">  </w:t>
            </w:r>
          </w:p>
        </w:tc>
        <w:tc>
          <w:tcPr>
            <w:tcW w:w="1260" w:type="dxa"/>
          </w:tcPr>
          <w:p w:rsidR="007F1A03" w:rsidRDefault="007F1A03" w:rsidP="00B34E75">
            <w:pPr>
              <w:spacing w:before="120" w:after="120" w:line="240" w:lineRule="auto"/>
              <w:rPr>
                <w:rFonts w:cstheme="minorHAnsi"/>
              </w:rPr>
            </w:pPr>
            <w:r>
              <w:rPr>
                <w:rFonts w:cstheme="minorHAnsi"/>
              </w:rPr>
              <w:t>March 1</w:t>
            </w:r>
          </w:p>
        </w:tc>
        <w:tc>
          <w:tcPr>
            <w:tcW w:w="1080" w:type="dxa"/>
          </w:tcPr>
          <w:p w:rsidR="007F1A03" w:rsidRDefault="007F1A03" w:rsidP="00B34E75">
            <w:pPr>
              <w:spacing w:before="120" w:after="120" w:line="240" w:lineRule="auto"/>
              <w:rPr>
                <w:rFonts w:cstheme="minorHAnsi"/>
              </w:rPr>
            </w:pPr>
            <w:r>
              <w:rPr>
                <w:rFonts w:cstheme="minorHAnsi"/>
              </w:rPr>
              <w:t>Annual</w:t>
            </w:r>
          </w:p>
        </w:tc>
        <w:tc>
          <w:tcPr>
            <w:tcW w:w="4500" w:type="dxa"/>
          </w:tcPr>
          <w:p w:rsidR="00F23BAB" w:rsidRDefault="0091324C" w:rsidP="00B3406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i/>
              </w:rPr>
            </w:pPr>
            <w:r w:rsidRPr="00D7732B">
              <w:rPr>
                <w:i/>
              </w:rPr>
              <w:t>Uranium Marketing Annual Report</w:t>
            </w:r>
          </w:p>
          <w:p w:rsidR="007F1A03" w:rsidRPr="000D760F" w:rsidRDefault="00A509D1" w:rsidP="00B3406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theme="minorHAnsi"/>
                <w:color w:val="FF0000"/>
              </w:rPr>
            </w:pPr>
            <w:hyperlink r:id="rId17" w:history="1">
              <w:r w:rsidR="0091324C">
                <w:rPr>
                  <w:rStyle w:val="Hyperlink"/>
                </w:rPr>
                <w:t>http://www.eia.gov/uranium/marketing/</w:t>
              </w:r>
            </w:hyperlink>
          </w:p>
        </w:tc>
        <w:tc>
          <w:tcPr>
            <w:tcW w:w="1170" w:type="dxa"/>
          </w:tcPr>
          <w:p w:rsidR="007F1A03" w:rsidRDefault="007F1A03" w:rsidP="00B34E75">
            <w:pPr>
              <w:spacing w:before="120" w:after="120" w:line="240" w:lineRule="auto"/>
              <w:rPr>
                <w:rFonts w:cstheme="minorHAnsi"/>
              </w:rPr>
            </w:pPr>
            <w:r>
              <w:rPr>
                <w:rFonts w:cstheme="minorHAnsi"/>
              </w:rPr>
              <w:t>May</w:t>
            </w:r>
          </w:p>
        </w:tc>
      </w:tr>
    </w:tbl>
    <w:p w:rsidR="00A95FE0" w:rsidRPr="00583461" w:rsidRDefault="00A95FE0" w:rsidP="00A95FE0">
      <w:pPr>
        <w:pStyle w:val="Heading3"/>
        <w:rPr>
          <w:szCs w:val="24"/>
        </w:rPr>
      </w:pPr>
      <w:bookmarkStart w:id="87" w:name="_Toc524334506"/>
      <w:bookmarkStart w:id="88" w:name="_Toc524334588"/>
      <w:bookmarkStart w:id="89" w:name="_Toc524334735"/>
      <w:bookmarkStart w:id="90" w:name="_Toc524334928"/>
    </w:p>
    <w:p w:rsidR="00B34E75" w:rsidRDefault="00B34E75">
      <w:pPr>
        <w:rPr>
          <w:rFonts w:asciiTheme="majorHAnsi" w:eastAsiaTheme="majorEastAsia" w:hAnsiTheme="majorHAnsi" w:cstheme="majorBidi"/>
          <w:b/>
          <w:bCs/>
          <w:color w:val="4F81BD" w:themeColor="accent1"/>
          <w:szCs w:val="24"/>
        </w:rPr>
      </w:pPr>
      <w:r>
        <w:rPr>
          <w:szCs w:val="24"/>
        </w:rPr>
        <w:br w:type="page"/>
      </w:r>
    </w:p>
    <w:p w:rsidR="00A95FE0" w:rsidRPr="00583461" w:rsidRDefault="00A95FE0" w:rsidP="00A95FE0">
      <w:pPr>
        <w:pStyle w:val="Heading5"/>
      </w:pPr>
      <w:bookmarkStart w:id="91" w:name="_Toc318697089"/>
      <w:bookmarkStart w:id="92" w:name="_Toc330888172"/>
      <w:r w:rsidRPr="00583461">
        <w:lastRenderedPageBreak/>
        <w:t>A.17. OMB Number and Expiration Date</w:t>
      </w:r>
      <w:bookmarkEnd w:id="87"/>
      <w:bookmarkEnd w:id="88"/>
      <w:bookmarkEnd w:id="89"/>
      <w:bookmarkEnd w:id="90"/>
      <w:bookmarkEnd w:id="91"/>
      <w:bookmarkEnd w:id="92"/>
    </w:p>
    <w:p w:rsidR="00A95FE0" w:rsidRPr="000D6A2A" w:rsidRDefault="00A95FE0" w:rsidP="00A95F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D6A2A">
        <w:t>The OMB number</w:t>
      </w:r>
      <w:r w:rsidR="002F285E">
        <w:t xml:space="preserve"> (1905-0160)</w:t>
      </w:r>
      <w:r w:rsidRPr="000D6A2A">
        <w:t xml:space="preserve"> and expiration date</w:t>
      </w:r>
      <w:r w:rsidR="002F285E">
        <w:t xml:space="preserve"> (12/31/2015)</w:t>
      </w:r>
      <w:r w:rsidRPr="000D6A2A">
        <w:t xml:space="preserve"> will be displayed on </w:t>
      </w:r>
      <w:r w:rsidR="00DC72B0">
        <w:t xml:space="preserve">all </w:t>
      </w:r>
      <w:r w:rsidR="000E6A5D">
        <w:t xml:space="preserve">EIA UDP </w:t>
      </w:r>
      <w:r w:rsidRPr="000D6A2A">
        <w:t>form</w:t>
      </w:r>
      <w:r w:rsidR="00DC72B0">
        <w:t>s</w:t>
      </w:r>
      <w:r w:rsidR="002F285E">
        <w:t xml:space="preserve"> and instructions</w:t>
      </w:r>
      <w:r w:rsidR="00DC72B0">
        <w:t>.</w:t>
      </w:r>
    </w:p>
    <w:p w:rsidR="00B34E75" w:rsidRDefault="00B34E75">
      <w:pPr>
        <w:rPr>
          <w:sz w:val="24"/>
          <w:szCs w:val="24"/>
        </w:rPr>
      </w:pPr>
      <w:r>
        <w:rPr>
          <w:sz w:val="24"/>
          <w:szCs w:val="24"/>
        </w:rPr>
        <w:br w:type="page"/>
      </w:r>
    </w:p>
    <w:p w:rsidR="00A95FE0" w:rsidRPr="00583461" w:rsidRDefault="00A95FE0" w:rsidP="00A95FE0">
      <w:pPr>
        <w:pStyle w:val="Heading5"/>
      </w:pPr>
      <w:bookmarkStart w:id="93" w:name="_Toc524334507"/>
      <w:bookmarkStart w:id="94" w:name="_Toc524334589"/>
      <w:bookmarkStart w:id="95" w:name="_Toc524334736"/>
      <w:bookmarkStart w:id="96" w:name="_Toc524334929"/>
      <w:bookmarkStart w:id="97" w:name="_Toc318697090"/>
      <w:bookmarkStart w:id="98" w:name="_Toc330888173"/>
      <w:r w:rsidRPr="00583461">
        <w:lastRenderedPageBreak/>
        <w:t>A.18. Certification Statement</w:t>
      </w:r>
      <w:bookmarkEnd w:id="93"/>
      <w:bookmarkEnd w:id="94"/>
      <w:bookmarkEnd w:id="95"/>
      <w:bookmarkEnd w:id="96"/>
      <w:bookmarkEnd w:id="97"/>
      <w:bookmarkEnd w:id="98"/>
    </w:p>
    <w:p w:rsidR="00A95FE0" w:rsidRPr="000D6A2A" w:rsidRDefault="00A95FE0" w:rsidP="00A95F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0D6A2A">
        <w:t>This submission meets all certification requirements of the "Certification for Paperwork Reduction Act Submissions," for OMB Form 83-I.</w:t>
      </w:r>
    </w:p>
    <w:p w:rsidR="00A95FE0" w:rsidRDefault="00A95FE0" w:rsidP="00A95FE0"/>
    <w:p w:rsidR="00BB25DD" w:rsidRDefault="00BB25DD">
      <w:r>
        <w:br w:type="page"/>
      </w:r>
    </w:p>
    <w:p w:rsidR="00BB25DD" w:rsidRPr="00967344" w:rsidRDefault="00BB25DD" w:rsidP="00BB25DD">
      <w:pPr>
        <w:pStyle w:val="Heading5"/>
        <w:rPr>
          <w:color w:val="auto"/>
        </w:rPr>
      </w:pPr>
      <w:bookmarkStart w:id="99" w:name="_Toc330888174"/>
      <w:r w:rsidRPr="00967344">
        <w:rPr>
          <w:color w:val="auto"/>
        </w:rPr>
        <w:lastRenderedPageBreak/>
        <w:t xml:space="preserve">Appendix 1: Summary of Comments Received in Response to the Open </w:t>
      </w:r>
      <w:r w:rsidRPr="0013756E">
        <w:rPr>
          <w:i/>
          <w:color w:val="auto"/>
        </w:rPr>
        <w:t>Federal Register</w:t>
      </w:r>
      <w:r w:rsidRPr="00967344">
        <w:rPr>
          <w:color w:val="auto"/>
        </w:rPr>
        <w:t xml:space="preserve"> Notice (Vol. </w:t>
      </w:r>
      <w:r w:rsidR="00967344" w:rsidRPr="00967344">
        <w:rPr>
          <w:color w:val="auto"/>
        </w:rPr>
        <w:t>77</w:t>
      </w:r>
      <w:r w:rsidRPr="00967344">
        <w:rPr>
          <w:color w:val="auto"/>
        </w:rPr>
        <w:t xml:space="preserve">. No. </w:t>
      </w:r>
      <w:r w:rsidR="00967344" w:rsidRPr="00967344">
        <w:rPr>
          <w:color w:val="auto"/>
        </w:rPr>
        <w:t>58</w:t>
      </w:r>
      <w:r w:rsidRPr="00967344">
        <w:rPr>
          <w:color w:val="auto"/>
        </w:rPr>
        <w:t xml:space="preserve">) Published </w:t>
      </w:r>
      <w:r w:rsidR="00967344" w:rsidRPr="00967344">
        <w:rPr>
          <w:color w:val="auto"/>
        </w:rPr>
        <w:t>March 26</w:t>
      </w:r>
      <w:r w:rsidRPr="00967344">
        <w:rPr>
          <w:color w:val="auto"/>
        </w:rPr>
        <w:t>, 201</w:t>
      </w:r>
      <w:r w:rsidR="00967344" w:rsidRPr="00967344">
        <w:rPr>
          <w:color w:val="auto"/>
        </w:rPr>
        <w:t>2</w:t>
      </w:r>
      <w:bookmarkEnd w:id="99"/>
    </w:p>
    <w:p w:rsidR="00DB721F" w:rsidRDefault="00BB25DD" w:rsidP="00BB25DD">
      <w:r w:rsidRPr="00967344">
        <w:t xml:space="preserve">On </w:t>
      </w:r>
      <w:r w:rsidR="00967344" w:rsidRPr="00967344">
        <w:t>March 26, 2012</w:t>
      </w:r>
      <w:r w:rsidRPr="00967344">
        <w:t xml:space="preserve">, a request for comments from interested persons was solicited in the </w:t>
      </w:r>
      <w:r w:rsidRPr="0013756E">
        <w:rPr>
          <w:i/>
        </w:rPr>
        <w:t>Federa</w:t>
      </w:r>
      <w:r w:rsidR="00967344" w:rsidRPr="0013756E">
        <w:rPr>
          <w:i/>
        </w:rPr>
        <w:t>l Register</w:t>
      </w:r>
      <w:r w:rsidR="00967344">
        <w:t xml:space="preserve"> Notice that EIA intends to</w:t>
      </w:r>
      <w:r w:rsidRPr="00967344">
        <w:t xml:space="preserve"> </w:t>
      </w:r>
      <w:r w:rsidR="00967344">
        <w:t>extend for three years</w:t>
      </w:r>
      <w:r w:rsidR="00A557CA">
        <w:t xml:space="preserve"> the UDP surveys:</w:t>
      </w:r>
      <w:r w:rsidR="00967344">
        <w:t xml:space="preserve"> Form EIA-851A, Form EIA-851Q, and Form EIA-858.</w:t>
      </w:r>
      <w:r w:rsidR="00BB218C">
        <w:t xml:space="preserve">  </w:t>
      </w:r>
      <w:r w:rsidR="00F32FBB">
        <w:t>For Form EIA-851Q, EIA purposes to collect supervisor information in addition to the responding company, the parent company, and the contact/preparer information.</w:t>
      </w:r>
      <w:r w:rsidR="00F32FBB">
        <w:rPr>
          <w:rStyle w:val="trigger"/>
        </w:rPr>
        <w:t xml:space="preserve">  </w:t>
      </w:r>
      <w:r w:rsidR="00DA5EAB">
        <w:rPr>
          <w:rStyle w:val="trigger"/>
        </w:rPr>
        <w:t>The name of the supervisor is routinely collected on other EIA surveys to provide a contact</w:t>
      </w:r>
      <w:r w:rsidR="00DA5EAB" w:rsidRPr="00DA5EAB">
        <w:rPr>
          <w:rStyle w:val="trigger"/>
          <w:color w:val="FF0000"/>
        </w:rPr>
        <w:t xml:space="preserve"> </w:t>
      </w:r>
      <w:r w:rsidR="00EF2131" w:rsidRPr="00EF2131">
        <w:rPr>
          <w:rStyle w:val="trigger"/>
        </w:rPr>
        <w:t>point</w:t>
      </w:r>
      <w:r w:rsidR="00DA5EAB">
        <w:rPr>
          <w:rStyle w:val="trigger"/>
        </w:rPr>
        <w:t xml:space="preserve"> in the event of non-response problems.</w:t>
      </w:r>
      <w:r w:rsidR="00CE4370">
        <w:t xml:space="preserve">  For Form EIA-851A, EIA proposes two minor changes to clarify the instructions for Item 8, Reserve (Reasonably Assured Resource) Estimate.  </w:t>
      </w:r>
      <w:r w:rsidR="00F32FBB">
        <w:t xml:space="preserve">For Form EIA-858, EIA proposes </w:t>
      </w:r>
      <w:r w:rsidR="00FE13B4">
        <w:t xml:space="preserve">a </w:t>
      </w:r>
      <w:r w:rsidR="00F32FBB">
        <w:t>change to clarify the instructions for Item 5, Uranium Feed Deliveries to U.S. and Foreign Enrichers in the Survey Year.</w:t>
      </w:r>
      <w:r w:rsidR="00CA12F2">
        <w:t xml:space="preserve">  The</w:t>
      </w:r>
      <w:r w:rsidR="00DB721F">
        <w:t>se</w:t>
      </w:r>
      <w:r w:rsidR="00CA12F2">
        <w:t xml:space="preserve"> change</w:t>
      </w:r>
      <w:r w:rsidR="00DB721F">
        <w:t>s</w:t>
      </w:r>
      <w:r w:rsidR="00CA12F2">
        <w:t xml:space="preserve"> </w:t>
      </w:r>
      <w:r w:rsidR="00DB721F">
        <w:t>are:</w:t>
      </w:r>
    </w:p>
    <w:p w:rsidR="002260C5" w:rsidRDefault="00DB721F" w:rsidP="00DB721F">
      <w:pPr>
        <w:pStyle w:val="ListParagraph"/>
        <w:numPr>
          <w:ilvl w:val="0"/>
          <w:numId w:val="18"/>
        </w:numPr>
      </w:pPr>
      <w:r>
        <w:t>Form EIA-851A, Item 8 instructions</w:t>
      </w:r>
      <w:r w:rsidR="002260C5">
        <w:t>:</w:t>
      </w:r>
      <w:r>
        <w:t xml:space="preserve"> </w:t>
      </w:r>
    </w:p>
    <w:p w:rsidR="00FD3DB8" w:rsidRPr="00FD3DB8" w:rsidRDefault="00DB721F" w:rsidP="002260C5">
      <w:pPr>
        <w:pStyle w:val="ListParagraph"/>
        <w:numPr>
          <w:ilvl w:val="1"/>
          <w:numId w:val="18"/>
        </w:numPr>
        <w:autoSpaceDE w:val="0"/>
        <w:autoSpaceDN w:val="0"/>
        <w:adjustRightInd w:val="0"/>
        <w:rPr>
          <w:sz w:val="17"/>
          <w:szCs w:val="17"/>
        </w:rPr>
      </w:pPr>
      <w:r w:rsidRPr="00FD3DB8">
        <w:rPr>
          <w:u w:val="single"/>
        </w:rPr>
        <w:t>State</w:t>
      </w:r>
      <w:r w:rsidRPr="00DB721F">
        <w:t xml:space="preserve"> – </w:t>
      </w:r>
      <w:r w:rsidRPr="00FD3DB8">
        <w:rPr>
          <w:bCs/>
        </w:rPr>
        <w:t xml:space="preserve">Enter the </w:t>
      </w:r>
      <w:r w:rsidRPr="00FD3DB8">
        <w:rPr>
          <w:bCs/>
          <w:strike/>
          <w:color w:val="FF0000"/>
        </w:rPr>
        <w:t>two-letter U.S. Postal Service abbreviation for the</w:t>
      </w:r>
      <w:r w:rsidRPr="00FD3DB8">
        <w:rPr>
          <w:bCs/>
        </w:rPr>
        <w:t xml:space="preserve"> State of the property.</w:t>
      </w:r>
    </w:p>
    <w:p w:rsidR="00573B50" w:rsidRPr="00FD3DB8" w:rsidRDefault="00DB721F" w:rsidP="002260C5">
      <w:pPr>
        <w:pStyle w:val="ListParagraph"/>
        <w:numPr>
          <w:ilvl w:val="1"/>
          <w:numId w:val="18"/>
        </w:numPr>
        <w:autoSpaceDE w:val="0"/>
        <w:autoSpaceDN w:val="0"/>
        <w:adjustRightInd w:val="0"/>
        <w:rPr>
          <w:sz w:val="17"/>
          <w:szCs w:val="17"/>
        </w:rPr>
      </w:pPr>
      <w:r w:rsidRPr="00FD3DB8">
        <w:rPr>
          <w:u w:val="single"/>
        </w:rPr>
        <w:t>Reserve (Reasonably Assured Resource) Estimates by Forward Cost Categories</w:t>
      </w:r>
      <w:r w:rsidRPr="00DB721F">
        <w:t xml:space="preserve"> – Enter the reserve (</w:t>
      </w:r>
      <w:r w:rsidRPr="00FD3DB8">
        <w:rPr>
          <w:color w:val="FF0000"/>
        </w:rPr>
        <w:t>reasonably assured resource</w:t>
      </w:r>
      <w:r w:rsidRPr="00DB721F">
        <w:t xml:space="preserve">) quantities for </w:t>
      </w:r>
      <w:r w:rsidRPr="00FD3DB8">
        <w:rPr>
          <w:color w:val="FF0000"/>
        </w:rPr>
        <w:t>ore, grade, and pounds U</w:t>
      </w:r>
      <w:r w:rsidRPr="00FD3DB8">
        <w:rPr>
          <w:color w:val="FF0000"/>
          <w:vertAlign w:val="subscript"/>
        </w:rPr>
        <w:t>3</w:t>
      </w:r>
      <w:r w:rsidRPr="00FD3DB8">
        <w:rPr>
          <w:color w:val="FF0000"/>
        </w:rPr>
        <w:t>O</w:t>
      </w:r>
      <w:r w:rsidRPr="00FD3DB8">
        <w:rPr>
          <w:color w:val="FF0000"/>
          <w:vertAlign w:val="subscript"/>
        </w:rPr>
        <w:t>8</w:t>
      </w:r>
      <w:r w:rsidRPr="00DB721F">
        <w:t xml:space="preserve"> by cost categories.  For reporting purposes, EIA considers reserves and reasonably assured resources to be functionally equivalent.  </w:t>
      </w:r>
      <w:r w:rsidRPr="00FD3DB8">
        <w:rPr>
          <w:color w:val="FF0000"/>
        </w:rPr>
        <w:t>Do not report inferred resources.</w:t>
      </w:r>
    </w:p>
    <w:p w:rsidR="00FD3DB8" w:rsidRDefault="00573B50" w:rsidP="00FD3DB8">
      <w:pPr>
        <w:pStyle w:val="ListParagraph"/>
        <w:numPr>
          <w:ilvl w:val="0"/>
          <w:numId w:val="18"/>
        </w:numPr>
        <w:autoSpaceDE w:val="0"/>
        <w:autoSpaceDN w:val="0"/>
        <w:adjustRightInd w:val="0"/>
      </w:pPr>
      <w:r w:rsidRPr="00E97AA9">
        <w:t xml:space="preserve">Form EIA-858, </w:t>
      </w:r>
      <w:r w:rsidR="00E97AA9" w:rsidRPr="00E97AA9">
        <w:t>Item 5 instructions</w:t>
      </w:r>
      <w:r w:rsidR="00FD3DB8">
        <w:t>:</w:t>
      </w:r>
    </w:p>
    <w:p w:rsidR="00573B50" w:rsidRPr="00E97AA9" w:rsidRDefault="00573B50" w:rsidP="00FD3DB8">
      <w:pPr>
        <w:pStyle w:val="ListParagraph"/>
        <w:numPr>
          <w:ilvl w:val="1"/>
          <w:numId w:val="18"/>
        </w:numPr>
        <w:autoSpaceDE w:val="0"/>
        <w:autoSpaceDN w:val="0"/>
        <w:adjustRightInd w:val="0"/>
      </w:pPr>
      <w:r w:rsidRPr="00FD3DB8">
        <w:rPr>
          <w:b/>
          <w:bCs/>
          <w:color w:val="000000"/>
        </w:rPr>
        <w:t xml:space="preserve">Item 5. Uranium Feed Deliveries to U.S. and Foreign Enrichers in the Survey Year: </w:t>
      </w:r>
      <w:r w:rsidRPr="00FD3DB8">
        <w:rPr>
          <w:color w:val="000000"/>
        </w:rPr>
        <w:t xml:space="preserve">Enter the country origins and associated quantity of uranium feed </w:t>
      </w:r>
      <w:r w:rsidRPr="00FD3DB8">
        <w:rPr>
          <w:color w:val="000000"/>
          <w:u w:val="single"/>
        </w:rPr>
        <w:t xml:space="preserve">shipped </w:t>
      </w:r>
      <w:r w:rsidRPr="00FD3DB8">
        <w:rPr>
          <w:color w:val="000000"/>
        </w:rPr>
        <w:t xml:space="preserve">to enrichment plants, indicating each country where enrichment plant is located. </w:t>
      </w:r>
      <w:r w:rsidRPr="00FD3DB8">
        <w:rPr>
          <w:strike/>
          <w:color w:val="FF0000"/>
        </w:rPr>
        <w:t>Do not include deliveries placed in your usage agreement account that are not intended for withdrawal until in the next calendar year or later. Withdrawals of enriched uranium from your usage agreement account in the Survey Year, however, should be included as appropriate in your response(s).</w:t>
      </w:r>
    </w:p>
    <w:p w:rsidR="000B1266" w:rsidRDefault="008660F2" w:rsidP="000B1266">
      <w:r>
        <w:t>In total, t</w:t>
      </w:r>
      <w:r w:rsidR="00C23C36">
        <w:t>wo</w:t>
      </w:r>
      <w:r w:rsidR="007B7A23" w:rsidRPr="0033040E">
        <w:t xml:space="preserve"> </w:t>
      </w:r>
      <w:r w:rsidR="00BB25DD" w:rsidRPr="0033040E">
        <w:t>comment</w:t>
      </w:r>
      <w:r w:rsidR="00C23C36">
        <w:t>s</w:t>
      </w:r>
      <w:r w:rsidR="007B7A23" w:rsidRPr="0033040E">
        <w:t xml:space="preserve"> w</w:t>
      </w:r>
      <w:r w:rsidR="00C23C36">
        <w:t>ere</w:t>
      </w:r>
      <w:r w:rsidR="007B7A23" w:rsidRPr="0033040E">
        <w:t xml:space="preserve"> </w:t>
      </w:r>
      <w:r w:rsidR="00BB25DD" w:rsidRPr="0033040E">
        <w:t>received</w:t>
      </w:r>
      <w:r w:rsidR="002A6140">
        <w:t>.  Both are</w:t>
      </w:r>
      <w:r w:rsidR="00BB25DD" w:rsidRPr="0033040E">
        <w:t xml:space="preserve"> from </w:t>
      </w:r>
      <w:r w:rsidR="007B7A23" w:rsidRPr="0033040E">
        <w:t>Southern Nuclear Operating Compan</w:t>
      </w:r>
      <w:r w:rsidR="0033040E" w:rsidRPr="0033040E">
        <w:t xml:space="preserve">y, </w:t>
      </w:r>
      <w:r w:rsidR="0061791B">
        <w:t>included as supplementary documents</w:t>
      </w:r>
      <w:r w:rsidR="0033040E" w:rsidRPr="0033040E">
        <w:t>.</w:t>
      </w:r>
    </w:p>
    <w:p w:rsidR="00301503" w:rsidRDefault="00B41A2B" w:rsidP="00E927CA">
      <w:pPr>
        <w:autoSpaceDE w:val="0"/>
        <w:autoSpaceDN w:val="0"/>
        <w:adjustRightInd w:val="0"/>
      </w:pPr>
      <w:r>
        <w:t>Regarding the March 28, 2012 comment, EIA followed</w:t>
      </w:r>
      <w:r w:rsidR="008C0EEC">
        <w:t xml:space="preserve"> up</w:t>
      </w:r>
      <w:r>
        <w:t xml:space="preserve"> with a phone call to Don C. Hagan and explained that </w:t>
      </w:r>
      <w:r w:rsidR="00E927CA">
        <w:t>the way he completes</w:t>
      </w:r>
      <w:r w:rsidR="00201E05">
        <w:t xml:space="preserve"> Form EIA-858,</w:t>
      </w:r>
      <w:r w:rsidR="00E927CA">
        <w:t xml:space="preserve"> Item 5 has not changed based on the proposed removal of </w:t>
      </w:r>
      <w:r w:rsidR="00301503">
        <w:t>this</w:t>
      </w:r>
      <w:r w:rsidR="00E927CA">
        <w:t xml:space="preserve"> sentence in the instructions:  </w:t>
      </w:r>
    </w:p>
    <w:p w:rsidR="00B41A2B" w:rsidRDefault="00301503" w:rsidP="00301503">
      <w:pPr>
        <w:autoSpaceDE w:val="0"/>
        <w:autoSpaceDN w:val="0"/>
        <w:adjustRightInd w:val="0"/>
        <w:ind w:left="720"/>
      </w:pPr>
      <w:r>
        <w:t>“</w:t>
      </w:r>
      <w:r w:rsidR="00E927CA" w:rsidRPr="00301503">
        <w:t>Do not include deliveries placed in your usage agreement account that are not intended for withdrawal until in the next calendar year or later. Withdrawals of enriched uranium from your usage agreement account in the Survey Year, however, should be included as appropriate in your response(s).</w:t>
      </w:r>
      <w:r>
        <w:t>”</w:t>
      </w:r>
    </w:p>
    <w:p w:rsidR="000B1266" w:rsidRPr="00043DA0" w:rsidRDefault="00B41A2B" w:rsidP="000B1266">
      <w:r>
        <w:lastRenderedPageBreak/>
        <w:t xml:space="preserve">Regarding the May 25, 2012 comment, </w:t>
      </w:r>
      <w:r w:rsidR="00BB25DD" w:rsidRPr="00967344">
        <w:t xml:space="preserve">EIA’s </w:t>
      </w:r>
      <w:r w:rsidR="00CF71B8">
        <w:t>agrees with the comment and updat</w:t>
      </w:r>
      <w:r w:rsidR="00C8607F">
        <w:t>ed</w:t>
      </w:r>
      <w:r w:rsidR="00CF71B8">
        <w:t xml:space="preserve"> the UDP forms and instructions with</w:t>
      </w:r>
      <w:r w:rsidR="00714AF4">
        <w:t xml:space="preserve"> </w:t>
      </w:r>
      <w:r w:rsidR="00CF71B8">
        <w:t>the</w:t>
      </w:r>
      <w:r w:rsidR="000B1266" w:rsidRPr="00043DA0">
        <w:t xml:space="preserve"> text used by EIA for th</w:t>
      </w:r>
      <w:r w:rsidR="00714AF4">
        <w:t>e CIPSEA confidentiality pledge:</w:t>
      </w:r>
    </w:p>
    <w:p w:rsidR="00BB25DD" w:rsidRPr="0033040E" w:rsidRDefault="00714AF4" w:rsidP="00714AF4">
      <w:pPr>
        <w:ind w:left="720"/>
      </w:pPr>
      <w:r>
        <w:t>“</w:t>
      </w:r>
      <w:r w:rsidR="000B1266" w:rsidRPr="00043DA0">
        <w:t xml:space="preserve">The information you provide will be used for statistical purposes only.  In accordance with the Confidential Information Protection provisions of Title V, Subtitle A of Public Law 107-347 and other applicable Federal laws, your responses will be kept confidential and will not be disclosed in identifiable form to anyone other than employees or agents </w:t>
      </w:r>
      <w:r w:rsidR="000B1266" w:rsidRPr="001625DC">
        <w:t>without your consent.  By law, every EIA employee, as well as every agent, is subject to a jail term, a fine of up to $250,000, or both if he or she discloses ANY identifiable information about you.</w:t>
      </w:r>
      <w:r>
        <w:t>”</w:t>
      </w:r>
    </w:p>
    <w:sectPr w:rsidR="00BB25DD" w:rsidRPr="0033040E" w:rsidSect="0000338F">
      <w:headerReference w:type="default"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FB8" w:rsidRDefault="00EB2FB8" w:rsidP="00B34E75">
      <w:pPr>
        <w:spacing w:after="0" w:line="240" w:lineRule="auto"/>
      </w:pPr>
      <w:r>
        <w:separator/>
      </w:r>
    </w:p>
  </w:endnote>
  <w:endnote w:type="continuationSeparator" w:id="0">
    <w:p w:rsidR="00EB2FB8" w:rsidRDefault="00EB2FB8" w:rsidP="00B34E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92" w:rsidRDefault="003C7A92">
    <w:pPr>
      <w:rPr>
        <w:sz w:val="18"/>
      </w:rPr>
    </w:pPr>
  </w:p>
  <w:p w:rsidR="003C7A92" w:rsidRDefault="003C7A92">
    <w:r>
      <w:rPr>
        <w:sz w:val="18"/>
      </w:rPr>
      <w:t>URANIUM DATA PROGRAM</w:t>
    </w:r>
    <w:r w:rsidRPr="00B34E75">
      <w:rPr>
        <w:sz w:val="18"/>
      </w:rPr>
      <w:t xml:space="preserve"> </w:t>
    </w:r>
    <w:r>
      <w:rPr>
        <w:sz w:val="18"/>
      </w:rPr>
      <w:t xml:space="preserve">  OMB No. 1905-0160</w:t>
    </w:r>
    <w:r>
      <w:rPr>
        <w:sz w:val="18"/>
      </w:rPr>
      <w:tab/>
    </w:r>
    <w:r>
      <w:rPr>
        <w:sz w:val="18"/>
      </w:rPr>
      <w:tab/>
    </w:r>
    <w:r>
      <w:rPr>
        <w:sz w:val="18"/>
      </w:rPr>
      <w:tab/>
    </w:r>
    <w:r>
      <w:rPr>
        <w:sz w:val="18"/>
      </w:rPr>
      <w:tab/>
    </w:r>
    <w:r>
      <w:rPr>
        <w:sz w:val="18"/>
      </w:rPr>
      <w:tab/>
    </w:r>
    <w:r>
      <w:rPr>
        <w:sz w:val="18"/>
      </w:rPr>
      <w:tab/>
    </w:r>
    <w:sdt>
      <w:sdtPr>
        <w:id w:val="250395305"/>
        <w:docPartObj>
          <w:docPartGallery w:val="Page Numbers (Top of Page)"/>
          <w:docPartUnique/>
        </w:docPartObj>
      </w:sdtPr>
      <w:sdtContent>
        <w:r w:rsidRPr="00B34E75">
          <w:rPr>
            <w:sz w:val="18"/>
            <w:szCs w:val="18"/>
          </w:rPr>
          <w:t xml:space="preserve">Page </w:t>
        </w:r>
        <w:r w:rsidR="00A509D1" w:rsidRPr="00B34E75">
          <w:rPr>
            <w:sz w:val="18"/>
            <w:szCs w:val="18"/>
          </w:rPr>
          <w:fldChar w:fldCharType="begin"/>
        </w:r>
        <w:r w:rsidRPr="00B34E75">
          <w:rPr>
            <w:sz w:val="18"/>
            <w:szCs w:val="18"/>
          </w:rPr>
          <w:instrText xml:space="preserve"> PAGE </w:instrText>
        </w:r>
        <w:r w:rsidR="00A509D1" w:rsidRPr="00B34E75">
          <w:rPr>
            <w:sz w:val="18"/>
            <w:szCs w:val="18"/>
          </w:rPr>
          <w:fldChar w:fldCharType="separate"/>
        </w:r>
        <w:r w:rsidR="00EB29BC">
          <w:rPr>
            <w:noProof/>
            <w:sz w:val="18"/>
            <w:szCs w:val="18"/>
          </w:rPr>
          <w:t>33</w:t>
        </w:r>
        <w:r w:rsidR="00A509D1" w:rsidRPr="00B34E75">
          <w:rPr>
            <w:sz w:val="18"/>
            <w:szCs w:val="18"/>
          </w:rPr>
          <w:fldChar w:fldCharType="end"/>
        </w:r>
        <w:r w:rsidRPr="00B34E75">
          <w:rPr>
            <w:sz w:val="18"/>
            <w:szCs w:val="18"/>
          </w:rPr>
          <w:t xml:space="preserve"> of </w:t>
        </w:r>
        <w:r w:rsidR="00A509D1" w:rsidRPr="00B34E75">
          <w:rPr>
            <w:sz w:val="18"/>
            <w:szCs w:val="18"/>
          </w:rPr>
          <w:fldChar w:fldCharType="begin"/>
        </w:r>
        <w:r w:rsidRPr="00B34E75">
          <w:rPr>
            <w:sz w:val="18"/>
            <w:szCs w:val="18"/>
          </w:rPr>
          <w:instrText xml:space="preserve"> NUMPAGES  </w:instrText>
        </w:r>
        <w:r w:rsidR="00A509D1" w:rsidRPr="00B34E75">
          <w:rPr>
            <w:sz w:val="18"/>
            <w:szCs w:val="18"/>
          </w:rPr>
          <w:fldChar w:fldCharType="separate"/>
        </w:r>
        <w:r w:rsidR="00EB29BC">
          <w:rPr>
            <w:noProof/>
            <w:sz w:val="18"/>
            <w:szCs w:val="18"/>
          </w:rPr>
          <w:t>33</w:t>
        </w:r>
        <w:r w:rsidR="00A509D1" w:rsidRPr="00B34E75">
          <w:rPr>
            <w:sz w:val="18"/>
            <w:szCs w:val="18"/>
          </w:rPr>
          <w:fldChar w:fldCharType="end"/>
        </w:r>
      </w:sdtContent>
    </w:sdt>
  </w:p>
  <w:p w:rsidR="003C7A92" w:rsidRPr="00B34E75" w:rsidRDefault="003C7A92" w:rsidP="00B34E75">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FB8" w:rsidRDefault="00EB2FB8" w:rsidP="00B34E75">
      <w:pPr>
        <w:spacing w:after="0" w:line="240" w:lineRule="auto"/>
      </w:pPr>
      <w:r>
        <w:separator/>
      </w:r>
    </w:p>
  </w:footnote>
  <w:footnote w:type="continuationSeparator" w:id="0">
    <w:p w:rsidR="00EB2FB8" w:rsidRDefault="00EB2FB8" w:rsidP="00B34E75">
      <w:pPr>
        <w:spacing w:after="0" w:line="240" w:lineRule="auto"/>
      </w:pPr>
      <w:r>
        <w:continuationSeparator/>
      </w:r>
    </w:p>
  </w:footnote>
  <w:footnote w:id="1">
    <w:p w:rsidR="003C7A92" w:rsidRPr="00A15BB4" w:rsidRDefault="003C7A92" w:rsidP="00415BE0">
      <w:pPr>
        <w:pStyle w:val="FootnoteText"/>
        <w:rPr>
          <w:rFonts w:asciiTheme="minorHAnsi" w:hAnsiTheme="minorHAnsi"/>
        </w:rPr>
      </w:pPr>
      <w:r w:rsidRPr="00A15BB4">
        <w:rPr>
          <w:rStyle w:val="FootnoteReference"/>
          <w:rFonts w:asciiTheme="minorHAnsi" w:hAnsiTheme="minorHAnsi"/>
        </w:rPr>
        <w:footnoteRef/>
      </w:r>
      <w:r w:rsidRPr="00A15BB4">
        <w:rPr>
          <w:rFonts w:asciiTheme="minorHAnsi" w:hAnsiTheme="minorHAnsi"/>
        </w:rPr>
        <w:t xml:space="preserve"> Pick-lists are sometimes referred to as “drop-down” lists because of the typical appearance of the list in a software application.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92" w:rsidRDefault="003C7A92" w:rsidP="00955EC2">
    <w:pPr>
      <w:pStyle w:val="Header"/>
      <w:jc w:val="right"/>
    </w:pPr>
    <w:r>
      <w:t>Supporting Statement Part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52D93"/>
    <w:multiLevelType w:val="hybridMultilevel"/>
    <w:tmpl w:val="35FC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B49DA"/>
    <w:multiLevelType w:val="hybridMultilevel"/>
    <w:tmpl w:val="0822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64687"/>
    <w:multiLevelType w:val="hybridMultilevel"/>
    <w:tmpl w:val="B7F6CE1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8E04A2B"/>
    <w:multiLevelType w:val="hybridMultilevel"/>
    <w:tmpl w:val="123A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637B48"/>
    <w:multiLevelType w:val="hybridMultilevel"/>
    <w:tmpl w:val="8EC23FDC"/>
    <w:lvl w:ilvl="0" w:tplc="15B873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00D1D67"/>
    <w:multiLevelType w:val="hybridMultilevel"/>
    <w:tmpl w:val="7472A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DF1F4C"/>
    <w:multiLevelType w:val="hybridMultilevel"/>
    <w:tmpl w:val="24BC9736"/>
    <w:lvl w:ilvl="0" w:tplc="04090001">
      <w:start w:val="1"/>
      <w:numFmt w:val="bullet"/>
      <w:lvlText w:val=""/>
      <w:lvlJc w:val="left"/>
      <w:pPr>
        <w:ind w:left="1473" w:hanging="360"/>
      </w:pPr>
      <w:rPr>
        <w:rFonts w:ascii="Symbol" w:hAnsi="Symbol" w:hint="default"/>
      </w:rPr>
    </w:lvl>
    <w:lvl w:ilvl="1" w:tplc="E1A03BD8">
      <w:numFmt w:val="bullet"/>
      <w:lvlText w:val="-"/>
      <w:lvlJc w:val="left"/>
      <w:pPr>
        <w:ind w:left="2193" w:hanging="360"/>
      </w:pPr>
      <w:rPr>
        <w:rFonts w:ascii="Times New Roman" w:eastAsia="Times New Roman" w:hAnsi="Times New Roman" w:cs="Times New Roman"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7">
    <w:nsid w:val="353C6E88"/>
    <w:multiLevelType w:val="hybridMultilevel"/>
    <w:tmpl w:val="4B94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D25A7F"/>
    <w:multiLevelType w:val="hybridMultilevel"/>
    <w:tmpl w:val="FD60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FC596C"/>
    <w:multiLevelType w:val="hybridMultilevel"/>
    <w:tmpl w:val="D85E41F8"/>
    <w:lvl w:ilvl="0" w:tplc="04090001">
      <w:start w:val="1"/>
      <w:numFmt w:val="bullet"/>
      <w:lvlText w:val=""/>
      <w:lvlJc w:val="left"/>
      <w:pPr>
        <w:ind w:left="720" w:hanging="360"/>
      </w:pPr>
      <w:rPr>
        <w:rFonts w:ascii="Symbol" w:hAnsi="Symbol" w:hint="default"/>
      </w:rPr>
    </w:lvl>
    <w:lvl w:ilvl="1" w:tplc="E1A03BD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D0531C"/>
    <w:multiLevelType w:val="hybridMultilevel"/>
    <w:tmpl w:val="4952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79505C"/>
    <w:multiLevelType w:val="hybridMultilevel"/>
    <w:tmpl w:val="C0A2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176443"/>
    <w:multiLevelType w:val="hybridMultilevel"/>
    <w:tmpl w:val="6342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AE7E3A"/>
    <w:multiLevelType w:val="hybridMultilevel"/>
    <w:tmpl w:val="9BB4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58348E"/>
    <w:multiLevelType w:val="hybridMultilevel"/>
    <w:tmpl w:val="F2CE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A3758D"/>
    <w:multiLevelType w:val="hybridMultilevel"/>
    <w:tmpl w:val="CCC4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CB381B"/>
    <w:multiLevelType w:val="hybridMultilevel"/>
    <w:tmpl w:val="60E46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8F1178"/>
    <w:multiLevelType w:val="hybridMultilevel"/>
    <w:tmpl w:val="C828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F60468"/>
    <w:multiLevelType w:val="hybridMultilevel"/>
    <w:tmpl w:val="936C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825E0F"/>
    <w:multiLevelType w:val="hybridMultilevel"/>
    <w:tmpl w:val="85A2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7"/>
  </w:num>
  <w:num w:numId="4">
    <w:abstractNumId w:val="3"/>
  </w:num>
  <w:num w:numId="5">
    <w:abstractNumId w:val="10"/>
  </w:num>
  <w:num w:numId="6">
    <w:abstractNumId w:val="18"/>
  </w:num>
  <w:num w:numId="7">
    <w:abstractNumId w:val="12"/>
  </w:num>
  <w:num w:numId="8">
    <w:abstractNumId w:val="5"/>
  </w:num>
  <w:num w:numId="9">
    <w:abstractNumId w:val="4"/>
  </w:num>
  <w:num w:numId="10">
    <w:abstractNumId w:val="14"/>
  </w:num>
  <w:num w:numId="11">
    <w:abstractNumId w:val="7"/>
  </w:num>
  <w:num w:numId="12">
    <w:abstractNumId w:val="11"/>
  </w:num>
  <w:num w:numId="13">
    <w:abstractNumId w:val="13"/>
  </w:num>
  <w:num w:numId="14">
    <w:abstractNumId w:val="1"/>
  </w:num>
  <w:num w:numId="15">
    <w:abstractNumId w:val="0"/>
  </w:num>
  <w:num w:numId="16">
    <w:abstractNumId w:val="15"/>
  </w:num>
  <w:num w:numId="17">
    <w:abstractNumId w:val="16"/>
  </w:num>
  <w:num w:numId="18">
    <w:abstractNumId w:val="6"/>
  </w:num>
  <w:num w:numId="19">
    <w:abstractNumId w:val="19"/>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71AAF"/>
    <w:rsid w:val="0000338F"/>
    <w:rsid w:val="00005E91"/>
    <w:rsid w:val="00011000"/>
    <w:rsid w:val="00013006"/>
    <w:rsid w:val="00014381"/>
    <w:rsid w:val="00026E9A"/>
    <w:rsid w:val="00031876"/>
    <w:rsid w:val="0003460B"/>
    <w:rsid w:val="00036C6F"/>
    <w:rsid w:val="0004041A"/>
    <w:rsid w:val="00043DA0"/>
    <w:rsid w:val="00051A58"/>
    <w:rsid w:val="00051B74"/>
    <w:rsid w:val="00057C76"/>
    <w:rsid w:val="0006028F"/>
    <w:rsid w:val="000608A7"/>
    <w:rsid w:val="00061D58"/>
    <w:rsid w:val="00071AAF"/>
    <w:rsid w:val="00072993"/>
    <w:rsid w:val="00072ED2"/>
    <w:rsid w:val="00077E68"/>
    <w:rsid w:val="000801D8"/>
    <w:rsid w:val="00084376"/>
    <w:rsid w:val="00084F09"/>
    <w:rsid w:val="000875AD"/>
    <w:rsid w:val="000877E1"/>
    <w:rsid w:val="00090800"/>
    <w:rsid w:val="000918A4"/>
    <w:rsid w:val="00095546"/>
    <w:rsid w:val="00095756"/>
    <w:rsid w:val="000A04C6"/>
    <w:rsid w:val="000B1266"/>
    <w:rsid w:val="000B2AA9"/>
    <w:rsid w:val="000B7685"/>
    <w:rsid w:val="000C0300"/>
    <w:rsid w:val="000C0803"/>
    <w:rsid w:val="000C1B8B"/>
    <w:rsid w:val="000C220D"/>
    <w:rsid w:val="000C31B0"/>
    <w:rsid w:val="000D2B85"/>
    <w:rsid w:val="000D330A"/>
    <w:rsid w:val="000D5339"/>
    <w:rsid w:val="000D5C72"/>
    <w:rsid w:val="000D61EE"/>
    <w:rsid w:val="000D6A2A"/>
    <w:rsid w:val="000D760F"/>
    <w:rsid w:val="000E5F45"/>
    <w:rsid w:val="000E6A5D"/>
    <w:rsid w:val="000F1208"/>
    <w:rsid w:val="000F29F1"/>
    <w:rsid w:val="000F76B0"/>
    <w:rsid w:val="00102F80"/>
    <w:rsid w:val="00105A3A"/>
    <w:rsid w:val="0011049F"/>
    <w:rsid w:val="001167BF"/>
    <w:rsid w:val="00120E6F"/>
    <w:rsid w:val="00121D7E"/>
    <w:rsid w:val="00124BA0"/>
    <w:rsid w:val="00127389"/>
    <w:rsid w:val="001275AE"/>
    <w:rsid w:val="0013123B"/>
    <w:rsid w:val="00136476"/>
    <w:rsid w:val="0013756E"/>
    <w:rsid w:val="00137AB8"/>
    <w:rsid w:val="00142B56"/>
    <w:rsid w:val="00152829"/>
    <w:rsid w:val="00154C46"/>
    <w:rsid w:val="00154CA1"/>
    <w:rsid w:val="00155718"/>
    <w:rsid w:val="001625DC"/>
    <w:rsid w:val="00164E04"/>
    <w:rsid w:val="00170E5C"/>
    <w:rsid w:val="00176C2A"/>
    <w:rsid w:val="00181F12"/>
    <w:rsid w:val="00183164"/>
    <w:rsid w:val="00184C36"/>
    <w:rsid w:val="0019091D"/>
    <w:rsid w:val="00196681"/>
    <w:rsid w:val="001A0365"/>
    <w:rsid w:val="001A2D24"/>
    <w:rsid w:val="001A37E1"/>
    <w:rsid w:val="001A7004"/>
    <w:rsid w:val="001A782D"/>
    <w:rsid w:val="001B5F8F"/>
    <w:rsid w:val="001C21EB"/>
    <w:rsid w:val="001C39DE"/>
    <w:rsid w:val="001C614C"/>
    <w:rsid w:val="001D3EA0"/>
    <w:rsid w:val="001D4079"/>
    <w:rsid w:val="001D5EEC"/>
    <w:rsid w:val="001D60DD"/>
    <w:rsid w:val="001E1AFF"/>
    <w:rsid w:val="001E2454"/>
    <w:rsid w:val="001E588A"/>
    <w:rsid w:val="001F25C2"/>
    <w:rsid w:val="001F3954"/>
    <w:rsid w:val="001F6E52"/>
    <w:rsid w:val="001F71FC"/>
    <w:rsid w:val="00201C4B"/>
    <w:rsid w:val="00201E05"/>
    <w:rsid w:val="0020214A"/>
    <w:rsid w:val="00202344"/>
    <w:rsid w:val="00203CA0"/>
    <w:rsid w:val="00204414"/>
    <w:rsid w:val="002121B6"/>
    <w:rsid w:val="00217A85"/>
    <w:rsid w:val="0022013E"/>
    <w:rsid w:val="00222F50"/>
    <w:rsid w:val="00223AAC"/>
    <w:rsid w:val="00224E98"/>
    <w:rsid w:val="00225056"/>
    <w:rsid w:val="00225363"/>
    <w:rsid w:val="002260C5"/>
    <w:rsid w:val="0022678A"/>
    <w:rsid w:val="00227661"/>
    <w:rsid w:val="00232D9A"/>
    <w:rsid w:val="00237DD8"/>
    <w:rsid w:val="00242CCA"/>
    <w:rsid w:val="0024386A"/>
    <w:rsid w:val="00247DA7"/>
    <w:rsid w:val="00251F4C"/>
    <w:rsid w:val="00257D23"/>
    <w:rsid w:val="00257E49"/>
    <w:rsid w:val="002622C1"/>
    <w:rsid w:val="00271C7B"/>
    <w:rsid w:val="00272492"/>
    <w:rsid w:val="002733BA"/>
    <w:rsid w:val="00273F21"/>
    <w:rsid w:val="002742AE"/>
    <w:rsid w:val="00274FF7"/>
    <w:rsid w:val="00276D6F"/>
    <w:rsid w:val="00277DE4"/>
    <w:rsid w:val="00281ACD"/>
    <w:rsid w:val="00282CE1"/>
    <w:rsid w:val="0028304C"/>
    <w:rsid w:val="00290E59"/>
    <w:rsid w:val="002940A9"/>
    <w:rsid w:val="002A13D7"/>
    <w:rsid w:val="002A3153"/>
    <w:rsid w:val="002A6140"/>
    <w:rsid w:val="002A6581"/>
    <w:rsid w:val="002B685A"/>
    <w:rsid w:val="002B7571"/>
    <w:rsid w:val="002C56E2"/>
    <w:rsid w:val="002D045C"/>
    <w:rsid w:val="002D05DE"/>
    <w:rsid w:val="002D238F"/>
    <w:rsid w:val="002D4D77"/>
    <w:rsid w:val="002D67FA"/>
    <w:rsid w:val="002E1088"/>
    <w:rsid w:val="002E6517"/>
    <w:rsid w:val="002E7C73"/>
    <w:rsid w:val="002F12AF"/>
    <w:rsid w:val="002F212F"/>
    <w:rsid w:val="002F285E"/>
    <w:rsid w:val="002F48B7"/>
    <w:rsid w:val="002F5F44"/>
    <w:rsid w:val="002F68AE"/>
    <w:rsid w:val="002F6A2E"/>
    <w:rsid w:val="00301503"/>
    <w:rsid w:val="00305B9F"/>
    <w:rsid w:val="003073B0"/>
    <w:rsid w:val="003076CC"/>
    <w:rsid w:val="00322809"/>
    <w:rsid w:val="00324336"/>
    <w:rsid w:val="00326C67"/>
    <w:rsid w:val="0033040E"/>
    <w:rsid w:val="00335255"/>
    <w:rsid w:val="00335CC7"/>
    <w:rsid w:val="003362D5"/>
    <w:rsid w:val="003368E8"/>
    <w:rsid w:val="00342035"/>
    <w:rsid w:val="00346D48"/>
    <w:rsid w:val="003470C0"/>
    <w:rsid w:val="00351F72"/>
    <w:rsid w:val="003538B1"/>
    <w:rsid w:val="0035518C"/>
    <w:rsid w:val="0035736E"/>
    <w:rsid w:val="0037505C"/>
    <w:rsid w:val="00376D3D"/>
    <w:rsid w:val="003806C8"/>
    <w:rsid w:val="00381F3B"/>
    <w:rsid w:val="00382F92"/>
    <w:rsid w:val="00384440"/>
    <w:rsid w:val="00387D31"/>
    <w:rsid w:val="003903B7"/>
    <w:rsid w:val="00395559"/>
    <w:rsid w:val="003963ED"/>
    <w:rsid w:val="003A06E8"/>
    <w:rsid w:val="003A3612"/>
    <w:rsid w:val="003B2FC0"/>
    <w:rsid w:val="003B5F22"/>
    <w:rsid w:val="003C079D"/>
    <w:rsid w:val="003C2EA4"/>
    <w:rsid w:val="003C7A92"/>
    <w:rsid w:val="003D100B"/>
    <w:rsid w:val="003D15F8"/>
    <w:rsid w:val="003D4784"/>
    <w:rsid w:val="003D5D49"/>
    <w:rsid w:val="003E322B"/>
    <w:rsid w:val="003E64DE"/>
    <w:rsid w:val="003E7976"/>
    <w:rsid w:val="003F10A1"/>
    <w:rsid w:val="003F298A"/>
    <w:rsid w:val="003F6EE3"/>
    <w:rsid w:val="003F769A"/>
    <w:rsid w:val="00403674"/>
    <w:rsid w:val="00405E3B"/>
    <w:rsid w:val="0041090D"/>
    <w:rsid w:val="00415BE0"/>
    <w:rsid w:val="00420EF4"/>
    <w:rsid w:val="00422F75"/>
    <w:rsid w:val="00423C3B"/>
    <w:rsid w:val="004248FE"/>
    <w:rsid w:val="00427BC9"/>
    <w:rsid w:val="00432AF9"/>
    <w:rsid w:val="00437D0D"/>
    <w:rsid w:val="0044167C"/>
    <w:rsid w:val="00444612"/>
    <w:rsid w:val="00444B05"/>
    <w:rsid w:val="004479A3"/>
    <w:rsid w:val="00451667"/>
    <w:rsid w:val="004610D1"/>
    <w:rsid w:val="00462BEC"/>
    <w:rsid w:val="00465D50"/>
    <w:rsid w:val="00471F45"/>
    <w:rsid w:val="00473828"/>
    <w:rsid w:val="00476395"/>
    <w:rsid w:val="00477737"/>
    <w:rsid w:val="004926F1"/>
    <w:rsid w:val="00497687"/>
    <w:rsid w:val="004A4333"/>
    <w:rsid w:val="004B250E"/>
    <w:rsid w:val="004B5462"/>
    <w:rsid w:val="004B5EA5"/>
    <w:rsid w:val="004C5B9D"/>
    <w:rsid w:val="004D0516"/>
    <w:rsid w:val="004D2D2C"/>
    <w:rsid w:val="004D6C9B"/>
    <w:rsid w:val="004D7A59"/>
    <w:rsid w:val="004E29A5"/>
    <w:rsid w:val="004E2E41"/>
    <w:rsid w:val="004E3908"/>
    <w:rsid w:val="004E4825"/>
    <w:rsid w:val="004F5F7D"/>
    <w:rsid w:val="004F70A6"/>
    <w:rsid w:val="004F7D7A"/>
    <w:rsid w:val="004F7DB3"/>
    <w:rsid w:val="0050200B"/>
    <w:rsid w:val="00502CBD"/>
    <w:rsid w:val="005048F6"/>
    <w:rsid w:val="00510741"/>
    <w:rsid w:val="005132B7"/>
    <w:rsid w:val="005143C0"/>
    <w:rsid w:val="005146F9"/>
    <w:rsid w:val="00515BF0"/>
    <w:rsid w:val="00521C7B"/>
    <w:rsid w:val="00521E80"/>
    <w:rsid w:val="005253AD"/>
    <w:rsid w:val="005258DD"/>
    <w:rsid w:val="0053142B"/>
    <w:rsid w:val="0053368C"/>
    <w:rsid w:val="00541975"/>
    <w:rsid w:val="005438B0"/>
    <w:rsid w:val="00545BC3"/>
    <w:rsid w:val="00546BFA"/>
    <w:rsid w:val="00552374"/>
    <w:rsid w:val="00555553"/>
    <w:rsid w:val="00556C06"/>
    <w:rsid w:val="0055742A"/>
    <w:rsid w:val="005579FD"/>
    <w:rsid w:val="00560016"/>
    <w:rsid w:val="00561748"/>
    <w:rsid w:val="0056708B"/>
    <w:rsid w:val="005671AE"/>
    <w:rsid w:val="0057152B"/>
    <w:rsid w:val="00571BB7"/>
    <w:rsid w:val="00573B50"/>
    <w:rsid w:val="00575D9D"/>
    <w:rsid w:val="00577A92"/>
    <w:rsid w:val="00577BDB"/>
    <w:rsid w:val="00577C05"/>
    <w:rsid w:val="00592444"/>
    <w:rsid w:val="0059391B"/>
    <w:rsid w:val="00594201"/>
    <w:rsid w:val="005A095F"/>
    <w:rsid w:val="005A2DDA"/>
    <w:rsid w:val="005A39E6"/>
    <w:rsid w:val="005A735F"/>
    <w:rsid w:val="005B34F5"/>
    <w:rsid w:val="005B3BA7"/>
    <w:rsid w:val="005B4FF9"/>
    <w:rsid w:val="005B6A01"/>
    <w:rsid w:val="005C03D0"/>
    <w:rsid w:val="005C2714"/>
    <w:rsid w:val="005C3616"/>
    <w:rsid w:val="005D0328"/>
    <w:rsid w:val="005D06C5"/>
    <w:rsid w:val="005D21E3"/>
    <w:rsid w:val="005D5E51"/>
    <w:rsid w:val="005D6657"/>
    <w:rsid w:val="005E50F0"/>
    <w:rsid w:val="005E6085"/>
    <w:rsid w:val="005E63D3"/>
    <w:rsid w:val="005F104A"/>
    <w:rsid w:val="005F119B"/>
    <w:rsid w:val="005F13A3"/>
    <w:rsid w:val="005F1E75"/>
    <w:rsid w:val="005F2AFF"/>
    <w:rsid w:val="005F332F"/>
    <w:rsid w:val="005F403B"/>
    <w:rsid w:val="005F553D"/>
    <w:rsid w:val="005F772B"/>
    <w:rsid w:val="0060192E"/>
    <w:rsid w:val="006031F5"/>
    <w:rsid w:val="00603B36"/>
    <w:rsid w:val="0060587B"/>
    <w:rsid w:val="00605EBA"/>
    <w:rsid w:val="00607047"/>
    <w:rsid w:val="00610637"/>
    <w:rsid w:val="00610722"/>
    <w:rsid w:val="0061199D"/>
    <w:rsid w:val="006136CF"/>
    <w:rsid w:val="00613BDF"/>
    <w:rsid w:val="006152A7"/>
    <w:rsid w:val="006153DC"/>
    <w:rsid w:val="00616A37"/>
    <w:rsid w:val="00617145"/>
    <w:rsid w:val="00617624"/>
    <w:rsid w:val="0061791B"/>
    <w:rsid w:val="0062175F"/>
    <w:rsid w:val="00631063"/>
    <w:rsid w:val="00631F13"/>
    <w:rsid w:val="00632932"/>
    <w:rsid w:val="006331AC"/>
    <w:rsid w:val="006344A0"/>
    <w:rsid w:val="00634A3A"/>
    <w:rsid w:val="00643643"/>
    <w:rsid w:val="0064550D"/>
    <w:rsid w:val="006503A2"/>
    <w:rsid w:val="006536A9"/>
    <w:rsid w:val="00660699"/>
    <w:rsid w:val="006625F1"/>
    <w:rsid w:val="006665A5"/>
    <w:rsid w:val="00667508"/>
    <w:rsid w:val="006709E5"/>
    <w:rsid w:val="006711EF"/>
    <w:rsid w:val="00671860"/>
    <w:rsid w:val="00673DFC"/>
    <w:rsid w:val="00677FF9"/>
    <w:rsid w:val="006813F9"/>
    <w:rsid w:val="00681992"/>
    <w:rsid w:val="00683F74"/>
    <w:rsid w:val="00684F45"/>
    <w:rsid w:val="006911E8"/>
    <w:rsid w:val="006925DE"/>
    <w:rsid w:val="0069361B"/>
    <w:rsid w:val="006949A6"/>
    <w:rsid w:val="006A3696"/>
    <w:rsid w:val="006A6267"/>
    <w:rsid w:val="006B5728"/>
    <w:rsid w:val="006B7EDC"/>
    <w:rsid w:val="006C24C3"/>
    <w:rsid w:val="006C2EB8"/>
    <w:rsid w:val="006D0C9A"/>
    <w:rsid w:val="006D3173"/>
    <w:rsid w:val="006F3D6D"/>
    <w:rsid w:val="006F4BA2"/>
    <w:rsid w:val="00702360"/>
    <w:rsid w:val="00704A87"/>
    <w:rsid w:val="00705965"/>
    <w:rsid w:val="007123CA"/>
    <w:rsid w:val="00714AF4"/>
    <w:rsid w:val="007233A4"/>
    <w:rsid w:val="0072611A"/>
    <w:rsid w:val="007264C0"/>
    <w:rsid w:val="0073192F"/>
    <w:rsid w:val="007413F4"/>
    <w:rsid w:val="00744690"/>
    <w:rsid w:val="007455AF"/>
    <w:rsid w:val="00745F6E"/>
    <w:rsid w:val="0074701C"/>
    <w:rsid w:val="0074787E"/>
    <w:rsid w:val="0075411A"/>
    <w:rsid w:val="00755657"/>
    <w:rsid w:val="00765842"/>
    <w:rsid w:val="00767024"/>
    <w:rsid w:val="00770AD8"/>
    <w:rsid w:val="00777908"/>
    <w:rsid w:val="007779FC"/>
    <w:rsid w:val="0079229C"/>
    <w:rsid w:val="00792420"/>
    <w:rsid w:val="007953CF"/>
    <w:rsid w:val="00796DF6"/>
    <w:rsid w:val="007A2CFA"/>
    <w:rsid w:val="007A5538"/>
    <w:rsid w:val="007A68A9"/>
    <w:rsid w:val="007B24B7"/>
    <w:rsid w:val="007B33F1"/>
    <w:rsid w:val="007B7A23"/>
    <w:rsid w:val="007C2C54"/>
    <w:rsid w:val="007D5D07"/>
    <w:rsid w:val="007F08B6"/>
    <w:rsid w:val="007F1A03"/>
    <w:rsid w:val="007F3406"/>
    <w:rsid w:val="007F3B56"/>
    <w:rsid w:val="007F6EFA"/>
    <w:rsid w:val="00801190"/>
    <w:rsid w:val="00801403"/>
    <w:rsid w:val="00813DC0"/>
    <w:rsid w:val="00814094"/>
    <w:rsid w:val="00817B5B"/>
    <w:rsid w:val="0082058F"/>
    <w:rsid w:val="008236F7"/>
    <w:rsid w:val="0082535E"/>
    <w:rsid w:val="00827D57"/>
    <w:rsid w:val="00830462"/>
    <w:rsid w:val="00833CF5"/>
    <w:rsid w:val="00837122"/>
    <w:rsid w:val="00844168"/>
    <w:rsid w:val="00846F1D"/>
    <w:rsid w:val="00847715"/>
    <w:rsid w:val="008479BA"/>
    <w:rsid w:val="00856881"/>
    <w:rsid w:val="00856A97"/>
    <w:rsid w:val="00857681"/>
    <w:rsid w:val="00857E09"/>
    <w:rsid w:val="008660F2"/>
    <w:rsid w:val="00874A2A"/>
    <w:rsid w:val="00875AD3"/>
    <w:rsid w:val="00881FFF"/>
    <w:rsid w:val="00886204"/>
    <w:rsid w:val="00890257"/>
    <w:rsid w:val="008937C0"/>
    <w:rsid w:val="008956A7"/>
    <w:rsid w:val="008963E2"/>
    <w:rsid w:val="00897689"/>
    <w:rsid w:val="008A2076"/>
    <w:rsid w:val="008B3265"/>
    <w:rsid w:val="008B3EB3"/>
    <w:rsid w:val="008B4EF2"/>
    <w:rsid w:val="008C0EEC"/>
    <w:rsid w:val="008C69F1"/>
    <w:rsid w:val="008D3600"/>
    <w:rsid w:val="008E7D38"/>
    <w:rsid w:val="008F1FA7"/>
    <w:rsid w:val="008F68C3"/>
    <w:rsid w:val="008F6DE1"/>
    <w:rsid w:val="00905A95"/>
    <w:rsid w:val="00906B4C"/>
    <w:rsid w:val="009109A1"/>
    <w:rsid w:val="00912CE7"/>
    <w:rsid w:val="0091324C"/>
    <w:rsid w:val="009134BC"/>
    <w:rsid w:val="009142DD"/>
    <w:rsid w:val="0091712F"/>
    <w:rsid w:val="0092255B"/>
    <w:rsid w:val="00922D9C"/>
    <w:rsid w:val="00932BB5"/>
    <w:rsid w:val="00934B5B"/>
    <w:rsid w:val="00935E0B"/>
    <w:rsid w:val="00940A64"/>
    <w:rsid w:val="00950640"/>
    <w:rsid w:val="009539EA"/>
    <w:rsid w:val="00955EC2"/>
    <w:rsid w:val="0095687D"/>
    <w:rsid w:val="009569F9"/>
    <w:rsid w:val="0096155B"/>
    <w:rsid w:val="00961A5E"/>
    <w:rsid w:val="009643E8"/>
    <w:rsid w:val="00967344"/>
    <w:rsid w:val="00970125"/>
    <w:rsid w:val="00970DC9"/>
    <w:rsid w:val="00977676"/>
    <w:rsid w:val="00980481"/>
    <w:rsid w:val="0098269B"/>
    <w:rsid w:val="009906D1"/>
    <w:rsid w:val="00990951"/>
    <w:rsid w:val="009914DF"/>
    <w:rsid w:val="00992058"/>
    <w:rsid w:val="0099613C"/>
    <w:rsid w:val="009A2AF4"/>
    <w:rsid w:val="009A4B66"/>
    <w:rsid w:val="009B0BE9"/>
    <w:rsid w:val="009B6B52"/>
    <w:rsid w:val="009C3B6E"/>
    <w:rsid w:val="009C5DCC"/>
    <w:rsid w:val="009D255C"/>
    <w:rsid w:val="009D6A58"/>
    <w:rsid w:val="009E3A87"/>
    <w:rsid w:val="009E4D3D"/>
    <w:rsid w:val="009E520E"/>
    <w:rsid w:val="009E618E"/>
    <w:rsid w:val="009E665B"/>
    <w:rsid w:val="009E7A25"/>
    <w:rsid w:val="009F1693"/>
    <w:rsid w:val="009F2C6B"/>
    <w:rsid w:val="009F5632"/>
    <w:rsid w:val="009F5ACD"/>
    <w:rsid w:val="009F669C"/>
    <w:rsid w:val="00A014B1"/>
    <w:rsid w:val="00A026F3"/>
    <w:rsid w:val="00A15AEE"/>
    <w:rsid w:val="00A15BB4"/>
    <w:rsid w:val="00A22E4A"/>
    <w:rsid w:val="00A3265C"/>
    <w:rsid w:val="00A4048E"/>
    <w:rsid w:val="00A411B8"/>
    <w:rsid w:val="00A509D1"/>
    <w:rsid w:val="00A53946"/>
    <w:rsid w:val="00A557CA"/>
    <w:rsid w:val="00A64D92"/>
    <w:rsid w:val="00A67DF3"/>
    <w:rsid w:val="00A702D3"/>
    <w:rsid w:val="00A77613"/>
    <w:rsid w:val="00A83B7B"/>
    <w:rsid w:val="00A8538B"/>
    <w:rsid w:val="00A87A4F"/>
    <w:rsid w:val="00A90EF7"/>
    <w:rsid w:val="00A940F5"/>
    <w:rsid w:val="00A95FE0"/>
    <w:rsid w:val="00AA076E"/>
    <w:rsid w:val="00AA1B59"/>
    <w:rsid w:val="00AB13A6"/>
    <w:rsid w:val="00AB14D9"/>
    <w:rsid w:val="00AB4F3F"/>
    <w:rsid w:val="00AB53EF"/>
    <w:rsid w:val="00AB5BF2"/>
    <w:rsid w:val="00AC2129"/>
    <w:rsid w:val="00AC4679"/>
    <w:rsid w:val="00AC6B05"/>
    <w:rsid w:val="00AC7171"/>
    <w:rsid w:val="00AD5579"/>
    <w:rsid w:val="00AD5CC6"/>
    <w:rsid w:val="00AD61FE"/>
    <w:rsid w:val="00AD65D2"/>
    <w:rsid w:val="00AD6B2A"/>
    <w:rsid w:val="00AE13FF"/>
    <w:rsid w:val="00AE2F98"/>
    <w:rsid w:val="00AE3D71"/>
    <w:rsid w:val="00AE56C5"/>
    <w:rsid w:val="00AE574D"/>
    <w:rsid w:val="00AE6257"/>
    <w:rsid w:val="00AF35FA"/>
    <w:rsid w:val="00AF3701"/>
    <w:rsid w:val="00AF5EC9"/>
    <w:rsid w:val="00AF73C7"/>
    <w:rsid w:val="00B017FE"/>
    <w:rsid w:val="00B04690"/>
    <w:rsid w:val="00B06179"/>
    <w:rsid w:val="00B07A0C"/>
    <w:rsid w:val="00B102E7"/>
    <w:rsid w:val="00B10468"/>
    <w:rsid w:val="00B11E32"/>
    <w:rsid w:val="00B12FB3"/>
    <w:rsid w:val="00B15553"/>
    <w:rsid w:val="00B251D8"/>
    <w:rsid w:val="00B26D5B"/>
    <w:rsid w:val="00B3406C"/>
    <w:rsid w:val="00B34E75"/>
    <w:rsid w:val="00B35C29"/>
    <w:rsid w:val="00B402ED"/>
    <w:rsid w:val="00B40678"/>
    <w:rsid w:val="00B40E84"/>
    <w:rsid w:val="00B413A0"/>
    <w:rsid w:val="00B41A2B"/>
    <w:rsid w:val="00B50D0E"/>
    <w:rsid w:val="00B50FC7"/>
    <w:rsid w:val="00B61F12"/>
    <w:rsid w:val="00B7505E"/>
    <w:rsid w:val="00B75FFD"/>
    <w:rsid w:val="00B76B93"/>
    <w:rsid w:val="00B81CDD"/>
    <w:rsid w:val="00B82280"/>
    <w:rsid w:val="00B83E7A"/>
    <w:rsid w:val="00B83F33"/>
    <w:rsid w:val="00B92317"/>
    <w:rsid w:val="00B92A6B"/>
    <w:rsid w:val="00B94ED5"/>
    <w:rsid w:val="00BA2504"/>
    <w:rsid w:val="00BA2C02"/>
    <w:rsid w:val="00BA3993"/>
    <w:rsid w:val="00BB01DC"/>
    <w:rsid w:val="00BB211A"/>
    <w:rsid w:val="00BB218C"/>
    <w:rsid w:val="00BB25DD"/>
    <w:rsid w:val="00BC0400"/>
    <w:rsid w:val="00BC0EDB"/>
    <w:rsid w:val="00BC1B5D"/>
    <w:rsid w:val="00BC1DD9"/>
    <w:rsid w:val="00BD3BA7"/>
    <w:rsid w:val="00BD74E3"/>
    <w:rsid w:val="00BE0646"/>
    <w:rsid w:val="00BE6B96"/>
    <w:rsid w:val="00BF116F"/>
    <w:rsid w:val="00BF1DDA"/>
    <w:rsid w:val="00BF71D9"/>
    <w:rsid w:val="00C13BA4"/>
    <w:rsid w:val="00C13C4D"/>
    <w:rsid w:val="00C15674"/>
    <w:rsid w:val="00C23C36"/>
    <w:rsid w:val="00C32779"/>
    <w:rsid w:val="00C42422"/>
    <w:rsid w:val="00C43421"/>
    <w:rsid w:val="00C52E3E"/>
    <w:rsid w:val="00C62923"/>
    <w:rsid w:val="00C657D6"/>
    <w:rsid w:val="00C65A5E"/>
    <w:rsid w:val="00C74088"/>
    <w:rsid w:val="00C849BA"/>
    <w:rsid w:val="00C8607F"/>
    <w:rsid w:val="00C9049D"/>
    <w:rsid w:val="00C9187C"/>
    <w:rsid w:val="00C92F06"/>
    <w:rsid w:val="00C92F89"/>
    <w:rsid w:val="00C93413"/>
    <w:rsid w:val="00CA027A"/>
    <w:rsid w:val="00CA12F2"/>
    <w:rsid w:val="00CA162B"/>
    <w:rsid w:val="00CA200F"/>
    <w:rsid w:val="00CA5649"/>
    <w:rsid w:val="00CA6B9B"/>
    <w:rsid w:val="00CB28EB"/>
    <w:rsid w:val="00CB4346"/>
    <w:rsid w:val="00CB553C"/>
    <w:rsid w:val="00CB642A"/>
    <w:rsid w:val="00CC0186"/>
    <w:rsid w:val="00CC18FA"/>
    <w:rsid w:val="00CC4CDA"/>
    <w:rsid w:val="00CC571E"/>
    <w:rsid w:val="00CC59C7"/>
    <w:rsid w:val="00CC65A6"/>
    <w:rsid w:val="00CD4997"/>
    <w:rsid w:val="00CD4E28"/>
    <w:rsid w:val="00CD59D4"/>
    <w:rsid w:val="00CD6071"/>
    <w:rsid w:val="00CE2922"/>
    <w:rsid w:val="00CE4370"/>
    <w:rsid w:val="00CF71B8"/>
    <w:rsid w:val="00D0487A"/>
    <w:rsid w:val="00D06269"/>
    <w:rsid w:val="00D14B16"/>
    <w:rsid w:val="00D16D4E"/>
    <w:rsid w:val="00D16FC7"/>
    <w:rsid w:val="00D17662"/>
    <w:rsid w:val="00D176C3"/>
    <w:rsid w:val="00D266AF"/>
    <w:rsid w:val="00D27110"/>
    <w:rsid w:val="00D31700"/>
    <w:rsid w:val="00D32FE4"/>
    <w:rsid w:val="00D330FC"/>
    <w:rsid w:val="00D35A22"/>
    <w:rsid w:val="00D3688A"/>
    <w:rsid w:val="00D3700B"/>
    <w:rsid w:val="00D37F05"/>
    <w:rsid w:val="00D4101C"/>
    <w:rsid w:val="00D41F02"/>
    <w:rsid w:val="00D44C5A"/>
    <w:rsid w:val="00D47C7E"/>
    <w:rsid w:val="00D50037"/>
    <w:rsid w:val="00D541A5"/>
    <w:rsid w:val="00D6435F"/>
    <w:rsid w:val="00D70E61"/>
    <w:rsid w:val="00D717D8"/>
    <w:rsid w:val="00D7732B"/>
    <w:rsid w:val="00D777C4"/>
    <w:rsid w:val="00D83286"/>
    <w:rsid w:val="00D837B4"/>
    <w:rsid w:val="00D8615C"/>
    <w:rsid w:val="00D93490"/>
    <w:rsid w:val="00DA3341"/>
    <w:rsid w:val="00DA5EAB"/>
    <w:rsid w:val="00DB413F"/>
    <w:rsid w:val="00DB7072"/>
    <w:rsid w:val="00DB721F"/>
    <w:rsid w:val="00DC0723"/>
    <w:rsid w:val="00DC3B84"/>
    <w:rsid w:val="00DC72B0"/>
    <w:rsid w:val="00DC7825"/>
    <w:rsid w:val="00DC7FB1"/>
    <w:rsid w:val="00DD34B7"/>
    <w:rsid w:val="00DE5292"/>
    <w:rsid w:val="00DE62CD"/>
    <w:rsid w:val="00DF09A3"/>
    <w:rsid w:val="00DF0DAC"/>
    <w:rsid w:val="00DF339A"/>
    <w:rsid w:val="00DF46EF"/>
    <w:rsid w:val="00DF4A0A"/>
    <w:rsid w:val="00E152A3"/>
    <w:rsid w:val="00E167CC"/>
    <w:rsid w:val="00E24A28"/>
    <w:rsid w:val="00E3350A"/>
    <w:rsid w:val="00E34D83"/>
    <w:rsid w:val="00E42ADD"/>
    <w:rsid w:val="00E50086"/>
    <w:rsid w:val="00E52F14"/>
    <w:rsid w:val="00E6137E"/>
    <w:rsid w:val="00E67D08"/>
    <w:rsid w:val="00E71313"/>
    <w:rsid w:val="00E71853"/>
    <w:rsid w:val="00E735BE"/>
    <w:rsid w:val="00E761E9"/>
    <w:rsid w:val="00E804F5"/>
    <w:rsid w:val="00E85D54"/>
    <w:rsid w:val="00E8783E"/>
    <w:rsid w:val="00E910E1"/>
    <w:rsid w:val="00E91505"/>
    <w:rsid w:val="00E927CA"/>
    <w:rsid w:val="00E95BD8"/>
    <w:rsid w:val="00E97AA9"/>
    <w:rsid w:val="00EA2380"/>
    <w:rsid w:val="00EA511C"/>
    <w:rsid w:val="00EA6D27"/>
    <w:rsid w:val="00EA7C4B"/>
    <w:rsid w:val="00EB29BC"/>
    <w:rsid w:val="00EB2FB8"/>
    <w:rsid w:val="00EB457B"/>
    <w:rsid w:val="00EB4FFD"/>
    <w:rsid w:val="00EB536B"/>
    <w:rsid w:val="00EB6126"/>
    <w:rsid w:val="00EC1753"/>
    <w:rsid w:val="00EC3367"/>
    <w:rsid w:val="00EC428A"/>
    <w:rsid w:val="00EC5F3B"/>
    <w:rsid w:val="00EC7530"/>
    <w:rsid w:val="00EE5B83"/>
    <w:rsid w:val="00EE6136"/>
    <w:rsid w:val="00EF2131"/>
    <w:rsid w:val="00EF35D5"/>
    <w:rsid w:val="00F00B0F"/>
    <w:rsid w:val="00F026BA"/>
    <w:rsid w:val="00F06C92"/>
    <w:rsid w:val="00F100F4"/>
    <w:rsid w:val="00F11ED7"/>
    <w:rsid w:val="00F1665A"/>
    <w:rsid w:val="00F17559"/>
    <w:rsid w:val="00F21B07"/>
    <w:rsid w:val="00F233CB"/>
    <w:rsid w:val="00F23B35"/>
    <w:rsid w:val="00F23BAB"/>
    <w:rsid w:val="00F24802"/>
    <w:rsid w:val="00F306CC"/>
    <w:rsid w:val="00F30941"/>
    <w:rsid w:val="00F32FBB"/>
    <w:rsid w:val="00F36A79"/>
    <w:rsid w:val="00F54C74"/>
    <w:rsid w:val="00F57B7E"/>
    <w:rsid w:val="00F60024"/>
    <w:rsid w:val="00F6686C"/>
    <w:rsid w:val="00F70CE4"/>
    <w:rsid w:val="00F73728"/>
    <w:rsid w:val="00F74D1A"/>
    <w:rsid w:val="00F81E88"/>
    <w:rsid w:val="00F821F7"/>
    <w:rsid w:val="00F83F53"/>
    <w:rsid w:val="00F84758"/>
    <w:rsid w:val="00F86490"/>
    <w:rsid w:val="00F947C4"/>
    <w:rsid w:val="00F952B9"/>
    <w:rsid w:val="00F95451"/>
    <w:rsid w:val="00F97A7D"/>
    <w:rsid w:val="00FA5219"/>
    <w:rsid w:val="00FB11C8"/>
    <w:rsid w:val="00FB2C8D"/>
    <w:rsid w:val="00FC43C7"/>
    <w:rsid w:val="00FC6454"/>
    <w:rsid w:val="00FC6E65"/>
    <w:rsid w:val="00FC737F"/>
    <w:rsid w:val="00FD3DB8"/>
    <w:rsid w:val="00FD4418"/>
    <w:rsid w:val="00FE13B4"/>
    <w:rsid w:val="00FE2CDF"/>
    <w:rsid w:val="00FE55AC"/>
    <w:rsid w:val="00FE6A21"/>
    <w:rsid w:val="00FE7097"/>
    <w:rsid w:val="00FF0259"/>
    <w:rsid w:val="00FF2F46"/>
    <w:rsid w:val="00FF3E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65"/>
  </w:style>
  <w:style w:type="paragraph" w:styleId="Heading1">
    <w:name w:val="heading 1"/>
    <w:basedOn w:val="Normal"/>
    <w:next w:val="Normal"/>
    <w:link w:val="Heading1Char"/>
    <w:uiPriority w:val="9"/>
    <w:qFormat/>
    <w:rsid w:val="00D41F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41F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06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875AD"/>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outlineLvl w:val="3"/>
    </w:pPr>
    <w:rPr>
      <w:rFonts w:ascii="Times New Roman" w:eastAsia="Times New Roman" w:hAnsi="Times New Roman" w:cs="Times New Roman"/>
      <w:b/>
      <w:bCs/>
      <w:i/>
      <w:sz w:val="24"/>
      <w:szCs w:val="20"/>
    </w:rPr>
  </w:style>
  <w:style w:type="paragraph" w:styleId="Heading5">
    <w:name w:val="heading 5"/>
    <w:basedOn w:val="Normal"/>
    <w:next w:val="Normal"/>
    <w:link w:val="Heading5Char"/>
    <w:uiPriority w:val="9"/>
    <w:unhideWhenUsed/>
    <w:qFormat/>
    <w:rsid w:val="000875AD"/>
    <w:pPr>
      <w:keepNext/>
      <w:keepLines/>
      <w:spacing w:before="240" w:after="240"/>
      <w:outlineLvl w:val="4"/>
    </w:pPr>
    <w:rPr>
      <w:rFonts w:ascii="Arial Black" w:eastAsiaTheme="majorEastAsia" w:hAnsi="Arial Black"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75AD"/>
    <w:rPr>
      <w:rFonts w:ascii="Times New Roman" w:eastAsia="Times New Roman" w:hAnsi="Times New Roman" w:cs="Times New Roman"/>
      <w:b/>
      <w:bCs/>
      <w:i/>
      <w:sz w:val="24"/>
      <w:szCs w:val="20"/>
    </w:rPr>
  </w:style>
  <w:style w:type="paragraph" w:styleId="BodyTextIndent">
    <w:name w:val="Body Text Indent"/>
    <w:basedOn w:val="Normal"/>
    <w:link w:val="BodyTextIndentChar"/>
    <w:rsid w:val="000875AD"/>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875AD"/>
    <w:rPr>
      <w:rFonts w:ascii="Times New Roman" w:eastAsia="Times New Roman" w:hAnsi="Times New Roman" w:cs="Times New Roman"/>
      <w:sz w:val="24"/>
      <w:szCs w:val="20"/>
    </w:rPr>
  </w:style>
  <w:style w:type="paragraph" w:styleId="BodyText">
    <w:name w:val="Body Text"/>
    <w:basedOn w:val="Normal"/>
    <w:link w:val="BodyTextChar"/>
    <w:rsid w:val="000875AD"/>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875AD"/>
    <w:rPr>
      <w:rFonts w:ascii="Times New Roman" w:eastAsia="Times New Roman" w:hAnsi="Times New Roman" w:cs="Times New Roman"/>
      <w:sz w:val="24"/>
      <w:szCs w:val="20"/>
    </w:rPr>
  </w:style>
  <w:style w:type="paragraph" w:styleId="ListParagraph">
    <w:name w:val="List Paragraph"/>
    <w:basedOn w:val="Normal"/>
    <w:uiPriority w:val="34"/>
    <w:qFormat/>
    <w:rsid w:val="000875AD"/>
    <w:pPr>
      <w:ind w:left="720"/>
      <w:contextualSpacing/>
    </w:pPr>
  </w:style>
  <w:style w:type="character" w:customStyle="1" w:styleId="Heading5Char">
    <w:name w:val="Heading 5 Char"/>
    <w:basedOn w:val="DefaultParagraphFont"/>
    <w:link w:val="Heading5"/>
    <w:uiPriority w:val="9"/>
    <w:rsid w:val="000875AD"/>
    <w:rPr>
      <w:rFonts w:ascii="Arial Black" w:eastAsiaTheme="majorEastAsia" w:hAnsi="Arial Black" w:cstheme="majorBidi"/>
      <w:color w:val="000000" w:themeColor="text1"/>
    </w:rPr>
  </w:style>
  <w:style w:type="character" w:customStyle="1" w:styleId="Heading3Char">
    <w:name w:val="Heading 3 Char"/>
    <w:basedOn w:val="DefaultParagraphFont"/>
    <w:link w:val="Heading3"/>
    <w:uiPriority w:val="9"/>
    <w:semiHidden/>
    <w:rsid w:val="003806C8"/>
    <w:rPr>
      <w:rFonts w:asciiTheme="majorHAnsi" w:eastAsiaTheme="majorEastAsia" w:hAnsiTheme="majorHAnsi" w:cstheme="majorBidi"/>
      <w:b/>
      <w:bCs/>
      <w:color w:val="4F81BD" w:themeColor="accent1"/>
    </w:rPr>
  </w:style>
  <w:style w:type="paragraph" w:styleId="z-TopofForm">
    <w:name w:val="HTML Top of Form"/>
    <w:basedOn w:val="Normal"/>
    <w:link w:val="z-TopofFormChar"/>
    <w:rsid w:val="003806C8"/>
    <w:pPr>
      <w:spacing w:after="0" w:line="240" w:lineRule="auto"/>
    </w:pPr>
    <w:rPr>
      <w:rFonts w:ascii="Times New Roman" w:eastAsia="Times New Roman" w:hAnsi="Times New Roman" w:cs="Times New Roman"/>
      <w:sz w:val="24"/>
      <w:szCs w:val="20"/>
    </w:rPr>
  </w:style>
  <w:style w:type="character" w:customStyle="1" w:styleId="z-TopofFormChar">
    <w:name w:val="z-Top of Form Char"/>
    <w:basedOn w:val="DefaultParagraphFont"/>
    <w:link w:val="z-TopofForm"/>
    <w:rsid w:val="003806C8"/>
    <w:rPr>
      <w:rFonts w:ascii="Times New Roman" w:eastAsia="Times New Roman" w:hAnsi="Times New Roman" w:cs="Times New Roman"/>
      <w:sz w:val="24"/>
      <w:szCs w:val="20"/>
    </w:rPr>
  </w:style>
  <w:style w:type="character" w:styleId="Hyperlink">
    <w:name w:val="Hyperlink"/>
    <w:basedOn w:val="DefaultParagraphFont"/>
    <w:uiPriority w:val="99"/>
    <w:rsid w:val="003806C8"/>
    <w:rPr>
      <w:color w:val="0000FF"/>
      <w:u w:val="single"/>
    </w:rPr>
  </w:style>
  <w:style w:type="paragraph" w:styleId="z-BottomofForm">
    <w:name w:val="HTML Bottom of Form"/>
    <w:basedOn w:val="Normal"/>
    <w:link w:val="z-BottomofFormChar"/>
    <w:rsid w:val="00A95FE0"/>
    <w:pPr>
      <w:spacing w:after="0" w:line="240" w:lineRule="auto"/>
      <w:jc w:val="center"/>
    </w:pPr>
    <w:rPr>
      <w:rFonts w:ascii="Times New Roman" w:eastAsia="Times New Roman" w:hAnsi="Times New Roman" w:cs="Times New Roman"/>
      <w:b/>
      <w:sz w:val="20"/>
      <w:szCs w:val="20"/>
    </w:rPr>
  </w:style>
  <w:style w:type="character" w:customStyle="1" w:styleId="z-BottomofFormChar">
    <w:name w:val="z-Bottom of Form Char"/>
    <w:basedOn w:val="DefaultParagraphFont"/>
    <w:link w:val="z-BottomofForm"/>
    <w:rsid w:val="00A95FE0"/>
    <w:rPr>
      <w:rFonts w:ascii="Times New Roman" w:eastAsia="Times New Roman" w:hAnsi="Times New Roman" w:cs="Times New Roman"/>
      <w:b/>
      <w:sz w:val="20"/>
      <w:szCs w:val="20"/>
    </w:rPr>
  </w:style>
  <w:style w:type="paragraph" w:styleId="Caption">
    <w:name w:val="caption"/>
    <w:basedOn w:val="Normal"/>
    <w:next w:val="Normal"/>
    <w:qFormat/>
    <w:rsid w:val="00A95FE0"/>
    <w:pPr>
      <w:tabs>
        <w:tab w:val="left" w:pos="144"/>
        <w:tab w:val="left" w:pos="1440"/>
        <w:tab w:val="left" w:pos="2304"/>
        <w:tab w:val="left" w:pos="3744"/>
        <w:tab w:val="left" w:pos="5904"/>
        <w:tab w:val="left" w:pos="7056"/>
        <w:tab w:val="left" w:pos="8640"/>
      </w:tabs>
      <w:spacing w:after="0" w:line="240" w:lineRule="auto"/>
    </w:pPr>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B34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E75"/>
  </w:style>
  <w:style w:type="paragraph" w:styleId="Footer">
    <w:name w:val="footer"/>
    <w:basedOn w:val="Normal"/>
    <w:link w:val="FooterChar"/>
    <w:uiPriority w:val="99"/>
    <w:unhideWhenUsed/>
    <w:rsid w:val="00B34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E75"/>
  </w:style>
  <w:style w:type="table" w:styleId="TableGrid">
    <w:name w:val="Table Grid"/>
    <w:basedOn w:val="TableNormal"/>
    <w:uiPriority w:val="59"/>
    <w:rsid w:val="00634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25D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05A95"/>
    <w:rPr>
      <w:color w:val="800080" w:themeColor="followedHyperlink"/>
      <w:u w:val="single"/>
    </w:rPr>
  </w:style>
  <w:style w:type="paragraph" w:customStyle="1" w:styleId="indent2">
    <w:name w:val="indent2"/>
    <w:rsid w:val="00EC1753"/>
    <w:pPr>
      <w:tabs>
        <w:tab w:val="left" w:pos="730"/>
        <w:tab w:val="left" w:pos="6840"/>
        <w:tab w:val="left" w:pos="7200"/>
        <w:tab w:val="left" w:pos="7920"/>
        <w:tab w:val="left" w:pos="8640"/>
      </w:tabs>
      <w:autoSpaceDE w:val="0"/>
      <w:autoSpaceDN w:val="0"/>
      <w:adjustRightInd w:val="0"/>
      <w:spacing w:after="0" w:line="240" w:lineRule="auto"/>
      <w:ind w:left="720"/>
      <w:jc w:val="both"/>
    </w:pPr>
    <w:rPr>
      <w:rFonts w:ascii="Courier New" w:eastAsia="Times New Roman" w:hAnsi="Courier New" w:cs="Times New Roman"/>
      <w:i/>
      <w:iCs/>
      <w:sz w:val="20"/>
      <w:szCs w:val="20"/>
    </w:rPr>
  </w:style>
  <w:style w:type="character" w:customStyle="1" w:styleId="trigger">
    <w:name w:val="trigger"/>
    <w:basedOn w:val="DefaultParagraphFont"/>
    <w:rsid w:val="00BB218C"/>
  </w:style>
  <w:style w:type="character" w:customStyle="1" w:styleId="Heading1Char">
    <w:name w:val="Heading 1 Char"/>
    <w:basedOn w:val="DefaultParagraphFont"/>
    <w:link w:val="Heading1"/>
    <w:uiPriority w:val="9"/>
    <w:rsid w:val="00D41F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41F02"/>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D41F02"/>
    <w:pPr>
      <w:spacing w:after="100"/>
    </w:pPr>
  </w:style>
  <w:style w:type="paragraph" w:styleId="FootnoteText">
    <w:name w:val="footnote text"/>
    <w:basedOn w:val="Normal"/>
    <w:link w:val="FootnoteTextChar"/>
    <w:uiPriority w:val="99"/>
    <w:semiHidden/>
    <w:rsid w:val="00415BE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15BE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15BE0"/>
    <w:rPr>
      <w:vertAlign w:val="superscript"/>
    </w:rPr>
  </w:style>
  <w:style w:type="character" w:styleId="CommentReference">
    <w:name w:val="annotation reference"/>
    <w:basedOn w:val="DefaultParagraphFont"/>
    <w:uiPriority w:val="99"/>
    <w:semiHidden/>
    <w:unhideWhenUsed/>
    <w:rsid w:val="009C5DCC"/>
    <w:rPr>
      <w:sz w:val="16"/>
      <w:szCs w:val="16"/>
    </w:rPr>
  </w:style>
  <w:style w:type="paragraph" w:styleId="CommentText">
    <w:name w:val="annotation text"/>
    <w:basedOn w:val="Normal"/>
    <w:link w:val="CommentTextChar"/>
    <w:uiPriority w:val="99"/>
    <w:semiHidden/>
    <w:unhideWhenUsed/>
    <w:rsid w:val="009C5DCC"/>
    <w:pPr>
      <w:spacing w:line="240" w:lineRule="auto"/>
    </w:pPr>
    <w:rPr>
      <w:sz w:val="20"/>
      <w:szCs w:val="20"/>
    </w:rPr>
  </w:style>
  <w:style w:type="character" w:customStyle="1" w:styleId="CommentTextChar">
    <w:name w:val="Comment Text Char"/>
    <w:basedOn w:val="DefaultParagraphFont"/>
    <w:link w:val="CommentText"/>
    <w:uiPriority w:val="99"/>
    <w:semiHidden/>
    <w:rsid w:val="009C5DCC"/>
    <w:rPr>
      <w:sz w:val="20"/>
      <w:szCs w:val="20"/>
    </w:rPr>
  </w:style>
  <w:style w:type="paragraph" w:styleId="CommentSubject">
    <w:name w:val="annotation subject"/>
    <w:basedOn w:val="CommentText"/>
    <w:next w:val="CommentText"/>
    <w:link w:val="CommentSubjectChar"/>
    <w:uiPriority w:val="99"/>
    <w:semiHidden/>
    <w:unhideWhenUsed/>
    <w:rsid w:val="009C5DCC"/>
    <w:rPr>
      <w:b/>
      <w:bCs/>
    </w:rPr>
  </w:style>
  <w:style w:type="character" w:customStyle="1" w:styleId="CommentSubjectChar">
    <w:name w:val="Comment Subject Char"/>
    <w:basedOn w:val="CommentTextChar"/>
    <w:link w:val="CommentSubject"/>
    <w:uiPriority w:val="99"/>
    <w:semiHidden/>
    <w:rsid w:val="009C5DCC"/>
    <w:rPr>
      <w:b/>
      <w:bCs/>
    </w:rPr>
  </w:style>
  <w:style w:type="paragraph" w:styleId="BalloonText">
    <w:name w:val="Balloon Text"/>
    <w:basedOn w:val="Normal"/>
    <w:link w:val="BalloonTextChar"/>
    <w:uiPriority w:val="99"/>
    <w:semiHidden/>
    <w:unhideWhenUsed/>
    <w:rsid w:val="009C5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DCC"/>
    <w:rPr>
      <w:rFonts w:ascii="Tahoma" w:hAnsi="Tahoma" w:cs="Tahoma"/>
      <w:sz w:val="16"/>
      <w:szCs w:val="16"/>
    </w:rPr>
  </w:style>
  <w:style w:type="paragraph" w:styleId="NormalWeb">
    <w:name w:val="Normal (Web)"/>
    <w:basedOn w:val="Normal"/>
    <w:uiPriority w:val="99"/>
    <w:unhideWhenUsed/>
    <w:rsid w:val="002724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990599">
      <w:bodyDiv w:val="1"/>
      <w:marLeft w:val="0"/>
      <w:marRight w:val="0"/>
      <w:marTop w:val="0"/>
      <w:marBottom w:val="0"/>
      <w:divBdr>
        <w:top w:val="none" w:sz="0" w:space="0" w:color="auto"/>
        <w:left w:val="none" w:sz="0" w:space="0" w:color="auto"/>
        <w:bottom w:val="none" w:sz="0" w:space="0" w:color="auto"/>
        <w:right w:val="none" w:sz="0" w:space="0" w:color="auto"/>
      </w:divBdr>
      <w:divsChild>
        <w:div w:id="1143352350">
          <w:marLeft w:val="0"/>
          <w:marRight w:val="0"/>
          <w:marTop w:val="0"/>
          <w:marBottom w:val="0"/>
          <w:divBdr>
            <w:top w:val="none" w:sz="0" w:space="0" w:color="auto"/>
            <w:left w:val="none" w:sz="0" w:space="0" w:color="auto"/>
            <w:bottom w:val="none" w:sz="0" w:space="0" w:color="auto"/>
            <w:right w:val="none" w:sz="0" w:space="0" w:color="auto"/>
          </w:divBdr>
          <w:divsChild>
            <w:div w:id="1149908767">
              <w:marLeft w:val="0"/>
              <w:marRight w:val="0"/>
              <w:marTop w:val="0"/>
              <w:marBottom w:val="0"/>
              <w:divBdr>
                <w:top w:val="none" w:sz="0" w:space="0" w:color="auto"/>
                <w:left w:val="none" w:sz="0" w:space="0" w:color="auto"/>
                <w:bottom w:val="none" w:sz="0" w:space="0" w:color="auto"/>
                <w:right w:val="none" w:sz="0" w:space="0" w:color="auto"/>
              </w:divBdr>
              <w:divsChild>
                <w:div w:id="981735401">
                  <w:marLeft w:val="0"/>
                  <w:marRight w:val="0"/>
                  <w:marTop w:val="0"/>
                  <w:marBottom w:val="0"/>
                  <w:divBdr>
                    <w:top w:val="none" w:sz="0" w:space="0" w:color="auto"/>
                    <w:left w:val="none" w:sz="0" w:space="0" w:color="auto"/>
                    <w:bottom w:val="none" w:sz="0" w:space="0" w:color="auto"/>
                    <w:right w:val="none" w:sz="0" w:space="0" w:color="auto"/>
                  </w:divBdr>
                  <w:divsChild>
                    <w:div w:id="1848205137">
                      <w:marLeft w:val="0"/>
                      <w:marRight w:val="0"/>
                      <w:marTop w:val="0"/>
                      <w:marBottom w:val="0"/>
                      <w:divBdr>
                        <w:top w:val="none" w:sz="0" w:space="0" w:color="auto"/>
                        <w:left w:val="none" w:sz="0" w:space="0" w:color="auto"/>
                        <w:bottom w:val="none" w:sz="0" w:space="0" w:color="auto"/>
                        <w:right w:val="none" w:sz="0" w:space="0" w:color="auto"/>
                      </w:divBdr>
                      <w:divsChild>
                        <w:div w:id="1017266323">
                          <w:marLeft w:val="0"/>
                          <w:marRight w:val="0"/>
                          <w:marTop w:val="0"/>
                          <w:marBottom w:val="0"/>
                          <w:divBdr>
                            <w:top w:val="none" w:sz="0" w:space="0" w:color="auto"/>
                            <w:left w:val="none" w:sz="0" w:space="0" w:color="auto"/>
                            <w:bottom w:val="none" w:sz="0" w:space="0" w:color="auto"/>
                            <w:right w:val="none" w:sz="0" w:space="0" w:color="auto"/>
                          </w:divBdr>
                          <w:divsChild>
                            <w:div w:id="17678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4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ia.gov/totalenergy/data/annua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ia.gov/uranium/marketing/" TargetMode="External"/><Relationship Id="rId17" Type="http://schemas.openxmlformats.org/officeDocument/2006/relationships/hyperlink" Target="http://www.eia.gov/uranium/marketing/" TargetMode="External"/><Relationship Id="rId2" Type="http://schemas.openxmlformats.org/officeDocument/2006/relationships/numbering" Target="numbering.xml"/><Relationship Id="rId16" Type="http://schemas.openxmlformats.org/officeDocument/2006/relationships/hyperlink" Target="http://www.eia.gov/uranium/production/quarterl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a.gov/uranium/production/quarterly/" TargetMode="External"/><Relationship Id="rId5" Type="http://schemas.openxmlformats.org/officeDocument/2006/relationships/webSettings" Target="webSettings.xml"/><Relationship Id="rId15" Type="http://schemas.openxmlformats.org/officeDocument/2006/relationships/hyperlink" Target="http://www.eia.gov/uranium/production/annual/" TargetMode="External"/><Relationship Id="rId10" Type="http://schemas.openxmlformats.org/officeDocument/2006/relationships/hyperlink" Target="http://www.eia.gov/uranium/production/annua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ia.gov/cneaf/nuclear/page/reserves/ures.html" TargetMode="External"/><Relationship Id="rId14" Type="http://schemas.openxmlformats.org/officeDocument/2006/relationships/hyperlink" Target="http://www.eia.doe.gov/oss/CIPSE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CCE29-8FB1-40F4-821E-01F60560B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6112</Words>
  <Characters>34844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Bonnar</dc:creator>
  <cp:keywords/>
  <dc:description/>
  <cp:lastModifiedBy>Douglas Bonnar</cp:lastModifiedBy>
  <cp:revision>5</cp:revision>
  <cp:lastPrinted>2012-05-04T18:28:00Z</cp:lastPrinted>
  <dcterms:created xsi:type="dcterms:W3CDTF">2012-07-24T14:15:00Z</dcterms:created>
  <dcterms:modified xsi:type="dcterms:W3CDTF">2012-07-24T14:18:00Z</dcterms:modified>
</cp:coreProperties>
</file>