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mallCaps/>
        </w:rPr>
        <w:id w:val="486957396"/>
        <w:docPartObj>
          <w:docPartGallery w:val="Cover Pages"/>
          <w:docPartUnique/>
        </w:docPartObj>
      </w:sdtPr>
      <w:sdtContent>
        <w:p w:rsidR="00D866E7" w:rsidRDefault="00770F7B">
          <w:pPr>
            <w:rPr>
              <w:b/>
            </w:rPr>
          </w:pPr>
          <w:r>
            <w:rPr>
              <w:noProof/>
              <w:lang w:bidi="ar-SA"/>
            </w:rPr>
            <w:drawing>
              <wp:inline distT="0" distB="0" distL="0" distR="0">
                <wp:extent cx="5943600" cy="1214089"/>
                <wp:effectExtent l="19050" t="0" r="0" b="0"/>
                <wp:docPr id="2" name="Picture 1" descr="http://taz/neic/Intranet2007/images/eia_logos/large%20full%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large%20full%20EIA%20logo.jpg"/>
                        <pic:cNvPicPr>
                          <a:picLocks noChangeAspect="1" noChangeArrowheads="1"/>
                        </pic:cNvPicPr>
                      </pic:nvPicPr>
                      <pic:blipFill>
                        <a:blip r:embed="rId11" cstate="print"/>
                        <a:srcRect/>
                        <a:stretch>
                          <a:fillRect/>
                        </a:stretch>
                      </pic:blipFill>
                      <pic:spPr bwMode="auto">
                        <a:xfrm>
                          <a:off x="0" y="0"/>
                          <a:ext cx="5943600" cy="1214089"/>
                        </a:xfrm>
                        <a:prstGeom prst="rect">
                          <a:avLst/>
                        </a:prstGeom>
                        <a:noFill/>
                        <a:ln w="9525">
                          <a:noFill/>
                          <a:miter lim="800000"/>
                          <a:headEnd/>
                          <a:tailEnd/>
                        </a:ln>
                      </pic:spPr>
                    </pic:pic>
                  </a:graphicData>
                </a:graphic>
              </wp:inline>
            </w:drawing>
          </w:r>
          <w:r w:rsidR="003B30FB" w:rsidRPr="003B30FB">
            <w:rPr>
              <w:rFonts w:asciiTheme="majorHAnsi" w:hAnsiTheme="majorHAnsi"/>
              <w:b/>
              <w:noProof/>
              <w:color w:val="4F81BD" w:themeColor="accent1"/>
              <w:sz w:val="48"/>
              <w:szCs w:val="48"/>
              <w:lang w:eastAsia="ja-JP"/>
            </w:rPr>
            <w:pict>
              <v:rect id="_x0000_s1066" style="position:absolute;margin-left:-46.6pt;margin-top:531.45pt;width:555.85pt;height:164.4pt;z-index:251663872;mso-position-horizontal-relative:margin;mso-position-vertical-relative:margin;mso-width-relative:margin;mso-height-relative:margin;v-text-anchor:bottom" o:allowincell="f" filled="f" stroked="f" strokeweight=".25pt">
                <v:textbox style="mso-next-textbox:#_x0000_s1066" inset=",18pt,,18pt">
                  <w:txbxContent>
                    <w:p w:rsidR="006004B2" w:rsidRDefault="006004B2" w:rsidP="007444A0">
                      <w:pPr>
                        <w:pStyle w:val="NoSpacing"/>
                        <w:spacing w:line="276" w:lineRule="auto"/>
                      </w:pPr>
                    </w:p>
                  </w:txbxContent>
                </v:textbox>
                <w10:wrap anchorx="margin" anchory="margin"/>
              </v:rect>
            </w:pict>
          </w:r>
          <w:r w:rsidR="003B30FB" w:rsidRPr="003B30FB">
            <w:rPr>
              <w:rFonts w:asciiTheme="majorHAnsi" w:hAnsiTheme="majorHAnsi"/>
              <w:b/>
              <w:noProof/>
              <w:color w:val="4F81BD" w:themeColor="accent1"/>
              <w:sz w:val="48"/>
              <w:szCs w:val="48"/>
            </w:rPr>
            <w:pict>
              <v:roundrect id="_x0000_s1068" style="position:absolute;margin-left:0;margin-top:0;width:506.8pt;height:670.45pt;z-index:251665920;mso-width-percent:920;mso-height-percent:940;mso-position-horizontal:center;mso-position-horizontal-relative:page;mso-position-vertical:center;mso-position-vertical-relative:page;mso-width-percent:920;mso-height-percent:940" arcsize="2269f" o:allowincell="f" filled="f" fillcolor="black" strokecolor="black [3213]">
                <v:fill color2="#272727" type="pattern"/>
                <w10:wrap anchorx="page" anchory="page"/>
              </v:roundrect>
            </w:pict>
          </w:r>
          <w:r w:rsidR="003B30FB" w:rsidRPr="003B30FB">
            <w:rPr>
              <w:rFonts w:asciiTheme="majorHAnsi" w:hAnsiTheme="majorHAnsi"/>
              <w:b/>
              <w:noProof/>
              <w:color w:val="4F81BD" w:themeColor="accent1"/>
              <w:sz w:val="48"/>
              <w:szCs w:val="48"/>
              <w:lang w:eastAsia="ja-JP"/>
            </w:rPr>
            <w:pict>
              <v:rect id="_x0000_s1067" style="position:absolute;margin-left:0;margin-top:289.85pt;width:575.15pt;height:755.15pt;z-index:251664896;mso-width-percent:917;mso-height-percent:1000;mso-top-percent:250;mso-position-horizontal:center;mso-position-horizontal-relative:page;mso-position-vertical-relative:page;mso-width-percent:917;mso-height-percent:1000;mso-top-percent:250;mso-height-relative:margin" o:allowincell="f" filled="f" stroked="f">
                <v:textbox style="mso-next-textbox:#_x0000_s1067;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tblPr>
                      <w:tblGrid>
                        <w:gridCol w:w="11237"/>
                      </w:tblGrid>
                      <w:tr w:rsidR="007E40E0">
                        <w:trPr>
                          <w:trHeight w:val="144"/>
                          <w:jc w:val="center"/>
                        </w:trPr>
                        <w:tc>
                          <w:tcPr>
                            <w:tcW w:w="0" w:type="auto"/>
                            <w:shd w:val="clear" w:color="auto" w:fill="B8CCE4" w:themeFill="accent1" w:themeFillTint="66"/>
                            <w:tcMar>
                              <w:top w:w="0" w:type="dxa"/>
                              <w:bottom w:w="0" w:type="dxa"/>
                            </w:tcMar>
                            <w:vAlign w:val="center"/>
                          </w:tcPr>
                          <w:p w:rsidR="006004B2" w:rsidRDefault="006004B2">
                            <w:pPr>
                              <w:pStyle w:val="NoSpacing"/>
                              <w:rPr>
                                <w:sz w:val="8"/>
                                <w:szCs w:val="8"/>
                              </w:rPr>
                            </w:pPr>
                          </w:p>
                        </w:tc>
                      </w:tr>
                      <w:tr w:rsidR="007E40E0">
                        <w:trPr>
                          <w:trHeight w:val="1440"/>
                          <w:jc w:val="center"/>
                        </w:trPr>
                        <w:tc>
                          <w:tcPr>
                            <w:tcW w:w="0" w:type="auto"/>
                            <w:shd w:val="clear" w:color="auto" w:fill="4F81BD" w:themeFill="accent1"/>
                            <w:vAlign w:val="center"/>
                          </w:tcPr>
                          <w:p w:rsidR="006004B2" w:rsidRDefault="003B30FB" w:rsidP="00770F7B">
                            <w:pPr>
                              <w:pStyle w:val="Heading1"/>
                              <w:outlineLvl w:val="0"/>
                            </w:pPr>
                            <w:sdt>
                              <w:sdtPr>
                                <w:rPr>
                                  <w:color w:val="auto"/>
                                  <w:sz w:val="40"/>
                                  <w:szCs w:val="40"/>
                                </w:rPr>
                                <w:id w:val="3232653"/>
                                <w:dataBinding w:prefixMappings="xmlns:ns0='http://schemas.openxmlformats.org/package/2006/metadata/core-properties' xmlns:ns1='http://purl.org/dc/elements/1.1/'" w:xpath="/ns0:coreProperties[1]/ns1:title[1]" w:storeItemID="{6C3C8BC8-F283-45AE-878A-BAB7291924A1}"/>
                                <w:text/>
                              </w:sdtPr>
                              <w:sdtContent>
                                <w:r w:rsidR="006004B2" w:rsidRPr="00770F7B">
                                  <w:rPr>
                                    <w:color w:val="auto"/>
                                    <w:sz w:val="40"/>
                                    <w:szCs w:val="40"/>
                                  </w:rPr>
                                  <w:t>Petroleum Marketing Program Supporting Statement</w:t>
                                </w:r>
                              </w:sdtContent>
                            </w:sdt>
                          </w:p>
                        </w:tc>
                      </w:tr>
                      <w:tr w:rsidR="007E40E0">
                        <w:trPr>
                          <w:trHeight w:val="144"/>
                          <w:jc w:val="center"/>
                        </w:trPr>
                        <w:tc>
                          <w:tcPr>
                            <w:tcW w:w="0" w:type="auto"/>
                            <w:shd w:val="clear" w:color="auto" w:fill="4BACC6" w:themeFill="accent5"/>
                            <w:tcMar>
                              <w:top w:w="0" w:type="dxa"/>
                              <w:bottom w:w="0" w:type="dxa"/>
                            </w:tcMar>
                            <w:vAlign w:val="center"/>
                          </w:tcPr>
                          <w:p w:rsidR="006004B2" w:rsidRDefault="006004B2">
                            <w:pPr>
                              <w:pStyle w:val="NoSpacing"/>
                              <w:rPr>
                                <w:sz w:val="8"/>
                                <w:szCs w:val="8"/>
                              </w:rPr>
                            </w:pPr>
                          </w:p>
                        </w:tc>
                      </w:tr>
                      <w:tr w:rsidR="007E40E0">
                        <w:trPr>
                          <w:trHeight w:val="720"/>
                          <w:jc w:val="center"/>
                        </w:trPr>
                        <w:tc>
                          <w:tcPr>
                            <w:tcW w:w="0" w:type="auto"/>
                            <w:vAlign w:val="bottom"/>
                          </w:tcPr>
                          <w:p w:rsidR="006004B2" w:rsidRDefault="003B30FB" w:rsidP="003A052E">
                            <w:pPr>
                              <w:pStyle w:val="NoSpacing"/>
                              <w:suppressOverlap/>
                              <w:jc w:val="center"/>
                              <w:rPr>
                                <w:rFonts w:asciiTheme="majorHAnsi" w:hAnsiTheme="majorHAnsi"/>
                                <w:i/>
                                <w:sz w:val="36"/>
                                <w:szCs w:val="36"/>
                              </w:rPr>
                            </w:pPr>
                            <w:sdt>
                              <w:sdtPr>
                                <w:rPr>
                                  <w:sz w:val="44"/>
                                  <w:szCs w:val="44"/>
                                </w:rPr>
                                <w:id w:val="1652111"/>
                                <w:dataBinding w:prefixMappings="xmlns:ns0='http://schemas.openxmlformats.org/package/2006/metadata/core-properties' xmlns:ns1='http://purl.org/dc/elements/1.1/'" w:xpath="/ns0:coreProperties[1]/ns1:subject[1]" w:storeItemID="{6C3C8BC8-F283-45AE-878A-BAB7291924A1}"/>
                                <w:text/>
                              </w:sdtPr>
                              <w:sdtContent>
                                <w:r w:rsidR="006004B2">
                                  <w:rPr>
                                    <w:sz w:val="44"/>
                                    <w:szCs w:val="44"/>
                                  </w:rPr>
                                  <w:t>EIA’s Supporting Statement for 2013 Petroleum Marketing Surveys: OMB Number 1905-0174</w:t>
                                </w:r>
                              </w:sdtContent>
                            </w:sdt>
                          </w:p>
                        </w:tc>
                      </w:tr>
                    </w:tbl>
                    <w:p w:rsidR="006004B2" w:rsidRDefault="006004B2" w:rsidP="00770F7B"/>
                  </w:txbxContent>
                </v:textbox>
                <w10:wrap anchorx="page" anchory="page"/>
              </v:rect>
            </w:pict>
          </w:r>
          <w:r w:rsidR="007408FB">
            <w:rPr>
              <w:smallCaps/>
            </w:rPr>
            <w:br w:type="page"/>
          </w:r>
        </w:p>
      </w:sdtContent>
    </w:sdt>
    <w:p w:rsidR="004C3882" w:rsidRPr="00E26412" w:rsidRDefault="004C3882" w:rsidP="00ED420A">
      <w:pPr>
        <w:pStyle w:val="Heading7"/>
        <w:rPr>
          <w:rFonts w:asciiTheme="majorHAnsi" w:hAnsiTheme="majorHAnsi"/>
          <w:caps w:val="0"/>
          <w:sz w:val="32"/>
          <w:szCs w:val="32"/>
        </w:rPr>
      </w:pPr>
      <w:r w:rsidRPr="00E26412">
        <w:rPr>
          <w:rFonts w:asciiTheme="majorHAnsi" w:hAnsiTheme="majorHAnsi"/>
          <w:caps w:val="0"/>
          <w:sz w:val="32"/>
          <w:szCs w:val="32"/>
        </w:rPr>
        <w:lastRenderedPageBreak/>
        <w:t>Introduction</w:t>
      </w:r>
    </w:p>
    <w:p w:rsidR="00F62D5D" w:rsidRPr="00ED420A" w:rsidRDefault="00F62D5D" w:rsidP="00EA033A">
      <w:pPr>
        <w:spacing w:line="360" w:lineRule="auto"/>
        <w:rPr>
          <w:rFonts w:cs="Times New Roman"/>
          <w:sz w:val="22"/>
          <w:szCs w:val="22"/>
        </w:rPr>
      </w:pPr>
      <w:r w:rsidRPr="00ED420A">
        <w:rPr>
          <w:rFonts w:cs="Times New Roman"/>
          <w:sz w:val="22"/>
          <w:szCs w:val="22"/>
        </w:rPr>
        <w:t xml:space="preserve">To help accomplish EIA’s overall mission to provide high quality, informative energy data and analyses, the </w:t>
      </w:r>
      <w:r w:rsidR="00C032D2" w:rsidRPr="00ED420A">
        <w:rPr>
          <w:rFonts w:cs="Times New Roman"/>
          <w:sz w:val="22"/>
          <w:szCs w:val="22"/>
        </w:rPr>
        <w:t xml:space="preserve">Office of </w:t>
      </w:r>
      <w:r w:rsidRPr="00ED420A">
        <w:rPr>
          <w:rFonts w:cs="Times New Roman"/>
          <w:sz w:val="22"/>
          <w:szCs w:val="22"/>
        </w:rPr>
        <w:t xml:space="preserve">Petroleum </w:t>
      </w:r>
      <w:r w:rsidR="00C032D2" w:rsidRPr="00ED420A">
        <w:rPr>
          <w:rFonts w:cs="Times New Roman"/>
          <w:sz w:val="22"/>
          <w:szCs w:val="22"/>
        </w:rPr>
        <w:t xml:space="preserve">and Biofuels </w:t>
      </w:r>
      <w:r w:rsidRPr="00ED420A">
        <w:rPr>
          <w:rFonts w:cs="Times New Roman"/>
          <w:sz w:val="22"/>
          <w:szCs w:val="22"/>
        </w:rPr>
        <w:t xml:space="preserve">will </w:t>
      </w:r>
      <w:r w:rsidR="00C032D2" w:rsidRPr="00ED420A">
        <w:rPr>
          <w:rFonts w:cs="Times New Roman"/>
          <w:sz w:val="22"/>
          <w:szCs w:val="22"/>
        </w:rPr>
        <w:t>employ</w:t>
      </w:r>
      <w:r w:rsidRPr="00ED420A">
        <w:rPr>
          <w:rFonts w:cs="Times New Roman"/>
          <w:sz w:val="22"/>
          <w:szCs w:val="22"/>
        </w:rPr>
        <w:t xml:space="preserve"> ten statistical surveys to gather relevant, </w:t>
      </w:r>
      <w:r w:rsidR="00C032D2" w:rsidRPr="00ED420A">
        <w:rPr>
          <w:rFonts w:cs="Times New Roman"/>
          <w:sz w:val="22"/>
          <w:szCs w:val="22"/>
        </w:rPr>
        <w:t xml:space="preserve">accurate and timely </w:t>
      </w:r>
      <w:r w:rsidRPr="00ED420A">
        <w:rPr>
          <w:rFonts w:cs="Times New Roman"/>
          <w:sz w:val="22"/>
          <w:szCs w:val="22"/>
        </w:rPr>
        <w:t xml:space="preserve">information from a variety of business establishments that participate in the production and distribution of crude oil and various refined petroleum products in the United States and its Territories.   Within this context, the standard practices </w:t>
      </w:r>
      <w:r w:rsidR="0034791C">
        <w:rPr>
          <w:rFonts w:cs="Times New Roman"/>
          <w:sz w:val="22"/>
          <w:szCs w:val="22"/>
        </w:rPr>
        <w:t xml:space="preserve">applicable and relevant </w:t>
      </w:r>
      <w:r w:rsidRPr="00ED420A">
        <w:rPr>
          <w:rFonts w:cs="Times New Roman"/>
          <w:sz w:val="22"/>
          <w:szCs w:val="22"/>
        </w:rPr>
        <w:t xml:space="preserve">to the design and operation of these statistical surveys are indentified below: </w:t>
      </w:r>
    </w:p>
    <w:p w:rsidR="009520A7" w:rsidRPr="00ED420A" w:rsidRDefault="009520A7" w:rsidP="00EA033A">
      <w:pPr>
        <w:numPr>
          <w:ilvl w:val="0"/>
          <w:numId w:val="10"/>
        </w:numPr>
        <w:spacing w:before="0" w:after="0" w:line="360" w:lineRule="auto"/>
        <w:rPr>
          <w:rFonts w:cs="Times New Roman"/>
          <w:sz w:val="22"/>
          <w:szCs w:val="22"/>
        </w:rPr>
      </w:pPr>
      <w:r w:rsidRPr="00ED420A">
        <w:rPr>
          <w:rFonts w:eastAsia="Times New Roman" w:cs="Times New Roman"/>
          <w:i/>
          <w:sz w:val="22"/>
          <w:szCs w:val="22"/>
        </w:rPr>
        <w:t>Section 1: Frame and Target Population.</w:t>
      </w:r>
      <w:r w:rsidRPr="00ED420A">
        <w:rPr>
          <w:rFonts w:eastAsia="Times New Roman" w:cs="Times New Roman"/>
          <w:sz w:val="22"/>
          <w:szCs w:val="22"/>
        </w:rPr>
        <w:t xml:space="preserve">  Reporting thresholds can be used to determine a survey frame and thereby exclude smaller companies from reporting. Exclusions result in a frame that does not completely cover the target population of companies of all sizes. </w:t>
      </w:r>
      <w:r w:rsidRPr="00ED420A">
        <w:rPr>
          <w:rFonts w:cs="Times New Roman"/>
          <w:sz w:val="22"/>
          <w:szCs w:val="22"/>
        </w:rPr>
        <w:t xml:space="preserve">While many of the frames are stable and have small populations, other surveys have large frames which are very dynamic over time. </w:t>
      </w:r>
    </w:p>
    <w:p w:rsidR="004C3882" w:rsidRPr="00ED420A" w:rsidRDefault="009520A7" w:rsidP="00EA033A">
      <w:pPr>
        <w:numPr>
          <w:ilvl w:val="0"/>
          <w:numId w:val="10"/>
        </w:numPr>
        <w:spacing w:before="0" w:after="0" w:line="360" w:lineRule="auto"/>
        <w:rPr>
          <w:rFonts w:cs="Times New Roman"/>
          <w:sz w:val="22"/>
          <w:szCs w:val="22"/>
        </w:rPr>
      </w:pPr>
      <w:r w:rsidRPr="00ED420A">
        <w:rPr>
          <w:rFonts w:eastAsia="Times New Roman" w:cs="Times New Roman"/>
          <w:i/>
          <w:sz w:val="22"/>
          <w:szCs w:val="22"/>
        </w:rPr>
        <w:t xml:space="preserve">Section 2: </w:t>
      </w:r>
      <w:r w:rsidR="004C3882" w:rsidRPr="00ED420A">
        <w:rPr>
          <w:rFonts w:eastAsia="Times New Roman" w:cs="Times New Roman"/>
          <w:i/>
          <w:sz w:val="22"/>
          <w:szCs w:val="22"/>
        </w:rPr>
        <w:t>Sampling</w:t>
      </w:r>
      <w:r w:rsidR="00901EB0" w:rsidRPr="00ED420A">
        <w:rPr>
          <w:rFonts w:cs="Times New Roman"/>
          <w:i/>
          <w:sz w:val="22"/>
          <w:szCs w:val="22"/>
        </w:rPr>
        <w:t xml:space="preserve"> </w:t>
      </w:r>
      <w:r w:rsidRPr="00ED420A">
        <w:rPr>
          <w:rFonts w:cs="Times New Roman"/>
          <w:i/>
          <w:sz w:val="22"/>
          <w:szCs w:val="22"/>
        </w:rPr>
        <w:t xml:space="preserve">Methodology </w:t>
      </w:r>
      <w:r w:rsidR="00901EB0" w:rsidRPr="00ED420A">
        <w:rPr>
          <w:rFonts w:cs="Times New Roman"/>
          <w:i/>
          <w:sz w:val="22"/>
          <w:szCs w:val="22"/>
        </w:rPr>
        <w:t>and Estimation</w:t>
      </w:r>
      <w:r w:rsidRPr="00ED420A">
        <w:rPr>
          <w:rFonts w:cs="Times New Roman"/>
          <w:i/>
          <w:sz w:val="22"/>
          <w:szCs w:val="22"/>
        </w:rPr>
        <w:t xml:space="preserve"> Procedures</w:t>
      </w:r>
      <w:r w:rsidR="004C3882" w:rsidRPr="00ED420A">
        <w:rPr>
          <w:rFonts w:eastAsia="Times New Roman" w:cs="Times New Roman"/>
          <w:i/>
          <w:sz w:val="22"/>
          <w:szCs w:val="22"/>
        </w:rPr>
        <w:t>.</w:t>
      </w:r>
      <w:r w:rsidR="004C3882" w:rsidRPr="00ED420A">
        <w:rPr>
          <w:rFonts w:eastAsia="Times New Roman" w:cs="Times New Roman"/>
          <w:sz w:val="22"/>
          <w:szCs w:val="22"/>
        </w:rPr>
        <w:t xml:space="preserve">  A data collection may be based on a sample of the population rather than on a complete enumeration.  Variation occurs by chance because a particular sample is surveyed.  This variation decreases with increased sample size.  A preferred sample size is determined in order to keep key statistics under a specified threshold of sampling error, but sometimes the actual sample size is solely determined by cost.</w:t>
      </w:r>
      <w:r w:rsidR="006D2908" w:rsidRPr="00ED420A">
        <w:rPr>
          <w:rFonts w:cs="Times New Roman"/>
          <w:sz w:val="22"/>
          <w:szCs w:val="22"/>
        </w:rPr>
        <w:t xml:space="preserve"> </w:t>
      </w:r>
      <w:r w:rsidR="00901EB0" w:rsidRPr="00ED420A">
        <w:rPr>
          <w:rFonts w:cs="Times New Roman"/>
          <w:sz w:val="22"/>
          <w:szCs w:val="22"/>
        </w:rPr>
        <w:t>T</w:t>
      </w:r>
      <w:r w:rsidR="00901EB0" w:rsidRPr="00ED420A">
        <w:rPr>
          <w:rFonts w:eastAsia="Times New Roman" w:cs="Times New Roman"/>
          <w:sz w:val="22"/>
          <w:szCs w:val="22"/>
        </w:rPr>
        <w:t xml:space="preserve">he estimation methodology </w:t>
      </w:r>
      <w:r w:rsidR="00901EB0" w:rsidRPr="00ED420A">
        <w:rPr>
          <w:rFonts w:cs="Times New Roman"/>
          <w:sz w:val="22"/>
          <w:szCs w:val="22"/>
        </w:rPr>
        <w:t xml:space="preserve">and variance </w:t>
      </w:r>
      <w:r w:rsidR="008323DA" w:rsidRPr="00ED420A">
        <w:rPr>
          <w:rFonts w:cs="Times New Roman"/>
          <w:sz w:val="22"/>
          <w:szCs w:val="22"/>
        </w:rPr>
        <w:t xml:space="preserve">of the population </w:t>
      </w:r>
      <w:r w:rsidR="00901EB0" w:rsidRPr="00ED420A">
        <w:rPr>
          <w:rFonts w:cs="Times New Roman"/>
          <w:sz w:val="22"/>
          <w:szCs w:val="22"/>
        </w:rPr>
        <w:t>also impact reliability of published data</w:t>
      </w:r>
      <w:r w:rsidR="00901EB0" w:rsidRPr="00ED420A">
        <w:rPr>
          <w:rFonts w:eastAsia="Times New Roman" w:cs="Times New Roman"/>
          <w:sz w:val="22"/>
          <w:szCs w:val="22"/>
        </w:rPr>
        <w:t>.</w:t>
      </w:r>
    </w:p>
    <w:p w:rsidR="00DE4310" w:rsidRPr="00ED420A" w:rsidRDefault="009520A7" w:rsidP="00EA033A">
      <w:pPr>
        <w:numPr>
          <w:ilvl w:val="0"/>
          <w:numId w:val="12"/>
        </w:numPr>
        <w:spacing w:before="0" w:after="0" w:line="360" w:lineRule="auto"/>
        <w:rPr>
          <w:rFonts w:cs="Times New Roman"/>
          <w:sz w:val="22"/>
          <w:szCs w:val="22"/>
        </w:rPr>
      </w:pPr>
      <w:r w:rsidRPr="00ED420A">
        <w:rPr>
          <w:rFonts w:eastAsia="Times New Roman" w:cs="Times New Roman"/>
          <w:i/>
          <w:sz w:val="22"/>
          <w:szCs w:val="22"/>
        </w:rPr>
        <w:t>Section 3: Maximizing Response Rate</w:t>
      </w:r>
      <w:r w:rsidR="004C3882" w:rsidRPr="00ED420A">
        <w:rPr>
          <w:rFonts w:eastAsia="Times New Roman" w:cs="Times New Roman"/>
          <w:i/>
          <w:sz w:val="22"/>
          <w:szCs w:val="22"/>
        </w:rPr>
        <w:t>.</w:t>
      </w:r>
      <w:r w:rsidR="004C3882" w:rsidRPr="00ED420A">
        <w:rPr>
          <w:rFonts w:eastAsia="Times New Roman" w:cs="Times New Roman"/>
          <w:sz w:val="22"/>
          <w:szCs w:val="22"/>
        </w:rPr>
        <w:t xml:space="preserve"> All the units that are surveyed may not respond (unit non-response) or may not provide all the information requested (item non-response).</w:t>
      </w:r>
      <w:r w:rsidR="00901EB0" w:rsidRPr="00ED420A">
        <w:rPr>
          <w:rFonts w:cs="Times New Roman"/>
          <w:sz w:val="22"/>
          <w:szCs w:val="22"/>
        </w:rPr>
        <w:t xml:space="preserve"> The strategy to minimize nonresponse is </w:t>
      </w:r>
      <w:r w:rsidR="003A052E" w:rsidRPr="00ED420A">
        <w:rPr>
          <w:rFonts w:cs="Times New Roman"/>
          <w:sz w:val="22"/>
          <w:szCs w:val="22"/>
        </w:rPr>
        <w:t>discussed</w:t>
      </w:r>
      <w:r w:rsidR="00901EB0" w:rsidRPr="00ED420A">
        <w:rPr>
          <w:rFonts w:cs="Times New Roman"/>
          <w:sz w:val="22"/>
          <w:szCs w:val="22"/>
        </w:rPr>
        <w:t xml:space="preserve"> in Section 3</w:t>
      </w:r>
      <w:r w:rsidRPr="00ED420A">
        <w:rPr>
          <w:rFonts w:cs="Times New Roman"/>
          <w:sz w:val="22"/>
          <w:szCs w:val="22"/>
        </w:rPr>
        <w:t>.</w:t>
      </w:r>
    </w:p>
    <w:p w:rsidR="00DE4310" w:rsidRPr="00ED420A" w:rsidRDefault="00F711A9" w:rsidP="00EA033A">
      <w:pPr>
        <w:numPr>
          <w:ilvl w:val="0"/>
          <w:numId w:val="11"/>
        </w:numPr>
        <w:spacing w:before="0" w:after="0" w:line="360" w:lineRule="auto"/>
        <w:rPr>
          <w:rFonts w:cs="Times New Roman"/>
          <w:sz w:val="22"/>
          <w:szCs w:val="22"/>
        </w:rPr>
      </w:pPr>
      <w:r w:rsidRPr="00ED420A">
        <w:rPr>
          <w:rFonts w:cs="Times New Roman"/>
          <w:i/>
          <w:sz w:val="22"/>
          <w:szCs w:val="22"/>
        </w:rPr>
        <w:t xml:space="preserve">Section 4:  </w:t>
      </w:r>
      <w:r w:rsidR="00F62D5D" w:rsidRPr="00ED420A">
        <w:rPr>
          <w:rFonts w:cs="Times New Roman"/>
          <w:i/>
          <w:sz w:val="22"/>
          <w:szCs w:val="22"/>
        </w:rPr>
        <w:t>Tests</w:t>
      </w:r>
      <w:r w:rsidRPr="00ED420A">
        <w:rPr>
          <w:rFonts w:cs="Times New Roman"/>
          <w:i/>
          <w:sz w:val="22"/>
          <w:szCs w:val="22"/>
        </w:rPr>
        <w:t xml:space="preserve"> of Procedures</w:t>
      </w:r>
      <w:r w:rsidR="00DE4310" w:rsidRPr="00ED420A">
        <w:rPr>
          <w:rFonts w:cs="Times New Roman"/>
          <w:i/>
          <w:sz w:val="22"/>
          <w:szCs w:val="22"/>
        </w:rPr>
        <w:t>.</w:t>
      </w:r>
      <w:r w:rsidR="00D35808" w:rsidRPr="00ED420A">
        <w:rPr>
          <w:rFonts w:cs="Times New Roman"/>
          <w:sz w:val="22"/>
          <w:szCs w:val="22"/>
        </w:rPr>
        <w:t xml:space="preserve"> </w:t>
      </w:r>
      <w:r w:rsidR="003A052E" w:rsidRPr="00ED420A">
        <w:rPr>
          <w:rFonts w:cs="Times New Roman"/>
          <w:sz w:val="22"/>
          <w:szCs w:val="22"/>
        </w:rPr>
        <w:t xml:space="preserve">Numerous test procedures and evaluations were conducted to enhance the information quality of the disseminated data and to minimize any potential for measurement error. </w:t>
      </w:r>
    </w:p>
    <w:p w:rsidR="006D2908" w:rsidRPr="00ED420A" w:rsidRDefault="009520A7" w:rsidP="00EA033A">
      <w:pPr>
        <w:numPr>
          <w:ilvl w:val="0"/>
          <w:numId w:val="11"/>
        </w:numPr>
        <w:spacing w:before="0" w:after="0" w:line="360" w:lineRule="auto"/>
        <w:rPr>
          <w:rFonts w:cs="Times New Roman"/>
          <w:sz w:val="22"/>
          <w:szCs w:val="22"/>
        </w:rPr>
      </w:pPr>
      <w:r w:rsidRPr="00ED420A">
        <w:rPr>
          <w:rFonts w:cs="Times New Roman"/>
          <w:i/>
          <w:sz w:val="22"/>
          <w:szCs w:val="22"/>
        </w:rPr>
        <w:t xml:space="preserve">Section </w:t>
      </w:r>
      <w:r w:rsidR="00DE4310" w:rsidRPr="00ED420A">
        <w:rPr>
          <w:rFonts w:cs="Times New Roman"/>
          <w:i/>
          <w:sz w:val="22"/>
          <w:szCs w:val="22"/>
        </w:rPr>
        <w:t>5</w:t>
      </w:r>
      <w:r w:rsidRPr="00ED420A">
        <w:rPr>
          <w:rFonts w:cs="Times New Roman"/>
          <w:sz w:val="22"/>
          <w:szCs w:val="22"/>
        </w:rPr>
        <w:t>: Statistical Consultation.</w:t>
      </w:r>
      <w:r w:rsidR="006D2908" w:rsidRPr="00ED420A">
        <w:rPr>
          <w:rFonts w:cs="Times New Roman"/>
          <w:sz w:val="22"/>
          <w:szCs w:val="22"/>
        </w:rPr>
        <w:t xml:space="preserve"> </w:t>
      </w:r>
      <w:r w:rsidR="00901EB0" w:rsidRPr="00ED420A">
        <w:rPr>
          <w:rFonts w:cs="Times New Roman"/>
          <w:sz w:val="22"/>
          <w:szCs w:val="22"/>
        </w:rPr>
        <w:t>An internal p</w:t>
      </w:r>
      <w:r w:rsidR="006D2908" w:rsidRPr="00ED420A">
        <w:rPr>
          <w:rFonts w:cs="Times New Roman"/>
          <w:sz w:val="22"/>
          <w:szCs w:val="22"/>
        </w:rPr>
        <w:t xml:space="preserve">eer review and </w:t>
      </w:r>
      <w:r w:rsidR="00901EB0" w:rsidRPr="00ED420A">
        <w:rPr>
          <w:rFonts w:cs="Times New Roman"/>
          <w:sz w:val="22"/>
          <w:szCs w:val="22"/>
        </w:rPr>
        <w:t xml:space="preserve">cognitive </w:t>
      </w:r>
      <w:r w:rsidR="006D2908" w:rsidRPr="00ED420A">
        <w:rPr>
          <w:rFonts w:cs="Times New Roman"/>
          <w:sz w:val="22"/>
          <w:szCs w:val="22"/>
        </w:rPr>
        <w:t xml:space="preserve">testing </w:t>
      </w:r>
      <w:r w:rsidR="00901EB0" w:rsidRPr="00ED420A">
        <w:rPr>
          <w:rFonts w:cs="Times New Roman"/>
          <w:sz w:val="22"/>
          <w:szCs w:val="22"/>
        </w:rPr>
        <w:t>yield</w:t>
      </w:r>
      <w:r w:rsidR="008323DA" w:rsidRPr="00ED420A">
        <w:rPr>
          <w:rFonts w:cs="Times New Roman"/>
          <w:sz w:val="22"/>
          <w:szCs w:val="22"/>
        </w:rPr>
        <w:t>ed</w:t>
      </w:r>
      <w:r w:rsidR="00901EB0" w:rsidRPr="00ED420A">
        <w:rPr>
          <w:rFonts w:cs="Times New Roman"/>
          <w:sz w:val="22"/>
          <w:szCs w:val="22"/>
        </w:rPr>
        <w:t xml:space="preserve"> r</w:t>
      </w:r>
      <w:r w:rsidR="006D2908" w:rsidRPr="00ED420A">
        <w:rPr>
          <w:rFonts w:cs="Times New Roman"/>
          <w:sz w:val="22"/>
          <w:szCs w:val="22"/>
        </w:rPr>
        <w:t>e</w:t>
      </w:r>
      <w:r w:rsidR="00901EB0" w:rsidRPr="00ED420A">
        <w:rPr>
          <w:rFonts w:cs="Times New Roman"/>
          <w:sz w:val="22"/>
          <w:szCs w:val="22"/>
        </w:rPr>
        <w:t>visions to</w:t>
      </w:r>
      <w:r w:rsidR="006D2908" w:rsidRPr="00ED420A">
        <w:rPr>
          <w:rFonts w:cs="Times New Roman"/>
          <w:sz w:val="22"/>
          <w:szCs w:val="22"/>
        </w:rPr>
        <w:t xml:space="preserve"> survey forms and instructions. The purpose of these initiatives was to ensure consist</w:t>
      </w:r>
      <w:r w:rsidR="006871FC" w:rsidRPr="00ED420A">
        <w:rPr>
          <w:rFonts w:cs="Times New Roman"/>
          <w:sz w:val="22"/>
          <w:szCs w:val="22"/>
        </w:rPr>
        <w:t>ency</w:t>
      </w:r>
      <w:r w:rsidR="006D2908" w:rsidRPr="00ED420A">
        <w:rPr>
          <w:rFonts w:cs="Times New Roman"/>
          <w:sz w:val="22"/>
          <w:szCs w:val="22"/>
        </w:rPr>
        <w:t xml:space="preserve"> across forms, especially with regard to data collected regarding petroleum products.  Testing of the revised survey forms and instructions with r</w:t>
      </w:r>
      <w:r w:rsidR="006D2908" w:rsidRPr="00ED420A">
        <w:rPr>
          <w:rFonts w:eastAsia="Times New Roman" w:cs="Times New Roman"/>
          <w:sz w:val="22"/>
          <w:szCs w:val="22"/>
        </w:rPr>
        <w:t xml:space="preserve">espondents </w:t>
      </w:r>
      <w:r w:rsidR="006D2908" w:rsidRPr="00ED420A">
        <w:rPr>
          <w:rFonts w:cs="Times New Roman"/>
          <w:sz w:val="22"/>
          <w:szCs w:val="22"/>
        </w:rPr>
        <w:t xml:space="preserve">provided feedback </w:t>
      </w:r>
      <w:r w:rsidR="00901EB0" w:rsidRPr="00ED420A">
        <w:rPr>
          <w:rFonts w:cs="Times New Roman"/>
          <w:sz w:val="22"/>
          <w:szCs w:val="22"/>
        </w:rPr>
        <w:t>used</w:t>
      </w:r>
      <w:r w:rsidR="006D2908" w:rsidRPr="00ED420A">
        <w:rPr>
          <w:rFonts w:cs="Times New Roman"/>
          <w:sz w:val="22"/>
          <w:szCs w:val="22"/>
        </w:rPr>
        <w:t xml:space="preserve"> to redesign the forms and instructions</w:t>
      </w:r>
      <w:r w:rsidR="00901EB0" w:rsidRPr="00ED420A">
        <w:rPr>
          <w:rFonts w:cs="Times New Roman"/>
          <w:sz w:val="22"/>
          <w:szCs w:val="22"/>
        </w:rPr>
        <w:t xml:space="preserve">.  These revisions seek to </w:t>
      </w:r>
      <w:r w:rsidR="006D2908" w:rsidRPr="00ED420A">
        <w:rPr>
          <w:rFonts w:cs="Times New Roman"/>
          <w:sz w:val="22"/>
          <w:szCs w:val="22"/>
        </w:rPr>
        <w:t>ensur</w:t>
      </w:r>
      <w:r w:rsidR="00901EB0" w:rsidRPr="00ED420A">
        <w:rPr>
          <w:rFonts w:cs="Times New Roman"/>
          <w:sz w:val="22"/>
          <w:szCs w:val="22"/>
        </w:rPr>
        <w:t>e</w:t>
      </w:r>
      <w:r w:rsidR="006D2908" w:rsidRPr="00ED420A">
        <w:rPr>
          <w:rFonts w:cs="Times New Roman"/>
          <w:sz w:val="22"/>
          <w:szCs w:val="22"/>
        </w:rPr>
        <w:t xml:space="preserve"> consistency of the data co</w:t>
      </w:r>
      <w:r w:rsidRPr="00ED420A">
        <w:rPr>
          <w:rFonts w:cs="Times New Roman"/>
          <w:sz w:val="22"/>
          <w:szCs w:val="22"/>
        </w:rPr>
        <w:t>llected from respondents.</w:t>
      </w:r>
    </w:p>
    <w:p w:rsidR="00FE0800" w:rsidRDefault="009520A7" w:rsidP="00EA033A">
      <w:pPr>
        <w:spacing w:line="360" w:lineRule="auto"/>
        <w:rPr>
          <w:rFonts w:cs="Times New Roman"/>
          <w:sz w:val="22"/>
          <w:szCs w:val="22"/>
        </w:rPr>
      </w:pPr>
      <w:r w:rsidRPr="00ED420A">
        <w:rPr>
          <w:rFonts w:cs="Times New Roman"/>
          <w:sz w:val="22"/>
          <w:szCs w:val="22"/>
        </w:rPr>
        <w:t>Numerous staff, contractors, respondents, and data users</w:t>
      </w:r>
      <w:r w:rsidR="00F6703B" w:rsidRPr="00ED420A">
        <w:rPr>
          <w:rFonts w:cs="Times New Roman"/>
          <w:sz w:val="22"/>
          <w:szCs w:val="22"/>
        </w:rPr>
        <w:t xml:space="preserve"> </w:t>
      </w:r>
      <w:r w:rsidRPr="00ED420A">
        <w:rPr>
          <w:rFonts w:cs="Times New Roman"/>
          <w:sz w:val="22"/>
          <w:szCs w:val="22"/>
        </w:rPr>
        <w:t xml:space="preserve">were </w:t>
      </w:r>
      <w:r w:rsidR="00901EB0" w:rsidRPr="00ED420A">
        <w:rPr>
          <w:rFonts w:cs="Times New Roman"/>
          <w:sz w:val="22"/>
          <w:szCs w:val="22"/>
        </w:rPr>
        <w:t>in</w:t>
      </w:r>
      <w:r w:rsidR="00FE0800" w:rsidRPr="00ED420A">
        <w:rPr>
          <w:rFonts w:cs="Times New Roman"/>
          <w:sz w:val="22"/>
          <w:szCs w:val="22"/>
        </w:rPr>
        <w:t xml:space="preserve">volved </w:t>
      </w:r>
      <w:r w:rsidRPr="00ED420A">
        <w:rPr>
          <w:rFonts w:cs="Times New Roman"/>
          <w:sz w:val="22"/>
          <w:szCs w:val="22"/>
        </w:rPr>
        <w:t xml:space="preserve">in </w:t>
      </w:r>
      <w:r w:rsidR="008323DA" w:rsidRPr="00ED420A">
        <w:rPr>
          <w:rFonts w:cs="Times New Roman"/>
          <w:sz w:val="22"/>
          <w:szCs w:val="22"/>
        </w:rPr>
        <w:t xml:space="preserve">the </w:t>
      </w:r>
      <w:r w:rsidRPr="00ED420A">
        <w:rPr>
          <w:rFonts w:cs="Times New Roman"/>
          <w:sz w:val="22"/>
          <w:szCs w:val="22"/>
        </w:rPr>
        <w:t>redesign of the Petroleum Marketing Program.  This included consultation with both internal and external data users</w:t>
      </w:r>
      <w:r w:rsidR="00424AF9" w:rsidRPr="00ED420A">
        <w:rPr>
          <w:rFonts w:cs="Times New Roman"/>
          <w:sz w:val="22"/>
          <w:szCs w:val="22"/>
        </w:rPr>
        <w:t xml:space="preserve"> as indicated</w:t>
      </w:r>
      <w:r w:rsidR="00A60CFC" w:rsidRPr="00ED420A">
        <w:rPr>
          <w:rFonts w:cs="Times New Roman"/>
          <w:sz w:val="22"/>
          <w:szCs w:val="22"/>
        </w:rPr>
        <w:t xml:space="preserve"> in Appendix </w:t>
      </w:r>
      <w:r w:rsidR="00014DC3">
        <w:rPr>
          <w:rFonts w:cs="Times New Roman"/>
          <w:sz w:val="22"/>
          <w:szCs w:val="22"/>
        </w:rPr>
        <w:t>L</w:t>
      </w:r>
      <w:r w:rsidR="00F6703B" w:rsidRPr="00ED420A">
        <w:rPr>
          <w:rFonts w:cs="Times New Roman"/>
          <w:sz w:val="22"/>
          <w:szCs w:val="22"/>
        </w:rPr>
        <w:t>.</w:t>
      </w:r>
      <w:r w:rsidR="00A60CFC" w:rsidRPr="00ED420A">
        <w:rPr>
          <w:rFonts w:cs="Times New Roman"/>
          <w:sz w:val="22"/>
          <w:szCs w:val="22"/>
        </w:rPr>
        <w:t xml:space="preserve"> </w:t>
      </w:r>
    </w:p>
    <w:p w:rsidR="007E40E0" w:rsidRPr="00ED420A" w:rsidRDefault="007E40E0" w:rsidP="00EA033A">
      <w:pPr>
        <w:spacing w:line="360" w:lineRule="auto"/>
        <w:rPr>
          <w:rFonts w:cs="Times New Roman"/>
          <w:color w:val="FF0000"/>
          <w:sz w:val="22"/>
          <w:szCs w:val="22"/>
        </w:rPr>
      </w:pPr>
      <w:r>
        <w:rPr>
          <w:rFonts w:cs="Times New Roman"/>
          <w:sz w:val="22"/>
          <w:szCs w:val="22"/>
        </w:rPr>
        <w:t xml:space="preserve">Additional information regarding survey and statistical methods is available in Technical Notes </w:t>
      </w:r>
      <w:r>
        <w:rPr>
          <w:rFonts w:ascii="Verdana" w:hAnsi="Verdana"/>
          <w:sz w:val="18"/>
          <w:szCs w:val="18"/>
        </w:rPr>
        <w:t>(</w:t>
      </w:r>
      <w:hyperlink r:id="rId12" w:tgtFrame="_top" w:history="1">
        <w:r>
          <w:rPr>
            <w:rStyle w:val="Hyperlink"/>
            <w:rFonts w:ascii="Verdana" w:hAnsi="Verdana"/>
            <w:sz w:val="18"/>
            <w:szCs w:val="18"/>
          </w:rPr>
          <w:t>PDF</w:t>
        </w:r>
      </w:hyperlink>
      <w:r>
        <w:rPr>
          <w:rFonts w:ascii="Verdana" w:hAnsi="Verdana"/>
          <w:sz w:val="18"/>
          <w:szCs w:val="18"/>
        </w:rPr>
        <w:t xml:space="preserve">) </w:t>
      </w:r>
      <w:r>
        <w:rPr>
          <w:rFonts w:cs="Times New Roman"/>
          <w:sz w:val="22"/>
          <w:szCs w:val="22"/>
        </w:rPr>
        <w:t xml:space="preserve">of the Petroleum Marketing Monthly. </w:t>
      </w:r>
    </w:p>
    <w:p w:rsidR="00E26412" w:rsidRDefault="00676A5E" w:rsidP="00E26412">
      <w:pPr>
        <w:pStyle w:val="Heading7"/>
        <w:rPr>
          <w:rFonts w:asciiTheme="majorHAnsi" w:hAnsiTheme="majorHAnsi"/>
          <w:caps w:val="0"/>
          <w:sz w:val="28"/>
          <w:szCs w:val="28"/>
        </w:rPr>
      </w:pPr>
      <w:r w:rsidRPr="00ED420A">
        <w:rPr>
          <w:rFonts w:asciiTheme="majorHAnsi" w:hAnsiTheme="majorHAnsi"/>
          <w:sz w:val="28"/>
          <w:szCs w:val="28"/>
        </w:rPr>
        <w:t>1.</w:t>
      </w:r>
      <w:r w:rsidRPr="00ED420A">
        <w:rPr>
          <w:rFonts w:asciiTheme="majorHAnsi" w:hAnsiTheme="majorHAnsi"/>
          <w:sz w:val="28"/>
          <w:szCs w:val="28"/>
        </w:rPr>
        <w:tab/>
      </w:r>
      <w:r w:rsidRPr="00ED420A">
        <w:rPr>
          <w:rFonts w:asciiTheme="majorHAnsi" w:hAnsiTheme="majorHAnsi"/>
          <w:caps w:val="0"/>
          <w:sz w:val="28"/>
          <w:szCs w:val="28"/>
        </w:rPr>
        <w:t>Frame and Target Population</w:t>
      </w:r>
    </w:p>
    <w:p w:rsidR="00EA033A" w:rsidRDefault="00EA033A" w:rsidP="00ED420A">
      <w:pPr>
        <w:pStyle w:val="TEXT"/>
      </w:pPr>
    </w:p>
    <w:p w:rsidR="00854322" w:rsidRPr="00EA033A" w:rsidRDefault="00B66304" w:rsidP="00EA033A">
      <w:pPr>
        <w:pStyle w:val="TEXT"/>
        <w:rPr>
          <w:color w:val="000000"/>
        </w:rPr>
      </w:pPr>
      <w:r w:rsidRPr="00EA033A">
        <w:t>The Petroleum Marketing Program collects data from two types of entities in general.  In terms of the market chain, the data system begins by collecting data from firms</w:t>
      </w:r>
      <w:r w:rsidR="00A60CFC" w:rsidRPr="00EA033A">
        <w:t xml:space="preserve">, generally </w:t>
      </w:r>
      <w:r w:rsidRPr="00EA033A">
        <w:t>parent companies that have complex structures with multiple offices, locat</w:t>
      </w:r>
      <w:r w:rsidR="0034791C">
        <w:t>ions, subsidiaries, etc</w:t>
      </w:r>
      <w:r w:rsidRPr="00EA033A">
        <w:t>. The target population for the surveys is the firms</w:t>
      </w:r>
      <w:r w:rsidR="00613525" w:rsidRPr="00EA033A">
        <w:t>, which are defined</w:t>
      </w:r>
      <w:r w:rsidRPr="00EA033A">
        <w:t xml:space="preserve"> in terms</w:t>
      </w:r>
      <w:r w:rsidR="00613525" w:rsidRPr="00EA033A">
        <w:t xml:space="preserve"> of their oil market activities. This includes firms which</w:t>
      </w:r>
      <w:r w:rsidRPr="00EA033A">
        <w:t xml:space="preserve"> purchas</w:t>
      </w:r>
      <w:r w:rsidR="00613525" w:rsidRPr="00EA033A">
        <w:t>e</w:t>
      </w:r>
      <w:r w:rsidRPr="00EA033A">
        <w:t xml:space="preserve"> domestic or foreign crude oil (EIA-182, EIA-856); </w:t>
      </w:r>
      <w:r w:rsidR="00613525" w:rsidRPr="00EA033A">
        <w:t xml:space="preserve">firms which </w:t>
      </w:r>
      <w:r w:rsidRPr="00EA033A">
        <w:t>refin</w:t>
      </w:r>
      <w:r w:rsidR="00613525" w:rsidRPr="00EA033A">
        <w:t>e</w:t>
      </w:r>
      <w:r w:rsidRPr="00EA033A">
        <w:t xml:space="preserve"> crude oil into finished petroleum products (EIA-14); </w:t>
      </w:r>
      <w:r w:rsidR="00613525" w:rsidRPr="00EA033A">
        <w:t>and firms which</w:t>
      </w:r>
      <w:r w:rsidRPr="00EA033A">
        <w:t xml:space="preserve"> supply</w:t>
      </w:r>
      <w:r w:rsidR="00613525" w:rsidRPr="00EA033A">
        <w:t xml:space="preserve"> and/or</w:t>
      </w:r>
      <w:r w:rsidRPr="00EA033A">
        <w:t xml:space="preserve"> sell finished </w:t>
      </w:r>
      <w:r w:rsidR="00613525" w:rsidRPr="00EA033A">
        <w:t xml:space="preserve">petroleum </w:t>
      </w:r>
      <w:r w:rsidRPr="00EA033A">
        <w:t>products to customers (EIA-782A</w:t>
      </w:r>
      <w:r w:rsidR="007444A0" w:rsidRPr="00EA033A">
        <w:t>; EIA-782</w:t>
      </w:r>
      <w:r w:rsidRPr="00EA033A">
        <w:t xml:space="preserve">C; EIA-821, EIA-877). The remaining surveys focus on individual outlets selling the products to consumers (EIA-878, EIA-888) and collect price data on a weekly basis. The Petroleum Product Sales Identification Survey (EIA-863) is used to build and maintain the frame for </w:t>
      </w:r>
      <w:r w:rsidR="00613525" w:rsidRPr="00EA033A">
        <w:t xml:space="preserve">several </w:t>
      </w:r>
      <w:r w:rsidRPr="00EA033A">
        <w:t xml:space="preserve">of these surveys. </w:t>
      </w:r>
      <w:r w:rsidR="00854322" w:rsidRPr="00EA033A">
        <w:rPr>
          <w:color w:val="000000"/>
        </w:rPr>
        <w:t>The</w:t>
      </w:r>
      <w:r w:rsidR="00EE1623" w:rsidRPr="00EA033A">
        <w:rPr>
          <w:color w:val="000000"/>
        </w:rPr>
        <w:t xml:space="preserve"> </w:t>
      </w:r>
      <w:r w:rsidR="00854322" w:rsidRPr="00EA033A">
        <w:rPr>
          <w:color w:val="000000"/>
        </w:rPr>
        <w:t>frames</w:t>
      </w:r>
      <w:r w:rsidR="00EE1623" w:rsidRPr="00EA033A">
        <w:rPr>
          <w:color w:val="000000"/>
        </w:rPr>
        <w:t xml:space="preserve"> </w:t>
      </w:r>
      <w:r w:rsidR="007444A0" w:rsidRPr="00EA033A">
        <w:rPr>
          <w:color w:val="000000"/>
        </w:rPr>
        <w:t>for the monthly surveys a</w:t>
      </w:r>
      <w:r w:rsidR="00854322" w:rsidRPr="00EA033A">
        <w:rPr>
          <w:color w:val="000000"/>
        </w:rPr>
        <w:t>re kept current using information from other surveys</w:t>
      </w:r>
      <w:r w:rsidR="007444A0" w:rsidRPr="00EA033A">
        <w:rPr>
          <w:color w:val="000000"/>
        </w:rPr>
        <w:t xml:space="preserve"> a</w:t>
      </w:r>
      <w:r w:rsidR="00854322" w:rsidRPr="00EA033A">
        <w:rPr>
          <w:color w:val="000000"/>
        </w:rPr>
        <w:t>s well as information from industry journals</w:t>
      </w:r>
      <w:r w:rsidR="00EE1623" w:rsidRPr="00EA033A">
        <w:rPr>
          <w:color w:val="000000"/>
        </w:rPr>
        <w:t xml:space="preserve"> and other sources</w:t>
      </w:r>
      <w:r w:rsidR="00854322" w:rsidRPr="00EA033A">
        <w:rPr>
          <w:color w:val="000000"/>
        </w:rPr>
        <w:t xml:space="preserve">.    </w:t>
      </w:r>
    </w:p>
    <w:p w:rsidR="00ED420A" w:rsidRPr="00EA033A" w:rsidRDefault="00ED420A" w:rsidP="00EA033A">
      <w:pPr>
        <w:pStyle w:val="Bullet"/>
        <w:numPr>
          <w:ilvl w:val="0"/>
          <w:numId w:val="22"/>
        </w:numPr>
        <w:spacing w:line="360" w:lineRule="auto"/>
        <w:jc w:val="left"/>
        <w:rPr>
          <w:rFonts w:asciiTheme="minorHAnsi" w:hAnsiTheme="minorHAnsi"/>
          <w:sz w:val="22"/>
          <w:szCs w:val="22"/>
        </w:rPr>
      </w:pPr>
      <w:r w:rsidRPr="00EA033A">
        <w:rPr>
          <w:rFonts w:asciiTheme="minorHAnsi" w:hAnsiTheme="minorHAnsi"/>
          <w:sz w:val="22"/>
          <w:szCs w:val="22"/>
        </w:rPr>
        <w:t>Petroleum Marketing Frame</w:t>
      </w:r>
      <w:r w:rsidR="00AA0D37" w:rsidRPr="00EA033A">
        <w:rPr>
          <w:rFonts w:asciiTheme="minorHAnsi" w:hAnsiTheme="minorHAnsi"/>
          <w:sz w:val="22"/>
          <w:szCs w:val="22"/>
        </w:rPr>
        <w:t>:</w:t>
      </w:r>
    </w:p>
    <w:p w:rsidR="00670607" w:rsidRPr="00EA033A" w:rsidRDefault="00670607" w:rsidP="00EA033A">
      <w:pPr>
        <w:pStyle w:val="Bullet"/>
        <w:numPr>
          <w:ilvl w:val="0"/>
          <w:numId w:val="0"/>
        </w:numPr>
        <w:spacing w:line="360" w:lineRule="auto"/>
        <w:ind w:left="1080"/>
        <w:jc w:val="left"/>
        <w:rPr>
          <w:rFonts w:asciiTheme="minorHAnsi" w:hAnsiTheme="minorHAnsi"/>
          <w:sz w:val="22"/>
          <w:szCs w:val="22"/>
        </w:rPr>
      </w:pPr>
      <w:r w:rsidRPr="00EA033A">
        <w:rPr>
          <w:rFonts w:asciiTheme="minorHAnsi" w:hAnsiTheme="minorHAnsi"/>
          <w:sz w:val="22"/>
          <w:szCs w:val="22"/>
        </w:rPr>
        <w:t>Frame building for the Petroleum Product Sales Identification Survey (EIA-863) begins with the EIA-863 frame constructed from the previous cycle of the EIA-863, relevant data records from an internal frame system maintained by the Office of Petroleum and Biofuels Statistics, and outside source lists of petroleum marketers</w:t>
      </w:r>
      <w:r w:rsidR="00AA0D37" w:rsidRPr="00EA033A">
        <w:rPr>
          <w:rFonts w:asciiTheme="minorHAnsi" w:hAnsiTheme="minorHAnsi"/>
          <w:sz w:val="22"/>
          <w:szCs w:val="22"/>
        </w:rPr>
        <w:t xml:space="preserve"> from State Energy Offices and Petroleum Marketing Associations.</w:t>
      </w:r>
      <w:r w:rsidRPr="00EA033A">
        <w:rPr>
          <w:rFonts w:asciiTheme="minorHAnsi" w:hAnsiTheme="minorHAnsi"/>
          <w:sz w:val="22"/>
          <w:szCs w:val="22"/>
        </w:rPr>
        <w:t>  The target population for the EIA-863 includes over 22,000 companies.</w:t>
      </w:r>
    </w:p>
    <w:p w:rsidR="00ED420A" w:rsidRPr="00EA033A" w:rsidRDefault="00ED420A" w:rsidP="00EA033A">
      <w:pPr>
        <w:pStyle w:val="Bullet"/>
        <w:numPr>
          <w:ilvl w:val="0"/>
          <w:numId w:val="0"/>
        </w:numPr>
        <w:spacing w:line="360" w:lineRule="auto"/>
        <w:ind w:left="1080"/>
        <w:jc w:val="left"/>
        <w:rPr>
          <w:rFonts w:asciiTheme="minorHAnsi" w:hAnsiTheme="minorHAnsi"/>
          <w:sz w:val="22"/>
          <w:szCs w:val="22"/>
        </w:rPr>
      </w:pPr>
    </w:p>
    <w:p w:rsidR="00C238A2" w:rsidRPr="00EA033A" w:rsidRDefault="00F363B3" w:rsidP="00EA033A">
      <w:pPr>
        <w:pStyle w:val="Bullet"/>
        <w:numPr>
          <w:ilvl w:val="0"/>
          <w:numId w:val="22"/>
        </w:numPr>
        <w:spacing w:line="360" w:lineRule="auto"/>
        <w:jc w:val="left"/>
        <w:rPr>
          <w:rFonts w:asciiTheme="minorHAnsi" w:hAnsiTheme="minorHAnsi"/>
          <w:sz w:val="22"/>
          <w:szCs w:val="22"/>
        </w:rPr>
      </w:pPr>
      <w:r w:rsidRPr="00EA033A">
        <w:rPr>
          <w:rFonts w:asciiTheme="minorHAnsi" w:hAnsiTheme="minorHAnsi"/>
          <w:sz w:val="22"/>
          <w:szCs w:val="22"/>
        </w:rPr>
        <w:t xml:space="preserve">Monthly </w:t>
      </w:r>
      <w:r w:rsidR="00EE1623" w:rsidRPr="00EA033A">
        <w:rPr>
          <w:rFonts w:asciiTheme="minorHAnsi" w:hAnsiTheme="minorHAnsi"/>
          <w:sz w:val="22"/>
          <w:szCs w:val="22"/>
        </w:rPr>
        <w:t>Crude Oil Surveys Frames and Target Population</w:t>
      </w:r>
    </w:p>
    <w:p w:rsidR="00C238A2" w:rsidRPr="00EA033A" w:rsidRDefault="00C238A2" w:rsidP="00EA033A">
      <w:pPr>
        <w:pStyle w:val="Bullet"/>
        <w:spacing w:line="360" w:lineRule="auto"/>
        <w:jc w:val="left"/>
        <w:rPr>
          <w:rFonts w:asciiTheme="minorHAnsi" w:hAnsiTheme="minorHAnsi"/>
          <w:sz w:val="22"/>
          <w:szCs w:val="22"/>
        </w:rPr>
      </w:pPr>
      <w:r w:rsidRPr="00EA033A">
        <w:rPr>
          <w:rFonts w:asciiTheme="minorHAnsi" w:hAnsiTheme="minorHAnsi"/>
          <w:color w:val="000000"/>
          <w:sz w:val="22"/>
          <w:szCs w:val="22"/>
        </w:rPr>
        <w:t>EIA-14</w:t>
      </w:r>
      <w:r w:rsidR="00854322" w:rsidRPr="00EA033A">
        <w:rPr>
          <w:rFonts w:asciiTheme="minorHAnsi" w:hAnsiTheme="minorHAnsi"/>
          <w:color w:val="000000"/>
          <w:sz w:val="22"/>
          <w:szCs w:val="22"/>
        </w:rPr>
        <w:t>,</w:t>
      </w:r>
      <w:bookmarkStart w:id="0" w:name="eia-14"/>
      <w:bookmarkEnd w:id="0"/>
      <w:r w:rsidR="00915EBF" w:rsidRPr="00EA033A">
        <w:rPr>
          <w:rFonts w:asciiTheme="minorHAnsi" w:hAnsiTheme="minorHAnsi"/>
          <w:color w:val="000000"/>
          <w:sz w:val="22"/>
          <w:szCs w:val="22"/>
        </w:rPr>
        <w:t xml:space="preserve"> </w:t>
      </w:r>
      <w:r w:rsidR="00EE1623" w:rsidRPr="00EA033A">
        <w:rPr>
          <w:rFonts w:asciiTheme="minorHAnsi" w:hAnsiTheme="minorHAnsi"/>
          <w:color w:val="000000"/>
          <w:sz w:val="22"/>
          <w:szCs w:val="22"/>
        </w:rPr>
        <w:t>“</w:t>
      </w:r>
      <w:r w:rsidR="00915EBF" w:rsidRPr="00EA033A">
        <w:rPr>
          <w:rFonts w:asciiTheme="minorHAnsi" w:hAnsiTheme="minorHAnsi"/>
          <w:sz w:val="22"/>
          <w:szCs w:val="22"/>
        </w:rPr>
        <w:t>Refiners' Monthly Cost Report</w:t>
      </w:r>
      <w:r w:rsidR="00EE1623" w:rsidRPr="00EA033A">
        <w:rPr>
          <w:rFonts w:asciiTheme="minorHAnsi" w:hAnsiTheme="minorHAnsi"/>
          <w:color w:val="000000"/>
          <w:sz w:val="22"/>
          <w:szCs w:val="22"/>
        </w:rPr>
        <w:t>”</w:t>
      </w:r>
      <w:r w:rsidRPr="00EA033A">
        <w:rPr>
          <w:rFonts w:asciiTheme="minorHAnsi" w:hAnsiTheme="minorHAnsi"/>
          <w:color w:val="000000"/>
          <w:sz w:val="22"/>
          <w:szCs w:val="22"/>
        </w:rPr>
        <w:t xml:space="preserve"> The target population for this survey is all refiners of crude oil.  </w:t>
      </w:r>
      <w:r w:rsidR="00613525" w:rsidRPr="00EA033A">
        <w:rPr>
          <w:rFonts w:asciiTheme="minorHAnsi" w:hAnsiTheme="minorHAnsi"/>
          <w:sz w:val="22"/>
          <w:szCs w:val="22"/>
        </w:rPr>
        <w:t>The frame for the Refiners’ Monthly Cost Report (EIA-14) was constructed from a list of 206 refiners obtained from the Oil and Gas Journal in 1983</w:t>
      </w:r>
      <w:r w:rsidR="007444A0" w:rsidRPr="00EA033A">
        <w:rPr>
          <w:rFonts w:asciiTheme="minorHAnsi" w:hAnsiTheme="minorHAnsi"/>
          <w:sz w:val="22"/>
          <w:szCs w:val="22"/>
        </w:rPr>
        <w:t>.</w:t>
      </w:r>
      <w:r w:rsidR="00613525" w:rsidRPr="00EA033A">
        <w:rPr>
          <w:rFonts w:asciiTheme="minorHAnsi" w:hAnsiTheme="minorHAnsi"/>
          <w:sz w:val="22"/>
          <w:szCs w:val="22"/>
        </w:rPr>
        <w:t xml:space="preserve"> The frame is updated periodically via information derived from the EIA-782A (Refiners’/Gas Plant Operators’ Monthly Petroleum Product Sales Report) and the EIA-810 (Monthly Refinery Report). </w:t>
      </w:r>
      <w:r w:rsidRPr="00EA033A">
        <w:rPr>
          <w:rFonts w:asciiTheme="minorHAnsi" w:hAnsiTheme="minorHAnsi"/>
          <w:color w:val="000000"/>
          <w:sz w:val="22"/>
          <w:szCs w:val="22"/>
        </w:rPr>
        <w:t>There are current</w:t>
      </w:r>
      <w:r w:rsidR="00EE50D2" w:rsidRPr="00EA033A">
        <w:rPr>
          <w:rFonts w:asciiTheme="minorHAnsi" w:hAnsiTheme="minorHAnsi"/>
          <w:color w:val="000000"/>
          <w:sz w:val="22"/>
          <w:szCs w:val="22"/>
        </w:rPr>
        <w:t>ly</w:t>
      </w:r>
      <w:r w:rsidRPr="00EA033A">
        <w:rPr>
          <w:rFonts w:asciiTheme="minorHAnsi" w:hAnsiTheme="minorHAnsi"/>
          <w:color w:val="000000"/>
          <w:sz w:val="22"/>
          <w:szCs w:val="22"/>
        </w:rPr>
        <w:t xml:space="preserve"> </w:t>
      </w:r>
      <w:r w:rsidR="00EB48CD" w:rsidRPr="00EA033A">
        <w:rPr>
          <w:rFonts w:asciiTheme="minorHAnsi" w:hAnsiTheme="minorHAnsi"/>
          <w:sz w:val="22"/>
          <w:szCs w:val="22"/>
        </w:rPr>
        <w:t>72</w:t>
      </w:r>
      <w:r w:rsidR="007444A0" w:rsidRPr="00EA033A">
        <w:rPr>
          <w:rFonts w:asciiTheme="minorHAnsi" w:hAnsiTheme="minorHAnsi"/>
          <w:color w:val="000000"/>
          <w:sz w:val="22"/>
          <w:szCs w:val="22"/>
        </w:rPr>
        <w:t xml:space="preserve"> </w:t>
      </w:r>
      <w:r w:rsidR="001D42F3" w:rsidRPr="00EA033A">
        <w:rPr>
          <w:rFonts w:asciiTheme="minorHAnsi" w:hAnsiTheme="minorHAnsi"/>
          <w:color w:val="000000"/>
          <w:sz w:val="22"/>
          <w:szCs w:val="22"/>
        </w:rPr>
        <w:t xml:space="preserve">active </w:t>
      </w:r>
      <w:r w:rsidR="007444A0" w:rsidRPr="00EA033A">
        <w:rPr>
          <w:rFonts w:asciiTheme="minorHAnsi" w:hAnsiTheme="minorHAnsi"/>
          <w:color w:val="000000"/>
          <w:sz w:val="22"/>
          <w:szCs w:val="22"/>
        </w:rPr>
        <w:t>respondents</w:t>
      </w:r>
      <w:r w:rsidRPr="00EA033A">
        <w:rPr>
          <w:rFonts w:asciiTheme="minorHAnsi" w:hAnsiTheme="minorHAnsi"/>
          <w:color w:val="000000"/>
          <w:sz w:val="22"/>
          <w:szCs w:val="22"/>
        </w:rPr>
        <w:t xml:space="preserve"> filing </w:t>
      </w:r>
      <w:r w:rsidR="001D42F3" w:rsidRPr="00EA033A">
        <w:rPr>
          <w:rFonts w:asciiTheme="minorHAnsi" w:hAnsiTheme="minorHAnsi"/>
          <w:color w:val="000000"/>
          <w:sz w:val="22"/>
          <w:szCs w:val="22"/>
        </w:rPr>
        <w:t xml:space="preserve">the </w:t>
      </w:r>
      <w:r w:rsidRPr="00EA033A">
        <w:rPr>
          <w:rFonts w:asciiTheme="minorHAnsi" w:hAnsiTheme="minorHAnsi"/>
          <w:color w:val="000000"/>
          <w:sz w:val="22"/>
          <w:szCs w:val="22"/>
        </w:rPr>
        <w:t xml:space="preserve">Form EIA-14. </w:t>
      </w:r>
    </w:p>
    <w:p w:rsidR="007E40E0" w:rsidRPr="007E40E0" w:rsidRDefault="007E40E0" w:rsidP="007E40E0">
      <w:pPr>
        <w:pStyle w:val="EndnoteText"/>
        <w:spacing w:line="360" w:lineRule="auto"/>
        <w:ind w:left="1080"/>
        <w:rPr>
          <w:rFonts w:cs="Times New Roman"/>
          <w:color w:val="000000"/>
          <w:sz w:val="22"/>
          <w:szCs w:val="22"/>
        </w:rPr>
      </w:pPr>
    </w:p>
    <w:p w:rsidR="00D35808" w:rsidRPr="00EA033A" w:rsidRDefault="00C238A2" w:rsidP="00EA033A">
      <w:pPr>
        <w:pStyle w:val="EndnoteText"/>
        <w:numPr>
          <w:ilvl w:val="0"/>
          <w:numId w:val="18"/>
        </w:numPr>
        <w:spacing w:line="360" w:lineRule="auto"/>
        <w:rPr>
          <w:rFonts w:cs="Times New Roman"/>
          <w:color w:val="000000"/>
          <w:sz w:val="22"/>
          <w:szCs w:val="22"/>
        </w:rPr>
      </w:pPr>
      <w:r w:rsidRPr="00EA033A">
        <w:rPr>
          <w:rFonts w:cs="Times New Roman"/>
          <w:sz w:val="22"/>
          <w:szCs w:val="22"/>
        </w:rPr>
        <w:t>EIA-</w:t>
      </w:r>
      <w:r w:rsidR="00E94DC9" w:rsidRPr="00EA033A">
        <w:rPr>
          <w:rFonts w:cs="Times New Roman"/>
          <w:sz w:val="22"/>
          <w:szCs w:val="22"/>
        </w:rPr>
        <w:t>182</w:t>
      </w:r>
      <w:r w:rsidR="00854322" w:rsidRPr="00EA033A">
        <w:rPr>
          <w:rFonts w:cs="Times New Roman"/>
          <w:sz w:val="22"/>
          <w:szCs w:val="22"/>
        </w:rPr>
        <w:t xml:space="preserve">, </w:t>
      </w:r>
      <w:r w:rsidR="00EE1623" w:rsidRPr="00EA033A">
        <w:rPr>
          <w:rFonts w:cs="Times New Roman"/>
          <w:sz w:val="22"/>
          <w:szCs w:val="22"/>
        </w:rPr>
        <w:t>“</w:t>
      </w:r>
      <w:r w:rsidR="00915EBF" w:rsidRPr="00EA033A">
        <w:rPr>
          <w:rFonts w:cs="Times New Roman"/>
          <w:sz w:val="22"/>
          <w:szCs w:val="22"/>
        </w:rPr>
        <w:t>Domestic Crude Oil First Purchase Report</w:t>
      </w:r>
      <w:r w:rsidR="00A60CFC" w:rsidRPr="00EA033A">
        <w:rPr>
          <w:rFonts w:cs="Times New Roman"/>
          <w:sz w:val="22"/>
          <w:szCs w:val="22"/>
        </w:rPr>
        <w:t>.</w:t>
      </w:r>
      <w:r w:rsidR="00EE1623" w:rsidRPr="00EA033A">
        <w:rPr>
          <w:rFonts w:cs="Times New Roman"/>
          <w:sz w:val="22"/>
          <w:szCs w:val="22"/>
        </w:rPr>
        <w:t>”</w:t>
      </w:r>
      <w:r w:rsidR="00E94DC9" w:rsidRPr="00EA033A">
        <w:rPr>
          <w:rFonts w:cs="Times New Roman"/>
          <w:sz w:val="22"/>
          <w:szCs w:val="22"/>
        </w:rPr>
        <w:t xml:space="preserve"> The target population for this survey is all firms that buy domestic crude oil at the lease boundary, acquiring ownership of the crude in a first purchase transaction.</w:t>
      </w:r>
      <w:r w:rsidR="00EE1623" w:rsidRPr="00EA033A">
        <w:rPr>
          <w:rFonts w:cs="Times New Roman"/>
          <w:sz w:val="22"/>
          <w:szCs w:val="22"/>
        </w:rPr>
        <w:t xml:space="preserve"> </w:t>
      </w:r>
      <w:r w:rsidR="00613525" w:rsidRPr="00EA033A">
        <w:rPr>
          <w:rFonts w:cs="Times New Roman"/>
          <w:sz w:val="22"/>
          <w:szCs w:val="22"/>
        </w:rPr>
        <w:t>The frame for the Domestic Crude Oil First Purchase Report (EIA-182) was compiled from the 1974 Federal Energy Administration (FEA) Oil and Gas Survey of Producers and Operators. The size of the frame has declined from 340 firms in 1978 to 8</w:t>
      </w:r>
      <w:r w:rsidR="00EE50D2" w:rsidRPr="00EA033A">
        <w:rPr>
          <w:rFonts w:cs="Times New Roman"/>
          <w:sz w:val="22"/>
          <w:szCs w:val="22"/>
        </w:rPr>
        <w:t>2</w:t>
      </w:r>
      <w:r w:rsidR="00613525" w:rsidRPr="00EA033A">
        <w:rPr>
          <w:rFonts w:cs="Times New Roman"/>
          <w:sz w:val="22"/>
          <w:szCs w:val="22"/>
        </w:rPr>
        <w:t xml:space="preserve"> firms in 20</w:t>
      </w:r>
      <w:r w:rsidR="00EE50D2" w:rsidRPr="00EA033A">
        <w:rPr>
          <w:rFonts w:cs="Times New Roman"/>
          <w:sz w:val="22"/>
          <w:szCs w:val="22"/>
        </w:rPr>
        <w:t>12</w:t>
      </w:r>
      <w:r w:rsidR="00613525" w:rsidRPr="00EA033A">
        <w:rPr>
          <w:rFonts w:cs="Times New Roman"/>
          <w:sz w:val="22"/>
          <w:szCs w:val="22"/>
        </w:rPr>
        <w:t>.</w:t>
      </w:r>
      <w:r w:rsidR="00E94DC9" w:rsidRPr="00EA033A">
        <w:rPr>
          <w:rFonts w:cs="Times New Roman"/>
          <w:color w:val="000000"/>
          <w:sz w:val="22"/>
          <w:szCs w:val="22"/>
        </w:rPr>
        <w:t xml:space="preserve">  </w:t>
      </w:r>
      <w:r w:rsidR="00D35808" w:rsidRPr="00EA033A">
        <w:rPr>
          <w:rFonts w:cs="Times New Roman"/>
          <w:color w:val="000000"/>
          <w:sz w:val="22"/>
          <w:szCs w:val="22"/>
        </w:rPr>
        <w:t xml:space="preserve">The original frame was derived from a consolidated list of refiners known to have reported on several EIA surveys; and the frame of gas plant operators from the EIA-64, </w:t>
      </w:r>
      <w:r w:rsidR="006871FC" w:rsidRPr="00EA033A">
        <w:rPr>
          <w:rFonts w:cs="Times New Roman"/>
          <w:color w:val="000000"/>
          <w:sz w:val="22"/>
          <w:szCs w:val="22"/>
        </w:rPr>
        <w:t>“</w:t>
      </w:r>
      <w:r w:rsidR="00D35808" w:rsidRPr="00EA033A">
        <w:rPr>
          <w:rFonts w:cs="Times New Roman"/>
          <w:color w:val="000000"/>
          <w:sz w:val="22"/>
          <w:szCs w:val="22"/>
        </w:rPr>
        <w:t>Natural Gas Liquids Operations Report.</w:t>
      </w:r>
      <w:r w:rsidR="006871FC" w:rsidRPr="00EA033A">
        <w:rPr>
          <w:rFonts w:cs="Times New Roman"/>
          <w:color w:val="000000"/>
          <w:sz w:val="22"/>
          <w:szCs w:val="22"/>
        </w:rPr>
        <w:t>”</w:t>
      </w:r>
      <w:r w:rsidR="00D35808" w:rsidRPr="00EA033A">
        <w:rPr>
          <w:rFonts w:cs="Times New Roman"/>
          <w:color w:val="000000"/>
          <w:sz w:val="22"/>
          <w:szCs w:val="22"/>
        </w:rPr>
        <w:t xml:space="preserve">  </w:t>
      </w:r>
    </w:p>
    <w:p w:rsidR="007E40E0" w:rsidRDefault="007E40E0" w:rsidP="00EA033A">
      <w:pPr>
        <w:pStyle w:val="EndnoteText"/>
        <w:spacing w:line="360" w:lineRule="auto"/>
        <w:ind w:left="1080"/>
        <w:rPr>
          <w:rFonts w:cs="Times New Roman"/>
          <w:color w:val="000000"/>
          <w:sz w:val="22"/>
          <w:szCs w:val="22"/>
        </w:rPr>
      </w:pPr>
    </w:p>
    <w:p w:rsidR="00D35808" w:rsidRPr="00EA033A" w:rsidRDefault="00D35808" w:rsidP="00EA033A">
      <w:pPr>
        <w:pStyle w:val="EndnoteText"/>
        <w:spacing w:line="360" w:lineRule="auto"/>
        <w:ind w:left="1080"/>
        <w:rPr>
          <w:rFonts w:cs="Times New Roman"/>
          <w:sz w:val="22"/>
          <w:szCs w:val="22"/>
        </w:rPr>
      </w:pPr>
      <w:r w:rsidRPr="00EA033A">
        <w:rPr>
          <w:rFonts w:cs="Times New Roman"/>
          <w:color w:val="000000"/>
          <w:sz w:val="22"/>
          <w:szCs w:val="22"/>
        </w:rPr>
        <w:t xml:space="preserve">The list frame was initially compiled from the 1974 Federal Energy Administration (FEA) Oil and Gas Survey of Producers and Operators.  Collection of data from first purchasers began in February 1976.  By 1978, the frame consisted of 340 respondents.  Of these, 198 purchased more than 150,000 barrels per year and together represented 99.9 percent of the total reported volume.  Following decontrol in January, 1981, many small firms went out of business or were absorbed by larger companies.  By January, 1986 the frame had been reduced to 170 respondents.    Over the years, adjustments to the frame have mostly been deaths, with relatively few </w:t>
      </w:r>
      <w:r w:rsidR="00D735D2" w:rsidRPr="00EA033A">
        <w:rPr>
          <w:rFonts w:cs="Times New Roman"/>
          <w:color w:val="000000"/>
          <w:sz w:val="22"/>
          <w:szCs w:val="22"/>
        </w:rPr>
        <w:t xml:space="preserve">births. </w:t>
      </w:r>
      <w:r w:rsidR="006871FC" w:rsidRPr="00EA033A">
        <w:rPr>
          <w:rFonts w:cs="Times New Roman"/>
          <w:color w:val="000000"/>
          <w:sz w:val="22"/>
          <w:szCs w:val="22"/>
        </w:rPr>
        <w:t xml:space="preserve"> </w:t>
      </w:r>
    </w:p>
    <w:p w:rsidR="00ED420A" w:rsidRPr="00EA033A" w:rsidRDefault="00ED420A" w:rsidP="00EA033A">
      <w:pPr>
        <w:pStyle w:val="Bullet"/>
        <w:numPr>
          <w:ilvl w:val="0"/>
          <w:numId w:val="0"/>
        </w:numPr>
        <w:spacing w:line="360" w:lineRule="auto"/>
        <w:ind w:left="1080"/>
        <w:jc w:val="left"/>
        <w:rPr>
          <w:rFonts w:asciiTheme="minorHAnsi" w:hAnsiTheme="minorHAnsi"/>
          <w:sz w:val="22"/>
          <w:szCs w:val="22"/>
        </w:rPr>
      </w:pPr>
    </w:p>
    <w:p w:rsidR="00F363B3" w:rsidRPr="00EA033A" w:rsidRDefault="00C238A2" w:rsidP="00EA033A">
      <w:pPr>
        <w:pStyle w:val="Bullet"/>
        <w:spacing w:line="360" w:lineRule="auto"/>
        <w:jc w:val="left"/>
        <w:rPr>
          <w:rFonts w:asciiTheme="minorHAnsi" w:hAnsiTheme="minorHAnsi"/>
          <w:sz w:val="22"/>
          <w:szCs w:val="22"/>
        </w:rPr>
      </w:pPr>
      <w:r w:rsidRPr="00EA033A">
        <w:rPr>
          <w:rFonts w:asciiTheme="minorHAnsi" w:hAnsiTheme="minorHAnsi"/>
          <w:sz w:val="22"/>
          <w:szCs w:val="22"/>
        </w:rPr>
        <w:t>EIA-856</w:t>
      </w:r>
      <w:r w:rsidR="00B242CC" w:rsidRPr="00EA033A">
        <w:rPr>
          <w:rFonts w:asciiTheme="minorHAnsi" w:hAnsiTheme="minorHAnsi"/>
          <w:sz w:val="22"/>
          <w:szCs w:val="22"/>
        </w:rPr>
        <w:t xml:space="preserve">, </w:t>
      </w:r>
      <w:r w:rsidR="00EE1623" w:rsidRPr="00EA033A">
        <w:rPr>
          <w:rFonts w:asciiTheme="minorHAnsi" w:hAnsiTheme="minorHAnsi"/>
          <w:sz w:val="22"/>
          <w:szCs w:val="22"/>
        </w:rPr>
        <w:t>“</w:t>
      </w:r>
      <w:r w:rsidR="00B242CC" w:rsidRPr="00EA033A">
        <w:rPr>
          <w:rFonts w:asciiTheme="minorHAnsi" w:hAnsiTheme="minorHAnsi"/>
          <w:bCs/>
          <w:sz w:val="22"/>
          <w:szCs w:val="22"/>
        </w:rPr>
        <w:t>Monthly Foreign Crude Oil Acquisition Report</w:t>
      </w:r>
      <w:r w:rsidR="00A60CFC" w:rsidRPr="00EA033A">
        <w:rPr>
          <w:rFonts w:asciiTheme="minorHAnsi" w:hAnsiTheme="minorHAnsi"/>
          <w:bCs/>
          <w:sz w:val="22"/>
          <w:szCs w:val="22"/>
        </w:rPr>
        <w:t>.</w:t>
      </w:r>
      <w:r w:rsidR="00EE1623" w:rsidRPr="00EA033A">
        <w:rPr>
          <w:rFonts w:asciiTheme="minorHAnsi" w:hAnsiTheme="minorHAnsi"/>
          <w:bCs/>
          <w:sz w:val="22"/>
          <w:szCs w:val="22"/>
        </w:rPr>
        <w:t>”</w:t>
      </w:r>
      <w:r w:rsidR="00B242CC" w:rsidRPr="00EA033A">
        <w:rPr>
          <w:rFonts w:asciiTheme="minorHAnsi" w:hAnsiTheme="minorHAnsi"/>
          <w:sz w:val="22"/>
          <w:szCs w:val="22"/>
        </w:rPr>
        <w:t xml:space="preserve"> All companies acquiring more than 500,000 barrels of foreign crude oil in the report month for importation into the United States are required to submit </w:t>
      </w:r>
      <w:r w:rsidR="00EE1623" w:rsidRPr="00EA033A">
        <w:rPr>
          <w:rFonts w:asciiTheme="minorHAnsi" w:hAnsiTheme="minorHAnsi"/>
          <w:sz w:val="22"/>
          <w:szCs w:val="22"/>
        </w:rPr>
        <w:t>this form</w:t>
      </w:r>
      <w:r w:rsidR="00B242CC" w:rsidRPr="00EA033A">
        <w:rPr>
          <w:rFonts w:asciiTheme="minorHAnsi" w:hAnsiTheme="minorHAnsi"/>
          <w:sz w:val="22"/>
          <w:szCs w:val="22"/>
        </w:rPr>
        <w:t xml:space="preserve"> month</w:t>
      </w:r>
      <w:r w:rsidR="00EE1623" w:rsidRPr="00EA033A">
        <w:rPr>
          <w:rFonts w:asciiTheme="minorHAnsi" w:hAnsiTheme="minorHAnsi"/>
          <w:sz w:val="22"/>
          <w:szCs w:val="22"/>
        </w:rPr>
        <w:t>ly</w:t>
      </w:r>
      <w:r w:rsidR="00B242CC" w:rsidRPr="00EA033A">
        <w:rPr>
          <w:rFonts w:asciiTheme="minorHAnsi" w:hAnsiTheme="minorHAnsi"/>
          <w:sz w:val="22"/>
          <w:szCs w:val="22"/>
        </w:rPr>
        <w:t xml:space="preserve">.  </w:t>
      </w:r>
      <w:r w:rsidR="00A60CFC" w:rsidRPr="00EA033A">
        <w:rPr>
          <w:rFonts w:asciiTheme="minorHAnsi" w:hAnsiTheme="minorHAnsi"/>
          <w:sz w:val="22"/>
          <w:szCs w:val="22"/>
        </w:rPr>
        <w:t xml:space="preserve">The frame for the Monthly Foreign Crude Oil Acquisition Report (EIA-856) is composed of all companies reporting data in June 1982 on the Transfer Pricing Report (ERA-51) </w:t>
      </w:r>
      <w:r w:rsidR="00F363B3" w:rsidRPr="00EA033A">
        <w:rPr>
          <w:rFonts w:asciiTheme="minorHAnsi" w:hAnsiTheme="minorHAnsi"/>
          <w:sz w:val="22"/>
          <w:szCs w:val="22"/>
        </w:rPr>
        <w:t xml:space="preserve">regardless of the total volumes of crude oil that were imported </w:t>
      </w:r>
      <w:r w:rsidR="00A60CFC" w:rsidRPr="00EA033A">
        <w:rPr>
          <w:rFonts w:asciiTheme="minorHAnsi" w:hAnsiTheme="minorHAnsi"/>
          <w:sz w:val="22"/>
          <w:szCs w:val="22"/>
          <w:u w:val="single"/>
        </w:rPr>
        <w:t>and</w:t>
      </w:r>
      <w:r w:rsidR="00A60CFC" w:rsidRPr="00EA033A">
        <w:rPr>
          <w:rFonts w:asciiTheme="minorHAnsi" w:hAnsiTheme="minorHAnsi"/>
          <w:sz w:val="22"/>
          <w:szCs w:val="22"/>
        </w:rPr>
        <w:t xml:space="preserve"> all companies acquiring more than 500,000 barrels of oil in the reference month for importation into the United States. </w:t>
      </w:r>
      <w:r w:rsidR="00EE1623" w:rsidRPr="00EA033A">
        <w:rPr>
          <w:rFonts w:asciiTheme="minorHAnsi" w:hAnsiTheme="minorHAnsi"/>
          <w:sz w:val="22"/>
          <w:szCs w:val="22"/>
        </w:rPr>
        <w:t>C</w:t>
      </w:r>
      <w:r w:rsidR="00B242CC" w:rsidRPr="00EA033A">
        <w:rPr>
          <w:rFonts w:asciiTheme="minorHAnsi" w:hAnsiTheme="minorHAnsi"/>
          <w:sz w:val="22"/>
          <w:szCs w:val="22"/>
        </w:rPr>
        <w:t>urrently</w:t>
      </w:r>
      <w:r w:rsidR="00EE1623" w:rsidRPr="00EA033A">
        <w:rPr>
          <w:rFonts w:asciiTheme="minorHAnsi" w:hAnsiTheme="minorHAnsi"/>
          <w:sz w:val="22"/>
          <w:szCs w:val="22"/>
        </w:rPr>
        <w:t xml:space="preserve"> the frame consists of</w:t>
      </w:r>
      <w:r w:rsidR="00B242CC" w:rsidRPr="00EA033A">
        <w:rPr>
          <w:rFonts w:asciiTheme="minorHAnsi" w:hAnsiTheme="minorHAnsi"/>
          <w:sz w:val="22"/>
          <w:szCs w:val="22"/>
        </w:rPr>
        <w:t xml:space="preserve"> 4</w:t>
      </w:r>
      <w:r w:rsidR="00DE3448" w:rsidRPr="00EA033A">
        <w:rPr>
          <w:rFonts w:asciiTheme="minorHAnsi" w:hAnsiTheme="minorHAnsi"/>
          <w:sz w:val="22"/>
          <w:szCs w:val="22"/>
        </w:rPr>
        <w:t>3</w:t>
      </w:r>
      <w:r w:rsidR="00EE1623" w:rsidRPr="00EA033A">
        <w:rPr>
          <w:rFonts w:asciiTheme="minorHAnsi" w:hAnsiTheme="minorHAnsi"/>
          <w:sz w:val="22"/>
          <w:szCs w:val="22"/>
        </w:rPr>
        <w:t xml:space="preserve"> </w:t>
      </w:r>
      <w:r w:rsidR="007444A0" w:rsidRPr="00EA033A">
        <w:rPr>
          <w:rFonts w:asciiTheme="minorHAnsi" w:hAnsiTheme="minorHAnsi"/>
          <w:sz w:val="22"/>
          <w:szCs w:val="22"/>
        </w:rPr>
        <w:t>respondents</w:t>
      </w:r>
      <w:r w:rsidR="00B242CC" w:rsidRPr="00EA033A">
        <w:rPr>
          <w:rFonts w:asciiTheme="minorHAnsi" w:hAnsiTheme="minorHAnsi"/>
          <w:sz w:val="22"/>
          <w:szCs w:val="22"/>
        </w:rPr>
        <w:t>.</w:t>
      </w:r>
    </w:p>
    <w:p w:rsidR="00F363B3" w:rsidRPr="00EA033A" w:rsidRDefault="00F363B3" w:rsidP="00EA033A">
      <w:pPr>
        <w:pStyle w:val="Bullet"/>
        <w:numPr>
          <w:ilvl w:val="0"/>
          <w:numId w:val="0"/>
        </w:numPr>
        <w:spacing w:line="360" w:lineRule="auto"/>
        <w:ind w:left="1080"/>
        <w:jc w:val="left"/>
        <w:rPr>
          <w:rFonts w:asciiTheme="minorHAnsi" w:hAnsiTheme="minorHAnsi"/>
          <w:sz w:val="22"/>
          <w:szCs w:val="22"/>
        </w:rPr>
      </w:pPr>
    </w:p>
    <w:p w:rsidR="00C238A2" w:rsidRPr="00EA033A" w:rsidRDefault="00F363B3" w:rsidP="00EA033A">
      <w:pPr>
        <w:pStyle w:val="Bullet"/>
        <w:numPr>
          <w:ilvl w:val="0"/>
          <w:numId w:val="22"/>
        </w:numPr>
        <w:spacing w:line="360" w:lineRule="auto"/>
        <w:jc w:val="left"/>
        <w:rPr>
          <w:rFonts w:asciiTheme="minorHAnsi" w:hAnsiTheme="minorHAnsi"/>
          <w:sz w:val="22"/>
          <w:szCs w:val="22"/>
        </w:rPr>
      </w:pPr>
      <w:r w:rsidRPr="00EA033A">
        <w:rPr>
          <w:rFonts w:asciiTheme="minorHAnsi" w:hAnsiTheme="minorHAnsi"/>
          <w:sz w:val="22"/>
          <w:szCs w:val="22"/>
        </w:rPr>
        <w:t>Monthly and Annual</w:t>
      </w:r>
      <w:r w:rsidR="00D35808" w:rsidRPr="00EA033A">
        <w:rPr>
          <w:rFonts w:asciiTheme="minorHAnsi" w:hAnsiTheme="minorHAnsi"/>
          <w:sz w:val="22"/>
          <w:szCs w:val="22"/>
        </w:rPr>
        <w:t xml:space="preserve"> </w:t>
      </w:r>
      <w:r w:rsidR="00C238A2" w:rsidRPr="00EA033A">
        <w:rPr>
          <w:rFonts w:asciiTheme="minorHAnsi" w:hAnsiTheme="minorHAnsi"/>
          <w:sz w:val="22"/>
          <w:szCs w:val="22"/>
        </w:rPr>
        <w:t>Petroleum Product Frame</w:t>
      </w:r>
      <w:r w:rsidR="00DE3448" w:rsidRPr="00EA033A">
        <w:rPr>
          <w:rFonts w:asciiTheme="minorHAnsi" w:hAnsiTheme="minorHAnsi"/>
          <w:sz w:val="22"/>
          <w:szCs w:val="22"/>
        </w:rPr>
        <w:t>s</w:t>
      </w:r>
      <w:r w:rsidR="00C238A2" w:rsidRPr="00EA033A">
        <w:rPr>
          <w:rFonts w:asciiTheme="minorHAnsi" w:hAnsiTheme="minorHAnsi"/>
          <w:sz w:val="22"/>
          <w:szCs w:val="22"/>
        </w:rPr>
        <w:t xml:space="preserve"> and Target Population</w:t>
      </w:r>
      <w:r w:rsidR="00DE3448" w:rsidRPr="00EA033A">
        <w:rPr>
          <w:rFonts w:asciiTheme="minorHAnsi" w:hAnsiTheme="minorHAnsi"/>
          <w:sz w:val="22"/>
          <w:szCs w:val="22"/>
        </w:rPr>
        <w:t>s</w:t>
      </w:r>
      <w:r w:rsidR="00C238A2" w:rsidRPr="00EA033A">
        <w:rPr>
          <w:rFonts w:asciiTheme="minorHAnsi" w:hAnsiTheme="minorHAnsi"/>
          <w:sz w:val="22"/>
          <w:szCs w:val="22"/>
        </w:rPr>
        <w:t xml:space="preserve"> </w:t>
      </w:r>
    </w:p>
    <w:p w:rsidR="00B66304" w:rsidRPr="00EA033A" w:rsidRDefault="00B66304" w:rsidP="00EA033A">
      <w:pPr>
        <w:pStyle w:val="NormalWeb"/>
        <w:spacing w:line="360" w:lineRule="auto"/>
        <w:ind w:left="720"/>
        <w:rPr>
          <w:rFonts w:asciiTheme="minorHAnsi" w:hAnsiTheme="minorHAnsi"/>
          <w:sz w:val="22"/>
          <w:szCs w:val="22"/>
        </w:rPr>
      </w:pPr>
      <w:r w:rsidRPr="00EA033A">
        <w:rPr>
          <w:rFonts w:asciiTheme="minorHAnsi" w:hAnsiTheme="minorHAnsi"/>
          <w:sz w:val="22"/>
          <w:szCs w:val="22"/>
        </w:rPr>
        <w:t>The target population for the EIA-863 is all firms which sell petroleum products. The firms surveyed on the EIA-863, along with their associated volumetric data and tracking information, serve as the sampling frame for Forms EIA-82</w:t>
      </w:r>
      <w:r w:rsidR="003C502B" w:rsidRPr="00EA033A">
        <w:rPr>
          <w:rFonts w:asciiTheme="minorHAnsi" w:hAnsiTheme="minorHAnsi"/>
          <w:sz w:val="22"/>
          <w:szCs w:val="22"/>
        </w:rPr>
        <w:t>1, “</w:t>
      </w:r>
      <w:r w:rsidRPr="00EA033A">
        <w:rPr>
          <w:rFonts w:asciiTheme="minorHAnsi" w:hAnsiTheme="minorHAnsi"/>
          <w:sz w:val="22"/>
          <w:szCs w:val="22"/>
        </w:rPr>
        <w:t>Annual Fuel Oil and Kerosene Sales Report,</w:t>
      </w:r>
      <w:r w:rsidR="003C502B" w:rsidRPr="00EA033A">
        <w:rPr>
          <w:rFonts w:asciiTheme="minorHAnsi" w:hAnsiTheme="minorHAnsi"/>
          <w:sz w:val="22"/>
          <w:szCs w:val="22"/>
        </w:rPr>
        <w:t>”</w:t>
      </w:r>
      <w:r w:rsidRPr="00EA033A">
        <w:rPr>
          <w:rFonts w:asciiTheme="minorHAnsi" w:hAnsiTheme="minorHAnsi"/>
          <w:sz w:val="22"/>
          <w:szCs w:val="22"/>
        </w:rPr>
        <w:t xml:space="preserve"> EIA-877</w:t>
      </w:r>
      <w:r w:rsidR="003C502B" w:rsidRPr="00EA033A">
        <w:rPr>
          <w:rFonts w:asciiTheme="minorHAnsi" w:hAnsiTheme="minorHAnsi"/>
          <w:sz w:val="22"/>
          <w:szCs w:val="22"/>
        </w:rPr>
        <w:t>,</w:t>
      </w:r>
      <w:r w:rsidRPr="00EA033A">
        <w:rPr>
          <w:rFonts w:asciiTheme="minorHAnsi" w:hAnsiTheme="minorHAnsi"/>
          <w:sz w:val="22"/>
          <w:szCs w:val="22"/>
        </w:rPr>
        <w:t xml:space="preserve"> </w:t>
      </w:r>
      <w:r w:rsidR="003C502B" w:rsidRPr="00EA033A">
        <w:rPr>
          <w:rFonts w:asciiTheme="minorHAnsi" w:hAnsiTheme="minorHAnsi"/>
          <w:sz w:val="22"/>
          <w:szCs w:val="22"/>
        </w:rPr>
        <w:t>“</w:t>
      </w:r>
      <w:r w:rsidRPr="00EA033A">
        <w:rPr>
          <w:rFonts w:asciiTheme="minorHAnsi" w:hAnsiTheme="minorHAnsi"/>
          <w:sz w:val="22"/>
          <w:szCs w:val="22"/>
        </w:rPr>
        <w:t>Winter Heating Fuels Telephone Survey,</w:t>
      </w:r>
      <w:r w:rsidR="003C502B" w:rsidRPr="00EA033A">
        <w:rPr>
          <w:rFonts w:asciiTheme="minorHAnsi" w:hAnsiTheme="minorHAnsi"/>
          <w:sz w:val="22"/>
          <w:szCs w:val="22"/>
        </w:rPr>
        <w:t>”</w:t>
      </w:r>
      <w:r w:rsidRPr="00EA033A">
        <w:rPr>
          <w:rFonts w:asciiTheme="minorHAnsi" w:hAnsiTheme="minorHAnsi"/>
          <w:sz w:val="22"/>
          <w:szCs w:val="22"/>
        </w:rPr>
        <w:t xml:space="preserve"> EIA-878</w:t>
      </w:r>
      <w:r w:rsidR="003C502B" w:rsidRPr="00EA033A">
        <w:rPr>
          <w:rFonts w:asciiTheme="minorHAnsi" w:hAnsiTheme="minorHAnsi"/>
          <w:sz w:val="22"/>
          <w:szCs w:val="22"/>
        </w:rPr>
        <w:t>,</w:t>
      </w:r>
      <w:r w:rsidRPr="00EA033A">
        <w:rPr>
          <w:rFonts w:asciiTheme="minorHAnsi" w:hAnsiTheme="minorHAnsi"/>
          <w:sz w:val="22"/>
          <w:szCs w:val="22"/>
        </w:rPr>
        <w:t xml:space="preserve"> Daily Motor Gasoline Price Survey,</w:t>
      </w:r>
      <w:r w:rsidR="003C502B" w:rsidRPr="00EA033A">
        <w:rPr>
          <w:rFonts w:asciiTheme="minorHAnsi" w:hAnsiTheme="minorHAnsi"/>
          <w:sz w:val="22"/>
          <w:szCs w:val="22"/>
        </w:rPr>
        <w:t>”</w:t>
      </w:r>
      <w:r w:rsidRPr="00EA033A">
        <w:rPr>
          <w:rFonts w:asciiTheme="minorHAnsi" w:hAnsiTheme="minorHAnsi"/>
          <w:sz w:val="22"/>
          <w:szCs w:val="22"/>
        </w:rPr>
        <w:t xml:space="preserve"> </w:t>
      </w:r>
      <w:r w:rsidR="00AA0D37" w:rsidRPr="00EA033A">
        <w:rPr>
          <w:rFonts w:asciiTheme="minorHAnsi" w:hAnsiTheme="minorHAnsi"/>
          <w:sz w:val="22"/>
          <w:szCs w:val="22"/>
        </w:rPr>
        <w:t xml:space="preserve">EIA-888 “Weekly On-Highway Diesel Price Survey,” </w:t>
      </w:r>
      <w:r w:rsidRPr="00EA033A">
        <w:rPr>
          <w:rFonts w:asciiTheme="minorHAnsi" w:hAnsiTheme="minorHAnsi"/>
          <w:sz w:val="22"/>
          <w:szCs w:val="22"/>
        </w:rPr>
        <w:t>and other ad hoc surveys, such as the National Petroleum Council Surveys.</w:t>
      </w:r>
    </w:p>
    <w:p w:rsidR="007E2786" w:rsidRPr="00EA033A" w:rsidRDefault="007E2786" w:rsidP="00EA033A">
      <w:pPr>
        <w:pStyle w:val="Bullet"/>
        <w:spacing w:line="360" w:lineRule="auto"/>
        <w:jc w:val="left"/>
        <w:rPr>
          <w:rFonts w:asciiTheme="minorHAnsi" w:hAnsiTheme="minorHAnsi"/>
          <w:sz w:val="22"/>
          <w:szCs w:val="22"/>
        </w:rPr>
      </w:pPr>
      <w:r w:rsidRPr="00EA033A">
        <w:rPr>
          <w:rFonts w:asciiTheme="minorHAnsi" w:hAnsiTheme="minorHAnsi"/>
          <w:sz w:val="22"/>
          <w:szCs w:val="22"/>
        </w:rPr>
        <w:t>EIA-821, “Annual Fuel Oil and Kerosene Sales Report.”</w:t>
      </w:r>
      <w:r w:rsidR="003A052E" w:rsidRPr="00EA033A">
        <w:rPr>
          <w:rFonts w:asciiTheme="minorHAnsi" w:hAnsiTheme="minorHAnsi"/>
          <w:sz w:val="22"/>
          <w:szCs w:val="22"/>
        </w:rPr>
        <w:t xml:space="preserve"> The frame for this survey is constructed</w:t>
      </w:r>
      <w:r w:rsidR="007444A0" w:rsidRPr="00EA033A">
        <w:rPr>
          <w:rFonts w:asciiTheme="minorHAnsi" w:hAnsiTheme="minorHAnsi"/>
          <w:sz w:val="22"/>
          <w:szCs w:val="22"/>
        </w:rPr>
        <w:t xml:space="preserve"> from the </w:t>
      </w:r>
      <w:r w:rsidRPr="00EA033A">
        <w:rPr>
          <w:rFonts w:asciiTheme="minorHAnsi" w:hAnsiTheme="minorHAnsi"/>
          <w:sz w:val="22"/>
          <w:szCs w:val="22"/>
        </w:rPr>
        <w:t xml:space="preserve">EIA-863 survey results, supplemented by retailers/resellers and importers of residual fuel oil who were not identified by the EIA-863 survey.  </w:t>
      </w:r>
      <w:r w:rsidR="007444A0" w:rsidRPr="00EA033A">
        <w:rPr>
          <w:rFonts w:asciiTheme="minorHAnsi" w:hAnsiTheme="minorHAnsi"/>
          <w:sz w:val="22"/>
          <w:szCs w:val="22"/>
        </w:rPr>
        <w:t>Currently, t</w:t>
      </w:r>
      <w:r w:rsidRPr="00EA033A">
        <w:rPr>
          <w:rFonts w:asciiTheme="minorHAnsi" w:hAnsiTheme="minorHAnsi"/>
          <w:sz w:val="22"/>
          <w:szCs w:val="22"/>
        </w:rPr>
        <w:t>he</w:t>
      </w:r>
      <w:r w:rsidR="001E6FDD" w:rsidRPr="00EA033A">
        <w:rPr>
          <w:rFonts w:asciiTheme="minorHAnsi" w:hAnsiTheme="minorHAnsi"/>
          <w:sz w:val="22"/>
          <w:szCs w:val="22"/>
        </w:rPr>
        <w:t xml:space="preserve"> sampling</w:t>
      </w:r>
      <w:r w:rsidR="00AA0D37" w:rsidRPr="00EA033A">
        <w:rPr>
          <w:rFonts w:asciiTheme="minorHAnsi" w:hAnsiTheme="minorHAnsi"/>
          <w:sz w:val="22"/>
          <w:szCs w:val="22"/>
        </w:rPr>
        <w:t xml:space="preserve"> frame consists of over 22</w:t>
      </w:r>
      <w:r w:rsidRPr="00EA033A">
        <w:rPr>
          <w:rFonts w:asciiTheme="minorHAnsi" w:hAnsiTheme="minorHAnsi"/>
          <w:sz w:val="22"/>
          <w:szCs w:val="22"/>
        </w:rPr>
        <w:t xml:space="preserve">,000 companies.  </w:t>
      </w:r>
    </w:p>
    <w:p w:rsidR="00C33F56" w:rsidRPr="00EA033A" w:rsidRDefault="00A60CFC" w:rsidP="00EA033A">
      <w:pPr>
        <w:pStyle w:val="Bullet"/>
        <w:spacing w:line="360" w:lineRule="auto"/>
        <w:jc w:val="left"/>
        <w:rPr>
          <w:rFonts w:asciiTheme="minorHAnsi" w:hAnsiTheme="minorHAnsi"/>
          <w:sz w:val="22"/>
          <w:szCs w:val="22"/>
        </w:rPr>
      </w:pPr>
      <w:r w:rsidRPr="00EA033A">
        <w:rPr>
          <w:rFonts w:asciiTheme="minorHAnsi" w:hAnsiTheme="minorHAnsi"/>
          <w:sz w:val="22"/>
          <w:szCs w:val="22"/>
        </w:rPr>
        <w:t>EIA-782A</w:t>
      </w:r>
      <w:r w:rsidR="003C502B" w:rsidRPr="00EA033A">
        <w:rPr>
          <w:rFonts w:asciiTheme="minorHAnsi" w:hAnsiTheme="minorHAnsi"/>
          <w:sz w:val="22"/>
          <w:szCs w:val="22"/>
        </w:rPr>
        <w:t xml:space="preserve">, “Refiners’ </w:t>
      </w:r>
      <w:r w:rsidR="00ED3F28" w:rsidRPr="00EA033A">
        <w:rPr>
          <w:rFonts w:asciiTheme="minorHAnsi" w:hAnsiTheme="minorHAnsi"/>
          <w:sz w:val="22"/>
          <w:szCs w:val="22"/>
        </w:rPr>
        <w:t>Gas Plant Operators’ Monthly Petroleum Product Sales Report.”</w:t>
      </w:r>
      <w:r w:rsidRPr="00EA033A">
        <w:rPr>
          <w:rFonts w:asciiTheme="minorHAnsi" w:hAnsiTheme="minorHAnsi"/>
          <w:sz w:val="22"/>
          <w:szCs w:val="22"/>
        </w:rPr>
        <w:t xml:space="preserve"> The target population for this survey includes the universe of refiners and gas plant operators. </w:t>
      </w:r>
      <w:r w:rsidR="00ED3F28" w:rsidRPr="00EA033A">
        <w:rPr>
          <w:rFonts w:asciiTheme="minorHAnsi" w:hAnsiTheme="minorHAnsi"/>
          <w:sz w:val="22"/>
          <w:szCs w:val="22"/>
        </w:rPr>
        <w:t>The frame for this survey</w:t>
      </w:r>
      <w:r w:rsidRPr="00EA033A">
        <w:rPr>
          <w:rFonts w:asciiTheme="minorHAnsi" w:hAnsiTheme="minorHAnsi"/>
          <w:sz w:val="22"/>
          <w:szCs w:val="22"/>
        </w:rPr>
        <w:t xml:space="preserve"> was derived from a list of refiners that reported on past EIA surveys and a list of gas plant operators derived from the Natural </w:t>
      </w:r>
      <w:r w:rsidR="001E6FDD" w:rsidRPr="00EA033A">
        <w:rPr>
          <w:rFonts w:asciiTheme="minorHAnsi" w:hAnsiTheme="minorHAnsi"/>
          <w:sz w:val="22"/>
          <w:szCs w:val="22"/>
        </w:rPr>
        <w:t>Gas Liquids Operations Report. In 2012 the</w:t>
      </w:r>
      <w:r w:rsidR="007E2786" w:rsidRPr="00EA033A">
        <w:rPr>
          <w:rFonts w:asciiTheme="minorHAnsi" w:hAnsiTheme="minorHAnsi"/>
          <w:sz w:val="22"/>
          <w:szCs w:val="22"/>
        </w:rPr>
        <w:t xml:space="preserve"> </w:t>
      </w:r>
      <w:r w:rsidRPr="00EA033A">
        <w:rPr>
          <w:rFonts w:asciiTheme="minorHAnsi" w:hAnsiTheme="minorHAnsi"/>
          <w:sz w:val="22"/>
          <w:szCs w:val="22"/>
        </w:rPr>
        <w:t>frame con</w:t>
      </w:r>
      <w:r w:rsidR="007E2786" w:rsidRPr="00EA033A">
        <w:rPr>
          <w:rFonts w:asciiTheme="minorHAnsi" w:hAnsiTheme="minorHAnsi"/>
          <w:sz w:val="22"/>
          <w:szCs w:val="22"/>
        </w:rPr>
        <w:t>sists of</w:t>
      </w:r>
      <w:r w:rsidRPr="00EA033A">
        <w:rPr>
          <w:rFonts w:asciiTheme="minorHAnsi" w:hAnsiTheme="minorHAnsi"/>
          <w:sz w:val="22"/>
          <w:szCs w:val="22"/>
        </w:rPr>
        <w:t xml:space="preserve"> 9</w:t>
      </w:r>
      <w:r w:rsidR="00EB48CD" w:rsidRPr="00EA033A">
        <w:rPr>
          <w:rFonts w:asciiTheme="minorHAnsi" w:hAnsiTheme="minorHAnsi"/>
          <w:sz w:val="22"/>
          <w:szCs w:val="22"/>
        </w:rPr>
        <w:t>5</w:t>
      </w:r>
      <w:r w:rsidRPr="00EA033A">
        <w:rPr>
          <w:rFonts w:asciiTheme="minorHAnsi" w:hAnsiTheme="minorHAnsi"/>
          <w:sz w:val="22"/>
          <w:szCs w:val="22"/>
        </w:rPr>
        <w:t xml:space="preserve"> companies.</w:t>
      </w:r>
      <w:r w:rsidR="001E6FDD" w:rsidRPr="00EA033A">
        <w:rPr>
          <w:rFonts w:asciiTheme="minorHAnsi" w:hAnsiTheme="minorHAnsi"/>
          <w:sz w:val="22"/>
          <w:szCs w:val="22"/>
        </w:rPr>
        <w:t xml:space="preserve"> The original frame was derived from a consolidated list of refiners known to have reported on several EIA surveys; and the frame of gas plant operators from the EIA-64, Natural Gas Liquids Operations Report.  </w:t>
      </w:r>
    </w:p>
    <w:p w:rsidR="00915EBF" w:rsidRPr="00EA033A" w:rsidRDefault="00854322" w:rsidP="00EA033A">
      <w:pPr>
        <w:pStyle w:val="NormalWeb"/>
        <w:numPr>
          <w:ilvl w:val="0"/>
          <w:numId w:val="19"/>
        </w:numPr>
        <w:spacing w:line="360" w:lineRule="auto"/>
        <w:rPr>
          <w:rFonts w:asciiTheme="minorHAnsi" w:hAnsiTheme="minorHAnsi"/>
          <w:sz w:val="22"/>
          <w:szCs w:val="22"/>
        </w:rPr>
      </w:pPr>
      <w:r w:rsidRPr="00EA033A">
        <w:rPr>
          <w:rFonts w:asciiTheme="minorHAnsi" w:hAnsiTheme="minorHAnsi"/>
          <w:color w:val="000000"/>
          <w:sz w:val="22"/>
          <w:szCs w:val="22"/>
        </w:rPr>
        <w:t>EIA-782C</w:t>
      </w:r>
      <w:r w:rsidR="00ED3F28" w:rsidRPr="00EA033A">
        <w:rPr>
          <w:rFonts w:asciiTheme="minorHAnsi" w:hAnsiTheme="minorHAnsi"/>
          <w:color w:val="000000"/>
          <w:sz w:val="22"/>
          <w:szCs w:val="22"/>
        </w:rPr>
        <w:t>,</w:t>
      </w:r>
      <w:r w:rsidR="00ED3F28" w:rsidRPr="00EA033A">
        <w:rPr>
          <w:rFonts w:asciiTheme="minorHAnsi" w:hAnsiTheme="minorHAnsi"/>
          <w:sz w:val="22"/>
          <w:szCs w:val="22"/>
        </w:rPr>
        <w:t xml:space="preserve"> “Monthly Report of Prime Supplier Sales of Petroleum Products Sold for Local Consumption.”</w:t>
      </w:r>
      <w:r w:rsidR="00DE3448" w:rsidRPr="00EA033A">
        <w:rPr>
          <w:rFonts w:asciiTheme="minorHAnsi" w:hAnsiTheme="minorHAnsi"/>
          <w:color w:val="000000"/>
          <w:sz w:val="22"/>
          <w:szCs w:val="22"/>
        </w:rPr>
        <w:t xml:space="preserve"> The target population for this survey</w:t>
      </w:r>
      <w:r w:rsidRPr="00EA033A">
        <w:rPr>
          <w:rFonts w:asciiTheme="minorHAnsi" w:hAnsiTheme="minorHAnsi"/>
          <w:color w:val="000000"/>
          <w:sz w:val="22"/>
          <w:szCs w:val="22"/>
        </w:rPr>
        <w:t xml:space="preserve"> includes all suppliers who make the first sale of any of the products listed on </w:t>
      </w:r>
      <w:r w:rsidR="0034791C">
        <w:rPr>
          <w:rFonts w:asciiTheme="minorHAnsi" w:hAnsiTheme="minorHAnsi"/>
          <w:color w:val="000000"/>
          <w:sz w:val="22"/>
          <w:szCs w:val="22"/>
        </w:rPr>
        <w:t xml:space="preserve">Form </w:t>
      </w:r>
      <w:r w:rsidRPr="00EA033A">
        <w:rPr>
          <w:rFonts w:asciiTheme="minorHAnsi" w:hAnsiTheme="minorHAnsi"/>
          <w:color w:val="000000"/>
          <w:sz w:val="22"/>
          <w:szCs w:val="22"/>
        </w:rPr>
        <w:t>EIA-782C, and deliver that product into a State for consumption in that State.  The product slate includes</w:t>
      </w:r>
      <w:r w:rsidR="00DE3448" w:rsidRPr="00EA033A">
        <w:rPr>
          <w:rFonts w:asciiTheme="minorHAnsi" w:hAnsiTheme="minorHAnsi"/>
          <w:color w:val="000000"/>
          <w:sz w:val="22"/>
          <w:szCs w:val="22"/>
        </w:rPr>
        <w:t>:</w:t>
      </w:r>
      <w:r w:rsidRPr="00EA033A">
        <w:rPr>
          <w:rFonts w:asciiTheme="minorHAnsi" w:hAnsiTheme="minorHAnsi"/>
          <w:color w:val="000000"/>
          <w:sz w:val="22"/>
          <w:szCs w:val="22"/>
        </w:rPr>
        <w:t xml:space="preserve"> motor gasoline, No. 1 distillate, kerosene, fuel oil, diesel fuel, aviation gasoline, jet fuel, No. 4 fuel, residual fuel oil, and propane.  The original frame was </w:t>
      </w:r>
      <w:r w:rsidR="00F363B3" w:rsidRPr="00EA033A">
        <w:rPr>
          <w:rFonts w:asciiTheme="minorHAnsi" w:hAnsiTheme="minorHAnsi"/>
          <w:color w:val="000000"/>
          <w:sz w:val="22"/>
          <w:szCs w:val="22"/>
        </w:rPr>
        <w:t xml:space="preserve">constructed </w:t>
      </w:r>
      <w:r w:rsidRPr="00EA033A">
        <w:rPr>
          <w:rFonts w:asciiTheme="minorHAnsi" w:hAnsiTheme="minorHAnsi"/>
          <w:color w:val="000000"/>
          <w:sz w:val="22"/>
          <w:szCs w:val="22"/>
        </w:rPr>
        <w:t xml:space="preserve">from the respondent frame of the former EIA-25, </w:t>
      </w:r>
      <w:r w:rsidR="00C33F56" w:rsidRPr="00EA033A">
        <w:rPr>
          <w:rFonts w:asciiTheme="minorHAnsi" w:hAnsiTheme="minorHAnsi"/>
          <w:color w:val="000000"/>
          <w:sz w:val="22"/>
          <w:szCs w:val="22"/>
        </w:rPr>
        <w:t>“</w:t>
      </w:r>
      <w:r w:rsidRPr="00EA033A">
        <w:rPr>
          <w:rFonts w:asciiTheme="minorHAnsi" w:hAnsiTheme="minorHAnsi"/>
          <w:color w:val="000000"/>
          <w:sz w:val="22"/>
          <w:szCs w:val="22"/>
        </w:rPr>
        <w:t>Prime Supplier’s Monthly Report.</w:t>
      </w:r>
      <w:r w:rsidR="00C33F56" w:rsidRPr="00EA033A">
        <w:rPr>
          <w:rFonts w:asciiTheme="minorHAnsi" w:hAnsiTheme="minorHAnsi"/>
          <w:color w:val="000000"/>
          <w:sz w:val="22"/>
          <w:szCs w:val="22"/>
        </w:rPr>
        <w:t>”</w:t>
      </w:r>
      <w:r w:rsidR="00C032D2" w:rsidRPr="00EA033A">
        <w:rPr>
          <w:rFonts w:asciiTheme="minorHAnsi" w:hAnsiTheme="minorHAnsi"/>
          <w:color w:val="000000"/>
          <w:sz w:val="22"/>
          <w:szCs w:val="22"/>
        </w:rPr>
        <w:t xml:space="preserve"> Currently the frame consists of 200 prime suppliers and is updated as needed due to births, deaths and mergers.</w:t>
      </w:r>
    </w:p>
    <w:p w:rsidR="00C238A2" w:rsidRPr="00EA033A" w:rsidRDefault="00C238A2" w:rsidP="00EA033A">
      <w:pPr>
        <w:pStyle w:val="Bullet"/>
        <w:numPr>
          <w:ilvl w:val="0"/>
          <w:numId w:val="22"/>
        </w:numPr>
        <w:spacing w:line="360" w:lineRule="auto"/>
        <w:jc w:val="left"/>
        <w:rPr>
          <w:rFonts w:asciiTheme="minorHAnsi" w:hAnsiTheme="minorHAnsi"/>
          <w:sz w:val="22"/>
          <w:szCs w:val="22"/>
        </w:rPr>
      </w:pPr>
      <w:r w:rsidRPr="00EA033A">
        <w:rPr>
          <w:rFonts w:asciiTheme="minorHAnsi" w:hAnsiTheme="minorHAnsi"/>
          <w:sz w:val="22"/>
          <w:szCs w:val="22"/>
        </w:rPr>
        <w:t>Weekly Petroleum Product Frames and Target Population</w:t>
      </w:r>
    </w:p>
    <w:p w:rsidR="00FE3FD3" w:rsidRPr="00EA033A" w:rsidRDefault="00C238A2" w:rsidP="00EA033A">
      <w:pPr>
        <w:pStyle w:val="Bullet"/>
        <w:spacing w:line="360" w:lineRule="auto"/>
        <w:jc w:val="left"/>
        <w:rPr>
          <w:rFonts w:asciiTheme="minorHAnsi" w:hAnsiTheme="minorHAnsi"/>
          <w:sz w:val="22"/>
          <w:szCs w:val="22"/>
        </w:rPr>
      </w:pPr>
      <w:r w:rsidRPr="00EA033A">
        <w:rPr>
          <w:rFonts w:asciiTheme="minorHAnsi" w:hAnsiTheme="minorHAnsi"/>
          <w:color w:val="000000"/>
          <w:sz w:val="22"/>
          <w:szCs w:val="22"/>
        </w:rPr>
        <w:t>EIA-877</w:t>
      </w:r>
      <w:r w:rsidR="00613525" w:rsidRPr="00EA033A">
        <w:rPr>
          <w:rFonts w:asciiTheme="minorHAnsi" w:hAnsiTheme="minorHAnsi"/>
          <w:color w:val="000000"/>
          <w:sz w:val="22"/>
          <w:szCs w:val="22"/>
        </w:rPr>
        <w:t>, “</w:t>
      </w:r>
      <w:r w:rsidR="00613525" w:rsidRPr="00EA033A">
        <w:rPr>
          <w:rStyle w:val="Strong"/>
          <w:rFonts w:asciiTheme="minorHAnsi" w:hAnsiTheme="minorHAnsi"/>
          <w:b w:val="0"/>
          <w:sz w:val="22"/>
          <w:szCs w:val="22"/>
        </w:rPr>
        <w:t>Winter Heating Fuels Telephone Survey</w:t>
      </w:r>
      <w:r w:rsidR="007E2786" w:rsidRPr="00EA033A">
        <w:rPr>
          <w:rStyle w:val="Strong"/>
          <w:rFonts w:asciiTheme="minorHAnsi" w:hAnsiTheme="minorHAnsi"/>
          <w:b w:val="0"/>
          <w:sz w:val="22"/>
          <w:szCs w:val="22"/>
        </w:rPr>
        <w:t>.</w:t>
      </w:r>
      <w:r w:rsidR="00EE1623" w:rsidRPr="00EA033A">
        <w:rPr>
          <w:rFonts w:asciiTheme="minorHAnsi" w:hAnsiTheme="minorHAnsi"/>
          <w:bCs/>
          <w:color w:val="000000"/>
          <w:sz w:val="22"/>
          <w:szCs w:val="22"/>
        </w:rPr>
        <w:t>”</w:t>
      </w:r>
      <w:r w:rsidR="007E2786" w:rsidRPr="00EA033A">
        <w:rPr>
          <w:rFonts w:asciiTheme="minorHAnsi" w:hAnsiTheme="minorHAnsi"/>
          <w:bCs/>
          <w:color w:val="000000"/>
          <w:sz w:val="22"/>
          <w:szCs w:val="22"/>
        </w:rPr>
        <w:t xml:space="preserve"> </w:t>
      </w:r>
      <w:r w:rsidR="007E2786" w:rsidRPr="00EA033A">
        <w:rPr>
          <w:rFonts w:asciiTheme="minorHAnsi" w:hAnsiTheme="minorHAnsi"/>
          <w:sz w:val="22"/>
          <w:szCs w:val="22"/>
        </w:rPr>
        <w:t xml:space="preserve">The </w:t>
      </w:r>
      <w:r w:rsidR="00AA0D37" w:rsidRPr="00EA033A">
        <w:rPr>
          <w:rFonts w:asciiTheme="minorHAnsi" w:hAnsiTheme="minorHAnsi"/>
          <w:sz w:val="22"/>
          <w:szCs w:val="22"/>
        </w:rPr>
        <w:t xml:space="preserve">company/state level </w:t>
      </w:r>
      <w:r w:rsidR="007E2786" w:rsidRPr="00EA033A">
        <w:rPr>
          <w:rFonts w:asciiTheme="minorHAnsi" w:hAnsiTheme="minorHAnsi"/>
          <w:sz w:val="22"/>
          <w:szCs w:val="22"/>
        </w:rPr>
        <w:t xml:space="preserve">frame for this survey is constructed from company-state units identified in the Petroleum Product Sales Identification Survey (EIA-863).  </w:t>
      </w:r>
      <w:r w:rsidR="00F363B3" w:rsidRPr="00EA033A">
        <w:rPr>
          <w:rFonts w:asciiTheme="minorHAnsi" w:hAnsiTheme="minorHAnsi"/>
          <w:sz w:val="22"/>
          <w:szCs w:val="22"/>
        </w:rPr>
        <w:t xml:space="preserve">The current sampling frame </w:t>
      </w:r>
      <w:r w:rsidR="009160BB" w:rsidRPr="00EA033A">
        <w:rPr>
          <w:rFonts w:asciiTheme="minorHAnsi" w:hAnsiTheme="minorHAnsi"/>
          <w:sz w:val="22"/>
          <w:szCs w:val="22"/>
        </w:rPr>
        <w:t xml:space="preserve">for </w:t>
      </w:r>
      <w:r w:rsidR="00F363B3" w:rsidRPr="00EA033A">
        <w:rPr>
          <w:rFonts w:asciiTheme="minorHAnsi" w:hAnsiTheme="minorHAnsi"/>
          <w:sz w:val="22"/>
          <w:szCs w:val="22"/>
        </w:rPr>
        <w:t xml:space="preserve">units which sell either </w:t>
      </w:r>
      <w:r w:rsidR="009160BB" w:rsidRPr="00EA033A">
        <w:rPr>
          <w:rFonts w:asciiTheme="minorHAnsi" w:hAnsiTheme="minorHAnsi"/>
          <w:sz w:val="22"/>
          <w:szCs w:val="22"/>
        </w:rPr>
        <w:t xml:space="preserve">residential heating oil or </w:t>
      </w:r>
      <w:r w:rsidR="00F363B3" w:rsidRPr="00EA033A">
        <w:rPr>
          <w:rFonts w:asciiTheme="minorHAnsi" w:hAnsiTheme="minorHAnsi"/>
          <w:sz w:val="22"/>
          <w:szCs w:val="22"/>
        </w:rPr>
        <w:t xml:space="preserve">propane or hearing oil consists </w:t>
      </w:r>
      <w:r w:rsidR="00EB48CD" w:rsidRPr="00EA033A">
        <w:rPr>
          <w:rFonts w:asciiTheme="minorHAnsi" w:hAnsiTheme="minorHAnsi"/>
          <w:sz w:val="22"/>
          <w:szCs w:val="22"/>
        </w:rPr>
        <w:t xml:space="preserve">of </w:t>
      </w:r>
      <w:r w:rsidR="007E2786" w:rsidRPr="00EA033A">
        <w:rPr>
          <w:rFonts w:asciiTheme="minorHAnsi" w:hAnsiTheme="minorHAnsi"/>
          <w:sz w:val="22"/>
          <w:szCs w:val="22"/>
        </w:rPr>
        <w:t>14,000 companies</w:t>
      </w:r>
      <w:r w:rsidR="009160BB" w:rsidRPr="00EA033A">
        <w:rPr>
          <w:rFonts w:asciiTheme="minorHAnsi" w:hAnsiTheme="minorHAnsi"/>
          <w:sz w:val="22"/>
          <w:szCs w:val="22"/>
        </w:rPr>
        <w:t xml:space="preserve"> in 24 states</w:t>
      </w:r>
      <w:r w:rsidR="007E2786" w:rsidRPr="00EA033A">
        <w:rPr>
          <w:rFonts w:asciiTheme="minorHAnsi" w:hAnsiTheme="minorHAnsi"/>
          <w:sz w:val="22"/>
          <w:szCs w:val="22"/>
        </w:rPr>
        <w:t xml:space="preserve">.  </w:t>
      </w:r>
      <w:r w:rsidR="009160BB" w:rsidRPr="00EA033A">
        <w:rPr>
          <w:rFonts w:asciiTheme="minorHAnsi" w:hAnsiTheme="minorHAnsi"/>
          <w:sz w:val="22"/>
          <w:szCs w:val="22"/>
        </w:rPr>
        <w:t>For residential propane sellers, an outlet level frame is used for the second phase selection of individual outlets to represent the companies selected in the first phase. This frame currently includes about 4,200 active outlets</w:t>
      </w:r>
      <w:r w:rsidR="00613525" w:rsidRPr="00EA033A">
        <w:rPr>
          <w:rFonts w:asciiTheme="minorHAnsi" w:hAnsiTheme="minorHAnsi"/>
          <w:color w:val="000000"/>
          <w:sz w:val="22"/>
          <w:szCs w:val="22"/>
        </w:rPr>
        <w:t xml:space="preserve">.  </w:t>
      </w:r>
    </w:p>
    <w:p w:rsidR="009F30E3" w:rsidRPr="00EA033A" w:rsidRDefault="00C238A2" w:rsidP="00EA033A">
      <w:pPr>
        <w:pStyle w:val="Bullet"/>
        <w:spacing w:line="360" w:lineRule="auto"/>
        <w:jc w:val="left"/>
        <w:rPr>
          <w:rFonts w:asciiTheme="minorHAnsi" w:hAnsiTheme="minorHAnsi"/>
          <w:sz w:val="22"/>
          <w:szCs w:val="22"/>
        </w:rPr>
      </w:pPr>
      <w:r w:rsidRPr="00EA033A">
        <w:rPr>
          <w:rFonts w:asciiTheme="minorHAnsi" w:hAnsiTheme="minorHAnsi"/>
          <w:color w:val="000000"/>
          <w:sz w:val="22"/>
          <w:szCs w:val="22"/>
        </w:rPr>
        <w:t>EIA-878</w:t>
      </w:r>
      <w:r w:rsidR="00613525" w:rsidRPr="00EA033A">
        <w:rPr>
          <w:rFonts w:asciiTheme="minorHAnsi" w:hAnsiTheme="minorHAnsi"/>
          <w:color w:val="000000"/>
          <w:sz w:val="22"/>
          <w:szCs w:val="22"/>
        </w:rPr>
        <w:t>, “</w:t>
      </w:r>
      <w:r w:rsidR="00613525" w:rsidRPr="00EA033A">
        <w:rPr>
          <w:rStyle w:val="Strong"/>
          <w:rFonts w:asciiTheme="minorHAnsi" w:hAnsiTheme="minorHAnsi"/>
          <w:b w:val="0"/>
          <w:sz w:val="22"/>
          <w:szCs w:val="22"/>
        </w:rPr>
        <w:t>Motor Gasoline Price Survey</w:t>
      </w:r>
      <w:r w:rsidR="007E2786" w:rsidRPr="00EA033A">
        <w:rPr>
          <w:rStyle w:val="Strong"/>
          <w:rFonts w:asciiTheme="minorHAnsi" w:hAnsiTheme="minorHAnsi"/>
          <w:b w:val="0"/>
          <w:sz w:val="22"/>
          <w:szCs w:val="22"/>
        </w:rPr>
        <w:t>.</w:t>
      </w:r>
      <w:r w:rsidR="00EE1623" w:rsidRPr="00EA033A">
        <w:rPr>
          <w:rFonts w:asciiTheme="minorHAnsi" w:hAnsiTheme="minorHAnsi"/>
          <w:bCs/>
          <w:sz w:val="22"/>
          <w:szCs w:val="22"/>
        </w:rPr>
        <w:t>”</w:t>
      </w:r>
      <w:r w:rsidR="005270BB" w:rsidRPr="00EA033A">
        <w:rPr>
          <w:rFonts w:asciiTheme="minorHAnsi" w:hAnsiTheme="minorHAnsi"/>
          <w:sz w:val="22"/>
          <w:szCs w:val="22"/>
        </w:rPr>
        <w:t xml:space="preserve"> </w:t>
      </w:r>
      <w:r w:rsidR="009F30E3" w:rsidRPr="00EA033A">
        <w:rPr>
          <w:rFonts w:asciiTheme="minorHAnsi" w:hAnsiTheme="minorHAnsi"/>
          <w:sz w:val="22"/>
          <w:szCs w:val="22"/>
        </w:rPr>
        <w:t xml:space="preserve">The sample for the Motor Gasoline Price Survey was drawn from a frame of approximately 115,000 retail gasoline outlets. The gasoline outlet frame was constructed by combining </w:t>
      </w:r>
      <w:r w:rsidR="009160BB" w:rsidRPr="00EA033A">
        <w:rPr>
          <w:rFonts w:asciiTheme="minorHAnsi" w:hAnsiTheme="minorHAnsi"/>
          <w:sz w:val="22"/>
          <w:szCs w:val="22"/>
        </w:rPr>
        <w:t xml:space="preserve">outlet level name and address </w:t>
      </w:r>
      <w:r w:rsidR="009F30E3" w:rsidRPr="00EA033A">
        <w:rPr>
          <w:rFonts w:asciiTheme="minorHAnsi" w:hAnsiTheme="minorHAnsi"/>
          <w:sz w:val="22"/>
          <w:szCs w:val="22"/>
        </w:rPr>
        <w:t xml:space="preserve">information purchased from </w:t>
      </w:r>
      <w:r w:rsidR="009160BB" w:rsidRPr="00EA033A">
        <w:rPr>
          <w:rFonts w:asciiTheme="minorHAnsi" w:hAnsiTheme="minorHAnsi"/>
          <w:sz w:val="22"/>
          <w:szCs w:val="22"/>
        </w:rPr>
        <w:t xml:space="preserve">the Oil Price Information Service (OPIS) </w:t>
      </w:r>
      <w:r w:rsidR="009F30E3" w:rsidRPr="00EA033A">
        <w:rPr>
          <w:rFonts w:asciiTheme="minorHAnsi" w:hAnsiTheme="minorHAnsi"/>
          <w:sz w:val="22"/>
          <w:szCs w:val="22"/>
        </w:rPr>
        <w:t xml:space="preserve">with information contained on </w:t>
      </w:r>
      <w:r w:rsidR="009160BB" w:rsidRPr="00EA033A">
        <w:rPr>
          <w:rFonts w:asciiTheme="minorHAnsi" w:hAnsiTheme="minorHAnsi"/>
          <w:sz w:val="22"/>
          <w:szCs w:val="22"/>
        </w:rPr>
        <w:t xml:space="preserve">the EIA-782A and B surveys from sellers of motor gasoline through retail outlets. Additional information was obtained directly from companies selling retail gasoline to supplement information deficient on the OPIS list. </w:t>
      </w:r>
      <w:r w:rsidR="009F30E3" w:rsidRPr="00EA033A">
        <w:rPr>
          <w:rFonts w:asciiTheme="minorHAnsi" w:hAnsiTheme="minorHAnsi"/>
          <w:sz w:val="22"/>
          <w:szCs w:val="22"/>
        </w:rPr>
        <w:t xml:space="preserve">The individual frame outlets were mapped to counties using their zip codes. The outlets were then assigned to the published geographic areas as defined by the EPA program area, or for conventional gasoline areas, as defined by the Census Bureau’s Standard Metropolitan Statistical Areas (SMSA) using their county assignment.   </w:t>
      </w:r>
    </w:p>
    <w:p w:rsidR="00ED420A" w:rsidRPr="00EA033A" w:rsidRDefault="00C238A2" w:rsidP="00EA033A">
      <w:pPr>
        <w:pStyle w:val="Bullet"/>
        <w:spacing w:line="360" w:lineRule="auto"/>
        <w:jc w:val="left"/>
        <w:rPr>
          <w:rFonts w:asciiTheme="minorHAnsi" w:hAnsiTheme="minorHAnsi"/>
          <w:sz w:val="22"/>
          <w:szCs w:val="22"/>
        </w:rPr>
      </w:pPr>
      <w:r w:rsidRPr="00EA033A">
        <w:rPr>
          <w:rFonts w:asciiTheme="minorHAnsi" w:hAnsiTheme="minorHAnsi"/>
          <w:sz w:val="22"/>
          <w:szCs w:val="22"/>
        </w:rPr>
        <w:t>EIA-888</w:t>
      </w:r>
      <w:r w:rsidR="00613525" w:rsidRPr="00EA033A">
        <w:rPr>
          <w:rFonts w:asciiTheme="minorHAnsi" w:hAnsiTheme="minorHAnsi"/>
          <w:sz w:val="22"/>
          <w:szCs w:val="22"/>
        </w:rPr>
        <w:t>, “</w:t>
      </w:r>
      <w:r w:rsidR="00613525" w:rsidRPr="00EA033A">
        <w:rPr>
          <w:rStyle w:val="Strong"/>
          <w:rFonts w:asciiTheme="minorHAnsi" w:hAnsiTheme="minorHAnsi"/>
          <w:b w:val="0"/>
          <w:sz w:val="22"/>
          <w:szCs w:val="22"/>
        </w:rPr>
        <w:t>On-Highway Diesel Fuel Price Survey</w:t>
      </w:r>
      <w:r w:rsidR="007E2786" w:rsidRPr="00EA033A">
        <w:rPr>
          <w:rStyle w:val="Strong"/>
          <w:rFonts w:asciiTheme="minorHAnsi" w:hAnsiTheme="minorHAnsi"/>
          <w:b w:val="0"/>
          <w:sz w:val="22"/>
          <w:szCs w:val="22"/>
        </w:rPr>
        <w:t>.</w:t>
      </w:r>
      <w:r w:rsidR="00EE1623" w:rsidRPr="00EA033A">
        <w:rPr>
          <w:rFonts w:asciiTheme="minorHAnsi" w:hAnsiTheme="minorHAnsi"/>
          <w:bCs/>
          <w:sz w:val="22"/>
          <w:szCs w:val="22"/>
        </w:rPr>
        <w:t>”</w:t>
      </w:r>
      <w:r w:rsidR="005270BB" w:rsidRPr="00EA033A">
        <w:rPr>
          <w:rFonts w:asciiTheme="minorHAnsi" w:hAnsiTheme="minorHAnsi"/>
          <w:sz w:val="22"/>
          <w:szCs w:val="22"/>
        </w:rPr>
        <w:t xml:space="preserve"> </w:t>
      </w:r>
      <w:r w:rsidR="00812D1F" w:rsidRPr="00EA033A">
        <w:rPr>
          <w:rFonts w:asciiTheme="minorHAnsi" w:hAnsiTheme="minorHAnsi"/>
          <w:sz w:val="22"/>
          <w:szCs w:val="22"/>
        </w:rPr>
        <w:t xml:space="preserve">The outlet sampling frame was constructed using commercially available lists from several sources in order to provide comprehensive coverage of truck stops and service stations that sell on-highway diesel fuel in the United States. The frame includes about 62,000 service stations and 4,000 truck stops. </w:t>
      </w:r>
    </w:p>
    <w:p w:rsidR="00676A5E" w:rsidRPr="00EA033A" w:rsidRDefault="00676A5E" w:rsidP="00EA033A">
      <w:pPr>
        <w:pStyle w:val="Heading7"/>
        <w:spacing w:line="360" w:lineRule="auto"/>
        <w:rPr>
          <w:rFonts w:asciiTheme="majorHAnsi" w:hAnsiTheme="majorHAnsi"/>
          <w:sz w:val="32"/>
          <w:szCs w:val="28"/>
        </w:rPr>
      </w:pPr>
      <w:r w:rsidRPr="00EA033A">
        <w:rPr>
          <w:rFonts w:asciiTheme="majorHAnsi" w:hAnsiTheme="majorHAnsi"/>
          <w:sz w:val="32"/>
          <w:szCs w:val="28"/>
        </w:rPr>
        <w:t>2.</w:t>
      </w:r>
      <w:r w:rsidRPr="00EA033A">
        <w:rPr>
          <w:rFonts w:asciiTheme="majorHAnsi" w:hAnsiTheme="majorHAnsi"/>
          <w:sz w:val="32"/>
          <w:szCs w:val="28"/>
        </w:rPr>
        <w:tab/>
      </w:r>
      <w:r w:rsidRPr="00EA033A">
        <w:rPr>
          <w:rFonts w:asciiTheme="majorHAnsi" w:hAnsiTheme="majorHAnsi"/>
          <w:caps w:val="0"/>
          <w:sz w:val="32"/>
          <w:szCs w:val="28"/>
        </w:rPr>
        <w:t>Sampling Methodology and Estimation Procedures</w:t>
      </w:r>
    </w:p>
    <w:p w:rsidR="00424AF9" w:rsidRPr="00EA033A" w:rsidRDefault="004C4EBB" w:rsidP="00EA033A">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00" w:beforeAutospacing="1" w:after="100" w:afterAutospacing="1" w:line="360" w:lineRule="auto"/>
        <w:rPr>
          <w:rFonts w:cs="Times New Roman"/>
          <w:color w:val="000000"/>
          <w:sz w:val="22"/>
          <w:szCs w:val="24"/>
        </w:rPr>
      </w:pPr>
      <w:r w:rsidRPr="00EA033A">
        <w:rPr>
          <w:rFonts w:cs="Times New Roman"/>
          <w:sz w:val="22"/>
          <w:szCs w:val="24"/>
        </w:rPr>
        <w:t>Six of the ten</w:t>
      </w:r>
      <w:r w:rsidR="00EB48CD" w:rsidRPr="00EA033A">
        <w:rPr>
          <w:rFonts w:cs="Times New Roman"/>
          <w:sz w:val="22"/>
          <w:szCs w:val="24"/>
        </w:rPr>
        <w:t xml:space="preserve"> petroleum marketing surveys—the EIA-14, </w:t>
      </w:r>
      <w:r w:rsidR="003C502B" w:rsidRPr="00EA033A">
        <w:rPr>
          <w:rFonts w:cs="Times New Roman"/>
          <w:sz w:val="22"/>
          <w:szCs w:val="24"/>
        </w:rPr>
        <w:t xml:space="preserve">the </w:t>
      </w:r>
      <w:r w:rsidR="00EB48CD" w:rsidRPr="00EA033A">
        <w:rPr>
          <w:rFonts w:cs="Times New Roman"/>
          <w:sz w:val="22"/>
          <w:szCs w:val="24"/>
        </w:rPr>
        <w:t xml:space="preserve">EIA-182, </w:t>
      </w:r>
      <w:r w:rsidR="003C502B" w:rsidRPr="00EA033A">
        <w:rPr>
          <w:rFonts w:cs="Times New Roman"/>
          <w:sz w:val="22"/>
          <w:szCs w:val="24"/>
        </w:rPr>
        <w:t xml:space="preserve">the </w:t>
      </w:r>
      <w:r w:rsidR="00EB48CD" w:rsidRPr="00EA033A">
        <w:rPr>
          <w:rFonts w:cs="Times New Roman"/>
          <w:sz w:val="22"/>
          <w:szCs w:val="24"/>
        </w:rPr>
        <w:t xml:space="preserve">EIA-782A, </w:t>
      </w:r>
      <w:r w:rsidR="003C502B" w:rsidRPr="00EA033A">
        <w:rPr>
          <w:rFonts w:cs="Times New Roman"/>
          <w:sz w:val="22"/>
          <w:szCs w:val="24"/>
        </w:rPr>
        <w:t xml:space="preserve">the </w:t>
      </w:r>
      <w:r w:rsidR="00EB48CD" w:rsidRPr="00EA033A">
        <w:rPr>
          <w:rFonts w:cs="Times New Roman"/>
          <w:sz w:val="22"/>
          <w:szCs w:val="24"/>
        </w:rPr>
        <w:t xml:space="preserve">EIA-782C, </w:t>
      </w:r>
      <w:r w:rsidR="003C502B" w:rsidRPr="00EA033A">
        <w:rPr>
          <w:rFonts w:cs="Times New Roman"/>
          <w:sz w:val="22"/>
          <w:szCs w:val="24"/>
        </w:rPr>
        <w:t xml:space="preserve">the </w:t>
      </w:r>
      <w:r w:rsidR="00EB48CD" w:rsidRPr="00EA033A">
        <w:rPr>
          <w:rFonts w:cs="Times New Roman"/>
          <w:sz w:val="22"/>
          <w:szCs w:val="24"/>
        </w:rPr>
        <w:t xml:space="preserve">EIA-856, and the EIA-863—are censuses so no weighting is required.  </w:t>
      </w:r>
      <w:r w:rsidR="007A4C1D" w:rsidRPr="00EA033A">
        <w:rPr>
          <w:rFonts w:cs="Times New Roman"/>
          <w:color w:val="000000"/>
          <w:sz w:val="22"/>
          <w:szCs w:val="24"/>
        </w:rPr>
        <w:t>The EIA-856 is a cut-off sample and the target population is all</w:t>
      </w:r>
      <w:r w:rsidR="00EB48CD" w:rsidRPr="00EA033A">
        <w:rPr>
          <w:rFonts w:cs="Times New Roman"/>
          <w:color w:val="000000"/>
          <w:sz w:val="22"/>
          <w:szCs w:val="24"/>
        </w:rPr>
        <w:t xml:space="preserve"> companies with over 500,000 </w:t>
      </w:r>
      <w:r w:rsidR="00BA3374" w:rsidRPr="00BA3374">
        <w:rPr>
          <w:color w:val="000000"/>
          <w:sz w:val="22"/>
          <w:szCs w:val="22"/>
        </w:rPr>
        <w:t>barrels of foreign crude oil in the report month for importation into the United States</w:t>
      </w:r>
      <w:r w:rsidR="007A4C1D" w:rsidRPr="00BA3374">
        <w:rPr>
          <w:rFonts w:cs="Times New Roman"/>
          <w:color w:val="000000"/>
          <w:sz w:val="22"/>
          <w:szCs w:val="22"/>
        </w:rPr>
        <w:t>. O</w:t>
      </w:r>
      <w:r w:rsidR="007A4C1D" w:rsidRPr="00EA033A">
        <w:rPr>
          <w:rFonts w:cs="Times New Roman"/>
          <w:color w:val="000000"/>
          <w:sz w:val="22"/>
          <w:szCs w:val="24"/>
        </w:rPr>
        <w:t>ne respondent with less than 500,000 barrels</w:t>
      </w:r>
      <w:r w:rsidR="00F16C6E" w:rsidRPr="00EA033A">
        <w:rPr>
          <w:rFonts w:cs="Times New Roman"/>
          <w:color w:val="000000"/>
          <w:sz w:val="22"/>
          <w:szCs w:val="24"/>
        </w:rPr>
        <w:t xml:space="preserve"> </w:t>
      </w:r>
      <w:r w:rsidR="007A4C1D" w:rsidRPr="00EA033A">
        <w:rPr>
          <w:rFonts w:cs="Times New Roman"/>
          <w:color w:val="000000"/>
          <w:sz w:val="22"/>
          <w:szCs w:val="24"/>
        </w:rPr>
        <w:t>is</w:t>
      </w:r>
      <w:r w:rsidR="00F16C6E" w:rsidRPr="00EA033A">
        <w:rPr>
          <w:rFonts w:cs="Times New Roman"/>
          <w:color w:val="000000"/>
          <w:sz w:val="22"/>
          <w:szCs w:val="24"/>
        </w:rPr>
        <w:t xml:space="preserve"> required to report </w:t>
      </w:r>
      <w:r w:rsidR="007A4C1D" w:rsidRPr="00EA033A">
        <w:rPr>
          <w:rFonts w:cs="Times New Roman"/>
          <w:color w:val="000000"/>
          <w:sz w:val="22"/>
          <w:szCs w:val="24"/>
        </w:rPr>
        <w:t>because they were</w:t>
      </w:r>
      <w:r w:rsidR="00F16C6E" w:rsidRPr="00EA033A">
        <w:rPr>
          <w:rFonts w:cs="Times New Roman"/>
          <w:color w:val="000000"/>
          <w:sz w:val="22"/>
          <w:szCs w:val="24"/>
        </w:rPr>
        <w:t xml:space="preserve"> </w:t>
      </w:r>
      <w:r w:rsidR="007A4C1D" w:rsidRPr="00EA033A">
        <w:rPr>
          <w:rFonts w:cs="Times New Roman"/>
          <w:color w:val="000000"/>
          <w:sz w:val="22"/>
          <w:szCs w:val="24"/>
        </w:rPr>
        <w:t xml:space="preserve">originally on </w:t>
      </w:r>
      <w:r w:rsidR="00F16C6E" w:rsidRPr="00EA033A">
        <w:rPr>
          <w:rFonts w:cs="Times New Roman"/>
          <w:color w:val="000000"/>
          <w:sz w:val="22"/>
          <w:szCs w:val="24"/>
        </w:rPr>
        <w:t>the frame in 1982.</w:t>
      </w:r>
      <w:r w:rsidR="00424AF9" w:rsidRPr="00EA033A">
        <w:rPr>
          <w:rFonts w:cs="Times New Roman"/>
          <w:color w:val="000000"/>
          <w:sz w:val="22"/>
          <w:szCs w:val="24"/>
        </w:rPr>
        <w:t xml:space="preserve"> The volume weighted price is used for estimation in all of these surveys.  The total cost</w:t>
      </w:r>
      <w:r w:rsidR="007A4C1D" w:rsidRPr="00EA033A">
        <w:rPr>
          <w:rFonts w:cs="Times New Roman"/>
          <w:color w:val="000000"/>
          <w:sz w:val="22"/>
          <w:szCs w:val="24"/>
        </w:rPr>
        <w:t xml:space="preserve">, </w:t>
      </w:r>
      <w:r w:rsidR="00424AF9" w:rsidRPr="00EA033A">
        <w:rPr>
          <w:rFonts w:cs="Times New Roman"/>
          <w:color w:val="000000"/>
          <w:sz w:val="22"/>
          <w:szCs w:val="24"/>
        </w:rPr>
        <w:t>price times volume</w:t>
      </w:r>
      <w:r w:rsidR="007A4C1D" w:rsidRPr="00EA033A">
        <w:rPr>
          <w:rFonts w:cs="Times New Roman"/>
          <w:color w:val="000000"/>
          <w:sz w:val="22"/>
          <w:szCs w:val="24"/>
        </w:rPr>
        <w:t>,</w:t>
      </w:r>
      <w:r w:rsidR="00424AF9" w:rsidRPr="00EA033A">
        <w:rPr>
          <w:rFonts w:cs="Times New Roman"/>
          <w:color w:val="000000"/>
          <w:sz w:val="22"/>
          <w:szCs w:val="24"/>
        </w:rPr>
        <w:t xml:space="preserve"> is divided by a corresponding total volume to arrive at a volume weighted average cost.</w:t>
      </w:r>
    </w:p>
    <w:p w:rsidR="00E26412" w:rsidRPr="00EA033A" w:rsidRDefault="00EB48CD" w:rsidP="00EA033A">
      <w:pPr>
        <w:pStyle w:val="TEXT"/>
        <w:rPr>
          <w:color w:val="000000"/>
        </w:rPr>
      </w:pPr>
      <w:r w:rsidRPr="00EA033A">
        <w:t xml:space="preserve">For the remaining surveys, </w:t>
      </w:r>
      <w:r w:rsidR="00F16C6E" w:rsidRPr="00EA033A">
        <w:t xml:space="preserve">sample </w:t>
      </w:r>
      <w:r w:rsidRPr="00EA033A">
        <w:t xml:space="preserve">weights are typically calculated as the inverse of the probability of selection of the sampled company or outlet.  The price surveys create volume-weights for use in estimation, which are the product of the sampling weight times a sales volume measure for the outlet.  </w:t>
      </w:r>
    </w:p>
    <w:p w:rsidR="008A1C78" w:rsidRPr="00EA033A" w:rsidRDefault="00EA7EAF" w:rsidP="00EA033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sz w:val="22"/>
          <w:szCs w:val="24"/>
        </w:rPr>
      </w:pPr>
      <w:r w:rsidRPr="00EA033A">
        <w:rPr>
          <w:rFonts w:cs="Times New Roman"/>
          <w:color w:val="000000"/>
          <w:sz w:val="22"/>
          <w:szCs w:val="24"/>
        </w:rPr>
        <w:t xml:space="preserve">Sampling Methodology and </w:t>
      </w:r>
      <w:r w:rsidR="00F16C6E" w:rsidRPr="00EA033A">
        <w:rPr>
          <w:rFonts w:cs="Times New Roman"/>
          <w:color w:val="000000"/>
          <w:sz w:val="22"/>
          <w:szCs w:val="24"/>
        </w:rPr>
        <w:t xml:space="preserve">Statistical </w:t>
      </w:r>
      <w:r w:rsidRPr="00EA033A">
        <w:rPr>
          <w:rFonts w:cs="Times New Roman"/>
          <w:color w:val="000000"/>
          <w:sz w:val="22"/>
          <w:szCs w:val="24"/>
        </w:rPr>
        <w:t>Procedures</w:t>
      </w:r>
      <w:r w:rsidR="00904C8C" w:rsidRPr="00EA033A">
        <w:rPr>
          <w:rFonts w:cs="Times New Roman"/>
          <w:color w:val="000000"/>
          <w:sz w:val="22"/>
          <w:szCs w:val="24"/>
        </w:rPr>
        <w:t xml:space="preserve"> for Monthly Crude Oil Surveys</w:t>
      </w:r>
    </w:p>
    <w:p w:rsidR="00F16C6E" w:rsidRPr="00EA033A" w:rsidRDefault="00F16C6E" w:rsidP="00EA033A">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color w:val="000000"/>
          <w:sz w:val="22"/>
          <w:szCs w:val="24"/>
        </w:rPr>
      </w:pPr>
      <w:r w:rsidRPr="00EA033A">
        <w:rPr>
          <w:rFonts w:cs="Times New Roman"/>
          <w:color w:val="000000"/>
          <w:sz w:val="22"/>
          <w:szCs w:val="24"/>
        </w:rPr>
        <w:t xml:space="preserve">The </w:t>
      </w:r>
      <w:r w:rsidR="00EA7EAF" w:rsidRPr="00EA033A">
        <w:rPr>
          <w:rFonts w:cs="Times New Roman"/>
          <w:color w:val="000000"/>
          <w:sz w:val="22"/>
          <w:szCs w:val="24"/>
        </w:rPr>
        <w:t>EIA-14</w:t>
      </w:r>
      <w:r w:rsidRPr="00EA033A">
        <w:rPr>
          <w:rFonts w:cs="Times New Roman"/>
          <w:color w:val="000000"/>
          <w:sz w:val="22"/>
          <w:szCs w:val="24"/>
        </w:rPr>
        <w:t xml:space="preserve"> is a census.</w:t>
      </w:r>
      <w:r w:rsidR="007A4C1D" w:rsidRPr="00EA033A">
        <w:rPr>
          <w:rFonts w:cs="Times New Roman"/>
          <w:color w:val="000000"/>
          <w:sz w:val="22"/>
          <w:szCs w:val="24"/>
        </w:rPr>
        <w:t xml:space="preserve"> </w:t>
      </w:r>
    </w:p>
    <w:p w:rsidR="00F16C6E" w:rsidRPr="00EA033A" w:rsidRDefault="00F16C6E" w:rsidP="00EA033A">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color w:val="000000"/>
          <w:sz w:val="22"/>
          <w:szCs w:val="24"/>
        </w:rPr>
      </w:pPr>
      <w:r w:rsidRPr="00EA033A">
        <w:rPr>
          <w:rFonts w:cs="Times New Roman"/>
          <w:color w:val="000000"/>
          <w:sz w:val="22"/>
          <w:szCs w:val="24"/>
        </w:rPr>
        <w:t xml:space="preserve">The </w:t>
      </w:r>
      <w:r w:rsidR="007444A0" w:rsidRPr="00EA033A">
        <w:rPr>
          <w:rFonts w:cs="Times New Roman"/>
          <w:color w:val="000000"/>
          <w:sz w:val="22"/>
          <w:szCs w:val="24"/>
        </w:rPr>
        <w:t>182</w:t>
      </w:r>
      <w:r w:rsidRPr="00EA033A">
        <w:rPr>
          <w:rFonts w:cs="Times New Roman"/>
          <w:color w:val="000000"/>
          <w:sz w:val="22"/>
          <w:szCs w:val="24"/>
        </w:rPr>
        <w:t xml:space="preserve"> is a census. </w:t>
      </w:r>
      <w:r w:rsidR="008F3DE4" w:rsidRPr="00EA033A">
        <w:rPr>
          <w:rFonts w:cs="Times New Roman"/>
          <w:color w:val="000000"/>
          <w:sz w:val="22"/>
          <w:szCs w:val="24"/>
        </w:rPr>
        <w:t xml:space="preserve">To obtain a national </w:t>
      </w:r>
      <w:r w:rsidR="00373347" w:rsidRPr="00EA033A">
        <w:rPr>
          <w:rFonts w:cs="Times New Roman"/>
          <w:color w:val="000000"/>
          <w:sz w:val="22"/>
          <w:szCs w:val="24"/>
        </w:rPr>
        <w:t xml:space="preserve">weighted </w:t>
      </w:r>
      <w:r w:rsidR="008F3DE4" w:rsidRPr="00EA033A">
        <w:rPr>
          <w:rFonts w:cs="Times New Roman"/>
          <w:color w:val="000000"/>
          <w:sz w:val="22"/>
          <w:szCs w:val="24"/>
        </w:rPr>
        <w:t>average price, t</w:t>
      </w:r>
      <w:r w:rsidR="006D226B" w:rsidRPr="00EA033A">
        <w:rPr>
          <w:rFonts w:cs="Times New Roman"/>
          <w:color w:val="000000"/>
          <w:sz w:val="22"/>
          <w:szCs w:val="24"/>
        </w:rPr>
        <w:t>he total cost (amount paid times volume purchased) is divided by corresponding total volume. Subsequently, the data are sorted by crude stream within each State.  These data are aggregated across all companies reporting purchases from a given State.  Weighted average prices for crude oil are then de</w:t>
      </w:r>
      <w:r w:rsidR="007A4C1D" w:rsidRPr="00EA033A">
        <w:rPr>
          <w:rFonts w:cs="Times New Roman"/>
          <w:color w:val="000000"/>
          <w:sz w:val="22"/>
          <w:szCs w:val="24"/>
        </w:rPr>
        <w:t>rived for each producing State and for</w:t>
      </w:r>
      <w:r w:rsidR="006D226B" w:rsidRPr="00EA033A">
        <w:rPr>
          <w:rFonts w:cs="Times New Roman"/>
          <w:color w:val="000000"/>
          <w:sz w:val="22"/>
          <w:szCs w:val="24"/>
        </w:rPr>
        <w:t xml:space="preserve"> the Outer Continental Shelf regions, Alaska No</w:t>
      </w:r>
      <w:r w:rsidR="007A4C1D" w:rsidRPr="00EA033A">
        <w:rPr>
          <w:rFonts w:cs="Times New Roman"/>
          <w:color w:val="000000"/>
          <w:sz w:val="22"/>
          <w:szCs w:val="24"/>
        </w:rPr>
        <w:t>rth Slope and Alaska Other</w:t>
      </w:r>
      <w:r w:rsidR="006D226B" w:rsidRPr="00EA033A">
        <w:rPr>
          <w:rFonts w:cs="Times New Roman"/>
          <w:color w:val="000000"/>
          <w:sz w:val="22"/>
          <w:szCs w:val="24"/>
        </w:rPr>
        <w:t>.</w:t>
      </w:r>
    </w:p>
    <w:p w:rsidR="00F16C6E" w:rsidRPr="00BA3374" w:rsidRDefault="00F16C6E" w:rsidP="00EA033A">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color w:val="000000"/>
          <w:sz w:val="22"/>
          <w:szCs w:val="22"/>
        </w:rPr>
      </w:pPr>
      <w:r w:rsidRPr="00BA3374">
        <w:rPr>
          <w:rFonts w:cs="Times New Roman"/>
          <w:color w:val="000000"/>
          <w:sz w:val="22"/>
          <w:szCs w:val="22"/>
        </w:rPr>
        <w:t xml:space="preserve">The EIA-856 is a cut-off sample, with </w:t>
      </w:r>
      <w:r w:rsidR="006871FC" w:rsidRPr="00BA3374">
        <w:rPr>
          <w:rFonts w:cs="Times New Roman"/>
          <w:color w:val="000000"/>
          <w:sz w:val="22"/>
          <w:szCs w:val="22"/>
        </w:rPr>
        <w:t>a census of those companies importing</w:t>
      </w:r>
      <w:r w:rsidRPr="00BA3374">
        <w:rPr>
          <w:rFonts w:cs="Times New Roman"/>
          <w:color w:val="000000"/>
          <w:sz w:val="22"/>
          <w:szCs w:val="22"/>
        </w:rPr>
        <w:t xml:space="preserve"> over 500,000 barrels </w:t>
      </w:r>
      <w:r w:rsidR="00BA3374" w:rsidRPr="00BA3374">
        <w:rPr>
          <w:rFonts w:cs="Times New Roman"/>
          <w:color w:val="000000"/>
          <w:sz w:val="22"/>
          <w:szCs w:val="22"/>
        </w:rPr>
        <w:t>of foreign crude oil in the report month for importation into the United States</w:t>
      </w:r>
      <w:r w:rsidRPr="00BA3374">
        <w:rPr>
          <w:rFonts w:cs="Times New Roman"/>
          <w:color w:val="000000"/>
          <w:sz w:val="22"/>
          <w:szCs w:val="22"/>
        </w:rPr>
        <w:t xml:space="preserve"> for one respondent who is required to report that was on the frame in 1982.</w:t>
      </w:r>
    </w:p>
    <w:p w:rsidR="007E40E0" w:rsidRDefault="007E40E0" w:rsidP="007E40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color w:val="000000"/>
          <w:sz w:val="22"/>
          <w:szCs w:val="24"/>
        </w:rPr>
      </w:pPr>
    </w:p>
    <w:p w:rsidR="00EA7EAF" w:rsidRPr="00EA033A" w:rsidRDefault="00EA7EAF" w:rsidP="00EA033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color w:val="000000"/>
          <w:sz w:val="22"/>
          <w:szCs w:val="24"/>
        </w:rPr>
      </w:pPr>
      <w:r w:rsidRPr="00EA033A">
        <w:rPr>
          <w:rFonts w:cs="Times New Roman"/>
          <w:color w:val="000000"/>
          <w:sz w:val="22"/>
          <w:szCs w:val="24"/>
        </w:rPr>
        <w:t>Sampling Me</w:t>
      </w:r>
      <w:r w:rsidR="00F16C6E" w:rsidRPr="00EA033A">
        <w:rPr>
          <w:rFonts w:cs="Times New Roman"/>
          <w:color w:val="000000"/>
          <w:sz w:val="22"/>
          <w:szCs w:val="24"/>
        </w:rPr>
        <w:t xml:space="preserve">thodology and Statistical </w:t>
      </w:r>
      <w:r w:rsidRPr="00EA033A">
        <w:rPr>
          <w:rFonts w:cs="Times New Roman"/>
          <w:color w:val="000000"/>
          <w:sz w:val="22"/>
          <w:szCs w:val="24"/>
        </w:rPr>
        <w:t xml:space="preserve">Procedures for </w:t>
      </w:r>
      <w:r w:rsidR="00F16C6E" w:rsidRPr="00EA033A">
        <w:rPr>
          <w:rFonts w:cs="Times New Roman"/>
          <w:color w:val="000000"/>
          <w:sz w:val="22"/>
          <w:szCs w:val="24"/>
        </w:rPr>
        <w:t xml:space="preserve">Monthly </w:t>
      </w:r>
      <w:r w:rsidRPr="00EA033A">
        <w:rPr>
          <w:rFonts w:cs="Times New Roman"/>
          <w:color w:val="000000"/>
          <w:sz w:val="22"/>
          <w:szCs w:val="24"/>
        </w:rPr>
        <w:t xml:space="preserve">Petroleum </w:t>
      </w:r>
      <w:r w:rsidR="00F16C6E" w:rsidRPr="00EA033A">
        <w:rPr>
          <w:rFonts w:cs="Times New Roman"/>
          <w:color w:val="000000"/>
          <w:sz w:val="22"/>
          <w:szCs w:val="24"/>
        </w:rPr>
        <w:t>Product Surveys</w:t>
      </w:r>
    </w:p>
    <w:p w:rsidR="00EA7EAF" w:rsidRPr="00EA033A" w:rsidRDefault="00F16C6E" w:rsidP="00EA03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sz w:val="22"/>
          <w:szCs w:val="24"/>
        </w:rPr>
      </w:pPr>
      <w:r w:rsidRPr="00EA033A">
        <w:rPr>
          <w:rFonts w:cs="Times New Roman"/>
          <w:color w:val="000000"/>
          <w:sz w:val="22"/>
          <w:szCs w:val="24"/>
        </w:rPr>
        <w:t xml:space="preserve">There are two monthly </w:t>
      </w:r>
      <w:r w:rsidR="00EA7EAF" w:rsidRPr="00EA033A">
        <w:rPr>
          <w:rFonts w:cs="Times New Roman"/>
          <w:color w:val="000000"/>
          <w:sz w:val="22"/>
          <w:szCs w:val="24"/>
        </w:rPr>
        <w:t xml:space="preserve">petroleum product surveys </w:t>
      </w:r>
      <w:r w:rsidRPr="00EA033A">
        <w:rPr>
          <w:rFonts w:cs="Times New Roman"/>
          <w:color w:val="000000"/>
          <w:sz w:val="22"/>
          <w:szCs w:val="24"/>
        </w:rPr>
        <w:t xml:space="preserve">and both </w:t>
      </w:r>
      <w:r w:rsidR="00EA7EAF" w:rsidRPr="00EA033A">
        <w:rPr>
          <w:rFonts w:cs="Times New Roman"/>
          <w:color w:val="000000"/>
          <w:sz w:val="22"/>
          <w:szCs w:val="24"/>
        </w:rPr>
        <w:t>are a census since the target population for each of these surveys is small.</w:t>
      </w:r>
      <w:r w:rsidR="00077764" w:rsidRPr="00EA033A">
        <w:rPr>
          <w:rFonts w:cs="Times New Roman"/>
          <w:color w:val="000000"/>
          <w:sz w:val="22"/>
          <w:szCs w:val="24"/>
        </w:rPr>
        <w:t xml:space="preserve"> </w:t>
      </w:r>
      <w:r w:rsidR="00EA7EAF" w:rsidRPr="00EA033A">
        <w:rPr>
          <w:rFonts w:cs="Times New Roman"/>
          <w:color w:val="000000"/>
          <w:sz w:val="22"/>
          <w:szCs w:val="24"/>
        </w:rPr>
        <w:t xml:space="preserve">The volume weighted price is used for estimation in all of </w:t>
      </w:r>
      <w:r w:rsidR="00D03C62" w:rsidRPr="00EA033A">
        <w:rPr>
          <w:rFonts w:cs="Times New Roman"/>
          <w:color w:val="000000"/>
          <w:sz w:val="22"/>
          <w:szCs w:val="24"/>
        </w:rPr>
        <w:t xml:space="preserve">these surveys.  The total cost, </w:t>
      </w:r>
      <w:r w:rsidR="00EA7EAF" w:rsidRPr="00EA033A">
        <w:rPr>
          <w:rFonts w:cs="Times New Roman"/>
          <w:color w:val="000000"/>
          <w:sz w:val="22"/>
          <w:szCs w:val="24"/>
        </w:rPr>
        <w:t>price times volume</w:t>
      </w:r>
      <w:r w:rsidR="00D03C62" w:rsidRPr="00EA033A">
        <w:rPr>
          <w:rFonts w:cs="Times New Roman"/>
          <w:color w:val="000000"/>
          <w:sz w:val="22"/>
          <w:szCs w:val="24"/>
        </w:rPr>
        <w:t>,</w:t>
      </w:r>
      <w:r w:rsidR="00EA7EAF" w:rsidRPr="00EA033A">
        <w:rPr>
          <w:rFonts w:cs="Times New Roman"/>
          <w:color w:val="000000"/>
          <w:sz w:val="22"/>
          <w:szCs w:val="24"/>
        </w:rPr>
        <w:t xml:space="preserve"> is divided by a corresponding total volume to arrive at a volume weighted average cost.</w:t>
      </w:r>
    </w:p>
    <w:p w:rsidR="00116FE8" w:rsidRPr="00EA033A" w:rsidRDefault="00116FE8" w:rsidP="00EA033A">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sz w:val="22"/>
          <w:szCs w:val="24"/>
        </w:rPr>
      </w:pPr>
      <w:r w:rsidRPr="00EA033A">
        <w:rPr>
          <w:rFonts w:cs="Times New Roman"/>
          <w:sz w:val="22"/>
          <w:szCs w:val="24"/>
        </w:rPr>
        <w:t>EIA-782A</w:t>
      </w:r>
      <w:r w:rsidR="00077764" w:rsidRPr="00EA033A">
        <w:rPr>
          <w:rFonts w:cs="Times New Roman"/>
          <w:sz w:val="22"/>
          <w:szCs w:val="24"/>
        </w:rPr>
        <w:t xml:space="preserve"> Aggregation</w:t>
      </w:r>
      <w:r w:rsidRPr="00EA033A">
        <w:rPr>
          <w:rFonts w:cs="Times New Roman"/>
          <w:sz w:val="22"/>
          <w:szCs w:val="24"/>
        </w:rPr>
        <w:t xml:space="preserve">: </w:t>
      </w:r>
      <w:r w:rsidR="00EA76D1" w:rsidRPr="00EA033A">
        <w:rPr>
          <w:rFonts w:cs="Times New Roman"/>
          <w:sz w:val="22"/>
          <w:szCs w:val="24"/>
        </w:rPr>
        <w:t>Data from t</w:t>
      </w:r>
      <w:r w:rsidRPr="00EA033A">
        <w:rPr>
          <w:rFonts w:cs="Times New Roman"/>
          <w:sz w:val="22"/>
          <w:szCs w:val="24"/>
        </w:rPr>
        <w:t xml:space="preserve">his survey </w:t>
      </w:r>
      <w:r w:rsidR="00EA76D1" w:rsidRPr="00EA033A">
        <w:rPr>
          <w:rFonts w:cs="Times New Roman"/>
          <w:sz w:val="22"/>
          <w:szCs w:val="24"/>
        </w:rPr>
        <w:t xml:space="preserve">is used to </w:t>
      </w:r>
      <w:r w:rsidRPr="00EA033A">
        <w:rPr>
          <w:rFonts w:cs="Times New Roman"/>
          <w:sz w:val="22"/>
          <w:szCs w:val="24"/>
        </w:rPr>
        <w:t xml:space="preserve">estimate the </w:t>
      </w:r>
      <w:r w:rsidR="00EA76D1" w:rsidRPr="00EA033A">
        <w:rPr>
          <w:rFonts w:cs="Times New Roman"/>
          <w:sz w:val="22"/>
          <w:szCs w:val="24"/>
        </w:rPr>
        <w:t xml:space="preserve">national </w:t>
      </w:r>
      <w:r w:rsidRPr="00EA033A">
        <w:rPr>
          <w:rFonts w:cs="Times New Roman"/>
          <w:sz w:val="22"/>
          <w:szCs w:val="24"/>
        </w:rPr>
        <w:t>average price for each product and m</w:t>
      </w:r>
      <w:r w:rsidR="00C032D2" w:rsidRPr="00EA033A">
        <w:rPr>
          <w:rFonts w:cs="Times New Roman"/>
          <w:sz w:val="22"/>
          <w:szCs w:val="24"/>
        </w:rPr>
        <w:t>arket</w:t>
      </w:r>
      <w:r w:rsidRPr="00EA033A">
        <w:rPr>
          <w:rFonts w:cs="Times New Roman"/>
          <w:sz w:val="22"/>
          <w:szCs w:val="24"/>
        </w:rPr>
        <w:t xml:space="preserve"> level</w:t>
      </w:r>
      <w:r w:rsidR="00C032D2" w:rsidRPr="00EA033A">
        <w:rPr>
          <w:rFonts w:cs="Times New Roman"/>
          <w:sz w:val="22"/>
          <w:szCs w:val="24"/>
        </w:rPr>
        <w:t xml:space="preserve"> - e.g., U.S., PADD, and State</w:t>
      </w:r>
      <w:r w:rsidRPr="00EA033A">
        <w:rPr>
          <w:rFonts w:cs="Times New Roman"/>
          <w:sz w:val="22"/>
          <w:szCs w:val="24"/>
        </w:rPr>
        <w:t>.  The price and volume data for each company are multiplied and then aggregated across all companies</w:t>
      </w:r>
      <w:r w:rsidR="00EA76D1" w:rsidRPr="00EA033A">
        <w:rPr>
          <w:rFonts w:cs="Times New Roman"/>
          <w:sz w:val="22"/>
          <w:szCs w:val="24"/>
        </w:rPr>
        <w:t xml:space="preserve"> </w:t>
      </w:r>
      <w:r w:rsidR="00C032D2" w:rsidRPr="00EA033A">
        <w:rPr>
          <w:rFonts w:cs="Times New Roman"/>
          <w:sz w:val="22"/>
          <w:szCs w:val="24"/>
        </w:rPr>
        <w:t>for each product and market</w:t>
      </w:r>
      <w:r w:rsidR="00EA76D1" w:rsidRPr="00EA033A">
        <w:rPr>
          <w:rFonts w:cs="Times New Roman"/>
          <w:sz w:val="22"/>
          <w:szCs w:val="24"/>
        </w:rPr>
        <w:t xml:space="preserve"> level</w:t>
      </w:r>
      <w:r w:rsidRPr="00EA033A">
        <w:rPr>
          <w:rFonts w:cs="Times New Roman"/>
          <w:sz w:val="22"/>
          <w:szCs w:val="24"/>
        </w:rPr>
        <w:t xml:space="preserve"> to obtain a total revenue figure.  This revenue is then divided by corresponding total volume to arrive at a volume weighted average price. </w:t>
      </w:r>
    </w:p>
    <w:p w:rsidR="00116FE8" w:rsidRPr="00EA033A" w:rsidRDefault="00116FE8" w:rsidP="00EA033A">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sz w:val="22"/>
          <w:szCs w:val="24"/>
        </w:rPr>
      </w:pPr>
      <w:r w:rsidRPr="00EA033A">
        <w:rPr>
          <w:rFonts w:cs="Times New Roman"/>
          <w:sz w:val="22"/>
          <w:szCs w:val="24"/>
        </w:rPr>
        <w:t>EIA-782C</w:t>
      </w:r>
      <w:r w:rsidR="00077764" w:rsidRPr="00EA033A">
        <w:rPr>
          <w:rFonts w:cs="Times New Roman"/>
          <w:sz w:val="22"/>
          <w:szCs w:val="24"/>
        </w:rPr>
        <w:t xml:space="preserve"> Aggregation</w:t>
      </w:r>
      <w:r w:rsidRPr="00EA033A">
        <w:rPr>
          <w:rFonts w:cs="Times New Roman"/>
          <w:sz w:val="22"/>
          <w:szCs w:val="24"/>
        </w:rPr>
        <w:t xml:space="preserve">: Because the EIA-782C is a census survey and only totals are published, the only estimation procedures used are for summing across companies.  </w:t>
      </w:r>
    </w:p>
    <w:p w:rsidR="00116FE8" w:rsidRPr="00EA033A" w:rsidRDefault="00116FE8" w:rsidP="00EA033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sz w:val="22"/>
          <w:szCs w:val="24"/>
        </w:rPr>
      </w:pPr>
    </w:p>
    <w:p w:rsidR="00904C8C" w:rsidRPr="00EA033A" w:rsidRDefault="00904C8C" w:rsidP="00EA033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color w:val="000000"/>
          <w:sz w:val="22"/>
          <w:szCs w:val="24"/>
        </w:rPr>
      </w:pPr>
      <w:r w:rsidRPr="00EA033A">
        <w:rPr>
          <w:rFonts w:cs="Times New Roman"/>
          <w:color w:val="000000"/>
          <w:sz w:val="22"/>
          <w:szCs w:val="24"/>
        </w:rPr>
        <w:t xml:space="preserve">Sampling </w:t>
      </w:r>
      <w:r w:rsidR="00EA7EAF" w:rsidRPr="00EA033A">
        <w:rPr>
          <w:rFonts w:cs="Times New Roman"/>
          <w:color w:val="000000"/>
          <w:sz w:val="22"/>
          <w:szCs w:val="24"/>
        </w:rPr>
        <w:t xml:space="preserve">Methodology </w:t>
      </w:r>
      <w:r w:rsidRPr="00EA033A">
        <w:rPr>
          <w:rFonts w:cs="Times New Roman"/>
          <w:color w:val="000000"/>
          <w:sz w:val="22"/>
          <w:szCs w:val="24"/>
        </w:rPr>
        <w:t xml:space="preserve">and Estimation </w:t>
      </w:r>
      <w:r w:rsidR="00F251C0" w:rsidRPr="00EA033A">
        <w:rPr>
          <w:rFonts w:cs="Times New Roman"/>
          <w:color w:val="000000"/>
          <w:sz w:val="22"/>
          <w:szCs w:val="24"/>
        </w:rPr>
        <w:t>Procedures</w:t>
      </w:r>
      <w:r w:rsidRPr="00EA033A">
        <w:rPr>
          <w:rFonts w:cs="Times New Roman"/>
          <w:color w:val="000000"/>
          <w:sz w:val="22"/>
          <w:szCs w:val="24"/>
        </w:rPr>
        <w:t xml:space="preserve"> for Weekly Petroleum</w:t>
      </w:r>
      <w:r w:rsidR="00FB4D13" w:rsidRPr="00EA033A">
        <w:rPr>
          <w:rFonts w:cs="Times New Roman"/>
          <w:color w:val="000000"/>
          <w:sz w:val="22"/>
          <w:szCs w:val="24"/>
        </w:rPr>
        <w:t xml:space="preserve"> Product</w:t>
      </w:r>
      <w:r w:rsidRPr="00EA033A">
        <w:rPr>
          <w:rFonts w:cs="Times New Roman"/>
          <w:color w:val="000000"/>
          <w:sz w:val="22"/>
          <w:szCs w:val="24"/>
        </w:rPr>
        <w:t xml:space="preserve"> Surveys </w:t>
      </w:r>
    </w:p>
    <w:p w:rsidR="009160BB" w:rsidRPr="00EA033A" w:rsidRDefault="00F251C0" w:rsidP="00EA03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sz w:val="22"/>
          <w:szCs w:val="24"/>
        </w:rPr>
      </w:pPr>
      <w:r w:rsidRPr="00EA033A">
        <w:rPr>
          <w:rFonts w:cs="Times New Roman"/>
          <w:color w:val="000000"/>
          <w:sz w:val="22"/>
          <w:szCs w:val="24"/>
        </w:rPr>
        <w:t xml:space="preserve">All three of the following surveys collect weekly prices for petroleum products – motor gasoline, </w:t>
      </w:r>
      <w:r w:rsidR="00FB4D13" w:rsidRPr="00EA033A">
        <w:rPr>
          <w:rFonts w:cs="Times New Roman"/>
          <w:color w:val="000000"/>
          <w:sz w:val="22"/>
          <w:szCs w:val="24"/>
        </w:rPr>
        <w:t xml:space="preserve">on-highway </w:t>
      </w:r>
      <w:r w:rsidRPr="00EA033A">
        <w:rPr>
          <w:rFonts w:cs="Times New Roman"/>
          <w:color w:val="000000"/>
          <w:sz w:val="22"/>
          <w:szCs w:val="24"/>
        </w:rPr>
        <w:t xml:space="preserve">diesel, residential heating fuel, and propane. </w:t>
      </w:r>
      <w:r w:rsidR="00904C8C" w:rsidRPr="00EA033A">
        <w:rPr>
          <w:rFonts w:cs="Times New Roman"/>
          <w:color w:val="000000"/>
          <w:sz w:val="22"/>
          <w:szCs w:val="24"/>
        </w:rPr>
        <w:t>T</w:t>
      </w:r>
      <w:r w:rsidR="00E94DC9" w:rsidRPr="00EA033A">
        <w:rPr>
          <w:rFonts w:cs="Times New Roman"/>
          <w:color w:val="000000"/>
          <w:sz w:val="22"/>
          <w:szCs w:val="24"/>
        </w:rPr>
        <w:t xml:space="preserve">able </w:t>
      </w:r>
      <w:r w:rsidR="00171747" w:rsidRPr="00EA033A">
        <w:rPr>
          <w:rFonts w:cs="Times New Roman"/>
          <w:color w:val="000000"/>
          <w:sz w:val="22"/>
          <w:szCs w:val="24"/>
        </w:rPr>
        <w:t>B1</w:t>
      </w:r>
      <w:r w:rsidR="00E94DC9" w:rsidRPr="00EA033A">
        <w:rPr>
          <w:rFonts w:cs="Times New Roman"/>
          <w:color w:val="000000"/>
          <w:sz w:val="22"/>
          <w:szCs w:val="24"/>
        </w:rPr>
        <w:t xml:space="preserve"> contains a summary of the sample design for weekly surveys</w:t>
      </w:r>
      <w:r w:rsidR="00D10A7E" w:rsidRPr="00EA033A">
        <w:rPr>
          <w:rFonts w:cs="Times New Roman"/>
          <w:color w:val="000000"/>
          <w:sz w:val="22"/>
          <w:szCs w:val="24"/>
        </w:rPr>
        <w:t xml:space="preserve"> (EIA-877, EIA-878 and EIA-888)</w:t>
      </w:r>
      <w:r w:rsidR="00E94DC9" w:rsidRPr="00EA033A">
        <w:rPr>
          <w:rFonts w:cs="Times New Roman"/>
          <w:color w:val="000000"/>
          <w:sz w:val="22"/>
          <w:szCs w:val="24"/>
        </w:rPr>
        <w:t xml:space="preserve"> in the Petroleum Marketing Program. </w:t>
      </w:r>
    </w:p>
    <w:tbl>
      <w:tblPr>
        <w:tblStyle w:val="TableGrid"/>
        <w:tblW w:w="9900" w:type="dxa"/>
        <w:tblInd w:w="108" w:type="dxa"/>
        <w:tblLayout w:type="fixed"/>
        <w:tblLook w:val="04A0"/>
      </w:tblPr>
      <w:tblGrid>
        <w:gridCol w:w="2520"/>
        <w:gridCol w:w="5040"/>
        <w:gridCol w:w="1080"/>
        <w:gridCol w:w="1260"/>
      </w:tblGrid>
      <w:tr w:rsidR="00EB48CD" w:rsidRPr="00171747" w:rsidTr="007E40E0">
        <w:tc>
          <w:tcPr>
            <w:tcW w:w="9900" w:type="dxa"/>
            <w:gridSpan w:val="4"/>
          </w:tcPr>
          <w:p w:rsidR="00EB48CD" w:rsidRPr="007E40E0" w:rsidRDefault="00171747" w:rsidP="009F30E3">
            <w:pPr>
              <w:pStyle w:val="Heading2"/>
              <w:outlineLvl w:val="1"/>
              <w:rPr>
                <w:rFonts w:asciiTheme="majorHAnsi" w:hAnsiTheme="majorHAnsi" w:cs="Times New Roman"/>
                <w:b/>
                <w:color w:val="365F91" w:themeColor="accent1" w:themeShade="BF"/>
                <w:sz w:val="28"/>
                <w:szCs w:val="28"/>
              </w:rPr>
            </w:pPr>
            <w:r w:rsidRPr="007E40E0">
              <w:rPr>
                <w:rFonts w:asciiTheme="majorHAnsi" w:hAnsiTheme="majorHAnsi" w:cs="Times New Roman"/>
                <w:b/>
                <w:caps w:val="0"/>
                <w:color w:val="365F91" w:themeColor="accent1" w:themeShade="BF"/>
                <w:sz w:val="28"/>
                <w:szCs w:val="28"/>
              </w:rPr>
              <w:t>Table</w:t>
            </w:r>
            <w:r w:rsidRPr="007E40E0">
              <w:rPr>
                <w:rFonts w:asciiTheme="majorHAnsi" w:hAnsiTheme="majorHAnsi" w:cs="Times New Roman"/>
                <w:b/>
                <w:color w:val="365F91" w:themeColor="accent1" w:themeShade="BF"/>
                <w:sz w:val="28"/>
                <w:szCs w:val="28"/>
              </w:rPr>
              <w:t xml:space="preserve"> B1</w:t>
            </w:r>
            <w:r w:rsidR="00EB48CD" w:rsidRPr="007E40E0">
              <w:rPr>
                <w:rFonts w:asciiTheme="majorHAnsi" w:hAnsiTheme="majorHAnsi" w:cs="Times New Roman"/>
                <w:b/>
                <w:color w:val="365F91" w:themeColor="accent1" w:themeShade="BF"/>
                <w:sz w:val="28"/>
                <w:szCs w:val="28"/>
              </w:rPr>
              <w:t xml:space="preserve">: </w:t>
            </w:r>
            <w:r w:rsidR="00EB48CD" w:rsidRPr="007E40E0">
              <w:rPr>
                <w:rFonts w:asciiTheme="majorHAnsi" w:hAnsiTheme="majorHAnsi" w:cs="Times New Roman"/>
                <w:b/>
                <w:caps w:val="0"/>
                <w:color w:val="365F91" w:themeColor="accent1" w:themeShade="BF"/>
                <w:sz w:val="28"/>
                <w:szCs w:val="28"/>
              </w:rPr>
              <w:t>Summary of Sample Design</w:t>
            </w:r>
          </w:p>
        </w:tc>
      </w:tr>
      <w:tr w:rsidR="007E40E0" w:rsidRPr="00171747" w:rsidTr="007E40E0">
        <w:tc>
          <w:tcPr>
            <w:tcW w:w="2520" w:type="dxa"/>
          </w:tcPr>
          <w:p w:rsidR="007E40E0" w:rsidRPr="00171747" w:rsidRDefault="007E40E0" w:rsidP="00915E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b/>
                <w:color w:val="000000"/>
                <w:sz w:val="22"/>
                <w:szCs w:val="22"/>
              </w:rPr>
              <w:t>Survey Name</w:t>
            </w:r>
          </w:p>
        </w:tc>
        <w:tc>
          <w:tcPr>
            <w:tcW w:w="5040" w:type="dxa"/>
          </w:tcPr>
          <w:p w:rsidR="007E40E0" w:rsidRPr="00171747" w:rsidRDefault="007E40E0" w:rsidP="00915E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b/>
                <w:color w:val="000000"/>
                <w:sz w:val="22"/>
                <w:szCs w:val="22"/>
              </w:rPr>
              <w:t>Sample Design</w:t>
            </w:r>
          </w:p>
        </w:tc>
        <w:tc>
          <w:tcPr>
            <w:tcW w:w="1080" w:type="dxa"/>
          </w:tcPr>
          <w:p w:rsidR="007E40E0" w:rsidRPr="00171747" w:rsidRDefault="007E40E0" w:rsidP="00915E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b/>
                <w:color w:val="000000"/>
                <w:sz w:val="22"/>
                <w:szCs w:val="22"/>
              </w:rPr>
              <w:t>Selection Procedure</w:t>
            </w:r>
          </w:p>
        </w:tc>
        <w:tc>
          <w:tcPr>
            <w:tcW w:w="1260" w:type="dxa"/>
          </w:tcPr>
          <w:p w:rsidR="007E40E0" w:rsidRPr="00171747" w:rsidRDefault="007E40E0" w:rsidP="00915E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b/>
                <w:color w:val="000000"/>
                <w:sz w:val="22"/>
                <w:szCs w:val="22"/>
              </w:rPr>
              <w:t>Sample Size</w:t>
            </w:r>
          </w:p>
        </w:tc>
      </w:tr>
      <w:tr w:rsidR="007E40E0" w:rsidRPr="00171747" w:rsidTr="007E40E0">
        <w:tc>
          <w:tcPr>
            <w:tcW w:w="252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color w:val="000000"/>
                <w:sz w:val="22"/>
                <w:szCs w:val="22"/>
              </w:rPr>
              <w:t>EIA-877,</w:t>
            </w:r>
            <w:r w:rsidRPr="00171747">
              <w:rPr>
                <w:rFonts w:cs="Times New Roman"/>
                <w:b/>
                <w:color w:val="000000"/>
                <w:sz w:val="22"/>
                <w:szCs w:val="22"/>
              </w:rPr>
              <w:t xml:space="preserve"> “</w:t>
            </w:r>
            <w:r w:rsidRPr="00171747">
              <w:rPr>
                <w:rStyle w:val="Strong"/>
                <w:rFonts w:cs="Times New Roman"/>
                <w:b w:val="0"/>
                <w:sz w:val="22"/>
                <w:szCs w:val="22"/>
              </w:rPr>
              <w:t>Winter Heating Fuels Telephone Survey</w:t>
            </w:r>
            <w:r w:rsidRPr="00171747">
              <w:rPr>
                <w:rFonts w:cs="Times New Roman"/>
                <w:color w:val="000000"/>
                <w:sz w:val="22"/>
                <w:szCs w:val="22"/>
              </w:rPr>
              <w:t>”</w:t>
            </w:r>
          </w:p>
        </w:tc>
        <w:tc>
          <w:tcPr>
            <w:tcW w:w="5040" w:type="dxa"/>
          </w:tcPr>
          <w:p w:rsidR="007E40E0" w:rsidRPr="00171747" w:rsidRDefault="007E40E0" w:rsidP="00FB4D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Stratified random sample with certainty for 21 States and DC in the East Coast and Midwest Regions</w:t>
            </w:r>
          </w:p>
        </w:tc>
        <w:tc>
          <w:tcPr>
            <w:tcW w:w="1080" w:type="dxa"/>
          </w:tcPr>
          <w:p w:rsidR="007E40E0" w:rsidRPr="00171747" w:rsidRDefault="007E40E0" w:rsidP="009F30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See section A below</w:t>
            </w:r>
          </w:p>
        </w:tc>
        <w:tc>
          <w:tcPr>
            <w:tcW w:w="1260" w:type="dxa"/>
          </w:tcPr>
          <w:p w:rsidR="007E40E0" w:rsidRPr="00171747" w:rsidRDefault="007E40E0" w:rsidP="00FB4D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527 outlets</w:t>
            </w:r>
          </w:p>
        </w:tc>
      </w:tr>
      <w:tr w:rsidR="007E40E0" w:rsidRPr="00171747" w:rsidTr="007E40E0">
        <w:tc>
          <w:tcPr>
            <w:tcW w:w="252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color w:val="000000"/>
                <w:sz w:val="22"/>
                <w:szCs w:val="22"/>
              </w:rPr>
              <w:t>EIA-877, “</w:t>
            </w:r>
            <w:r w:rsidRPr="00171747">
              <w:rPr>
                <w:rStyle w:val="Strong"/>
                <w:rFonts w:cs="Times New Roman"/>
                <w:b w:val="0"/>
                <w:sz w:val="22"/>
                <w:szCs w:val="22"/>
              </w:rPr>
              <w:t>Winter Heating Fuels Telephone Survey</w:t>
            </w:r>
            <w:r w:rsidRPr="00171747">
              <w:rPr>
                <w:rFonts w:cs="Times New Roman"/>
                <w:color w:val="000000"/>
                <w:sz w:val="22"/>
                <w:szCs w:val="22"/>
              </w:rPr>
              <w:t>”</w:t>
            </w:r>
          </w:p>
        </w:tc>
        <w:tc>
          <w:tcPr>
            <w:tcW w:w="5040" w:type="dxa"/>
          </w:tcPr>
          <w:p w:rsidR="007E40E0" w:rsidRPr="00171747" w:rsidRDefault="007E40E0" w:rsidP="007E40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Two-stage sample for 24 States in the East Coast and Midwest Region. Stratified Probability Proportional to Size (PPS) sample of Company-State Units in the first stage and simple random sample of outlets in the second stage.</w:t>
            </w:r>
          </w:p>
        </w:tc>
        <w:tc>
          <w:tcPr>
            <w:tcW w:w="108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See section A below</w:t>
            </w:r>
          </w:p>
        </w:tc>
        <w:tc>
          <w:tcPr>
            <w:tcW w:w="126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720 outlets</w:t>
            </w:r>
          </w:p>
        </w:tc>
      </w:tr>
      <w:tr w:rsidR="007E40E0" w:rsidRPr="00171747" w:rsidTr="007E40E0">
        <w:tc>
          <w:tcPr>
            <w:tcW w:w="2520" w:type="dxa"/>
          </w:tcPr>
          <w:p w:rsidR="007E40E0" w:rsidRPr="00171747" w:rsidRDefault="007E40E0" w:rsidP="0011765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color w:val="000000"/>
                <w:sz w:val="22"/>
                <w:szCs w:val="22"/>
              </w:rPr>
              <w:t>EIA-878. “</w:t>
            </w:r>
            <w:r w:rsidRPr="00171747">
              <w:rPr>
                <w:rStyle w:val="Strong"/>
                <w:rFonts w:cs="Times New Roman"/>
                <w:b w:val="0"/>
                <w:sz w:val="22"/>
                <w:szCs w:val="22"/>
              </w:rPr>
              <w:t>Motor Gasoline Price Survey</w:t>
            </w:r>
            <w:r w:rsidRPr="00171747">
              <w:rPr>
                <w:rFonts w:cs="Times New Roman"/>
                <w:color w:val="000000"/>
                <w:sz w:val="22"/>
                <w:szCs w:val="22"/>
              </w:rPr>
              <w:t>”</w:t>
            </w:r>
          </w:p>
        </w:tc>
        <w:tc>
          <w:tcPr>
            <w:tcW w:w="5040" w:type="dxa"/>
          </w:tcPr>
          <w:p w:rsidR="007E40E0" w:rsidRPr="00171747" w:rsidRDefault="007E40E0" w:rsidP="00FB4D13">
            <w:pPr>
              <w:pStyle w:val="CommentText"/>
              <w:rPr>
                <w:rFonts w:cs="Times New Roman"/>
                <w:sz w:val="22"/>
                <w:szCs w:val="22"/>
              </w:rPr>
            </w:pPr>
            <w:r w:rsidRPr="00171747">
              <w:rPr>
                <w:rFonts w:cs="Times New Roman"/>
                <w:sz w:val="22"/>
                <w:szCs w:val="22"/>
              </w:rPr>
              <w:t>Stratified simple random sample.</w:t>
            </w:r>
          </w:p>
        </w:tc>
        <w:tc>
          <w:tcPr>
            <w:tcW w:w="108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See section B below</w:t>
            </w:r>
          </w:p>
        </w:tc>
        <w:tc>
          <w:tcPr>
            <w:tcW w:w="126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801</w:t>
            </w:r>
          </w:p>
        </w:tc>
      </w:tr>
      <w:tr w:rsidR="007E40E0" w:rsidRPr="00171747" w:rsidTr="007E40E0">
        <w:tc>
          <w:tcPr>
            <w:tcW w:w="252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b/>
                <w:color w:val="000000"/>
                <w:sz w:val="22"/>
                <w:szCs w:val="22"/>
              </w:rPr>
            </w:pPr>
            <w:r w:rsidRPr="00171747">
              <w:rPr>
                <w:rFonts w:cs="Times New Roman"/>
                <w:color w:val="000000"/>
                <w:sz w:val="22"/>
                <w:szCs w:val="22"/>
              </w:rPr>
              <w:t>EIA-888. “</w:t>
            </w:r>
            <w:r w:rsidRPr="00171747">
              <w:rPr>
                <w:rStyle w:val="Strong"/>
                <w:rFonts w:cs="Times New Roman"/>
                <w:b w:val="0"/>
                <w:sz w:val="22"/>
                <w:szCs w:val="22"/>
              </w:rPr>
              <w:t>On-Highway Diesel Fuel Price Survey</w:t>
            </w:r>
            <w:r w:rsidRPr="00171747">
              <w:rPr>
                <w:rFonts w:cs="Times New Roman"/>
                <w:color w:val="000000"/>
                <w:sz w:val="22"/>
                <w:szCs w:val="22"/>
              </w:rPr>
              <w:t>”</w:t>
            </w:r>
          </w:p>
        </w:tc>
        <w:tc>
          <w:tcPr>
            <w:tcW w:w="5040" w:type="dxa"/>
          </w:tcPr>
          <w:p w:rsidR="007E40E0" w:rsidRPr="00171747" w:rsidRDefault="007E40E0" w:rsidP="00FB4D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Stratified Probability Proportional to Size sample of retail outlets from 48 continental States and DC</w:t>
            </w:r>
          </w:p>
        </w:tc>
        <w:tc>
          <w:tcPr>
            <w:tcW w:w="108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See section C below</w:t>
            </w:r>
          </w:p>
        </w:tc>
        <w:tc>
          <w:tcPr>
            <w:tcW w:w="1260" w:type="dxa"/>
          </w:tcPr>
          <w:p w:rsidR="007E40E0" w:rsidRPr="00171747" w:rsidRDefault="007E40E0" w:rsidP="008A1C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Times New Roman"/>
                <w:color w:val="000000"/>
                <w:sz w:val="22"/>
                <w:szCs w:val="22"/>
              </w:rPr>
            </w:pPr>
            <w:r w:rsidRPr="00171747">
              <w:rPr>
                <w:rFonts w:cs="Times New Roman"/>
                <w:color w:val="000000"/>
                <w:sz w:val="22"/>
                <w:szCs w:val="22"/>
              </w:rPr>
              <w:t>403</w:t>
            </w:r>
          </w:p>
        </w:tc>
      </w:tr>
    </w:tbl>
    <w:p w:rsidR="008A1C78" w:rsidRPr="00116FE8" w:rsidRDefault="008A1C78" w:rsidP="00116F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color w:val="000000"/>
          <w:sz w:val="24"/>
          <w:szCs w:val="24"/>
        </w:rPr>
      </w:pPr>
    </w:p>
    <w:p w:rsidR="00EB48CD" w:rsidRPr="00340F80" w:rsidRDefault="00FE3FD3" w:rsidP="00EA033A">
      <w:pPr>
        <w:pStyle w:val="ListParagraph"/>
        <w:numPr>
          <w:ilvl w:val="0"/>
          <w:numId w:val="13"/>
        </w:numPr>
        <w:autoSpaceDE w:val="0"/>
        <w:autoSpaceDN w:val="0"/>
        <w:adjustRightInd w:val="0"/>
        <w:spacing w:line="360" w:lineRule="auto"/>
        <w:rPr>
          <w:rFonts w:cs="Times New Roman"/>
          <w:spacing w:val="-3"/>
          <w:sz w:val="22"/>
          <w:szCs w:val="24"/>
        </w:rPr>
      </w:pPr>
      <w:r w:rsidRPr="00340F80">
        <w:rPr>
          <w:rFonts w:cs="Times New Roman"/>
          <w:i/>
          <w:color w:val="000000"/>
          <w:sz w:val="22"/>
          <w:szCs w:val="24"/>
        </w:rPr>
        <w:t>EIA-</w:t>
      </w:r>
      <w:r w:rsidR="001E3E47" w:rsidRPr="00340F80">
        <w:rPr>
          <w:rFonts w:cs="Times New Roman"/>
          <w:i/>
          <w:color w:val="000000"/>
          <w:sz w:val="22"/>
          <w:szCs w:val="24"/>
        </w:rPr>
        <w:t>877</w:t>
      </w:r>
      <w:r w:rsidR="00904C8C" w:rsidRPr="00340F80">
        <w:rPr>
          <w:rFonts w:cs="Times New Roman"/>
          <w:i/>
          <w:color w:val="000000"/>
          <w:sz w:val="22"/>
          <w:szCs w:val="24"/>
        </w:rPr>
        <w:t xml:space="preserve"> Sample </w:t>
      </w:r>
      <w:r w:rsidR="00EA7EAF" w:rsidRPr="00340F80">
        <w:rPr>
          <w:rFonts w:cs="Times New Roman"/>
          <w:i/>
          <w:color w:val="000000"/>
          <w:sz w:val="22"/>
          <w:szCs w:val="24"/>
        </w:rPr>
        <w:t xml:space="preserve">and </w:t>
      </w:r>
      <w:r w:rsidR="00904C8C" w:rsidRPr="00340F80">
        <w:rPr>
          <w:rFonts w:cs="Times New Roman"/>
          <w:i/>
          <w:color w:val="000000"/>
          <w:sz w:val="22"/>
          <w:szCs w:val="24"/>
        </w:rPr>
        <w:t>Estimation:</w:t>
      </w:r>
      <w:r w:rsidR="009160BB">
        <w:rPr>
          <w:rFonts w:cs="Times New Roman"/>
          <w:color w:val="000000"/>
          <w:sz w:val="22"/>
          <w:szCs w:val="24"/>
        </w:rPr>
        <w:t xml:space="preserve"> Separate</w:t>
      </w:r>
      <w:r w:rsidR="00904C8C" w:rsidRPr="00340F80">
        <w:rPr>
          <w:rFonts w:cs="Times New Roman"/>
          <w:color w:val="000000"/>
          <w:sz w:val="22"/>
          <w:szCs w:val="24"/>
        </w:rPr>
        <w:t xml:space="preserve"> </w:t>
      </w:r>
      <w:r w:rsidR="009160BB">
        <w:rPr>
          <w:rFonts w:cs="Times New Roman"/>
          <w:color w:val="000000"/>
          <w:sz w:val="22"/>
          <w:szCs w:val="24"/>
        </w:rPr>
        <w:t xml:space="preserve">sampling and </w:t>
      </w:r>
      <w:r w:rsidR="00904C8C" w:rsidRPr="00340F80">
        <w:rPr>
          <w:rFonts w:cs="Times New Roman"/>
          <w:color w:val="000000"/>
          <w:sz w:val="22"/>
          <w:szCs w:val="24"/>
        </w:rPr>
        <w:t xml:space="preserve">estimates </w:t>
      </w:r>
      <w:r w:rsidR="009160BB">
        <w:rPr>
          <w:rFonts w:cs="Times New Roman"/>
          <w:color w:val="000000"/>
          <w:sz w:val="22"/>
          <w:szCs w:val="24"/>
        </w:rPr>
        <w:t xml:space="preserve">procedures are used for </w:t>
      </w:r>
      <w:r w:rsidR="00904C8C" w:rsidRPr="00340F80">
        <w:rPr>
          <w:rFonts w:cs="Times New Roman"/>
          <w:color w:val="000000"/>
          <w:sz w:val="22"/>
          <w:szCs w:val="24"/>
        </w:rPr>
        <w:t>residential no. 2 heating oil and propane</w:t>
      </w:r>
      <w:r w:rsidR="007E6284" w:rsidRPr="00340F80">
        <w:rPr>
          <w:rFonts w:cs="Times New Roman"/>
          <w:color w:val="000000"/>
          <w:sz w:val="22"/>
          <w:szCs w:val="24"/>
        </w:rPr>
        <w:t xml:space="preserve">.  </w:t>
      </w:r>
      <w:r w:rsidR="009160BB">
        <w:rPr>
          <w:rFonts w:cs="Times New Roman"/>
          <w:color w:val="000000"/>
          <w:sz w:val="22"/>
          <w:szCs w:val="24"/>
        </w:rPr>
        <w:t>T</w:t>
      </w:r>
      <w:r w:rsidR="00904C8C" w:rsidRPr="00340F80">
        <w:rPr>
          <w:rFonts w:cs="Times New Roman"/>
          <w:color w:val="000000"/>
          <w:sz w:val="22"/>
          <w:szCs w:val="24"/>
        </w:rPr>
        <w:t xml:space="preserve">hese </w:t>
      </w:r>
      <w:r w:rsidR="009160BB">
        <w:rPr>
          <w:rFonts w:cs="Times New Roman"/>
          <w:color w:val="000000"/>
          <w:sz w:val="22"/>
          <w:szCs w:val="24"/>
        </w:rPr>
        <w:t>procedures</w:t>
      </w:r>
      <w:r w:rsidR="00904C8C" w:rsidRPr="00340F80">
        <w:rPr>
          <w:rFonts w:cs="Times New Roman"/>
          <w:color w:val="000000"/>
          <w:sz w:val="22"/>
          <w:szCs w:val="24"/>
        </w:rPr>
        <w:t xml:space="preserve"> are </w:t>
      </w:r>
      <w:r w:rsidR="009160BB">
        <w:rPr>
          <w:rFonts w:cs="Times New Roman"/>
          <w:color w:val="000000"/>
          <w:sz w:val="22"/>
          <w:szCs w:val="24"/>
        </w:rPr>
        <w:t xml:space="preserve">described </w:t>
      </w:r>
      <w:r w:rsidR="00904C8C" w:rsidRPr="00340F80">
        <w:rPr>
          <w:rFonts w:cs="Times New Roman"/>
          <w:color w:val="000000"/>
          <w:sz w:val="22"/>
          <w:szCs w:val="24"/>
        </w:rPr>
        <w:t>below.</w:t>
      </w:r>
      <w:r w:rsidR="00117651" w:rsidRPr="00340F80">
        <w:rPr>
          <w:rFonts w:cs="Times New Roman"/>
          <w:color w:val="000000"/>
          <w:sz w:val="22"/>
          <w:szCs w:val="24"/>
        </w:rPr>
        <w:t xml:space="preserve"> </w:t>
      </w:r>
    </w:p>
    <w:p w:rsidR="00EB48CD" w:rsidRPr="00340F80" w:rsidRDefault="00EB48CD" w:rsidP="00EA033A">
      <w:pPr>
        <w:pStyle w:val="ListParagraph"/>
        <w:autoSpaceDE w:val="0"/>
        <w:autoSpaceDN w:val="0"/>
        <w:adjustRightInd w:val="0"/>
        <w:spacing w:line="360" w:lineRule="auto"/>
        <w:ind w:left="360"/>
        <w:rPr>
          <w:rFonts w:cs="Times New Roman"/>
          <w:i/>
          <w:color w:val="000000"/>
          <w:sz w:val="22"/>
          <w:szCs w:val="24"/>
        </w:rPr>
      </w:pPr>
    </w:p>
    <w:p w:rsidR="00904C8C" w:rsidRDefault="006004B2" w:rsidP="00EA033A">
      <w:pPr>
        <w:pStyle w:val="ListParagraph"/>
        <w:autoSpaceDE w:val="0"/>
        <w:autoSpaceDN w:val="0"/>
        <w:adjustRightInd w:val="0"/>
        <w:spacing w:line="360" w:lineRule="auto"/>
        <w:ind w:left="360"/>
        <w:rPr>
          <w:rFonts w:cs="Times New Roman"/>
          <w:sz w:val="22"/>
          <w:szCs w:val="24"/>
        </w:rPr>
      </w:pPr>
      <w:r>
        <w:rPr>
          <w:rFonts w:cs="Times New Roman"/>
          <w:i/>
          <w:color w:val="000000"/>
          <w:sz w:val="22"/>
          <w:szCs w:val="24"/>
        </w:rPr>
        <w:t>S</w:t>
      </w:r>
      <w:r w:rsidR="001E3E47" w:rsidRPr="00340F80">
        <w:rPr>
          <w:rFonts w:cs="Times New Roman"/>
          <w:i/>
          <w:color w:val="000000"/>
          <w:sz w:val="22"/>
          <w:szCs w:val="24"/>
        </w:rPr>
        <w:t xml:space="preserve">ample </w:t>
      </w:r>
      <w:r>
        <w:rPr>
          <w:rFonts w:cs="Times New Roman"/>
          <w:i/>
          <w:color w:val="000000"/>
          <w:sz w:val="22"/>
          <w:szCs w:val="24"/>
        </w:rPr>
        <w:t>and Estimation</w:t>
      </w:r>
      <w:r w:rsidR="00EA033A">
        <w:rPr>
          <w:rFonts w:cs="Times New Roman"/>
          <w:i/>
          <w:color w:val="000000"/>
          <w:sz w:val="22"/>
          <w:szCs w:val="24"/>
        </w:rPr>
        <w:t xml:space="preserve"> Procedures for</w:t>
      </w:r>
      <w:r w:rsidR="001E3E47" w:rsidRPr="00340F80">
        <w:rPr>
          <w:rFonts w:cs="Times New Roman"/>
          <w:i/>
          <w:color w:val="000000"/>
          <w:sz w:val="22"/>
          <w:szCs w:val="24"/>
        </w:rPr>
        <w:t xml:space="preserve"> No. 2 </w:t>
      </w:r>
      <w:r w:rsidR="00EA033A">
        <w:rPr>
          <w:rFonts w:cs="Times New Roman"/>
          <w:i/>
          <w:color w:val="000000"/>
          <w:sz w:val="22"/>
          <w:szCs w:val="24"/>
        </w:rPr>
        <w:t>H</w:t>
      </w:r>
      <w:r w:rsidR="001E3E47" w:rsidRPr="00340F80">
        <w:rPr>
          <w:rFonts w:cs="Times New Roman"/>
          <w:i/>
          <w:color w:val="000000"/>
          <w:sz w:val="22"/>
          <w:szCs w:val="24"/>
        </w:rPr>
        <w:t xml:space="preserve">eating </w:t>
      </w:r>
      <w:r w:rsidR="00EA033A">
        <w:rPr>
          <w:rFonts w:cs="Times New Roman"/>
          <w:i/>
          <w:color w:val="000000"/>
          <w:sz w:val="22"/>
          <w:szCs w:val="24"/>
        </w:rPr>
        <w:t>O</w:t>
      </w:r>
      <w:r w:rsidR="001E3E47" w:rsidRPr="00340F80">
        <w:rPr>
          <w:rFonts w:cs="Times New Roman"/>
          <w:i/>
          <w:color w:val="000000"/>
          <w:sz w:val="22"/>
          <w:szCs w:val="24"/>
        </w:rPr>
        <w:t xml:space="preserve">il </w:t>
      </w:r>
      <w:r w:rsidR="00EA033A">
        <w:rPr>
          <w:rFonts w:cs="Times New Roman"/>
          <w:i/>
          <w:color w:val="000000"/>
          <w:sz w:val="22"/>
          <w:szCs w:val="24"/>
        </w:rPr>
        <w:t>P</w:t>
      </w:r>
      <w:r w:rsidR="001E3E47" w:rsidRPr="00340F80">
        <w:rPr>
          <w:rFonts w:cs="Times New Roman"/>
          <w:i/>
          <w:color w:val="000000"/>
          <w:sz w:val="22"/>
          <w:szCs w:val="24"/>
        </w:rPr>
        <w:t>rices</w:t>
      </w:r>
      <w:r w:rsidR="00EA033A">
        <w:rPr>
          <w:rFonts w:cs="Times New Roman"/>
          <w:i/>
          <w:color w:val="000000"/>
          <w:sz w:val="22"/>
          <w:szCs w:val="24"/>
        </w:rPr>
        <w:t xml:space="preserve"> on EIA-877</w:t>
      </w:r>
      <w:r w:rsidR="00FE3FD3" w:rsidRPr="00340F80">
        <w:rPr>
          <w:rFonts w:cs="Times New Roman"/>
          <w:i/>
          <w:color w:val="000000"/>
          <w:sz w:val="22"/>
          <w:szCs w:val="24"/>
        </w:rPr>
        <w:t>:</w:t>
      </w:r>
      <w:r w:rsidR="00FE3FD3" w:rsidRPr="00340F80">
        <w:rPr>
          <w:rFonts w:cs="Times New Roman"/>
          <w:color w:val="000000"/>
          <w:sz w:val="22"/>
          <w:szCs w:val="24"/>
        </w:rPr>
        <w:t xml:space="preserve"> </w:t>
      </w:r>
      <w:r w:rsidR="00FE3FD3" w:rsidRPr="00340F80">
        <w:rPr>
          <w:rFonts w:cs="Times New Roman"/>
          <w:sz w:val="22"/>
          <w:szCs w:val="24"/>
        </w:rPr>
        <w:t>The No.2 heating oil price data are reported by a statistical sample. According to the requirement of the</w:t>
      </w:r>
      <w:r w:rsidR="00424AF9" w:rsidRPr="00340F80">
        <w:rPr>
          <w:rFonts w:cs="Times New Roman"/>
          <w:sz w:val="22"/>
          <w:szCs w:val="24"/>
        </w:rPr>
        <w:t xml:space="preserve"> State Heating Oil and </w:t>
      </w:r>
      <w:r w:rsidR="001D42F3">
        <w:rPr>
          <w:rFonts w:cs="Times New Roman"/>
          <w:sz w:val="22"/>
          <w:szCs w:val="24"/>
        </w:rPr>
        <w:t xml:space="preserve">Propane </w:t>
      </w:r>
      <w:r w:rsidR="00424AF9" w:rsidRPr="00340F80">
        <w:rPr>
          <w:rFonts w:cs="Times New Roman"/>
          <w:sz w:val="22"/>
          <w:szCs w:val="24"/>
        </w:rPr>
        <w:t xml:space="preserve">Program (SHOPP) </w:t>
      </w:r>
      <w:r w:rsidR="00FE3FD3" w:rsidRPr="00340F80">
        <w:rPr>
          <w:rFonts w:cs="Times New Roman"/>
          <w:sz w:val="22"/>
          <w:szCs w:val="24"/>
        </w:rPr>
        <w:t>program, 21 States and the District of Columbia (DC) in the East Coast and Midwest regions participate in the No.2 heating oil price survey. The sampling frame used was a list of all Company State Units (CSUs) in those 21 States and DC that reported residential No. 2 heating oil sales on the 200</w:t>
      </w:r>
      <w:r w:rsidR="00D10A7E" w:rsidRPr="00340F80">
        <w:rPr>
          <w:rFonts w:cs="Times New Roman"/>
          <w:sz w:val="22"/>
          <w:szCs w:val="24"/>
        </w:rPr>
        <w:t xml:space="preserve">6 </w:t>
      </w:r>
      <w:r w:rsidR="00FE3FD3" w:rsidRPr="00340F80">
        <w:rPr>
          <w:rFonts w:cs="Times New Roman"/>
          <w:sz w:val="22"/>
          <w:szCs w:val="24"/>
        </w:rPr>
        <w:t xml:space="preserve">Form EIA-863, “Petroleum Product Sales </w:t>
      </w:r>
      <w:r w:rsidR="007E6284" w:rsidRPr="00340F80">
        <w:rPr>
          <w:rFonts w:cs="Times New Roman"/>
          <w:sz w:val="22"/>
          <w:szCs w:val="24"/>
        </w:rPr>
        <w:t xml:space="preserve">Identification </w:t>
      </w:r>
      <w:r w:rsidR="00FE3FD3" w:rsidRPr="00340F80">
        <w:rPr>
          <w:rFonts w:cs="Times New Roman"/>
          <w:sz w:val="22"/>
          <w:szCs w:val="24"/>
        </w:rPr>
        <w:t>Su</w:t>
      </w:r>
      <w:r w:rsidR="00117651" w:rsidRPr="00340F80">
        <w:rPr>
          <w:rFonts w:cs="Times New Roman"/>
          <w:sz w:val="22"/>
          <w:szCs w:val="24"/>
        </w:rPr>
        <w:t>rvey.” CSUs that sold at least five percent (5</w:t>
      </w:r>
      <w:r w:rsidR="00FE3FD3" w:rsidRPr="00340F80">
        <w:rPr>
          <w:rFonts w:cs="Times New Roman"/>
          <w:sz w:val="22"/>
          <w:szCs w:val="24"/>
        </w:rPr>
        <w:t>%</w:t>
      </w:r>
      <w:r w:rsidR="00117651" w:rsidRPr="00340F80">
        <w:rPr>
          <w:rFonts w:cs="Times New Roman"/>
          <w:sz w:val="22"/>
          <w:szCs w:val="24"/>
        </w:rPr>
        <w:t>)</w:t>
      </w:r>
      <w:r w:rsidR="00FE3FD3" w:rsidRPr="00340F80">
        <w:rPr>
          <w:rFonts w:cs="Times New Roman"/>
          <w:sz w:val="22"/>
          <w:szCs w:val="24"/>
        </w:rPr>
        <w:t xml:space="preserve"> of the residential No.2 heating oil in a State, as reported </w:t>
      </w:r>
      <w:r w:rsidR="007E6284" w:rsidRPr="00340F80">
        <w:rPr>
          <w:rFonts w:cs="Times New Roman"/>
          <w:sz w:val="22"/>
          <w:szCs w:val="24"/>
        </w:rPr>
        <w:t>o</w:t>
      </w:r>
      <w:r w:rsidR="00FE3FD3" w:rsidRPr="00340F80">
        <w:rPr>
          <w:rFonts w:cs="Times New Roman"/>
          <w:sz w:val="22"/>
          <w:szCs w:val="24"/>
        </w:rPr>
        <w:t>n the frame survey EIA-863, were automatically included in the sample and are referred to as certainty units. The remaining CSUs, referred to as non-certainty units, were stratified into three groups by their residential No.2 heating oil sales volumes in each State</w:t>
      </w:r>
      <w:r w:rsidR="007E6284" w:rsidRPr="00340F80">
        <w:rPr>
          <w:rFonts w:cs="Times New Roman"/>
          <w:sz w:val="22"/>
          <w:szCs w:val="24"/>
        </w:rPr>
        <w:t>, as reported on the EIA-863</w:t>
      </w:r>
      <w:r w:rsidR="00FE3FD3" w:rsidRPr="00340F80">
        <w:rPr>
          <w:rFonts w:cs="Times New Roman"/>
          <w:sz w:val="22"/>
          <w:szCs w:val="24"/>
        </w:rPr>
        <w:t xml:space="preserve">. Strata boundaries were determined using the Dalenius-Hodges procedure. The sample allocations were designed generally to yield average price coefficients of variation (CV) of </w:t>
      </w:r>
      <w:r w:rsidR="00117651" w:rsidRPr="00340F80">
        <w:rPr>
          <w:rFonts w:cs="Times New Roman"/>
          <w:sz w:val="22"/>
          <w:szCs w:val="24"/>
        </w:rPr>
        <w:t>one percent (</w:t>
      </w:r>
      <w:r w:rsidR="00FE3FD3" w:rsidRPr="00340F80">
        <w:rPr>
          <w:rFonts w:cs="Times New Roman"/>
          <w:sz w:val="22"/>
          <w:szCs w:val="24"/>
        </w:rPr>
        <w:t>1%</w:t>
      </w:r>
      <w:r w:rsidR="00117651" w:rsidRPr="00340F80">
        <w:rPr>
          <w:rFonts w:cs="Times New Roman"/>
          <w:sz w:val="22"/>
          <w:szCs w:val="24"/>
        </w:rPr>
        <w:t>)</w:t>
      </w:r>
      <w:r w:rsidR="00FE3FD3" w:rsidRPr="00340F80">
        <w:rPr>
          <w:rFonts w:cs="Times New Roman"/>
          <w:sz w:val="22"/>
          <w:szCs w:val="24"/>
        </w:rPr>
        <w:t>, but, due to budget constraints, individual State sample sizes were capped at 35 even if the target CV was not met. I</w:t>
      </w:r>
      <w:r w:rsidR="00D10A7E" w:rsidRPr="00340F80">
        <w:rPr>
          <w:rFonts w:cs="Times New Roman"/>
          <w:sz w:val="22"/>
          <w:szCs w:val="24"/>
        </w:rPr>
        <w:t>n addition, a minimum size of fifteen</w:t>
      </w:r>
      <w:r w:rsidR="00FE3FD3" w:rsidRPr="00340F80">
        <w:rPr>
          <w:rFonts w:cs="Times New Roman"/>
          <w:sz w:val="22"/>
          <w:szCs w:val="24"/>
        </w:rPr>
        <w:t xml:space="preserve"> was required for each of the 21 States. The sample of CSUs within each stratum was a simple random sample. The residential No.2 heating oil sample size inclusive of certainty and non-certainty units is 5</w:t>
      </w:r>
      <w:r w:rsidR="00FB4D13" w:rsidRPr="00340F80">
        <w:rPr>
          <w:rFonts w:cs="Times New Roman"/>
          <w:sz w:val="22"/>
          <w:szCs w:val="24"/>
        </w:rPr>
        <w:t>27</w:t>
      </w:r>
      <w:r w:rsidR="00FE3FD3" w:rsidRPr="00340F80">
        <w:rPr>
          <w:rFonts w:cs="Times New Roman"/>
          <w:sz w:val="22"/>
          <w:szCs w:val="24"/>
        </w:rPr>
        <w:t xml:space="preserve"> CSUs</w:t>
      </w:r>
      <w:r w:rsidR="00117651" w:rsidRPr="00340F80">
        <w:rPr>
          <w:rFonts w:cs="Times New Roman"/>
          <w:sz w:val="22"/>
          <w:szCs w:val="24"/>
        </w:rPr>
        <w:t>.</w:t>
      </w:r>
    </w:p>
    <w:p w:rsidR="00EA033A" w:rsidRDefault="00EA033A" w:rsidP="00EA033A">
      <w:pPr>
        <w:autoSpaceDE w:val="0"/>
        <w:autoSpaceDN w:val="0"/>
        <w:adjustRightInd w:val="0"/>
        <w:spacing w:line="360" w:lineRule="auto"/>
        <w:ind w:left="360"/>
        <w:rPr>
          <w:rFonts w:cs="Times New Roman"/>
          <w:color w:val="231F20"/>
          <w:sz w:val="22"/>
          <w:szCs w:val="24"/>
        </w:rPr>
      </w:pPr>
      <w:r w:rsidRPr="00EA033A">
        <w:rPr>
          <w:rFonts w:cs="Times New Roman"/>
          <w:color w:val="231F20"/>
          <w:sz w:val="22"/>
          <w:szCs w:val="24"/>
        </w:rPr>
        <w:t xml:space="preserve">The </w:t>
      </w:r>
      <w:r w:rsidRPr="00340F80">
        <w:rPr>
          <w:rFonts w:cs="Times New Roman"/>
          <w:color w:val="231F20"/>
          <w:sz w:val="22"/>
          <w:szCs w:val="24"/>
        </w:rPr>
        <w:t xml:space="preserve">residential No. 2 heating oil prices (excluding taxes) for a given State are based on the results of </w:t>
      </w:r>
      <w:r>
        <w:rPr>
          <w:rFonts w:cs="Times New Roman"/>
          <w:color w:val="231F20"/>
          <w:sz w:val="22"/>
          <w:szCs w:val="24"/>
        </w:rPr>
        <w:t xml:space="preserve">a </w:t>
      </w:r>
      <w:r w:rsidRPr="00340F80">
        <w:rPr>
          <w:rFonts w:cs="Times New Roman"/>
          <w:color w:val="231F20"/>
          <w:sz w:val="22"/>
          <w:szCs w:val="24"/>
        </w:rPr>
        <w:t>telephone survey of marketers and refiners, one for each of the two products. Data are collected by State Energy Offices under the Energy Information Administration (EIA) State Heating Oil and Propane Program (SHOPP).</w:t>
      </w:r>
    </w:p>
    <w:p w:rsidR="00EA033A" w:rsidRDefault="00EA033A" w:rsidP="00EA033A">
      <w:pPr>
        <w:autoSpaceDE w:val="0"/>
        <w:autoSpaceDN w:val="0"/>
        <w:adjustRightInd w:val="0"/>
        <w:spacing w:line="360" w:lineRule="auto"/>
        <w:ind w:left="360"/>
        <w:rPr>
          <w:rFonts w:cs="Times New Roman"/>
          <w:color w:val="231F20"/>
          <w:sz w:val="22"/>
          <w:szCs w:val="24"/>
        </w:rPr>
      </w:pPr>
      <w:r w:rsidRPr="00340F80">
        <w:rPr>
          <w:rFonts w:cs="Times New Roman"/>
          <w:color w:val="231F20"/>
          <w:sz w:val="22"/>
          <w:szCs w:val="24"/>
        </w:rPr>
        <w:t>To estimate the average residential No. 2 heating oil price data for a State, the sample and volume weights are applied to the reported price, summed and divided by the sum of the weighted volume:</w:t>
      </w:r>
    </w:p>
    <w:p w:rsidR="007E40E0" w:rsidRPr="00340F80" w:rsidRDefault="007E40E0" w:rsidP="00EA033A">
      <w:pPr>
        <w:autoSpaceDE w:val="0"/>
        <w:autoSpaceDN w:val="0"/>
        <w:adjustRightInd w:val="0"/>
        <w:spacing w:line="360" w:lineRule="auto"/>
        <w:ind w:left="360"/>
        <w:rPr>
          <w:rFonts w:cs="Times New Roman"/>
          <w:color w:val="231F20"/>
          <w:sz w:val="22"/>
          <w:szCs w:val="24"/>
        </w:rPr>
      </w:pPr>
    </w:p>
    <w:p w:rsidR="00EA033A" w:rsidRPr="00D735D2" w:rsidRDefault="00EA033A" w:rsidP="00EA033A">
      <w:pPr>
        <w:autoSpaceDE w:val="0"/>
        <w:autoSpaceDN w:val="0"/>
        <w:adjustRightInd w:val="0"/>
        <w:ind w:left="360"/>
        <w:jc w:val="both"/>
        <w:rPr>
          <w:rFonts w:ascii="Times New Roman" w:hAnsi="Times New Roman" w:cs="Times New Roman"/>
          <w:color w:val="231F20"/>
          <w:sz w:val="24"/>
          <w:szCs w:val="24"/>
        </w:rPr>
      </w:pPr>
      <w:r w:rsidRPr="00D735D2">
        <w:rPr>
          <w:rFonts w:ascii="Times New Roman" w:hAnsi="Times New Roman" w:cs="Times New Roman"/>
          <w:color w:val="231F20"/>
          <w:sz w:val="24"/>
          <w:szCs w:val="24"/>
        </w:rPr>
        <w:tab/>
      </w:r>
      <w:r w:rsidRPr="00D735D2">
        <w:rPr>
          <w:rFonts w:ascii="Times New Roman" w:hAnsi="Times New Roman" w:cs="Times New Roman"/>
          <w:sz w:val="24"/>
          <w:szCs w:val="24"/>
        </w:rPr>
        <w:object w:dxaOrig="25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6.75pt" o:ole="">
            <v:imagedata r:id="rId13" o:title=""/>
          </v:shape>
          <o:OLEObject Type="Embed" ProgID="Equation.3" ShapeID="_x0000_i1025" DrawAspect="Content" ObjectID="_1403586370" r:id="rId14"/>
        </w:object>
      </w:r>
    </w:p>
    <w:p w:rsidR="00EA033A" w:rsidRPr="00515192" w:rsidRDefault="00EA033A" w:rsidP="00EA033A">
      <w:pPr>
        <w:pStyle w:val="BodyText2"/>
        <w:spacing w:line="360" w:lineRule="auto"/>
        <w:ind w:left="360"/>
        <w:rPr>
          <w:rFonts w:asciiTheme="minorHAnsi" w:hAnsiTheme="minorHAnsi"/>
          <w:color w:val="231F20"/>
          <w:sz w:val="22"/>
          <w:szCs w:val="22"/>
        </w:rPr>
      </w:pPr>
      <w:r>
        <w:rPr>
          <w:color w:val="231F20"/>
          <w:sz w:val="22"/>
          <w:szCs w:val="22"/>
        </w:rPr>
        <w:t xml:space="preserve">where </w:t>
      </w:r>
      <w:r>
        <w:rPr>
          <w:color w:val="231F20"/>
          <w:sz w:val="22"/>
          <w:szCs w:val="22"/>
        </w:rPr>
        <w:tab/>
      </w:r>
      <w:r w:rsidRPr="00515192">
        <w:rPr>
          <w:rFonts w:asciiTheme="minorHAnsi" w:hAnsiTheme="minorHAnsi"/>
          <w:color w:val="231F20"/>
          <w:sz w:val="22"/>
          <w:szCs w:val="22"/>
        </w:rPr>
        <w:t>w</w:t>
      </w:r>
      <w:r w:rsidRPr="00FD462B">
        <w:rPr>
          <w:rFonts w:asciiTheme="minorHAnsi" w:hAnsiTheme="minorHAnsi"/>
          <w:color w:val="231F20"/>
          <w:sz w:val="22"/>
          <w:szCs w:val="22"/>
          <w:vertAlign w:val="subscript"/>
        </w:rPr>
        <w:t>ij</w:t>
      </w:r>
      <w:r w:rsidRPr="00515192">
        <w:rPr>
          <w:rFonts w:asciiTheme="minorHAnsi" w:hAnsiTheme="minorHAnsi"/>
          <w:color w:val="231F20"/>
          <w:sz w:val="22"/>
          <w:szCs w:val="22"/>
        </w:rPr>
        <w:t xml:space="preserve"> = sample weight</w:t>
      </w:r>
    </w:p>
    <w:p w:rsidR="00EA033A" w:rsidRPr="00515192" w:rsidRDefault="00EA033A" w:rsidP="00EA033A">
      <w:pPr>
        <w:pStyle w:val="BodyText2"/>
        <w:spacing w:line="360" w:lineRule="auto"/>
        <w:ind w:left="360"/>
        <w:rPr>
          <w:rFonts w:asciiTheme="minorHAnsi" w:hAnsiTheme="minorHAnsi"/>
          <w:color w:val="231F20"/>
          <w:sz w:val="22"/>
          <w:szCs w:val="22"/>
        </w:rPr>
      </w:pPr>
      <w:r w:rsidRPr="00515192">
        <w:rPr>
          <w:rFonts w:asciiTheme="minorHAnsi" w:hAnsiTheme="minorHAnsi"/>
          <w:color w:val="231F20"/>
          <w:sz w:val="22"/>
          <w:szCs w:val="22"/>
        </w:rPr>
        <w:tab/>
      </w:r>
      <w:r w:rsidRPr="00515192">
        <w:rPr>
          <w:rFonts w:asciiTheme="minorHAnsi" w:hAnsiTheme="minorHAnsi"/>
          <w:color w:val="231F20"/>
          <w:sz w:val="22"/>
          <w:szCs w:val="22"/>
        </w:rPr>
        <w:tab/>
        <w:t>v</w:t>
      </w:r>
      <w:r w:rsidRPr="00FD462B">
        <w:rPr>
          <w:rFonts w:asciiTheme="minorHAnsi" w:hAnsiTheme="minorHAnsi"/>
          <w:color w:val="231F20"/>
          <w:sz w:val="22"/>
          <w:szCs w:val="22"/>
          <w:vertAlign w:val="subscript"/>
        </w:rPr>
        <w:t>ij</w:t>
      </w:r>
      <w:r w:rsidRPr="00515192">
        <w:rPr>
          <w:rFonts w:asciiTheme="minorHAnsi" w:hAnsiTheme="minorHAnsi"/>
          <w:color w:val="231F20"/>
          <w:sz w:val="22"/>
          <w:szCs w:val="22"/>
        </w:rPr>
        <w:t xml:space="preserve"> – volume weight</w:t>
      </w:r>
    </w:p>
    <w:p w:rsidR="00EA033A" w:rsidRPr="00515192" w:rsidRDefault="00EA033A" w:rsidP="00EA033A">
      <w:pPr>
        <w:pStyle w:val="BodyText2"/>
        <w:ind w:left="360"/>
        <w:rPr>
          <w:rFonts w:asciiTheme="minorHAnsi" w:hAnsiTheme="minorHAnsi"/>
          <w:i/>
          <w:iCs/>
          <w:color w:val="231F20"/>
          <w:sz w:val="22"/>
          <w:szCs w:val="22"/>
        </w:rPr>
      </w:pPr>
      <w:r w:rsidRPr="00515192">
        <w:rPr>
          <w:rFonts w:asciiTheme="minorHAnsi" w:hAnsiTheme="minorHAnsi"/>
          <w:color w:val="231F20"/>
          <w:position w:val="-14"/>
          <w:sz w:val="22"/>
          <w:szCs w:val="22"/>
        </w:rPr>
        <w:tab/>
      </w:r>
      <w:r w:rsidRPr="00515192">
        <w:rPr>
          <w:rFonts w:asciiTheme="minorHAnsi" w:hAnsiTheme="minorHAnsi"/>
          <w:color w:val="231F20"/>
          <w:position w:val="-14"/>
          <w:sz w:val="22"/>
          <w:szCs w:val="22"/>
        </w:rPr>
        <w:tab/>
      </w:r>
      <w:r w:rsidRPr="00515192">
        <w:rPr>
          <w:rFonts w:asciiTheme="minorHAnsi" w:hAnsiTheme="minorHAnsi"/>
          <w:color w:val="231F20"/>
          <w:position w:val="-14"/>
          <w:sz w:val="22"/>
          <w:szCs w:val="22"/>
        </w:rPr>
        <w:object w:dxaOrig="320" w:dyaOrig="380">
          <v:shape id="_x0000_i1026" type="#_x0000_t75" style="width:15.75pt;height:18.75pt" o:ole="">
            <v:imagedata r:id="rId15" o:title=""/>
          </v:shape>
          <o:OLEObject Type="Embed" ProgID="Equation.3" ShapeID="_x0000_i1026" DrawAspect="Content" ObjectID="_1403586371" r:id="rId16"/>
        </w:object>
      </w:r>
      <w:r w:rsidRPr="00515192">
        <w:rPr>
          <w:rFonts w:asciiTheme="minorHAnsi" w:hAnsiTheme="minorHAnsi"/>
          <w:i/>
          <w:iCs/>
          <w:color w:val="231F20"/>
          <w:sz w:val="22"/>
          <w:szCs w:val="22"/>
        </w:rPr>
        <w:t xml:space="preserve"> </w:t>
      </w:r>
      <w:r w:rsidRPr="00515192">
        <w:rPr>
          <w:rFonts w:asciiTheme="minorHAnsi" w:hAnsiTheme="minorHAnsi"/>
          <w:color w:val="231F20"/>
          <w:sz w:val="22"/>
          <w:szCs w:val="22"/>
        </w:rPr>
        <w:t xml:space="preserve">= price, </w:t>
      </w:r>
    </w:p>
    <w:p w:rsidR="00EA033A" w:rsidRPr="00515192" w:rsidRDefault="00EA033A" w:rsidP="00EA033A">
      <w:pPr>
        <w:pStyle w:val="BodyText2"/>
        <w:spacing w:line="360" w:lineRule="auto"/>
        <w:ind w:left="360"/>
        <w:rPr>
          <w:rFonts w:asciiTheme="minorHAnsi" w:hAnsiTheme="minorHAnsi"/>
          <w:color w:val="231F20"/>
          <w:position w:val="-14"/>
          <w:sz w:val="22"/>
          <w:szCs w:val="22"/>
        </w:rPr>
      </w:pPr>
      <w:r w:rsidRPr="00515192">
        <w:rPr>
          <w:rFonts w:asciiTheme="minorHAnsi" w:hAnsiTheme="minorHAnsi"/>
          <w:i/>
          <w:iCs/>
          <w:color w:val="231F20"/>
          <w:sz w:val="22"/>
          <w:szCs w:val="22"/>
        </w:rPr>
        <w:tab/>
      </w:r>
      <w:r w:rsidRPr="00515192">
        <w:rPr>
          <w:rFonts w:asciiTheme="minorHAnsi" w:hAnsiTheme="minorHAnsi"/>
          <w:i/>
          <w:iCs/>
          <w:color w:val="231F20"/>
          <w:sz w:val="22"/>
          <w:szCs w:val="22"/>
        </w:rPr>
        <w:tab/>
        <w:t xml:space="preserve">i </w:t>
      </w:r>
      <w:r w:rsidRPr="00515192">
        <w:rPr>
          <w:rFonts w:asciiTheme="minorHAnsi" w:hAnsiTheme="minorHAnsi"/>
          <w:color w:val="231F20"/>
          <w:sz w:val="22"/>
          <w:szCs w:val="22"/>
        </w:rPr>
        <w:t>= respondent</w:t>
      </w:r>
    </w:p>
    <w:p w:rsidR="00EA033A" w:rsidRPr="00515192" w:rsidRDefault="00EA033A" w:rsidP="00EA033A">
      <w:pPr>
        <w:pStyle w:val="BodyText2"/>
        <w:spacing w:line="360" w:lineRule="auto"/>
        <w:ind w:left="360"/>
        <w:jc w:val="left"/>
        <w:rPr>
          <w:rFonts w:asciiTheme="minorHAnsi" w:hAnsiTheme="minorHAnsi"/>
          <w:i/>
          <w:iCs/>
          <w:color w:val="231F20"/>
          <w:sz w:val="22"/>
          <w:szCs w:val="22"/>
        </w:rPr>
      </w:pPr>
      <w:r w:rsidRPr="00515192">
        <w:rPr>
          <w:rFonts w:asciiTheme="minorHAnsi" w:hAnsiTheme="minorHAnsi"/>
          <w:i/>
          <w:iCs/>
          <w:color w:val="231F20"/>
          <w:sz w:val="22"/>
          <w:szCs w:val="22"/>
        </w:rPr>
        <w:tab/>
      </w:r>
      <w:r w:rsidRPr="00515192">
        <w:rPr>
          <w:rFonts w:asciiTheme="minorHAnsi" w:hAnsiTheme="minorHAnsi"/>
          <w:i/>
          <w:iCs/>
          <w:color w:val="231F20"/>
          <w:sz w:val="22"/>
          <w:szCs w:val="22"/>
        </w:rPr>
        <w:tab/>
      </w:r>
      <w:r w:rsidRPr="00515192">
        <w:rPr>
          <w:rFonts w:asciiTheme="minorHAnsi" w:hAnsiTheme="minorHAnsi"/>
          <w:color w:val="231F20"/>
          <w:position w:val="-14"/>
          <w:sz w:val="22"/>
          <w:szCs w:val="22"/>
        </w:rPr>
        <w:object w:dxaOrig="279" w:dyaOrig="380">
          <v:shape id="_x0000_i1027" type="#_x0000_t75" style="width:14.25pt;height:18.75pt" o:ole="">
            <v:imagedata r:id="rId17" o:title=""/>
          </v:shape>
          <o:OLEObject Type="Embed" ProgID="Equation.3" ShapeID="_x0000_i1027" DrawAspect="Content" ObjectID="_1403586372" r:id="rId18"/>
        </w:object>
      </w:r>
      <w:r w:rsidRPr="00515192">
        <w:rPr>
          <w:rFonts w:asciiTheme="minorHAnsi" w:hAnsiTheme="minorHAnsi"/>
          <w:i/>
          <w:iCs/>
          <w:color w:val="231F20"/>
          <w:sz w:val="22"/>
          <w:szCs w:val="22"/>
        </w:rPr>
        <w:t xml:space="preserve"> </w:t>
      </w:r>
      <w:r w:rsidRPr="00515192">
        <w:rPr>
          <w:rFonts w:asciiTheme="minorHAnsi" w:hAnsiTheme="minorHAnsi"/>
          <w:color w:val="231F20"/>
          <w:sz w:val="22"/>
          <w:szCs w:val="22"/>
        </w:rPr>
        <w:t xml:space="preserve">= sample size of stratum </w:t>
      </w:r>
      <w:r w:rsidRPr="00515192">
        <w:rPr>
          <w:rFonts w:asciiTheme="minorHAnsi" w:hAnsiTheme="minorHAnsi"/>
          <w:i/>
          <w:iCs/>
          <w:color w:val="231F20"/>
          <w:sz w:val="22"/>
          <w:szCs w:val="22"/>
        </w:rPr>
        <w:t>j</w:t>
      </w:r>
      <w:r w:rsidRPr="00515192">
        <w:rPr>
          <w:rFonts w:asciiTheme="minorHAnsi" w:hAnsiTheme="minorHAnsi"/>
          <w:color w:val="231F20"/>
          <w:sz w:val="22"/>
          <w:szCs w:val="22"/>
        </w:rPr>
        <w:t xml:space="preserve">, and </w:t>
      </w:r>
    </w:p>
    <w:p w:rsidR="00EA033A" w:rsidRDefault="00EA033A" w:rsidP="00EA033A">
      <w:pPr>
        <w:pStyle w:val="BodyText2"/>
        <w:spacing w:line="360" w:lineRule="auto"/>
        <w:ind w:left="360"/>
        <w:jc w:val="left"/>
        <w:rPr>
          <w:rFonts w:asciiTheme="minorHAnsi" w:hAnsiTheme="minorHAnsi"/>
          <w:color w:val="231F20"/>
          <w:sz w:val="22"/>
          <w:szCs w:val="22"/>
        </w:rPr>
      </w:pPr>
      <w:r w:rsidRPr="00515192">
        <w:rPr>
          <w:rFonts w:asciiTheme="minorHAnsi" w:hAnsiTheme="minorHAnsi"/>
          <w:i/>
          <w:iCs/>
          <w:color w:val="231F20"/>
          <w:sz w:val="22"/>
          <w:szCs w:val="22"/>
        </w:rPr>
        <w:tab/>
      </w:r>
      <w:r w:rsidRPr="00515192">
        <w:rPr>
          <w:rFonts w:asciiTheme="minorHAnsi" w:hAnsiTheme="minorHAnsi"/>
          <w:i/>
          <w:iCs/>
          <w:color w:val="231F20"/>
          <w:sz w:val="22"/>
          <w:szCs w:val="22"/>
        </w:rPr>
        <w:tab/>
        <w:t xml:space="preserve">s </w:t>
      </w:r>
      <w:r w:rsidRPr="00515192">
        <w:rPr>
          <w:rFonts w:asciiTheme="minorHAnsi" w:hAnsiTheme="minorHAnsi"/>
          <w:color w:val="231F20"/>
          <w:sz w:val="22"/>
          <w:szCs w:val="22"/>
        </w:rPr>
        <w:t>= number of strata</w:t>
      </w:r>
    </w:p>
    <w:p w:rsidR="00EA033A" w:rsidRPr="00515192" w:rsidRDefault="00EA033A" w:rsidP="00EA033A">
      <w:pPr>
        <w:pStyle w:val="BodyText2"/>
        <w:spacing w:line="360" w:lineRule="auto"/>
        <w:ind w:left="360"/>
        <w:jc w:val="left"/>
        <w:rPr>
          <w:rFonts w:asciiTheme="minorHAnsi" w:hAnsiTheme="minorHAnsi"/>
          <w:sz w:val="22"/>
          <w:szCs w:val="22"/>
        </w:rPr>
      </w:pPr>
      <w:r w:rsidRPr="00515192">
        <w:rPr>
          <w:rFonts w:asciiTheme="minorHAnsi" w:hAnsiTheme="minorHAnsi"/>
          <w:sz w:val="22"/>
          <w:szCs w:val="22"/>
        </w:rPr>
        <w:br/>
        <w:t xml:space="preserve">The sample weights </w:t>
      </w:r>
      <w:r w:rsidRPr="00515192">
        <w:rPr>
          <w:rFonts w:asciiTheme="minorHAnsi" w:hAnsiTheme="minorHAnsi"/>
          <w:color w:val="231F20"/>
          <w:position w:val="-14"/>
          <w:sz w:val="22"/>
          <w:szCs w:val="22"/>
        </w:rPr>
        <w:object w:dxaOrig="320" w:dyaOrig="380">
          <v:shape id="_x0000_i1028" type="#_x0000_t75" style="width:15.75pt;height:18.75pt" o:ole="">
            <v:imagedata r:id="rId19" o:title=""/>
          </v:shape>
          <o:OLEObject Type="Embed" ProgID="Equation.3" ShapeID="_x0000_i1028" DrawAspect="Content" ObjectID="_1403586373" r:id="rId20"/>
        </w:object>
      </w:r>
      <w:r w:rsidRPr="00515192">
        <w:rPr>
          <w:rFonts w:asciiTheme="minorHAnsi" w:hAnsiTheme="minorHAnsi"/>
          <w:sz w:val="22"/>
          <w:szCs w:val="22"/>
        </w:rPr>
        <w:t xml:space="preserve"> were calculated as ratios of population number of CSUs to the sampled number of CSUs in each stratum. Volume weights </w:t>
      </w:r>
      <w:r w:rsidRPr="00515192">
        <w:rPr>
          <w:rFonts w:asciiTheme="minorHAnsi" w:hAnsiTheme="minorHAnsi"/>
          <w:color w:val="231F20"/>
          <w:position w:val="-14"/>
          <w:sz w:val="22"/>
          <w:szCs w:val="22"/>
        </w:rPr>
        <w:object w:dxaOrig="260" w:dyaOrig="380">
          <v:shape id="_x0000_i1029" type="#_x0000_t75" style="width:12.75pt;height:18.75pt" o:ole="">
            <v:imagedata r:id="rId21" o:title=""/>
          </v:shape>
          <o:OLEObject Type="Embed" ProgID="Equation.3" ShapeID="_x0000_i1029" DrawAspect="Content" ObjectID="_1403586374" r:id="rId22"/>
        </w:object>
      </w:r>
      <w:r w:rsidRPr="00515192">
        <w:rPr>
          <w:rFonts w:asciiTheme="minorHAnsi" w:hAnsiTheme="minorHAnsi"/>
          <w:color w:val="231F20"/>
          <w:sz w:val="22"/>
          <w:szCs w:val="22"/>
        </w:rPr>
        <w:t xml:space="preserve"> </w:t>
      </w:r>
      <w:r w:rsidRPr="00515192">
        <w:rPr>
          <w:rFonts w:asciiTheme="minorHAnsi" w:hAnsiTheme="minorHAnsi"/>
          <w:sz w:val="22"/>
          <w:szCs w:val="22"/>
        </w:rPr>
        <w:t>were assigned using the data reported in the frame survey.</w:t>
      </w:r>
    </w:p>
    <w:p w:rsidR="00EA033A" w:rsidRPr="00515192" w:rsidRDefault="00EA033A" w:rsidP="00EA033A">
      <w:pPr>
        <w:pStyle w:val="BodyText2"/>
        <w:ind w:left="360"/>
        <w:rPr>
          <w:rFonts w:asciiTheme="minorHAnsi" w:hAnsiTheme="minorHAnsi"/>
          <w:sz w:val="22"/>
          <w:szCs w:val="22"/>
        </w:rPr>
      </w:pPr>
    </w:p>
    <w:p w:rsidR="00EA033A" w:rsidRDefault="00EA033A" w:rsidP="00EA033A">
      <w:pPr>
        <w:pStyle w:val="BodyText2"/>
        <w:spacing w:line="360" w:lineRule="auto"/>
        <w:ind w:left="360"/>
        <w:jc w:val="left"/>
        <w:rPr>
          <w:rFonts w:asciiTheme="minorHAnsi" w:hAnsiTheme="minorHAnsi"/>
          <w:sz w:val="22"/>
          <w:szCs w:val="22"/>
        </w:rPr>
      </w:pPr>
      <w:r w:rsidRPr="00515192">
        <w:rPr>
          <w:rFonts w:asciiTheme="minorHAnsi" w:hAnsiTheme="minorHAnsi"/>
          <w:sz w:val="22"/>
          <w:szCs w:val="22"/>
        </w:rPr>
        <w:t xml:space="preserve">State level residential No. 2 heating oil average prices are then aggregated into regional and overall averages with State level total residential No. 2 heating oil volumes as weights.  </w:t>
      </w:r>
    </w:p>
    <w:p w:rsidR="00EA033A" w:rsidRDefault="00EA033A" w:rsidP="00EA033A">
      <w:pPr>
        <w:pStyle w:val="BodyText2"/>
        <w:spacing w:line="360" w:lineRule="auto"/>
        <w:ind w:left="360"/>
        <w:jc w:val="left"/>
        <w:rPr>
          <w:rFonts w:asciiTheme="minorHAnsi" w:hAnsiTheme="minorHAnsi"/>
          <w:sz w:val="22"/>
          <w:szCs w:val="22"/>
        </w:rPr>
      </w:pPr>
    </w:p>
    <w:p w:rsidR="00EA033A" w:rsidRDefault="00EA033A" w:rsidP="00EA033A">
      <w:pPr>
        <w:pStyle w:val="BodyText2"/>
        <w:spacing w:line="360" w:lineRule="auto"/>
        <w:ind w:left="360"/>
        <w:jc w:val="left"/>
        <w:rPr>
          <w:rFonts w:asciiTheme="minorHAnsi" w:hAnsiTheme="minorHAnsi"/>
          <w:sz w:val="22"/>
          <w:szCs w:val="22"/>
        </w:rPr>
      </w:pPr>
      <w:r>
        <w:rPr>
          <w:rFonts w:asciiTheme="minorHAnsi" w:hAnsiTheme="minorHAnsi"/>
          <w:sz w:val="22"/>
          <w:szCs w:val="22"/>
        </w:rPr>
        <w:t>These fixed volume weights indicate the relative importance of the individual companies according to the size of their sales at the time of the frame.  Therefore, changes in the average price across time reflect only the change in the price being offered by the company, and not the change in the amounts sold. Price indexes constructed using fixed volumes, such as these annual sales, are known as Laspeyres Indexes.  One alternative method of weighting, used in Paasche Indexes, uses current weights.  This method would require each company to report the number of gallons sold at the reported price each pricing period and would be more burdensome on the companies.  Both methods of weighting are correct but provide different averages particularly when volumes are changing.  It has been argued in the literature that during periods of change, the Laspeyres method has a tendency to overestimate price changes, while the Paasche method tends to underestimate price changes.</w:t>
      </w:r>
    </w:p>
    <w:p w:rsidR="00EA033A" w:rsidRDefault="00EA033A" w:rsidP="00EA033A">
      <w:pPr>
        <w:pStyle w:val="BodyText2"/>
        <w:spacing w:line="360" w:lineRule="auto"/>
        <w:ind w:left="360"/>
        <w:jc w:val="left"/>
        <w:rPr>
          <w:rFonts w:asciiTheme="minorHAnsi" w:hAnsiTheme="minorHAnsi"/>
          <w:sz w:val="22"/>
          <w:szCs w:val="22"/>
        </w:rPr>
      </w:pPr>
    </w:p>
    <w:p w:rsidR="00EA033A" w:rsidRPr="00515192" w:rsidRDefault="00EA033A" w:rsidP="00EA033A">
      <w:pPr>
        <w:pStyle w:val="BodyText2"/>
        <w:spacing w:line="360" w:lineRule="auto"/>
        <w:ind w:left="360"/>
        <w:jc w:val="left"/>
        <w:rPr>
          <w:rFonts w:asciiTheme="minorHAnsi" w:hAnsiTheme="minorHAnsi"/>
          <w:sz w:val="22"/>
          <w:szCs w:val="22"/>
        </w:rPr>
      </w:pPr>
      <w:r>
        <w:rPr>
          <w:rFonts w:asciiTheme="minorHAnsi" w:hAnsiTheme="minorHAnsi"/>
          <w:sz w:val="22"/>
          <w:szCs w:val="22"/>
        </w:rPr>
        <w:t xml:space="preserve">In this survey, it is expected that the change in volumes weekly during the heating season is small.  Residential sales are not bulk in nature and do not tend to reflect discounts on price for large volume purchases.  Absolute changes in volume with a year’s time would more likely reflect demand and be consistent across companies within a geographic area.  Therefore, even though the volume weights used in the calculation of average prices in the SHOPP tend to lag behind the actual volumes sold in the reference period, fixed volumes are used to reduce company burden and enable timely release of average prices. </w:t>
      </w:r>
    </w:p>
    <w:p w:rsidR="007A2FAC" w:rsidRPr="00D735D2" w:rsidRDefault="00EA033A" w:rsidP="00EA033A">
      <w:pPr>
        <w:autoSpaceDE w:val="0"/>
        <w:autoSpaceDN w:val="0"/>
        <w:adjustRightInd w:val="0"/>
        <w:spacing w:line="360" w:lineRule="auto"/>
        <w:ind w:left="360"/>
        <w:rPr>
          <w:rFonts w:ascii="Times New Roman" w:hAnsi="Times New Roman" w:cs="Times New Roman"/>
          <w:spacing w:val="-3"/>
          <w:sz w:val="24"/>
          <w:szCs w:val="24"/>
        </w:rPr>
      </w:pPr>
      <w:r>
        <w:rPr>
          <w:rFonts w:cs="Times New Roman"/>
          <w:i/>
          <w:color w:val="231F20"/>
          <w:sz w:val="22"/>
          <w:szCs w:val="24"/>
        </w:rPr>
        <w:t>S</w:t>
      </w:r>
      <w:r w:rsidR="001E3E47" w:rsidRPr="00340F80">
        <w:rPr>
          <w:rFonts w:cs="Times New Roman"/>
          <w:i/>
          <w:color w:val="231F20"/>
          <w:sz w:val="22"/>
          <w:szCs w:val="24"/>
        </w:rPr>
        <w:t xml:space="preserve">ample </w:t>
      </w:r>
      <w:r w:rsidR="006004B2">
        <w:rPr>
          <w:rFonts w:cs="Times New Roman"/>
          <w:i/>
          <w:color w:val="231F20"/>
          <w:sz w:val="22"/>
          <w:szCs w:val="24"/>
        </w:rPr>
        <w:t xml:space="preserve">and Estimation </w:t>
      </w:r>
      <w:r>
        <w:rPr>
          <w:rFonts w:cs="Times New Roman"/>
          <w:i/>
          <w:color w:val="231F20"/>
          <w:sz w:val="22"/>
          <w:szCs w:val="24"/>
        </w:rPr>
        <w:t>Procedures for</w:t>
      </w:r>
      <w:r w:rsidR="001E3E47" w:rsidRPr="00340F80">
        <w:rPr>
          <w:rFonts w:cs="Times New Roman"/>
          <w:i/>
          <w:color w:val="231F20"/>
          <w:sz w:val="22"/>
          <w:szCs w:val="24"/>
        </w:rPr>
        <w:t xml:space="preserve"> </w:t>
      </w:r>
      <w:r>
        <w:rPr>
          <w:rFonts w:cs="Times New Roman"/>
          <w:i/>
          <w:color w:val="231F20"/>
          <w:sz w:val="22"/>
          <w:szCs w:val="24"/>
        </w:rPr>
        <w:t>Propane P</w:t>
      </w:r>
      <w:r w:rsidR="001E3E47" w:rsidRPr="00340F80">
        <w:rPr>
          <w:rFonts w:cs="Times New Roman"/>
          <w:i/>
          <w:color w:val="231F20"/>
          <w:sz w:val="22"/>
          <w:szCs w:val="24"/>
        </w:rPr>
        <w:t>rices</w:t>
      </w:r>
      <w:r>
        <w:rPr>
          <w:rFonts w:cs="Times New Roman"/>
          <w:i/>
          <w:color w:val="231F20"/>
          <w:sz w:val="22"/>
          <w:szCs w:val="24"/>
        </w:rPr>
        <w:t xml:space="preserve"> on EIA-877</w:t>
      </w:r>
      <w:r w:rsidR="001E3E47" w:rsidRPr="00340F80">
        <w:rPr>
          <w:rFonts w:cs="Times New Roman"/>
          <w:i/>
          <w:color w:val="231F20"/>
          <w:sz w:val="22"/>
          <w:szCs w:val="24"/>
        </w:rPr>
        <w:t>:</w:t>
      </w:r>
      <w:r w:rsidR="006004B2">
        <w:rPr>
          <w:rFonts w:cs="Times New Roman"/>
          <w:color w:val="231F20"/>
          <w:sz w:val="22"/>
          <w:szCs w:val="24"/>
        </w:rPr>
        <w:t xml:space="preserve"> Propane price d</w:t>
      </w:r>
      <w:r w:rsidR="001E3E47" w:rsidRPr="00340F80">
        <w:rPr>
          <w:rFonts w:cs="Times New Roman"/>
          <w:color w:val="231F20"/>
          <w:sz w:val="22"/>
          <w:szCs w:val="24"/>
        </w:rPr>
        <w:t xml:space="preserve">ata are collected </w:t>
      </w:r>
      <w:r w:rsidR="006004B2">
        <w:rPr>
          <w:rFonts w:cs="Times New Roman"/>
          <w:color w:val="231F20"/>
          <w:sz w:val="22"/>
          <w:szCs w:val="24"/>
        </w:rPr>
        <w:t xml:space="preserve">from a sample of companies </w:t>
      </w:r>
      <w:r w:rsidR="001E3E47" w:rsidRPr="00340F80">
        <w:rPr>
          <w:rFonts w:cs="Times New Roman"/>
          <w:color w:val="231F20"/>
          <w:sz w:val="22"/>
          <w:szCs w:val="24"/>
        </w:rPr>
        <w:t>for</w:t>
      </w:r>
      <w:r w:rsidR="001E3E47" w:rsidRPr="00340F80">
        <w:rPr>
          <w:rFonts w:cs="Times New Roman"/>
          <w:sz w:val="22"/>
          <w:szCs w:val="24"/>
        </w:rPr>
        <w:t xml:space="preserve"> 24 States in the East Coast and Midwest regions</w:t>
      </w:r>
      <w:r w:rsidR="006004B2">
        <w:rPr>
          <w:rFonts w:cs="Times New Roman"/>
          <w:sz w:val="22"/>
          <w:szCs w:val="24"/>
        </w:rPr>
        <w:t xml:space="preserve"> and </w:t>
      </w:r>
      <w:r w:rsidR="006004B2" w:rsidRPr="00340F80">
        <w:rPr>
          <w:rFonts w:cs="Times New Roman"/>
          <w:sz w:val="22"/>
          <w:szCs w:val="24"/>
        </w:rPr>
        <w:t>the District of Columbia</w:t>
      </w:r>
      <w:r w:rsidR="001E3E47" w:rsidRPr="00340F80">
        <w:rPr>
          <w:rFonts w:cs="Times New Roman"/>
          <w:sz w:val="22"/>
          <w:szCs w:val="24"/>
        </w:rPr>
        <w:t>. The sampling frame used was a list of all Company State Units (CSUs) in those 24 States that reported residential propane sales on the 2006 Form EIA-863, “Petroleum Product Sales</w:t>
      </w:r>
      <w:r w:rsidR="00F363B3" w:rsidRPr="00340F80">
        <w:rPr>
          <w:rFonts w:cs="Times New Roman"/>
          <w:sz w:val="22"/>
          <w:szCs w:val="24"/>
        </w:rPr>
        <w:t xml:space="preserve"> Identification </w:t>
      </w:r>
      <w:r w:rsidR="001E3E47" w:rsidRPr="00340F80">
        <w:rPr>
          <w:rFonts w:cs="Times New Roman"/>
          <w:sz w:val="22"/>
          <w:szCs w:val="24"/>
        </w:rPr>
        <w:t>Survey.” The population of the survey was first stratified by State</w:t>
      </w:r>
      <w:r w:rsidR="007E6284" w:rsidRPr="00340F80">
        <w:rPr>
          <w:rFonts w:cs="Times New Roman"/>
          <w:sz w:val="22"/>
          <w:szCs w:val="24"/>
        </w:rPr>
        <w:t>,</w:t>
      </w:r>
      <w:r w:rsidR="001E3E47" w:rsidRPr="00340F80">
        <w:rPr>
          <w:rFonts w:cs="Times New Roman"/>
          <w:sz w:val="22"/>
          <w:szCs w:val="24"/>
        </w:rPr>
        <w:t xml:space="preserve"> which is the publication cell. Due to high residential propane price variation and budget constraints, sample sizes of all strata were limited to 30 even though the target CV of </w:t>
      </w:r>
      <w:r w:rsidR="00117651" w:rsidRPr="00340F80">
        <w:rPr>
          <w:rFonts w:cs="Times New Roman"/>
          <w:sz w:val="22"/>
          <w:szCs w:val="24"/>
        </w:rPr>
        <w:t>one percent (</w:t>
      </w:r>
      <w:r w:rsidR="001E3E47" w:rsidRPr="00340F80">
        <w:rPr>
          <w:rFonts w:cs="Times New Roman"/>
          <w:sz w:val="22"/>
          <w:szCs w:val="24"/>
        </w:rPr>
        <w:t>1%</w:t>
      </w:r>
      <w:r w:rsidR="00117651" w:rsidRPr="00340F80">
        <w:rPr>
          <w:rFonts w:cs="Times New Roman"/>
          <w:sz w:val="22"/>
          <w:szCs w:val="24"/>
        </w:rPr>
        <w:t>)</w:t>
      </w:r>
      <w:r w:rsidR="001E3E47" w:rsidRPr="00340F80">
        <w:rPr>
          <w:rFonts w:cs="Times New Roman"/>
          <w:sz w:val="22"/>
          <w:szCs w:val="24"/>
        </w:rPr>
        <w:t xml:space="preserve"> was not met in many States. To select the sample, the CSUs in each State were ordered by zip code in order to control for the geographic location of the companies. A Probability Proportional to Size (PPS) Systematic Sample with Probability Minimum Replacement, using the propane volumes reported </w:t>
      </w:r>
      <w:r w:rsidR="007E6284" w:rsidRPr="00340F80">
        <w:rPr>
          <w:rFonts w:cs="Times New Roman"/>
          <w:sz w:val="22"/>
          <w:szCs w:val="24"/>
        </w:rPr>
        <w:t>o</w:t>
      </w:r>
      <w:r w:rsidR="001E3E47" w:rsidRPr="00340F80">
        <w:rPr>
          <w:rFonts w:cs="Times New Roman"/>
          <w:sz w:val="22"/>
          <w:szCs w:val="24"/>
        </w:rPr>
        <w:t>n the frame survey EIA-863 as a measure of sampling unit size, was then selected from this ordering. With the targeted maximum sample size of 30 CSUs in each State, any CSU that sold more than 3.3</w:t>
      </w:r>
      <w:r w:rsidR="00117651" w:rsidRPr="00340F80">
        <w:rPr>
          <w:rFonts w:cs="Times New Roman"/>
          <w:sz w:val="22"/>
          <w:szCs w:val="24"/>
        </w:rPr>
        <w:t xml:space="preserve"> percent</w:t>
      </w:r>
      <w:r w:rsidR="001E3E47" w:rsidRPr="00340F80">
        <w:rPr>
          <w:rFonts w:cs="Times New Roman"/>
          <w:sz w:val="22"/>
          <w:szCs w:val="24"/>
        </w:rPr>
        <w:t xml:space="preserve"> (1/30) of the residential propane in a State was selected at least once. Within each sampled CSU, a simple random sample of residential propane outlets was drawn by using an outlet address listing EIA developed with </w:t>
      </w:r>
      <w:r w:rsidR="001E3E47" w:rsidRPr="00340F80">
        <w:rPr>
          <w:rFonts w:cs="Times New Roman"/>
          <w:color w:val="231F20"/>
          <w:sz w:val="22"/>
          <w:szCs w:val="24"/>
        </w:rPr>
        <w:t>information provided by the industry and State energy officials</w:t>
      </w:r>
      <w:r w:rsidR="001E3E47" w:rsidRPr="00340F80">
        <w:rPr>
          <w:rFonts w:cs="Times New Roman"/>
          <w:sz w:val="22"/>
          <w:szCs w:val="24"/>
        </w:rPr>
        <w:t xml:space="preserve">. The number of outlets selected from each CSU was the same as the number of times that CSU was selected in the PPS sample. </w:t>
      </w:r>
      <w:r w:rsidR="001E3E47" w:rsidRPr="00340F80">
        <w:rPr>
          <w:rFonts w:cs="Times New Roman"/>
          <w:spacing w:val="-3"/>
          <w:sz w:val="22"/>
          <w:szCs w:val="24"/>
        </w:rPr>
        <w:t xml:space="preserve">The resulting total number of outlets selected to report on the propane sample was </w:t>
      </w:r>
      <w:r w:rsidR="008835D6" w:rsidRPr="00340F80">
        <w:rPr>
          <w:rFonts w:cs="Times New Roman"/>
          <w:spacing w:val="-3"/>
          <w:sz w:val="22"/>
          <w:szCs w:val="24"/>
        </w:rPr>
        <w:t>720</w:t>
      </w:r>
      <w:r w:rsidR="00CD3908" w:rsidRPr="00340F80">
        <w:rPr>
          <w:rFonts w:cs="Times New Roman"/>
          <w:spacing w:val="-3"/>
          <w:sz w:val="22"/>
          <w:szCs w:val="24"/>
        </w:rPr>
        <w:t>.</w:t>
      </w:r>
      <w:r w:rsidR="001E3E47" w:rsidRPr="00340F80">
        <w:rPr>
          <w:rFonts w:cs="Times New Roman"/>
          <w:spacing w:val="-3"/>
          <w:sz w:val="22"/>
          <w:szCs w:val="24"/>
        </w:rPr>
        <w:t xml:space="preserve">   </w:t>
      </w:r>
    </w:p>
    <w:p w:rsidR="00D12C00" w:rsidRPr="00340F80" w:rsidRDefault="001E3E47" w:rsidP="00340F80">
      <w:pPr>
        <w:autoSpaceDE w:val="0"/>
        <w:autoSpaceDN w:val="0"/>
        <w:adjustRightInd w:val="0"/>
        <w:spacing w:line="360" w:lineRule="auto"/>
        <w:ind w:left="360"/>
        <w:rPr>
          <w:rFonts w:cs="Times New Roman"/>
          <w:spacing w:val="-3"/>
          <w:sz w:val="22"/>
          <w:szCs w:val="24"/>
        </w:rPr>
      </w:pPr>
      <w:r w:rsidRPr="00340F80">
        <w:rPr>
          <w:rFonts w:cs="Times New Roman"/>
          <w:sz w:val="22"/>
          <w:szCs w:val="24"/>
        </w:rPr>
        <w:t>In cases where there were fewer outlets in a sampled CSU than the number of times that CSU was sampled in the PPS sample, all outlets for that CSU were selected and their weights were adjusted to</w:t>
      </w:r>
      <w:r w:rsidRPr="00340F80">
        <w:rPr>
          <w:rFonts w:cs="Times New Roman"/>
          <w:position w:val="-12"/>
          <w:sz w:val="22"/>
          <w:szCs w:val="22"/>
        </w:rPr>
        <w:object w:dxaOrig="580" w:dyaOrig="380">
          <v:shape id="_x0000_i1030" type="#_x0000_t75" style="width:29.25pt;height:18.75pt" o:ole="">
            <v:imagedata r:id="rId23" o:title=""/>
          </v:shape>
          <o:OLEObject Type="Embed" ProgID="Equation.3" ShapeID="_x0000_i1030" DrawAspect="Content" ObjectID="_1403586375" r:id="rId24"/>
        </w:object>
      </w:r>
      <w:r w:rsidRPr="00340F80">
        <w:rPr>
          <w:rFonts w:cs="Times New Roman"/>
          <w:sz w:val="22"/>
          <w:szCs w:val="22"/>
        </w:rPr>
        <w:t xml:space="preserve">, where </w:t>
      </w:r>
      <w:r w:rsidRPr="00340F80">
        <w:rPr>
          <w:rFonts w:cs="Times New Roman"/>
          <w:position w:val="-12"/>
          <w:sz w:val="22"/>
          <w:szCs w:val="22"/>
        </w:rPr>
        <w:object w:dxaOrig="240" w:dyaOrig="380">
          <v:shape id="_x0000_i1031" type="#_x0000_t75" style="width:12pt;height:18.75pt" o:ole="">
            <v:imagedata r:id="rId25" o:title=""/>
          </v:shape>
          <o:OLEObject Type="Embed" ProgID="Equation.3" ShapeID="_x0000_i1031" DrawAspect="Content" ObjectID="_1403586376" r:id="rId26"/>
        </w:object>
      </w:r>
      <w:r w:rsidRPr="00340F80">
        <w:rPr>
          <w:rFonts w:cs="Times New Roman"/>
          <w:sz w:val="22"/>
          <w:szCs w:val="22"/>
        </w:rPr>
        <w:t xml:space="preserve"> is the number of times that CSU was sampled and </w:t>
      </w:r>
      <w:r w:rsidRPr="00340F80">
        <w:rPr>
          <w:rFonts w:cs="Times New Roman"/>
          <w:position w:val="-12"/>
          <w:sz w:val="22"/>
          <w:szCs w:val="22"/>
        </w:rPr>
        <w:object w:dxaOrig="240" w:dyaOrig="360">
          <v:shape id="_x0000_i1032" type="#_x0000_t75" style="width:12pt;height:18pt" o:ole="">
            <v:imagedata r:id="rId27" o:title=""/>
          </v:shape>
          <o:OLEObject Type="Embed" ProgID="Equation.3" ShapeID="_x0000_i1032" DrawAspect="Content" ObjectID="_1403586377" r:id="rId28"/>
        </w:object>
      </w:r>
      <w:r w:rsidRPr="00340F80">
        <w:rPr>
          <w:rFonts w:cs="Times New Roman"/>
          <w:sz w:val="22"/>
          <w:szCs w:val="22"/>
        </w:rPr>
        <w:t xml:space="preserve"> i</w:t>
      </w:r>
      <w:r w:rsidRPr="00340F80">
        <w:rPr>
          <w:rFonts w:cs="Times New Roman"/>
          <w:sz w:val="22"/>
          <w:szCs w:val="24"/>
        </w:rPr>
        <w:t xml:space="preserve">s the number of outlets sampled. </w:t>
      </w:r>
      <w:r w:rsidRPr="00340F80">
        <w:rPr>
          <w:rFonts w:cs="Times New Roman"/>
          <w:spacing w:val="-3"/>
          <w:sz w:val="22"/>
          <w:szCs w:val="24"/>
        </w:rPr>
        <w:t>This was also the practice if a CSU preferred to report on the survey by providing the average of al</w:t>
      </w:r>
      <w:r w:rsidR="006871FC" w:rsidRPr="00340F80">
        <w:rPr>
          <w:rFonts w:cs="Times New Roman"/>
          <w:spacing w:val="-3"/>
          <w:sz w:val="22"/>
          <w:szCs w:val="24"/>
        </w:rPr>
        <w:t>l its outlets in a given State</w:t>
      </w:r>
      <w:r w:rsidRPr="00340F80">
        <w:rPr>
          <w:rFonts w:cs="Times New Roman"/>
          <w:spacing w:val="-3"/>
          <w:sz w:val="22"/>
          <w:szCs w:val="24"/>
        </w:rPr>
        <w:t xml:space="preserve">. Therefore, the actual number responding each month may deviate from the 720 outlets sampled. </w:t>
      </w:r>
    </w:p>
    <w:p w:rsidR="00F251C0" w:rsidRDefault="00F251C0" w:rsidP="00515192">
      <w:pPr>
        <w:pStyle w:val="BodyText2"/>
        <w:spacing w:line="360" w:lineRule="auto"/>
        <w:ind w:left="360"/>
        <w:jc w:val="left"/>
        <w:rPr>
          <w:rFonts w:asciiTheme="majorHAnsi" w:hAnsiTheme="majorHAnsi"/>
          <w:color w:val="231F20"/>
          <w:sz w:val="22"/>
          <w:szCs w:val="24"/>
        </w:rPr>
      </w:pPr>
      <w:bookmarkStart w:id="1" w:name="OLE_LINK1"/>
      <w:bookmarkStart w:id="2" w:name="OLE_LINK2"/>
      <w:r w:rsidRPr="00515192">
        <w:rPr>
          <w:rFonts w:asciiTheme="majorHAnsi" w:hAnsiTheme="majorHAnsi"/>
          <w:color w:val="231F20"/>
          <w:sz w:val="22"/>
          <w:szCs w:val="24"/>
        </w:rPr>
        <w:t xml:space="preserve">To estimate the average residential propane price data for a State, </w:t>
      </w:r>
      <w:r w:rsidRPr="00515192">
        <w:rPr>
          <w:rFonts w:asciiTheme="majorHAnsi" w:hAnsiTheme="majorHAnsi"/>
          <w:sz w:val="22"/>
          <w:szCs w:val="24"/>
        </w:rPr>
        <w:t>a simple average of the prices from each sampled outlet yields a valid estimate as a result of the cancellation of sample weights of the PPS sample design and volume weights in the estimate:</w:t>
      </w:r>
      <w:r w:rsidRPr="00515192">
        <w:rPr>
          <w:rFonts w:asciiTheme="majorHAnsi" w:hAnsiTheme="majorHAnsi"/>
          <w:color w:val="231F20"/>
          <w:sz w:val="22"/>
          <w:szCs w:val="24"/>
        </w:rPr>
        <w:t xml:space="preserve"> </w:t>
      </w:r>
    </w:p>
    <w:p w:rsidR="00F251C0" w:rsidRPr="00D735D2" w:rsidRDefault="00F251C0" w:rsidP="00F251C0">
      <w:pPr>
        <w:autoSpaceDE w:val="0"/>
        <w:autoSpaceDN w:val="0"/>
        <w:adjustRightInd w:val="0"/>
        <w:ind w:left="360"/>
        <w:jc w:val="both"/>
        <w:rPr>
          <w:rFonts w:ascii="Times New Roman" w:hAnsi="Times New Roman" w:cs="Times New Roman"/>
          <w:color w:val="231F20"/>
          <w:sz w:val="24"/>
          <w:szCs w:val="24"/>
        </w:rPr>
      </w:pPr>
      <w:r w:rsidRPr="00D735D2">
        <w:rPr>
          <w:rFonts w:ascii="Times New Roman" w:hAnsi="Times New Roman" w:cs="Times New Roman"/>
          <w:color w:val="231F20"/>
          <w:sz w:val="24"/>
          <w:szCs w:val="24"/>
        </w:rPr>
        <w:tab/>
      </w:r>
      <w:r w:rsidRPr="00D735D2">
        <w:rPr>
          <w:rFonts w:ascii="Times New Roman" w:hAnsi="Times New Roman" w:cs="Times New Roman"/>
          <w:sz w:val="24"/>
          <w:szCs w:val="24"/>
        </w:rPr>
        <w:object w:dxaOrig="980" w:dyaOrig="720">
          <v:shape id="_x0000_i1033" type="#_x0000_t75" style="width:48.75pt;height:36pt" o:ole="">
            <v:imagedata r:id="rId29" o:title=""/>
          </v:shape>
          <o:OLEObject Type="Embed" ProgID="Equation.3" ShapeID="_x0000_i1033" DrawAspect="Content" ObjectID="_1403586378" r:id="rId30"/>
        </w:object>
      </w:r>
    </w:p>
    <w:p w:rsidR="00515192" w:rsidRPr="00515192" w:rsidRDefault="00515192" w:rsidP="00512577">
      <w:pPr>
        <w:pStyle w:val="BodyText2"/>
        <w:spacing w:line="360" w:lineRule="auto"/>
        <w:jc w:val="left"/>
        <w:rPr>
          <w:rFonts w:asciiTheme="minorHAnsi" w:hAnsiTheme="minorHAnsi"/>
          <w:color w:val="231F20"/>
          <w:sz w:val="22"/>
          <w:szCs w:val="22"/>
        </w:rPr>
      </w:pPr>
      <w:r>
        <w:rPr>
          <w:color w:val="231F20"/>
          <w:szCs w:val="24"/>
        </w:rPr>
        <w:tab/>
      </w:r>
      <w:r>
        <w:rPr>
          <w:color w:val="231F20"/>
          <w:szCs w:val="24"/>
        </w:rPr>
        <w:tab/>
      </w:r>
      <w:r w:rsidR="00F251C0" w:rsidRPr="00515192">
        <w:rPr>
          <w:rFonts w:asciiTheme="minorHAnsi" w:hAnsiTheme="minorHAnsi"/>
          <w:color w:val="231F20"/>
          <w:sz w:val="22"/>
          <w:szCs w:val="22"/>
        </w:rPr>
        <w:t xml:space="preserve">where </w:t>
      </w:r>
      <w:r w:rsidR="00F251C0" w:rsidRPr="00515192">
        <w:rPr>
          <w:rFonts w:asciiTheme="minorHAnsi" w:hAnsiTheme="minorHAnsi"/>
          <w:color w:val="231F20"/>
          <w:position w:val="-12"/>
          <w:sz w:val="22"/>
          <w:szCs w:val="22"/>
        </w:rPr>
        <w:object w:dxaOrig="279" w:dyaOrig="360">
          <v:shape id="_x0000_i1034" type="#_x0000_t75" style="width:14.25pt;height:18pt" o:ole="">
            <v:imagedata r:id="rId31" o:title=""/>
          </v:shape>
          <o:OLEObject Type="Embed" ProgID="Equation.3" ShapeID="_x0000_i1034" DrawAspect="Content" ObjectID="_1403586379" r:id="rId32"/>
        </w:object>
      </w:r>
      <w:r w:rsidR="00F251C0" w:rsidRPr="00515192">
        <w:rPr>
          <w:rFonts w:asciiTheme="minorHAnsi" w:hAnsiTheme="minorHAnsi"/>
          <w:i/>
          <w:iCs/>
          <w:color w:val="231F20"/>
          <w:sz w:val="22"/>
          <w:szCs w:val="22"/>
        </w:rPr>
        <w:t xml:space="preserve"> </w:t>
      </w:r>
      <w:r w:rsidR="00F251C0" w:rsidRPr="00515192">
        <w:rPr>
          <w:rFonts w:asciiTheme="minorHAnsi" w:hAnsiTheme="minorHAnsi"/>
          <w:color w:val="231F20"/>
          <w:sz w:val="22"/>
          <w:szCs w:val="22"/>
        </w:rPr>
        <w:t xml:space="preserve">= price, </w:t>
      </w:r>
    </w:p>
    <w:p w:rsidR="00515192" w:rsidRPr="00515192" w:rsidRDefault="00515192" w:rsidP="00512577">
      <w:pPr>
        <w:pStyle w:val="BodyText2"/>
        <w:spacing w:line="360" w:lineRule="auto"/>
        <w:ind w:left="360"/>
        <w:jc w:val="left"/>
        <w:rPr>
          <w:rFonts w:asciiTheme="minorHAnsi" w:hAnsiTheme="minorHAnsi"/>
          <w:color w:val="231F20"/>
          <w:sz w:val="22"/>
          <w:szCs w:val="22"/>
        </w:rPr>
      </w:pPr>
      <w:r w:rsidRPr="00515192">
        <w:rPr>
          <w:rFonts w:asciiTheme="minorHAnsi" w:hAnsiTheme="minorHAnsi"/>
          <w:color w:val="231F20"/>
          <w:sz w:val="22"/>
          <w:szCs w:val="22"/>
        </w:rPr>
        <w:tab/>
      </w:r>
      <w:r w:rsidRPr="00515192">
        <w:rPr>
          <w:rFonts w:asciiTheme="minorHAnsi" w:hAnsiTheme="minorHAnsi"/>
          <w:color w:val="231F20"/>
          <w:sz w:val="22"/>
          <w:szCs w:val="22"/>
        </w:rPr>
        <w:tab/>
      </w:r>
      <w:r w:rsidRPr="00515192">
        <w:rPr>
          <w:rFonts w:asciiTheme="minorHAnsi" w:hAnsiTheme="minorHAnsi"/>
          <w:color w:val="231F20"/>
          <w:sz w:val="22"/>
          <w:szCs w:val="22"/>
        </w:rPr>
        <w:tab/>
        <w:t xml:space="preserve">  </w:t>
      </w:r>
      <w:r w:rsidR="00F251C0" w:rsidRPr="00515192">
        <w:rPr>
          <w:rFonts w:asciiTheme="minorHAnsi" w:hAnsiTheme="minorHAnsi"/>
          <w:i/>
          <w:iCs/>
          <w:color w:val="231F20"/>
          <w:sz w:val="22"/>
          <w:szCs w:val="22"/>
        </w:rPr>
        <w:t xml:space="preserve">i </w:t>
      </w:r>
      <w:r w:rsidR="00F251C0" w:rsidRPr="00515192">
        <w:rPr>
          <w:rFonts w:asciiTheme="minorHAnsi" w:hAnsiTheme="minorHAnsi"/>
          <w:color w:val="231F20"/>
          <w:sz w:val="22"/>
          <w:szCs w:val="22"/>
        </w:rPr>
        <w:t xml:space="preserve">= outlet respondent, </w:t>
      </w:r>
    </w:p>
    <w:p w:rsidR="00515192" w:rsidRPr="00515192" w:rsidRDefault="00515192" w:rsidP="00512577">
      <w:pPr>
        <w:pStyle w:val="BodyText2"/>
        <w:spacing w:line="360" w:lineRule="auto"/>
        <w:ind w:left="360"/>
        <w:jc w:val="left"/>
        <w:rPr>
          <w:rFonts w:asciiTheme="minorHAnsi" w:hAnsiTheme="minorHAnsi"/>
          <w:color w:val="231F20"/>
          <w:sz w:val="22"/>
          <w:szCs w:val="22"/>
        </w:rPr>
      </w:pPr>
      <w:r w:rsidRPr="00515192">
        <w:rPr>
          <w:rFonts w:asciiTheme="minorHAnsi" w:hAnsiTheme="minorHAnsi"/>
          <w:i/>
          <w:iCs/>
          <w:color w:val="231F20"/>
          <w:sz w:val="22"/>
          <w:szCs w:val="22"/>
        </w:rPr>
        <w:tab/>
      </w:r>
      <w:r w:rsidRPr="00515192">
        <w:rPr>
          <w:rFonts w:asciiTheme="minorHAnsi" w:hAnsiTheme="minorHAnsi"/>
          <w:i/>
          <w:iCs/>
          <w:color w:val="231F20"/>
          <w:sz w:val="22"/>
          <w:szCs w:val="22"/>
        </w:rPr>
        <w:tab/>
      </w:r>
      <w:r w:rsidRPr="00515192">
        <w:rPr>
          <w:rFonts w:asciiTheme="minorHAnsi" w:hAnsiTheme="minorHAnsi"/>
          <w:i/>
          <w:iCs/>
          <w:color w:val="231F20"/>
          <w:sz w:val="22"/>
          <w:szCs w:val="22"/>
        </w:rPr>
        <w:tab/>
      </w:r>
      <w:r w:rsidR="00F251C0" w:rsidRPr="00515192">
        <w:rPr>
          <w:rFonts w:asciiTheme="minorHAnsi" w:hAnsiTheme="minorHAnsi"/>
          <w:color w:val="231F20"/>
          <w:position w:val="-6"/>
          <w:sz w:val="22"/>
          <w:szCs w:val="22"/>
        </w:rPr>
        <w:object w:dxaOrig="200" w:dyaOrig="220">
          <v:shape id="_x0000_i1035" type="#_x0000_t75" style="width:9.75pt;height:11.25pt" o:ole="">
            <v:imagedata r:id="rId33" o:title=""/>
          </v:shape>
          <o:OLEObject Type="Embed" ProgID="Equation.3" ShapeID="_x0000_i1035" DrawAspect="Content" ObjectID="_1403586380" r:id="rId34"/>
        </w:object>
      </w:r>
      <w:r w:rsidR="00F251C0" w:rsidRPr="00515192">
        <w:rPr>
          <w:rFonts w:asciiTheme="minorHAnsi" w:hAnsiTheme="minorHAnsi"/>
          <w:i/>
          <w:iCs/>
          <w:color w:val="231F20"/>
          <w:sz w:val="22"/>
          <w:szCs w:val="22"/>
        </w:rPr>
        <w:t xml:space="preserve"> </w:t>
      </w:r>
      <w:r w:rsidR="00F251C0" w:rsidRPr="00515192">
        <w:rPr>
          <w:rFonts w:asciiTheme="minorHAnsi" w:hAnsiTheme="minorHAnsi"/>
          <w:color w:val="231F20"/>
          <w:sz w:val="22"/>
          <w:szCs w:val="22"/>
        </w:rPr>
        <w:t xml:space="preserve">= sample size, and </w:t>
      </w:r>
    </w:p>
    <w:p w:rsidR="00F251C0" w:rsidRPr="00515192" w:rsidRDefault="00515192" w:rsidP="00512577">
      <w:pPr>
        <w:pStyle w:val="BodyText2"/>
        <w:spacing w:line="360" w:lineRule="auto"/>
        <w:ind w:left="360"/>
        <w:jc w:val="left"/>
        <w:rPr>
          <w:rFonts w:asciiTheme="minorHAnsi" w:hAnsiTheme="minorHAnsi"/>
          <w:color w:val="231F20"/>
          <w:sz w:val="22"/>
          <w:szCs w:val="22"/>
        </w:rPr>
      </w:pPr>
      <w:r w:rsidRPr="00515192">
        <w:rPr>
          <w:rFonts w:asciiTheme="minorHAnsi" w:hAnsiTheme="minorHAnsi"/>
          <w:color w:val="231F20"/>
          <w:sz w:val="22"/>
          <w:szCs w:val="22"/>
        </w:rPr>
        <w:tab/>
      </w:r>
      <w:r w:rsidRPr="00515192">
        <w:rPr>
          <w:rFonts w:asciiTheme="minorHAnsi" w:hAnsiTheme="minorHAnsi"/>
          <w:color w:val="231F20"/>
          <w:sz w:val="22"/>
          <w:szCs w:val="22"/>
        </w:rPr>
        <w:tab/>
      </w:r>
      <w:r w:rsidRPr="00515192">
        <w:rPr>
          <w:rFonts w:asciiTheme="minorHAnsi" w:hAnsiTheme="minorHAnsi"/>
          <w:color w:val="231F20"/>
          <w:sz w:val="22"/>
          <w:szCs w:val="22"/>
        </w:rPr>
        <w:tab/>
      </w:r>
      <w:r w:rsidR="00F251C0" w:rsidRPr="00515192">
        <w:rPr>
          <w:rFonts w:asciiTheme="minorHAnsi" w:hAnsiTheme="minorHAnsi"/>
          <w:position w:val="-12"/>
          <w:sz w:val="22"/>
          <w:szCs w:val="22"/>
        </w:rPr>
        <w:object w:dxaOrig="580" w:dyaOrig="380">
          <v:shape id="_x0000_i1036" type="#_x0000_t75" style="width:29.25pt;height:18.75pt" o:ole="">
            <v:imagedata r:id="rId23" o:title=""/>
          </v:shape>
          <o:OLEObject Type="Embed" ProgID="Equation.3" ShapeID="_x0000_i1036" DrawAspect="Content" ObjectID="_1403586381" r:id="rId35"/>
        </w:object>
      </w:r>
      <w:r w:rsidR="00F251C0" w:rsidRPr="00515192">
        <w:rPr>
          <w:rFonts w:asciiTheme="minorHAnsi" w:hAnsiTheme="minorHAnsi"/>
          <w:i/>
          <w:iCs/>
          <w:color w:val="231F20"/>
          <w:sz w:val="22"/>
          <w:szCs w:val="22"/>
        </w:rPr>
        <w:t xml:space="preserve"> </w:t>
      </w:r>
      <w:r w:rsidR="00F251C0" w:rsidRPr="00515192">
        <w:rPr>
          <w:rFonts w:asciiTheme="minorHAnsi" w:hAnsiTheme="minorHAnsi"/>
          <w:color w:val="231F20"/>
          <w:sz w:val="22"/>
          <w:szCs w:val="22"/>
        </w:rPr>
        <w:t xml:space="preserve">= weight adjustment as described in </w:t>
      </w:r>
      <w:r w:rsidR="008835D6" w:rsidRPr="00515192">
        <w:rPr>
          <w:rFonts w:asciiTheme="minorHAnsi" w:hAnsiTheme="minorHAnsi"/>
          <w:color w:val="231F20"/>
          <w:sz w:val="22"/>
          <w:szCs w:val="22"/>
        </w:rPr>
        <w:t xml:space="preserve">the </w:t>
      </w:r>
      <w:r w:rsidR="00F251C0" w:rsidRPr="00515192">
        <w:rPr>
          <w:rFonts w:asciiTheme="minorHAnsi" w:hAnsiTheme="minorHAnsi"/>
          <w:color w:val="231F20"/>
          <w:sz w:val="22"/>
          <w:szCs w:val="22"/>
        </w:rPr>
        <w:t xml:space="preserve">previous paragraph </w:t>
      </w:r>
    </w:p>
    <w:p w:rsidR="00F251C0" w:rsidRPr="00D735D2" w:rsidRDefault="00F251C0" w:rsidP="00F251C0">
      <w:pPr>
        <w:pStyle w:val="BodyText2"/>
        <w:ind w:left="360"/>
        <w:rPr>
          <w:color w:val="231F20"/>
          <w:szCs w:val="24"/>
        </w:rPr>
      </w:pPr>
    </w:p>
    <w:p w:rsidR="00F251C0" w:rsidRPr="00340F80" w:rsidRDefault="00F251C0" w:rsidP="00340F80">
      <w:pPr>
        <w:pStyle w:val="BodyText2"/>
        <w:spacing w:line="360" w:lineRule="auto"/>
        <w:ind w:left="360"/>
        <w:jc w:val="left"/>
        <w:rPr>
          <w:rFonts w:asciiTheme="minorHAnsi" w:hAnsiTheme="minorHAnsi"/>
          <w:sz w:val="22"/>
          <w:szCs w:val="24"/>
        </w:rPr>
      </w:pPr>
      <w:r w:rsidRPr="00340F80">
        <w:rPr>
          <w:rFonts w:asciiTheme="minorHAnsi" w:hAnsiTheme="minorHAnsi"/>
          <w:sz w:val="22"/>
          <w:szCs w:val="24"/>
        </w:rPr>
        <w:t xml:space="preserve">Regional and overall averages are calculated as averages of the State level residential propane prices with State level total residential propane volumes as weights. </w:t>
      </w:r>
    </w:p>
    <w:p w:rsidR="00134FDE" w:rsidRPr="00340F80" w:rsidRDefault="00134FDE" w:rsidP="00340F80">
      <w:pPr>
        <w:pStyle w:val="ListParagraph"/>
        <w:numPr>
          <w:ilvl w:val="0"/>
          <w:numId w:val="13"/>
        </w:numPr>
        <w:spacing w:before="100" w:beforeAutospacing="1" w:after="100" w:afterAutospacing="1" w:line="360" w:lineRule="auto"/>
        <w:rPr>
          <w:rFonts w:cs="Times New Roman"/>
          <w:sz w:val="22"/>
          <w:szCs w:val="24"/>
        </w:rPr>
      </w:pPr>
      <w:r w:rsidRPr="00340F80">
        <w:rPr>
          <w:rFonts w:cs="Times New Roman"/>
          <w:i/>
          <w:sz w:val="22"/>
          <w:szCs w:val="24"/>
        </w:rPr>
        <w:t>EIA-878 Sample:</w:t>
      </w:r>
      <w:r w:rsidRPr="00340F80">
        <w:rPr>
          <w:rFonts w:cs="Times New Roman"/>
          <w:sz w:val="22"/>
          <w:szCs w:val="24"/>
        </w:rPr>
        <w:t xml:space="preserve"> The sample for the Motor Gasoline Price Survey was drawn from a frame of approximately 115,000 retail gasoline outlets. The gasoline outlet frame was constructed by combining information purchased from a private commercial source with information contained on existing EIA petroleum product frames and surveys. Outlet </w:t>
      </w:r>
      <w:r w:rsidR="001D42F3" w:rsidRPr="00340F80">
        <w:rPr>
          <w:rFonts w:cs="Times New Roman"/>
          <w:sz w:val="22"/>
          <w:szCs w:val="24"/>
        </w:rPr>
        <w:t>names</w:t>
      </w:r>
      <w:r w:rsidRPr="00340F80">
        <w:rPr>
          <w:rFonts w:cs="Times New Roman"/>
          <w:sz w:val="22"/>
          <w:szCs w:val="24"/>
        </w:rPr>
        <w:t xml:space="preserve"> and zip codes were obtained from the private commercial data source. Additional information was obtained directly from companies selling retail gasoline to supplement information on the frame. The individual frame outlets were mapped to counties using their zip codes. The outlets were then assigned to the published geographic areas as defined by the EPA program area, or for conventional gasoline areas, as defined by the Census Bureau’s Standard Metropolitan Statistical Areas (SMSA) by using their county assignment.</w:t>
      </w:r>
    </w:p>
    <w:p w:rsidR="00134FDE" w:rsidRDefault="00134FDE" w:rsidP="00340F80">
      <w:pPr>
        <w:pStyle w:val="NormalWeb"/>
        <w:spacing w:line="360" w:lineRule="auto"/>
        <w:ind w:left="360"/>
        <w:rPr>
          <w:rFonts w:asciiTheme="minorHAnsi" w:hAnsiTheme="minorHAnsi"/>
          <w:sz w:val="22"/>
        </w:rPr>
      </w:pPr>
      <w:r w:rsidRPr="00340F80">
        <w:rPr>
          <w:rFonts w:asciiTheme="minorHAnsi" w:hAnsiTheme="minorHAnsi"/>
          <w:sz w:val="22"/>
        </w:rPr>
        <w:t>The gasoline outlet sample is an area sample that is comprised of both an augmentation to, and rotation of the previous sample cycle of the gasoline survey, the EIA-878. The augmentation outlets were obtained by first, sampling counties, and then, sampling the outlets from the gasoline outlet frame within those counties within each sampling cell</w:t>
      </w:r>
      <w:bookmarkStart w:id="3" w:name="_ftnref1"/>
      <w:r w:rsidR="003B30FB" w:rsidRPr="00340F80">
        <w:rPr>
          <w:rFonts w:asciiTheme="minorHAnsi" w:hAnsiTheme="minorHAnsi"/>
          <w:sz w:val="22"/>
        </w:rPr>
        <w:fldChar w:fldCharType="begin"/>
      </w:r>
      <w:r w:rsidRPr="00340F80">
        <w:rPr>
          <w:rFonts w:asciiTheme="minorHAnsi" w:hAnsiTheme="minorHAnsi"/>
          <w:sz w:val="22"/>
        </w:rPr>
        <w:instrText xml:space="preserve"> HYPERLINK "http://www.eia.gov/petroleum/gasdiesel/gas_methodology.cfm" \l "_ftn1" \o "" </w:instrText>
      </w:r>
      <w:r w:rsidR="003B30FB" w:rsidRPr="00340F80">
        <w:rPr>
          <w:rFonts w:asciiTheme="minorHAnsi" w:hAnsiTheme="minorHAnsi"/>
          <w:sz w:val="22"/>
        </w:rPr>
        <w:fldChar w:fldCharType="separate"/>
      </w:r>
      <w:r w:rsidRPr="00340F80">
        <w:rPr>
          <w:rStyle w:val="Hyperlink"/>
          <w:rFonts w:asciiTheme="minorHAnsi" w:hAnsiTheme="minorHAnsi"/>
          <w:color w:val="auto"/>
          <w:sz w:val="22"/>
        </w:rPr>
        <w:t>[1]</w:t>
      </w:r>
      <w:r w:rsidR="003B30FB" w:rsidRPr="00340F80">
        <w:rPr>
          <w:rFonts w:asciiTheme="minorHAnsi" w:hAnsiTheme="minorHAnsi"/>
          <w:sz w:val="22"/>
        </w:rPr>
        <w:fldChar w:fldCharType="end"/>
      </w:r>
      <w:bookmarkEnd w:id="3"/>
      <w:r w:rsidRPr="00340F80">
        <w:rPr>
          <w:rFonts w:asciiTheme="minorHAnsi" w:hAnsiTheme="minorHAnsi"/>
          <w:sz w:val="22"/>
        </w:rPr>
        <w:t>. Every county in the U.S. was assigned to the corresponding sampling cell as defined. After the counties were assigned, the standard deviations of gasoline prices for these sampling cells were estimated using the prices from the previous sample of the gasoline survey. These deviations and the number of stations from the Census Bureau's County Business Patterns (CBP) were used to determine the required number of outlets to be sampled. The statistical technique used was the Chromy allocation algorithm, an iterative procedure to determine the number of units required for each sampling cell. To select the sample of outlets, counties within each sampling cell were sorted within states, and the required number of outlets selected from the outlet frame randomly. Once the augmentation portion of the sample was obtained, standard deviations were re-estimated, combining the previous gasoline sample outlets and newly sampled outlets. The Chromy algorithm was applied again to determine the revised sample cell requirements. The previous sample’s outlets were then sub-sampled to insure a self-weighting sample within each stratum, and allocations satisfied by sampling half from each of the self-weighting sub-sample and the old sample.</w:t>
      </w:r>
    </w:p>
    <w:p w:rsidR="008A4339" w:rsidRPr="00340F80" w:rsidRDefault="008A4339" w:rsidP="00340F80">
      <w:pPr>
        <w:pStyle w:val="NormalWeb"/>
        <w:spacing w:line="360" w:lineRule="auto"/>
        <w:ind w:left="360"/>
        <w:rPr>
          <w:rFonts w:asciiTheme="minorHAnsi" w:hAnsiTheme="minorHAnsi"/>
          <w:sz w:val="22"/>
        </w:rPr>
      </w:pPr>
      <w:r>
        <w:rPr>
          <w:rFonts w:asciiTheme="minorHAnsi" w:hAnsiTheme="minorHAnsi"/>
          <w:sz w:val="22"/>
        </w:rPr>
        <w:t xml:space="preserve">Prior to the development of the outlet frame, only company level data were available. Therefore, the previous samples required two-phase sample design to select the outlets.  In the first phase of the design, retail gasoline companies were selected with probability proportional to the total volume in each state they sold gasoline, as reported in the EIA Monthly Petroleum Product Sales Report survey.  The second phase, the selection of individual outlets from the selected companies, was performed using information obtained directly from the sampled companies during the sample initiation.  This design permitted the use of a simple average for estimating average prices for city and state gasoline prices, but required volume weighted prices for more aggregated published areas with respect to geography, formulation, and grade. However, with the publication of additional city and state average prices, this design approach was insufficient and required redesign with the increase of the geographic detail to include nine states and ten cities. </w:t>
      </w:r>
    </w:p>
    <w:p w:rsidR="00134FDE" w:rsidRPr="00340F80" w:rsidRDefault="00D91030" w:rsidP="00340F80">
      <w:pPr>
        <w:pStyle w:val="NormalWeb"/>
        <w:spacing w:line="360" w:lineRule="auto"/>
        <w:ind w:left="360"/>
        <w:rPr>
          <w:rFonts w:asciiTheme="minorHAnsi" w:hAnsiTheme="minorHAnsi"/>
          <w:sz w:val="22"/>
        </w:rPr>
      </w:pPr>
      <w:r w:rsidRPr="00340F80">
        <w:rPr>
          <w:rFonts w:asciiTheme="minorHAnsi" w:hAnsiTheme="minorHAnsi"/>
          <w:i/>
          <w:sz w:val="22"/>
        </w:rPr>
        <w:t xml:space="preserve">EIA-878 </w:t>
      </w:r>
      <w:r w:rsidR="00134FDE" w:rsidRPr="00340F80">
        <w:rPr>
          <w:rFonts w:asciiTheme="minorHAnsi" w:hAnsiTheme="minorHAnsi"/>
          <w:i/>
          <w:sz w:val="22"/>
        </w:rPr>
        <w:t>Estimation:</w:t>
      </w:r>
      <w:r w:rsidR="00134FDE" w:rsidRPr="00340F80">
        <w:rPr>
          <w:rFonts w:asciiTheme="minorHAnsi" w:hAnsiTheme="minorHAnsi"/>
          <w:sz w:val="22"/>
        </w:rPr>
        <w:t xml:space="preserve"> To estimate average prices, sample weights were constructed based on the sampled outlet's number of pumps, a proxy for sales volume. These weights are applied each week to the reported outlet gasoline prices to obtain averages for the specific formulations, grades and geographic areas. Weights used in aggregating grades, formulations and geographic areas were derived using volume data from the EIA “Monthly Report of Prime Suppliers Sales of Petroleum Products Sold for Local Consumption”, and demographic data from </w:t>
      </w:r>
      <w:r w:rsidR="00134FDE" w:rsidRPr="00EE440B">
        <w:rPr>
          <w:rFonts w:asciiTheme="minorHAnsi" w:hAnsiTheme="minorHAnsi"/>
          <w:sz w:val="22"/>
        </w:rPr>
        <w:t xml:space="preserve">the </w:t>
      </w:r>
      <w:r w:rsidR="004D32D5" w:rsidRPr="00EE440B">
        <w:rPr>
          <w:rFonts w:asciiTheme="minorHAnsi" w:hAnsiTheme="minorHAnsi"/>
          <w:sz w:val="22"/>
        </w:rPr>
        <w:t xml:space="preserve">U.S. Census </w:t>
      </w:r>
      <w:r w:rsidR="00134FDE" w:rsidRPr="00EE440B">
        <w:rPr>
          <w:rFonts w:asciiTheme="minorHAnsi" w:hAnsiTheme="minorHAnsi"/>
          <w:sz w:val="22"/>
        </w:rPr>
        <w:t>Bureau and</w:t>
      </w:r>
      <w:r w:rsidR="00134FDE" w:rsidRPr="00340F80">
        <w:rPr>
          <w:rFonts w:asciiTheme="minorHAnsi" w:hAnsiTheme="minorHAnsi"/>
          <w:sz w:val="22"/>
        </w:rPr>
        <w:t xml:space="preserve"> </w:t>
      </w:r>
      <w:r w:rsidR="00EE440B">
        <w:rPr>
          <w:rFonts w:asciiTheme="minorHAnsi" w:hAnsiTheme="minorHAnsi"/>
          <w:sz w:val="22"/>
        </w:rPr>
        <w:t xml:space="preserve">the </w:t>
      </w:r>
      <w:r w:rsidR="00134FDE" w:rsidRPr="00340F80">
        <w:rPr>
          <w:rFonts w:asciiTheme="minorHAnsi" w:hAnsiTheme="minorHAnsi"/>
          <w:sz w:val="22"/>
        </w:rPr>
        <w:t>Department of Transportation on population, number of gasoline stations and number of vehicles.</w:t>
      </w:r>
    </w:p>
    <w:p w:rsidR="00DA5147" w:rsidRPr="00340F80" w:rsidRDefault="003C502B" w:rsidP="00340F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color w:val="000000"/>
          <w:sz w:val="22"/>
          <w:szCs w:val="24"/>
        </w:rPr>
      </w:pPr>
      <w:r w:rsidRPr="00340F80">
        <w:rPr>
          <w:rFonts w:cs="Times New Roman"/>
          <w:sz w:val="22"/>
          <w:szCs w:val="24"/>
        </w:rPr>
        <w:t xml:space="preserve">The target </w:t>
      </w:r>
      <w:r w:rsidRPr="00883535">
        <w:rPr>
          <w:rFonts w:cs="Times New Roman"/>
          <w:sz w:val="22"/>
          <w:szCs w:val="24"/>
        </w:rPr>
        <w:t>coefficient of variation was set for 0.4 for the United States, 0.55 for PADDs and U.S. formulations, 0.70 for sub-PADDS and the PADD formulations, 0.85 for cities and states, a</w:t>
      </w:r>
      <w:r w:rsidR="00077764" w:rsidRPr="00883535">
        <w:rPr>
          <w:rFonts w:cs="Times New Roman"/>
          <w:sz w:val="22"/>
          <w:szCs w:val="24"/>
        </w:rPr>
        <w:t xml:space="preserve">nd 1.0 for the remaining cells - </w:t>
      </w:r>
      <w:r w:rsidRPr="00883535">
        <w:rPr>
          <w:rFonts w:cs="Times New Roman"/>
          <w:sz w:val="22"/>
          <w:szCs w:val="24"/>
        </w:rPr>
        <w:t xml:space="preserve">e.g. state and sub-PADD formulations.  The sample size is approximately 800 outlets.  The survey is conducted every Monday (Tuesday on Federal holidays), and more frequently during emergency situations. Data </w:t>
      </w:r>
      <w:r w:rsidR="00DA5147" w:rsidRPr="00883535">
        <w:rPr>
          <w:rFonts w:cs="Times New Roman"/>
          <w:sz w:val="22"/>
          <w:szCs w:val="24"/>
        </w:rPr>
        <w:t>are</w:t>
      </w:r>
      <w:r w:rsidR="00DA5147" w:rsidRPr="00340F80">
        <w:rPr>
          <w:rFonts w:cs="Times New Roman"/>
          <w:sz w:val="22"/>
          <w:szCs w:val="24"/>
        </w:rPr>
        <w:t xml:space="preserve"> released on </w:t>
      </w:r>
      <w:hyperlink r:id="rId36" w:history="1">
        <w:r w:rsidR="00DA5147" w:rsidRPr="00340F80">
          <w:rPr>
            <w:rStyle w:val="Hyperlink"/>
            <w:rFonts w:cs="Times New Roman"/>
            <w:sz w:val="22"/>
            <w:szCs w:val="24"/>
          </w:rPr>
          <w:t>EIA’s website</w:t>
        </w:r>
      </w:hyperlink>
      <w:r w:rsidRPr="00340F80">
        <w:rPr>
          <w:rFonts w:cs="Times New Roman"/>
          <w:sz w:val="22"/>
          <w:szCs w:val="24"/>
        </w:rPr>
        <w:t xml:space="preserve"> </w:t>
      </w:r>
      <w:r w:rsidR="00DA5147" w:rsidRPr="00340F80">
        <w:rPr>
          <w:rFonts w:cs="Times New Roman"/>
          <w:sz w:val="22"/>
          <w:szCs w:val="24"/>
        </w:rPr>
        <w:t xml:space="preserve">by 5 p.m. each Monday (Tuesday on Federal holidays).  Data are made available through email notification to those customers who sign up for that service.  The U.S., PADD, sub-PADD, State, and city levels regular gasoline average prices are made available on EIA’s prerecorded telephone hotline at (202) 586-6966 and in the publications </w:t>
      </w:r>
      <w:hyperlink r:id="rId37" w:history="1">
        <w:r w:rsidR="00C33F56" w:rsidRPr="00340F80">
          <w:rPr>
            <w:rStyle w:val="Hyperlink"/>
            <w:rFonts w:cs="Times New Roman"/>
            <w:sz w:val="22"/>
            <w:szCs w:val="24"/>
          </w:rPr>
          <w:t>Weekly Petroleum Status Report</w:t>
        </w:r>
      </w:hyperlink>
      <w:r w:rsidR="00C33F56" w:rsidRPr="00340F80">
        <w:rPr>
          <w:rFonts w:cs="Times New Roman"/>
          <w:sz w:val="22"/>
          <w:szCs w:val="24"/>
        </w:rPr>
        <w:t>, and</w:t>
      </w:r>
      <w:r w:rsidR="005B497D" w:rsidRPr="00340F80">
        <w:rPr>
          <w:rFonts w:cs="Times New Roman"/>
          <w:sz w:val="22"/>
          <w:szCs w:val="24"/>
        </w:rPr>
        <w:t xml:space="preserve"> </w:t>
      </w:r>
      <w:hyperlink r:id="rId38" w:history="1">
        <w:r w:rsidR="005B497D" w:rsidRPr="00340F80">
          <w:rPr>
            <w:rStyle w:val="Hyperlink"/>
            <w:rFonts w:cs="Times New Roman"/>
            <w:sz w:val="22"/>
            <w:szCs w:val="24"/>
          </w:rPr>
          <w:t>This Week in Petroleum (TWIP)</w:t>
        </w:r>
      </w:hyperlink>
      <w:r w:rsidR="00DA5147" w:rsidRPr="00340F80">
        <w:rPr>
          <w:rFonts w:cs="Times New Roman"/>
          <w:sz w:val="22"/>
          <w:szCs w:val="24"/>
        </w:rPr>
        <w:t xml:space="preserve">.  </w:t>
      </w:r>
    </w:p>
    <w:p w:rsidR="00134FDE" w:rsidRPr="00340F80" w:rsidRDefault="00134FDE" w:rsidP="00340F80">
      <w:pPr>
        <w:pStyle w:val="NormalWeb"/>
        <w:numPr>
          <w:ilvl w:val="0"/>
          <w:numId w:val="13"/>
        </w:numPr>
        <w:spacing w:line="360" w:lineRule="auto"/>
        <w:rPr>
          <w:rFonts w:asciiTheme="minorHAnsi" w:hAnsiTheme="minorHAnsi"/>
          <w:sz w:val="22"/>
        </w:rPr>
      </w:pPr>
      <w:r w:rsidRPr="00340F80">
        <w:rPr>
          <w:rFonts w:asciiTheme="minorHAnsi" w:hAnsiTheme="minorHAnsi"/>
          <w:i/>
          <w:sz w:val="22"/>
        </w:rPr>
        <w:t>EIA-888 Sample Design:</w:t>
      </w:r>
      <w:r w:rsidRPr="00340F80">
        <w:rPr>
          <w:rFonts w:asciiTheme="minorHAnsi" w:hAnsiTheme="minorHAnsi"/>
          <w:sz w:val="22"/>
        </w:rPr>
        <w:t xml:space="preserve"> The respondents reporting to the weekly diesel price survey represent a stratified probability proportional to size (PPS) sample selected from a frame list of retail outlets. The outlet sampling frame was constructed using commercially available lists from several sources in order to provide comprehensive coverage of truck stops and service stations that sell on-highway diesel fuel in the United States. The frame includes about 62,000 service stations and 4,000 truck stops. Due to statistical and operational considerations, outlets in the States of Alaska and Hawaii are excluded from the target population.</w:t>
      </w:r>
    </w:p>
    <w:p w:rsidR="00134FDE" w:rsidRPr="00340F80" w:rsidRDefault="00134FDE" w:rsidP="00340F80">
      <w:pPr>
        <w:pStyle w:val="NormalWeb"/>
        <w:spacing w:line="360" w:lineRule="auto"/>
        <w:ind w:left="360"/>
        <w:rPr>
          <w:rFonts w:asciiTheme="minorHAnsi" w:hAnsiTheme="minorHAnsi"/>
          <w:sz w:val="22"/>
        </w:rPr>
      </w:pPr>
      <w:r w:rsidRPr="00340F80">
        <w:rPr>
          <w:rFonts w:asciiTheme="minorHAnsi" w:hAnsiTheme="minorHAnsi"/>
          <w:sz w:val="22"/>
        </w:rPr>
        <w:t>The primary publication cells of the survey include Petroleum Administration for Defense Districts (PADDs) 2-4, three sub-PADDs within PADD 1, and the two subparts of PADD 5 (the State of California and the West Coast region excluding California). The U.S., the East Coast (PADD 1), and the West Coast (PADD 5) are considered secondary publication cells since their prices are aggregated based on the prices from their primary publication cell components. To select the sample, allocations were first assigned to all primary publication cells through a simulation of coefficients of variation of average prices using historical price data. The target coefficient of variation for each primary publication cell was capped at one percent (1%). Allocations were further assigned to the States covered by each primary publication cell. The distribution of allocations was proportional to the annual State total volume of retail on-highway diesel fuel sales. This allocation procedure yielded a total target sample size of 403 retail outlets. The States were treated as sampling strata in the sample design.</w:t>
      </w:r>
    </w:p>
    <w:p w:rsidR="00134FDE" w:rsidRPr="00340F80" w:rsidRDefault="00134FDE" w:rsidP="00340F80">
      <w:pPr>
        <w:pStyle w:val="NormalWeb"/>
        <w:spacing w:line="360" w:lineRule="auto"/>
        <w:ind w:left="360"/>
        <w:rPr>
          <w:rFonts w:asciiTheme="minorHAnsi" w:hAnsiTheme="minorHAnsi"/>
          <w:sz w:val="22"/>
        </w:rPr>
      </w:pPr>
      <w:r w:rsidRPr="00340F80">
        <w:rPr>
          <w:rFonts w:asciiTheme="minorHAnsi" w:hAnsiTheme="minorHAnsi"/>
          <w:sz w:val="22"/>
        </w:rPr>
        <w:t>It is believed that on-highway diesel fuel sold through all service stations combined only accounts for a small portion of the retail on-highway diesel fuel market. The truck stops on the frame were also classified into two categories, dependent on whether they belong to the nation's four largest on-highway diesel sellers. Based on information from other survey data and industry sources the proportions of total diesel volumes sold by o</w:t>
      </w:r>
      <w:r w:rsidR="006871FC" w:rsidRPr="00340F80">
        <w:rPr>
          <w:rFonts w:asciiTheme="minorHAnsi" w:hAnsiTheme="minorHAnsi"/>
          <w:sz w:val="22"/>
        </w:rPr>
        <w:t xml:space="preserve">utlets in the three categories - </w:t>
      </w:r>
      <w:r w:rsidRPr="00340F80">
        <w:rPr>
          <w:rFonts w:asciiTheme="minorHAnsi" w:hAnsiTheme="minorHAnsi"/>
          <w:sz w:val="22"/>
        </w:rPr>
        <w:t xml:space="preserve">service stations, </w:t>
      </w:r>
      <w:r w:rsidR="006871FC" w:rsidRPr="00340F80">
        <w:rPr>
          <w:rFonts w:asciiTheme="minorHAnsi" w:hAnsiTheme="minorHAnsi"/>
          <w:sz w:val="22"/>
        </w:rPr>
        <w:t>mid-sized truck stops, and top four -</w:t>
      </w:r>
      <w:r w:rsidRPr="00340F80">
        <w:rPr>
          <w:rFonts w:asciiTheme="minorHAnsi" w:hAnsiTheme="minorHAnsi"/>
          <w:sz w:val="22"/>
        </w:rPr>
        <w:t xml:space="preserve"> was assumed to be 20, 55, and 25 percent, respectively. These volume proportions, along with the outlet counts for the three categories on the frame, were used to calculate relative size measures for the outlets in each of the three categories. Pareto Sampling, which is a PPS procedure, and the size measures for each outlet were then used to select sampling units from each State.</w:t>
      </w:r>
    </w:p>
    <w:p w:rsidR="00DA5147" w:rsidRPr="00340F80" w:rsidRDefault="00DA5147" w:rsidP="00340F80">
      <w:pPr>
        <w:pStyle w:val="NormalWeb"/>
        <w:spacing w:line="360" w:lineRule="auto"/>
        <w:ind w:left="360"/>
        <w:rPr>
          <w:rFonts w:asciiTheme="minorHAnsi" w:hAnsiTheme="minorHAnsi"/>
          <w:sz w:val="22"/>
        </w:rPr>
      </w:pPr>
      <w:r w:rsidRPr="00340F80">
        <w:rPr>
          <w:rFonts w:asciiTheme="minorHAnsi" w:hAnsiTheme="minorHAnsi"/>
          <w:color w:val="000000"/>
          <w:sz w:val="22"/>
        </w:rPr>
        <w:t xml:space="preserve">The survey is conducted every Monday (Tuesday on Federal holidays), and data are released on </w:t>
      </w:r>
      <w:hyperlink r:id="rId39" w:history="1">
        <w:r w:rsidRPr="00340F80">
          <w:rPr>
            <w:rStyle w:val="Hyperlink"/>
            <w:rFonts w:asciiTheme="minorHAnsi" w:hAnsiTheme="minorHAnsi"/>
            <w:sz w:val="22"/>
          </w:rPr>
          <w:t>EIA’s website</w:t>
        </w:r>
      </w:hyperlink>
      <w:r w:rsidRPr="00340F80">
        <w:rPr>
          <w:rFonts w:asciiTheme="minorHAnsi" w:hAnsiTheme="minorHAnsi"/>
          <w:color w:val="000000"/>
          <w:sz w:val="22"/>
        </w:rPr>
        <w:t xml:space="preserve"> by 5 p.m. each Monday (Tuesday on Federal holidays).  Data are made available through email notification to those customers who sign up for that service.  The U.S., PADD, sub-PADD, and the State of California levels retail on-highway diesel average prices are made available on EIA’s prerecorded telephone hotline</w:t>
      </w:r>
      <w:r w:rsidRPr="00340F80">
        <w:rPr>
          <w:rFonts w:asciiTheme="minorHAnsi" w:hAnsiTheme="minorHAnsi"/>
          <w:sz w:val="22"/>
        </w:rPr>
        <w:t xml:space="preserve"> at (202) 586-6966 and in the publications </w:t>
      </w:r>
      <w:hyperlink r:id="rId40" w:history="1">
        <w:r w:rsidR="00C33F56" w:rsidRPr="00340F80">
          <w:rPr>
            <w:rStyle w:val="Hyperlink"/>
            <w:rFonts w:asciiTheme="minorHAnsi" w:hAnsiTheme="minorHAnsi"/>
            <w:sz w:val="22"/>
          </w:rPr>
          <w:t>Weekly Petroleum Status Report</w:t>
        </w:r>
      </w:hyperlink>
      <w:r w:rsidR="00C33F56" w:rsidRPr="00340F80">
        <w:rPr>
          <w:rFonts w:asciiTheme="minorHAnsi" w:hAnsiTheme="minorHAnsi"/>
          <w:sz w:val="22"/>
        </w:rPr>
        <w:t>, and</w:t>
      </w:r>
      <w:r w:rsidRPr="00340F80">
        <w:rPr>
          <w:rFonts w:asciiTheme="minorHAnsi" w:hAnsiTheme="minorHAnsi"/>
          <w:iCs/>
          <w:color w:val="FF0000"/>
          <w:sz w:val="22"/>
        </w:rPr>
        <w:t xml:space="preserve"> </w:t>
      </w:r>
      <w:hyperlink r:id="rId41" w:history="1">
        <w:r w:rsidR="00C33F56" w:rsidRPr="00340F80">
          <w:rPr>
            <w:rStyle w:val="Hyperlink"/>
            <w:rFonts w:asciiTheme="minorHAnsi" w:hAnsiTheme="minorHAnsi"/>
            <w:sz w:val="22"/>
          </w:rPr>
          <w:t>This Week in Petroleum (TWIP)</w:t>
        </w:r>
      </w:hyperlink>
      <w:r w:rsidR="00C33F56" w:rsidRPr="00340F80">
        <w:rPr>
          <w:rFonts w:asciiTheme="minorHAnsi" w:hAnsiTheme="minorHAnsi"/>
          <w:iCs/>
          <w:sz w:val="22"/>
        </w:rPr>
        <w:t>.</w:t>
      </w:r>
      <w:r w:rsidRPr="00340F80">
        <w:rPr>
          <w:rFonts w:asciiTheme="minorHAnsi" w:hAnsiTheme="minorHAnsi"/>
          <w:sz w:val="22"/>
        </w:rPr>
        <w:t xml:space="preserve"> </w:t>
      </w:r>
    </w:p>
    <w:p w:rsidR="00134FDE" w:rsidRPr="00340F80" w:rsidRDefault="006871FC" w:rsidP="00340F80">
      <w:pPr>
        <w:pStyle w:val="NormalWeb"/>
        <w:spacing w:line="360" w:lineRule="auto"/>
        <w:ind w:left="360"/>
        <w:rPr>
          <w:rFonts w:asciiTheme="minorHAnsi" w:hAnsiTheme="minorHAnsi"/>
          <w:sz w:val="22"/>
        </w:rPr>
      </w:pPr>
      <w:r w:rsidRPr="00340F80">
        <w:rPr>
          <w:rFonts w:asciiTheme="minorHAnsi" w:hAnsiTheme="minorHAnsi"/>
          <w:i/>
          <w:sz w:val="22"/>
        </w:rPr>
        <w:t xml:space="preserve">EIA-888 </w:t>
      </w:r>
      <w:r w:rsidR="00134FDE" w:rsidRPr="00340F80">
        <w:rPr>
          <w:rFonts w:asciiTheme="minorHAnsi" w:hAnsiTheme="minorHAnsi"/>
          <w:i/>
          <w:sz w:val="22"/>
        </w:rPr>
        <w:t>Estimation:</w:t>
      </w:r>
      <w:r w:rsidR="00134FDE" w:rsidRPr="00340F80">
        <w:rPr>
          <w:rFonts w:asciiTheme="minorHAnsi" w:hAnsiTheme="minorHAnsi"/>
          <w:sz w:val="22"/>
        </w:rPr>
        <w:t xml:space="preserve"> The reported and imputed prices each week are aggregated in multiple steps to obtain price estimates for publication cells. First, State average prices are calculated as simple unweighted averages of reported and imputed prices. Volumes of on-highway diesel sold in the States in 2010, as published by the Federal Highway Administration, are then used to weight the State average prices and obtain average prices for primary publication cells. Average prices for secondary publication cells are weighted averages of primary publication cell prices based on the proportion of diesel volumes attributable to their component primary publication cells.</w:t>
      </w:r>
    </w:p>
    <w:p w:rsidR="00764C59" w:rsidRDefault="00764C59" w:rsidP="00764C5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sz w:val="22"/>
          <w:szCs w:val="24"/>
        </w:rPr>
      </w:pPr>
    </w:p>
    <w:p w:rsidR="00764C59" w:rsidRDefault="00764C59" w:rsidP="00764C5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sz w:val="22"/>
          <w:szCs w:val="24"/>
        </w:rPr>
      </w:pPr>
    </w:p>
    <w:p w:rsidR="007444A0" w:rsidRPr="00340F80" w:rsidRDefault="007444A0" w:rsidP="00340F8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Times New Roman"/>
          <w:sz w:val="22"/>
          <w:szCs w:val="24"/>
        </w:rPr>
      </w:pPr>
      <w:r w:rsidRPr="00340F80">
        <w:rPr>
          <w:rFonts w:cs="Times New Roman"/>
          <w:sz w:val="22"/>
          <w:szCs w:val="24"/>
        </w:rPr>
        <w:t xml:space="preserve">Sampling Methodology and Estimation Procedures for Annual Petroleum </w:t>
      </w:r>
      <w:r w:rsidR="008835D6" w:rsidRPr="00340F80">
        <w:rPr>
          <w:rFonts w:cs="Times New Roman"/>
          <w:sz w:val="22"/>
          <w:szCs w:val="24"/>
        </w:rPr>
        <w:t>Product</w:t>
      </w:r>
      <w:r w:rsidRPr="00340F80">
        <w:rPr>
          <w:rFonts w:cs="Times New Roman"/>
          <w:sz w:val="22"/>
          <w:szCs w:val="24"/>
        </w:rPr>
        <w:t xml:space="preserve"> Survey </w:t>
      </w:r>
    </w:p>
    <w:p w:rsidR="0027422C" w:rsidRPr="00883535" w:rsidRDefault="007E0C53" w:rsidP="008835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cs="Times New Roman"/>
          <w:i/>
          <w:color w:val="000000"/>
          <w:sz w:val="22"/>
          <w:szCs w:val="24"/>
        </w:rPr>
      </w:pPr>
      <w:r w:rsidRPr="00340F80">
        <w:rPr>
          <w:rFonts w:cs="Times New Roman"/>
          <w:i/>
          <w:color w:val="000000"/>
          <w:sz w:val="22"/>
          <w:szCs w:val="24"/>
        </w:rPr>
        <w:t>EIA-821 Sample Design</w:t>
      </w:r>
      <w:r w:rsidR="00883535">
        <w:rPr>
          <w:rFonts w:cs="Times New Roman"/>
          <w:i/>
          <w:color w:val="000000"/>
          <w:sz w:val="22"/>
          <w:szCs w:val="24"/>
        </w:rPr>
        <w:t xml:space="preserve">: </w:t>
      </w:r>
      <w:r w:rsidR="0027422C" w:rsidRPr="00340F80">
        <w:rPr>
          <w:rFonts w:cs="Times New Roman"/>
          <w:sz w:val="22"/>
          <w:szCs w:val="24"/>
        </w:rPr>
        <w:t xml:space="preserve">The target population for the EIA-821, “Annual Fuel Oil and Kerosene Sales Report” survey is the universe of all active companies that sell distillate fuel oil, residual fuel oil, or kerosene in the 50 States and the District of Columbia.  </w:t>
      </w:r>
    </w:p>
    <w:p w:rsidR="0027422C" w:rsidRPr="00340F80" w:rsidRDefault="0027422C" w:rsidP="00883535">
      <w:pPr>
        <w:spacing w:line="360" w:lineRule="auto"/>
        <w:ind w:left="360"/>
        <w:rPr>
          <w:rFonts w:cs="Times New Roman"/>
          <w:sz w:val="22"/>
          <w:szCs w:val="24"/>
        </w:rPr>
      </w:pPr>
      <w:r w:rsidRPr="00340F80">
        <w:rPr>
          <w:rFonts w:cs="Times New Roman"/>
          <w:sz w:val="22"/>
          <w:szCs w:val="24"/>
        </w:rPr>
        <w:t>The 2006 EIA-863 database provided a base sampling frame for the EIA-821 survey. The EIA-863, “Petroleum Product Sales Identification Survey,” was mailed to approximately 24,000 companies in January 2007 to collect 2006 State-level sales volume data for No. 2 distillate fuel, residual fuel oil, motor gasoline, and propane.  Companies also indicated if they sold kerosene. The No. 2 distillate fuel data were further identified by residential No. 2 fuel oil</w:t>
      </w:r>
      <w:r w:rsidRPr="00340F80" w:rsidDel="00BE19A9">
        <w:rPr>
          <w:rFonts w:cs="Times New Roman"/>
          <w:sz w:val="22"/>
          <w:szCs w:val="24"/>
        </w:rPr>
        <w:t xml:space="preserve"> </w:t>
      </w:r>
      <w:r w:rsidRPr="00340F80">
        <w:rPr>
          <w:rFonts w:cs="Times New Roman"/>
          <w:sz w:val="22"/>
          <w:szCs w:val="24"/>
        </w:rPr>
        <w:t>and by nonresidential retail and wholesale for No. 2 fuel oil and No. 2 diesel fuel; the residual fuel oil data were identified by retail and wholesale.  In addition, company/State-level volumes for distillate fuel, residual fuel oil, and kerosene from the 2008 EIA-821 survey, 2008 EIA-782A survey (“Refiners'/Gas Plant Operators' Monthly Petroleum Product Sales Report”), and 2008 EIA-782B survey (“Resellers'/Retailers' Monthly Petroleum Product Sales Report”) were also merged with the 2006 EIA-863 data. The integrated and comprehensive frame was then used to design and select the 2009 EIA-821 sample, which the 2010 survey is based.</w:t>
      </w:r>
    </w:p>
    <w:p w:rsidR="00512577" w:rsidRDefault="0027422C" w:rsidP="00512577">
      <w:pPr>
        <w:spacing w:line="360" w:lineRule="auto"/>
        <w:ind w:left="360"/>
        <w:rPr>
          <w:rFonts w:cs="Times New Roman"/>
          <w:spacing w:val="-2"/>
          <w:sz w:val="22"/>
          <w:szCs w:val="24"/>
        </w:rPr>
      </w:pPr>
      <w:r w:rsidRPr="00340F80">
        <w:rPr>
          <w:rFonts w:cs="Times New Roman"/>
          <w:sz w:val="22"/>
          <w:szCs w:val="24"/>
        </w:rPr>
        <w:t>To select a sample for the EIA-821 survey, s</w:t>
      </w:r>
      <w:r w:rsidRPr="00340F80">
        <w:rPr>
          <w:rFonts w:cs="Times New Roman"/>
          <w:spacing w:val="-2"/>
          <w:sz w:val="22"/>
          <w:szCs w:val="24"/>
        </w:rPr>
        <w:t>ubsidiaries and parents of a company were merged by adding the volumes of parents and subsidiaries in a cluster (i.e. parent-subsidiary combination) to represent the company.  The sample was drawn from a multi-attribute frame with</w:t>
      </w:r>
      <w:r w:rsidRPr="00340F80">
        <w:rPr>
          <w:rFonts w:cs="Times New Roman"/>
          <w:sz w:val="22"/>
          <w:szCs w:val="24"/>
        </w:rPr>
        <w:t xml:space="preserve"> four target variables of No. 2 residential fuel oil, No. 2 nonresidential fuel oil, No. 2 nonresidential diesel fuel, and No. 2 wholesale distillate fuel.  </w:t>
      </w:r>
    </w:p>
    <w:p w:rsidR="0027422C" w:rsidRPr="00340F80" w:rsidRDefault="00EA033A" w:rsidP="00512577">
      <w:pPr>
        <w:spacing w:line="360" w:lineRule="auto"/>
        <w:ind w:left="360"/>
        <w:rPr>
          <w:rFonts w:cs="Times New Roman"/>
          <w:spacing w:val="-2"/>
          <w:sz w:val="22"/>
          <w:szCs w:val="24"/>
        </w:rPr>
      </w:pPr>
      <w:r>
        <w:rPr>
          <w:rFonts w:cs="Times New Roman"/>
          <w:spacing w:val="-2"/>
          <w:sz w:val="22"/>
          <w:szCs w:val="24"/>
        </w:rPr>
        <w:t>A</w:t>
      </w:r>
      <w:r w:rsidR="0027422C" w:rsidRPr="00340F80">
        <w:rPr>
          <w:rFonts w:cs="Times New Roman"/>
          <w:spacing w:val="-2"/>
          <w:sz w:val="22"/>
          <w:szCs w:val="24"/>
        </w:rPr>
        <w:t xml:space="preserve"> company was classified as a certainty company if it met one of the following criteria:</w:t>
      </w:r>
    </w:p>
    <w:p w:rsidR="0027422C" w:rsidRPr="00340F80" w:rsidRDefault="0027422C" w:rsidP="00883535">
      <w:pPr>
        <w:numPr>
          <w:ilvl w:val="0"/>
          <w:numId w:val="17"/>
        </w:numPr>
        <w:tabs>
          <w:tab w:val="clear" w:pos="720"/>
          <w:tab w:val="num" w:pos="576"/>
          <w:tab w:val="num" w:pos="1260"/>
        </w:tabs>
        <w:spacing w:before="0" w:after="0" w:line="360" w:lineRule="auto"/>
        <w:ind w:left="1116"/>
        <w:rPr>
          <w:rFonts w:cs="Times New Roman"/>
          <w:sz w:val="22"/>
          <w:szCs w:val="24"/>
        </w:rPr>
      </w:pPr>
      <w:r w:rsidRPr="00340F80">
        <w:rPr>
          <w:rFonts w:cs="Times New Roman"/>
          <w:spacing w:val="-2"/>
          <w:sz w:val="22"/>
          <w:szCs w:val="24"/>
        </w:rPr>
        <w:t>The company (or one of its subsidiaries) was a refiner</w:t>
      </w:r>
      <w:r w:rsidRPr="00340F80">
        <w:rPr>
          <w:rFonts w:cs="Times New Roman"/>
          <w:sz w:val="22"/>
          <w:szCs w:val="24"/>
        </w:rPr>
        <w:t xml:space="preserve"> as identified in the 2008 EIA-782A survey.</w:t>
      </w:r>
    </w:p>
    <w:p w:rsidR="0027422C" w:rsidRPr="00340F80" w:rsidRDefault="0027422C" w:rsidP="00883535">
      <w:pPr>
        <w:numPr>
          <w:ilvl w:val="0"/>
          <w:numId w:val="17"/>
        </w:numPr>
        <w:tabs>
          <w:tab w:val="clear" w:pos="720"/>
          <w:tab w:val="num" w:pos="576"/>
          <w:tab w:val="num" w:pos="1260"/>
        </w:tabs>
        <w:spacing w:before="0" w:after="0" w:line="360" w:lineRule="auto"/>
        <w:ind w:left="1116"/>
        <w:rPr>
          <w:rFonts w:cs="Times New Roman"/>
          <w:sz w:val="22"/>
          <w:szCs w:val="24"/>
        </w:rPr>
      </w:pPr>
      <w:r w:rsidRPr="00340F80">
        <w:rPr>
          <w:rFonts w:cs="Times New Roman"/>
          <w:sz w:val="22"/>
          <w:szCs w:val="24"/>
        </w:rPr>
        <w:t>The</w:t>
      </w:r>
      <w:r w:rsidRPr="00340F80">
        <w:rPr>
          <w:rFonts w:cs="Times New Roman"/>
          <w:spacing w:val="-2"/>
          <w:sz w:val="22"/>
          <w:szCs w:val="24"/>
        </w:rPr>
        <w:t xml:space="preserve"> company had residual fuel oil sales.</w:t>
      </w:r>
    </w:p>
    <w:p w:rsidR="0027422C" w:rsidRPr="00340F80" w:rsidRDefault="0027422C" w:rsidP="00883535">
      <w:pPr>
        <w:numPr>
          <w:ilvl w:val="0"/>
          <w:numId w:val="17"/>
        </w:numPr>
        <w:tabs>
          <w:tab w:val="clear" w:pos="720"/>
          <w:tab w:val="num" w:pos="576"/>
          <w:tab w:val="num" w:pos="1260"/>
        </w:tabs>
        <w:spacing w:before="0" w:after="0" w:line="360" w:lineRule="auto"/>
        <w:ind w:left="1116"/>
        <w:rPr>
          <w:rFonts w:cs="Times New Roman"/>
          <w:sz w:val="22"/>
          <w:szCs w:val="24"/>
        </w:rPr>
      </w:pPr>
      <w:r w:rsidRPr="00340F80">
        <w:rPr>
          <w:rFonts w:cs="Times New Roman"/>
          <w:spacing w:val="-2"/>
          <w:sz w:val="22"/>
          <w:szCs w:val="24"/>
        </w:rPr>
        <w:t>The company sold any EIA-821 product in at least five States.</w:t>
      </w:r>
    </w:p>
    <w:p w:rsidR="0027422C" w:rsidRPr="00340F80" w:rsidRDefault="0027422C" w:rsidP="00883535">
      <w:pPr>
        <w:numPr>
          <w:ilvl w:val="0"/>
          <w:numId w:val="17"/>
        </w:numPr>
        <w:tabs>
          <w:tab w:val="clear" w:pos="720"/>
          <w:tab w:val="num" w:pos="576"/>
          <w:tab w:val="num" w:pos="1260"/>
        </w:tabs>
        <w:spacing w:before="0" w:after="0" w:line="360" w:lineRule="auto"/>
        <w:ind w:left="1116"/>
        <w:rPr>
          <w:rFonts w:cs="Times New Roman"/>
          <w:sz w:val="22"/>
          <w:szCs w:val="24"/>
        </w:rPr>
      </w:pPr>
      <w:r w:rsidRPr="00340F80">
        <w:rPr>
          <w:rFonts w:cs="Times New Roman"/>
          <w:spacing w:val="-2"/>
          <w:sz w:val="22"/>
          <w:szCs w:val="24"/>
        </w:rPr>
        <w:t>The sum of maximum percentage of the four distillate products at the State level across States was five percent or more.</w:t>
      </w:r>
    </w:p>
    <w:p w:rsidR="00512577" w:rsidRPr="00512577" w:rsidRDefault="0027422C" w:rsidP="00512577">
      <w:pPr>
        <w:numPr>
          <w:ilvl w:val="0"/>
          <w:numId w:val="17"/>
        </w:numPr>
        <w:tabs>
          <w:tab w:val="clear" w:pos="720"/>
          <w:tab w:val="num" w:pos="576"/>
          <w:tab w:val="num" w:pos="1260"/>
        </w:tabs>
        <w:spacing w:before="0" w:after="0" w:line="360" w:lineRule="auto"/>
        <w:ind w:left="1116"/>
        <w:rPr>
          <w:rFonts w:cs="Times New Roman"/>
          <w:sz w:val="22"/>
          <w:szCs w:val="24"/>
        </w:rPr>
      </w:pPr>
      <w:r w:rsidRPr="00340F80">
        <w:rPr>
          <w:rFonts w:cs="Times New Roman"/>
          <w:sz w:val="22"/>
          <w:szCs w:val="24"/>
        </w:rPr>
        <w:t>The company reported over five percent of the total weighted volume in any State for any specified product by end-use category in the 2008 EIA-821 survey</w:t>
      </w:r>
      <w:r w:rsidRPr="00340F80">
        <w:rPr>
          <w:rFonts w:cs="Times New Roman"/>
          <w:spacing w:val="-2"/>
          <w:sz w:val="22"/>
          <w:szCs w:val="24"/>
        </w:rPr>
        <w:t>.</w:t>
      </w:r>
    </w:p>
    <w:p w:rsidR="00EA033A" w:rsidRDefault="00EA033A" w:rsidP="00512577">
      <w:pPr>
        <w:tabs>
          <w:tab w:val="num" w:pos="1260"/>
        </w:tabs>
        <w:spacing w:before="0" w:after="0" w:line="360" w:lineRule="auto"/>
        <w:ind w:left="576"/>
        <w:rPr>
          <w:rFonts w:cs="Times New Roman"/>
          <w:sz w:val="22"/>
          <w:szCs w:val="24"/>
        </w:rPr>
      </w:pPr>
    </w:p>
    <w:p w:rsidR="0027422C" w:rsidRPr="00512577" w:rsidRDefault="0027422C" w:rsidP="00512577">
      <w:pPr>
        <w:tabs>
          <w:tab w:val="num" w:pos="1260"/>
        </w:tabs>
        <w:spacing w:before="0" w:after="0" w:line="360" w:lineRule="auto"/>
        <w:ind w:left="576"/>
        <w:rPr>
          <w:rFonts w:cs="Times New Roman"/>
          <w:sz w:val="22"/>
          <w:szCs w:val="24"/>
        </w:rPr>
      </w:pPr>
      <w:r w:rsidRPr="00512577">
        <w:rPr>
          <w:rFonts w:cs="Times New Roman"/>
          <w:sz w:val="22"/>
          <w:szCs w:val="24"/>
        </w:rPr>
        <w:t xml:space="preserve">A systematic probability proportional to size design (PPS) was used to sample noncertainty companies.  Company-State Units (CSUs) were the sampling units.  A CSU selected by the sampling procedure was referred as a “basic” CSU.  A company was included in the sample if it had at least one “basic” CSU.  All non-“basic” CSUs of a sampled company were referred as “volunteer” CSUs. </w:t>
      </w:r>
    </w:p>
    <w:p w:rsidR="0027422C" w:rsidRPr="00340F80" w:rsidRDefault="0027422C" w:rsidP="00883535">
      <w:pPr>
        <w:spacing w:line="360" w:lineRule="auto"/>
        <w:ind w:left="576"/>
        <w:rPr>
          <w:rFonts w:cs="Times New Roman"/>
          <w:sz w:val="22"/>
          <w:szCs w:val="24"/>
        </w:rPr>
      </w:pPr>
      <w:r w:rsidRPr="00340F80">
        <w:rPr>
          <w:rFonts w:cs="Times New Roman"/>
          <w:sz w:val="22"/>
          <w:szCs w:val="24"/>
        </w:rPr>
        <w:t>In each State, the Dalenius-Hodges procedure was used to stratify CSUs, with each of the four target distillate variables, into zero, low, medium, and high volume four strata.  Neyman allocation was used to obtain the sample size for each stratum to meet target coefficient of variation of five percent.  The population of CSUs was divided into mutually exclusive cells by crossing the four stratifications such that every CSU in a particular cell was in the same stratum for each of the four stratifications.  Each CSU was assigned a probability of selection, which was the largest sample proportion across all four stratifications.  All CSUs within a cell had the same probability of selection.  A systematic PPS sample of CSUs was then drawn for the State.</w:t>
      </w:r>
    </w:p>
    <w:p w:rsidR="0027422C" w:rsidRPr="00340F80" w:rsidRDefault="0027422C" w:rsidP="00883535">
      <w:pPr>
        <w:spacing w:line="360" w:lineRule="auto"/>
        <w:ind w:left="576"/>
        <w:rPr>
          <w:rFonts w:cs="Times New Roman"/>
          <w:sz w:val="22"/>
          <w:szCs w:val="24"/>
        </w:rPr>
      </w:pPr>
      <w:r w:rsidRPr="00340F80">
        <w:rPr>
          <w:rFonts w:cs="Times New Roman"/>
          <w:sz w:val="22"/>
          <w:szCs w:val="24"/>
        </w:rPr>
        <w:t>This design produced a final sample of approximately 4,000 companies.  Selected companies were asked to report sales by end-use categories for distillate fuel, residual fuel oil, and kerosene.</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 w:hanging="1440"/>
        <w:rPr>
          <w:rFonts w:cs="Times New Roman"/>
          <w:color w:val="000000"/>
          <w:sz w:val="22"/>
          <w:szCs w:val="24"/>
        </w:rPr>
      </w:pPr>
      <w:r w:rsidRPr="00D735D2">
        <w:rPr>
          <w:rFonts w:ascii="Times New Roman" w:hAnsi="Times New Roman" w:cs="Times New Roman"/>
          <w:color w:val="000000"/>
          <w:sz w:val="24"/>
          <w:szCs w:val="24"/>
        </w:rPr>
        <w:t xml:space="preserve">   </w:t>
      </w:r>
      <w:r w:rsidRPr="00D735D2">
        <w:rPr>
          <w:rFonts w:ascii="Times New Roman" w:hAnsi="Times New Roman" w:cs="Times New Roman"/>
          <w:color w:val="000000"/>
          <w:sz w:val="24"/>
          <w:szCs w:val="24"/>
        </w:rPr>
        <w:tab/>
      </w:r>
      <w:r w:rsidR="006871FC" w:rsidRPr="00E26412">
        <w:rPr>
          <w:rFonts w:cs="Times New Roman"/>
          <w:i/>
          <w:color w:val="000000"/>
          <w:sz w:val="22"/>
          <w:szCs w:val="24"/>
        </w:rPr>
        <w:t>EIA-821</w:t>
      </w:r>
      <w:r w:rsidR="006871FC" w:rsidRPr="00E26412">
        <w:rPr>
          <w:rFonts w:cs="Times New Roman"/>
          <w:color w:val="000000"/>
          <w:sz w:val="22"/>
          <w:szCs w:val="24"/>
        </w:rPr>
        <w:t xml:space="preserve"> </w:t>
      </w:r>
      <w:r w:rsidRPr="00E26412">
        <w:rPr>
          <w:rFonts w:cs="Times New Roman"/>
          <w:i/>
          <w:color w:val="000000"/>
          <w:sz w:val="22"/>
          <w:szCs w:val="24"/>
        </w:rPr>
        <w:t>Estimation Procedures</w:t>
      </w:r>
      <w:r w:rsidR="00EA033A">
        <w:rPr>
          <w:rFonts w:cs="Times New Roman"/>
          <w:i/>
          <w:color w:val="000000"/>
          <w:sz w:val="22"/>
          <w:szCs w:val="24"/>
        </w:rPr>
        <w:t>:</w:t>
      </w:r>
      <w:r w:rsidRPr="00E26412">
        <w:rPr>
          <w:rFonts w:cs="Times New Roman"/>
          <w:color w:val="000000"/>
          <w:sz w:val="22"/>
          <w:szCs w:val="24"/>
        </w:rPr>
        <w:t>  For obtaining total estimates of volume, the adjusted probability estimator is used.  This estimator, the sum of the weighted volumes, is defined as follows:</w:t>
      </w:r>
    </w:p>
    <w:p w:rsidR="00764C59" w:rsidRDefault="00764C59">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444A0" w:rsidRPr="00D735D2" w:rsidRDefault="007444A0" w:rsidP="007E0C5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jc w:val="both"/>
        <w:rPr>
          <w:rFonts w:ascii="Times New Roman" w:hAnsi="Times New Roman" w:cs="Times New Roman"/>
          <w:color w:val="000000"/>
          <w:sz w:val="24"/>
          <w:szCs w:val="24"/>
        </w:rPr>
      </w:pPr>
      <w:r w:rsidRPr="00D735D2">
        <w:rPr>
          <w:rFonts w:ascii="Times New Roman" w:hAnsi="Times New Roman" w:cs="Times New Roman"/>
          <w:color w:val="000000"/>
          <w:sz w:val="24"/>
          <w:szCs w:val="24"/>
        </w:rPr>
        <w:t>V   </w:t>
      </w:r>
      <w:r w:rsidR="007E0C53" w:rsidRPr="00D735D2">
        <w:rPr>
          <w:rFonts w:ascii="Times New Roman" w:hAnsi="Times New Roman" w:cs="Times New Roman"/>
          <w:color w:val="000000"/>
          <w:sz w:val="24"/>
          <w:szCs w:val="24"/>
        </w:rPr>
        <w:t xml:space="preserve">  </w:t>
      </w:r>
      <w:r w:rsidRPr="00D735D2">
        <w:rPr>
          <w:rFonts w:ascii="Times New Roman" w:hAnsi="Times New Roman" w:cs="Times New Roman"/>
          <w:color w:val="000000"/>
          <w:sz w:val="24"/>
          <w:szCs w:val="24"/>
        </w:rPr>
        <w:t>=  Σ</w:t>
      </w:r>
      <w:r w:rsidRPr="00D735D2">
        <w:rPr>
          <w:rFonts w:ascii="Times New Roman" w:hAnsi="Times New Roman" w:cs="Times New Roman"/>
          <w:color w:val="000000"/>
          <w:sz w:val="24"/>
          <w:szCs w:val="24"/>
          <w:vertAlign w:val="subscript"/>
        </w:rPr>
        <w:t>h</w:t>
      </w:r>
      <w:r w:rsidRPr="00D735D2">
        <w:rPr>
          <w:rFonts w:ascii="Times New Roman" w:hAnsi="Times New Roman" w:cs="Times New Roman"/>
          <w:color w:val="000000"/>
          <w:sz w:val="24"/>
          <w:szCs w:val="24"/>
        </w:rPr>
        <w:t xml:space="preserve"> (Σ</w:t>
      </w:r>
      <w:r w:rsidRPr="00D735D2">
        <w:rPr>
          <w:rFonts w:ascii="Times New Roman" w:hAnsi="Times New Roman" w:cs="Times New Roman"/>
          <w:color w:val="000000"/>
          <w:sz w:val="24"/>
          <w:szCs w:val="24"/>
          <w:vertAlign w:val="subscript"/>
        </w:rPr>
        <w:t>i</w:t>
      </w:r>
      <w:r w:rsidRPr="00D735D2">
        <w:rPr>
          <w:rFonts w:ascii="Times New Roman" w:hAnsi="Times New Roman" w:cs="Times New Roman"/>
          <w:color w:val="000000"/>
          <w:sz w:val="24"/>
          <w:szCs w:val="24"/>
        </w:rPr>
        <w:t>W</w:t>
      </w:r>
      <w:r w:rsidRPr="00D735D2">
        <w:rPr>
          <w:rFonts w:ascii="Times New Roman" w:hAnsi="Times New Roman" w:cs="Times New Roman"/>
          <w:color w:val="000000"/>
          <w:sz w:val="24"/>
          <w:szCs w:val="24"/>
          <w:vertAlign w:val="subscript"/>
        </w:rPr>
        <w:t>ih</w:t>
      </w:r>
      <w:r w:rsidRPr="00D735D2">
        <w:rPr>
          <w:rFonts w:ascii="Times New Roman" w:hAnsi="Times New Roman" w:cs="Times New Roman"/>
          <w:color w:val="000000"/>
          <w:sz w:val="24"/>
          <w:szCs w:val="24"/>
        </w:rPr>
        <w:t>V</w:t>
      </w:r>
      <w:r w:rsidRPr="00D735D2">
        <w:rPr>
          <w:rFonts w:ascii="Times New Roman" w:hAnsi="Times New Roman" w:cs="Times New Roman"/>
          <w:color w:val="000000"/>
          <w:sz w:val="24"/>
          <w:szCs w:val="24"/>
          <w:vertAlign w:val="subscript"/>
        </w:rPr>
        <w:t>ih</w:t>
      </w:r>
      <w:r w:rsidRPr="00D735D2">
        <w:rPr>
          <w:rFonts w:ascii="Times New Roman" w:hAnsi="Times New Roman" w:cs="Times New Roman"/>
          <w:color w:val="000000"/>
          <w:sz w:val="24"/>
          <w:szCs w:val="24"/>
        </w:rPr>
        <w:t>), where:</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 w:val="22"/>
          <w:szCs w:val="24"/>
        </w:rPr>
      </w:pPr>
      <w:r w:rsidRPr="00E26412">
        <w:rPr>
          <w:rFonts w:cs="Times New Roman"/>
          <w:color w:val="000000"/>
          <w:sz w:val="22"/>
          <w:szCs w:val="24"/>
        </w:rPr>
        <w:t>V   </w:t>
      </w:r>
      <w:r w:rsidR="007E0C53" w:rsidRPr="00E26412">
        <w:rPr>
          <w:rFonts w:cs="Times New Roman"/>
          <w:color w:val="000000"/>
          <w:sz w:val="22"/>
          <w:szCs w:val="24"/>
        </w:rPr>
        <w:t xml:space="preserve">  </w:t>
      </w:r>
      <w:r w:rsidRPr="00E26412">
        <w:rPr>
          <w:rFonts w:cs="Times New Roman"/>
          <w:color w:val="000000"/>
          <w:sz w:val="22"/>
          <w:szCs w:val="24"/>
        </w:rPr>
        <w:t>=  total estimated volume,</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 w:val="22"/>
          <w:szCs w:val="24"/>
        </w:rPr>
      </w:pPr>
      <w:r w:rsidRPr="00E26412">
        <w:rPr>
          <w:rFonts w:cs="Times New Roman"/>
          <w:color w:val="000000"/>
          <w:sz w:val="22"/>
          <w:szCs w:val="24"/>
        </w:rPr>
        <w:t>Σ</w:t>
      </w:r>
      <w:r w:rsidRPr="00E26412">
        <w:rPr>
          <w:rFonts w:cs="Times New Roman"/>
          <w:color w:val="000000"/>
          <w:sz w:val="22"/>
          <w:szCs w:val="24"/>
          <w:vertAlign w:val="subscript"/>
        </w:rPr>
        <w:t>h</w:t>
      </w:r>
      <w:r w:rsidRPr="00E26412">
        <w:rPr>
          <w:rFonts w:cs="Times New Roman"/>
          <w:color w:val="000000"/>
          <w:sz w:val="22"/>
          <w:szCs w:val="24"/>
        </w:rPr>
        <w:t>  </w:t>
      </w:r>
      <w:r w:rsidR="007E0C53" w:rsidRPr="00E26412">
        <w:rPr>
          <w:rFonts w:cs="Times New Roman"/>
          <w:color w:val="000000"/>
          <w:sz w:val="22"/>
          <w:szCs w:val="24"/>
        </w:rPr>
        <w:t xml:space="preserve">  </w:t>
      </w:r>
      <w:r w:rsidRPr="00E26412">
        <w:rPr>
          <w:rFonts w:cs="Times New Roman"/>
          <w:color w:val="000000"/>
          <w:sz w:val="22"/>
          <w:szCs w:val="24"/>
        </w:rPr>
        <w:t>=  summation over strata,</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 w:val="22"/>
          <w:szCs w:val="24"/>
        </w:rPr>
      </w:pPr>
      <w:r w:rsidRPr="00E26412">
        <w:rPr>
          <w:rFonts w:cs="Times New Roman"/>
          <w:color w:val="000000"/>
          <w:sz w:val="22"/>
          <w:szCs w:val="24"/>
        </w:rPr>
        <w:t>Σ</w:t>
      </w:r>
      <w:r w:rsidRPr="00E26412">
        <w:rPr>
          <w:rFonts w:cs="Times New Roman"/>
          <w:color w:val="000000"/>
          <w:sz w:val="22"/>
          <w:szCs w:val="24"/>
          <w:vertAlign w:val="subscript"/>
        </w:rPr>
        <w:t>i</w:t>
      </w:r>
      <w:r w:rsidRPr="00E26412">
        <w:rPr>
          <w:rFonts w:cs="Times New Roman"/>
          <w:color w:val="000000"/>
          <w:sz w:val="22"/>
          <w:szCs w:val="24"/>
        </w:rPr>
        <w:t>  </w:t>
      </w:r>
      <w:r w:rsidR="007E0C53" w:rsidRPr="00E26412">
        <w:rPr>
          <w:rFonts w:cs="Times New Roman"/>
          <w:color w:val="000000"/>
          <w:sz w:val="22"/>
          <w:szCs w:val="24"/>
        </w:rPr>
        <w:t xml:space="preserve">   </w:t>
      </w:r>
      <w:r w:rsidRPr="00E26412">
        <w:rPr>
          <w:rFonts w:cs="Times New Roman"/>
          <w:color w:val="000000"/>
          <w:sz w:val="22"/>
          <w:szCs w:val="24"/>
        </w:rPr>
        <w:t>=  summation over units within stratum h,</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 w:val="22"/>
          <w:szCs w:val="24"/>
        </w:rPr>
      </w:pPr>
      <w:r w:rsidRPr="00E26412">
        <w:rPr>
          <w:rFonts w:cs="Times New Roman"/>
          <w:color w:val="000000"/>
          <w:sz w:val="22"/>
          <w:szCs w:val="24"/>
        </w:rPr>
        <w:t>W</w:t>
      </w:r>
      <w:r w:rsidRPr="00E26412">
        <w:rPr>
          <w:rFonts w:cs="Times New Roman"/>
          <w:color w:val="000000"/>
          <w:sz w:val="22"/>
          <w:szCs w:val="24"/>
          <w:vertAlign w:val="subscript"/>
        </w:rPr>
        <w:t>ih</w:t>
      </w:r>
      <w:r w:rsidRPr="00E26412">
        <w:rPr>
          <w:rFonts w:cs="Times New Roman"/>
          <w:color w:val="000000"/>
          <w:sz w:val="22"/>
          <w:szCs w:val="24"/>
        </w:rPr>
        <w:t>  =  weight attached to unit i in stratum h</w:t>
      </w:r>
      <w:r w:rsidR="00E26412">
        <w:rPr>
          <w:rFonts w:cs="Times New Roman"/>
          <w:color w:val="000000"/>
          <w:sz w:val="22"/>
          <w:szCs w:val="24"/>
        </w:rPr>
        <w:t xml:space="preserve"> </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2160"/>
        <w:rPr>
          <w:rFonts w:cs="Times New Roman"/>
          <w:color w:val="000000"/>
          <w:sz w:val="22"/>
          <w:szCs w:val="24"/>
        </w:rPr>
      </w:pPr>
      <w:r w:rsidRPr="00E26412">
        <w:rPr>
          <w:rFonts w:cs="Times New Roman"/>
          <w:color w:val="000000"/>
          <w:sz w:val="22"/>
          <w:szCs w:val="24"/>
        </w:rPr>
        <w:t>(the reciprocal of the probability of selection, P</w:t>
      </w:r>
      <w:r w:rsidRPr="00E26412">
        <w:rPr>
          <w:rFonts w:cs="Times New Roman"/>
          <w:color w:val="000000"/>
          <w:sz w:val="22"/>
          <w:szCs w:val="24"/>
          <w:vertAlign w:val="subscript"/>
        </w:rPr>
        <w:t>ih</w:t>
      </w:r>
      <w:r w:rsidRPr="00E26412">
        <w:rPr>
          <w:rFonts w:cs="Times New Roman"/>
          <w:color w:val="000000"/>
          <w:sz w:val="22"/>
          <w:szCs w:val="24"/>
        </w:rPr>
        <w:t>, for that unit), and</w:t>
      </w:r>
    </w:p>
    <w:p w:rsidR="007444A0" w:rsidRPr="00E26412"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40"/>
        <w:rPr>
          <w:rFonts w:cs="Times New Roman"/>
          <w:color w:val="000000"/>
          <w:sz w:val="22"/>
          <w:szCs w:val="24"/>
        </w:rPr>
      </w:pPr>
      <w:r w:rsidRPr="00E26412">
        <w:rPr>
          <w:rFonts w:cs="Times New Roman"/>
          <w:color w:val="000000"/>
          <w:sz w:val="22"/>
          <w:szCs w:val="24"/>
        </w:rPr>
        <w:t>V</w:t>
      </w:r>
      <w:r w:rsidRPr="00E26412">
        <w:rPr>
          <w:rFonts w:cs="Times New Roman"/>
          <w:color w:val="000000"/>
          <w:sz w:val="22"/>
          <w:szCs w:val="24"/>
          <w:vertAlign w:val="subscript"/>
        </w:rPr>
        <w:t>ih</w:t>
      </w:r>
      <w:r w:rsidRPr="00E26412">
        <w:rPr>
          <w:rFonts w:cs="Times New Roman"/>
          <w:color w:val="000000"/>
          <w:sz w:val="22"/>
          <w:szCs w:val="24"/>
        </w:rPr>
        <w:t>  </w:t>
      </w:r>
      <w:r w:rsidR="007E0C53" w:rsidRPr="00E26412">
        <w:rPr>
          <w:rFonts w:cs="Times New Roman"/>
          <w:color w:val="000000"/>
          <w:sz w:val="22"/>
          <w:szCs w:val="24"/>
        </w:rPr>
        <w:t xml:space="preserve"> </w:t>
      </w:r>
      <w:r w:rsidRPr="00E26412">
        <w:rPr>
          <w:rFonts w:cs="Times New Roman"/>
          <w:color w:val="000000"/>
          <w:sz w:val="22"/>
          <w:szCs w:val="24"/>
        </w:rPr>
        <w:t>=  volume reported or imputed for units i in stratum h.</w:t>
      </w:r>
    </w:p>
    <w:p w:rsidR="00883535" w:rsidRDefault="007444A0"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cs="Times New Roman"/>
          <w:color w:val="000000"/>
          <w:sz w:val="22"/>
          <w:szCs w:val="24"/>
        </w:rPr>
      </w:pPr>
      <w:r w:rsidRPr="00E26412">
        <w:rPr>
          <w:rFonts w:cs="Times New Roman"/>
          <w:color w:val="000000"/>
          <w:sz w:val="22"/>
          <w:szCs w:val="24"/>
        </w:rPr>
        <w:t>Survey nonrespondent volumes are also imputed as the mean of their strata.</w:t>
      </w:r>
    </w:p>
    <w:p w:rsidR="00764C59" w:rsidRPr="00E26412" w:rsidRDefault="00764C59" w:rsidP="00E2641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cs="Times New Roman"/>
          <w:color w:val="000000"/>
          <w:sz w:val="22"/>
          <w:szCs w:val="24"/>
        </w:rPr>
      </w:pPr>
    </w:p>
    <w:bookmarkEnd w:id="1"/>
    <w:bookmarkEnd w:id="2"/>
    <w:p w:rsidR="008A1C78" w:rsidRPr="00EE440B" w:rsidRDefault="008A1C78" w:rsidP="00116FE8">
      <w:pPr>
        <w:pStyle w:val="Heading2"/>
        <w:jc w:val="both"/>
        <w:rPr>
          <w:rFonts w:asciiTheme="majorHAnsi" w:hAnsiTheme="majorHAnsi" w:cs="Times New Roman"/>
          <w:caps w:val="0"/>
          <w:color w:val="365F91" w:themeColor="accent1" w:themeShade="BF"/>
          <w:sz w:val="32"/>
          <w:szCs w:val="24"/>
        </w:rPr>
      </w:pPr>
      <w:r w:rsidRPr="00EE440B">
        <w:rPr>
          <w:rFonts w:asciiTheme="majorHAnsi" w:hAnsiTheme="majorHAnsi" w:cs="Times New Roman"/>
          <w:caps w:val="0"/>
          <w:color w:val="365F91" w:themeColor="accent1" w:themeShade="BF"/>
          <w:sz w:val="32"/>
          <w:szCs w:val="24"/>
        </w:rPr>
        <w:t>3.</w:t>
      </w:r>
      <w:r w:rsidRPr="00EE440B">
        <w:rPr>
          <w:rFonts w:asciiTheme="majorHAnsi" w:hAnsiTheme="majorHAnsi" w:cs="Times New Roman"/>
          <w:caps w:val="0"/>
          <w:color w:val="365F91" w:themeColor="accent1" w:themeShade="BF"/>
          <w:sz w:val="32"/>
          <w:szCs w:val="24"/>
        </w:rPr>
        <w:tab/>
        <w:t>Maximizing Response Rates</w:t>
      </w:r>
    </w:p>
    <w:p w:rsidR="00EE440B" w:rsidRDefault="00EE440B" w:rsidP="005151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360" w:lineRule="auto"/>
        <w:rPr>
          <w:rFonts w:cs="Times New Roman"/>
          <w:color w:val="000000"/>
          <w:sz w:val="22"/>
          <w:szCs w:val="24"/>
        </w:rPr>
      </w:pPr>
    </w:p>
    <w:p w:rsidR="008A1C78" w:rsidRPr="00515192" w:rsidRDefault="002D3DAE" w:rsidP="005151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360" w:lineRule="auto"/>
        <w:rPr>
          <w:rFonts w:cs="Times New Roman"/>
          <w:sz w:val="22"/>
          <w:szCs w:val="24"/>
        </w:rPr>
      </w:pPr>
      <w:r w:rsidRPr="00515192">
        <w:rPr>
          <w:rFonts w:cs="Times New Roman"/>
          <w:color w:val="000000"/>
          <w:sz w:val="22"/>
          <w:szCs w:val="24"/>
        </w:rPr>
        <w:t xml:space="preserve">Alternative modes of data collection and follow-up are employed to </w:t>
      </w:r>
      <w:r w:rsidR="008A1C78" w:rsidRPr="00515192">
        <w:rPr>
          <w:rFonts w:cs="Times New Roman"/>
          <w:color w:val="000000"/>
          <w:sz w:val="22"/>
          <w:szCs w:val="24"/>
        </w:rPr>
        <w:t xml:space="preserve">encourage maximum response to the </w:t>
      </w:r>
      <w:r w:rsidR="00FB46C8" w:rsidRPr="00515192">
        <w:rPr>
          <w:rFonts w:cs="Times New Roman"/>
          <w:color w:val="000000"/>
          <w:sz w:val="22"/>
          <w:szCs w:val="24"/>
        </w:rPr>
        <w:t xml:space="preserve">survey in the </w:t>
      </w:r>
      <w:r w:rsidR="008A1C78" w:rsidRPr="00515192">
        <w:rPr>
          <w:rFonts w:cs="Times New Roman"/>
          <w:color w:val="000000"/>
          <w:sz w:val="22"/>
          <w:szCs w:val="24"/>
        </w:rPr>
        <w:t xml:space="preserve">Petroleum Marketing </w:t>
      </w:r>
      <w:r w:rsidR="00FB46C8" w:rsidRPr="00515192">
        <w:rPr>
          <w:rFonts w:cs="Times New Roman"/>
          <w:color w:val="000000"/>
          <w:sz w:val="22"/>
          <w:szCs w:val="24"/>
        </w:rPr>
        <w:t>Program (PMP)</w:t>
      </w:r>
      <w:r w:rsidR="008A1C78" w:rsidRPr="00515192">
        <w:rPr>
          <w:rFonts w:cs="Times New Roman"/>
          <w:color w:val="000000"/>
          <w:sz w:val="22"/>
          <w:szCs w:val="24"/>
        </w:rPr>
        <w:t xml:space="preserve">.  Respondents are allowed to report by mail, fax, phone, or electronically </w:t>
      </w:r>
      <w:r w:rsidRPr="00515192">
        <w:rPr>
          <w:rFonts w:cs="Times New Roman"/>
          <w:sz w:val="22"/>
          <w:szCs w:val="24"/>
        </w:rPr>
        <w:t>using</w:t>
      </w:r>
      <w:r w:rsidR="008A1C78" w:rsidRPr="00515192">
        <w:rPr>
          <w:rFonts w:cs="Times New Roman"/>
          <w:sz w:val="22"/>
          <w:szCs w:val="24"/>
        </w:rPr>
        <w:t xml:space="preserve"> excel</w:t>
      </w:r>
      <w:r w:rsidR="00171747" w:rsidRPr="00515192">
        <w:rPr>
          <w:rFonts w:cs="Times New Roman"/>
          <w:sz w:val="22"/>
          <w:szCs w:val="24"/>
        </w:rPr>
        <w:t xml:space="preserve"> </w:t>
      </w:r>
      <w:r w:rsidR="008A1C78" w:rsidRPr="00515192">
        <w:rPr>
          <w:rFonts w:cs="Times New Roman"/>
          <w:sz w:val="22"/>
          <w:szCs w:val="24"/>
        </w:rPr>
        <w:t>forms available</w:t>
      </w:r>
      <w:r w:rsidR="009959BF" w:rsidRPr="00515192">
        <w:rPr>
          <w:rFonts w:cs="Times New Roman"/>
          <w:sz w:val="22"/>
          <w:szCs w:val="24"/>
        </w:rPr>
        <w:t xml:space="preserve"> from the </w:t>
      </w:r>
      <w:hyperlink r:id="rId42" w:history="1">
        <w:r w:rsidR="009959BF" w:rsidRPr="00515192">
          <w:rPr>
            <w:rStyle w:val="Hyperlink"/>
            <w:rFonts w:cs="Times New Roman"/>
            <w:color w:val="0000FF"/>
            <w:sz w:val="22"/>
            <w:szCs w:val="24"/>
          </w:rPr>
          <w:t>survey directory</w:t>
        </w:r>
      </w:hyperlink>
      <w:r w:rsidR="009959BF" w:rsidRPr="00515192">
        <w:rPr>
          <w:rFonts w:cs="Times New Roman"/>
          <w:sz w:val="22"/>
          <w:szCs w:val="24"/>
        </w:rPr>
        <w:t xml:space="preserve"> </w:t>
      </w:r>
      <w:r w:rsidR="008A1C78" w:rsidRPr="00515192">
        <w:rPr>
          <w:rFonts w:cs="Times New Roman"/>
          <w:sz w:val="22"/>
          <w:szCs w:val="24"/>
        </w:rPr>
        <w:t xml:space="preserve">on EIA’s web site. </w:t>
      </w:r>
    </w:p>
    <w:p w:rsidR="00415763" w:rsidRPr="00515192" w:rsidRDefault="008A1C78" w:rsidP="005151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360" w:lineRule="auto"/>
        <w:rPr>
          <w:rFonts w:cs="Times New Roman"/>
          <w:sz w:val="22"/>
          <w:szCs w:val="24"/>
        </w:rPr>
      </w:pPr>
      <w:r w:rsidRPr="00515192">
        <w:rPr>
          <w:rFonts w:cs="Times New Roman"/>
          <w:color w:val="000000"/>
          <w:sz w:val="22"/>
          <w:szCs w:val="24"/>
        </w:rPr>
        <w:t xml:space="preserve">The nonresponse strategy for each of the monthly surveys is to generate a follow-up letter </w:t>
      </w:r>
      <w:r w:rsidR="00B242CC" w:rsidRPr="00515192">
        <w:rPr>
          <w:rFonts w:cs="Times New Roman"/>
          <w:color w:val="000000"/>
          <w:sz w:val="22"/>
          <w:szCs w:val="24"/>
        </w:rPr>
        <w:t xml:space="preserve">or email </w:t>
      </w:r>
      <w:r w:rsidRPr="00515192">
        <w:rPr>
          <w:rFonts w:cs="Times New Roman"/>
          <w:color w:val="000000"/>
          <w:sz w:val="22"/>
          <w:szCs w:val="24"/>
        </w:rPr>
        <w:t>within five days of the reporting deadline. Late respondents on both the weekly and monthly surveys are emailed or called and asked to submit data.  If a firm repeatedly fails to respond, a noncompliance letter requesting submission by a specific date is sent</w:t>
      </w:r>
      <w:r w:rsidRPr="00515192">
        <w:rPr>
          <w:rFonts w:cs="Times New Roman"/>
          <w:color w:val="FF0000"/>
          <w:sz w:val="22"/>
          <w:szCs w:val="24"/>
        </w:rPr>
        <w:t xml:space="preserve">.  </w:t>
      </w:r>
      <w:r w:rsidRPr="00515192">
        <w:rPr>
          <w:rFonts w:cs="Times New Roman"/>
          <w:sz w:val="22"/>
          <w:szCs w:val="24"/>
        </w:rPr>
        <w:t>T</w:t>
      </w:r>
      <w:r w:rsidR="001E5D21" w:rsidRPr="00515192">
        <w:rPr>
          <w:rFonts w:cs="Times New Roman"/>
          <w:sz w:val="22"/>
          <w:szCs w:val="24"/>
        </w:rPr>
        <w:t xml:space="preserve">able </w:t>
      </w:r>
      <w:r w:rsidR="00E4144A" w:rsidRPr="00515192">
        <w:rPr>
          <w:rFonts w:cs="Times New Roman"/>
          <w:sz w:val="22"/>
          <w:szCs w:val="24"/>
        </w:rPr>
        <w:t>B</w:t>
      </w:r>
      <w:r w:rsidR="00171747" w:rsidRPr="00515192">
        <w:rPr>
          <w:rFonts w:cs="Times New Roman"/>
          <w:sz w:val="22"/>
          <w:szCs w:val="24"/>
        </w:rPr>
        <w:t>2</w:t>
      </w:r>
      <w:r w:rsidR="001E5D21" w:rsidRPr="00515192">
        <w:rPr>
          <w:rFonts w:cs="Times New Roman"/>
          <w:color w:val="000000"/>
          <w:sz w:val="22"/>
          <w:szCs w:val="24"/>
        </w:rPr>
        <w:t xml:space="preserve"> contains t</w:t>
      </w:r>
      <w:r w:rsidRPr="00515192">
        <w:rPr>
          <w:rFonts w:cs="Times New Roman"/>
          <w:color w:val="000000"/>
          <w:sz w:val="22"/>
          <w:szCs w:val="24"/>
        </w:rPr>
        <w:t xml:space="preserve">he average annual response rate for the </w:t>
      </w:r>
      <w:r w:rsidR="00FB46C8" w:rsidRPr="00515192">
        <w:rPr>
          <w:rFonts w:cs="Times New Roman"/>
          <w:sz w:val="22"/>
          <w:szCs w:val="24"/>
        </w:rPr>
        <w:t xml:space="preserve">monthly and weekly </w:t>
      </w:r>
      <w:r w:rsidRPr="00515192">
        <w:rPr>
          <w:rFonts w:cs="Times New Roman"/>
          <w:sz w:val="22"/>
          <w:szCs w:val="24"/>
        </w:rPr>
        <w:t xml:space="preserve">surveys </w:t>
      </w:r>
      <w:r w:rsidR="00415763" w:rsidRPr="00515192">
        <w:rPr>
          <w:rFonts w:cs="Times New Roman"/>
          <w:sz w:val="22"/>
          <w:szCs w:val="24"/>
        </w:rPr>
        <w:t>fr</w:t>
      </w:r>
      <w:r w:rsidR="00FB46C8" w:rsidRPr="00515192">
        <w:rPr>
          <w:rFonts w:cs="Times New Roman"/>
          <w:sz w:val="22"/>
          <w:szCs w:val="24"/>
        </w:rPr>
        <w:t>om</w:t>
      </w:r>
      <w:r w:rsidR="00415763" w:rsidRPr="00515192">
        <w:rPr>
          <w:rFonts w:cs="Times New Roman"/>
          <w:sz w:val="22"/>
          <w:szCs w:val="24"/>
        </w:rPr>
        <w:t xml:space="preserve"> January</w:t>
      </w:r>
      <w:r w:rsidR="00FB46C8" w:rsidRPr="00515192">
        <w:rPr>
          <w:rFonts w:cs="Times New Roman"/>
          <w:sz w:val="22"/>
          <w:szCs w:val="24"/>
        </w:rPr>
        <w:t xml:space="preserve"> 2011</w:t>
      </w:r>
      <w:r w:rsidR="00415763" w:rsidRPr="00515192">
        <w:rPr>
          <w:rFonts w:cs="Times New Roman"/>
          <w:sz w:val="22"/>
          <w:szCs w:val="24"/>
        </w:rPr>
        <w:t xml:space="preserve"> </w:t>
      </w:r>
      <w:r w:rsidR="00FB46C8" w:rsidRPr="00515192">
        <w:rPr>
          <w:rFonts w:cs="Times New Roman"/>
          <w:sz w:val="22"/>
          <w:szCs w:val="24"/>
        </w:rPr>
        <w:t>to</w:t>
      </w:r>
      <w:r w:rsidR="00415763" w:rsidRPr="00515192">
        <w:rPr>
          <w:rFonts w:cs="Times New Roman"/>
          <w:sz w:val="22"/>
          <w:szCs w:val="24"/>
        </w:rPr>
        <w:t xml:space="preserve"> December 2011</w:t>
      </w:r>
      <w:r w:rsidRPr="00515192">
        <w:rPr>
          <w:rFonts w:cs="Times New Roman"/>
          <w:sz w:val="22"/>
          <w:szCs w:val="24"/>
        </w:rPr>
        <w:t xml:space="preserve">. </w:t>
      </w:r>
    </w:p>
    <w:p w:rsidR="001E5D21" w:rsidRPr="00D735D2" w:rsidRDefault="00415763" w:rsidP="00116FE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rPr>
      </w:pPr>
      <w:r w:rsidRPr="00D735D2">
        <w:rPr>
          <w:rFonts w:ascii="Times New Roman" w:hAnsi="Times New Roman" w:cs="Times New Roman"/>
          <w:b/>
          <w:sz w:val="24"/>
          <w:szCs w:val="24"/>
        </w:rPr>
        <w:t xml:space="preserve">Table </w:t>
      </w:r>
      <w:r w:rsidR="00171747">
        <w:rPr>
          <w:rFonts w:ascii="Times New Roman" w:hAnsi="Times New Roman" w:cs="Times New Roman"/>
          <w:b/>
          <w:sz w:val="24"/>
          <w:szCs w:val="24"/>
        </w:rPr>
        <w:t>B2</w:t>
      </w:r>
      <w:r w:rsidR="001E5D21" w:rsidRPr="00D735D2">
        <w:rPr>
          <w:rFonts w:ascii="Times New Roman" w:hAnsi="Times New Roman" w:cs="Times New Roman"/>
          <w:b/>
          <w:sz w:val="24"/>
          <w:szCs w:val="24"/>
        </w:rPr>
        <w:t>: 2011 Average Annual Response Rate</w:t>
      </w:r>
      <w:r w:rsidR="00FB46C8">
        <w:rPr>
          <w:rFonts w:ascii="Times New Roman" w:hAnsi="Times New Roman" w:cs="Times New Roman"/>
          <w:b/>
          <w:sz w:val="24"/>
          <w:szCs w:val="24"/>
        </w:rPr>
        <w:t xml:space="preserve"> for </w:t>
      </w:r>
      <w:r w:rsidR="00171747">
        <w:rPr>
          <w:rFonts w:ascii="Times New Roman" w:hAnsi="Times New Roman" w:cs="Times New Roman"/>
          <w:b/>
          <w:sz w:val="24"/>
          <w:szCs w:val="24"/>
        </w:rPr>
        <w:t xml:space="preserve">Weekly and Monthly PMP </w:t>
      </w:r>
      <w:r w:rsidR="00FB46C8">
        <w:rPr>
          <w:rFonts w:ascii="Times New Roman" w:hAnsi="Times New Roman" w:cs="Times New Roman"/>
          <w:b/>
          <w:sz w:val="24"/>
          <w:szCs w:val="24"/>
        </w:rPr>
        <w:t>Surveys</w:t>
      </w:r>
      <w:r w:rsidRPr="00D735D2">
        <w:rPr>
          <w:rFonts w:ascii="Times New Roman" w:hAnsi="Times New Roman" w:cs="Times New Roman"/>
          <w:b/>
          <w:sz w:val="24"/>
          <w:szCs w:val="24"/>
        </w:rPr>
        <w:t xml:space="preserve"> </w:t>
      </w:r>
    </w:p>
    <w:tbl>
      <w:tblPr>
        <w:tblStyle w:val="TableGrid"/>
        <w:tblW w:w="10080" w:type="dxa"/>
        <w:tblLayout w:type="fixed"/>
        <w:tblLook w:val="04A0"/>
      </w:tblPr>
      <w:tblGrid>
        <w:gridCol w:w="1620"/>
        <w:gridCol w:w="990"/>
        <w:gridCol w:w="990"/>
        <w:gridCol w:w="1192"/>
        <w:gridCol w:w="1058"/>
        <w:gridCol w:w="1057"/>
        <w:gridCol w:w="1058"/>
        <w:gridCol w:w="1057"/>
        <w:gridCol w:w="1058"/>
      </w:tblGrid>
      <w:tr w:rsidR="00B27EAE" w:rsidRPr="00B27EAE" w:rsidTr="00C16029">
        <w:tc>
          <w:tcPr>
            <w:tcW w:w="1620" w:type="dxa"/>
          </w:tcPr>
          <w:p w:rsidR="001E5D21" w:rsidRPr="00E4144A" w:rsidRDefault="001E5D21"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r w:rsidRPr="00E4144A">
              <w:rPr>
                <w:rFonts w:ascii="Times New Roman" w:hAnsi="Times New Roman" w:cs="Times New Roman"/>
                <w:color w:val="000000"/>
                <w:sz w:val="22"/>
                <w:szCs w:val="22"/>
              </w:rPr>
              <w:t>Survey</w:t>
            </w:r>
          </w:p>
        </w:tc>
        <w:tc>
          <w:tcPr>
            <w:tcW w:w="990" w:type="dxa"/>
          </w:tcPr>
          <w:p w:rsidR="001E5D21" w:rsidRPr="00CE6215"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sz w:val="22"/>
                <w:szCs w:val="22"/>
              </w:rPr>
            </w:pPr>
            <w:r w:rsidRPr="00CE6215">
              <w:rPr>
                <w:rFonts w:ascii="Times New Roman" w:hAnsi="Times New Roman" w:cs="Times New Roman"/>
                <w:sz w:val="22"/>
                <w:szCs w:val="22"/>
              </w:rPr>
              <w:t>EIA-14</w:t>
            </w:r>
          </w:p>
        </w:tc>
        <w:tc>
          <w:tcPr>
            <w:tcW w:w="990" w:type="dxa"/>
          </w:tcPr>
          <w:p w:rsidR="001E5D21" w:rsidRPr="002D3DAE"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sz w:val="22"/>
                <w:szCs w:val="22"/>
              </w:rPr>
            </w:pPr>
            <w:r w:rsidRPr="002D3DAE">
              <w:rPr>
                <w:rFonts w:ascii="Times New Roman" w:hAnsi="Times New Roman" w:cs="Times New Roman"/>
                <w:sz w:val="22"/>
                <w:szCs w:val="22"/>
              </w:rPr>
              <w:t>EIA-182</w:t>
            </w:r>
          </w:p>
        </w:tc>
        <w:tc>
          <w:tcPr>
            <w:tcW w:w="1192" w:type="dxa"/>
          </w:tcPr>
          <w:p w:rsidR="001E5D21" w:rsidRPr="00E4144A"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rPr>
            </w:pPr>
            <w:r w:rsidRPr="00E4144A">
              <w:rPr>
                <w:rFonts w:ascii="Times New Roman" w:hAnsi="Times New Roman" w:cs="Times New Roman"/>
                <w:color w:val="000000"/>
              </w:rPr>
              <w:t>EIA-782A</w:t>
            </w:r>
          </w:p>
        </w:tc>
        <w:tc>
          <w:tcPr>
            <w:tcW w:w="1058" w:type="dxa"/>
          </w:tcPr>
          <w:p w:rsidR="001E5D21" w:rsidRPr="00E4144A"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rPr>
            </w:pPr>
            <w:r w:rsidRPr="00E4144A">
              <w:rPr>
                <w:rFonts w:ascii="Times New Roman" w:hAnsi="Times New Roman" w:cs="Times New Roman"/>
                <w:color w:val="000000"/>
              </w:rPr>
              <w:t>EIA-782C</w:t>
            </w:r>
          </w:p>
        </w:tc>
        <w:tc>
          <w:tcPr>
            <w:tcW w:w="1057" w:type="dxa"/>
          </w:tcPr>
          <w:p w:rsidR="001E5D21" w:rsidRPr="00E4144A"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EIA-856</w:t>
            </w:r>
          </w:p>
        </w:tc>
        <w:tc>
          <w:tcPr>
            <w:tcW w:w="1058" w:type="dxa"/>
          </w:tcPr>
          <w:p w:rsidR="001E5D21" w:rsidRPr="00E4144A"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EIA-877</w:t>
            </w:r>
          </w:p>
        </w:tc>
        <w:tc>
          <w:tcPr>
            <w:tcW w:w="1057" w:type="dxa"/>
          </w:tcPr>
          <w:p w:rsidR="001E5D21" w:rsidRPr="00E4144A"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EIA-878</w:t>
            </w:r>
          </w:p>
        </w:tc>
        <w:tc>
          <w:tcPr>
            <w:tcW w:w="1058" w:type="dxa"/>
          </w:tcPr>
          <w:p w:rsidR="001E5D21" w:rsidRPr="00E4144A" w:rsidRDefault="001E5D2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EIA-888</w:t>
            </w:r>
          </w:p>
        </w:tc>
      </w:tr>
      <w:tr w:rsidR="00DA5147" w:rsidRPr="00B27EAE" w:rsidTr="00C16029">
        <w:tc>
          <w:tcPr>
            <w:tcW w:w="1620" w:type="dxa"/>
            <w:tcBorders>
              <w:bottom w:val="single" w:sz="4" w:space="0" w:color="000000" w:themeColor="text1"/>
            </w:tcBorders>
          </w:tcPr>
          <w:p w:rsidR="00DA5147" w:rsidRPr="00E4144A" w:rsidRDefault="00DA5147" w:rsidP="00E4144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r w:rsidRPr="00E4144A">
              <w:rPr>
                <w:rFonts w:ascii="Times New Roman" w:hAnsi="Times New Roman" w:cs="Times New Roman"/>
                <w:color w:val="000000"/>
                <w:sz w:val="22"/>
                <w:szCs w:val="22"/>
              </w:rPr>
              <w:t>Response</w:t>
            </w:r>
            <w:r w:rsidR="00E4144A" w:rsidRPr="00E4144A">
              <w:rPr>
                <w:rFonts w:ascii="Times New Roman" w:hAnsi="Times New Roman" w:cs="Times New Roman"/>
                <w:color w:val="000000"/>
                <w:sz w:val="22"/>
                <w:szCs w:val="22"/>
              </w:rPr>
              <w:t xml:space="preserve"> </w:t>
            </w:r>
            <w:r w:rsidRPr="00E4144A">
              <w:rPr>
                <w:rFonts w:ascii="Times New Roman" w:hAnsi="Times New Roman" w:cs="Times New Roman"/>
                <w:color w:val="000000"/>
                <w:sz w:val="22"/>
                <w:szCs w:val="22"/>
              </w:rPr>
              <w:t>Rate</w:t>
            </w:r>
          </w:p>
        </w:tc>
        <w:tc>
          <w:tcPr>
            <w:tcW w:w="990" w:type="dxa"/>
            <w:tcBorders>
              <w:bottom w:val="single" w:sz="4" w:space="0" w:color="000000" w:themeColor="text1"/>
            </w:tcBorders>
          </w:tcPr>
          <w:p w:rsidR="00DA5147" w:rsidRPr="00E4144A" w:rsidRDefault="00CE6215"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Pr>
                <w:rFonts w:ascii="Times New Roman" w:hAnsi="Times New Roman" w:cs="Times New Roman"/>
                <w:color w:val="000000"/>
                <w:sz w:val="22"/>
                <w:szCs w:val="22"/>
              </w:rPr>
              <w:t>99.7%</w:t>
            </w:r>
          </w:p>
        </w:tc>
        <w:tc>
          <w:tcPr>
            <w:tcW w:w="990" w:type="dxa"/>
            <w:tcBorders>
              <w:bottom w:val="single" w:sz="4" w:space="0" w:color="000000" w:themeColor="text1"/>
            </w:tcBorders>
          </w:tcPr>
          <w:p w:rsidR="00DA5147" w:rsidRPr="00E4144A" w:rsidRDefault="002D3DAE"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192" w:type="dxa"/>
            <w:tcBorders>
              <w:bottom w:val="single" w:sz="4" w:space="0" w:color="000000" w:themeColor="text1"/>
            </w:tcBorders>
          </w:tcPr>
          <w:p w:rsidR="00DA5147" w:rsidRPr="00E4144A" w:rsidRDefault="00C032D2"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99.0</w:t>
            </w:r>
            <w:r w:rsidR="00FB46C8">
              <w:rPr>
                <w:rFonts w:ascii="Times New Roman" w:hAnsi="Times New Roman" w:cs="Times New Roman"/>
                <w:color w:val="000000"/>
                <w:sz w:val="22"/>
                <w:szCs w:val="22"/>
              </w:rPr>
              <w:t>%</w:t>
            </w:r>
          </w:p>
        </w:tc>
        <w:tc>
          <w:tcPr>
            <w:tcW w:w="1058" w:type="dxa"/>
            <w:tcBorders>
              <w:bottom w:val="single" w:sz="4" w:space="0" w:color="000000" w:themeColor="text1"/>
            </w:tcBorders>
          </w:tcPr>
          <w:p w:rsidR="00DA5147" w:rsidRPr="00E4144A" w:rsidRDefault="00C032D2"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98.8</w:t>
            </w:r>
            <w:r w:rsidR="00FB46C8">
              <w:rPr>
                <w:rFonts w:ascii="Times New Roman" w:hAnsi="Times New Roman" w:cs="Times New Roman"/>
                <w:color w:val="000000"/>
                <w:sz w:val="22"/>
                <w:szCs w:val="22"/>
              </w:rPr>
              <w:t>%</w:t>
            </w:r>
          </w:p>
        </w:tc>
        <w:tc>
          <w:tcPr>
            <w:tcW w:w="1057" w:type="dxa"/>
            <w:tcBorders>
              <w:bottom w:val="single" w:sz="4" w:space="0" w:color="000000" w:themeColor="text1"/>
            </w:tcBorders>
          </w:tcPr>
          <w:p w:rsidR="00DA5147" w:rsidRPr="00E4144A" w:rsidRDefault="00CE6215"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058" w:type="dxa"/>
            <w:tcBorders>
              <w:bottom w:val="single" w:sz="4" w:space="0" w:color="000000" w:themeColor="text1"/>
            </w:tcBorders>
          </w:tcPr>
          <w:p w:rsidR="00DA5147" w:rsidRPr="00E4144A" w:rsidRDefault="00EB58D1"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Pr>
                <w:rFonts w:ascii="Times New Roman" w:hAnsi="Times New Roman" w:cs="Times New Roman"/>
                <w:color w:val="000000"/>
                <w:sz w:val="22"/>
                <w:szCs w:val="22"/>
              </w:rPr>
              <w:t>98.8</w:t>
            </w:r>
            <w:r w:rsidR="00FB46C8">
              <w:rPr>
                <w:rFonts w:ascii="Times New Roman" w:hAnsi="Times New Roman" w:cs="Times New Roman"/>
                <w:color w:val="000000"/>
                <w:sz w:val="22"/>
                <w:szCs w:val="22"/>
              </w:rPr>
              <w:t>%</w:t>
            </w:r>
          </w:p>
        </w:tc>
        <w:tc>
          <w:tcPr>
            <w:tcW w:w="1057" w:type="dxa"/>
            <w:tcBorders>
              <w:bottom w:val="single" w:sz="4" w:space="0" w:color="000000" w:themeColor="text1"/>
            </w:tcBorders>
          </w:tcPr>
          <w:p w:rsidR="00DA5147" w:rsidRPr="00E4144A" w:rsidRDefault="00DA5147"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98.9%</w:t>
            </w:r>
          </w:p>
        </w:tc>
        <w:tc>
          <w:tcPr>
            <w:tcW w:w="1058" w:type="dxa"/>
            <w:tcBorders>
              <w:bottom w:val="single" w:sz="4" w:space="0" w:color="000000" w:themeColor="text1"/>
            </w:tcBorders>
          </w:tcPr>
          <w:p w:rsidR="00DA5147" w:rsidRPr="00E4144A" w:rsidRDefault="00DA5147" w:rsidP="00CE62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color w:val="000000"/>
                <w:sz w:val="22"/>
                <w:szCs w:val="22"/>
              </w:rPr>
            </w:pPr>
            <w:r w:rsidRPr="00E4144A">
              <w:rPr>
                <w:rFonts w:ascii="Times New Roman" w:hAnsi="Times New Roman" w:cs="Times New Roman"/>
                <w:color w:val="000000"/>
                <w:sz w:val="22"/>
                <w:szCs w:val="22"/>
              </w:rPr>
              <w:t>99.6%</w:t>
            </w:r>
          </w:p>
        </w:tc>
      </w:tr>
      <w:tr w:rsidR="00DA5147" w:rsidRPr="00B27EAE" w:rsidTr="00C16029">
        <w:tc>
          <w:tcPr>
            <w:tcW w:w="1620" w:type="dxa"/>
            <w:tcBorders>
              <w:left w:val="nil"/>
              <w:bottom w:val="nil"/>
              <w:right w:val="nil"/>
            </w:tcBorders>
          </w:tcPr>
          <w:p w:rsidR="00DA5147"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p w:rsidR="00BF72C8" w:rsidRPr="00B27EAE" w:rsidRDefault="00BF72C8"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990" w:type="dxa"/>
            <w:tcBorders>
              <w:left w:val="nil"/>
              <w:bottom w:val="nil"/>
              <w:right w:val="nil"/>
            </w:tcBorders>
          </w:tcPr>
          <w:p w:rsidR="00DA5147" w:rsidRPr="00B27EAE"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990" w:type="dxa"/>
            <w:tcBorders>
              <w:left w:val="nil"/>
              <w:bottom w:val="nil"/>
              <w:right w:val="nil"/>
            </w:tcBorders>
          </w:tcPr>
          <w:p w:rsidR="00DA5147" w:rsidRPr="00B27EAE"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1192" w:type="dxa"/>
            <w:tcBorders>
              <w:left w:val="nil"/>
              <w:bottom w:val="nil"/>
              <w:right w:val="nil"/>
            </w:tcBorders>
          </w:tcPr>
          <w:p w:rsidR="00DA5147" w:rsidRPr="00B27EAE"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1058" w:type="dxa"/>
            <w:tcBorders>
              <w:left w:val="nil"/>
              <w:bottom w:val="nil"/>
              <w:right w:val="nil"/>
            </w:tcBorders>
          </w:tcPr>
          <w:p w:rsidR="00DA5147" w:rsidRPr="00B27EAE"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1057" w:type="dxa"/>
            <w:tcBorders>
              <w:left w:val="nil"/>
              <w:bottom w:val="nil"/>
              <w:right w:val="nil"/>
            </w:tcBorders>
          </w:tcPr>
          <w:p w:rsidR="00DA5147" w:rsidRPr="00B27EAE"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1058" w:type="dxa"/>
            <w:tcBorders>
              <w:left w:val="nil"/>
              <w:bottom w:val="nil"/>
              <w:right w:val="nil"/>
            </w:tcBorders>
          </w:tcPr>
          <w:p w:rsidR="00DA5147" w:rsidRPr="00B27EAE" w:rsidRDefault="00DA5147" w:rsidP="00C238A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1057" w:type="dxa"/>
            <w:tcBorders>
              <w:left w:val="nil"/>
              <w:bottom w:val="nil"/>
              <w:right w:val="nil"/>
            </w:tcBorders>
          </w:tcPr>
          <w:p w:rsidR="00DA5147" w:rsidRDefault="00DA5147" w:rsidP="007444A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c>
          <w:tcPr>
            <w:tcW w:w="1058" w:type="dxa"/>
            <w:tcBorders>
              <w:left w:val="nil"/>
              <w:bottom w:val="nil"/>
              <w:right w:val="nil"/>
            </w:tcBorders>
          </w:tcPr>
          <w:p w:rsidR="00DA5147" w:rsidRDefault="00DA5147" w:rsidP="007444A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16"/>
                <w:szCs w:val="16"/>
              </w:rPr>
            </w:pPr>
          </w:p>
        </w:tc>
      </w:tr>
    </w:tbl>
    <w:p w:rsidR="00676A5E" w:rsidRPr="00EE440B" w:rsidRDefault="00676A5E" w:rsidP="00116FE8">
      <w:pPr>
        <w:pStyle w:val="Heading2"/>
        <w:jc w:val="both"/>
        <w:rPr>
          <w:rFonts w:asciiTheme="majorHAnsi" w:hAnsiTheme="majorHAnsi" w:cs="Times New Roman"/>
          <w:caps w:val="0"/>
          <w:color w:val="365F91" w:themeColor="accent1" w:themeShade="BF"/>
          <w:sz w:val="32"/>
          <w:szCs w:val="32"/>
        </w:rPr>
      </w:pPr>
      <w:r w:rsidRPr="00EE440B">
        <w:rPr>
          <w:rFonts w:asciiTheme="majorHAnsi" w:hAnsiTheme="majorHAnsi" w:cs="Times New Roman"/>
          <w:caps w:val="0"/>
          <w:color w:val="365F91" w:themeColor="accent1" w:themeShade="BF"/>
          <w:sz w:val="32"/>
          <w:szCs w:val="32"/>
        </w:rPr>
        <w:t>4.</w:t>
      </w:r>
      <w:r w:rsidRPr="00EE440B">
        <w:rPr>
          <w:rFonts w:asciiTheme="majorHAnsi" w:hAnsiTheme="majorHAnsi" w:cs="Times New Roman"/>
          <w:caps w:val="0"/>
          <w:color w:val="365F91" w:themeColor="accent1" w:themeShade="BF"/>
          <w:sz w:val="32"/>
          <w:szCs w:val="32"/>
        </w:rPr>
        <w:tab/>
        <w:t>Tests of Procedures</w:t>
      </w:r>
    </w:p>
    <w:p w:rsidR="00BF72C8" w:rsidRDefault="00BF72C8" w:rsidP="00BF72C8">
      <w:pPr>
        <w:spacing w:before="0" w:after="100" w:afterAutospacing="1" w:line="240" w:lineRule="auto"/>
        <w:rPr>
          <w:rFonts w:cs="Times New Roman"/>
          <w:sz w:val="22"/>
          <w:szCs w:val="24"/>
        </w:rPr>
      </w:pPr>
    </w:p>
    <w:p w:rsidR="00932298" w:rsidRPr="00515192" w:rsidRDefault="008270A4" w:rsidP="00EE440B">
      <w:pPr>
        <w:spacing w:before="0" w:after="100" w:afterAutospacing="1" w:line="360" w:lineRule="auto"/>
        <w:rPr>
          <w:rFonts w:cs="Times New Roman"/>
          <w:sz w:val="22"/>
          <w:szCs w:val="24"/>
        </w:rPr>
      </w:pPr>
      <w:r w:rsidRPr="00515192">
        <w:rPr>
          <w:rFonts w:cs="Times New Roman"/>
          <w:sz w:val="22"/>
          <w:szCs w:val="24"/>
        </w:rPr>
        <w:t xml:space="preserve">In preparation for </w:t>
      </w:r>
      <w:r w:rsidR="009959BF" w:rsidRPr="00515192">
        <w:rPr>
          <w:rFonts w:cs="Times New Roman"/>
          <w:sz w:val="22"/>
          <w:szCs w:val="24"/>
        </w:rPr>
        <w:t xml:space="preserve">clearance of </w:t>
      </w:r>
      <w:r w:rsidRPr="00515192">
        <w:rPr>
          <w:rFonts w:cs="Times New Roman"/>
          <w:sz w:val="22"/>
          <w:szCs w:val="24"/>
        </w:rPr>
        <w:t xml:space="preserve">the </w:t>
      </w:r>
      <w:r w:rsidR="009959BF" w:rsidRPr="00515192">
        <w:rPr>
          <w:rFonts w:cs="Times New Roman"/>
          <w:sz w:val="22"/>
          <w:szCs w:val="24"/>
        </w:rPr>
        <w:t xml:space="preserve">2013 </w:t>
      </w:r>
      <w:r w:rsidRPr="00515192">
        <w:rPr>
          <w:rFonts w:cs="Times New Roman"/>
          <w:sz w:val="22"/>
          <w:szCs w:val="24"/>
        </w:rPr>
        <w:t>Petroleum Marketing</w:t>
      </w:r>
      <w:r w:rsidR="009959BF" w:rsidRPr="00515192">
        <w:rPr>
          <w:rFonts w:cs="Times New Roman"/>
          <w:sz w:val="22"/>
          <w:szCs w:val="24"/>
        </w:rPr>
        <w:t xml:space="preserve"> Program by the</w:t>
      </w:r>
      <w:r w:rsidR="00932298" w:rsidRPr="00515192">
        <w:rPr>
          <w:rFonts w:cs="Times New Roman"/>
          <w:sz w:val="22"/>
          <w:szCs w:val="24"/>
        </w:rPr>
        <w:t xml:space="preserve"> Office of Management an</w:t>
      </w:r>
      <w:r w:rsidR="009959BF" w:rsidRPr="00515192">
        <w:rPr>
          <w:rFonts w:cs="Times New Roman"/>
          <w:sz w:val="22"/>
          <w:szCs w:val="24"/>
        </w:rPr>
        <w:t>d Budget (OMB)</w:t>
      </w:r>
      <w:r w:rsidR="00932298" w:rsidRPr="00515192">
        <w:rPr>
          <w:rFonts w:cs="Times New Roman"/>
          <w:sz w:val="22"/>
          <w:szCs w:val="24"/>
        </w:rPr>
        <w:t xml:space="preserve">, the Survey Development Team (SDT) conducted an assessment of the current forms and proposed recommendations that would improve the forms for future iterations. The evaluation focused primarily on efficient form design and valid data collections in order to improve data quality, reduce respondent burden, and improve process efficiency at EIA. </w:t>
      </w:r>
    </w:p>
    <w:p w:rsidR="00932298" w:rsidRPr="00515192" w:rsidRDefault="00932298" w:rsidP="00515192">
      <w:pPr>
        <w:spacing w:before="0" w:after="100" w:afterAutospacing="1" w:line="360" w:lineRule="auto"/>
        <w:rPr>
          <w:rFonts w:cs="Times New Roman"/>
          <w:sz w:val="22"/>
          <w:szCs w:val="24"/>
        </w:rPr>
      </w:pPr>
      <w:r w:rsidRPr="00515192">
        <w:rPr>
          <w:rFonts w:cs="Times New Roman"/>
          <w:sz w:val="22"/>
          <w:szCs w:val="24"/>
        </w:rPr>
        <w:t>The first step of the process was to conduct internal early-stage scoping interviews with the OPBS managers and analysts. Early-stage scoping is a method that uses semi-structured interviews to understand substantive issues from the subject’s point of view using the subject’s language.  The primary objective of this method is to systematically gather and document common form design issues, unclear instructions, and problematic data requests across the petroleum forms. Based on the findings from the early-stage scoping interviews, the SDT may recommend record-keeping studies, cognitive interviews, and/</w:t>
      </w:r>
      <w:r w:rsidR="0034791C">
        <w:rPr>
          <w:rFonts w:cs="Times New Roman"/>
          <w:sz w:val="22"/>
          <w:szCs w:val="24"/>
        </w:rPr>
        <w:t>o</w:t>
      </w:r>
      <w:r w:rsidRPr="00515192">
        <w:rPr>
          <w:rFonts w:cs="Times New Roman"/>
          <w:sz w:val="22"/>
          <w:szCs w:val="24"/>
        </w:rPr>
        <w:t xml:space="preserve">r usability testing with external respondents. </w:t>
      </w:r>
    </w:p>
    <w:p w:rsidR="00932298" w:rsidRPr="00515192" w:rsidRDefault="00932298" w:rsidP="00515192">
      <w:pPr>
        <w:spacing w:before="0" w:after="100" w:afterAutospacing="1" w:line="360" w:lineRule="auto"/>
        <w:rPr>
          <w:rFonts w:cs="Times New Roman"/>
          <w:sz w:val="22"/>
          <w:szCs w:val="24"/>
        </w:rPr>
      </w:pPr>
      <w:r w:rsidRPr="00515192">
        <w:rPr>
          <w:rFonts w:cs="Times New Roman"/>
          <w:sz w:val="22"/>
          <w:szCs w:val="24"/>
        </w:rPr>
        <w:t>The team conducted internal early-stage scoping interviews.  In-person interviews were conducted with survey managers and analysts and typically lasted about one hour.  None of the interviewers were audio recorded.  Individuals that participated in the interviews were selected based upon recommendations from the Office of Petroleum and Biofuels Statistics.</w:t>
      </w:r>
    </w:p>
    <w:p w:rsidR="001E5D21" w:rsidRPr="00515192" w:rsidRDefault="00932298" w:rsidP="00515192">
      <w:pPr>
        <w:spacing w:before="0" w:after="100" w:afterAutospacing="1" w:line="360" w:lineRule="auto"/>
        <w:rPr>
          <w:rFonts w:cs="Times New Roman"/>
          <w:sz w:val="22"/>
          <w:szCs w:val="24"/>
        </w:rPr>
      </w:pPr>
      <w:r w:rsidRPr="00515192">
        <w:rPr>
          <w:rFonts w:cs="Times New Roman"/>
          <w:sz w:val="22"/>
          <w:szCs w:val="24"/>
        </w:rPr>
        <w:t xml:space="preserve">The Survey Development Team conducted </w:t>
      </w:r>
      <w:r w:rsidR="0034791C">
        <w:rPr>
          <w:rFonts w:cs="Times New Roman"/>
          <w:sz w:val="22"/>
          <w:szCs w:val="24"/>
        </w:rPr>
        <w:t>seven</w:t>
      </w:r>
      <w:r w:rsidRPr="00515192">
        <w:rPr>
          <w:rFonts w:cs="Times New Roman"/>
          <w:sz w:val="22"/>
          <w:szCs w:val="24"/>
        </w:rPr>
        <w:t xml:space="preserve"> interviews for the EIA-782C during the winter of 2011. Respondents were selected for test</w:t>
      </w:r>
      <w:r w:rsidR="00764C59">
        <w:rPr>
          <w:rFonts w:cs="Times New Roman"/>
          <w:sz w:val="22"/>
          <w:szCs w:val="24"/>
        </w:rPr>
        <w:t xml:space="preserve">ing based on recommendation by </w:t>
      </w:r>
      <w:r w:rsidRPr="00515192">
        <w:rPr>
          <w:rFonts w:cs="Times New Roman"/>
          <w:sz w:val="22"/>
          <w:szCs w:val="24"/>
        </w:rPr>
        <w:t xml:space="preserve">PBS’ team leads and included larger sized companies. All interviews were conducted over the telephone </w:t>
      </w:r>
      <w:r w:rsidR="0034791C">
        <w:rPr>
          <w:rFonts w:cs="Times New Roman"/>
          <w:sz w:val="22"/>
          <w:szCs w:val="24"/>
        </w:rPr>
        <w:t>and usually</w:t>
      </w:r>
      <w:r w:rsidRPr="00515192">
        <w:rPr>
          <w:rFonts w:cs="Times New Roman"/>
          <w:sz w:val="22"/>
          <w:szCs w:val="24"/>
        </w:rPr>
        <w:t xml:space="preserve"> lasted about </w:t>
      </w:r>
      <w:r w:rsidR="0034791C">
        <w:rPr>
          <w:rFonts w:cs="Times New Roman"/>
          <w:sz w:val="22"/>
          <w:szCs w:val="24"/>
        </w:rPr>
        <w:t>45 minutes. Usually</w:t>
      </w:r>
      <w:r w:rsidRPr="00515192">
        <w:rPr>
          <w:rFonts w:cs="Times New Roman"/>
          <w:sz w:val="22"/>
          <w:szCs w:val="24"/>
        </w:rPr>
        <w:t>, SDT conducts early-stage scoping in</w:t>
      </w:r>
      <w:r w:rsidR="0034791C">
        <w:rPr>
          <w:rFonts w:cs="Times New Roman"/>
          <w:sz w:val="22"/>
          <w:szCs w:val="24"/>
        </w:rPr>
        <w:t>terviews in-person because face-</w:t>
      </w:r>
      <w:r w:rsidRPr="00515192">
        <w:rPr>
          <w:rFonts w:cs="Times New Roman"/>
          <w:sz w:val="22"/>
          <w:szCs w:val="24"/>
        </w:rPr>
        <w:t>to</w:t>
      </w:r>
      <w:r w:rsidR="0034791C">
        <w:rPr>
          <w:rFonts w:cs="Times New Roman"/>
          <w:sz w:val="22"/>
          <w:szCs w:val="24"/>
        </w:rPr>
        <w:t>-</w:t>
      </w:r>
      <w:r w:rsidRPr="00515192">
        <w:rPr>
          <w:rFonts w:cs="Times New Roman"/>
          <w:sz w:val="22"/>
          <w:szCs w:val="24"/>
        </w:rPr>
        <w:t>face interviews provide richer information</w:t>
      </w:r>
      <w:r w:rsidR="0034791C">
        <w:rPr>
          <w:rFonts w:cs="Times New Roman"/>
          <w:sz w:val="22"/>
          <w:szCs w:val="24"/>
        </w:rPr>
        <w:t>,</w:t>
      </w:r>
      <w:r w:rsidRPr="00515192">
        <w:rPr>
          <w:rFonts w:cs="Times New Roman"/>
          <w:sz w:val="22"/>
          <w:szCs w:val="24"/>
        </w:rPr>
        <w:t xml:space="preserve"> and allow us to see </w:t>
      </w:r>
      <w:r w:rsidR="0034791C">
        <w:rPr>
          <w:rFonts w:cs="Times New Roman"/>
          <w:sz w:val="22"/>
          <w:szCs w:val="24"/>
        </w:rPr>
        <w:t>respondent’s records. However due</w:t>
      </w:r>
      <w:r w:rsidRPr="00515192">
        <w:rPr>
          <w:rFonts w:cs="Times New Roman"/>
          <w:sz w:val="22"/>
          <w:szCs w:val="24"/>
        </w:rPr>
        <w:t xml:space="preserve"> to resource constraints this was not possible. </w:t>
      </w:r>
    </w:p>
    <w:p w:rsidR="00764C59" w:rsidRDefault="00764C59" w:rsidP="00515192">
      <w:pPr>
        <w:spacing w:before="0" w:after="100" w:afterAutospacing="1" w:line="360" w:lineRule="auto"/>
        <w:rPr>
          <w:rFonts w:cs="Times New Roman"/>
          <w:sz w:val="22"/>
          <w:szCs w:val="24"/>
        </w:rPr>
      </w:pPr>
    </w:p>
    <w:p w:rsidR="008270A4" w:rsidRDefault="008270A4" w:rsidP="00515192">
      <w:pPr>
        <w:spacing w:before="0" w:after="100" w:afterAutospacing="1" w:line="360" w:lineRule="auto"/>
        <w:rPr>
          <w:rFonts w:cs="Times New Roman"/>
          <w:sz w:val="22"/>
          <w:szCs w:val="24"/>
        </w:rPr>
      </w:pPr>
      <w:r w:rsidRPr="00515192">
        <w:rPr>
          <w:rFonts w:cs="Times New Roman"/>
          <w:sz w:val="22"/>
          <w:szCs w:val="24"/>
        </w:rPr>
        <w:t xml:space="preserve">A summary of </w:t>
      </w:r>
      <w:r w:rsidR="009959BF" w:rsidRPr="00515192">
        <w:rPr>
          <w:rFonts w:cs="Times New Roman"/>
          <w:sz w:val="22"/>
          <w:szCs w:val="24"/>
        </w:rPr>
        <w:t>additional pre-clearance activities, involving meeting with stakeholders – both internal and externa</w:t>
      </w:r>
      <w:r w:rsidR="00C16029" w:rsidRPr="00515192">
        <w:rPr>
          <w:rFonts w:cs="Times New Roman"/>
          <w:sz w:val="22"/>
          <w:szCs w:val="24"/>
        </w:rPr>
        <w:t xml:space="preserve">l - </w:t>
      </w:r>
      <w:r w:rsidR="009959BF" w:rsidRPr="00515192">
        <w:rPr>
          <w:rFonts w:cs="Times New Roman"/>
          <w:sz w:val="22"/>
          <w:szCs w:val="24"/>
        </w:rPr>
        <w:t xml:space="preserve">to enhance </w:t>
      </w:r>
      <w:r w:rsidRPr="00515192">
        <w:rPr>
          <w:rFonts w:cs="Times New Roman"/>
          <w:sz w:val="22"/>
          <w:szCs w:val="24"/>
        </w:rPr>
        <w:t xml:space="preserve">information quality </w:t>
      </w:r>
      <w:r w:rsidR="009959BF" w:rsidRPr="00515192">
        <w:rPr>
          <w:rFonts w:cs="Times New Roman"/>
          <w:sz w:val="22"/>
          <w:szCs w:val="24"/>
        </w:rPr>
        <w:t>is available</w:t>
      </w:r>
      <w:r w:rsidRPr="00515192">
        <w:rPr>
          <w:rFonts w:cs="Times New Roman"/>
          <w:sz w:val="22"/>
          <w:szCs w:val="24"/>
        </w:rPr>
        <w:t xml:space="preserve"> </w:t>
      </w:r>
      <w:r w:rsidR="009959BF" w:rsidRPr="00515192">
        <w:rPr>
          <w:rFonts w:cs="Times New Roman"/>
          <w:sz w:val="22"/>
          <w:szCs w:val="24"/>
        </w:rPr>
        <w:t xml:space="preserve">in </w:t>
      </w:r>
      <w:r w:rsidRPr="00515192">
        <w:rPr>
          <w:rFonts w:cs="Times New Roman"/>
          <w:sz w:val="22"/>
          <w:szCs w:val="24"/>
        </w:rPr>
        <w:t xml:space="preserve">the following 2012 </w:t>
      </w:r>
      <w:r w:rsidR="0034791C">
        <w:rPr>
          <w:rFonts w:cs="Times New Roman"/>
          <w:sz w:val="22"/>
          <w:szCs w:val="24"/>
        </w:rPr>
        <w:t>Federal Committee for Statistics and Methodology (</w:t>
      </w:r>
      <w:r w:rsidRPr="00515192">
        <w:rPr>
          <w:rFonts w:cs="Times New Roman"/>
          <w:sz w:val="22"/>
          <w:szCs w:val="24"/>
        </w:rPr>
        <w:t>FCSM</w:t>
      </w:r>
      <w:r w:rsidR="0034791C">
        <w:rPr>
          <w:rFonts w:cs="Times New Roman"/>
          <w:sz w:val="22"/>
          <w:szCs w:val="24"/>
        </w:rPr>
        <w:t>)</w:t>
      </w:r>
      <w:r w:rsidRPr="00515192">
        <w:rPr>
          <w:rFonts w:cs="Times New Roman"/>
          <w:sz w:val="22"/>
          <w:szCs w:val="24"/>
        </w:rPr>
        <w:t xml:space="preserve"> paper, </w:t>
      </w:r>
      <w:hyperlink r:id="rId43" w:history="1">
        <w:r w:rsidRPr="00515192">
          <w:rPr>
            <w:rStyle w:val="Hyperlink"/>
            <w:rFonts w:cs="Times New Roman"/>
            <w:color w:val="3333FF"/>
            <w:sz w:val="22"/>
            <w:szCs w:val="24"/>
          </w:rPr>
          <w:t>Achieving Information Quality via Continuous Quality Improvement</w:t>
        </w:r>
      </w:hyperlink>
      <w:r w:rsidRPr="00515192">
        <w:rPr>
          <w:rFonts w:cs="Times New Roman"/>
          <w:sz w:val="22"/>
          <w:szCs w:val="24"/>
        </w:rPr>
        <w:t>.</w:t>
      </w:r>
    </w:p>
    <w:p w:rsidR="00676A5E" w:rsidRPr="00EE440B" w:rsidRDefault="00676A5E" w:rsidP="00116FE8">
      <w:pPr>
        <w:pStyle w:val="Heading2"/>
        <w:jc w:val="both"/>
        <w:rPr>
          <w:rFonts w:asciiTheme="majorHAnsi" w:hAnsiTheme="majorHAnsi" w:cs="Times New Roman"/>
          <w:color w:val="365F91" w:themeColor="accent1" w:themeShade="BF"/>
          <w:sz w:val="32"/>
          <w:szCs w:val="32"/>
        </w:rPr>
      </w:pPr>
      <w:r w:rsidRPr="00EE440B">
        <w:rPr>
          <w:rFonts w:asciiTheme="majorHAnsi" w:hAnsiTheme="majorHAnsi" w:cs="Times New Roman"/>
          <w:color w:val="365F91" w:themeColor="accent1" w:themeShade="BF"/>
          <w:sz w:val="32"/>
          <w:szCs w:val="32"/>
        </w:rPr>
        <w:t>5.</w:t>
      </w:r>
      <w:r w:rsidRPr="00EE440B">
        <w:rPr>
          <w:rFonts w:asciiTheme="majorHAnsi" w:hAnsiTheme="majorHAnsi" w:cs="Times New Roman"/>
          <w:caps w:val="0"/>
          <w:color w:val="365F91" w:themeColor="accent1" w:themeShade="BF"/>
          <w:sz w:val="32"/>
          <w:szCs w:val="32"/>
        </w:rPr>
        <w:tab/>
        <w:t>Statistical Consultations</w:t>
      </w:r>
    </w:p>
    <w:p w:rsidR="00EE440B" w:rsidRDefault="00EE440B" w:rsidP="00C16029">
      <w:pPr>
        <w:spacing w:before="0" w:after="0" w:line="360" w:lineRule="auto"/>
        <w:rPr>
          <w:sz w:val="22"/>
          <w:szCs w:val="22"/>
        </w:rPr>
      </w:pPr>
    </w:p>
    <w:p w:rsidR="00E340CD" w:rsidRPr="00E340CD" w:rsidRDefault="00E340CD" w:rsidP="00C16029">
      <w:pPr>
        <w:spacing w:before="0" w:after="0" w:line="360" w:lineRule="auto"/>
        <w:rPr>
          <w:sz w:val="22"/>
          <w:szCs w:val="22"/>
        </w:rPr>
      </w:pPr>
      <w:r w:rsidRPr="00E340CD">
        <w:rPr>
          <w:sz w:val="22"/>
          <w:szCs w:val="22"/>
        </w:rPr>
        <w:t>Publically available studies and research papers prepared by EIA statisticians and contractors regarding surveys in the Petroleum Marketing Pro</w:t>
      </w:r>
      <w:r w:rsidR="00AE62BB">
        <w:rPr>
          <w:sz w:val="22"/>
          <w:szCs w:val="22"/>
        </w:rPr>
        <w:t xml:space="preserve">gram are available in Appendix </w:t>
      </w:r>
      <w:r w:rsidR="00014DC3">
        <w:rPr>
          <w:sz w:val="22"/>
          <w:szCs w:val="22"/>
        </w:rPr>
        <w:t>M</w:t>
      </w:r>
      <w:r w:rsidRPr="00E340CD">
        <w:rPr>
          <w:sz w:val="22"/>
          <w:szCs w:val="22"/>
        </w:rPr>
        <w:t xml:space="preserve">. This list </w:t>
      </w:r>
      <w:r>
        <w:rPr>
          <w:sz w:val="22"/>
          <w:szCs w:val="22"/>
        </w:rPr>
        <w:t>includes</w:t>
      </w:r>
      <w:r w:rsidRPr="00E340CD">
        <w:rPr>
          <w:sz w:val="22"/>
          <w:szCs w:val="22"/>
        </w:rPr>
        <w:t xml:space="preserve"> only publically available reports.</w:t>
      </w:r>
      <w:r>
        <w:rPr>
          <w:sz w:val="22"/>
          <w:szCs w:val="22"/>
        </w:rPr>
        <w:t xml:space="preserve"> </w:t>
      </w:r>
      <w:r w:rsidRPr="00E340CD">
        <w:rPr>
          <w:sz w:val="22"/>
          <w:szCs w:val="22"/>
        </w:rPr>
        <w:t xml:space="preserve">In addition, staff worked with contractor, Z, Inc. to conduct a quality assessment in FY2011 and with staff from the Office of Survey Development and Statistical Integration (SDSI) on </w:t>
      </w:r>
      <w:r w:rsidR="001D42F3">
        <w:rPr>
          <w:sz w:val="22"/>
          <w:szCs w:val="22"/>
        </w:rPr>
        <w:t>cognitive</w:t>
      </w:r>
      <w:r w:rsidR="00014DC3">
        <w:rPr>
          <w:sz w:val="22"/>
          <w:szCs w:val="22"/>
        </w:rPr>
        <w:t xml:space="preserve"> </w:t>
      </w:r>
      <w:r w:rsidRPr="00E340CD">
        <w:rPr>
          <w:sz w:val="22"/>
          <w:szCs w:val="22"/>
        </w:rPr>
        <w:t>testing of the surveys in the PMP.</w:t>
      </w:r>
    </w:p>
    <w:p w:rsidR="00E340CD" w:rsidRPr="00E340CD" w:rsidRDefault="00E340CD" w:rsidP="00C16029">
      <w:pPr>
        <w:spacing w:before="0" w:after="0" w:line="360" w:lineRule="auto"/>
        <w:rPr>
          <w:sz w:val="22"/>
          <w:szCs w:val="22"/>
        </w:rPr>
      </w:pPr>
      <w:r>
        <w:rPr>
          <w:sz w:val="22"/>
          <w:szCs w:val="22"/>
        </w:rPr>
        <w:t>PMP s</w:t>
      </w:r>
      <w:r w:rsidRPr="00E340CD">
        <w:rPr>
          <w:sz w:val="22"/>
          <w:szCs w:val="22"/>
        </w:rPr>
        <w:t>taff met with numerous internal data users – AER, AEO, IEO, SEDS, and STEO - to consider their</w:t>
      </w:r>
      <w:r w:rsidR="001D42F3">
        <w:rPr>
          <w:sz w:val="22"/>
          <w:szCs w:val="22"/>
        </w:rPr>
        <w:t xml:space="preserve"> </w:t>
      </w:r>
      <w:r w:rsidRPr="00E340CD">
        <w:rPr>
          <w:sz w:val="22"/>
          <w:szCs w:val="22"/>
        </w:rPr>
        <w:t>needs.</w:t>
      </w:r>
      <w:r>
        <w:rPr>
          <w:sz w:val="22"/>
          <w:szCs w:val="22"/>
        </w:rPr>
        <w:t xml:space="preserve"> In addition, s</w:t>
      </w:r>
      <w:r w:rsidRPr="00E340CD">
        <w:rPr>
          <w:sz w:val="22"/>
          <w:szCs w:val="22"/>
        </w:rPr>
        <w:t xml:space="preserve">taff </w:t>
      </w:r>
      <w:r>
        <w:rPr>
          <w:sz w:val="22"/>
          <w:szCs w:val="22"/>
        </w:rPr>
        <w:t xml:space="preserve">also </w:t>
      </w:r>
      <w:r w:rsidRPr="00E340CD">
        <w:rPr>
          <w:sz w:val="22"/>
          <w:szCs w:val="22"/>
        </w:rPr>
        <w:t xml:space="preserve">gave presentations at the following conferences to obtain feedback from data users:  </w:t>
      </w:r>
    </w:p>
    <w:p w:rsidR="00E340CD" w:rsidRPr="0059742C" w:rsidRDefault="00E340CD" w:rsidP="00C16029">
      <w:pPr>
        <w:pStyle w:val="ListParagraph"/>
        <w:numPr>
          <w:ilvl w:val="0"/>
          <w:numId w:val="24"/>
        </w:numPr>
        <w:spacing w:before="0" w:after="0" w:line="360" w:lineRule="auto"/>
        <w:rPr>
          <w:sz w:val="22"/>
          <w:szCs w:val="22"/>
        </w:rPr>
      </w:pPr>
      <w:r w:rsidRPr="0059742C">
        <w:rPr>
          <w:sz w:val="22"/>
          <w:szCs w:val="22"/>
        </w:rPr>
        <w:t>American Statistical Association (ASA) Conference (2009 and 2010)</w:t>
      </w:r>
    </w:p>
    <w:p w:rsidR="00E340CD" w:rsidRPr="0059742C" w:rsidRDefault="00E340CD" w:rsidP="00C16029">
      <w:pPr>
        <w:pStyle w:val="ListParagraph"/>
        <w:numPr>
          <w:ilvl w:val="0"/>
          <w:numId w:val="24"/>
        </w:numPr>
        <w:spacing w:before="0" w:after="0" w:line="360" w:lineRule="auto"/>
        <w:rPr>
          <w:sz w:val="22"/>
          <w:szCs w:val="22"/>
        </w:rPr>
      </w:pPr>
      <w:r w:rsidRPr="0059742C">
        <w:rPr>
          <w:sz w:val="22"/>
          <w:szCs w:val="22"/>
        </w:rPr>
        <w:t>State Energy Data Needs Workshop (2009)</w:t>
      </w:r>
    </w:p>
    <w:p w:rsidR="00E340CD" w:rsidRPr="0059742C" w:rsidRDefault="00E340CD" w:rsidP="00C16029">
      <w:pPr>
        <w:pStyle w:val="ListParagraph"/>
        <w:numPr>
          <w:ilvl w:val="0"/>
          <w:numId w:val="24"/>
        </w:numPr>
        <w:spacing w:before="0" w:after="0" w:line="360" w:lineRule="auto"/>
        <w:rPr>
          <w:sz w:val="22"/>
          <w:szCs w:val="22"/>
        </w:rPr>
      </w:pPr>
      <w:r w:rsidRPr="0059742C">
        <w:rPr>
          <w:sz w:val="22"/>
          <w:szCs w:val="22"/>
        </w:rPr>
        <w:t>Energy Markets and Financial  Initiative (2010)</w:t>
      </w:r>
    </w:p>
    <w:p w:rsidR="00E340CD" w:rsidRPr="0059742C" w:rsidRDefault="00E340CD" w:rsidP="00C16029">
      <w:pPr>
        <w:pStyle w:val="ListParagraph"/>
        <w:numPr>
          <w:ilvl w:val="0"/>
          <w:numId w:val="24"/>
        </w:numPr>
        <w:spacing w:before="0" w:after="0" w:line="360" w:lineRule="auto"/>
        <w:rPr>
          <w:sz w:val="22"/>
          <w:szCs w:val="22"/>
        </w:rPr>
      </w:pPr>
      <w:r w:rsidRPr="0059742C">
        <w:rPr>
          <w:sz w:val="22"/>
          <w:szCs w:val="22"/>
        </w:rPr>
        <w:t xml:space="preserve">EIA’s Annual Energy Conference (2011) </w:t>
      </w:r>
    </w:p>
    <w:p w:rsidR="00E340CD" w:rsidRPr="0059742C" w:rsidRDefault="00E340CD" w:rsidP="00C16029">
      <w:pPr>
        <w:pStyle w:val="ListParagraph"/>
        <w:numPr>
          <w:ilvl w:val="0"/>
          <w:numId w:val="24"/>
        </w:numPr>
        <w:spacing w:before="0" w:after="0" w:line="360" w:lineRule="auto"/>
        <w:rPr>
          <w:sz w:val="22"/>
          <w:szCs w:val="22"/>
        </w:rPr>
      </w:pPr>
      <w:r w:rsidRPr="0059742C">
        <w:rPr>
          <w:sz w:val="22"/>
          <w:szCs w:val="22"/>
        </w:rPr>
        <w:t>Kauffman Foundation Forum on Establishment Surveys (2011)</w:t>
      </w:r>
    </w:p>
    <w:p w:rsidR="00E340CD" w:rsidRPr="0059742C" w:rsidRDefault="00E340CD" w:rsidP="00C16029">
      <w:pPr>
        <w:pStyle w:val="ListParagraph"/>
        <w:numPr>
          <w:ilvl w:val="0"/>
          <w:numId w:val="24"/>
        </w:numPr>
        <w:spacing w:before="0" w:after="0" w:line="360" w:lineRule="auto"/>
        <w:rPr>
          <w:sz w:val="22"/>
          <w:szCs w:val="22"/>
        </w:rPr>
      </w:pPr>
      <w:r w:rsidRPr="0059742C">
        <w:rPr>
          <w:sz w:val="22"/>
          <w:szCs w:val="22"/>
        </w:rPr>
        <w:t>Federal Committee for Statistics and Methodology (2012)</w:t>
      </w:r>
    </w:p>
    <w:p w:rsidR="00C16029" w:rsidRDefault="00C16029" w:rsidP="00C16029">
      <w:pPr>
        <w:spacing w:before="0" w:after="0" w:line="360" w:lineRule="auto"/>
        <w:rPr>
          <w:color w:val="000000"/>
          <w:sz w:val="22"/>
          <w:szCs w:val="22"/>
        </w:rPr>
      </w:pPr>
    </w:p>
    <w:p w:rsidR="0059742C" w:rsidRPr="0059742C" w:rsidRDefault="003F7E4D" w:rsidP="00C16029">
      <w:pPr>
        <w:spacing w:before="0" w:after="0" w:line="360" w:lineRule="auto"/>
        <w:rPr>
          <w:color w:val="000000"/>
          <w:sz w:val="22"/>
          <w:szCs w:val="22"/>
        </w:rPr>
      </w:pPr>
      <w:r>
        <w:rPr>
          <w:color w:val="000000"/>
          <w:sz w:val="22"/>
          <w:szCs w:val="22"/>
        </w:rPr>
        <w:t>C</w:t>
      </w:r>
      <w:r w:rsidR="0059742C" w:rsidRPr="0059742C">
        <w:rPr>
          <w:color w:val="000000"/>
          <w:sz w:val="22"/>
          <w:szCs w:val="22"/>
        </w:rPr>
        <w:t>ontacts for the Petroleum Marketing Program</w:t>
      </w:r>
      <w:r>
        <w:rPr>
          <w:color w:val="000000"/>
          <w:sz w:val="22"/>
          <w:szCs w:val="22"/>
        </w:rPr>
        <w:t xml:space="preserve"> include</w:t>
      </w:r>
      <w:r w:rsidR="0059742C" w:rsidRPr="0059742C">
        <w:rPr>
          <w:color w:val="000000"/>
          <w:sz w:val="22"/>
          <w:szCs w:val="22"/>
        </w:rPr>
        <w:t>:</w:t>
      </w:r>
    </w:p>
    <w:p w:rsidR="0059742C" w:rsidRPr="0059742C" w:rsidRDefault="0059742C" w:rsidP="00C16029">
      <w:pPr>
        <w:pStyle w:val="ListParagraph"/>
        <w:numPr>
          <w:ilvl w:val="0"/>
          <w:numId w:val="25"/>
        </w:numPr>
        <w:spacing w:before="0" w:after="0" w:line="360" w:lineRule="auto"/>
        <w:rPr>
          <w:sz w:val="22"/>
          <w:szCs w:val="22"/>
        </w:rPr>
      </w:pPr>
      <w:r w:rsidRPr="0059742C">
        <w:rPr>
          <w:color w:val="000000"/>
          <w:sz w:val="22"/>
          <w:szCs w:val="22"/>
        </w:rPr>
        <w:t>Ms. Shawna Waugh, Mathematical Statistician, Office of Petroleum and Biofuels Statist</w:t>
      </w:r>
      <w:r w:rsidR="001D42F3">
        <w:rPr>
          <w:color w:val="000000"/>
          <w:sz w:val="22"/>
          <w:szCs w:val="22"/>
        </w:rPr>
        <w:t>ic</w:t>
      </w:r>
      <w:r w:rsidRPr="0059742C">
        <w:rPr>
          <w:color w:val="000000"/>
          <w:sz w:val="22"/>
          <w:szCs w:val="22"/>
        </w:rPr>
        <w:t>s</w:t>
      </w:r>
      <w:r>
        <w:rPr>
          <w:color w:val="000000"/>
          <w:sz w:val="22"/>
          <w:szCs w:val="22"/>
        </w:rPr>
        <w:t xml:space="preserve"> (PBS)</w:t>
      </w:r>
      <w:r w:rsidRPr="0059742C">
        <w:rPr>
          <w:color w:val="000000"/>
          <w:sz w:val="22"/>
          <w:szCs w:val="22"/>
        </w:rPr>
        <w:t>,</w:t>
      </w:r>
    </w:p>
    <w:p w:rsidR="0059742C" w:rsidRPr="0059742C" w:rsidRDefault="0059742C" w:rsidP="00C16029">
      <w:pPr>
        <w:pStyle w:val="ListParagraph"/>
        <w:spacing w:before="0" w:after="0" w:line="360" w:lineRule="auto"/>
        <w:ind w:left="360"/>
        <w:rPr>
          <w:sz w:val="22"/>
          <w:szCs w:val="22"/>
        </w:rPr>
      </w:pPr>
      <w:r w:rsidRPr="0059742C">
        <w:rPr>
          <w:color w:val="000000"/>
          <w:sz w:val="22"/>
          <w:szCs w:val="22"/>
        </w:rPr>
        <w:t xml:space="preserve"> (202) 586-6484</w:t>
      </w:r>
    </w:p>
    <w:p w:rsidR="0059742C" w:rsidRPr="0059742C" w:rsidRDefault="0059742C" w:rsidP="00C16029">
      <w:pPr>
        <w:pStyle w:val="ListParagraph"/>
        <w:numPr>
          <w:ilvl w:val="0"/>
          <w:numId w:val="25"/>
        </w:numPr>
        <w:spacing w:before="0" w:after="0" w:line="360" w:lineRule="auto"/>
        <w:rPr>
          <w:sz w:val="22"/>
          <w:szCs w:val="22"/>
        </w:rPr>
      </w:pPr>
      <w:r w:rsidRPr="0059742C">
        <w:rPr>
          <w:sz w:val="22"/>
          <w:szCs w:val="22"/>
        </w:rPr>
        <w:t xml:space="preserve">Mr. Jason Worrall, title, Office of Survey Design and Statistical Development (SDSI), </w:t>
      </w:r>
      <w:r w:rsidR="001D42F3">
        <w:rPr>
          <w:sz w:val="22"/>
          <w:szCs w:val="22"/>
        </w:rPr>
        <w:t>(</w:t>
      </w:r>
      <w:r w:rsidRPr="0059742C">
        <w:rPr>
          <w:sz w:val="22"/>
          <w:szCs w:val="22"/>
        </w:rPr>
        <w:t>202</w:t>
      </w:r>
      <w:r w:rsidR="001D42F3">
        <w:rPr>
          <w:sz w:val="22"/>
          <w:szCs w:val="22"/>
        </w:rPr>
        <w:t xml:space="preserve">) </w:t>
      </w:r>
      <w:r w:rsidRPr="0059742C">
        <w:rPr>
          <w:sz w:val="22"/>
          <w:szCs w:val="22"/>
        </w:rPr>
        <w:t>586-</w:t>
      </w:r>
      <w:r>
        <w:rPr>
          <w:sz w:val="22"/>
          <w:szCs w:val="22"/>
        </w:rPr>
        <w:t>6075</w:t>
      </w:r>
    </w:p>
    <w:sectPr w:rsidR="0059742C" w:rsidRPr="0059742C" w:rsidSect="00770F7B">
      <w:footerReference w:type="even" r:id="rId44"/>
      <w:footerReference w:type="default" r:id="rId45"/>
      <w:footerReference w:type="first" r:id="rId46"/>
      <w:pgSz w:w="12240" w:h="15840" w:code="1"/>
      <w:pgMar w:top="1440" w:right="1440" w:bottom="1440" w:left="1440" w:header="720" w:footer="720" w:gutter="0"/>
      <w:pgNumType w:start="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DB4" w:rsidRDefault="00230DB4">
      <w:pPr>
        <w:spacing w:after="0" w:line="240" w:lineRule="auto"/>
      </w:pPr>
      <w:r>
        <w:separator/>
      </w:r>
    </w:p>
  </w:endnote>
  <w:endnote w:type="continuationSeparator" w:id="0">
    <w:p w:rsidR="00230DB4" w:rsidRDefault="00230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5262"/>
      <w:docPartObj>
        <w:docPartGallery w:val="Page Numbers (Bottom of Page)"/>
        <w:docPartUnique/>
      </w:docPartObj>
    </w:sdtPr>
    <w:sdtContent>
      <w:p w:rsidR="006004B2" w:rsidRDefault="003B30FB">
        <w:pPr>
          <w:pStyle w:val="Footer"/>
          <w:jc w:val="center"/>
        </w:pPr>
        <w:fldSimple w:instr=" PAGE   \* MERGEFORMAT ">
          <w:r w:rsidR="006004B2">
            <w:rPr>
              <w:noProof/>
            </w:rPr>
            <w:t>2</w:t>
          </w:r>
        </w:fldSimple>
      </w:p>
    </w:sdtContent>
  </w:sdt>
  <w:p w:rsidR="006004B2" w:rsidRDefault="006004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20948885"/>
      <w:docPartObj>
        <w:docPartGallery w:val="Page Numbers (Bottom of Page)"/>
        <w:docPartUnique/>
      </w:docPartObj>
    </w:sdtPr>
    <w:sdtEndPr>
      <w:rPr>
        <w:sz w:val="20"/>
        <w:szCs w:val="20"/>
      </w:rPr>
    </w:sdtEndPr>
    <w:sdtContent>
      <w:tbl>
        <w:tblPr>
          <w:tblW w:w="5000" w:type="pct"/>
          <w:tblBorders>
            <w:top w:val="single" w:sz="18" w:space="0" w:color="808080" w:themeColor="background1" w:themeShade="80"/>
            <w:insideV w:val="single" w:sz="18" w:space="0" w:color="808080" w:themeColor="background1" w:themeShade="80"/>
          </w:tblBorders>
          <w:tblLook w:val="04A0"/>
        </w:tblPr>
        <w:tblGrid>
          <w:gridCol w:w="1436"/>
          <w:gridCol w:w="8140"/>
        </w:tblGrid>
        <w:tr w:rsidR="006004B2" w:rsidTr="00B85810">
          <w:tc>
            <w:tcPr>
              <w:tcW w:w="1436" w:type="dxa"/>
            </w:tcPr>
            <w:p w:rsidR="006004B2" w:rsidRPr="00B85810" w:rsidRDefault="006004B2" w:rsidP="009160BB">
              <w:pPr>
                <w:pStyle w:val="Footer"/>
                <w:rPr>
                  <w:b/>
                  <w:color w:val="4F81BD" w:themeColor="accent1"/>
                  <w:sz w:val="22"/>
                  <w:szCs w:val="22"/>
                </w:rPr>
              </w:pPr>
              <w:r w:rsidRPr="00B85810">
                <w:rPr>
                  <w:b/>
                  <w:color w:val="7F7F7F" w:themeColor="background1" w:themeShade="7F"/>
                  <w:spacing w:val="60"/>
                </w:rPr>
                <w:t>Page</w:t>
              </w:r>
              <w:r w:rsidRPr="00B85810">
                <w:rPr>
                  <w:b/>
                  <w:color w:val="4F81BD" w:themeColor="accent1"/>
                </w:rPr>
                <w:t xml:space="preserve"> | </w:t>
              </w:r>
              <w:r w:rsidR="003B30FB" w:rsidRPr="00B85810">
                <w:rPr>
                  <w:b/>
                  <w:color w:val="4F81BD" w:themeColor="accent1"/>
                </w:rPr>
                <w:fldChar w:fldCharType="begin"/>
              </w:r>
              <w:r w:rsidRPr="00B85810">
                <w:rPr>
                  <w:b/>
                  <w:color w:val="4F81BD" w:themeColor="accent1"/>
                </w:rPr>
                <w:instrText xml:space="preserve"> PAGE   \* MERGEFORMAT </w:instrText>
              </w:r>
              <w:r w:rsidR="003B30FB" w:rsidRPr="00B85810">
                <w:rPr>
                  <w:b/>
                  <w:color w:val="4F81BD" w:themeColor="accent1"/>
                </w:rPr>
                <w:fldChar w:fldCharType="separate"/>
              </w:r>
              <w:r w:rsidR="00B32728">
                <w:rPr>
                  <w:b/>
                  <w:noProof/>
                  <w:color w:val="4F81BD" w:themeColor="accent1"/>
                </w:rPr>
                <w:t>17</w:t>
              </w:r>
              <w:r w:rsidR="003B30FB" w:rsidRPr="00B85810">
                <w:rPr>
                  <w:b/>
                  <w:color w:val="4F81BD" w:themeColor="accent1"/>
                </w:rPr>
                <w:fldChar w:fldCharType="end"/>
              </w:r>
            </w:p>
          </w:tc>
          <w:tc>
            <w:tcPr>
              <w:tcW w:w="8140" w:type="dxa"/>
            </w:tcPr>
            <w:p w:rsidR="006004B2" w:rsidRPr="00B85810" w:rsidRDefault="003B30FB" w:rsidP="00B85810">
              <w:pPr>
                <w:pStyle w:val="Footer"/>
              </w:pPr>
              <w:sdt>
                <w:sdtPr>
                  <w:alias w:val="Subject"/>
                  <w:id w:val="1705557749"/>
                  <w:dataBinding w:prefixMappings="xmlns:ns0='http://purl.org/dc/elements/1.1/' xmlns:ns1='http://schemas.openxmlformats.org/package/2006/metadata/core-properties' " w:xpath="/ns1:coreProperties[1]/ns0:subject[1]" w:storeItemID="{6C3C8BC8-F283-45AE-878A-BAB7291924A1}"/>
                  <w:text/>
                </w:sdtPr>
                <w:sdtContent>
                  <w:r w:rsidR="006004B2" w:rsidRPr="00B85810">
                    <w:t>EIA’s Supporting Statement for 2013 Petroleum Marketing Surveys: OMB Number</w:t>
                  </w:r>
                  <w:r w:rsidR="006004B2">
                    <w:t xml:space="preserve"> 1905-0174</w:t>
                  </w:r>
                </w:sdtContent>
              </w:sdt>
            </w:p>
          </w:tc>
        </w:tr>
      </w:tbl>
      <w:p w:rsidR="006004B2" w:rsidRDefault="003B30FB">
        <w:pPr>
          <w:pStyle w:val="Footer"/>
          <w:jc w:val="center"/>
        </w:pPr>
      </w:p>
    </w:sdtContent>
  </w:sdt>
  <w:p w:rsidR="006004B2" w:rsidRDefault="006004B2">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48882"/>
      <w:docPartObj>
        <w:docPartGallery w:val="Page Numbers (Bottom of Page)"/>
        <w:docPartUnique/>
      </w:docPartObj>
    </w:sdtPr>
    <w:sdtContent>
      <w:p w:rsidR="006004B2" w:rsidRDefault="003B30FB">
        <w:pPr>
          <w:pStyle w:val="Footer"/>
          <w:jc w:val="center"/>
        </w:pPr>
        <w:fldSimple w:instr=" PAGE   \* MERGEFORMAT ">
          <w:r w:rsidR="00B32728">
            <w:rPr>
              <w:noProof/>
            </w:rPr>
            <w:t>0</w:t>
          </w:r>
        </w:fldSimple>
      </w:p>
    </w:sdtContent>
  </w:sdt>
  <w:p w:rsidR="006004B2" w:rsidRDefault="00600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DB4" w:rsidRDefault="00230DB4">
      <w:pPr>
        <w:spacing w:after="0" w:line="240" w:lineRule="auto"/>
      </w:pPr>
      <w:r>
        <w:separator/>
      </w:r>
    </w:p>
  </w:footnote>
  <w:footnote w:type="continuationSeparator" w:id="0">
    <w:p w:rsidR="00230DB4" w:rsidRDefault="00230D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nsid w:val="02DA1E79"/>
    <w:multiLevelType w:val="hybridMultilevel"/>
    <w:tmpl w:val="B3AAFB78"/>
    <w:lvl w:ilvl="0" w:tplc="3D7AF014">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15CB9"/>
    <w:multiLevelType w:val="hybridMultilevel"/>
    <w:tmpl w:val="C904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380BC7"/>
    <w:multiLevelType w:val="hybridMultilevel"/>
    <w:tmpl w:val="F1588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B7087C"/>
    <w:multiLevelType w:val="hybridMultilevel"/>
    <w:tmpl w:val="2062A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C477F4"/>
    <w:multiLevelType w:val="hybridMultilevel"/>
    <w:tmpl w:val="296A31B2"/>
    <w:lvl w:ilvl="0" w:tplc="1D5A69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1CB28AC"/>
    <w:multiLevelType w:val="hybridMultilevel"/>
    <w:tmpl w:val="00FA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FB00B4"/>
    <w:multiLevelType w:val="hybridMultilevel"/>
    <w:tmpl w:val="3362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C4CD3"/>
    <w:multiLevelType w:val="hybridMultilevel"/>
    <w:tmpl w:val="F620B15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166F19"/>
    <w:multiLevelType w:val="hybridMultilevel"/>
    <w:tmpl w:val="BD028258"/>
    <w:lvl w:ilvl="0" w:tplc="001C8F62">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nsid w:val="4C8D031F"/>
    <w:multiLevelType w:val="hybridMultilevel"/>
    <w:tmpl w:val="B3962F28"/>
    <w:lvl w:ilvl="0" w:tplc="04090011">
      <w:start w:val="1"/>
      <w:numFmt w:val="decimal"/>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30469"/>
    <w:multiLevelType w:val="hybridMultilevel"/>
    <w:tmpl w:val="B9103752"/>
    <w:lvl w:ilvl="0" w:tplc="04090001">
      <w:start w:val="1"/>
      <w:numFmt w:val="decimal"/>
      <w:lvlText w:val="%1)"/>
      <w:lvlJc w:val="left"/>
      <w:pPr>
        <w:tabs>
          <w:tab w:val="num" w:pos="360"/>
        </w:tabs>
        <w:ind w:left="360" w:hanging="360"/>
      </w:pPr>
      <w:rPr>
        <w:rFonts w:hint="default"/>
      </w:rPr>
    </w:lvl>
    <w:lvl w:ilvl="1" w:tplc="04090003">
      <w:numFmt w:val="bullet"/>
      <w:lvlText w:val="-"/>
      <w:lvlJc w:val="left"/>
      <w:pPr>
        <w:tabs>
          <w:tab w:val="num" w:pos="864"/>
        </w:tabs>
        <w:ind w:left="864" w:hanging="360"/>
      </w:pPr>
      <w:rPr>
        <w:rFonts w:ascii="Times New Roman" w:eastAsia="Times New Roman" w:hAnsi="Times New Roman" w:cs="Times New Roman" w:hint="default"/>
      </w:rPr>
    </w:lvl>
    <w:lvl w:ilvl="2" w:tplc="04090005">
      <w:start w:val="1"/>
      <w:numFmt w:val="lowerLetter"/>
      <w:lvlText w:val="%3)"/>
      <w:lvlJc w:val="left"/>
      <w:pPr>
        <w:tabs>
          <w:tab w:val="num" w:pos="1764"/>
        </w:tabs>
        <w:ind w:left="1764" w:hanging="360"/>
      </w:pPr>
    </w:lvl>
    <w:lvl w:ilvl="3" w:tplc="04090001" w:tentative="1">
      <w:start w:val="1"/>
      <w:numFmt w:val="decimal"/>
      <w:lvlText w:val="%4."/>
      <w:lvlJc w:val="left"/>
      <w:pPr>
        <w:tabs>
          <w:tab w:val="num" w:pos="2304"/>
        </w:tabs>
        <w:ind w:left="2304" w:hanging="360"/>
      </w:pPr>
    </w:lvl>
    <w:lvl w:ilvl="4" w:tplc="04090003" w:tentative="1">
      <w:start w:val="1"/>
      <w:numFmt w:val="lowerLetter"/>
      <w:lvlText w:val="%5."/>
      <w:lvlJc w:val="left"/>
      <w:pPr>
        <w:tabs>
          <w:tab w:val="num" w:pos="3024"/>
        </w:tabs>
        <w:ind w:left="3024" w:hanging="360"/>
      </w:pPr>
    </w:lvl>
    <w:lvl w:ilvl="5" w:tplc="04090005" w:tentative="1">
      <w:start w:val="1"/>
      <w:numFmt w:val="lowerRoman"/>
      <w:lvlText w:val="%6."/>
      <w:lvlJc w:val="right"/>
      <w:pPr>
        <w:tabs>
          <w:tab w:val="num" w:pos="3744"/>
        </w:tabs>
        <w:ind w:left="3744" w:hanging="180"/>
      </w:pPr>
    </w:lvl>
    <w:lvl w:ilvl="6" w:tplc="04090001" w:tentative="1">
      <w:start w:val="1"/>
      <w:numFmt w:val="decimal"/>
      <w:lvlText w:val="%7."/>
      <w:lvlJc w:val="left"/>
      <w:pPr>
        <w:tabs>
          <w:tab w:val="num" w:pos="4464"/>
        </w:tabs>
        <w:ind w:left="4464" w:hanging="360"/>
      </w:pPr>
    </w:lvl>
    <w:lvl w:ilvl="7" w:tplc="04090003" w:tentative="1">
      <w:start w:val="1"/>
      <w:numFmt w:val="lowerLetter"/>
      <w:lvlText w:val="%8."/>
      <w:lvlJc w:val="left"/>
      <w:pPr>
        <w:tabs>
          <w:tab w:val="num" w:pos="5184"/>
        </w:tabs>
        <w:ind w:left="5184" w:hanging="360"/>
      </w:pPr>
    </w:lvl>
    <w:lvl w:ilvl="8" w:tplc="04090005" w:tentative="1">
      <w:start w:val="1"/>
      <w:numFmt w:val="lowerRoman"/>
      <w:lvlText w:val="%9."/>
      <w:lvlJc w:val="right"/>
      <w:pPr>
        <w:tabs>
          <w:tab w:val="num" w:pos="5904"/>
        </w:tabs>
        <w:ind w:left="5904" w:hanging="180"/>
      </w:pPr>
    </w:lvl>
  </w:abstractNum>
  <w:abstractNum w:abstractNumId="16">
    <w:nsid w:val="4DF9203D"/>
    <w:multiLevelType w:val="hybridMultilevel"/>
    <w:tmpl w:val="07D4C530"/>
    <w:lvl w:ilvl="0" w:tplc="04090015">
      <w:start w:val="1"/>
      <w:numFmt w:val="upperLetter"/>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4E5D10BB"/>
    <w:multiLevelType w:val="hybridMultilevel"/>
    <w:tmpl w:val="EE26C080"/>
    <w:lvl w:ilvl="0" w:tplc="3BE42E12">
      <w:start w:val="1"/>
      <w:numFmt w:val="bullet"/>
      <w:lvlText w:val=""/>
      <w:lvlJc w:val="left"/>
      <w:pPr>
        <w:tabs>
          <w:tab w:val="num" w:pos="720"/>
        </w:tabs>
        <w:ind w:left="720" w:hanging="360"/>
      </w:pPr>
      <w:rPr>
        <w:rFonts w:ascii="Symbol" w:hAnsi="Symbol" w:hint="default"/>
      </w:rPr>
    </w:lvl>
    <w:lvl w:ilvl="1" w:tplc="751E6B82"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54905E76"/>
    <w:multiLevelType w:val="hybridMultilevel"/>
    <w:tmpl w:val="518259BC"/>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77B320F"/>
    <w:multiLevelType w:val="hybridMultilevel"/>
    <w:tmpl w:val="91A887F8"/>
    <w:lvl w:ilvl="0" w:tplc="ED00C66A">
      <w:start w:val="1"/>
      <w:numFmt w:val="upperLetter"/>
      <w:lvlText w:val="%1."/>
      <w:lvlJc w:val="left"/>
      <w:pPr>
        <w:ind w:left="720" w:hanging="360"/>
      </w:pPr>
      <w:rPr>
        <w:rFonts w:hint="default"/>
      </w:rPr>
    </w:lvl>
    <w:lvl w:ilvl="1" w:tplc="03BA7496">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6AF5127E"/>
    <w:multiLevelType w:val="hybridMultilevel"/>
    <w:tmpl w:val="5728317E"/>
    <w:lvl w:ilvl="0" w:tplc="1D5A696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D8D07D1"/>
    <w:multiLevelType w:val="hybridMultilevel"/>
    <w:tmpl w:val="7576B02E"/>
    <w:lvl w:ilvl="0" w:tplc="04090011">
      <w:start w:val="1"/>
      <w:numFmt w:val="decimal"/>
      <w:lvlText w:val="%1)"/>
      <w:lvlJc w:val="left"/>
      <w:pPr>
        <w:ind w:left="360" w:hanging="360"/>
      </w:pPr>
      <w:rPr>
        <w:rFonts w:hint="default"/>
      </w:rPr>
    </w:lvl>
    <w:lvl w:ilvl="1" w:tplc="04090019">
      <w:start w:val="1"/>
      <w:numFmt w:val="bullet"/>
      <w:lvlText w:val="o"/>
      <w:lvlJc w:val="left"/>
      <w:pPr>
        <w:ind w:left="1080" w:hanging="360"/>
      </w:pPr>
      <w:rPr>
        <w:rFonts w:ascii="Courier New" w:hAnsi="Courier New" w:cs="Courier New" w:hint="default"/>
      </w:rPr>
    </w:lvl>
    <w:lvl w:ilvl="2" w:tplc="0409001B">
      <w:numFmt w:val="bullet"/>
      <w:lvlText w:val="-"/>
      <w:lvlJc w:val="left"/>
      <w:pPr>
        <w:ind w:left="2160" w:hanging="720"/>
      </w:pPr>
      <w:rPr>
        <w:rFonts w:ascii="Times New Roman" w:eastAsiaTheme="minorEastAsia" w:hAnsi="Times New Roman" w:cs="Times New Roman"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2">
    <w:nsid w:val="6E90472E"/>
    <w:multiLevelType w:val="hybridMultilevel"/>
    <w:tmpl w:val="E8F45EE6"/>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21B4A65"/>
    <w:multiLevelType w:val="hybridMultilevel"/>
    <w:tmpl w:val="FB269C30"/>
    <w:lvl w:ilvl="0" w:tplc="04090015">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CEA94B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410936"/>
    <w:multiLevelType w:val="hybridMultilevel"/>
    <w:tmpl w:val="DDF224CC"/>
    <w:lvl w:ilvl="0" w:tplc="1D5A696C">
      <w:start w:val="1"/>
      <w:numFmt w:val="decimal"/>
      <w:lvlText w:val="%1."/>
      <w:lvlJc w:val="left"/>
      <w:pPr>
        <w:ind w:left="2160" w:hanging="360"/>
      </w:p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25">
    <w:nsid w:val="72C54A6C"/>
    <w:multiLevelType w:val="hybridMultilevel"/>
    <w:tmpl w:val="60AAB6DA"/>
    <w:lvl w:ilvl="0" w:tplc="0409000F">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3A428B"/>
    <w:multiLevelType w:val="hybridMultilevel"/>
    <w:tmpl w:val="3A30D0F2"/>
    <w:lvl w:ilvl="0" w:tplc="3D7AF014">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763C9"/>
    <w:multiLevelType w:val="hybridMultilevel"/>
    <w:tmpl w:val="DD687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19"/>
  </w:num>
  <w:num w:numId="8">
    <w:abstractNumId w:val="26"/>
  </w:num>
  <w:num w:numId="9">
    <w:abstractNumId w:val="20"/>
  </w:num>
  <w:num w:numId="10">
    <w:abstractNumId w:val="18"/>
  </w:num>
  <w:num w:numId="11">
    <w:abstractNumId w:val="9"/>
  </w:num>
  <w:num w:numId="12">
    <w:abstractNumId w:val="22"/>
  </w:num>
  <w:num w:numId="13">
    <w:abstractNumId w:val="21"/>
  </w:num>
  <w:num w:numId="14">
    <w:abstractNumId w:val="24"/>
  </w:num>
  <w:num w:numId="15">
    <w:abstractNumId w:val="23"/>
  </w:num>
  <w:num w:numId="16">
    <w:abstractNumId w:val="7"/>
  </w:num>
  <w:num w:numId="17">
    <w:abstractNumId w:val="17"/>
  </w:num>
  <w:num w:numId="18">
    <w:abstractNumId w:val="8"/>
  </w:num>
  <w:num w:numId="19">
    <w:abstractNumId w:val="27"/>
  </w:num>
  <w:num w:numId="20">
    <w:abstractNumId w:val="25"/>
  </w:num>
  <w:num w:numId="21">
    <w:abstractNumId w:val="13"/>
  </w:num>
  <w:num w:numId="22">
    <w:abstractNumId w:val="16"/>
  </w:num>
  <w:num w:numId="23">
    <w:abstractNumId w:val="11"/>
  </w:num>
  <w:num w:numId="24">
    <w:abstractNumId w:val="10"/>
  </w:num>
  <w:num w:numId="25">
    <w:abstractNumId w:val="6"/>
  </w:num>
  <w:num w:numId="26">
    <w:abstractNumId w:val="12"/>
  </w:num>
  <w:num w:numId="27">
    <w:abstractNumId w:val="5"/>
  </w:num>
  <w:num w:numId="28">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savePreviewPicture/>
  <w:hdrShapeDefaults>
    <o:shapedefaults v:ext="edit" spidmax="51201">
      <o:colormenu v:ext="edit" strokecolor="none [3213]"/>
    </o:shapedefaults>
  </w:hdrShapeDefaults>
  <w:footnotePr>
    <w:footnote w:id="-1"/>
    <w:footnote w:id="0"/>
  </w:footnotePr>
  <w:endnotePr>
    <w:endnote w:id="-1"/>
    <w:endnote w:id="0"/>
  </w:endnotePr>
  <w:compat>
    <w:useFELayout/>
  </w:compat>
  <w:rsids>
    <w:rsidRoot w:val="007408FB"/>
    <w:rsid w:val="00006380"/>
    <w:rsid w:val="00014DC3"/>
    <w:rsid w:val="0004009F"/>
    <w:rsid w:val="00040EC8"/>
    <w:rsid w:val="00053C20"/>
    <w:rsid w:val="0006322C"/>
    <w:rsid w:val="00077764"/>
    <w:rsid w:val="000E0C2D"/>
    <w:rsid w:val="000E51FE"/>
    <w:rsid w:val="000F136A"/>
    <w:rsid w:val="0011100F"/>
    <w:rsid w:val="00116FE8"/>
    <w:rsid w:val="00117651"/>
    <w:rsid w:val="00122583"/>
    <w:rsid w:val="00134FDE"/>
    <w:rsid w:val="00171747"/>
    <w:rsid w:val="00173E8B"/>
    <w:rsid w:val="001752DB"/>
    <w:rsid w:val="001816A1"/>
    <w:rsid w:val="001B22B2"/>
    <w:rsid w:val="001B23EE"/>
    <w:rsid w:val="001D42F3"/>
    <w:rsid w:val="001E3E47"/>
    <w:rsid w:val="001E5D21"/>
    <w:rsid w:val="001E5EA8"/>
    <w:rsid w:val="001E6FDD"/>
    <w:rsid w:val="001F6412"/>
    <w:rsid w:val="00220962"/>
    <w:rsid w:val="002223CD"/>
    <w:rsid w:val="00227A6C"/>
    <w:rsid w:val="00230DB4"/>
    <w:rsid w:val="00270873"/>
    <w:rsid w:val="0027422C"/>
    <w:rsid w:val="002821B3"/>
    <w:rsid w:val="002A7254"/>
    <w:rsid w:val="002C0F8D"/>
    <w:rsid w:val="002D3DAE"/>
    <w:rsid w:val="003306A4"/>
    <w:rsid w:val="00340F80"/>
    <w:rsid w:val="0034791C"/>
    <w:rsid w:val="0036556E"/>
    <w:rsid w:val="00373347"/>
    <w:rsid w:val="00374D25"/>
    <w:rsid w:val="003772D7"/>
    <w:rsid w:val="003A052E"/>
    <w:rsid w:val="003B30FB"/>
    <w:rsid w:val="003C502B"/>
    <w:rsid w:val="003C5BF1"/>
    <w:rsid w:val="003E3DD9"/>
    <w:rsid w:val="003F7E4D"/>
    <w:rsid w:val="00402FF3"/>
    <w:rsid w:val="00415763"/>
    <w:rsid w:val="00424AF9"/>
    <w:rsid w:val="00447F0B"/>
    <w:rsid w:val="004505CD"/>
    <w:rsid w:val="00473B4A"/>
    <w:rsid w:val="00474AE1"/>
    <w:rsid w:val="004866ED"/>
    <w:rsid w:val="004878DF"/>
    <w:rsid w:val="004A1C8F"/>
    <w:rsid w:val="004C3882"/>
    <w:rsid w:val="004C4EBB"/>
    <w:rsid w:val="004C6897"/>
    <w:rsid w:val="004D0AB1"/>
    <w:rsid w:val="004D32D5"/>
    <w:rsid w:val="00512577"/>
    <w:rsid w:val="00512996"/>
    <w:rsid w:val="00515192"/>
    <w:rsid w:val="005270BB"/>
    <w:rsid w:val="00546C99"/>
    <w:rsid w:val="00554C99"/>
    <w:rsid w:val="0056329A"/>
    <w:rsid w:val="00584250"/>
    <w:rsid w:val="00587B1E"/>
    <w:rsid w:val="00590D36"/>
    <w:rsid w:val="0059362F"/>
    <w:rsid w:val="0059742C"/>
    <w:rsid w:val="005A0248"/>
    <w:rsid w:val="005A618D"/>
    <w:rsid w:val="005B497D"/>
    <w:rsid w:val="005F1EED"/>
    <w:rsid w:val="005F3880"/>
    <w:rsid w:val="006004B2"/>
    <w:rsid w:val="0060592C"/>
    <w:rsid w:val="00613525"/>
    <w:rsid w:val="00630D33"/>
    <w:rsid w:val="0063240A"/>
    <w:rsid w:val="006418D5"/>
    <w:rsid w:val="00642CFA"/>
    <w:rsid w:val="00662192"/>
    <w:rsid w:val="0066391D"/>
    <w:rsid w:val="00670607"/>
    <w:rsid w:val="00671EBF"/>
    <w:rsid w:val="00675CE6"/>
    <w:rsid w:val="00676A5E"/>
    <w:rsid w:val="006871FC"/>
    <w:rsid w:val="006D0477"/>
    <w:rsid w:val="006D226B"/>
    <w:rsid w:val="006D2908"/>
    <w:rsid w:val="006E28AA"/>
    <w:rsid w:val="00703A81"/>
    <w:rsid w:val="007408FB"/>
    <w:rsid w:val="007444A0"/>
    <w:rsid w:val="00746FD4"/>
    <w:rsid w:val="00764C59"/>
    <w:rsid w:val="00770F7B"/>
    <w:rsid w:val="0077296C"/>
    <w:rsid w:val="00777B03"/>
    <w:rsid w:val="00781E18"/>
    <w:rsid w:val="00782461"/>
    <w:rsid w:val="00783779"/>
    <w:rsid w:val="007A2FAC"/>
    <w:rsid w:val="007A4C1D"/>
    <w:rsid w:val="007A6EDF"/>
    <w:rsid w:val="007B087E"/>
    <w:rsid w:val="007C4B33"/>
    <w:rsid w:val="007E0C53"/>
    <w:rsid w:val="007E2786"/>
    <w:rsid w:val="007E40E0"/>
    <w:rsid w:val="007E6284"/>
    <w:rsid w:val="007E7558"/>
    <w:rsid w:val="007F68C8"/>
    <w:rsid w:val="008015E7"/>
    <w:rsid w:val="00812D1F"/>
    <w:rsid w:val="00814379"/>
    <w:rsid w:val="008270A4"/>
    <w:rsid w:val="008323DA"/>
    <w:rsid w:val="0084664A"/>
    <w:rsid w:val="00854322"/>
    <w:rsid w:val="008545D8"/>
    <w:rsid w:val="008832FA"/>
    <w:rsid w:val="00883535"/>
    <w:rsid w:val="008835D6"/>
    <w:rsid w:val="00896D09"/>
    <w:rsid w:val="00897759"/>
    <w:rsid w:val="008A1C78"/>
    <w:rsid w:val="008A4339"/>
    <w:rsid w:val="008A702C"/>
    <w:rsid w:val="008B08C2"/>
    <w:rsid w:val="008B4661"/>
    <w:rsid w:val="008C3ECE"/>
    <w:rsid w:val="008D600F"/>
    <w:rsid w:val="008D6256"/>
    <w:rsid w:val="008E16B5"/>
    <w:rsid w:val="008F3DE4"/>
    <w:rsid w:val="00901EB0"/>
    <w:rsid w:val="00904C8C"/>
    <w:rsid w:val="00915EBF"/>
    <w:rsid w:val="009160BB"/>
    <w:rsid w:val="009321F1"/>
    <w:rsid w:val="00932298"/>
    <w:rsid w:val="009478F5"/>
    <w:rsid w:val="009520A7"/>
    <w:rsid w:val="00972A0A"/>
    <w:rsid w:val="00973C21"/>
    <w:rsid w:val="00974C63"/>
    <w:rsid w:val="009959BF"/>
    <w:rsid w:val="009A14A3"/>
    <w:rsid w:val="009B3E1D"/>
    <w:rsid w:val="009B5299"/>
    <w:rsid w:val="009F30E3"/>
    <w:rsid w:val="00A20A6E"/>
    <w:rsid w:val="00A2261B"/>
    <w:rsid w:val="00A27A1E"/>
    <w:rsid w:val="00A34AF1"/>
    <w:rsid w:val="00A47CB2"/>
    <w:rsid w:val="00A51945"/>
    <w:rsid w:val="00A60CFC"/>
    <w:rsid w:val="00A6178D"/>
    <w:rsid w:val="00A6400A"/>
    <w:rsid w:val="00A70876"/>
    <w:rsid w:val="00A8467B"/>
    <w:rsid w:val="00A90DA4"/>
    <w:rsid w:val="00A9244E"/>
    <w:rsid w:val="00AA0D37"/>
    <w:rsid w:val="00AE4E6E"/>
    <w:rsid w:val="00AE62BB"/>
    <w:rsid w:val="00B242CC"/>
    <w:rsid w:val="00B27EAE"/>
    <w:rsid w:val="00B32728"/>
    <w:rsid w:val="00B53BE2"/>
    <w:rsid w:val="00B6383E"/>
    <w:rsid w:val="00B66304"/>
    <w:rsid w:val="00B72B6C"/>
    <w:rsid w:val="00B85810"/>
    <w:rsid w:val="00B87276"/>
    <w:rsid w:val="00BA3374"/>
    <w:rsid w:val="00BC55D3"/>
    <w:rsid w:val="00BF72C8"/>
    <w:rsid w:val="00C032D2"/>
    <w:rsid w:val="00C12378"/>
    <w:rsid w:val="00C16029"/>
    <w:rsid w:val="00C1636F"/>
    <w:rsid w:val="00C238A2"/>
    <w:rsid w:val="00C33F56"/>
    <w:rsid w:val="00C601E1"/>
    <w:rsid w:val="00C73A98"/>
    <w:rsid w:val="00CC17AC"/>
    <w:rsid w:val="00CC62BE"/>
    <w:rsid w:val="00CD3908"/>
    <w:rsid w:val="00CD5C1F"/>
    <w:rsid w:val="00CD623C"/>
    <w:rsid w:val="00CE14E6"/>
    <w:rsid w:val="00CE2502"/>
    <w:rsid w:val="00CE6215"/>
    <w:rsid w:val="00D03C62"/>
    <w:rsid w:val="00D060E7"/>
    <w:rsid w:val="00D10A7E"/>
    <w:rsid w:val="00D12C00"/>
    <w:rsid w:val="00D13884"/>
    <w:rsid w:val="00D14850"/>
    <w:rsid w:val="00D203A9"/>
    <w:rsid w:val="00D3138C"/>
    <w:rsid w:val="00D35808"/>
    <w:rsid w:val="00D36279"/>
    <w:rsid w:val="00D735D2"/>
    <w:rsid w:val="00D81218"/>
    <w:rsid w:val="00D83F1D"/>
    <w:rsid w:val="00D8521F"/>
    <w:rsid w:val="00D866E7"/>
    <w:rsid w:val="00D91030"/>
    <w:rsid w:val="00D94E04"/>
    <w:rsid w:val="00DA5147"/>
    <w:rsid w:val="00DE3448"/>
    <w:rsid w:val="00DE4310"/>
    <w:rsid w:val="00E0066B"/>
    <w:rsid w:val="00E26412"/>
    <w:rsid w:val="00E340CD"/>
    <w:rsid w:val="00E4144A"/>
    <w:rsid w:val="00E67D88"/>
    <w:rsid w:val="00E713A5"/>
    <w:rsid w:val="00E73AD0"/>
    <w:rsid w:val="00E94DC9"/>
    <w:rsid w:val="00EA033A"/>
    <w:rsid w:val="00EA1B94"/>
    <w:rsid w:val="00EA76D1"/>
    <w:rsid w:val="00EA7EAF"/>
    <w:rsid w:val="00EB28C3"/>
    <w:rsid w:val="00EB48CD"/>
    <w:rsid w:val="00EB58D1"/>
    <w:rsid w:val="00EC2AC5"/>
    <w:rsid w:val="00ED3F28"/>
    <w:rsid w:val="00ED3F51"/>
    <w:rsid w:val="00ED420A"/>
    <w:rsid w:val="00ED7613"/>
    <w:rsid w:val="00EE1623"/>
    <w:rsid w:val="00EE440B"/>
    <w:rsid w:val="00EE50D2"/>
    <w:rsid w:val="00EE652B"/>
    <w:rsid w:val="00EF3E88"/>
    <w:rsid w:val="00EF745E"/>
    <w:rsid w:val="00F053B1"/>
    <w:rsid w:val="00F16C6E"/>
    <w:rsid w:val="00F251C0"/>
    <w:rsid w:val="00F32258"/>
    <w:rsid w:val="00F363B3"/>
    <w:rsid w:val="00F363D4"/>
    <w:rsid w:val="00F55050"/>
    <w:rsid w:val="00F62D5D"/>
    <w:rsid w:val="00F6703B"/>
    <w:rsid w:val="00F711A9"/>
    <w:rsid w:val="00F90071"/>
    <w:rsid w:val="00FB46C8"/>
    <w:rsid w:val="00FB4D13"/>
    <w:rsid w:val="00FC716E"/>
    <w:rsid w:val="00FD462B"/>
    <w:rsid w:val="00FE0800"/>
    <w:rsid w:val="00FE3296"/>
    <w:rsid w:val="00FE3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semiHidden="0" w:uiPriority="35" w:unhideWhenUsed="0" w:qFormat="1"/>
    <w:lsdException w:name="footnote reference" w:uiPriority="0"/>
    <w:lsdException w:name="List Bullet" w:uiPriority="36"/>
    <w:lsdException w:name="List Bullet 2" w:uiPriority="36"/>
    <w:lsdException w:name="List Bullet 3" w:uiPriority="36"/>
    <w:lsdException w:name="List Bullet 4" w:uiPriority="36"/>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40"/>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5E"/>
    <w:rPr>
      <w:sz w:val="20"/>
      <w:szCs w:val="20"/>
    </w:rPr>
  </w:style>
  <w:style w:type="paragraph" w:styleId="Heading1">
    <w:name w:val="heading 1"/>
    <w:basedOn w:val="Normal"/>
    <w:next w:val="Normal"/>
    <w:link w:val="Heading1Char"/>
    <w:uiPriority w:val="9"/>
    <w:qFormat/>
    <w:rsid w:val="00676A5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76A5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76A5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676A5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676A5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676A5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676A5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676A5E"/>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676A5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5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676A5E"/>
    <w:rPr>
      <w:caps/>
      <w:spacing w:val="15"/>
      <w:shd w:val="clear" w:color="auto" w:fill="DBE5F1" w:themeFill="accent1" w:themeFillTint="33"/>
    </w:rPr>
  </w:style>
  <w:style w:type="character" w:customStyle="1" w:styleId="Heading3Char">
    <w:name w:val="Heading 3 Char"/>
    <w:basedOn w:val="DefaultParagraphFont"/>
    <w:link w:val="Heading3"/>
    <w:uiPriority w:val="9"/>
    <w:rsid w:val="00676A5E"/>
    <w:rPr>
      <w:caps/>
      <w:color w:val="243F60" w:themeColor="accent1" w:themeShade="7F"/>
      <w:spacing w:val="15"/>
    </w:rPr>
  </w:style>
  <w:style w:type="paragraph" w:styleId="Title">
    <w:name w:val="Title"/>
    <w:basedOn w:val="Normal"/>
    <w:next w:val="Normal"/>
    <w:link w:val="TitleChar"/>
    <w:uiPriority w:val="10"/>
    <w:qFormat/>
    <w:rsid w:val="00676A5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76A5E"/>
    <w:rPr>
      <w:caps/>
      <w:color w:val="4F81BD" w:themeColor="accent1"/>
      <w:spacing w:val="10"/>
      <w:kern w:val="28"/>
      <w:sz w:val="52"/>
      <w:szCs w:val="52"/>
    </w:rPr>
  </w:style>
  <w:style w:type="paragraph" w:styleId="Subtitle">
    <w:name w:val="Subtitle"/>
    <w:basedOn w:val="Normal"/>
    <w:next w:val="Normal"/>
    <w:link w:val="SubtitleChar"/>
    <w:uiPriority w:val="11"/>
    <w:qFormat/>
    <w:rsid w:val="00676A5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76A5E"/>
    <w:rPr>
      <w:caps/>
      <w:color w:val="595959" w:themeColor="text1" w:themeTint="A6"/>
      <w:spacing w:val="10"/>
      <w:sz w:val="24"/>
      <w:szCs w:val="24"/>
    </w:rPr>
  </w:style>
  <w:style w:type="paragraph" w:styleId="Footer">
    <w:name w:val="footer"/>
    <w:basedOn w:val="Normal"/>
    <w:link w:val="FooterChar"/>
    <w:uiPriority w:val="99"/>
    <w:unhideWhenUsed/>
    <w:rsid w:val="00D866E7"/>
    <w:pPr>
      <w:tabs>
        <w:tab w:val="center" w:pos="4320"/>
        <w:tab w:val="right" w:pos="8640"/>
      </w:tabs>
    </w:pPr>
  </w:style>
  <w:style w:type="character" w:customStyle="1" w:styleId="FooterChar">
    <w:name w:val="Footer Char"/>
    <w:basedOn w:val="DefaultParagraphFont"/>
    <w:link w:val="Footer"/>
    <w:uiPriority w:val="99"/>
    <w:rsid w:val="00D866E7"/>
    <w:rPr>
      <w:rFonts w:cs="Times New Roman"/>
      <w:color w:val="000000" w:themeColor="text1"/>
      <w:szCs w:val="20"/>
    </w:rPr>
  </w:style>
  <w:style w:type="paragraph" w:styleId="Caption">
    <w:name w:val="caption"/>
    <w:basedOn w:val="Normal"/>
    <w:next w:val="Normal"/>
    <w:uiPriority w:val="35"/>
    <w:unhideWhenUsed/>
    <w:qFormat/>
    <w:rsid w:val="00676A5E"/>
    <w:rPr>
      <w:b/>
      <w:bCs/>
      <w:color w:val="365F91" w:themeColor="accent1" w:themeShade="BF"/>
      <w:sz w:val="16"/>
      <w:szCs w:val="16"/>
    </w:rPr>
  </w:style>
  <w:style w:type="paragraph" w:styleId="BalloonText">
    <w:name w:val="Balloon Text"/>
    <w:basedOn w:val="Normal"/>
    <w:link w:val="BalloonTextChar"/>
    <w:uiPriority w:val="99"/>
    <w:semiHidden/>
    <w:unhideWhenUsed/>
    <w:rsid w:val="00D866E7"/>
    <w:rPr>
      <w:rFonts w:ascii="Tahoma" w:hAnsi="Tahoma" w:cs="Tahoma"/>
      <w:sz w:val="16"/>
      <w:szCs w:val="16"/>
    </w:rPr>
  </w:style>
  <w:style w:type="character" w:customStyle="1" w:styleId="BalloonTextChar">
    <w:name w:val="Balloon Text Char"/>
    <w:basedOn w:val="DefaultParagraphFont"/>
    <w:link w:val="BalloonText"/>
    <w:uiPriority w:val="99"/>
    <w:semiHidden/>
    <w:rsid w:val="00D866E7"/>
    <w:rPr>
      <w:rFonts w:ascii="Tahoma" w:hAnsi="Tahoma" w:cs="Tahoma"/>
      <w:color w:val="000000" w:themeColor="text1"/>
      <w:sz w:val="16"/>
      <w:szCs w:val="16"/>
    </w:rPr>
  </w:style>
  <w:style w:type="paragraph" w:styleId="BlockText">
    <w:name w:val="Block Text"/>
    <w:aliases w:val="Block Quote"/>
    <w:uiPriority w:val="40"/>
    <w:rsid w:val="00D866E7"/>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rsid w:val="00676A5E"/>
    <w:rPr>
      <w:b/>
      <w:bCs/>
      <w:i/>
      <w:iCs/>
      <w:spacing w:val="9"/>
    </w:rPr>
  </w:style>
  <w:style w:type="character" w:styleId="Emphasis">
    <w:name w:val="Emphasis"/>
    <w:uiPriority w:val="20"/>
    <w:qFormat/>
    <w:rsid w:val="00676A5E"/>
    <w:rPr>
      <w:caps/>
      <w:color w:val="243F60" w:themeColor="accent1" w:themeShade="7F"/>
      <w:spacing w:val="5"/>
    </w:rPr>
  </w:style>
  <w:style w:type="paragraph" w:styleId="Header">
    <w:name w:val="header"/>
    <w:basedOn w:val="Normal"/>
    <w:link w:val="HeaderChar"/>
    <w:uiPriority w:val="99"/>
    <w:unhideWhenUsed/>
    <w:rsid w:val="00D866E7"/>
    <w:pPr>
      <w:tabs>
        <w:tab w:val="center" w:pos="4320"/>
        <w:tab w:val="right" w:pos="8640"/>
      </w:tabs>
    </w:pPr>
  </w:style>
  <w:style w:type="character" w:customStyle="1" w:styleId="HeaderChar">
    <w:name w:val="Header Char"/>
    <w:basedOn w:val="DefaultParagraphFont"/>
    <w:link w:val="Header"/>
    <w:uiPriority w:val="99"/>
    <w:rsid w:val="00D866E7"/>
    <w:rPr>
      <w:rFonts w:cs="Times New Roman"/>
      <w:color w:val="000000" w:themeColor="text1"/>
      <w:szCs w:val="20"/>
    </w:rPr>
  </w:style>
  <w:style w:type="character" w:customStyle="1" w:styleId="Heading4Char">
    <w:name w:val="Heading 4 Char"/>
    <w:basedOn w:val="DefaultParagraphFont"/>
    <w:link w:val="Heading4"/>
    <w:uiPriority w:val="9"/>
    <w:rsid w:val="00676A5E"/>
    <w:rPr>
      <w:caps/>
      <w:color w:val="365F91" w:themeColor="accent1" w:themeShade="BF"/>
      <w:spacing w:val="10"/>
    </w:rPr>
  </w:style>
  <w:style w:type="character" w:customStyle="1" w:styleId="Heading5Char">
    <w:name w:val="Heading 5 Char"/>
    <w:basedOn w:val="DefaultParagraphFont"/>
    <w:link w:val="Heading5"/>
    <w:uiPriority w:val="9"/>
    <w:rsid w:val="00676A5E"/>
    <w:rPr>
      <w:caps/>
      <w:color w:val="365F91" w:themeColor="accent1" w:themeShade="BF"/>
      <w:spacing w:val="10"/>
    </w:rPr>
  </w:style>
  <w:style w:type="character" w:customStyle="1" w:styleId="Heading6Char">
    <w:name w:val="Heading 6 Char"/>
    <w:basedOn w:val="DefaultParagraphFont"/>
    <w:link w:val="Heading6"/>
    <w:uiPriority w:val="9"/>
    <w:rsid w:val="00676A5E"/>
    <w:rPr>
      <w:caps/>
      <w:color w:val="365F91" w:themeColor="accent1" w:themeShade="BF"/>
      <w:spacing w:val="10"/>
    </w:rPr>
  </w:style>
  <w:style w:type="character" w:customStyle="1" w:styleId="Heading7Char">
    <w:name w:val="Heading 7 Char"/>
    <w:basedOn w:val="DefaultParagraphFont"/>
    <w:link w:val="Heading7"/>
    <w:uiPriority w:val="9"/>
    <w:rsid w:val="00676A5E"/>
    <w:rPr>
      <w:caps/>
      <w:color w:val="365F91" w:themeColor="accent1" w:themeShade="BF"/>
      <w:spacing w:val="10"/>
    </w:rPr>
  </w:style>
  <w:style w:type="character" w:customStyle="1" w:styleId="Heading8Char">
    <w:name w:val="Heading 8 Char"/>
    <w:basedOn w:val="DefaultParagraphFont"/>
    <w:link w:val="Heading8"/>
    <w:uiPriority w:val="9"/>
    <w:rsid w:val="00676A5E"/>
    <w:rPr>
      <w:caps/>
      <w:spacing w:val="10"/>
      <w:sz w:val="18"/>
      <w:szCs w:val="18"/>
    </w:rPr>
  </w:style>
  <w:style w:type="character" w:customStyle="1" w:styleId="Heading9Char">
    <w:name w:val="Heading 9 Char"/>
    <w:basedOn w:val="DefaultParagraphFont"/>
    <w:link w:val="Heading9"/>
    <w:uiPriority w:val="9"/>
    <w:rsid w:val="00676A5E"/>
    <w:rPr>
      <w:i/>
      <w:caps/>
      <w:spacing w:val="10"/>
      <w:sz w:val="18"/>
      <w:szCs w:val="18"/>
    </w:rPr>
  </w:style>
  <w:style w:type="character" w:styleId="IntenseEmphasis">
    <w:name w:val="Intense Emphasis"/>
    <w:uiPriority w:val="21"/>
    <w:qFormat/>
    <w:rsid w:val="00676A5E"/>
    <w:rPr>
      <w:b/>
      <w:bCs/>
      <w:caps/>
      <w:color w:val="243F60" w:themeColor="accent1" w:themeShade="7F"/>
      <w:spacing w:val="10"/>
    </w:rPr>
  </w:style>
  <w:style w:type="paragraph" w:styleId="IntenseQuote">
    <w:name w:val="Intense Quote"/>
    <w:basedOn w:val="Normal"/>
    <w:next w:val="Normal"/>
    <w:link w:val="IntenseQuoteChar"/>
    <w:uiPriority w:val="30"/>
    <w:qFormat/>
    <w:rsid w:val="00676A5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76A5E"/>
    <w:rPr>
      <w:i/>
      <w:iCs/>
      <w:color w:val="4F81BD" w:themeColor="accent1"/>
      <w:sz w:val="20"/>
      <w:szCs w:val="20"/>
    </w:rPr>
  </w:style>
  <w:style w:type="character" w:styleId="IntenseReference">
    <w:name w:val="Intense Reference"/>
    <w:uiPriority w:val="32"/>
    <w:qFormat/>
    <w:rsid w:val="00676A5E"/>
    <w:rPr>
      <w:b/>
      <w:bCs/>
      <w:i/>
      <w:iCs/>
      <w:caps/>
      <w:color w:val="4F81BD" w:themeColor="accent1"/>
    </w:rPr>
  </w:style>
  <w:style w:type="paragraph" w:styleId="ListBullet">
    <w:name w:val="List Bullet"/>
    <w:basedOn w:val="Normal"/>
    <w:uiPriority w:val="36"/>
    <w:unhideWhenUsed/>
    <w:rsid w:val="00D866E7"/>
    <w:pPr>
      <w:numPr>
        <w:numId w:val="1"/>
      </w:numPr>
      <w:spacing w:after="0"/>
      <w:contextualSpacing/>
    </w:pPr>
  </w:style>
  <w:style w:type="paragraph" w:styleId="ListBullet2">
    <w:name w:val="List Bullet 2"/>
    <w:basedOn w:val="Normal"/>
    <w:uiPriority w:val="36"/>
    <w:unhideWhenUsed/>
    <w:rsid w:val="00D866E7"/>
    <w:pPr>
      <w:numPr>
        <w:numId w:val="2"/>
      </w:numPr>
      <w:spacing w:after="0"/>
    </w:pPr>
  </w:style>
  <w:style w:type="paragraph" w:styleId="ListBullet3">
    <w:name w:val="List Bullet 3"/>
    <w:basedOn w:val="Normal"/>
    <w:uiPriority w:val="36"/>
    <w:unhideWhenUsed/>
    <w:rsid w:val="00D866E7"/>
    <w:pPr>
      <w:numPr>
        <w:numId w:val="3"/>
      </w:numPr>
      <w:spacing w:after="0"/>
    </w:pPr>
  </w:style>
  <w:style w:type="paragraph" w:styleId="ListBullet4">
    <w:name w:val="List Bullet 4"/>
    <w:basedOn w:val="Normal"/>
    <w:uiPriority w:val="36"/>
    <w:unhideWhenUsed/>
    <w:rsid w:val="00D866E7"/>
    <w:pPr>
      <w:numPr>
        <w:numId w:val="4"/>
      </w:numPr>
      <w:spacing w:after="0"/>
    </w:pPr>
  </w:style>
  <w:style w:type="paragraph" w:styleId="ListBullet5">
    <w:name w:val="List Bullet 5"/>
    <w:basedOn w:val="Normal"/>
    <w:uiPriority w:val="99"/>
    <w:unhideWhenUsed/>
    <w:rsid w:val="00D866E7"/>
    <w:pPr>
      <w:numPr>
        <w:numId w:val="5"/>
      </w:numPr>
      <w:spacing w:after="0"/>
    </w:pPr>
  </w:style>
  <w:style w:type="paragraph" w:styleId="NoSpacing">
    <w:name w:val="No Spacing"/>
    <w:basedOn w:val="Normal"/>
    <w:link w:val="NoSpacingChar"/>
    <w:uiPriority w:val="1"/>
    <w:qFormat/>
    <w:rsid w:val="00676A5E"/>
    <w:pPr>
      <w:spacing w:before="0" w:after="0" w:line="240" w:lineRule="auto"/>
    </w:pPr>
  </w:style>
  <w:style w:type="character" w:styleId="PlaceholderText">
    <w:name w:val="Placeholder Text"/>
    <w:basedOn w:val="DefaultParagraphFont"/>
    <w:uiPriority w:val="99"/>
    <w:semiHidden/>
    <w:rsid w:val="00D866E7"/>
    <w:rPr>
      <w:color w:val="808080"/>
    </w:rPr>
  </w:style>
  <w:style w:type="paragraph" w:styleId="Quote">
    <w:name w:val="Quote"/>
    <w:basedOn w:val="Normal"/>
    <w:next w:val="Normal"/>
    <w:link w:val="QuoteChar"/>
    <w:uiPriority w:val="29"/>
    <w:qFormat/>
    <w:rsid w:val="00676A5E"/>
    <w:rPr>
      <w:i/>
      <w:iCs/>
    </w:rPr>
  </w:style>
  <w:style w:type="character" w:customStyle="1" w:styleId="QuoteChar">
    <w:name w:val="Quote Char"/>
    <w:basedOn w:val="DefaultParagraphFont"/>
    <w:link w:val="Quote"/>
    <w:uiPriority w:val="29"/>
    <w:rsid w:val="00676A5E"/>
    <w:rPr>
      <w:i/>
      <w:iCs/>
      <w:sz w:val="20"/>
      <w:szCs w:val="20"/>
    </w:rPr>
  </w:style>
  <w:style w:type="character" w:styleId="Strong">
    <w:name w:val="Strong"/>
    <w:uiPriority w:val="22"/>
    <w:qFormat/>
    <w:rsid w:val="00676A5E"/>
    <w:rPr>
      <w:b/>
      <w:bCs/>
    </w:rPr>
  </w:style>
  <w:style w:type="character" w:styleId="SubtleEmphasis">
    <w:name w:val="Subtle Emphasis"/>
    <w:uiPriority w:val="19"/>
    <w:qFormat/>
    <w:rsid w:val="00676A5E"/>
    <w:rPr>
      <w:i/>
      <w:iCs/>
      <w:color w:val="243F60" w:themeColor="accent1" w:themeShade="7F"/>
    </w:rPr>
  </w:style>
  <w:style w:type="character" w:styleId="SubtleReference">
    <w:name w:val="Subtle Reference"/>
    <w:uiPriority w:val="31"/>
    <w:qFormat/>
    <w:rsid w:val="00676A5E"/>
    <w:rPr>
      <w:b/>
      <w:bCs/>
      <w:color w:val="4F81BD" w:themeColor="accent1"/>
    </w:rPr>
  </w:style>
  <w:style w:type="table" w:styleId="TableGrid">
    <w:name w:val="Table Grid"/>
    <w:basedOn w:val="TableNormal"/>
    <w:uiPriority w:val="1"/>
    <w:rsid w:val="00D866E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99"/>
    <w:unhideWhenUsed/>
    <w:rsid w:val="00D866E7"/>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unhideWhenUsed/>
    <w:rsid w:val="00D866E7"/>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rsid w:val="00D866E7"/>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rsid w:val="00D866E7"/>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rsid w:val="00D866E7"/>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rsid w:val="00D866E7"/>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rsid w:val="00D866E7"/>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rsid w:val="00D866E7"/>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rsid w:val="00D866E7"/>
    <w:pPr>
      <w:tabs>
        <w:tab w:val="right" w:leader="dot" w:pos="8630"/>
      </w:tabs>
      <w:spacing w:after="40" w:line="240" w:lineRule="auto"/>
      <w:ind w:left="1760"/>
    </w:pPr>
    <w:rPr>
      <w:smallCaps/>
      <w:noProof/>
    </w:rPr>
  </w:style>
  <w:style w:type="character" w:styleId="Hyperlink">
    <w:name w:val="Hyperlink"/>
    <w:basedOn w:val="DefaultParagraphFont"/>
    <w:unhideWhenUsed/>
    <w:rsid w:val="00D866E7"/>
    <w:rPr>
      <w:color w:val="0000FF" w:themeColor="hyperlink"/>
      <w:u w:val="single"/>
    </w:rPr>
  </w:style>
  <w:style w:type="character" w:customStyle="1" w:styleId="NoSpacingChar">
    <w:name w:val="No Spacing Char"/>
    <w:basedOn w:val="DefaultParagraphFont"/>
    <w:link w:val="NoSpacing"/>
    <w:uiPriority w:val="1"/>
    <w:rsid w:val="00676A5E"/>
    <w:rPr>
      <w:sz w:val="20"/>
      <w:szCs w:val="20"/>
    </w:rPr>
  </w:style>
  <w:style w:type="paragraph" w:styleId="ListParagraph">
    <w:name w:val="List Paragraph"/>
    <w:basedOn w:val="Normal"/>
    <w:uiPriority w:val="34"/>
    <w:qFormat/>
    <w:rsid w:val="00676A5E"/>
    <w:pPr>
      <w:ind w:left="720"/>
      <w:contextualSpacing/>
    </w:pPr>
  </w:style>
  <w:style w:type="paragraph" w:styleId="TOCHeading">
    <w:name w:val="TOC Heading"/>
    <w:basedOn w:val="Heading1"/>
    <w:next w:val="Normal"/>
    <w:uiPriority w:val="39"/>
    <w:semiHidden/>
    <w:unhideWhenUsed/>
    <w:qFormat/>
    <w:rsid w:val="00676A5E"/>
    <w:pPr>
      <w:outlineLvl w:val="9"/>
    </w:pPr>
  </w:style>
  <w:style w:type="paragraph" w:styleId="EndnoteText">
    <w:name w:val="endnote text"/>
    <w:basedOn w:val="Normal"/>
    <w:link w:val="EndnoteTextChar"/>
    <w:uiPriority w:val="99"/>
    <w:semiHidden/>
    <w:unhideWhenUsed/>
    <w:rsid w:val="00E94DC9"/>
    <w:pPr>
      <w:spacing w:before="0" w:after="0" w:line="240" w:lineRule="auto"/>
    </w:pPr>
  </w:style>
  <w:style w:type="character" w:customStyle="1" w:styleId="EndnoteTextChar">
    <w:name w:val="Endnote Text Char"/>
    <w:basedOn w:val="DefaultParagraphFont"/>
    <w:link w:val="EndnoteText"/>
    <w:uiPriority w:val="99"/>
    <w:semiHidden/>
    <w:rsid w:val="00E94DC9"/>
    <w:rPr>
      <w:sz w:val="20"/>
      <w:szCs w:val="20"/>
    </w:rPr>
  </w:style>
  <w:style w:type="character" w:styleId="EndnoteReference">
    <w:name w:val="endnote reference"/>
    <w:basedOn w:val="DefaultParagraphFont"/>
    <w:uiPriority w:val="99"/>
    <w:semiHidden/>
    <w:unhideWhenUsed/>
    <w:rsid w:val="00E94DC9"/>
    <w:rPr>
      <w:vertAlign w:val="superscript"/>
    </w:rPr>
  </w:style>
  <w:style w:type="paragraph" w:styleId="BodyText2">
    <w:name w:val="Body Text 2"/>
    <w:basedOn w:val="Normal"/>
    <w:link w:val="BodyText2Char"/>
    <w:rsid w:val="00DE3448"/>
    <w:pPr>
      <w:widowControl w:val="0"/>
      <w:tabs>
        <w:tab w:val="left" w:pos="-1440"/>
        <w:tab w:val="left" w:pos="-720"/>
        <w:tab w:val="left" w:pos="0"/>
        <w:tab w:val="left" w:pos="576"/>
        <w:tab w:val="left" w:pos="1152"/>
        <w:tab w:val="left" w:pos="1728"/>
        <w:tab w:val="left" w:pos="2304"/>
        <w:tab w:val="left" w:pos="2880"/>
      </w:tabs>
      <w:suppressAutoHyphens/>
      <w:spacing w:before="0" w:after="0" w:line="240" w:lineRule="auto"/>
      <w:jc w:val="both"/>
    </w:pPr>
    <w:rPr>
      <w:rFonts w:ascii="Times New Roman" w:eastAsia="Times New Roman" w:hAnsi="Times New Roman" w:cs="Times New Roman"/>
      <w:snapToGrid w:val="0"/>
      <w:spacing w:val="-3"/>
      <w:sz w:val="24"/>
      <w:lang w:bidi="ar-SA"/>
    </w:rPr>
  </w:style>
  <w:style w:type="character" w:customStyle="1" w:styleId="BodyText2Char">
    <w:name w:val="Body Text 2 Char"/>
    <w:basedOn w:val="DefaultParagraphFont"/>
    <w:link w:val="BodyText2"/>
    <w:rsid w:val="00DE3448"/>
    <w:rPr>
      <w:rFonts w:ascii="Times New Roman" w:eastAsia="Times New Roman" w:hAnsi="Times New Roman" w:cs="Times New Roman"/>
      <w:snapToGrid w:val="0"/>
      <w:spacing w:val="-3"/>
      <w:sz w:val="24"/>
      <w:szCs w:val="20"/>
      <w:lang w:bidi="ar-SA"/>
    </w:rPr>
  </w:style>
  <w:style w:type="paragraph" w:styleId="NormalWeb">
    <w:name w:val="Normal (Web)"/>
    <w:basedOn w:val="Normal"/>
    <w:uiPriority w:val="99"/>
    <w:unhideWhenUsed/>
    <w:rsid w:val="00B6630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noteText">
    <w:name w:val="footnote text"/>
    <w:basedOn w:val="Normal"/>
    <w:link w:val="FootnoteTextChar"/>
    <w:semiHidden/>
    <w:rsid w:val="00B66304"/>
    <w:pPr>
      <w:spacing w:before="0" w:after="120" w:line="240" w:lineRule="auto"/>
    </w:pPr>
    <w:rPr>
      <w:rFonts w:ascii="Times New Roman" w:eastAsia="Times New Roman" w:hAnsi="Times New Roman" w:cs="Times New Roman"/>
      <w:sz w:val="24"/>
      <w:lang w:bidi="ar-SA"/>
    </w:rPr>
  </w:style>
  <w:style w:type="character" w:customStyle="1" w:styleId="FootnoteTextChar">
    <w:name w:val="Footnote Text Char"/>
    <w:basedOn w:val="DefaultParagraphFont"/>
    <w:link w:val="FootnoteText"/>
    <w:rsid w:val="00B66304"/>
    <w:rPr>
      <w:rFonts w:ascii="Times New Roman" w:eastAsia="Times New Roman" w:hAnsi="Times New Roman" w:cs="Times New Roman"/>
      <w:sz w:val="24"/>
      <w:szCs w:val="20"/>
      <w:lang w:bidi="ar-SA"/>
    </w:rPr>
  </w:style>
  <w:style w:type="character" w:styleId="FootnoteReference">
    <w:name w:val="footnote reference"/>
    <w:basedOn w:val="DefaultParagraphFont"/>
    <w:semiHidden/>
    <w:rsid w:val="00B66304"/>
    <w:rPr>
      <w:vertAlign w:val="superscript"/>
    </w:rPr>
  </w:style>
  <w:style w:type="paragraph" w:customStyle="1" w:styleId="TEXT">
    <w:name w:val="TEXT"/>
    <w:basedOn w:val="Normal"/>
    <w:next w:val="Normal"/>
    <w:link w:val="TEXTChar"/>
    <w:autoRedefine/>
    <w:rsid w:val="00ED420A"/>
    <w:pPr>
      <w:spacing w:before="0" w:after="240" w:line="360" w:lineRule="auto"/>
      <w:ind w:right="144"/>
    </w:pPr>
    <w:rPr>
      <w:rFonts w:eastAsia="Times New Roman" w:cs="Times New Roman"/>
      <w:sz w:val="22"/>
      <w:szCs w:val="24"/>
      <w:lang w:bidi="ar-SA"/>
    </w:rPr>
  </w:style>
  <w:style w:type="character" w:customStyle="1" w:styleId="TEXTChar">
    <w:name w:val="TEXT Char"/>
    <w:basedOn w:val="DefaultParagraphFont"/>
    <w:link w:val="TEXT"/>
    <w:rsid w:val="00ED420A"/>
    <w:rPr>
      <w:rFonts w:eastAsia="Times New Roman" w:cs="Times New Roman"/>
      <w:szCs w:val="24"/>
      <w:lang w:bidi="ar-SA"/>
    </w:rPr>
  </w:style>
  <w:style w:type="paragraph" w:customStyle="1" w:styleId="Bullet">
    <w:name w:val="Bullet"/>
    <w:basedOn w:val="ListBullet5"/>
    <w:autoRedefine/>
    <w:rsid w:val="00812D1F"/>
    <w:pPr>
      <w:numPr>
        <w:numId w:val="20"/>
      </w:numPr>
      <w:spacing w:before="0" w:after="120" w:line="240" w:lineRule="auto"/>
      <w:jc w:val="both"/>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9F30E3"/>
    <w:rPr>
      <w:sz w:val="16"/>
      <w:szCs w:val="16"/>
    </w:rPr>
  </w:style>
  <w:style w:type="paragraph" w:styleId="CommentText">
    <w:name w:val="annotation text"/>
    <w:basedOn w:val="Normal"/>
    <w:link w:val="CommentTextChar"/>
    <w:uiPriority w:val="99"/>
    <w:unhideWhenUsed/>
    <w:rsid w:val="009F30E3"/>
    <w:pPr>
      <w:spacing w:line="240" w:lineRule="auto"/>
    </w:pPr>
  </w:style>
  <w:style w:type="character" w:customStyle="1" w:styleId="CommentTextChar">
    <w:name w:val="Comment Text Char"/>
    <w:basedOn w:val="DefaultParagraphFont"/>
    <w:link w:val="CommentText"/>
    <w:uiPriority w:val="99"/>
    <w:rsid w:val="009F30E3"/>
    <w:rPr>
      <w:sz w:val="20"/>
      <w:szCs w:val="20"/>
    </w:rPr>
  </w:style>
  <w:style w:type="paragraph" w:styleId="CommentSubject">
    <w:name w:val="annotation subject"/>
    <w:basedOn w:val="CommentText"/>
    <w:next w:val="CommentText"/>
    <w:link w:val="CommentSubjectChar"/>
    <w:uiPriority w:val="99"/>
    <w:semiHidden/>
    <w:unhideWhenUsed/>
    <w:rsid w:val="00DE4310"/>
    <w:rPr>
      <w:b/>
      <w:bCs/>
    </w:rPr>
  </w:style>
  <w:style w:type="character" w:customStyle="1" w:styleId="CommentSubjectChar">
    <w:name w:val="Comment Subject Char"/>
    <w:basedOn w:val="CommentTextChar"/>
    <w:link w:val="CommentSubject"/>
    <w:uiPriority w:val="99"/>
    <w:semiHidden/>
    <w:rsid w:val="00DE4310"/>
    <w:rPr>
      <w:b/>
      <w:bCs/>
    </w:rPr>
  </w:style>
  <w:style w:type="character" w:styleId="FollowedHyperlink">
    <w:name w:val="FollowedHyperlink"/>
    <w:basedOn w:val="DefaultParagraphFont"/>
    <w:uiPriority w:val="99"/>
    <w:semiHidden/>
    <w:unhideWhenUsed/>
    <w:rsid w:val="009321F1"/>
    <w:rPr>
      <w:color w:val="800080" w:themeColor="followedHyperlink"/>
      <w:u w:val="single"/>
    </w:rPr>
  </w:style>
  <w:style w:type="paragraph" w:styleId="BodyText">
    <w:name w:val="Body Text"/>
    <w:basedOn w:val="Normal"/>
    <w:link w:val="BodyTextChar"/>
    <w:uiPriority w:val="99"/>
    <w:semiHidden/>
    <w:unhideWhenUsed/>
    <w:rsid w:val="00424AF9"/>
    <w:pPr>
      <w:spacing w:after="120"/>
    </w:pPr>
  </w:style>
  <w:style w:type="character" w:customStyle="1" w:styleId="BodyTextChar">
    <w:name w:val="Body Text Char"/>
    <w:basedOn w:val="DefaultParagraphFont"/>
    <w:link w:val="BodyText"/>
    <w:uiPriority w:val="99"/>
    <w:semiHidden/>
    <w:rsid w:val="00424AF9"/>
    <w:rPr>
      <w:sz w:val="20"/>
      <w:szCs w:val="20"/>
    </w:rPr>
  </w:style>
  <w:style w:type="paragraph" w:customStyle="1" w:styleId="Default">
    <w:name w:val="Default"/>
    <w:rsid w:val="00424AF9"/>
    <w:pPr>
      <w:autoSpaceDE w:val="0"/>
      <w:autoSpaceDN w:val="0"/>
      <w:adjustRightInd w:val="0"/>
      <w:spacing w:before="0" w:after="0" w:line="240" w:lineRule="auto"/>
    </w:pPr>
    <w:rPr>
      <w:rFonts w:ascii="Times New Roman" w:eastAsiaTheme="minorHAnsi"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263273132">
      <w:bodyDiv w:val="1"/>
      <w:marLeft w:val="0"/>
      <w:marRight w:val="0"/>
      <w:marTop w:val="0"/>
      <w:marBottom w:val="0"/>
      <w:divBdr>
        <w:top w:val="none" w:sz="0" w:space="0" w:color="auto"/>
        <w:left w:val="none" w:sz="0" w:space="0" w:color="auto"/>
        <w:bottom w:val="none" w:sz="0" w:space="0" w:color="auto"/>
        <w:right w:val="none" w:sz="0" w:space="0" w:color="auto"/>
      </w:divBdr>
      <w:divsChild>
        <w:div w:id="616910797">
          <w:marLeft w:val="0"/>
          <w:marRight w:val="0"/>
          <w:marTop w:val="0"/>
          <w:marBottom w:val="0"/>
          <w:divBdr>
            <w:top w:val="none" w:sz="0" w:space="0" w:color="auto"/>
            <w:left w:val="none" w:sz="0" w:space="0" w:color="auto"/>
            <w:bottom w:val="none" w:sz="0" w:space="0" w:color="auto"/>
            <w:right w:val="none" w:sz="0" w:space="0" w:color="auto"/>
          </w:divBdr>
          <w:divsChild>
            <w:div w:id="1019505993">
              <w:marLeft w:val="0"/>
              <w:marRight w:val="0"/>
              <w:marTop w:val="0"/>
              <w:marBottom w:val="0"/>
              <w:divBdr>
                <w:top w:val="none" w:sz="0" w:space="0" w:color="auto"/>
                <w:left w:val="none" w:sz="0" w:space="0" w:color="auto"/>
                <w:bottom w:val="none" w:sz="0" w:space="0" w:color="auto"/>
                <w:right w:val="none" w:sz="0" w:space="0" w:color="auto"/>
              </w:divBdr>
              <w:divsChild>
                <w:div w:id="35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6049">
      <w:bodyDiv w:val="1"/>
      <w:marLeft w:val="0"/>
      <w:marRight w:val="0"/>
      <w:marTop w:val="0"/>
      <w:marBottom w:val="0"/>
      <w:divBdr>
        <w:top w:val="none" w:sz="0" w:space="0" w:color="auto"/>
        <w:left w:val="none" w:sz="0" w:space="0" w:color="auto"/>
        <w:bottom w:val="none" w:sz="0" w:space="0" w:color="auto"/>
        <w:right w:val="none" w:sz="0" w:space="0" w:color="auto"/>
      </w:divBdr>
    </w:div>
    <w:div w:id="518205377">
      <w:bodyDiv w:val="1"/>
      <w:marLeft w:val="0"/>
      <w:marRight w:val="0"/>
      <w:marTop w:val="0"/>
      <w:marBottom w:val="0"/>
      <w:divBdr>
        <w:top w:val="none" w:sz="0" w:space="0" w:color="auto"/>
        <w:left w:val="none" w:sz="0" w:space="0" w:color="auto"/>
        <w:bottom w:val="none" w:sz="0" w:space="0" w:color="auto"/>
        <w:right w:val="none" w:sz="0" w:space="0" w:color="auto"/>
      </w:divBdr>
    </w:div>
    <w:div w:id="734812985">
      <w:bodyDiv w:val="1"/>
      <w:marLeft w:val="0"/>
      <w:marRight w:val="0"/>
      <w:marTop w:val="0"/>
      <w:marBottom w:val="0"/>
      <w:divBdr>
        <w:top w:val="none" w:sz="0" w:space="0" w:color="auto"/>
        <w:left w:val="none" w:sz="0" w:space="0" w:color="auto"/>
        <w:bottom w:val="none" w:sz="0" w:space="0" w:color="auto"/>
        <w:right w:val="none" w:sz="0" w:space="0" w:color="auto"/>
      </w:divBdr>
      <w:divsChild>
        <w:div w:id="538053624">
          <w:marLeft w:val="0"/>
          <w:marRight w:val="0"/>
          <w:marTop w:val="0"/>
          <w:marBottom w:val="0"/>
          <w:divBdr>
            <w:top w:val="none" w:sz="0" w:space="0" w:color="auto"/>
            <w:left w:val="none" w:sz="0" w:space="0" w:color="auto"/>
            <w:bottom w:val="none" w:sz="0" w:space="0" w:color="auto"/>
            <w:right w:val="none" w:sz="0" w:space="0" w:color="auto"/>
          </w:divBdr>
          <w:divsChild>
            <w:div w:id="292562907">
              <w:marLeft w:val="0"/>
              <w:marRight w:val="0"/>
              <w:marTop w:val="0"/>
              <w:marBottom w:val="0"/>
              <w:divBdr>
                <w:top w:val="none" w:sz="0" w:space="0" w:color="auto"/>
                <w:left w:val="none" w:sz="0" w:space="0" w:color="auto"/>
                <w:bottom w:val="none" w:sz="0" w:space="0" w:color="auto"/>
                <w:right w:val="none" w:sz="0" w:space="0" w:color="auto"/>
              </w:divBdr>
              <w:divsChild>
                <w:div w:id="4804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6518">
      <w:bodyDiv w:val="1"/>
      <w:marLeft w:val="0"/>
      <w:marRight w:val="0"/>
      <w:marTop w:val="0"/>
      <w:marBottom w:val="0"/>
      <w:divBdr>
        <w:top w:val="none" w:sz="0" w:space="0" w:color="auto"/>
        <w:left w:val="none" w:sz="0" w:space="0" w:color="auto"/>
        <w:bottom w:val="none" w:sz="0" w:space="0" w:color="auto"/>
        <w:right w:val="none" w:sz="0" w:space="0" w:color="auto"/>
      </w:divBdr>
      <w:divsChild>
        <w:div w:id="87121796">
          <w:marLeft w:val="0"/>
          <w:marRight w:val="0"/>
          <w:marTop w:val="0"/>
          <w:marBottom w:val="0"/>
          <w:divBdr>
            <w:top w:val="none" w:sz="0" w:space="0" w:color="auto"/>
            <w:left w:val="none" w:sz="0" w:space="0" w:color="auto"/>
            <w:bottom w:val="none" w:sz="0" w:space="0" w:color="auto"/>
            <w:right w:val="none" w:sz="0" w:space="0" w:color="auto"/>
          </w:divBdr>
          <w:divsChild>
            <w:div w:id="1616253610">
              <w:marLeft w:val="0"/>
              <w:marRight w:val="0"/>
              <w:marTop w:val="0"/>
              <w:marBottom w:val="0"/>
              <w:divBdr>
                <w:top w:val="none" w:sz="0" w:space="0" w:color="auto"/>
                <w:left w:val="none" w:sz="0" w:space="0" w:color="auto"/>
                <w:bottom w:val="none" w:sz="0" w:space="0" w:color="auto"/>
                <w:right w:val="none" w:sz="0" w:space="0" w:color="auto"/>
              </w:divBdr>
              <w:divsChild>
                <w:div w:id="1730152171">
                  <w:marLeft w:val="0"/>
                  <w:marRight w:val="0"/>
                  <w:marTop w:val="0"/>
                  <w:marBottom w:val="0"/>
                  <w:divBdr>
                    <w:top w:val="none" w:sz="0" w:space="0" w:color="auto"/>
                    <w:left w:val="none" w:sz="0" w:space="0" w:color="auto"/>
                    <w:bottom w:val="none" w:sz="0" w:space="0" w:color="auto"/>
                    <w:right w:val="none" w:sz="0" w:space="0" w:color="auto"/>
                  </w:divBdr>
                  <w:divsChild>
                    <w:div w:id="2144611394">
                      <w:marLeft w:val="0"/>
                      <w:marRight w:val="0"/>
                      <w:marTop w:val="0"/>
                      <w:marBottom w:val="0"/>
                      <w:divBdr>
                        <w:top w:val="none" w:sz="0" w:space="0" w:color="auto"/>
                        <w:left w:val="none" w:sz="0" w:space="0" w:color="auto"/>
                        <w:bottom w:val="none" w:sz="0" w:space="0" w:color="auto"/>
                        <w:right w:val="none" w:sz="0" w:space="0" w:color="auto"/>
                      </w:divBdr>
                      <w:divsChild>
                        <w:div w:id="485896936">
                          <w:marLeft w:val="0"/>
                          <w:marRight w:val="0"/>
                          <w:marTop w:val="0"/>
                          <w:marBottom w:val="0"/>
                          <w:divBdr>
                            <w:top w:val="none" w:sz="0" w:space="0" w:color="auto"/>
                            <w:left w:val="none" w:sz="0" w:space="0" w:color="auto"/>
                            <w:bottom w:val="none" w:sz="0" w:space="0" w:color="auto"/>
                            <w:right w:val="none" w:sz="0" w:space="0" w:color="auto"/>
                          </w:divBdr>
                          <w:divsChild>
                            <w:div w:id="1726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9195">
      <w:bodyDiv w:val="1"/>
      <w:marLeft w:val="0"/>
      <w:marRight w:val="0"/>
      <w:marTop w:val="0"/>
      <w:marBottom w:val="0"/>
      <w:divBdr>
        <w:top w:val="none" w:sz="0" w:space="0" w:color="auto"/>
        <w:left w:val="none" w:sz="0" w:space="0" w:color="auto"/>
        <w:bottom w:val="none" w:sz="0" w:space="0" w:color="auto"/>
        <w:right w:val="none" w:sz="0" w:space="0" w:color="auto"/>
      </w:divBdr>
      <w:divsChild>
        <w:div w:id="2030526751">
          <w:marLeft w:val="0"/>
          <w:marRight w:val="0"/>
          <w:marTop w:val="0"/>
          <w:marBottom w:val="0"/>
          <w:divBdr>
            <w:top w:val="none" w:sz="0" w:space="0" w:color="auto"/>
            <w:left w:val="none" w:sz="0" w:space="0" w:color="auto"/>
            <w:bottom w:val="none" w:sz="0" w:space="0" w:color="auto"/>
            <w:right w:val="none" w:sz="0" w:space="0" w:color="auto"/>
          </w:divBdr>
          <w:divsChild>
            <w:div w:id="10035772">
              <w:marLeft w:val="0"/>
              <w:marRight w:val="0"/>
              <w:marTop w:val="0"/>
              <w:marBottom w:val="0"/>
              <w:divBdr>
                <w:top w:val="none" w:sz="0" w:space="0" w:color="auto"/>
                <w:left w:val="none" w:sz="0" w:space="0" w:color="auto"/>
                <w:bottom w:val="none" w:sz="0" w:space="0" w:color="auto"/>
                <w:right w:val="none" w:sz="0" w:space="0" w:color="auto"/>
              </w:divBdr>
              <w:divsChild>
                <w:div w:id="2076269991">
                  <w:marLeft w:val="0"/>
                  <w:marRight w:val="0"/>
                  <w:marTop w:val="0"/>
                  <w:marBottom w:val="0"/>
                  <w:divBdr>
                    <w:top w:val="none" w:sz="0" w:space="0" w:color="auto"/>
                    <w:left w:val="none" w:sz="0" w:space="0" w:color="auto"/>
                    <w:bottom w:val="none" w:sz="0" w:space="0" w:color="auto"/>
                    <w:right w:val="none" w:sz="0" w:space="0" w:color="auto"/>
                  </w:divBdr>
                  <w:divsChild>
                    <w:div w:id="2118597906">
                      <w:marLeft w:val="0"/>
                      <w:marRight w:val="0"/>
                      <w:marTop w:val="0"/>
                      <w:marBottom w:val="0"/>
                      <w:divBdr>
                        <w:top w:val="none" w:sz="0" w:space="0" w:color="auto"/>
                        <w:left w:val="none" w:sz="0" w:space="0" w:color="auto"/>
                        <w:bottom w:val="none" w:sz="0" w:space="0" w:color="auto"/>
                        <w:right w:val="none" w:sz="0" w:space="0" w:color="auto"/>
                      </w:divBdr>
                      <w:divsChild>
                        <w:div w:id="974798969">
                          <w:marLeft w:val="0"/>
                          <w:marRight w:val="0"/>
                          <w:marTop w:val="0"/>
                          <w:marBottom w:val="0"/>
                          <w:divBdr>
                            <w:top w:val="none" w:sz="0" w:space="0" w:color="auto"/>
                            <w:left w:val="none" w:sz="0" w:space="0" w:color="auto"/>
                            <w:bottom w:val="none" w:sz="0" w:space="0" w:color="auto"/>
                            <w:right w:val="none" w:sz="0" w:space="0" w:color="auto"/>
                          </w:divBdr>
                          <w:divsChild>
                            <w:div w:id="11272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0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www.eia.gov/petroleum/gasdiesel"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hyperlink" Target="http://www.eia.gov/survey/"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ia.gov/pub/oil_gas/petroleum/data_publications/petroleum_marketing_annual/current/pdf/enote.pdf"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hyperlink" Target="http://www.eia.gov/oog/info/twip/twip.as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hyperlink" Target="http://www.eia.gov/oog/info/twip/twip.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yperlink" Target="http://www.eia.gov/oil_gas/petroleum/data_publications/weekly_petroleum_status_report/wpsr.html" TargetMode="External"/><Relationship Id="rId40" Type="http://schemas.openxmlformats.org/officeDocument/2006/relationships/hyperlink" Target="http://www.eia.gov/oil_gas/petroleum/data_publications/weekly_petroleum_status_report/wpsr.html"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hyperlink" Target="http://www.eia.gov/petroleum/gasdiesel"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hyperlink" Target="http://www.fcsm.gov/12papers/Waugh_2012FCSM_VI-C.pdf"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quity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Equit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2012-02-10T00:00:00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templateProperties xmlns="urn:microsoft.template.properties">
  <_Version/>
  <_LCID/>
</template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3.xml><?xml version="1.0" encoding="utf-8"?>
<ds:datastoreItem xmlns:ds="http://schemas.openxmlformats.org/officeDocument/2006/customXml" ds:itemID="{25229087-0CE3-49F2-8F52-E7138F37D32E}">
  <ds:schemaRefs>
    <ds:schemaRef ds:uri="urn:microsoft.template.properties"/>
  </ds:schemaRefs>
</ds:datastoreItem>
</file>

<file path=customXml/itemProps4.xml><?xml version="1.0" encoding="utf-8"?>
<ds:datastoreItem xmlns:ds="http://schemas.openxmlformats.org/officeDocument/2006/customXml" ds:itemID="{6420DA0B-0A5B-44DC-8A22-738BD4E7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3</TotalTime>
  <Pages>20</Pages>
  <Words>6163</Words>
  <Characters>35132</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Petroleum Marketing Program Supporting Statement</vt:lpstr>
      <vt:lpstr>    3.	Maximizing Response Rates</vt:lpstr>
      <vt:lpstr>    4.	Tests of Procedures</vt:lpstr>
      <vt:lpstr>    5.	Statistical Consultations</vt:lpstr>
    </vt:vector>
  </TitlesOfParts>
  <Company/>
  <LinksUpToDate>false</LinksUpToDate>
  <CharactersWithSpaces>41213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Marketing Program Supporting Statement</dc:title>
  <dc:subject>EIA’s Supporting Statement for 2013 Petroleum Marketing Surveys: OMB Number 1905-0174</dc:subject>
  <dc:creator>Shawna Waugh</dc:creator>
  <cp:keywords/>
  <dc:description/>
  <cp:lastModifiedBy>Shawna Waugh</cp:lastModifiedBy>
  <cp:revision>3</cp:revision>
  <cp:lastPrinted>2012-06-14T15:33:00Z</cp:lastPrinted>
  <dcterms:created xsi:type="dcterms:W3CDTF">2012-07-02T16:32:00Z</dcterms:created>
  <dcterms:modified xsi:type="dcterms:W3CDTF">2012-07-12T12:20:00Z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