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AA" w:rsidRDefault="004552AA">
      <w:pPr>
        <w:widowControl/>
        <w:autoSpaceDE/>
        <w:autoSpaceDN/>
        <w:adjustRightInd/>
        <w:rPr>
          <w:b/>
          <w:bCs/>
          <w:sz w:val="44"/>
          <w:szCs w:val="44"/>
        </w:rPr>
      </w:pPr>
      <w:r w:rsidRPr="004552AA">
        <w:rPr>
          <w:b/>
          <w:bCs/>
          <w:noProof/>
          <w:sz w:val="44"/>
          <w:szCs w:val="44"/>
        </w:rPr>
        <w:drawing>
          <wp:inline distT="0" distB="0" distL="0" distR="0">
            <wp:extent cx="5943600" cy="1214089"/>
            <wp:effectExtent l="19050" t="0" r="0" b="0"/>
            <wp:docPr id="2" name="Picture 1" descr="http://taz/neic/Intranet2007/images/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large%20full%20EIA%20logo.jpg"/>
                    <pic:cNvPicPr>
                      <a:picLocks noChangeAspect="1" noChangeArrowheads="1"/>
                    </pic:cNvPicPr>
                  </pic:nvPicPr>
                  <pic:blipFill>
                    <a:blip r:embed="rId8" cstate="print"/>
                    <a:srcRect/>
                    <a:stretch>
                      <a:fillRect/>
                    </a:stretch>
                  </pic:blipFill>
                  <pic:spPr bwMode="auto">
                    <a:xfrm>
                      <a:off x="0" y="0"/>
                      <a:ext cx="5943600" cy="1214089"/>
                    </a:xfrm>
                    <a:prstGeom prst="rect">
                      <a:avLst/>
                    </a:prstGeom>
                    <a:noFill/>
                    <a:ln w="9525">
                      <a:noFill/>
                      <a:miter lim="800000"/>
                      <a:headEnd/>
                      <a:tailEnd/>
                    </a:ln>
                  </pic:spPr>
                </pic:pic>
              </a:graphicData>
            </a:graphic>
          </wp:inline>
        </w:drawing>
      </w:r>
    </w:p>
    <w:p w:rsidR="00463D82" w:rsidRDefault="00463D82">
      <w:pPr>
        <w:widowControl/>
        <w:autoSpaceDE/>
        <w:autoSpaceDN/>
        <w:adjustRightInd/>
        <w:rPr>
          <w:b/>
          <w:bCs/>
          <w:sz w:val="44"/>
          <w:szCs w:val="44"/>
        </w:rPr>
      </w:pPr>
    </w:p>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tblPr>
      <w:tblGrid>
        <w:gridCol w:w="9648"/>
      </w:tblGrid>
      <w:tr w:rsidR="004552AA" w:rsidTr="00AD091C">
        <w:trPr>
          <w:trHeight w:val="144"/>
          <w:jc w:val="center"/>
        </w:trPr>
        <w:tc>
          <w:tcPr>
            <w:tcW w:w="0" w:type="auto"/>
            <w:shd w:val="clear" w:color="auto" w:fill="B8CCE4" w:themeFill="accent1" w:themeFillTint="66"/>
            <w:tcMar>
              <w:top w:w="0" w:type="dxa"/>
              <w:bottom w:w="0" w:type="dxa"/>
            </w:tcMar>
            <w:vAlign w:val="center"/>
          </w:tcPr>
          <w:p w:rsidR="004552AA" w:rsidRDefault="004552AA" w:rsidP="00AD091C">
            <w:pPr>
              <w:pStyle w:val="NoSpacing"/>
              <w:rPr>
                <w:sz w:val="8"/>
                <w:szCs w:val="8"/>
              </w:rPr>
            </w:pPr>
          </w:p>
        </w:tc>
      </w:tr>
      <w:tr w:rsidR="004552AA" w:rsidTr="00AD091C">
        <w:trPr>
          <w:trHeight w:val="1440"/>
          <w:jc w:val="center"/>
        </w:trPr>
        <w:tc>
          <w:tcPr>
            <w:tcW w:w="0" w:type="auto"/>
            <w:shd w:val="clear" w:color="auto" w:fill="4F81BD" w:themeFill="accent1"/>
            <w:vAlign w:val="center"/>
          </w:tcPr>
          <w:p w:rsidR="004552AA" w:rsidRPr="00463D82" w:rsidRDefault="00F74D4B" w:rsidP="004552AA">
            <w:pPr>
              <w:pStyle w:val="Heading1"/>
              <w:jc w:val="both"/>
              <w:outlineLvl w:val="0"/>
              <w:rPr>
                <w:sz w:val="32"/>
                <w:szCs w:val="32"/>
              </w:rPr>
            </w:pPr>
            <w:sdt>
              <w:sdtPr>
                <w:rPr>
                  <w:color w:val="auto"/>
                  <w:sz w:val="44"/>
                  <w:szCs w:val="44"/>
                </w:rPr>
                <w:id w:val="3232653"/>
                <w:dataBinding w:prefixMappings="xmlns:ns0='http://schemas.openxmlformats.org/package/2006/metadata/core-properties' xmlns:ns1='http://purl.org/dc/elements/1.1/'" w:xpath="/ns0:coreProperties[1]/ns1:title[1]" w:storeItemID="{6C3C8BC8-F283-45AE-878A-BAB7291924A1}"/>
                <w:text/>
              </w:sdtPr>
              <w:sdtContent>
                <w:r w:rsidR="00463D82" w:rsidRPr="00463D82">
                  <w:rPr>
                    <w:color w:val="auto"/>
                    <w:sz w:val="44"/>
                    <w:szCs w:val="44"/>
                  </w:rPr>
                  <w:t>Supporting Statement for 2013 Petroleum Marketing Surveys: OMB NUMBER 1905-0174</w:t>
                </w:r>
              </w:sdtContent>
            </w:sdt>
          </w:p>
        </w:tc>
      </w:tr>
      <w:tr w:rsidR="004552AA" w:rsidTr="00AD091C">
        <w:trPr>
          <w:trHeight w:val="144"/>
          <w:jc w:val="center"/>
        </w:trPr>
        <w:tc>
          <w:tcPr>
            <w:tcW w:w="0" w:type="auto"/>
            <w:shd w:val="clear" w:color="auto" w:fill="4BACC6" w:themeFill="accent5"/>
            <w:tcMar>
              <w:top w:w="0" w:type="dxa"/>
              <w:bottom w:w="0" w:type="dxa"/>
            </w:tcMar>
            <w:vAlign w:val="center"/>
          </w:tcPr>
          <w:p w:rsidR="004552AA" w:rsidRDefault="004552AA" w:rsidP="00AD091C">
            <w:pPr>
              <w:pStyle w:val="NoSpacing"/>
              <w:rPr>
                <w:sz w:val="8"/>
                <w:szCs w:val="8"/>
              </w:rPr>
            </w:pPr>
          </w:p>
        </w:tc>
      </w:tr>
      <w:tr w:rsidR="004552AA" w:rsidTr="00AD091C">
        <w:trPr>
          <w:trHeight w:val="720"/>
          <w:jc w:val="center"/>
        </w:trPr>
        <w:tc>
          <w:tcPr>
            <w:tcW w:w="0" w:type="auto"/>
            <w:vAlign w:val="bottom"/>
          </w:tcPr>
          <w:p w:rsidR="004552AA" w:rsidRDefault="00F74D4B" w:rsidP="00463D82">
            <w:pPr>
              <w:pStyle w:val="NoSpacing"/>
              <w:suppressOverlap/>
              <w:jc w:val="center"/>
              <w:rPr>
                <w:rFonts w:asciiTheme="majorHAnsi" w:hAnsiTheme="majorHAnsi"/>
                <w:i/>
                <w:sz w:val="36"/>
                <w:szCs w:val="36"/>
              </w:rPr>
            </w:pPr>
            <w:sdt>
              <w:sdtPr>
                <w:rPr>
                  <w:rFonts w:ascii="Times New Roman" w:hAnsi="Times New Roman"/>
                  <w:b/>
                  <w:bCs/>
                  <w:sz w:val="32"/>
                </w:rPr>
                <w:id w:val="1652111"/>
                <w:dataBinding w:prefixMappings="xmlns:ns0='http://schemas.openxmlformats.org/package/2006/metadata/core-properties' xmlns:ns1='http://purl.org/dc/elements/1.1/'" w:xpath="/ns0:coreProperties[1]/ns1:subject[1]" w:storeItemID="{6C3C8BC8-F283-45AE-878A-BAB7291924A1}"/>
                <w:text/>
              </w:sdtPr>
              <w:sdtContent>
                <w:r w:rsidR="00146E32">
                  <w:rPr>
                    <w:rFonts w:ascii="Times New Roman" w:hAnsi="Times New Roman"/>
                    <w:b/>
                    <w:bCs/>
                    <w:sz w:val="32"/>
                  </w:rPr>
                  <w:t>EIA’s Supporting Statement for 2013 Petroleum Marketing Surveys: OMB Number 1905-0174</w:t>
                </w:r>
              </w:sdtContent>
            </w:sdt>
          </w:p>
        </w:tc>
      </w:tr>
      <w:tr w:rsidR="004552AA" w:rsidTr="00AD091C">
        <w:trPr>
          <w:trHeight w:val="720"/>
          <w:jc w:val="center"/>
        </w:trPr>
        <w:tc>
          <w:tcPr>
            <w:tcW w:w="0" w:type="auto"/>
            <w:vAlign w:val="bottom"/>
          </w:tcPr>
          <w:p w:rsidR="004552AA" w:rsidRDefault="004552AA" w:rsidP="00AD091C">
            <w:pPr>
              <w:pStyle w:val="NoSpacing"/>
              <w:suppressOverlap/>
              <w:jc w:val="center"/>
              <w:rPr>
                <w:sz w:val="44"/>
                <w:szCs w:val="44"/>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Default="00146E32" w:rsidP="00146E32">
            <w:pPr>
              <w:widowControl/>
              <w:autoSpaceDE/>
              <w:autoSpaceDN/>
              <w:adjustRightInd/>
              <w:jc w:val="center"/>
              <w:rPr>
                <w:b/>
                <w:sz w:val="28"/>
              </w:rPr>
            </w:pPr>
          </w:p>
          <w:p w:rsidR="00146E32" w:rsidRPr="00146E32" w:rsidRDefault="00146E32" w:rsidP="00146E32">
            <w:pPr>
              <w:widowControl/>
              <w:autoSpaceDE/>
              <w:autoSpaceDN/>
              <w:adjustRightInd/>
              <w:jc w:val="center"/>
              <w:rPr>
                <w:sz w:val="28"/>
              </w:rPr>
            </w:pPr>
            <w:r w:rsidRPr="00146E32">
              <w:rPr>
                <w:sz w:val="28"/>
              </w:rPr>
              <w:t>Office of Petroleum and Biofuels Statistics</w:t>
            </w:r>
          </w:p>
          <w:p w:rsidR="00146E32" w:rsidRPr="00146E32" w:rsidRDefault="00146E32" w:rsidP="00146E32">
            <w:pPr>
              <w:pStyle w:val="Title"/>
              <w:rPr>
                <w:b w:val="0"/>
                <w:sz w:val="28"/>
              </w:rPr>
            </w:pPr>
            <w:r w:rsidRPr="00146E32">
              <w:rPr>
                <w:b w:val="0"/>
                <w:sz w:val="28"/>
              </w:rPr>
              <w:t>U.S. Energy Information Administration</w:t>
            </w:r>
          </w:p>
          <w:p w:rsidR="00146E32" w:rsidRPr="00146E32" w:rsidRDefault="00146E32" w:rsidP="00146E32">
            <w:pPr>
              <w:pStyle w:val="Title"/>
              <w:rPr>
                <w:b w:val="0"/>
                <w:sz w:val="28"/>
              </w:rPr>
            </w:pPr>
            <w:r w:rsidRPr="00146E32">
              <w:rPr>
                <w:b w:val="0"/>
                <w:sz w:val="28"/>
              </w:rPr>
              <w:t>U.S. Department of Energy</w:t>
            </w:r>
          </w:p>
          <w:p w:rsidR="00146E32" w:rsidRPr="00146E32" w:rsidRDefault="00146E32" w:rsidP="00146E32">
            <w:pPr>
              <w:pStyle w:val="Title"/>
              <w:rPr>
                <w:b w:val="0"/>
              </w:rPr>
            </w:pPr>
            <w:r w:rsidRPr="00146E32">
              <w:rPr>
                <w:b w:val="0"/>
                <w:sz w:val="28"/>
              </w:rPr>
              <w:t>Washington, DC  20585</w:t>
            </w:r>
          </w:p>
          <w:p w:rsidR="00463D82" w:rsidRDefault="00146E32" w:rsidP="00146E32">
            <w:pPr>
              <w:pStyle w:val="NoSpacing"/>
              <w:suppressOverlap/>
              <w:jc w:val="center"/>
              <w:rPr>
                <w:sz w:val="44"/>
                <w:szCs w:val="44"/>
              </w:rPr>
            </w:pPr>
            <w:r w:rsidRPr="00146E32">
              <w:rPr>
                <w:noProof/>
                <w:sz w:val="44"/>
                <w:szCs w:val="44"/>
                <w:lang w:bidi="ar-SA"/>
              </w:rPr>
              <w:drawing>
                <wp:anchor distT="0" distB="0" distL="114300" distR="114300" simplePos="0" relativeHeight="251659264" behindDoc="0" locked="0" layoutInCell="1" allowOverlap="1">
                  <wp:simplePos x="0" y="0"/>
                  <wp:positionH relativeFrom="page">
                    <wp:posOffset>-103266</wp:posOffset>
                  </wp:positionH>
                  <wp:positionV relativeFrom="page">
                    <wp:posOffset>3437362</wp:posOffset>
                  </wp:positionV>
                  <wp:extent cx="6346124" cy="653143"/>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p>
        </w:tc>
      </w:tr>
    </w:tbl>
    <w:p w:rsidR="00123EE5" w:rsidRDefault="00123EE5" w:rsidP="00BD2ED6">
      <w:pPr>
        <w:pStyle w:val="Title"/>
      </w:pPr>
      <w:r>
        <w:br w:type="page"/>
      </w:r>
    </w:p>
    <w:p w:rsidR="00B03B0D" w:rsidRDefault="00B03B0D" w:rsidP="00BD2ED6">
      <w:pPr>
        <w:pStyle w:val="Heading1"/>
        <w:sectPr w:rsidR="00B03B0D" w:rsidSect="00400255">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440" w:left="1296" w:header="720" w:footer="720" w:gutter="0"/>
          <w:pgBorders w:offsetFrom="page">
            <w:bottom w:val="single" w:sz="8" w:space="24" w:color="auto"/>
          </w:pgBorders>
          <w:pgNumType w:fmt="numberInDash"/>
          <w:cols w:space="720"/>
          <w:titlePg/>
          <w:docGrid w:linePitch="360"/>
        </w:sectPr>
      </w:pPr>
    </w:p>
    <w:p w:rsidR="00123EE5" w:rsidRDefault="00BD2ED6" w:rsidP="00BD2ED6">
      <w:pPr>
        <w:pStyle w:val="Heading1"/>
      </w:pPr>
      <w:r>
        <w:lastRenderedPageBreak/>
        <w:t>Table of Contents</w:t>
      </w:r>
    </w:p>
    <w:p w:rsidR="00B735D4" w:rsidRDefault="00B735D4" w:rsidP="00B735D4">
      <w:pPr>
        <w:ind w:firstLine="288"/>
      </w:pPr>
    </w:p>
    <w:p w:rsidR="00B735D4" w:rsidRPr="00B735D4" w:rsidRDefault="00B735D4" w:rsidP="00B735D4">
      <w:pPr>
        <w:ind w:firstLine="288"/>
        <w:rPr>
          <w:rFonts w:asciiTheme="minorHAnsi" w:hAnsiTheme="minorHAnsi"/>
          <w:sz w:val="22"/>
          <w:szCs w:val="22"/>
        </w:rPr>
      </w:pPr>
      <w:r w:rsidRPr="00B735D4">
        <w:rPr>
          <w:rFonts w:asciiTheme="minorHAnsi" w:hAnsiTheme="minorHAnsi"/>
          <w:sz w:val="22"/>
          <w:szCs w:val="22"/>
        </w:rPr>
        <w:t>Part A</w:t>
      </w:r>
    </w:p>
    <w:p w:rsidR="00774BC7" w:rsidRPr="00B735D4" w:rsidRDefault="00B03B0D" w:rsidP="00774BC7">
      <w:pPr>
        <w:pStyle w:val="TOC3"/>
        <w:spacing w:line="300" w:lineRule="atLeast"/>
        <w:ind w:left="288"/>
        <w:rPr>
          <w:rFonts w:asciiTheme="minorHAnsi" w:hAnsiTheme="minorHAnsi"/>
          <w:sz w:val="22"/>
          <w:szCs w:val="22"/>
        </w:rPr>
      </w:pPr>
      <w:r>
        <w:rPr>
          <w:rFonts w:asciiTheme="minorHAnsi" w:hAnsiTheme="minorHAnsi"/>
          <w:sz w:val="22"/>
          <w:szCs w:val="22"/>
        </w:rPr>
        <w:t>Table of Contents</w:t>
      </w:r>
      <w:r>
        <w:rPr>
          <w:rFonts w:asciiTheme="minorHAnsi" w:hAnsiTheme="minorHAnsi"/>
          <w:sz w:val="22"/>
          <w:szCs w:val="22"/>
        </w:rPr>
        <w:tab/>
        <w:t>i</w:t>
      </w:r>
    </w:p>
    <w:p w:rsidR="00774BC7" w:rsidRPr="00B735D4" w:rsidRDefault="00774BC7" w:rsidP="00774BC7">
      <w:pPr>
        <w:pStyle w:val="TOC3"/>
        <w:spacing w:line="300" w:lineRule="atLeast"/>
        <w:ind w:left="288"/>
        <w:rPr>
          <w:rFonts w:asciiTheme="minorHAnsi" w:hAnsiTheme="minorHAnsi"/>
          <w:sz w:val="22"/>
          <w:szCs w:val="22"/>
        </w:rPr>
      </w:pPr>
      <w:r w:rsidRPr="00B735D4">
        <w:rPr>
          <w:rFonts w:asciiTheme="minorHAnsi" w:hAnsiTheme="minorHAnsi"/>
          <w:sz w:val="22"/>
          <w:szCs w:val="22"/>
        </w:rPr>
        <w:t>A</w:t>
      </w:r>
      <w:r w:rsidR="00B03B0D">
        <w:rPr>
          <w:rFonts w:asciiTheme="minorHAnsi" w:hAnsiTheme="minorHAnsi"/>
          <w:sz w:val="22"/>
          <w:szCs w:val="22"/>
        </w:rPr>
        <w:t>ppendices, Diagrams and Tables</w:t>
      </w:r>
      <w:r w:rsidR="00B03B0D">
        <w:rPr>
          <w:rFonts w:asciiTheme="minorHAnsi" w:hAnsiTheme="minorHAnsi"/>
          <w:sz w:val="22"/>
          <w:szCs w:val="22"/>
        </w:rPr>
        <w:tab/>
        <w:t>ii</w:t>
      </w:r>
    </w:p>
    <w:p w:rsidR="000E43AD" w:rsidRPr="00B735D4" w:rsidRDefault="00B03B0D" w:rsidP="004E1172">
      <w:pPr>
        <w:pStyle w:val="TOC3"/>
        <w:spacing w:line="300" w:lineRule="atLeast"/>
        <w:ind w:left="288"/>
        <w:rPr>
          <w:rFonts w:asciiTheme="minorHAnsi" w:hAnsiTheme="minorHAnsi"/>
          <w:sz w:val="22"/>
          <w:szCs w:val="22"/>
        </w:rPr>
      </w:pPr>
      <w:r>
        <w:rPr>
          <w:rFonts w:asciiTheme="minorHAnsi" w:hAnsiTheme="minorHAnsi"/>
          <w:sz w:val="22"/>
          <w:szCs w:val="22"/>
        </w:rPr>
        <w:t>Introduction</w:t>
      </w:r>
      <w:r>
        <w:rPr>
          <w:rFonts w:asciiTheme="minorHAnsi" w:hAnsiTheme="minorHAnsi"/>
          <w:sz w:val="22"/>
          <w:szCs w:val="22"/>
        </w:rPr>
        <w:tab/>
        <w:t>1</w:t>
      </w:r>
    </w:p>
    <w:p w:rsidR="000E43AD" w:rsidRPr="00B735D4" w:rsidRDefault="00F74D4B" w:rsidP="000E43AD">
      <w:pPr>
        <w:pStyle w:val="TOC3"/>
        <w:spacing w:line="300" w:lineRule="atLeast"/>
        <w:ind w:left="288"/>
        <w:rPr>
          <w:rFonts w:asciiTheme="minorHAnsi" w:hAnsiTheme="minorHAnsi"/>
          <w:color w:val="0000FF"/>
          <w:sz w:val="22"/>
          <w:szCs w:val="22"/>
        </w:rPr>
      </w:pPr>
      <w:r w:rsidRPr="00F74D4B">
        <w:rPr>
          <w:rFonts w:asciiTheme="minorHAnsi" w:hAnsiTheme="minorHAnsi"/>
          <w:sz w:val="22"/>
          <w:szCs w:val="22"/>
        </w:rPr>
        <w:fldChar w:fldCharType="begin"/>
      </w:r>
      <w:r w:rsidR="00123EE5" w:rsidRPr="00B735D4">
        <w:rPr>
          <w:rFonts w:asciiTheme="minorHAnsi" w:hAnsiTheme="minorHAnsi"/>
          <w:sz w:val="22"/>
          <w:szCs w:val="22"/>
        </w:rPr>
        <w:instrText xml:space="preserve"> TOC \o "1-3" \h \z </w:instrText>
      </w:r>
      <w:r w:rsidRPr="00F74D4B">
        <w:rPr>
          <w:rFonts w:asciiTheme="minorHAnsi" w:hAnsiTheme="minorHAnsi"/>
          <w:sz w:val="22"/>
          <w:szCs w:val="22"/>
        </w:rPr>
        <w:fldChar w:fldCharType="separate"/>
      </w:r>
      <w:hyperlink w:anchor="_Toc81279289" w:history="1">
        <w:r w:rsidR="00E07D40" w:rsidRPr="00B735D4">
          <w:rPr>
            <w:rStyle w:val="Hyperlink"/>
            <w:rFonts w:asciiTheme="minorHAnsi" w:hAnsiTheme="minorHAnsi"/>
            <w:sz w:val="22"/>
            <w:szCs w:val="22"/>
            <w:u w:val="none"/>
          </w:rPr>
          <w:t>B</w:t>
        </w:r>
        <w:r w:rsidR="00123EE5" w:rsidRPr="00B735D4">
          <w:rPr>
            <w:rStyle w:val="Hyperlink"/>
            <w:rFonts w:asciiTheme="minorHAnsi" w:hAnsiTheme="minorHAnsi"/>
            <w:sz w:val="22"/>
            <w:szCs w:val="22"/>
            <w:u w:val="none"/>
          </w:rPr>
          <w:t xml:space="preserve">ackground </w:t>
        </w:r>
        <w:r w:rsidR="00774BC7" w:rsidRPr="00B735D4">
          <w:rPr>
            <w:rStyle w:val="Hyperlink"/>
            <w:rFonts w:asciiTheme="minorHAnsi" w:hAnsiTheme="minorHAnsi"/>
            <w:sz w:val="22"/>
            <w:szCs w:val="22"/>
            <w:u w:val="none"/>
          </w:rPr>
          <w:t>on Petroleum Marketing Program (PMP)</w:t>
        </w:r>
        <w:r w:rsidR="00123EE5" w:rsidRPr="00B735D4">
          <w:rPr>
            <w:rFonts w:asciiTheme="minorHAnsi" w:hAnsiTheme="minorHAnsi"/>
            <w:webHidden/>
            <w:sz w:val="22"/>
            <w:szCs w:val="22"/>
          </w:rPr>
          <w:tab/>
        </w:r>
      </w:hyperlink>
      <w:r w:rsidR="00DC3DB7">
        <w:t>2</w:t>
      </w:r>
    </w:p>
    <w:p w:rsidR="002F6C33" w:rsidRPr="00B735D4" w:rsidRDefault="00F74D4B" w:rsidP="002F6C33">
      <w:pPr>
        <w:pStyle w:val="TOC3"/>
        <w:spacing w:line="300" w:lineRule="atLeast"/>
        <w:ind w:left="288"/>
        <w:rPr>
          <w:rFonts w:asciiTheme="minorHAnsi" w:hAnsiTheme="minorHAnsi"/>
          <w:color w:val="0000FF"/>
          <w:sz w:val="22"/>
          <w:szCs w:val="22"/>
        </w:rPr>
      </w:pPr>
      <w:hyperlink w:anchor="_Toc81279289" w:history="1">
        <w:r w:rsidR="002F6C33" w:rsidRPr="00B735D4">
          <w:rPr>
            <w:rStyle w:val="Hyperlink"/>
            <w:rFonts w:asciiTheme="minorHAnsi" w:hAnsiTheme="minorHAnsi"/>
            <w:sz w:val="22"/>
            <w:szCs w:val="22"/>
            <w:u w:val="none"/>
          </w:rPr>
          <w:t>Uses of Data in Recurring EIA Publications</w:t>
        </w:r>
        <w:r w:rsidR="002F6C33" w:rsidRPr="00B735D4">
          <w:rPr>
            <w:rFonts w:asciiTheme="minorHAnsi" w:hAnsiTheme="minorHAnsi"/>
            <w:webHidden/>
            <w:sz w:val="22"/>
            <w:szCs w:val="22"/>
          </w:rPr>
          <w:tab/>
        </w:r>
      </w:hyperlink>
      <w:r w:rsidR="00B03B0D">
        <w:rPr>
          <w:rStyle w:val="Hyperlink"/>
          <w:rFonts w:asciiTheme="minorHAnsi" w:hAnsiTheme="minorHAnsi"/>
          <w:sz w:val="22"/>
          <w:szCs w:val="22"/>
        </w:rPr>
        <w:t>7</w:t>
      </w:r>
    </w:p>
    <w:p w:rsidR="0061684F" w:rsidRPr="00B735D4" w:rsidRDefault="00F74D4B" w:rsidP="0061684F">
      <w:pPr>
        <w:pStyle w:val="TOC3"/>
        <w:spacing w:line="300" w:lineRule="atLeast"/>
        <w:ind w:left="288"/>
        <w:rPr>
          <w:rFonts w:asciiTheme="minorHAnsi" w:hAnsiTheme="minorHAnsi"/>
          <w:color w:val="0000FF"/>
          <w:sz w:val="22"/>
          <w:szCs w:val="22"/>
        </w:rPr>
      </w:pPr>
      <w:hyperlink w:anchor="_Toc81279289" w:history="1">
        <w:r w:rsidR="0061684F">
          <w:rPr>
            <w:rStyle w:val="Hyperlink"/>
            <w:rFonts w:asciiTheme="minorHAnsi" w:hAnsiTheme="minorHAnsi"/>
            <w:sz w:val="22"/>
            <w:szCs w:val="22"/>
            <w:u w:val="none"/>
          </w:rPr>
          <w:t>A. Justification</w:t>
        </w:r>
        <w:r w:rsidR="0061684F" w:rsidRPr="00B735D4">
          <w:rPr>
            <w:rFonts w:asciiTheme="minorHAnsi" w:hAnsiTheme="minorHAnsi"/>
            <w:webHidden/>
            <w:sz w:val="22"/>
            <w:szCs w:val="22"/>
          </w:rPr>
          <w:tab/>
        </w:r>
      </w:hyperlink>
      <w:r w:rsidR="00810DC0">
        <w:rPr>
          <w:rStyle w:val="Hyperlink"/>
          <w:rFonts w:asciiTheme="minorHAnsi" w:hAnsiTheme="minorHAnsi"/>
          <w:sz w:val="22"/>
          <w:szCs w:val="22"/>
        </w:rPr>
        <w:t>9</w:t>
      </w:r>
    </w:p>
    <w:p w:rsidR="00E07D40" w:rsidRPr="00B735D4" w:rsidRDefault="00F74D4B" w:rsidP="004E1172">
      <w:pPr>
        <w:pStyle w:val="TOC3"/>
        <w:spacing w:line="300" w:lineRule="atLeast"/>
        <w:ind w:left="288"/>
        <w:rPr>
          <w:rFonts w:asciiTheme="minorHAnsi" w:hAnsiTheme="minorHAnsi"/>
          <w:sz w:val="22"/>
          <w:szCs w:val="22"/>
        </w:rPr>
      </w:pPr>
      <w:hyperlink w:anchor="_Toc81279291" w:history="1">
        <w:r w:rsidR="00123EE5" w:rsidRPr="00B735D4">
          <w:rPr>
            <w:rStyle w:val="Hyperlink"/>
            <w:rFonts w:asciiTheme="minorHAnsi" w:hAnsiTheme="minorHAnsi"/>
            <w:sz w:val="22"/>
            <w:szCs w:val="22"/>
            <w:u w:val="none"/>
            <w:lang w:val="fr-FR"/>
          </w:rPr>
          <w:t xml:space="preserve">A.1.  </w:t>
        </w:r>
        <w:r w:rsidR="00123EE5" w:rsidRPr="00B735D4">
          <w:rPr>
            <w:rStyle w:val="Hyperlink"/>
            <w:rFonts w:asciiTheme="minorHAnsi" w:hAnsiTheme="minorHAnsi"/>
            <w:sz w:val="22"/>
            <w:szCs w:val="22"/>
            <w:u w:val="none"/>
          </w:rPr>
          <w:t>Legal Justification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u w:val="none"/>
        </w:rPr>
        <w:t>9</w:t>
      </w:r>
    </w:p>
    <w:p w:rsidR="00E07D40" w:rsidRPr="00B735D4" w:rsidRDefault="00F74D4B" w:rsidP="004E1172">
      <w:pPr>
        <w:pStyle w:val="TOC3"/>
        <w:spacing w:line="300" w:lineRule="atLeast"/>
        <w:ind w:left="288"/>
        <w:rPr>
          <w:rFonts w:asciiTheme="minorHAnsi" w:hAnsiTheme="minorHAnsi"/>
          <w:sz w:val="22"/>
          <w:szCs w:val="22"/>
        </w:rPr>
      </w:pPr>
      <w:hyperlink w:anchor="_Toc81279292" w:history="1">
        <w:r w:rsidR="00123EE5" w:rsidRPr="00B735D4">
          <w:rPr>
            <w:rStyle w:val="Hyperlink"/>
            <w:rFonts w:asciiTheme="minorHAnsi" w:hAnsiTheme="minorHAnsi"/>
            <w:sz w:val="22"/>
            <w:szCs w:val="22"/>
            <w:u w:val="none"/>
          </w:rPr>
          <w:t xml:space="preserve">A.2.  </w:t>
        </w:r>
        <w:r w:rsidR="00341FA7" w:rsidRPr="00B735D4">
          <w:rPr>
            <w:rFonts w:asciiTheme="minorHAnsi" w:hAnsiTheme="minorHAnsi"/>
            <w:bCs/>
            <w:sz w:val="22"/>
            <w:szCs w:val="22"/>
          </w:rPr>
          <w:t>Need for and Uses of Petroleum Marketing Data</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F74D4B" w:rsidP="004E1172">
      <w:pPr>
        <w:pStyle w:val="TOC3"/>
        <w:spacing w:line="300" w:lineRule="atLeast"/>
        <w:ind w:left="288"/>
        <w:rPr>
          <w:rFonts w:asciiTheme="minorHAnsi" w:hAnsiTheme="minorHAnsi"/>
          <w:sz w:val="22"/>
          <w:szCs w:val="22"/>
        </w:rPr>
      </w:pPr>
      <w:hyperlink w:anchor="_Toc81279293" w:history="1">
        <w:r w:rsidR="00123EE5" w:rsidRPr="00B735D4">
          <w:rPr>
            <w:rStyle w:val="Hyperlink"/>
            <w:rFonts w:asciiTheme="minorHAnsi" w:hAnsiTheme="minorHAnsi"/>
            <w:sz w:val="22"/>
            <w:szCs w:val="22"/>
          </w:rPr>
          <w:t>A.2.1. Overview of Data Uses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2</w:t>
      </w:r>
    </w:p>
    <w:p w:rsidR="00123EE5" w:rsidRPr="00B735D4" w:rsidRDefault="00F74D4B" w:rsidP="004E1172">
      <w:pPr>
        <w:pStyle w:val="TOC3"/>
        <w:spacing w:line="300" w:lineRule="atLeast"/>
        <w:ind w:left="288"/>
        <w:rPr>
          <w:rFonts w:asciiTheme="minorHAnsi" w:hAnsiTheme="minorHAnsi"/>
          <w:sz w:val="22"/>
          <w:szCs w:val="22"/>
        </w:rPr>
      </w:pPr>
      <w:hyperlink w:anchor="_Toc81279294" w:history="1">
        <w:r w:rsidR="00123EE5" w:rsidRPr="00B735D4">
          <w:rPr>
            <w:rStyle w:val="Hyperlink"/>
            <w:rFonts w:asciiTheme="minorHAnsi" w:hAnsiTheme="minorHAnsi"/>
            <w:sz w:val="22"/>
            <w:szCs w:val="22"/>
          </w:rPr>
          <w:t>A.2.2.  Overview of Data Collections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F74D4B" w:rsidP="004E1172">
      <w:pPr>
        <w:pStyle w:val="TOC3"/>
        <w:spacing w:line="300" w:lineRule="atLeast"/>
        <w:ind w:left="288"/>
        <w:rPr>
          <w:rFonts w:asciiTheme="minorHAnsi" w:hAnsiTheme="minorHAnsi"/>
          <w:sz w:val="22"/>
          <w:szCs w:val="22"/>
        </w:rPr>
      </w:pPr>
      <w:hyperlink w:anchor="_Toc81279295" w:history="1">
        <w:r w:rsidR="00123EE5" w:rsidRPr="00B735D4">
          <w:rPr>
            <w:rStyle w:val="Hyperlink"/>
            <w:rFonts w:asciiTheme="minorHAnsi" w:hAnsiTheme="minorHAnsi"/>
            <w:sz w:val="22"/>
            <w:szCs w:val="22"/>
          </w:rPr>
          <w:t>A.2.3.  Individual Form Data Uses and Modifications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1</w:t>
      </w:r>
      <w:r w:rsidR="00DC3DB7">
        <w:rPr>
          <w:rStyle w:val="Hyperlink"/>
          <w:rFonts w:asciiTheme="minorHAnsi" w:hAnsiTheme="minorHAnsi"/>
          <w:sz w:val="22"/>
          <w:szCs w:val="22"/>
        </w:rPr>
        <w:t>3</w:t>
      </w:r>
    </w:p>
    <w:p w:rsidR="00123EE5" w:rsidRPr="00B735D4" w:rsidRDefault="00F74D4B" w:rsidP="004E1172">
      <w:pPr>
        <w:pStyle w:val="TOC3"/>
        <w:spacing w:line="300" w:lineRule="atLeast"/>
        <w:ind w:left="288"/>
        <w:rPr>
          <w:rFonts w:asciiTheme="minorHAnsi" w:hAnsiTheme="minorHAnsi"/>
          <w:sz w:val="22"/>
          <w:szCs w:val="22"/>
        </w:rPr>
      </w:pPr>
      <w:hyperlink w:anchor="_Toc81279296" w:history="1">
        <w:r w:rsidR="00123EE5" w:rsidRPr="00B735D4">
          <w:rPr>
            <w:rStyle w:val="Hyperlink"/>
            <w:rFonts w:asciiTheme="minorHAnsi" w:hAnsiTheme="minorHAnsi"/>
            <w:sz w:val="22"/>
            <w:szCs w:val="22"/>
          </w:rPr>
          <w:t>A.3.  Use of Technology and Reduction of Burden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123EE5" w:rsidRPr="00B735D4" w:rsidRDefault="00F74D4B" w:rsidP="004E1172">
      <w:pPr>
        <w:pStyle w:val="TOC3"/>
        <w:spacing w:line="300" w:lineRule="atLeast"/>
        <w:ind w:left="288"/>
        <w:rPr>
          <w:rFonts w:asciiTheme="minorHAnsi" w:hAnsiTheme="minorHAnsi"/>
          <w:sz w:val="22"/>
          <w:szCs w:val="22"/>
        </w:rPr>
      </w:pPr>
      <w:hyperlink w:anchor="_Toc81279297" w:history="1">
        <w:r w:rsidR="00123EE5" w:rsidRPr="00B735D4">
          <w:rPr>
            <w:rStyle w:val="Hyperlink"/>
            <w:rFonts w:asciiTheme="minorHAnsi" w:hAnsiTheme="minorHAnsi"/>
            <w:sz w:val="22"/>
            <w:szCs w:val="22"/>
          </w:rPr>
          <w:t>A.4.  Efforts to Reduce Duplication</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31</w:t>
      </w:r>
    </w:p>
    <w:p w:rsidR="00952DAF" w:rsidRPr="00B735D4" w:rsidRDefault="00F74D4B" w:rsidP="004E1172">
      <w:pPr>
        <w:pStyle w:val="TOC3"/>
        <w:spacing w:line="300" w:lineRule="atLeast"/>
        <w:ind w:left="288"/>
        <w:rPr>
          <w:rFonts w:asciiTheme="minorHAnsi" w:hAnsiTheme="minorHAnsi"/>
          <w:sz w:val="22"/>
          <w:szCs w:val="22"/>
        </w:rPr>
      </w:pPr>
      <w:hyperlink w:anchor="_Toc81279298" w:history="1">
        <w:r w:rsidR="00123EE5" w:rsidRPr="00B735D4">
          <w:rPr>
            <w:rStyle w:val="Hyperlink"/>
            <w:rFonts w:asciiTheme="minorHAnsi" w:hAnsiTheme="minorHAnsi"/>
            <w:sz w:val="22"/>
            <w:szCs w:val="22"/>
          </w:rPr>
          <w:t>A.4.1.  Analysis of Similar Existing Information</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3</w:t>
      </w:r>
      <w:r w:rsidR="00DC3DB7">
        <w:rPr>
          <w:rStyle w:val="Hyperlink"/>
          <w:rFonts w:asciiTheme="minorHAnsi" w:hAnsiTheme="minorHAnsi"/>
          <w:sz w:val="22"/>
          <w:szCs w:val="22"/>
        </w:rPr>
        <w:t>2</w:t>
      </w:r>
    </w:p>
    <w:p w:rsidR="00123EE5" w:rsidRPr="00B735D4" w:rsidRDefault="00F74D4B" w:rsidP="004E1172">
      <w:pPr>
        <w:pStyle w:val="TOC3"/>
        <w:spacing w:line="300" w:lineRule="atLeast"/>
        <w:ind w:left="288"/>
        <w:rPr>
          <w:rFonts w:asciiTheme="minorHAnsi" w:hAnsiTheme="minorHAnsi"/>
          <w:sz w:val="22"/>
          <w:szCs w:val="22"/>
        </w:rPr>
      </w:pPr>
      <w:hyperlink w:anchor="_Toc81279299" w:history="1">
        <w:r w:rsidR="00123EE5" w:rsidRPr="00B735D4">
          <w:rPr>
            <w:rStyle w:val="Hyperlink"/>
            <w:rFonts w:asciiTheme="minorHAnsi" w:hAnsiTheme="minorHAnsi"/>
            <w:sz w:val="22"/>
            <w:szCs w:val="22"/>
          </w:rPr>
          <w:t>A.5.  Provisions for Reducing Burden on Small Businesses</w:t>
        </w:r>
        <w:r w:rsidR="00123EE5" w:rsidRPr="00B735D4">
          <w:rPr>
            <w:rFonts w:asciiTheme="minorHAnsi" w:hAnsiTheme="minorHAnsi"/>
            <w:webHidden/>
            <w:sz w:val="22"/>
            <w:szCs w:val="22"/>
          </w:rPr>
          <w:tab/>
        </w:r>
      </w:hyperlink>
      <w:r w:rsidR="00DC3DB7">
        <w:rPr>
          <w:rStyle w:val="Hyperlink"/>
          <w:rFonts w:asciiTheme="minorHAnsi" w:hAnsiTheme="minorHAnsi"/>
          <w:sz w:val="22"/>
          <w:szCs w:val="22"/>
        </w:rPr>
        <w:t>4</w:t>
      </w:r>
      <w:r w:rsidR="00314A45">
        <w:rPr>
          <w:rStyle w:val="Hyperlink"/>
          <w:rFonts w:asciiTheme="minorHAnsi" w:hAnsiTheme="minorHAnsi"/>
          <w:sz w:val="22"/>
          <w:szCs w:val="22"/>
        </w:rPr>
        <w:t>0</w:t>
      </w:r>
    </w:p>
    <w:p w:rsidR="00123EE5" w:rsidRPr="00B735D4" w:rsidRDefault="00F74D4B" w:rsidP="004E1172">
      <w:pPr>
        <w:pStyle w:val="TOC3"/>
        <w:spacing w:line="300" w:lineRule="atLeast"/>
        <w:ind w:left="288"/>
        <w:rPr>
          <w:rFonts w:asciiTheme="minorHAnsi" w:hAnsiTheme="minorHAnsi"/>
          <w:sz w:val="22"/>
          <w:szCs w:val="22"/>
        </w:rPr>
      </w:pPr>
      <w:hyperlink w:anchor="_Toc81279300" w:history="1">
        <w:r w:rsidR="00123EE5" w:rsidRPr="00B735D4">
          <w:rPr>
            <w:rStyle w:val="Hyperlink"/>
            <w:rFonts w:asciiTheme="minorHAnsi" w:hAnsiTheme="minorHAnsi"/>
            <w:sz w:val="22"/>
            <w:szCs w:val="22"/>
          </w:rPr>
          <w:t>A.6.  Consequences of Less-Frequent Reporting</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DC3DB7">
        <w:rPr>
          <w:rStyle w:val="Hyperlink"/>
          <w:rFonts w:asciiTheme="minorHAnsi" w:hAnsiTheme="minorHAnsi"/>
          <w:sz w:val="22"/>
          <w:szCs w:val="22"/>
        </w:rPr>
        <w:t>2</w:t>
      </w:r>
    </w:p>
    <w:p w:rsidR="00123EE5" w:rsidRPr="00B735D4" w:rsidRDefault="00F74D4B" w:rsidP="004E1172">
      <w:pPr>
        <w:pStyle w:val="TOC3"/>
        <w:spacing w:line="300" w:lineRule="atLeast"/>
        <w:ind w:left="288"/>
        <w:rPr>
          <w:rFonts w:asciiTheme="minorHAnsi" w:hAnsiTheme="minorHAnsi"/>
          <w:sz w:val="22"/>
          <w:szCs w:val="22"/>
        </w:rPr>
      </w:pPr>
      <w:hyperlink w:anchor="_Toc81279301" w:history="1">
        <w:r w:rsidR="00123EE5" w:rsidRPr="00B735D4">
          <w:rPr>
            <w:rStyle w:val="Hyperlink"/>
            <w:rFonts w:asciiTheme="minorHAnsi" w:hAnsiTheme="minorHAnsi"/>
            <w:sz w:val="22"/>
            <w:szCs w:val="22"/>
          </w:rPr>
          <w:t>A.7.  Compliance with 5 CFR 1320.5</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F74D4B" w:rsidP="004E1172">
      <w:pPr>
        <w:pStyle w:val="TOC3"/>
        <w:spacing w:line="300" w:lineRule="atLeast"/>
        <w:ind w:left="288"/>
        <w:rPr>
          <w:rFonts w:asciiTheme="minorHAnsi" w:hAnsiTheme="minorHAnsi"/>
          <w:sz w:val="22"/>
          <w:szCs w:val="22"/>
        </w:rPr>
      </w:pPr>
      <w:hyperlink w:anchor="_Toc81279302" w:history="1">
        <w:r w:rsidR="00123EE5" w:rsidRPr="00B735D4">
          <w:rPr>
            <w:rStyle w:val="Hyperlink"/>
            <w:rFonts w:asciiTheme="minorHAnsi" w:hAnsiTheme="minorHAnsi"/>
            <w:sz w:val="22"/>
            <w:szCs w:val="22"/>
          </w:rPr>
          <w:t>A.8.  Summary of Consultations Outside the Agency</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3</w:t>
      </w:r>
    </w:p>
    <w:p w:rsidR="00123EE5" w:rsidRPr="00B735D4" w:rsidRDefault="00F74D4B" w:rsidP="004E1172">
      <w:pPr>
        <w:pStyle w:val="TOC3"/>
        <w:spacing w:line="300" w:lineRule="atLeast"/>
        <w:ind w:left="288"/>
        <w:rPr>
          <w:rFonts w:asciiTheme="minorHAnsi" w:hAnsiTheme="minorHAnsi"/>
          <w:sz w:val="22"/>
          <w:szCs w:val="22"/>
        </w:rPr>
      </w:pPr>
      <w:hyperlink w:anchor="_Toc81279303" w:history="1">
        <w:r w:rsidR="00123EE5" w:rsidRPr="00B735D4">
          <w:rPr>
            <w:rStyle w:val="Hyperlink"/>
            <w:rFonts w:asciiTheme="minorHAnsi" w:hAnsiTheme="minorHAnsi"/>
            <w:sz w:val="22"/>
            <w:szCs w:val="22"/>
          </w:rPr>
          <w:t>A.9.   Payments or Gifts to Respondents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F74D4B" w:rsidP="004E1172">
      <w:pPr>
        <w:pStyle w:val="TOC3"/>
        <w:spacing w:line="300" w:lineRule="atLeast"/>
        <w:ind w:left="288"/>
        <w:rPr>
          <w:rFonts w:asciiTheme="minorHAnsi" w:hAnsiTheme="minorHAnsi"/>
          <w:sz w:val="22"/>
          <w:szCs w:val="22"/>
        </w:rPr>
      </w:pPr>
      <w:hyperlink w:anchor="_Toc81279304" w:history="1">
        <w:r w:rsidR="00123EE5" w:rsidRPr="00B735D4">
          <w:rPr>
            <w:rStyle w:val="Hyperlink"/>
            <w:rFonts w:asciiTheme="minorHAnsi" w:hAnsiTheme="minorHAnsi"/>
            <w:sz w:val="22"/>
            <w:szCs w:val="22"/>
          </w:rPr>
          <w:t>A.10  Provisions for Confidentiality of Information</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4</w:t>
      </w:r>
    </w:p>
    <w:p w:rsidR="00123EE5" w:rsidRPr="00B735D4" w:rsidRDefault="00F74D4B" w:rsidP="004E1172">
      <w:pPr>
        <w:pStyle w:val="TOC3"/>
        <w:spacing w:line="300" w:lineRule="atLeast"/>
        <w:ind w:left="288"/>
        <w:rPr>
          <w:rFonts w:asciiTheme="minorHAnsi" w:hAnsiTheme="minorHAnsi"/>
          <w:sz w:val="22"/>
          <w:szCs w:val="22"/>
        </w:rPr>
      </w:pPr>
      <w:hyperlink w:anchor="_Toc81279305" w:history="1">
        <w:r w:rsidR="00123EE5" w:rsidRPr="00B735D4">
          <w:rPr>
            <w:rStyle w:val="Hyperlink"/>
            <w:rFonts w:asciiTheme="minorHAnsi" w:hAnsiTheme="minorHAnsi"/>
            <w:sz w:val="22"/>
            <w:szCs w:val="22"/>
          </w:rPr>
          <w:t>A.11. Justification for Sensitive Questions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F74D4B" w:rsidP="004E1172">
      <w:pPr>
        <w:pStyle w:val="TOC3"/>
        <w:spacing w:line="300" w:lineRule="atLeast"/>
        <w:ind w:left="288"/>
        <w:rPr>
          <w:rFonts w:asciiTheme="minorHAnsi" w:hAnsiTheme="minorHAnsi"/>
          <w:sz w:val="22"/>
          <w:szCs w:val="22"/>
        </w:rPr>
      </w:pPr>
      <w:hyperlink w:anchor="_Toc81279306" w:history="1">
        <w:r w:rsidR="00123EE5" w:rsidRPr="00B735D4">
          <w:rPr>
            <w:rStyle w:val="Hyperlink"/>
            <w:rFonts w:asciiTheme="minorHAnsi" w:hAnsiTheme="minorHAnsi"/>
            <w:sz w:val="22"/>
            <w:szCs w:val="22"/>
          </w:rPr>
          <w:t>A.12. Estimate of Respondent Burden Hours and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6</w:t>
      </w:r>
    </w:p>
    <w:p w:rsidR="00123EE5" w:rsidRPr="00B735D4" w:rsidRDefault="00F74D4B" w:rsidP="004E1172">
      <w:pPr>
        <w:pStyle w:val="TOC3"/>
        <w:spacing w:line="300" w:lineRule="atLeast"/>
        <w:ind w:left="288"/>
        <w:rPr>
          <w:rFonts w:asciiTheme="minorHAnsi" w:hAnsiTheme="minorHAnsi"/>
          <w:sz w:val="22"/>
          <w:szCs w:val="22"/>
        </w:rPr>
      </w:pPr>
      <w:hyperlink w:anchor="_Toc81279307" w:history="1">
        <w:r w:rsidR="00123EE5" w:rsidRPr="00B735D4">
          <w:rPr>
            <w:rStyle w:val="Hyperlink"/>
            <w:rFonts w:asciiTheme="minorHAnsi" w:hAnsiTheme="minorHAnsi"/>
            <w:sz w:val="22"/>
            <w:szCs w:val="22"/>
          </w:rPr>
          <w:t>A.13. Annual Reporting and Record Keeping - Cost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F74D4B" w:rsidP="004E1172">
      <w:pPr>
        <w:pStyle w:val="TOC3"/>
        <w:spacing w:line="300" w:lineRule="atLeast"/>
        <w:ind w:left="288"/>
        <w:rPr>
          <w:rFonts w:asciiTheme="minorHAnsi" w:hAnsiTheme="minorHAnsi"/>
          <w:sz w:val="22"/>
          <w:szCs w:val="22"/>
        </w:rPr>
      </w:pPr>
      <w:hyperlink w:anchor="_Toc81279308" w:history="1">
        <w:r w:rsidR="00123EE5" w:rsidRPr="00B735D4">
          <w:rPr>
            <w:rStyle w:val="Hyperlink"/>
            <w:rFonts w:asciiTheme="minorHAnsi" w:hAnsiTheme="minorHAnsi"/>
            <w:sz w:val="22"/>
            <w:szCs w:val="22"/>
          </w:rPr>
          <w:t>A</w:t>
        </w:r>
        <w:r w:rsidR="00F41554">
          <w:rPr>
            <w:rStyle w:val="Hyperlink"/>
            <w:rFonts w:asciiTheme="minorHAnsi" w:hAnsiTheme="minorHAnsi"/>
            <w:sz w:val="22"/>
            <w:szCs w:val="22"/>
          </w:rPr>
          <w:t xml:space="preserve">.14. Annual Cost to the </w:t>
        </w:r>
        <w:r w:rsidR="00123EE5" w:rsidRPr="00B735D4">
          <w:rPr>
            <w:rStyle w:val="Hyperlink"/>
            <w:rFonts w:asciiTheme="minorHAnsi" w:hAnsiTheme="minorHAnsi"/>
            <w:sz w:val="22"/>
            <w:szCs w:val="22"/>
          </w:rPr>
          <w:t>Government</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7</w:t>
      </w:r>
    </w:p>
    <w:p w:rsidR="00123EE5" w:rsidRPr="00B735D4" w:rsidRDefault="00123EE5" w:rsidP="004E1172">
      <w:pPr>
        <w:pStyle w:val="TOC3"/>
        <w:spacing w:line="300" w:lineRule="atLeast"/>
        <w:ind w:left="288"/>
        <w:rPr>
          <w:rStyle w:val="Hyperlink"/>
          <w:rFonts w:asciiTheme="minorHAnsi" w:hAnsiTheme="minorHAnsi"/>
          <w:sz w:val="22"/>
          <w:szCs w:val="22"/>
        </w:rPr>
      </w:pPr>
      <w:r w:rsidRPr="00B735D4">
        <w:rPr>
          <w:rStyle w:val="Hyperlink"/>
          <w:rFonts w:asciiTheme="minorHAnsi" w:hAnsiTheme="minorHAnsi"/>
          <w:color w:val="auto"/>
          <w:sz w:val="22"/>
          <w:szCs w:val="22"/>
          <w:u w:val="none"/>
        </w:rPr>
        <w:t>A.15. Changes in Burden</w:t>
      </w:r>
      <w:r w:rsidRPr="00B735D4">
        <w:rPr>
          <w:rStyle w:val="Hyperlink"/>
          <w:rFonts w:asciiTheme="minorHAnsi" w:hAnsiTheme="minorHAnsi"/>
          <w:color w:val="auto"/>
          <w:sz w:val="22"/>
          <w:szCs w:val="22"/>
          <w:u w:val="none"/>
        </w:rPr>
        <w:tab/>
      </w:r>
      <w:r w:rsidR="00B03B0D">
        <w:rPr>
          <w:rStyle w:val="Hyperlink"/>
          <w:rFonts w:asciiTheme="minorHAnsi" w:hAnsiTheme="minorHAnsi"/>
          <w:sz w:val="22"/>
          <w:szCs w:val="22"/>
        </w:rPr>
        <w:t>4</w:t>
      </w:r>
      <w:r w:rsidR="007A41E6">
        <w:rPr>
          <w:rStyle w:val="Hyperlink"/>
          <w:rFonts w:asciiTheme="minorHAnsi" w:hAnsiTheme="minorHAnsi"/>
          <w:sz w:val="22"/>
          <w:szCs w:val="22"/>
        </w:rPr>
        <w:t>8</w:t>
      </w:r>
    </w:p>
    <w:p w:rsidR="00123EE5" w:rsidRPr="00B735D4" w:rsidRDefault="00F74D4B" w:rsidP="004E1172">
      <w:pPr>
        <w:pStyle w:val="TOC3"/>
        <w:spacing w:line="300" w:lineRule="atLeast"/>
        <w:ind w:left="288"/>
        <w:rPr>
          <w:rFonts w:asciiTheme="minorHAnsi" w:hAnsiTheme="minorHAnsi"/>
          <w:sz w:val="22"/>
          <w:szCs w:val="22"/>
        </w:rPr>
      </w:pPr>
      <w:hyperlink w:anchor="_Toc81279309" w:history="1">
        <w:r w:rsidR="00123EE5" w:rsidRPr="00B735D4">
          <w:rPr>
            <w:rStyle w:val="Hyperlink"/>
            <w:rFonts w:asciiTheme="minorHAnsi" w:hAnsiTheme="minorHAnsi"/>
            <w:sz w:val="22"/>
            <w:szCs w:val="22"/>
          </w:rPr>
          <w:t>A.16. Collection, Tabulation, and Publication Plans</w:t>
        </w:r>
        <w:r w:rsidR="00123EE5" w:rsidRPr="00B735D4">
          <w:rPr>
            <w:rFonts w:asciiTheme="minorHAnsi" w:hAnsiTheme="minorHAnsi"/>
            <w:webHidden/>
            <w:sz w:val="22"/>
            <w:szCs w:val="22"/>
          </w:rPr>
          <w:tab/>
        </w:r>
      </w:hyperlink>
      <w:r w:rsidR="00B03B0D">
        <w:rPr>
          <w:rStyle w:val="Hyperlink"/>
          <w:rFonts w:asciiTheme="minorHAnsi" w:hAnsiTheme="minorHAnsi"/>
          <w:sz w:val="22"/>
          <w:szCs w:val="22"/>
        </w:rPr>
        <w:t>4</w:t>
      </w:r>
      <w:r w:rsidR="00314A45">
        <w:rPr>
          <w:rStyle w:val="Hyperlink"/>
          <w:rFonts w:asciiTheme="minorHAnsi" w:hAnsiTheme="minorHAnsi"/>
          <w:sz w:val="22"/>
          <w:szCs w:val="22"/>
        </w:rPr>
        <w:t>8</w:t>
      </w:r>
    </w:p>
    <w:p w:rsidR="00123EE5" w:rsidRPr="00B735D4" w:rsidRDefault="00F74D4B" w:rsidP="004E1172">
      <w:pPr>
        <w:pStyle w:val="TOC3"/>
        <w:spacing w:line="300" w:lineRule="atLeast"/>
        <w:ind w:left="288"/>
        <w:rPr>
          <w:rFonts w:asciiTheme="minorHAnsi" w:hAnsiTheme="minorHAnsi"/>
          <w:sz w:val="22"/>
          <w:szCs w:val="22"/>
        </w:rPr>
      </w:pPr>
      <w:hyperlink w:anchor="_Toc81279310" w:history="1">
        <w:r w:rsidR="00123EE5" w:rsidRPr="00B735D4">
          <w:rPr>
            <w:rStyle w:val="Hyperlink"/>
            <w:rFonts w:asciiTheme="minorHAnsi" w:hAnsiTheme="minorHAnsi"/>
            <w:sz w:val="22"/>
            <w:szCs w:val="22"/>
          </w:rPr>
          <w:t>A.17. OMB Number and Expiration Date</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123EE5" w:rsidRPr="00B735D4" w:rsidRDefault="00F74D4B" w:rsidP="004E1172">
      <w:pPr>
        <w:pStyle w:val="TOC3"/>
        <w:spacing w:line="300" w:lineRule="atLeast"/>
        <w:ind w:left="288"/>
        <w:rPr>
          <w:rFonts w:asciiTheme="minorHAnsi" w:hAnsiTheme="minorHAnsi"/>
          <w:sz w:val="22"/>
          <w:szCs w:val="22"/>
        </w:rPr>
      </w:pPr>
      <w:hyperlink w:anchor="_Toc81279311" w:history="1">
        <w:r w:rsidR="00123EE5" w:rsidRPr="00B735D4">
          <w:rPr>
            <w:rStyle w:val="Hyperlink"/>
            <w:rFonts w:asciiTheme="minorHAnsi" w:hAnsiTheme="minorHAnsi"/>
            <w:sz w:val="22"/>
            <w:szCs w:val="22"/>
          </w:rPr>
          <w:t>A.18. Certification Statement</w:t>
        </w:r>
        <w:r w:rsidR="00123EE5" w:rsidRPr="00B735D4">
          <w:rPr>
            <w:rFonts w:asciiTheme="minorHAnsi" w:hAnsiTheme="minorHAnsi"/>
            <w:webHidden/>
            <w:sz w:val="22"/>
            <w:szCs w:val="22"/>
          </w:rPr>
          <w:tab/>
        </w:r>
      </w:hyperlink>
      <w:r w:rsidR="00314A45">
        <w:rPr>
          <w:rStyle w:val="Hyperlink"/>
          <w:rFonts w:asciiTheme="minorHAnsi" w:hAnsiTheme="minorHAnsi"/>
          <w:sz w:val="22"/>
          <w:szCs w:val="22"/>
        </w:rPr>
        <w:t>49</w:t>
      </w:r>
    </w:p>
    <w:p w:rsidR="00B735D4" w:rsidRPr="00B735D4" w:rsidRDefault="00B735D4" w:rsidP="004E1172">
      <w:pPr>
        <w:pStyle w:val="TOC3"/>
        <w:spacing w:line="300" w:lineRule="atLeast"/>
        <w:ind w:left="288"/>
        <w:rPr>
          <w:rFonts w:asciiTheme="minorHAnsi" w:hAnsiTheme="minorHAnsi"/>
          <w:sz w:val="22"/>
          <w:szCs w:val="22"/>
        </w:rPr>
      </w:pPr>
      <w:r w:rsidRPr="00B735D4">
        <w:rPr>
          <w:rFonts w:asciiTheme="minorHAnsi" w:hAnsiTheme="minorHAnsi"/>
          <w:sz w:val="22"/>
          <w:szCs w:val="22"/>
        </w:rPr>
        <w:t>Part B</w:t>
      </w:r>
    </w:p>
    <w:p w:rsidR="00123EE5" w:rsidRPr="00B735D4" w:rsidRDefault="00F74D4B" w:rsidP="004E1172">
      <w:pPr>
        <w:pStyle w:val="TOC3"/>
        <w:spacing w:line="300" w:lineRule="atLeast"/>
        <w:ind w:left="288"/>
        <w:rPr>
          <w:rFonts w:asciiTheme="minorHAnsi" w:hAnsiTheme="minorHAnsi"/>
          <w:sz w:val="22"/>
          <w:szCs w:val="22"/>
        </w:rPr>
      </w:pPr>
      <w:hyperlink w:anchor="_Toc81279312" w:history="1">
        <w:r w:rsidR="00123EE5" w:rsidRPr="00B735D4">
          <w:rPr>
            <w:rStyle w:val="Hyperlink"/>
            <w:rFonts w:asciiTheme="minorHAnsi" w:hAnsiTheme="minorHAnsi"/>
            <w:sz w:val="22"/>
            <w:szCs w:val="22"/>
          </w:rPr>
          <w:t xml:space="preserve">B.  </w:t>
        </w:r>
        <w:r w:rsidR="000E43AD" w:rsidRPr="00B735D4">
          <w:rPr>
            <w:rStyle w:val="Hyperlink"/>
            <w:rFonts w:asciiTheme="minorHAnsi" w:hAnsiTheme="minorHAnsi"/>
            <w:sz w:val="22"/>
            <w:szCs w:val="22"/>
          </w:rPr>
          <w:t xml:space="preserve">Introduction to </w:t>
        </w:r>
        <w:r w:rsidR="00123EE5" w:rsidRPr="00B735D4">
          <w:rPr>
            <w:rStyle w:val="Hyperlink"/>
            <w:rFonts w:asciiTheme="minorHAnsi" w:hAnsiTheme="minorHAnsi"/>
            <w:sz w:val="22"/>
            <w:szCs w:val="22"/>
          </w:rPr>
          <w:t>Collection of Information Employing Statistical Methods</w:t>
        </w:r>
        <w:r w:rsidR="00123EE5" w:rsidRPr="00B735D4">
          <w:rPr>
            <w:rFonts w:asciiTheme="minorHAnsi" w:hAnsiTheme="minorHAnsi"/>
            <w:webHidden/>
            <w:sz w:val="22"/>
            <w:szCs w:val="22"/>
          </w:rPr>
          <w:tab/>
        </w:r>
      </w:hyperlink>
      <w:r w:rsidR="000E43AD" w:rsidRPr="00B735D4">
        <w:rPr>
          <w:rStyle w:val="Hyperlink"/>
          <w:rFonts w:asciiTheme="minorHAnsi" w:hAnsiTheme="minorHAnsi"/>
          <w:sz w:val="22"/>
          <w:szCs w:val="22"/>
        </w:rPr>
        <w:t>1</w:t>
      </w:r>
    </w:p>
    <w:p w:rsidR="00123EE5" w:rsidRPr="00B735D4" w:rsidRDefault="00F74D4B" w:rsidP="004E1172">
      <w:pPr>
        <w:pStyle w:val="TOC3"/>
        <w:spacing w:line="300" w:lineRule="atLeast"/>
        <w:ind w:left="288"/>
        <w:rPr>
          <w:rFonts w:asciiTheme="minorHAnsi" w:hAnsiTheme="minorHAnsi"/>
          <w:sz w:val="22"/>
          <w:szCs w:val="22"/>
        </w:rPr>
      </w:pPr>
      <w:hyperlink w:anchor="_Toc81279313" w:history="1">
        <w:r w:rsidR="000E43AD" w:rsidRPr="00B735D4">
          <w:rPr>
            <w:rStyle w:val="Hyperlink"/>
            <w:rFonts w:asciiTheme="minorHAnsi" w:hAnsiTheme="minorHAnsi"/>
            <w:sz w:val="22"/>
            <w:szCs w:val="22"/>
          </w:rPr>
          <w:t>B.1. Frame and Target Population</w:t>
        </w:r>
        <w:r w:rsidR="00123EE5" w:rsidRPr="00B735D4">
          <w:rPr>
            <w:rFonts w:asciiTheme="minorHAnsi" w:hAnsiTheme="minorHAnsi"/>
            <w:webHidden/>
            <w:sz w:val="22"/>
            <w:szCs w:val="22"/>
          </w:rPr>
          <w:tab/>
          <w:t>…..</w:t>
        </w:r>
      </w:hyperlink>
      <w:r w:rsidR="00542D6E">
        <w:rPr>
          <w:rFonts w:asciiTheme="minorHAnsi" w:hAnsiTheme="minorHAnsi"/>
          <w:color w:val="0000FF"/>
          <w:sz w:val="22"/>
          <w:szCs w:val="22"/>
          <w:u w:val="single"/>
        </w:rPr>
        <w:t>2</w:t>
      </w:r>
      <w:r w:rsidR="00123EE5" w:rsidRPr="00B735D4">
        <w:rPr>
          <w:rFonts w:asciiTheme="minorHAnsi" w:hAnsiTheme="minorHAnsi"/>
          <w:sz w:val="22"/>
          <w:szCs w:val="22"/>
        </w:rPr>
        <w:t xml:space="preserve"> </w:t>
      </w:r>
    </w:p>
    <w:p w:rsidR="00123EE5" w:rsidRPr="00B735D4" w:rsidRDefault="00F74D4B" w:rsidP="004E1172">
      <w:pPr>
        <w:pStyle w:val="TOC3"/>
        <w:spacing w:line="300" w:lineRule="atLeast"/>
        <w:ind w:left="288"/>
        <w:rPr>
          <w:rFonts w:asciiTheme="minorHAnsi" w:hAnsiTheme="minorHAnsi"/>
          <w:sz w:val="22"/>
          <w:szCs w:val="22"/>
        </w:rPr>
      </w:pPr>
      <w:hyperlink w:anchor="_Toc81279314" w:history="1">
        <w:r w:rsidR="00F16AA8" w:rsidRPr="00B735D4">
          <w:rPr>
            <w:rStyle w:val="Hyperlink"/>
            <w:rFonts w:asciiTheme="minorHAnsi" w:hAnsiTheme="minorHAnsi"/>
            <w:color w:val="auto"/>
            <w:sz w:val="22"/>
            <w:szCs w:val="22"/>
          </w:rPr>
          <w:t>B.2. Sampling Methodology and Estimation Procedures</w:t>
        </w:r>
        <w:r w:rsidR="00123EE5" w:rsidRPr="00B735D4">
          <w:rPr>
            <w:rFonts w:asciiTheme="minorHAnsi" w:hAnsiTheme="minorHAnsi"/>
            <w:webHidden/>
            <w:sz w:val="22"/>
            <w:szCs w:val="22"/>
          </w:rPr>
          <w:tab/>
        </w:r>
      </w:hyperlink>
      <w:r w:rsidR="0033703F">
        <w:t>6</w:t>
      </w:r>
    </w:p>
    <w:p w:rsidR="00123EE5" w:rsidRPr="00B735D4" w:rsidRDefault="00F74D4B" w:rsidP="004E1172">
      <w:pPr>
        <w:pStyle w:val="TOC3"/>
        <w:spacing w:line="300" w:lineRule="atLeast"/>
        <w:ind w:left="288"/>
        <w:rPr>
          <w:rFonts w:asciiTheme="minorHAnsi" w:hAnsiTheme="minorHAnsi"/>
          <w:sz w:val="22"/>
          <w:szCs w:val="22"/>
        </w:rPr>
      </w:pPr>
      <w:hyperlink w:anchor="_Toc81279316" w:history="1">
        <w:r w:rsidR="00F16AA8" w:rsidRPr="00B735D4">
          <w:rPr>
            <w:rStyle w:val="Hyperlink"/>
            <w:rFonts w:asciiTheme="minorHAnsi" w:hAnsiTheme="minorHAnsi"/>
            <w:color w:val="auto"/>
            <w:sz w:val="22"/>
            <w:szCs w:val="22"/>
          </w:rPr>
          <w:t xml:space="preserve">B.3.  Methods to </w:t>
        </w:r>
        <w:r w:rsidR="00123EE5" w:rsidRPr="00B735D4">
          <w:rPr>
            <w:rStyle w:val="Hyperlink"/>
            <w:rFonts w:asciiTheme="minorHAnsi" w:hAnsiTheme="minorHAnsi"/>
            <w:color w:val="auto"/>
            <w:sz w:val="22"/>
            <w:szCs w:val="22"/>
          </w:rPr>
          <w:t>Maximize Response Rates</w:t>
        </w:r>
        <w:r w:rsidR="00123EE5" w:rsidRPr="00B735D4">
          <w:rPr>
            <w:rFonts w:asciiTheme="minorHAnsi" w:hAnsiTheme="minorHAnsi"/>
            <w:webHidden/>
            <w:sz w:val="22"/>
            <w:szCs w:val="22"/>
          </w:rPr>
          <w:tab/>
        </w:r>
      </w:hyperlink>
      <w:r w:rsidR="00EC03E1">
        <w:rPr>
          <w:rFonts w:asciiTheme="minorHAnsi" w:hAnsiTheme="minorHAnsi"/>
          <w:sz w:val="22"/>
          <w:szCs w:val="22"/>
        </w:rPr>
        <w:t>1</w:t>
      </w:r>
      <w:r w:rsidR="00542D6E">
        <w:rPr>
          <w:rFonts w:asciiTheme="minorHAnsi" w:hAnsiTheme="minorHAnsi"/>
          <w:sz w:val="22"/>
          <w:szCs w:val="22"/>
        </w:rPr>
        <w:t>7</w:t>
      </w:r>
    </w:p>
    <w:p w:rsidR="00123EE5" w:rsidRPr="00B735D4" w:rsidRDefault="00F74D4B" w:rsidP="004E1172">
      <w:pPr>
        <w:pStyle w:val="TOC3"/>
        <w:spacing w:line="300" w:lineRule="atLeast"/>
        <w:ind w:left="288"/>
        <w:rPr>
          <w:rFonts w:asciiTheme="minorHAnsi" w:hAnsiTheme="minorHAnsi"/>
          <w:sz w:val="22"/>
          <w:szCs w:val="22"/>
        </w:rPr>
      </w:pPr>
      <w:hyperlink w:anchor="_Toc81279317" w:history="1">
        <w:r w:rsidR="00123EE5" w:rsidRPr="00B735D4">
          <w:rPr>
            <w:rStyle w:val="Hyperlink"/>
            <w:rFonts w:asciiTheme="minorHAnsi" w:hAnsiTheme="minorHAnsi"/>
            <w:color w:val="auto"/>
            <w:sz w:val="22"/>
            <w:szCs w:val="22"/>
          </w:rPr>
          <w:t>B.4. Tests of Procedures</w:t>
        </w:r>
        <w:r w:rsidR="00123EE5" w:rsidRPr="00B735D4">
          <w:rPr>
            <w:rFonts w:asciiTheme="minorHAnsi" w:hAnsiTheme="minorHAnsi"/>
            <w:webHidden/>
            <w:sz w:val="22"/>
            <w:szCs w:val="22"/>
          </w:rPr>
          <w:tab/>
        </w:r>
      </w:hyperlink>
      <w:r w:rsidR="00EC03E1">
        <w:rPr>
          <w:rFonts w:asciiTheme="minorHAnsi" w:hAnsiTheme="minorHAnsi"/>
          <w:sz w:val="22"/>
          <w:szCs w:val="22"/>
        </w:rPr>
        <w:t>18</w:t>
      </w:r>
    </w:p>
    <w:p w:rsidR="00123EE5" w:rsidRPr="00B735D4" w:rsidRDefault="00F74D4B" w:rsidP="004E1172">
      <w:pPr>
        <w:pStyle w:val="TOC3"/>
        <w:spacing w:line="300" w:lineRule="atLeast"/>
        <w:ind w:left="288"/>
        <w:rPr>
          <w:rStyle w:val="Hyperlink"/>
          <w:rFonts w:asciiTheme="minorHAnsi" w:hAnsiTheme="minorHAnsi"/>
          <w:color w:val="auto"/>
          <w:sz w:val="22"/>
          <w:szCs w:val="22"/>
        </w:rPr>
      </w:pPr>
      <w:hyperlink w:anchor="_Toc81279318" w:history="1">
        <w:r w:rsidR="00F16AA8" w:rsidRPr="00B735D4">
          <w:rPr>
            <w:rStyle w:val="Hyperlink"/>
            <w:rFonts w:asciiTheme="minorHAnsi" w:hAnsiTheme="minorHAnsi"/>
            <w:color w:val="auto"/>
            <w:sz w:val="22"/>
            <w:szCs w:val="22"/>
          </w:rPr>
          <w:t>B.5. Statistical</w:t>
        </w:r>
        <w:r w:rsidR="00123EE5" w:rsidRPr="00B735D4">
          <w:rPr>
            <w:rStyle w:val="Hyperlink"/>
            <w:rFonts w:asciiTheme="minorHAnsi" w:hAnsiTheme="minorHAnsi"/>
            <w:color w:val="auto"/>
            <w:sz w:val="22"/>
            <w:szCs w:val="22"/>
          </w:rPr>
          <w:t xml:space="preserve"> Consultation</w:t>
        </w:r>
        <w:r w:rsidR="00123EE5" w:rsidRPr="00B735D4">
          <w:rPr>
            <w:rFonts w:asciiTheme="minorHAnsi" w:hAnsiTheme="minorHAnsi"/>
            <w:webHidden/>
            <w:sz w:val="22"/>
            <w:szCs w:val="22"/>
          </w:rPr>
          <w:tab/>
        </w:r>
      </w:hyperlink>
      <w:r w:rsidR="0033703F">
        <w:rPr>
          <w:rFonts w:asciiTheme="minorHAnsi" w:hAnsiTheme="minorHAnsi"/>
          <w:sz w:val="22"/>
          <w:szCs w:val="22"/>
        </w:rPr>
        <w:t>1</w:t>
      </w:r>
      <w:r w:rsidR="00EC03E1">
        <w:rPr>
          <w:rFonts w:asciiTheme="minorHAnsi" w:hAnsiTheme="minorHAnsi"/>
          <w:sz w:val="22"/>
          <w:szCs w:val="22"/>
        </w:rPr>
        <w:t>9</w:t>
      </w:r>
    </w:p>
    <w:p w:rsidR="00774BC7" w:rsidRDefault="00F74D4B" w:rsidP="00B03B0D">
      <w:pPr>
        <w:pStyle w:val="Heading1"/>
      </w:pPr>
      <w:r w:rsidRPr="00B735D4">
        <w:rPr>
          <w:rFonts w:asciiTheme="minorHAnsi" w:hAnsiTheme="minorHAnsi"/>
          <w:sz w:val="22"/>
          <w:szCs w:val="22"/>
        </w:rPr>
        <w:fldChar w:fldCharType="end"/>
      </w:r>
      <w:r w:rsidR="00774BC7">
        <w:br w:type="page"/>
      </w:r>
    </w:p>
    <w:p w:rsidR="00FA621C" w:rsidRPr="004E1172" w:rsidRDefault="00123EE5" w:rsidP="00FA621C">
      <w:pPr>
        <w:pStyle w:val="Heading1"/>
        <w:rPr>
          <w:rFonts w:asciiTheme="minorHAnsi" w:hAnsiTheme="minorHAnsi"/>
          <w:sz w:val="22"/>
        </w:rPr>
      </w:pPr>
      <w:r w:rsidRPr="004E1172">
        <w:lastRenderedPageBreak/>
        <w:t>Ap</w:t>
      </w:r>
      <w:r w:rsidR="00FA621C">
        <w:t>pendices</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A: EIA-14 Form and Instructions</w:t>
      </w:r>
      <w:r w:rsidRPr="004E1172">
        <w:rPr>
          <w:rFonts w:asciiTheme="minorHAnsi" w:hAnsiTheme="minorHAnsi"/>
          <w:sz w:val="22"/>
        </w:rPr>
        <w:tab/>
      </w:r>
      <w:r>
        <w:rPr>
          <w:rStyle w:val="Hyperlink"/>
          <w:rFonts w:asciiTheme="minorHAnsi" w:hAnsiTheme="minorHAnsi"/>
          <w:color w:val="auto"/>
          <w:sz w:val="22"/>
          <w:u w:val="none"/>
        </w:rPr>
        <w:t>Appendix A</w:t>
      </w:r>
      <w:r w:rsidRPr="005A6EE0">
        <w:rPr>
          <w:rStyle w:val="Hyperlink"/>
          <w:rFonts w:asciiTheme="minorHAnsi" w:hAnsiTheme="minorHAnsi"/>
          <w:color w:val="auto"/>
          <w:sz w:val="22"/>
          <w:u w:val="none"/>
        </w:rPr>
        <w:t>,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B: EIA-182 Form and Instructions</w:t>
      </w:r>
      <w:r w:rsidRPr="004E1172">
        <w:rPr>
          <w:rFonts w:asciiTheme="minorHAnsi" w:hAnsiTheme="minorHAnsi"/>
          <w:sz w:val="22"/>
        </w:rPr>
        <w:tab/>
      </w:r>
      <w:r>
        <w:rPr>
          <w:rStyle w:val="Hyperlink"/>
          <w:rFonts w:asciiTheme="minorHAnsi" w:hAnsiTheme="minorHAnsi"/>
          <w:color w:val="auto"/>
          <w:sz w:val="22"/>
          <w:u w:val="none"/>
        </w:rPr>
        <w:t>Appendix B</w:t>
      </w:r>
      <w:r w:rsidRPr="005A6EE0">
        <w:rPr>
          <w:rStyle w:val="Hyperlink"/>
          <w:rFonts w:asciiTheme="minorHAnsi" w:hAnsiTheme="minorHAnsi"/>
          <w:color w:val="auto"/>
          <w:sz w:val="22"/>
          <w:u w:val="none"/>
        </w:rPr>
        <w:t>, page 1</w:t>
      </w:r>
    </w:p>
    <w:p w:rsidR="00FA621C" w:rsidRDefault="00EC6EF3"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C: EIA-782A Form,</w:t>
      </w:r>
      <w:r w:rsidR="00FA621C">
        <w:rPr>
          <w:rFonts w:asciiTheme="minorHAnsi" w:hAnsiTheme="minorHAnsi"/>
          <w:sz w:val="22"/>
        </w:rPr>
        <w:t xml:space="preserve"> Instructions</w:t>
      </w:r>
      <w:r>
        <w:rPr>
          <w:rFonts w:asciiTheme="minorHAnsi" w:hAnsiTheme="minorHAnsi"/>
          <w:sz w:val="22"/>
        </w:rPr>
        <w:t xml:space="preserve">, </w:t>
      </w:r>
      <w:r w:rsidR="00690F21">
        <w:rPr>
          <w:rFonts w:asciiTheme="minorHAnsi" w:hAnsiTheme="minorHAnsi"/>
          <w:sz w:val="22"/>
        </w:rPr>
        <w:t xml:space="preserve">Reference Guide and </w:t>
      </w:r>
      <w:r>
        <w:rPr>
          <w:rFonts w:asciiTheme="minorHAnsi" w:hAnsiTheme="minorHAnsi"/>
          <w:sz w:val="22"/>
        </w:rPr>
        <w:t>Exclusionary List</w:t>
      </w:r>
      <w:r w:rsidR="00FA621C" w:rsidRPr="004E1172">
        <w:rPr>
          <w:rFonts w:asciiTheme="minorHAnsi" w:hAnsiTheme="minorHAnsi"/>
          <w:sz w:val="22"/>
        </w:rPr>
        <w:tab/>
      </w:r>
      <w:r w:rsidR="00FA621C" w:rsidRPr="005A6EE0">
        <w:rPr>
          <w:rStyle w:val="Hyperlink"/>
          <w:rFonts w:asciiTheme="minorHAnsi" w:hAnsiTheme="minorHAnsi"/>
          <w:color w:val="auto"/>
          <w:sz w:val="22"/>
          <w:u w:val="none"/>
        </w:rPr>
        <w:t>Appendix C,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D: EIA-782C Form</w:t>
      </w:r>
      <w:r w:rsidR="00EC6EF3">
        <w:rPr>
          <w:rFonts w:asciiTheme="minorHAnsi" w:hAnsiTheme="minorHAnsi"/>
          <w:sz w:val="22"/>
        </w:rPr>
        <w:t>,</w:t>
      </w:r>
      <w:r>
        <w:rPr>
          <w:rFonts w:asciiTheme="minorHAnsi" w:hAnsiTheme="minorHAnsi"/>
          <w:sz w:val="22"/>
        </w:rPr>
        <w:t xml:space="preserve"> Instructions</w:t>
      </w:r>
      <w:r w:rsidR="00EC6EF3">
        <w:rPr>
          <w:rFonts w:asciiTheme="minorHAnsi" w:hAnsiTheme="minorHAnsi"/>
          <w:sz w:val="22"/>
        </w:rPr>
        <w:t>, and 2012 Exclusionary List</w:t>
      </w:r>
      <w:r w:rsidRPr="004E1172">
        <w:rPr>
          <w:rFonts w:asciiTheme="minorHAnsi" w:hAnsiTheme="minorHAnsi"/>
          <w:sz w:val="22"/>
        </w:rPr>
        <w:tab/>
      </w:r>
      <w:r>
        <w:rPr>
          <w:rStyle w:val="Hyperlink"/>
          <w:rFonts w:asciiTheme="minorHAnsi" w:hAnsiTheme="minorHAnsi"/>
          <w:color w:val="auto"/>
          <w:sz w:val="22"/>
          <w:u w:val="none"/>
        </w:rPr>
        <w:t>Appendix D</w:t>
      </w:r>
      <w:r w:rsidRPr="005A6EE0">
        <w:rPr>
          <w:rStyle w:val="Hyperlink"/>
          <w:rFonts w:asciiTheme="minorHAnsi" w:hAnsiTheme="minorHAnsi"/>
          <w:color w:val="auto"/>
          <w:sz w:val="22"/>
          <w:u w:val="none"/>
        </w:rPr>
        <w:t>, page 1</w:t>
      </w:r>
    </w:p>
    <w:p w:rsidR="005A6EE0" w:rsidRDefault="005A6EE0" w:rsidP="005A6EE0">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E</w:t>
      </w:r>
      <w:r w:rsidR="00690F21">
        <w:rPr>
          <w:rFonts w:asciiTheme="minorHAnsi" w:hAnsiTheme="minorHAnsi"/>
          <w:sz w:val="22"/>
        </w:rPr>
        <w:t>: EIA-821 Form,</w:t>
      </w:r>
      <w:r w:rsidR="00FA621C">
        <w:rPr>
          <w:rFonts w:asciiTheme="minorHAnsi" w:hAnsiTheme="minorHAnsi"/>
          <w:sz w:val="22"/>
        </w:rPr>
        <w:t xml:space="preserve"> Instructions</w:t>
      </w:r>
      <w:r w:rsidR="00690F21">
        <w:rPr>
          <w:rFonts w:asciiTheme="minorHAnsi" w:hAnsiTheme="minorHAnsi"/>
          <w:sz w:val="22"/>
        </w:rPr>
        <w:t>, and Reference Guide</w:t>
      </w:r>
      <w:r w:rsidRPr="004E1172">
        <w:rPr>
          <w:rFonts w:asciiTheme="minorHAnsi" w:hAnsiTheme="minorHAnsi"/>
          <w:sz w:val="22"/>
        </w:rPr>
        <w:tab/>
      </w:r>
      <w:r w:rsidR="00FA621C">
        <w:rPr>
          <w:rStyle w:val="Hyperlink"/>
          <w:rFonts w:asciiTheme="minorHAnsi" w:hAnsiTheme="minorHAnsi"/>
          <w:color w:val="auto"/>
          <w:sz w:val="22"/>
          <w:u w:val="none"/>
        </w:rPr>
        <w:t>Appendix E</w:t>
      </w:r>
      <w:r w:rsidRPr="005A6EE0">
        <w:rPr>
          <w:rStyle w:val="Hyperlink"/>
          <w:rFonts w:asciiTheme="minorHAnsi" w:hAnsiTheme="minorHAnsi"/>
          <w:color w:val="auto"/>
          <w:sz w:val="22"/>
          <w:u w:val="none"/>
        </w:rPr>
        <w:t>, page 1</w:t>
      </w:r>
    </w:p>
    <w:p w:rsidR="005A6EE0" w:rsidRDefault="005A6EE0" w:rsidP="005A6EE0">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F</w:t>
      </w:r>
      <w:r w:rsidR="00FA621C">
        <w:rPr>
          <w:rFonts w:asciiTheme="minorHAnsi" w:hAnsiTheme="minorHAnsi"/>
          <w:sz w:val="22"/>
        </w:rPr>
        <w:t>: EIA-856 Form and Instructions</w:t>
      </w:r>
      <w:r w:rsidRPr="004E1172">
        <w:rPr>
          <w:rFonts w:asciiTheme="minorHAnsi" w:hAnsiTheme="minorHAnsi"/>
          <w:sz w:val="22"/>
        </w:rPr>
        <w:tab/>
      </w:r>
      <w:r w:rsidR="00FA621C">
        <w:rPr>
          <w:rStyle w:val="Hyperlink"/>
          <w:rFonts w:asciiTheme="minorHAnsi" w:hAnsiTheme="minorHAnsi"/>
          <w:color w:val="auto"/>
          <w:sz w:val="22"/>
          <w:u w:val="none"/>
        </w:rPr>
        <w:t>Appendix F</w:t>
      </w:r>
      <w:r w:rsidRPr="005A6EE0">
        <w:rPr>
          <w:rStyle w:val="Hyperlink"/>
          <w:rFonts w:asciiTheme="minorHAnsi" w:hAnsiTheme="minorHAnsi"/>
          <w:color w:val="auto"/>
          <w:sz w:val="22"/>
          <w:u w:val="none"/>
        </w:rPr>
        <w:t>,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G: EIA-863 Form and Instructions</w:t>
      </w:r>
      <w:r w:rsidRPr="004E1172">
        <w:rPr>
          <w:rFonts w:asciiTheme="minorHAnsi" w:hAnsiTheme="minorHAnsi"/>
          <w:sz w:val="22"/>
        </w:rPr>
        <w:tab/>
      </w:r>
      <w:r>
        <w:rPr>
          <w:rStyle w:val="Hyperlink"/>
          <w:rFonts w:asciiTheme="minorHAnsi" w:hAnsiTheme="minorHAnsi"/>
          <w:color w:val="auto"/>
          <w:sz w:val="22"/>
          <w:u w:val="none"/>
        </w:rPr>
        <w:t>Appendix G</w:t>
      </w:r>
      <w:r w:rsidRPr="005A6EE0">
        <w:rPr>
          <w:rStyle w:val="Hyperlink"/>
          <w:rFonts w:asciiTheme="minorHAnsi" w:hAnsiTheme="minorHAnsi"/>
          <w:color w:val="auto"/>
          <w:sz w:val="22"/>
          <w:u w:val="none"/>
        </w:rPr>
        <w:t>,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H: EIA-877 Form and Instructions</w:t>
      </w:r>
      <w:r w:rsidRPr="004E1172">
        <w:rPr>
          <w:rFonts w:asciiTheme="minorHAnsi" w:hAnsiTheme="minorHAnsi"/>
          <w:sz w:val="22"/>
        </w:rPr>
        <w:tab/>
      </w:r>
      <w:r>
        <w:rPr>
          <w:rStyle w:val="Hyperlink"/>
          <w:rFonts w:asciiTheme="minorHAnsi" w:hAnsiTheme="minorHAnsi"/>
          <w:color w:val="auto"/>
          <w:sz w:val="22"/>
          <w:u w:val="none"/>
        </w:rPr>
        <w:t>Appendix H</w:t>
      </w:r>
      <w:r w:rsidRPr="005A6EE0">
        <w:rPr>
          <w:rStyle w:val="Hyperlink"/>
          <w:rFonts w:asciiTheme="minorHAnsi" w:hAnsiTheme="minorHAnsi"/>
          <w:color w:val="auto"/>
          <w:sz w:val="22"/>
          <w:u w:val="none"/>
        </w:rPr>
        <w:t>,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I: EIA-878 Form and Instructions</w:t>
      </w:r>
      <w:r w:rsidRPr="004E1172">
        <w:rPr>
          <w:rFonts w:asciiTheme="minorHAnsi" w:hAnsiTheme="minorHAnsi"/>
          <w:sz w:val="22"/>
        </w:rPr>
        <w:tab/>
      </w:r>
      <w:r>
        <w:rPr>
          <w:rStyle w:val="Hyperlink"/>
          <w:rFonts w:asciiTheme="minorHAnsi" w:hAnsiTheme="minorHAnsi"/>
          <w:color w:val="auto"/>
          <w:sz w:val="22"/>
          <w:u w:val="none"/>
        </w:rPr>
        <w:t>Appendix I</w:t>
      </w:r>
      <w:r w:rsidRPr="005A6EE0">
        <w:rPr>
          <w:rStyle w:val="Hyperlink"/>
          <w:rFonts w:asciiTheme="minorHAnsi" w:hAnsiTheme="minorHAnsi"/>
          <w:color w:val="auto"/>
          <w:sz w:val="22"/>
          <w:u w:val="none"/>
        </w:rPr>
        <w:t>, page 1</w:t>
      </w:r>
    </w:p>
    <w:p w:rsidR="00FA621C" w:rsidRDefault="00FA621C"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J: EIA-888 Form and Instructions</w:t>
      </w:r>
      <w:r w:rsidRPr="004E1172">
        <w:rPr>
          <w:rFonts w:asciiTheme="minorHAnsi" w:hAnsiTheme="minorHAnsi"/>
          <w:sz w:val="22"/>
        </w:rPr>
        <w:tab/>
      </w:r>
      <w:r>
        <w:rPr>
          <w:rStyle w:val="Hyperlink"/>
          <w:rFonts w:asciiTheme="minorHAnsi" w:hAnsiTheme="minorHAnsi"/>
          <w:color w:val="auto"/>
          <w:sz w:val="22"/>
          <w:u w:val="none"/>
        </w:rPr>
        <w:t>Appendix J</w:t>
      </w:r>
      <w:r w:rsidRPr="005A6EE0">
        <w:rPr>
          <w:rStyle w:val="Hyperlink"/>
          <w:rFonts w:asciiTheme="minorHAnsi" w:hAnsiTheme="minorHAnsi"/>
          <w:color w:val="auto"/>
          <w:sz w:val="22"/>
          <w:u w:val="none"/>
        </w:rPr>
        <w:t>, page 1</w:t>
      </w:r>
    </w:p>
    <w:p w:rsidR="00DA7271" w:rsidRDefault="00690F21" w:rsidP="00FA621C">
      <w:pPr>
        <w:tabs>
          <w:tab w:val="right" w:leader="dot" w:pos="9360"/>
        </w:tabs>
        <w:spacing w:line="300" w:lineRule="atLeast"/>
        <w:ind w:left="288"/>
        <w:rPr>
          <w:rFonts w:asciiTheme="minorHAnsi" w:hAnsiTheme="minorHAnsi"/>
          <w:sz w:val="22"/>
        </w:rPr>
      </w:pPr>
      <w:r>
        <w:rPr>
          <w:rFonts w:asciiTheme="minorHAnsi" w:hAnsiTheme="minorHAnsi"/>
          <w:sz w:val="22"/>
        </w:rPr>
        <w:t>Appendix K</w:t>
      </w:r>
      <w:r w:rsidR="00FA621C">
        <w:rPr>
          <w:rFonts w:asciiTheme="minorHAnsi" w:hAnsiTheme="minorHAnsi"/>
          <w:sz w:val="22"/>
        </w:rPr>
        <w:t xml:space="preserve">: </w:t>
      </w:r>
      <w:r w:rsidR="00DA7271">
        <w:rPr>
          <w:rFonts w:asciiTheme="minorHAnsi" w:hAnsiTheme="minorHAnsi"/>
          <w:sz w:val="22"/>
        </w:rPr>
        <w:t>Description of Recurring EIA Publications</w:t>
      </w:r>
      <w:r w:rsidR="00DA7271" w:rsidRPr="00DA7271">
        <w:rPr>
          <w:rFonts w:asciiTheme="minorHAnsi" w:hAnsiTheme="minorHAnsi"/>
          <w:sz w:val="22"/>
        </w:rPr>
        <w:t xml:space="preserve"> </w:t>
      </w:r>
      <w:r w:rsidR="00DA7271" w:rsidRPr="004E1172">
        <w:rPr>
          <w:rFonts w:asciiTheme="minorHAnsi" w:hAnsiTheme="minorHAnsi"/>
          <w:sz w:val="22"/>
        </w:rPr>
        <w:tab/>
      </w:r>
      <w:r>
        <w:rPr>
          <w:rStyle w:val="Hyperlink"/>
          <w:rFonts w:asciiTheme="minorHAnsi" w:hAnsiTheme="minorHAnsi"/>
          <w:color w:val="auto"/>
          <w:sz w:val="22"/>
          <w:u w:val="none"/>
        </w:rPr>
        <w:t>Appendix K</w:t>
      </w:r>
      <w:r w:rsidR="00DA7271" w:rsidRPr="005A6EE0">
        <w:rPr>
          <w:rStyle w:val="Hyperlink"/>
          <w:rFonts w:asciiTheme="minorHAnsi" w:hAnsiTheme="minorHAnsi"/>
          <w:color w:val="auto"/>
          <w:sz w:val="22"/>
          <w:u w:val="none"/>
        </w:rPr>
        <w:t>, page 1</w:t>
      </w:r>
    </w:p>
    <w:p w:rsidR="00FA621C" w:rsidRDefault="00690F21" w:rsidP="00FA621C">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L</w:t>
      </w:r>
      <w:r w:rsidR="00DA7271">
        <w:rPr>
          <w:rFonts w:asciiTheme="minorHAnsi" w:hAnsiTheme="minorHAnsi"/>
          <w:sz w:val="22"/>
        </w:rPr>
        <w:t xml:space="preserve">: </w:t>
      </w:r>
      <w:r w:rsidR="00C36D40">
        <w:rPr>
          <w:rFonts w:asciiTheme="minorHAnsi" w:hAnsiTheme="minorHAnsi"/>
          <w:sz w:val="22"/>
        </w:rPr>
        <w:t xml:space="preserve">Consultation with </w:t>
      </w:r>
      <w:r w:rsidR="00E40508">
        <w:rPr>
          <w:rFonts w:asciiTheme="minorHAnsi" w:hAnsiTheme="minorHAnsi"/>
          <w:sz w:val="22"/>
        </w:rPr>
        <w:t xml:space="preserve">Stakeholders and </w:t>
      </w:r>
      <w:r w:rsidR="00C36D40">
        <w:rPr>
          <w:rFonts w:asciiTheme="minorHAnsi" w:hAnsiTheme="minorHAnsi"/>
          <w:sz w:val="22"/>
        </w:rPr>
        <w:t>Data Users</w:t>
      </w:r>
      <w:r w:rsidR="00FA621C" w:rsidRPr="004E1172">
        <w:rPr>
          <w:rFonts w:asciiTheme="minorHAnsi" w:hAnsiTheme="minorHAnsi"/>
          <w:sz w:val="22"/>
        </w:rPr>
        <w:tab/>
      </w:r>
      <w:r>
        <w:rPr>
          <w:rStyle w:val="Hyperlink"/>
          <w:rFonts w:asciiTheme="minorHAnsi" w:hAnsiTheme="minorHAnsi"/>
          <w:color w:val="auto"/>
          <w:sz w:val="22"/>
          <w:u w:val="none"/>
        </w:rPr>
        <w:t>Appendix L</w:t>
      </w:r>
      <w:r w:rsidR="00FA621C" w:rsidRPr="005A6EE0">
        <w:rPr>
          <w:rStyle w:val="Hyperlink"/>
          <w:rFonts w:asciiTheme="minorHAnsi" w:hAnsiTheme="minorHAnsi"/>
          <w:color w:val="auto"/>
          <w:sz w:val="22"/>
          <w:u w:val="none"/>
        </w:rPr>
        <w:t>, page 1</w:t>
      </w:r>
    </w:p>
    <w:p w:rsidR="00A300EF" w:rsidRDefault="00690F21" w:rsidP="00A300EF">
      <w:pPr>
        <w:tabs>
          <w:tab w:val="right" w:leader="dot" w:pos="9360"/>
        </w:tabs>
        <w:spacing w:line="300" w:lineRule="atLeast"/>
        <w:ind w:left="288"/>
        <w:rPr>
          <w:rStyle w:val="Hyperlink"/>
          <w:rFonts w:asciiTheme="minorHAnsi" w:hAnsiTheme="minorHAnsi"/>
          <w:color w:val="auto"/>
          <w:sz w:val="22"/>
          <w:u w:val="none"/>
        </w:rPr>
      </w:pPr>
      <w:r>
        <w:rPr>
          <w:rFonts w:asciiTheme="minorHAnsi" w:hAnsiTheme="minorHAnsi"/>
          <w:sz w:val="22"/>
        </w:rPr>
        <w:t>Appendix M</w:t>
      </w:r>
      <w:r w:rsidR="00A300EF">
        <w:rPr>
          <w:rFonts w:asciiTheme="minorHAnsi" w:hAnsiTheme="minorHAnsi"/>
          <w:sz w:val="22"/>
        </w:rPr>
        <w:t xml:space="preserve">: List of </w:t>
      </w:r>
      <w:r w:rsidR="00DA7271">
        <w:rPr>
          <w:rFonts w:asciiTheme="minorHAnsi" w:hAnsiTheme="minorHAnsi"/>
          <w:sz w:val="22"/>
        </w:rPr>
        <w:t>References</w:t>
      </w:r>
      <w:r w:rsidR="00A300EF" w:rsidRPr="004E1172">
        <w:rPr>
          <w:rFonts w:asciiTheme="minorHAnsi" w:hAnsiTheme="minorHAnsi"/>
          <w:sz w:val="22"/>
        </w:rPr>
        <w:tab/>
      </w:r>
      <w:r>
        <w:rPr>
          <w:rStyle w:val="Hyperlink"/>
          <w:rFonts w:asciiTheme="minorHAnsi" w:hAnsiTheme="minorHAnsi"/>
          <w:color w:val="auto"/>
          <w:sz w:val="22"/>
          <w:u w:val="none"/>
        </w:rPr>
        <w:t>Appendix M</w:t>
      </w:r>
      <w:r w:rsidR="00A300EF" w:rsidRPr="005A6EE0">
        <w:rPr>
          <w:rStyle w:val="Hyperlink"/>
          <w:rFonts w:asciiTheme="minorHAnsi" w:hAnsiTheme="minorHAnsi"/>
          <w:color w:val="auto"/>
          <w:sz w:val="22"/>
          <w:u w:val="none"/>
        </w:rPr>
        <w:t>, page 1</w:t>
      </w:r>
    </w:p>
    <w:p w:rsidR="00A300EF" w:rsidRDefault="00A300EF" w:rsidP="00FA621C">
      <w:pPr>
        <w:tabs>
          <w:tab w:val="right" w:leader="dot" w:pos="9360"/>
        </w:tabs>
        <w:spacing w:line="300" w:lineRule="atLeast"/>
        <w:ind w:left="288"/>
        <w:rPr>
          <w:rStyle w:val="Hyperlink"/>
          <w:rFonts w:asciiTheme="minorHAnsi" w:hAnsiTheme="minorHAnsi"/>
          <w:color w:val="auto"/>
          <w:sz w:val="22"/>
          <w:u w:val="none"/>
        </w:rPr>
      </w:pPr>
    </w:p>
    <w:p w:rsidR="00123EE5" w:rsidRPr="004E1172" w:rsidRDefault="000E4FEF" w:rsidP="004E1172">
      <w:pPr>
        <w:pStyle w:val="Heading1"/>
      </w:pPr>
      <w:r w:rsidRPr="004E1172">
        <w:t xml:space="preserve">Diagrams and </w:t>
      </w:r>
      <w:r w:rsidR="00123EE5" w:rsidRPr="004E1172">
        <w:t>Tables</w:t>
      </w:r>
    </w:p>
    <w:p w:rsidR="00123EE5" w:rsidRPr="004E1172" w:rsidRDefault="00123EE5" w:rsidP="004E1172">
      <w:pPr>
        <w:spacing w:line="300" w:lineRule="atLeast"/>
        <w:ind w:left="288"/>
        <w:rPr>
          <w:rFonts w:asciiTheme="minorHAnsi" w:hAnsiTheme="minorHAnsi"/>
          <w:sz w:val="22"/>
        </w:rPr>
      </w:pPr>
    </w:p>
    <w:p w:rsidR="000E4FEF" w:rsidRPr="00B735D4" w:rsidRDefault="00FA621C"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noProof/>
          <w:sz w:val="22"/>
          <w:szCs w:val="24"/>
        </w:rPr>
        <w:t xml:space="preserve">Diagram 1: </w:t>
      </w:r>
      <w:r w:rsidR="000E4FEF" w:rsidRPr="00B735D4">
        <w:rPr>
          <w:rFonts w:asciiTheme="minorHAnsi" w:hAnsiTheme="minorHAnsi"/>
          <w:noProof/>
          <w:sz w:val="22"/>
          <w:szCs w:val="24"/>
        </w:rPr>
        <w:t xml:space="preserve">Petroleum Marketing Data Collection Program  </w:t>
      </w:r>
      <w:r w:rsidR="000E4FEF" w:rsidRPr="00B735D4">
        <w:rPr>
          <w:rFonts w:asciiTheme="minorHAnsi" w:hAnsiTheme="minorHAnsi"/>
          <w:noProof/>
          <w:webHidden/>
          <w:sz w:val="22"/>
          <w:szCs w:val="24"/>
        </w:rPr>
        <w:tab/>
      </w:r>
      <w:r w:rsidR="00387D2A">
        <w:rPr>
          <w:rStyle w:val="Hyperlink"/>
          <w:rFonts w:asciiTheme="minorHAnsi" w:hAnsiTheme="minorHAnsi"/>
          <w:noProof/>
          <w:sz w:val="22"/>
          <w:szCs w:val="24"/>
        </w:rPr>
        <w:t>2</w:t>
      </w:r>
    </w:p>
    <w:p w:rsidR="00123EE5" w:rsidRPr="00B735D4" w:rsidRDefault="00F74D4B" w:rsidP="00774BC7">
      <w:pPr>
        <w:pStyle w:val="TableofFigures"/>
        <w:tabs>
          <w:tab w:val="right" w:leader="dot" w:pos="9360"/>
        </w:tabs>
        <w:spacing w:line="300" w:lineRule="atLeast"/>
        <w:ind w:left="800"/>
        <w:rPr>
          <w:rFonts w:asciiTheme="minorHAnsi" w:hAnsiTheme="minorHAnsi"/>
          <w:noProof/>
          <w:sz w:val="22"/>
          <w:szCs w:val="24"/>
        </w:rPr>
      </w:pPr>
      <w:r w:rsidRPr="00B735D4">
        <w:rPr>
          <w:rFonts w:asciiTheme="minorHAnsi" w:hAnsiTheme="minorHAnsi"/>
          <w:sz w:val="22"/>
          <w:szCs w:val="24"/>
        </w:rPr>
        <w:fldChar w:fldCharType="begin"/>
      </w:r>
      <w:r w:rsidR="00123EE5" w:rsidRPr="00B735D4">
        <w:rPr>
          <w:rFonts w:asciiTheme="minorHAnsi" w:hAnsiTheme="minorHAnsi"/>
          <w:sz w:val="22"/>
          <w:szCs w:val="24"/>
        </w:rPr>
        <w:instrText xml:space="preserve"> TOC \h \z \t "Caption" \c "Table" </w:instrText>
      </w:r>
      <w:r w:rsidRPr="00B735D4">
        <w:rPr>
          <w:rFonts w:asciiTheme="minorHAnsi" w:hAnsiTheme="minorHAnsi"/>
          <w:sz w:val="22"/>
          <w:szCs w:val="24"/>
        </w:rPr>
        <w:fldChar w:fldCharType="separate"/>
      </w:r>
      <w:hyperlink w:anchor="_Toc81279651"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 xml:space="preserve">1: </w:t>
        </w:r>
        <w:r w:rsidR="000D6F0C" w:rsidRPr="00B735D4">
          <w:rPr>
            <w:rStyle w:val="Hyperlink"/>
            <w:rFonts w:asciiTheme="minorHAnsi" w:hAnsiTheme="minorHAnsi"/>
            <w:noProof/>
            <w:sz w:val="22"/>
            <w:szCs w:val="24"/>
          </w:rPr>
          <w:t>Petroleum Marketing</w:t>
        </w:r>
        <w:r w:rsidR="00123EE5" w:rsidRPr="00B735D4">
          <w:rPr>
            <w:rStyle w:val="Hyperlink"/>
            <w:rFonts w:asciiTheme="minorHAnsi" w:hAnsiTheme="minorHAnsi"/>
            <w:noProof/>
            <w:sz w:val="22"/>
            <w:szCs w:val="24"/>
          </w:rPr>
          <w:t xml:space="preserve"> Data Collection Forms</w:t>
        </w:r>
        <w:r w:rsidR="00123EE5" w:rsidRPr="00B735D4">
          <w:rPr>
            <w:rFonts w:asciiTheme="minorHAnsi" w:hAnsiTheme="minorHAnsi"/>
            <w:noProof/>
            <w:webHidden/>
            <w:sz w:val="22"/>
            <w:szCs w:val="24"/>
          </w:rPr>
          <w:tab/>
        </w:r>
      </w:hyperlink>
      <w:r w:rsidR="00387D2A">
        <w:rPr>
          <w:rStyle w:val="Hyperlink"/>
          <w:rFonts w:asciiTheme="minorHAnsi" w:hAnsiTheme="minorHAnsi"/>
          <w:noProof/>
          <w:sz w:val="22"/>
          <w:szCs w:val="24"/>
        </w:rPr>
        <w:t>1</w:t>
      </w:r>
    </w:p>
    <w:p w:rsidR="00BD2ED6" w:rsidRPr="00B735D4" w:rsidRDefault="00F74D4B" w:rsidP="00774BC7">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A621C"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w:t>
        </w:r>
        <w:r w:rsidR="00FA621C" w:rsidRPr="00B735D4">
          <w:rPr>
            <w:rStyle w:val="Hyperlink"/>
            <w:rFonts w:asciiTheme="minorHAnsi" w:hAnsiTheme="minorHAnsi"/>
            <w:noProof/>
            <w:sz w:val="22"/>
            <w:szCs w:val="24"/>
          </w:rPr>
          <w:t>2:</w:t>
        </w:r>
        <w:r w:rsidR="000E4FEF" w:rsidRPr="00B735D4">
          <w:rPr>
            <w:rStyle w:val="Hyperlink"/>
            <w:rFonts w:asciiTheme="minorHAnsi" w:hAnsiTheme="minorHAnsi"/>
            <w:noProof/>
            <w:sz w:val="22"/>
            <w:szCs w:val="24"/>
          </w:rPr>
          <w:t xml:space="preserve"> </w:t>
        </w:r>
        <w:r w:rsidR="00956D60" w:rsidRPr="00B735D4">
          <w:rPr>
            <w:rStyle w:val="Hyperlink"/>
            <w:rFonts w:asciiTheme="minorHAnsi" w:hAnsiTheme="minorHAnsi"/>
            <w:noProof/>
            <w:sz w:val="22"/>
            <w:szCs w:val="24"/>
          </w:rPr>
          <w:t>Relationship between PMP Surveys and EIA Publications</w:t>
        </w:r>
        <w:r w:rsidR="00123EE5" w:rsidRPr="00B735D4">
          <w:rPr>
            <w:rStyle w:val="Hyperlink"/>
            <w:rFonts w:asciiTheme="minorHAnsi" w:hAnsiTheme="minorHAnsi"/>
            <w:noProof/>
            <w:sz w:val="22"/>
            <w:szCs w:val="24"/>
          </w:rPr>
          <w:tab/>
        </w:r>
      </w:hyperlink>
      <w:r w:rsidR="001E6BBE">
        <w:rPr>
          <w:rStyle w:val="Hyperlink"/>
          <w:rFonts w:asciiTheme="minorHAnsi" w:hAnsiTheme="minorHAnsi"/>
          <w:noProof/>
          <w:sz w:val="22"/>
          <w:szCs w:val="24"/>
        </w:rPr>
        <w:t>8</w:t>
      </w:r>
    </w:p>
    <w:p w:rsidR="00F03D19" w:rsidRPr="00B735D4" w:rsidRDefault="00F74D4B" w:rsidP="00F03D19">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F03D19" w:rsidRPr="00B735D4">
          <w:rPr>
            <w:rStyle w:val="Hyperlink"/>
            <w:rFonts w:asciiTheme="minorHAnsi" w:hAnsiTheme="minorHAnsi"/>
            <w:noProof/>
            <w:sz w:val="22"/>
            <w:szCs w:val="24"/>
          </w:rPr>
          <w:t xml:space="preserve">Table </w:t>
        </w:r>
        <w:r w:rsidR="00F03D19">
          <w:rPr>
            <w:rStyle w:val="Hyperlink"/>
            <w:rFonts w:asciiTheme="minorHAnsi" w:hAnsiTheme="minorHAnsi"/>
            <w:noProof/>
            <w:sz w:val="22"/>
            <w:szCs w:val="24"/>
          </w:rPr>
          <w:t>A3</w:t>
        </w:r>
        <w:r w:rsidR="00F03D19" w:rsidRPr="00B735D4">
          <w:rPr>
            <w:rStyle w:val="Hyperlink"/>
            <w:rFonts w:asciiTheme="minorHAnsi" w:hAnsiTheme="minorHAnsi"/>
            <w:noProof/>
            <w:sz w:val="22"/>
            <w:szCs w:val="24"/>
          </w:rPr>
          <w:t xml:space="preserve">: </w:t>
        </w:r>
        <w:r w:rsidR="00F03D19">
          <w:rPr>
            <w:rStyle w:val="Hyperlink"/>
            <w:rFonts w:asciiTheme="minorHAnsi" w:hAnsiTheme="minorHAnsi"/>
            <w:noProof/>
            <w:sz w:val="22"/>
            <w:szCs w:val="24"/>
          </w:rPr>
          <w:t>Estimated Reporting Burden</w:t>
        </w:r>
        <w:r w:rsidR="00F03D19"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7</w:t>
      </w:r>
    </w:p>
    <w:p w:rsidR="00364A00" w:rsidRPr="00B735D4" w:rsidRDefault="00F74D4B" w:rsidP="00364A00">
      <w:pPr>
        <w:pStyle w:val="TableofFigures"/>
        <w:tabs>
          <w:tab w:val="right" w:leader="dot" w:pos="9360"/>
        </w:tabs>
        <w:spacing w:line="300" w:lineRule="atLeast"/>
        <w:ind w:left="800"/>
        <w:rPr>
          <w:rStyle w:val="Hyperlink"/>
          <w:rFonts w:asciiTheme="minorHAnsi" w:hAnsiTheme="minorHAnsi"/>
          <w:noProof/>
          <w:sz w:val="22"/>
          <w:szCs w:val="24"/>
        </w:rPr>
      </w:pPr>
      <w:hyperlink w:anchor="_Toc81279652" w:history="1">
        <w:r w:rsidR="00364A00" w:rsidRPr="00B735D4">
          <w:rPr>
            <w:rStyle w:val="Hyperlink"/>
            <w:rFonts w:asciiTheme="minorHAnsi" w:hAnsiTheme="minorHAnsi"/>
            <w:noProof/>
            <w:sz w:val="22"/>
            <w:szCs w:val="24"/>
          </w:rPr>
          <w:t xml:space="preserve">Table </w:t>
        </w:r>
        <w:r w:rsidR="00364A00">
          <w:rPr>
            <w:rStyle w:val="Hyperlink"/>
            <w:rFonts w:asciiTheme="minorHAnsi" w:hAnsiTheme="minorHAnsi"/>
            <w:noProof/>
            <w:sz w:val="22"/>
            <w:szCs w:val="24"/>
          </w:rPr>
          <w:t>A4</w:t>
        </w:r>
        <w:r w:rsidR="00364A00" w:rsidRPr="00B735D4">
          <w:rPr>
            <w:rStyle w:val="Hyperlink"/>
            <w:rFonts w:asciiTheme="minorHAnsi" w:hAnsiTheme="minorHAnsi"/>
            <w:noProof/>
            <w:sz w:val="22"/>
            <w:szCs w:val="24"/>
          </w:rPr>
          <w:t xml:space="preserve">: </w:t>
        </w:r>
        <w:r w:rsidR="00DD17A4">
          <w:rPr>
            <w:rStyle w:val="Hyperlink"/>
            <w:rFonts w:asciiTheme="minorHAnsi" w:hAnsiTheme="minorHAnsi"/>
            <w:noProof/>
            <w:sz w:val="22"/>
            <w:szCs w:val="24"/>
          </w:rPr>
          <w:t>Comparison of 2011 and 2009 Reporting Burden</w:t>
        </w:r>
        <w:r w:rsidR="00364A00" w:rsidRPr="00B735D4">
          <w:rPr>
            <w:rStyle w:val="Hyperlink"/>
            <w:rFonts w:asciiTheme="minorHAnsi" w:hAnsiTheme="minorHAnsi"/>
            <w:noProof/>
            <w:sz w:val="22"/>
            <w:szCs w:val="24"/>
          </w:rPr>
          <w:tab/>
        </w:r>
      </w:hyperlink>
      <w:r w:rsidR="00DD17A4">
        <w:rPr>
          <w:rStyle w:val="Hyperlink"/>
          <w:rFonts w:asciiTheme="minorHAnsi" w:hAnsiTheme="minorHAnsi"/>
          <w:noProof/>
          <w:sz w:val="22"/>
          <w:szCs w:val="24"/>
        </w:rPr>
        <w:t>4</w:t>
      </w:r>
      <w:r w:rsidR="001E6BBE">
        <w:rPr>
          <w:rStyle w:val="Hyperlink"/>
          <w:rFonts w:asciiTheme="minorHAnsi" w:hAnsiTheme="minorHAnsi"/>
          <w:noProof/>
          <w:sz w:val="22"/>
          <w:szCs w:val="24"/>
        </w:rPr>
        <w:t>8</w:t>
      </w:r>
    </w:p>
    <w:p w:rsidR="00F03D19" w:rsidRPr="00B735D4" w:rsidRDefault="00F03D19" w:rsidP="00F03D19">
      <w:pPr>
        <w:pStyle w:val="TableofFigures"/>
        <w:tabs>
          <w:tab w:val="right" w:leader="dot" w:pos="9360"/>
        </w:tabs>
        <w:spacing w:line="300" w:lineRule="atLeast"/>
        <w:ind w:left="800"/>
        <w:rPr>
          <w:rFonts w:asciiTheme="minorHAnsi" w:hAnsiTheme="minorHAnsi"/>
          <w:noProof/>
          <w:sz w:val="22"/>
          <w:szCs w:val="24"/>
        </w:rPr>
      </w:pPr>
      <w:r>
        <w:rPr>
          <w:rFonts w:asciiTheme="minorHAnsi" w:hAnsiTheme="minorHAnsi"/>
          <w:sz w:val="22"/>
          <w:szCs w:val="24"/>
        </w:rPr>
        <w:t>Table B1: Summary of Sample Design</w:t>
      </w:r>
      <w:r w:rsidRPr="00B735D4">
        <w:rPr>
          <w:rFonts w:asciiTheme="minorHAnsi" w:hAnsiTheme="minorHAnsi"/>
          <w:sz w:val="22"/>
          <w:szCs w:val="24"/>
        </w:rPr>
        <w:tab/>
      </w:r>
      <w:r w:rsidR="00542D6E">
        <w:rPr>
          <w:rStyle w:val="Hyperlink"/>
          <w:rFonts w:asciiTheme="minorHAnsi" w:hAnsiTheme="minorHAnsi"/>
          <w:sz w:val="22"/>
          <w:szCs w:val="24"/>
        </w:rPr>
        <w:t>7</w:t>
      </w:r>
    </w:p>
    <w:p w:rsidR="00E07D40" w:rsidRPr="00B735D4" w:rsidRDefault="00E07D40" w:rsidP="00774BC7">
      <w:pPr>
        <w:pStyle w:val="TableofFigures"/>
        <w:tabs>
          <w:tab w:val="right" w:leader="dot" w:pos="9360"/>
        </w:tabs>
        <w:spacing w:line="300" w:lineRule="atLeast"/>
        <w:ind w:left="800"/>
        <w:rPr>
          <w:rFonts w:asciiTheme="minorHAnsi" w:hAnsiTheme="minorHAnsi"/>
          <w:noProof/>
          <w:color w:val="0000FF"/>
          <w:sz w:val="22"/>
          <w:szCs w:val="24"/>
          <w:u w:val="single"/>
        </w:rPr>
      </w:pPr>
      <w:r w:rsidRPr="00B735D4">
        <w:rPr>
          <w:rFonts w:asciiTheme="minorHAnsi" w:hAnsiTheme="minorHAnsi"/>
          <w:sz w:val="22"/>
        </w:rPr>
        <w:t xml:space="preserve">Table </w:t>
      </w:r>
      <w:r w:rsidR="00F03D19">
        <w:rPr>
          <w:rFonts w:asciiTheme="minorHAnsi" w:hAnsiTheme="minorHAnsi"/>
          <w:sz w:val="22"/>
        </w:rPr>
        <w:t>B2</w:t>
      </w:r>
      <w:r w:rsidR="00FA621C" w:rsidRPr="00B735D4">
        <w:rPr>
          <w:rFonts w:asciiTheme="minorHAnsi" w:hAnsiTheme="minorHAnsi"/>
          <w:sz w:val="22"/>
        </w:rPr>
        <w:t xml:space="preserve">: </w:t>
      </w:r>
      <w:r w:rsidR="00F03D19">
        <w:rPr>
          <w:rFonts w:asciiTheme="minorHAnsi" w:hAnsiTheme="minorHAnsi"/>
          <w:sz w:val="22"/>
        </w:rPr>
        <w:t>Average Annual Response Rate for Weekly and Monthly PMP Surveys..</w:t>
      </w:r>
      <w:r w:rsidRPr="00B735D4">
        <w:rPr>
          <w:rFonts w:asciiTheme="minorHAnsi" w:hAnsiTheme="minorHAnsi"/>
          <w:sz w:val="22"/>
        </w:rPr>
        <w:t>………………</w:t>
      </w:r>
      <w:r w:rsidR="0065631C">
        <w:rPr>
          <w:rFonts w:asciiTheme="minorHAnsi" w:hAnsiTheme="minorHAnsi"/>
          <w:sz w:val="22"/>
        </w:rPr>
        <w:t xml:space="preserve"> </w:t>
      </w:r>
      <w:r w:rsidRPr="00B735D4">
        <w:rPr>
          <w:rFonts w:asciiTheme="minorHAnsi" w:hAnsiTheme="minorHAnsi"/>
          <w:sz w:val="22"/>
        </w:rPr>
        <w:t>…</w:t>
      </w:r>
      <w:r w:rsidR="00FA621C" w:rsidRPr="00B735D4">
        <w:rPr>
          <w:rFonts w:asciiTheme="minorHAnsi" w:hAnsiTheme="minorHAnsi"/>
          <w:sz w:val="22"/>
        </w:rPr>
        <w:t>….</w:t>
      </w:r>
      <w:r w:rsidRPr="00B735D4">
        <w:rPr>
          <w:rFonts w:asciiTheme="minorHAnsi" w:hAnsiTheme="minorHAnsi"/>
          <w:sz w:val="22"/>
        </w:rPr>
        <w:t>….</w:t>
      </w:r>
      <w:r w:rsidR="00542D6E">
        <w:rPr>
          <w:rStyle w:val="Hyperlink"/>
          <w:rFonts w:asciiTheme="minorHAnsi" w:hAnsiTheme="minorHAnsi"/>
          <w:noProof/>
          <w:sz w:val="22"/>
        </w:rPr>
        <w:t>17</w:t>
      </w:r>
    </w:p>
    <w:p w:rsidR="00E07D40" w:rsidRPr="00B735D4" w:rsidRDefault="00F74D4B" w:rsidP="00774BC7">
      <w:pPr>
        <w:pStyle w:val="TableofFigures"/>
        <w:tabs>
          <w:tab w:val="right" w:leader="dot" w:pos="9360"/>
        </w:tabs>
        <w:spacing w:line="300" w:lineRule="atLeast"/>
        <w:ind w:left="800"/>
        <w:rPr>
          <w:rFonts w:asciiTheme="minorHAnsi" w:hAnsiTheme="minorHAnsi"/>
          <w:noProof/>
          <w:sz w:val="22"/>
          <w:szCs w:val="24"/>
        </w:rPr>
      </w:pPr>
      <w:hyperlink w:anchor="_Toc81279655" w:history="1"/>
      <w:hyperlink w:anchor="_Toc81279656" w:history="1"/>
      <w:r w:rsidRPr="00B735D4">
        <w:rPr>
          <w:rFonts w:asciiTheme="minorHAnsi" w:hAnsiTheme="minorHAnsi"/>
          <w:sz w:val="22"/>
          <w:szCs w:val="24"/>
        </w:rPr>
        <w:fldChar w:fldCharType="end"/>
      </w:r>
    </w:p>
    <w:p w:rsidR="001C42E3" w:rsidRPr="004E1172" w:rsidRDefault="001C42E3" w:rsidP="00774BC7">
      <w:pPr>
        <w:tabs>
          <w:tab w:val="right" w:leader="dot" w:pos="9360"/>
        </w:tabs>
        <w:spacing w:line="300" w:lineRule="atLeast"/>
        <w:rPr>
          <w:rFonts w:asciiTheme="minorHAnsi" w:hAnsiTheme="minorHAnsi"/>
          <w:sz w:val="22"/>
        </w:rPr>
      </w:pPr>
    </w:p>
    <w:p w:rsidR="00A447A2" w:rsidRDefault="00A447A2">
      <w:pPr>
        <w:widowControl/>
        <w:autoSpaceDE/>
        <w:autoSpaceDN/>
        <w:adjustRightInd/>
        <w:rPr>
          <w:b/>
          <w:u w:val="single"/>
        </w:rPr>
      </w:pPr>
      <w:r>
        <w:rPr>
          <w:b/>
          <w:u w:val="single"/>
        </w:rPr>
        <w:br w:type="page"/>
      </w:r>
    </w:p>
    <w:p w:rsidR="00B03B0D" w:rsidRDefault="00B03B0D" w:rsidP="00146E32">
      <w:pPr>
        <w:pStyle w:val="Heading1"/>
        <w:sectPr w:rsidR="00B03B0D" w:rsidSect="00B03B0D">
          <w:pgSz w:w="12240" w:h="15840"/>
          <w:pgMar w:top="1440" w:right="1296" w:bottom="1440" w:left="1296" w:header="720" w:footer="720" w:gutter="0"/>
          <w:pgBorders w:offsetFrom="page">
            <w:bottom w:val="single" w:sz="8" w:space="24" w:color="auto"/>
          </w:pgBorders>
          <w:pgNumType w:fmt="lowerRoman" w:start="1"/>
          <w:cols w:space="720"/>
          <w:docGrid w:linePitch="360"/>
        </w:sectPr>
      </w:pPr>
    </w:p>
    <w:p w:rsidR="00223695" w:rsidRPr="00146E32" w:rsidRDefault="00D20878" w:rsidP="00146E32">
      <w:pPr>
        <w:pStyle w:val="Heading1"/>
      </w:pPr>
      <w:r>
        <w:lastRenderedPageBreak/>
        <w:t>Introduction</w:t>
      </w:r>
    </w:p>
    <w:p w:rsidR="00A447A2" w:rsidRPr="00540778" w:rsidRDefault="00A447A2" w:rsidP="00A447A2">
      <w:pPr>
        <w:rPr>
          <w:rFonts w:ascii="Times New Roman" w:hAnsi="Times New Roman"/>
        </w:rPr>
      </w:pPr>
    </w:p>
    <w:p w:rsidR="00616668" w:rsidRPr="00A61516" w:rsidRDefault="00616668" w:rsidP="0030248F">
      <w:pPr>
        <w:spacing w:line="360" w:lineRule="auto"/>
        <w:rPr>
          <w:rFonts w:asciiTheme="minorHAnsi" w:hAnsiTheme="minorHAnsi"/>
          <w:sz w:val="22"/>
        </w:rPr>
      </w:pPr>
      <w:r w:rsidRPr="00A61516">
        <w:rPr>
          <w:rFonts w:asciiTheme="minorHAnsi" w:hAnsiTheme="minorHAnsi"/>
          <w:sz w:val="22"/>
        </w:rPr>
        <w:t xml:space="preserve">The U.S. Energy Information Administration (EIA) of the U.S. Department of Energy (DOE) is required to publish, and otherwise make </w:t>
      </w:r>
      <w:r w:rsidR="00FC6C9E" w:rsidRPr="00A61516">
        <w:rPr>
          <w:rFonts w:asciiTheme="minorHAnsi" w:hAnsiTheme="minorHAnsi"/>
          <w:sz w:val="22"/>
        </w:rPr>
        <w:t xml:space="preserve">independent, high-quality statistical data </w:t>
      </w:r>
      <w:r w:rsidRPr="00A61516">
        <w:rPr>
          <w:rFonts w:asciiTheme="minorHAnsi" w:hAnsiTheme="minorHAnsi"/>
          <w:sz w:val="22"/>
        </w:rPr>
        <w:t xml:space="preserve">available to Federal government agencies, State and local governments, the petroleum marketing industry, and the general public.  </w:t>
      </w:r>
    </w:p>
    <w:p w:rsidR="00616668" w:rsidRPr="00A61516" w:rsidRDefault="00616668" w:rsidP="0030248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01FE7" w:rsidRPr="00801FE7"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A61516">
        <w:rPr>
          <w:rFonts w:asciiTheme="minorHAnsi" w:hAnsiTheme="minorHAnsi"/>
          <w:sz w:val="22"/>
        </w:rPr>
        <w:t xml:space="preserve">To </w:t>
      </w:r>
      <w:r w:rsidRPr="00825574">
        <w:rPr>
          <w:rFonts w:asciiTheme="minorHAnsi" w:hAnsiTheme="minorHAnsi"/>
          <w:sz w:val="22"/>
        </w:rPr>
        <w:t xml:space="preserve">meet this </w:t>
      </w:r>
      <w:r w:rsidRPr="00801FE7">
        <w:rPr>
          <w:rFonts w:asciiTheme="minorHAnsi" w:hAnsiTheme="minorHAnsi"/>
          <w:sz w:val="22"/>
        </w:rPr>
        <w:t xml:space="preserve">obligation, EIA’s Office of Petroleum and Biofuels Statistics (PBS), Petroleum Marketing Statistics Team conducts statistical surveys that collect information about many significant petroleum marketing industry activities.    EIA is requesting a 3-year approval for ten surveys designed to collect this information. </w:t>
      </w:r>
    </w:p>
    <w:p w:rsidR="00801FE7" w:rsidRPr="00A61516"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01FE7" w:rsidRPr="00A61516" w:rsidRDefault="00801FE7" w:rsidP="00801FE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A61516">
        <w:rPr>
          <w:rFonts w:asciiTheme="minorHAnsi" w:hAnsiTheme="minorHAnsi"/>
          <w:sz w:val="22"/>
        </w:rPr>
        <w:t xml:space="preserve">Upon approval, </w:t>
      </w:r>
      <w:r w:rsidRPr="00B14826">
        <w:rPr>
          <w:rFonts w:asciiTheme="minorHAnsi" w:hAnsiTheme="minorHAnsi"/>
          <w:sz w:val="22"/>
        </w:rPr>
        <w:t>EIA will continue to use the existing forms</w:t>
      </w:r>
      <w:r w:rsidRPr="00A61516">
        <w:rPr>
          <w:rFonts w:asciiTheme="minorHAnsi" w:hAnsiTheme="minorHAnsi"/>
          <w:sz w:val="22"/>
        </w:rPr>
        <w:t xml:space="preserve"> to collect data </w:t>
      </w:r>
      <w:r>
        <w:rPr>
          <w:rFonts w:asciiTheme="minorHAnsi" w:hAnsiTheme="minorHAnsi"/>
          <w:sz w:val="22"/>
        </w:rPr>
        <w:t xml:space="preserve">on its monthly surveys during </w:t>
      </w:r>
      <w:r w:rsidRPr="00A61516">
        <w:rPr>
          <w:rFonts w:asciiTheme="minorHAnsi" w:hAnsiTheme="minorHAnsi"/>
          <w:sz w:val="22"/>
        </w:rPr>
        <w:t>the remainder of</w:t>
      </w:r>
      <w:r>
        <w:rPr>
          <w:rFonts w:asciiTheme="minorHAnsi" w:hAnsiTheme="minorHAnsi"/>
          <w:sz w:val="22"/>
        </w:rPr>
        <w:t xml:space="preserve"> </w:t>
      </w:r>
      <w:r w:rsidRPr="00A61516">
        <w:rPr>
          <w:rFonts w:asciiTheme="minorHAnsi" w:hAnsiTheme="minorHAnsi"/>
          <w:sz w:val="22"/>
        </w:rPr>
        <w:t>201</w:t>
      </w:r>
      <w:r>
        <w:rPr>
          <w:rFonts w:asciiTheme="minorHAnsi" w:hAnsiTheme="minorHAnsi"/>
          <w:sz w:val="22"/>
        </w:rPr>
        <w:t xml:space="preserve">2.  </w:t>
      </w:r>
      <w:r w:rsidRPr="00801FE7">
        <w:rPr>
          <w:rFonts w:asciiTheme="minorHAnsi" w:hAnsiTheme="minorHAnsi"/>
          <w:sz w:val="22"/>
        </w:rPr>
        <w:t>More specifically, this means using the present version of the forms to collect data covering sales activity for the</w:t>
      </w:r>
      <w:r w:rsidR="00387D2A">
        <w:rPr>
          <w:rFonts w:asciiTheme="minorHAnsi" w:hAnsiTheme="minorHAnsi"/>
          <w:sz w:val="22"/>
        </w:rPr>
        <w:t xml:space="preserve"> December 2012 reference month </w:t>
      </w:r>
      <w:r w:rsidRPr="00801FE7">
        <w:rPr>
          <w:rFonts w:asciiTheme="minorHAnsi" w:hAnsiTheme="minorHAnsi"/>
          <w:sz w:val="22"/>
        </w:rPr>
        <w:t>during the January 2013 calendar month.  The existing monthly forms are the EIA-14, EIA-182, EIA-782A, EIA-782C, and EIA-856.  EIA will begin collecting data for 2013 using the revised forms in February, 2013.</w:t>
      </w:r>
      <w:r w:rsidRPr="00A61516">
        <w:rPr>
          <w:rFonts w:asciiTheme="minorHAnsi" w:hAnsiTheme="minorHAnsi"/>
          <w:sz w:val="22"/>
        </w:rPr>
        <w:t xml:space="preserve"> </w:t>
      </w:r>
    </w:p>
    <w:p w:rsidR="00801FE7" w:rsidRDefault="00801FE7">
      <w:pPr>
        <w:widowControl/>
        <w:autoSpaceDE/>
        <w:autoSpaceDN/>
        <w:adjustRightInd/>
        <w:rPr>
          <w:rFonts w:asciiTheme="majorHAnsi" w:hAnsiTheme="majorHAnsi"/>
          <w:b/>
          <w:sz w:val="28"/>
          <w:szCs w:val="28"/>
        </w:rPr>
      </w:pPr>
    </w:p>
    <w:p w:rsidR="00B74D58" w:rsidRPr="00810DC0" w:rsidRDefault="00B74D58" w:rsidP="008608B6">
      <w:pPr>
        <w:jc w:val="both"/>
        <w:rPr>
          <w:rFonts w:asciiTheme="majorHAnsi" w:hAnsiTheme="majorHAnsi"/>
          <w:b/>
          <w:sz w:val="28"/>
          <w:szCs w:val="28"/>
        </w:rPr>
      </w:pPr>
      <w:r w:rsidRPr="00810DC0">
        <w:rPr>
          <w:rFonts w:asciiTheme="majorHAnsi" w:hAnsiTheme="majorHAnsi"/>
          <w:b/>
          <w:sz w:val="28"/>
          <w:szCs w:val="28"/>
        </w:rPr>
        <w:t xml:space="preserve">Table </w:t>
      </w:r>
      <w:r w:rsidR="00F03D19" w:rsidRPr="00810DC0">
        <w:rPr>
          <w:rFonts w:asciiTheme="majorHAnsi" w:hAnsiTheme="majorHAnsi"/>
          <w:b/>
          <w:sz w:val="28"/>
          <w:szCs w:val="28"/>
        </w:rPr>
        <w:t>A</w:t>
      </w:r>
      <w:r w:rsidRPr="00810DC0">
        <w:rPr>
          <w:rFonts w:asciiTheme="majorHAnsi" w:hAnsiTheme="majorHAnsi"/>
          <w:b/>
          <w:sz w:val="28"/>
          <w:szCs w:val="28"/>
        </w:rPr>
        <w:t xml:space="preserve">1: Petroleum Marketing </w:t>
      </w:r>
      <w:r w:rsidR="00322217" w:rsidRPr="00810DC0">
        <w:rPr>
          <w:rFonts w:asciiTheme="majorHAnsi" w:hAnsiTheme="majorHAnsi"/>
          <w:b/>
          <w:sz w:val="28"/>
          <w:szCs w:val="28"/>
        </w:rPr>
        <w:t xml:space="preserve">Program (PMP) </w:t>
      </w:r>
      <w:r w:rsidRPr="00810DC0">
        <w:rPr>
          <w:rFonts w:asciiTheme="majorHAnsi" w:hAnsiTheme="majorHAnsi"/>
          <w:b/>
          <w:sz w:val="28"/>
          <w:szCs w:val="28"/>
        </w:rPr>
        <w:t>Data Collection Forms</w:t>
      </w:r>
    </w:p>
    <w:tbl>
      <w:tblPr>
        <w:tblStyle w:val="TableGrid"/>
        <w:tblW w:w="981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tblPr>
      <w:tblGrid>
        <w:gridCol w:w="2298"/>
        <w:gridCol w:w="7518"/>
      </w:tblGrid>
      <w:tr w:rsidR="00AF640D" w:rsidRPr="0030248F" w:rsidTr="00810DC0">
        <w:trPr>
          <w:trHeight w:val="577"/>
        </w:trPr>
        <w:tc>
          <w:tcPr>
            <w:tcW w:w="2298" w:type="dxa"/>
          </w:tcPr>
          <w:p w:rsidR="00B74D58" w:rsidRPr="0030248F" w:rsidRDefault="00B74D58" w:rsidP="00BC6B25">
            <w:pPr>
              <w:rPr>
                <w:rFonts w:asciiTheme="minorHAnsi" w:hAnsiTheme="minorHAnsi"/>
                <w:sz w:val="22"/>
              </w:rPr>
            </w:pPr>
          </w:p>
          <w:p w:rsidR="00AF640D" w:rsidRPr="0030248F" w:rsidRDefault="00AF640D" w:rsidP="00BC6B25">
            <w:pPr>
              <w:rPr>
                <w:rFonts w:asciiTheme="minorHAnsi" w:hAnsiTheme="minorHAnsi"/>
                <w:sz w:val="22"/>
              </w:rPr>
            </w:pPr>
            <w:r w:rsidRPr="0030248F">
              <w:rPr>
                <w:rFonts w:asciiTheme="minorHAnsi" w:hAnsiTheme="minorHAnsi"/>
                <w:sz w:val="22"/>
              </w:rPr>
              <w:t>Form EIA-14</w:t>
            </w:r>
          </w:p>
        </w:tc>
        <w:tc>
          <w:tcPr>
            <w:tcW w:w="7518" w:type="dxa"/>
          </w:tcPr>
          <w:p w:rsidR="00AF640D" w:rsidRPr="0030248F" w:rsidRDefault="00AF640D" w:rsidP="00BC6B25">
            <w:pPr>
              <w:rPr>
                <w:rFonts w:asciiTheme="minorHAnsi" w:hAnsiTheme="minorHAnsi"/>
                <w:sz w:val="22"/>
              </w:rPr>
            </w:pPr>
          </w:p>
          <w:p w:rsidR="00AF640D" w:rsidRPr="0030248F" w:rsidRDefault="00AF640D" w:rsidP="00BC6B25">
            <w:pPr>
              <w:rPr>
                <w:rFonts w:asciiTheme="minorHAnsi" w:hAnsiTheme="minorHAnsi"/>
                <w:sz w:val="22"/>
              </w:rPr>
            </w:pPr>
            <w:r w:rsidRPr="0030248F">
              <w:rPr>
                <w:rFonts w:asciiTheme="minorHAnsi" w:hAnsiTheme="minorHAnsi"/>
                <w:sz w:val="22"/>
              </w:rPr>
              <w:t>Refiners’ Monthly Cost Report</w:t>
            </w:r>
            <w:r w:rsidR="00FA621C">
              <w:rPr>
                <w:rFonts w:asciiTheme="minorHAnsi" w:hAnsiTheme="minorHAnsi"/>
                <w:sz w:val="22"/>
              </w:rPr>
              <w:t xml:space="preserve"> (Appendix A)</w:t>
            </w:r>
          </w:p>
        </w:tc>
      </w:tr>
      <w:tr w:rsidR="00AF640D" w:rsidRPr="0030248F" w:rsidTr="00810DC0">
        <w:trPr>
          <w:trHeight w:val="150"/>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EIA-182</w:t>
            </w:r>
          </w:p>
        </w:tc>
        <w:tc>
          <w:tcPr>
            <w:tcW w:w="7518" w:type="dxa"/>
          </w:tcPr>
          <w:p w:rsidR="00AF640D" w:rsidRPr="0030248F" w:rsidRDefault="00AF640D" w:rsidP="00FA621C">
            <w:pPr>
              <w:rPr>
                <w:rFonts w:asciiTheme="minorHAnsi" w:hAnsiTheme="minorHAnsi"/>
                <w:sz w:val="22"/>
              </w:rPr>
            </w:pPr>
            <w:r w:rsidRPr="0030248F">
              <w:rPr>
                <w:rFonts w:asciiTheme="minorHAnsi" w:hAnsiTheme="minorHAnsi"/>
                <w:sz w:val="22"/>
              </w:rPr>
              <w:t>Domestic Crude Oil First Purchase Report (</w:t>
            </w:r>
            <w:r w:rsidR="00FA621C">
              <w:rPr>
                <w:rFonts w:asciiTheme="minorHAnsi" w:hAnsiTheme="minorHAnsi"/>
                <w:sz w:val="22"/>
              </w:rPr>
              <w:t>Appendix B</w:t>
            </w:r>
            <w:r w:rsidRPr="0030248F">
              <w:rPr>
                <w:rFonts w:asciiTheme="minorHAnsi" w:hAnsiTheme="minorHAnsi"/>
                <w:sz w:val="22"/>
              </w:rPr>
              <w:t>)</w:t>
            </w:r>
          </w:p>
        </w:tc>
      </w:tr>
      <w:tr w:rsidR="002C401B" w:rsidRPr="0030248F" w:rsidTr="00810DC0">
        <w:trPr>
          <w:trHeight w:val="279"/>
        </w:trPr>
        <w:tc>
          <w:tcPr>
            <w:tcW w:w="2298" w:type="dxa"/>
          </w:tcPr>
          <w:p w:rsidR="002C401B" w:rsidRPr="0030248F" w:rsidRDefault="002C401B" w:rsidP="00BC6B25">
            <w:pPr>
              <w:rPr>
                <w:rFonts w:asciiTheme="minorHAnsi" w:hAnsiTheme="minorHAnsi"/>
                <w:sz w:val="22"/>
              </w:rPr>
            </w:pPr>
            <w:r w:rsidRPr="0030248F">
              <w:rPr>
                <w:rFonts w:asciiTheme="minorHAnsi" w:hAnsiTheme="minorHAnsi"/>
                <w:sz w:val="22"/>
              </w:rPr>
              <w:t>Form EIA-782A</w:t>
            </w:r>
          </w:p>
        </w:tc>
        <w:tc>
          <w:tcPr>
            <w:tcW w:w="7518" w:type="dxa"/>
          </w:tcPr>
          <w:p w:rsidR="002C401B" w:rsidRPr="0030248F" w:rsidRDefault="002C401B" w:rsidP="00BC6B25">
            <w:pPr>
              <w:rPr>
                <w:rFonts w:asciiTheme="minorHAnsi" w:hAnsiTheme="minorHAnsi"/>
                <w:sz w:val="22"/>
              </w:rPr>
            </w:pPr>
            <w:r w:rsidRPr="0030248F">
              <w:rPr>
                <w:rFonts w:asciiTheme="minorHAnsi" w:hAnsiTheme="minorHAnsi"/>
                <w:sz w:val="22"/>
              </w:rPr>
              <w:t>Refiners’/Gas Plant Operators’ Monthly Petroleum Product Sales Report</w:t>
            </w:r>
            <w:r w:rsidR="00FA621C">
              <w:rPr>
                <w:rFonts w:asciiTheme="minorHAnsi" w:hAnsiTheme="minorHAnsi"/>
                <w:sz w:val="22"/>
              </w:rPr>
              <w:t xml:space="preserve"> (Appendix C)</w:t>
            </w:r>
          </w:p>
        </w:tc>
      </w:tr>
      <w:tr w:rsidR="00AF640D" w:rsidRPr="0030248F" w:rsidTr="00810DC0">
        <w:trPr>
          <w:trHeight w:val="577"/>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782C</w:t>
            </w:r>
          </w:p>
        </w:tc>
        <w:tc>
          <w:tcPr>
            <w:tcW w:w="7518" w:type="dxa"/>
          </w:tcPr>
          <w:p w:rsidR="00AF640D" w:rsidRPr="0030248F" w:rsidRDefault="00AF640D" w:rsidP="00BC6B25">
            <w:pPr>
              <w:rPr>
                <w:rFonts w:asciiTheme="minorHAnsi" w:hAnsiTheme="minorHAnsi"/>
                <w:sz w:val="22"/>
              </w:rPr>
            </w:pPr>
            <w:r w:rsidRPr="0030248F">
              <w:rPr>
                <w:rFonts w:asciiTheme="minorHAnsi" w:hAnsiTheme="minorHAnsi"/>
                <w:sz w:val="22"/>
              </w:rPr>
              <w:t>Monthly Report of Prime Supplier Sales of Petroleum Products Sold for Local Consumption</w:t>
            </w:r>
            <w:r w:rsidR="00FA621C">
              <w:rPr>
                <w:rFonts w:asciiTheme="minorHAnsi" w:hAnsiTheme="minorHAnsi"/>
                <w:sz w:val="22"/>
              </w:rPr>
              <w:t xml:space="preserve"> (Appendix D)</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821</w:t>
            </w:r>
          </w:p>
        </w:tc>
        <w:tc>
          <w:tcPr>
            <w:tcW w:w="7518" w:type="dxa"/>
          </w:tcPr>
          <w:p w:rsidR="00AF640D" w:rsidRPr="0030248F" w:rsidRDefault="00AF640D" w:rsidP="00BC6B25">
            <w:pPr>
              <w:rPr>
                <w:rFonts w:asciiTheme="minorHAnsi" w:hAnsiTheme="minorHAnsi"/>
                <w:sz w:val="22"/>
              </w:rPr>
            </w:pPr>
            <w:r w:rsidRPr="0030248F">
              <w:rPr>
                <w:rFonts w:asciiTheme="minorHAnsi" w:hAnsiTheme="minorHAnsi"/>
                <w:sz w:val="22"/>
              </w:rPr>
              <w:t>Annual Fuel Oil and Kerosene Sales Report</w:t>
            </w:r>
            <w:r w:rsidR="00FA621C">
              <w:rPr>
                <w:rFonts w:asciiTheme="minorHAnsi" w:hAnsiTheme="minorHAnsi"/>
                <w:sz w:val="22"/>
              </w:rPr>
              <w:t xml:space="preserve"> (Appendix E)</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856</w:t>
            </w:r>
          </w:p>
        </w:tc>
        <w:tc>
          <w:tcPr>
            <w:tcW w:w="7518" w:type="dxa"/>
          </w:tcPr>
          <w:p w:rsidR="00AF640D" w:rsidRPr="0030248F" w:rsidRDefault="00AF640D" w:rsidP="00BC6B25">
            <w:pPr>
              <w:rPr>
                <w:rFonts w:asciiTheme="minorHAnsi" w:hAnsiTheme="minorHAnsi"/>
                <w:sz w:val="22"/>
              </w:rPr>
            </w:pPr>
            <w:r w:rsidRPr="0030248F">
              <w:rPr>
                <w:rFonts w:asciiTheme="minorHAnsi" w:hAnsiTheme="minorHAnsi"/>
                <w:sz w:val="22"/>
              </w:rPr>
              <w:t>Monthly Foreign Crude Oil Acquisition Report</w:t>
            </w:r>
            <w:r w:rsidR="00FA621C">
              <w:rPr>
                <w:rFonts w:asciiTheme="minorHAnsi" w:hAnsiTheme="minorHAnsi"/>
                <w:sz w:val="22"/>
              </w:rPr>
              <w:t xml:space="preserve"> (Appendix F)</w:t>
            </w:r>
          </w:p>
        </w:tc>
      </w:tr>
      <w:tr w:rsidR="00AF640D" w:rsidRPr="0030248F" w:rsidTr="00810DC0">
        <w:trPr>
          <w:trHeight w:val="296"/>
        </w:trPr>
        <w:tc>
          <w:tcPr>
            <w:tcW w:w="2298" w:type="dxa"/>
          </w:tcPr>
          <w:p w:rsidR="00AF640D" w:rsidRPr="0030248F" w:rsidRDefault="00AF640D" w:rsidP="00BC6B25">
            <w:pPr>
              <w:rPr>
                <w:rFonts w:asciiTheme="minorHAnsi" w:hAnsiTheme="minorHAnsi"/>
                <w:sz w:val="22"/>
              </w:rPr>
            </w:pPr>
            <w:r w:rsidRPr="0030248F">
              <w:rPr>
                <w:rFonts w:asciiTheme="minorHAnsi" w:hAnsiTheme="minorHAnsi"/>
                <w:sz w:val="22"/>
              </w:rPr>
              <w:t>Form EIA</w:t>
            </w:r>
            <w:r w:rsidRPr="0030248F">
              <w:rPr>
                <w:rFonts w:asciiTheme="minorHAnsi" w:hAnsiTheme="minorHAnsi"/>
                <w:sz w:val="22"/>
              </w:rPr>
              <w:noBreakHyphen/>
              <w:t>863</w:t>
            </w:r>
          </w:p>
        </w:tc>
        <w:tc>
          <w:tcPr>
            <w:tcW w:w="7518" w:type="dxa"/>
          </w:tcPr>
          <w:p w:rsidR="00AF640D" w:rsidRPr="0030248F" w:rsidRDefault="00AF640D" w:rsidP="008608B6">
            <w:pPr>
              <w:rPr>
                <w:rFonts w:asciiTheme="minorHAnsi" w:hAnsiTheme="minorHAnsi"/>
                <w:sz w:val="22"/>
              </w:rPr>
            </w:pPr>
            <w:r w:rsidRPr="0030248F">
              <w:rPr>
                <w:rFonts w:asciiTheme="minorHAnsi" w:hAnsiTheme="minorHAnsi"/>
                <w:sz w:val="22"/>
              </w:rPr>
              <w:t>Petroleum Product Sales Id</w:t>
            </w:r>
            <w:r w:rsidR="00FA621C">
              <w:rPr>
                <w:rFonts w:asciiTheme="minorHAnsi" w:hAnsiTheme="minorHAnsi"/>
                <w:sz w:val="22"/>
              </w:rPr>
              <w:t>entification Survey (Appendix G</w:t>
            </w:r>
            <w:r w:rsidR="008608B6" w:rsidRPr="0030248F">
              <w:rPr>
                <w:rFonts w:asciiTheme="minorHAnsi" w:hAnsiTheme="minorHAnsi"/>
                <w:sz w:val="22"/>
              </w:rPr>
              <w:t>)</w:t>
            </w:r>
            <w:r w:rsidR="00223695" w:rsidRPr="0030248F">
              <w:rPr>
                <w:rFonts w:asciiTheme="minorHAnsi" w:hAnsiTheme="minorHAnsi"/>
                <w:sz w:val="22"/>
              </w:rPr>
              <w:t xml:space="preserve"> </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EIA-877</w:t>
            </w:r>
          </w:p>
        </w:tc>
        <w:tc>
          <w:tcPr>
            <w:tcW w:w="7518" w:type="dxa"/>
          </w:tcPr>
          <w:p w:rsidR="009036BE" w:rsidRPr="0030248F" w:rsidRDefault="009036BE" w:rsidP="00FA621C">
            <w:pPr>
              <w:rPr>
                <w:rFonts w:asciiTheme="minorHAnsi" w:hAnsiTheme="minorHAnsi"/>
                <w:sz w:val="22"/>
              </w:rPr>
            </w:pPr>
            <w:r w:rsidRPr="0030248F">
              <w:rPr>
                <w:rFonts w:asciiTheme="minorHAnsi" w:hAnsiTheme="minorHAnsi"/>
                <w:sz w:val="22"/>
              </w:rPr>
              <w:t xml:space="preserve">Winter Heating Fuels Telephone Survey </w:t>
            </w:r>
            <w:r w:rsidR="00FA621C">
              <w:rPr>
                <w:rFonts w:asciiTheme="minorHAnsi" w:hAnsiTheme="minorHAnsi"/>
                <w:sz w:val="22"/>
              </w:rPr>
              <w:t>(Appendix H)</w:t>
            </w:r>
          </w:p>
        </w:tc>
      </w:tr>
      <w:tr w:rsidR="009036BE" w:rsidRPr="0030248F" w:rsidTr="00810DC0">
        <w:trPr>
          <w:trHeight w:val="296"/>
        </w:trPr>
        <w:tc>
          <w:tcPr>
            <w:tcW w:w="2298" w:type="dxa"/>
          </w:tcPr>
          <w:p w:rsidR="009036BE" w:rsidRPr="0030248F" w:rsidRDefault="009036BE" w:rsidP="00972625">
            <w:pPr>
              <w:rPr>
                <w:rFonts w:asciiTheme="minorHAnsi" w:hAnsiTheme="minorHAnsi"/>
                <w:sz w:val="22"/>
              </w:rPr>
            </w:pPr>
            <w:r w:rsidRPr="0030248F">
              <w:rPr>
                <w:rFonts w:asciiTheme="minorHAnsi" w:hAnsiTheme="minorHAnsi"/>
                <w:sz w:val="22"/>
              </w:rPr>
              <w:t>Form EIA-878</w:t>
            </w:r>
          </w:p>
        </w:tc>
        <w:tc>
          <w:tcPr>
            <w:tcW w:w="7518" w:type="dxa"/>
          </w:tcPr>
          <w:p w:rsidR="009036BE" w:rsidRPr="0030248F" w:rsidRDefault="009036BE" w:rsidP="00972625">
            <w:pPr>
              <w:rPr>
                <w:rFonts w:asciiTheme="minorHAnsi" w:hAnsiTheme="minorHAnsi"/>
                <w:sz w:val="22"/>
              </w:rPr>
            </w:pPr>
            <w:r w:rsidRPr="0030248F">
              <w:rPr>
                <w:rFonts w:asciiTheme="minorHAnsi" w:hAnsiTheme="minorHAnsi"/>
                <w:sz w:val="22"/>
              </w:rPr>
              <w:t>Motor Gasol</w:t>
            </w:r>
            <w:r w:rsidR="00FA621C">
              <w:rPr>
                <w:rFonts w:asciiTheme="minorHAnsi" w:hAnsiTheme="minorHAnsi"/>
                <w:sz w:val="22"/>
              </w:rPr>
              <w:t>ine Price Survey (Appendix I</w:t>
            </w:r>
            <w:r w:rsidRPr="0030248F">
              <w:rPr>
                <w:rFonts w:asciiTheme="minorHAnsi" w:hAnsiTheme="minorHAnsi"/>
                <w:sz w:val="22"/>
              </w:rPr>
              <w:t>)</w:t>
            </w:r>
          </w:p>
        </w:tc>
      </w:tr>
      <w:tr w:rsidR="009036BE" w:rsidRPr="0030248F" w:rsidTr="00810DC0">
        <w:trPr>
          <w:trHeight w:val="296"/>
        </w:trPr>
        <w:tc>
          <w:tcPr>
            <w:tcW w:w="2298" w:type="dxa"/>
          </w:tcPr>
          <w:p w:rsidR="009036BE" w:rsidRPr="0030248F" w:rsidRDefault="009036BE" w:rsidP="00BC6B25">
            <w:pPr>
              <w:keepNext/>
              <w:widowControl/>
              <w:rPr>
                <w:rFonts w:asciiTheme="minorHAnsi" w:hAnsiTheme="minorHAnsi"/>
                <w:sz w:val="22"/>
              </w:rPr>
            </w:pPr>
            <w:r w:rsidRPr="0030248F">
              <w:rPr>
                <w:rFonts w:asciiTheme="minorHAnsi" w:hAnsiTheme="minorHAnsi"/>
                <w:sz w:val="22"/>
              </w:rPr>
              <w:t>Form EIA-888</w:t>
            </w:r>
          </w:p>
        </w:tc>
        <w:tc>
          <w:tcPr>
            <w:tcW w:w="7518" w:type="dxa"/>
          </w:tcPr>
          <w:p w:rsidR="009036BE" w:rsidRPr="0030248F" w:rsidRDefault="009036BE" w:rsidP="00FA621C">
            <w:pPr>
              <w:keepNext/>
              <w:widowControl/>
              <w:rPr>
                <w:rFonts w:asciiTheme="minorHAnsi" w:hAnsiTheme="minorHAnsi"/>
                <w:sz w:val="22"/>
              </w:rPr>
            </w:pPr>
            <w:r w:rsidRPr="0030248F">
              <w:rPr>
                <w:rFonts w:asciiTheme="minorHAnsi" w:hAnsiTheme="minorHAnsi"/>
                <w:sz w:val="22"/>
              </w:rPr>
              <w:t>On-Highway Diesel Fuel Price Survey (</w:t>
            </w:r>
            <w:r w:rsidR="00FA621C">
              <w:rPr>
                <w:rFonts w:asciiTheme="minorHAnsi" w:hAnsiTheme="minorHAnsi"/>
                <w:sz w:val="22"/>
              </w:rPr>
              <w:t>Appendix J</w:t>
            </w:r>
            <w:r w:rsidRPr="0030248F">
              <w:rPr>
                <w:rFonts w:asciiTheme="minorHAnsi" w:hAnsiTheme="minorHAnsi"/>
                <w:sz w:val="22"/>
              </w:rPr>
              <w:t>)</w:t>
            </w:r>
          </w:p>
        </w:tc>
      </w:tr>
    </w:tbl>
    <w:p w:rsidR="00AF640D" w:rsidRPr="0030248F" w:rsidRDefault="00AF640D" w:rsidP="00AF640D">
      <w:pPr>
        <w:widowControl/>
        <w:rPr>
          <w:rFonts w:asciiTheme="minorHAnsi" w:hAnsiTheme="minorHAnsi"/>
          <w:sz w:val="22"/>
        </w:rPr>
      </w:pPr>
    </w:p>
    <w:p w:rsidR="002C401B" w:rsidRPr="0030248F" w:rsidRDefault="00A447A2" w:rsidP="0030248F">
      <w:pPr>
        <w:spacing w:line="360" w:lineRule="auto"/>
        <w:rPr>
          <w:rFonts w:asciiTheme="minorHAnsi" w:hAnsiTheme="minorHAnsi"/>
          <w:color w:val="000000"/>
          <w:sz w:val="22"/>
        </w:rPr>
      </w:pPr>
      <w:r w:rsidRPr="0030248F">
        <w:rPr>
          <w:rFonts w:asciiTheme="minorHAnsi" w:hAnsiTheme="minorHAnsi"/>
          <w:color w:val="000000"/>
          <w:sz w:val="22"/>
        </w:rPr>
        <w:t xml:space="preserve">The information collection proposed in this supporting statement has been reviewed in light of applicable </w:t>
      </w:r>
      <w:r w:rsidR="00EE64E3" w:rsidRPr="0030248F">
        <w:rPr>
          <w:rFonts w:asciiTheme="minorHAnsi" w:hAnsiTheme="minorHAnsi"/>
          <w:color w:val="000000"/>
          <w:sz w:val="22"/>
        </w:rPr>
        <w:t>I</w:t>
      </w:r>
      <w:r w:rsidRPr="0030248F">
        <w:rPr>
          <w:rFonts w:asciiTheme="minorHAnsi" w:hAnsiTheme="minorHAnsi"/>
          <w:color w:val="000000"/>
          <w:sz w:val="22"/>
        </w:rPr>
        <w:t xml:space="preserve">nformation </w:t>
      </w:r>
      <w:r w:rsidR="00EE64E3" w:rsidRPr="0030248F">
        <w:rPr>
          <w:rFonts w:asciiTheme="minorHAnsi" w:hAnsiTheme="minorHAnsi"/>
          <w:color w:val="000000"/>
          <w:sz w:val="22"/>
        </w:rPr>
        <w:t>Q</w:t>
      </w:r>
      <w:r w:rsidRPr="0030248F">
        <w:rPr>
          <w:rFonts w:asciiTheme="minorHAnsi" w:hAnsiTheme="minorHAnsi"/>
          <w:color w:val="000000"/>
          <w:sz w:val="22"/>
        </w:rPr>
        <w:t xml:space="preserve">uality </w:t>
      </w:r>
      <w:r w:rsidR="00EE64E3" w:rsidRPr="0030248F">
        <w:rPr>
          <w:rFonts w:asciiTheme="minorHAnsi" w:hAnsiTheme="minorHAnsi"/>
          <w:color w:val="000000"/>
          <w:sz w:val="22"/>
        </w:rPr>
        <w:t>G</w:t>
      </w:r>
      <w:r w:rsidRPr="0030248F">
        <w:rPr>
          <w:rFonts w:asciiTheme="minorHAnsi" w:hAnsiTheme="minorHAnsi"/>
          <w:color w:val="000000"/>
          <w:sz w:val="22"/>
        </w:rPr>
        <w:t>uidelines.  It has been determined that the information will be collected, maintained, and used in a manner consistent with the Office of M</w:t>
      </w:r>
      <w:r w:rsidR="00925BAC" w:rsidRPr="0030248F">
        <w:rPr>
          <w:rFonts w:asciiTheme="minorHAnsi" w:hAnsiTheme="minorHAnsi"/>
          <w:color w:val="000000"/>
          <w:sz w:val="22"/>
        </w:rPr>
        <w:t xml:space="preserve">anagement and Budget (OMB) </w:t>
      </w:r>
      <w:r w:rsidR="00322217" w:rsidRPr="0030248F">
        <w:rPr>
          <w:rFonts w:asciiTheme="minorHAnsi" w:hAnsiTheme="minorHAnsi"/>
          <w:color w:val="000000"/>
          <w:sz w:val="22"/>
        </w:rPr>
        <w:t xml:space="preserve">and </w:t>
      </w:r>
      <w:r w:rsidRPr="0030248F">
        <w:rPr>
          <w:rFonts w:asciiTheme="minorHAnsi" w:hAnsiTheme="minorHAnsi"/>
          <w:color w:val="000000"/>
          <w:sz w:val="22"/>
        </w:rPr>
        <w:t>DOE</w:t>
      </w:r>
      <w:r w:rsidR="00322217" w:rsidRPr="0030248F">
        <w:rPr>
          <w:rFonts w:asciiTheme="minorHAnsi" w:hAnsiTheme="minorHAnsi"/>
          <w:color w:val="000000"/>
          <w:sz w:val="22"/>
        </w:rPr>
        <w:t xml:space="preserve">’s </w:t>
      </w:r>
      <w:r w:rsidR="00CB1D94" w:rsidRPr="0030248F">
        <w:rPr>
          <w:rFonts w:asciiTheme="minorHAnsi" w:hAnsiTheme="minorHAnsi"/>
          <w:color w:val="000000"/>
          <w:sz w:val="22"/>
        </w:rPr>
        <w:t>I</w:t>
      </w:r>
      <w:r w:rsidRPr="0030248F">
        <w:rPr>
          <w:rFonts w:asciiTheme="minorHAnsi" w:hAnsiTheme="minorHAnsi"/>
          <w:color w:val="000000"/>
          <w:sz w:val="22"/>
        </w:rPr>
        <w:t xml:space="preserve">nformation </w:t>
      </w:r>
      <w:r w:rsidR="00CB1D94" w:rsidRPr="0030248F">
        <w:rPr>
          <w:rFonts w:asciiTheme="minorHAnsi" w:hAnsiTheme="minorHAnsi"/>
          <w:color w:val="000000"/>
          <w:sz w:val="22"/>
        </w:rPr>
        <w:t>Quality G</w:t>
      </w:r>
      <w:r w:rsidRPr="0030248F">
        <w:rPr>
          <w:rFonts w:asciiTheme="minorHAnsi" w:hAnsiTheme="minorHAnsi"/>
          <w:color w:val="000000"/>
          <w:sz w:val="22"/>
        </w:rPr>
        <w:t>uidelines.</w:t>
      </w:r>
    </w:p>
    <w:p w:rsidR="00D731A6" w:rsidRPr="003B6543" w:rsidRDefault="00D731A6" w:rsidP="00D20878">
      <w:pPr>
        <w:pStyle w:val="Heading1"/>
      </w:pPr>
      <w:r w:rsidRPr="003B6543">
        <w:lastRenderedPageBreak/>
        <w:t>Background on Petroleum Marketing Program</w:t>
      </w:r>
      <w:r w:rsidR="00322217" w:rsidRPr="003B6543">
        <w:t xml:space="preserve"> (PMP)</w:t>
      </w:r>
    </w:p>
    <w:p w:rsidR="0030248F" w:rsidRDefault="0030248F" w:rsidP="00801FE7">
      <w:pPr>
        <w:pStyle w:val="TEXT"/>
      </w:pPr>
    </w:p>
    <w:p w:rsidR="00B222CA" w:rsidRPr="00B222CA" w:rsidRDefault="00D731A6" w:rsidP="00542D6E">
      <w:pPr>
        <w:pStyle w:val="TEXT"/>
        <w:spacing w:line="360" w:lineRule="auto"/>
      </w:pPr>
      <w:r w:rsidRPr="0030248F">
        <w:t xml:space="preserve">The Petroleum Marketing Program </w:t>
      </w:r>
      <w:r w:rsidR="00F41554">
        <w:t xml:space="preserve">(PMP) </w:t>
      </w:r>
      <w:r w:rsidRPr="0030248F">
        <w:t xml:space="preserve">collects and publishes data on the nature, structure, and efficiency of petroleum markets at the national, regional, and state levels. </w:t>
      </w:r>
      <w:r w:rsidR="00592694" w:rsidRPr="00B222CA">
        <w:t>The following diagram</w:t>
      </w:r>
      <w:r w:rsidR="00B222CA" w:rsidRPr="00B222CA">
        <w:t xml:space="preserve"> displays the points of data collection in the petroleum distribution chain for the surveys in the PMP.</w:t>
      </w:r>
    </w:p>
    <w:p w:rsidR="00542D6E" w:rsidRPr="0030248F" w:rsidRDefault="00592694" w:rsidP="00542D6E">
      <w:pPr>
        <w:pStyle w:val="TEXT"/>
        <w:spacing w:line="360" w:lineRule="auto"/>
      </w:pPr>
      <w:r w:rsidRPr="0030248F">
        <w:t xml:space="preserve"> </w:t>
      </w:r>
      <w:r w:rsidR="00542D6E" w:rsidRPr="0030248F">
        <w:t>Through integration of ten surveys, EIA monitors petroleum volumes and prices as the commodity moves through the</w:t>
      </w:r>
      <w:r w:rsidR="00F41554">
        <w:t xml:space="preserve"> various stages from </w:t>
      </w:r>
      <w:r w:rsidR="00542D6E" w:rsidRPr="0030248F">
        <w:t xml:space="preserve">importation of the raw material to refining to create the finished products to transfer/distribution from the refiner to the retail outlets to sales to ultimate consumers.  The program conducts three sub-groups of surveys. Each of these groups of surveys has its own sampling frame. </w:t>
      </w:r>
    </w:p>
    <w:p w:rsidR="00592694" w:rsidRPr="00B54FDB" w:rsidRDefault="00592694" w:rsidP="00801FE7">
      <w:pPr>
        <w:pStyle w:val="TEXT"/>
      </w:pPr>
    </w:p>
    <w:p w:rsidR="00E42BDD" w:rsidRPr="00E42BDD" w:rsidRDefault="00E42BDD" w:rsidP="00E42BDD">
      <w:r w:rsidRPr="00E42BDD">
        <w:rPr>
          <w:noProof/>
        </w:rPr>
        <w:drawing>
          <wp:inline distT="0" distB="0" distL="0" distR="0">
            <wp:extent cx="6553200" cy="4476750"/>
            <wp:effectExtent l="19050" t="0" r="0" b="0"/>
            <wp:docPr id="1" name="Picture 1" descr="VagtsPetroMarket2REV2.jpg"/>
            <wp:cNvGraphicFramePr/>
            <a:graphic xmlns:a="http://schemas.openxmlformats.org/drawingml/2006/main">
              <a:graphicData uri="http://schemas.openxmlformats.org/drawingml/2006/picture">
                <pic:pic xmlns:pic="http://schemas.openxmlformats.org/drawingml/2006/picture">
                  <pic:nvPicPr>
                    <pic:cNvPr id="2050" name="Picture 3" descr="VagtsPetroMarket2REV2.jpg"/>
                    <pic:cNvPicPr>
                      <a:picLocks noChangeAspect="1"/>
                    </pic:cNvPicPr>
                  </pic:nvPicPr>
                  <pic:blipFill>
                    <a:blip r:embed="rId16" cstate="print"/>
                    <a:srcRect/>
                    <a:stretch>
                      <a:fillRect/>
                    </a:stretch>
                  </pic:blipFill>
                  <pic:spPr bwMode="auto">
                    <a:xfrm>
                      <a:off x="0" y="0"/>
                      <a:ext cx="6553200" cy="4476750"/>
                    </a:xfrm>
                    <a:prstGeom prst="rect">
                      <a:avLst/>
                    </a:prstGeom>
                    <a:noFill/>
                    <a:ln w="9525">
                      <a:noFill/>
                      <a:miter lim="800000"/>
                      <a:headEnd/>
                      <a:tailEnd/>
                    </a:ln>
                  </pic:spPr>
                </pic:pic>
              </a:graphicData>
            </a:graphic>
          </wp:inline>
        </w:drawing>
      </w:r>
    </w:p>
    <w:p w:rsidR="003B6543" w:rsidRDefault="003B6543" w:rsidP="00801FE7">
      <w:pPr>
        <w:pStyle w:val="TEXT"/>
      </w:pPr>
    </w:p>
    <w:p w:rsidR="00D731A6" w:rsidRPr="0030248F" w:rsidRDefault="00D731A6" w:rsidP="009B1A98">
      <w:pPr>
        <w:pStyle w:val="Bullet"/>
        <w:numPr>
          <w:ilvl w:val="0"/>
          <w:numId w:val="36"/>
        </w:numPr>
      </w:pPr>
      <w:r w:rsidRPr="0030248F">
        <w:lastRenderedPageBreak/>
        <w:t xml:space="preserve">The first sub-group of surveys </w:t>
      </w:r>
      <w:r w:rsidR="00C16CA5">
        <w:t>includes</w:t>
      </w:r>
      <w:r w:rsidRPr="0030248F">
        <w:t xml:space="preserve"> the EIA-182, the EIA-856, and the EIA-14. These surveys collect data on cru</w:t>
      </w:r>
      <w:r w:rsidR="00C16CA5">
        <w:t xml:space="preserve">de oil acquisition costs and crude oil </w:t>
      </w:r>
      <w:r w:rsidRPr="0030248F">
        <w:t xml:space="preserve">volumes.  </w:t>
      </w:r>
    </w:p>
    <w:p w:rsidR="00D11297" w:rsidRPr="00801FE7" w:rsidRDefault="00D731A6"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second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EIA-782A, the EIA-782C, and the EIA-821.  These surveys collect data on refined petroleum product sales volumes and</w:t>
      </w:r>
      <w:r w:rsidR="00B222CA" w:rsidRPr="00801FE7">
        <w:rPr>
          <w:rFonts w:asciiTheme="minorHAnsi" w:hAnsiTheme="minorHAnsi"/>
          <w:sz w:val="22"/>
          <w:szCs w:val="22"/>
        </w:rPr>
        <w:t>/or</w:t>
      </w:r>
      <w:r w:rsidRPr="00801FE7">
        <w:rPr>
          <w:rFonts w:asciiTheme="minorHAnsi" w:hAnsiTheme="minorHAnsi"/>
          <w:sz w:val="22"/>
          <w:szCs w:val="22"/>
        </w:rPr>
        <w:t xml:space="preserve"> prices.  </w:t>
      </w:r>
      <w:r w:rsidR="00D11297" w:rsidRPr="00801FE7">
        <w:rPr>
          <w:rFonts w:asciiTheme="minorHAnsi" w:hAnsiTheme="minorHAnsi"/>
          <w:sz w:val="22"/>
          <w:szCs w:val="22"/>
        </w:rPr>
        <w:t>Appendix</w:t>
      </w:r>
      <w:r w:rsidR="00690F21" w:rsidRPr="00801FE7">
        <w:rPr>
          <w:rFonts w:asciiTheme="minorHAnsi" w:hAnsiTheme="minorHAnsi"/>
          <w:sz w:val="22"/>
          <w:szCs w:val="22"/>
        </w:rPr>
        <w:t xml:space="preserve"> E </w:t>
      </w:r>
      <w:r w:rsidR="00D11297" w:rsidRPr="00801FE7">
        <w:rPr>
          <w:rFonts w:asciiTheme="minorHAnsi" w:hAnsiTheme="minorHAnsi"/>
          <w:sz w:val="22"/>
          <w:szCs w:val="22"/>
        </w:rPr>
        <w:t xml:space="preserve">contains the 782A Reference Guide and Appendix </w:t>
      </w:r>
      <w:r w:rsidR="00690F21" w:rsidRPr="00801FE7">
        <w:rPr>
          <w:rFonts w:asciiTheme="minorHAnsi" w:hAnsiTheme="minorHAnsi"/>
          <w:sz w:val="22"/>
          <w:szCs w:val="22"/>
        </w:rPr>
        <w:t>G</w:t>
      </w:r>
      <w:r w:rsidR="00EC6EF3" w:rsidRPr="00801FE7">
        <w:rPr>
          <w:rFonts w:asciiTheme="minorHAnsi" w:hAnsiTheme="minorHAnsi"/>
          <w:sz w:val="22"/>
          <w:szCs w:val="22"/>
        </w:rPr>
        <w:t xml:space="preserve"> </w:t>
      </w:r>
      <w:r w:rsidR="00D11297" w:rsidRPr="00801FE7">
        <w:rPr>
          <w:rFonts w:asciiTheme="minorHAnsi" w:hAnsiTheme="minorHAnsi"/>
          <w:sz w:val="22"/>
          <w:szCs w:val="22"/>
        </w:rPr>
        <w:t xml:space="preserve">contains the 821 Reference Guide.  </w:t>
      </w:r>
    </w:p>
    <w:p w:rsidR="00801FE7"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 xml:space="preserve">The third sub-group of surveys </w:t>
      </w:r>
      <w:r w:rsidR="00C16CA5" w:rsidRPr="00801FE7">
        <w:rPr>
          <w:rFonts w:asciiTheme="minorHAnsi" w:hAnsiTheme="minorHAnsi"/>
          <w:sz w:val="22"/>
          <w:szCs w:val="22"/>
        </w:rPr>
        <w:t>includes</w:t>
      </w:r>
      <w:r w:rsidRPr="00801FE7">
        <w:rPr>
          <w:rFonts w:asciiTheme="minorHAnsi" w:hAnsiTheme="minorHAnsi"/>
          <w:sz w:val="22"/>
          <w:szCs w:val="22"/>
        </w:rPr>
        <w:t xml:space="preserve"> the EIA-877, the EIA-878, and the EIA-888. These surveys collect price data for end-users of refined petroleum products where the reporting unit tends to be the individual outlets.  The published prices are average prices, which are computed using volume measures from the survey itself once a year or </w:t>
      </w:r>
      <w:r w:rsidR="00F41554">
        <w:rPr>
          <w:rFonts w:asciiTheme="minorHAnsi" w:hAnsiTheme="minorHAnsi"/>
          <w:sz w:val="22"/>
          <w:szCs w:val="22"/>
        </w:rPr>
        <w:t xml:space="preserve">which </w:t>
      </w:r>
      <w:r w:rsidRPr="00801FE7">
        <w:rPr>
          <w:rFonts w:asciiTheme="minorHAnsi" w:hAnsiTheme="minorHAnsi"/>
          <w:sz w:val="22"/>
          <w:szCs w:val="22"/>
        </w:rPr>
        <w:t>are derived from a related survey. The data reported on the three weekly surveys are point-in-time estimates instead of an average price. More information is available about these point-in-time estimates in Part B.</w:t>
      </w:r>
    </w:p>
    <w:p w:rsidR="00B222CA" w:rsidRPr="00801FE7" w:rsidRDefault="00B222CA" w:rsidP="00475B30">
      <w:pPr>
        <w:pStyle w:val="ListParagraph"/>
        <w:numPr>
          <w:ilvl w:val="0"/>
          <w:numId w:val="18"/>
        </w:numPr>
        <w:tabs>
          <w:tab w:val="right" w:leader="dot" w:pos="9360"/>
        </w:tabs>
        <w:spacing w:line="360" w:lineRule="auto"/>
        <w:rPr>
          <w:rFonts w:asciiTheme="minorHAnsi" w:hAnsiTheme="minorHAnsi"/>
          <w:sz w:val="22"/>
          <w:szCs w:val="22"/>
        </w:rPr>
      </w:pPr>
      <w:r w:rsidRPr="00801FE7">
        <w:rPr>
          <w:rFonts w:asciiTheme="minorHAnsi" w:hAnsiTheme="minorHAnsi"/>
          <w:sz w:val="22"/>
          <w:szCs w:val="22"/>
        </w:rPr>
        <w:t>The last survey is the EIA-863 which collects size, type, and location data on companies engaged in sales of petroleum products.  This survey is the sampling frame for several surveys in the Petroleum Marketing Program including t</w:t>
      </w:r>
      <w:r w:rsidR="00F41554">
        <w:rPr>
          <w:rFonts w:asciiTheme="minorHAnsi" w:hAnsiTheme="minorHAnsi"/>
          <w:sz w:val="22"/>
          <w:szCs w:val="22"/>
        </w:rPr>
        <w:t>he EIA-821 and</w:t>
      </w:r>
      <w:r w:rsidR="00801FE7">
        <w:rPr>
          <w:rFonts w:asciiTheme="minorHAnsi" w:hAnsiTheme="minorHAnsi"/>
          <w:sz w:val="22"/>
          <w:szCs w:val="22"/>
        </w:rPr>
        <w:t xml:space="preserve"> the EIA-877</w:t>
      </w:r>
      <w:r w:rsidR="00F41554">
        <w:rPr>
          <w:rFonts w:asciiTheme="minorHAnsi" w:hAnsiTheme="minorHAnsi"/>
          <w:sz w:val="22"/>
          <w:szCs w:val="22"/>
        </w:rPr>
        <w:t>.</w:t>
      </w:r>
      <w:r w:rsidRPr="00801FE7">
        <w:rPr>
          <w:rFonts w:asciiTheme="minorHAnsi" w:hAnsiTheme="minorHAnsi"/>
          <w:sz w:val="22"/>
          <w:szCs w:val="22"/>
        </w:rPr>
        <w:t xml:space="preserve"> </w:t>
      </w:r>
      <w:r w:rsidR="00F41554">
        <w:rPr>
          <w:rFonts w:asciiTheme="minorHAnsi" w:hAnsiTheme="minorHAnsi"/>
          <w:sz w:val="22"/>
          <w:szCs w:val="22"/>
        </w:rPr>
        <w:t>It also</w:t>
      </w:r>
      <w:r w:rsidRPr="00801FE7">
        <w:rPr>
          <w:rFonts w:asciiTheme="minorHAnsi" w:hAnsiTheme="minorHAnsi"/>
          <w:sz w:val="22"/>
          <w:szCs w:val="22"/>
        </w:rPr>
        <w:t xml:space="preserve"> provides statistical support for the EIA-878 and EIA-888.</w:t>
      </w:r>
    </w:p>
    <w:p w:rsidR="00D731A6" w:rsidRPr="00540778" w:rsidRDefault="002F5FC8" w:rsidP="00D20878">
      <w:pPr>
        <w:pStyle w:val="Heading1"/>
      </w:pPr>
      <w:r>
        <w:t>Crude Oil Acquisition Costs and Volumes Acquired</w:t>
      </w:r>
    </w:p>
    <w:p w:rsidR="0030248F" w:rsidRDefault="0030248F" w:rsidP="00801FE7">
      <w:pPr>
        <w:pStyle w:val="Bullet"/>
      </w:pPr>
    </w:p>
    <w:p w:rsidR="00D731A6" w:rsidRDefault="004F43B1" w:rsidP="009B1A98">
      <w:pPr>
        <w:pStyle w:val="Bullet"/>
        <w:numPr>
          <w:ilvl w:val="0"/>
          <w:numId w:val="36"/>
        </w:numPr>
      </w:pPr>
      <w:r w:rsidRPr="0030248F">
        <w:t xml:space="preserve">The </w:t>
      </w:r>
      <w:r w:rsidR="00D731A6" w:rsidRPr="0030248F">
        <w:t xml:space="preserve">Monthly Domestic Crude Oil First Purchase Report (EIA-182) is a mandatory monthly census of firms that take or retain ownership of domestic crude oil leaving the lease on which it was produced </w:t>
      </w:r>
      <w:r w:rsidR="002F0C10" w:rsidRPr="0030248F">
        <w:t xml:space="preserve">for leases </w:t>
      </w:r>
      <w:r w:rsidR="00D731A6" w:rsidRPr="0030248F">
        <w:t>within the United States including the Outer Continental Shelf. Firms report</w:t>
      </w:r>
      <w:r w:rsidR="002F0C10" w:rsidRPr="0030248F">
        <w:t>,</w:t>
      </w:r>
      <w:r w:rsidR="00D731A6" w:rsidRPr="0030248F">
        <w:t xml:space="preserve"> by stream</w:t>
      </w:r>
      <w:r w:rsidR="002F0C10" w:rsidRPr="0030248F">
        <w:t>,</w:t>
      </w:r>
      <w:r w:rsidR="00D731A6" w:rsidRPr="0030248F">
        <w:t xml:space="preserve"> the volume in barrels and the weighted average cost per barrel for purchases they made in the </w:t>
      </w:r>
      <w:r w:rsidR="002F0C10" w:rsidRPr="0030248F">
        <w:t xml:space="preserve">reference </w:t>
      </w:r>
      <w:r w:rsidR="00D731A6" w:rsidRPr="0030248F">
        <w:t xml:space="preserve">month. </w:t>
      </w:r>
    </w:p>
    <w:p w:rsidR="00146E32" w:rsidRPr="0030248F" w:rsidRDefault="00146E32" w:rsidP="00801FE7">
      <w:pPr>
        <w:pStyle w:val="Bullet"/>
      </w:pPr>
    </w:p>
    <w:p w:rsidR="00592694" w:rsidRPr="0030248F" w:rsidRDefault="004F43B1" w:rsidP="009B1A98">
      <w:pPr>
        <w:pStyle w:val="Bullet"/>
        <w:numPr>
          <w:ilvl w:val="0"/>
          <w:numId w:val="36"/>
        </w:numPr>
      </w:pPr>
      <w:r w:rsidRPr="0030248F">
        <w:t xml:space="preserve">The </w:t>
      </w:r>
      <w:r w:rsidR="00D731A6" w:rsidRPr="0030248F">
        <w:t>Monthly Foreign Crude Oil Acquisition Report (EIA-856) is a mandatory monthly census of two populations. The first population is comprised of firms that reported data as of June 1982 on the Transfer Pricing Report (ERA-51). The second population is comprised of firms acquiring more than 500,000 barrels of foreign crude oil for importation to the United States and its territories/possessions during the reporting month. Firms report country of origin, volume acquired in barrels, and cost for eac</w:t>
      </w:r>
      <w:r w:rsidR="002F0C10" w:rsidRPr="0030248F">
        <w:t>h acquisition made in the reference</w:t>
      </w:r>
      <w:r w:rsidR="00D731A6" w:rsidRPr="0030248F">
        <w:t xml:space="preserve"> month. </w:t>
      </w:r>
    </w:p>
    <w:p w:rsidR="00146E32" w:rsidRDefault="00146E32" w:rsidP="00801FE7">
      <w:pPr>
        <w:pStyle w:val="Bullet"/>
      </w:pPr>
    </w:p>
    <w:p w:rsidR="00D731A6" w:rsidRPr="0030248F" w:rsidRDefault="004F43B1" w:rsidP="009B1A98">
      <w:pPr>
        <w:pStyle w:val="Bullet"/>
        <w:numPr>
          <w:ilvl w:val="0"/>
          <w:numId w:val="36"/>
        </w:numPr>
      </w:pPr>
      <w:r w:rsidRPr="0030248F">
        <w:lastRenderedPageBreak/>
        <w:t xml:space="preserve">The </w:t>
      </w:r>
      <w:r w:rsidR="00D731A6" w:rsidRPr="0030248F">
        <w:t>Refiners’ Monthly Cost Report (EIA-14) is a mandatory monthly census of firms who own or control refining operations in the United States and its territories/possessions. Firms report</w:t>
      </w:r>
      <w:r w:rsidR="002F0C10" w:rsidRPr="0030248F">
        <w:t xml:space="preserve"> for </w:t>
      </w:r>
      <w:r w:rsidR="00D731A6" w:rsidRPr="0030248F">
        <w:t xml:space="preserve">the total volume of crude </w:t>
      </w:r>
      <w:r w:rsidR="00D731A6" w:rsidRPr="00B54FDB">
        <w:t xml:space="preserve">oil acquired </w:t>
      </w:r>
      <w:r w:rsidRPr="00B54FDB">
        <w:t xml:space="preserve">in thousands of barrels </w:t>
      </w:r>
      <w:r w:rsidR="00D731A6" w:rsidRPr="00B54FDB">
        <w:t>during the month and all costs associated with its acquisition and transport to the refinery</w:t>
      </w:r>
      <w:r w:rsidRPr="00B54FDB">
        <w:t xml:space="preserve"> in thousands of dollars</w:t>
      </w:r>
      <w:r w:rsidR="00D731A6" w:rsidRPr="00B54FDB">
        <w:t>.  This</w:t>
      </w:r>
      <w:r w:rsidR="00D731A6" w:rsidRPr="0030248F">
        <w:t xml:space="preserve"> data is reported by </w:t>
      </w:r>
      <w:hyperlink r:id="rId17" w:history="1">
        <w:r w:rsidR="00592694" w:rsidRPr="0030248F">
          <w:rPr>
            <w:rStyle w:val="Hyperlink"/>
          </w:rPr>
          <w:t>Petroleum Administration for Defense Districts</w:t>
        </w:r>
      </w:hyperlink>
      <w:r w:rsidRPr="0030248F">
        <w:t xml:space="preserve"> (PADD)</w:t>
      </w:r>
      <w:r w:rsidR="00592694" w:rsidRPr="0030248F">
        <w:t>.</w:t>
      </w:r>
      <w:r w:rsidR="00D731A6" w:rsidRPr="0030248F">
        <w:t xml:space="preserve"> </w:t>
      </w:r>
      <w:r w:rsidR="002F0C10" w:rsidRPr="0030248F">
        <w:t>It is reported for all domestic and imported crude oil purchases.</w:t>
      </w:r>
    </w:p>
    <w:p w:rsidR="00D731A6" w:rsidRPr="00D5181D" w:rsidRDefault="00D5181D" w:rsidP="00D20878">
      <w:pPr>
        <w:pStyle w:val="Heading1"/>
      </w:pPr>
      <w:r w:rsidRPr="00D5181D">
        <w:t>Petroleum Product Prices and Sales Volumes</w:t>
      </w:r>
    </w:p>
    <w:p w:rsidR="0030248F" w:rsidRDefault="0030248F" w:rsidP="00801FE7">
      <w:pPr>
        <w:pStyle w:val="Bullet"/>
      </w:pPr>
    </w:p>
    <w:p w:rsidR="00624BD8" w:rsidRPr="0030248F" w:rsidRDefault="004F43B1" w:rsidP="009B1A98">
      <w:pPr>
        <w:pStyle w:val="Bullet"/>
        <w:numPr>
          <w:ilvl w:val="0"/>
          <w:numId w:val="37"/>
        </w:numPr>
        <w:ind w:left="360"/>
      </w:pPr>
      <w:r w:rsidRPr="0030248F">
        <w:t xml:space="preserve">The </w:t>
      </w:r>
      <w:r w:rsidR="002F0C10" w:rsidRPr="0030248F">
        <w:t>Refiners’</w:t>
      </w:r>
      <w:r w:rsidR="00843764">
        <w:t>/</w:t>
      </w:r>
      <w:r w:rsidR="00624BD8" w:rsidRPr="0030248F">
        <w:t>Gas Plant Operators’ Monthly Petroleum Product Sales Report</w:t>
      </w:r>
      <w:r w:rsidRPr="0030248F">
        <w:t xml:space="preserve"> (</w:t>
      </w:r>
      <w:r w:rsidR="00B222CA">
        <w:t>EIA-</w:t>
      </w:r>
      <w:r w:rsidRPr="0030248F">
        <w:t>782A)</w:t>
      </w:r>
      <w:r w:rsidR="00624BD8" w:rsidRPr="0030248F">
        <w:t xml:space="preserve"> </w:t>
      </w:r>
      <w:r w:rsidR="002F0C10" w:rsidRPr="0030248F">
        <w:t>is</w:t>
      </w:r>
      <w:r w:rsidR="00624BD8" w:rsidRPr="0030248F">
        <w:t xml:space="preserve"> a mandatory monthly census of firms who either directly, or indirectly </w:t>
      </w:r>
      <w:r w:rsidRPr="0030248F">
        <w:t xml:space="preserve">- </w:t>
      </w:r>
      <w:r w:rsidR="00624BD8" w:rsidRPr="0030248F">
        <w:t>e.g</w:t>
      </w:r>
      <w:r w:rsidRPr="0030248F">
        <w:t>., through a subsidiary company -</w:t>
      </w:r>
      <w:r w:rsidR="00624BD8" w:rsidRPr="0030248F">
        <w:t xml:space="preserve"> control a refinery or a gas plant located in the United States. Firms submit their sales volumes, measured in thousands of gallons, and the average selling price per gallon, excluding taxes, for each of the selected finished petroleum products by state, sales type, and user category. The petroleum products</w:t>
      </w:r>
      <w:r w:rsidR="00B222CA">
        <w:t xml:space="preserve"> are motor gasoline</w:t>
      </w:r>
      <w:r w:rsidR="00624BD8" w:rsidRPr="0030248F">
        <w:t xml:space="preserve"> </w:t>
      </w:r>
      <w:r w:rsidR="00B222CA">
        <w:t>(</w:t>
      </w:r>
      <w:r w:rsidR="00624BD8" w:rsidRPr="0030248F">
        <w:t>by formulatio</w:t>
      </w:r>
      <w:r w:rsidR="00B222CA">
        <w:t>n and grade), No. 2 diesel fuel (</w:t>
      </w:r>
      <w:r w:rsidR="00624BD8" w:rsidRPr="0030248F">
        <w:t>by sulfur content</w:t>
      </w:r>
      <w:r w:rsidR="00B222CA">
        <w:t>)</w:t>
      </w:r>
      <w:r w:rsidR="00624BD8" w:rsidRPr="0030248F">
        <w:t xml:space="preserve">, No. 2 fuel oil, propane, No. 1 distillate, kerosene, aviation gasoline, kerosene-type jet fuel, No. 4 </w:t>
      </w:r>
      <w:r w:rsidR="00B222CA">
        <w:t>fuel oil, and residual fuel oil</w:t>
      </w:r>
      <w:r w:rsidR="00624BD8" w:rsidRPr="0030248F">
        <w:t xml:space="preserve"> </w:t>
      </w:r>
      <w:r w:rsidR="00B222CA">
        <w:t>(</w:t>
      </w:r>
      <w:r w:rsidR="00624BD8" w:rsidRPr="0030248F">
        <w:t>by sulfur content</w:t>
      </w:r>
      <w:r w:rsidR="00B222CA">
        <w:t>)</w:t>
      </w:r>
      <w:r w:rsidR="00624BD8" w:rsidRPr="0030248F">
        <w:t xml:space="preserve">.  </w:t>
      </w:r>
    </w:p>
    <w:p w:rsidR="0030248F" w:rsidRDefault="0030248F" w:rsidP="009B1A98">
      <w:pPr>
        <w:pStyle w:val="Bullet"/>
      </w:pPr>
    </w:p>
    <w:p w:rsidR="005E48F0" w:rsidRPr="0030248F" w:rsidRDefault="00624BD8" w:rsidP="009B1A98">
      <w:pPr>
        <w:pStyle w:val="Bullet"/>
        <w:numPr>
          <w:ilvl w:val="0"/>
          <w:numId w:val="37"/>
        </w:numPr>
        <w:ind w:left="360"/>
      </w:pPr>
      <w:r w:rsidRPr="0030248F">
        <w:t xml:space="preserve">Retail sales of gasoline are partitioned into sales through company-operated retail outlets and direct sales to other end-users, while wholesales, or sales for resale, are partitioned into dealer tank wagon (DTW) sales, rack sales, and bulk sales. </w:t>
      </w:r>
    </w:p>
    <w:p w:rsidR="005E48F0" w:rsidRPr="0030248F" w:rsidRDefault="00624BD8" w:rsidP="009B1A98">
      <w:pPr>
        <w:pStyle w:val="Bullet"/>
        <w:numPr>
          <w:ilvl w:val="0"/>
          <w:numId w:val="37"/>
        </w:numPr>
      </w:pPr>
      <w:r w:rsidRPr="0030248F">
        <w:t>DTW sales are defined as sales priced on a delivered basis to a retail outlet</w:t>
      </w:r>
      <w:r w:rsidR="005E48F0" w:rsidRPr="0030248F">
        <w:t>.</w:t>
      </w:r>
    </w:p>
    <w:p w:rsidR="009B1A98" w:rsidRDefault="005E48F0" w:rsidP="009B1A98">
      <w:pPr>
        <w:pStyle w:val="Bullet"/>
        <w:numPr>
          <w:ilvl w:val="0"/>
          <w:numId w:val="37"/>
        </w:numPr>
      </w:pPr>
      <w:r w:rsidRPr="0030248F">
        <w:t>R</w:t>
      </w:r>
      <w:r w:rsidR="00624BD8" w:rsidRPr="0030248F">
        <w:t xml:space="preserve">ack sales are defined as truckload sales or smaller where the title transfers at a terminal rack loading facility. </w:t>
      </w:r>
    </w:p>
    <w:p w:rsidR="00624BD8" w:rsidRPr="0030248F" w:rsidRDefault="00624BD8" w:rsidP="009B1A98">
      <w:pPr>
        <w:pStyle w:val="Bullet"/>
        <w:numPr>
          <w:ilvl w:val="0"/>
          <w:numId w:val="37"/>
        </w:numPr>
      </w:pPr>
      <w:r w:rsidRPr="0030248F">
        <w:t xml:space="preserve">Bulk sales </w:t>
      </w:r>
      <w:r w:rsidR="00B222CA">
        <w:t xml:space="preserve">are </w:t>
      </w:r>
      <w:r w:rsidRPr="0030248F">
        <w:t>individual sales transactions that exceed the size of a truckload (for example, barge, railcar, or pipeline loads).</w:t>
      </w:r>
    </w:p>
    <w:p w:rsidR="0030248F" w:rsidRDefault="0030248F" w:rsidP="009B1A98">
      <w:pPr>
        <w:pStyle w:val="Bullet"/>
      </w:pPr>
    </w:p>
    <w:p w:rsidR="00624BD8" w:rsidRPr="0030248F" w:rsidRDefault="00624BD8" w:rsidP="009B1A98">
      <w:pPr>
        <w:pStyle w:val="Bullet"/>
        <w:numPr>
          <w:ilvl w:val="0"/>
          <w:numId w:val="37"/>
        </w:numPr>
        <w:ind w:left="360"/>
      </w:pPr>
      <w:r w:rsidRPr="0030248F">
        <w:t xml:space="preserve">Retail sales of No. 2 distillates and propane are partitioned by customer type.  The categories include: residential sales, commercial/institutional sales, industrial sales, sales through company-operated retail outlets, petrochemical sales (propane only), and sales to other end-users. </w:t>
      </w:r>
    </w:p>
    <w:p w:rsidR="0030248F" w:rsidRDefault="0030248F" w:rsidP="00801FE7">
      <w:pPr>
        <w:pStyle w:val="Bullet"/>
      </w:pPr>
    </w:p>
    <w:p w:rsidR="00624BD8" w:rsidRPr="0030248F" w:rsidRDefault="00624BD8" w:rsidP="009B1A98">
      <w:pPr>
        <w:pStyle w:val="Bullet"/>
        <w:ind w:left="360"/>
      </w:pPr>
      <w:r w:rsidRPr="0030248F">
        <w:lastRenderedPageBreak/>
        <w:t xml:space="preserve">In contrast to the differentiation of gasoline wholesales, No. 2 distillates and propane wholesales are reported as a group. </w:t>
      </w:r>
    </w:p>
    <w:p w:rsidR="0030248F" w:rsidRDefault="0030248F" w:rsidP="00801FE7">
      <w:pPr>
        <w:pStyle w:val="Bullet"/>
      </w:pPr>
    </w:p>
    <w:p w:rsidR="00624BD8" w:rsidRPr="0030248F" w:rsidRDefault="004F43B1" w:rsidP="009B1A98">
      <w:pPr>
        <w:pStyle w:val="Bullet"/>
        <w:numPr>
          <w:ilvl w:val="0"/>
          <w:numId w:val="38"/>
        </w:numPr>
      </w:pPr>
      <w:r w:rsidRPr="0030248F">
        <w:t xml:space="preserve">The </w:t>
      </w:r>
      <w:r w:rsidR="00624BD8" w:rsidRPr="0030248F">
        <w:t>Monthly Report of Prime Supplier Sales of Petroleum Products Sold for Local Consumption</w:t>
      </w:r>
      <w:r w:rsidRPr="0030248F">
        <w:t xml:space="preserve"> (</w:t>
      </w:r>
      <w:r w:rsidR="00B222CA">
        <w:t>EIA-</w:t>
      </w:r>
      <w:r w:rsidRPr="0030248F">
        <w:t xml:space="preserve">782C) is </w:t>
      </w:r>
      <w:r w:rsidR="00624BD8" w:rsidRPr="0030248F">
        <w:t>a mandatory monthly census of petroleum product suppliers who make the first sale of specified petroleum products and then deliver that product into a State for consumption in that State. Firms report by S</w:t>
      </w:r>
      <w:r w:rsidRPr="0030248F">
        <w:t xml:space="preserve">tate on their monthly sales </w:t>
      </w:r>
      <w:r w:rsidR="00624BD8" w:rsidRPr="0030248F">
        <w:t>in thousands of gallo</w:t>
      </w:r>
      <w:r w:rsidR="00B222CA">
        <w:t>ns for finished motor gasoline (by formulation and grade),</w:t>
      </w:r>
      <w:r w:rsidR="00624BD8" w:rsidRPr="0030248F">
        <w:t xml:space="preserve"> No. 2 diesel fuel </w:t>
      </w:r>
      <w:r w:rsidR="00B222CA">
        <w:t>(by sulfur content)</w:t>
      </w:r>
      <w:r w:rsidR="00624BD8" w:rsidRPr="0030248F">
        <w:t xml:space="preserve"> No. 2 fuel oil, propane, No. 1 distillate, kerosene, aviation gasoline, kerosene-type jet fuel, No. 4 fuel oil, and residual fuel oil </w:t>
      </w:r>
      <w:r w:rsidR="00B222CA">
        <w:t>(</w:t>
      </w:r>
      <w:r w:rsidR="00624BD8" w:rsidRPr="0030248F">
        <w:t>by sulfur content</w:t>
      </w:r>
      <w:r w:rsidR="00B222CA">
        <w:t>)</w:t>
      </w:r>
      <w:r w:rsidR="00624BD8" w:rsidRPr="0030248F">
        <w:t xml:space="preserve">. </w:t>
      </w:r>
    </w:p>
    <w:p w:rsidR="0030248F" w:rsidRDefault="0030248F" w:rsidP="00801FE7">
      <w:pPr>
        <w:pStyle w:val="Bullet"/>
      </w:pPr>
    </w:p>
    <w:p w:rsidR="002F0C10" w:rsidRPr="00EB5B9B" w:rsidRDefault="00F41554" w:rsidP="009B1A98">
      <w:pPr>
        <w:pStyle w:val="Bullet"/>
        <w:numPr>
          <w:ilvl w:val="0"/>
          <w:numId w:val="38"/>
        </w:numPr>
      </w:pPr>
      <w:r>
        <w:t>The A</w:t>
      </w:r>
      <w:r w:rsidR="002F2691" w:rsidRPr="0030248F">
        <w:t>nnual Fuel Oil and Kerosene Sales Report (EIA-821)</w:t>
      </w:r>
      <w:r w:rsidR="004F43B1" w:rsidRPr="0030248F">
        <w:t xml:space="preserve"> is</w:t>
      </w:r>
      <w:r w:rsidR="002F2691" w:rsidRPr="0030248F">
        <w:t xml:space="preserve"> a mandatory annual sample survey of companies that deliver or sell distillate</w:t>
      </w:r>
      <w:r w:rsidR="00542D6E">
        <w:t>,</w:t>
      </w:r>
      <w:r w:rsidR="002F2691" w:rsidRPr="0030248F">
        <w:t xml:space="preserve"> residual fuel oils </w:t>
      </w:r>
      <w:r>
        <w:t>and</w:t>
      </w:r>
      <w:r w:rsidR="002F2691" w:rsidRPr="0030248F">
        <w:t xml:space="preserve"> kerosene</w:t>
      </w:r>
      <w:r w:rsidR="009805AD">
        <w:t>.</w:t>
      </w:r>
      <w:r w:rsidR="002F2691" w:rsidRPr="0030248F">
        <w:t xml:space="preserve">  Fi</w:t>
      </w:r>
      <w:r w:rsidR="004F43B1" w:rsidRPr="0030248F">
        <w:t xml:space="preserve">rms report annual sales volume </w:t>
      </w:r>
      <w:r w:rsidR="002F2691" w:rsidRPr="0030248F">
        <w:t>in gallons by State of destination by prod</w:t>
      </w:r>
      <w:r w:rsidR="004F43B1" w:rsidRPr="0030248F">
        <w:t xml:space="preserve">uct type and by energy end use - </w:t>
      </w:r>
      <w:r w:rsidR="002F2691" w:rsidRPr="0030248F">
        <w:t>residential, commercial, industrial, oil company, railroad, vessel bunkering, farm, military, on-highway, off-highway,</w:t>
      </w:r>
      <w:r w:rsidR="004F43B1" w:rsidRPr="0030248F">
        <w:t xml:space="preserve"> electric power, and other uses</w:t>
      </w:r>
      <w:r w:rsidR="002F2691" w:rsidRPr="0030248F">
        <w:t xml:space="preserve">. Annual sales are reported for kerosene, distillates by type of distillate </w:t>
      </w:r>
      <w:r w:rsidR="004F43B1" w:rsidRPr="0030248F">
        <w:t xml:space="preserve">- </w:t>
      </w:r>
      <w:r w:rsidR="002F2691" w:rsidRPr="0030248F">
        <w:t>No. 1 fuel oil, No. 2 fuel oil, No. 2 ultra low sulfur diesel, No. 2 low sulfur diesel, No. 2 high sulfur diesel, No. 4 fuel oil</w:t>
      </w:r>
      <w:r w:rsidR="004F43B1" w:rsidRPr="0030248F">
        <w:t xml:space="preserve"> -</w:t>
      </w:r>
      <w:r w:rsidR="002F2691" w:rsidRPr="0030248F">
        <w:t xml:space="preserve"> and residual fuel oil.</w:t>
      </w:r>
    </w:p>
    <w:p w:rsidR="002F0C10" w:rsidRPr="002F0C10" w:rsidRDefault="002F0C10" w:rsidP="00D20878">
      <w:pPr>
        <w:pStyle w:val="Heading1"/>
      </w:pPr>
      <w:r w:rsidRPr="002F0C10">
        <w:t>End-User Prices for Petroleum Products</w:t>
      </w:r>
    </w:p>
    <w:p w:rsidR="002F0C10" w:rsidRPr="002F0C10" w:rsidRDefault="002F0C10" w:rsidP="002F0C10"/>
    <w:p w:rsidR="00D731A6" w:rsidRPr="00EB5B9B" w:rsidRDefault="00F41554" w:rsidP="009B1A98">
      <w:pPr>
        <w:pStyle w:val="Bullet"/>
        <w:numPr>
          <w:ilvl w:val="0"/>
          <w:numId w:val="39"/>
        </w:numPr>
      </w:pPr>
      <w:r>
        <w:t xml:space="preserve">The </w:t>
      </w:r>
      <w:r w:rsidR="00D731A6" w:rsidRPr="00EB5B9B">
        <w:t>Winter Heating Fuels Telephone Survey (EIA-877) is a mandatory sample survey by telephone of No. 2 heating oil and propane dealers in 24 Eastern and Midwestern states. During the heating season from October 1 to March 15, sample dealers report each week on their residential prices for No. 2 heating oil and propane as of the reference day for each of the states for which they were sampled. During the first telephone call at the beginning of the heating season, sampled dealers report their annual sales volume in thousands of gallons for each of the States for which they were sampled</w:t>
      </w:r>
      <w:r w:rsidR="00D731A6" w:rsidRPr="00EB5B9B" w:rsidDel="00B52A38">
        <w:t xml:space="preserve"> </w:t>
      </w:r>
      <w:r w:rsidR="00D731A6" w:rsidRPr="00EB5B9B">
        <w:t xml:space="preserve">for the 12-month period from September 1 to August 31. </w:t>
      </w:r>
    </w:p>
    <w:p w:rsidR="00EB5B9B" w:rsidRDefault="00EB5B9B" w:rsidP="00801FE7">
      <w:pPr>
        <w:pStyle w:val="Bullet"/>
      </w:pPr>
    </w:p>
    <w:p w:rsidR="00D731A6" w:rsidRPr="00EB5B9B" w:rsidRDefault="00F41554" w:rsidP="009B1A98">
      <w:pPr>
        <w:pStyle w:val="Bullet"/>
        <w:numPr>
          <w:ilvl w:val="0"/>
          <w:numId w:val="39"/>
        </w:numPr>
      </w:pPr>
      <w:r>
        <w:t xml:space="preserve">The </w:t>
      </w:r>
      <w:r w:rsidR="00D731A6" w:rsidRPr="00EB5B9B">
        <w:t xml:space="preserve">Motor Gasoline Price Survey (EIA-878) is a mandatory sample survey by telephone of retail outlets selling motor gasoline.  Each week, sampled outlets report the retail pump price </w:t>
      </w:r>
      <w:r w:rsidR="002F0C10" w:rsidRPr="00EB5B9B">
        <w:t>o</w:t>
      </w:r>
      <w:r w:rsidR="00D731A6" w:rsidRPr="00EB5B9B">
        <w:t xml:space="preserve">f regular, midgrade, and premium grades of cash only, </w:t>
      </w:r>
      <w:r w:rsidR="00EB5B9B">
        <w:t xml:space="preserve">self-service unleaded </w:t>
      </w:r>
      <w:r w:rsidR="001A54DE">
        <w:t>gasoline</w:t>
      </w:r>
      <w:r w:rsidR="00B222CA">
        <w:t xml:space="preserve"> -</w:t>
      </w:r>
      <w:r w:rsidR="0076178F" w:rsidRPr="00EB5B9B">
        <w:t xml:space="preserve"> including taxes</w:t>
      </w:r>
      <w:r w:rsidR="00D731A6" w:rsidRPr="00EB5B9B">
        <w:t xml:space="preserve">. </w:t>
      </w:r>
    </w:p>
    <w:p w:rsidR="00EB5B9B" w:rsidRDefault="00EB5B9B" w:rsidP="00801FE7">
      <w:pPr>
        <w:pStyle w:val="Bullet"/>
      </w:pPr>
    </w:p>
    <w:p w:rsidR="00D731A6" w:rsidRPr="00540778" w:rsidRDefault="00F41554" w:rsidP="009B1A98">
      <w:pPr>
        <w:pStyle w:val="Bullet"/>
        <w:numPr>
          <w:ilvl w:val="0"/>
          <w:numId w:val="39"/>
        </w:numPr>
      </w:pPr>
      <w:r>
        <w:t xml:space="preserve">The </w:t>
      </w:r>
      <w:r w:rsidR="00D731A6" w:rsidRPr="00EB5B9B">
        <w:t xml:space="preserve">On-Highway Diesel Fuel Price Survey (EIA-888) is a mandatory sample survey by telephone of retail outlets selling </w:t>
      </w:r>
      <w:r w:rsidR="00EF13D9">
        <w:t xml:space="preserve">on-highway </w:t>
      </w:r>
      <w:r w:rsidR="00D731A6" w:rsidRPr="00EB5B9B">
        <w:t>motor vehicle diesel fuel. Each week, sampled outlets report the retail pump price of cash only, self service, on-highway motor vehicle di</w:t>
      </w:r>
      <w:r w:rsidR="001A54DE">
        <w:t>esel fuel</w:t>
      </w:r>
      <w:r w:rsidR="00B222CA">
        <w:t xml:space="preserve"> -</w:t>
      </w:r>
      <w:r w:rsidR="001A54DE">
        <w:t xml:space="preserve"> </w:t>
      </w:r>
      <w:r w:rsidR="0076178F" w:rsidRPr="00EB5B9B">
        <w:t>including taxes</w:t>
      </w:r>
      <w:r w:rsidR="00D731A6" w:rsidRPr="00EB5B9B">
        <w:t xml:space="preserve">. </w:t>
      </w:r>
    </w:p>
    <w:p w:rsidR="002F0C10" w:rsidRPr="002F0C10" w:rsidRDefault="002F0C10" w:rsidP="00D20878">
      <w:pPr>
        <w:pStyle w:val="Heading1"/>
      </w:pPr>
      <w:r w:rsidRPr="002F0C10">
        <w:t>Companies Engaged in Petroleum Product Sales</w:t>
      </w:r>
    </w:p>
    <w:p w:rsidR="002F0C10" w:rsidRPr="002F0C10" w:rsidRDefault="002F0C10" w:rsidP="002F0C10"/>
    <w:p w:rsidR="00D731A6" w:rsidRPr="00EB5B9B" w:rsidRDefault="00F41554" w:rsidP="00801FE7">
      <w:pPr>
        <w:pStyle w:val="Bullet"/>
      </w:pPr>
      <w:r>
        <w:t xml:space="preserve">The </w:t>
      </w:r>
      <w:r w:rsidR="00D731A6" w:rsidRPr="00EB5B9B">
        <w:t xml:space="preserve">Petroleum Product Sales Identification Survey (EIA-863) is a mandatory census of (1) resellers and retailers of No. 2 distillate, </w:t>
      </w:r>
      <w:r w:rsidR="001A54DE">
        <w:t xml:space="preserve">motor gasoline, </w:t>
      </w:r>
      <w:r w:rsidR="00D731A6" w:rsidRPr="00EB5B9B">
        <w:t>propane, and residual fuel</w:t>
      </w:r>
      <w:r w:rsidR="001A54DE">
        <w:t xml:space="preserve"> oil and</w:t>
      </w:r>
      <w:r w:rsidR="00D731A6" w:rsidRPr="00EB5B9B">
        <w:t xml:space="preserve"> (</w:t>
      </w:r>
      <w:r w:rsidR="001A54DE">
        <w:t>2</w:t>
      </w:r>
      <w:r w:rsidR="00D731A6" w:rsidRPr="00EB5B9B">
        <w:t xml:space="preserve">) companies that sell kerosene, No. 1 distillate, crude oil, </w:t>
      </w:r>
      <w:r w:rsidR="00D731A6" w:rsidRPr="001A54DE">
        <w:t xml:space="preserve">other </w:t>
      </w:r>
      <w:r w:rsidR="00322217" w:rsidRPr="001A54DE">
        <w:t>Liquefied Petroleum Gas (</w:t>
      </w:r>
      <w:r w:rsidR="00D731A6" w:rsidRPr="00EB5B9B">
        <w:t>LPG</w:t>
      </w:r>
      <w:r w:rsidR="00322217" w:rsidRPr="00EB5B9B">
        <w:t>)</w:t>
      </w:r>
      <w:r w:rsidR="00D731A6" w:rsidRPr="00EB5B9B">
        <w:t xml:space="preserve">, No. 4 fuel oil, aviation gasoline, jet fuel, or other petroleum products.  The census occurs every four years and is used to build the frame for the EIA-821, the EIA-877, the EIA-878, and the EIA-888. EIA-821 respondents are not asked to report for this survey, but have the equivalent data extracted from their EIA-821 responses.  </w:t>
      </w:r>
    </w:p>
    <w:p w:rsidR="00542D6E" w:rsidRDefault="00542D6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D731A6" w:rsidRPr="0016058D" w:rsidRDefault="00326146" w:rsidP="00D20878">
      <w:pPr>
        <w:pStyle w:val="Heading1"/>
      </w:pPr>
      <w:r w:rsidRPr="0016058D">
        <w:lastRenderedPageBreak/>
        <w:t xml:space="preserve">Uses of Data in Recurring </w:t>
      </w:r>
      <w:r w:rsidR="00322217" w:rsidRPr="0016058D">
        <w:t xml:space="preserve">EIA </w:t>
      </w:r>
      <w:r w:rsidR="00D5181D" w:rsidRPr="0016058D">
        <w:t>Publications</w:t>
      </w:r>
      <w:r w:rsidR="005E48F0" w:rsidRPr="0016058D">
        <w:t xml:space="preserve"> </w:t>
      </w:r>
    </w:p>
    <w:p w:rsidR="00956D60" w:rsidRDefault="00956D60" w:rsidP="00EB5B9B">
      <w:pPr>
        <w:pStyle w:val="Text0"/>
        <w:spacing w:before="0" w:after="0" w:line="360" w:lineRule="auto"/>
        <w:ind w:left="0"/>
        <w:rPr>
          <w:rFonts w:asciiTheme="minorHAnsi" w:hAnsiTheme="minorHAnsi"/>
          <w:sz w:val="22"/>
        </w:rPr>
      </w:pPr>
    </w:p>
    <w:p w:rsidR="00B66013" w:rsidRPr="00B54FDB" w:rsidRDefault="00326146" w:rsidP="00EB5B9B">
      <w:pPr>
        <w:pStyle w:val="Text0"/>
        <w:spacing w:before="0" w:after="0" w:line="360" w:lineRule="auto"/>
        <w:ind w:left="0"/>
        <w:rPr>
          <w:rFonts w:asciiTheme="minorHAnsi" w:hAnsiTheme="minorHAnsi"/>
          <w:sz w:val="22"/>
        </w:rPr>
      </w:pPr>
      <w:r w:rsidRPr="00B54FDB">
        <w:rPr>
          <w:rFonts w:asciiTheme="minorHAnsi" w:hAnsiTheme="minorHAnsi"/>
          <w:sz w:val="22"/>
        </w:rPr>
        <w:t xml:space="preserve">EIA publishes numerous </w:t>
      </w:r>
      <w:r w:rsidR="00322217" w:rsidRPr="00B54FDB">
        <w:rPr>
          <w:rFonts w:asciiTheme="minorHAnsi" w:hAnsiTheme="minorHAnsi"/>
          <w:sz w:val="22"/>
        </w:rPr>
        <w:t xml:space="preserve">recurring </w:t>
      </w:r>
      <w:r w:rsidRPr="00B54FDB">
        <w:rPr>
          <w:rFonts w:asciiTheme="minorHAnsi" w:hAnsiTheme="minorHAnsi"/>
          <w:sz w:val="22"/>
        </w:rPr>
        <w:t>publications</w:t>
      </w:r>
      <w:r w:rsidR="00322217" w:rsidRPr="00B54FDB">
        <w:rPr>
          <w:rFonts w:asciiTheme="minorHAnsi" w:hAnsiTheme="minorHAnsi"/>
          <w:sz w:val="22"/>
        </w:rPr>
        <w:t>, including t</w:t>
      </w:r>
      <w:r w:rsidRPr="00B54FDB">
        <w:rPr>
          <w:rFonts w:asciiTheme="minorHAnsi" w:hAnsiTheme="minorHAnsi"/>
          <w:sz w:val="22"/>
        </w:rPr>
        <w:t>h</w:t>
      </w:r>
      <w:r w:rsidR="00322217" w:rsidRPr="00B54FDB">
        <w:rPr>
          <w:rFonts w:asciiTheme="minorHAnsi" w:hAnsiTheme="minorHAnsi"/>
          <w:sz w:val="22"/>
        </w:rPr>
        <w:t>e</w:t>
      </w:r>
      <w:r w:rsidRPr="00B54FDB">
        <w:rPr>
          <w:rFonts w:asciiTheme="minorHAnsi" w:hAnsiTheme="minorHAnsi"/>
          <w:sz w:val="22"/>
        </w:rPr>
        <w:t xml:space="preserve"> </w:t>
      </w:r>
      <w:r w:rsidR="00322217" w:rsidRPr="00B54FDB">
        <w:rPr>
          <w:rFonts w:asciiTheme="minorHAnsi" w:hAnsiTheme="minorHAnsi"/>
          <w:sz w:val="22"/>
        </w:rPr>
        <w:t>f</w:t>
      </w:r>
      <w:r w:rsidRPr="00B54FDB">
        <w:rPr>
          <w:rFonts w:asciiTheme="minorHAnsi" w:hAnsiTheme="minorHAnsi"/>
          <w:sz w:val="22"/>
        </w:rPr>
        <w:t xml:space="preserve">ollowing </w:t>
      </w:r>
      <w:r w:rsidR="00B66013" w:rsidRPr="00B54FDB">
        <w:rPr>
          <w:rFonts w:asciiTheme="minorHAnsi" w:hAnsiTheme="minorHAnsi"/>
          <w:sz w:val="22"/>
        </w:rPr>
        <w:t>petroleum publications</w:t>
      </w:r>
      <w:r w:rsidR="00322217" w:rsidRPr="00B54FDB">
        <w:rPr>
          <w:rFonts w:asciiTheme="minorHAnsi" w:hAnsiTheme="minorHAnsi"/>
          <w:sz w:val="22"/>
        </w:rPr>
        <w:t xml:space="preserve"> which contain data from the surveys in the PMP</w:t>
      </w:r>
      <w:r w:rsidR="00B66013" w:rsidRPr="00B54FDB">
        <w:rPr>
          <w:rFonts w:asciiTheme="minorHAnsi" w:hAnsiTheme="minorHAnsi"/>
          <w:sz w:val="22"/>
        </w:rPr>
        <w:t xml:space="preserve">: </w:t>
      </w:r>
    </w:p>
    <w:p w:rsidR="00FE1A0E" w:rsidRPr="00EB5B9B" w:rsidRDefault="00B66013" w:rsidP="00EB5B9B">
      <w:pPr>
        <w:pStyle w:val="Text0"/>
        <w:spacing w:before="0" w:after="0" w:line="360" w:lineRule="auto"/>
        <w:ind w:left="0"/>
        <w:rPr>
          <w:rFonts w:asciiTheme="minorHAnsi" w:hAnsiTheme="minorHAnsi"/>
          <w:sz w:val="22"/>
        </w:rPr>
      </w:pPr>
      <w:r w:rsidRPr="00B54FDB">
        <w:rPr>
          <w:rFonts w:asciiTheme="minorHAnsi" w:hAnsiTheme="minorHAnsi"/>
          <w:sz w:val="22"/>
        </w:rPr>
        <w:t>Annual</w:t>
      </w:r>
      <w:r w:rsidRPr="00B54FDB">
        <w:rPr>
          <w:rFonts w:asciiTheme="minorHAnsi" w:hAnsiTheme="minorHAnsi"/>
          <w:sz w:val="22"/>
        </w:rPr>
        <w:tab/>
      </w:r>
      <w:r w:rsidRPr="00EB5B9B">
        <w:rPr>
          <w:rFonts w:asciiTheme="minorHAnsi" w:hAnsiTheme="minorHAnsi"/>
          <w:color w:val="FF0000"/>
          <w:sz w:val="22"/>
        </w:rPr>
        <w:tab/>
      </w:r>
      <w:hyperlink r:id="rId18"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1</w:t>
        </w:r>
      </w:hyperlink>
    </w:p>
    <w:p w:rsidR="00B66013" w:rsidRPr="00EB5B9B" w:rsidRDefault="00F74D4B" w:rsidP="00FD2111">
      <w:pPr>
        <w:pStyle w:val="Text0"/>
        <w:spacing w:before="0" w:after="0" w:line="360" w:lineRule="auto"/>
        <w:ind w:left="720" w:firstLine="720"/>
        <w:rPr>
          <w:rFonts w:asciiTheme="minorHAnsi" w:hAnsiTheme="minorHAnsi"/>
          <w:color w:val="FF0000"/>
          <w:sz w:val="22"/>
        </w:rPr>
      </w:pPr>
      <w:hyperlink r:id="rId19" w:history="1">
        <w:r w:rsidR="00FE1A0E" w:rsidRPr="00EB5B9B">
          <w:rPr>
            <w:rStyle w:val="Hyperlink"/>
            <w:rFonts w:asciiTheme="minorHAnsi" w:hAnsiTheme="minorHAnsi"/>
            <w:sz w:val="22"/>
          </w:rPr>
          <w:t>Petroleum Supply Annual</w:t>
        </w:r>
        <w:r w:rsidR="0076178F" w:rsidRPr="00EB5B9B">
          <w:rPr>
            <w:rStyle w:val="Hyperlink"/>
            <w:rFonts w:asciiTheme="minorHAnsi" w:hAnsiTheme="minorHAnsi"/>
            <w:sz w:val="22"/>
          </w:rPr>
          <w:t xml:space="preserve"> (PSA)</w:t>
        </w:r>
        <w:r w:rsidR="00FE1A0E" w:rsidRPr="00EB5B9B">
          <w:rPr>
            <w:rStyle w:val="Hyperlink"/>
            <w:rFonts w:asciiTheme="minorHAnsi" w:hAnsiTheme="minorHAnsi"/>
            <w:sz w:val="22"/>
          </w:rPr>
          <w:t>, Volume 2</w:t>
        </w:r>
      </w:hyperlink>
    </w:p>
    <w:p w:rsidR="005563FF" w:rsidRPr="00EB5B9B" w:rsidRDefault="00326146" w:rsidP="00EB5B9B">
      <w:pPr>
        <w:pStyle w:val="Heading2"/>
        <w:shd w:val="clear" w:color="auto" w:fill="FFFFFF"/>
        <w:spacing w:before="0" w:after="0" w:line="360" w:lineRule="auto"/>
        <w:rPr>
          <w:rFonts w:asciiTheme="minorHAnsi" w:hAnsiTheme="minorHAnsi" w:cs="Times New Roman"/>
          <w:b w:val="0"/>
          <w:i w:val="0"/>
          <w:color w:val="000000"/>
          <w:sz w:val="22"/>
          <w:szCs w:val="24"/>
        </w:rPr>
      </w:pPr>
      <w:r w:rsidRPr="00EB5B9B">
        <w:rPr>
          <w:rFonts w:asciiTheme="minorHAnsi" w:hAnsiTheme="minorHAnsi" w:cs="Times New Roman"/>
          <w:b w:val="0"/>
          <w:i w:val="0"/>
          <w:color w:val="FF0000"/>
          <w:sz w:val="22"/>
          <w:szCs w:val="24"/>
        </w:rPr>
        <w:tab/>
      </w:r>
      <w:r w:rsidRPr="00EB5B9B">
        <w:rPr>
          <w:rFonts w:asciiTheme="minorHAnsi" w:hAnsiTheme="minorHAnsi" w:cs="Times New Roman"/>
          <w:b w:val="0"/>
          <w:i w:val="0"/>
          <w:color w:val="FF0000"/>
          <w:sz w:val="22"/>
          <w:szCs w:val="24"/>
        </w:rPr>
        <w:tab/>
      </w:r>
      <w:hyperlink r:id="rId20" w:history="1">
        <w:r w:rsidR="005563FF" w:rsidRPr="00EB5B9B">
          <w:rPr>
            <w:rStyle w:val="Strong"/>
            <w:rFonts w:asciiTheme="minorHAnsi" w:hAnsiTheme="minorHAnsi" w:cs="Times New Roman"/>
            <w:bCs/>
            <w:i w:val="0"/>
            <w:color w:val="2200CC"/>
            <w:sz w:val="22"/>
            <w:szCs w:val="24"/>
            <w:u w:val="single"/>
          </w:rPr>
          <w:t>Fuel Oil and Kerosene</w:t>
        </w:r>
        <w:r w:rsidR="005563FF" w:rsidRPr="00EB5B9B">
          <w:rPr>
            <w:rFonts w:asciiTheme="minorHAnsi" w:hAnsiTheme="minorHAnsi" w:cs="Times New Roman"/>
            <w:b w:val="0"/>
            <w:i w:val="0"/>
            <w:color w:val="2200CC"/>
            <w:sz w:val="22"/>
            <w:szCs w:val="24"/>
            <w:u w:val="single"/>
          </w:rPr>
          <w:t xml:space="preserve"> Sales (FOKS)</w:t>
        </w:r>
      </w:hyperlink>
      <w:r w:rsidR="005563FF" w:rsidRPr="00EB5B9B">
        <w:rPr>
          <w:rFonts w:asciiTheme="minorHAnsi" w:hAnsiTheme="minorHAnsi" w:cs="Times New Roman"/>
          <w:b w:val="0"/>
          <w:i w:val="0"/>
          <w:color w:val="000000"/>
          <w:sz w:val="22"/>
          <w:szCs w:val="24"/>
        </w:rPr>
        <w:t xml:space="preserve"> </w:t>
      </w:r>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Monthly</w:t>
      </w:r>
      <w:r w:rsidRPr="00EB5B9B">
        <w:rPr>
          <w:rFonts w:asciiTheme="minorHAnsi" w:hAnsiTheme="minorHAnsi"/>
          <w:color w:val="FF0000"/>
          <w:sz w:val="22"/>
        </w:rPr>
        <w:tab/>
      </w:r>
      <w:hyperlink r:id="rId21" w:history="1">
        <w:r w:rsidR="00FE1A0E" w:rsidRPr="00EB5B9B">
          <w:rPr>
            <w:rStyle w:val="Hyperlink"/>
            <w:rFonts w:asciiTheme="minorHAnsi" w:hAnsiTheme="minorHAnsi"/>
            <w:sz w:val="22"/>
          </w:rPr>
          <w:t>Petroleum Marketing Monthly (PMM)</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22" w:history="1">
        <w:r w:rsidR="00FE1A0E" w:rsidRPr="00EB5B9B">
          <w:rPr>
            <w:rStyle w:val="Hyperlink"/>
            <w:rFonts w:asciiTheme="minorHAnsi" w:hAnsiTheme="minorHAnsi"/>
            <w:sz w:val="22"/>
          </w:rPr>
          <w:t xml:space="preserve">Petroleum Supply Monthly (PSM) </w:t>
        </w:r>
      </w:hyperlink>
    </w:p>
    <w:p w:rsidR="00326146" w:rsidRPr="00EB5B9B" w:rsidRDefault="00326146" w:rsidP="00EB5B9B">
      <w:pPr>
        <w:pStyle w:val="Text0"/>
        <w:spacing w:before="0" w:after="0" w:line="360" w:lineRule="auto"/>
        <w:ind w:left="0"/>
        <w:rPr>
          <w:rFonts w:asciiTheme="minorHAnsi" w:hAnsiTheme="minorHAnsi"/>
          <w:color w:val="FF0000"/>
          <w:sz w:val="22"/>
        </w:rPr>
      </w:pPr>
      <w:r w:rsidRPr="00EB5B9B">
        <w:rPr>
          <w:rFonts w:asciiTheme="minorHAnsi" w:hAnsiTheme="minorHAnsi"/>
          <w:color w:val="FF0000"/>
          <w:sz w:val="22"/>
        </w:rPr>
        <w:tab/>
      </w:r>
      <w:r w:rsidRPr="00EB5B9B">
        <w:rPr>
          <w:rFonts w:asciiTheme="minorHAnsi" w:hAnsiTheme="minorHAnsi"/>
          <w:color w:val="FF0000"/>
          <w:sz w:val="22"/>
        </w:rPr>
        <w:tab/>
      </w:r>
      <w:hyperlink r:id="rId23" w:history="1">
        <w:r w:rsidR="00FE1A0E" w:rsidRPr="00EB5B9B">
          <w:rPr>
            <w:rStyle w:val="Hyperlink"/>
            <w:rFonts w:asciiTheme="minorHAnsi" w:hAnsiTheme="minorHAnsi"/>
            <w:bCs/>
            <w:sz w:val="22"/>
          </w:rPr>
          <w:t>Prime Supplier Report</w:t>
        </w:r>
      </w:hyperlink>
    </w:p>
    <w:p w:rsidR="00B66013" w:rsidRPr="00EB5B9B" w:rsidRDefault="00B66013" w:rsidP="00EB5B9B">
      <w:pPr>
        <w:pStyle w:val="Text0"/>
        <w:spacing w:before="0" w:after="0" w:line="360" w:lineRule="auto"/>
        <w:ind w:left="0"/>
        <w:rPr>
          <w:rFonts w:asciiTheme="minorHAnsi" w:hAnsiTheme="minorHAnsi"/>
          <w:color w:val="FF0000"/>
          <w:sz w:val="22"/>
        </w:rPr>
      </w:pPr>
      <w:r w:rsidRPr="00B54FDB">
        <w:rPr>
          <w:rFonts w:asciiTheme="minorHAnsi" w:hAnsiTheme="minorHAnsi"/>
          <w:sz w:val="22"/>
        </w:rPr>
        <w:t>Weekly</w:t>
      </w:r>
      <w:r w:rsidRPr="00B54FDB">
        <w:rPr>
          <w:rFonts w:asciiTheme="minorHAnsi" w:hAnsiTheme="minorHAnsi"/>
          <w:sz w:val="22"/>
        </w:rPr>
        <w:tab/>
      </w:r>
      <w:r w:rsidR="0016058D" w:rsidRPr="00EB5B9B">
        <w:rPr>
          <w:rFonts w:asciiTheme="minorHAnsi" w:hAnsiTheme="minorHAnsi"/>
          <w:color w:val="FF0000"/>
          <w:sz w:val="22"/>
        </w:rPr>
        <w:tab/>
      </w:r>
      <w:hyperlink r:id="rId24" w:history="1">
        <w:r w:rsidR="00FE1A0E" w:rsidRPr="00EB5B9B">
          <w:rPr>
            <w:rStyle w:val="Hyperlink"/>
            <w:rFonts w:asciiTheme="minorHAnsi" w:hAnsiTheme="minorHAnsi"/>
            <w:bCs/>
            <w:sz w:val="22"/>
          </w:rPr>
          <w:t>Gasoline and Diesel Fuel Update (GDFU)</w:t>
        </w:r>
      </w:hyperlink>
    </w:p>
    <w:p w:rsidR="005563FF" w:rsidRPr="00EB5B9B" w:rsidRDefault="00B66013" w:rsidP="00EB5B9B">
      <w:pPr>
        <w:pStyle w:val="Text0"/>
        <w:spacing w:before="0" w:after="0" w:line="360" w:lineRule="auto"/>
        <w:ind w:left="0"/>
        <w:rPr>
          <w:rFonts w:asciiTheme="minorHAnsi" w:hAnsiTheme="minorHAnsi"/>
          <w:sz w:val="22"/>
        </w:rPr>
      </w:pPr>
      <w:r w:rsidRPr="00EB5B9B">
        <w:rPr>
          <w:rFonts w:asciiTheme="minorHAnsi" w:hAnsiTheme="minorHAnsi"/>
          <w:color w:val="FF0000"/>
          <w:sz w:val="22"/>
        </w:rPr>
        <w:tab/>
      </w:r>
      <w:r w:rsidRPr="00EB5B9B">
        <w:rPr>
          <w:rFonts w:asciiTheme="minorHAnsi" w:hAnsiTheme="minorHAnsi"/>
          <w:color w:val="FF0000"/>
          <w:sz w:val="22"/>
        </w:rPr>
        <w:tab/>
      </w:r>
      <w:hyperlink r:id="rId25" w:history="1">
        <w:r w:rsidR="00FE1A0E" w:rsidRPr="00EB5B9B">
          <w:rPr>
            <w:rStyle w:val="Hyperlink"/>
            <w:rFonts w:asciiTheme="minorHAnsi" w:hAnsiTheme="minorHAnsi"/>
            <w:bCs/>
            <w:sz w:val="22"/>
          </w:rPr>
          <w:t>Heating Oil and Propane Update (HOPU)</w:t>
        </w:r>
      </w:hyperlink>
    </w:p>
    <w:p w:rsidR="005563FF" w:rsidRPr="00EB5B9B" w:rsidRDefault="00F74D4B" w:rsidP="00FD2111">
      <w:pPr>
        <w:pStyle w:val="Text0"/>
        <w:spacing w:before="0" w:after="0" w:line="360" w:lineRule="auto"/>
        <w:ind w:left="720" w:firstLine="720"/>
        <w:rPr>
          <w:rFonts w:asciiTheme="minorHAnsi" w:hAnsiTheme="minorHAnsi"/>
          <w:color w:val="FF0000"/>
          <w:sz w:val="22"/>
        </w:rPr>
      </w:pPr>
      <w:hyperlink r:id="rId26" w:history="1">
        <w:r w:rsidR="005563FF" w:rsidRPr="00EB5B9B">
          <w:rPr>
            <w:rStyle w:val="Strong"/>
            <w:rFonts w:asciiTheme="minorHAnsi" w:hAnsiTheme="minorHAnsi"/>
            <w:b w:val="0"/>
            <w:bCs w:val="0"/>
            <w:color w:val="2200CC"/>
            <w:sz w:val="22"/>
            <w:u w:val="single"/>
          </w:rPr>
          <w:t>This Week In Petroleum (TWIP)</w:t>
        </w:r>
      </w:hyperlink>
      <w:r w:rsidR="005563FF" w:rsidRPr="00EB5B9B">
        <w:rPr>
          <w:rFonts w:asciiTheme="minorHAnsi" w:hAnsiTheme="minorHAnsi"/>
          <w:sz w:val="22"/>
        </w:rPr>
        <w:t xml:space="preserve"> </w:t>
      </w:r>
    </w:p>
    <w:p w:rsidR="00B66013" w:rsidRPr="00EB5B9B" w:rsidRDefault="00F74D4B" w:rsidP="00FD2111">
      <w:pPr>
        <w:pStyle w:val="Text0"/>
        <w:spacing w:before="0" w:after="0" w:line="360" w:lineRule="auto"/>
        <w:ind w:left="720" w:firstLine="720"/>
        <w:rPr>
          <w:rFonts w:asciiTheme="minorHAnsi" w:hAnsiTheme="minorHAnsi"/>
          <w:color w:val="FF0000"/>
          <w:sz w:val="22"/>
        </w:rPr>
      </w:pPr>
      <w:hyperlink r:id="rId27" w:history="1">
        <w:r w:rsidR="00FE1A0E" w:rsidRPr="00EB5B9B">
          <w:rPr>
            <w:rStyle w:val="Hyperlink"/>
            <w:rFonts w:asciiTheme="minorHAnsi" w:hAnsiTheme="minorHAnsi"/>
            <w:bCs/>
            <w:sz w:val="22"/>
          </w:rPr>
          <w:t>Weekly Petroleum Status Report (WPSR)</w:t>
        </w:r>
      </w:hyperlink>
    </w:p>
    <w:p w:rsidR="00956D60" w:rsidRDefault="00956D60" w:rsidP="00EB5B9B">
      <w:pPr>
        <w:pStyle w:val="Text0"/>
        <w:spacing w:before="0" w:after="0" w:line="360" w:lineRule="auto"/>
        <w:ind w:left="0"/>
        <w:rPr>
          <w:rFonts w:asciiTheme="minorHAnsi" w:hAnsiTheme="minorHAnsi"/>
          <w:sz w:val="22"/>
        </w:rPr>
      </w:pPr>
    </w:p>
    <w:p w:rsidR="00B66013" w:rsidRPr="00EB5B9B" w:rsidRDefault="00322217" w:rsidP="00EB5B9B">
      <w:pPr>
        <w:pStyle w:val="Text0"/>
        <w:spacing w:before="0" w:after="0" w:line="360" w:lineRule="auto"/>
        <w:ind w:left="0"/>
        <w:rPr>
          <w:rFonts w:asciiTheme="minorHAnsi" w:hAnsiTheme="minorHAnsi"/>
          <w:sz w:val="22"/>
        </w:rPr>
      </w:pPr>
      <w:r w:rsidRPr="00EB5B9B">
        <w:rPr>
          <w:rFonts w:asciiTheme="minorHAnsi" w:hAnsiTheme="minorHAnsi"/>
          <w:sz w:val="22"/>
        </w:rPr>
        <w:t>The following</w:t>
      </w:r>
      <w:r w:rsidR="00326146" w:rsidRPr="00EB5B9B">
        <w:rPr>
          <w:rFonts w:asciiTheme="minorHAnsi" w:hAnsiTheme="minorHAnsi"/>
          <w:sz w:val="22"/>
        </w:rPr>
        <w:t xml:space="preserve"> </w:t>
      </w:r>
      <w:r w:rsidR="00B66013" w:rsidRPr="00EB5B9B">
        <w:rPr>
          <w:rFonts w:asciiTheme="minorHAnsi" w:hAnsiTheme="minorHAnsi"/>
          <w:sz w:val="22"/>
        </w:rPr>
        <w:t xml:space="preserve">EIA publications integrate </w:t>
      </w:r>
      <w:r w:rsidRPr="00EB5B9B">
        <w:rPr>
          <w:rFonts w:asciiTheme="minorHAnsi" w:hAnsiTheme="minorHAnsi"/>
          <w:sz w:val="22"/>
        </w:rPr>
        <w:t xml:space="preserve">data from the PMP </w:t>
      </w:r>
      <w:r w:rsidR="00326146" w:rsidRPr="00EB5B9B">
        <w:rPr>
          <w:rFonts w:asciiTheme="minorHAnsi" w:hAnsiTheme="minorHAnsi"/>
          <w:sz w:val="22"/>
        </w:rPr>
        <w:t>with other data sources</w:t>
      </w:r>
      <w:r w:rsidR="00B66013" w:rsidRPr="00EB5B9B">
        <w:rPr>
          <w:rFonts w:asciiTheme="minorHAnsi" w:hAnsiTheme="minorHAnsi"/>
          <w:sz w:val="22"/>
        </w:rPr>
        <w:t>:</w:t>
      </w:r>
    </w:p>
    <w:p w:rsidR="005563FF"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Annual</w:t>
      </w:r>
      <w:r w:rsidRPr="00B54FDB">
        <w:rPr>
          <w:rFonts w:asciiTheme="minorHAnsi" w:hAnsiTheme="minorHAnsi" w:cs="Times New Roman"/>
          <w:b w:val="0"/>
          <w:sz w:val="22"/>
          <w:szCs w:val="24"/>
        </w:rPr>
        <w:tab/>
      </w:r>
      <w:r w:rsidR="005563FF" w:rsidRPr="00EB5B9B">
        <w:rPr>
          <w:rFonts w:asciiTheme="minorHAnsi" w:hAnsiTheme="minorHAnsi" w:cs="Times New Roman"/>
          <w:b w:val="0"/>
          <w:color w:val="FF0000"/>
          <w:sz w:val="22"/>
          <w:szCs w:val="24"/>
        </w:rPr>
        <w:tab/>
      </w:r>
      <w:hyperlink r:id="rId28" w:history="1">
        <w:r w:rsidR="005563FF" w:rsidRPr="00EB5B9B">
          <w:rPr>
            <w:rStyle w:val="Hyperlink"/>
            <w:rFonts w:asciiTheme="minorHAnsi" w:hAnsiTheme="minorHAnsi" w:cs="Times New Roman"/>
            <w:b w:val="0"/>
            <w:sz w:val="22"/>
            <w:szCs w:val="24"/>
          </w:rPr>
          <w:t>Annual Energy Review (AER)</w:t>
        </w:r>
      </w:hyperlink>
    </w:p>
    <w:p w:rsidR="005563FF" w:rsidRPr="00EB5B9B" w:rsidRDefault="00F74D4B" w:rsidP="00FD2111">
      <w:pPr>
        <w:pStyle w:val="Heading3"/>
        <w:spacing w:before="0" w:after="0" w:line="360" w:lineRule="auto"/>
        <w:ind w:left="720" w:firstLine="720"/>
        <w:rPr>
          <w:rFonts w:asciiTheme="minorHAnsi" w:hAnsiTheme="minorHAnsi" w:cs="Times New Roman"/>
          <w:b w:val="0"/>
          <w:sz w:val="22"/>
          <w:szCs w:val="24"/>
        </w:rPr>
      </w:pPr>
      <w:hyperlink r:id="rId29" w:history="1">
        <w:r w:rsidR="005563FF" w:rsidRPr="00EB5B9B">
          <w:rPr>
            <w:rStyle w:val="Hyperlink"/>
            <w:rFonts w:asciiTheme="minorHAnsi" w:hAnsiTheme="minorHAnsi" w:cs="Times New Roman"/>
            <w:b w:val="0"/>
            <w:sz w:val="22"/>
            <w:szCs w:val="24"/>
          </w:rPr>
          <w:t>Annual Energy Outlook (AEO)</w:t>
        </w:r>
      </w:hyperlink>
      <w:r w:rsidR="005563FF" w:rsidRPr="00EB5B9B">
        <w:rPr>
          <w:rFonts w:asciiTheme="minorHAnsi" w:hAnsiTheme="minorHAnsi" w:cs="Times New Roman"/>
          <w:b w:val="0"/>
          <w:sz w:val="22"/>
          <w:szCs w:val="24"/>
        </w:rPr>
        <w:t xml:space="preserve"> </w:t>
      </w:r>
    </w:p>
    <w:p w:rsidR="005563FF" w:rsidRPr="00EB5B9B" w:rsidRDefault="00F74D4B" w:rsidP="00FD2111">
      <w:pPr>
        <w:pStyle w:val="Heading3"/>
        <w:spacing w:before="0" w:after="0" w:line="360" w:lineRule="auto"/>
        <w:ind w:left="720" w:firstLine="720"/>
        <w:rPr>
          <w:rFonts w:asciiTheme="minorHAnsi" w:hAnsiTheme="minorHAnsi" w:cs="Times New Roman"/>
          <w:b w:val="0"/>
          <w:sz w:val="22"/>
          <w:szCs w:val="24"/>
        </w:rPr>
      </w:pPr>
      <w:hyperlink r:id="rId30" w:history="1">
        <w:r w:rsidR="005563FF" w:rsidRPr="00EB5B9B">
          <w:rPr>
            <w:rStyle w:val="Hyperlink"/>
            <w:rFonts w:asciiTheme="minorHAnsi" w:hAnsiTheme="minorHAnsi" w:cs="Times New Roman"/>
            <w:b w:val="0"/>
            <w:sz w:val="22"/>
            <w:szCs w:val="24"/>
          </w:rPr>
          <w:t>International Energy Outlook (IEO)</w:t>
        </w:r>
      </w:hyperlink>
      <w:r w:rsidR="00B66013" w:rsidRPr="00EB5B9B">
        <w:rPr>
          <w:rFonts w:asciiTheme="minorHAnsi" w:hAnsiTheme="minorHAnsi" w:cs="Times New Roman"/>
          <w:b w:val="0"/>
          <w:color w:val="FF0000"/>
          <w:sz w:val="22"/>
          <w:szCs w:val="24"/>
        </w:rPr>
        <w:tab/>
      </w:r>
      <w:r w:rsidR="00B66013" w:rsidRPr="00EB5B9B">
        <w:rPr>
          <w:rFonts w:asciiTheme="minorHAnsi" w:hAnsiTheme="minorHAnsi" w:cs="Times New Roman"/>
          <w:b w:val="0"/>
          <w:color w:val="FF0000"/>
          <w:sz w:val="22"/>
          <w:szCs w:val="24"/>
        </w:rPr>
        <w:tab/>
      </w:r>
    </w:p>
    <w:p w:rsidR="00B66013" w:rsidRPr="00EB5B9B" w:rsidRDefault="00F74D4B" w:rsidP="00FD2111">
      <w:pPr>
        <w:pStyle w:val="Text0"/>
        <w:spacing w:before="0" w:after="0" w:line="360" w:lineRule="auto"/>
        <w:ind w:left="720" w:firstLine="720"/>
        <w:rPr>
          <w:rFonts w:asciiTheme="minorHAnsi" w:hAnsiTheme="minorHAnsi"/>
          <w:color w:val="FF0000"/>
          <w:sz w:val="22"/>
        </w:rPr>
      </w:pPr>
      <w:hyperlink r:id="rId31" w:history="1">
        <w:r w:rsidR="005563FF" w:rsidRPr="00EB5B9B">
          <w:rPr>
            <w:rStyle w:val="Hyperlink"/>
            <w:rFonts w:asciiTheme="minorHAnsi" w:hAnsiTheme="minorHAnsi"/>
            <w:sz w:val="22"/>
          </w:rPr>
          <w:t>State Energy Data System</w:t>
        </w:r>
        <w:r w:rsidR="0076178F" w:rsidRPr="00EB5B9B">
          <w:rPr>
            <w:rStyle w:val="Hyperlink"/>
            <w:rFonts w:asciiTheme="minorHAnsi" w:hAnsiTheme="minorHAnsi"/>
            <w:sz w:val="22"/>
          </w:rPr>
          <w:t xml:space="preserve"> </w:t>
        </w:r>
        <w:r w:rsidR="005563FF" w:rsidRPr="00EB5B9B">
          <w:rPr>
            <w:rStyle w:val="Hyperlink"/>
            <w:rFonts w:asciiTheme="minorHAnsi" w:hAnsiTheme="minorHAnsi"/>
            <w:sz w:val="22"/>
          </w:rPr>
          <w:t>(SEDS)</w:t>
        </w:r>
      </w:hyperlink>
      <w:r w:rsidR="00B66013" w:rsidRPr="00EB5B9B">
        <w:rPr>
          <w:rFonts w:asciiTheme="minorHAnsi" w:hAnsiTheme="minorHAnsi"/>
          <w:color w:val="FF0000"/>
          <w:sz w:val="22"/>
        </w:rPr>
        <w:t xml:space="preserve"> </w:t>
      </w:r>
    </w:p>
    <w:p w:rsidR="005563FF" w:rsidRPr="00EB5B9B" w:rsidRDefault="00F74D4B" w:rsidP="00FD2111">
      <w:pPr>
        <w:pStyle w:val="Text0"/>
        <w:spacing w:before="0" w:after="0" w:line="360" w:lineRule="auto"/>
        <w:ind w:left="720" w:firstLine="720"/>
        <w:rPr>
          <w:rFonts w:asciiTheme="minorHAnsi" w:hAnsiTheme="minorHAnsi"/>
          <w:color w:val="FF0000"/>
          <w:sz w:val="22"/>
        </w:rPr>
      </w:pPr>
      <w:hyperlink r:id="rId32" w:history="1">
        <w:r w:rsidR="005563FF" w:rsidRPr="00EB5B9B">
          <w:rPr>
            <w:rStyle w:val="Hyperlink"/>
            <w:rFonts w:asciiTheme="minorHAnsi" w:hAnsiTheme="minorHAnsi"/>
            <w:iCs/>
            <w:sz w:val="22"/>
          </w:rPr>
          <w:t>U.S Crude Oil, Natural Gas, and Natural Gas Liquids Reserves Report</w:t>
        </w:r>
      </w:hyperlink>
    </w:p>
    <w:p w:rsidR="00B66013" w:rsidRPr="00EB5B9B" w:rsidRDefault="00B66013" w:rsidP="00EB5B9B">
      <w:pPr>
        <w:pStyle w:val="Heading3"/>
        <w:spacing w:before="0" w:after="0" w:line="360" w:lineRule="auto"/>
        <w:rPr>
          <w:rFonts w:asciiTheme="minorHAnsi" w:hAnsiTheme="minorHAnsi" w:cs="Times New Roman"/>
          <w:b w:val="0"/>
          <w:sz w:val="22"/>
          <w:szCs w:val="24"/>
        </w:rPr>
      </w:pPr>
      <w:r w:rsidRPr="00B54FDB">
        <w:rPr>
          <w:rFonts w:asciiTheme="minorHAnsi" w:hAnsiTheme="minorHAnsi" w:cs="Times New Roman"/>
          <w:b w:val="0"/>
          <w:sz w:val="22"/>
          <w:szCs w:val="24"/>
        </w:rPr>
        <w:t>Monthly</w:t>
      </w:r>
      <w:r w:rsidRPr="00EB5B9B">
        <w:rPr>
          <w:rFonts w:asciiTheme="minorHAnsi" w:hAnsiTheme="minorHAnsi" w:cs="Times New Roman"/>
          <w:b w:val="0"/>
          <w:color w:val="FF0000"/>
          <w:sz w:val="22"/>
          <w:szCs w:val="24"/>
        </w:rPr>
        <w:tab/>
      </w:r>
      <w:hyperlink r:id="rId33" w:history="1">
        <w:r w:rsidR="005563FF" w:rsidRPr="00EB5B9B">
          <w:rPr>
            <w:rStyle w:val="Hyperlink"/>
            <w:rFonts w:asciiTheme="minorHAnsi" w:hAnsiTheme="minorHAnsi" w:cs="Times New Roman"/>
            <w:b w:val="0"/>
            <w:sz w:val="22"/>
            <w:szCs w:val="24"/>
          </w:rPr>
          <w:t>Monthly Energy Review (MER)</w:t>
        </w:r>
      </w:hyperlink>
    </w:p>
    <w:p w:rsidR="00326146" w:rsidRPr="00EB5B9B" w:rsidRDefault="00F74D4B" w:rsidP="00FD2111">
      <w:pPr>
        <w:pStyle w:val="Text0"/>
        <w:spacing w:before="0" w:after="0" w:line="360" w:lineRule="auto"/>
        <w:ind w:left="720" w:firstLine="720"/>
        <w:rPr>
          <w:rFonts w:asciiTheme="minorHAnsi" w:hAnsiTheme="minorHAnsi"/>
          <w:sz w:val="22"/>
        </w:rPr>
      </w:pPr>
      <w:hyperlink r:id="rId34" w:history="1">
        <w:r w:rsidR="005563FF" w:rsidRPr="00EB5B9B">
          <w:rPr>
            <w:rStyle w:val="Hyperlink"/>
            <w:rFonts w:asciiTheme="minorHAnsi" w:hAnsiTheme="minorHAnsi"/>
            <w:bCs/>
            <w:sz w:val="22"/>
          </w:rPr>
          <w:t>Short-Term Energy Outlook (STEO)</w:t>
        </w:r>
      </w:hyperlink>
      <w:r w:rsidR="005563FF" w:rsidRPr="00B54FDB">
        <w:rPr>
          <w:rFonts w:asciiTheme="minorHAnsi" w:hAnsiTheme="minorHAnsi"/>
          <w:sz w:val="22"/>
        </w:rPr>
        <w:t xml:space="preserve"> </w:t>
      </w:r>
      <w:r w:rsidR="00B66013" w:rsidRPr="00B54FDB">
        <w:rPr>
          <w:rFonts w:asciiTheme="minorHAnsi" w:hAnsiTheme="minorHAnsi"/>
          <w:sz w:val="22"/>
        </w:rPr>
        <w:t>including</w:t>
      </w:r>
      <w:r w:rsidR="00B66013" w:rsidRPr="00EB5B9B">
        <w:rPr>
          <w:rFonts w:asciiTheme="minorHAnsi" w:hAnsiTheme="minorHAnsi"/>
          <w:color w:val="FF0000"/>
          <w:sz w:val="22"/>
        </w:rPr>
        <w:t xml:space="preserve"> </w:t>
      </w:r>
      <w:hyperlink r:id="rId35" w:history="1">
        <w:r w:rsidR="00FE1A0E" w:rsidRPr="00EB5B9B">
          <w:rPr>
            <w:rStyle w:val="Hyperlink"/>
            <w:rFonts w:asciiTheme="minorHAnsi" w:hAnsiTheme="minorHAnsi"/>
            <w:bCs/>
            <w:sz w:val="22"/>
          </w:rPr>
          <w:t>Market Prices and Uncertainty Report</w:t>
        </w:r>
      </w:hyperlink>
    </w:p>
    <w:p w:rsidR="00EC6EF3" w:rsidRDefault="00EC6EF3" w:rsidP="00EB5B9B">
      <w:pPr>
        <w:pStyle w:val="Text0"/>
        <w:spacing w:before="0" w:after="0" w:line="360" w:lineRule="auto"/>
        <w:ind w:left="0"/>
        <w:rPr>
          <w:rFonts w:asciiTheme="minorHAnsi" w:hAnsiTheme="minorHAnsi"/>
          <w:sz w:val="22"/>
        </w:rPr>
      </w:pPr>
    </w:p>
    <w:p w:rsidR="00FD2111" w:rsidRDefault="00EC6EF3" w:rsidP="00EB5B9B">
      <w:pPr>
        <w:pStyle w:val="Text0"/>
        <w:spacing w:before="0" w:after="0" w:line="360" w:lineRule="auto"/>
        <w:ind w:left="0"/>
        <w:rPr>
          <w:rFonts w:asciiTheme="minorHAnsi" w:hAnsiTheme="minorHAnsi"/>
          <w:sz w:val="22"/>
        </w:rPr>
      </w:pPr>
      <w:r>
        <w:rPr>
          <w:rFonts w:asciiTheme="minorHAnsi" w:hAnsiTheme="minorHAnsi"/>
          <w:sz w:val="22"/>
        </w:rPr>
        <w:t xml:space="preserve">A description of these recurring EIA publications is provided in Appendix </w:t>
      </w:r>
      <w:r w:rsidR="00690F21">
        <w:rPr>
          <w:rFonts w:asciiTheme="minorHAnsi" w:hAnsiTheme="minorHAnsi"/>
          <w:sz w:val="22"/>
        </w:rPr>
        <w:t>K</w:t>
      </w:r>
      <w:r>
        <w:rPr>
          <w:rFonts w:asciiTheme="minorHAnsi" w:hAnsiTheme="minorHAnsi"/>
          <w:sz w:val="22"/>
        </w:rPr>
        <w:t xml:space="preserve">. </w:t>
      </w:r>
      <w:r w:rsidR="00FD2111">
        <w:rPr>
          <w:rFonts w:asciiTheme="minorHAnsi" w:hAnsiTheme="minorHAnsi"/>
          <w:sz w:val="22"/>
        </w:rPr>
        <w:t>The following table</w:t>
      </w:r>
      <w:r w:rsidR="00326146" w:rsidRPr="00EB5B9B">
        <w:rPr>
          <w:rFonts w:asciiTheme="minorHAnsi" w:hAnsiTheme="minorHAnsi"/>
          <w:sz w:val="22"/>
        </w:rPr>
        <w:t xml:space="preserve"> identifies recurring EIA publications which use data from each of the surveys in the Petroleum Marketing Program.  The data is critical (C), Very Important (V), or Somewhat Important (S) to </w:t>
      </w:r>
      <w:r w:rsidR="00326146" w:rsidRPr="00EB5B9B">
        <w:rPr>
          <w:rFonts w:asciiTheme="minorHAnsi" w:hAnsiTheme="minorHAnsi"/>
          <w:i/>
          <w:sz w:val="22"/>
        </w:rPr>
        <w:t xml:space="preserve">the AEO, </w:t>
      </w:r>
      <w:r w:rsidR="00EB5B9B" w:rsidRPr="00EB5B9B">
        <w:rPr>
          <w:rFonts w:asciiTheme="minorHAnsi" w:hAnsiTheme="minorHAnsi"/>
          <w:i/>
          <w:sz w:val="22"/>
        </w:rPr>
        <w:t xml:space="preserve">the </w:t>
      </w:r>
      <w:r w:rsidR="00326146" w:rsidRPr="00EB5B9B">
        <w:rPr>
          <w:rFonts w:asciiTheme="minorHAnsi" w:hAnsiTheme="minorHAnsi"/>
          <w:i/>
          <w:sz w:val="22"/>
        </w:rPr>
        <w:t>AER,</w:t>
      </w:r>
      <w:r w:rsidR="00EB5B9B" w:rsidRPr="00EB5B9B">
        <w:rPr>
          <w:rFonts w:asciiTheme="minorHAnsi" w:hAnsiTheme="minorHAnsi"/>
          <w:i/>
          <w:sz w:val="22"/>
        </w:rPr>
        <w:t xml:space="preserve"> the </w:t>
      </w:r>
      <w:r w:rsidR="00326146" w:rsidRPr="00EB5B9B">
        <w:rPr>
          <w:rFonts w:asciiTheme="minorHAnsi" w:hAnsiTheme="minorHAnsi"/>
          <w:i/>
          <w:sz w:val="22"/>
        </w:rPr>
        <w:t xml:space="preserve">MER </w:t>
      </w:r>
      <w:r w:rsidR="00326146" w:rsidRPr="00EB5B9B">
        <w:rPr>
          <w:rFonts w:asciiTheme="minorHAnsi" w:hAnsiTheme="minorHAnsi"/>
          <w:sz w:val="22"/>
        </w:rPr>
        <w:t>and</w:t>
      </w:r>
      <w:r w:rsidR="00326146" w:rsidRPr="00EB5B9B">
        <w:rPr>
          <w:rFonts w:asciiTheme="minorHAnsi" w:hAnsiTheme="minorHAnsi"/>
          <w:i/>
          <w:sz w:val="22"/>
        </w:rPr>
        <w:t xml:space="preserve"> </w:t>
      </w:r>
      <w:r w:rsidR="00EB5B9B" w:rsidRPr="00EB5B9B">
        <w:rPr>
          <w:rFonts w:asciiTheme="minorHAnsi" w:hAnsiTheme="minorHAnsi"/>
          <w:i/>
          <w:sz w:val="22"/>
        </w:rPr>
        <w:t xml:space="preserve">the </w:t>
      </w:r>
      <w:r w:rsidR="00326146" w:rsidRPr="00EB5B9B">
        <w:rPr>
          <w:rFonts w:asciiTheme="minorHAnsi" w:hAnsiTheme="minorHAnsi"/>
          <w:i/>
          <w:sz w:val="22"/>
        </w:rPr>
        <w:t>STEO.</w:t>
      </w:r>
      <w:r w:rsidR="00326146" w:rsidRPr="00EB5B9B">
        <w:rPr>
          <w:rFonts w:asciiTheme="minorHAnsi" w:hAnsiTheme="minorHAnsi"/>
          <w:sz w:val="22"/>
        </w:rPr>
        <w:t xml:space="preserve"> </w:t>
      </w:r>
    </w:p>
    <w:p w:rsidR="001A54DE" w:rsidRPr="001A54DE" w:rsidRDefault="001A54DE" w:rsidP="00EB5B9B">
      <w:pPr>
        <w:pStyle w:val="Text0"/>
        <w:spacing w:before="0" w:after="0" w:line="360" w:lineRule="auto"/>
        <w:ind w:left="0"/>
        <w:rPr>
          <w:rFonts w:asciiTheme="minorHAnsi" w:hAnsiTheme="minorHAnsi"/>
          <w:sz w:val="16"/>
          <w:szCs w:val="16"/>
        </w:rPr>
      </w:pPr>
    </w:p>
    <w:p w:rsidR="00542D6E" w:rsidRDefault="00542D6E">
      <w:pPr>
        <w:widowControl/>
        <w:autoSpaceDE/>
        <w:autoSpaceDN/>
        <w:adjustRightInd/>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br w:type="page"/>
      </w:r>
    </w:p>
    <w:p w:rsidR="00EB5B9B" w:rsidRPr="00801FE7" w:rsidRDefault="00FD2111" w:rsidP="00801FE7">
      <w:pPr>
        <w:widowControl/>
        <w:autoSpaceDE/>
        <w:autoSpaceDN/>
        <w:adjustRightInd/>
        <w:rPr>
          <w:rFonts w:asciiTheme="majorHAnsi" w:hAnsiTheme="majorHAnsi"/>
          <w:b/>
          <w:color w:val="365F91" w:themeColor="accent1" w:themeShade="BF"/>
          <w:sz w:val="28"/>
          <w:szCs w:val="28"/>
        </w:rPr>
      </w:pPr>
      <w:r w:rsidRPr="00801FE7">
        <w:rPr>
          <w:rFonts w:asciiTheme="majorHAnsi" w:hAnsiTheme="majorHAnsi"/>
          <w:b/>
          <w:color w:val="365F91" w:themeColor="accent1" w:themeShade="BF"/>
          <w:sz w:val="28"/>
          <w:szCs w:val="28"/>
        </w:rPr>
        <w:lastRenderedPageBreak/>
        <w:t xml:space="preserve">Table </w:t>
      </w:r>
      <w:r w:rsidR="00F03D19" w:rsidRPr="00801FE7">
        <w:rPr>
          <w:rFonts w:asciiTheme="majorHAnsi" w:hAnsiTheme="majorHAnsi"/>
          <w:b/>
          <w:color w:val="365F91" w:themeColor="accent1" w:themeShade="BF"/>
          <w:sz w:val="28"/>
          <w:szCs w:val="28"/>
        </w:rPr>
        <w:t>A</w:t>
      </w:r>
      <w:r w:rsidR="00956D60" w:rsidRPr="00801FE7">
        <w:rPr>
          <w:rFonts w:asciiTheme="majorHAnsi" w:hAnsiTheme="majorHAnsi"/>
          <w:b/>
          <w:color w:val="365F91" w:themeColor="accent1" w:themeShade="BF"/>
          <w:sz w:val="28"/>
          <w:szCs w:val="28"/>
        </w:rPr>
        <w:t>2</w:t>
      </w:r>
      <w:r w:rsidRPr="00801FE7">
        <w:rPr>
          <w:rFonts w:asciiTheme="majorHAnsi" w:hAnsiTheme="majorHAnsi"/>
          <w:b/>
          <w:color w:val="365F91" w:themeColor="accent1" w:themeShade="BF"/>
          <w:sz w:val="28"/>
          <w:szCs w:val="28"/>
        </w:rPr>
        <w:t xml:space="preserve">: Relationship </w:t>
      </w:r>
      <w:r w:rsidR="00C759BC" w:rsidRPr="00801FE7">
        <w:rPr>
          <w:rFonts w:asciiTheme="majorHAnsi" w:hAnsiTheme="majorHAnsi"/>
          <w:b/>
          <w:color w:val="365F91" w:themeColor="accent1" w:themeShade="BF"/>
          <w:sz w:val="28"/>
          <w:szCs w:val="28"/>
        </w:rPr>
        <w:t>between</w:t>
      </w:r>
      <w:r w:rsidRPr="00801FE7">
        <w:rPr>
          <w:rFonts w:asciiTheme="majorHAnsi" w:hAnsiTheme="majorHAnsi"/>
          <w:b/>
          <w:color w:val="365F91" w:themeColor="accent1" w:themeShade="BF"/>
          <w:sz w:val="28"/>
          <w:szCs w:val="28"/>
        </w:rPr>
        <w:t xml:space="preserve"> PMP Surveys and EIA Publications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765"/>
        <w:gridCol w:w="765"/>
        <w:gridCol w:w="810"/>
        <w:gridCol w:w="720"/>
        <w:gridCol w:w="5400"/>
      </w:tblGrid>
      <w:tr w:rsidR="005E48F0" w:rsidTr="003B6543">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 xml:space="preserve">Survey </w:t>
            </w:r>
            <w:r w:rsidR="00326146" w:rsidRPr="00801FE7">
              <w:rPr>
                <w:rFonts w:asciiTheme="minorHAnsi" w:hAnsiTheme="minorHAnsi"/>
                <w:b/>
                <w:bCs/>
                <w:sz w:val="22"/>
                <w:szCs w:val="22"/>
              </w:rPr>
              <w:t>No.</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MER</w:t>
            </w:r>
          </w:p>
        </w:tc>
        <w:tc>
          <w:tcPr>
            <w:tcW w:w="765"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AER</w:t>
            </w:r>
          </w:p>
        </w:tc>
        <w:tc>
          <w:tcPr>
            <w:tcW w:w="81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STEO</w:t>
            </w:r>
          </w:p>
        </w:tc>
        <w:tc>
          <w:tcPr>
            <w:tcW w:w="72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spacing w:after="58"/>
              <w:rPr>
                <w:rFonts w:asciiTheme="minorHAnsi" w:hAnsiTheme="minorHAnsi"/>
                <w:b/>
                <w:bCs/>
                <w:sz w:val="22"/>
                <w:szCs w:val="22"/>
              </w:rPr>
            </w:pPr>
            <w:r w:rsidRPr="00801FE7">
              <w:rPr>
                <w:rFonts w:asciiTheme="minorHAnsi" w:hAnsiTheme="minorHAnsi"/>
                <w:b/>
                <w:bCs/>
                <w:sz w:val="22"/>
                <w:szCs w:val="22"/>
              </w:rPr>
              <w:t>AEO</w:t>
            </w:r>
          </w:p>
        </w:tc>
        <w:tc>
          <w:tcPr>
            <w:tcW w:w="5400" w:type="dxa"/>
          </w:tcPr>
          <w:p w:rsidR="005E48F0" w:rsidRPr="00801FE7" w:rsidRDefault="005E48F0" w:rsidP="00212497">
            <w:pPr>
              <w:spacing w:line="120" w:lineRule="exact"/>
              <w:rPr>
                <w:rFonts w:asciiTheme="minorHAnsi" w:hAnsiTheme="minorHAnsi"/>
                <w:bCs/>
                <w:color w:val="000000"/>
                <w:sz w:val="22"/>
                <w:szCs w:val="22"/>
              </w:rPr>
            </w:pPr>
          </w:p>
          <w:p w:rsidR="005E48F0" w:rsidRPr="00801FE7" w:rsidRDefault="005E48F0" w:rsidP="00212497">
            <w:pPr>
              <w:spacing w:after="58"/>
              <w:rPr>
                <w:rFonts w:asciiTheme="minorHAnsi" w:hAnsiTheme="minorHAnsi"/>
                <w:bCs/>
                <w:color w:val="000000"/>
                <w:sz w:val="22"/>
                <w:szCs w:val="22"/>
              </w:rPr>
            </w:pPr>
            <w:r w:rsidRPr="00801FE7">
              <w:rPr>
                <w:rFonts w:asciiTheme="minorHAnsi" w:hAnsiTheme="minorHAnsi"/>
                <w:bCs/>
                <w:color w:val="000000"/>
                <w:sz w:val="22"/>
                <w:szCs w:val="22"/>
              </w:rPr>
              <w:t>O</w:t>
            </w:r>
            <w:r w:rsidR="00326146" w:rsidRPr="00801FE7">
              <w:rPr>
                <w:rFonts w:asciiTheme="minorHAnsi" w:hAnsiTheme="minorHAnsi"/>
                <w:bCs/>
                <w:color w:val="000000"/>
                <w:sz w:val="22"/>
                <w:szCs w:val="22"/>
              </w:rPr>
              <w:t>ther recurring EIA Publications</w:t>
            </w:r>
          </w:p>
        </w:tc>
      </w:tr>
      <w:tr w:rsidR="005E48F0" w:rsidTr="00B54FDB">
        <w:tc>
          <w:tcPr>
            <w:tcW w:w="1800" w:type="dxa"/>
          </w:tcPr>
          <w:p w:rsidR="005E48F0" w:rsidRPr="00801FE7" w:rsidRDefault="005E48F0" w:rsidP="00212497">
            <w:pPr>
              <w:spacing w:line="120" w:lineRule="exact"/>
              <w:rPr>
                <w:rFonts w:asciiTheme="minorHAnsi" w:hAnsiTheme="minorHAnsi"/>
                <w:b/>
                <w:bCs/>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EIA-14</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Acquisition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F74D4B" w:rsidP="00B66013">
            <w:pPr>
              <w:pStyle w:val="Heading2"/>
              <w:rPr>
                <w:rFonts w:asciiTheme="minorHAnsi" w:hAnsiTheme="minorHAnsi" w:cs="Times New Roman"/>
                <w:b w:val="0"/>
                <w:i w:val="0"/>
                <w:sz w:val="22"/>
                <w:szCs w:val="22"/>
              </w:rPr>
            </w:pPr>
            <w:hyperlink r:id="rId36"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37" w:history="1">
              <w:r w:rsidR="005E48F0" w:rsidRPr="00801FE7">
                <w:rPr>
                  <w:rStyle w:val="Hyperlink"/>
                  <w:rFonts w:asciiTheme="minorHAnsi" w:hAnsiTheme="minorHAnsi" w:cs="Times New Roman"/>
                  <w:b w:val="0"/>
                  <w:bCs w:val="0"/>
                  <w:i w:val="0"/>
                  <w:sz w:val="22"/>
                  <w:szCs w:val="22"/>
                </w:rPr>
                <w:t>Weekly Petroleum Status Report</w:t>
              </w:r>
            </w:hyperlink>
            <w:r w:rsidR="005E48F0" w:rsidRPr="00801FE7">
              <w:rPr>
                <w:rFonts w:asciiTheme="minorHAnsi" w:hAnsiTheme="minorHAnsi" w:cs="Times New Roman"/>
                <w:b w:val="0"/>
                <w:i w:val="0"/>
                <w:sz w:val="22"/>
                <w:szCs w:val="22"/>
              </w:rPr>
              <w:t xml:space="preserve">, </w:t>
            </w:r>
            <w:hyperlink r:id="rId38" w:history="1">
              <w:r w:rsidR="005E48F0" w:rsidRPr="00801FE7">
                <w:rPr>
                  <w:rStyle w:val="Hyperlink"/>
                  <w:rFonts w:asciiTheme="minorHAnsi" w:hAnsiTheme="minorHAnsi" w:cs="Times New Roman"/>
                  <w:b w:val="0"/>
                  <w:i w:val="0"/>
                  <w:sz w:val="22"/>
                  <w:szCs w:val="22"/>
                </w:rPr>
                <w:t>State Energy Data System: Total Energy Through 2010</w:t>
              </w:r>
            </w:hyperlink>
            <w:r w:rsidR="005E48F0" w:rsidRPr="00801FE7">
              <w:rPr>
                <w:rFonts w:asciiTheme="minorHAnsi" w:hAnsiTheme="minorHAnsi" w:cs="Times New Roman"/>
                <w:b w:val="0"/>
                <w:i w:val="0"/>
                <w:sz w:val="22"/>
                <w:szCs w:val="22"/>
              </w:rPr>
              <w:t xml:space="preserve">, and </w:t>
            </w:r>
            <w:hyperlink r:id="rId39"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EIA-182</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Crude Oil First Purchases and Costs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5E48F0" w:rsidP="00212497">
            <w:pPr>
              <w:spacing w:line="120" w:lineRule="exact"/>
              <w:rPr>
                <w:rFonts w:asciiTheme="minorHAnsi" w:hAnsiTheme="minorHAnsi"/>
                <w:sz w:val="22"/>
                <w:szCs w:val="22"/>
              </w:rPr>
            </w:pPr>
          </w:p>
          <w:p w:rsidR="00114157" w:rsidRPr="00801FE7" w:rsidRDefault="00F74D4B" w:rsidP="00801FE7">
            <w:pPr>
              <w:pStyle w:val="TEXT"/>
            </w:pPr>
            <w:hyperlink r:id="rId40" w:history="1">
              <w:r w:rsidR="005E48F0" w:rsidRPr="00801FE7">
                <w:rPr>
                  <w:rStyle w:val="Hyperlink"/>
                  <w:szCs w:val="22"/>
                </w:rPr>
                <w:t>Petroleum Marketing Monthly</w:t>
              </w:r>
            </w:hyperlink>
            <w:r w:rsidR="005E48F0" w:rsidRPr="00801FE7">
              <w:t xml:space="preserve">, </w:t>
            </w:r>
            <w:hyperlink r:id="rId41" w:history="1">
              <w:r w:rsidR="005E48F0" w:rsidRPr="00801FE7">
                <w:rPr>
                  <w:rStyle w:val="Hyperlink"/>
                  <w:szCs w:val="22"/>
                </w:rPr>
                <w:t>Petroleum Supply Monthly</w:t>
              </w:r>
            </w:hyperlink>
            <w:r w:rsidR="005E48F0" w:rsidRPr="00801FE7">
              <w:t xml:space="preserve">, </w:t>
            </w:r>
            <w:hyperlink r:id="rId42" w:history="1">
              <w:r w:rsidR="005E48F0" w:rsidRPr="00801FE7">
                <w:rPr>
                  <w:rStyle w:val="Hyperlink"/>
                  <w:szCs w:val="22"/>
                </w:rPr>
                <w:t>Petroleum Supply Annual, Volume 1</w:t>
              </w:r>
            </w:hyperlink>
            <w:r w:rsidR="005E48F0" w:rsidRPr="00801FE7">
              <w:t xml:space="preserve">, </w:t>
            </w:r>
            <w:hyperlink r:id="rId43" w:history="1">
              <w:r w:rsidR="005E48F0" w:rsidRPr="00801FE7">
                <w:rPr>
                  <w:rStyle w:val="Hyperlink"/>
                  <w:szCs w:val="22"/>
                </w:rPr>
                <w:t>Petroleum Supply Annual, Volume 2</w:t>
              </w:r>
            </w:hyperlink>
            <w:r w:rsidR="005E48F0" w:rsidRPr="00801FE7">
              <w:t xml:space="preserve">, </w:t>
            </w:r>
            <w:r w:rsidR="00114157" w:rsidRPr="00801FE7">
              <w:t xml:space="preserve">and </w:t>
            </w:r>
            <w:hyperlink r:id="rId44" w:history="1">
              <w:r w:rsidR="00114157" w:rsidRPr="00801FE7">
                <w:rPr>
                  <w:rStyle w:val="Hyperlink"/>
                  <w:bCs w:val="0"/>
                  <w:szCs w:val="22"/>
                </w:rPr>
                <w:t>Oil and Gas Lease Equipment and Operating Costs 1994 Through 2009</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EIA-782A</w:t>
            </w:r>
          </w:p>
          <w:p w:rsidR="005E48F0" w:rsidRPr="00801FE7" w:rsidRDefault="005E48F0" w:rsidP="00843764">
            <w:pPr>
              <w:rPr>
                <w:rFonts w:asciiTheme="minorHAnsi" w:hAnsiTheme="minorHAnsi"/>
                <w:sz w:val="22"/>
                <w:szCs w:val="22"/>
              </w:rPr>
            </w:pPr>
            <w:r w:rsidRPr="00801FE7">
              <w:rPr>
                <w:rFonts w:asciiTheme="minorHAnsi" w:hAnsiTheme="minorHAnsi"/>
                <w:sz w:val="22"/>
                <w:szCs w:val="22"/>
              </w:rPr>
              <w:t>Refiners</w:t>
            </w:r>
            <w:r w:rsidR="00843764">
              <w:rPr>
                <w:rFonts w:asciiTheme="minorHAnsi" w:hAnsiTheme="minorHAnsi"/>
                <w:sz w:val="22"/>
                <w:szCs w:val="22"/>
              </w:rPr>
              <w:t>’</w:t>
            </w:r>
            <w:r w:rsidRPr="00801FE7">
              <w:rPr>
                <w:rFonts w:asciiTheme="minorHAnsi" w:hAnsiTheme="minorHAnsi"/>
                <w:sz w:val="22"/>
                <w:szCs w:val="22"/>
              </w:rPr>
              <w:t>/</w:t>
            </w:r>
            <w:r w:rsidR="00843764">
              <w:rPr>
                <w:rFonts w:asciiTheme="minorHAnsi" w:hAnsiTheme="minorHAnsi"/>
                <w:sz w:val="22"/>
                <w:szCs w:val="22"/>
              </w:rPr>
              <w:t xml:space="preserve"> Gas Plant </w:t>
            </w:r>
            <w:r w:rsidRPr="00801FE7">
              <w:rPr>
                <w:rFonts w:asciiTheme="minorHAnsi" w:hAnsiTheme="minorHAnsi"/>
                <w:sz w:val="22"/>
                <w:szCs w:val="22"/>
              </w:rPr>
              <w:t>Operators</w:t>
            </w:r>
            <w:r w:rsidR="00843764">
              <w:rPr>
                <w:rFonts w:asciiTheme="minorHAnsi" w:hAnsiTheme="minorHAnsi"/>
                <w:sz w:val="22"/>
                <w:szCs w:val="22"/>
              </w:rPr>
              <w:t>’</w:t>
            </w:r>
            <w:r w:rsidRPr="00801FE7">
              <w:rPr>
                <w:rFonts w:asciiTheme="minorHAnsi" w:hAnsiTheme="minorHAnsi"/>
                <w:sz w:val="22"/>
                <w:szCs w:val="22"/>
              </w:rPr>
              <w:t xml:space="preserve"> Petroleum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5400" w:type="dxa"/>
          </w:tcPr>
          <w:p w:rsidR="005E48F0" w:rsidRPr="00801FE7" w:rsidRDefault="00F74D4B" w:rsidP="00B222CA">
            <w:pPr>
              <w:pStyle w:val="Heading2"/>
              <w:rPr>
                <w:rFonts w:asciiTheme="minorHAnsi" w:hAnsiTheme="minorHAnsi" w:cs="Times New Roman"/>
                <w:b w:val="0"/>
                <w:i w:val="0"/>
                <w:sz w:val="22"/>
                <w:szCs w:val="22"/>
              </w:rPr>
            </w:pPr>
            <w:hyperlink r:id="rId45"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6" w:history="1">
              <w:r w:rsidR="005E48F0" w:rsidRPr="00801FE7">
                <w:rPr>
                  <w:rStyle w:val="Hyperlink"/>
                  <w:rFonts w:asciiTheme="minorHAnsi" w:hAnsiTheme="minorHAnsi" w:cs="Times New Roman"/>
                  <w:b w:val="0"/>
                  <w:i w:val="0"/>
                  <w:sz w:val="22"/>
                  <w:szCs w:val="22"/>
                </w:rPr>
                <w:t>State Energy Data System: Total Energy Through 2010</w:t>
              </w:r>
            </w:hyperlink>
            <w:r w:rsidR="005E48F0" w:rsidRPr="00801FE7">
              <w:rPr>
                <w:rFonts w:asciiTheme="minorHAnsi" w:hAnsiTheme="minorHAnsi" w:cs="Times New Roman"/>
                <w:b w:val="0"/>
                <w:i w:val="0"/>
                <w:sz w:val="22"/>
                <w:szCs w:val="22"/>
              </w:rPr>
              <w:t xml:space="preserve">, and </w:t>
            </w:r>
            <w:hyperlink r:id="rId47" w:history="1">
              <w:r w:rsidR="005E48F0" w:rsidRPr="00801FE7">
                <w:rPr>
                  <w:rStyle w:val="Hyperlink"/>
                  <w:rFonts w:asciiTheme="minorHAnsi" w:hAnsiTheme="minorHAnsi" w:cs="Times New Roman"/>
                  <w:b w:val="0"/>
                  <w:bCs w:val="0"/>
                  <w:i w:val="0"/>
                  <w:sz w:val="22"/>
                  <w:szCs w:val="22"/>
                </w:rPr>
                <w:t>Market Prices and Uncertainty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EIA782C</w:t>
            </w:r>
          </w:p>
          <w:p w:rsidR="00B222CA" w:rsidRPr="00801FE7" w:rsidRDefault="005E48F0" w:rsidP="005E48F0">
            <w:pPr>
              <w:spacing w:after="58"/>
              <w:rPr>
                <w:rFonts w:asciiTheme="minorHAnsi" w:hAnsiTheme="minorHAnsi"/>
                <w:sz w:val="22"/>
                <w:szCs w:val="22"/>
              </w:rPr>
            </w:pPr>
            <w:r w:rsidRPr="00801FE7">
              <w:rPr>
                <w:rFonts w:asciiTheme="minorHAnsi" w:hAnsiTheme="minorHAnsi"/>
                <w:sz w:val="22"/>
                <w:szCs w:val="22"/>
              </w:rPr>
              <w:t xml:space="preserve">Suppliers, </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Local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S</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F74D4B" w:rsidP="00212497">
            <w:pPr>
              <w:pStyle w:val="Heading2"/>
              <w:rPr>
                <w:rFonts w:asciiTheme="minorHAnsi" w:hAnsiTheme="minorHAnsi" w:cs="Times New Roman"/>
                <w:b w:val="0"/>
                <w:i w:val="0"/>
                <w:sz w:val="22"/>
                <w:szCs w:val="22"/>
              </w:rPr>
            </w:pPr>
            <w:hyperlink r:id="rId48" w:history="1">
              <w:r w:rsidR="005E48F0" w:rsidRPr="00801FE7">
                <w:rPr>
                  <w:rStyle w:val="Hyperlink"/>
                  <w:rFonts w:asciiTheme="minorHAnsi" w:hAnsiTheme="minorHAnsi" w:cs="Times New Roman"/>
                  <w:b w:val="0"/>
                  <w:i w:val="0"/>
                  <w:sz w:val="22"/>
                  <w:szCs w:val="22"/>
                </w:rPr>
                <w:t>Petroleum Marketing Monthly</w:t>
              </w:r>
            </w:hyperlink>
            <w:r w:rsidR="005E48F0" w:rsidRPr="00801FE7">
              <w:rPr>
                <w:rFonts w:asciiTheme="minorHAnsi" w:hAnsiTheme="minorHAnsi" w:cs="Times New Roman"/>
                <w:b w:val="0"/>
                <w:i w:val="0"/>
                <w:sz w:val="22"/>
                <w:szCs w:val="22"/>
              </w:rPr>
              <w:t xml:space="preserve">, </w:t>
            </w:r>
            <w:hyperlink r:id="rId49" w:history="1">
              <w:r w:rsidR="005E48F0" w:rsidRPr="00801FE7">
                <w:rPr>
                  <w:rStyle w:val="Hyperlink"/>
                  <w:rFonts w:asciiTheme="minorHAnsi" w:hAnsiTheme="minorHAnsi" w:cs="Times New Roman"/>
                  <w:b w:val="0"/>
                  <w:i w:val="0"/>
                  <w:sz w:val="22"/>
                  <w:szCs w:val="22"/>
                </w:rPr>
                <w:t>State Energy Data System: Total Energy Through 2010</w:t>
              </w:r>
            </w:hyperlink>
            <w:r w:rsidR="005E48F0" w:rsidRPr="00801FE7">
              <w:rPr>
                <w:rFonts w:asciiTheme="minorHAnsi" w:hAnsiTheme="minorHAnsi" w:cs="Times New Roman"/>
                <w:b w:val="0"/>
                <w:i w:val="0"/>
                <w:sz w:val="22"/>
                <w:szCs w:val="22"/>
              </w:rPr>
              <w:t xml:space="preserve">, and </w:t>
            </w:r>
            <w:hyperlink r:id="rId50" w:history="1">
              <w:r w:rsidR="005E48F0" w:rsidRPr="00801FE7">
                <w:rPr>
                  <w:rStyle w:val="Hyperlink"/>
                  <w:rFonts w:asciiTheme="minorHAnsi" w:hAnsiTheme="minorHAnsi" w:cs="Times New Roman"/>
                  <w:b w:val="0"/>
                  <w:bCs w:val="0"/>
                  <w:i w:val="0"/>
                  <w:sz w:val="22"/>
                  <w:szCs w:val="22"/>
                </w:rPr>
                <w:t>Prime Supplier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EIA-821</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Fuel Oil and Kerosene Sales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F74D4B" w:rsidP="00212497">
            <w:pPr>
              <w:pStyle w:val="Heading2"/>
              <w:rPr>
                <w:rFonts w:asciiTheme="minorHAnsi" w:hAnsiTheme="minorHAnsi" w:cs="Times New Roman"/>
                <w:b w:val="0"/>
                <w:i w:val="0"/>
                <w:sz w:val="22"/>
                <w:szCs w:val="22"/>
              </w:rPr>
            </w:pPr>
            <w:hyperlink r:id="rId51" w:history="1">
              <w:r w:rsidR="005E48F0" w:rsidRPr="00801FE7">
                <w:rPr>
                  <w:rStyle w:val="Hyperlink"/>
                  <w:rFonts w:asciiTheme="minorHAnsi" w:hAnsiTheme="minorHAnsi" w:cs="Times New Roman"/>
                  <w:b w:val="0"/>
                  <w:bCs w:val="0"/>
                  <w:i w:val="0"/>
                  <w:sz w:val="22"/>
                  <w:szCs w:val="22"/>
                </w:rPr>
                <w:t>Fuel Oil and Kerosene Sales</w:t>
              </w:r>
            </w:hyperlink>
            <w:r w:rsidR="005E48F0" w:rsidRPr="00801FE7">
              <w:rPr>
                <w:rFonts w:asciiTheme="minorHAnsi" w:hAnsiTheme="minorHAnsi" w:cs="Times New Roman"/>
                <w:b w:val="0"/>
                <w:bCs w:val="0"/>
                <w:i w:val="0"/>
                <w:sz w:val="22"/>
                <w:szCs w:val="22"/>
              </w:rPr>
              <w:t xml:space="preserve"> and</w:t>
            </w:r>
            <w:r w:rsidR="005E48F0" w:rsidRPr="00801FE7">
              <w:rPr>
                <w:rFonts w:asciiTheme="minorHAnsi" w:hAnsiTheme="minorHAnsi" w:cs="Times New Roman"/>
                <w:b w:val="0"/>
                <w:i w:val="0"/>
                <w:sz w:val="22"/>
                <w:szCs w:val="22"/>
              </w:rPr>
              <w:t xml:space="preserve"> </w:t>
            </w:r>
            <w:hyperlink r:id="rId52" w:history="1">
              <w:r w:rsidR="005E48F0" w:rsidRPr="00801FE7">
                <w:rPr>
                  <w:rStyle w:val="Hyperlink"/>
                  <w:rFonts w:asciiTheme="minorHAnsi" w:hAnsiTheme="minorHAnsi" w:cs="Times New Roman"/>
                  <w:b w:val="0"/>
                  <w:i w:val="0"/>
                  <w:sz w:val="22"/>
                  <w:szCs w:val="22"/>
                </w:rPr>
                <w:t>State Energy Data System: Total Energy Through 2010</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EIA-856</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Foreign Crude Acquisition</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A43BFC" w:rsidP="00212497">
            <w:pPr>
              <w:spacing w:after="58"/>
              <w:rPr>
                <w:rFonts w:asciiTheme="minorHAnsi" w:hAnsiTheme="minorHAnsi"/>
                <w:sz w:val="22"/>
                <w:szCs w:val="22"/>
              </w:rPr>
            </w:pPr>
            <w:r w:rsidRPr="00801FE7">
              <w:rPr>
                <w:rFonts w:asciiTheme="minorHAnsi" w:hAnsiTheme="minorHAnsi"/>
                <w:sz w:val="22"/>
                <w:szCs w:val="22"/>
              </w:rPr>
              <w:t>V</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V</w:t>
            </w:r>
          </w:p>
        </w:tc>
        <w:tc>
          <w:tcPr>
            <w:tcW w:w="5400" w:type="dxa"/>
          </w:tcPr>
          <w:p w:rsidR="005E48F0" w:rsidRPr="00801FE7" w:rsidRDefault="005E48F0" w:rsidP="00212497">
            <w:pPr>
              <w:spacing w:line="120" w:lineRule="exact"/>
              <w:rPr>
                <w:rFonts w:asciiTheme="minorHAnsi" w:hAnsiTheme="minorHAnsi"/>
                <w:sz w:val="22"/>
                <w:szCs w:val="22"/>
              </w:rPr>
            </w:pPr>
          </w:p>
          <w:p w:rsidR="005E48F0" w:rsidRPr="00801FE7" w:rsidRDefault="00F74D4B" w:rsidP="00212497">
            <w:pPr>
              <w:spacing w:after="58"/>
              <w:rPr>
                <w:rFonts w:asciiTheme="minorHAnsi" w:hAnsiTheme="minorHAnsi"/>
                <w:sz w:val="22"/>
                <w:szCs w:val="22"/>
              </w:rPr>
            </w:pPr>
            <w:hyperlink r:id="rId53" w:history="1">
              <w:r w:rsidR="005E48F0" w:rsidRPr="00801FE7">
                <w:rPr>
                  <w:rStyle w:val="Hyperlink"/>
                  <w:rFonts w:asciiTheme="minorHAnsi" w:hAnsiTheme="minorHAnsi"/>
                  <w:sz w:val="22"/>
                  <w:szCs w:val="22"/>
                </w:rPr>
                <w:t>Petroleum Marketing Monthly</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tabs>
                <w:tab w:val="center" w:pos="735"/>
              </w:tabs>
              <w:rPr>
                <w:rFonts w:asciiTheme="minorHAnsi" w:hAnsiTheme="minorHAnsi"/>
                <w:sz w:val="22"/>
                <w:szCs w:val="22"/>
              </w:rPr>
            </w:pPr>
            <w:r w:rsidRPr="00801FE7">
              <w:rPr>
                <w:rFonts w:asciiTheme="minorHAnsi" w:hAnsiTheme="minorHAnsi"/>
                <w:sz w:val="22"/>
                <w:szCs w:val="22"/>
              </w:rPr>
              <w:t>EIA-877</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Winter Heating Oil Sales</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810" w:type="dxa"/>
          </w:tcPr>
          <w:p w:rsidR="005E48F0" w:rsidRPr="00801FE7" w:rsidRDefault="00D23A63" w:rsidP="00212497">
            <w:pPr>
              <w:spacing w:after="58"/>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F74D4B" w:rsidP="00801FE7">
            <w:pPr>
              <w:pStyle w:val="Text0"/>
              <w:spacing w:before="0" w:after="0"/>
              <w:ind w:left="0"/>
              <w:rPr>
                <w:rFonts w:asciiTheme="minorHAnsi" w:hAnsiTheme="minorHAnsi"/>
                <w:color w:val="000000"/>
                <w:sz w:val="22"/>
                <w:szCs w:val="22"/>
              </w:rPr>
            </w:pPr>
            <w:hyperlink r:id="rId54" w:history="1">
              <w:r w:rsidR="005E48F0" w:rsidRPr="00801FE7">
                <w:rPr>
                  <w:rStyle w:val="Hyperlink"/>
                  <w:rFonts w:asciiTheme="minorHAnsi" w:hAnsiTheme="minorHAnsi"/>
                  <w:bCs/>
                  <w:sz w:val="22"/>
                  <w:szCs w:val="22"/>
                </w:rPr>
                <w:t>Heating Oil and Propane Update</w:t>
              </w:r>
            </w:hyperlink>
            <w:r w:rsidR="001A54DE" w:rsidRPr="00801FE7">
              <w:rPr>
                <w:rFonts w:asciiTheme="minorHAnsi" w:hAnsiTheme="minorHAnsi"/>
                <w:sz w:val="22"/>
                <w:szCs w:val="22"/>
              </w:rPr>
              <w:t>,</w:t>
            </w:r>
            <w:r w:rsidR="005E48F0" w:rsidRPr="00801FE7">
              <w:rPr>
                <w:rFonts w:asciiTheme="minorHAnsi" w:hAnsiTheme="minorHAnsi"/>
                <w:color w:val="000000"/>
                <w:sz w:val="22"/>
                <w:szCs w:val="22"/>
              </w:rPr>
              <w:t xml:space="preserve"> </w:t>
            </w:r>
            <w:r w:rsidR="001A54DE" w:rsidRPr="00801FE7">
              <w:rPr>
                <w:rStyle w:val="Strong"/>
                <w:rFonts w:asciiTheme="minorHAnsi" w:hAnsiTheme="minorHAnsi"/>
                <w:b w:val="0"/>
                <w:bCs w:val="0"/>
                <w:color w:val="2200CC"/>
                <w:sz w:val="22"/>
                <w:szCs w:val="22"/>
                <w:u w:val="single"/>
              </w:rPr>
              <w:t xml:space="preserve">This Week In Petroleum </w:t>
            </w:r>
            <w:r w:rsidR="001A54DE" w:rsidRPr="00801FE7">
              <w:rPr>
                <w:rFonts w:asciiTheme="minorHAnsi" w:hAnsiTheme="minorHAnsi"/>
                <w:sz w:val="22"/>
                <w:szCs w:val="22"/>
              </w:rPr>
              <w:t xml:space="preserve"> and </w:t>
            </w:r>
            <w:hyperlink r:id="rId55"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EIA-878</w:t>
            </w:r>
          </w:p>
          <w:p w:rsidR="005E48F0" w:rsidRPr="00801FE7" w:rsidRDefault="005E48F0" w:rsidP="00212497">
            <w:pPr>
              <w:spacing w:after="58"/>
              <w:rPr>
                <w:rFonts w:asciiTheme="minorHAnsi" w:hAnsiTheme="minorHAnsi"/>
                <w:sz w:val="22"/>
                <w:szCs w:val="22"/>
              </w:rPr>
            </w:pPr>
            <w:r w:rsidRPr="00801FE7">
              <w:rPr>
                <w:rFonts w:asciiTheme="minorHAnsi" w:hAnsiTheme="minorHAnsi"/>
                <w:sz w:val="22"/>
                <w:szCs w:val="22"/>
              </w:rPr>
              <w:t>Gasoline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spacing w:line="120" w:lineRule="exact"/>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5E48F0" w:rsidP="00212497">
            <w:pPr>
              <w:spacing w:line="120" w:lineRule="exact"/>
              <w:rPr>
                <w:rFonts w:asciiTheme="minorHAnsi" w:hAnsiTheme="minorHAnsi"/>
                <w:color w:val="000000"/>
                <w:sz w:val="22"/>
                <w:szCs w:val="22"/>
              </w:rPr>
            </w:pPr>
          </w:p>
          <w:p w:rsidR="005E48F0" w:rsidRPr="00801FE7" w:rsidRDefault="00F74D4B" w:rsidP="00542D6E">
            <w:pPr>
              <w:pStyle w:val="Text0"/>
              <w:spacing w:before="0" w:after="0" w:line="360" w:lineRule="auto"/>
              <w:ind w:left="0"/>
              <w:rPr>
                <w:rFonts w:asciiTheme="minorHAnsi" w:hAnsiTheme="minorHAnsi"/>
                <w:color w:val="000000"/>
                <w:sz w:val="22"/>
                <w:szCs w:val="22"/>
              </w:rPr>
            </w:pPr>
            <w:hyperlink r:id="rId56" w:history="1">
              <w:r w:rsidR="005E48F0" w:rsidRPr="00801FE7">
                <w:rPr>
                  <w:rStyle w:val="Hyperlink"/>
                  <w:rFonts w:asciiTheme="minorHAnsi" w:hAnsiTheme="minorHAnsi"/>
                  <w:bCs/>
                  <w:sz w:val="22"/>
                  <w:szCs w:val="22"/>
                </w:rPr>
                <w:t>Gasoline and Diesel Fuel Update</w:t>
              </w:r>
            </w:hyperlink>
            <w:r w:rsidR="005E48F0" w:rsidRPr="00801FE7">
              <w:rPr>
                <w:rFonts w:asciiTheme="minorHAnsi" w:hAnsiTheme="minorHAnsi"/>
                <w:sz w:val="22"/>
                <w:szCs w:val="22"/>
              </w:rPr>
              <w:t xml:space="preserve"> </w:t>
            </w:r>
            <w:r w:rsidR="001A54DE" w:rsidRPr="00801FE7">
              <w:rPr>
                <w:rFonts w:asciiTheme="minorHAnsi" w:hAnsiTheme="minorHAnsi"/>
                <w:sz w:val="22"/>
                <w:szCs w:val="22"/>
              </w:rPr>
              <w:t>,</w:t>
            </w:r>
            <w:r w:rsidR="005E48F0" w:rsidRPr="00801FE7">
              <w:rPr>
                <w:rFonts w:asciiTheme="minorHAnsi" w:hAnsiTheme="minorHAnsi"/>
                <w:sz w:val="22"/>
                <w:szCs w:val="22"/>
              </w:rPr>
              <w:t xml:space="preserve"> </w:t>
            </w:r>
            <w:r w:rsidR="001A54DE" w:rsidRPr="00801FE7">
              <w:rPr>
                <w:rStyle w:val="Strong"/>
                <w:rFonts w:asciiTheme="minorHAnsi" w:hAnsiTheme="minorHAnsi"/>
                <w:b w:val="0"/>
                <w:bCs w:val="0"/>
                <w:color w:val="2200CC"/>
                <w:sz w:val="22"/>
                <w:szCs w:val="22"/>
                <w:u w:val="single"/>
              </w:rPr>
              <w:t>This Week In Petroleum,</w:t>
            </w:r>
            <w:r w:rsidR="001A54DE" w:rsidRPr="00801FE7">
              <w:rPr>
                <w:rFonts w:asciiTheme="minorHAnsi" w:hAnsiTheme="minorHAnsi"/>
                <w:sz w:val="22"/>
                <w:szCs w:val="22"/>
              </w:rPr>
              <w:t xml:space="preserve"> </w:t>
            </w:r>
            <w:r w:rsidR="00542D6E" w:rsidRPr="00801FE7">
              <w:rPr>
                <w:rFonts w:asciiTheme="minorHAnsi" w:hAnsiTheme="minorHAnsi"/>
                <w:bCs/>
                <w:sz w:val="22"/>
                <w:szCs w:val="22"/>
              </w:rPr>
              <w:t xml:space="preserve">and </w:t>
            </w:r>
            <w:hyperlink r:id="rId57" w:history="1">
              <w:r w:rsidR="005E48F0" w:rsidRPr="00801FE7">
                <w:rPr>
                  <w:rStyle w:val="Hyperlink"/>
                  <w:rFonts w:asciiTheme="minorHAnsi" w:hAnsiTheme="minorHAnsi"/>
                  <w:bCs/>
                  <w:sz w:val="22"/>
                  <w:szCs w:val="22"/>
                </w:rPr>
                <w:t>Weekly Petroleum Status Report</w:t>
              </w:r>
            </w:hyperlink>
          </w:p>
        </w:tc>
      </w:tr>
      <w:tr w:rsidR="005E48F0" w:rsidTr="00B54FDB">
        <w:tc>
          <w:tcPr>
            <w:tcW w:w="180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EIA-888</w:t>
            </w:r>
          </w:p>
          <w:p w:rsidR="005E48F0" w:rsidRPr="00801FE7" w:rsidRDefault="005E48F0" w:rsidP="005E48F0">
            <w:pPr>
              <w:spacing w:after="58"/>
              <w:rPr>
                <w:rFonts w:asciiTheme="minorHAnsi" w:hAnsiTheme="minorHAnsi"/>
                <w:sz w:val="22"/>
                <w:szCs w:val="22"/>
              </w:rPr>
            </w:pPr>
            <w:r w:rsidRPr="00801FE7">
              <w:rPr>
                <w:rFonts w:asciiTheme="minorHAnsi" w:hAnsiTheme="minorHAnsi"/>
                <w:sz w:val="22"/>
                <w:szCs w:val="22"/>
              </w:rPr>
              <w:t>Diesel Prices</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765"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810" w:type="dxa"/>
          </w:tcPr>
          <w:p w:rsidR="005E48F0" w:rsidRPr="00801FE7" w:rsidRDefault="005E48F0" w:rsidP="00212497">
            <w:pPr>
              <w:spacing w:line="120" w:lineRule="exact"/>
              <w:rPr>
                <w:rFonts w:asciiTheme="minorHAnsi" w:hAnsiTheme="minorHAnsi"/>
                <w:sz w:val="22"/>
                <w:szCs w:val="22"/>
              </w:rPr>
            </w:pPr>
          </w:p>
          <w:p w:rsidR="005E48F0" w:rsidRPr="00801FE7" w:rsidRDefault="005E48F0" w:rsidP="00212497">
            <w:pPr>
              <w:rPr>
                <w:rFonts w:asciiTheme="minorHAnsi" w:hAnsiTheme="minorHAnsi"/>
                <w:sz w:val="22"/>
                <w:szCs w:val="22"/>
              </w:rPr>
            </w:pPr>
            <w:r w:rsidRPr="00801FE7">
              <w:rPr>
                <w:rFonts w:asciiTheme="minorHAnsi" w:hAnsiTheme="minorHAnsi"/>
                <w:sz w:val="22"/>
                <w:szCs w:val="22"/>
              </w:rPr>
              <w:t>C</w:t>
            </w:r>
          </w:p>
        </w:tc>
        <w:tc>
          <w:tcPr>
            <w:tcW w:w="720" w:type="dxa"/>
          </w:tcPr>
          <w:p w:rsidR="005E48F0" w:rsidRPr="00801FE7" w:rsidRDefault="005E48F0" w:rsidP="00212497">
            <w:pPr>
              <w:spacing w:line="120" w:lineRule="exact"/>
              <w:rPr>
                <w:rFonts w:asciiTheme="minorHAnsi" w:hAnsiTheme="minorHAnsi"/>
                <w:sz w:val="22"/>
                <w:szCs w:val="22"/>
              </w:rPr>
            </w:pPr>
          </w:p>
          <w:p w:rsidR="005E48F0" w:rsidRPr="00801FE7" w:rsidRDefault="00326146" w:rsidP="00212497">
            <w:pPr>
              <w:spacing w:after="58"/>
              <w:rPr>
                <w:rFonts w:asciiTheme="minorHAnsi" w:hAnsiTheme="minorHAnsi"/>
                <w:sz w:val="22"/>
                <w:szCs w:val="22"/>
              </w:rPr>
            </w:pPr>
            <w:r w:rsidRPr="00801FE7">
              <w:rPr>
                <w:rFonts w:asciiTheme="minorHAnsi" w:hAnsiTheme="minorHAnsi"/>
                <w:sz w:val="22"/>
                <w:szCs w:val="22"/>
              </w:rPr>
              <w:t>-</w:t>
            </w:r>
          </w:p>
        </w:tc>
        <w:tc>
          <w:tcPr>
            <w:tcW w:w="5400" w:type="dxa"/>
          </w:tcPr>
          <w:p w:rsidR="005E48F0" w:rsidRPr="00801FE7" w:rsidRDefault="00F74D4B" w:rsidP="00542D6E">
            <w:pPr>
              <w:spacing w:after="58"/>
              <w:rPr>
                <w:rFonts w:asciiTheme="minorHAnsi" w:hAnsiTheme="minorHAnsi"/>
                <w:color w:val="000000"/>
                <w:sz w:val="22"/>
                <w:szCs w:val="22"/>
              </w:rPr>
            </w:pPr>
            <w:hyperlink r:id="rId58" w:history="1">
              <w:r w:rsidR="001A54DE" w:rsidRPr="00801FE7">
                <w:rPr>
                  <w:rStyle w:val="Hyperlink"/>
                  <w:rFonts w:asciiTheme="minorHAnsi" w:hAnsiTheme="minorHAnsi"/>
                  <w:bCs/>
                  <w:sz w:val="22"/>
                  <w:szCs w:val="22"/>
                </w:rPr>
                <w:t>Gasoline and Diesel Fuel Update</w:t>
              </w:r>
            </w:hyperlink>
            <w:r w:rsidR="001A54DE" w:rsidRPr="00801FE7">
              <w:rPr>
                <w:rFonts w:asciiTheme="minorHAnsi" w:hAnsiTheme="minorHAnsi"/>
                <w:sz w:val="22"/>
                <w:szCs w:val="22"/>
              </w:rPr>
              <w:t xml:space="preserve"> , </w:t>
            </w:r>
            <w:r w:rsidR="001A54DE" w:rsidRPr="00801FE7">
              <w:rPr>
                <w:rStyle w:val="Strong"/>
                <w:rFonts w:asciiTheme="minorHAnsi" w:hAnsiTheme="minorHAnsi"/>
                <w:b w:val="0"/>
                <w:bCs w:val="0"/>
                <w:color w:val="2200CC"/>
                <w:sz w:val="22"/>
                <w:szCs w:val="22"/>
                <w:u w:val="single"/>
              </w:rPr>
              <w:t>This Week In Petroleum,</w:t>
            </w:r>
            <w:r w:rsidR="00542D6E">
              <w:rPr>
                <w:rStyle w:val="Strong"/>
                <w:rFonts w:asciiTheme="minorHAnsi" w:hAnsiTheme="minorHAnsi"/>
                <w:b w:val="0"/>
                <w:bCs w:val="0"/>
                <w:color w:val="2200CC"/>
                <w:sz w:val="22"/>
                <w:szCs w:val="22"/>
                <w:u w:val="single"/>
              </w:rPr>
              <w:t xml:space="preserve"> </w:t>
            </w:r>
            <w:r w:rsidR="00542D6E" w:rsidRPr="00542D6E">
              <w:rPr>
                <w:rStyle w:val="Strong"/>
                <w:rFonts w:asciiTheme="minorHAnsi" w:hAnsiTheme="minorHAnsi"/>
                <w:b w:val="0"/>
                <w:bCs w:val="0"/>
                <w:sz w:val="22"/>
                <w:szCs w:val="22"/>
              </w:rPr>
              <w:t>and</w:t>
            </w:r>
            <w:r w:rsidR="001A54DE" w:rsidRPr="00801FE7">
              <w:rPr>
                <w:rFonts w:asciiTheme="minorHAnsi" w:hAnsiTheme="minorHAnsi"/>
                <w:sz w:val="22"/>
                <w:szCs w:val="22"/>
              </w:rPr>
              <w:t xml:space="preserve"> </w:t>
            </w:r>
            <w:hyperlink r:id="rId59" w:history="1">
              <w:r w:rsidR="001A54DE" w:rsidRPr="00801FE7">
                <w:rPr>
                  <w:rStyle w:val="Hyperlink"/>
                  <w:rFonts w:asciiTheme="minorHAnsi" w:hAnsiTheme="minorHAnsi"/>
                  <w:bCs/>
                  <w:sz w:val="22"/>
                  <w:szCs w:val="22"/>
                </w:rPr>
                <w:t>Weekly Petroleum Status Report</w:t>
              </w:r>
            </w:hyperlink>
          </w:p>
        </w:tc>
      </w:tr>
    </w:tbl>
    <w:p w:rsidR="00851717" w:rsidRPr="00A577A9" w:rsidRDefault="0016058D" w:rsidP="00BE23DA">
      <w:pPr>
        <w:pStyle w:val="Heading1"/>
      </w:pPr>
      <w:r>
        <w:rPr>
          <w:rFonts w:ascii="Times New Roman" w:hAnsi="Times New Roman"/>
        </w:rPr>
        <w:br w:type="page"/>
      </w:r>
      <w:r w:rsidR="00851717" w:rsidRPr="00A577A9">
        <w:lastRenderedPageBreak/>
        <w:t>A.  JUSTIFICATION</w:t>
      </w:r>
    </w:p>
    <w:p w:rsidR="00F05A43" w:rsidRDefault="00AD091C" w:rsidP="00D20878">
      <w:pPr>
        <w:pStyle w:val="Heading1"/>
      </w:pPr>
      <w:r>
        <w:rPr>
          <w:u w:val="single"/>
        </w:rPr>
        <w:t>A.1</w:t>
      </w:r>
      <w:r w:rsidR="00952DAF">
        <w:rPr>
          <w:u w:val="single"/>
        </w:rPr>
        <w:t>.</w:t>
      </w:r>
      <w:r>
        <w:rPr>
          <w:u w:val="single"/>
        </w:rPr>
        <w:t xml:space="preserve"> </w:t>
      </w:r>
      <w:r w:rsidR="00D27361" w:rsidRPr="00D27361">
        <w:rPr>
          <w:u w:val="single"/>
        </w:rPr>
        <w:t>Legal Authority</w:t>
      </w:r>
    </w:p>
    <w:p w:rsidR="00851717" w:rsidRPr="00540778" w:rsidRDefault="00851717" w:rsidP="007055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The authorization f</w:t>
      </w:r>
      <w:r w:rsidR="0018428D" w:rsidRPr="000558B4">
        <w:rPr>
          <w:rFonts w:asciiTheme="minorHAnsi" w:hAnsiTheme="minorHAnsi"/>
          <w:sz w:val="22"/>
        </w:rPr>
        <w:t>or collecting data on the ten</w:t>
      </w:r>
      <w:r w:rsidRPr="000558B4">
        <w:rPr>
          <w:rFonts w:asciiTheme="minorHAnsi" w:hAnsiTheme="minorHAnsi"/>
          <w:sz w:val="22"/>
        </w:rPr>
        <w:t xml:space="preserve"> Petroleum Marketing Program survey forms is set forth in the Federal Energy Administration Act of 1974, as amended (FEAA, Public Law 93-275).</w:t>
      </w:r>
      <w:r w:rsidR="006D225A" w:rsidRPr="000558B4">
        <w:rPr>
          <w:rFonts w:asciiTheme="minorHAnsi" w:hAnsiTheme="minorHAnsi"/>
          <w:sz w:val="22"/>
        </w:rPr>
        <w:t xml:space="preserve"> </w:t>
      </w:r>
      <w:r w:rsidRPr="000558B4">
        <w:rPr>
          <w:rFonts w:asciiTheme="minorHAnsi" w:hAnsiTheme="minorHAnsi"/>
          <w:sz w:val="22"/>
        </w:rPr>
        <w:t>The mandate for collecting these data is in Section 13(b) of the FEAA, 15 U.S.C.</w:t>
      </w:r>
      <w:r w:rsidR="00F078B2" w:rsidRPr="000558B4">
        <w:rPr>
          <w:rFonts w:asciiTheme="minorHAnsi" w:hAnsiTheme="minorHAnsi"/>
          <w:sz w:val="22"/>
        </w:rPr>
        <w:t xml:space="preserve"> §</w:t>
      </w:r>
      <w:r w:rsidRPr="000558B4">
        <w:rPr>
          <w:rFonts w:asciiTheme="minorHAnsi" w:hAnsiTheme="minorHAnsi"/>
          <w:sz w:val="22"/>
        </w:rPr>
        <w:t xml:space="preserve"> 772(b)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All persons owning or operating facilities or business premises who are engaged in any phase of energy supply or major energy consumption shall make available to the [Sec</w:t>
      </w:r>
      <w:r w:rsidR="00851717" w:rsidRPr="000558B4">
        <w:rPr>
          <w:rFonts w:asciiTheme="minorHAnsi" w:hAnsiTheme="minorHAnsi"/>
          <w:sz w:val="22"/>
        </w:rPr>
        <w:softHyphen/>
        <w:t>retary] such information and periodic reports, records, documents, and other data, relating to the purposes of this Act, including full identification of all data and projec</w:t>
      </w:r>
      <w:r w:rsidR="00851717" w:rsidRPr="000558B4">
        <w:rPr>
          <w:rFonts w:asciiTheme="minorHAnsi" w:hAnsiTheme="minorHAnsi"/>
          <w:sz w:val="22"/>
        </w:rPr>
        <w:softHyphen/>
        <w:t>tions as to source, time, and methodology of development, as the [Secretary] may prescribe by regulation or order as necessary or appropriate for the proper exercise of func</w:t>
      </w:r>
      <w:r w:rsidR="00851717" w:rsidRPr="000558B4">
        <w:rPr>
          <w:rFonts w:asciiTheme="minorHAnsi" w:hAnsiTheme="minorHAnsi"/>
          <w:sz w:val="22"/>
        </w:rPr>
        <w:softHyphen/>
        <w:t>tions under this Act.</w:t>
      </w:r>
      <w:r w:rsidRPr="000558B4">
        <w:rPr>
          <w:rFonts w:asciiTheme="minorHAnsi" w:hAnsiTheme="minorHAnsi"/>
          <w:sz w:val="22"/>
        </w:rPr>
        <w:t>”</w:t>
      </w:r>
    </w:p>
    <w:p w:rsidR="000558B4" w:rsidRDefault="000558B4"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The data provided by means of the forms will assist the Secretary to carry out the functions and duties described in Section 5(b) of the FEAA, 15 U.S.C. </w:t>
      </w:r>
      <w:r w:rsidR="00F078B2" w:rsidRPr="000558B4">
        <w:rPr>
          <w:rFonts w:asciiTheme="minorHAnsi" w:hAnsiTheme="minorHAnsi"/>
          <w:sz w:val="22"/>
        </w:rPr>
        <w:t xml:space="preserve">§ </w:t>
      </w:r>
      <w:r w:rsidRPr="000558B4">
        <w:rPr>
          <w:rFonts w:asciiTheme="minorHAnsi" w:hAnsiTheme="minorHAnsi"/>
          <w:sz w:val="22"/>
        </w:rPr>
        <w:t>764(b), which states that the Administrator of the FEA (now the Secretary of DOE) shall-</w:t>
      </w:r>
    </w:p>
    <w:p w:rsidR="00851717" w:rsidRPr="00FD2111" w:rsidRDefault="00851717" w:rsidP="00475B30">
      <w:pPr>
        <w:pStyle w:val="ListParagraph"/>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r w:rsidRPr="00FD2111">
        <w:rPr>
          <w:rFonts w:asciiTheme="minorHAnsi" w:hAnsiTheme="minorHAnsi"/>
          <w:sz w:val="22"/>
        </w:rPr>
        <w:t>advise the President and the Congress with respect to the establishment of a comprehensive national energy policy in relation to the energy matters for which the [Secretary] has responsibility, and, in coordination with the Secretary of State, the integration of domestic and foreign policies relating to energy resource management;</w:t>
      </w:r>
    </w:p>
    <w:p w:rsidR="00FD2111" w:rsidRPr="00FD2111" w:rsidRDefault="00FD2111" w:rsidP="00FD2111">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t>assess the adequacy of energy resources to meet demands in the immediate and longer range future for all sectors of the economy and the general public;</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develop effective arrangements for the participation of State and local governments in the resolution of energy problems;...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(9)</w:t>
      </w:r>
      <w:r w:rsidRPr="000558B4">
        <w:rPr>
          <w:rFonts w:asciiTheme="minorHAnsi" w:hAnsiTheme="minorHAnsi"/>
          <w:sz w:val="22"/>
        </w:rPr>
        <w:tab/>
        <w:t>collect, evaluate, assemble, and analyze energy information on reserves, production, demand, and related economic data;...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(12)</w:t>
      </w:r>
      <w:r w:rsidRPr="000558B4">
        <w:rPr>
          <w:rFonts w:asciiTheme="minorHAnsi" w:hAnsiTheme="minorHAnsi"/>
          <w:sz w:val="22"/>
        </w:rPr>
        <w:tab/>
        <w:t>perform such other functions as may be prescribed by law.</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As the authority for invoking Section 5(b) above, Section 5(a) of the FEAA, 15 U.S.C. </w:t>
      </w:r>
      <w:r w:rsidR="0026795A" w:rsidRPr="000558B4">
        <w:rPr>
          <w:rFonts w:asciiTheme="minorHAnsi" w:hAnsiTheme="minorHAnsi"/>
          <w:sz w:val="22"/>
        </w:rPr>
        <w:t>§</w:t>
      </w:r>
      <w:r w:rsidRPr="000558B4">
        <w:rPr>
          <w:rFonts w:asciiTheme="minorHAnsi" w:hAnsiTheme="minorHAnsi"/>
          <w:sz w:val="22"/>
        </w:rPr>
        <w:t>764(a),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lastRenderedPageBreak/>
        <w:t>(1)</w:t>
      </w:r>
      <w:r w:rsidRPr="000558B4">
        <w:rPr>
          <w:rFonts w:asciiTheme="minorHAnsi" w:hAnsiTheme="minorHAnsi"/>
          <w:sz w:val="22"/>
        </w:rPr>
        <w:tab/>
        <w:t>specifically transferred to or vested in him by or pursuant to this Act; ....</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otherwise specifically vested in the [Secretary] by the Congress.</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Authority for invoking Section 5(a) of the FEAA in turn is conferred by Section 52 of the FEAA, 15 U.S.C. </w:t>
      </w:r>
      <w:r w:rsidR="0026795A" w:rsidRPr="000558B4">
        <w:rPr>
          <w:rFonts w:asciiTheme="minorHAnsi" w:hAnsiTheme="minorHAnsi"/>
          <w:sz w:val="22"/>
        </w:rPr>
        <w:t xml:space="preserve">§ </w:t>
      </w:r>
      <w:r w:rsidRPr="000558B4">
        <w:rPr>
          <w:rFonts w:asciiTheme="minorHAnsi" w:hAnsiTheme="minorHAnsi"/>
          <w:sz w:val="22"/>
        </w:rPr>
        <w:t>790a, which states:</w:t>
      </w:r>
    </w:p>
    <w:p w:rsidR="00851717"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t>It shall be the duty of the Director to establish a National Energy Information System (hereinafter referred to in this Act as the "System") ...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FD2111" w:rsidRPr="000558B4"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t>the [Department of Energy] in carrying out its lawful functions;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t>the Congress;</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other officers and employees of the United States in whom have been vested, or to whom have been delegated energy-related policy decision-making responsibilities;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(4)</w:t>
      </w:r>
      <w:r w:rsidRPr="000558B4">
        <w:rPr>
          <w:rFonts w:asciiTheme="minorHAnsi" w:hAnsiTheme="minorHAnsi"/>
          <w:sz w:val="22"/>
        </w:rPr>
        <w:tab/>
        <w:t>the States to the extent required by the Natural Gas Act and the Federal Power Act.</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(b)</w:t>
      </w:r>
      <w:r w:rsidRPr="000558B4">
        <w:rPr>
          <w:rFonts w:asciiTheme="minorHAnsi" w:hAnsiTheme="minorHAnsi"/>
          <w:sz w:val="22"/>
        </w:rPr>
        <w:tab/>
        <w:t>At a minimum, the System shall contain such energy information as is necessary to carry out the Administration's statistical and forecasting activities, and shall include, at the earliest date and to the maximum extent practical subject to the resources available and the Director's order</w:t>
      </w:r>
      <w:r w:rsidRPr="000558B4">
        <w:rPr>
          <w:rFonts w:asciiTheme="minorHAnsi" w:hAnsiTheme="minorHAnsi"/>
          <w:sz w:val="22"/>
        </w:rPr>
        <w:softHyphen/>
        <w:t>ing of those resources to meet the responsibilities of his Office, such energy information as is required to define and permit analysis of-</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(1)</w:t>
      </w:r>
      <w:r w:rsidRPr="000558B4">
        <w:rPr>
          <w:rFonts w:asciiTheme="minorHAnsi" w:hAnsiTheme="minorHAnsi"/>
          <w:sz w:val="22"/>
        </w:rPr>
        <w:tab/>
        <w:t>the institutional structure of the energy supply system including patterns of ownership and control of mineral fuel and non-mineral energy resources and the production, distribution, and marketing of mineral fuels and electricity;</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(2)</w:t>
      </w:r>
      <w:r w:rsidRPr="000558B4">
        <w:rPr>
          <w:rFonts w:asciiTheme="minorHAnsi" w:hAnsiTheme="minorHAnsi"/>
          <w:sz w:val="22"/>
        </w:rPr>
        <w:tab/>
        <w:t>the consumption of mineral fuels, non-mineral energy resources, and electricity by such classes, sectors, and regions as may be appropriate for the purposes of this Act;...</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(5)</w:t>
      </w:r>
      <w:r w:rsidRPr="000558B4">
        <w:rPr>
          <w:rFonts w:asciiTheme="minorHAnsi" w:hAnsiTheme="minorHAnsi"/>
          <w:sz w:val="22"/>
        </w:rPr>
        <w:tab/>
        <w:t>industrial, labor, and regional impacts of changes in patterns of energy supply and consumption;</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(6)</w:t>
      </w:r>
      <w:r w:rsidRPr="000558B4">
        <w:rPr>
          <w:rFonts w:asciiTheme="minorHAnsi" w:hAnsiTheme="minorHAnsi"/>
          <w:sz w:val="22"/>
        </w:rPr>
        <w:tab/>
        <w:t>international aspects, economic and otherwise, of the evolving energy situation; and</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Theme="minorHAnsi" w:hAnsiTheme="minorHAnsi"/>
          <w:sz w:val="22"/>
        </w:rPr>
      </w:pPr>
      <w:r w:rsidRPr="000558B4">
        <w:rPr>
          <w:rFonts w:asciiTheme="minorHAnsi" w:hAnsiTheme="minorHAnsi"/>
          <w:sz w:val="22"/>
        </w:rPr>
        <w:t>(7)</w:t>
      </w:r>
      <w:r w:rsidRPr="000558B4">
        <w:rPr>
          <w:rFonts w:asciiTheme="minorHAnsi" w:hAnsiTheme="minorHAnsi"/>
          <w:sz w:val="22"/>
        </w:rPr>
        <w:tab/>
        <w:t>long-term relationships between energy supply and consumption in the United States and world communities.</w:t>
      </w:r>
    </w:p>
    <w:p w:rsidR="000558B4" w:rsidRDefault="000558B4"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lastRenderedPageBreak/>
        <w:t xml:space="preserve">In addition, these surveys partially satisfy the requirements of Section 507 of Part A of Title V of the Energy Policy and Conservation Act of 1975 (42 U.S.C. </w:t>
      </w:r>
      <w:r w:rsidR="009822C5" w:rsidRPr="000558B4">
        <w:rPr>
          <w:rFonts w:asciiTheme="minorHAnsi" w:hAnsiTheme="minorHAnsi"/>
          <w:sz w:val="22"/>
        </w:rPr>
        <w:t xml:space="preserve">§ </w:t>
      </w:r>
      <w:r w:rsidRPr="000558B4">
        <w:rPr>
          <w:rFonts w:asciiTheme="minorHAnsi" w:hAnsiTheme="minorHAnsi"/>
          <w:sz w:val="22"/>
        </w:rPr>
        <w:t>6385) as amended by the Energy Emergency Preparedness Act of 1982, P.L. 97-229,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The President or his delegate shall, pursuant to authority otherwise available to the President or his delegate under any other provision of law, collect information on the pricing, supply, and distribution of petroleum products by product category at the wholesale and retail levels, on a State-by-State basis, which was collected as of September 1, 1981, by the Energy Information Administration.</w:t>
      </w:r>
      <w:r w:rsidRPr="000558B4">
        <w:rPr>
          <w:rFonts w:asciiTheme="minorHAnsi" w:hAnsiTheme="minorHAnsi"/>
          <w:sz w:val="22"/>
        </w:rPr>
        <w:t>”</w:t>
      </w:r>
    </w:p>
    <w:p w:rsidR="00A2699C" w:rsidRPr="000558B4" w:rsidRDefault="00A2699C"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Sections 252 through 254 of the Energy Policy and Conservation Act of 1975 (P.L. 94-163) (EPCA) provide for the U.S. participation in the IEA </w:t>
      </w:r>
      <w:r w:rsidR="00CE30E5" w:rsidRPr="000558B4">
        <w:rPr>
          <w:rFonts w:asciiTheme="minorHAnsi" w:hAnsiTheme="minorHAnsi"/>
          <w:sz w:val="22"/>
        </w:rPr>
        <w:t xml:space="preserve">(International Energy Agency) </w:t>
      </w:r>
      <w:r w:rsidRPr="000558B4">
        <w:rPr>
          <w:rFonts w:asciiTheme="minorHAnsi" w:hAnsiTheme="minorHAnsi"/>
          <w:sz w:val="22"/>
        </w:rPr>
        <w:t xml:space="preserve">through its Emergency Allocation System and its special information systems.  The EPCA provides additional authority for collection of the EIA-856 data as provided in 42 U.S.C. </w:t>
      </w:r>
      <w:r w:rsidR="009822C5" w:rsidRPr="000558B4">
        <w:rPr>
          <w:rFonts w:asciiTheme="minorHAnsi" w:hAnsiTheme="minorHAnsi"/>
          <w:sz w:val="22"/>
        </w:rPr>
        <w:t xml:space="preserve">§ </w:t>
      </w:r>
      <w:r w:rsidRPr="000558B4">
        <w:rPr>
          <w:rFonts w:asciiTheme="minorHAnsi" w:hAnsiTheme="minorHAnsi"/>
          <w:sz w:val="22"/>
        </w:rPr>
        <w:t>6274 (a)(1) which states:</w:t>
      </w:r>
    </w:p>
    <w:p w:rsidR="00851717" w:rsidRPr="000558B4" w:rsidRDefault="00A2699C"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2"/>
        </w:rPr>
      </w:pPr>
      <w:r w:rsidRPr="000558B4">
        <w:rPr>
          <w:rFonts w:asciiTheme="minorHAnsi" w:hAnsiTheme="minorHAnsi"/>
          <w:sz w:val="22"/>
        </w:rPr>
        <w:t>“</w:t>
      </w:r>
      <w:r w:rsidR="00851717" w:rsidRPr="000558B4">
        <w:rPr>
          <w:rFonts w:asciiTheme="minorHAnsi" w:hAnsiTheme="minorHAnsi"/>
          <w:sz w:val="22"/>
        </w:rPr>
        <w:t>Except as provided in subsections (b) and (c), the Secretary, after consultation with the Attorney General, may provide to the Secretary of State, and the Secretary of State may transmit to the International Energy Agency established by the international energy program, the information and data related to the energy industry certified by the Secretary of State as required to be submitted under the international energy program.</w:t>
      </w:r>
      <w:r w:rsidRPr="000558B4">
        <w:rPr>
          <w:rFonts w:asciiTheme="minorHAnsi" w:hAnsiTheme="minorHAnsi"/>
          <w:sz w:val="22"/>
        </w:rPr>
        <w:t>”</w:t>
      </w: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51717" w:rsidRPr="000558B4" w:rsidRDefault="00851717"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In addition, Section 407(a)(3) of the Energy Policy Act of 1992 (P.L. 102-486) (EPACT) (42 U.S.C. </w:t>
      </w:r>
      <w:r w:rsidR="009822C5" w:rsidRPr="000558B4">
        <w:rPr>
          <w:rFonts w:asciiTheme="minorHAnsi" w:hAnsiTheme="minorHAnsi"/>
          <w:sz w:val="22"/>
        </w:rPr>
        <w:t xml:space="preserve">§ </w:t>
      </w:r>
      <w:r w:rsidRPr="000558B4">
        <w:rPr>
          <w:rFonts w:asciiTheme="minorHAnsi" w:hAnsiTheme="minorHAnsi"/>
          <w:sz w:val="22"/>
        </w:rPr>
        <w:t>13233)  requires the Energy Information Administration to establish a data collection program which collects cost data on alternative fuels.  EPACT provides additional authority for collection of EIA-782A</w:t>
      </w:r>
      <w:r w:rsidRPr="000558B4">
        <w:rPr>
          <w:rFonts w:asciiTheme="minorHAnsi" w:hAnsiTheme="minorHAnsi"/>
          <w:color w:val="FF0000"/>
          <w:sz w:val="22"/>
        </w:rPr>
        <w:t xml:space="preserve"> </w:t>
      </w:r>
      <w:r w:rsidRPr="000558B4">
        <w:rPr>
          <w:rFonts w:asciiTheme="minorHAnsi" w:hAnsiTheme="minorHAnsi"/>
          <w:sz w:val="22"/>
        </w:rPr>
        <w:t>data on propane sales as provided by Section 407(a)(3) which states:</w:t>
      </w: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heme="minorHAnsi" w:hAnsiTheme="minorHAnsi"/>
          <w:sz w:val="22"/>
        </w:rPr>
      </w:pPr>
      <w:r w:rsidRPr="000558B4">
        <w:rPr>
          <w:rFonts w:asciiTheme="minorHAnsi" w:hAnsiTheme="minorHAnsi"/>
          <w:sz w:val="22"/>
        </w:rPr>
        <w:t>(a)</w:t>
      </w:r>
      <w:r w:rsidRPr="000558B4">
        <w:rPr>
          <w:rFonts w:asciiTheme="minorHAnsi" w:hAnsiTheme="minorHAnsi"/>
          <w:sz w:val="22"/>
        </w:rPr>
        <w:tab/>
      </w:r>
      <w:r w:rsidR="00A2699C" w:rsidRPr="000558B4">
        <w:rPr>
          <w:rFonts w:asciiTheme="minorHAnsi" w:hAnsiTheme="minorHAnsi"/>
          <w:sz w:val="22"/>
        </w:rPr>
        <w:t>“</w:t>
      </w:r>
      <w:r w:rsidRPr="000558B4">
        <w:rPr>
          <w:rFonts w:asciiTheme="minorHAnsi" w:hAnsiTheme="minorHAnsi"/>
          <w:sz w:val="22"/>
        </w:rPr>
        <w:t>Not later than one year after the date of enactment of this Act, the Secretary, through the Energy Information Administration, and in cooperation with appropriate State, regional, and local authorities, shall establish a data collection program to be conducted in at least 5 geographically and climatically diverse regions of the United States for the purposes of collecting data which would be useful to persons seeking to manufacture, convert, sell, own, or operate alternative fueled vehicles or alternative fueling facilities.  Such data shall include-...</w:t>
      </w:r>
    </w:p>
    <w:p w:rsidR="00FD2111" w:rsidRDefault="00FD2111"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p>
    <w:p w:rsidR="00851717" w:rsidRPr="000558B4" w:rsidRDefault="00851717" w:rsidP="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heme="minorHAnsi" w:hAnsiTheme="minorHAnsi"/>
          <w:sz w:val="22"/>
        </w:rPr>
      </w:pPr>
      <w:r w:rsidRPr="000558B4">
        <w:rPr>
          <w:rFonts w:asciiTheme="minorHAnsi" w:hAnsiTheme="minorHAnsi"/>
          <w:sz w:val="22"/>
        </w:rPr>
        <w:t>(3)</w:t>
      </w:r>
      <w:r w:rsidRPr="000558B4">
        <w:rPr>
          <w:rFonts w:asciiTheme="minorHAnsi" w:hAnsiTheme="minorHAnsi"/>
          <w:sz w:val="22"/>
        </w:rPr>
        <w:tab/>
        <w:t>cost, performance, environmental, energy, and safety data on alternative fuels and alternative fueled vehicles.</w:t>
      </w:r>
      <w:r w:rsidR="00A2699C" w:rsidRPr="000558B4">
        <w:rPr>
          <w:rFonts w:asciiTheme="minorHAnsi" w:hAnsiTheme="minorHAnsi"/>
          <w:sz w:val="22"/>
        </w:rPr>
        <w:t>”</w:t>
      </w:r>
    </w:p>
    <w:p w:rsidR="006004D2" w:rsidRDefault="006004D2" w:rsidP="000558B4">
      <w:pPr>
        <w:widowControl/>
        <w:autoSpaceDE/>
        <w:autoSpaceDN/>
        <w:adjustRightInd/>
        <w:spacing w:line="360" w:lineRule="auto"/>
        <w:rPr>
          <w:rFonts w:asciiTheme="minorHAnsi" w:hAnsiTheme="minorHAnsi"/>
          <w:sz w:val="22"/>
        </w:rPr>
      </w:pPr>
    </w:p>
    <w:p w:rsidR="00FD2111" w:rsidRDefault="00FD2111">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C93152" w:rsidRPr="000558B4" w:rsidRDefault="00AD091C" w:rsidP="000558B4">
      <w:pPr>
        <w:pStyle w:val="Heading1"/>
      </w:pPr>
      <w:r>
        <w:lastRenderedPageBreak/>
        <w:t>A.2</w:t>
      </w:r>
      <w:r w:rsidR="00952DAF">
        <w:t>.</w:t>
      </w:r>
      <w:r>
        <w:t xml:space="preserve"> </w:t>
      </w:r>
      <w:r w:rsidR="00D27361" w:rsidRPr="00D27361">
        <w:t xml:space="preserve">Need for and </w:t>
      </w:r>
      <w:r w:rsidR="00322217">
        <w:t>Uses of Petroleum Marketing Program</w:t>
      </w:r>
      <w:r w:rsidR="00D27361" w:rsidRPr="00D27361">
        <w:t xml:space="preserve"> </w:t>
      </w:r>
      <w:r w:rsidR="0076178F">
        <w:t xml:space="preserve">(PMP) </w:t>
      </w:r>
      <w:r w:rsidR="00D27361" w:rsidRPr="00D27361">
        <w:t>Data</w:t>
      </w:r>
    </w:p>
    <w:p w:rsidR="00C93152" w:rsidRPr="00540778" w:rsidRDefault="00C93152" w:rsidP="00D20878">
      <w:pPr>
        <w:pStyle w:val="Heading1"/>
      </w:pPr>
      <w:bookmarkStart w:id="0" w:name="_Toc524334487"/>
      <w:bookmarkStart w:id="1" w:name="_Toc524334569"/>
      <w:bookmarkStart w:id="2" w:name="_Toc524334717"/>
      <w:bookmarkStart w:id="3" w:name="_Toc524334910"/>
      <w:bookmarkStart w:id="4" w:name="_Toc81279293"/>
      <w:r w:rsidRPr="00540778">
        <w:t>A.2.1. Overview of Data Uses</w:t>
      </w:r>
      <w:bookmarkEnd w:id="0"/>
      <w:bookmarkEnd w:id="1"/>
      <w:bookmarkEnd w:id="2"/>
      <w:bookmarkEnd w:id="3"/>
      <w:bookmarkEnd w:id="4"/>
    </w:p>
    <w:p w:rsidR="00C93152" w:rsidRPr="00540778" w:rsidRDefault="00C93152" w:rsidP="00E95D9B">
      <w:pPr>
        <w:pStyle w:val="z-TopofForm"/>
        <w:jc w:val="both"/>
        <w:rPr>
          <w:szCs w:val="24"/>
        </w:rPr>
      </w:pPr>
    </w:p>
    <w:p w:rsidR="00267903" w:rsidRPr="000558B4" w:rsidRDefault="00841EBF"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bookmarkStart w:id="5" w:name="_Toc524334488"/>
      <w:bookmarkStart w:id="6" w:name="_Toc524334570"/>
      <w:bookmarkStart w:id="7" w:name="_Toc524334718"/>
      <w:bookmarkStart w:id="8" w:name="_Toc524334911"/>
      <w:bookmarkStart w:id="9" w:name="_Toc81279294"/>
      <w:r w:rsidRPr="000558B4">
        <w:rPr>
          <w:rFonts w:asciiTheme="minorHAnsi" w:hAnsiTheme="minorHAnsi"/>
          <w:sz w:val="22"/>
        </w:rPr>
        <w:t>The purpose of the agency’s</w:t>
      </w:r>
      <w:r w:rsidR="00267903" w:rsidRPr="000558B4">
        <w:rPr>
          <w:rFonts w:asciiTheme="minorHAnsi" w:hAnsiTheme="minorHAnsi"/>
          <w:sz w:val="22"/>
        </w:rPr>
        <w:t xml:space="preserve"> petroleum product price, supply, and market distribution data program is to collect the basic data required to meet DOE legislative mandates and user community data needs.  The program provides a set of basic data pertaining to the nature, structure, and efficiency of petroleum markets.  Adequate evaluation</w:t>
      </w:r>
      <w:r w:rsidR="00F05A43" w:rsidRPr="000558B4">
        <w:rPr>
          <w:rFonts w:asciiTheme="minorHAnsi" w:hAnsiTheme="minorHAnsi"/>
          <w:sz w:val="22"/>
        </w:rPr>
        <w:t xml:space="preserve"> </w:t>
      </w:r>
      <w:r w:rsidR="00267903" w:rsidRPr="000558B4">
        <w:rPr>
          <w:rFonts w:asciiTheme="minorHAnsi" w:hAnsiTheme="minorHAnsi"/>
          <w:sz w:val="22"/>
        </w:rPr>
        <w:t>of market behavior requires price, demand (or sales), product supply, and market distribution data.  Specifically, these data collection efforts are predicated upon the following points:</w:t>
      </w: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EIA has clearly mandated data collection responsibilities.  These responsibilities are delineated in the Federal Energy Administration Act of 1974, as amended (FEAA, Public Law 93-275) and the Energy Policy and Conservation Act of 1975 as amended by the Energy Emergency Prepare</w:t>
      </w:r>
      <w:r w:rsidR="00E95D9B" w:rsidRPr="000558B4">
        <w:rPr>
          <w:rFonts w:asciiTheme="minorHAnsi" w:hAnsiTheme="minorHAnsi"/>
          <w:sz w:val="22"/>
        </w:rPr>
        <w:t>dness Act of 1982, P.L. 97-229.</w:t>
      </w:r>
      <w:r w:rsidRPr="000558B4">
        <w:rPr>
          <w:rFonts w:asciiTheme="minorHAnsi" w:hAnsiTheme="minorHAnsi"/>
          <w:sz w:val="22"/>
        </w:rPr>
        <w:t xml:space="preserve"> General energy data collection responsibilities are granted by the requirements to collect information on the institutional structure of the energy supply system; on the production, distribution, marketing and consumption of energy commodities; and on the international aspects of the energy situation.  EIA is also explicitly directed to collect energy price</w:t>
      </w:r>
      <w:r w:rsidR="0076178F" w:rsidRPr="000558B4">
        <w:rPr>
          <w:rFonts w:asciiTheme="minorHAnsi" w:hAnsiTheme="minorHAnsi"/>
          <w:sz w:val="22"/>
        </w:rPr>
        <w:t xml:space="preserve"> data and to collect such data - </w:t>
      </w:r>
      <w:r w:rsidRPr="000558B4">
        <w:rPr>
          <w:rFonts w:asciiTheme="minorHAnsi" w:hAnsiTheme="minorHAnsi"/>
          <w:sz w:val="22"/>
        </w:rPr>
        <w:t>i.e., both supply and price data</w:t>
      </w:r>
      <w:r w:rsidR="0076178F" w:rsidRPr="000558B4">
        <w:rPr>
          <w:rFonts w:asciiTheme="minorHAnsi" w:hAnsiTheme="minorHAnsi"/>
          <w:sz w:val="22"/>
        </w:rPr>
        <w:t xml:space="preserve"> -</w:t>
      </w:r>
      <w:r w:rsidRPr="000558B4">
        <w:rPr>
          <w:rFonts w:asciiTheme="minorHAnsi" w:hAnsiTheme="minorHAnsi"/>
          <w:sz w:val="22"/>
        </w:rPr>
        <w:t xml:space="preserve"> with particular reference to the distribution area of States. </w:t>
      </w:r>
    </w:p>
    <w:p w:rsidR="00267903" w:rsidRPr="000558B4" w:rsidRDefault="00267903"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 xml:space="preserve">The data </w:t>
      </w:r>
      <w:r w:rsidR="0096484D" w:rsidRPr="000558B4">
        <w:rPr>
          <w:rFonts w:asciiTheme="minorHAnsi" w:hAnsiTheme="minorHAnsi"/>
          <w:sz w:val="22"/>
        </w:rPr>
        <w:t>EIA</w:t>
      </w:r>
      <w:r w:rsidRPr="000558B4">
        <w:rPr>
          <w:rFonts w:asciiTheme="minorHAnsi" w:hAnsiTheme="minorHAnsi"/>
          <w:sz w:val="22"/>
        </w:rPr>
        <w:t xml:space="preserve"> collects are used to address significant energy industry issues</w:t>
      </w:r>
      <w:r w:rsidR="0096484D" w:rsidRPr="000558B4">
        <w:rPr>
          <w:rFonts w:asciiTheme="minorHAnsi" w:hAnsiTheme="minorHAnsi"/>
          <w:sz w:val="22"/>
        </w:rPr>
        <w:t>. For example i</w:t>
      </w:r>
      <w:r w:rsidRPr="000558B4">
        <w:rPr>
          <w:rFonts w:asciiTheme="minorHAnsi" w:hAnsiTheme="minorHAnsi"/>
          <w:sz w:val="22"/>
        </w:rPr>
        <w:t>n line with its mandated responsibility to collect data that adequately describe the petroleum marketplace,</w:t>
      </w:r>
      <w:r w:rsidR="0096484D" w:rsidRPr="000558B4">
        <w:rPr>
          <w:rFonts w:asciiTheme="minorHAnsi" w:hAnsiTheme="minorHAnsi"/>
          <w:sz w:val="22"/>
        </w:rPr>
        <w:t xml:space="preserve"> EIA</w:t>
      </w:r>
      <w:r w:rsidRPr="000558B4">
        <w:rPr>
          <w:rFonts w:asciiTheme="minorHAnsi" w:hAnsiTheme="minorHAnsi"/>
          <w:sz w:val="22"/>
        </w:rPr>
        <w:t xml:space="preserve"> has been and will continue to be asked to evaluate the significance of a number of important issues related to the energy industry in general and the petroleum industry in particular.  </w:t>
      </w:r>
      <w:r w:rsidR="0096484D" w:rsidRPr="000558B4">
        <w:rPr>
          <w:rFonts w:asciiTheme="minorHAnsi" w:hAnsiTheme="minorHAnsi"/>
          <w:sz w:val="22"/>
        </w:rPr>
        <w:t xml:space="preserve">This includes </w:t>
      </w:r>
      <w:r w:rsidRPr="000558B4">
        <w:rPr>
          <w:rFonts w:asciiTheme="minorHAnsi" w:hAnsiTheme="minorHAnsi"/>
          <w:sz w:val="22"/>
        </w:rPr>
        <w:t xml:space="preserve">issues such as divorcement, mergers, market pullouts, predatory practices, and product margins require </w:t>
      </w:r>
      <w:r w:rsidR="0096484D" w:rsidRPr="000558B4">
        <w:rPr>
          <w:rFonts w:asciiTheme="minorHAnsi" w:hAnsiTheme="minorHAnsi"/>
          <w:sz w:val="22"/>
        </w:rPr>
        <w:t xml:space="preserve">the Department of Energy’s </w:t>
      </w:r>
      <w:r w:rsidRPr="000558B4">
        <w:rPr>
          <w:rFonts w:asciiTheme="minorHAnsi" w:hAnsiTheme="minorHAnsi"/>
          <w:sz w:val="22"/>
        </w:rPr>
        <w:t>continuing involvement.  According to the significant users within the Congress, the Executive Branch, and among the States, the data collected by the</w:t>
      </w:r>
      <w:r w:rsidR="0096484D" w:rsidRPr="000558B4">
        <w:rPr>
          <w:rFonts w:asciiTheme="minorHAnsi" w:hAnsiTheme="minorHAnsi"/>
          <w:sz w:val="22"/>
        </w:rPr>
        <w:t xml:space="preserve"> surveys in the</w:t>
      </w:r>
      <w:r w:rsidRPr="000558B4">
        <w:rPr>
          <w:rFonts w:asciiTheme="minorHAnsi" w:hAnsiTheme="minorHAnsi"/>
          <w:sz w:val="22"/>
        </w:rPr>
        <w:t xml:space="preserve"> </w:t>
      </w:r>
      <w:r w:rsidR="00DD0ACD" w:rsidRPr="000558B4">
        <w:rPr>
          <w:rFonts w:asciiTheme="minorHAnsi" w:hAnsiTheme="minorHAnsi"/>
          <w:sz w:val="22"/>
        </w:rPr>
        <w:t xml:space="preserve">Petroleum Marking </w:t>
      </w:r>
      <w:r w:rsidR="0096484D" w:rsidRPr="000558B4">
        <w:rPr>
          <w:rFonts w:asciiTheme="minorHAnsi" w:hAnsiTheme="minorHAnsi"/>
          <w:sz w:val="22"/>
        </w:rPr>
        <w:t>Program</w:t>
      </w:r>
      <w:r w:rsidRPr="000558B4">
        <w:rPr>
          <w:rFonts w:asciiTheme="minorHAnsi" w:hAnsiTheme="minorHAnsi"/>
          <w:sz w:val="22"/>
        </w:rPr>
        <w:t xml:space="preserve"> are required to address these issues.</w:t>
      </w:r>
    </w:p>
    <w:p w:rsidR="00267903" w:rsidRPr="000558B4" w:rsidRDefault="00267903" w:rsidP="000558B4">
      <w:pPr>
        <w:pStyle w:val="ListParagraph"/>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 xml:space="preserve">DOE must collect some data at the State level.  Congressional and State users have strongly emphasized their need for such data.  DOE’s collection of these data is consistent with its mandated </w:t>
      </w:r>
      <w:r w:rsidRPr="000558B4">
        <w:rPr>
          <w:rFonts w:asciiTheme="minorHAnsi" w:hAnsiTheme="minorHAnsi"/>
          <w:sz w:val="22"/>
        </w:rPr>
        <w:lastRenderedPageBreak/>
        <w:t>responsibilities to collect specific product information for appropriate geographic areas and economic sectors, to act as a central clearing house, and to disseminate relevant information to the States.  In addition, DOE has a continuing mission to minimize the industry burden that might be caused by the institution of a large number of individual and disparate State data collection systems.</w:t>
      </w:r>
    </w:p>
    <w:p w:rsidR="000558B4" w:rsidRDefault="000558B4" w:rsidP="000558B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4608BE">
      <w:pPr>
        <w:pStyle w:val="ListParagraph"/>
        <w:widowControl/>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0558B4">
        <w:rPr>
          <w:rFonts w:asciiTheme="minorHAnsi" w:hAnsiTheme="minorHAnsi"/>
          <w:sz w:val="22"/>
        </w:rPr>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67903" w:rsidRPr="000558B4" w:rsidRDefault="00267903" w:rsidP="00055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EIA maintains that the data collected on these forms are unique.  While somewhat similar or related data may be available from private and/or industry sources, as well as from other Federal agencies, such data are not reasonable alternatives</w:t>
      </w:r>
      <w:r w:rsidR="006B751D" w:rsidRPr="000558B4">
        <w:rPr>
          <w:rFonts w:asciiTheme="minorHAnsi" w:hAnsiTheme="minorHAnsi"/>
          <w:sz w:val="22"/>
        </w:rPr>
        <w:t xml:space="preserve"> for the data provided by the </w:t>
      </w:r>
      <w:r w:rsidR="0076178F" w:rsidRPr="000558B4">
        <w:rPr>
          <w:rFonts w:asciiTheme="minorHAnsi" w:hAnsiTheme="minorHAnsi"/>
          <w:sz w:val="22"/>
        </w:rPr>
        <w:t>survey forms in the PMP</w:t>
      </w:r>
      <w:r w:rsidRPr="000558B4">
        <w:rPr>
          <w:rFonts w:asciiTheme="minorHAnsi" w:hAnsiTheme="minorHAnsi"/>
          <w:sz w:val="22"/>
        </w:rPr>
        <w:t>.</w:t>
      </w:r>
    </w:p>
    <w:p w:rsidR="0045684C" w:rsidRPr="000558B4" w:rsidRDefault="0045684C" w:rsidP="000558B4">
      <w:pPr>
        <w:spacing w:line="360" w:lineRule="auto"/>
        <w:rPr>
          <w:rFonts w:asciiTheme="minorHAnsi" w:hAnsiTheme="minorHAnsi"/>
          <w:sz w:val="22"/>
        </w:rPr>
      </w:pPr>
    </w:p>
    <w:p w:rsidR="006B751D" w:rsidRPr="000558B4" w:rsidRDefault="0045684C" w:rsidP="000558B4">
      <w:pPr>
        <w:spacing w:line="360" w:lineRule="auto"/>
        <w:rPr>
          <w:rFonts w:asciiTheme="minorHAnsi" w:hAnsiTheme="minorHAnsi"/>
          <w:sz w:val="22"/>
        </w:rPr>
      </w:pPr>
      <w:r w:rsidRPr="000558B4">
        <w:rPr>
          <w:rFonts w:asciiTheme="minorHAnsi" w:hAnsiTheme="minorHAnsi"/>
          <w:sz w:val="22"/>
        </w:rPr>
        <w:t xml:space="preserve">The information to be collected will provide </w:t>
      </w:r>
      <w:r w:rsidR="00C42962" w:rsidRPr="000558B4">
        <w:rPr>
          <w:rFonts w:asciiTheme="minorHAnsi" w:hAnsiTheme="minorHAnsi"/>
          <w:sz w:val="22"/>
        </w:rPr>
        <w:t>weekly, monthly</w:t>
      </w:r>
      <w:r w:rsidR="00D633EA" w:rsidRPr="000558B4">
        <w:rPr>
          <w:rFonts w:asciiTheme="minorHAnsi" w:hAnsiTheme="minorHAnsi"/>
          <w:sz w:val="22"/>
        </w:rPr>
        <w:t xml:space="preserve"> and annual time series data </w:t>
      </w:r>
      <w:r w:rsidR="00C42962" w:rsidRPr="000558B4">
        <w:rPr>
          <w:rFonts w:asciiTheme="minorHAnsi" w:hAnsiTheme="minorHAnsi"/>
          <w:sz w:val="22"/>
        </w:rPr>
        <w:t>on volumes and sales of crude oil (both imports and domestic) and for</w:t>
      </w:r>
      <w:r w:rsidRPr="000558B4">
        <w:rPr>
          <w:rFonts w:asciiTheme="minorHAnsi" w:hAnsiTheme="minorHAnsi"/>
          <w:sz w:val="22"/>
        </w:rPr>
        <w:t xml:space="preserve"> the petroleum marketing industry</w:t>
      </w:r>
      <w:r w:rsidR="00C42962" w:rsidRPr="000558B4">
        <w:rPr>
          <w:rFonts w:asciiTheme="minorHAnsi" w:hAnsiTheme="minorHAnsi"/>
          <w:sz w:val="22"/>
        </w:rPr>
        <w:t>.</w:t>
      </w:r>
      <w:r w:rsidRPr="000558B4">
        <w:rPr>
          <w:rFonts w:asciiTheme="minorHAnsi" w:hAnsiTheme="minorHAnsi"/>
          <w:sz w:val="22"/>
        </w:rPr>
        <w:t xml:space="preserve"> </w:t>
      </w:r>
    </w:p>
    <w:p w:rsidR="00EE6072" w:rsidRPr="00D731A6" w:rsidRDefault="00C93152" w:rsidP="00D20878">
      <w:pPr>
        <w:pStyle w:val="Heading1"/>
      </w:pPr>
      <w:r w:rsidRPr="00540778">
        <w:t>A.2.2. Overview of Data Collections</w:t>
      </w:r>
      <w:bookmarkEnd w:id="5"/>
      <w:bookmarkEnd w:id="6"/>
      <w:bookmarkEnd w:id="7"/>
      <w:bookmarkEnd w:id="8"/>
      <w:bookmarkEnd w:id="9"/>
    </w:p>
    <w:p w:rsidR="008608B6" w:rsidRPr="00540778" w:rsidRDefault="00E46023" w:rsidP="00D20878">
      <w:pPr>
        <w:pStyle w:val="Heading1"/>
      </w:pPr>
      <w:r>
        <w:t>A</w:t>
      </w:r>
      <w:r w:rsidR="008608B6" w:rsidRPr="00540778">
        <w:t>.2.3. Individual Form Data Uses</w:t>
      </w:r>
      <w:r w:rsidR="003533C7" w:rsidRPr="00540778">
        <w:t xml:space="preserve"> and Modifications</w:t>
      </w:r>
    </w:p>
    <w:p w:rsidR="00D20878" w:rsidRDefault="00D20878" w:rsidP="00BE1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EIA is the only independent source of price and distribution data covering all energy sources and key products, markets, and end-use sectors at the State level.  The most frequent users </w:t>
      </w:r>
      <w:r w:rsidR="001522B7" w:rsidRPr="000558B4">
        <w:rPr>
          <w:rFonts w:asciiTheme="minorHAnsi" w:hAnsiTheme="minorHAnsi"/>
          <w:sz w:val="22"/>
        </w:rPr>
        <w:t xml:space="preserve">of the Petroleum Marketing Program data </w:t>
      </w:r>
      <w:r w:rsidRPr="000558B4">
        <w:rPr>
          <w:rFonts w:asciiTheme="minorHAnsi" w:hAnsiTheme="minorHAnsi"/>
          <w:sz w:val="22"/>
        </w:rPr>
        <w:t>include Congress, government agencies, industry analysts and trade publications. EIA data are often reprinted and/or cited in various publications and journals, includ</w:t>
      </w:r>
      <w:r w:rsidR="00C36D40">
        <w:rPr>
          <w:rFonts w:asciiTheme="minorHAnsi" w:hAnsiTheme="minorHAnsi"/>
          <w:sz w:val="22"/>
        </w:rPr>
        <w:t>ing recurring EIA publications.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Federal and State government agencies are frequent and regular users of petroleum product supply, marketing and distribution data.  </w:t>
      </w:r>
      <w:r w:rsidR="00FE2683" w:rsidRPr="000558B4">
        <w:rPr>
          <w:rFonts w:asciiTheme="minorHAnsi" w:hAnsiTheme="minorHAnsi"/>
          <w:sz w:val="22"/>
        </w:rPr>
        <w:t xml:space="preserve">For example, </w:t>
      </w:r>
      <w:r w:rsidR="0076178F" w:rsidRPr="000558B4">
        <w:rPr>
          <w:rFonts w:asciiTheme="minorHAnsi" w:hAnsiTheme="minorHAnsi"/>
          <w:sz w:val="22"/>
        </w:rPr>
        <w:t xml:space="preserve">the </w:t>
      </w:r>
      <w:r w:rsidRPr="000558B4">
        <w:rPr>
          <w:rFonts w:asciiTheme="minorHAnsi" w:hAnsiTheme="minorHAnsi"/>
          <w:sz w:val="22"/>
        </w:rPr>
        <w:t xml:space="preserve">EIA-782 data are utilized by many States in developing and managing their energy programs.  Petroleum data offer </w:t>
      </w:r>
      <w:r w:rsidR="009240FD" w:rsidRPr="000558B4">
        <w:rPr>
          <w:rFonts w:asciiTheme="minorHAnsi" w:hAnsiTheme="minorHAnsi"/>
          <w:sz w:val="22"/>
        </w:rPr>
        <w:t>government</w:t>
      </w:r>
      <w:r w:rsidRPr="000558B4">
        <w:rPr>
          <w:rFonts w:asciiTheme="minorHAnsi" w:hAnsiTheme="minorHAnsi"/>
          <w:sz w:val="22"/>
        </w:rPr>
        <w:t xml:space="preserve"> and industry analysts a valid base upon which to analyze, and develop an understanding of energy production, flow, use and markets.  </w:t>
      </w:r>
      <w:r w:rsidRPr="000558B4">
        <w:rPr>
          <w:rFonts w:asciiTheme="minorHAnsi" w:hAnsiTheme="minorHAnsi"/>
          <w:sz w:val="22"/>
        </w:rPr>
        <w:lastRenderedPageBreak/>
        <w:t xml:space="preserve">Because a wide variety of energy production and consumption patterns exist among </w:t>
      </w:r>
      <w:r w:rsidR="009240FD" w:rsidRPr="000558B4">
        <w:rPr>
          <w:rFonts w:asciiTheme="minorHAnsi" w:hAnsiTheme="minorHAnsi"/>
          <w:sz w:val="22"/>
        </w:rPr>
        <w:t>government</w:t>
      </w:r>
      <w:r w:rsidRPr="000558B4">
        <w:rPr>
          <w:rFonts w:asciiTheme="minorHAnsi" w:hAnsiTheme="minorHAnsi"/>
          <w:sz w:val="22"/>
        </w:rPr>
        <w:t xml:space="preserve"> and industry, their needs for and uses of petroleum data also vary</w:t>
      </w:r>
      <w:r w:rsidR="009240FD" w:rsidRPr="000558B4">
        <w:rPr>
          <w:rFonts w:asciiTheme="minorHAnsi" w:hAnsiTheme="minorHAnsi"/>
          <w:sz w:val="22"/>
        </w:rPr>
        <w:t xml:space="preserve"> and include: </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Prices - petroleum prices, including crude oil, motor gasoline, residual fuel oil, distillate fuel oil, kerosene, propane, and aviation fuels.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Supplies - the availability of petroleum supplies, including crude oil and finished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Consumption - petroleum consumption by end-use sectors, including residential and commercial, industrial, transportation, and utilities.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Imports - petroleum imports, including crude oil and refined products.</w:t>
      </w:r>
    </w:p>
    <w:p w:rsidR="00BE1F2C" w:rsidRPr="000558B4" w:rsidRDefault="00BE1F2C" w:rsidP="000558B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BE1F2C" w:rsidRPr="000558B4" w:rsidRDefault="00BE1F2C" w:rsidP="000558B4">
      <w:pPr>
        <w:widowControl/>
        <w:numPr>
          <w:ilvl w:val="0"/>
          <w:numId w:val="4"/>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r w:rsidRPr="000558B4">
        <w:rPr>
          <w:rFonts w:asciiTheme="minorHAnsi" w:hAnsiTheme="minorHAnsi"/>
          <w:sz w:val="22"/>
        </w:rPr>
        <w:t>Production - field production of crude oil, stock withdrawals of crude oil and petroleum products, and ending stocks.</w:t>
      </w: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E1F2C" w:rsidRPr="000558B4" w:rsidRDefault="00BE1F2C"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On the whole, </w:t>
      </w:r>
      <w:r w:rsidR="009240FD" w:rsidRPr="000558B4">
        <w:rPr>
          <w:rFonts w:asciiTheme="minorHAnsi" w:hAnsiTheme="minorHAnsi"/>
          <w:sz w:val="22"/>
        </w:rPr>
        <w:t xml:space="preserve">Federal and </w:t>
      </w:r>
      <w:r w:rsidRPr="000558B4">
        <w:rPr>
          <w:rFonts w:asciiTheme="minorHAnsi" w:hAnsiTheme="minorHAnsi"/>
          <w:sz w:val="22"/>
        </w:rPr>
        <w:t>State officials consider EIA data important to their energy emergency planning and analysis.  According to these officials, an important aspect of EIA data is their uniformity and comparability from State to State.  In their view, this allows comparison of similar data from one State to another and provides a common base from which to assess the effects of an oil supply disruption.</w:t>
      </w:r>
      <w:r w:rsidR="009240FD" w:rsidRPr="000558B4">
        <w:rPr>
          <w:rFonts w:asciiTheme="minorHAnsi" w:hAnsiTheme="minorHAnsi"/>
          <w:sz w:val="22"/>
        </w:rPr>
        <w:t xml:space="preserve"> A </w:t>
      </w:r>
      <w:r w:rsidR="00521971" w:rsidRPr="000558B4">
        <w:rPr>
          <w:rFonts w:asciiTheme="minorHAnsi" w:hAnsiTheme="minorHAnsi"/>
          <w:sz w:val="22"/>
        </w:rPr>
        <w:t>partial</w:t>
      </w:r>
      <w:r w:rsidR="009240FD" w:rsidRPr="000558B4">
        <w:rPr>
          <w:rFonts w:asciiTheme="minorHAnsi" w:hAnsiTheme="minorHAnsi"/>
          <w:sz w:val="22"/>
        </w:rPr>
        <w:t xml:space="preserve"> list of </w:t>
      </w:r>
      <w:r w:rsidR="00521971" w:rsidRPr="000558B4">
        <w:rPr>
          <w:rFonts w:asciiTheme="minorHAnsi" w:hAnsiTheme="minorHAnsi"/>
          <w:sz w:val="22"/>
        </w:rPr>
        <w:t xml:space="preserve">Federal and State data users, including </w:t>
      </w:r>
      <w:r w:rsidR="002F5FC8" w:rsidRPr="000558B4">
        <w:rPr>
          <w:rFonts w:asciiTheme="minorHAnsi" w:hAnsiTheme="minorHAnsi"/>
          <w:sz w:val="22"/>
        </w:rPr>
        <w:t>many agencies w</w:t>
      </w:r>
      <w:r w:rsidR="00521971" w:rsidRPr="000558B4">
        <w:rPr>
          <w:rFonts w:asciiTheme="minorHAnsi" w:hAnsiTheme="minorHAnsi"/>
          <w:sz w:val="22"/>
        </w:rPr>
        <w:t>hich are mentioned below,</w:t>
      </w:r>
      <w:r w:rsidR="002F5FC8" w:rsidRPr="000558B4">
        <w:rPr>
          <w:rFonts w:asciiTheme="minorHAnsi" w:hAnsiTheme="minorHAnsi"/>
          <w:sz w:val="22"/>
        </w:rPr>
        <w:t xml:space="preserve"> is provided below.</w:t>
      </w:r>
    </w:p>
    <w:p w:rsidR="006004D2" w:rsidRPr="000558B4" w:rsidRDefault="006004D2"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76178F"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521971" w:rsidRPr="000558B4">
        <w:rPr>
          <w:rFonts w:asciiTheme="minorHAnsi" w:hAnsiTheme="minorHAnsi"/>
          <w:sz w:val="22"/>
        </w:rPr>
        <w:t>Federal agencies</w:t>
      </w:r>
      <w:r w:rsidR="00212497" w:rsidRPr="000558B4">
        <w:rPr>
          <w:rFonts w:asciiTheme="minorHAnsi" w:hAnsiTheme="minorHAnsi"/>
          <w:sz w:val="22"/>
        </w:rPr>
        <w:t xml:space="preserve"> </w:t>
      </w:r>
      <w:r w:rsidR="004901E7" w:rsidRPr="000558B4">
        <w:rPr>
          <w:rFonts w:asciiTheme="minorHAnsi" w:hAnsiTheme="minorHAnsi"/>
          <w:sz w:val="22"/>
        </w:rPr>
        <w:t xml:space="preserve">which use data from PMP </w:t>
      </w:r>
      <w:r w:rsidR="00212497" w:rsidRPr="000558B4">
        <w:rPr>
          <w:rFonts w:asciiTheme="minorHAnsi" w:hAnsiTheme="minorHAnsi"/>
          <w:sz w:val="22"/>
        </w:rPr>
        <w:t>include:</w:t>
      </w:r>
      <w:r w:rsidR="00521971" w:rsidRPr="000558B4">
        <w:rPr>
          <w:rFonts w:asciiTheme="minorHAnsi" w:hAnsiTheme="minorHAnsi"/>
          <w:sz w:val="22"/>
        </w:rPr>
        <w:tab/>
      </w:r>
    </w:p>
    <w:p w:rsidR="009240FD" w:rsidRPr="000558B4" w:rsidRDefault="00F74D4B" w:rsidP="00475B30">
      <w:pPr>
        <w:pStyle w:val="TEXT"/>
        <w:numPr>
          <w:ilvl w:val="0"/>
          <w:numId w:val="23"/>
        </w:numPr>
      </w:pPr>
      <w:hyperlink r:id="rId60" w:history="1">
        <w:r w:rsidR="00521971" w:rsidRPr="000558B4">
          <w:rPr>
            <w:rStyle w:val="Hyperlink"/>
          </w:rPr>
          <w:t>U.S. Customs and Border Patro</w:t>
        </w:r>
        <w:r w:rsidR="0076178F" w:rsidRPr="000558B4">
          <w:rPr>
            <w:rStyle w:val="Hyperlink"/>
          </w:rPr>
          <w:t>l (CBP)</w:t>
        </w:r>
      </w:hyperlink>
      <w:r w:rsidR="00521971" w:rsidRPr="000558B4">
        <w:t xml:space="preserve"> </w:t>
      </w:r>
    </w:p>
    <w:p w:rsidR="004576AD" w:rsidRPr="000558B4" w:rsidRDefault="004576AD" w:rsidP="00475B30">
      <w:pPr>
        <w:pStyle w:val="TEXT"/>
        <w:numPr>
          <w:ilvl w:val="0"/>
          <w:numId w:val="23"/>
        </w:numPr>
      </w:pPr>
      <w:r w:rsidRPr="000558B4">
        <w:t xml:space="preserve">U.S. Department of Commerce’s </w:t>
      </w:r>
      <w:hyperlink r:id="rId61" w:history="1">
        <w:r w:rsidRPr="000558B4">
          <w:rPr>
            <w:rStyle w:val="Hyperlink"/>
          </w:rPr>
          <w:t>Bureau of Economic Analysis (BEA)</w:t>
        </w:r>
      </w:hyperlink>
    </w:p>
    <w:p w:rsidR="0067039C" w:rsidRPr="000558B4" w:rsidRDefault="00F74D4B" w:rsidP="00475B30">
      <w:pPr>
        <w:pStyle w:val="TEXT"/>
        <w:numPr>
          <w:ilvl w:val="0"/>
          <w:numId w:val="23"/>
        </w:numPr>
      </w:pPr>
      <w:hyperlink r:id="rId62" w:history="1">
        <w:r w:rsidR="00521971" w:rsidRPr="000558B4">
          <w:rPr>
            <w:rStyle w:val="Hyperlink"/>
          </w:rPr>
          <w:t>U.S. Department of Energy</w:t>
        </w:r>
        <w:r w:rsidR="00206953" w:rsidRPr="000558B4">
          <w:rPr>
            <w:rStyle w:val="Hyperlink"/>
          </w:rPr>
          <w:t xml:space="preserve"> (DOE)</w:t>
        </w:r>
      </w:hyperlink>
      <w:r w:rsidR="004576AD" w:rsidRPr="000558B4">
        <w:t>’s</w:t>
      </w:r>
      <w:r w:rsidR="007E745D" w:rsidRPr="000558B4">
        <w:t xml:space="preserve"> </w:t>
      </w:r>
      <w:hyperlink r:id="rId63" w:history="1">
        <w:r w:rsidR="007E745D" w:rsidRPr="000558B4">
          <w:rPr>
            <w:rStyle w:val="Hyperlink"/>
          </w:rPr>
          <w:t>Energy Efficiency an</w:t>
        </w:r>
        <w:r w:rsidR="00212497" w:rsidRPr="000558B4">
          <w:rPr>
            <w:rStyle w:val="Hyperlink"/>
          </w:rPr>
          <w:t>d Renewable Energy (EERE),</w:t>
        </w:r>
      </w:hyperlink>
      <w:r w:rsidR="00212497" w:rsidRPr="000558B4">
        <w:t xml:space="preserve"> </w:t>
      </w:r>
      <w:hyperlink r:id="rId64" w:history="1">
        <w:r w:rsidR="004901E7" w:rsidRPr="000558B4">
          <w:rPr>
            <w:rStyle w:val="Hyperlink"/>
          </w:rPr>
          <w:t>Energy Information Administration</w:t>
        </w:r>
      </w:hyperlink>
      <w:r w:rsidR="004901E7" w:rsidRPr="000558B4">
        <w:t xml:space="preserve">, </w:t>
      </w:r>
      <w:hyperlink r:id="rId65" w:history="1">
        <w:r w:rsidR="00212497" w:rsidRPr="000558B4">
          <w:rPr>
            <w:rStyle w:val="Hyperlink"/>
          </w:rPr>
          <w:t>Office of Fossil Fuels (FF)</w:t>
        </w:r>
      </w:hyperlink>
      <w:r w:rsidR="00212497" w:rsidRPr="000558B4">
        <w:t xml:space="preserve">, </w:t>
      </w:r>
      <w:hyperlink r:id="rId66" w:history="1">
        <w:r w:rsidR="00212497" w:rsidRPr="000558B4">
          <w:rPr>
            <w:rStyle w:val="Hyperlink"/>
          </w:rPr>
          <w:t>Federal Weatherization Program (WAP)</w:t>
        </w:r>
      </w:hyperlink>
      <w:r w:rsidR="00212497" w:rsidRPr="000558B4">
        <w:t>, and other offices</w:t>
      </w:r>
    </w:p>
    <w:p w:rsidR="007E745D" w:rsidRPr="000558B4" w:rsidRDefault="007E745D" w:rsidP="00475B30">
      <w:pPr>
        <w:pStyle w:val="TEXT"/>
        <w:numPr>
          <w:ilvl w:val="0"/>
          <w:numId w:val="23"/>
        </w:numPr>
      </w:pPr>
      <w:r w:rsidRPr="000558B4">
        <w:t>U.S. Department of Interior</w:t>
      </w:r>
      <w:r w:rsidR="0076178F" w:rsidRPr="000558B4">
        <w:t xml:space="preserve"> (DOI)</w:t>
      </w:r>
      <w:r w:rsidRPr="000558B4">
        <w:t xml:space="preserve">’s </w:t>
      </w:r>
      <w:hyperlink r:id="rId67" w:history="1">
        <w:r w:rsidRPr="000558B4">
          <w:rPr>
            <w:rStyle w:val="Hyperlink"/>
          </w:rPr>
          <w:t>Congressional Joint Committee on Taxation</w:t>
        </w:r>
      </w:hyperlink>
      <w:r w:rsidRPr="000558B4">
        <w:t xml:space="preserve"> and the </w:t>
      </w:r>
      <w:hyperlink r:id="rId68" w:history="1">
        <w:r w:rsidRPr="000558B4">
          <w:rPr>
            <w:rStyle w:val="Hyperlink"/>
          </w:rPr>
          <w:t>Minerals Management Service</w:t>
        </w:r>
      </w:hyperlink>
      <w:r w:rsidR="004901E7" w:rsidRPr="000558B4">
        <w:t xml:space="preserve"> </w:t>
      </w:r>
    </w:p>
    <w:p w:rsidR="004576AD" w:rsidRPr="000558B4" w:rsidRDefault="004576AD" w:rsidP="00475B30">
      <w:pPr>
        <w:pStyle w:val="TEXT"/>
        <w:numPr>
          <w:ilvl w:val="0"/>
          <w:numId w:val="23"/>
        </w:numPr>
      </w:pPr>
      <w:r w:rsidRPr="000558B4">
        <w:t>U.S. Department of Labor</w:t>
      </w:r>
      <w:r w:rsidR="0076178F" w:rsidRPr="000558B4">
        <w:t xml:space="preserve"> (DOL)</w:t>
      </w:r>
      <w:r w:rsidRPr="000558B4">
        <w:t xml:space="preserve">’s </w:t>
      </w:r>
      <w:hyperlink r:id="rId69" w:history="1">
        <w:r w:rsidRPr="000558B4">
          <w:rPr>
            <w:rStyle w:val="Hyperlink"/>
          </w:rPr>
          <w:t>Bureau of Labor Statistics (BLS)</w:t>
        </w:r>
      </w:hyperlink>
    </w:p>
    <w:p w:rsidR="0067039C" w:rsidRPr="003D36DF" w:rsidRDefault="0067039C" w:rsidP="00475B30">
      <w:pPr>
        <w:pStyle w:val="TEXT"/>
        <w:numPr>
          <w:ilvl w:val="0"/>
          <w:numId w:val="23"/>
        </w:numPr>
      </w:pPr>
      <w:r w:rsidRPr="003D36DF">
        <w:lastRenderedPageBreak/>
        <w:t>U.S. D</w:t>
      </w:r>
      <w:r w:rsidR="00C00842" w:rsidRPr="003D36DF">
        <w:t xml:space="preserve">epartment of Treasury’s </w:t>
      </w:r>
      <w:hyperlink r:id="rId70" w:history="1">
        <w:r w:rsidR="00C00842" w:rsidRPr="003D36DF">
          <w:rPr>
            <w:rStyle w:val="Hyperlink"/>
          </w:rPr>
          <w:t>Internal Revenue Service</w:t>
        </w:r>
      </w:hyperlink>
      <w:r w:rsidR="00C00842" w:rsidRPr="003D36DF">
        <w:t xml:space="preserve"> </w:t>
      </w:r>
    </w:p>
    <w:p w:rsidR="00AC41A5" w:rsidRPr="003D36DF" w:rsidRDefault="00AC41A5" w:rsidP="00475B30">
      <w:pPr>
        <w:pStyle w:val="TEXT"/>
        <w:numPr>
          <w:ilvl w:val="0"/>
          <w:numId w:val="23"/>
        </w:numPr>
      </w:pPr>
      <w:r w:rsidRPr="003D36DF">
        <w:t>U.S</w:t>
      </w:r>
      <w:r w:rsidR="00943533" w:rsidRPr="003D36DF">
        <w:t>.</w:t>
      </w:r>
      <w:r w:rsidRPr="003D36DF">
        <w:t xml:space="preserve"> Department of Transportation’s </w:t>
      </w:r>
      <w:hyperlink r:id="rId71" w:history="1">
        <w:r w:rsidRPr="003D36DF">
          <w:rPr>
            <w:rStyle w:val="Hyperlink"/>
          </w:rPr>
          <w:t>Federal Highway Administration’s (FHWA)</w:t>
        </w:r>
      </w:hyperlink>
    </w:p>
    <w:p w:rsidR="002F5FC8" w:rsidRDefault="00F74D4B" w:rsidP="00475B30">
      <w:pPr>
        <w:pStyle w:val="ListParagraph"/>
        <w:numPr>
          <w:ilvl w:val="0"/>
          <w:numId w:val="22"/>
        </w:numPr>
        <w:spacing w:line="360" w:lineRule="auto"/>
        <w:rPr>
          <w:rFonts w:asciiTheme="minorHAnsi" w:hAnsiTheme="minorHAnsi"/>
          <w:sz w:val="22"/>
        </w:rPr>
      </w:pPr>
      <w:hyperlink r:id="rId72" w:history="1">
        <w:r w:rsidR="002F5FC8" w:rsidRPr="003D36DF">
          <w:rPr>
            <w:rStyle w:val="Hyperlink"/>
            <w:rFonts w:asciiTheme="minorHAnsi" w:hAnsiTheme="minorHAnsi"/>
            <w:sz w:val="22"/>
          </w:rPr>
          <w:t>U.S. Environmental Protection Agency (EPA)</w:t>
        </w:r>
      </w:hyperlink>
    </w:p>
    <w:p w:rsidR="003D36DF" w:rsidRPr="003D36DF" w:rsidRDefault="003D36DF" w:rsidP="003D36DF">
      <w:pPr>
        <w:pStyle w:val="ListParagraph"/>
        <w:spacing w:line="360" w:lineRule="auto"/>
        <w:rPr>
          <w:rFonts w:asciiTheme="minorHAnsi" w:hAnsiTheme="minorHAnsi"/>
          <w:sz w:val="22"/>
        </w:rPr>
      </w:pPr>
    </w:p>
    <w:p w:rsidR="00802286" w:rsidRPr="003D36DF" w:rsidRDefault="00F74D4B" w:rsidP="00475B30">
      <w:pPr>
        <w:pStyle w:val="ListParagraph"/>
        <w:numPr>
          <w:ilvl w:val="0"/>
          <w:numId w:val="22"/>
        </w:numPr>
        <w:spacing w:line="360" w:lineRule="auto"/>
        <w:rPr>
          <w:rFonts w:asciiTheme="minorHAnsi" w:hAnsiTheme="minorHAnsi"/>
          <w:sz w:val="22"/>
        </w:rPr>
      </w:pPr>
      <w:hyperlink r:id="rId73" w:history="1">
        <w:r w:rsidR="00802286" w:rsidRPr="003D36DF">
          <w:rPr>
            <w:rStyle w:val="Hyperlink"/>
            <w:rFonts w:asciiTheme="minorHAnsi" w:hAnsiTheme="minorHAnsi"/>
            <w:sz w:val="22"/>
          </w:rPr>
          <w:t>U.S. General Services Administration (GSA)</w:t>
        </w:r>
      </w:hyperlink>
    </w:p>
    <w:p w:rsidR="002F5FC8" w:rsidRPr="000558B4" w:rsidRDefault="002F5FC8" w:rsidP="000558B4">
      <w:pPr>
        <w:spacing w:line="360" w:lineRule="auto"/>
        <w:rPr>
          <w:rFonts w:asciiTheme="minorHAnsi" w:hAnsiTheme="minorHAnsi"/>
          <w:sz w:val="22"/>
        </w:rPr>
      </w:pPr>
    </w:p>
    <w:p w:rsidR="00860B15" w:rsidRPr="000558B4" w:rsidRDefault="002F5FC8" w:rsidP="00055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558B4">
        <w:rPr>
          <w:rFonts w:asciiTheme="minorHAnsi" w:hAnsiTheme="minorHAnsi"/>
          <w:sz w:val="22"/>
        </w:rPr>
        <w:t xml:space="preserve">Select </w:t>
      </w:r>
      <w:r w:rsidR="00521971" w:rsidRPr="000558B4">
        <w:rPr>
          <w:rFonts w:asciiTheme="minorHAnsi" w:hAnsiTheme="minorHAnsi"/>
          <w:sz w:val="22"/>
        </w:rPr>
        <w:t xml:space="preserve">State </w:t>
      </w:r>
      <w:r w:rsidR="00AC41A5" w:rsidRPr="000558B4">
        <w:rPr>
          <w:rFonts w:asciiTheme="minorHAnsi" w:hAnsiTheme="minorHAnsi"/>
          <w:sz w:val="22"/>
        </w:rPr>
        <w:t>agencies</w:t>
      </w:r>
      <w:r w:rsidR="004901E7" w:rsidRPr="000558B4">
        <w:rPr>
          <w:rFonts w:asciiTheme="minorHAnsi" w:hAnsiTheme="minorHAnsi"/>
          <w:sz w:val="22"/>
        </w:rPr>
        <w:t xml:space="preserve"> which use data from PMP</w:t>
      </w:r>
      <w:r w:rsidR="00DB4790" w:rsidRPr="000558B4">
        <w:rPr>
          <w:rFonts w:asciiTheme="minorHAnsi" w:hAnsiTheme="minorHAnsi"/>
          <w:sz w:val="22"/>
        </w:rPr>
        <w:t xml:space="preserve"> </w:t>
      </w:r>
      <w:r w:rsidR="00212497" w:rsidRPr="000558B4">
        <w:rPr>
          <w:rFonts w:asciiTheme="minorHAnsi" w:hAnsiTheme="minorHAnsi"/>
          <w:sz w:val="22"/>
        </w:rPr>
        <w:t>include:</w:t>
      </w:r>
    </w:p>
    <w:p w:rsidR="00943533" w:rsidRPr="000558B4" w:rsidRDefault="00F74D4B" w:rsidP="00475B30">
      <w:pPr>
        <w:pStyle w:val="TEXT"/>
        <w:numPr>
          <w:ilvl w:val="0"/>
          <w:numId w:val="24"/>
        </w:numPr>
      </w:pPr>
      <w:hyperlink r:id="rId74" w:history="1">
        <w:r w:rsidR="00943533" w:rsidRPr="000558B4">
          <w:rPr>
            <w:rStyle w:val="Hyperlink"/>
          </w:rPr>
          <w:t>California</w:t>
        </w:r>
        <w:r w:rsidR="00DB4790" w:rsidRPr="000558B4">
          <w:rPr>
            <w:rStyle w:val="Hyperlink"/>
          </w:rPr>
          <w:t>’s Energy Commission (CEC)</w:t>
        </w:r>
      </w:hyperlink>
    </w:p>
    <w:p w:rsidR="0067039C" w:rsidRPr="000558B4" w:rsidRDefault="00F74D4B" w:rsidP="00475B30">
      <w:pPr>
        <w:pStyle w:val="TEXT"/>
        <w:numPr>
          <w:ilvl w:val="0"/>
          <w:numId w:val="24"/>
        </w:numPr>
      </w:pPr>
      <w:hyperlink r:id="rId75" w:tgtFrame="_blank" w:history="1">
        <w:r w:rsidR="00212497" w:rsidRPr="000558B4">
          <w:rPr>
            <w:rStyle w:val="Hyperlink"/>
            <w:bCs w:val="0"/>
          </w:rPr>
          <w:t>Connecticut’s</w:t>
        </w:r>
        <w:r w:rsidR="0067039C" w:rsidRPr="000558B4">
          <w:rPr>
            <w:rStyle w:val="Hyperlink"/>
            <w:bCs w:val="0"/>
          </w:rPr>
          <w:t xml:space="preserve"> Energy &amp; Policy Unit</w:t>
        </w:r>
      </w:hyperlink>
    </w:p>
    <w:p w:rsidR="00860B15" w:rsidRPr="000558B4" w:rsidRDefault="00860B15" w:rsidP="00475B30">
      <w:pPr>
        <w:pStyle w:val="TEXT"/>
        <w:numPr>
          <w:ilvl w:val="0"/>
          <w:numId w:val="24"/>
        </w:numPr>
      </w:pPr>
      <w:r w:rsidRPr="000558B4">
        <w:t xml:space="preserve">Delaware Energy Office in the State’s </w:t>
      </w:r>
      <w:hyperlink r:id="rId76" w:tgtFrame="_blank" w:history="1">
        <w:r w:rsidRPr="000558B4">
          <w:rPr>
            <w:rStyle w:val="Hyperlink"/>
            <w:bCs w:val="0"/>
          </w:rPr>
          <w:t>Division of Clean Energy and Climate</w:t>
        </w:r>
      </w:hyperlink>
    </w:p>
    <w:p w:rsidR="00860B15" w:rsidRPr="000558B4" w:rsidRDefault="00F74D4B" w:rsidP="00475B30">
      <w:pPr>
        <w:pStyle w:val="TEXT"/>
        <w:numPr>
          <w:ilvl w:val="0"/>
          <w:numId w:val="24"/>
        </w:numPr>
      </w:pPr>
      <w:hyperlink r:id="rId77" w:tgtFrame="_blank" w:history="1">
        <w:r w:rsidR="00860B15" w:rsidRPr="000558B4">
          <w:rPr>
            <w:rStyle w:val="Hyperlink"/>
            <w:bCs w:val="0"/>
          </w:rPr>
          <w:t>Illinois Energy Office</w:t>
        </w:r>
      </w:hyperlink>
      <w:r w:rsidR="00860B15" w:rsidRPr="000558B4">
        <w:t xml:space="preserve"> in the Department of Commerce and Economic Opportunity</w:t>
      </w:r>
    </w:p>
    <w:p w:rsidR="00460DEF" w:rsidRPr="000558B4" w:rsidRDefault="00F74D4B" w:rsidP="00475B30">
      <w:pPr>
        <w:pStyle w:val="TEXT"/>
        <w:numPr>
          <w:ilvl w:val="0"/>
          <w:numId w:val="24"/>
        </w:numPr>
      </w:pPr>
      <w:hyperlink r:id="rId78" w:tgtFrame="_blank" w:history="1">
        <w:r w:rsidR="00460DEF" w:rsidRPr="000558B4">
          <w:rPr>
            <w:rStyle w:val="Hyperlink"/>
            <w:bCs w:val="0"/>
          </w:rPr>
          <w:t>Indiana’s Office of Energy Development</w:t>
        </w:r>
      </w:hyperlink>
    </w:p>
    <w:p w:rsidR="00002C6C" w:rsidRPr="000558B4" w:rsidRDefault="00F74D4B" w:rsidP="00475B30">
      <w:pPr>
        <w:pStyle w:val="TEXT"/>
        <w:numPr>
          <w:ilvl w:val="0"/>
          <w:numId w:val="24"/>
        </w:numPr>
      </w:pPr>
      <w:hyperlink r:id="rId79" w:history="1">
        <w:r w:rsidR="00DB4790" w:rsidRPr="000558B4">
          <w:rPr>
            <w:rStyle w:val="Hyperlink"/>
          </w:rPr>
          <w:t>Louisiana’s Department of Natural Resources</w:t>
        </w:r>
      </w:hyperlink>
    </w:p>
    <w:p w:rsidR="00460DEF" w:rsidRPr="000558B4" w:rsidRDefault="00F74D4B" w:rsidP="00475B30">
      <w:pPr>
        <w:pStyle w:val="TEXT"/>
        <w:numPr>
          <w:ilvl w:val="0"/>
          <w:numId w:val="24"/>
        </w:numPr>
      </w:pPr>
      <w:hyperlink r:id="rId80" w:tgtFrame="_blank" w:history="1">
        <w:r w:rsidR="00460DEF" w:rsidRPr="000558B4">
          <w:rPr>
            <w:rStyle w:val="Hyperlink"/>
            <w:bCs w:val="0"/>
          </w:rPr>
          <w:t xml:space="preserve">Maryland’s Energy Administration </w:t>
        </w:r>
      </w:hyperlink>
    </w:p>
    <w:p w:rsidR="00460DEF" w:rsidRPr="000558B4" w:rsidRDefault="00460DEF" w:rsidP="00475B30">
      <w:pPr>
        <w:pStyle w:val="TEXT"/>
        <w:numPr>
          <w:ilvl w:val="0"/>
          <w:numId w:val="24"/>
        </w:numPr>
      </w:pPr>
      <w:r w:rsidRPr="000558B4">
        <w:t xml:space="preserve">Massachusetts’ </w:t>
      </w:r>
      <w:hyperlink r:id="rId81" w:tgtFrame="_blank" w:history="1">
        <w:r w:rsidRPr="000558B4">
          <w:rPr>
            <w:rStyle w:val="Hyperlink"/>
            <w:bCs w:val="0"/>
          </w:rPr>
          <w:t xml:space="preserve">Department of Energy Resources </w:t>
        </w:r>
      </w:hyperlink>
    </w:p>
    <w:p w:rsidR="00460DEF" w:rsidRPr="000558B4" w:rsidRDefault="00460DEF" w:rsidP="00475B30">
      <w:pPr>
        <w:pStyle w:val="TEXT"/>
        <w:numPr>
          <w:ilvl w:val="0"/>
          <w:numId w:val="24"/>
        </w:numPr>
      </w:pPr>
      <w:r w:rsidRPr="000558B4">
        <w:t xml:space="preserve">New Hampshire’s </w:t>
      </w:r>
      <w:hyperlink r:id="rId82" w:tgtFrame="_blank" w:history="1">
        <w:r w:rsidRPr="000558B4">
          <w:rPr>
            <w:rStyle w:val="Hyperlink"/>
            <w:bCs w:val="0"/>
          </w:rPr>
          <w:t>Office of Energy and Planning</w:t>
        </w:r>
      </w:hyperlink>
    </w:p>
    <w:p w:rsidR="00460DEF" w:rsidRPr="000558B4" w:rsidRDefault="00460DEF" w:rsidP="00475B30">
      <w:pPr>
        <w:pStyle w:val="TEXT"/>
        <w:numPr>
          <w:ilvl w:val="0"/>
          <w:numId w:val="24"/>
        </w:numPr>
      </w:pPr>
      <w:r w:rsidRPr="000558B4">
        <w:t xml:space="preserve">New Jersey’s </w:t>
      </w:r>
      <w:hyperlink r:id="rId83" w:tgtFrame="_blank" w:history="1">
        <w:r w:rsidRPr="000558B4">
          <w:rPr>
            <w:rStyle w:val="Hyperlink"/>
            <w:bCs w:val="0"/>
          </w:rPr>
          <w:t>Office of Clean Energy</w:t>
        </w:r>
      </w:hyperlink>
    </w:p>
    <w:p w:rsidR="00460DEF" w:rsidRPr="000558B4" w:rsidRDefault="00F74D4B" w:rsidP="00475B30">
      <w:pPr>
        <w:pStyle w:val="TEXT"/>
        <w:numPr>
          <w:ilvl w:val="0"/>
          <w:numId w:val="24"/>
        </w:numPr>
      </w:pPr>
      <w:hyperlink r:id="rId84" w:tgtFrame="_blank" w:history="1">
        <w:r w:rsidR="00460DEF" w:rsidRPr="000558B4">
          <w:rPr>
            <w:rStyle w:val="Hyperlink"/>
            <w:bCs w:val="0"/>
          </w:rPr>
          <w:t>New York State Energy Research and Development Authority</w:t>
        </w:r>
      </w:hyperlink>
    </w:p>
    <w:p w:rsidR="00460DEF" w:rsidRPr="000558B4" w:rsidRDefault="00F74D4B" w:rsidP="00475B30">
      <w:pPr>
        <w:pStyle w:val="TEXT"/>
        <w:numPr>
          <w:ilvl w:val="0"/>
          <w:numId w:val="24"/>
        </w:numPr>
      </w:pPr>
      <w:hyperlink r:id="rId85" w:tgtFrame="_blank" w:history="1">
        <w:r w:rsidR="00460DEF" w:rsidRPr="000558B4">
          <w:rPr>
            <w:rStyle w:val="Hyperlink"/>
            <w:bCs w:val="0"/>
          </w:rPr>
          <w:t>Pennsylvania Department of Environmental Protection</w:t>
        </w:r>
      </w:hyperlink>
    </w:p>
    <w:p w:rsidR="0067039C" w:rsidRPr="000558B4" w:rsidRDefault="00F74D4B" w:rsidP="00475B30">
      <w:pPr>
        <w:pStyle w:val="TEXT"/>
        <w:numPr>
          <w:ilvl w:val="0"/>
          <w:numId w:val="24"/>
        </w:numPr>
      </w:pPr>
      <w:hyperlink r:id="rId86" w:history="1">
        <w:r w:rsidR="00002C6C" w:rsidRPr="000558B4">
          <w:rPr>
            <w:rStyle w:val="Hyperlink"/>
          </w:rPr>
          <w:t>Virginia’s Department of Mines, Minerals and Resources</w:t>
        </w:r>
      </w:hyperlink>
    </w:p>
    <w:p w:rsidR="004901E7" w:rsidRDefault="00F74D4B" w:rsidP="00475B30">
      <w:pPr>
        <w:pStyle w:val="TEXT"/>
        <w:numPr>
          <w:ilvl w:val="0"/>
          <w:numId w:val="24"/>
        </w:numPr>
      </w:pPr>
      <w:hyperlink r:id="rId87" w:tgtFrame="_blank" w:history="1">
        <w:r w:rsidR="0067039C" w:rsidRPr="000558B4">
          <w:rPr>
            <w:rStyle w:val="Hyperlink"/>
          </w:rPr>
          <w:t>Washington State Energy Office</w:t>
        </w:r>
      </w:hyperlink>
    </w:p>
    <w:p w:rsidR="00FB54CE" w:rsidRDefault="00FB54CE">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805025" w:rsidRPr="00FE6159" w:rsidRDefault="004636DA" w:rsidP="00D20878">
      <w:pPr>
        <w:pStyle w:val="Heading1"/>
      </w:pPr>
      <w:r w:rsidRPr="00FE6159">
        <w:lastRenderedPageBreak/>
        <w:t>Summary of Modifications to S</w:t>
      </w:r>
      <w:r w:rsidR="008D5E6F" w:rsidRPr="00FE6159">
        <w:t xml:space="preserve">urveys in </w:t>
      </w:r>
      <w:r w:rsidR="00322217" w:rsidRPr="00FE6159">
        <w:t>the PMP</w:t>
      </w:r>
    </w:p>
    <w:p w:rsidR="00D20878" w:rsidRDefault="00D20878" w:rsidP="00906CD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FF0000"/>
        </w:rPr>
      </w:pPr>
    </w:p>
    <w:p w:rsidR="00906CD5" w:rsidRPr="00B54FDB" w:rsidRDefault="002D35E9"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B54FDB">
        <w:rPr>
          <w:rFonts w:asciiTheme="minorHAnsi" w:hAnsiTheme="minorHAnsi"/>
          <w:sz w:val="22"/>
          <w:szCs w:val="22"/>
        </w:rPr>
        <w:t xml:space="preserve">References to the </w:t>
      </w:r>
      <w:r w:rsidR="0035661E" w:rsidRPr="00B54FDB">
        <w:rPr>
          <w:rFonts w:asciiTheme="minorHAnsi" w:hAnsiTheme="minorHAnsi"/>
          <w:sz w:val="22"/>
          <w:szCs w:val="22"/>
        </w:rPr>
        <w:t xml:space="preserve">separate categories for </w:t>
      </w:r>
      <w:r w:rsidRPr="00B54FDB">
        <w:rPr>
          <w:rFonts w:asciiTheme="minorHAnsi" w:hAnsiTheme="minorHAnsi"/>
          <w:sz w:val="22"/>
          <w:szCs w:val="22"/>
        </w:rPr>
        <w:t xml:space="preserve">sulfur content of on-highway diesel fuel </w:t>
      </w:r>
      <w:r w:rsidR="0035661E" w:rsidRPr="00B54FDB">
        <w:rPr>
          <w:rFonts w:asciiTheme="minorHAnsi" w:hAnsiTheme="minorHAnsi"/>
          <w:sz w:val="22"/>
          <w:szCs w:val="22"/>
        </w:rPr>
        <w:t>have</w:t>
      </w:r>
      <w:r w:rsidRPr="00B54FDB">
        <w:rPr>
          <w:rFonts w:asciiTheme="minorHAnsi" w:hAnsiTheme="minorHAnsi"/>
          <w:sz w:val="22"/>
          <w:szCs w:val="22"/>
        </w:rPr>
        <w:t xml:space="preserve"> be</w:t>
      </w:r>
      <w:r w:rsidR="0035661E" w:rsidRPr="00B54FDB">
        <w:rPr>
          <w:rFonts w:asciiTheme="minorHAnsi" w:hAnsiTheme="minorHAnsi"/>
          <w:sz w:val="22"/>
          <w:szCs w:val="22"/>
        </w:rPr>
        <w:t>en</w:t>
      </w:r>
      <w:r w:rsidRPr="00B54FDB">
        <w:rPr>
          <w:rFonts w:asciiTheme="minorHAnsi" w:hAnsiTheme="minorHAnsi"/>
          <w:sz w:val="22"/>
          <w:szCs w:val="22"/>
        </w:rPr>
        <w:t xml:space="preserve"> eliminated on the EIA-782A, EIA-821 and EIA-888 as there are no sales of low sulfur diesel for on-highway use. This change is the </w:t>
      </w:r>
      <w:r w:rsidR="0036363E" w:rsidRPr="00B54FDB">
        <w:rPr>
          <w:rFonts w:asciiTheme="minorHAnsi" w:hAnsiTheme="minorHAnsi"/>
          <w:sz w:val="22"/>
          <w:szCs w:val="22"/>
        </w:rPr>
        <w:t>consequence</w:t>
      </w:r>
      <w:r w:rsidRPr="00B54FDB">
        <w:rPr>
          <w:rFonts w:asciiTheme="minorHAnsi" w:hAnsiTheme="minorHAnsi"/>
          <w:sz w:val="22"/>
          <w:szCs w:val="22"/>
        </w:rPr>
        <w:t xml:space="preserve"> of a decision mandated by the </w:t>
      </w:r>
      <w:r w:rsidR="0035661E" w:rsidRPr="00B54FDB">
        <w:rPr>
          <w:rFonts w:asciiTheme="minorHAnsi" w:hAnsiTheme="minorHAnsi"/>
          <w:sz w:val="22"/>
          <w:szCs w:val="22"/>
        </w:rPr>
        <w:t xml:space="preserve">U.S. </w:t>
      </w:r>
      <w:r w:rsidRPr="00B54FDB">
        <w:rPr>
          <w:rFonts w:asciiTheme="minorHAnsi" w:hAnsiTheme="minorHAnsi"/>
          <w:sz w:val="22"/>
          <w:szCs w:val="22"/>
        </w:rPr>
        <w:t xml:space="preserve">Environmental Protection Agency (EPA). </w:t>
      </w:r>
      <w:r w:rsidR="00906CD5" w:rsidRPr="00B54FDB">
        <w:rPr>
          <w:rFonts w:asciiTheme="minorHAnsi" w:hAnsiTheme="minorHAnsi"/>
          <w:sz w:val="22"/>
          <w:szCs w:val="22"/>
        </w:rPr>
        <w:t xml:space="preserve">As of December 1, 2010 (September 1, 2006 in California), any on-highway diesel fuel sold in the United States is ultra low sulfur diesel as mandated by </w:t>
      </w:r>
      <w:r w:rsidR="0036363E" w:rsidRPr="00B54FDB">
        <w:rPr>
          <w:rFonts w:asciiTheme="minorHAnsi" w:hAnsiTheme="minorHAnsi"/>
          <w:sz w:val="22"/>
          <w:szCs w:val="22"/>
        </w:rPr>
        <w:t xml:space="preserve">EPA in </w:t>
      </w:r>
      <w:hyperlink r:id="rId88" w:history="1">
        <w:r w:rsidR="0036363E" w:rsidRPr="00B54FDB">
          <w:rPr>
            <w:rStyle w:val="Hyperlink"/>
            <w:rFonts w:asciiTheme="minorHAnsi" w:hAnsiTheme="minorHAnsi"/>
            <w:color w:val="auto"/>
            <w:sz w:val="22"/>
            <w:szCs w:val="22"/>
          </w:rPr>
          <w:t xml:space="preserve">the </w:t>
        </w:r>
        <w:r w:rsidR="0036363E" w:rsidRPr="00B54FDB">
          <w:rPr>
            <w:rStyle w:val="Hyperlink"/>
            <w:rFonts w:asciiTheme="minorHAnsi" w:hAnsiTheme="minorHAnsi"/>
            <w:bCs/>
            <w:color w:val="auto"/>
            <w:kern w:val="36"/>
            <w:sz w:val="22"/>
            <w:szCs w:val="22"/>
          </w:rPr>
          <w:t>Clean Diesel Trucks, Buses, and Fuel: Heavy-Duty Engine and Vehicle Standards and Highway Diesel Fuel Sulfur Control Requirements (the "2007 Heavy-Duty Highway Rule”)</w:t>
        </w:r>
      </w:hyperlink>
      <w:r w:rsidR="0036363E" w:rsidRPr="00B54FDB">
        <w:rPr>
          <w:rFonts w:asciiTheme="minorHAnsi" w:hAnsiTheme="minorHAnsi"/>
          <w:sz w:val="22"/>
          <w:szCs w:val="22"/>
        </w:rPr>
        <w:t xml:space="preserve">. This rule prohibits the sale of low sulfur No. 2 diesel fuel with sulfur content of greater than 15 </w:t>
      </w:r>
      <w:r w:rsidR="00B222CA" w:rsidRPr="00B54FDB">
        <w:rPr>
          <w:rFonts w:asciiTheme="minorHAnsi" w:hAnsiTheme="minorHAnsi"/>
          <w:sz w:val="22"/>
          <w:szCs w:val="22"/>
        </w:rPr>
        <w:t>parts per million (ppm</w:t>
      </w:r>
      <w:r w:rsidR="00B222CA">
        <w:rPr>
          <w:rFonts w:asciiTheme="minorHAnsi" w:hAnsiTheme="minorHAnsi"/>
          <w:sz w:val="22"/>
          <w:szCs w:val="22"/>
        </w:rPr>
        <w:t>)</w:t>
      </w:r>
      <w:r w:rsidR="00B222CA" w:rsidRPr="00B54FDB">
        <w:rPr>
          <w:rFonts w:asciiTheme="minorHAnsi" w:hAnsiTheme="minorHAnsi"/>
          <w:sz w:val="22"/>
          <w:szCs w:val="22"/>
        </w:rPr>
        <w:t xml:space="preserve"> </w:t>
      </w:r>
      <w:r w:rsidR="0036363E" w:rsidRPr="00B54FDB">
        <w:rPr>
          <w:rFonts w:asciiTheme="minorHAnsi" w:hAnsiTheme="minorHAnsi"/>
          <w:sz w:val="22"/>
          <w:szCs w:val="22"/>
        </w:rPr>
        <w:t>and less than or equal to 500 ppm for on-highway use.</w:t>
      </w:r>
    </w:p>
    <w:p w:rsidR="004636DA" w:rsidRPr="004C2713" w:rsidRDefault="004636DA"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636DA" w:rsidRPr="004C2713" w:rsidRDefault="00F74D4B" w:rsidP="004608BE">
      <w:pPr>
        <w:pStyle w:val="ListParagraph"/>
        <w:numPr>
          <w:ilvl w:val="0"/>
          <w:numId w:val="13"/>
        </w:numPr>
        <w:spacing w:line="360" w:lineRule="auto"/>
        <w:ind w:left="720"/>
        <w:rPr>
          <w:rFonts w:asciiTheme="minorHAnsi" w:hAnsiTheme="minorHAnsi"/>
          <w:sz w:val="22"/>
        </w:rPr>
      </w:pPr>
      <w:hyperlink r:id="rId89" w:history="1">
        <w:r w:rsidR="00280105" w:rsidRPr="004C2713">
          <w:rPr>
            <w:rStyle w:val="Hyperlink"/>
            <w:rFonts w:asciiTheme="minorHAnsi" w:hAnsiTheme="minorHAnsi"/>
            <w:sz w:val="22"/>
          </w:rPr>
          <w:t xml:space="preserve">Form </w:t>
        </w:r>
        <w:r w:rsidR="004636DA" w:rsidRPr="004C2713">
          <w:rPr>
            <w:rStyle w:val="Hyperlink"/>
            <w:rFonts w:asciiTheme="minorHAnsi" w:hAnsiTheme="minorHAnsi"/>
            <w:sz w:val="22"/>
          </w:rPr>
          <w:t>EIA-14, “</w:t>
        </w:r>
        <w:r w:rsidR="004636DA" w:rsidRPr="004C2713">
          <w:rPr>
            <w:rStyle w:val="Hyperlink"/>
            <w:rFonts w:asciiTheme="minorHAnsi" w:hAnsiTheme="minorHAnsi"/>
            <w:bCs/>
            <w:sz w:val="22"/>
          </w:rPr>
          <w:t>Refiners’ Monthly Cost Report</w:t>
        </w:r>
        <w:r w:rsidR="00592694" w:rsidRPr="004C2713">
          <w:rPr>
            <w:rStyle w:val="Hyperlink"/>
            <w:rFonts w:asciiTheme="minorHAnsi" w:hAnsiTheme="minorHAnsi"/>
            <w:bCs/>
            <w:sz w:val="22"/>
          </w:rPr>
          <w:t>”</w:t>
        </w:r>
      </w:hyperlink>
      <w:r w:rsidR="00C42054">
        <w:t xml:space="preserve"> - </w:t>
      </w:r>
      <w:r w:rsidR="00EF13D9" w:rsidRPr="00EF13D9">
        <w:rPr>
          <w:rFonts w:asciiTheme="minorHAnsi" w:hAnsiTheme="minorHAnsi"/>
          <w:bCs/>
          <w:sz w:val="22"/>
        </w:rPr>
        <w:t>N</w:t>
      </w:r>
      <w:r w:rsidR="00EF13D9">
        <w:rPr>
          <w:rFonts w:asciiTheme="minorHAnsi" w:hAnsiTheme="minorHAnsi"/>
          <w:sz w:val="22"/>
        </w:rPr>
        <w:t>o change</w:t>
      </w:r>
      <w:r w:rsidR="004636DA" w:rsidRPr="004C2713">
        <w:rPr>
          <w:rFonts w:asciiTheme="minorHAnsi" w:hAnsiTheme="minorHAnsi"/>
          <w:sz w:val="22"/>
        </w:rPr>
        <w:t>.</w:t>
      </w:r>
    </w:p>
    <w:p w:rsidR="004636DA" w:rsidRPr="004C2713" w:rsidRDefault="004636DA" w:rsidP="004C2713">
      <w:pPr>
        <w:pStyle w:val="ListParagraph"/>
        <w:spacing w:line="360" w:lineRule="auto"/>
        <w:rPr>
          <w:rFonts w:asciiTheme="minorHAnsi" w:hAnsiTheme="minorHAnsi"/>
          <w:sz w:val="22"/>
        </w:rPr>
      </w:pPr>
    </w:p>
    <w:p w:rsidR="004636DA" w:rsidRDefault="00F74D4B" w:rsidP="004C2713">
      <w:pPr>
        <w:pStyle w:val="ListParagraph"/>
        <w:numPr>
          <w:ilvl w:val="0"/>
          <w:numId w:val="13"/>
        </w:numPr>
        <w:spacing w:line="360" w:lineRule="auto"/>
        <w:ind w:left="720"/>
        <w:rPr>
          <w:rFonts w:asciiTheme="minorHAnsi" w:hAnsiTheme="minorHAnsi"/>
          <w:sz w:val="22"/>
        </w:rPr>
      </w:pPr>
      <w:hyperlink r:id="rId90" w:history="1">
        <w:r w:rsidR="00280105" w:rsidRPr="00C42054">
          <w:rPr>
            <w:rStyle w:val="Hyperlink"/>
            <w:rFonts w:asciiTheme="minorHAnsi" w:hAnsiTheme="minorHAnsi"/>
            <w:sz w:val="22"/>
          </w:rPr>
          <w:t xml:space="preserve">Form </w:t>
        </w:r>
        <w:r w:rsidR="004636DA" w:rsidRPr="00C42054">
          <w:rPr>
            <w:rStyle w:val="Hyperlink"/>
            <w:rFonts w:asciiTheme="minorHAnsi" w:hAnsiTheme="minorHAnsi"/>
            <w:sz w:val="22"/>
          </w:rPr>
          <w:t xml:space="preserve">EIA-182, </w:t>
        </w:r>
        <w:r w:rsidR="004636DA" w:rsidRPr="00C42054">
          <w:rPr>
            <w:rStyle w:val="Hyperlink"/>
            <w:rFonts w:asciiTheme="minorHAnsi" w:hAnsiTheme="minorHAnsi"/>
            <w:bCs/>
            <w:sz w:val="22"/>
          </w:rPr>
          <w:t>“Domestic Crude Oil First Purchase Report”</w:t>
        </w:r>
      </w:hyperlink>
      <w:r w:rsidR="004636DA" w:rsidRPr="00C42054">
        <w:rPr>
          <w:rFonts w:asciiTheme="minorHAnsi" w:hAnsiTheme="minorHAnsi"/>
          <w:sz w:val="22"/>
        </w:rPr>
        <w:t xml:space="preserve"> </w:t>
      </w:r>
      <w:r w:rsidR="00242A4D">
        <w:rPr>
          <w:rFonts w:asciiTheme="minorHAnsi" w:hAnsiTheme="minorHAnsi"/>
          <w:sz w:val="22"/>
        </w:rPr>
        <w:t xml:space="preserve">- </w:t>
      </w:r>
      <w:r w:rsidR="00EF13D9" w:rsidRPr="00C42054">
        <w:rPr>
          <w:rFonts w:asciiTheme="minorHAnsi" w:hAnsiTheme="minorHAnsi"/>
          <w:sz w:val="22"/>
        </w:rPr>
        <w:t>N</w:t>
      </w:r>
      <w:r w:rsidR="004636DA" w:rsidRPr="00C42054">
        <w:rPr>
          <w:rFonts w:asciiTheme="minorHAnsi" w:hAnsiTheme="minorHAnsi"/>
          <w:sz w:val="22"/>
        </w:rPr>
        <w:t>o change.</w:t>
      </w:r>
      <w:r w:rsidR="00C42054" w:rsidRPr="00C42054">
        <w:rPr>
          <w:rFonts w:asciiTheme="minorHAnsi" w:hAnsiTheme="minorHAnsi"/>
          <w:sz w:val="22"/>
        </w:rPr>
        <w:t xml:space="preserve"> </w:t>
      </w:r>
    </w:p>
    <w:p w:rsidR="00C42054" w:rsidRPr="00C42054" w:rsidRDefault="00C42054" w:rsidP="00C42054">
      <w:pPr>
        <w:pStyle w:val="ListParagraph"/>
        <w:rPr>
          <w:rFonts w:asciiTheme="minorHAnsi" w:hAnsiTheme="minorHAnsi"/>
          <w:sz w:val="22"/>
        </w:rPr>
      </w:pPr>
    </w:p>
    <w:p w:rsidR="001B1EAE" w:rsidRPr="00B54FDB" w:rsidRDefault="00F74D4B" w:rsidP="004608BE">
      <w:pPr>
        <w:pStyle w:val="ListParagraph"/>
        <w:numPr>
          <w:ilvl w:val="0"/>
          <w:numId w:val="13"/>
        </w:numPr>
        <w:spacing w:line="360" w:lineRule="auto"/>
        <w:ind w:left="720"/>
        <w:rPr>
          <w:rFonts w:asciiTheme="minorHAnsi" w:hAnsiTheme="minorHAnsi"/>
          <w:sz w:val="22"/>
        </w:rPr>
      </w:pPr>
      <w:hyperlink r:id="rId91" w:history="1">
        <w:r w:rsidR="00280105" w:rsidRPr="004C2713">
          <w:rPr>
            <w:rStyle w:val="Hyperlink"/>
            <w:rFonts w:asciiTheme="minorHAnsi" w:hAnsiTheme="minorHAnsi"/>
            <w:sz w:val="22"/>
          </w:rPr>
          <w:t xml:space="preserve">Form </w:t>
        </w:r>
        <w:r w:rsidR="004636DA" w:rsidRPr="004C2713">
          <w:rPr>
            <w:rStyle w:val="Hyperlink"/>
            <w:rFonts w:asciiTheme="minorHAnsi" w:hAnsiTheme="minorHAnsi"/>
            <w:sz w:val="22"/>
          </w:rPr>
          <w:t>EIA-782A</w:t>
        </w:r>
        <w:r w:rsidR="004636DA" w:rsidRPr="004C2713">
          <w:rPr>
            <w:rStyle w:val="Hyperlink"/>
            <w:rFonts w:asciiTheme="minorHAnsi" w:hAnsiTheme="minorHAnsi"/>
            <w:b/>
            <w:sz w:val="22"/>
          </w:rPr>
          <w:t xml:space="preserve">, </w:t>
        </w:r>
        <w:r w:rsidR="004636DA" w:rsidRPr="004C2713">
          <w:rPr>
            <w:rStyle w:val="Hyperlink"/>
            <w:rFonts w:asciiTheme="minorHAnsi" w:hAnsiTheme="minorHAnsi"/>
            <w:sz w:val="22"/>
          </w:rPr>
          <w:t>Refiners'/Gas Plant Operators' Monthly Petroleum Product Sales Report</w:t>
        </w:r>
        <w:r w:rsidR="00242A4D">
          <w:rPr>
            <w:rStyle w:val="Hyperlink"/>
            <w:rFonts w:asciiTheme="minorHAnsi" w:hAnsiTheme="minorHAnsi"/>
            <w:b/>
            <w:bCs/>
            <w:sz w:val="22"/>
          </w:rPr>
          <w:t xml:space="preserve"> </w:t>
        </w:r>
        <w:r w:rsidR="004636DA" w:rsidRPr="004C2713">
          <w:rPr>
            <w:rStyle w:val="Hyperlink"/>
            <w:rFonts w:asciiTheme="minorHAnsi" w:hAnsiTheme="minorHAnsi"/>
            <w:b/>
            <w:bCs/>
            <w:sz w:val="22"/>
          </w:rPr>
          <w:t>”</w:t>
        </w:r>
      </w:hyperlink>
      <w:r w:rsidR="004636DA" w:rsidRPr="004C2713">
        <w:rPr>
          <w:rFonts w:asciiTheme="minorHAnsi" w:hAnsiTheme="minorHAnsi"/>
          <w:b/>
          <w:bCs/>
          <w:sz w:val="22"/>
        </w:rPr>
        <w:t xml:space="preserve"> </w:t>
      </w:r>
      <w:r w:rsidR="00242A4D">
        <w:rPr>
          <w:rFonts w:asciiTheme="minorHAnsi" w:hAnsiTheme="minorHAnsi"/>
          <w:b/>
          <w:bCs/>
          <w:sz w:val="22"/>
        </w:rPr>
        <w:t xml:space="preserve">- </w:t>
      </w:r>
      <w:r w:rsidR="004636DA" w:rsidRPr="00B54FDB">
        <w:rPr>
          <w:rFonts w:asciiTheme="minorHAnsi" w:hAnsiTheme="minorHAnsi"/>
          <w:sz w:val="22"/>
        </w:rPr>
        <w:t xml:space="preserve"> </w:t>
      </w:r>
      <w:r w:rsidR="00242A4D">
        <w:rPr>
          <w:rFonts w:asciiTheme="minorHAnsi" w:hAnsiTheme="minorHAnsi"/>
          <w:sz w:val="22"/>
        </w:rPr>
        <w:t>E</w:t>
      </w:r>
      <w:r w:rsidR="00EF13D9">
        <w:rPr>
          <w:rFonts w:asciiTheme="minorHAnsi" w:hAnsiTheme="minorHAnsi"/>
          <w:bCs/>
          <w:sz w:val="22"/>
        </w:rPr>
        <w:t>liminated collection of data</w:t>
      </w:r>
      <w:r w:rsidR="001B1EAE" w:rsidRPr="00B54FDB">
        <w:rPr>
          <w:rFonts w:asciiTheme="minorHAnsi" w:hAnsiTheme="minorHAnsi"/>
          <w:bCs/>
          <w:sz w:val="22"/>
        </w:rPr>
        <w:t xml:space="preserve"> o</w:t>
      </w:r>
      <w:r w:rsidR="00EF13D9">
        <w:rPr>
          <w:rFonts w:asciiTheme="minorHAnsi" w:hAnsiTheme="minorHAnsi"/>
          <w:bCs/>
          <w:sz w:val="22"/>
        </w:rPr>
        <w:t>n</w:t>
      </w:r>
      <w:r w:rsidR="001B1EAE" w:rsidRPr="00B54FDB">
        <w:rPr>
          <w:rFonts w:asciiTheme="minorHAnsi" w:hAnsiTheme="minorHAnsi"/>
          <w:bCs/>
          <w:sz w:val="22"/>
        </w:rPr>
        <w:t xml:space="preserve"> low-sulfur diesel in accordance with EPA regulations.</w:t>
      </w:r>
      <w:r w:rsidR="00596B41">
        <w:rPr>
          <w:rFonts w:asciiTheme="minorHAnsi" w:hAnsiTheme="minorHAnsi"/>
          <w:bCs/>
          <w:sz w:val="22"/>
        </w:rPr>
        <w:t xml:space="preserve"> The EIA-782A Exclusionary List </w:t>
      </w:r>
      <w:r w:rsidR="00C42054">
        <w:rPr>
          <w:rFonts w:asciiTheme="minorHAnsi" w:hAnsiTheme="minorHAnsi"/>
          <w:bCs/>
          <w:sz w:val="22"/>
        </w:rPr>
        <w:t xml:space="preserve">is </w:t>
      </w:r>
      <w:r w:rsidR="00596B41">
        <w:rPr>
          <w:rFonts w:asciiTheme="minorHAnsi" w:hAnsiTheme="minorHAnsi"/>
          <w:bCs/>
          <w:sz w:val="22"/>
        </w:rPr>
        <w:t>updated annually</w:t>
      </w:r>
      <w:r w:rsidR="00C42054">
        <w:rPr>
          <w:rFonts w:asciiTheme="minorHAnsi" w:hAnsiTheme="minorHAnsi"/>
          <w:bCs/>
          <w:sz w:val="22"/>
        </w:rPr>
        <w:t xml:space="preserve"> due to industry changes</w:t>
      </w:r>
      <w:r w:rsidR="00596B41">
        <w:rPr>
          <w:rFonts w:asciiTheme="minorHAnsi" w:hAnsiTheme="minorHAnsi"/>
          <w:bCs/>
          <w:sz w:val="22"/>
        </w:rPr>
        <w:t>.</w:t>
      </w:r>
    </w:p>
    <w:p w:rsidR="004636DA" w:rsidRPr="00B54FDB" w:rsidRDefault="004636DA" w:rsidP="004C2713">
      <w:pPr>
        <w:pStyle w:val="ListParagraph"/>
        <w:spacing w:line="360" w:lineRule="auto"/>
        <w:rPr>
          <w:rFonts w:asciiTheme="minorHAnsi" w:hAnsiTheme="minorHAnsi"/>
          <w:b/>
          <w:bCs/>
          <w:sz w:val="22"/>
        </w:rPr>
      </w:pPr>
    </w:p>
    <w:p w:rsidR="004636DA" w:rsidRPr="00B54FDB" w:rsidRDefault="006D225A" w:rsidP="004608BE">
      <w:pPr>
        <w:pStyle w:val="ListParagraph"/>
        <w:keepNext/>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B54FDB">
        <w:rPr>
          <w:rFonts w:asciiTheme="minorHAnsi" w:hAnsiTheme="minorHAnsi"/>
          <w:sz w:val="22"/>
        </w:rPr>
        <w:t xml:space="preserve">Form </w:t>
      </w:r>
      <w:r w:rsidR="004636DA" w:rsidRPr="00B54FDB">
        <w:rPr>
          <w:rFonts w:asciiTheme="minorHAnsi" w:hAnsiTheme="minorHAnsi"/>
          <w:sz w:val="22"/>
        </w:rPr>
        <w:t>EIA-782B</w:t>
      </w:r>
      <w:r w:rsidR="004636DA" w:rsidRPr="00B54FDB">
        <w:rPr>
          <w:rFonts w:asciiTheme="minorHAnsi" w:hAnsiTheme="minorHAnsi"/>
          <w:b/>
          <w:sz w:val="22"/>
        </w:rPr>
        <w:t>, “</w:t>
      </w:r>
      <w:r w:rsidR="004636DA" w:rsidRPr="00B54FDB">
        <w:rPr>
          <w:rStyle w:val="Strong"/>
          <w:rFonts w:asciiTheme="minorHAnsi" w:hAnsiTheme="minorHAnsi"/>
          <w:b w:val="0"/>
          <w:sz w:val="22"/>
        </w:rPr>
        <w:t>Resellers'/Retailers' Monthly Petroleum Product Sales Report</w:t>
      </w:r>
      <w:r w:rsidR="004636DA" w:rsidRPr="00B54FDB">
        <w:rPr>
          <w:rFonts w:asciiTheme="minorHAnsi" w:hAnsiTheme="minorHAnsi"/>
          <w:b/>
          <w:sz w:val="22"/>
        </w:rPr>
        <w:t>”</w:t>
      </w:r>
      <w:r w:rsidR="004636DA" w:rsidRPr="00B54FDB">
        <w:rPr>
          <w:rFonts w:asciiTheme="minorHAnsi" w:hAnsiTheme="minorHAnsi"/>
          <w:sz w:val="22"/>
        </w:rPr>
        <w:t xml:space="preserve"> </w:t>
      </w:r>
      <w:r w:rsidR="00242A4D">
        <w:rPr>
          <w:rFonts w:asciiTheme="minorHAnsi" w:hAnsiTheme="minorHAnsi"/>
          <w:sz w:val="22"/>
        </w:rPr>
        <w:t>- S</w:t>
      </w:r>
      <w:r w:rsidR="004636DA" w:rsidRPr="00B54FDB">
        <w:rPr>
          <w:rFonts w:asciiTheme="minorHAnsi" w:hAnsiTheme="minorHAnsi"/>
          <w:sz w:val="22"/>
        </w:rPr>
        <w:t xml:space="preserve">uspended in 2011 and EIA does not request </w:t>
      </w:r>
      <w:r w:rsidRPr="00B54FDB">
        <w:rPr>
          <w:rFonts w:asciiTheme="minorHAnsi" w:hAnsiTheme="minorHAnsi"/>
          <w:sz w:val="22"/>
        </w:rPr>
        <w:t>to r</w:t>
      </w:r>
      <w:r w:rsidR="004636DA" w:rsidRPr="00B54FDB">
        <w:rPr>
          <w:rFonts w:asciiTheme="minorHAnsi" w:hAnsiTheme="minorHAnsi"/>
          <w:sz w:val="22"/>
        </w:rPr>
        <w:t>eclear</w:t>
      </w:r>
      <w:r w:rsidRPr="00B54FDB">
        <w:rPr>
          <w:rFonts w:asciiTheme="minorHAnsi" w:hAnsiTheme="minorHAnsi"/>
          <w:sz w:val="22"/>
        </w:rPr>
        <w:t xml:space="preserve"> it</w:t>
      </w:r>
      <w:r w:rsidR="004636DA" w:rsidRPr="00B54FDB">
        <w:rPr>
          <w:rFonts w:asciiTheme="minorHAnsi" w:hAnsiTheme="minorHAnsi"/>
          <w:sz w:val="22"/>
        </w:rPr>
        <w:t xml:space="preserve">. </w:t>
      </w:r>
    </w:p>
    <w:p w:rsidR="004636DA" w:rsidRPr="00B54FDB" w:rsidRDefault="004636DA" w:rsidP="004C2713">
      <w:pPr>
        <w:pStyle w:val="ListParagraph"/>
        <w:spacing w:line="360" w:lineRule="auto"/>
        <w:rPr>
          <w:rFonts w:asciiTheme="minorHAnsi" w:hAnsiTheme="minorHAnsi"/>
          <w:sz w:val="22"/>
        </w:rPr>
      </w:pPr>
    </w:p>
    <w:p w:rsidR="00596B41" w:rsidRPr="00B54FDB" w:rsidRDefault="00F74D4B" w:rsidP="00596B41">
      <w:pPr>
        <w:pStyle w:val="ListParagraph"/>
        <w:numPr>
          <w:ilvl w:val="0"/>
          <w:numId w:val="13"/>
        </w:numPr>
        <w:spacing w:line="360" w:lineRule="auto"/>
        <w:ind w:left="720"/>
        <w:rPr>
          <w:rFonts w:asciiTheme="minorHAnsi" w:hAnsiTheme="minorHAnsi"/>
          <w:sz w:val="22"/>
        </w:rPr>
      </w:pPr>
      <w:hyperlink r:id="rId92" w:history="1">
        <w:r w:rsidR="006D225A" w:rsidRPr="004C2713">
          <w:rPr>
            <w:rStyle w:val="Hyperlink"/>
            <w:rFonts w:asciiTheme="minorHAnsi" w:hAnsiTheme="minorHAnsi"/>
            <w:bCs/>
            <w:sz w:val="22"/>
          </w:rPr>
          <w:t>Form</w:t>
        </w:r>
        <w:r w:rsidR="004636DA" w:rsidRPr="004C2713">
          <w:rPr>
            <w:rStyle w:val="Hyperlink"/>
            <w:rFonts w:asciiTheme="minorHAnsi" w:hAnsiTheme="minorHAnsi"/>
            <w:bCs/>
            <w:sz w:val="22"/>
          </w:rPr>
          <w:t xml:space="preserve"> EIA-782C, “Monthly Report of Prime Supplier Sales of Petroleum Products Sold for Local Consumption”</w:t>
        </w:r>
      </w:hyperlink>
      <w:r w:rsidR="00EF13D9">
        <w:rPr>
          <w:rFonts w:asciiTheme="minorHAnsi" w:hAnsiTheme="minorHAnsi"/>
          <w:sz w:val="22"/>
        </w:rPr>
        <w:t xml:space="preserve"> </w:t>
      </w:r>
      <w:r w:rsidR="00242A4D">
        <w:rPr>
          <w:rFonts w:asciiTheme="minorHAnsi" w:hAnsiTheme="minorHAnsi"/>
          <w:sz w:val="22"/>
        </w:rPr>
        <w:t xml:space="preserve">- </w:t>
      </w:r>
      <w:r w:rsidR="00EF13D9">
        <w:rPr>
          <w:rFonts w:asciiTheme="minorHAnsi" w:hAnsiTheme="minorHAnsi"/>
          <w:sz w:val="22"/>
        </w:rPr>
        <w:t>No change</w:t>
      </w:r>
      <w:r w:rsidR="004636DA" w:rsidRPr="004C2713">
        <w:rPr>
          <w:rFonts w:asciiTheme="minorHAnsi" w:hAnsiTheme="minorHAnsi"/>
          <w:sz w:val="22"/>
        </w:rPr>
        <w:t>.</w:t>
      </w:r>
      <w:r w:rsidR="00BF58BC" w:rsidRPr="004C2713">
        <w:rPr>
          <w:rFonts w:asciiTheme="minorHAnsi" w:hAnsiTheme="minorHAnsi"/>
          <w:sz w:val="22"/>
        </w:rPr>
        <w:t xml:space="preserve"> </w:t>
      </w:r>
      <w:r w:rsidR="00596B41">
        <w:rPr>
          <w:rFonts w:asciiTheme="minorHAnsi" w:hAnsiTheme="minorHAnsi"/>
          <w:bCs/>
          <w:sz w:val="22"/>
        </w:rPr>
        <w:t xml:space="preserve">The EIA-782C Exclusionary List </w:t>
      </w:r>
      <w:r w:rsidR="00C42054">
        <w:rPr>
          <w:rFonts w:asciiTheme="minorHAnsi" w:hAnsiTheme="minorHAnsi"/>
          <w:bCs/>
          <w:sz w:val="22"/>
        </w:rPr>
        <w:t>is</w:t>
      </w:r>
      <w:r w:rsidR="00596B41">
        <w:rPr>
          <w:rFonts w:asciiTheme="minorHAnsi" w:hAnsiTheme="minorHAnsi"/>
          <w:bCs/>
          <w:sz w:val="22"/>
        </w:rPr>
        <w:t xml:space="preserve"> updated annually</w:t>
      </w:r>
      <w:r w:rsidR="00C42054">
        <w:rPr>
          <w:rFonts w:asciiTheme="minorHAnsi" w:hAnsiTheme="minorHAnsi"/>
          <w:bCs/>
          <w:sz w:val="22"/>
        </w:rPr>
        <w:t xml:space="preserve"> due to industry changes</w:t>
      </w:r>
      <w:r w:rsidR="00596B41">
        <w:rPr>
          <w:rFonts w:asciiTheme="minorHAnsi" w:hAnsiTheme="minorHAnsi"/>
          <w:bCs/>
          <w:sz w:val="22"/>
        </w:rPr>
        <w:t>.</w:t>
      </w:r>
    </w:p>
    <w:p w:rsidR="004636DA" w:rsidRPr="004C2713" w:rsidRDefault="004636DA" w:rsidP="004C2713">
      <w:pPr>
        <w:pStyle w:val="ListParagraph"/>
        <w:spacing w:line="360" w:lineRule="auto"/>
        <w:rPr>
          <w:rFonts w:asciiTheme="minorHAnsi" w:hAnsiTheme="minorHAnsi"/>
          <w:sz w:val="22"/>
        </w:rPr>
      </w:pPr>
    </w:p>
    <w:p w:rsidR="001B1EAE" w:rsidRPr="0067541C" w:rsidRDefault="00F74D4B" w:rsidP="004608BE">
      <w:pPr>
        <w:pStyle w:val="ListParagraph"/>
        <w:numPr>
          <w:ilvl w:val="0"/>
          <w:numId w:val="13"/>
        </w:numPr>
        <w:spacing w:line="360" w:lineRule="auto"/>
        <w:ind w:left="720"/>
        <w:rPr>
          <w:rFonts w:asciiTheme="minorHAnsi" w:hAnsiTheme="minorHAnsi"/>
          <w:sz w:val="22"/>
        </w:rPr>
      </w:pPr>
      <w:hyperlink r:id="rId93"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EIA-821, </w:t>
        </w:r>
        <w:r w:rsidR="004636DA" w:rsidRPr="004C2713">
          <w:rPr>
            <w:rStyle w:val="Hyperlink"/>
            <w:rFonts w:asciiTheme="minorHAnsi" w:hAnsiTheme="minorHAnsi"/>
            <w:b/>
            <w:sz w:val="22"/>
          </w:rPr>
          <w:t>“</w:t>
        </w:r>
        <w:r w:rsidR="004636DA" w:rsidRPr="004C2713">
          <w:rPr>
            <w:rStyle w:val="Hyperlink"/>
            <w:rFonts w:asciiTheme="minorHAnsi" w:hAnsiTheme="minorHAnsi"/>
            <w:sz w:val="22"/>
          </w:rPr>
          <w:t>Annual Fue</w:t>
        </w:r>
        <w:r w:rsidR="00EF13D9">
          <w:rPr>
            <w:rStyle w:val="Hyperlink"/>
            <w:rFonts w:asciiTheme="minorHAnsi" w:hAnsiTheme="minorHAnsi"/>
            <w:sz w:val="22"/>
          </w:rPr>
          <w:t>l Oil and Kerosene Sales Report</w:t>
        </w:r>
        <w:r w:rsidR="004636DA" w:rsidRPr="004C2713">
          <w:rPr>
            <w:rStyle w:val="Hyperlink"/>
            <w:rFonts w:asciiTheme="minorHAnsi" w:hAnsiTheme="minorHAnsi"/>
            <w:sz w:val="22"/>
          </w:rPr>
          <w:t>”</w:t>
        </w:r>
      </w:hyperlink>
      <w:r w:rsidR="004636DA" w:rsidRPr="004C2713">
        <w:rPr>
          <w:rFonts w:asciiTheme="minorHAnsi" w:hAnsiTheme="minorHAnsi"/>
          <w:sz w:val="22"/>
        </w:rPr>
        <w:t xml:space="preserve"> </w:t>
      </w:r>
      <w:r w:rsidR="00242A4D">
        <w:rPr>
          <w:rFonts w:asciiTheme="minorHAnsi" w:hAnsiTheme="minorHAnsi"/>
          <w:sz w:val="22"/>
        </w:rPr>
        <w:t xml:space="preserve"> - </w:t>
      </w:r>
      <w:r w:rsidR="00EF13D9">
        <w:rPr>
          <w:rFonts w:asciiTheme="minorHAnsi" w:hAnsiTheme="minorHAnsi"/>
          <w:sz w:val="22"/>
        </w:rPr>
        <w:t>No change</w:t>
      </w:r>
      <w:r w:rsidR="001B1EAE" w:rsidRPr="0067541C">
        <w:rPr>
          <w:rFonts w:asciiTheme="minorHAnsi" w:hAnsiTheme="minorHAnsi"/>
          <w:bCs/>
          <w:sz w:val="22"/>
        </w:rPr>
        <w:t>.</w:t>
      </w:r>
    </w:p>
    <w:p w:rsidR="0067541C" w:rsidRPr="0067541C" w:rsidRDefault="0067541C" w:rsidP="0067541C">
      <w:pPr>
        <w:pStyle w:val="ListParagraph"/>
        <w:rPr>
          <w:rFonts w:asciiTheme="minorHAnsi" w:hAnsiTheme="minorHAnsi"/>
          <w:color w:val="FF0000"/>
          <w:sz w:val="22"/>
        </w:rPr>
      </w:pPr>
    </w:p>
    <w:p w:rsidR="004636DA" w:rsidRDefault="00F74D4B" w:rsidP="004C2713">
      <w:pPr>
        <w:pStyle w:val="ListParagraph"/>
        <w:numPr>
          <w:ilvl w:val="0"/>
          <w:numId w:val="13"/>
        </w:numPr>
        <w:spacing w:line="360" w:lineRule="auto"/>
        <w:ind w:left="720"/>
        <w:rPr>
          <w:rFonts w:asciiTheme="minorHAnsi" w:hAnsiTheme="minorHAnsi"/>
          <w:sz w:val="22"/>
        </w:rPr>
      </w:pPr>
      <w:hyperlink r:id="rId94" w:history="1">
        <w:r w:rsidR="00280105" w:rsidRPr="00596B41">
          <w:rPr>
            <w:rStyle w:val="Hyperlink"/>
            <w:rFonts w:asciiTheme="minorHAnsi" w:hAnsiTheme="minorHAnsi"/>
            <w:sz w:val="22"/>
          </w:rPr>
          <w:t xml:space="preserve">Form </w:t>
        </w:r>
        <w:r w:rsidR="00BF58BC" w:rsidRPr="00596B41">
          <w:rPr>
            <w:rStyle w:val="Hyperlink"/>
            <w:rFonts w:asciiTheme="minorHAnsi" w:hAnsiTheme="minorHAnsi"/>
            <w:sz w:val="22"/>
          </w:rPr>
          <w:t xml:space="preserve">EIA-856, </w:t>
        </w:r>
        <w:r w:rsidR="006D225A" w:rsidRPr="00596B41">
          <w:rPr>
            <w:rStyle w:val="Hyperlink"/>
            <w:rFonts w:asciiTheme="minorHAnsi" w:hAnsiTheme="minorHAnsi"/>
            <w:bCs/>
            <w:sz w:val="22"/>
          </w:rPr>
          <w:t>“Monthly Foreign Crude Oil Acqui</w:t>
        </w:r>
        <w:r w:rsidR="000B67AE" w:rsidRPr="00596B41">
          <w:rPr>
            <w:rStyle w:val="Hyperlink"/>
            <w:rFonts w:asciiTheme="minorHAnsi" w:hAnsiTheme="minorHAnsi"/>
            <w:bCs/>
            <w:sz w:val="22"/>
          </w:rPr>
          <w:t>sition Report</w:t>
        </w:r>
        <w:r w:rsidR="006D225A" w:rsidRPr="00596B41">
          <w:rPr>
            <w:rStyle w:val="Hyperlink"/>
            <w:rFonts w:asciiTheme="minorHAnsi" w:hAnsiTheme="minorHAnsi"/>
            <w:bCs/>
            <w:sz w:val="22"/>
          </w:rPr>
          <w:t>”</w:t>
        </w:r>
      </w:hyperlink>
      <w:r w:rsidR="00EF13D9" w:rsidRPr="00596B41">
        <w:rPr>
          <w:rFonts w:asciiTheme="minorHAnsi" w:hAnsiTheme="minorHAnsi"/>
          <w:sz w:val="22"/>
        </w:rPr>
        <w:t xml:space="preserve"> </w:t>
      </w:r>
      <w:r w:rsidR="00242A4D">
        <w:rPr>
          <w:rFonts w:asciiTheme="minorHAnsi" w:hAnsiTheme="minorHAnsi"/>
          <w:sz w:val="22"/>
        </w:rPr>
        <w:t xml:space="preserve"> - </w:t>
      </w:r>
      <w:r w:rsidR="00EF13D9" w:rsidRPr="00596B41">
        <w:rPr>
          <w:rFonts w:asciiTheme="minorHAnsi" w:hAnsiTheme="minorHAnsi"/>
          <w:sz w:val="22"/>
        </w:rPr>
        <w:t>No</w:t>
      </w:r>
      <w:r w:rsidR="004636DA" w:rsidRPr="00596B41">
        <w:rPr>
          <w:rFonts w:asciiTheme="minorHAnsi" w:hAnsiTheme="minorHAnsi"/>
          <w:sz w:val="22"/>
        </w:rPr>
        <w:t xml:space="preserve"> change.</w:t>
      </w:r>
      <w:r w:rsidR="00596B41" w:rsidRPr="00596B41">
        <w:rPr>
          <w:rFonts w:asciiTheme="minorHAnsi" w:hAnsiTheme="minorHAnsi"/>
          <w:sz w:val="22"/>
        </w:rPr>
        <w:t xml:space="preserve"> The list of </w:t>
      </w:r>
      <w:r w:rsidR="00CB7FBB">
        <w:rPr>
          <w:rFonts w:asciiTheme="minorHAnsi" w:hAnsiTheme="minorHAnsi"/>
          <w:sz w:val="22"/>
        </w:rPr>
        <w:t>C</w:t>
      </w:r>
      <w:r w:rsidR="00596B41" w:rsidRPr="00596B41">
        <w:rPr>
          <w:rFonts w:asciiTheme="minorHAnsi" w:hAnsiTheme="minorHAnsi"/>
          <w:sz w:val="22"/>
        </w:rPr>
        <w:t xml:space="preserve">rude </w:t>
      </w:r>
      <w:r w:rsidR="00CB7FBB">
        <w:rPr>
          <w:rFonts w:asciiTheme="minorHAnsi" w:hAnsiTheme="minorHAnsi"/>
          <w:sz w:val="22"/>
        </w:rPr>
        <w:t>S</w:t>
      </w:r>
      <w:r w:rsidR="00C42054">
        <w:rPr>
          <w:rFonts w:asciiTheme="minorHAnsi" w:hAnsiTheme="minorHAnsi"/>
          <w:sz w:val="22"/>
        </w:rPr>
        <w:t>tream</w:t>
      </w:r>
      <w:r w:rsidR="00596B41" w:rsidRPr="00596B41">
        <w:rPr>
          <w:rFonts w:asciiTheme="minorHAnsi" w:hAnsiTheme="minorHAnsi"/>
          <w:sz w:val="22"/>
        </w:rPr>
        <w:t xml:space="preserve"> </w:t>
      </w:r>
      <w:r w:rsidR="00CB7FBB">
        <w:rPr>
          <w:rFonts w:asciiTheme="minorHAnsi" w:hAnsiTheme="minorHAnsi"/>
          <w:sz w:val="22"/>
        </w:rPr>
        <w:t xml:space="preserve">Codes </w:t>
      </w:r>
      <w:r w:rsidR="00596B41">
        <w:rPr>
          <w:rFonts w:asciiTheme="minorHAnsi" w:hAnsiTheme="minorHAnsi"/>
          <w:sz w:val="22"/>
        </w:rPr>
        <w:t xml:space="preserve">in Appendix A </w:t>
      </w:r>
      <w:r w:rsidR="00CB7FBB">
        <w:rPr>
          <w:rFonts w:asciiTheme="minorHAnsi" w:hAnsiTheme="minorHAnsi"/>
          <w:sz w:val="22"/>
        </w:rPr>
        <w:t>and U.S. Port Codes</w:t>
      </w:r>
      <w:r w:rsidR="00596B41">
        <w:rPr>
          <w:rFonts w:asciiTheme="minorHAnsi" w:hAnsiTheme="minorHAnsi"/>
          <w:sz w:val="22"/>
        </w:rPr>
        <w:t xml:space="preserve"> in Appendix B </w:t>
      </w:r>
      <w:r w:rsidR="00596B41" w:rsidRPr="00596B41">
        <w:rPr>
          <w:rFonts w:asciiTheme="minorHAnsi" w:hAnsiTheme="minorHAnsi"/>
          <w:sz w:val="22"/>
        </w:rPr>
        <w:t>will be updated as needed.</w:t>
      </w:r>
    </w:p>
    <w:p w:rsidR="00596B41" w:rsidRPr="00596B41" w:rsidRDefault="00596B41" w:rsidP="00596B41">
      <w:pPr>
        <w:pStyle w:val="ListParagraph"/>
        <w:rPr>
          <w:rFonts w:asciiTheme="minorHAnsi" w:hAnsiTheme="minorHAnsi"/>
          <w:sz w:val="22"/>
        </w:rPr>
      </w:pPr>
    </w:p>
    <w:p w:rsidR="004636DA" w:rsidRPr="00B54FDB" w:rsidRDefault="00F74D4B" w:rsidP="00475B30">
      <w:pPr>
        <w:pStyle w:val="ListParagraph"/>
        <w:keepNext/>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hyperlink r:id="rId95" w:history="1">
        <w:r w:rsidR="006D225A" w:rsidRPr="004C2713">
          <w:rPr>
            <w:rStyle w:val="Hyperlink"/>
            <w:rFonts w:asciiTheme="minorHAnsi" w:hAnsiTheme="minorHAnsi"/>
            <w:sz w:val="22"/>
          </w:rPr>
          <w:t>Form</w:t>
        </w:r>
        <w:r w:rsidR="004636DA" w:rsidRPr="004C2713">
          <w:rPr>
            <w:rStyle w:val="Hyperlink"/>
            <w:rFonts w:asciiTheme="minorHAnsi" w:hAnsiTheme="minorHAnsi"/>
            <w:sz w:val="22"/>
          </w:rPr>
          <w:t xml:space="preserve"> EIA-863, “Petroleum Product Sales Identification Survey”</w:t>
        </w:r>
      </w:hyperlink>
      <w:r w:rsidR="00EF13D9">
        <w:t xml:space="preserve"> </w:t>
      </w:r>
      <w:r w:rsidR="00242A4D">
        <w:t xml:space="preserve">- </w:t>
      </w:r>
      <w:r w:rsidR="00EF13D9">
        <w:rPr>
          <w:rFonts w:asciiTheme="minorHAnsi" w:hAnsiTheme="minorHAnsi"/>
          <w:sz w:val="22"/>
        </w:rPr>
        <w:t>No change</w:t>
      </w:r>
      <w:r w:rsidR="001B1EAE" w:rsidRPr="00B54FDB">
        <w:rPr>
          <w:rFonts w:asciiTheme="minorHAnsi" w:hAnsiTheme="minorHAnsi"/>
          <w:bCs/>
          <w:sz w:val="22"/>
        </w:rPr>
        <w:t xml:space="preserve">. </w:t>
      </w:r>
      <w:r w:rsidR="001B1EAE" w:rsidRPr="00B54FDB">
        <w:rPr>
          <w:rFonts w:asciiTheme="minorHAnsi" w:hAnsiTheme="minorHAnsi"/>
          <w:sz w:val="22"/>
        </w:rPr>
        <w:t xml:space="preserve"> </w:t>
      </w:r>
    </w:p>
    <w:p w:rsidR="004636DA" w:rsidRPr="004C2713" w:rsidRDefault="004636DA" w:rsidP="004C2713">
      <w:pPr>
        <w:pStyle w:val="ListParagraph"/>
        <w:spacing w:line="360" w:lineRule="auto"/>
        <w:rPr>
          <w:rFonts w:asciiTheme="minorHAnsi" w:hAnsiTheme="minorHAnsi"/>
          <w:sz w:val="22"/>
        </w:rPr>
      </w:pPr>
    </w:p>
    <w:p w:rsidR="004636DA" w:rsidRPr="004C2713" w:rsidRDefault="00F74D4B" w:rsidP="004608BE">
      <w:pPr>
        <w:pStyle w:val="ListParagraph"/>
        <w:numPr>
          <w:ilvl w:val="0"/>
          <w:numId w:val="13"/>
        </w:numPr>
        <w:spacing w:line="360" w:lineRule="auto"/>
        <w:ind w:left="720"/>
        <w:rPr>
          <w:rFonts w:asciiTheme="minorHAnsi" w:hAnsiTheme="minorHAnsi"/>
          <w:sz w:val="22"/>
        </w:rPr>
      </w:pPr>
      <w:hyperlink r:id="rId96" w:history="1">
        <w:r w:rsidR="00280105" w:rsidRPr="004C2713">
          <w:rPr>
            <w:rStyle w:val="Hyperlink"/>
            <w:rFonts w:asciiTheme="minorHAnsi" w:hAnsiTheme="minorHAnsi"/>
            <w:sz w:val="22"/>
          </w:rPr>
          <w:t xml:space="preserve">Form </w:t>
        </w:r>
        <w:r w:rsidR="00BF58BC" w:rsidRPr="004C2713">
          <w:rPr>
            <w:rStyle w:val="Hyperlink"/>
            <w:rFonts w:asciiTheme="minorHAnsi" w:hAnsiTheme="minorHAnsi"/>
            <w:sz w:val="22"/>
          </w:rPr>
          <w:t>EIA-877</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“Winter</w:t>
        </w:r>
        <w:r w:rsidR="000B67AE">
          <w:rPr>
            <w:rStyle w:val="Hyperlink"/>
            <w:rFonts w:asciiTheme="minorHAnsi" w:hAnsiTheme="minorHAnsi"/>
            <w:bCs/>
            <w:sz w:val="22"/>
          </w:rPr>
          <w:t xml:space="preserve"> Heating Fuels Telephone Survey</w:t>
        </w:r>
        <w:r w:rsidR="006D225A" w:rsidRPr="004C2713">
          <w:rPr>
            <w:rStyle w:val="Hyperlink"/>
            <w:rFonts w:asciiTheme="minorHAnsi" w:hAnsiTheme="minorHAnsi"/>
            <w:bCs/>
            <w:sz w:val="22"/>
          </w:rPr>
          <w:t>”</w:t>
        </w:r>
      </w:hyperlink>
      <w:r w:rsidR="00BF58BC" w:rsidRPr="004C2713">
        <w:rPr>
          <w:rFonts w:asciiTheme="minorHAnsi" w:hAnsiTheme="minorHAnsi"/>
          <w:sz w:val="22"/>
        </w:rPr>
        <w:t xml:space="preserve"> </w:t>
      </w:r>
      <w:r w:rsidR="000B67AE">
        <w:rPr>
          <w:rFonts w:asciiTheme="minorHAnsi" w:hAnsiTheme="minorHAnsi"/>
          <w:sz w:val="22"/>
        </w:rPr>
        <w:t xml:space="preserve"> </w:t>
      </w:r>
      <w:r w:rsidR="00242A4D">
        <w:rPr>
          <w:rFonts w:asciiTheme="minorHAnsi" w:hAnsiTheme="minorHAnsi"/>
          <w:sz w:val="22"/>
        </w:rPr>
        <w:t xml:space="preserve">- </w:t>
      </w:r>
      <w:r w:rsidR="000B67AE">
        <w:rPr>
          <w:rFonts w:asciiTheme="minorHAnsi" w:hAnsiTheme="minorHAnsi"/>
          <w:sz w:val="22"/>
        </w:rPr>
        <w:t>N</w:t>
      </w:r>
      <w:r w:rsidR="004636DA" w:rsidRPr="004C2713">
        <w:rPr>
          <w:rFonts w:asciiTheme="minorHAnsi" w:hAnsiTheme="minorHAnsi"/>
          <w:sz w:val="22"/>
        </w:rPr>
        <w:t>o change.</w:t>
      </w:r>
    </w:p>
    <w:p w:rsidR="004636DA" w:rsidRPr="004C2713" w:rsidRDefault="004636DA" w:rsidP="004C2713">
      <w:pPr>
        <w:pStyle w:val="ListParagraph"/>
        <w:spacing w:line="360" w:lineRule="auto"/>
        <w:rPr>
          <w:rFonts w:asciiTheme="minorHAnsi" w:hAnsiTheme="minorHAnsi"/>
          <w:sz w:val="22"/>
        </w:rPr>
      </w:pPr>
    </w:p>
    <w:p w:rsidR="006D225A" w:rsidRPr="004C2713" w:rsidRDefault="00F74D4B" w:rsidP="004608BE">
      <w:pPr>
        <w:pStyle w:val="ListParagraph"/>
        <w:numPr>
          <w:ilvl w:val="0"/>
          <w:numId w:val="13"/>
        </w:numPr>
        <w:spacing w:line="360" w:lineRule="auto"/>
        <w:ind w:left="720"/>
        <w:rPr>
          <w:rFonts w:asciiTheme="minorHAnsi" w:hAnsiTheme="minorHAnsi"/>
          <w:sz w:val="22"/>
        </w:rPr>
      </w:pPr>
      <w:hyperlink r:id="rId97" w:history="1">
        <w:r w:rsidR="004636DA" w:rsidRPr="004C2713">
          <w:rPr>
            <w:rStyle w:val="Hyperlink"/>
            <w:rFonts w:asciiTheme="minorHAnsi" w:hAnsiTheme="minorHAnsi"/>
            <w:sz w:val="22"/>
          </w:rPr>
          <w:t>Form EIA-878</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“Motor Gasoline Price Survey</w:t>
        </w:r>
      </w:hyperlink>
      <w:r w:rsidR="00EF13D9">
        <w:rPr>
          <w:rFonts w:asciiTheme="minorHAnsi" w:hAnsiTheme="minorHAnsi"/>
          <w:bCs/>
          <w:sz w:val="22"/>
        </w:rPr>
        <w:t xml:space="preserve">” </w:t>
      </w:r>
      <w:r w:rsidR="00242A4D">
        <w:rPr>
          <w:rFonts w:asciiTheme="minorHAnsi" w:hAnsiTheme="minorHAnsi"/>
          <w:bCs/>
          <w:sz w:val="22"/>
        </w:rPr>
        <w:t xml:space="preserve">- </w:t>
      </w:r>
      <w:r w:rsidR="00EF13D9">
        <w:rPr>
          <w:rFonts w:asciiTheme="minorHAnsi" w:hAnsiTheme="minorHAnsi"/>
          <w:bCs/>
          <w:sz w:val="22"/>
        </w:rPr>
        <w:t>N</w:t>
      </w:r>
      <w:r w:rsidR="006D225A" w:rsidRPr="004C2713">
        <w:rPr>
          <w:rFonts w:asciiTheme="minorHAnsi" w:hAnsiTheme="minorHAnsi"/>
          <w:bCs/>
          <w:sz w:val="22"/>
        </w:rPr>
        <w:t>o change.</w:t>
      </w:r>
    </w:p>
    <w:p w:rsidR="006D225A" w:rsidRPr="004C2713" w:rsidRDefault="006D225A" w:rsidP="004C2713">
      <w:pPr>
        <w:pStyle w:val="ListParagraph"/>
        <w:spacing w:line="360" w:lineRule="auto"/>
        <w:rPr>
          <w:rFonts w:asciiTheme="minorHAnsi" w:hAnsiTheme="minorHAnsi"/>
          <w:sz w:val="22"/>
        </w:rPr>
      </w:pPr>
    </w:p>
    <w:p w:rsidR="008D5E6F" w:rsidRPr="00B54FDB" w:rsidRDefault="00F74D4B" w:rsidP="003D36DF">
      <w:pPr>
        <w:pStyle w:val="ListParagraph"/>
        <w:numPr>
          <w:ilvl w:val="0"/>
          <w:numId w:val="13"/>
        </w:numPr>
        <w:spacing w:line="360" w:lineRule="auto"/>
        <w:ind w:left="720"/>
        <w:rPr>
          <w:rFonts w:asciiTheme="minorHAnsi" w:hAnsiTheme="minorHAnsi"/>
          <w:sz w:val="22"/>
        </w:rPr>
      </w:pPr>
      <w:hyperlink r:id="rId98" w:history="1">
        <w:r w:rsidR="00280105" w:rsidRPr="004C2713">
          <w:rPr>
            <w:rStyle w:val="Hyperlink"/>
            <w:rFonts w:asciiTheme="minorHAnsi" w:hAnsiTheme="minorHAnsi"/>
            <w:sz w:val="22"/>
          </w:rPr>
          <w:t xml:space="preserve">Form </w:t>
        </w:r>
        <w:r w:rsidR="00BF58BC" w:rsidRPr="004C2713">
          <w:rPr>
            <w:rStyle w:val="Hyperlink"/>
            <w:rFonts w:asciiTheme="minorHAnsi" w:hAnsiTheme="minorHAnsi"/>
            <w:sz w:val="22"/>
          </w:rPr>
          <w:t>EIA-888</w:t>
        </w:r>
        <w:r w:rsidR="006D225A" w:rsidRPr="004C2713">
          <w:rPr>
            <w:rStyle w:val="Hyperlink"/>
            <w:rFonts w:asciiTheme="minorHAnsi" w:hAnsiTheme="minorHAnsi"/>
            <w:sz w:val="22"/>
          </w:rPr>
          <w:t xml:space="preserve">, </w:t>
        </w:r>
        <w:r w:rsidR="006D225A" w:rsidRPr="004C2713">
          <w:rPr>
            <w:rStyle w:val="Hyperlink"/>
            <w:rFonts w:asciiTheme="minorHAnsi" w:hAnsiTheme="minorHAnsi"/>
            <w:bCs/>
            <w:sz w:val="22"/>
          </w:rPr>
          <w:t>“On-Highway Diesel Fuel Price Survey</w:t>
        </w:r>
      </w:hyperlink>
      <w:r w:rsidR="006D225A" w:rsidRPr="004C2713">
        <w:rPr>
          <w:rFonts w:asciiTheme="minorHAnsi" w:hAnsiTheme="minorHAnsi"/>
          <w:bCs/>
          <w:sz w:val="22"/>
          <w:u w:val="single"/>
        </w:rPr>
        <w:t>"</w:t>
      </w:r>
      <w:r w:rsidR="006D225A" w:rsidRPr="004C2713">
        <w:rPr>
          <w:rFonts w:asciiTheme="minorHAnsi" w:hAnsiTheme="minorHAnsi"/>
          <w:sz w:val="22"/>
        </w:rPr>
        <w:t xml:space="preserve"> </w:t>
      </w:r>
      <w:r w:rsidR="00242A4D">
        <w:rPr>
          <w:rFonts w:asciiTheme="minorHAnsi" w:hAnsiTheme="minorHAnsi"/>
          <w:sz w:val="22"/>
        </w:rPr>
        <w:t xml:space="preserve">- </w:t>
      </w:r>
      <w:r w:rsidR="00EF13D9">
        <w:rPr>
          <w:rFonts w:asciiTheme="minorHAnsi" w:hAnsiTheme="minorHAnsi"/>
          <w:sz w:val="22"/>
        </w:rPr>
        <w:t>E</w:t>
      </w:r>
      <w:r w:rsidR="00EF13D9">
        <w:rPr>
          <w:rFonts w:asciiTheme="minorHAnsi" w:hAnsiTheme="minorHAnsi"/>
          <w:bCs/>
          <w:sz w:val="22"/>
        </w:rPr>
        <w:t>liminate the category for l</w:t>
      </w:r>
      <w:r w:rsidR="001B1EAE" w:rsidRPr="00B54FDB">
        <w:rPr>
          <w:rFonts w:asciiTheme="minorHAnsi" w:hAnsiTheme="minorHAnsi"/>
          <w:bCs/>
          <w:sz w:val="22"/>
        </w:rPr>
        <w:t>ow-sulfur diesel in accordance with EPA regulations</w:t>
      </w:r>
      <w:r w:rsidR="00212497" w:rsidRPr="00B54FDB">
        <w:rPr>
          <w:rFonts w:asciiTheme="minorHAnsi" w:hAnsiTheme="minorHAnsi"/>
          <w:bCs/>
          <w:sz w:val="22"/>
        </w:rPr>
        <w:t xml:space="preserve"> and redesign of sample to improve accuracy of regional estimates.</w:t>
      </w:r>
    </w:p>
    <w:p w:rsidR="00E5213D" w:rsidRPr="004C2713" w:rsidRDefault="001B1EAE" w:rsidP="003D36DF">
      <w:pPr>
        <w:pStyle w:val="BodyText"/>
        <w:spacing w:line="360" w:lineRule="auto"/>
        <w:jc w:val="left"/>
        <w:rPr>
          <w:rFonts w:asciiTheme="minorHAnsi" w:hAnsiTheme="minorHAnsi"/>
          <w:sz w:val="22"/>
        </w:rPr>
      </w:pPr>
      <w:r w:rsidRPr="004C2713">
        <w:rPr>
          <w:rFonts w:asciiTheme="minorHAnsi" w:hAnsiTheme="minorHAnsi"/>
          <w:sz w:val="22"/>
        </w:rPr>
        <w:t>Following collection of December data on the monthly surveys (</w:t>
      </w:r>
      <w:r w:rsidR="0076178F" w:rsidRPr="004C2713">
        <w:rPr>
          <w:rFonts w:asciiTheme="minorHAnsi" w:hAnsiTheme="minorHAnsi"/>
          <w:sz w:val="22"/>
        </w:rPr>
        <w:t xml:space="preserve">the </w:t>
      </w:r>
      <w:r w:rsidRPr="004C2713">
        <w:rPr>
          <w:rFonts w:asciiTheme="minorHAnsi" w:hAnsiTheme="minorHAnsi"/>
          <w:sz w:val="22"/>
        </w:rPr>
        <w:t xml:space="preserve">EIA-14, </w:t>
      </w:r>
      <w:r w:rsidR="0076178F" w:rsidRPr="004C2713">
        <w:rPr>
          <w:rFonts w:asciiTheme="minorHAnsi" w:hAnsiTheme="minorHAnsi"/>
          <w:sz w:val="22"/>
        </w:rPr>
        <w:t xml:space="preserve">the </w:t>
      </w:r>
      <w:r w:rsidRPr="004C2713">
        <w:rPr>
          <w:rFonts w:asciiTheme="minorHAnsi" w:hAnsiTheme="minorHAnsi"/>
          <w:sz w:val="22"/>
        </w:rPr>
        <w:t xml:space="preserve">EIA-182, </w:t>
      </w:r>
      <w:r w:rsidR="0076178F" w:rsidRPr="004C2713">
        <w:rPr>
          <w:rFonts w:asciiTheme="minorHAnsi" w:hAnsiTheme="minorHAnsi"/>
          <w:sz w:val="22"/>
        </w:rPr>
        <w:t xml:space="preserve">the </w:t>
      </w:r>
      <w:r w:rsidRPr="004C2713">
        <w:rPr>
          <w:rFonts w:asciiTheme="minorHAnsi" w:hAnsiTheme="minorHAnsi"/>
          <w:sz w:val="22"/>
        </w:rPr>
        <w:t xml:space="preserve">EIA-782A, </w:t>
      </w:r>
      <w:r w:rsidR="0076178F" w:rsidRPr="004C2713">
        <w:rPr>
          <w:rFonts w:asciiTheme="minorHAnsi" w:hAnsiTheme="minorHAnsi"/>
          <w:sz w:val="22"/>
        </w:rPr>
        <w:t xml:space="preserve">the </w:t>
      </w:r>
      <w:r w:rsidRPr="004C2713">
        <w:rPr>
          <w:rFonts w:asciiTheme="minorHAnsi" w:hAnsiTheme="minorHAnsi"/>
          <w:sz w:val="22"/>
        </w:rPr>
        <w:t xml:space="preserve">EIA-782C, and </w:t>
      </w:r>
      <w:r w:rsidR="0076178F" w:rsidRPr="004C2713">
        <w:rPr>
          <w:rFonts w:asciiTheme="minorHAnsi" w:hAnsiTheme="minorHAnsi"/>
          <w:sz w:val="22"/>
        </w:rPr>
        <w:t xml:space="preserve">the </w:t>
      </w:r>
      <w:r w:rsidRPr="004C2713">
        <w:rPr>
          <w:rFonts w:asciiTheme="minorHAnsi" w:hAnsiTheme="minorHAnsi"/>
          <w:sz w:val="22"/>
        </w:rPr>
        <w:t xml:space="preserve">EIA-856) in January 2013, EIA will implement these redesigned forms and instructions.  All of the forms and instructions included in this clearance package have been standardized around a consistent design, layout, section order, and content where practical.  </w:t>
      </w:r>
    </w:p>
    <w:p w:rsidR="002F5FC8" w:rsidRPr="002F5FC8" w:rsidRDefault="00253264" w:rsidP="00494925">
      <w:pPr>
        <w:pStyle w:val="Heading1"/>
      </w:pPr>
      <w:r w:rsidRPr="00540778">
        <w:t>D</w:t>
      </w:r>
      <w:r w:rsidR="003A56DA" w:rsidRPr="00540778">
        <w:t>etails on the Use and Purpose for Each Form</w:t>
      </w:r>
      <w:r w:rsidR="00851717" w:rsidRPr="00540778">
        <w:t>:</w:t>
      </w:r>
    </w:p>
    <w:p w:rsidR="002F5FC8" w:rsidRPr="00494925" w:rsidRDefault="002F5FC8" w:rsidP="00644A84">
      <w:pPr>
        <w:pStyle w:val="Heading1"/>
        <w:numPr>
          <w:ilvl w:val="0"/>
          <w:numId w:val="27"/>
        </w:numPr>
        <w:rPr>
          <w:rFonts w:asciiTheme="minorHAnsi" w:hAnsiTheme="minorHAnsi"/>
          <w:caps/>
        </w:rPr>
      </w:pPr>
      <w:r w:rsidRPr="00494925">
        <w:rPr>
          <w:rFonts w:asciiTheme="minorHAnsi" w:hAnsiTheme="minorHAnsi"/>
        </w:rPr>
        <w:t xml:space="preserve">Monthly Crude Oil Surveys (EIA-14, </w:t>
      </w:r>
      <w:r w:rsidR="00660FA2" w:rsidRPr="00494925">
        <w:rPr>
          <w:rFonts w:asciiTheme="minorHAnsi" w:hAnsiTheme="minorHAnsi"/>
          <w:caps/>
        </w:rPr>
        <w:t xml:space="preserve">EIA-182, </w:t>
      </w:r>
      <w:r w:rsidR="00660FA2" w:rsidRPr="00494925">
        <w:rPr>
          <w:rFonts w:asciiTheme="minorHAnsi" w:hAnsiTheme="minorHAnsi"/>
        </w:rPr>
        <w:t xml:space="preserve">and </w:t>
      </w:r>
      <w:r w:rsidRPr="00494925">
        <w:rPr>
          <w:rFonts w:asciiTheme="minorHAnsi" w:hAnsiTheme="minorHAnsi"/>
          <w:caps/>
        </w:rPr>
        <w:t xml:space="preserve">EIA-856) </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EIA-14, “</w:t>
      </w:r>
      <w:r w:rsidR="00253264" w:rsidRPr="004C2713">
        <w:rPr>
          <w:rFonts w:asciiTheme="minorHAnsi" w:hAnsiTheme="minorHAnsi"/>
          <w:b/>
          <w:bCs/>
          <w:sz w:val="22"/>
          <w:u w:val="single"/>
        </w:rPr>
        <w:t>Refiners</w:t>
      </w:r>
      <w:r w:rsidR="00685BE0" w:rsidRPr="004C2713">
        <w:rPr>
          <w:rFonts w:asciiTheme="minorHAnsi" w:hAnsiTheme="minorHAnsi"/>
          <w:b/>
          <w:bCs/>
          <w:sz w:val="22"/>
          <w:u w:val="single"/>
        </w:rPr>
        <w:t>’</w:t>
      </w:r>
      <w:r w:rsidR="00253264" w:rsidRPr="004C2713">
        <w:rPr>
          <w:rFonts w:asciiTheme="minorHAnsi" w:hAnsiTheme="minorHAnsi"/>
          <w:b/>
          <w:bCs/>
          <w:sz w:val="22"/>
          <w:u w:val="single"/>
        </w:rPr>
        <w:t xml:space="preserve"> Monthly Cost Report</w:t>
      </w:r>
      <w:r w:rsidR="00CF633A" w:rsidRPr="004C2713">
        <w:rPr>
          <w:rFonts w:asciiTheme="minorHAnsi" w:hAnsiTheme="minorHAnsi"/>
          <w:b/>
          <w:bCs/>
          <w:sz w:val="22"/>
          <w:u w:val="single"/>
        </w:rPr>
        <w:t>”</w:t>
      </w:r>
    </w:p>
    <w:p w:rsidR="00253264" w:rsidRPr="004C2713" w:rsidRDefault="00253264"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253264" w:rsidRPr="004C2713" w:rsidRDefault="00CF2BCD"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253264" w:rsidRPr="004C2713">
        <w:rPr>
          <w:rFonts w:asciiTheme="minorHAnsi" w:hAnsiTheme="minorHAnsi"/>
          <w:sz w:val="22"/>
        </w:rPr>
        <w:t xml:space="preserve">EIA-14 </w:t>
      </w:r>
      <w:r w:rsidR="004F60A2" w:rsidRPr="004C2713">
        <w:rPr>
          <w:rFonts w:asciiTheme="minorHAnsi" w:hAnsiTheme="minorHAnsi"/>
          <w:sz w:val="22"/>
        </w:rPr>
        <w:t xml:space="preserve">is a mandatory </w:t>
      </w:r>
      <w:r w:rsidR="00253264" w:rsidRPr="004C2713">
        <w:rPr>
          <w:rFonts w:asciiTheme="minorHAnsi" w:hAnsiTheme="minorHAnsi"/>
          <w:sz w:val="22"/>
        </w:rPr>
        <w:t xml:space="preserve">survey </w:t>
      </w:r>
      <w:r w:rsidR="004F60A2" w:rsidRPr="004C2713">
        <w:rPr>
          <w:rFonts w:asciiTheme="minorHAnsi" w:hAnsiTheme="minorHAnsi"/>
          <w:sz w:val="22"/>
        </w:rPr>
        <w:t xml:space="preserve">of refiners and collects </w:t>
      </w:r>
      <w:r w:rsidR="00253264" w:rsidRPr="004C2713">
        <w:rPr>
          <w:rFonts w:asciiTheme="minorHAnsi" w:hAnsiTheme="minorHAnsi"/>
          <w:sz w:val="22"/>
        </w:rPr>
        <w:t xml:space="preserve">data used to </w:t>
      </w:r>
      <w:r w:rsidR="004F60A2" w:rsidRPr="004C2713">
        <w:rPr>
          <w:rFonts w:asciiTheme="minorHAnsi" w:hAnsiTheme="minorHAnsi"/>
          <w:sz w:val="22"/>
        </w:rPr>
        <w:t xml:space="preserve">measure </w:t>
      </w:r>
      <w:r w:rsidR="00253264" w:rsidRPr="004C2713">
        <w:rPr>
          <w:rFonts w:asciiTheme="minorHAnsi" w:hAnsiTheme="minorHAnsi"/>
          <w:sz w:val="22"/>
        </w:rPr>
        <w:t>the acquisition cost of crude oil</w:t>
      </w:r>
      <w:r w:rsidR="00984C9C" w:rsidRPr="004C2713">
        <w:rPr>
          <w:rFonts w:asciiTheme="minorHAnsi" w:hAnsiTheme="minorHAnsi"/>
          <w:sz w:val="22"/>
        </w:rPr>
        <w:t>.</w:t>
      </w:r>
      <w:r w:rsidR="00253264" w:rsidRPr="004C2713">
        <w:rPr>
          <w:rFonts w:asciiTheme="minorHAnsi" w:hAnsiTheme="minorHAnsi"/>
          <w:sz w:val="22"/>
        </w:rPr>
        <w:t xml:space="preserve"> These </w:t>
      </w:r>
      <w:r w:rsidR="00AF7E4F" w:rsidRPr="004C2713">
        <w:rPr>
          <w:rFonts w:asciiTheme="minorHAnsi" w:hAnsiTheme="minorHAnsi"/>
          <w:sz w:val="22"/>
        </w:rPr>
        <w:t xml:space="preserve">data </w:t>
      </w:r>
      <w:r w:rsidR="00253264" w:rsidRPr="004C2713">
        <w:rPr>
          <w:rFonts w:asciiTheme="minorHAnsi" w:hAnsiTheme="minorHAnsi"/>
          <w:sz w:val="22"/>
        </w:rPr>
        <w:t>are widely used for the following purposes: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Projecting crude o</w:t>
      </w:r>
      <w:r w:rsidR="000B67AE">
        <w:rPr>
          <w:rFonts w:asciiTheme="minorHAnsi" w:hAnsiTheme="minorHAnsi"/>
          <w:sz w:val="22"/>
        </w:rPr>
        <w:t>il and petroleum product prices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As an input component for calculation of t</w:t>
      </w:r>
      <w:r w:rsidR="000B67AE">
        <w:rPr>
          <w:rFonts w:asciiTheme="minorHAnsi" w:hAnsiTheme="minorHAnsi"/>
          <w:sz w:val="22"/>
        </w:rPr>
        <w:t>he Gross Domestic Product (GDP)</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Monitorin</w:t>
      </w:r>
      <w:r w:rsidR="000B67AE">
        <w:rPr>
          <w:rFonts w:asciiTheme="minorHAnsi" w:hAnsiTheme="minorHAnsi"/>
          <w:sz w:val="22"/>
        </w:rPr>
        <w:t>g current national price levels</w:t>
      </w:r>
    </w:p>
    <w:p w:rsidR="00253264" w:rsidRPr="004C2713" w:rsidRDefault="00253264" w:rsidP="004C2713">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Performing market anal</w:t>
      </w:r>
      <w:r w:rsidR="000B67AE">
        <w:rPr>
          <w:rFonts w:asciiTheme="minorHAnsi" w:hAnsiTheme="minorHAnsi"/>
          <w:sz w:val="22"/>
        </w:rPr>
        <w:t>yses</w:t>
      </w:r>
    </w:p>
    <w:p w:rsidR="00303B83" w:rsidRPr="004C2713" w:rsidRDefault="00303B83" w:rsidP="004C2713">
      <w:pPr>
        <w:pStyle w:val="ListParagraph"/>
        <w:spacing w:line="360" w:lineRule="auto"/>
        <w:ind w:left="1080"/>
        <w:rPr>
          <w:rFonts w:asciiTheme="minorHAnsi" w:hAnsiTheme="minorHAnsi"/>
          <w:sz w:val="22"/>
        </w:rPr>
      </w:pPr>
    </w:p>
    <w:p w:rsidR="00303B83" w:rsidRPr="000C49F4" w:rsidRDefault="00303B83" w:rsidP="000C49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 xml:space="preserve">The </w:t>
      </w:r>
      <w:r w:rsidR="00AF7E4F" w:rsidRPr="000C49F4">
        <w:rPr>
          <w:rFonts w:asciiTheme="minorHAnsi" w:hAnsiTheme="minorHAnsi"/>
          <w:sz w:val="22"/>
        </w:rPr>
        <w:t xml:space="preserve">data </w:t>
      </w:r>
      <w:r w:rsidRPr="000C49F4">
        <w:rPr>
          <w:rFonts w:asciiTheme="minorHAnsi" w:hAnsiTheme="minorHAnsi"/>
          <w:sz w:val="22"/>
        </w:rPr>
        <w:t xml:space="preserve">serve as the most reliable and accurate indicators of price paid by U.S. refiners for crude oil.  These price indicators are used to compare a company’s average purchasing price to the U.S. and </w:t>
      </w:r>
      <w:hyperlink r:id="rId99" w:history="1">
        <w:r w:rsidR="004901E7" w:rsidRPr="000C49F4">
          <w:rPr>
            <w:rStyle w:val="Hyperlink"/>
            <w:rFonts w:asciiTheme="minorHAnsi" w:hAnsiTheme="minorHAnsi"/>
            <w:sz w:val="22"/>
          </w:rPr>
          <w:t>Petroleum Administration for Defense Districts</w:t>
        </w:r>
      </w:hyperlink>
      <w:r w:rsidR="004901E7" w:rsidRPr="000C49F4">
        <w:rPr>
          <w:rFonts w:asciiTheme="minorHAnsi" w:hAnsiTheme="minorHAnsi"/>
          <w:sz w:val="22"/>
        </w:rPr>
        <w:t xml:space="preserve"> (</w:t>
      </w:r>
      <w:r w:rsidRPr="000C49F4">
        <w:rPr>
          <w:rFonts w:asciiTheme="minorHAnsi" w:hAnsiTheme="minorHAnsi"/>
          <w:sz w:val="22"/>
        </w:rPr>
        <w:t>PADD</w:t>
      </w:r>
      <w:r w:rsidR="004901E7" w:rsidRPr="000C49F4">
        <w:rPr>
          <w:rFonts w:asciiTheme="minorHAnsi" w:hAnsiTheme="minorHAnsi"/>
          <w:sz w:val="22"/>
        </w:rPr>
        <w:t>)</w:t>
      </w:r>
      <w:r w:rsidRPr="000C49F4">
        <w:rPr>
          <w:rFonts w:asciiTheme="minorHAnsi" w:hAnsiTheme="minorHAnsi"/>
          <w:sz w:val="22"/>
        </w:rPr>
        <w:t xml:space="preserve"> average price, and as a key variable in models used to forecast future price trends.  </w:t>
      </w:r>
    </w:p>
    <w:p w:rsidR="000B67AE" w:rsidRPr="000C49F4" w:rsidRDefault="000B67AE"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CB1D94" w:rsidRPr="000C49F4" w:rsidRDefault="00303B83" w:rsidP="000C4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C49F4">
        <w:rPr>
          <w:rFonts w:asciiTheme="minorHAnsi" w:hAnsiTheme="minorHAnsi"/>
          <w:sz w:val="22"/>
        </w:rPr>
        <w:t>Congress and</w:t>
      </w:r>
      <w:r w:rsidR="004F60A2" w:rsidRPr="000C49F4">
        <w:rPr>
          <w:rFonts w:asciiTheme="minorHAnsi" w:hAnsiTheme="minorHAnsi"/>
          <w:sz w:val="22"/>
        </w:rPr>
        <w:t xml:space="preserve"> </w:t>
      </w:r>
      <w:r w:rsidRPr="000C49F4">
        <w:rPr>
          <w:rFonts w:asciiTheme="minorHAnsi" w:hAnsiTheme="minorHAnsi"/>
          <w:sz w:val="22"/>
        </w:rPr>
        <w:t xml:space="preserve">government agencies - Federal, State and Local - </w:t>
      </w:r>
      <w:r w:rsidR="004F60A2" w:rsidRPr="000C49F4">
        <w:rPr>
          <w:rFonts w:asciiTheme="minorHAnsi" w:hAnsiTheme="minorHAnsi"/>
          <w:sz w:val="22"/>
        </w:rPr>
        <w:t>use aggregate statistics based on EIA-14 data, in conjunction with EIA’s other petroleum price data, to monitor current national</w:t>
      </w:r>
      <w:r w:rsidR="00206953" w:rsidRPr="000C49F4">
        <w:rPr>
          <w:rFonts w:asciiTheme="minorHAnsi" w:hAnsiTheme="minorHAnsi"/>
          <w:sz w:val="22"/>
        </w:rPr>
        <w:t xml:space="preserve"> price levels and to </w:t>
      </w:r>
      <w:r w:rsidR="00206953" w:rsidRPr="000C49F4">
        <w:rPr>
          <w:rFonts w:asciiTheme="minorHAnsi" w:hAnsiTheme="minorHAnsi"/>
          <w:sz w:val="22"/>
        </w:rPr>
        <w:lastRenderedPageBreak/>
        <w:t>benchmark s</w:t>
      </w:r>
      <w:r w:rsidR="004F60A2" w:rsidRPr="000C49F4">
        <w:rPr>
          <w:rFonts w:asciiTheme="minorHAnsi" w:hAnsiTheme="minorHAnsi"/>
          <w:sz w:val="22"/>
        </w:rPr>
        <w:t xml:space="preserve">tate data.  The data are also used to meet State and congressional requirements for price projections and to determine the impact on national or State demand.  </w:t>
      </w:r>
      <w:r w:rsidR="00CB1D94" w:rsidRPr="000C49F4">
        <w:rPr>
          <w:rFonts w:asciiTheme="minorHAnsi" w:hAnsiTheme="minorHAnsi"/>
          <w:sz w:val="22"/>
        </w:rPr>
        <w:t>Examples include:</w:t>
      </w:r>
    </w:p>
    <w:p w:rsidR="00CB1D94" w:rsidRPr="000C49F4" w:rsidRDefault="0036363E" w:rsidP="000C49F4">
      <w:pPr>
        <w:pStyle w:val="TEXT"/>
        <w:spacing w:line="360" w:lineRule="auto"/>
      </w:pPr>
      <w:r w:rsidRPr="000C49F4">
        <w:t>BEA us</w:t>
      </w:r>
      <w:r w:rsidR="00CB1D94" w:rsidRPr="000C49F4">
        <w:t>e</w:t>
      </w:r>
      <w:r w:rsidR="00206953" w:rsidRPr="000C49F4">
        <w:t>s</w:t>
      </w:r>
      <w:r w:rsidR="00CB1D94" w:rsidRPr="000C49F4">
        <w:t xml:space="preserve"> the EIA-14 </w:t>
      </w:r>
      <w:r w:rsidR="00567A94" w:rsidRPr="000C49F4">
        <w:t>data</w:t>
      </w:r>
      <w:r w:rsidR="00CB1D94" w:rsidRPr="000C49F4">
        <w:t xml:space="preserve"> to determine the costs of crude oil to refiners for calculating the U.S. </w:t>
      </w:r>
      <w:r w:rsidRPr="000C49F4">
        <w:t>Gross Domestic Product (</w:t>
      </w:r>
      <w:r w:rsidR="00CB1D94" w:rsidRPr="000C49F4">
        <w:t>GDP</w:t>
      </w:r>
      <w:r w:rsidRPr="000C49F4">
        <w:t>)</w:t>
      </w:r>
      <w:r w:rsidR="00CB1D94" w:rsidRPr="000C49F4">
        <w:t xml:space="preserve">.  </w:t>
      </w:r>
      <w:r w:rsidR="00567A94" w:rsidRPr="000C49F4">
        <w:t>These data</w:t>
      </w:r>
      <w:r w:rsidR="00CB1D94" w:rsidRPr="000C49F4">
        <w:t xml:space="preserve"> are used as an index to adjust the cost of crude oil.</w:t>
      </w:r>
    </w:p>
    <w:p w:rsidR="00CB1D94" w:rsidRPr="000C49F4" w:rsidRDefault="00DB4790" w:rsidP="000C49F4">
      <w:pPr>
        <w:pStyle w:val="TEXT"/>
        <w:spacing w:line="360" w:lineRule="auto"/>
      </w:pPr>
      <w:r w:rsidRPr="000C49F4">
        <w:t xml:space="preserve">DOE and </w:t>
      </w:r>
      <w:r w:rsidR="00567A94" w:rsidRPr="000C49F4">
        <w:t xml:space="preserve">select </w:t>
      </w:r>
      <w:r w:rsidRPr="000C49F4">
        <w:t>State Energy O</w:t>
      </w:r>
      <w:r w:rsidR="00CB1D94" w:rsidRPr="000C49F4">
        <w:t>ffices</w:t>
      </w:r>
      <w:r w:rsidRPr="000C49F4">
        <w:t xml:space="preserve"> (SEO)</w:t>
      </w:r>
      <w:r w:rsidR="00CB1D94" w:rsidRPr="000C49F4">
        <w:t xml:space="preserve"> use aggregate statistics based </w:t>
      </w:r>
      <w:r w:rsidR="00567A94" w:rsidRPr="000C49F4">
        <w:t xml:space="preserve">from the </w:t>
      </w:r>
      <w:r w:rsidR="00CB1D94" w:rsidRPr="000C49F4">
        <w:t xml:space="preserve">EIA-14, in conjunction with EIA’s other petroleum price data, to monitor current national price levels and to benchmark </w:t>
      </w:r>
      <w:r w:rsidR="00567A94" w:rsidRPr="000C49F4">
        <w:t>s</w:t>
      </w:r>
      <w:r w:rsidR="00CB1D94" w:rsidRPr="000C49F4">
        <w:t>tate data.  The data are also used to meet State and congressional requirements for price projections and to determine the impact on national or State demand.  The planning/purchasing offices of a number of oil corporations also use the crude oil prices which are published by EIA from EIA-14 collected data.</w:t>
      </w:r>
    </w:p>
    <w:p w:rsidR="00CB1D94" w:rsidRPr="000C49F4" w:rsidRDefault="00CB1D94" w:rsidP="000C49F4">
      <w:pPr>
        <w:pStyle w:val="NormalWeb"/>
        <w:spacing w:after="0" w:afterAutospacing="0" w:line="360" w:lineRule="auto"/>
        <w:rPr>
          <w:rFonts w:asciiTheme="minorHAnsi" w:hAnsiTheme="minorHAnsi"/>
          <w:sz w:val="22"/>
        </w:rPr>
      </w:pPr>
      <w:r w:rsidRPr="000C49F4">
        <w:rPr>
          <w:rFonts w:asciiTheme="minorHAnsi" w:hAnsiTheme="minorHAnsi"/>
          <w:sz w:val="22"/>
        </w:rPr>
        <w:t>The</w:t>
      </w:r>
      <w:r w:rsidR="00567A94" w:rsidRPr="000C49F4">
        <w:rPr>
          <w:rFonts w:asciiTheme="minorHAnsi" w:hAnsiTheme="minorHAnsi"/>
          <w:sz w:val="22"/>
        </w:rPr>
        <w:t>se</w:t>
      </w:r>
      <w:r w:rsidRPr="000C49F4">
        <w:rPr>
          <w:rFonts w:asciiTheme="minorHAnsi" w:hAnsiTheme="minorHAnsi"/>
          <w:sz w:val="22"/>
        </w:rPr>
        <w:t xml:space="preserve"> statistics serve as the most reliable and accurate indicator of </w:t>
      </w:r>
      <w:r w:rsidR="00567A94" w:rsidRPr="000C49F4">
        <w:rPr>
          <w:rFonts w:asciiTheme="minorHAnsi" w:hAnsiTheme="minorHAnsi"/>
          <w:sz w:val="22"/>
        </w:rPr>
        <w:t xml:space="preserve">crude oil acquisition </w:t>
      </w:r>
      <w:r w:rsidRPr="000C49F4">
        <w:rPr>
          <w:rFonts w:asciiTheme="minorHAnsi" w:hAnsiTheme="minorHAnsi"/>
          <w:sz w:val="22"/>
        </w:rPr>
        <w:t>price pai</w:t>
      </w:r>
      <w:r w:rsidR="00567A94" w:rsidRPr="000C49F4">
        <w:rPr>
          <w:rFonts w:asciiTheme="minorHAnsi" w:hAnsiTheme="minorHAnsi"/>
          <w:sz w:val="22"/>
        </w:rPr>
        <w:t>d by U.S. refiners</w:t>
      </w:r>
      <w:r w:rsidRPr="000C49F4">
        <w:rPr>
          <w:rFonts w:asciiTheme="minorHAnsi" w:hAnsiTheme="minorHAnsi"/>
          <w:sz w:val="22"/>
        </w:rPr>
        <w:t xml:space="preserve">.  These price indicators are used to compare a company’s average purchasing price to the U.S. and </w:t>
      </w:r>
      <w:r w:rsidR="004901E7" w:rsidRPr="000C49F4">
        <w:rPr>
          <w:rFonts w:asciiTheme="minorHAnsi" w:hAnsiTheme="minorHAnsi"/>
          <w:sz w:val="22"/>
        </w:rPr>
        <w:t xml:space="preserve">PADD </w:t>
      </w:r>
      <w:r w:rsidRPr="000C49F4">
        <w:rPr>
          <w:rFonts w:asciiTheme="minorHAnsi" w:hAnsiTheme="minorHAnsi"/>
          <w:sz w:val="22"/>
        </w:rPr>
        <w:t>average price, and as a key variable in models used to forecast future price trends.  EIA</w:t>
      </w:r>
      <w:r w:rsidRPr="000C49F4">
        <w:rPr>
          <w:rFonts w:asciiTheme="minorHAnsi" w:hAnsiTheme="minorHAnsi"/>
          <w:sz w:val="22"/>
        </w:rPr>
        <w:noBreakHyphen/>
        <w:t>14 statistics are also used throughout the industry as a basis for adjusting prices in escalator clauses in contracts.</w:t>
      </w:r>
    </w:p>
    <w:p w:rsidR="000B67AE" w:rsidRDefault="000B67A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303B83" w:rsidP="006D0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importance and usefulness of EIA</w:t>
      </w:r>
      <w:r w:rsidRPr="00667C26">
        <w:rPr>
          <w:rFonts w:asciiTheme="minorHAnsi" w:hAnsiTheme="minorHAnsi"/>
          <w:sz w:val="22"/>
        </w:rPr>
        <w:noBreakHyphen/>
        <w:t>14 data to</w:t>
      </w:r>
      <w:r w:rsidR="00416C16" w:rsidRPr="00667C26">
        <w:rPr>
          <w:rFonts w:asciiTheme="minorHAnsi" w:hAnsiTheme="minorHAnsi"/>
          <w:sz w:val="22"/>
        </w:rPr>
        <w:t xml:space="preserve"> the</w:t>
      </w:r>
      <w:r w:rsidRPr="00667C26">
        <w:rPr>
          <w:rFonts w:asciiTheme="minorHAnsi" w:hAnsiTheme="minorHAnsi"/>
          <w:sz w:val="22"/>
        </w:rPr>
        <w:t xml:space="preserve"> industry are demonstrated by the frequent appearance of these data in industry newsletters, trade journals and the general press.  </w:t>
      </w:r>
      <w:r w:rsidR="000B6CAD" w:rsidRPr="00667C26">
        <w:rPr>
          <w:rFonts w:asciiTheme="minorHAnsi" w:hAnsiTheme="minorHAnsi"/>
          <w:sz w:val="22"/>
        </w:rPr>
        <w:t>The EIA-14 data are republished or quote in articles in journals and</w:t>
      </w:r>
      <w:r w:rsidRPr="00667C26">
        <w:rPr>
          <w:rFonts w:asciiTheme="minorHAnsi" w:hAnsiTheme="minorHAnsi"/>
          <w:sz w:val="22"/>
        </w:rPr>
        <w:t xml:space="preserve"> publications</w:t>
      </w:r>
      <w:r w:rsidR="00802286" w:rsidRPr="00667C26">
        <w:rPr>
          <w:rFonts w:asciiTheme="minorHAnsi" w:hAnsiTheme="minorHAnsi"/>
          <w:sz w:val="22"/>
        </w:rPr>
        <w:t xml:space="preserve">, </w:t>
      </w:r>
      <w:r w:rsidR="0036363E" w:rsidRPr="00667C26">
        <w:rPr>
          <w:rFonts w:asciiTheme="minorHAnsi" w:hAnsiTheme="minorHAnsi"/>
          <w:sz w:val="22"/>
        </w:rPr>
        <w:t>including</w:t>
      </w:r>
      <w:r w:rsidR="00F34765">
        <w:rPr>
          <w:rFonts w:asciiTheme="minorHAnsi" w:hAnsiTheme="minorHAnsi"/>
          <w:sz w:val="22"/>
        </w:rPr>
        <w:t>:</w:t>
      </w:r>
    </w:p>
    <w:p w:rsidR="00F34765" w:rsidRDefault="00F74D4B" w:rsidP="00801FE7">
      <w:pPr>
        <w:pStyle w:val="TEXT"/>
      </w:pPr>
      <w:hyperlink r:id="rId100" w:history="1">
        <w:r w:rsidR="00F34765" w:rsidRPr="00F34765">
          <w:rPr>
            <w:rStyle w:val="Hyperlink"/>
          </w:rPr>
          <w:t>WTRG Economics Oil Price and History Analysis</w:t>
        </w:r>
      </w:hyperlink>
      <w:r w:rsidR="00F34765">
        <w:t xml:space="preserve"> use both Refiner Acquisition Cost of Crude Oil and Domestic First Purchase in its analysis</w:t>
      </w:r>
    </w:p>
    <w:p w:rsidR="00F34765" w:rsidRDefault="00F34765" w:rsidP="00801FE7">
      <w:pPr>
        <w:pStyle w:val="TEXT"/>
      </w:pPr>
      <w:r>
        <w:t xml:space="preserve">The “Oil and Gas Journal” references the Refiner Acquisition Cost of Crude Oil on </w:t>
      </w:r>
      <w:hyperlink r:id="rId101" w:history="1">
        <w:r w:rsidRPr="00F34765">
          <w:rPr>
            <w:rStyle w:val="Hyperlink"/>
          </w:rPr>
          <w:t>its webpage</w:t>
        </w:r>
      </w:hyperlink>
    </w:p>
    <w:p w:rsidR="00F34765" w:rsidRDefault="00F34765" w:rsidP="00801FE7">
      <w:pPr>
        <w:pStyle w:val="TEXT"/>
      </w:pPr>
      <w:r>
        <w:t xml:space="preserve">The Refiner Acquisition Cost used in analysis in </w:t>
      </w:r>
      <w:r w:rsidRPr="00F34765">
        <w:rPr>
          <w:i/>
        </w:rPr>
        <w:t>EIA Today</w:t>
      </w:r>
      <w:r>
        <w:t xml:space="preserve"> article, April 6, 2012, on “</w:t>
      </w:r>
      <w:hyperlink r:id="rId102" w:history="1">
        <w:r w:rsidRPr="00F34765">
          <w:rPr>
            <w:rStyle w:val="Hyperlink"/>
          </w:rPr>
          <w:t>Regional differences for cost of crude oil to refiners widen in 2011”</w:t>
        </w:r>
      </w:hyperlink>
    </w:p>
    <w:p w:rsidR="00F34765" w:rsidRPr="00F34765" w:rsidRDefault="00F34765" w:rsidP="000C49F4">
      <w:pPr>
        <w:pStyle w:val="TEXT"/>
      </w:pPr>
      <w:r>
        <w:t xml:space="preserve">Bloomberg references the Imported Refiners’ Acquisition Cost of Crude Oil on its </w:t>
      </w:r>
      <w:hyperlink r:id="rId103" w:history="1">
        <w:r w:rsidRPr="00F34765">
          <w:rPr>
            <w:rStyle w:val="Hyperlink"/>
          </w:rPr>
          <w:t>webpage.</w:t>
        </w:r>
      </w:hyperlink>
    </w:p>
    <w:p w:rsidR="00802286" w:rsidRPr="004C2713" w:rsidRDefault="00802286"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EIA-182, “</w:t>
      </w:r>
      <w:r w:rsidR="003A7698" w:rsidRPr="004C2713">
        <w:rPr>
          <w:rFonts w:asciiTheme="minorHAnsi" w:hAnsiTheme="minorHAnsi"/>
          <w:b/>
          <w:bCs/>
          <w:sz w:val="22"/>
          <w:u w:val="single"/>
        </w:rPr>
        <w:t>Domestic Crude Oil First Purchase Report</w:t>
      </w:r>
      <w:r w:rsidR="00CF633A" w:rsidRPr="004C2713">
        <w:rPr>
          <w:rFonts w:asciiTheme="minorHAnsi" w:hAnsiTheme="minorHAnsi"/>
          <w:b/>
          <w:bCs/>
          <w:sz w:val="22"/>
          <w:u w:val="single"/>
        </w:rPr>
        <w:t>”</w:t>
      </w:r>
      <w:r w:rsidR="003A7698" w:rsidRPr="004C2713">
        <w:rPr>
          <w:rFonts w:asciiTheme="minorHAnsi" w:hAnsiTheme="minorHAnsi"/>
          <w:b/>
          <w:bCs/>
          <w:sz w:val="22"/>
          <w:u w:val="single"/>
        </w:rPr>
        <w:t xml:space="preserve"> </w:t>
      </w:r>
    </w:p>
    <w:p w:rsidR="003A7698" w:rsidRPr="004C2713" w:rsidRDefault="003A769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182 </w:t>
      </w:r>
      <w:r w:rsidR="004F60A2" w:rsidRPr="004C2713">
        <w:rPr>
          <w:rFonts w:asciiTheme="minorHAnsi" w:hAnsiTheme="minorHAnsi"/>
          <w:sz w:val="22"/>
        </w:rPr>
        <w:t xml:space="preserve">is a mandatory </w:t>
      </w:r>
      <w:r w:rsidRPr="004C2713">
        <w:rPr>
          <w:rFonts w:asciiTheme="minorHAnsi" w:hAnsiTheme="minorHAnsi"/>
          <w:sz w:val="22"/>
        </w:rPr>
        <w:t xml:space="preserve">survey </w:t>
      </w:r>
      <w:r w:rsidR="004F60A2" w:rsidRPr="004C2713">
        <w:rPr>
          <w:rFonts w:asciiTheme="minorHAnsi" w:hAnsiTheme="minorHAnsi"/>
          <w:sz w:val="22"/>
        </w:rPr>
        <w:t xml:space="preserve">conducted monthly to collect detailed </w:t>
      </w:r>
      <w:r w:rsidRPr="004C2713">
        <w:rPr>
          <w:rFonts w:asciiTheme="minorHAnsi" w:hAnsiTheme="minorHAnsi"/>
          <w:sz w:val="22"/>
        </w:rPr>
        <w:t xml:space="preserve">information on the wellhead price of domestic crude oil.  </w:t>
      </w:r>
      <w:r w:rsidR="0076178F" w:rsidRPr="004C2713">
        <w:rPr>
          <w:rFonts w:asciiTheme="minorHAnsi" w:hAnsiTheme="minorHAnsi"/>
          <w:sz w:val="22"/>
        </w:rPr>
        <w:t>This</w:t>
      </w:r>
      <w:r w:rsidR="007E0F21" w:rsidRPr="004C2713">
        <w:rPr>
          <w:rFonts w:asciiTheme="minorHAnsi" w:hAnsiTheme="minorHAnsi"/>
          <w:sz w:val="22"/>
        </w:rPr>
        <w:t xml:space="preserve"> survey collects the average cost per barrel and total volume purchased </w:t>
      </w:r>
      <w:r w:rsidR="00567A94" w:rsidRPr="004C2713">
        <w:rPr>
          <w:rFonts w:asciiTheme="minorHAnsi" w:hAnsiTheme="minorHAnsi"/>
          <w:sz w:val="22"/>
        </w:rPr>
        <w:t>in a s</w:t>
      </w:r>
      <w:r w:rsidR="009505CA" w:rsidRPr="004C2713">
        <w:rPr>
          <w:rFonts w:asciiTheme="minorHAnsi" w:hAnsiTheme="minorHAnsi"/>
          <w:sz w:val="22"/>
        </w:rPr>
        <w:t xml:space="preserve">tate </w:t>
      </w:r>
      <w:r w:rsidR="007E0F21" w:rsidRPr="004C2713">
        <w:rPr>
          <w:rFonts w:asciiTheme="minorHAnsi" w:hAnsiTheme="minorHAnsi"/>
          <w:sz w:val="22"/>
        </w:rPr>
        <w:t>for requested crude streams.</w:t>
      </w:r>
      <w:r w:rsidRPr="004C2713">
        <w:rPr>
          <w:rFonts w:asciiTheme="minorHAnsi" w:hAnsiTheme="minorHAnsi"/>
          <w:sz w:val="22"/>
        </w:rPr>
        <w:t xml:space="preserve">  A weighted average first purchase price is then calculated from the cost and volume data.  EIA</w:t>
      </w:r>
      <w:r w:rsidRPr="004C2713">
        <w:rPr>
          <w:rFonts w:asciiTheme="minorHAnsi" w:hAnsiTheme="minorHAnsi"/>
          <w:sz w:val="22"/>
        </w:rPr>
        <w:noBreakHyphen/>
        <w:t xml:space="preserve">182 data have a variety of users, including Federal and State government agencies, </w:t>
      </w:r>
      <w:r w:rsidRPr="004C2713">
        <w:rPr>
          <w:rFonts w:asciiTheme="minorHAnsi" w:hAnsiTheme="minorHAnsi"/>
          <w:sz w:val="22"/>
        </w:rPr>
        <w:lastRenderedPageBreak/>
        <w:t>private industry firms and universities.  Th</w:t>
      </w:r>
      <w:r w:rsidR="00567A94" w:rsidRPr="004C2713">
        <w:rPr>
          <w:rFonts w:asciiTheme="minorHAnsi" w:hAnsiTheme="minorHAnsi"/>
          <w:sz w:val="22"/>
        </w:rPr>
        <w:t xml:space="preserve">is data </w:t>
      </w:r>
      <w:r w:rsidRPr="004C2713">
        <w:rPr>
          <w:rFonts w:asciiTheme="minorHAnsi" w:hAnsiTheme="minorHAnsi"/>
          <w:sz w:val="22"/>
        </w:rPr>
        <w:t>is used for the following purposes:</w:t>
      </w:r>
    </w:p>
    <w:p w:rsidR="006B5696" w:rsidRPr="004C2713" w:rsidRDefault="00015801" w:rsidP="000C49F4">
      <w:pPr>
        <w:pStyle w:val="TEXT"/>
        <w:numPr>
          <w:ilvl w:val="0"/>
          <w:numId w:val="26"/>
        </w:numPr>
        <w:spacing w:line="360" w:lineRule="auto"/>
        <w:rPr>
          <w:i/>
        </w:rPr>
      </w:pPr>
      <w:r w:rsidRPr="004C2713">
        <w:t>Revenue and tax credits</w:t>
      </w:r>
      <w:r w:rsidR="00CB1D94" w:rsidRPr="004C2713">
        <w:t xml:space="preserve"> – e.g., c</w:t>
      </w:r>
      <w:r w:rsidR="004F60A2" w:rsidRPr="004C2713">
        <w:t>alculating income tax credits</w:t>
      </w:r>
      <w:r w:rsidR="00CB1D94" w:rsidRPr="004C2713">
        <w:t xml:space="preserve"> and v</w:t>
      </w:r>
      <w:r w:rsidR="004F60A2" w:rsidRPr="004C2713">
        <w:t>erifying futures, spot and posted prices, and revenues.</w:t>
      </w:r>
      <w:r w:rsidR="00C53F45" w:rsidRPr="004C2713">
        <w:t xml:space="preserve"> </w:t>
      </w:r>
    </w:p>
    <w:p w:rsidR="00CB1D94" w:rsidRPr="004C2713" w:rsidRDefault="00015801" w:rsidP="000C49F4">
      <w:pPr>
        <w:pStyle w:val="TEXT"/>
        <w:numPr>
          <w:ilvl w:val="0"/>
          <w:numId w:val="26"/>
        </w:numPr>
        <w:spacing w:line="360" w:lineRule="auto"/>
        <w:rPr>
          <w:i/>
        </w:rPr>
      </w:pPr>
      <w:r w:rsidRPr="004C2713">
        <w:t xml:space="preserve">Industry </w:t>
      </w:r>
      <w:r w:rsidR="00CB1D94" w:rsidRPr="004C2713">
        <w:t xml:space="preserve">and market </w:t>
      </w:r>
      <w:r w:rsidRPr="004C2713">
        <w:t>analysis</w:t>
      </w:r>
      <w:r w:rsidR="00CB1D94" w:rsidRPr="004C2713">
        <w:t xml:space="preserve"> – e.g., m</w:t>
      </w:r>
      <w:r w:rsidRPr="004C2713">
        <w:t>easuring the level of industry concentration and the distribution of ownership of domestic crude oil</w:t>
      </w:r>
      <w:r w:rsidR="00CB1D94" w:rsidRPr="004C2713">
        <w:t xml:space="preserve"> and m</w:t>
      </w:r>
      <w:r w:rsidRPr="004C2713">
        <w:t xml:space="preserve">onitoring </w:t>
      </w:r>
      <w:r w:rsidR="00263714" w:rsidRPr="004C2713">
        <w:t xml:space="preserve">the petroleum refining industry. </w:t>
      </w:r>
    </w:p>
    <w:p w:rsidR="003934CE" w:rsidRPr="004C2713" w:rsidRDefault="00015801" w:rsidP="000C49F4">
      <w:pPr>
        <w:pStyle w:val="TEXT"/>
        <w:numPr>
          <w:ilvl w:val="0"/>
          <w:numId w:val="26"/>
        </w:numPr>
        <w:spacing w:line="360" w:lineRule="auto"/>
      </w:pPr>
      <w:r w:rsidRPr="004C2713">
        <w:t>Policy analysis and forecasting</w:t>
      </w:r>
      <w:r w:rsidR="00CB1D94" w:rsidRPr="004C2713">
        <w:t xml:space="preserve"> – e.g., emergency preparedness </w:t>
      </w:r>
      <w:r w:rsidRPr="004C2713">
        <w:t>planning</w:t>
      </w:r>
      <w:r w:rsidR="00CB1D94" w:rsidRPr="004C2713">
        <w:t>, e</w:t>
      </w:r>
      <w:r w:rsidR="004F60A2" w:rsidRPr="004C2713">
        <w:t xml:space="preserve">valuating legislative, administrative, and regulatory issues </w:t>
      </w:r>
      <w:r w:rsidR="00CB1D94" w:rsidRPr="004C2713">
        <w:t xml:space="preserve">pertaining to </w:t>
      </w:r>
      <w:r w:rsidR="004F60A2" w:rsidRPr="004C2713">
        <w:t>domestic crude oil markets</w:t>
      </w:r>
      <w:r w:rsidR="00CB1D94" w:rsidRPr="004C2713">
        <w:t>, fo</w:t>
      </w:r>
      <w:r w:rsidR="003934CE" w:rsidRPr="004C2713">
        <w:t>recasting prices downstream for refined products at the refinery gate and subseq</w:t>
      </w:r>
      <w:r w:rsidR="00CB1D94" w:rsidRPr="004C2713">
        <w:t>uent wholesale and retail sales, and for forecasting tax revenues, s</w:t>
      </w:r>
      <w:r w:rsidR="003934CE" w:rsidRPr="004C2713">
        <w:t>tate-level production volumes</w:t>
      </w:r>
      <w:r w:rsidR="00CB1D94" w:rsidRPr="004C2713">
        <w:t xml:space="preserve"> and prices in</w:t>
      </w:r>
      <w:r w:rsidR="003934CE" w:rsidRPr="004C2713">
        <w:t xml:space="preserve"> the </w:t>
      </w:r>
      <w:r w:rsidR="00263714" w:rsidRPr="004C2713">
        <w:rPr>
          <w:i/>
        </w:rPr>
        <w:t>MER</w:t>
      </w:r>
      <w:r w:rsidR="00263714" w:rsidRPr="004C2713">
        <w:t xml:space="preserve"> and </w:t>
      </w:r>
      <w:r w:rsidR="006B5696" w:rsidRPr="004C2713">
        <w:t xml:space="preserve">the </w:t>
      </w:r>
      <w:r w:rsidR="00263714" w:rsidRPr="004C2713">
        <w:rPr>
          <w:i/>
        </w:rPr>
        <w:t>S</w:t>
      </w:r>
      <w:r w:rsidR="00BD6C9C" w:rsidRPr="004C2713">
        <w:rPr>
          <w:i/>
        </w:rPr>
        <w:t>TEO</w:t>
      </w:r>
      <w:r w:rsidR="003934CE" w:rsidRPr="004C2713">
        <w:t>.</w:t>
      </w:r>
    </w:p>
    <w:p w:rsidR="00263714" w:rsidRPr="00065520" w:rsidRDefault="00B21C63" w:rsidP="000C49F4">
      <w:pPr>
        <w:pStyle w:val="TEXT"/>
        <w:numPr>
          <w:ilvl w:val="0"/>
          <w:numId w:val="26"/>
        </w:numPr>
        <w:spacing w:line="360" w:lineRule="auto"/>
      </w:pPr>
      <w:r w:rsidRPr="00065520">
        <w:t xml:space="preserve">Crude oil data from the EIA-182 are used frequently by </w:t>
      </w:r>
      <w:r w:rsidR="00D40B3D" w:rsidRPr="00065520">
        <w:t>congress and f</w:t>
      </w:r>
      <w:r w:rsidRPr="00065520">
        <w:t>ederal</w:t>
      </w:r>
      <w:r w:rsidR="00D40B3D" w:rsidRPr="00065520">
        <w:t xml:space="preserve"> </w:t>
      </w:r>
      <w:r w:rsidRPr="00065520">
        <w:t>agencies</w:t>
      </w:r>
      <w:r w:rsidR="00263714" w:rsidRPr="00065520">
        <w:t>,</w:t>
      </w:r>
      <w:r w:rsidRPr="00065520">
        <w:t xml:space="preserve"> including</w:t>
      </w:r>
      <w:r w:rsidR="00D40B3D" w:rsidRPr="00065520">
        <w:t>:</w:t>
      </w:r>
      <w:r w:rsidR="00DC1DE8" w:rsidRPr="00065520">
        <w:t xml:space="preserve"> t</w:t>
      </w:r>
      <w:r w:rsidR="0076178F" w:rsidRPr="00065520">
        <w:t xml:space="preserve">he </w:t>
      </w:r>
      <w:r w:rsidR="00263714" w:rsidRPr="00065520">
        <w:t>Office of Fossil Fuels</w:t>
      </w:r>
      <w:r w:rsidR="0076178F" w:rsidRPr="00065520">
        <w:t xml:space="preserve"> and EIA</w:t>
      </w:r>
      <w:r w:rsidR="00263714" w:rsidRPr="00065520">
        <w:t xml:space="preserve"> at the Department of Energy</w:t>
      </w:r>
      <w:r w:rsidR="00DC1DE8" w:rsidRPr="00065520">
        <w:t>; IRS</w:t>
      </w:r>
      <w:r w:rsidR="00263714" w:rsidRPr="00065520">
        <w:t xml:space="preserve"> at the Treasury Department</w:t>
      </w:r>
      <w:r w:rsidR="00DC1DE8" w:rsidRPr="00065520">
        <w:t>; BEA</w:t>
      </w:r>
      <w:r w:rsidR="00644A84">
        <w:t xml:space="preserve"> and </w:t>
      </w:r>
      <w:r w:rsidRPr="00065520">
        <w:t xml:space="preserve">the </w:t>
      </w:r>
      <w:r w:rsidR="00644A84">
        <w:t xml:space="preserve">U.S. </w:t>
      </w:r>
      <w:r w:rsidR="00C76EB4" w:rsidRPr="00065520">
        <w:t xml:space="preserve">Census Bureau at </w:t>
      </w:r>
      <w:r w:rsidRPr="00065520">
        <w:t>Department of Commerce</w:t>
      </w:r>
      <w:r w:rsidR="00DC1DE8" w:rsidRPr="00065520">
        <w:t xml:space="preserve">; and </w:t>
      </w:r>
      <w:r w:rsidR="00644A84">
        <w:t>t</w:t>
      </w:r>
      <w:r w:rsidR="00263714" w:rsidRPr="00065520">
        <w:t>he Congressional Joint Committee on Taxatio</w:t>
      </w:r>
      <w:r w:rsidR="00B54FDB" w:rsidRPr="00065520">
        <w:t>n at the Department of Interior</w:t>
      </w:r>
      <w:r w:rsidR="00C76EB4" w:rsidRPr="00065520">
        <w:t>; and the IRS at the Department of Treasury</w:t>
      </w:r>
      <w:r w:rsidR="00FD2111" w:rsidRPr="00065520">
        <w:t>.</w:t>
      </w:r>
    </w:p>
    <w:p w:rsidR="00065520" w:rsidRDefault="00002C6C" w:rsidP="00065520">
      <w:pPr>
        <w:spacing w:line="360" w:lineRule="auto"/>
        <w:rPr>
          <w:i/>
          <w:iCs/>
        </w:rPr>
      </w:pPr>
      <w:r w:rsidRPr="00065520">
        <w:rPr>
          <w:rFonts w:asciiTheme="minorHAnsi" w:hAnsiTheme="minorHAnsi"/>
          <w:sz w:val="22"/>
        </w:rPr>
        <w:t xml:space="preserve">EIA uses the data primarily for forecasting revenues and production of crude oil, monitoring key energy markets, and conducting economic analyses and projections.  The Reserves and Production Division of EIA inputs State level data to a forecasting model to project U.S. production levels and associated prices for domestic crude.  EIA publishes the crude oil first purchase price data in the </w:t>
      </w:r>
      <w:r w:rsidRPr="00065520">
        <w:rPr>
          <w:rFonts w:asciiTheme="minorHAnsi" w:hAnsiTheme="minorHAnsi"/>
          <w:i/>
          <w:iCs/>
          <w:sz w:val="22"/>
        </w:rPr>
        <w:t xml:space="preserve">MER, </w:t>
      </w:r>
      <w:r w:rsidR="00DC1DE8" w:rsidRPr="00065520">
        <w:rPr>
          <w:rFonts w:asciiTheme="minorHAnsi" w:hAnsiTheme="minorHAnsi"/>
          <w:i/>
          <w:iCs/>
          <w:sz w:val="22"/>
        </w:rPr>
        <w:t xml:space="preserve">the </w:t>
      </w:r>
      <w:r w:rsidRPr="00065520">
        <w:rPr>
          <w:rFonts w:asciiTheme="minorHAnsi" w:hAnsiTheme="minorHAnsi"/>
          <w:i/>
          <w:iCs/>
          <w:sz w:val="22"/>
        </w:rPr>
        <w:t xml:space="preserve">PMM, </w:t>
      </w:r>
      <w:r w:rsidR="00DC1DE8" w:rsidRPr="00065520">
        <w:rPr>
          <w:rFonts w:asciiTheme="minorHAnsi" w:hAnsiTheme="minorHAnsi"/>
          <w:i/>
          <w:iCs/>
          <w:sz w:val="22"/>
        </w:rPr>
        <w:t xml:space="preserve">the </w:t>
      </w:r>
      <w:r w:rsidRPr="00065520">
        <w:rPr>
          <w:rFonts w:asciiTheme="minorHAnsi" w:hAnsiTheme="minorHAnsi"/>
          <w:i/>
          <w:iCs/>
          <w:sz w:val="22"/>
        </w:rPr>
        <w:t>PMA</w:t>
      </w:r>
      <w:r w:rsidR="00065520" w:rsidRPr="00065520">
        <w:rPr>
          <w:rFonts w:asciiTheme="minorHAnsi" w:hAnsiTheme="minorHAnsi"/>
          <w:i/>
          <w:iCs/>
          <w:sz w:val="22"/>
        </w:rPr>
        <w:t>, the PSM, the PSA,</w:t>
      </w:r>
      <w:r w:rsidRPr="00065520">
        <w:rPr>
          <w:rFonts w:asciiTheme="minorHAnsi" w:hAnsiTheme="minorHAnsi"/>
          <w:i/>
          <w:iCs/>
          <w:sz w:val="22"/>
        </w:rPr>
        <w:t xml:space="preserve"> </w:t>
      </w:r>
      <w:r w:rsidR="00DC1DE8" w:rsidRPr="00065520">
        <w:rPr>
          <w:rFonts w:asciiTheme="minorHAnsi" w:hAnsiTheme="minorHAnsi"/>
          <w:i/>
          <w:iCs/>
          <w:sz w:val="22"/>
        </w:rPr>
        <w:t xml:space="preserve">the </w:t>
      </w:r>
      <w:r w:rsidRPr="00065520">
        <w:rPr>
          <w:rFonts w:asciiTheme="minorHAnsi" w:hAnsiTheme="minorHAnsi"/>
          <w:i/>
          <w:iCs/>
          <w:sz w:val="22"/>
        </w:rPr>
        <w:t>AER</w:t>
      </w:r>
      <w:r w:rsidRPr="00065520">
        <w:rPr>
          <w:rFonts w:asciiTheme="minorHAnsi" w:hAnsiTheme="minorHAnsi"/>
          <w:sz w:val="22"/>
        </w:rPr>
        <w:t xml:space="preserve"> and the </w:t>
      </w:r>
      <w:r w:rsidRPr="00065520">
        <w:rPr>
          <w:rFonts w:asciiTheme="minorHAnsi" w:hAnsiTheme="minorHAnsi"/>
          <w:i/>
          <w:iCs/>
          <w:sz w:val="22"/>
        </w:rPr>
        <w:t>U.S Crude Oil, Natural Gas, and Natural Gas Liquids Reserves Report</w:t>
      </w:r>
      <w:r w:rsidRPr="004C2713">
        <w:rPr>
          <w:i/>
          <w:iCs/>
        </w:rPr>
        <w:t>.</w:t>
      </w:r>
      <w:r w:rsidR="00065520">
        <w:rPr>
          <w:i/>
          <w:iCs/>
        </w:rPr>
        <w:t xml:space="preserve"> </w:t>
      </w:r>
    </w:p>
    <w:p w:rsidR="00065520" w:rsidRDefault="00065520" w:rsidP="00065520">
      <w:pPr>
        <w:rPr>
          <w:i/>
          <w:iCs/>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iCs/>
          <w:sz w:val="22"/>
          <w:szCs w:val="22"/>
        </w:rPr>
        <w:t>For example,</w:t>
      </w:r>
      <w:r w:rsidRPr="00065520">
        <w:rPr>
          <w:rFonts w:asciiTheme="minorHAnsi" w:hAnsiTheme="minorHAnsi"/>
          <w:sz w:val="22"/>
          <w:szCs w:val="22"/>
        </w:rPr>
        <w:t xml:space="preserve"> EIA’s publishes monthly and annual U.S. crude oil production estimates in the </w:t>
      </w:r>
      <w:hyperlink r:id="rId104" w:history="1">
        <w:r w:rsidRPr="00065520">
          <w:rPr>
            <w:rStyle w:val="Hyperlink"/>
            <w:rFonts w:asciiTheme="minorHAnsi" w:hAnsiTheme="minorHAnsi"/>
            <w:sz w:val="22"/>
            <w:szCs w:val="22"/>
          </w:rPr>
          <w:t>Petroleum Supply Monthly</w:t>
        </w:r>
      </w:hyperlink>
      <w:r w:rsidRPr="00065520">
        <w:rPr>
          <w:rFonts w:asciiTheme="minorHAnsi" w:hAnsiTheme="minorHAnsi"/>
          <w:sz w:val="22"/>
          <w:szCs w:val="22"/>
        </w:rPr>
        <w:t xml:space="preserve">, </w:t>
      </w:r>
      <w:hyperlink r:id="rId105" w:history="1">
        <w:r w:rsidRPr="00065520">
          <w:rPr>
            <w:rStyle w:val="Hyperlink"/>
            <w:rFonts w:asciiTheme="minorHAnsi" w:hAnsiTheme="minorHAnsi"/>
            <w:sz w:val="22"/>
            <w:szCs w:val="22"/>
          </w:rPr>
          <w:t>Petroleum Supply Annual</w:t>
        </w:r>
      </w:hyperlink>
      <w:r w:rsidRPr="00065520">
        <w:rPr>
          <w:rFonts w:asciiTheme="minorHAnsi" w:hAnsiTheme="minorHAnsi"/>
          <w:sz w:val="22"/>
          <w:szCs w:val="22"/>
        </w:rPr>
        <w:t xml:space="preserve">, and </w:t>
      </w:r>
      <w:hyperlink r:id="rId106" w:history="1">
        <w:r w:rsidRPr="00065520">
          <w:rPr>
            <w:rStyle w:val="Hyperlink"/>
            <w:rFonts w:asciiTheme="minorHAnsi" w:hAnsiTheme="minorHAnsi"/>
            <w:sz w:val="22"/>
            <w:szCs w:val="22"/>
          </w:rPr>
          <w:t>Petroleum Navigator</w:t>
        </w:r>
      </w:hyperlink>
      <w:r w:rsidRPr="00065520">
        <w:rPr>
          <w:rFonts w:asciiTheme="minorHAnsi" w:hAnsiTheme="minorHAnsi"/>
          <w:sz w:val="22"/>
          <w:szCs w:val="22"/>
        </w:rPr>
        <w:t>.  In order to make these monthly estimates EIA relies on external data sources (from States) and EIA-182 first purchaser volume data to calculate estimates. EIA currently has no survey of crude oil producers.</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 xml:space="preserve">The initial estimates of </w:t>
      </w:r>
      <w:hyperlink r:id="rId107" w:history="1">
        <w:r w:rsidRPr="00065520">
          <w:rPr>
            <w:rStyle w:val="Hyperlink"/>
            <w:rFonts w:asciiTheme="minorHAnsi" w:hAnsiTheme="minorHAnsi"/>
            <w:sz w:val="22"/>
            <w:szCs w:val="22"/>
          </w:rPr>
          <w:t>U.S. Petroleum Administration for Defense District</w:t>
        </w:r>
      </w:hyperlink>
      <w:r w:rsidRPr="00065520">
        <w:rPr>
          <w:rFonts w:asciiTheme="minorHAnsi" w:hAnsiTheme="minorHAnsi"/>
          <w:sz w:val="22"/>
          <w:szCs w:val="22"/>
        </w:rPr>
        <w:t xml:space="preserve"> (PADD) and State crude oil production for the current reference month published in the Petroleum Supply Monthly (PSM) and Petroleum Navigator are based on: (a) crude oil production data from State Government agencies and the Department of the Interior, Bureau of Safety and Environmental Enforcement (BSEE) and (b) first purchase data (volume) reported on Form EIA-182, “Domestic Crude Oil First Purchase Report.” </w:t>
      </w:r>
    </w:p>
    <w:p w:rsidR="00065520" w:rsidRPr="00065520" w:rsidRDefault="00065520" w:rsidP="00065520">
      <w:pPr>
        <w:spacing w:line="360" w:lineRule="auto"/>
        <w:rPr>
          <w:rFonts w:asciiTheme="minorHAnsi" w:hAnsiTheme="minorHAnsi"/>
          <w:sz w:val="22"/>
          <w:szCs w:val="22"/>
        </w:rPr>
      </w:pPr>
    </w:p>
    <w:p w:rsidR="00065520" w:rsidRPr="00065520" w:rsidRDefault="00065520" w:rsidP="00065520">
      <w:pPr>
        <w:pStyle w:val="NoSpacing"/>
        <w:spacing w:line="360" w:lineRule="auto"/>
        <w:rPr>
          <w:sz w:val="22"/>
          <w:szCs w:val="22"/>
        </w:rPr>
      </w:pPr>
      <w:r w:rsidRPr="00065520">
        <w:rPr>
          <w:sz w:val="22"/>
          <w:szCs w:val="22"/>
        </w:rPr>
        <w:t xml:space="preserve">EIA normally calculates an estimate by using the lagged average ratio of the State reported data to EIA-182 data, applied to the current EIA-182 data.  Thus, there are three parameters involved in making the estimates: the State data from State Government </w:t>
      </w:r>
      <w:r w:rsidR="000C49F4" w:rsidRPr="00065520">
        <w:rPr>
          <w:sz w:val="22"/>
          <w:szCs w:val="22"/>
        </w:rPr>
        <w:t>agencies,</w:t>
      </w:r>
      <w:r w:rsidRPr="00065520">
        <w:rPr>
          <w:sz w:val="22"/>
          <w:szCs w:val="22"/>
        </w:rPr>
        <w:t xml:space="preserve"> the EIA-182 data, and the average ratio between these two over a lagged 6-month period.  In this method the lagged average ratio has the biggest influence on the level of production, while the current EIA-182 data have the biggest influence on the trend.  </w:t>
      </w:r>
    </w:p>
    <w:p w:rsidR="00065520" w:rsidRDefault="00065520" w:rsidP="00065520">
      <w:pPr>
        <w:spacing w:line="360" w:lineRule="auto"/>
        <w:rPr>
          <w:rFonts w:asciiTheme="minorHAnsi" w:hAnsiTheme="minorHAnsi"/>
          <w:sz w:val="22"/>
          <w:szCs w:val="22"/>
        </w:rPr>
      </w:pPr>
    </w:p>
    <w:p w:rsidR="00065520" w:rsidRPr="00065520" w:rsidRDefault="00065520" w:rsidP="00065520">
      <w:pPr>
        <w:spacing w:line="360" w:lineRule="auto"/>
        <w:rPr>
          <w:rFonts w:asciiTheme="minorHAnsi" w:hAnsiTheme="minorHAnsi"/>
          <w:sz w:val="22"/>
          <w:szCs w:val="22"/>
          <w:vertAlign w:val="subscript"/>
        </w:rPr>
      </w:pPr>
      <w:r w:rsidRPr="00065520">
        <w:rPr>
          <w:rFonts w:asciiTheme="minorHAnsi" w:hAnsiTheme="minorHAnsi"/>
          <w:sz w:val="22"/>
          <w:szCs w:val="22"/>
        </w:rPr>
        <w:t>Estimated Barrels of Crude Oil Production per day</w:t>
      </w:r>
      <w:r w:rsidRPr="00065520">
        <w:rPr>
          <w:rFonts w:asciiTheme="minorHAnsi" w:hAnsiTheme="minorHAnsi"/>
          <w:sz w:val="22"/>
          <w:szCs w:val="22"/>
          <w:vertAlign w:val="subscript"/>
        </w:rPr>
        <w:t>i</w:t>
      </w:r>
      <w:r w:rsidRPr="00065520">
        <w:rPr>
          <w:rFonts w:asciiTheme="minorHAnsi" w:hAnsiTheme="minorHAnsi"/>
          <w:sz w:val="22"/>
          <w:szCs w:val="22"/>
        </w:rPr>
        <w:t xml:space="preserve"> = FP</w:t>
      </w:r>
      <w:r w:rsidRPr="00065520">
        <w:rPr>
          <w:rFonts w:asciiTheme="minorHAnsi" w:hAnsiTheme="minorHAnsi"/>
          <w:sz w:val="22"/>
          <w:szCs w:val="22"/>
          <w:vertAlign w:val="subscript"/>
        </w:rPr>
        <w:t>i</w:t>
      </w:r>
      <w:r w:rsidRPr="00065520">
        <w:rPr>
          <w:rFonts w:asciiTheme="minorHAnsi" w:hAnsiTheme="minorHAnsi"/>
          <w:sz w:val="22"/>
          <w:szCs w:val="22"/>
        </w:rPr>
        <w:t xml:space="preserve"> * AvgRatio</w:t>
      </w:r>
      <w:r w:rsidRPr="00065520">
        <w:rPr>
          <w:rFonts w:asciiTheme="minorHAnsi" w:hAnsiTheme="minorHAnsi"/>
          <w:sz w:val="22"/>
          <w:szCs w:val="22"/>
          <w:vertAlign w:val="subscript"/>
        </w:rPr>
        <w:t>i-L</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Where FP</w:t>
      </w:r>
      <w:r w:rsidRPr="00065520">
        <w:rPr>
          <w:rFonts w:asciiTheme="minorHAnsi" w:hAnsiTheme="minorHAnsi"/>
          <w:sz w:val="22"/>
          <w:szCs w:val="22"/>
          <w:vertAlign w:val="subscript"/>
        </w:rPr>
        <w:t>i</w:t>
      </w:r>
      <w:r w:rsidRPr="00065520">
        <w:rPr>
          <w:rFonts w:asciiTheme="minorHAnsi" w:hAnsiTheme="minorHAnsi"/>
          <w:sz w:val="22"/>
          <w:szCs w:val="22"/>
        </w:rPr>
        <w:t xml:space="preserve"> = First Purchase in barrels of crude oil per day, from EIA-182 survey for month i</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AvgRatio</w:t>
      </w:r>
      <w:r w:rsidRPr="00065520">
        <w:rPr>
          <w:rFonts w:asciiTheme="minorHAnsi" w:hAnsiTheme="minorHAnsi"/>
          <w:sz w:val="22"/>
          <w:szCs w:val="22"/>
          <w:vertAlign w:val="subscript"/>
        </w:rPr>
        <w:t>i-L</w:t>
      </w:r>
      <w:r w:rsidRPr="00065520">
        <w:rPr>
          <w:rFonts w:asciiTheme="minorHAnsi" w:hAnsiTheme="minorHAnsi"/>
          <w:sz w:val="22"/>
          <w:szCs w:val="22"/>
        </w:rPr>
        <w:t xml:space="preserve"> = 1</w:t>
      </w:r>
      <w:r w:rsidRPr="00065520">
        <w:rPr>
          <w:rFonts w:ascii="Times New Roman" w:hAnsi="Times New Roman"/>
          <w:sz w:val="22"/>
          <w:szCs w:val="22"/>
        </w:rPr>
        <w:t>∕</w:t>
      </w:r>
      <w:r w:rsidRPr="00065520">
        <w:rPr>
          <w:rFonts w:asciiTheme="minorHAnsi" w:hAnsiTheme="minorHAnsi"/>
          <w:sz w:val="22"/>
          <w:szCs w:val="22"/>
        </w:rPr>
        <w:t xml:space="preserve">6 * </w:t>
      </w:r>
      <m:oMath>
        <m:nary>
          <m:naryPr>
            <m:chr m:val="∑"/>
            <m:grow m:val="on"/>
            <m:ctrlPr>
              <w:rPr>
                <w:rFonts w:ascii="Cambria Math" w:eastAsia="SimSun" w:hAnsiTheme="minorHAnsi" w:cs="SimSun"/>
                <w:sz w:val="22"/>
                <w:szCs w:val="22"/>
                <w:lang w:eastAsia="zh-CN"/>
              </w:rPr>
            </m:ctrlPr>
          </m:naryPr>
          <m:sub>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sub>
          <m:sup>
            <m:r>
              <w:rPr>
                <w:rFonts w:ascii="Cambria Math" w:hAnsi="Cambria Math"/>
                <w:sz w:val="22"/>
                <w:szCs w:val="22"/>
              </w:rPr>
              <m:t>j</m:t>
            </m:r>
            <m:r>
              <w:rPr>
                <w:rFonts w:ascii="Cambria Math" w:hAnsiTheme="minorHAnsi"/>
                <w:sz w:val="22"/>
                <w:szCs w:val="22"/>
              </w:rPr>
              <m:t>=</m:t>
            </m:r>
            <m:r>
              <w:rPr>
                <w:rFonts w:ascii="Cambria Math" w:hAnsi="Cambria Math"/>
                <w:sz w:val="22"/>
                <w:szCs w:val="22"/>
              </w:rPr>
              <m:t>i</m:t>
            </m:r>
            <m:r>
              <w:rPr>
                <w:rFonts w:asciiTheme="minorHAnsi" w:hAnsiTheme="minorHAnsi"/>
                <w:sz w:val="22"/>
                <w:szCs w:val="22"/>
              </w:rPr>
              <m:t>-</m:t>
            </m:r>
            <m:r>
              <w:rPr>
                <w:rFonts w:ascii="Cambria Math" w:hAnsi="Cambria Math"/>
                <w:sz w:val="22"/>
                <w:szCs w:val="22"/>
              </w:rPr>
              <m:t>L</m:t>
            </m:r>
            <m:r>
              <w:rPr>
                <w:rFonts w:ascii="Cambria Math" w:hAnsiTheme="minorHAnsi"/>
                <w:sz w:val="22"/>
                <w:szCs w:val="22"/>
              </w:rPr>
              <m:t>-</m:t>
            </m:r>
            <m:r>
              <w:rPr>
                <w:rFonts w:ascii="Cambria Math" w:hAnsiTheme="minorHAnsi"/>
                <w:sz w:val="22"/>
                <w:szCs w:val="22"/>
              </w:rPr>
              <m:t>5</m:t>
            </m:r>
          </m:sup>
          <m:e>
            <m:r>
              <m:rPr>
                <m:sty m:val="p"/>
              </m:rPr>
              <w:rPr>
                <w:rFonts w:ascii="Cambria Math" w:hAnsiTheme="minorHAnsi"/>
                <w:sz w:val="22"/>
                <w:szCs w:val="22"/>
              </w:rPr>
              <m:t>(</m:t>
            </m:r>
          </m:e>
        </m:nary>
      </m:oMath>
      <w:r w:rsidRPr="00065520">
        <w:rPr>
          <w:rFonts w:asciiTheme="minorHAnsi" w:hAnsiTheme="minorHAnsi"/>
          <w:sz w:val="22"/>
          <w:szCs w:val="22"/>
        </w:rPr>
        <w:t xml:space="preserve"> State</w:t>
      </w:r>
      <w:r w:rsidRPr="00065520">
        <w:rPr>
          <w:rFonts w:asciiTheme="minorHAnsi" w:hAnsiTheme="minorHAnsi"/>
          <w:sz w:val="22"/>
          <w:szCs w:val="22"/>
          <w:vertAlign w:val="subscript"/>
        </w:rPr>
        <w:t xml:space="preserve">j </w:t>
      </w:r>
      <w:r w:rsidRPr="00065520">
        <w:rPr>
          <w:rFonts w:asciiTheme="minorHAnsi" w:hAnsiTheme="minorHAnsi"/>
          <w:sz w:val="22"/>
          <w:szCs w:val="22"/>
        </w:rPr>
        <w:t>/</w:t>
      </w:r>
      <w:r w:rsidRPr="00065520">
        <w:rPr>
          <w:rFonts w:asciiTheme="minorHAnsi" w:hAnsiTheme="minorHAnsi"/>
          <w:sz w:val="22"/>
          <w:szCs w:val="22"/>
          <w:vertAlign w:val="subscript"/>
        </w:rPr>
        <w:t xml:space="preserve"> </w:t>
      </w:r>
      <w:r w:rsidRPr="00065520">
        <w:rPr>
          <w:rFonts w:asciiTheme="minorHAnsi" w:hAnsiTheme="minorHAnsi"/>
          <w:sz w:val="22"/>
          <w:szCs w:val="22"/>
        </w:rPr>
        <w:t>FP</w:t>
      </w:r>
      <w:r w:rsidRPr="00065520">
        <w:rPr>
          <w:rFonts w:asciiTheme="minorHAnsi" w:hAnsiTheme="minorHAnsi"/>
          <w:sz w:val="22"/>
          <w:szCs w:val="22"/>
          <w:vertAlign w:val="subscript"/>
        </w:rPr>
        <w:t>j</w:t>
      </w:r>
      <w:r w:rsidRPr="00065520">
        <w:rPr>
          <w:rFonts w:asciiTheme="minorHAnsi" w:hAnsiTheme="minorHAnsi"/>
          <w:sz w:val="22"/>
          <w:szCs w:val="22"/>
        </w:rPr>
        <w:t xml:space="preserve"> )</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State</w:t>
      </w:r>
      <w:r w:rsidRPr="00065520">
        <w:rPr>
          <w:rFonts w:asciiTheme="minorHAnsi" w:hAnsiTheme="minorHAnsi"/>
          <w:sz w:val="22"/>
          <w:szCs w:val="22"/>
          <w:vertAlign w:val="subscript"/>
        </w:rPr>
        <w:t xml:space="preserve">j </w:t>
      </w:r>
      <w:r w:rsidRPr="00065520">
        <w:rPr>
          <w:rFonts w:asciiTheme="minorHAnsi" w:hAnsiTheme="minorHAnsi"/>
          <w:sz w:val="22"/>
          <w:szCs w:val="22"/>
        </w:rPr>
        <w:t>= Barrels of crude production per day from State agency for month j</w:t>
      </w:r>
    </w:p>
    <w:p w:rsidR="00065520" w:rsidRPr="00065520" w:rsidRDefault="00065520" w:rsidP="00065520">
      <w:pPr>
        <w:spacing w:line="360" w:lineRule="auto"/>
        <w:rPr>
          <w:rFonts w:asciiTheme="minorHAnsi" w:hAnsiTheme="minorHAnsi"/>
          <w:sz w:val="22"/>
          <w:szCs w:val="22"/>
        </w:rPr>
      </w:pPr>
      <w:r w:rsidRPr="00065520">
        <w:rPr>
          <w:rFonts w:asciiTheme="minorHAnsi" w:hAnsiTheme="minorHAnsi"/>
          <w:sz w:val="22"/>
          <w:szCs w:val="22"/>
        </w:rPr>
        <w:t>L= lag in months for the State</w:t>
      </w:r>
    </w:p>
    <w:p w:rsidR="00065520" w:rsidRPr="00065520" w:rsidRDefault="00065520" w:rsidP="00065520"/>
    <w:p w:rsidR="00D40B3D" w:rsidRPr="00C97B16" w:rsidRDefault="0067039C" w:rsidP="00C97B16">
      <w:pPr>
        <w:pStyle w:val="TEXT"/>
        <w:spacing w:line="360" w:lineRule="auto"/>
        <w:rPr>
          <w:szCs w:val="22"/>
        </w:rPr>
      </w:pPr>
      <w:r w:rsidRPr="00C97B16">
        <w:rPr>
          <w:szCs w:val="22"/>
        </w:rPr>
        <w:t xml:space="preserve">The following programs in </w:t>
      </w:r>
      <w:r w:rsidR="00002C6C" w:rsidRPr="00C97B16">
        <w:rPr>
          <w:szCs w:val="22"/>
        </w:rPr>
        <w:t xml:space="preserve">DOE’s </w:t>
      </w:r>
      <w:r w:rsidR="00567A94" w:rsidRPr="00C97B16">
        <w:rPr>
          <w:szCs w:val="22"/>
        </w:rPr>
        <w:t>Office of Fossil Fuels use</w:t>
      </w:r>
      <w:r w:rsidRPr="00C97B16">
        <w:rPr>
          <w:szCs w:val="22"/>
        </w:rPr>
        <w:t xml:space="preserve"> these data for modeling:</w:t>
      </w:r>
      <w:r w:rsidR="00567A94" w:rsidRPr="00C97B16">
        <w:rPr>
          <w:szCs w:val="22"/>
        </w:rPr>
        <w:t xml:space="preserve"> </w:t>
      </w:r>
      <w:hyperlink r:id="rId108" w:anchor="SPR" w:history="1">
        <w:r w:rsidR="00567A94" w:rsidRPr="00C97B16">
          <w:rPr>
            <w:rStyle w:val="Hyperlink"/>
            <w:szCs w:val="22"/>
          </w:rPr>
          <w:t>Strategic Petroleum Reserve</w:t>
        </w:r>
      </w:hyperlink>
      <w:r w:rsidRPr="00C97B16">
        <w:rPr>
          <w:szCs w:val="22"/>
        </w:rPr>
        <w:t xml:space="preserve">, </w:t>
      </w:r>
      <w:hyperlink r:id="rId109" w:anchor="Naval Petroleum and Oil Shale Reserves" w:history="1">
        <w:r w:rsidR="00002C6C" w:rsidRPr="00C97B16">
          <w:rPr>
            <w:rStyle w:val="Hyperlink"/>
            <w:szCs w:val="22"/>
          </w:rPr>
          <w:t>Naval Petroleum Reserve and Strategic Petroleum Reserve</w:t>
        </w:r>
      </w:hyperlink>
      <w:r w:rsidRPr="00C97B16">
        <w:rPr>
          <w:szCs w:val="22"/>
        </w:rPr>
        <w:t>, and</w:t>
      </w:r>
      <w:r w:rsidRPr="00C97B16">
        <w:rPr>
          <w:b/>
          <w:szCs w:val="22"/>
          <w:u w:val="single"/>
        </w:rPr>
        <w:t xml:space="preserve"> </w:t>
      </w:r>
      <w:r w:rsidR="00002C6C" w:rsidRPr="00C97B16">
        <w:rPr>
          <w:b/>
          <w:szCs w:val="22"/>
          <w:u w:val="single"/>
        </w:rPr>
        <w:t xml:space="preserve"> </w:t>
      </w:r>
      <w:hyperlink r:id="rId110" w:anchor="Northeast Home Heating Oil Reserve" w:tgtFrame="_self" w:history="1">
        <w:r w:rsidRPr="00C97B16">
          <w:rPr>
            <w:rStyle w:val="Strong"/>
            <w:b w:val="0"/>
            <w:color w:val="0000FF"/>
            <w:szCs w:val="22"/>
            <w:u w:val="single"/>
          </w:rPr>
          <w:t>Northeast Home Heating Oil Reserve.</w:t>
        </w:r>
        <w:r w:rsidRPr="00C97B16">
          <w:rPr>
            <w:rStyle w:val="Hyperlink"/>
            <w:b/>
            <w:bCs w:val="0"/>
            <w:szCs w:val="22"/>
          </w:rPr>
          <w:t xml:space="preserve"> </w:t>
        </w:r>
      </w:hyperlink>
    </w:p>
    <w:p w:rsidR="00C76EB4" w:rsidRDefault="00C76EB4" w:rsidP="00C97B16">
      <w:pPr>
        <w:widowControl/>
        <w:autoSpaceDE/>
        <w:autoSpaceDN/>
        <w:adjustRightInd/>
        <w:spacing w:line="360" w:lineRule="auto"/>
        <w:rPr>
          <w:rFonts w:asciiTheme="minorHAnsi" w:hAnsiTheme="minorHAnsi"/>
          <w:sz w:val="22"/>
          <w:szCs w:val="22"/>
        </w:rPr>
      </w:pPr>
      <w:r w:rsidRPr="00C97B16">
        <w:rPr>
          <w:rFonts w:asciiTheme="minorHAnsi" w:hAnsiTheme="minorHAnsi"/>
          <w:sz w:val="22"/>
          <w:szCs w:val="22"/>
        </w:rPr>
        <w:t>Data from the EIA-182 are integrated into</w:t>
      </w:r>
      <w:r w:rsidRPr="00C97B16">
        <w:rPr>
          <w:rFonts w:asciiTheme="minorHAnsi" w:hAnsiTheme="minorHAnsi"/>
          <w:color w:val="1F497D"/>
          <w:sz w:val="22"/>
          <w:szCs w:val="22"/>
        </w:rPr>
        <w:t xml:space="preserve"> </w:t>
      </w:r>
      <w:hyperlink r:id="rId111" w:history="1">
        <w:r w:rsidRPr="00C97B16">
          <w:rPr>
            <w:rStyle w:val="Hyperlink"/>
            <w:rFonts w:asciiTheme="minorHAnsi" w:hAnsiTheme="minorHAnsi"/>
            <w:sz w:val="22"/>
            <w:szCs w:val="22"/>
          </w:rPr>
          <w:t>Section 18: Forestry, Fishing and Minerals of the Statistical Abstract of the United States</w:t>
        </w:r>
      </w:hyperlink>
      <w:r w:rsidRPr="00C97B16">
        <w:rPr>
          <w:rFonts w:asciiTheme="minorHAnsi" w:hAnsiTheme="minorHAnsi"/>
          <w:sz w:val="22"/>
          <w:szCs w:val="22"/>
        </w:rPr>
        <w:t xml:space="preserve"> and </w:t>
      </w:r>
      <w:hyperlink r:id="rId112" w:history="1">
        <w:r w:rsidRPr="00C97B16">
          <w:rPr>
            <w:rStyle w:val="Hyperlink"/>
            <w:rFonts w:asciiTheme="minorHAnsi" w:hAnsiTheme="minorHAnsi"/>
            <w:sz w:val="22"/>
            <w:szCs w:val="22"/>
          </w:rPr>
          <w:t>Table A-52. States -- Natural Resource Industries and Minerals</w:t>
        </w:r>
      </w:hyperlink>
      <w:r w:rsidRPr="00C97B16">
        <w:rPr>
          <w:rFonts w:asciiTheme="minorHAnsi" w:hAnsiTheme="minorHAnsi"/>
          <w:color w:val="1F497D"/>
          <w:sz w:val="22"/>
          <w:szCs w:val="22"/>
        </w:rPr>
        <w:t xml:space="preserve"> </w:t>
      </w:r>
      <w:r w:rsidRPr="00C97B16">
        <w:rPr>
          <w:rFonts w:asciiTheme="minorHAnsi" w:hAnsiTheme="minorHAnsi"/>
          <w:sz w:val="22"/>
          <w:szCs w:val="22"/>
        </w:rPr>
        <w:t>of the National Data Book, both published by the U.S. Census Bureau.</w:t>
      </w:r>
    </w:p>
    <w:p w:rsidR="00644A84" w:rsidRPr="00C97B16" w:rsidRDefault="00644A84" w:rsidP="00C97B16">
      <w:pPr>
        <w:widowControl/>
        <w:autoSpaceDE/>
        <w:autoSpaceDN/>
        <w:adjustRightInd/>
        <w:spacing w:line="360" w:lineRule="auto"/>
        <w:rPr>
          <w:rFonts w:asciiTheme="minorHAnsi" w:hAnsiTheme="minorHAnsi"/>
          <w:sz w:val="22"/>
          <w:szCs w:val="22"/>
        </w:rPr>
      </w:pPr>
    </w:p>
    <w:p w:rsidR="00002C6C" w:rsidRPr="00C97B16" w:rsidRDefault="00002C6C" w:rsidP="00C97B16">
      <w:pPr>
        <w:pStyle w:val="TEXT"/>
        <w:spacing w:line="360" w:lineRule="auto"/>
        <w:rPr>
          <w:szCs w:val="22"/>
        </w:rPr>
      </w:pPr>
      <w:r w:rsidRPr="00C97B16">
        <w:rPr>
          <w:szCs w:val="22"/>
        </w:rPr>
        <w:t>The Joint Committee on Taxation and the IRS use the data to validate severance tax receipts, which have been a major component of Federal excise tax receipts.  In addition, estimates based on EIA</w:t>
      </w:r>
      <w:r w:rsidRPr="00C97B16">
        <w:rPr>
          <w:szCs w:val="22"/>
        </w:rPr>
        <w:noBreakHyphen/>
        <w:t>182 data are used in fiscal projections and economic forecasts.  The only available alternative is IRS data, which are not available for three to six months after EIA</w:t>
      </w:r>
      <w:r w:rsidRPr="00C97B16">
        <w:rPr>
          <w:szCs w:val="22"/>
        </w:rPr>
        <w:noBreakHyphen/>
        <w:t xml:space="preserve">182 data are published.  Data reported on the EIA-182 have also been used extensively by the Joint Committee on Taxation and the IRS in analyzing the economic effects of possible oil supply disruptions, as well as various tax proposals.             </w:t>
      </w:r>
    </w:p>
    <w:p w:rsidR="00C76EB4" w:rsidRPr="00C97B16" w:rsidRDefault="00C76EB4" w:rsidP="00C97B16">
      <w:pPr>
        <w:pStyle w:val="TEXT"/>
        <w:spacing w:line="360" w:lineRule="auto"/>
        <w:rPr>
          <w:szCs w:val="22"/>
        </w:rPr>
      </w:pPr>
      <w:r w:rsidRPr="00C97B16">
        <w:rPr>
          <w:szCs w:val="22"/>
        </w:rPr>
        <w:t xml:space="preserve">The IRS relies on data obtained from the Form EIA-182, to publish notices required under the Internal Revenue Code, in order to calculate the available amount of the non- conventional source fuel credit under Section 45K of the Code.  The tax credit is subject to an annual adjustment and potential phase-out, calculated by reference to the IRS’s determination of the annual average wellhead price per barrel for all </w:t>
      </w:r>
      <w:r w:rsidRPr="00C97B16">
        <w:rPr>
          <w:szCs w:val="22"/>
        </w:rPr>
        <w:lastRenderedPageBreak/>
        <w:t>domestic crude oil.  The domestic crude oil first purchase price is also used to determine the available percentage depletion under Section 613A and the enhanced oil recovery credit under Section 43.  The EIA-182 data are the only source of information available to the IRS for these purposes and are critical to the proper administration of these Code sections.</w:t>
      </w:r>
    </w:p>
    <w:p w:rsidR="00002C6C" w:rsidRPr="004C2713" w:rsidRDefault="00D40B3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Numerous state agencies</w:t>
      </w:r>
      <w:r w:rsidR="00065520">
        <w:rPr>
          <w:rFonts w:asciiTheme="minorHAnsi" w:hAnsiTheme="minorHAnsi"/>
          <w:sz w:val="22"/>
        </w:rPr>
        <w:t xml:space="preserve"> u</w:t>
      </w:r>
      <w:r w:rsidRPr="004C2713">
        <w:rPr>
          <w:rFonts w:asciiTheme="minorHAnsi" w:hAnsiTheme="minorHAnsi"/>
          <w:sz w:val="22"/>
        </w:rPr>
        <w:t>se data fr</w:t>
      </w:r>
      <w:r w:rsidR="00065520">
        <w:rPr>
          <w:rFonts w:asciiTheme="minorHAnsi" w:hAnsiTheme="minorHAnsi"/>
          <w:sz w:val="22"/>
        </w:rPr>
        <w:t>om the EIA-182. Below are a few examples:</w:t>
      </w:r>
    </w:p>
    <w:p w:rsidR="00D40B3D" w:rsidRPr="004C2713" w:rsidRDefault="00F74D4B" w:rsidP="00475B30">
      <w:pPr>
        <w:pStyle w:val="TEXT"/>
        <w:numPr>
          <w:ilvl w:val="0"/>
          <w:numId w:val="25"/>
        </w:numPr>
      </w:pPr>
      <w:hyperlink r:id="rId113" w:history="1">
        <w:r w:rsidR="00CF2BCD" w:rsidRPr="004C2713">
          <w:rPr>
            <w:rStyle w:val="Hyperlink"/>
          </w:rPr>
          <w:t>California Energy Commission (CEC)</w:t>
        </w:r>
      </w:hyperlink>
      <w:r w:rsidR="00CF2BCD" w:rsidRPr="004C2713">
        <w:t xml:space="preserve"> rep</w:t>
      </w:r>
      <w:r w:rsidR="00D40B3D" w:rsidRPr="004C2713">
        <w:t xml:space="preserve">ublishes </w:t>
      </w:r>
      <w:r w:rsidR="00CF2BCD" w:rsidRPr="004C2713">
        <w:t xml:space="preserve">EIA-182 </w:t>
      </w:r>
      <w:r w:rsidR="00D40B3D" w:rsidRPr="004C2713">
        <w:t>data and uses these data to assess crude oil mark</w:t>
      </w:r>
      <w:r w:rsidR="00263714" w:rsidRPr="004C2713">
        <w:t>et conditions within the state</w:t>
      </w:r>
    </w:p>
    <w:p w:rsidR="00002C6C" w:rsidRPr="004C2713" w:rsidRDefault="00F74D4B" w:rsidP="00475B30">
      <w:pPr>
        <w:pStyle w:val="TEXT"/>
        <w:numPr>
          <w:ilvl w:val="0"/>
          <w:numId w:val="25"/>
        </w:numPr>
      </w:pPr>
      <w:hyperlink r:id="rId114" w:history="1">
        <w:r w:rsidR="00002C6C" w:rsidRPr="004C2713">
          <w:rPr>
            <w:rStyle w:val="Hyperlink"/>
          </w:rPr>
          <w:t>Louisiana</w:t>
        </w:r>
        <w:r w:rsidR="00263714" w:rsidRPr="004C2713">
          <w:rPr>
            <w:rStyle w:val="Hyperlink"/>
          </w:rPr>
          <w:t xml:space="preserve"> Department of Natural Resources </w:t>
        </w:r>
      </w:hyperlink>
      <w:r w:rsidR="00002C6C" w:rsidRPr="004C2713">
        <w:t xml:space="preserve"> </w:t>
      </w:r>
    </w:p>
    <w:p w:rsidR="00002C6C" w:rsidRPr="004C2713" w:rsidRDefault="00F74D4B" w:rsidP="00475B30">
      <w:pPr>
        <w:pStyle w:val="TEXT"/>
        <w:numPr>
          <w:ilvl w:val="0"/>
          <w:numId w:val="25"/>
        </w:numPr>
      </w:pPr>
      <w:hyperlink r:id="rId115" w:history="1">
        <w:r w:rsidR="00002C6C" w:rsidRPr="004C2713">
          <w:rPr>
            <w:rStyle w:val="Hyperlink"/>
          </w:rPr>
          <w:t>Virginia</w:t>
        </w:r>
        <w:r w:rsidR="005335AB" w:rsidRPr="004C2713">
          <w:rPr>
            <w:rStyle w:val="Hyperlink"/>
          </w:rPr>
          <w:t>’s Depar</w:t>
        </w:r>
        <w:r w:rsidR="00CF2BCD" w:rsidRPr="004C2713">
          <w:rPr>
            <w:rStyle w:val="Hyperlink"/>
          </w:rPr>
          <w:t>t</w:t>
        </w:r>
        <w:r w:rsidR="005335AB" w:rsidRPr="004C2713">
          <w:rPr>
            <w:rStyle w:val="Hyperlink"/>
          </w:rPr>
          <w:t>ment</w:t>
        </w:r>
        <w:r w:rsidR="00CF2BCD" w:rsidRPr="004C2713">
          <w:rPr>
            <w:rStyle w:val="Hyperlink"/>
          </w:rPr>
          <w:t xml:space="preserve"> of Mines, Minerals and Energy</w:t>
        </w:r>
      </w:hyperlink>
      <w:r w:rsidR="00002C6C" w:rsidRPr="004C2713">
        <w:t xml:space="preserve"> </w:t>
      </w:r>
    </w:p>
    <w:p w:rsidR="00002C6C" w:rsidRPr="004C2713" w:rsidRDefault="00F74D4B" w:rsidP="00475B30">
      <w:pPr>
        <w:pStyle w:val="TEXT"/>
        <w:numPr>
          <w:ilvl w:val="0"/>
          <w:numId w:val="25"/>
        </w:numPr>
      </w:pPr>
      <w:hyperlink r:id="rId116" w:history="1">
        <w:r w:rsidR="00002C6C" w:rsidRPr="004C2713">
          <w:rPr>
            <w:rStyle w:val="Hyperlink"/>
          </w:rPr>
          <w:t>Wyoming</w:t>
        </w:r>
        <w:r w:rsidR="005335AB" w:rsidRPr="004C2713">
          <w:rPr>
            <w:rStyle w:val="Hyperlink"/>
          </w:rPr>
          <w:t xml:space="preserve">’s Department of </w:t>
        </w:r>
        <w:r w:rsidR="00CF2BCD" w:rsidRPr="004C2713">
          <w:rPr>
            <w:rStyle w:val="Hyperlink"/>
          </w:rPr>
          <w:t>Employment, Research, and Planning</w:t>
        </w:r>
        <w:r w:rsidR="005335AB" w:rsidRPr="004C2713">
          <w:rPr>
            <w:rStyle w:val="Hyperlink"/>
          </w:rPr>
          <w:t xml:space="preserve"> </w:t>
        </w:r>
      </w:hyperlink>
      <w:r w:rsidR="00002C6C" w:rsidRPr="004C2713">
        <w:t xml:space="preserve"> </w:t>
      </w:r>
    </w:p>
    <w:p w:rsidR="00660FA2" w:rsidRPr="004C2713" w:rsidRDefault="009E3173"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EIA data </w:t>
      </w:r>
      <w:r w:rsidR="00D40B3D" w:rsidRPr="00667C26">
        <w:rPr>
          <w:rFonts w:asciiTheme="minorHAnsi" w:hAnsiTheme="minorHAnsi"/>
          <w:sz w:val="22"/>
        </w:rPr>
        <w:t xml:space="preserve">from EIA-182 are initially published </w:t>
      </w:r>
      <w:r w:rsidR="005335AB" w:rsidRPr="00667C26">
        <w:rPr>
          <w:rFonts w:asciiTheme="minorHAnsi" w:hAnsiTheme="minorHAnsi"/>
          <w:sz w:val="22"/>
        </w:rPr>
        <w:t xml:space="preserve">monthly </w:t>
      </w:r>
      <w:r w:rsidR="00D40B3D" w:rsidRPr="00667C26">
        <w:rPr>
          <w:rFonts w:asciiTheme="minorHAnsi" w:hAnsiTheme="minorHAnsi"/>
          <w:sz w:val="22"/>
        </w:rPr>
        <w:t xml:space="preserve">in the </w:t>
      </w:r>
      <w:r w:rsidR="00D40B3D" w:rsidRPr="00667C26">
        <w:rPr>
          <w:rFonts w:asciiTheme="minorHAnsi" w:hAnsiTheme="minorHAnsi"/>
          <w:i/>
          <w:sz w:val="22"/>
        </w:rPr>
        <w:t xml:space="preserve">PMM </w:t>
      </w:r>
      <w:r w:rsidR="00D40B3D" w:rsidRPr="00667C26">
        <w:rPr>
          <w:rFonts w:asciiTheme="minorHAnsi" w:hAnsiTheme="minorHAnsi"/>
          <w:sz w:val="22"/>
        </w:rPr>
        <w:t>and often</w:t>
      </w:r>
      <w:r w:rsidR="00D40B3D" w:rsidRPr="00667C26">
        <w:rPr>
          <w:rFonts w:asciiTheme="minorHAnsi" w:hAnsiTheme="minorHAnsi"/>
          <w:i/>
          <w:sz w:val="22"/>
        </w:rPr>
        <w:t xml:space="preserve"> </w:t>
      </w:r>
      <w:r w:rsidRPr="00667C26">
        <w:rPr>
          <w:rFonts w:asciiTheme="minorHAnsi" w:hAnsiTheme="minorHAnsi"/>
          <w:sz w:val="22"/>
        </w:rPr>
        <w:t>r</w:t>
      </w:r>
      <w:r w:rsidR="005335AB" w:rsidRPr="00667C26">
        <w:rPr>
          <w:rFonts w:asciiTheme="minorHAnsi" w:hAnsiTheme="minorHAnsi"/>
          <w:sz w:val="22"/>
        </w:rPr>
        <w:t>eprinted or cited in articles in numerous</w:t>
      </w:r>
      <w:r w:rsidRPr="00667C26">
        <w:rPr>
          <w:rFonts w:asciiTheme="minorHAnsi" w:hAnsiTheme="minorHAnsi"/>
          <w:sz w:val="22"/>
        </w:rPr>
        <w:t xml:space="preserve"> publi</w:t>
      </w:r>
      <w:r w:rsidR="00D40B3D" w:rsidRPr="00667C26">
        <w:rPr>
          <w:rFonts w:asciiTheme="minorHAnsi" w:hAnsiTheme="minorHAnsi"/>
          <w:sz w:val="22"/>
        </w:rPr>
        <w:t xml:space="preserve">cations and journals, </w:t>
      </w:r>
      <w:r w:rsidR="0036363E" w:rsidRPr="00667C26">
        <w:rPr>
          <w:rFonts w:asciiTheme="minorHAnsi" w:hAnsiTheme="minorHAnsi"/>
          <w:sz w:val="22"/>
        </w:rPr>
        <w:t xml:space="preserve">including articles in the five major newspapers – </w:t>
      </w:r>
      <w:hyperlink r:id="rId117"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18"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19"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20"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21"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462BC" w:rsidRPr="004C2713" w:rsidRDefault="00B462BC"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B462BC" w:rsidRPr="004C2713" w:rsidRDefault="00B462BC" w:rsidP="004608BE">
      <w:pPr>
        <w:pStyle w:val="ListParagraph"/>
        <w:numPr>
          <w:ilvl w:val="0"/>
          <w:numId w:val="10"/>
        </w:numPr>
        <w:spacing w:line="360" w:lineRule="auto"/>
        <w:rPr>
          <w:rFonts w:asciiTheme="minorHAnsi" w:hAnsiTheme="minorHAnsi"/>
          <w:sz w:val="22"/>
        </w:rPr>
      </w:pPr>
      <w:r w:rsidRPr="004C2713">
        <w:rPr>
          <w:rFonts w:asciiTheme="minorHAnsi" w:hAnsiTheme="minorHAnsi"/>
          <w:b/>
          <w:bCs/>
          <w:sz w:val="22"/>
          <w:u w:val="single"/>
        </w:rPr>
        <w:t>EIA-856, “Monthly Foreign Crude Oil Acquisition Report”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Foreign crude oil prices and volumes are key components of the U.S. balance of trade picture, and are necessary for evaluating the impacts of oil market trends on the U.S. economy and future product wholesale and retail prices.  The EIA-856 survey supplies comprehensive information not available from other sources.  Form EIA-856 continues to be the only source of U.S. crude oil imports which </w:t>
      </w:r>
      <w:r w:rsidR="00644A84">
        <w:rPr>
          <w:rFonts w:asciiTheme="minorHAnsi" w:hAnsiTheme="minorHAnsi"/>
          <w:sz w:val="22"/>
        </w:rPr>
        <w:t>gathers information on</w:t>
      </w:r>
      <w:r w:rsidRPr="004C2713">
        <w:rPr>
          <w:rFonts w:asciiTheme="minorHAnsi" w:hAnsiTheme="minorHAnsi"/>
          <w:sz w:val="22"/>
        </w:rPr>
        <w:t xml:space="preserve"> cargo-level prices and actual gravities associated with specific crude types.  The EIA-856 data are essential in evaluating any impacts to the petroleum industry as a result of changes in the quality of U.S. imports due to trade embargoes, supply shortages, or cut-offs such as those experienced during the Persian Gulf crisis.</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DC1DE8" w:rsidRPr="00667C26"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67C26">
        <w:rPr>
          <w:rFonts w:asciiTheme="minorHAnsi" w:hAnsiTheme="minorHAnsi"/>
          <w:sz w:val="22"/>
        </w:rPr>
        <w:t>The first requirement is to maintain the Crude Oil Import Register of oil imported into the United States on a cargo-by-cargo basis.  The second requirement is to produce a monthly price report of average prices and total volumes of imported oil for selected crude streams.  The United States agreed at the November 10, 1981 meeting of the International Energy Agency (IEA) Governing Board to extend the IEA agreement.  The Crude Oil Import Register and the monthly price report allow the United States to fulfill this multinational obligation.</w:t>
      </w:r>
    </w:p>
    <w:p w:rsidR="00DC1DE8" w:rsidRPr="004C2713" w:rsidRDefault="00DC1DE8"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23D5D" w:rsidRPr="004C2713" w:rsidRDefault="00623D5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w:t>
      </w:r>
      <w:r w:rsidR="005335AB" w:rsidRPr="004C2713">
        <w:rPr>
          <w:rFonts w:asciiTheme="minorHAnsi" w:hAnsiTheme="minorHAnsi"/>
          <w:sz w:val="22"/>
        </w:rPr>
        <w:t>EIA-856 data are</w:t>
      </w:r>
      <w:r w:rsidRPr="004C2713">
        <w:rPr>
          <w:rFonts w:asciiTheme="minorHAnsi" w:hAnsiTheme="minorHAnsi"/>
          <w:sz w:val="22"/>
        </w:rPr>
        <w:t xml:space="preserve"> used by </w:t>
      </w:r>
      <w:r w:rsidR="00CF2187" w:rsidRPr="004C2713">
        <w:rPr>
          <w:rFonts w:asciiTheme="minorHAnsi" w:hAnsiTheme="minorHAnsi"/>
          <w:sz w:val="22"/>
        </w:rPr>
        <w:t xml:space="preserve">BEA, BLS, </w:t>
      </w:r>
      <w:r w:rsidRPr="004C2713">
        <w:rPr>
          <w:rFonts w:asciiTheme="minorHAnsi" w:hAnsiTheme="minorHAnsi"/>
          <w:sz w:val="22"/>
        </w:rPr>
        <w:t>EIA, other Federal agencies for the purposes of analysis and forecasting.  For example:</w:t>
      </w:r>
    </w:p>
    <w:p w:rsidR="00DC1DE8" w:rsidRPr="00644A84" w:rsidRDefault="00DC1DE8"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 xml:space="preserve">The EIA-856 data have been used in numerous studies. For example, the Balance of Payments Division at the BEA uses the total crude oil import prices and quantities from this survey for BEA’s goods projections for the advance estimate of Gross Domestic Product (GDP). </w:t>
      </w:r>
    </w:p>
    <w:p w:rsidR="005335AB" w:rsidRPr="00644A84" w:rsidRDefault="00623D5D"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BLS uses the EIA</w:t>
      </w:r>
      <w:r w:rsidRPr="00644A84">
        <w:rPr>
          <w:rFonts w:asciiTheme="minorHAnsi" w:hAnsiTheme="minorHAnsi"/>
          <w:sz w:val="22"/>
        </w:rPr>
        <w:noBreakHyphen/>
        <w:t xml:space="preserve">856 </w:t>
      </w:r>
      <w:r w:rsidR="005335AB" w:rsidRPr="00644A84">
        <w:rPr>
          <w:rFonts w:asciiTheme="minorHAnsi" w:hAnsiTheme="minorHAnsi"/>
          <w:sz w:val="22"/>
        </w:rPr>
        <w:t xml:space="preserve">data </w:t>
      </w:r>
      <w:r w:rsidRPr="00644A84">
        <w:rPr>
          <w:rFonts w:asciiTheme="minorHAnsi" w:hAnsiTheme="minorHAnsi"/>
          <w:sz w:val="22"/>
        </w:rPr>
        <w:t xml:space="preserve">as a primary input for calculating the </w:t>
      </w:r>
      <w:hyperlink r:id="rId122" w:history="1">
        <w:r w:rsidRPr="00644A84">
          <w:rPr>
            <w:rStyle w:val="Hyperlink"/>
            <w:rFonts w:asciiTheme="minorHAnsi" w:hAnsiTheme="minorHAnsi"/>
            <w:sz w:val="22"/>
          </w:rPr>
          <w:t>price indices for foreign crude oil</w:t>
        </w:r>
      </w:hyperlink>
      <w:r w:rsidRPr="00644A84">
        <w:rPr>
          <w:rFonts w:asciiTheme="minorHAnsi" w:hAnsiTheme="minorHAnsi"/>
          <w:sz w:val="22"/>
        </w:rPr>
        <w:t xml:space="preserve"> as a component of the U.S. Import Price Index. </w:t>
      </w:r>
      <w:r w:rsidR="005335AB" w:rsidRPr="00644A84">
        <w:rPr>
          <w:rFonts w:asciiTheme="minorHAnsi" w:hAnsiTheme="minorHAnsi"/>
          <w:sz w:val="22"/>
        </w:rPr>
        <w:t>BLS’s Crude Oil Price Index is calculate</w:t>
      </w:r>
      <w:r w:rsidR="00200DD6" w:rsidRPr="00644A84">
        <w:rPr>
          <w:rFonts w:asciiTheme="minorHAnsi" w:hAnsiTheme="minorHAnsi"/>
          <w:sz w:val="22"/>
        </w:rPr>
        <w:t>d</w:t>
      </w:r>
      <w:r w:rsidR="005335AB" w:rsidRPr="00644A84">
        <w:rPr>
          <w:rFonts w:asciiTheme="minorHAnsi" w:hAnsiTheme="minorHAnsi"/>
          <w:sz w:val="22"/>
        </w:rPr>
        <w:t xml:space="preserve"> from data collected on the EIA-856 and used by BEA</w:t>
      </w:r>
      <w:r w:rsidR="000B67AE" w:rsidRPr="00644A84">
        <w:rPr>
          <w:rFonts w:asciiTheme="minorHAnsi" w:hAnsiTheme="minorHAnsi"/>
          <w:sz w:val="22"/>
        </w:rPr>
        <w:t>’s</w:t>
      </w:r>
      <w:r w:rsidR="005335AB" w:rsidRPr="00644A84">
        <w:rPr>
          <w:rFonts w:asciiTheme="minorHAnsi" w:hAnsiTheme="minorHAnsi"/>
          <w:sz w:val="22"/>
        </w:rPr>
        <w:t xml:space="preserve"> Balance of Payments.</w:t>
      </w:r>
    </w:p>
    <w:p w:rsidR="00623D5D" w:rsidRPr="00644A84" w:rsidRDefault="00623D5D" w:rsidP="00644A84">
      <w:pPr>
        <w:pStyle w:val="ListParagraph"/>
        <w:numPr>
          <w:ilvl w:val="0"/>
          <w:numId w:val="28"/>
        </w:numPr>
        <w:tabs>
          <w:tab w:val="num" w:pos="360"/>
        </w:tabs>
        <w:spacing w:line="360" w:lineRule="auto"/>
        <w:rPr>
          <w:rFonts w:asciiTheme="minorHAnsi" w:hAnsiTheme="minorHAnsi"/>
          <w:sz w:val="22"/>
        </w:rPr>
      </w:pPr>
      <w:r w:rsidRPr="00644A84">
        <w:rPr>
          <w:rFonts w:asciiTheme="minorHAnsi" w:hAnsiTheme="minorHAnsi"/>
          <w:sz w:val="22"/>
        </w:rPr>
        <w:t>DOE uses EIA-856 data to support their legislatively mandated responsibilities, some of which reside in the areas of modeling and forecasting. For example, in an effort to alleviate confusion about the difference between imported refiners acquisition cost and the prices for premium crudes typic</w:t>
      </w:r>
      <w:r w:rsidR="00B222CA" w:rsidRPr="00644A84">
        <w:rPr>
          <w:rFonts w:asciiTheme="minorHAnsi" w:hAnsiTheme="minorHAnsi"/>
          <w:sz w:val="22"/>
        </w:rPr>
        <w:t xml:space="preserve">ally reported in the media, EIA’s </w:t>
      </w:r>
      <w:r w:rsidRPr="00644A84">
        <w:rPr>
          <w:rFonts w:asciiTheme="minorHAnsi" w:hAnsiTheme="minorHAnsi"/>
          <w:sz w:val="22"/>
        </w:rPr>
        <w:t>Office of Pet</w:t>
      </w:r>
      <w:r w:rsidR="00644A84" w:rsidRPr="00644A84">
        <w:rPr>
          <w:rFonts w:asciiTheme="minorHAnsi" w:hAnsiTheme="minorHAnsi"/>
          <w:sz w:val="22"/>
        </w:rPr>
        <w:t>roleum, Gas &amp; Biofuels Analysis</w:t>
      </w:r>
      <w:r w:rsidRPr="00644A84">
        <w:rPr>
          <w:rFonts w:asciiTheme="minorHAnsi" w:hAnsiTheme="minorHAnsi"/>
          <w:sz w:val="22"/>
        </w:rPr>
        <w:t xml:space="preserve"> used crude oil prices collected on the EIA-856 to forecast the world oil price path for imported light sweet crude and publishes these results annually in the </w:t>
      </w:r>
      <w:r w:rsidRPr="00644A84">
        <w:rPr>
          <w:rFonts w:asciiTheme="minorHAnsi" w:hAnsiTheme="minorHAnsi"/>
          <w:i/>
          <w:sz w:val="22"/>
        </w:rPr>
        <w:t>AEO.</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EIA integ</w:t>
      </w:r>
      <w:r w:rsidR="00523490" w:rsidRPr="00644A84">
        <w:rPr>
          <w:rFonts w:asciiTheme="minorHAnsi" w:hAnsiTheme="minorHAnsi"/>
          <w:sz w:val="22"/>
        </w:rPr>
        <w:t xml:space="preserve">rates EIA-856 data in </w:t>
      </w:r>
      <w:r w:rsidRPr="00644A84">
        <w:rPr>
          <w:rFonts w:asciiTheme="minorHAnsi" w:hAnsiTheme="minorHAnsi"/>
          <w:sz w:val="22"/>
        </w:rPr>
        <w:t xml:space="preserve">several recurring publications - </w:t>
      </w:r>
      <w:r w:rsidRPr="00644A84">
        <w:rPr>
          <w:rFonts w:asciiTheme="minorHAnsi" w:hAnsiTheme="minorHAnsi"/>
          <w:i/>
          <w:sz w:val="22"/>
        </w:rPr>
        <w:t xml:space="preserve">the </w:t>
      </w:r>
      <w:r w:rsidRPr="00644A84">
        <w:rPr>
          <w:rFonts w:asciiTheme="minorHAnsi" w:hAnsiTheme="minorHAnsi"/>
          <w:i/>
          <w:iCs/>
          <w:sz w:val="22"/>
        </w:rPr>
        <w:t xml:space="preserve">PMM, the MER, the AER, </w:t>
      </w:r>
      <w:r w:rsidRPr="00644A84">
        <w:rPr>
          <w:rFonts w:asciiTheme="minorHAnsi" w:hAnsiTheme="minorHAnsi"/>
          <w:sz w:val="22"/>
        </w:rPr>
        <w:t xml:space="preserve">and </w:t>
      </w:r>
      <w:r w:rsidRPr="00644A84">
        <w:rPr>
          <w:rFonts w:asciiTheme="minorHAnsi" w:hAnsiTheme="minorHAnsi"/>
          <w:i/>
          <w:sz w:val="22"/>
        </w:rPr>
        <w:t xml:space="preserve">the </w:t>
      </w:r>
      <w:r w:rsidR="00200DD6" w:rsidRPr="00644A84">
        <w:rPr>
          <w:rFonts w:asciiTheme="minorHAnsi" w:hAnsiTheme="minorHAnsi"/>
          <w:i/>
          <w:iCs/>
          <w:sz w:val="22"/>
          <w:u w:val="single"/>
        </w:rPr>
        <w:t>IEO</w:t>
      </w:r>
      <w:r w:rsidRPr="00644A84">
        <w:rPr>
          <w:rFonts w:asciiTheme="minorHAnsi" w:hAnsiTheme="minorHAnsi"/>
          <w:sz w:val="22"/>
        </w:rPr>
        <w:t xml:space="preserve">. </w:t>
      </w:r>
    </w:p>
    <w:p w:rsidR="00623D5D" w:rsidRPr="00644A84" w:rsidRDefault="00623D5D" w:rsidP="00644A84">
      <w:pPr>
        <w:pStyle w:val="ListParagraph"/>
        <w:numPr>
          <w:ilvl w:val="0"/>
          <w:numId w:val="28"/>
        </w:numPr>
        <w:tabs>
          <w:tab w:val="num" w:pos="360"/>
        </w:tabs>
        <w:spacing w:line="360" w:lineRule="auto"/>
        <w:rPr>
          <w:rFonts w:asciiTheme="minorHAnsi" w:hAnsiTheme="minorHAnsi"/>
          <w:strike/>
          <w:sz w:val="22"/>
        </w:rPr>
      </w:pPr>
      <w:r w:rsidRPr="00644A84">
        <w:rPr>
          <w:rFonts w:asciiTheme="minorHAnsi" w:hAnsiTheme="minorHAnsi"/>
          <w:sz w:val="22"/>
        </w:rPr>
        <w:t xml:space="preserve">DOE’s Office of Strategic Petroleum Reserve uses EIA-856 data to assess the types of crude oil imported into the United States and to determine the appropriate crude streams to store in the Strategic Petroleum Reserve. </w:t>
      </w:r>
    </w:p>
    <w:p w:rsidR="00CF2187" w:rsidRPr="00644A84" w:rsidRDefault="00CF2187" w:rsidP="00644A84">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The EIA-856 data were used to assess the impact to the U.S. economy of the trade embargo on Iraq and cut-off of Kuwait oil as a result of Iraq’s invasion of Kuwait.  The EIA Administrator, as well as the staff of the Secretary of Energy, analyzed EIA-856 data by the gravity/sulfur content of U.S. crude oil imports to evaluate the impacts of the loss of high gravity Iraqi crude on the petroleum industry.</w:t>
      </w:r>
    </w:p>
    <w:p w:rsidR="00CF2187" w:rsidRPr="004C2713" w:rsidRDefault="00CF2187"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Additional examples of international and industry uses of the EIA-856 include:</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The data are also frequently used by petroleum company analysts, consultants, and investment bankers to assess their company’s crude oil purchasing performance relative to the industry average, and on forecasting the cost of various foreign crude oil streams.</w:t>
      </w:r>
    </w:p>
    <w:p w:rsidR="00623D5D" w:rsidRPr="004C2713" w:rsidRDefault="00623D5D" w:rsidP="00644A84">
      <w:pPr>
        <w:widowControl/>
        <w:numPr>
          <w:ilvl w:val="0"/>
          <w:numId w:val="1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 xml:space="preserve">These data are used to perform the important function of providing the U.S. data submissions to the International Energy Agency (IEA).  The IEA is an intergovernmental organization with binding commitments from 20 signatory nations.  The Standing Group on the Oil Market within the IEA is </w:t>
      </w:r>
      <w:r w:rsidRPr="004C2713">
        <w:rPr>
          <w:rFonts w:asciiTheme="minorHAnsi" w:hAnsiTheme="minorHAnsi"/>
          <w:sz w:val="22"/>
        </w:rPr>
        <w:lastRenderedPageBreak/>
        <w:t>responsible for tracking developments in the international oil market.  Two IEA requirements, which were established in June of 1979, are supported by data collected on the EIA</w:t>
      </w:r>
      <w:r w:rsidRPr="004C2713">
        <w:rPr>
          <w:rFonts w:asciiTheme="minorHAnsi" w:hAnsiTheme="minorHAnsi"/>
          <w:sz w:val="22"/>
        </w:rPr>
        <w:noBreakHyphen/>
        <w:t>856.</w:t>
      </w:r>
    </w:p>
    <w:p w:rsidR="00623D5D" w:rsidRPr="004C2713" w:rsidRDefault="00623D5D"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D36DF" w:rsidRPr="00065520" w:rsidRDefault="00B462BC" w:rsidP="00644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i/>
          <w:sz w:val="22"/>
        </w:rPr>
      </w:pPr>
      <w:r w:rsidRPr="00667C26">
        <w:rPr>
          <w:rFonts w:asciiTheme="minorHAnsi" w:hAnsiTheme="minorHAnsi"/>
          <w:sz w:val="22"/>
        </w:rPr>
        <w:t xml:space="preserve">The statistically reliable information </w:t>
      </w:r>
      <w:r w:rsidR="00DC1DE8" w:rsidRPr="00667C26">
        <w:rPr>
          <w:rFonts w:asciiTheme="minorHAnsi" w:hAnsiTheme="minorHAnsi"/>
          <w:sz w:val="22"/>
        </w:rPr>
        <w:t xml:space="preserve">is originally published in </w:t>
      </w:r>
      <w:r w:rsidR="00DC1DE8" w:rsidRPr="004B3170">
        <w:rPr>
          <w:rFonts w:asciiTheme="minorHAnsi" w:hAnsiTheme="minorHAnsi"/>
          <w:i/>
          <w:sz w:val="22"/>
        </w:rPr>
        <w:t xml:space="preserve">the PMM </w:t>
      </w:r>
      <w:r w:rsidR="00DC1DE8" w:rsidRPr="00667C26">
        <w:rPr>
          <w:rFonts w:asciiTheme="minorHAnsi" w:hAnsiTheme="minorHAnsi"/>
          <w:sz w:val="22"/>
        </w:rPr>
        <w:t>and republished in other EIA publications, journals and other</w:t>
      </w:r>
      <w:r w:rsidR="00AC42F3" w:rsidRPr="00667C26">
        <w:rPr>
          <w:rFonts w:asciiTheme="minorHAnsi" w:hAnsiTheme="minorHAnsi"/>
          <w:sz w:val="22"/>
        </w:rPr>
        <w:t xml:space="preserve"> publications</w:t>
      </w:r>
      <w:r w:rsidR="004B3170">
        <w:rPr>
          <w:rFonts w:asciiTheme="minorHAnsi" w:hAnsiTheme="minorHAnsi"/>
          <w:sz w:val="22"/>
        </w:rPr>
        <w:t>.</w:t>
      </w:r>
    </w:p>
    <w:p w:rsidR="00B462BC" w:rsidRPr="004C2713" w:rsidRDefault="00B462BC" w:rsidP="00644A84">
      <w:pPr>
        <w:pStyle w:val="Heading1"/>
        <w:numPr>
          <w:ilvl w:val="0"/>
          <w:numId w:val="27"/>
        </w:numPr>
      </w:pPr>
      <w:r w:rsidRPr="004C2713">
        <w:t>M</w:t>
      </w:r>
      <w:r w:rsidR="002F5FC8" w:rsidRPr="004C2713">
        <w:t>onthly Petroleum Product Survey</w:t>
      </w:r>
      <w:r w:rsidRPr="004C2713">
        <w:t xml:space="preserve"> </w:t>
      </w:r>
      <w:r w:rsidR="006D3E5D" w:rsidRPr="004C2713">
        <w:t>(</w:t>
      </w:r>
      <w:r w:rsidR="00660FA2" w:rsidRPr="004C2713">
        <w:t xml:space="preserve">EIA-782A and </w:t>
      </w:r>
      <w:r w:rsidRPr="004C2713">
        <w:t>EIA-782C</w:t>
      </w:r>
      <w:r w:rsidR="006D3E5D" w:rsidRPr="004C2713">
        <w:t>)</w:t>
      </w:r>
    </w:p>
    <w:p w:rsidR="00A85B51" w:rsidRPr="004C2713" w:rsidRDefault="00A85B5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05A43" w:rsidRPr="004C2713" w:rsidRDefault="00CF633A"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w:t>
      </w:r>
      <w:r w:rsidR="00E95D9B" w:rsidRPr="004C2713">
        <w:rPr>
          <w:rFonts w:asciiTheme="minorHAnsi" w:hAnsiTheme="minorHAnsi"/>
          <w:b/>
          <w:bCs/>
          <w:sz w:val="22"/>
          <w:u w:val="single"/>
        </w:rPr>
        <w:t xml:space="preserve">EIA-782A </w:t>
      </w:r>
      <w:r w:rsidR="00E95D9B" w:rsidRPr="004C2713">
        <w:rPr>
          <w:rFonts w:asciiTheme="minorHAnsi" w:hAnsiTheme="minorHAnsi"/>
          <w:bCs/>
          <w:sz w:val="22"/>
          <w:u w:val="single"/>
        </w:rPr>
        <w:t>“</w:t>
      </w:r>
      <w:r w:rsidR="00E95D9B" w:rsidRPr="004C2713">
        <w:rPr>
          <w:rStyle w:val="Strong"/>
          <w:rFonts w:asciiTheme="minorHAnsi" w:hAnsiTheme="minorHAnsi"/>
          <w:sz w:val="22"/>
          <w:u w:val="single"/>
        </w:rPr>
        <w:t>Refiners'</w:t>
      </w:r>
      <w:r w:rsidR="005C0A76" w:rsidRPr="004C2713">
        <w:rPr>
          <w:rStyle w:val="Strong"/>
          <w:rFonts w:asciiTheme="minorHAnsi" w:hAnsiTheme="minorHAnsi"/>
          <w:sz w:val="22"/>
          <w:u w:val="single"/>
        </w:rPr>
        <w:t>/</w:t>
      </w:r>
      <w:r w:rsidR="00E95D9B" w:rsidRPr="004C2713">
        <w:rPr>
          <w:rStyle w:val="Strong"/>
          <w:rFonts w:asciiTheme="minorHAnsi" w:hAnsiTheme="minorHAnsi"/>
          <w:sz w:val="22"/>
          <w:u w:val="single"/>
        </w:rPr>
        <w:t>Gas Plant Operators' Monthly Petroleum Product Sales Report</w:t>
      </w:r>
      <w:r w:rsidR="00E95D9B" w:rsidRPr="004C2713">
        <w:rPr>
          <w:rFonts w:asciiTheme="minorHAnsi" w:hAnsiTheme="minorHAnsi"/>
          <w:b/>
          <w:bCs/>
          <w:sz w:val="22"/>
          <w:u w:val="single"/>
        </w:rPr>
        <w:t xml:space="preserve">,” </w:t>
      </w:r>
      <w:r w:rsidR="004E4B5F" w:rsidRPr="004C2713">
        <w:rPr>
          <w:rFonts w:asciiTheme="minorHAnsi" w:hAnsiTheme="minorHAnsi"/>
          <w:b/>
          <w:bCs/>
          <w:sz w:val="22"/>
          <w:u w:val="single"/>
        </w:rPr>
        <w:t xml:space="preserve">and </w:t>
      </w:r>
      <w:r w:rsidR="00925BAC" w:rsidRPr="004C2713">
        <w:rPr>
          <w:rFonts w:asciiTheme="minorHAnsi" w:hAnsiTheme="minorHAnsi"/>
          <w:b/>
          <w:bCs/>
          <w:sz w:val="22"/>
          <w:u w:val="single"/>
        </w:rPr>
        <w:t>EIA-782</w:t>
      </w:r>
      <w:r w:rsidR="004E4B5F" w:rsidRPr="004C2713">
        <w:rPr>
          <w:rFonts w:asciiTheme="minorHAnsi" w:hAnsiTheme="minorHAnsi"/>
          <w:b/>
          <w:bCs/>
          <w:sz w:val="22"/>
          <w:u w:val="single"/>
        </w:rPr>
        <w:t>C, “</w:t>
      </w:r>
      <w:r w:rsidR="00406FBE" w:rsidRPr="004C2713">
        <w:rPr>
          <w:rFonts w:asciiTheme="minorHAnsi" w:hAnsiTheme="minorHAnsi"/>
          <w:b/>
          <w:bCs/>
          <w:sz w:val="22"/>
          <w:u w:val="single"/>
        </w:rPr>
        <w:t xml:space="preserve">Monthly </w:t>
      </w:r>
      <w:r w:rsidR="00925BAC" w:rsidRPr="004C2713">
        <w:rPr>
          <w:rFonts w:asciiTheme="minorHAnsi" w:hAnsiTheme="minorHAnsi"/>
          <w:b/>
          <w:bCs/>
          <w:sz w:val="22"/>
          <w:u w:val="single"/>
        </w:rPr>
        <w:t>Report of Prime Supplier Sales of Petroleum Products Sold for Local Consumption</w:t>
      </w:r>
      <w:r w:rsidRPr="004C2713">
        <w:rPr>
          <w:rFonts w:asciiTheme="minorHAnsi" w:hAnsiTheme="minorHAnsi"/>
          <w:b/>
          <w:bCs/>
          <w:sz w:val="22"/>
          <w:u w:val="single"/>
        </w:rPr>
        <w:t>”</w:t>
      </w:r>
    </w:p>
    <w:p w:rsidR="00A2699C" w:rsidRPr="004C2713" w:rsidRDefault="00A2699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Data gathered through the EIA</w:t>
      </w:r>
      <w:r w:rsidRPr="004C2713">
        <w:rPr>
          <w:rFonts w:asciiTheme="minorHAnsi" w:hAnsiTheme="minorHAnsi"/>
          <w:sz w:val="22"/>
        </w:rPr>
        <w:noBreakHyphen/>
        <w:t xml:space="preserve">782 series of surveys are used to track, review and analyze petroleum product supply, marketing, and distribution; and to anticipate and respond to potential supply disruptions or market structure changes.  </w:t>
      </w:r>
    </w:p>
    <w:p w:rsidR="00524A31" w:rsidRPr="004C2713" w:rsidRDefault="00524A3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More specifically, the EIA</w:t>
      </w:r>
      <w:r w:rsidRPr="004C2713">
        <w:rPr>
          <w:rFonts w:asciiTheme="minorHAnsi" w:hAnsiTheme="minorHAnsi"/>
          <w:sz w:val="22"/>
        </w:rPr>
        <w:noBreakHyphen/>
        <w:t>782A is a mandatory survey conducted on a monthly basis to collect state-level price and volume information from refiners and gas plant operators on 14 selected petroleum products’ price, supply, and market distribution on an end-use-sector basis. The EIA-782C is a mandatory survey administered on a monthly basis to collect data on the sales of selected petroleum products by prime suppliers delivered into States for local consumption. A prime supplier is a firm that produces, imports, or transports any of the 14 selected petroleum products across State boundaries and local marketing areas and sells the product to local distributors, local retailers, or end users.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refiner sales volumes collected on the EIA-782A are related to the prime supplier sales volumes collected on the EIA-782C, but conceptual differences exist that cause variations between these data. In general, EIA-782A volumes are intended to reflect refiner sales of petroleum products into all secondary and tertiary markets to non-refiners, while EIA-782C volumes are designed to measure prime supplier sales into </w:t>
      </w:r>
      <w:r w:rsidR="00D73331">
        <w:rPr>
          <w:rFonts w:asciiTheme="minorHAnsi" w:hAnsiTheme="minorHAnsi"/>
          <w:sz w:val="22"/>
        </w:rPr>
        <w:t>the local market</w:t>
      </w:r>
      <w:r w:rsidRPr="004C2713">
        <w:rPr>
          <w:rFonts w:asciiTheme="minorHAnsi" w:hAnsiTheme="minorHAnsi"/>
          <w:sz w:val="22"/>
        </w:rPr>
        <w:t xml:space="preserve"> of final consumption.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1982 passage of the Energy Emergency Preparedness Act, and numerous subsequent requests for analyses using EIA-782 data during energy emergencies, attests to the ongoing Congressional interest in having access to reliable and timely petroleum marketing data at the State level.</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644A84"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sz w:val="22"/>
        </w:rPr>
        <w:t>These data are used t</w:t>
      </w:r>
      <w:r w:rsidR="00524A31" w:rsidRPr="004C2713">
        <w:rPr>
          <w:rFonts w:asciiTheme="minorHAnsi" w:hAnsiTheme="minorHAnsi"/>
          <w:sz w:val="22"/>
        </w:rPr>
        <w:t xml:space="preserve">o allocate Federal energy block grants to the States. An example of this process is the Federal Weatherization Program (WAP). </w:t>
      </w:r>
      <w:r w:rsidR="007E745D" w:rsidRPr="004C2713">
        <w:rPr>
          <w:rFonts w:asciiTheme="minorHAnsi" w:hAnsiTheme="minorHAnsi"/>
          <w:sz w:val="22"/>
        </w:rPr>
        <w:t>DOE</w:t>
      </w:r>
      <w:r w:rsidR="00524A31" w:rsidRPr="004C2713">
        <w:rPr>
          <w:rFonts w:asciiTheme="minorHAnsi" w:hAnsiTheme="minorHAnsi"/>
          <w:sz w:val="22"/>
        </w:rPr>
        <w:t xml:space="preserve"> provides funding to States, U.S. overseas territories, and Indian tribal governments, which manage the day-to-day details of the program (</w:t>
      </w:r>
      <w:hyperlink r:id="rId123" w:history="1">
        <w:r w:rsidR="00524A31" w:rsidRPr="004C2713">
          <w:rPr>
            <w:rStyle w:val="Hyperlink"/>
            <w:rFonts w:asciiTheme="minorHAnsi" w:hAnsiTheme="minorHAnsi"/>
            <w:sz w:val="22"/>
          </w:rPr>
          <w:t>DOE WAP</w:t>
        </w:r>
      </w:hyperlink>
      <w:r w:rsidR="00524A31" w:rsidRPr="004C2713">
        <w:rPr>
          <w:rFonts w:asciiTheme="minorHAnsi" w:hAnsiTheme="minorHAnsi"/>
          <w:sz w:val="22"/>
        </w:rPr>
        <w:t xml:space="preserve">, </w:t>
      </w:r>
      <w:hyperlink r:id="rId124" w:history="1">
        <w:r w:rsidR="00524A31" w:rsidRPr="004C2713">
          <w:rPr>
            <w:rStyle w:val="Hyperlink"/>
            <w:rFonts w:asciiTheme="minorHAnsi" w:hAnsiTheme="minorHAnsi"/>
            <w:sz w:val="22"/>
          </w:rPr>
          <w:t>Oregon Low-Income Weatherization Assistance Program</w:t>
        </w:r>
      </w:hyperlink>
      <w:r w:rsidR="00524A31" w:rsidRPr="004C2713">
        <w:rPr>
          <w:rFonts w:asciiTheme="minorHAnsi" w:hAnsiTheme="minorHAnsi"/>
          <w:sz w:val="22"/>
        </w:rPr>
        <w:t xml:space="preserve">). These governments, in turn, fund a network of local community action agencies, nonprofit organizations, and local governments that provide these weatherization services in every state, the District of Columbia, U.S. territories, and among Native American tribes. During the process to determine the funding, EIA-782 data is used in the State Energy </w:t>
      </w:r>
      <w:r>
        <w:rPr>
          <w:rFonts w:asciiTheme="minorHAnsi" w:hAnsiTheme="minorHAnsi"/>
          <w:sz w:val="22"/>
        </w:rPr>
        <w:t xml:space="preserve">Data System (SEDS). SEDS is </w:t>
      </w:r>
      <w:r w:rsidR="00524A31" w:rsidRPr="004C2713">
        <w:rPr>
          <w:rFonts w:asciiTheme="minorHAnsi" w:hAnsiTheme="minorHAnsi"/>
          <w:sz w:val="22"/>
        </w:rPr>
        <w:t>EIA</w:t>
      </w:r>
      <w:r>
        <w:rPr>
          <w:rFonts w:asciiTheme="minorHAnsi" w:hAnsiTheme="minorHAnsi"/>
          <w:sz w:val="22"/>
        </w:rPr>
        <w:t>’s</w:t>
      </w:r>
      <w:r w:rsidR="00524A31" w:rsidRPr="004C2713">
        <w:rPr>
          <w:rFonts w:asciiTheme="minorHAnsi" w:hAnsiTheme="minorHAnsi"/>
          <w:sz w:val="22"/>
        </w:rPr>
        <w:t xml:space="preserve"> source for comprehensive State energy statistics. Included are estimates of energy production, consumption, prices, and expenditures broken down by energy source and sector. </w:t>
      </w:r>
    </w:p>
    <w:p w:rsidR="00524A31" w:rsidRPr="004C2713" w:rsidRDefault="00524A31"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524A31" w:rsidRPr="00494925" w:rsidRDefault="00375D88"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94925">
        <w:rPr>
          <w:rFonts w:asciiTheme="minorHAnsi" w:hAnsiTheme="minorHAnsi"/>
          <w:sz w:val="22"/>
        </w:rPr>
        <w:t>The EIA</w:t>
      </w:r>
      <w:r w:rsidR="00524A31" w:rsidRPr="00494925">
        <w:rPr>
          <w:rFonts w:asciiTheme="minorHAnsi" w:hAnsiTheme="minorHAnsi"/>
          <w:sz w:val="22"/>
        </w:rPr>
        <w:t>-782</w:t>
      </w:r>
      <w:r w:rsidRPr="00494925">
        <w:rPr>
          <w:rFonts w:asciiTheme="minorHAnsi" w:hAnsiTheme="minorHAnsi"/>
          <w:sz w:val="22"/>
        </w:rPr>
        <w:t>A and 782C</w:t>
      </w:r>
      <w:r w:rsidR="00524A31" w:rsidRPr="00494925">
        <w:rPr>
          <w:rFonts w:asciiTheme="minorHAnsi" w:hAnsiTheme="minorHAnsi"/>
          <w:sz w:val="22"/>
        </w:rPr>
        <w:t xml:space="preserve"> data are used</w:t>
      </w:r>
      <w:r w:rsidRPr="00494925">
        <w:rPr>
          <w:rFonts w:asciiTheme="minorHAnsi" w:hAnsiTheme="minorHAnsi"/>
          <w:sz w:val="22"/>
        </w:rPr>
        <w:t xml:space="preserve"> to</w:t>
      </w:r>
      <w:r w:rsidR="00524A31" w:rsidRPr="00494925">
        <w:rPr>
          <w:rFonts w:asciiTheme="minorHAnsi" w:hAnsiTheme="minorHAnsi"/>
          <w:sz w:val="22"/>
        </w:rPr>
        <w:t>:</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E</w:t>
      </w:r>
      <w:r w:rsidR="00524A31" w:rsidRPr="00644A84">
        <w:rPr>
          <w:rFonts w:asciiTheme="minorHAnsi" w:hAnsiTheme="minorHAnsi"/>
          <w:sz w:val="22"/>
        </w:rPr>
        <w:t>valuate the effects and impacts of energy prices on State-level cost-of-living.</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P</w:t>
      </w:r>
      <w:r w:rsidR="00524A31" w:rsidRPr="00644A84">
        <w:rPr>
          <w:rFonts w:asciiTheme="minorHAnsi" w:hAnsiTheme="minorHAnsi"/>
          <w:sz w:val="22"/>
        </w:rPr>
        <w:t xml:space="preserve">redict the consequences to State economies of future energy supply disruptions or market changes. </w:t>
      </w:r>
    </w:p>
    <w:p w:rsidR="00524A31" w:rsidRPr="00644A84" w:rsidRDefault="00375D88" w:rsidP="00644A84">
      <w:pPr>
        <w:pStyle w:val="ListParagraph"/>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644A84">
        <w:rPr>
          <w:rFonts w:asciiTheme="minorHAnsi" w:hAnsiTheme="minorHAnsi"/>
          <w:sz w:val="22"/>
        </w:rPr>
        <w:t>R</w:t>
      </w:r>
      <w:r w:rsidR="00524A31" w:rsidRPr="00644A84">
        <w:rPr>
          <w:rFonts w:asciiTheme="minorHAnsi" w:hAnsiTheme="minorHAnsi"/>
          <w:sz w:val="22"/>
        </w:rPr>
        <w:t>espond to Congressional inquiries regarding petroleum product seasonal price trends.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value States place on these data is by no means confined to the formulation and implementation of energy policies.  These data are used in investigative hearings, statistical applications, analysis, forecasting and responding to constituents.  State Energy Offices use EIA-782 data to:</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demand for refined petroleum products and long term planning.</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Analyze and forecast petroleum product prices.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w:t>
      </w:r>
      <w:r w:rsidR="00524A31" w:rsidRPr="004C2713">
        <w:rPr>
          <w:rFonts w:asciiTheme="minorHAnsi" w:hAnsiTheme="minorHAnsi"/>
          <w:sz w:val="22"/>
        </w:rPr>
        <w:t>ompare sales volumes and prices in their State compared with other State data.  The data are used in emergency management to track major suppliers in case of fuel shortages.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Compare consumption of refined petroleum products and national consumption on a monthly basis.</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w:t>
      </w:r>
      <w:r w:rsidR="00524A31" w:rsidRPr="004C2713">
        <w:rPr>
          <w:rFonts w:asciiTheme="minorHAnsi" w:hAnsiTheme="minorHAnsi"/>
          <w:sz w:val="22"/>
        </w:rPr>
        <w:t>etermine the amount of diesel and distillate produced by State.</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Establish State-level fuel tax rates.</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Investigate price increases of refined petroleum products during periods of supply instability.</w:t>
      </w:r>
    </w:p>
    <w:p w:rsidR="00CF2BCD"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Obtain historical data for crisis intervention.</w:t>
      </w:r>
    </w:p>
    <w:p w:rsidR="00524A31" w:rsidRPr="004C2713" w:rsidRDefault="00375D88"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w:t>
      </w:r>
      <w:r w:rsidR="00524A31" w:rsidRPr="004C2713">
        <w:rPr>
          <w:rFonts w:asciiTheme="minorHAnsi" w:hAnsiTheme="minorHAnsi"/>
          <w:sz w:val="22"/>
        </w:rPr>
        <w:t>rack the economy of the State versus the nation based on gasoline consumption.</w:t>
      </w:r>
    </w:p>
    <w:p w:rsidR="00524A31" w:rsidRPr="004C2713" w:rsidRDefault="00CF2BCD" w:rsidP="004C2713">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lastRenderedPageBreak/>
        <w:t>T</w:t>
      </w:r>
      <w:r w:rsidR="00524A31" w:rsidRPr="004C2713">
        <w:rPr>
          <w:rFonts w:asciiTheme="minorHAnsi" w:hAnsiTheme="minorHAnsi"/>
          <w:sz w:val="22"/>
        </w:rPr>
        <w:t xml:space="preserve">rack petroleum product demand for short-term forecasting.  The data are also used to make projections of monthly supply for emergency management purposes.  </w:t>
      </w:r>
    </w:p>
    <w:p w:rsidR="00644A84" w:rsidRDefault="00644A84"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Through conducting the above analyses, each State is able - from its unique perspective - to establish a baseline showing the amounts and patterns of energy supply, distribution, and use over time.  Having formulated a baseline, each State is favorably positioned to analyze and develop energy emergency contingency plans and other policy alternatives.  In fact, State officials concur that, were an oil shortage to occur, the EIA-782 derived database would serve as a reliable historical reference-point from which to measure and respond to the resulting changes that would occur in the supply and consumption of crude oil and petroleum products. </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Petroleum industry analysts regularly use EIA-782 published data available on the EIA website to perform market evaluations, trend analyses, and planning.  In addition, EIA regularly receives Freedom of Information Act (FOIA) data requests from both large energy producers, and numerous small-to-medium size energy firms. These data are frequently used </w:t>
      </w:r>
      <w:r w:rsidR="006B5696" w:rsidRPr="004C2713">
        <w:rPr>
          <w:rFonts w:asciiTheme="minorHAnsi" w:hAnsiTheme="minorHAnsi"/>
          <w:sz w:val="22"/>
        </w:rPr>
        <w:t>to</w:t>
      </w:r>
      <w:r w:rsidRPr="004C2713">
        <w:rPr>
          <w:rFonts w:asciiTheme="minorHAnsi" w:hAnsiTheme="minorHAnsi"/>
          <w:sz w:val="22"/>
        </w:rPr>
        <w:t xml:space="preserve">: </w:t>
      </w:r>
    </w:p>
    <w:p w:rsidR="00524A31" w:rsidRPr="004C2713" w:rsidRDefault="006B5696" w:rsidP="00644A84">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E</w:t>
      </w:r>
      <w:r w:rsidR="00524A31" w:rsidRPr="004C2713">
        <w:rPr>
          <w:rFonts w:asciiTheme="minorHAnsi" w:hAnsiTheme="minorHAnsi"/>
          <w:sz w:val="22"/>
        </w:rPr>
        <w:t>stablish contract pricing formulas for fuel oil and military marketing.</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O</w:t>
      </w:r>
      <w:r w:rsidR="00524A31" w:rsidRPr="004C2713">
        <w:rPr>
          <w:rFonts w:asciiTheme="minorHAnsi" w:hAnsiTheme="minorHAnsi"/>
          <w:sz w:val="22"/>
        </w:rPr>
        <w:t xml:space="preserve">versee sales to airlines and sales of jet-propulsion fuel to the military.  </w:t>
      </w:r>
    </w:p>
    <w:p w:rsidR="00524A31" w:rsidRPr="004C2713" w:rsidRDefault="006B5696" w:rsidP="00644A84">
      <w:pPr>
        <w:widowControl/>
        <w:numPr>
          <w:ilvl w:val="0"/>
          <w:numId w:val="1"/>
        </w:numPr>
        <w:tabs>
          <w:tab w:val="clear" w:pos="7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Theme="minorHAnsi" w:hAnsiTheme="minorHAnsi"/>
          <w:sz w:val="22"/>
        </w:rPr>
      </w:pPr>
      <w:r w:rsidRPr="004C2713">
        <w:rPr>
          <w:rFonts w:asciiTheme="minorHAnsi" w:hAnsiTheme="minorHAnsi"/>
          <w:sz w:val="22"/>
        </w:rPr>
        <w:t>I</w:t>
      </w:r>
      <w:r w:rsidR="00524A31" w:rsidRPr="004C2713">
        <w:rPr>
          <w:rFonts w:asciiTheme="minorHAnsi" w:hAnsiTheme="minorHAnsi"/>
          <w:sz w:val="22"/>
        </w:rPr>
        <w:t>nput into energy models, to project U.S. energy market futures, and to try and simulate interaction between markets.</w:t>
      </w:r>
    </w:p>
    <w:p w:rsidR="00524A31" w:rsidRPr="004C2713" w:rsidRDefault="00524A31"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AC42F3" w:rsidRPr="00494925" w:rsidRDefault="0086170E"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 EIA-782 data are initially published in the </w:t>
      </w:r>
      <w:r w:rsidRPr="00667C26">
        <w:rPr>
          <w:rFonts w:asciiTheme="minorHAnsi" w:hAnsiTheme="minorHAnsi"/>
          <w:i/>
          <w:sz w:val="22"/>
        </w:rPr>
        <w:t>PMM</w:t>
      </w:r>
      <w:r w:rsidRPr="00667C26">
        <w:rPr>
          <w:rFonts w:asciiTheme="minorHAnsi" w:hAnsiTheme="minorHAnsi"/>
          <w:sz w:val="22"/>
        </w:rPr>
        <w:t xml:space="preserve"> and used in the </w:t>
      </w:r>
      <w:r w:rsidRPr="00667C26">
        <w:rPr>
          <w:rFonts w:asciiTheme="minorHAnsi" w:hAnsiTheme="minorHAnsi"/>
          <w:i/>
          <w:sz w:val="22"/>
        </w:rPr>
        <w:t>STEO</w:t>
      </w:r>
      <w:r w:rsidRPr="00667C26">
        <w:rPr>
          <w:rFonts w:asciiTheme="minorHAnsi" w:hAnsiTheme="minorHAnsi"/>
          <w:sz w:val="22"/>
        </w:rPr>
        <w:t xml:space="preserve"> and </w:t>
      </w:r>
      <w:r w:rsidR="006B5696" w:rsidRPr="00667C26">
        <w:rPr>
          <w:rFonts w:asciiTheme="minorHAnsi" w:hAnsiTheme="minorHAnsi"/>
          <w:sz w:val="22"/>
        </w:rPr>
        <w:t xml:space="preserve">the </w:t>
      </w:r>
      <w:r w:rsidRPr="00667C26">
        <w:rPr>
          <w:rFonts w:asciiTheme="minorHAnsi" w:hAnsiTheme="minorHAnsi"/>
          <w:i/>
          <w:sz w:val="22"/>
        </w:rPr>
        <w:t>AEO</w:t>
      </w:r>
      <w:r w:rsidRPr="00667C26">
        <w:rPr>
          <w:rFonts w:asciiTheme="minorHAnsi" w:hAnsiTheme="minorHAnsi"/>
          <w:sz w:val="22"/>
        </w:rPr>
        <w:t xml:space="preserve">. These data are </w:t>
      </w:r>
      <w:r w:rsidR="00524A31" w:rsidRPr="00667C26">
        <w:rPr>
          <w:rFonts w:asciiTheme="minorHAnsi" w:hAnsiTheme="minorHAnsi"/>
          <w:sz w:val="22"/>
        </w:rPr>
        <w:t xml:space="preserve">reprinted </w:t>
      </w:r>
      <w:r w:rsidRPr="00667C26">
        <w:rPr>
          <w:rFonts w:asciiTheme="minorHAnsi" w:hAnsiTheme="minorHAnsi"/>
          <w:sz w:val="22"/>
        </w:rPr>
        <w:t>o</w:t>
      </w:r>
      <w:r w:rsidR="00524A31" w:rsidRPr="00667C26">
        <w:rPr>
          <w:rFonts w:asciiTheme="minorHAnsi" w:hAnsiTheme="minorHAnsi"/>
          <w:sz w:val="22"/>
        </w:rPr>
        <w:t xml:space="preserve">r cited in </w:t>
      </w:r>
      <w:r w:rsidRPr="00667C26">
        <w:rPr>
          <w:rFonts w:asciiTheme="minorHAnsi" w:hAnsiTheme="minorHAnsi"/>
          <w:sz w:val="22"/>
        </w:rPr>
        <w:t>articles in numerous</w:t>
      </w:r>
      <w:r w:rsidR="00524A31" w:rsidRPr="00667C26">
        <w:rPr>
          <w:rFonts w:asciiTheme="minorHAnsi" w:hAnsiTheme="minorHAnsi"/>
          <w:sz w:val="22"/>
        </w:rPr>
        <w:t xml:space="preserve"> publications and journals,</w:t>
      </w:r>
      <w:r w:rsidR="00AC42F3" w:rsidRPr="00667C26">
        <w:rPr>
          <w:rFonts w:asciiTheme="minorHAnsi" w:hAnsiTheme="minorHAnsi"/>
          <w:sz w:val="22"/>
        </w:rPr>
        <w:t xml:space="preserve"> including articles in the five major newspapers –</w:t>
      </w:r>
      <w:r w:rsidR="00AC42F3" w:rsidRPr="004C2713">
        <w:rPr>
          <w:rFonts w:asciiTheme="minorHAnsi" w:hAnsiTheme="minorHAnsi"/>
          <w:color w:val="FF0000"/>
          <w:sz w:val="22"/>
        </w:rPr>
        <w:t xml:space="preserve"> </w:t>
      </w:r>
      <w:hyperlink r:id="rId12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2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2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2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2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122063" w:rsidRPr="004C2713" w:rsidRDefault="002F5FC8" w:rsidP="00644A84">
      <w:pPr>
        <w:pStyle w:val="Heading1"/>
        <w:numPr>
          <w:ilvl w:val="0"/>
          <w:numId w:val="27"/>
        </w:numPr>
      </w:pPr>
      <w:r w:rsidRPr="004C2713">
        <w:t>Annual Petroleum Product Survey (EIA-821)</w:t>
      </w:r>
    </w:p>
    <w:p w:rsidR="002F5FC8" w:rsidRPr="004C2713" w:rsidRDefault="002F5FC8"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numPr>
          <w:ilvl w:val="0"/>
          <w:numId w:val="10"/>
        </w:numPr>
        <w:spacing w:line="360" w:lineRule="auto"/>
        <w:rPr>
          <w:rFonts w:asciiTheme="minorHAnsi" w:hAnsiTheme="minorHAnsi"/>
          <w:b/>
          <w:sz w:val="22"/>
        </w:rPr>
      </w:pPr>
      <w:r w:rsidRPr="004C2713">
        <w:rPr>
          <w:rFonts w:asciiTheme="minorHAnsi" w:hAnsiTheme="minorHAnsi"/>
          <w:b/>
          <w:bCs/>
          <w:sz w:val="22"/>
          <w:u w:val="single"/>
        </w:rPr>
        <w:t>EIA-821, “</w:t>
      </w:r>
      <w:r w:rsidR="00A52DE5" w:rsidRPr="004C2713">
        <w:rPr>
          <w:rFonts w:asciiTheme="minorHAnsi" w:hAnsiTheme="minorHAnsi"/>
          <w:b/>
          <w:bCs/>
          <w:sz w:val="22"/>
          <w:u w:val="single"/>
        </w:rPr>
        <w:t>Annual Fuel Oil and Kerosene Sales Report</w:t>
      </w:r>
      <w:r w:rsidR="00CF633A" w:rsidRPr="004C2713">
        <w:rPr>
          <w:rFonts w:asciiTheme="minorHAnsi" w:hAnsiTheme="minorHAnsi"/>
          <w:b/>
          <w:bCs/>
          <w:sz w:val="22"/>
          <w:u w:val="single"/>
        </w:rPr>
        <w:t>”</w:t>
      </w:r>
    </w:p>
    <w:p w:rsidR="00A52DE5" w:rsidRPr="004C2713" w:rsidRDefault="00A52DE5" w:rsidP="004C2713">
      <w:pPr>
        <w:spacing w:line="360" w:lineRule="auto"/>
        <w:rPr>
          <w:rFonts w:asciiTheme="minorHAnsi" w:hAnsiTheme="minorHAnsi"/>
          <w:sz w:val="22"/>
        </w:rPr>
      </w:pPr>
      <w:r w:rsidRPr="004C2713">
        <w:rPr>
          <w:rFonts w:asciiTheme="minorHAnsi" w:hAnsiTheme="minorHAnsi"/>
          <w:sz w:val="22"/>
        </w:rPr>
        <w:t> </w:t>
      </w:r>
    </w:p>
    <w:p w:rsidR="009E3173" w:rsidRPr="004C2713" w:rsidRDefault="00A52DE5" w:rsidP="004C2713">
      <w:pPr>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 xml:space="preserve">821 survey collects annual sales volumes of distillate and residual fuel oils and kerosene by a variety of end-use categories at the State level.  </w:t>
      </w:r>
    </w:p>
    <w:p w:rsidR="009E3173" w:rsidRPr="004C2713" w:rsidRDefault="009E3173" w:rsidP="004C2713">
      <w:pPr>
        <w:spacing w:line="360" w:lineRule="auto"/>
        <w:rPr>
          <w:rFonts w:asciiTheme="minorHAnsi" w:hAnsiTheme="minorHAnsi"/>
          <w:sz w:val="22"/>
        </w:rPr>
      </w:pPr>
    </w:p>
    <w:p w:rsidR="009E3173" w:rsidRPr="004C2713" w:rsidRDefault="009E3173" w:rsidP="004C2713">
      <w:pPr>
        <w:spacing w:line="360" w:lineRule="auto"/>
        <w:rPr>
          <w:rFonts w:asciiTheme="minorHAnsi" w:hAnsiTheme="minorHAnsi"/>
          <w:sz w:val="22"/>
        </w:rPr>
      </w:pPr>
      <w:r w:rsidRPr="004C2713">
        <w:rPr>
          <w:rFonts w:asciiTheme="minorHAnsi" w:hAnsiTheme="minorHAnsi"/>
          <w:sz w:val="22"/>
        </w:rPr>
        <w:t xml:space="preserve">Aggregated data collected on </w:t>
      </w:r>
      <w:r w:rsidR="00721FE3" w:rsidRPr="004C2713">
        <w:rPr>
          <w:rFonts w:asciiTheme="minorHAnsi" w:hAnsiTheme="minorHAnsi"/>
          <w:sz w:val="22"/>
        </w:rPr>
        <w:t xml:space="preserve">Form </w:t>
      </w:r>
      <w:r w:rsidRPr="004C2713">
        <w:rPr>
          <w:rFonts w:asciiTheme="minorHAnsi" w:hAnsiTheme="minorHAnsi"/>
          <w:sz w:val="22"/>
        </w:rPr>
        <w:t xml:space="preserve">EIA-821 on the quantity of kerosene and fuel oil sold by end-use </w:t>
      </w:r>
      <w:r w:rsidRPr="004C2713">
        <w:rPr>
          <w:rFonts w:asciiTheme="minorHAnsi" w:hAnsiTheme="minorHAnsi"/>
          <w:sz w:val="22"/>
        </w:rPr>
        <w:lastRenderedPageBreak/>
        <w:t xml:space="preserve">category are used by all levels of government </w:t>
      </w:r>
      <w:r w:rsidR="0086170E" w:rsidRPr="004C2713">
        <w:rPr>
          <w:rFonts w:asciiTheme="minorHAnsi" w:hAnsiTheme="minorHAnsi"/>
          <w:sz w:val="22"/>
        </w:rPr>
        <w:t xml:space="preserve">– </w:t>
      </w:r>
      <w:r w:rsidR="00092E8B" w:rsidRPr="004C2713">
        <w:rPr>
          <w:rFonts w:asciiTheme="minorHAnsi" w:hAnsiTheme="minorHAnsi"/>
          <w:sz w:val="22"/>
        </w:rPr>
        <w:t>F</w:t>
      </w:r>
      <w:r w:rsidRPr="004C2713">
        <w:rPr>
          <w:rFonts w:asciiTheme="minorHAnsi" w:hAnsiTheme="minorHAnsi"/>
          <w:sz w:val="22"/>
        </w:rPr>
        <w:t>ederal</w:t>
      </w:r>
      <w:r w:rsidR="0086170E" w:rsidRPr="004C2713">
        <w:rPr>
          <w:rFonts w:asciiTheme="minorHAnsi" w:hAnsiTheme="minorHAnsi"/>
          <w:sz w:val="22"/>
        </w:rPr>
        <w:t xml:space="preserve">, </w:t>
      </w:r>
      <w:r w:rsidR="00092E8B" w:rsidRPr="004C2713">
        <w:rPr>
          <w:rFonts w:asciiTheme="minorHAnsi" w:hAnsiTheme="minorHAnsi"/>
          <w:sz w:val="22"/>
        </w:rPr>
        <w:t>S</w:t>
      </w:r>
      <w:r w:rsidRPr="004C2713">
        <w:rPr>
          <w:rFonts w:asciiTheme="minorHAnsi" w:hAnsiTheme="minorHAnsi"/>
          <w:sz w:val="22"/>
        </w:rPr>
        <w:t xml:space="preserve">tate and local </w:t>
      </w:r>
      <w:r w:rsidR="0086170E" w:rsidRPr="004C2713">
        <w:rPr>
          <w:rFonts w:asciiTheme="minorHAnsi" w:hAnsiTheme="minorHAnsi"/>
          <w:sz w:val="22"/>
        </w:rPr>
        <w:t>government.</w:t>
      </w:r>
      <w:r w:rsidRPr="004C2713">
        <w:rPr>
          <w:rFonts w:asciiTheme="minorHAnsi" w:hAnsiTheme="minorHAnsi"/>
          <w:sz w:val="22"/>
        </w:rPr>
        <w:t xml:space="preserve">  Numerous government agencies make use of data </w:t>
      </w:r>
      <w:r w:rsidR="00F90571" w:rsidRPr="004C2713">
        <w:rPr>
          <w:rFonts w:asciiTheme="minorHAnsi" w:hAnsiTheme="minorHAnsi"/>
          <w:sz w:val="22"/>
        </w:rPr>
        <w:t>collected on</w:t>
      </w:r>
      <w:r w:rsidRPr="004C2713">
        <w:rPr>
          <w:rFonts w:asciiTheme="minorHAnsi" w:hAnsiTheme="minorHAnsi"/>
          <w:sz w:val="22"/>
        </w:rPr>
        <w:t xml:space="preserve"> the EIA-821 for energy policy analysis, forecasting and consumption programs.  State agencies, including energy offices and environmental agencies, also use EIA</w:t>
      </w:r>
      <w:r w:rsidRPr="004C2713">
        <w:rPr>
          <w:rFonts w:asciiTheme="minorHAnsi" w:hAnsiTheme="minorHAnsi"/>
          <w:sz w:val="22"/>
        </w:rPr>
        <w:noBreakHyphen/>
        <w:t xml:space="preserve">821 data for energy planning, analysis, and information dissemination.  </w:t>
      </w:r>
    </w:p>
    <w:p w:rsidR="009E3173" w:rsidRPr="004C2713" w:rsidRDefault="009E3173" w:rsidP="004C2713">
      <w:pPr>
        <w:spacing w:line="360" w:lineRule="auto"/>
        <w:rPr>
          <w:rFonts w:asciiTheme="minorHAnsi" w:hAnsiTheme="minorHAnsi"/>
          <w:sz w:val="22"/>
        </w:rPr>
      </w:pPr>
    </w:p>
    <w:p w:rsidR="007E745D" w:rsidRPr="002B6C1F" w:rsidRDefault="007E745D" w:rsidP="004C2713">
      <w:pPr>
        <w:spacing w:line="360" w:lineRule="auto"/>
        <w:rPr>
          <w:rFonts w:asciiTheme="minorHAnsi" w:hAnsiTheme="minorHAnsi"/>
          <w:sz w:val="22"/>
        </w:rPr>
      </w:pPr>
      <w:r w:rsidRPr="002B6C1F">
        <w:rPr>
          <w:rFonts w:asciiTheme="minorHAnsi" w:hAnsiTheme="minorHAnsi"/>
          <w:sz w:val="22"/>
        </w:rPr>
        <w:t>The widespread use of these data became apparent when EIA discontinued the predecessor survey, the EIA</w:t>
      </w:r>
      <w:r w:rsidRPr="002B6C1F">
        <w:rPr>
          <w:rFonts w:asciiTheme="minorHAnsi" w:hAnsiTheme="minorHAnsi"/>
          <w:sz w:val="22"/>
        </w:rPr>
        <w:noBreakHyphen/>
        <w:t xml:space="preserve">172, after collecting data for reference year - 1982.  The EIA-821 was established to collect data beginning with reference year 1984 after receiving numerous letters from State Governors, Congress, trade associations, oil companies, trade publications, and industry analysts citing their need for the data. A number of state agencies previously asserted that discontinuance of the data would have broad, adverse effects on their State energy or air quality programs.  </w:t>
      </w:r>
    </w:p>
    <w:p w:rsidR="00FD52BB" w:rsidRPr="002B6C1F"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C2713" w:rsidRPr="002B6C1F" w:rsidRDefault="00FD52BB"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2B6C1F">
        <w:rPr>
          <w:rFonts w:asciiTheme="minorHAnsi" w:hAnsiTheme="minorHAnsi"/>
          <w:sz w:val="22"/>
        </w:rPr>
        <w:t xml:space="preserve">EIA </w:t>
      </w:r>
      <w:r w:rsidR="0086170E" w:rsidRPr="002B6C1F">
        <w:rPr>
          <w:rFonts w:asciiTheme="minorHAnsi" w:hAnsiTheme="minorHAnsi"/>
          <w:sz w:val="22"/>
        </w:rPr>
        <w:t xml:space="preserve">initially publishes EIA-821 in the annual </w:t>
      </w:r>
      <w:r w:rsidR="000C49F4" w:rsidRPr="000C49F4">
        <w:rPr>
          <w:rFonts w:asciiTheme="minorHAnsi" w:hAnsiTheme="minorHAnsi"/>
          <w:i/>
          <w:sz w:val="22"/>
        </w:rPr>
        <w:t>Fuel Oil and Kerosene Sales (</w:t>
      </w:r>
      <w:r w:rsidR="0086170E" w:rsidRPr="000C49F4">
        <w:rPr>
          <w:rFonts w:asciiTheme="minorHAnsi" w:hAnsiTheme="minorHAnsi"/>
          <w:i/>
          <w:sz w:val="22"/>
        </w:rPr>
        <w:t>FOKS</w:t>
      </w:r>
      <w:r w:rsidR="000C49F4" w:rsidRPr="000C49F4">
        <w:rPr>
          <w:rFonts w:asciiTheme="minorHAnsi" w:hAnsiTheme="minorHAnsi"/>
          <w:i/>
          <w:sz w:val="22"/>
        </w:rPr>
        <w:t>)</w:t>
      </w:r>
      <w:r w:rsidR="0086170E" w:rsidRPr="000C49F4">
        <w:rPr>
          <w:rFonts w:asciiTheme="minorHAnsi" w:hAnsiTheme="minorHAnsi"/>
          <w:i/>
          <w:sz w:val="22"/>
        </w:rPr>
        <w:t xml:space="preserve"> Report</w:t>
      </w:r>
      <w:r w:rsidR="0086170E" w:rsidRPr="002B6C1F">
        <w:rPr>
          <w:rFonts w:asciiTheme="minorHAnsi" w:hAnsiTheme="minorHAnsi"/>
          <w:sz w:val="22"/>
        </w:rPr>
        <w:t xml:space="preserve">.  These </w:t>
      </w:r>
      <w:r w:rsidRPr="002B6C1F">
        <w:rPr>
          <w:rFonts w:asciiTheme="minorHAnsi" w:hAnsiTheme="minorHAnsi"/>
          <w:sz w:val="22"/>
        </w:rPr>
        <w:t xml:space="preserve">data are </w:t>
      </w:r>
      <w:r w:rsidR="0086170E" w:rsidRPr="002B6C1F">
        <w:rPr>
          <w:rFonts w:asciiTheme="minorHAnsi" w:hAnsiTheme="minorHAnsi"/>
          <w:sz w:val="22"/>
        </w:rPr>
        <w:t xml:space="preserve">reprinted </w:t>
      </w:r>
      <w:r w:rsidRPr="002B6C1F">
        <w:rPr>
          <w:rFonts w:asciiTheme="minorHAnsi" w:hAnsiTheme="minorHAnsi"/>
          <w:sz w:val="22"/>
        </w:rPr>
        <w:t>or cited in various publications and journals,</w:t>
      </w:r>
      <w:r w:rsidR="00AC42F3" w:rsidRPr="002B6C1F">
        <w:rPr>
          <w:rFonts w:asciiTheme="minorHAnsi" w:hAnsiTheme="minorHAnsi"/>
          <w:sz w:val="22"/>
        </w:rPr>
        <w:t xml:space="preserve"> including articles </w:t>
      </w:r>
      <w:r w:rsidR="0086170E" w:rsidRPr="002B6C1F">
        <w:rPr>
          <w:rFonts w:asciiTheme="minorHAnsi" w:hAnsiTheme="minorHAnsi"/>
          <w:sz w:val="22"/>
        </w:rPr>
        <w:t>from</w:t>
      </w:r>
      <w:r w:rsidR="00AC42F3" w:rsidRPr="002B6C1F">
        <w:rPr>
          <w:rFonts w:asciiTheme="minorHAnsi" w:hAnsiTheme="minorHAnsi"/>
          <w:sz w:val="22"/>
        </w:rPr>
        <w:t xml:space="preserve"> the five major newspapers – </w:t>
      </w:r>
      <w:hyperlink r:id="rId130" w:history="1">
        <w:r w:rsidR="00644A84" w:rsidRPr="004C2713">
          <w:rPr>
            <w:rStyle w:val="Hyperlink"/>
            <w:rFonts w:asciiTheme="minorHAnsi" w:hAnsiTheme="minorHAnsi"/>
            <w:i/>
            <w:sz w:val="22"/>
          </w:rPr>
          <w:t>Los Angeles Times</w:t>
        </w:r>
      </w:hyperlink>
      <w:r w:rsidR="00644A84" w:rsidRPr="004C2713">
        <w:rPr>
          <w:rFonts w:asciiTheme="minorHAnsi" w:hAnsiTheme="minorHAnsi"/>
          <w:i/>
          <w:sz w:val="22"/>
        </w:rPr>
        <w:t xml:space="preserve">, </w:t>
      </w:r>
      <w:hyperlink r:id="rId131" w:history="1">
        <w:r w:rsidR="00644A84" w:rsidRPr="004C2713">
          <w:rPr>
            <w:rStyle w:val="Hyperlink"/>
            <w:rFonts w:asciiTheme="minorHAnsi" w:hAnsiTheme="minorHAnsi"/>
            <w:i/>
            <w:sz w:val="22"/>
          </w:rPr>
          <w:t>New York Times</w:t>
        </w:r>
      </w:hyperlink>
      <w:r w:rsidR="00644A84" w:rsidRPr="004C2713">
        <w:rPr>
          <w:rFonts w:asciiTheme="minorHAnsi" w:hAnsiTheme="minorHAnsi"/>
          <w:i/>
          <w:sz w:val="22"/>
        </w:rPr>
        <w:t xml:space="preserve">, </w:t>
      </w:r>
      <w:hyperlink r:id="rId132" w:history="1">
        <w:r w:rsidR="00644A84" w:rsidRPr="004C2713">
          <w:rPr>
            <w:rStyle w:val="Hyperlink"/>
            <w:rFonts w:asciiTheme="minorHAnsi" w:hAnsiTheme="minorHAnsi"/>
            <w:i/>
            <w:sz w:val="22"/>
          </w:rPr>
          <w:t>USA Today</w:t>
        </w:r>
      </w:hyperlink>
      <w:r w:rsidR="00644A84" w:rsidRPr="004C2713">
        <w:rPr>
          <w:rFonts w:asciiTheme="minorHAnsi" w:hAnsiTheme="minorHAnsi"/>
          <w:i/>
          <w:sz w:val="22"/>
        </w:rPr>
        <w:t xml:space="preserve">, </w:t>
      </w:r>
      <w:hyperlink r:id="rId133" w:history="1">
        <w:r w:rsidR="00644A84" w:rsidRPr="004C2713">
          <w:rPr>
            <w:rStyle w:val="Hyperlink"/>
            <w:rFonts w:asciiTheme="minorHAnsi" w:hAnsiTheme="minorHAnsi"/>
            <w:i/>
            <w:sz w:val="22"/>
          </w:rPr>
          <w:t>Wall Street Journal</w:t>
        </w:r>
      </w:hyperlink>
      <w:r w:rsidR="00644A84" w:rsidRPr="004C2713">
        <w:rPr>
          <w:rFonts w:asciiTheme="minorHAnsi" w:hAnsiTheme="minorHAnsi"/>
          <w:i/>
          <w:sz w:val="22"/>
        </w:rPr>
        <w:t>, and</w:t>
      </w:r>
      <w:r w:rsidR="00644A84" w:rsidRPr="004C2713">
        <w:rPr>
          <w:rFonts w:asciiTheme="minorHAnsi" w:hAnsiTheme="minorHAnsi"/>
          <w:i/>
          <w:color w:val="FF0000"/>
          <w:sz w:val="22"/>
        </w:rPr>
        <w:t xml:space="preserve"> </w:t>
      </w:r>
      <w:hyperlink r:id="rId134" w:history="1">
        <w:r w:rsidR="00644A84" w:rsidRPr="004C2713">
          <w:rPr>
            <w:rStyle w:val="Hyperlink"/>
            <w:rFonts w:asciiTheme="minorHAnsi" w:hAnsiTheme="minorHAnsi"/>
            <w:i/>
            <w:sz w:val="22"/>
          </w:rPr>
          <w:t>Washington Post</w:t>
        </w:r>
      </w:hyperlink>
      <w:r w:rsidR="00644A84" w:rsidRPr="004C2713">
        <w:rPr>
          <w:rFonts w:asciiTheme="minorHAnsi" w:hAnsiTheme="minorHAnsi"/>
          <w:i/>
          <w:sz w:val="22"/>
        </w:rPr>
        <w:t>.</w:t>
      </w:r>
    </w:p>
    <w:p w:rsidR="00B462BC" w:rsidRPr="004C2713" w:rsidRDefault="002F5FC8" w:rsidP="00644A84">
      <w:pPr>
        <w:pStyle w:val="Heading1"/>
        <w:numPr>
          <w:ilvl w:val="0"/>
          <w:numId w:val="27"/>
        </w:numPr>
      </w:pPr>
      <w:r w:rsidRPr="004C2713">
        <w:t>Weekly Petroleum Product Sur</w:t>
      </w:r>
      <w:r w:rsidR="00660FA2" w:rsidRPr="004C2713">
        <w:t>vey (EIA-877, EIA-878, and</w:t>
      </w:r>
      <w:r w:rsidRPr="004C2713">
        <w:t xml:space="preserve"> EIA-888)</w:t>
      </w:r>
    </w:p>
    <w:p w:rsidR="002F5FC8" w:rsidRPr="004C2713" w:rsidRDefault="002F5FC8"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EIA-877, “</w:t>
      </w:r>
      <w:r w:rsidR="00973A84" w:rsidRPr="004C2713">
        <w:rPr>
          <w:rFonts w:asciiTheme="minorHAnsi" w:hAnsiTheme="minorHAnsi"/>
          <w:b/>
          <w:bCs/>
          <w:sz w:val="22"/>
          <w:u w:val="single"/>
        </w:rPr>
        <w:t>Winter Heating Fuels Telephone Survey</w:t>
      </w:r>
      <w:r w:rsidR="003C2BD7" w:rsidRPr="004C2713">
        <w:rPr>
          <w:rFonts w:asciiTheme="minorHAnsi" w:hAnsiTheme="minorHAnsi"/>
          <w:b/>
          <w:bCs/>
          <w:sz w:val="22"/>
          <w:u w:val="single"/>
        </w:rPr>
        <w:t>”</w:t>
      </w:r>
    </w:p>
    <w:p w:rsidR="00973A84" w:rsidRPr="004C2713" w:rsidRDefault="00973A84"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D23A63" w:rsidRDefault="00D23A63" w:rsidP="00644A84">
      <w:pPr>
        <w:pStyle w:val="BodyText"/>
        <w:spacing w:line="360" w:lineRule="auto"/>
        <w:jc w:val="left"/>
        <w:rPr>
          <w:rFonts w:asciiTheme="minorHAnsi" w:hAnsiTheme="minorHAnsi"/>
          <w:sz w:val="22"/>
          <w:szCs w:val="22"/>
        </w:rPr>
      </w:pPr>
      <w:r>
        <w:rPr>
          <w:rFonts w:asciiTheme="minorHAnsi" w:hAnsiTheme="minorHAnsi"/>
          <w:sz w:val="22"/>
          <w:szCs w:val="22"/>
        </w:rPr>
        <w:t>The EIA-877, “Winter Heating Fuels Telephone Survey,” is designed to collect data on retail prices of No. 2 heating oil and propane during the heating seaso</w:t>
      </w:r>
      <w:r w:rsidR="004A5B88">
        <w:rPr>
          <w:rFonts w:asciiTheme="minorHAnsi" w:hAnsiTheme="minorHAnsi"/>
          <w:sz w:val="22"/>
          <w:szCs w:val="22"/>
        </w:rPr>
        <w:t>n (October 1</w:t>
      </w:r>
      <w:r w:rsidR="00644A84">
        <w:rPr>
          <w:rFonts w:asciiTheme="minorHAnsi" w:hAnsiTheme="minorHAnsi"/>
          <w:sz w:val="22"/>
          <w:szCs w:val="22"/>
        </w:rPr>
        <w:t xml:space="preserve"> </w:t>
      </w:r>
      <w:r w:rsidR="004A5B88">
        <w:rPr>
          <w:rFonts w:asciiTheme="minorHAnsi" w:hAnsiTheme="minorHAnsi"/>
          <w:sz w:val="22"/>
          <w:szCs w:val="22"/>
        </w:rPr>
        <w:t>to mid-March) for 24</w:t>
      </w:r>
      <w:r>
        <w:rPr>
          <w:rFonts w:asciiTheme="minorHAnsi" w:hAnsiTheme="minorHAnsi"/>
          <w:sz w:val="22"/>
          <w:szCs w:val="22"/>
        </w:rPr>
        <w:t xml:space="preserve"> Eastern and Midwestern states </w:t>
      </w:r>
      <w:r w:rsidR="004A5B88">
        <w:rPr>
          <w:rFonts w:asciiTheme="minorHAnsi" w:hAnsiTheme="minorHAnsi"/>
          <w:sz w:val="22"/>
          <w:szCs w:val="22"/>
        </w:rPr>
        <w:t xml:space="preserve">and the District of Columbia </w:t>
      </w:r>
      <w:r>
        <w:rPr>
          <w:rFonts w:asciiTheme="minorHAnsi" w:hAnsiTheme="minorHAnsi"/>
          <w:sz w:val="22"/>
          <w:szCs w:val="22"/>
        </w:rPr>
        <w:t xml:space="preserve">through the State Heating Oil and Propane Program (SHOPP). SHOPP is a joint data collection effort between large heating oil and propane consuming states in the Northeast and Midwest and the US Department of Energy/Energy Information Administration (EIA).  The current program is a continuation of a program that was initiated in the 1990/91 heating season in response to congressional requests for concise, timely price information on distillate fuel oil and propane.  Prior to 1990, States collected only heating oil data. </w:t>
      </w:r>
    </w:p>
    <w:p w:rsidR="00D23A63" w:rsidRDefault="00D23A63" w:rsidP="00D23A63">
      <w:pPr>
        <w:spacing w:line="360" w:lineRule="auto"/>
        <w:rPr>
          <w:rFonts w:asciiTheme="minorHAnsi" w:hAnsiTheme="minorHAnsi"/>
          <w:sz w:val="22"/>
          <w:szCs w:val="22"/>
        </w:rPr>
      </w:pPr>
    </w:p>
    <w:p w:rsidR="0086170E" w:rsidRPr="00D23A63" w:rsidRDefault="00D23A63" w:rsidP="00D23A63">
      <w:pPr>
        <w:spacing w:line="360" w:lineRule="auto"/>
        <w:rPr>
          <w:rFonts w:asciiTheme="minorHAnsi" w:hAnsiTheme="minorHAnsi"/>
          <w:sz w:val="22"/>
          <w:szCs w:val="22"/>
        </w:rPr>
      </w:pPr>
      <w:r>
        <w:rPr>
          <w:rFonts w:asciiTheme="minorHAnsi" w:hAnsiTheme="minorHAnsi"/>
        </w:rPr>
        <w:t xml:space="preserve">SHOPP provides State and Federal governments, the press, policy makers, consumers, analysts and others with up-to-date information on retail heating fuels prices during the heating season.  Because of supply and price instability in heating fuel markets, there is a need for communication </w:t>
      </w:r>
      <w:r>
        <w:rPr>
          <w:rFonts w:asciiTheme="minorHAnsi" w:hAnsiTheme="minorHAnsi"/>
        </w:rPr>
        <w:lastRenderedPageBreak/>
        <w:t xml:space="preserve">between heating fuel marketers and the government. </w:t>
      </w:r>
      <w:r w:rsidR="00973A84" w:rsidRPr="00D23A63">
        <w:rPr>
          <w:rFonts w:asciiTheme="minorHAnsi" w:hAnsiTheme="minorHAnsi"/>
          <w:sz w:val="22"/>
          <w:szCs w:val="22"/>
        </w:rPr>
        <w:t xml:space="preserve">The data has been used by </w:t>
      </w:r>
      <w:r w:rsidR="0086170E" w:rsidRPr="00D23A63">
        <w:rPr>
          <w:rFonts w:asciiTheme="minorHAnsi" w:hAnsiTheme="minorHAnsi"/>
          <w:sz w:val="22"/>
          <w:szCs w:val="22"/>
        </w:rPr>
        <w:t xml:space="preserve">Congressional Committees, </w:t>
      </w:r>
      <w:r w:rsidR="00973A84" w:rsidRPr="00D23A63">
        <w:rPr>
          <w:rFonts w:asciiTheme="minorHAnsi" w:hAnsiTheme="minorHAnsi"/>
          <w:sz w:val="22"/>
          <w:szCs w:val="22"/>
        </w:rPr>
        <w:t>Federal and State governments,</w:t>
      </w:r>
      <w:r w:rsidR="0086170E" w:rsidRPr="00D23A63">
        <w:rPr>
          <w:rFonts w:asciiTheme="minorHAnsi" w:hAnsiTheme="minorHAnsi"/>
          <w:sz w:val="22"/>
          <w:szCs w:val="22"/>
        </w:rPr>
        <w:t xml:space="preserve"> and</w:t>
      </w:r>
      <w:r w:rsidR="00973A84" w:rsidRPr="00D23A63">
        <w:rPr>
          <w:rFonts w:asciiTheme="minorHAnsi" w:hAnsiTheme="minorHAnsi"/>
          <w:sz w:val="22"/>
          <w:szCs w:val="22"/>
        </w:rPr>
        <w:t xml:space="preserve"> industry analysts to assess the hardships experienced by heating oil and propane users during periods of critical short supplies</w:t>
      </w:r>
      <w:r w:rsidR="009E3173" w:rsidRPr="00D23A63">
        <w:rPr>
          <w:rFonts w:asciiTheme="minorHAnsi" w:hAnsiTheme="minorHAnsi"/>
          <w:sz w:val="22"/>
          <w:szCs w:val="22"/>
        </w:rPr>
        <w:t>.  For example</w:t>
      </w:r>
      <w:r w:rsidR="001E16F5" w:rsidRPr="00D23A63">
        <w:rPr>
          <w:rFonts w:asciiTheme="minorHAnsi" w:hAnsiTheme="minorHAnsi"/>
          <w:sz w:val="22"/>
          <w:szCs w:val="22"/>
        </w:rPr>
        <w:t>,</w:t>
      </w:r>
      <w:r w:rsidR="009E3173" w:rsidRPr="00D23A63">
        <w:rPr>
          <w:rFonts w:asciiTheme="minorHAnsi" w:hAnsiTheme="minorHAnsi"/>
          <w:sz w:val="22"/>
          <w:szCs w:val="22"/>
        </w:rPr>
        <w:t xml:space="preserve"> </w:t>
      </w:r>
      <w:r w:rsidR="00FD52BB" w:rsidRPr="00D23A63">
        <w:rPr>
          <w:rFonts w:asciiTheme="minorHAnsi" w:hAnsiTheme="minorHAnsi"/>
          <w:sz w:val="22"/>
          <w:szCs w:val="22"/>
        </w:rPr>
        <w:t xml:space="preserve">data </w:t>
      </w:r>
      <w:r w:rsidR="00B429F5" w:rsidRPr="00D23A63">
        <w:rPr>
          <w:rFonts w:asciiTheme="minorHAnsi" w:hAnsiTheme="minorHAnsi"/>
          <w:sz w:val="22"/>
          <w:szCs w:val="22"/>
        </w:rPr>
        <w:t xml:space="preserve">were </w:t>
      </w:r>
      <w:r w:rsidR="00FD52BB" w:rsidRPr="00D23A63">
        <w:rPr>
          <w:rFonts w:asciiTheme="minorHAnsi" w:hAnsiTheme="minorHAnsi"/>
          <w:sz w:val="22"/>
          <w:szCs w:val="22"/>
        </w:rPr>
        <w:t xml:space="preserve">used </w:t>
      </w:r>
      <w:r w:rsidR="009E3173" w:rsidRPr="00D23A63">
        <w:rPr>
          <w:rFonts w:asciiTheme="minorHAnsi" w:hAnsiTheme="minorHAnsi"/>
          <w:sz w:val="22"/>
          <w:szCs w:val="22"/>
        </w:rPr>
        <w:t xml:space="preserve">in the </w:t>
      </w:r>
      <w:r w:rsidR="00973A84" w:rsidRPr="00D23A63">
        <w:rPr>
          <w:rFonts w:asciiTheme="minorHAnsi" w:hAnsiTheme="minorHAnsi"/>
          <w:sz w:val="22"/>
          <w:szCs w:val="22"/>
        </w:rPr>
        <w:t xml:space="preserve">winters of 1989 and 1999 in the Northeast and Mid-Continent </w:t>
      </w:r>
      <w:r w:rsidR="00FD52BB" w:rsidRPr="00D23A63">
        <w:rPr>
          <w:rFonts w:asciiTheme="minorHAnsi" w:hAnsiTheme="minorHAnsi"/>
          <w:sz w:val="22"/>
          <w:szCs w:val="22"/>
        </w:rPr>
        <w:t>regions to evaluate</w:t>
      </w:r>
      <w:r w:rsidR="00973A84" w:rsidRPr="00D23A63">
        <w:rPr>
          <w:rFonts w:asciiTheme="minorHAnsi" w:hAnsiTheme="minorHAnsi"/>
          <w:sz w:val="22"/>
          <w:szCs w:val="22"/>
        </w:rPr>
        <w:t xml:space="preserve"> supply shortages and price increases for both heating oil and propane</w:t>
      </w:r>
      <w:r w:rsidR="00FD52BB" w:rsidRPr="00D23A63">
        <w:rPr>
          <w:rFonts w:asciiTheme="minorHAnsi" w:hAnsiTheme="minorHAnsi"/>
          <w:sz w:val="22"/>
          <w:szCs w:val="22"/>
        </w:rPr>
        <w:t xml:space="preserve"> due to severe weather</w:t>
      </w:r>
      <w:r w:rsidR="00973A84" w:rsidRPr="00D23A63">
        <w:rPr>
          <w:rFonts w:asciiTheme="minorHAnsi" w:hAnsiTheme="minorHAnsi"/>
          <w:sz w:val="22"/>
          <w:szCs w:val="22"/>
        </w:rPr>
        <w:t xml:space="preserve">.  EIA responded to this need for timely information by implementing the EIA-877 telephone survey to collect State-level, weekly information during the heating season on the price of No. 2 heating oil and propane from a sample of suppliers.  The need for this information was expressed </w:t>
      </w:r>
      <w:r w:rsidR="002A2149" w:rsidRPr="00D23A63">
        <w:rPr>
          <w:rFonts w:asciiTheme="minorHAnsi" w:hAnsiTheme="minorHAnsi"/>
          <w:sz w:val="22"/>
          <w:szCs w:val="22"/>
        </w:rPr>
        <w:t xml:space="preserve">previously </w:t>
      </w:r>
      <w:r w:rsidR="00973A84" w:rsidRPr="00D23A63">
        <w:rPr>
          <w:rFonts w:asciiTheme="minorHAnsi" w:hAnsiTheme="minorHAnsi"/>
          <w:sz w:val="22"/>
          <w:szCs w:val="22"/>
        </w:rPr>
        <w:t xml:space="preserve">in Congressional hearings and meetings </w:t>
      </w:r>
      <w:r w:rsidR="002A2149" w:rsidRPr="00D23A63">
        <w:rPr>
          <w:rFonts w:asciiTheme="minorHAnsi" w:hAnsiTheme="minorHAnsi"/>
          <w:sz w:val="22"/>
          <w:szCs w:val="22"/>
        </w:rPr>
        <w:t xml:space="preserve">with </w:t>
      </w:r>
      <w:r w:rsidR="00973A84" w:rsidRPr="00D23A63">
        <w:rPr>
          <w:rFonts w:asciiTheme="minorHAnsi" w:hAnsiTheme="minorHAnsi"/>
          <w:sz w:val="22"/>
          <w:szCs w:val="22"/>
        </w:rPr>
        <w:t>State energy office offic</w:t>
      </w:r>
      <w:r w:rsidR="00FD52BB" w:rsidRPr="00D23A63">
        <w:rPr>
          <w:rFonts w:asciiTheme="minorHAnsi" w:hAnsiTheme="minorHAnsi"/>
          <w:sz w:val="22"/>
          <w:szCs w:val="22"/>
        </w:rPr>
        <w:t>ials, petr</w:t>
      </w:r>
      <w:r w:rsidR="00973A84" w:rsidRPr="00D23A63">
        <w:rPr>
          <w:rFonts w:asciiTheme="minorHAnsi" w:hAnsiTheme="minorHAnsi"/>
          <w:sz w:val="22"/>
          <w:szCs w:val="22"/>
        </w:rPr>
        <w:t xml:space="preserve">oleum industry </w:t>
      </w:r>
      <w:r w:rsidR="002A2149" w:rsidRPr="00D23A63">
        <w:rPr>
          <w:rFonts w:asciiTheme="minorHAnsi" w:hAnsiTheme="minorHAnsi"/>
          <w:sz w:val="22"/>
          <w:szCs w:val="22"/>
        </w:rPr>
        <w:t>leaders</w:t>
      </w:r>
      <w:r w:rsidR="00FD52BB" w:rsidRPr="00D23A63">
        <w:rPr>
          <w:rFonts w:asciiTheme="minorHAnsi" w:hAnsiTheme="minorHAnsi"/>
          <w:sz w:val="22"/>
          <w:szCs w:val="22"/>
        </w:rPr>
        <w:t xml:space="preserve"> and trade </w:t>
      </w:r>
      <w:r w:rsidR="002A2149" w:rsidRPr="00D23A63">
        <w:rPr>
          <w:rFonts w:asciiTheme="minorHAnsi" w:hAnsiTheme="minorHAnsi"/>
          <w:sz w:val="22"/>
          <w:szCs w:val="22"/>
        </w:rPr>
        <w:t>associations</w:t>
      </w:r>
      <w:r w:rsidR="00FD52BB" w:rsidRPr="00D23A63">
        <w:rPr>
          <w:rFonts w:asciiTheme="minorHAnsi" w:hAnsiTheme="minorHAnsi"/>
          <w:sz w:val="22"/>
          <w:szCs w:val="22"/>
        </w:rPr>
        <w:t xml:space="preserve">. </w:t>
      </w:r>
    </w:p>
    <w:p w:rsidR="0086170E" w:rsidRPr="004C2713" w:rsidRDefault="0086170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Pr="004C2713" w:rsidRDefault="0086170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B54FDB">
        <w:rPr>
          <w:rFonts w:asciiTheme="minorHAnsi" w:hAnsiTheme="minorHAnsi"/>
          <w:sz w:val="22"/>
        </w:rPr>
        <w:t>These</w:t>
      </w:r>
      <w:r w:rsidR="00FD52BB" w:rsidRPr="00B54FDB">
        <w:rPr>
          <w:rFonts w:asciiTheme="minorHAnsi" w:hAnsiTheme="minorHAnsi"/>
          <w:sz w:val="22"/>
        </w:rPr>
        <w:t xml:space="preserve"> data</w:t>
      </w:r>
      <w:r w:rsidRPr="00B54FDB">
        <w:rPr>
          <w:rFonts w:asciiTheme="minorHAnsi" w:hAnsiTheme="minorHAnsi"/>
          <w:sz w:val="22"/>
        </w:rPr>
        <w:t xml:space="preserve"> are initially published</w:t>
      </w:r>
      <w:r w:rsidR="006B5696" w:rsidRPr="00B54FDB">
        <w:rPr>
          <w:rFonts w:asciiTheme="minorHAnsi" w:hAnsiTheme="minorHAnsi"/>
          <w:sz w:val="22"/>
        </w:rPr>
        <w:t xml:space="preserve"> in the</w:t>
      </w:r>
      <w:r w:rsidRPr="00B54FDB">
        <w:rPr>
          <w:rFonts w:asciiTheme="minorHAnsi" w:hAnsiTheme="minorHAnsi"/>
          <w:sz w:val="22"/>
        </w:rPr>
        <w:t xml:space="preserve"> </w:t>
      </w:r>
      <w:r w:rsidR="006B5696" w:rsidRPr="00B54FDB">
        <w:rPr>
          <w:rFonts w:asciiTheme="minorHAnsi" w:hAnsiTheme="minorHAnsi"/>
          <w:i/>
          <w:sz w:val="22"/>
        </w:rPr>
        <w:t>HOPU</w:t>
      </w:r>
      <w:r w:rsidR="006B5696" w:rsidRPr="00B54FDB">
        <w:rPr>
          <w:rFonts w:asciiTheme="minorHAnsi" w:hAnsiTheme="minorHAnsi"/>
          <w:sz w:val="22"/>
        </w:rPr>
        <w:t xml:space="preserve"> an</w:t>
      </w:r>
      <w:r w:rsidRPr="00B54FDB">
        <w:rPr>
          <w:rFonts w:asciiTheme="minorHAnsi" w:hAnsiTheme="minorHAnsi"/>
          <w:sz w:val="22"/>
        </w:rPr>
        <w:t>d</w:t>
      </w:r>
      <w:r w:rsidR="00FD52BB" w:rsidRPr="00B54FDB">
        <w:rPr>
          <w:rFonts w:asciiTheme="minorHAnsi" w:hAnsiTheme="minorHAnsi"/>
          <w:sz w:val="22"/>
        </w:rPr>
        <w:t xml:space="preserve"> are reprinted or cited in </w:t>
      </w:r>
      <w:r w:rsidRPr="00B54FDB">
        <w:rPr>
          <w:rFonts w:asciiTheme="minorHAnsi" w:hAnsiTheme="minorHAnsi"/>
          <w:sz w:val="22"/>
        </w:rPr>
        <w:t>articles in numerous</w:t>
      </w:r>
      <w:r w:rsidR="00FD52BB" w:rsidRPr="00B54FDB">
        <w:rPr>
          <w:rFonts w:asciiTheme="minorHAnsi" w:hAnsiTheme="minorHAnsi"/>
          <w:sz w:val="22"/>
        </w:rPr>
        <w:t xml:space="preserve"> publications and journals, </w:t>
      </w:r>
      <w:r w:rsidR="00AC42F3" w:rsidRPr="00B54FDB">
        <w:rPr>
          <w:rFonts w:asciiTheme="minorHAnsi" w:hAnsiTheme="minorHAnsi"/>
          <w:sz w:val="22"/>
        </w:rPr>
        <w:t>including articles in the five major newspapers –</w:t>
      </w:r>
      <w:r w:rsidR="00AC42F3" w:rsidRPr="004C2713">
        <w:rPr>
          <w:rFonts w:asciiTheme="minorHAnsi" w:hAnsiTheme="minorHAnsi"/>
          <w:color w:val="FF0000"/>
          <w:sz w:val="22"/>
        </w:rPr>
        <w:t xml:space="preserve"> </w:t>
      </w:r>
      <w:hyperlink r:id="rId13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3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3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3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3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FD52BB" w:rsidRPr="004C2713" w:rsidRDefault="00FD52BB" w:rsidP="004C2713">
      <w:pPr>
        <w:spacing w:line="360" w:lineRule="auto"/>
        <w:rPr>
          <w:rFonts w:asciiTheme="minorHAnsi" w:hAnsiTheme="minorHAnsi"/>
          <w:color w:val="FF0000"/>
          <w:sz w:val="22"/>
        </w:rPr>
      </w:pPr>
    </w:p>
    <w:p w:rsidR="00F05A43" w:rsidRPr="004C2713" w:rsidRDefault="004E4B5F"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EIA-878, “</w:t>
      </w:r>
      <w:r w:rsidR="00A72D70" w:rsidRPr="004C2713">
        <w:rPr>
          <w:rFonts w:asciiTheme="minorHAnsi" w:hAnsiTheme="minorHAnsi"/>
          <w:b/>
          <w:bCs/>
          <w:sz w:val="22"/>
          <w:u w:val="single"/>
        </w:rPr>
        <w:t>Motor Gasoline Price Survey</w:t>
      </w:r>
      <w:r w:rsidR="003C2BD7" w:rsidRPr="004C2713">
        <w:rPr>
          <w:rFonts w:asciiTheme="minorHAnsi" w:hAnsiTheme="minorHAnsi"/>
          <w:b/>
          <w:bCs/>
          <w:sz w:val="22"/>
          <w:u w:val="single"/>
        </w:rPr>
        <w:t>”</w:t>
      </w:r>
    </w:p>
    <w:p w:rsidR="00A72D70" w:rsidRPr="004C2713" w:rsidRDefault="00A72D70"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FD52BB"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EIA-878 survey collects, on a weekly basis, the retail price by grade of unleaded gasoline, self-service, cash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w:t>
      </w:r>
      <w:r w:rsidR="00DC520F" w:rsidRPr="004C2713">
        <w:rPr>
          <w:rFonts w:asciiTheme="minorHAnsi" w:hAnsiTheme="minorHAnsi"/>
          <w:sz w:val="22"/>
        </w:rPr>
        <w:t xml:space="preserve"> EIA </w:t>
      </w:r>
      <w:r w:rsidR="00B3376D">
        <w:rPr>
          <w:rFonts w:asciiTheme="minorHAnsi" w:hAnsiTheme="minorHAnsi"/>
          <w:sz w:val="22"/>
        </w:rPr>
        <w:t xml:space="preserve">will </w:t>
      </w:r>
      <w:r w:rsidR="00C30D52" w:rsidRPr="004C2713">
        <w:rPr>
          <w:rFonts w:asciiTheme="minorHAnsi" w:hAnsiTheme="minorHAnsi"/>
          <w:sz w:val="22"/>
        </w:rPr>
        <w:t>notify OMB</w:t>
      </w:r>
      <w:r w:rsidR="002B6C1F" w:rsidRPr="002B6C1F">
        <w:rPr>
          <w:rFonts w:asciiTheme="minorHAnsi" w:hAnsiTheme="minorHAnsi"/>
          <w:sz w:val="22"/>
        </w:rPr>
        <w:t xml:space="preserve"> </w:t>
      </w:r>
      <w:r w:rsidR="002B6C1F">
        <w:rPr>
          <w:rFonts w:asciiTheme="minorHAnsi" w:hAnsiTheme="minorHAnsi"/>
          <w:sz w:val="22"/>
        </w:rPr>
        <w:t xml:space="preserve">prior to initiating efforts to </w:t>
      </w:r>
      <w:r w:rsidR="00734A74">
        <w:rPr>
          <w:rFonts w:asciiTheme="minorHAnsi" w:hAnsiTheme="minorHAnsi"/>
          <w:sz w:val="22"/>
        </w:rPr>
        <w:t>collect</w:t>
      </w:r>
      <w:r w:rsidR="002B6C1F" w:rsidRPr="004C2713">
        <w:rPr>
          <w:rFonts w:asciiTheme="minorHAnsi" w:hAnsiTheme="minorHAnsi"/>
          <w:sz w:val="22"/>
        </w:rPr>
        <w:t xml:space="preserve"> the data more frequent</w:t>
      </w:r>
      <w:r w:rsidR="002B6C1F">
        <w:rPr>
          <w:rFonts w:asciiTheme="minorHAnsi" w:hAnsiTheme="minorHAnsi"/>
          <w:sz w:val="22"/>
        </w:rPr>
        <w:t>ly</w:t>
      </w:r>
      <w:r w:rsidR="00C30D52" w:rsidRPr="004C2713">
        <w:rPr>
          <w:rFonts w:asciiTheme="minorHAnsi" w:hAnsiTheme="minorHAnsi"/>
          <w:sz w:val="22"/>
        </w:rPr>
        <w:t xml:space="preserve">. </w:t>
      </w:r>
      <w:r w:rsidR="00DC520F" w:rsidRPr="004C2713">
        <w:rPr>
          <w:rFonts w:asciiTheme="minorHAnsi" w:hAnsiTheme="minorHAnsi"/>
          <w:sz w:val="22"/>
        </w:rPr>
        <w:t xml:space="preserve"> </w:t>
      </w:r>
      <w:r w:rsidR="00C30D52" w:rsidRPr="004C2713">
        <w:rPr>
          <w:rFonts w:asciiTheme="minorHAnsi" w:hAnsiTheme="minorHAnsi"/>
          <w:sz w:val="22"/>
        </w:rPr>
        <w:t>EIA will</w:t>
      </w:r>
      <w:r w:rsidR="00DC520F" w:rsidRPr="004C2713">
        <w:rPr>
          <w:rFonts w:asciiTheme="minorHAnsi" w:hAnsiTheme="minorHAnsi"/>
          <w:sz w:val="22"/>
        </w:rPr>
        <w:t xml:space="preserve"> follow </w:t>
      </w:r>
      <w:r w:rsidR="00C30D52" w:rsidRPr="004C2713">
        <w:rPr>
          <w:rFonts w:asciiTheme="minorHAnsi" w:hAnsiTheme="minorHAnsi"/>
          <w:sz w:val="22"/>
        </w:rPr>
        <w:t xml:space="preserve">subsequent </w:t>
      </w:r>
      <w:r w:rsidR="00DC520F" w:rsidRPr="004C2713">
        <w:rPr>
          <w:rFonts w:asciiTheme="minorHAnsi" w:hAnsiTheme="minorHAnsi"/>
          <w:sz w:val="22"/>
        </w:rPr>
        <w:t>OMB guidance regarding accounting of the additional burden hours incurred.</w:t>
      </w:r>
    </w:p>
    <w:p w:rsidR="00FD52BB" w:rsidRPr="004C2713" w:rsidRDefault="00FD52BB"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Congress, </w:t>
      </w:r>
      <w:r w:rsidR="00FD52BB" w:rsidRPr="004C2713">
        <w:rPr>
          <w:rFonts w:asciiTheme="minorHAnsi" w:hAnsiTheme="minorHAnsi"/>
          <w:sz w:val="22"/>
        </w:rPr>
        <w:t xml:space="preserve">government </w:t>
      </w:r>
      <w:r w:rsidRPr="004C2713">
        <w:rPr>
          <w:rFonts w:asciiTheme="minorHAnsi" w:hAnsiTheme="minorHAnsi"/>
          <w:sz w:val="22"/>
        </w:rPr>
        <w:t>officials, and transportation industry</w:t>
      </w:r>
      <w:r w:rsidR="00FD52BB" w:rsidRPr="004C2713">
        <w:rPr>
          <w:rFonts w:asciiTheme="minorHAnsi" w:hAnsiTheme="minorHAnsi"/>
          <w:sz w:val="22"/>
        </w:rPr>
        <w:t xml:space="preserve"> </w:t>
      </w:r>
      <w:r w:rsidR="002A2149" w:rsidRPr="004C2713">
        <w:rPr>
          <w:rFonts w:asciiTheme="minorHAnsi" w:hAnsiTheme="minorHAnsi"/>
          <w:sz w:val="22"/>
        </w:rPr>
        <w:t xml:space="preserve">leaders </w:t>
      </w:r>
      <w:r w:rsidR="00E15D73" w:rsidRPr="004C2713">
        <w:rPr>
          <w:rFonts w:asciiTheme="minorHAnsi" w:hAnsiTheme="minorHAnsi"/>
          <w:sz w:val="22"/>
        </w:rPr>
        <w:t xml:space="preserve">have </w:t>
      </w:r>
      <w:r w:rsidR="00FD52BB" w:rsidRPr="004C2713">
        <w:rPr>
          <w:rFonts w:asciiTheme="minorHAnsi" w:hAnsiTheme="minorHAnsi"/>
          <w:sz w:val="22"/>
        </w:rPr>
        <w:t>use</w:t>
      </w:r>
      <w:r w:rsidR="00734A74">
        <w:rPr>
          <w:rFonts w:asciiTheme="minorHAnsi" w:hAnsiTheme="minorHAnsi"/>
          <w:sz w:val="22"/>
        </w:rPr>
        <w:t>d</w:t>
      </w:r>
      <w:r w:rsidR="00FD52BB" w:rsidRPr="004C2713">
        <w:rPr>
          <w:rFonts w:asciiTheme="minorHAnsi" w:hAnsiTheme="minorHAnsi"/>
          <w:sz w:val="22"/>
        </w:rPr>
        <w:t xml:space="preserve"> EIA data in </w:t>
      </w:r>
      <w:r w:rsidRPr="004C2713">
        <w:rPr>
          <w:rFonts w:asciiTheme="minorHAnsi" w:hAnsiTheme="minorHAnsi"/>
          <w:sz w:val="22"/>
        </w:rPr>
        <w:t xml:space="preserve">order to measure rapid price increases at both regional and national levels.   </w:t>
      </w:r>
      <w:r w:rsidR="00FD52BB" w:rsidRPr="004C2713">
        <w:rPr>
          <w:rFonts w:asciiTheme="minorHAnsi" w:hAnsiTheme="minorHAnsi"/>
          <w:sz w:val="22"/>
        </w:rPr>
        <w:t>For example, d</w:t>
      </w:r>
      <w:r w:rsidRPr="004C2713">
        <w:rPr>
          <w:rFonts w:asciiTheme="minorHAnsi" w:hAnsiTheme="minorHAnsi"/>
          <w:sz w:val="22"/>
        </w:rPr>
        <w:t xml:space="preserve">uring the 1991 Iraq war, the data were used by Congress and Federal officials to monitor the retail price of gasoline on a daily basis.  </w:t>
      </w:r>
      <w:r w:rsidR="00FD52BB" w:rsidRPr="004C2713">
        <w:rPr>
          <w:rFonts w:asciiTheme="minorHAnsi" w:hAnsiTheme="minorHAnsi"/>
          <w:sz w:val="22"/>
        </w:rPr>
        <w:t>In addition, t</w:t>
      </w:r>
      <w:r w:rsidRPr="004C2713">
        <w:rPr>
          <w:rFonts w:asciiTheme="minorHAnsi" w:hAnsiTheme="minorHAnsi"/>
          <w:sz w:val="22"/>
        </w:rPr>
        <w:t xml:space="preserve">he EIA-878 data provide weekly information on retail market conditions and on the price impacts of "clean fuel programs" mandated by the Clean Air Act Amendments of 1990 to government, industry, and the public.  </w:t>
      </w:r>
      <w:r w:rsidR="00FD52BB" w:rsidRPr="004C2713">
        <w:rPr>
          <w:rFonts w:asciiTheme="minorHAnsi" w:hAnsiTheme="minorHAnsi"/>
          <w:sz w:val="22"/>
        </w:rPr>
        <w:t>Furthermore, i</w:t>
      </w:r>
      <w:r w:rsidR="00BE093F" w:rsidRPr="004C2713">
        <w:rPr>
          <w:rFonts w:asciiTheme="minorHAnsi" w:hAnsiTheme="minorHAnsi"/>
          <w:sz w:val="22"/>
        </w:rPr>
        <w:t xml:space="preserve">n 2005 </w:t>
      </w:r>
      <w:r w:rsidRPr="004C2713">
        <w:rPr>
          <w:rFonts w:asciiTheme="minorHAnsi" w:hAnsiTheme="minorHAnsi"/>
          <w:sz w:val="22"/>
        </w:rPr>
        <w:t xml:space="preserve">these data were used to monitor the effect </w:t>
      </w:r>
      <w:r w:rsidRPr="00667C26">
        <w:rPr>
          <w:rFonts w:asciiTheme="minorHAnsi" w:hAnsiTheme="minorHAnsi"/>
          <w:sz w:val="22"/>
        </w:rPr>
        <w:t xml:space="preserve">of </w:t>
      </w:r>
      <w:r w:rsidR="00B32C67" w:rsidRPr="00667C26">
        <w:rPr>
          <w:rFonts w:asciiTheme="minorHAnsi" w:hAnsiTheme="minorHAnsi"/>
          <w:sz w:val="22"/>
        </w:rPr>
        <w:t xml:space="preserve">Hurricane </w:t>
      </w:r>
      <w:r w:rsidRPr="00667C26">
        <w:rPr>
          <w:rFonts w:asciiTheme="minorHAnsi" w:hAnsiTheme="minorHAnsi"/>
          <w:sz w:val="22"/>
        </w:rPr>
        <w:t>Katrina</w:t>
      </w:r>
      <w:r w:rsidRPr="004C2713">
        <w:rPr>
          <w:rFonts w:asciiTheme="minorHAnsi" w:hAnsiTheme="minorHAnsi"/>
          <w:sz w:val="22"/>
        </w:rPr>
        <w:t xml:space="preserve"> on the retail gasoline market.</w:t>
      </w:r>
    </w:p>
    <w:p w:rsidR="003934CE" w:rsidRPr="004C2713" w:rsidRDefault="003934CE"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071C3" w:rsidRPr="004C2713" w:rsidRDefault="002A2149"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R</w:t>
      </w:r>
      <w:r w:rsidR="003934CE" w:rsidRPr="004C2713">
        <w:rPr>
          <w:rFonts w:asciiTheme="minorHAnsi" w:hAnsiTheme="minorHAnsi"/>
          <w:sz w:val="22"/>
        </w:rPr>
        <w:t>etail gasoline price estima</w:t>
      </w:r>
      <w:r w:rsidRPr="004C2713">
        <w:rPr>
          <w:rFonts w:asciiTheme="minorHAnsi" w:hAnsiTheme="minorHAnsi"/>
          <w:sz w:val="22"/>
        </w:rPr>
        <w:t>tes</w:t>
      </w:r>
      <w:r w:rsidR="003934CE" w:rsidRPr="004C2713">
        <w:rPr>
          <w:rFonts w:asciiTheme="minorHAnsi" w:hAnsiTheme="minorHAnsi"/>
          <w:sz w:val="22"/>
        </w:rPr>
        <w:t xml:space="preserve"> are released </w:t>
      </w:r>
      <w:r w:rsidR="003934CE" w:rsidRPr="00667C26">
        <w:rPr>
          <w:rFonts w:asciiTheme="minorHAnsi" w:hAnsiTheme="minorHAnsi"/>
          <w:sz w:val="22"/>
        </w:rPr>
        <w:t xml:space="preserve">for </w:t>
      </w:r>
      <w:r w:rsidR="00B32C67" w:rsidRPr="00667C26">
        <w:rPr>
          <w:rFonts w:asciiTheme="minorHAnsi" w:hAnsiTheme="minorHAnsi"/>
          <w:sz w:val="22"/>
        </w:rPr>
        <w:t>nine States and ten cities</w:t>
      </w:r>
      <w:r w:rsidR="003934CE" w:rsidRPr="00667C26">
        <w:rPr>
          <w:rFonts w:asciiTheme="minorHAnsi" w:hAnsiTheme="minorHAnsi"/>
          <w:sz w:val="22"/>
        </w:rPr>
        <w:t>, in addition to the five PADD and three sub-PADD areas, and the U</w:t>
      </w:r>
      <w:r w:rsidR="002B6C1F">
        <w:rPr>
          <w:rFonts w:asciiTheme="minorHAnsi" w:hAnsiTheme="minorHAnsi"/>
          <w:sz w:val="22"/>
        </w:rPr>
        <w:t>nited States</w:t>
      </w:r>
      <w:r w:rsidR="003934CE" w:rsidRPr="00667C26">
        <w:rPr>
          <w:rFonts w:asciiTheme="minorHAnsi" w:hAnsiTheme="minorHAnsi"/>
          <w:sz w:val="22"/>
        </w:rPr>
        <w:t xml:space="preserve">. EIA also uses EIA-878 price data each spring for </w:t>
      </w:r>
      <w:r w:rsidR="00B3376D">
        <w:rPr>
          <w:rFonts w:asciiTheme="minorHAnsi" w:hAnsiTheme="minorHAnsi"/>
          <w:sz w:val="22"/>
        </w:rPr>
        <w:t xml:space="preserve">STEO’s </w:t>
      </w:r>
      <w:r w:rsidR="00B3376D" w:rsidRPr="00B3376D">
        <w:rPr>
          <w:rFonts w:asciiTheme="minorHAnsi" w:hAnsiTheme="minorHAnsi"/>
          <w:i/>
          <w:sz w:val="22"/>
        </w:rPr>
        <w:lastRenderedPageBreak/>
        <w:t>Summer</w:t>
      </w:r>
      <w:r w:rsidR="003934CE" w:rsidRPr="00B3376D">
        <w:rPr>
          <w:rFonts w:asciiTheme="minorHAnsi" w:hAnsiTheme="minorHAnsi"/>
          <w:i/>
          <w:iCs/>
          <w:sz w:val="22"/>
        </w:rPr>
        <w:t xml:space="preserve"> </w:t>
      </w:r>
      <w:r w:rsidR="00B3376D" w:rsidRPr="00B3376D">
        <w:rPr>
          <w:rFonts w:asciiTheme="minorHAnsi" w:hAnsiTheme="minorHAnsi"/>
          <w:i/>
          <w:iCs/>
          <w:sz w:val="22"/>
        </w:rPr>
        <w:t>Transportation</w:t>
      </w:r>
      <w:r w:rsidR="00B3376D">
        <w:rPr>
          <w:rFonts w:asciiTheme="minorHAnsi" w:hAnsiTheme="minorHAnsi"/>
          <w:i/>
          <w:iCs/>
          <w:sz w:val="22"/>
        </w:rPr>
        <w:t xml:space="preserve"> Fuels</w:t>
      </w:r>
      <w:r w:rsidR="003934CE" w:rsidRPr="00667C26">
        <w:rPr>
          <w:rFonts w:asciiTheme="minorHAnsi" w:hAnsiTheme="minorHAnsi"/>
          <w:i/>
          <w:iCs/>
          <w:sz w:val="22"/>
        </w:rPr>
        <w:t xml:space="preserve"> Outlook</w:t>
      </w:r>
      <w:r w:rsidR="00B3376D">
        <w:rPr>
          <w:rFonts w:asciiTheme="minorHAnsi" w:hAnsiTheme="minorHAnsi"/>
          <w:i/>
          <w:iCs/>
          <w:sz w:val="22"/>
        </w:rPr>
        <w:t>, e.g. the 2012 Summer Transportation Fuels Outlook</w:t>
      </w:r>
      <w:r w:rsidR="003934CE" w:rsidRPr="00667C26">
        <w:rPr>
          <w:rFonts w:asciiTheme="minorHAnsi" w:hAnsiTheme="minorHAnsi"/>
          <w:i/>
          <w:iCs/>
          <w:sz w:val="22"/>
        </w:rPr>
        <w:t xml:space="preserve"> </w:t>
      </w:r>
      <w:r w:rsidR="00B3376D">
        <w:rPr>
          <w:rFonts w:asciiTheme="minorHAnsi" w:hAnsiTheme="minorHAnsi"/>
          <w:i/>
          <w:iCs/>
          <w:sz w:val="22"/>
        </w:rPr>
        <w:t>(</w:t>
      </w:r>
      <w:hyperlink r:id="rId140" w:history="1">
        <w:r w:rsidR="00B3376D">
          <w:rPr>
            <w:rStyle w:val="Hyperlink"/>
          </w:rPr>
          <w:t>PDF</w:t>
        </w:r>
      </w:hyperlink>
      <w:r w:rsidR="00B3376D">
        <w:t>)</w:t>
      </w:r>
      <w:r w:rsidR="003934CE" w:rsidRPr="004C2713">
        <w:rPr>
          <w:rFonts w:asciiTheme="minorHAnsi" w:hAnsiTheme="minorHAnsi"/>
          <w:sz w:val="22"/>
        </w:rPr>
        <w:t>.</w:t>
      </w:r>
      <w:r w:rsidR="00747012" w:rsidRPr="004C2713">
        <w:rPr>
          <w:rFonts w:asciiTheme="minorHAnsi" w:hAnsiTheme="minorHAnsi"/>
          <w:sz w:val="22"/>
        </w:rPr>
        <w:t xml:space="preserve"> These </w:t>
      </w:r>
      <w:r w:rsidR="003934CE" w:rsidRPr="004C2713">
        <w:rPr>
          <w:rFonts w:asciiTheme="minorHAnsi" w:hAnsiTheme="minorHAnsi"/>
          <w:sz w:val="22"/>
        </w:rPr>
        <w:t>data are routinely relied upon by the press, industry, the media and government as a measure of retail pric</w:t>
      </w:r>
      <w:r w:rsidR="00D64905" w:rsidRPr="004C2713">
        <w:rPr>
          <w:rFonts w:asciiTheme="minorHAnsi" w:hAnsiTheme="minorHAnsi"/>
          <w:sz w:val="22"/>
        </w:rPr>
        <w:t xml:space="preserve">es of reformulated </w:t>
      </w:r>
      <w:r w:rsidR="003934CE" w:rsidRPr="004C2713">
        <w:rPr>
          <w:rFonts w:asciiTheme="minorHAnsi" w:hAnsiTheme="minorHAnsi"/>
          <w:sz w:val="22"/>
        </w:rPr>
        <w:t>and conventional gasoline. Every major newspaper has cited and published retail gasoline price data from the EIA-878 in stories concerning retail gasoline prices</w:t>
      </w:r>
      <w:r w:rsidR="00747012" w:rsidRPr="004C2713">
        <w:rPr>
          <w:rFonts w:asciiTheme="minorHAnsi" w:hAnsiTheme="minorHAnsi"/>
          <w:sz w:val="22"/>
        </w:rPr>
        <w:t xml:space="preserve">. </w:t>
      </w:r>
      <w:r w:rsidR="003934CE" w:rsidRPr="004C2713">
        <w:rPr>
          <w:rFonts w:asciiTheme="minorHAnsi" w:hAnsiTheme="minorHAnsi"/>
          <w:sz w:val="22"/>
        </w:rPr>
        <w:t xml:space="preserve">The data are routinely published in all the major wire services including </w:t>
      </w:r>
      <w:hyperlink r:id="rId141" w:history="1">
        <w:r w:rsidR="003934CE" w:rsidRPr="004C2713">
          <w:rPr>
            <w:rStyle w:val="Hyperlink"/>
            <w:rFonts w:asciiTheme="minorHAnsi" w:hAnsiTheme="minorHAnsi"/>
            <w:sz w:val="22"/>
          </w:rPr>
          <w:t>Reuters Ltd</w:t>
        </w:r>
      </w:hyperlink>
      <w:r w:rsidR="003934CE" w:rsidRPr="004C2713">
        <w:rPr>
          <w:rFonts w:asciiTheme="minorHAnsi" w:hAnsiTheme="minorHAnsi"/>
          <w:sz w:val="22"/>
        </w:rPr>
        <w:t xml:space="preserve">, </w:t>
      </w:r>
      <w:hyperlink r:id="rId142" w:history="1">
        <w:r w:rsidR="003934CE" w:rsidRPr="004C2713">
          <w:rPr>
            <w:rStyle w:val="Hyperlink"/>
            <w:rFonts w:asciiTheme="minorHAnsi" w:hAnsiTheme="minorHAnsi"/>
            <w:sz w:val="22"/>
          </w:rPr>
          <w:t>Bloomberg News</w:t>
        </w:r>
      </w:hyperlink>
      <w:r w:rsidR="003934CE" w:rsidRPr="004C2713">
        <w:rPr>
          <w:rFonts w:asciiTheme="minorHAnsi" w:hAnsiTheme="minorHAnsi"/>
          <w:sz w:val="22"/>
        </w:rPr>
        <w:t xml:space="preserve">, </w:t>
      </w:r>
      <w:hyperlink r:id="rId143" w:history="1">
        <w:r w:rsidR="003934CE" w:rsidRPr="004C2713">
          <w:rPr>
            <w:rStyle w:val="Hyperlink"/>
            <w:rFonts w:asciiTheme="minorHAnsi" w:hAnsiTheme="minorHAnsi"/>
            <w:sz w:val="22"/>
          </w:rPr>
          <w:t>Dow Jones</w:t>
        </w:r>
      </w:hyperlink>
      <w:r w:rsidR="003934CE" w:rsidRPr="004C2713">
        <w:rPr>
          <w:rFonts w:asciiTheme="minorHAnsi" w:hAnsiTheme="minorHAnsi"/>
          <w:sz w:val="22"/>
        </w:rPr>
        <w:t xml:space="preserve">, and </w:t>
      </w:r>
      <w:hyperlink r:id="rId144" w:history="1">
        <w:r w:rsidR="003934CE" w:rsidRPr="004C2713">
          <w:rPr>
            <w:rStyle w:val="Hyperlink"/>
            <w:rFonts w:asciiTheme="minorHAnsi" w:hAnsiTheme="minorHAnsi"/>
            <w:sz w:val="22"/>
          </w:rPr>
          <w:t>Associated Press</w:t>
        </w:r>
      </w:hyperlink>
      <w:r w:rsidR="003934CE" w:rsidRPr="004C2713">
        <w:rPr>
          <w:rFonts w:asciiTheme="minorHAnsi" w:hAnsiTheme="minorHAnsi"/>
          <w:sz w:val="22"/>
        </w:rPr>
        <w:t xml:space="preserve">.  U.S. price estimates for regular grade gasoline are regularly quoted on the CBS and NBC television news networks.   EIA-878 data are published in </w:t>
      </w:r>
      <w:r w:rsidR="003934CE" w:rsidRPr="00667C26">
        <w:rPr>
          <w:rFonts w:asciiTheme="minorHAnsi" w:hAnsiTheme="minorHAnsi"/>
          <w:sz w:val="22"/>
        </w:rPr>
        <w:t xml:space="preserve">the </w:t>
      </w:r>
      <w:r w:rsidR="003934CE" w:rsidRPr="00667C26">
        <w:rPr>
          <w:rFonts w:asciiTheme="minorHAnsi" w:hAnsiTheme="minorHAnsi"/>
          <w:i/>
          <w:iCs/>
          <w:sz w:val="22"/>
        </w:rPr>
        <w:t>Washington Daybook - Economic Reports.</w:t>
      </w:r>
      <w:r w:rsidR="003934CE" w:rsidRPr="004C2713">
        <w:rPr>
          <w:rFonts w:asciiTheme="minorHAnsi" w:hAnsiTheme="minorHAnsi"/>
          <w:sz w:val="22"/>
        </w:rPr>
        <w:t xml:space="preserve"> </w:t>
      </w:r>
    </w:p>
    <w:p w:rsidR="00AC42F3" w:rsidRPr="004C2713"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660FA2" w:rsidRDefault="006B5696"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667C26">
        <w:rPr>
          <w:rFonts w:asciiTheme="minorHAnsi" w:hAnsiTheme="minorHAnsi"/>
          <w:sz w:val="22"/>
        </w:rPr>
        <w:t xml:space="preserve">These data are initially published in the </w:t>
      </w:r>
      <w:r w:rsidRPr="00667C26">
        <w:rPr>
          <w:rFonts w:asciiTheme="minorHAnsi" w:hAnsiTheme="minorHAnsi"/>
          <w:i/>
          <w:sz w:val="22"/>
        </w:rPr>
        <w:t>G</w:t>
      </w:r>
      <w:r w:rsidR="00982CBC">
        <w:rPr>
          <w:rFonts w:asciiTheme="minorHAnsi" w:hAnsiTheme="minorHAnsi"/>
          <w:i/>
          <w:sz w:val="22"/>
        </w:rPr>
        <w:t>D</w:t>
      </w:r>
      <w:r w:rsidRPr="00667C26">
        <w:rPr>
          <w:rFonts w:asciiTheme="minorHAnsi" w:hAnsiTheme="minorHAnsi"/>
          <w:i/>
          <w:sz w:val="22"/>
        </w:rPr>
        <w:t>FU</w:t>
      </w:r>
      <w:r w:rsidRPr="00667C26">
        <w:rPr>
          <w:rFonts w:asciiTheme="minorHAnsi" w:hAnsiTheme="minorHAnsi"/>
          <w:sz w:val="22"/>
        </w:rPr>
        <w:t xml:space="preserve"> and are reprinted or cited in articles in numerous journals and publications, </w:t>
      </w:r>
      <w:r w:rsidR="00AC42F3" w:rsidRPr="00667C26">
        <w:rPr>
          <w:rFonts w:asciiTheme="minorHAnsi" w:hAnsiTheme="minorHAnsi"/>
          <w:sz w:val="22"/>
        </w:rPr>
        <w:t>including articles in the five major newspapers –</w:t>
      </w:r>
      <w:r w:rsidR="00AC42F3" w:rsidRPr="004C2713">
        <w:rPr>
          <w:rFonts w:asciiTheme="minorHAnsi" w:hAnsiTheme="minorHAnsi"/>
          <w:color w:val="FF0000"/>
          <w:sz w:val="22"/>
        </w:rPr>
        <w:t xml:space="preserve"> </w:t>
      </w:r>
      <w:hyperlink r:id="rId145" w:history="1">
        <w:r w:rsidR="00660FA2" w:rsidRPr="004C2713">
          <w:rPr>
            <w:rStyle w:val="Hyperlink"/>
            <w:rFonts w:asciiTheme="minorHAnsi" w:hAnsiTheme="minorHAnsi"/>
            <w:i/>
            <w:sz w:val="22"/>
          </w:rPr>
          <w:t>Los Angeles Times</w:t>
        </w:r>
      </w:hyperlink>
      <w:r w:rsidR="00660FA2" w:rsidRPr="004C2713">
        <w:rPr>
          <w:rFonts w:asciiTheme="minorHAnsi" w:hAnsiTheme="minorHAnsi"/>
          <w:i/>
          <w:sz w:val="22"/>
        </w:rPr>
        <w:t xml:space="preserve">, </w:t>
      </w:r>
      <w:hyperlink r:id="rId146" w:history="1">
        <w:r w:rsidR="00660FA2" w:rsidRPr="004C2713">
          <w:rPr>
            <w:rStyle w:val="Hyperlink"/>
            <w:rFonts w:asciiTheme="minorHAnsi" w:hAnsiTheme="minorHAnsi"/>
            <w:i/>
            <w:sz w:val="22"/>
          </w:rPr>
          <w:t>New York Times</w:t>
        </w:r>
      </w:hyperlink>
      <w:r w:rsidR="00660FA2" w:rsidRPr="004C2713">
        <w:rPr>
          <w:rFonts w:asciiTheme="minorHAnsi" w:hAnsiTheme="minorHAnsi"/>
          <w:i/>
          <w:sz w:val="22"/>
        </w:rPr>
        <w:t xml:space="preserve">, </w:t>
      </w:r>
      <w:hyperlink r:id="rId147" w:history="1">
        <w:r w:rsidR="00660FA2" w:rsidRPr="004C2713">
          <w:rPr>
            <w:rStyle w:val="Hyperlink"/>
            <w:rFonts w:asciiTheme="minorHAnsi" w:hAnsiTheme="minorHAnsi"/>
            <w:i/>
            <w:sz w:val="22"/>
          </w:rPr>
          <w:t>USA Today</w:t>
        </w:r>
      </w:hyperlink>
      <w:r w:rsidR="00660FA2" w:rsidRPr="004C2713">
        <w:rPr>
          <w:rFonts w:asciiTheme="minorHAnsi" w:hAnsiTheme="minorHAnsi"/>
          <w:i/>
          <w:sz w:val="22"/>
        </w:rPr>
        <w:t xml:space="preserve">, </w:t>
      </w:r>
      <w:hyperlink r:id="rId148" w:history="1">
        <w:r w:rsidR="00660FA2" w:rsidRPr="004C2713">
          <w:rPr>
            <w:rStyle w:val="Hyperlink"/>
            <w:rFonts w:asciiTheme="minorHAnsi" w:hAnsiTheme="minorHAnsi"/>
            <w:i/>
            <w:sz w:val="22"/>
          </w:rPr>
          <w:t>Wall Street Journal</w:t>
        </w:r>
      </w:hyperlink>
      <w:r w:rsidR="00660FA2" w:rsidRPr="004C2713">
        <w:rPr>
          <w:rFonts w:asciiTheme="minorHAnsi" w:hAnsiTheme="minorHAnsi"/>
          <w:i/>
          <w:sz w:val="22"/>
        </w:rPr>
        <w:t>, and</w:t>
      </w:r>
      <w:r w:rsidR="00660FA2" w:rsidRPr="004C2713">
        <w:rPr>
          <w:rFonts w:asciiTheme="minorHAnsi" w:hAnsiTheme="minorHAnsi"/>
          <w:i/>
          <w:color w:val="FF0000"/>
          <w:sz w:val="22"/>
        </w:rPr>
        <w:t xml:space="preserve"> </w:t>
      </w:r>
      <w:hyperlink r:id="rId149" w:history="1">
        <w:r w:rsidR="00660FA2" w:rsidRPr="004C2713">
          <w:rPr>
            <w:rStyle w:val="Hyperlink"/>
            <w:rFonts w:asciiTheme="minorHAnsi" w:hAnsiTheme="minorHAnsi"/>
            <w:i/>
            <w:sz w:val="22"/>
          </w:rPr>
          <w:t>Washington Post</w:t>
        </w:r>
      </w:hyperlink>
      <w:r w:rsidR="00660FA2" w:rsidRPr="004C2713">
        <w:rPr>
          <w:rFonts w:asciiTheme="minorHAnsi" w:hAnsiTheme="minorHAnsi"/>
          <w:i/>
          <w:sz w:val="22"/>
        </w:rPr>
        <w:t>.</w:t>
      </w:r>
    </w:p>
    <w:p w:rsidR="00BF299D" w:rsidRPr="004C2713" w:rsidRDefault="00BF299D" w:rsidP="004C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p>
    <w:p w:rsidR="00F05A43" w:rsidRPr="004C2713" w:rsidRDefault="004E4B5F" w:rsidP="004608BE">
      <w:pPr>
        <w:pStyle w:val="ListParagraph"/>
        <w:keepNext/>
        <w:widowControl/>
        <w:numPr>
          <w:ilvl w:val="0"/>
          <w:numId w:val="10"/>
        </w:numPr>
        <w:spacing w:line="360" w:lineRule="auto"/>
        <w:rPr>
          <w:rFonts w:asciiTheme="minorHAnsi" w:hAnsiTheme="minorHAnsi"/>
          <w:sz w:val="22"/>
        </w:rPr>
      </w:pPr>
      <w:r w:rsidRPr="004C2713">
        <w:rPr>
          <w:rFonts w:asciiTheme="minorHAnsi" w:hAnsiTheme="minorHAnsi"/>
          <w:b/>
          <w:bCs/>
          <w:sz w:val="22"/>
          <w:u w:val="single"/>
        </w:rPr>
        <w:t>EIA-888, “</w:t>
      </w:r>
      <w:r w:rsidR="00B676A5" w:rsidRPr="004C2713">
        <w:rPr>
          <w:rFonts w:asciiTheme="minorHAnsi" w:hAnsiTheme="minorHAnsi"/>
          <w:b/>
          <w:bCs/>
          <w:sz w:val="22"/>
          <w:u w:val="single"/>
        </w:rPr>
        <w:t>On-Highway Diesel Fuel Price Survey"</w:t>
      </w:r>
    </w:p>
    <w:p w:rsidR="00B676A5" w:rsidRPr="004C2713" w:rsidRDefault="00B676A5" w:rsidP="004C2713">
      <w:pPr>
        <w:keepNext/>
        <w:widowControl/>
        <w:tabs>
          <w:tab w:val="left" w:pos="-1200"/>
        </w:tabs>
        <w:spacing w:line="360" w:lineRule="auto"/>
        <w:rPr>
          <w:rFonts w:asciiTheme="minorHAnsi" w:hAnsiTheme="minorHAnsi"/>
          <w:sz w:val="22"/>
        </w:rPr>
      </w:pPr>
    </w:p>
    <w:p w:rsidR="00747012" w:rsidRPr="004C2713" w:rsidRDefault="003934CE" w:rsidP="004C2713">
      <w:pPr>
        <w:tabs>
          <w:tab w:val="left" w:pos="-1200"/>
        </w:tabs>
        <w:spacing w:line="360" w:lineRule="auto"/>
        <w:rPr>
          <w:rFonts w:asciiTheme="minorHAnsi" w:hAnsiTheme="minorHAnsi"/>
          <w:sz w:val="22"/>
        </w:rPr>
      </w:pPr>
      <w:r w:rsidRPr="004C2713">
        <w:rPr>
          <w:rFonts w:asciiTheme="minorHAnsi" w:hAnsiTheme="minorHAnsi"/>
          <w:sz w:val="22"/>
        </w:rPr>
        <w:t xml:space="preserve">The EIA-888 survey collects the retail price of on-highway diesel fuel, self service, cash only, including all taxes.  The data may be collected on a more frequent basis during emergency situations such as war, common disasters, severe price fluctuations, and other supply shortages.  </w:t>
      </w:r>
      <w:r w:rsidR="00C30D52" w:rsidRPr="004C2713">
        <w:rPr>
          <w:rFonts w:asciiTheme="minorHAnsi" w:hAnsiTheme="minorHAnsi"/>
          <w:sz w:val="22"/>
        </w:rPr>
        <w:t>In such an emergency situation EIA will notify OMB</w:t>
      </w:r>
      <w:r w:rsidR="002B6C1F">
        <w:rPr>
          <w:rFonts w:asciiTheme="minorHAnsi" w:hAnsiTheme="minorHAnsi"/>
          <w:sz w:val="22"/>
        </w:rPr>
        <w:t xml:space="preserve"> prior to initiating efforts to</w:t>
      </w:r>
      <w:r w:rsidR="002B6C1F" w:rsidRPr="004C2713">
        <w:rPr>
          <w:rFonts w:asciiTheme="minorHAnsi" w:hAnsiTheme="minorHAnsi"/>
          <w:sz w:val="22"/>
        </w:rPr>
        <w:t xml:space="preserve"> collect the data more frequent</w:t>
      </w:r>
      <w:r w:rsidR="002B6C1F">
        <w:rPr>
          <w:rFonts w:asciiTheme="minorHAnsi" w:hAnsiTheme="minorHAnsi"/>
          <w:sz w:val="22"/>
        </w:rPr>
        <w:t>ly</w:t>
      </w:r>
      <w:r w:rsidR="00C30D52" w:rsidRPr="004C2713">
        <w:rPr>
          <w:rFonts w:asciiTheme="minorHAnsi" w:hAnsiTheme="minorHAnsi"/>
          <w:sz w:val="22"/>
        </w:rPr>
        <w:t>.  EIA will follow subsequent OMB guidance regarding accounting of the additional burden hours incurred.</w:t>
      </w:r>
    </w:p>
    <w:p w:rsidR="00747012" w:rsidRPr="004C2713" w:rsidRDefault="00747012" w:rsidP="004C2713">
      <w:pPr>
        <w:tabs>
          <w:tab w:val="left" w:pos="-1200"/>
        </w:tabs>
        <w:spacing w:line="360" w:lineRule="auto"/>
        <w:rPr>
          <w:rFonts w:asciiTheme="minorHAnsi" w:hAnsiTheme="minorHAnsi"/>
          <w:sz w:val="22"/>
        </w:rPr>
      </w:pPr>
    </w:p>
    <w:p w:rsidR="003934CE" w:rsidRPr="004C2713" w:rsidRDefault="003934CE" w:rsidP="004D2D0D">
      <w:pPr>
        <w:tabs>
          <w:tab w:val="left" w:pos="-1200"/>
        </w:tabs>
        <w:spacing w:line="360" w:lineRule="auto"/>
        <w:rPr>
          <w:rFonts w:asciiTheme="minorHAnsi" w:hAnsiTheme="minorHAnsi"/>
          <w:color w:val="FF0000"/>
          <w:sz w:val="22"/>
        </w:rPr>
      </w:pPr>
      <w:r w:rsidRPr="004C2713">
        <w:rPr>
          <w:rFonts w:asciiTheme="minorHAnsi" w:hAnsiTheme="minorHAnsi"/>
          <w:sz w:val="22"/>
        </w:rPr>
        <w:t>The</w:t>
      </w:r>
      <w:r w:rsidR="00747012" w:rsidRPr="004C2713">
        <w:rPr>
          <w:rFonts w:asciiTheme="minorHAnsi" w:hAnsiTheme="minorHAnsi"/>
          <w:sz w:val="22"/>
        </w:rPr>
        <w:t>se</w:t>
      </w:r>
      <w:r w:rsidRPr="004C2713">
        <w:rPr>
          <w:rFonts w:asciiTheme="minorHAnsi" w:hAnsiTheme="minorHAnsi"/>
          <w:sz w:val="22"/>
        </w:rPr>
        <w:t xml:space="preserve"> data are used by Congress, Federal and state officials, and transportation industry</w:t>
      </w:r>
      <w:r w:rsidR="00747012" w:rsidRPr="004C2713">
        <w:rPr>
          <w:rFonts w:asciiTheme="minorHAnsi" w:hAnsiTheme="minorHAnsi"/>
          <w:sz w:val="22"/>
        </w:rPr>
        <w:t xml:space="preserve"> leaders</w:t>
      </w:r>
      <w:r w:rsidRPr="004C2713">
        <w:rPr>
          <w:rFonts w:asciiTheme="minorHAnsi" w:hAnsiTheme="minorHAnsi"/>
          <w:sz w:val="22"/>
        </w:rPr>
        <w:t xml:space="preserve"> to monitor the retail pr</w:t>
      </w:r>
      <w:r w:rsidR="00F21988" w:rsidRPr="004C2713">
        <w:rPr>
          <w:rFonts w:asciiTheme="minorHAnsi" w:hAnsiTheme="minorHAnsi"/>
          <w:sz w:val="22"/>
        </w:rPr>
        <w:t>ice of on-highway diesel fuel, including the following two examples.</w:t>
      </w:r>
    </w:p>
    <w:p w:rsidR="0018677B" w:rsidRDefault="003934CE" w:rsidP="004D2D0D">
      <w:pPr>
        <w:pStyle w:val="TEXT"/>
        <w:spacing w:line="360" w:lineRule="auto"/>
      </w:pPr>
      <w:r w:rsidRPr="004C2713">
        <w:t>Shipping contracts with the federal government, both military and civilian, require the use of EIA-888 published data as the price mechanism for calculating fuel surcharges.  The General Services Administration</w:t>
      </w:r>
      <w:r w:rsidR="00D10AAB" w:rsidRPr="004C2713">
        <w:t xml:space="preserve"> (GSA)</w:t>
      </w:r>
      <w:r w:rsidRPr="004C2713">
        <w:t xml:space="preserve"> Federal Supply Service</w:t>
      </w:r>
      <w:r w:rsidR="00F21988" w:rsidRPr="004C2713">
        <w:t xml:space="preserve"> </w:t>
      </w:r>
      <w:r w:rsidRPr="004C2713">
        <w:t>uses EIA-888 data as an indicator to determine when carriers should be allowed relief from sudden or unexpected increases in fuel prices.  Pursuant to</w:t>
      </w:r>
      <w:r w:rsidR="009A12FB" w:rsidRPr="004C2713">
        <w:t xml:space="preserve"> </w:t>
      </w:r>
      <w:r w:rsidR="00734A74">
        <w:t xml:space="preserve">the </w:t>
      </w:r>
      <w:r w:rsidRPr="004C2713">
        <w:t>National Rules Tender No. 100</w:t>
      </w:r>
      <w:r w:rsidRPr="004C2713">
        <w:noBreakHyphen/>
        <w:t xml:space="preserve">D, the GSA Freight Program Management Office requires the use of EIA-888 data to calculate a 52 week moving average of the published Monday price as the baseline for the Neutral Range when issuing a Standard Tender of Service notice.  The annual average is updated on the Monday before the first Monday in February and the first Monday in August of each year.  In addition to the standard tender of service notices, GSA has agreements with customers that supplement government fuel contracts.  These agreements, or fuel policies, allow companies to raise their rates or get a discount </w:t>
      </w:r>
      <w:r w:rsidRPr="004C2713">
        <w:lastRenderedPageBreak/>
        <w:t xml:space="preserve">depending on the cost of diesel as measured by the EIA-888 survey. Fuel policies for civilian government shipping contracts are revised every six months and are based on the previous 52 weeks of published EIA-888 data.  </w:t>
      </w:r>
    </w:p>
    <w:p w:rsidR="003934CE" w:rsidRPr="004C2713" w:rsidRDefault="0018677B" w:rsidP="004D2D0D">
      <w:pPr>
        <w:pStyle w:val="TEXT"/>
        <w:spacing w:line="360" w:lineRule="auto"/>
      </w:pPr>
      <w:r>
        <w:t xml:space="preserve">In addition, the </w:t>
      </w:r>
      <w:hyperlink r:id="rId150" w:history="1">
        <w:r w:rsidR="003934CE" w:rsidRPr="0018677B">
          <w:rPr>
            <w:rStyle w:val="Hyperlink"/>
          </w:rPr>
          <w:t>Military</w:t>
        </w:r>
        <w:r w:rsidR="00625A27" w:rsidRPr="0018677B">
          <w:rPr>
            <w:rStyle w:val="Hyperlink"/>
          </w:rPr>
          <w:t xml:space="preserve"> Surface Deployment and Distribution Command</w:t>
        </w:r>
      </w:hyperlink>
      <w:r w:rsidR="00F21988" w:rsidRPr="004C2713">
        <w:t xml:space="preserve"> </w:t>
      </w:r>
      <w:r w:rsidR="004D2D0D">
        <w:t>uses EIA-888</w:t>
      </w:r>
      <w:r w:rsidR="003934CE" w:rsidRPr="004C2713">
        <w:t>.</w:t>
      </w:r>
    </w:p>
    <w:p w:rsidR="003934CE" w:rsidRDefault="003934CE" w:rsidP="00065520">
      <w:pPr>
        <w:tabs>
          <w:tab w:val="left" w:pos="-1200"/>
        </w:tabs>
        <w:spacing w:line="360" w:lineRule="auto"/>
        <w:rPr>
          <w:rFonts w:asciiTheme="minorHAnsi" w:hAnsiTheme="minorHAnsi"/>
          <w:color w:val="000000"/>
          <w:sz w:val="22"/>
        </w:rPr>
      </w:pPr>
      <w:r w:rsidRPr="00065520">
        <w:rPr>
          <w:rFonts w:asciiTheme="minorHAnsi" w:hAnsiTheme="minorHAnsi"/>
          <w:sz w:val="22"/>
        </w:rPr>
        <w:t xml:space="preserve">The EIA-888 data are used to provide weekly information to both government and industry on retail market conditions.  The EIA-888 data are routinely relied upon by the press, industry and government as a measure of change in the fuel costs for transportation and shipping contracts.  </w:t>
      </w:r>
      <w:r w:rsidRPr="00065520">
        <w:rPr>
          <w:rFonts w:asciiTheme="minorHAnsi" w:hAnsiTheme="minorHAnsi"/>
          <w:color w:val="000000"/>
          <w:sz w:val="22"/>
        </w:rPr>
        <w:t>The EIA-888 data has generally been adopted by the majority of the private trucking firms and shippers as the price adjustment mechanism in fuel surcharge formulas.</w:t>
      </w:r>
    </w:p>
    <w:p w:rsidR="00065520" w:rsidRPr="00065520" w:rsidRDefault="00065520" w:rsidP="00065520">
      <w:pPr>
        <w:tabs>
          <w:tab w:val="left" w:pos="-1200"/>
        </w:tabs>
        <w:spacing w:line="360" w:lineRule="auto"/>
        <w:rPr>
          <w:rFonts w:asciiTheme="minorHAnsi" w:hAnsiTheme="minorHAnsi"/>
          <w:color w:val="000000"/>
          <w:sz w:val="4"/>
          <w:szCs w:val="4"/>
        </w:rPr>
      </w:pPr>
    </w:p>
    <w:p w:rsidR="0018677B" w:rsidRDefault="0018677B"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065520">
        <w:rPr>
          <w:rFonts w:asciiTheme="minorHAnsi" w:hAnsiTheme="minorHAnsi"/>
          <w:color w:val="000000"/>
          <w:sz w:val="22"/>
        </w:rPr>
        <w:t>The national</w:t>
      </w:r>
      <w:r w:rsidR="00D64905" w:rsidRPr="00065520">
        <w:rPr>
          <w:rFonts w:asciiTheme="minorHAnsi" w:hAnsiTheme="minorHAnsi"/>
          <w:color w:val="000000"/>
          <w:sz w:val="22"/>
        </w:rPr>
        <w:t>,</w:t>
      </w:r>
      <w:r w:rsidRPr="00065520">
        <w:rPr>
          <w:rFonts w:asciiTheme="minorHAnsi" w:hAnsiTheme="minorHAnsi"/>
          <w:color w:val="000000"/>
          <w:sz w:val="22"/>
        </w:rPr>
        <w:t xml:space="preserve"> regional</w:t>
      </w:r>
      <w:r w:rsidR="00D64905" w:rsidRPr="00065520">
        <w:rPr>
          <w:rFonts w:asciiTheme="minorHAnsi" w:hAnsiTheme="minorHAnsi"/>
          <w:color w:val="000000"/>
          <w:sz w:val="22"/>
        </w:rPr>
        <w:t>, and State of California</w:t>
      </w:r>
      <w:r w:rsidRPr="00065520">
        <w:rPr>
          <w:rFonts w:asciiTheme="minorHAnsi" w:hAnsiTheme="minorHAnsi"/>
          <w:color w:val="000000"/>
          <w:sz w:val="22"/>
        </w:rPr>
        <w:t xml:space="preserve"> retail diesel fuel price estimates from the EIA-888 survey are accessed daily by motor carriers, both</w:t>
      </w:r>
      <w:r w:rsidR="00F95940" w:rsidRPr="00065520">
        <w:rPr>
          <w:rFonts w:asciiTheme="minorHAnsi" w:hAnsiTheme="minorHAnsi"/>
          <w:color w:val="000000"/>
          <w:sz w:val="22"/>
        </w:rPr>
        <w:t xml:space="preserve"> </w:t>
      </w:r>
      <w:r w:rsidRPr="00065520">
        <w:rPr>
          <w:rFonts w:asciiTheme="minorHAnsi" w:hAnsiTheme="minorHAnsi"/>
          <w:color w:val="000000"/>
          <w:sz w:val="22"/>
        </w:rPr>
        <w:t xml:space="preserve">haulers and bus companies, shippers, and other members of the public </w:t>
      </w:r>
      <w:r w:rsidR="00747012" w:rsidRPr="00065520">
        <w:rPr>
          <w:rFonts w:asciiTheme="minorHAnsi" w:hAnsiTheme="minorHAnsi"/>
          <w:color w:val="000000"/>
          <w:sz w:val="22"/>
        </w:rPr>
        <w:t xml:space="preserve">via </w:t>
      </w:r>
      <w:r w:rsidRPr="00065520">
        <w:rPr>
          <w:rFonts w:asciiTheme="minorHAnsi" w:hAnsiTheme="minorHAnsi"/>
          <w:color w:val="000000"/>
          <w:sz w:val="22"/>
        </w:rPr>
        <w:t>accessing the EIA’s website</w:t>
      </w:r>
      <w:r w:rsidR="00747012" w:rsidRPr="00065520">
        <w:rPr>
          <w:rFonts w:asciiTheme="minorHAnsi" w:hAnsiTheme="minorHAnsi"/>
          <w:color w:val="000000"/>
          <w:sz w:val="22"/>
        </w:rPr>
        <w:t>.</w:t>
      </w:r>
      <w:r w:rsidRPr="00065520">
        <w:rPr>
          <w:rFonts w:asciiTheme="minorHAnsi" w:hAnsiTheme="minorHAnsi"/>
          <w:color w:val="000000"/>
          <w:sz w:val="22"/>
        </w:rPr>
        <w:t xml:space="preserve">  </w:t>
      </w:r>
    </w:p>
    <w:p w:rsidR="003934CE"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2F060B" w:rsidRPr="00065520" w:rsidRDefault="003934CE" w:rsidP="00065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
          <w:sz w:val="22"/>
        </w:rPr>
      </w:pPr>
      <w:r w:rsidRPr="00065520">
        <w:rPr>
          <w:rFonts w:asciiTheme="minorHAnsi" w:hAnsiTheme="minorHAnsi"/>
          <w:color w:val="000000"/>
          <w:sz w:val="22"/>
        </w:rPr>
        <w:t>EIA-888 data are also published on a weekly and monthly basis in trucking industry newsletters</w:t>
      </w:r>
      <w:r w:rsidR="00747012" w:rsidRPr="00065520">
        <w:rPr>
          <w:rFonts w:asciiTheme="minorHAnsi" w:hAnsiTheme="minorHAnsi"/>
          <w:color w:val="000000"/>
          <w:sz w:val="22"/>
        </w:rPr>
        <w:t>,</w:t>
      </w:r>
      <w:r w:rsidRPr="00065520">
        <w:rPr>
          <w:rFonts w:asciiTheme="minorHAnsi" w:hAnsiTheme="minorHAnsi"/>
          <w:color w:val="000000"/>
          <w:sz w:val="22"/>
        </w:rPr>
        <w:t xml:space="preserve"> including the</w:t>
      </w:r>
      <w:r w:rsidR="00B96727" w:rsidRPr="00065520">
        <w:rPr>
          <w:rFonts w:asciiTheme="minorHAnsi" w:hAnsiTheme="minorHAnsi"/>
          <w:color w:val="000000"/>
          <w:sz w:val="22"/>
        </w:rPr>
        <w:t xml:space="preserve"> </w:t>
      </w:r>
      <w:hyperlink r:id="rId151" w:history="1">
        <w:r w:rsidRPr="00065520">
          <w:rPr>
            <w:rStyle w:val="Hyperlink"/>
            <w:rFonts w:asciiTheme="minorHAnsi" w:hAnsiTheme="minorHAnsi"/>
            <w:sz w:val="22"/>
          </w:rPr>
          <w:t>American Trucking Association</w:t>
        </w:r>
      </w:hyperlink>
      <w:r w:rsidRPr="00065520">
        <w:rPr>
          <w:rFonts w:asciiTheme="minorHAnsi" w:hAnsiTheme="minorHAnsi"/>
          <w:sz w:val="22"/>
        </w:rPr>
        <w:t xml:space="preserve"> </w:t>
      </w:r>
      <w:r w:rsidR="00B96727" w:rsidRPr="00065520">
        <w:rPr>
          <w:rFonts w:asciiTheme="minorHAnsi" w:hAnsiTheme="minorHAnsi"/>
          <w:sz w:val="22"/>
        </w:rPr>
        <w:t xml:space="preserve">and </w:t>
      </w:r>
      <w:hyperlink r:id="rId152" w:history="1">
        <w:r w:rsidR="00583B0F" w:rsidRPr="00065520">
          <w:rPr>
            <w:rStyle w:val="Hyperlink"/>
            <w:rFonts w:asciiTheme="minorHAnsi" w:hAnsiTheme="minorHAnsi"/>
            <w:sz w:val="22"/>
          </w:rPr>
          <w:t>The Journal of Commerce</w:t>
        </w:r>
      </w:hyperlink>
      <w:r w:rsidR="00705594" w:rsidRPr="00065520">
        <w:rPr>
          <w:rFonts w:asciiTheme="minorHAnsi" w:hAnsiTheme="minorHAnsi"/>
          <w:sz w:val="22"/>
        </w:rPr>
        <w:t>.</w:t>
      </w:r>
      <w:r w:rsidR="00B96727" w:rsidRPr="00065520">
        <w:rPr>
          <w:rFonts w:asciiTheme="minorHAnsi" w:hAnsiTheme="minorHAnsi"/>
          <w:sz w:val="22"/>
        </w:rPr>
        <w:t xml:space="preserve"> </w:t>
      </w:r>
      <w:r w:rsidR="00747012" w:rsidRPr="00065520">
        <w:rPr>
          <w:rFonts w:asciiTheme="minorHAnsi" w:hAnsiTheme="minorHAnsi"/>
          <w:sz w:val="22"/>
        </w:rPr>
        <w:t>T</w:t>
      </w:r>
      <w:r w:rsidRPr="00065520">
        <w:rPr>
          <w:rFonts w:asciiTheme="minorHAnsi" w:hAnsiTheme="minorHAnsi"/>
          <w:sz w:val="22"/>
        </w:rPr>
        <w:t>he national and regional prices are broadcast twice per day on Interstate Radio Network, a ra</w:t>
      </w:r>
      <w:r w:rsidR="00F95940" w:rsidRPr="00065520">
        <w:rPr>
          <w:rFonts w:asciiTheme="minorHAnsi" w:hAnsiTheme="minorHAnsi"/>
          <w:sz w:val="22"/>
        </w:rPr>
        <w:t xml:space="preserve">dio network with 40 affiliates </w:t>
      </w:r>
      <w:r w:rsidRPr="00065520">
        <w:rPr>
          <w:rFonts w:asciiTheme="minorHAnsi" w:hAnsiTheme="minorHAnsi"/>
          <w:sz w:val="22"/>
        </w:rPr>
        <w:t>with coverage of 95</w:t>
      </w:r>
      <w:r w:rsidR="00F95940" w:rsidRPr="00065520">
        <w:rPr>
          <w:rFonts w:asciiTheme="minorHAnsi" w:hAnsiTheme="minorHAnsi"/>
          <w:sz w:val="22"/>
        </w:rPr>
        <w:t xml:space="preserve"> percent</w:t>
      </w:r>
      <w:r w:rsidRPr="00065520">
        <w:rPr>
          <w:rFonts w:asciiTheme="minorHAnsi" w:hAnsiTheme="minorHAnsi"/>
          <w:sz w:val="22"/>
        </w:rPr>
        <w:t xml:space="preserve"> of the continental United States.   The EIA-888 data are also analyzed and used by the </w:t>
      </w:r>
      <w:hyperlink r:id="rId153" w:history="1">
        <w:r w:rsidRPr="00065520">
          <w:rPr>
            <w:rStyle w:val="Hyperlink"/>
            <w:rFonts w:asciiTheme="minorHAnsi" w:hAnsiTheme="minorHAnsi"/>
            <w:sz w:val="22"/>
          </w:rPr>
          <w:t>National Industrial Transportation League</w:t>
        </w:r>
      </w:hyperlink>
      <w:r w:rsidR="002F060B" w:rsidRPr="00065520">
        <w:rPr>
          <w:rFonts w:asciiTheme="minorHAnsi" w:hAnsiTheme="minorHAnsi"/>
          <w:sz w:val="22"/>
        </w:rPr>
        <w:t xml:space="preserve">, </w:t>
      </w:r>
      <w:hyperlink r:id="rId154" w:history="1">
        <w:r w:rsidRPr="00065520">
          <w:rPr>
            <w:rStyle w:val="Hyperlink"/>
            <w:rFonts w:asciiTheme="minorHAnsi" w:hAnsiTheme="minorHAnsi"/>
            <w:sz w:val="22"/>
          </w:rPr>
          <w:t>the National Association of Truck Stop Operators</w:t>
        </w:r>
      </w:hyperlink>
      <w:r w:rsidR="002F060B" w:rsidRPr="00065520">
        <w:rPr>
          <w:rFonts w:asciiTheme="minorHAnsi" w:hAnsiTheme="minorHAnsi"/>
          <w:sz w:val="22"/>
        </w:rPr>
        <w:t xml:space="preserve">, </w:t>
      </w:r>
      <w:hyperlink r:id="rId155" w:history="1">
        <w:r w:rsidRPr="00065520">
          <w:rPr>
            <w:rStyle w:val="Hyperlink"/>
            <w:rFonts w:asciiTheme="minorHAnsi" w:hAnsiTheme="minorHAnsi"/>
            <w:sz w:val="22"/>
          </w:rPr>
          <w:t xml:space="preserve">and the American </w:t>
        </w:r>
        <w:r w:rsidR="00625A27" w:rsidRPr="00065520">
          <w:rPr>
            <w:rStyle w:val="Hyperlink"/>
            <w:rFonts w:asciiTheme="minorHAnsi" w:hAnsiTheme="minorHAnsi"/>
            <w:sz w:val="22"/>
          </w:rPr>
          <w:t xml:space="preserve">Moving and Storage </w:t>
        </w:r>
        <w:r w:rsidRPr="00065520">
          <w:rPr>
            <w:rStyle w:val="Hyperlink"/>
            <w:rFonts w:asciiTheme="minorHAnsi" w:hAnsiTheme="minorHAnsi"/>
            <w:sz w:val="22"/>
          </w:rPr>
          <w:t>Association</w:t>
        </w:r>
      </w:hyperlink>
      <w:r w:rsidRPr="00065520">
        <w:rPr>
          <w:rFonts w:asciiTheme="minorHAnsi" w:hAnsiTheme="minorHAnsi"/>
          <w:sz w:val="22"/>
        </w:rPr>
        <w:t xml:space="preserve">.  EIA-888 data are routinely quoted </w:t>
      </w:r>
      <w:r w:rsidR="002F060B" w:rsidRPr="00065520">
        <w:rPr>
          <w:rFonts w:asciiTheme="minorHAnsi" w:hAnsiTheme="minorHAnsi"/>
          <w:sz w:val="22"/>
        </w:rPr>
        <w:t xml:space="preserve">on the </w:t>
      </w:r>
      <w:r w:rsidRPr="00065520">
        <w:rPr>
          <w:rFonts w:asciiTheme="minorHAnsi" w:hAnsiTheme="minorHAnsi"/>
          <w:sz w:val="22"/>
        </w:rPr>
        <w:t xml:space="preserve">wire services </w:t>
      </w:r>
      <w:r w:rsidR="002F060B" w:rsidRPr="00065520">
        <w:rPr>
          <w:rFonts w:asciiTheme="minorHAnsi" w:hAnsiTheme="minorHAnsi"/>
          <w:sz w:val="22"/>
        </w:rPr>
        <w:t xml:space="preserve">- </w:t>
      </w:r>
      <w:hyperlink r:id="rId156" w:history="1">
        <w:r w:rsidRPr="00065520">
          <w:rPr>
            <w:rStyle w:val="Hyperlink"/>
            <w:rFonts w:asciiTheme="minorHAnsi" w:hAnsiTheme="minorHAnsi"/>
            <w:sz w:val="22"/>
          </w:rPr>
          <w:t>Reuters Ltd</w:t>
        </w:r>
      </w:hyperlink>
      <w:r w:rsidRPr="00065520">
        <w:rPr>
          <w:rFonts w:asciiTheme="minorHAnsi" w:hAnsiTheme="minorHAnsi"/>
          <w:sz w:val="22"/>
        </w:rPr>
        <w:t xml:space="preserve">, </w:t>
      </w:r>
      <w:hyperlink r:id="rId157" w:history="1">
        <w:r w:rsidRPr="00065520">
          <w:rPr>
            <w:rStyle w:val="Hyperlink"/>
            <w:rFonts w:asciiTheme="minorHAnsi" w:hAnsiTheme="minorHAnsi"/>
            <w:sz w:val="22"/>
          </w:rPr>
          <w:t>Bloomberg News</w:t>
        </w:r>
      </w:hyperlink>
      <w:r w:rsidRPr="00065520">
        <w:rPr>
          <w:rFonts w:asciiTheme="minorHAnsi" w:hAnsiTheme="minorHAnsi"/>
          <w:sz w:val="22"/>
        </w:rPr>
        <w:t xml:space="preserve">, </w:t>
      </w:r>
      <w:hyperlink r:id="rId158" w:history="1">
        <w:r w:rsidRPr="00065520">
          <w:rPr>
            <w:rStyle w:val="Hyperlink"/>
            <w:rFonts w:asciiTheme="minorHAnsi" w:hAnsiTheme="minorHAnsi"/>
            <w:sz w:val="22"/>
          </w:rPr>
          <w:t>Dow Jones</w:t>
        </w:r>
      </w:hyperlink>
      <w:r w:rsidRPr="00065520">
        <w:rPr>
          <w:rFonts w:asciiTheme="minorHAnsi" w:hAnsiTheme="minorHAnsi"/>
          <w:sz w:val="22"/>
        </w:rPr>
        <w:t xml:space="preserve">, and </w:t>
      </w:r>
      <w:r w:rsidR="002F060B" w:rsidRPr="00065520">
        <w:rPr>
          <w:rFonts w:asciiTheme="minorHAnsi" w:hAnsiTheme="minorHAnsi"/>
          <w:sz w:val="22"/>
        </w:rPr>
        <w:t xml:space="preserve">the </w:t>
      </w:r>
      <w:hyperlink r:id="rId159" w:history="1">
        <w:r w:rsidRPr="00065520">
          <w:rPr>
            <w:rStyle w:val="Hyperlink"/>
            <w:rFonts w:asciiTheme="minorHAnsi" w:hAnsiTheme="minorHAnsi"/>
            <w:sz w:val="22"/>
          </w:rPr>
          <w:t>Associated</w:t>
        </w:r>
        <w:r w:rsidR="002F060B" w:rsidRPr="00065520">
          <w:rPr>
            <w:rStyle w:val="Hyperlink"/>
            <w:rFonts w:asciiTheme="minorHAnsi" w:hAnsiTheme="minorHAnsi"/>
            <w:sz w:val="22"/>
          </w:rPr>
          <w:t xml:space="preserve"> Press</w:t>
        </w:r>
      </w:hyperlink>
      <w:r w:rsidR="002F060B" w:rsidRPr="00065520">
        <w:rPr>
          <w:rFonts w:asciiTheme="minorHAnsi" w:hAnsiTheme="minorHAnsi"/>
          <w:sz w:val="22"/>
        </w:rPr>
        <w:t xml:space="preserve"> - and in</w:t>
      </w:r>
      <w:r w:rsidR="00AC42F3" w:rsidRPr="00065520">
        <w:rPr>
          <w:rFonts w:asciiTheme="minorHAnsi" w:hAnsiTheme="minorHAnsi"/>
          <w:sz w:val="22"/>
        </w:rPr>
        <w:t xml:space="preserve"> articles in the five major newspapers –</w:t>
      </w:r>
      <w:r w:rsidR="00AC42F3" w:rsidRPr="00065520">
        <w:rPr>
          <w:rFonts w:asciiTheme="minorHAnsi" w:hAnsiTheme="minorHAnsi"/>
          <w:color w:val="FF0000"/>
          <w:sz w:val="22"/>
        </w:rPr>
        <w:t xml:space="preserve"> </w:t>
      </w:r>
      <w:hyperlink r:id="rId160" w:history="1">
        <w:r w:rsidR="00AC42F3" w:rsidRPr="00065520">
          <w:rPr>
            <w:rStyle w:val="Hyperlink"/>
            <w:rFonts w:asciiTheme="minorHAnsi" w:hAnsiTheme="minorHAnsi"/>
            <w:i/>
            <w:sz w:val="22"/>
          </w:rPr>
          <w:t>Los Angeles Times</w:t>
        </w:r>
      </w:hyperlink>
      <w:r w:rsidR="00AC42F3" w:rsidRPr="00065520">
        <w:rPr>
          <w:rFonts w:asciiTheme="minorHAnsi" w:hAnsiTheme="minorHAnsi"/>
          <w:i/>
          <w:sz w:val="22"/>
        </w:rPr>
        <w:t xml:space="preserve">, </w:t>
      </w:r>
      <w:hyperlink r:id="rId161" w:history="1">
        <w:r w:rsidR="00AC42F3" w:rsidRPr="00065520">
          <w:rPr>
            <w:rStyle w:val="Hyperlink"/>
            <w:rFonts w:asciiTheme="minorHAnsi" w:hAnsiTheme="minorHAnsi"/>
            <w:i/>
            <w:sz w:val="22"/>
          </w:rPr>
          <w:t>New York Times</w:t>
        </w:r>
      </w:hyperlink>
      <w:r w:rsidR="00AC42F3" w:rsidRPr="00065520">
        <w:rPr>
          <w:rFonts w:asciiTheme="minorHAnsi" w:hAnsiTheme="minorHAnsi"/>
          <w:i/>
          <w:sz w:val="22"/>
        </w:rPr>
        <w:t xml:space="preserve">, </w:t>
      </w:r>
      <w:hyperlink r:id="rId162" w:history="1">
        <w:r w:rsidR="00AC42F3" w:rsidRPr="00065520">
          <w:rPr>
            <w:rStyle w:val="Hyperlink"/>
            <w:rFonts w:asciiTheme="minorHAnsi" w:hAnsiTheme="minorHAnsi"/>
            <w:i/>
            <w:sz w:val="22"/>
          </w:rPr>
          <w:t>USA Today</w:t>
        </w:r>
      </w:hyperlink>
      <w:r w:rsidR="00AC42F3" w:rsidRPr="00065520">
        <w:rPr>
          <w:rFonts w:asciiTheme="minorHAnsi" w:hAnsiTheme="minorHAnsi"/>
          <w:i/>
          <w:sz w:val="22"/>
        </w:rPr>
        <w:t xml:space="preserve">, </w:t>
      </w:r>
      <w:hyperlink r:id="rId163" w:history="1">
        <w:r w:rsidR="00AC42F3" w:rsidRPr="00065520">
          <w:rPr>
            <w:rStyle w:val="Hyperlink"/>
            <w:rFonts w:asciiTheme="minorHAnsi" w:hAnsiTheme="minorHAnsi"/>
            <w:i/>
            <w:sz w:val="22"/>
          </w:rPr>
          <w:t>Wall Street Journal</w:t>
        </w:r>
      </w:hyperlink>
      <w:r w:rsidR="00AC42F3" w:rsidRPr="00065520">
        <w:rPr>
          <w:rFonts w:asciiTheme="minorHAnsi" w:hAnsiTheme="minorHAnsi"/>
          <w:i/>
          <w:sz w:val="22"/>
        </w:rPr>
        <w:t>, and</w:t>
      </w:r>
      <w:r w:rsidR="00AC42F3" w:rsidRPr="00065520">
        <w:rPr>
          <w:rFonts w:asciiTheme="minorHAnsi" w:hAnsiTheme="minorHAnsi"/>
          <w:i/>
          <w:color w:val="FF0000"/>
          <w:sz w:val="22"/>
        </w:rPr>
        <w:t xml:space="preserve"> </w:t>
      </w:r>
      <w:hyperlink r:id="rId164" w:history="1">
        <w:r w:rsidR="00AC42F3" w:rsidRPr="00065520">
          <w:rPr>
            <w:rStyle w:val="Hyperlink"/>
            <w:rFonts w:asciiTheme="minorHAnsi" w:hAnsiTheme="minorHAnsi"/>
            <w:i/>
            <w:sz w:val="22"/>
          </w:rPr>
          <w:t>Washington Post</w:t>
        </w:r>
      </w:hyperlink>
      <w:r w:rsidR="002F060B" w:rsidRPr="00065520">
        <w:rPr>
          <w:rFonts w:asciiTheme="minorHAnsi" w:hAnsiTheme="minorHAnsi"/>
          <w:i/>
          <w:sz w:val="22"/>
        </w:rPr>
        <w:t>.</w:t>
      </w:r>
    </w:p>
    <w:p w:rsidR="006D3E5D" w:rsidRPr="004C2713" w:rsidRDefault="002F5FC8" w:rsidP="00734A74">
      <w:pPr>
        <w:pStyle w:val="Heading1"/>
        <w:numPr>
          <w:ilvl w:val="0"/>
          <w:numId w:val="27"/>
        </w:numPr>
      </w:pPr>
      <w:r w:rsidRPr="004C2713">
        <w:t>Petroleum Marketing Frame (EIA-863)</w:t>
      </w:r>
    </w:p>
    <w:p w:rsidR="002F5FC8" w:rsidRPr="004C2713" w:rsidRDefault="002F5FC8" w:rsidP="004C2713">
      <w:pPr>
        <w:spacing w:line="360" w:lineRule="auto"/>
        <w:rPr>
          <w:rFonts w:asciiTheme="minorHAnsi" w:hAnsiTheme="minorHAnsi"/>
          <w:sz w:val="22"/>
        </w:rPr>
      </w:pPr>
    </w:p>
    <w:p w:rsidR="00B462BC" w:rsidRPr="004C2713" w:rsidRDefault="00B462BC" w:rsidP="004608BE">
      <w:pPr>
        <w:pStyle w:val="ListParagraph"/>
        <w:keepN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sz w:val="22"/>
        </w:rPr>
      </w:pPr>
      <w:r w:rsidRPr="004C2713">
        <w:rPr>
          <w:rFonts w:asciiTheme="minorHAnsi" w:hAnsiTheme="minorHAnsi"/>
          <w:b/>
          <w:bCs/>
          <w:sz w:val="22"/>
          <w:u w:val="single"/>
        </w:rPr>
        <w:t>EIA-863, “Petroleum Product Sales Identification Survey”</w:t>
      </w:r>
    </w:p>
    <w:p w:rsidR="00B462BC" w:rsidRPr="004C2713" w:rsidRDefault="00B462BC" w:rsidP="004C27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The EIA</w:t>
      </w:r>
      <w:r w:rsidRPr="004C2713">
        <w:rPr>
          <w:rFonts w:asciiTheme="minorHAnsi" w:hAnsiTheme="minorHAnsi"/>
          <w:sz w:val="22"/>
        </w:rPr>
        <w:noBreakHyphen/>
        <w:t>863 collects information on size, type and geographic location of fuel oil-related businesses to form an attribute sampling frame for use by EIA sample surveys.  The list of companies, their operational status, volumetric data and information on their corporate relationships together serve as the sampling frame for the following EIA surveys:</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lastRenderedPageBreak/>
        <w:t>EIA</w:t>
      </w:r>
      <w:r w:rsidRPr="004C2713">
        <w:rPr>
          <w:rFonts w:asciiTheme="minorHAnsi" w:hAnsiTheme="minorHAnsi"/>
          <w:sz w:val="22"/>
        </w:rPr>
        <w:noBreakHyphen/>
        <w:t>821, “Annual Fuel Oil and Kerosene Sales Report”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EIA-877, “Winter</w:t>
      </w:r>
      <w:r w:rsidR="00734A74">
        <w:rPr>
          <w:rFonts w:asciiTheme="minorHAnsi" w:hAnsiTheme="minorHAnsi"/>
          <w:sz w:val="22"/>
        </w:rPr>
        <w:t xml:space="preserve"> Heating Fuels Telephone Survey</w:t>
      </w:r>
      <w:r w:rsidRPr="004C2713">
        <w:rPr>
          <w:rFonts w:asciiTheme="minorHAnsi" w:hAnsiTheme="minorHAnsi"/>
          <w:sz w:val="22"/>
        </w:rPr>
        <w:t>”</w:t>
      </w:r>
    </w:p>
    <w:p w:rsidR="00B462BC" w:rsidRPr="004C2713" w:rsidRDefault="00B462BC" w:rsidP="004C2713">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EIA-888, “On-H</w:t>
      </w:r>
      <w:r w:rsidR="00734A74">
        <w:rPr>
          <w:rFonts w:asciiTheme="minorHAnsi" w:hAnsiTheme="minorHAnsi"/>
          <w:sz w:val="22"/>
        </w:rPr>
        <w:t>ighway Diesel Fuel Price Survey</w:t>
      </w:r>
      <w:r w:rsidRPr="004C2713">
        <w:rPr>
          <w:rFonts w:asciiTheme="minorHAnsi" w:hAnsiTheme="minorHAnsi"/>
          <w:sz w:val="22"/>
        </w:rPr>
        <w:t>”</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data are </w:t>
      </w:r>
      <w:r w:rsidRPr="00667C26">
        <w:rPr>
          <w:rFonts w:asciiTheme="minorHAnsi" w:hAnsiTheme="minorHAnsi"/>
          <w:sz w:val="22"/>
        </w:rPr>
        <w:t xml:space="preserve">used </w:t>
      </w:r>
      <w:r w:rsidR="00A27771" w:rsidRPr="00667C26">
        <w:rPr>
          <w:rFonts w:asciiTheme="minorHAnsi" w:hAnsiTheme="minorHAnsi"/>
          <w:sz w:val="22"/>
        </w:rPr>
        <w:t xml:space="preserve">by EIA </w:t>
      </w:r>
      <w:r w:rsidRPr="00667C26">
        <w:rPr>
          <w:rFonts w:asciiTheme="minorHAnsi" w:hAnsiTheme="minorHAnsi"/>
          <w:sz w:val="22"/>
        </w:rPr>
        <w:t>for the</w:t>
      </w:r>
      <w:r w:rsidRPr="004C2713">
        <w:rPr>
          <w:rFonts w:asciiTheme="minorHAnsi" w:hAnsiTheme="minorHAnsi"/>
          <w:sz w:val="22"/>
        </w:rPr>
        <w:t xml:space="preserve"> following purposes: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develop a comprehensive frame file for sampling.  The information is also used to identify births (new companies including sales and mergers) and deaths (companies going out of business) in the universe, as well as updates to mailing addresses and contact information.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produce volumetric State-level data necessary for efficient use of stratified or probability proportional to size sampling.  These sampling methods yield substantial reductions in respondent burden and reduce sampling error in the weekly, monthly and annual sample surveys.</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To produce aggregate data to determine aggregate population estimates.  These estimates are used to design efficient samples and estimators, and to measure previous sample deterioration and changes in the distribution of the population.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identify relationships between parent/subsidiary and thus avoid both under reporting and double counting, and to minimize sample sizes and </w:t>
      </w:r>
      <w:r w:rsidR="00734A74">
        <w:rPr>
          <w:rFonts w:asciiTheme="minorHAnsi" w:hAnsiTheme="minorHAnsi"/>
          <w:sz w:val="22"/>
        </w:rPr>
        <w:t>respondent</w:t>
      </w:r>
      <w:r w:rsidRPr="00734A74">
        <w:rPr>
          <w:rFonts w:asciiTheme="minorHAnsi" w:hAnsiTheme="minorHAnsi"/>
          <w:sz w:val="22"/>
        </w:rPr>
        <w:t xml:space="preserve"> burden.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update company-level profiles and detail which allow for sample rotation to minimize </w:t>
      </w:r>
      <w:r w:rsidR="00A070A2">
        <w:rPr>
          <w:rFonts w:asciiTheme="minorHAnsi" w:hAnsiTheme="minorHAnsi"/>
          <w:sz w:val="22"/>
        </w:rPr>
        <w:t xml:space="preserve">respondent </w:t>
      </w:r>
      <w:r w:rsidRPr="00734A74">
        <w:rPr>
          <w:rFonts w:asciiTheme="minorHAnsi" w:hAnsiTheme="minorHAnsi"/>
          <w:sz w:val="22"/>
        </w:rPr>
        <w:t>burden.</w:t>
      </w:r>
    </w:p>
    <w:p w:rsidR="00B462BC" w:rsidRPr="00734A74" w:rsidRDefault="00B462BC" w:rsidP="00734A74">
      <w:pPr>
        <w:pStyle w:val="ListParagraph"/>
        <w:widowControl/>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734A74">
        <w:rPr>
          <w:rFonts w:asciiTheme="minorHAnsi" w:hAnsiTheme="minorHAnsi"/>
          <w:sz w:val="22"/>
        </w:rPr>
        <w:t xml:space="preserve">To review edit and imputation procedures and methodologies in the monthly and annual sample surveys, and testing those methodologies.  The data are also directly used for editing and imputation procedures as a benchmark for new sample members and for non-respondents.  </w:t>
      </w:r>
    </w:p>
    <w:p w:rsidR="00B462BC" w:rsidRPr="004C2713" w:rsidRDefault="00B462BC"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494925" w:rsidRPr="00B54FDB" w:rsidRDefault="00B462BC" w:rsidP="00B54F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The petroleum surveys require a frame that is </w:t>
      </w:r>
      <w:r w:rsidR="00A27771" w:rsidRPr="00667C26">
        <w:rPr>
          <w:rFonts w:asciiTheme="minorHAnsi" w:hAnsiTheme="minorHAnsi"/>
          <w:sz w:val="22"/>
        </w:rPr>
        <w:t>updated frequently</w:t>
      </w:r>
      <w:r w:rsidR="00A27771" w:rsidRPr="004C2713">
        <w:rPr>
          <w:rFonts w:asciiTheme="minorHAnsi" w:hAnsiTheme="minorHAnsi"/>
          <w:sz w:val="22"/>
        </w:rPr>
        <w:t xml:space="preserve"> </w:t>
      </w:r>
      <w:r w:rsidRPr="004C2713">
        <w:rPr>
          <w:rFonts w:asciiTheme="minorHAnsi" w:hAnsiTheme="minorHAnsi"/>
          <w:sz w:val="22"/>
        </w:rPr>
        <w:t>because of the high turnover rate and ongoing changes in the petroleum industry. Previous EIA-863 data have shown a turnover of roughly 25 percent between survey</w:t>
      </w:r>
      <w:r w:rsidR="00A27771" w:rsidRPr="004C2713">
        <w:rPr>
          <w:rFonts w:asciiTheme="minorHAnsi" w:hAnsiTheme="minorHAnsi"/>
          <w:color w:val="FF0000"/>
          <w:sz w:val="22"/>
        </w:rPr>
        <w:t xml:space="preserve"> </w:t>
      </w:r>
      <w:r w:rsidR="00A27771" w:rsidRPr="00667C26">
        <w:rPr>
          <w:rFonts w:asciiTheme="minorHAnsi" w:hAnsiTheme="minorHAnsi"/>
          <w:sz w:val="22"/>
        </w:rPr>
        <w:t xml:space="preserve">cycles </w:t>
      </w:r>
      <w:r w:rsidRPr="00667C26">
        <w:rPr>
          <w:rFonts w:asciiTheme="minorHAnsi" w:hAnsiTheme="minorHAnsi"/>
          <w:sz w:val="22"/>
        </w:rPr>
        <w:t xml:space="preserve">without including ongoing updates made </w:t>
      </w:r>
      <w:r w:rsidR="00A27771" w:rsidRPr="00667C26">
        <w:rPr>
          <w:rFonts w:asciiTheme="minorHAnsi" w:hAnsiTheme="minorHAnsi"/>
          <w:sz w:val="22"/>
        </w:rPr>
        <w:t xml:space="preserve">from an annual petroleum marketing survey </w:t>
      </w:r>
      <w:r w:rsidRPr="00667C26">
        <w:rPr>
          <w:rFonts w:asciiTheme="minorHAnsi" w:hAnsiTheme="minorHAnsi"/>
          <w:sz w:val="22"/>
        </w:rPr>
        <w:t>to align th</w:t>
      </w:r>
      <w:r w:rsidRPr="004C2713">
        <w:rPr>
          <w:rFonts w:asciiTheme="minorHAnsi" w:hAnsiTheme="minorHAnsi"/>
          <w:sz w:val="22"/>
        </w:rPr>
        <w:t>e larger petroleum sellers.  For any sampling survey, it is necessary that the frame be both comprehensive and up-to-date with the industry for unbiased and efficient sampling. Lack of identification of out-of-scope and out-of-business firms greatly increases sample sizes, respondent burden, and data error, as well as government costs for nonresponse follow-up.  The high birth and death rate of fuel oil dealers means that samples deteriorate rapidly over time and must be updated to ensure accuracy. Additional information regarding the frame and sampling plan is available in Part B.</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E2556A" w:rsidRPr="00841EBF" w:rsidRDefault="00E2556A" w:rsidP="00D20878">
      <w:pPr>
        <w:pStyle w:val="Heading1"/>
      </w:pPr>
      <w:r w:rsidRPr="00841EBF">
        <w:lastRenderedPageBreak/>
        <w:t xml:space="preserve">A.3. Use of Technology </w:t>
      </w:r>
    </w:p>
    <w:p w:rsidR="00E2556A" w:rsidRPr="00540778" w:rsidRDefault="00E2556A" w:rsidP="00E25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Cs/>
          <w:color w:val="FF0000"/>
        </w:rPr>
      </w:pPr>
    </w:p>
    <w:p w:rsidR="005036F0" w:rsidRDefault="007409DC" w:rsidP="004C2713">
      <w:pPr>
        <w:spacing w:line="360" w:lineRule="auto"/>
        <w:rPr>
          <w:rFonts w:asciiTheme="minorHAnsi" w:hAnsiTheme="minorHAnsi"/>
          <w:sz w:val="22"/>
        </w:rPr>
      </w:pPr>
      <w:bookmarkStart w:id="10" w:name="_Toc524334491"/>
      <w:bookmarkStart w:id="11" w:name="_Toc524334573"/>
      <w:bookmarkStart w:id="12" w:name="_Toc524334721"/>
      <w:bookmarkStart w:id="13" w:name="_Toc524334914"/>
      <w:bookmarkStart w:id="14" w:name="_Toc81279297"/>
      <w:r w:rsidRPr="00160F89">
        <w:rPr>
          <w:rFonts w:asciiTheme="minorHAnsi" w:hAnsiTheme="minorHAnsi"/>
          <w:sz w:val="22"/>
        </w:rPr>
        <w:t xml:space="preserve">In an effort to reduce respondent burden and to provide for </w:t>
      </w:r>
      <w:r w:rsidR="00212497" w:rsidRPr="00160F89">
        <w:rPr>
          <w:rFonts w:asciiTheme="minorHAnsi" w:hAnsiTheme="minorHAnsi"/>
          <w:sz w:val="22"/>
        </w:rPr>
        <w:t>timelier</w:t>
      </w:r>
      <w:r w:rsidRPr="00160F89">
        <w:rPr>
          <w:rFonts w:asciiTheme="minorHAnsi" w:hAnsiTheme="minorHAnsi"/>
          <w:sz w:val="22"/>
        </w:rPr>
        <w:t xml:space="preserve"> processing of filings, EIA offers mixed-mode data collection.  </w:t>
      </w:r>
      <w:r w:rsidR="005036F0">
        <w:rPr>
          <w:rFonts w:asciiTheme="minorHAnsi" w:hAnsiTheme="minorHAnsi"/>
          <w:sz w:val="22"/>
        </w:rPr>
        <w:t>The weekly surveys use the following modes of data collection.</w:t>
      </w:r>
    </w:p>
    <w:p w:rsidR="00523490" w:rsidRPr="005036F0" w:rsidRDefault="007409DC"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The EIA-87</w:t>
      </w:r>
      <w:r w:rsidR="005036F0" w:rsidRPr="005036F0">
        <w:rPr>
          <w:rFonts w:asciiTheme="minorHAnsi" w:hAnsiTheme="minorHAnsi"/>
          <w:sz w:val="22"/>
        </w:rPr>
        <w:t>7 collects data via telephone and</w:t>
      </w:r>
      <w:r w:rsidRPr="005036F0">
        <w:rPr>
          <w:rFonts w:asciiTheme="minorHAnsi" w:hAnsiTheme="minorHAnsi"/>
          <w:sz w:val="22"/>
        </w:rPr>
        <w:t xml:space="preserve"> other electronic modes.  </w:t>
      </w:r>
      <w:r w:rsidR="00F20FA1" w:rsidRPr="005036F0">
        <w:rPr>
          <w:rFonts w:asciiTheme="minorHAnsi" w:hAnsiTheme="minorHAnsi"/>
          <w:sz w:val="22"/>
        </w:rPr>
        <w:t>For example, several larger companies with multiple outlets in the sample can send data directly to EIA via email in an Excel spreadsheet or other table format.  This saves time for the personnel at each of the individual outlets. </w:t>
      </w:r>
    </w:p>
    <w:p w:rsidR="00FE6159" w:rsidRPr="005036F0" w:rsidRDefault="005036F0" w:rsidP="005036F0">
      <w:pPr>
        <w:pStyle w:val="ListParagraph"/>
        <w:numPr>
          <w:ilvl w:val="0"/>
          <w:numId w:val="35"/>
        </w:numPr>
        <w:spacing w:line="360" w:lineRule="auto"/>
        <w:rPr>
          <w:rFonts w:asciiTheme="minorHAnsi" w:hAnsiTheme="minorHAnsi"/>
          <w:sz w:val="22"/>
        </w:rPr>
      </w:pPr>
      <w:r w:rsidRPr="005036F0">
        <w:rPr>
          <w:rFonts w:asciiTheme="minorHAnsi" w:hAnsiTheme="minorHAnsi"/>
          <w:sz w:val="22"/>
        </w:rPr>
        <w:t>T</w:t>
      </w:r>
      <w:r w:rsidR="00FE6159" w:rsidRPr="005036F0">
        <w:rPr>
          <w:rFonts w:asciiTheme="minorHAnsi" w:hAnsiTheme="minorHAnsi"/>
          <w:sz w:val="22"/>
        </w:rPr>
        <w:t>he EIA-878 and EIA-888 utilize computer-assisted telephone interviewing (CATI), facsimile, email, and manual retrieval of data from company websites as modes of collecting data.  In addition to these current modes of data collection, EIA plans to offer respondents the capability of submitting their data via Interactive Voice Response (IVR) and web survey.</w:t>
      </w:r>
    </w:p>
    <w:p w:rsidR="007409DC" w:rsidRPr="004C2713" w:rsidRDefault="007409DC" w:rsidP="004C2713">
      <w:pPr>
        <w:spacing w:line="360" w:lineRule="auto"/>
        <w:rPr>
          <w:rFonts w:asciiTheme="minorHAnsi" w:hAnsiTheme="minorHAnsi"/>
          <w:color w:val="FF0000"/>
          <w:sz w:val="22"/>
        </w:rPr>
      </w:pPr>
    </w:p>
    <w:p w:rsidR="007409DC" w:rsidRPr="004C2713" w:rsidRDefault="007409DC" w:rsidP="004C2713">
      <w:pPr>
        <w:spacing w:line="360" w:lineRule="auto"/>
        <w:rPr>
          <w:rFonts w:asciiTheme="minorHAnsi" w:hAnsiTheme="minorHAnsi"/>
          <w:sz w:val="22"/>
        </w:rPr>
      </w:pPr>
      <w:r w:rsidRPr="004C2713">
        <w:rPr>
          <w:rFonts w:asciiTheme="minorHAnsi" w:hAnsiTheme="minorHAnsi"/>
          <w:sz w:val="22"/>
        </w:rPr>
        <w:t>The remaining surveys in</w:t>
      </w:r>
      <w:r w:rsidR="00322217" w:rsidRPr="004C2713">
        <w:rPr>
          <w:rFonts w:asciiTheme="minorHAnsi" w:hAnsiTheme="minorHAnsi"/>
          <w:sz w:val="22"/>
        </w:rPr>
        <w:t xml:space="preserve"> the PMP</w:t>
      </w:r>
      <w:r w:rsidRPr="004C2713">
        <w:rPr>
          <w:rFonts w:asciiTheme="minorHAnsi" w:hAnsiTheme="minorHAnsi"/>
          <w:sz w:val="22"/>
        </w:rPr>
        <w:t xml:space="preserve"> are conducted via paper and electronic modes. Respondents submit data via secure file transfer, facsimile, email, and electronic modes.  EIA accepts electronic records from respondents provided such reports are prepared and transmitted to EIA in the same format as the data collection form.  </w:t>
      </w:r>
    </w:p>
    <w:p w:rsidR="00E2556A" w:rsidRPr="003C5824" w:rsidRDefault="00E2556A" w:rsidP="00D20878">
      <w:pPr>
        <w:pStyle w:val="Heading1"/>
      </w:pPr>
      <w:r w:rsidRPr="003C5824">
        <w:t>A.4. Efforts to Reduce Duplication</w:t>
      </w:r>
      <w:bookmarkEnd w:id="10"/>
      <w:bookmarkEnd w:id="11"/>
      <w:bookmarkEnd w:id="12"/>
      <w:bookmarkEnd w:id="13"/>
      <w:bookmarkEnd w:id="14"/>
      <w:r w:rsidRPr="003C5824">
        <w:t xml:space="preserve"> </w:t>
      </w:r>
    </w:p>
    <w:p w:rsidR="003C5824" w:rsidRDefault="003C5824" w:rsidP="003C5824">
      <w:pPr>
        <w:jc w:val="both"/>
      </w:pPr>
    </w:p>
    <w:p w:rsidR="003C5824" w:rsidRPr="004C2713" w:rsidRDefault="003C5824" w:rsidP="004C2713">
      <w:pPr>
        <w:spacing w:line="360" w:lineRule="auto"/>
        <w:jc w:val="both"/>
        <w:rPr>
          <w:rFonts w:asciiTheme="minorHAnsi" w:hAnsiTheme="minorHAnsi"/>
          <w:sz w:val="22"/>
        </w:rPr>
      </w:pPr>
      <w:r w:rsidRPr="004C2713">
        <w:rPr>
          <w:rFonts w:asciiTheme="minorHAnsi" w:hAnsiTheme="minorHAnsi"/>
          <w:sz w:val="22"/>
        </w:rPr>
        <w:t>EIA has conducted extensive reviews to ensure its petroleum marketing</w:t>
      </w:r>
      <w:r w:rsidR="00AC42F3" w:rsidRPr="004C2713">
        <w:rPr>
          <w:rFonts w:asciiTheme="minorHAnsi" w:hAnsiTheme="minorHAnsi"/>
          <w:sz w:val="22"/>
        </w:rPr>
        <w:t xml:space="preserve"> surveys do not duplicate data </w:t>
      </w:r>
      <w:r w:rsidRPr="004C2713">
        <w:rPr>
          <w:rFonts w:asciiTheme="minorHAnsi" w:hAnsiTheme="minorHAnsi"/>
          <w:sz w:val="22"/>
        </w:rPr>
        <w:t>available</w:t>
      </w:r>
      <w:r w:rsidR="00AC42F3" w:rsidRPr="004C2713">
        <w:rPr>
          <w:rFonts w:asciiTheme="minorHAnsi" w:hAnsiTheme="minorHAnsi"/>
          <w:sz w:val="22"/>
        </w:rPr>
        <w:t xml:space="preserve"> from other sources</w:t>
      </w:r>
      <w:r w:rsidRPr="004C2713">
        <w:rPr>
          <w:rFonts w:asciiTheme="minorHAnsi" w:hAnsiTheme="minorHAnsi"/>
          <w:sz w:val="22"/>
        </w:rPr>
        <w:t xml:space="preserve">.  In addition, EIA </w:t>
      </w:r>
      <w:r w:rsidR="00454EC0" w:rsidRPr="004C2713">
        <w:rPr>
          <w:rFonts w:asciiTheme="minorHAnsi" w:hAnsiTheme="minorHAnsi"/>
          <w:sz w:val="22"/>
        </w:rPr>
        <w:t xml:space="preserve">petroleum data </w:t>
      </w:r>
      <w:r w:rsidRPr="004C2713">
        <w:rPr>
          <w:rFonts w:asciiTheme="minorHAnsi" w:hAnsiTheme="minorHAnsi"/>
          <w:sz w:val="22"/>
        </w:rPr>
        <w:t xml:space="preserve">analysts </w:t>
      </w:r>
      <w:r w:rsidR="00454EC0" w:rsidRPr="004C2713">
        <w:rPr>
          <w:rFonts w:asciiTheme="minorHAnsi" w:hAnsiTheme="minorHAnsi"/>
          <w:sz w:val="22"/>
        </w:rPr>
        <w:t xml:space="preserve">with subject matter expertise </w:t>
      </w:r>
      <w:r w:rsidRPr="004C2713">
        <w:rPr>
          <w:rFonts w:asciiTheme="minorHAnsi" w:hAnsiTheme="minorHAnsi"/>
          <w:sz w:val="22"/>
        </w:rPr>
        <w:t xml:space="preserve">review these survey forms.  As changes are proposed to petroleum </w:t>
      </w:r>
      <w:r w:rsidR="00841EBF" w:rsidRPr="004C2713">
        <w:rPr>
          <w:rFonts w:asciiTheme="minorHAnsi" w:hAnsiTheme="minorHAnsi"/>
          <w:sz w:val="22"/>
        </w:rPr>
        <w:t xml:space="preserve">marketing </w:t>
      </w:r>
      <w:r w:rsidRPr="004C2713">
        <w:rPr>
          <w:rFonts w:asciiTheme="minorHAnsi" w:hAnsiTheme="minorHAnsi"/>
          <w:sz w:val="22"/>
        </w:rPr>
        <w:t>survey forms, EIA conducts extensive review processes to ensure the avoidance of the unnecessary collection of data</w:t>
      </w:r>
      <w:r w:rsidR="00AC42F3" w:rsidRPr="004C2713">
        <w:rPr>
          <w:rFonts w:asciiTheme="minorHAnsi" w:hAnsiTheme="minorHAnsi"/>
          <w:sz w:val="22"/>
        </w:rPr>
        <w:t>.</w:t>
      </w:r>
      <w:r w:rsidRPr="004C2713">
        <w:rPr>
          <w:rFonts w:asciiTheme="minorHAnsi" w:hAnsiTheme="minorHAnsi"/>
          <w:sz w:val="22"/>
        </w:rPr>
        <w:t xml:space="preserve">  </w:t>
      </w:r>
      <w:r w:rsidR="00AC42F3" w:rsidRPr="004C2713">
        <w:rPr>
          <w:rFonts w:asciiTheme="minorHAnsi" w:hAnsiTheme="minorHAnsi"/>
          <w:sz w:val="22"/>
        </w:rPr>
        <w:t>Numerous</w:t>
      </w:r>
      <w:r w:rsidRPr="004C2713">
        <w:rPr>
          <w:rFonts w:asciiTheme="minorHAnsi" w:hAnsiTheme="minorHAnsi"/>
          <w:sz w:val="22"/>
        </w:rPr>
        <w:t xml:space="preserve"> effort</w:t>
      </w:r>
      <w:r w:rsidR="00AC42F3" w:rsidRPr="004C2713">
        <w:rPr>
          <w:rFonts w:asciiTheme="minorHAnsi" w:hAnsiTheme="minorHAnsi"/>
          <w:sz w:val="22"/>
        </w:rPr>
        <w:t>s have</w:t>
      </w:r>
      <w:r w:rsidRPr="004C2713">
        <w:rPr>
          <w:rFonts w:asciiTheme="minorHAnsi" w:hAnsiTheme="minorHAnsi"/>
          <w:sz w:val="22"/>
        </w:rPr>
        <w:t xml:space="preserve"> been made to identify, through discussions with trade associations, private companies, and other government offices, potential duplication of data, data that is no longer necessary, or data that can be collected more efficiently by another survey.   </w:t>
      </w:r>
    </w:p>
    <w:p w:rsidR="003C5824" w:rsidRPr="004C2713" w:rsidRDefault="003C5824" w:rsidP="004C2713">
      <w:pPr>
        <w:spacing w:line="360" w:lineRule="auto"/>
        <w:jc w:val="both"/>
        <w:rPr>
          <w:rFonts w:asciiTheme="minorHAnsi" w:hAnsiTheme="minorHAnsi"/>
          <w:sz w:val="22"/>
        </w:rPr>
      </w:pPr>
    </w:p>
    <w:p w:rsidR="003C5824" w:rsidRPr="00494925" w:rsidRDefault="003C5824" w:rsidP="00494925">
      <w:pPr>
        <w:spacing w:line="360" w:lineRule="auto"/>
        <w:jc w:val="both"/>
        <w:rPr>
          <w:rFonts w:asciiTheme="minorHAnsi" w:hAnsiTheme="minorHAnsi"/>
          <w:sz w:val="22"/>
        </w:rPr>
      </w:pPr>
      <w:r w:rsidRPr="004C2713">
        <w:rPr>
          <w:rFonts w:asciiTheme="minorHAnsi" w:hAnsiTheme="minorHAnsi"/>
          <w:sz w:val="22"/>
        </w:rPr>
        <w:t xml:space="preserve">EIA </w:t>
      </w:r>
      <w:r w:rsidR="003E1695" w:rsidRPr="004C2713">
        <w:rPr>
          <w:rFonts w:asciiTheme="minorHAnsi" w:hAnsiTheme="minorHAnsi"/>
          <w:sz w:val="22"/>
        </w:rPr>
        <w:t xml:space="preserve">reviewed </w:t>
      </w:r>
      <w:r w:rsidRPr="004C2713">
        <w:rPr>
          <w:rFonts w:asciiTheme="minorHAnsi" w:hAnsiTheme="minorHAnsi"/>
          <w:sz w:val="22"/>
        </w:rPr>
        <w:t>known sources of data relating to petroleum marketing and found no other sources to be comprehensive or detailed</w:t>
      </w:r>
      <w:r w:rsidR="00454EC0" w:rsidRPr="004C2713">
        <w:rPr>
          <w:rFonts w:asciiTheme="minorHAnsi" w:hAnsiTheme="minorHAnsi"/>
          <w:sz w:val="22"/>
        </w:rPr>
        <w:t xml:space="preserve"> enough</w:t>
      </w:r>
      <w:r w:rsidRPr="004C2713">
        <w:rPr>
          <w:rFonts w:asciiTheme="minorHAnsi" w:hAnsiTheme="minorHAnsi"/>
          <w:sz w:val="22"/>
        </w:rPr>
        <w:t xml:space="preserve"> to replace the data collections currently utilized by the Federal government.  </w:t>
      </w:r>
      <w:r w:rsidR="00454EC0" w:rsidRPr="004C2713">
        <w:rPr>
          <w:rFonts w:asciiTheme="minorHAnsi" w:hAnsiTheme="minorHAnsi"/>
          <w:sz w:val="22"/>
        </w:rPr>
        <w:t xml:space="preserve">EIA </w:t>
      </w:r>
      <w:r w:rsidRPr="004C2713">
        <w:rPr>
          <w:rFonts w:asciiTheme="minorHAnsi" w:hAnsiTheme="minorHAnsi"/>
          <w:sz w:val="22"/>
        </w:rPr>
        <w:t>determined that other sources are not sufficient to replace or approximate the information collected because of differences in classification, or due to the lack of universe estimation procedures.</w:t>
      </w:r>
    </w:p>
    <w:p w:rsidR="00E2556A" w:rsidRPr="00200DD6" w:rsidRDefault="00E2556A" w:rsidP="00D20878">
      <w:pPr>
        <w:pStyle w:val="Heading1"/>
        <w:rPr>
          <w:color w:val="FF0000"/>
        </w:rPr>
      </w:pPr>
      <w:bookmarkStart w:id="15" w:name="_Toc524334492"/>
      <w:bookmarkStart w:id="16" w:name="_Toc524334574"/>
      <w:bookmarkStart w:id="17" w:name="_Toc524334722"/>
      <w:bookmarkStart w:id="18" w:name="_Toc524334915"/>
      <w:bookmarkStart w:id="19" w:name="_Toc81279298"/>
      <w:r w:rsidRPr="00540778">
        <w:lastRenderedPageBreak/>
        <w:t>A.4.1. Analysis of Similar Existing Informatio</w:t>
      </w:r>
      <w:bookmarkEnd w:id="15"/>
      <w:bookmarkEnd w:id="16"/>
      <w:bookmarkEnd w:id="17"/>
      <w:bookmarkEnd w:id="18"/>
      <w:bookmarkEnd w:id="19"/>
      <w:r w:rsidR="00C60826" w:rsidRPr="00540778">
        <w:t>n</w:t>
      </w:r>
      <w:r w:rsidR="00200DD6">
        <w:t xml:space="preserve"> </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rPr>
          <w:rFonts w:asciiTheme="minorHAnsi" w:hAnsiTheme="minorHAnsi"/>
          <w:b/>
          <w:bCs/>
          <w:color w:val="FF0000"/>
          <w:sz w:val="22"/>
        </w:rPr>
      </w:pPr>
    </w:p>
    <w:p w:rsidR="00E2556A" w:rsidRPr="004C2713" w:rsidRDefault="00E2556A"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4C2713">
        <w:rPr>
          <w:rFonts w:asciiTheme="minorHAnsi" w:hAnsiTheme="minorHAnsi"/>
          <w:sz w:val="22"/>
        </w:rPr>
        <w:t>EIA evaluated all known sources of data relating to the petroleum marketing industry and has found no other source as comprehensive, timely, or detailed, to replace these proposed EIA data collection</w:t>
      </w:r>
      <w:r w:rsidR="00734A74">
        <w:rPr>
          <w:rFonts w:asciiTheme="minorHAnsi" w:hAnsiTheme="minorHAnsi"/>
          <w:sz w:val="22"/>
        </w:rPr>
        <w:t xml:space="preserve"> activities</w:t>
      </w:r>
      <w:r w:rsidRPr="004C2713">
        <w:rPr>
          <w:rFonts w:asciiTheme="minorHAnsi" w:hAnsiTheme="minorHAnsi"/>
          <w:sz w:val="22"/>
        </w:rPr>
        <w:t xml:space="preserve">.  EIA has determined that other sources cannot replace or even approximate the information proposed for collection here because of differences in classification, inconsistency, incompleteness, unavailability, or lack of universal coverage.  </w:t>
      </w:r>
      <w:r w:rsidR="00454EC0" w:rsidRPr="004C2713">
        <w:rPr>
          <w:rFonts w:asciiTheme="minorHAnsi" w:hAnsiTheme="minorHAnsi"/>
          <w:sz w:val="22"/>
        </w:rPr>
        <w:t>S</w:t>
      </w:r>
      <w:r w:rsidRPr="004C2713">
        <w:rPr>
          <w:rFonts w:asciiTheme="minorHAnsi" w:hAnsiTheme="minorHAnsi"/>
          <w:sz w:val="22"/>
        </w:rPr>
        <w:t xml:space="preserve">ome of the EIA data collections complement, rather than duplicate, other Federal agency data collections.  These efforts taken together capture the entire </w:t>
      </w:r>
      <w:r w:rsidR="00454EC0" w:rsidRPr="004C2713">
        <w:rPr>
          <w:rFonts w:asciiTheme="minorHAnsi" w:hAnsiTheme="minorHAnsi"/>
          <w:sz w:val="22"/>
        </w:rPr>
        <w:t>petroleum marketing</w:t>
      </w:r>
      <w:r w:rsidRPr="004C2713">
        <w:rPr>
          <w:rFonts w:asciiTheme="minorHAnsi" w:hAnsiTheme="minorHAnsi"/>
          <w:sz w:val="22"/>
        </w:rPr>
        <w:t xml:space="preserve"> industry and keep the burden on industry to a minimum.</w:t>
      </w:r>
    </w:p>
    <w:p w:rsidR="003852F1" w:rsidRPr="004C2713"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p>
    <w:p w:rsidR="003852F1" w:rsidRPr="00667C26" w:rsidRDefault="003852F1" w:rsidP="004C27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rPr>
      </w:pPr>
      <w:r w:rsidRPr="00667C26">
        <w:rPr>
          <w:rFonts w:asciiTheme="minorHAnsi" w:hAnsiTheme="minorHAnsi"/>
          <w:sz w:val="22"/>
        </w:rPr>
        <w:t xml:space="preserve">The Petroleum Marketing Data Collection Diagram </w:t>
      </w:r>
      <w:r w:rsidR="00734A74">
        <w:rPr>
          <w:rFonts w:asciiTheme="minorHAnsi" w:hAnsiTheme="minorHAnsi"/>
          <w:sz w:val="22"/>
        </w:rPr>
        <w:t xml:space="preserve">(on p.3) </w:t>
      </w:r>
      <w:r w:rsidRPr="00667C26">
        <w:rPr>
          <w:rFonts w:asciiTheme="minorHAnsi" w:hAnsiTheme="minorHAnsi"/>
          <w:sz w:val="22"/>
        </w:rPr>
        <w:t xml:space="preserve">indicates the relationship among the surveys in the program.  There are </w:t>
      </w:r>
      <w:r w:rsidR="00667C26">
        <w:rPr>
          <w:rFonts w:asciiTheme="minorHAnsi" w:hAnsiTheme="minorHAnsi"/>
          <w:sz w:val="22"/>
        </w:rPr>
        <w:t>three</w:t>
      </w:r>
      <w:r w:rsidRPr="00667C26">
        <w:rPr>
          <w:rFonts w:asciiTheme="minorHAnsi" w:hAnsiTheme="minorHAnsi"/>
          <w:sz w:val="22"/>
        </w:rPr>
        <w:t xml:space="preserve"> weekly surveys,</w:t>
      </w:r>
      <w:r w:rsidR="00667C26">
        <w:rPr>
          <w:rFonts w:asciiTheme="minorHAnsi" w:hAnsiTheme="minorHAnsi"/>
          <w:sz w:val="22"/>
        </w:rPr>
        <w:t xml:space="preserve"> five monthly surveys, one annual survey and one </w:t>
      </w:r>
      <w:r w:rsidRPr="00667C26">
        <w:rPr>
          <w:rFonts w:asciiTheme="minorHAnsi" w:hAnsiTheme="minorHAnsi"/>
          <w:sz w:val="22"/>
        </w:rPr>
        <w:t>quadrennial survey. The three weekly surveys collect differe</w:t>
      </w:r>
      <w:r w:rsidR="00523490" w:rsidRPr="00667C26">
        <w:rPr>
          <w:rFonts w:asciiTheme="minorHAnsi" w:hAnsiTheme="minorHAnsi"/>
          <w:sz w:val="22"/>
        </w:rPr>
        <w:t xml:space="preserve">nt petroleum products – the </w:t>
      </w:r>
      <w:r w:rsidRPr="00667C26">
        <w:rPr>
          <w:rFonts w:asciiTheme="minorHAnsi" w:hAnsiTheme="minorHAnsi"/>
          <w:sz w:val="22"/>
        </w:rPr>
        <w:t>EIA-877</w:t>
      </w:r>
      <w:r w:rsidR="00523490" w:rsidRPr="00667C26">
        <w:rPr>
          <w:rFonts w:asciiTheme="minorHAnsi" w:hAnsiTheme="minorHAnsi"/>
          <w:sz w:val="22"/>
        </w:rPr>
        <w:t xml:space="preserve">, the </w:t>
      </w:r>
      <w:r w:rsidRPr="00667C26">
        <w:rPr>
          <w:rFonts w:asciiTheme="minorHAnsi" w:hAnsiTheme="minorHAnsi"/>
          <w:sz w:val="22"/>
        </w:rPr>
        <w:t>EIA-878</w:t>
      </w:r>
      <w:r w:rsidR="00523490" w:rsidRPr="00667C26">
        <w:rPr>
          <w:rFonts w:asciiTheme="minorHAnsi" w:hAnsiTheme="minorHAnsi"/>
          <w:sz w:val="22"/>
        </w:rPr>
        <w:t xml:space="preserve">, and the </w:t>
      </w:r>
      <w:r w:rsidRPr="00667C26">
        <w:rPr>
          <w:rFonts w:asciiTheme="minorHAnsi" w:hAnsiTheme="minorHAnsi"/>
          <w:sz w:val="22"/>
        </w:rPr>
        <w:t>EIA-888</w:t>
      </w:r>
      <w:r w:rsidR="00523490" w:rsidRPr="00667C26">
        <w:rPr>
          <w:rFonts w:asciiTheme="minorHAnsi" w:hAnsiTheme="minorHAnsi"/>
          <w:sz w:val="22"/>
        </w:rPr>
        <w:t>.</w:t>
      </w:r>
    </w:p>
    <w:p w:rsidR="00E2556A" w:rsidRPr="004C2713" w:rsidRDefault="00E2556A"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3852F1" w:rsidRPr="00B54FDB" w:rsidRDefault="003852F1"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B54FDB">
        <w:rPr>
          <w:rFonts w:asciiTheme="minorHAnsi" w:hAnsiTheme="minorHAnsi"/>
          <w:sz w:val="22"/>
        </w:rPr>
        <w:t>The following monthly surveys are used to monitor crude oil and refined products from the we</w:t>
      </w:r>
      <w:r w:rsidR="00523490" w:rsidRPr="00B54FDB">
        <w:rPr>
          <w:rFonts w:asciiTheme="minorHAnsi" w:hAnsiTheme="minorHAnsi"/>
          <w:sz w:val="22"/>
        </w:rPr>
        <w:t xml:space="preserve">llhead to ultimate consumption – the </w:t>
      </w:r>
      <w:r w:rsidRPr="00B54FDB">
        <w:rPr>
          <w:rFonts w:asciiTheme="minorHAnsi" w:hAnsiTheme="minorHAnsi"/>
          <w:sz w:val="22"/>
        </w:rPr>
        <w:t>EIA-182 collects wellhead data</w:t>
      </w:r>
      <w:r w:rsidR="00523490" w:rsidRPr="00B54FDB">
        <w:rPr>
          <w:rFonts w:asciiTheme="minorHAnsi" w:hAnsiTheme="minorHAnsi"/>
          <w:sz w:val="22"/>
        </w:rPr>
        <w:t xml:space="preserve">; the </w:t>
      </w:r>
      <w:r w:rsidRPr="00B54FDB">
        <w:rPr>
          <w:rFonts w:asciiTheme="minorHAnsi" w:hAnsiTheme="minorHAnsi"/>
          <w:sz w:val="22"/>
        </w:rPr>
        <w:t xml:space="preserve">EIA-856 </w:t>
      </w:r>
      <w:r w:rsidR="00523490" w:rsidRPr="00B54FDB">
        <w:rPr>
          <w:rFonts w:asciiTheme="minorHAnsi" w:hAnsiTheme="minorHAnsi"/>
          <w:sz w:val="22"/>
        </w:rPr>
        <w:t xml:space="preserve">collects crude oil imports data; the </w:t>
      </w:r>
      <w:r w:rsidRPr="00B54FDB">
        <w:rPr>
          <w:rFonts w:asciiTheme="minorHAnsi" w:hAnsiTheme="minorHAnsi"/>
          <w:sz w:val="22"/>
        </w:rPr>
        <w:t>EIA-14 collects data on crude oil as it enters the refinery stage</w:t>
      </w:r>
      <w:r w:rsidR="00523490" w:rsidRPr="00B54FDB">
        <w:rPr>
          <w:rFonts w:asciiTheme="minorHAnsi" w:hAnsiTheme="minorHAnsi"/>
          <w:sz w:val="22"/>
        </w:rPr>
        <w:t xml:space="preserve">; the </w:t>
      </w:r>
      <w:r w:rsidRPr="00B54FDB">
        <w:rPr>
          <w:rFonts w:asciiTheme="minorHAnsi" w:hAnsiTheme="minorHAnsi"/>
          <w:sz w:val="22"/>
        </w:rPr>
        <w:t>EIA-782A collects data on the sales of the finished products</w:t>
      </w:r>
      <w:r w:rsidR="00523490" w:rsidRPr="00B54FDB">
        <w:rPr>
          <w:rFonts w:asciiTheme="minorHAnsi" w:hAnsiTheme="minorHAnsi"/>
          <w:sz w:val="22"/>
        </w:rPr>
        <w:t xml:space="preserve">; and </w:t>
      </w:r>
      <w:r w:rsidR="00734A74">
        <w:rPr>
          <w:rFonts w:asciiTheme="minorHAnsi" w:hAnsiTheme="minorHAnsi"/>
          <w:sz w:val="22"/>
        </w:rPr>
        <w:t xml:space="preserve">the </w:t>
      </w:r>
      <w:r w:rsidRPr="00B54FDB">
        <w:rPr>
          <w:rFonts w:asciiTheme="minorHAnsi" w:hAnsiTheme="minorHAnsi"/>
          <w:sz w:val="22"/>
        </w:rPr>
        <w:t xml:space="preserve">EIA-782C collects data on </w:t>
      </w:r>
      <w:r w:rsidR="00B222CA">
        <w:rPr>
          <w:rFonts w:asciiTheme="minorHAnsi" w:hAnsiTheme="minorHAnsi"/>
          <w:sz w:val="22"/>
        </w:rPr>
        <w:t>the volume o</w:t>
      </w:r>
      <w:r w:rsidRPr="00B54FDB">
        <w:rPr>
          <w:rFonts w:asciiTheme="minorHAnsi" w:hAnsiTheme="minorHAnsi"/>
          <w:sz w:val="22"/>
        </w:rPr>
        <w:t xml:space="preserve">f the </w:t>
      </w:r>
      <w:r w:rsidR="00B222CA">
        <w:rPr>
          <w:rFonts w:asciiTheme="minorHAnsi" w:hAnsiTheme="minorHAnsi"/>
          <w:sz w:val="22"/>
        </w:rPr>
        <w:t xml:space="preserve">delivered </w:t>
      </w:r>
      <w:r w:rsidRPr="00B54FDB">
        <w:rPr>
          <w:rFonts w:asciiTheme="minorHAnsi" w:hAnsiTheme="minorHAnsi"/>
          <w:sz w:val="22"/>
        </w:rPr>
        <w:t>finished products</w:t>
      </w:r>
      <w:r w:rsidR="00523490" w:rsidRPr="00B54FDB">
        <w:rPr>
          <w:rFonts w:asciiTheme="minorHAnsi" w:hAnsiTheme="minorHAnsi"/>
          <w:sz w:val="22"/>
        </w:rPr>
        <w:t>.</w:t>
      </w:r>
    </w:p>
    <w:p w:rsidR="003852F1" w:rsidRPr="00B54FDB" w:rsidRDefault="003852F1" w:rsidP="004C2713">
      <w:pPr>
        <w:pStyle w:val="z-TopofForm"/>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rPr>
          <w:rFonts w:asciiTheme="minorHAnsi" w:hAnsiTheme="minorHAnsi"/>
          <w:sz w:val="22"/>
          <w:szCs w:val="24"/>
        </w:rPr>
      </w:pPr>
    </w:p>
    <w:p w:rsidR="00DC3DB7" w:rsidRPr="00065520" w:rsidRDefault="00E2556A" w:rsidP="00065520">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The following are explanations regarding the collection of similar data and the reasons why these similarities are not duplicative collections.</w:t>
      </w:r>
      <w:r w:rsidR="004E4B5F" w:rsidRPr="004C2713">
        <w:rPr>
          <w:rFonts w:asciiTheme="minorHAnsi" w:hAnsiTheme="minorHAnsi"/>
          <w:sz w:val="22"/>
        </w:rPr>
        <w:t xml:space="preserve"> This includes comparison across </w:t>
      </w:r>
      <w:r w:rsidR="00322217" w:rsidRPr="004C2713">
        <w:rPr>
          <w:rFonts w:asciiTheme="minorHAnsi" w:hAnsiTheme="minorHAnsi"/>
          <w:sz w:val="22"/>
        </w:rPr>
        <w:t xml:space="preserve">petroleum marketing </w:t>
      </w:r>
      <w:r w:rsidR="004E4B5F" w:rsidRPr="004C2713">
        <w:rPr>
          <w:rFonts w:asciiTheme="minorHAnsi" w:hAnsiTheme="minorHAnsi"/>
          <w:sz w:val="22"/>
        </w:rPr>
        <w:t xml:space="preserve">surveys </w:t>
      </w:r>
      <w:r w:rsidR="005E5FA3" w:rsidRPr="004C2713">
        <w:rPr>
          <w:rFonts w:asciiTheme="minorHAnsi" w:hAnsiTheme="minorHAnsi"/>
          <w:sz w:val="22"/>
        </w:rPr>
        <w:t>for the (a) monthly crude oil surveys</w:t>
      </w:r>
      <w:r w:rsidR="00016464" w:rsidRPr="004C2713">
        <w:rPr>
          <w:rFonts w:asciiTheme="minorHAnsi" w:hAnsiTheme="minorHAnsi"/>
          <w:sz w:val="22"/>
        </w:rPr>
        <w:t xml:space="preserve">; </w:t>
      </w:r>
      <w:r w:rsidR="005E5FA3" w:rsidRPr="004C2713">
        <w:rPr>
          <w:rFonts w:asciiTheme="minorHAnsi" w:hAnsiTheme="minorHAnsi"/>
          <w:sz w:val="22"/>
        </w:rPr>
        <w:t>(b) monthly petroleum products surveys</w:t>
      </w:r>
      <w:r w:rsidR="00016464" w:rsidRPr="004C2713">
        <w:rPr>
          <w:rFonts w:asciiTheme="minorHAnsi" w:hAnsiTheme="minorHAnsi"/>
          <w:sz w:val="22"/>
        </w:rPr>
        <w:t>;</w:t>
      </w:r>
      <w:r w:rsidR="005E5FA3" w:rsidRPr="004C2713">
        <w:rPr>
          <w:rFonts w:asciiTheme="minorHAnsi" w:hAnsiTheme="minorHAnsi"/>
          <w:sz w:val="22"/>
        </w:rPr>
        <w:t xml:space="preserve"> (c) the monthly petroleum product surveys with the annual fuel oil and kerosene survey</w:t>
      </w:r>
      <w:r w:rsidR="00016464" w:rsidRPr="004C2713">
        <w:rPr>
          <w:rFonts w:asciiTheme="minorHAnsi" w:hAnsiTheme="minorHAnsi"/>
          <w:sz w:val="22"/>
        </w:rPr>
        <w:t>;</w:t>
      </w:r>
      <w:r w:rsidR="005E5FA3" w:rsidRPr="004C2713">
        <w:rPr>
          <w:rFonts w:asciiTheme="minorHAnsi" w:hAnsiTheme="minorHAnsi"/>
          <w:sz w:val="22"/>
        </w:rPr>
        <w:t xml:space="preserve"> and (d) weekly surveys.</w:t>
      </w:r>
    </w:p>
    <w:p w:rsidR="00734A74" w:rsidRDefault="00734A74">
      <w:pPr>
        <w:widowControl/>
        <w:autoSpaceDE/>
        <w:autoSpaceDN/>
        <w:adjustRightInd/>
        <w:rPr>
          <w:rFonts w:asciiTheme="majorHAnsi" w:eastAsiaTheme="majorEastAsia" w:hAnsiTheme="majorHAnsi" w:cstheme="majorBidi"/>
          <w:b/>
          <w:bCs/>
          <w:color w:val="365F91" w:themeColor="accent1" w:themeShade="BF"/>
          <w:sz w:val="28"/>
          <w:szCs w:val="28"/>
        </w:rPr>
      </w:pPr>
      <w:r>
        <w:br w:type="page"/>
      </w:r>
    </w:p>
    <w:p w:rsidR="00AB4581" w:rsidRPr="004C2713" w:rsidRDefault="00AC42F3" w:rsidP="003D725B">
      <w:pPr>
        <w:pStyle w:val="Heading1"/>
        <w:numPr>
          <w:ilvl w:val="0"/>
          <w:numId w:val="32"/>
        </w:numPr>
        <w:rPr>
          <w:caps/>
        </w:rPr>
      </w:pPr>
      <w:r w:rsidRPr="004C2713">
        <w:lastRenderedPageBreak/>
        <w:t>Monthly Crude Oil Surveys (EIA-</w:t>
      </w:r>
      <w:r w:rsidR="00AB4581" w:rsidRPr="004C2713">
        <w:rPr>
          <w:caps/>
        </w:rPr>
        <w:t xml:space="preserve">14, EIA-182 and EIA-856) </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B179B0" w:rsidRPr="002B6C1F" w:rsidRDefault="00AC42F3"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r w:rsidRPr="002B6C1F">
        <w:rPr>
          <w:rFonts w:asciiTheme="minorHAnsi" w:hAnsiTheme="minorHAnsi"/>
          <w:sz w:val="22"/>
          <w:szCs w:val="22"/>
        </w:rPr>
        <w:t>The EIA-14, EIA-182 and EIA-856 all collect data on crude oil</w:t>
      </w:r>
      <w:r w:rsidR="003852F1" w:rsidRPr="002B6C1F">
        <w:rPr>
          <w:rFonts w:asciiTheme="minorHAnsi" w:hAnsiTheme="minorHAnsi"/>
          <w:sz w:val="22"/>
          <w:szCs w:val="22"/>
        </w:rPr>
        <w:t xml:space="preserve"> yet do not duplicate efforts.  The EIA-182 collects domestic wellhead price</w:t>
      </w:r>
      <w:r w:rsidR="005A6EE0" w:rsidRPr="002B6C1F">
        <w:rPr>
          <w:rFonts w:asciiTheme="minorHAnsi" w:hAnsiTheme="minorHAnsi"/>
          <w:sz w:val="22"/>
          <w:szCs w:val="22"/>
        </w:rPr>
        <w:t>s</w:t>
      </w:r>
      <w:r w:rsidR="00DA47DE" w:rsidRPr="002B6C1F">
        <w:rPr>
          <w:rFonts w:asciiTheme="minorHAnsi" w:hAnsiTheme="minorHAnsi"/>
          <w:sz w:val="22"/>
          <w:szCs w:val="22"/>
        </w:rPr>
        <w:t>, the EIA-856</w:t>
      </w:r>
      <w:r w:rsidR="003852F1" w:rsidRPr="002B6C1F">
        <w:rPr>
          <w:rFonts w:asciiTheme="minorHAnsi" w:hAnsiTheme="minorHAnsi"/>
          <w:sz w:val="22"/>
          <w:szCs w:val="22"/>
        </w:rPr>
        <w:t xml:space="preserve"> collects foreign c</w:t>
      </w:r>
      <w:r w:rsidR="00DA47DE" w:rsidRPr="002B6C1F">
        <w:rPr>
          <w:rFonts w:asciiTheme="minorHAnsi" w:hAnsiTheme="minorHAnsi"/>
          <w:sz w:val="22"/>
          <w:szCs w:val="22"/>
        </w:rPr>
        <w:t>rude oil prices, and the EIA-14</w:t>
      </w:r>
      <w:r w:rsidR="003852F1" w:rsidRPr="002B6C1F">
        <w:rPr>
          <w:rFonts w:asciiTheme="minorHAnsi" w:hAnsiTheme="minorHAnsi"/>
          <w:sz w:val="22"/>
          <w:szCs w:val="22"/>
        </w:rPr>
        <w:t xml:space="preserve"> collects </w:t>
      </w:r>
      <w:r w:rsidR="00083D5A" w:rsidRPr="002B6C1F">
        <w:rPr>
          <w:rFonts w:asciiTheme="minorHAnsi" w:hAnsiTheme="minorHAnsi"/>
          <w:sz w:val="22"/>
          <w:szCs w:val="22"/>
        </w:rPr>
        <w:t>the average price domestic and imported crude oil</w:t>
      </w:r>
      <w:r w:rsidR="00DA47DE" w:rsidRPr="002B6C1F">
        <w:rPr>
          <w:rFonts w:asciiTheme="minorHAnsi" w:hAnsiTheme="minorHAnsi"/>
          <w:sz w:val="22"/>
          <w:szCs w:val="22"/>
        </w:rPr>
        <w:t xml:space="preserve"> at the refinery gate</w:t>
      </w:r>
      <w:r w:rsidR="00083D5A" w:rsidRPr="002B6C1F">
        <w:rPr>
          <w:rFonts w:asciiTheme="minorHAnsi" w:hAnsiTheme="minorHAnsi"/>
          <w:sz w:val="22"/>
          <w:szCs w:val="22"/>
        </w:rPr>
        <w:t xml:space="preserve">. </w:t>
      </w:r>
    </w:p>
    <w:p w:rsidR="001A54DE" w:rsidRPr="004C2713" w:rsidRDefault="001A54D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E449E" w:rsidRPr="004C2713" w:rsidRDefault="004B3170"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w:t>
      </w:r>
      <w:r>
        <w:rPr>
          <w:rFonts w:asciiTheme="minorHAnsi" w:hAnsiTheme="minorHAnsi"/>
          <w:color w:val="000000"/>
          <w:sz w:val="22"/>
        </w:rPr>
        <w:t>EIA-182 i</w:t>
      </w:r>
      <w:r w:rsidRPr="004C2713">
        <w:rPr>
          <w:rFonts w:asciiTheme="minorHAnsi" w:hAnsiTheme="minorHAnsi"/>
          <w:color w:val="000000"/>
          <w:sz w:val="22"/>
        </w:rPr>
        <w:t xml:space="preserve">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Form EIA-856, “Monthly Foreign Crude Oil Acquisition Report” are used to represent the initial value of imported oil. </w:t>
      </w:r>
      <w:r w:rsidR="00083D5A">
        <w:rPr>
          <w:rFonts w:asciiTheme="minorHAnsi" w:hAnsiTheme="minorHAnsi"/>
          <w:color w:val="000000"/>
          <w:sz w:val="22"/>
        </w:rPr>
        <w:t xml:space="preserve">The </w:t>
      </w:r>
      <w:r w:rsidR="00CE449E" w:rsidRPr="004C2713">
        <w:rPr>
          <w:rFonts w:asciiTheme="minorHAnsi" w:hAnsiTheme="minorHAnsi"/>
          <w:color w:val="000000"/>
          <w:sz w:val="22"/>
        </w:rPr>
        <w:t>EIA-14</w:t>
      </w:r>
      <w:r w:rsidR="00BF084C" w:rsidRPr="004C2713">
        <w:rPr>
          <w:rFonts w:asciiTheme="minorHAnsi" w:hAnsiTheme="minorHAnsi"/>
          <w:color w:val="000000"/>
          <w:sz w:val="22"/>
        </w:rPr>
        <w:t>, “Refiners’ Monthly Cost Report,”</w:t>
      </w:r>
      <w:r w:rsidR="00CE449E" w:rsidRPr="004C2713">
        <w:rPr>
          <w:rFonts w:asciiTheme="minorHAnsi" w:hAnsiTheme="minorHAnsi"/>
          <w:color w:val="000000"/>
          <w:sz w:val="22"/>
        </w:rPr>
        <w:t xml:space="preserve"> provides the only source of comprehensive, current </w:t>
      </w:r>
      <w:r w:rsidR="00CE449E" w:rsidRPr="004C2713">
        <w:rPr>
          <w:rFonts w:asciiTheme="minorHAnsi" w:hAnsiTheme="minorHAnsi"/>
          <w:color w:val="000000"/>
          <w:sz w:val="22"/>
        </w:rPr>
        <w:softHyphen/>
        <w:t>period-weighted costs</w:t>
      </w:r>
      <w:r w:rsidR="001A54DE">
        <w:rPr>
          <w:rFonts w:asciiTheme="minorHAnsi" w:hAnsiTheme="minorHAnsi"/>
          <w:color w:val="000000"/>
          <w:sz w:val="22"/>
        </w:rPr>
        <w:t xml:space="preserve"> </w:t>
      </w:r>
      <w:r w:rsidR="00CE449E" w:rsidRPr="004C2713">
        <w:rPr>
          <w:rFonts w:asciiTheme="minorHAnsi" w:hAnsiTheme="minorHAnsi"/>
          <w:color w:val="000000"/>
          <w:sz w:val="22"/>
        </w:rPr>
        <w:t xml:space="preserve"> of crude oil as it is booked into the refinery.  </w:t>
      </w:r>
      <w:r w:rsidR="00BF084C" w:rsidRPr="004C2713">
        <w:rPr>
          <w:rFonts w:asciiTheme="minorHAnsi" w:hAnsiTheme="minorHAnsi"/>
          <w:color w:val="000000"/>
          <w:sz w:val="22"/>
        </w:rPr>
        <w:t>Both the EIA-182 and the EIA-856 share a relationship with the EIA-14 data which includes cost</w:t>
      </w:r>
      <w:r w:rsidR="00734A74">
        <w:rPr>
          <w:rFonts w:asciiTheme="minorHAnsi" w:hAnsiTheme="minorHAnsi"/>
          <w:color w:val="000000"/>
          <w:sz w:val="22"/>
        </w:rPr>
        <w:t xml:space="preserve">s that accrue subsequent to the </w:t>
      </w:r>
      <w:r w:rsidR="00BF084C" w:rsidRPr="004C2713">
        <w:rPr>
          <w:rFonts w:asciiTheme="minorHAnsi" w:hAnsiTheme="minorHAnsi"/>
          <w:color w:val="000000"/>
          <w:sz w:val="22"/>
        </w:rPr>
        <w:t xml:space="preserve">first purchase </w:t>
      </w:r>
      <w:r w:rsidR="00BC791C" w:rsidRPr="004C2713">
        <w:rPr>
          <w:rFonts w:asciiTheme="minorHAnsi" w:hAnsiTheme="minorHAnsi"/>
          <w:color w:val="000000"/>
          <w:sz w:val="22"/>
        </w:rPr>
        <w:t xml:space="preserve">- </w:t>
      </w:r>
      <w:r w:rsidR="00CE449E" w:rsidRPr="004C2713">
        <w:rPr>
          <w:rFonts w:asciiTheme="minorHAnsi" w:hAnsiTheme="minorHAnsi"/>
          <w:color w:val="000000"/>
          <w:sz w:val="22"/>
        </w:rPr>
        <w:t>e.g., transportation, storage, resale markups and markdowns, et cetera.</w:t>
      </w:r>
    </w:p>
    <w:p w:rsidR="00CE449E" w:rsidRPr="004C2713" w:rsidRDefault="00CE449E"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p>
    <w:p w:rsidR="00CE449E" w:rsidRPr="004C2713" w:rsidRDefault="00B642F4" w:rsidP="004C2713">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left"/>
        <w:rPr>
          <w:rFonts w:asciiTheme="minorHAnsi" w:hAnsiTheme="minorHAnsi"/>
          <w:sz w:val="22"/>
        </w:rPr>
      </w:pPr>
      <w:r w:rsidRPr="004C2713">
        <w:rPr>
          <w:rFonts w:asciiTheme="minorHAnsi" w:hAnsiTheme="minorHAnsi"/>
          <w:sz w:val="22"/>
        </w:rPr>
        <w:t>Below is a comparison o</w:t>
      </w:r>
      <w:r w:rsidR="00B179B0" w:rsidRPr="004C2713">
        <w:rPr>
          <w:rFonts w:asciiTheme="minorHAnsi" w:hAnsiTheme="minorHAnsi"/>
          <w:sz w:val="22"/>
        </w:rPr>
        <w:t xml:space="preserve">f </w:t>
      </w:r>
      <w:r w:rsidR="00CE449E" w:rsidRPr="004C2713">
        <w:rPr>
          <w:rFonts w:asciiTheme="minorHAnsi" w:hAnsiTheme="minorHAnsi"/>
          <w:sz w:val="22"/>
        </w:rPr>
        <w:t xml:space="preserve">EIA-182 </w:t>
      </w:r>
      <w:r w:rsidR="00AC42F3" w:rsidRPr="004C2713">
        <w:rPr>
          <w:rFonts w:asciiTheme="minorHAnsi" w:hAnsiTheme="minorHAnsi"/>
          <w:sz w:val="22"/>
        </w:rPr>
        <w:t>wi</w:t>
      </w:r>
      <w:r w:rsidR="00B179B0" w:rsidRPr="004C2713">
        <w:rPr>
          <w:rFonts w:asciiTheme="minorHAnsi" w:hAnsiTheme="minorHAnsi"/>
          <w:sz w:val="22"/>
        </w:rPr>
        <w:t>th other data sources</w:t>
      </w:r>
      <w:r w:rsidR="00CE449E" w:rsidRPr="004C2713">
        <w:rPr>
          <w:rFonts w:asciiTheme="minorHAnsi" w:hAnsiTheme="minorHAnsi"/>
          <w:sz w:val="22"/>
        </w:rPr>
        <w:t>:</w:t>
      </w:r>
    </w:p>
    <w:p w:rsidR="00CE449E" w:rsidRPr="004C2713" w:rsidRDefault="00D73EE9" w:rsidP="00801FE7">
      <w:pPr>
        <w:pStyle w:val="Bullet"/>
      </w:pPr>
      <w:r w:rsidRPr="004C2713">
        <w:t>S</w:t>
      </w:r>
      <w:r w:rsidR="003934CE" w:rsidRPr="004C2713">
        <w:t>imilar statistics</w:t>
      </w:r>
      <w:r w:rsidRPr="004C2713">
        <w:t xml:space="preserve"> to those obtained from the EIA-182</w:t>
      </w:r>
      <w:r w:rsidR="00943533" w:rsidRPr="004C2713">
        <w:t xml:space="preserve"> are </w:t>
      </w:r>
      <w:r w:rsidR="003934CE" w:rsidRPr="004C2713">
        <w:t xml:space="preserve">published in </w:t>
      </w:r>
      <w:hyperlink r:id="rId165" w:history="1">
        <w:r w:rsidR="003934CE" w:rsidRPr="004C2713">
          <w:rPr>
            <w:rStyle w:val="Hyperlink"/>
            <w:i/>
            <w:iCs/>
          </w:rPr>
          <w:t>Platt’s Oilgram</w:t>
        </w:r>
      </w:hyperlink>
      <w:r w:rsidR="00943533" w:rsidRPr="004C2713">
        <w:rPr>
          <w:i/>
          <w:iCs/>
        </w:rPr>
        <w:t xml:space="preserve">, </w:t>
      </w:r>
      <w:r w:rsidR="00E20250" w:rsidRPr="004C2713">
        <w:rPr>
          <w:iCs/>
        </w:rPr>
        <w:t>and</w:t>
      </w:r>
      <w:r w:rsidR="00E20250" w:rsidRPr="004C2713">
        <w:rPr>
          <w:i/>
          <w:iCs/>
        </w:rPr>
        <w:t xml:space="preserve"> </w:t>
      </w:r>
      <w:hyperlink r:id="rId166" w:history="1">
        <w:r w:rsidR="003934CE" w:rsidRPr="004C2713">
          <w:rPr>
            <w:rStyle w:val="Hyperlink"/>
            <w:i/>
            <w:iCs/>
          </w:rPr>
          <w:t>Petroleum Intelligence Weekly</w:t>
        </w:r>
      </w:hyperlink>
      <w:r w:rsidR="00943533" w:rsidRPr="004C2713">
        <w:rPr>
          <w:i/>
          <w:iCs/>
        </w:rPr>
        <w:t>,</w:t>
      </w:r>
      <w:r w:rsidR="00943533" w:rsidRPr="004C2713">
        <w:t xml:space="preserve"> both of which f</w:t>
      </w:r>
      <w:r w:rsidR="003934CE" w:rsidRPr="004C2713">
        <w:t>ocus on what refiners and reseller</w:t>
      </w:r>
      <w:r w:rsidR="00CE449E" w:rsidRPr="004C2713">
        <w:t xml:space="preserve">s are asking publicly for crude, e.g. </w:t>
      </w:r>
      <w:r w:rsidR="003934CE" w:rsidRPr="004C2713">
        <w:t xml:space="preserve">posted prices and spot prices.  </w:t>
      </w:r>
      <w:r w:rsidR="00943533" w:rsidRPr="004C2713">
        <w:t>By comparison, t</w:t>
      </w:r>
      <w:r w:rsidR="003934CE" w:rsidRPr="004C2713">
        <w:t>hese publications do not provide data on sales of equity and non equity crude oil, nor information as to what the actual price and amount of oil is involved; in fact, no actual transactions may occur as posted prices.</w:t>
      </w:r>
    </w:p>
    <w:p w:rsidR="00CE449E" w:rsidRPr="004C2713" w:rsidRDefault="00943533" w:rsidP="00801FE7">
      <w:pPr>
        <w:pStyle w:val="Bullet"/>
      </w:pPr>
      <w:r w:rsidRPr="004C2713">
        <w:t>Similar statistics are published by BLS</w:t>
      </w:r>
      <w:r w:rsidR="003934CE" w:rsidRPr="004C2713">
        <w:t xml:space="preserve"> in </w:t>
      </w:r>
      <w:r w:rsidRPr="004C2713">
        <w:t>the</w:t>
      </w:r>
      <w:r w:rsidR="003934CE" w:rsidRPr="004C2713">
        <w:t xml:space="preserve"> </w:t>
      </w:r>
      <w:hyperlink r:id="rId167" w:history="1">
        <w:r w:rsidR="003934CE" w:rsidRPr="004C2713">
          <w:rPr>
            <w:rStyle w:val="Hyperlink"/>
          </w:rPr>
          <w:t>Producer Price Inde</w:t>
        </w:r>
        <w:r w:rsidR="00B642F4" w:rsidRPr="004C2713">
          <w:rPr>
            <w:rStyle w:val="Hyperlink"/>
          </w:rPr>
          <w:t>x (PPI)</w:t>
        </w:r>
      </w:hyperlink>
      <w:r w:rsidR="00B642F4" w:rsidRPr="004C2713">
        <w:t xml:space="preserve"> </w:t>
      </w:r>
      <w:r w:rsidRPr="004C2713">
        <w:t>as this</w:t>
      </w:r>
      <w:r w:rsidR="00C343BD" w:rsidRPr="004C2713">
        <w:t xml:space="preserve"> </w:t>
      </w:r>
      <w:r w:rsidR="003934CE" w:rsidRPr="004C2713">
        <w:t xml:space="preserve">calculates a price index for crude oil.  Their primary source of data is posted prices for domestic crude oil at the wellhead.  </w:t>
      </w:r>
      <w:r w:rsidRPr="004C2713">
        <w:t xml:space="preserve">By comparison BLS publishes a monthly </w:t>
      </w:r>
      <w:r w:rsidR="003934CE" w:rsidRPr="004C2713">
        <w:t xml:space="preserve">price index </w:t>
      </w:r>
      <w:r w:rsidRPr="004C2713">
        <w:t xml:space="preserve">whereas EIA publishes </w:t>
      </w:r>
      <w:r w:rsidR="003934CE" w:rsidRPr="004C2713">
        <w:t xml:space="preserve">average price.  </w:t>
      </w:r>
      <w:r w:rsidRPr="004C2713">
        <w:t xml:space="preserve">EIA </w:t>
      </w:r>
      <w:r w:rsidR="00B642F4" w:rsidRPr="004C2713">
        <w:t xml:space="preserve">also </w:t>
      </w:r>
      <w:r w:rsidRPr="004C2713">
        <w:t>publishes more disaggregated prices at the r</w:t>
      </w:r>
      <w:r w:rsidR="003934CE" w:rsidRPr="004C2713">
        <w:t xml:space="preserve">egional </w:t>
      </w:r>
      <w:r w:rsidRPr="004C2713">
        <w:t>and</w:t>
      </w:r>
      <w:r w:rsidR="003934CE" w:rsidRPr="004C2713">
        <w:t xml:space="preserve"> State-level.</w:t>
      </w:r>
    </w:p>
    <w:p w:rsidR="00CE449E" w:rsidRPr="004C2713" w:rsidRDefault="00943533" w:rsidP="00801FE7">
      <w:pPr>
        <w:pStyle w:val="Bullet"/>
      </w:pPr>
      <w:r w:rsidRPr="004C2713">
        <w:t>Similar volume data is collected on the</w:t>
      </w:r>
      <w:r w:rsidR="00EB5466" w:rsidRPr="004C2713">
        <w:t xml:space="preserve"> </w:t>
      </w:r>
      <w:hyperlink r:id="rId168" w:anchor="eia-23l" w:history="1">
        <w:r w:rsidR="00EB5466" w:rsidRPr="004C2713">
          <w:rPr>
            <w:rStyle w:val="Hyperlink"/>
            <w:color w:val="auto"/>
            <w:u w:val="none"/>
          </w:rPr>
          <w:t>EIA-23L, “Annual Survey of Domestic Oil and Gas Reserves (Field Version)”</w:t>
        </w:r>
      </w:hyperlink>
      <w:r w:rsidR="00EB5466" w:rsidRPr="004C2713">
        <w:t xml:space="preserve"> w</w:t>
      </w:r>
      <w:r w:rsidRPr="004C2713">
        <w:t xml:space="preserve">hich </w:t>
      </w:r>
      <w:r w:rsidR="003934CE" w:rsidRPr="004C2713">
        <w:t xml:space="preserve">collects data on the reserves </w:t>
      </w:r>
      <w:r w:rsidR="00111914" w:rsidRPr="004C2713">
        <w:t xml:space="preserve">and production </w:t>
      </w:r>
      <w:r w:rsidR="003934CE" w:rsidRPr="004C2713">
        <w:t xml:space="preserve">of crude oil, natural gas and natural gas liquids from well operators.  </w:t>
      </w:r>
      <w:r w:rsidRPr="004C2713">
        <w:t xml:space="preserve">By comparison, only the 182 collects </w:t>
      </w:r>
      <w:r w:rsidR="003934CE" w:rsidRPr="004C2713">
        <w:t xml:space="preserve">price data </w:t>
      </w:r>
      <w:r w:rsidRPr="004C2713">
        <w:t>associated with these volumes</w:t>
      </w:r>
      <w:r w:rsidR="003934CE" w:rsidRPr="004C2713">
        <w:t>.</w:t>
      </w:r>
    </w:p>
    <w:p w:rsidR="00065520" w:rsidRDefault="00065520" w:rsidP="00801FE7">
      <w:pPr>
        <w:pStyle w:val="Bullet"/>
      </w:pPr>
    </w:p>
    <w:p w:rsidR="00B179B0" w:rsidRPr="00421358" w:rsidRDefault="003934CE" w:rsidP="00801FE7">
      <w:pPr>
        <w:pStyle w:val="Bullet"/>
      </w:pPr>
      <w:r w:rsidRPr="00421358">
        <w:t>Annual collection of first purchase prices</w:t>
      </w:r>
      <w:r w:rsidR="00B642F4" w:rsidRPr="00421358">
        <w:t>, similar to th</w:t>
      </w:r>
      <w:r w:rsidR="00CE449E" w:rsidRPr="00421358">
        <w:t xml:space="preserve">e </w:t>
      </w:r>
      <w:r w:rsidR="00B642F4" w:rsidRPr="00421358">
        <w:t xml:space="preserve">monthly data </w:t>
      </w:r>
      <w:r w:rsidR="00CE449E" w:rsidRPr="00421358">
        <w:t>produced by the EIA-182,</w:t>
      </w:r>
      <w:r w:rsidRPr="00421358">
        <w:t xml:space="preserve"> would not be adequate given the widely fluctuating prices of crude oil in the current environment.</w:t>
      </w:r>
    </w:p>
    <w:p w:rsidR="00943533" w:rsidRPr="00421358" w:rsidRDefault="00943533" w:rsidP="00801FE7">
      <w:pPr>
        <w:pStyle w:val="Bullet"/>
      </w:pP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21358">
        <w:rPr>
          <w:rFonts w:asciiTheme="minorHAnsi" w:hAnsiTheme="minorHAnsi"/>
          <w:color w:val="000000"/>
          <w:sz w:val="22"/>
          <w:szCs w:val="22"/>
        </w:rPr>
        <w:lastRenderedPageBreak/>
        <w:t>The EIA</w:t>
      </w:r>
      <w:r w:rsidRPr="00421358">
        <w:rPr>
          <w:rFonts w:asciiTheme="minorHAnsi" w:hAnsiTheme="minorHAnsi"/>
          <w:color w:val="000000"/>
          <w:sz w:val="22"/>
          <w:szCs w:val="22"/>
        </w:rPr>
        <w:noBreakHyphen/>
        <w:t>856</w:t>
      </w:r>
      <w:r w:rsidR="00421358" w:rsidRPr="00421358">
        <w:rPr>
          <w:rFonts w:asciiTheme="minorHAnsi" w:hAnsiTheme="minorHAnsi"/>
          <w:color w:val="000000"/>
          <w:sz w:val="22"/>
          <w:szCs w:val="22"/>
        </w:rPr>
        <w:t xml:space="preserve">, </w:t>
      </w:r>
      <w:r w:rsidR="00421358" w:rsidRPr="00421358">
        <w:rPr>
          <w:rFonts w:asciiTheme="minorHAnsi" w:hAnsiTheme="minorHAnsi"/>
          <w:sz w:val="22"/>
          <w:szCs w:val="22"/>
        </w:rPr>
        <w:t>“Monthly Foreign Crude Oil Acquisition Report,”</w:t>
      </w:r>
      <w:r w:rsidRPr="00421358">
        <w:rPr>
          <w:rFonts w:asciiTheme="minorHAnsi" w:hAnsiTheme="minorHAnsi"/>
          <w:color w:val="000000"/>
          <w:sz w:val="22"/>
          <w:szCs w:val="22"/>
        </w:rPr>
        <w:t xml:space="preserve"> collects information on costs and quantities of imported crude oil.  There are no data collected by alternate forms that provide similar information.  One data source that has been cited as a potential replacement for the EIA</w:t>
      </w:r>
      <w:r w:rsidRPr="00421358">
        <w:rPr>
          <w:rFonts w:asciiTheme="minorHAnsi" w:hAnsiTheme="minorHAnsi"/>
          <w:color w:val="000000"/>
          <w:sz w:val="22"/>
          <w:szCs w:val="22"/>
        </w:rPr>
        <w:noBreakHyphen/>
        <w:t>856 is the Department of Homeland Security, U.S. Customs and Border Protection (CBP) Form 7501, which collects landed volumes and customs valuations for crude oil by country of loading.  The Form 7501 is the entry document filed for all imports into the United States.</w:t>
      </w:r>
    </w:p>
    <w:p w:rsidR="00623D5D" w:rsidRPr="00421358"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CBP, as the collector of import/export data and duties, is required to process information for thousands of transactions each month.  Given the range of goods crossing the U.S. border, CBP must collect a limited, general class of data sufficient to perform its primary duties.  However, EIA requires more specific data elements which are not collected by CBP.  In particular, the requirement to provide a monthly crude oil report to the IEA is an important application of the EIA</w:t>
      </w:r>
      <w:r w:rsidRPr="004C2713">
        <w:rPr>
          <w:rFonts w:asciiTheme="minorHAnsi" w:hAnsiTheme="minorHAnsi"/>
          <w:color w:val="000000"/>
          <w:sz w:val="22"/>
        </w:rPr>
        <w:noBreakHyphen/>
        <w:t>856 data.  To create the report, data must include detailed, cargo-level information not found in the CBP data.  Specifically, the following data elements are required:</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API Gravity.  CBP Form 7501 collects only two categories of crude oil, Above and Below 25 degrees API.  Actual API gravity is collected by the EIA</w:t>
      </w:r>
      <w:r w:rsidRPr="004335B8">
        <w:rPr>
          <w:rFonts w:asciiTheme="minorHAnsi" w:hAnsiTheme="minorHAnsi"/>
          <w:color w:val="000000"/>
          <w:sz w:val="22"/>
        </w:rPr>
        <w:noBreakHyphen/>
        <w:t>856 for each cargo.</w:t>
      </w:r>
    </w:p>
    <w:p w:rsidR="00623D5D" w:rsidRPr="004335B8" w:rsidRDefault="00623D5D" w:rsidP="00475B30">
      <w:pPr>
        <w:pStyle w:val="ListParagraph"/>
        <w:widowControl/>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335B8">
        <w:rPr>
          <w:rFonts w:asciiTheme="minorHAnsi" w:hAnsiTheme="minorHAnsi"/>
          <w:color w:val="000000"/>
          <w:sz w:val="22"/>
        </w:rPr>
        <w:t>Crude Stream.  In order to place crude oil in the precise categories required by IEA, the crude stream (e.g., Saudi Light) is necessary. CBP currently collects only country-of-origin information which does not specify the crude stream.</w:t>
      </w:r>
    </w:p>
    <w:p w:rsidR="00623D5D"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B179B0" w:rsidRPr="004C2713" w:rsidRDefault="00623D5D"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Thus, due to the lack of important information such as API gravity and crude stream data</w:t>
      </w:r>
      <w:r w:rsidR="00EE4C36">
        <w:rPr>
          <w:rFonts w:asciiTheme="minorHAnsi" w:hAnsiTheme="minorHAnsi"/>
          <w:color w:val="000000"/>
          <w:sz w:val="22"/>
        </w:rPr>
        <w:t>,</w:t>
      </w:r>
      <w:r w:rsidRPr="004C2713">
        <w:rPr>
          <w:rFonts w:asciiTheme="minorHAnsi" w:hAnsiTheme="minorHAnsi"/>
          <w:color w:val="000000"/>
          <w:sz w:val="22"/>
        </w:rPr>
        <w:t xml:space="preserve"> CBP 7501 data are not considered an adequate alternative to the EIA-856 data.</w:t>
      </w:r>
      <w:r w:rsidR="00EE4C36">
        <w:rPr>
          <w:rFonts w:asciiTheme="minorHAnsi" w:hAnsiTheme="minorHAnsi"/>
          <w:color w:val="000000"/>
          <w:sz w:val="22"/>
        </w:rPr>
        <w:t xml:space="preserve"> </w:t>
      </w:r>
      <w:r w:rsidR="00EE4C36" w:rsidRPr="004C2713">
        <w:rPr>
          <w:rFonts w:asciiTheme="minorHAnsi" w:hAnsiTheme="minorHAnsi"/>
          <w:color w:val="000000"/>
          <w:sz w:val="22"/>
        </w:rPr>
        <w:t>The need for API gravity and crude stream data was particularly important during the Persian Gulf crisis for comparisons of quality of Iraqi and Kuwaiti crude oils versus replacement crude oils</w:t>
      </w:r>
      <w:r w:rsidR="00EE4C36">
        <w:rPr>
          <w:rFonts w:asciiTheme="minorHAnsi" w:hAnsiTheme="minorHAnsi"/>
          <w:color w:val="000000"/>
          <w:sz w:val="22"/>
        </w:rPr>
        <w:t>.</w:t>
      </w:r>
    </w:p>
    <w:p w:rsidR="00F05A43" w:rsidRPr="004C2713" w:rsidRDefault="005E5FA3" w:rsidP="003D725B">
      <w:pPr>
        <w:pStyle w:val="Heading1"/>
        <w:numPr>
          <w:ilvl w:val="0"/>
          <w:numId w:val="32"/>
        </w:numPr>
      </w:pPr>
      <w:r w:rsidRPr="004C2713">
        <w:t xml:space="preserve">Monthly </w:t>
      </w:r>
      <w:r w:rsidR="00B179B0" w:rsidRPr="004C2713">
        <w:t>Petroleum Product Surveys (</w:t>
      </w:r>
      <w:r w:rsidR="00C60826" w:rsidRPr="004C2713">
        <w:t xml:space="preserve">EIA-782A </w:t>
      </w:r>
      <w:r w:rsidR="00FC5FB5" w:rsidRPr="004C2713">
        <w:t xml:space="preserve">and </w:t>
      </w:r>
      <w:r w:rsidR="004E1172">
        <w:t>EIA-782</w:t>
      </w:r>
      <w:r w:rsidR="00FC5FB5" w:rsidRPr="004C2713">
        <w:t>C</w:t>
      </w:r>
      <w:r w:rsidR="00B179B0" w:rsidRPr="004C2713">
        <w:t>)</w:t>
      </w:r>
      <w:r w:rsidR="00540778" w:rsidRPr="004C2713">
        <w:t xml:space="preserve"> </w:t>
      </w:r>
    </w:p>
    <w:p w:rsidR="0042212B" w:rsidRPr="004C2713" w:rsidRDefault="0042212B" w:rsidP="004C2713">
      <w:pPr>
        <w:pStyle w:val="ListParagraph"/>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sz w:val="22"/>
        </w:rPr>
      </w:pP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The State-level product price and volume data provided by the EIA-782 series are not provided either by other DOE surveys, or by other government and private sources.</w:t>
      </w:r>
    </w:p>
    <w:p w:rsidR="00B179B0" w:rsidRPr="004C2713" w:rsidRDefault="00B179B0" w:rsidP="00801FE7">
      <w:pPr>
        <w:pStyle w:val="Bullet"/>
      </w:pPr>
    </w:p>
    <w:p w:rsidR="00B179B0" w:rsidRPr="004C2713" w:rsidRDefault="00631D1D" w:rsidP="00801FE7">
      <w:pPr>
        <w:pStyle w:val="Bullet"/>
      </w:pPr>
      <w:r w:rsidRPr="004C2713">
        <w:t xml:space="preserve">Below is a comparison </w:t>
      </w:r>
      <w:r w:rsidR="00B179B0" w:rsidRPr="004C2713">
        <w:t xml:space="preserve">of EIA-782A/C with </w:t>
      </w:r>
      <w:r w:rsidR="00325ACE">
        <w:t xml:space="preserve">BLS and </w:t>
      </w:r>
      <w:r w:rsidR="00B179B0" w:rsidRPr="004C2713">
        <w:t>other data sources</w:t>
      </w:r>
      <w:r w:rsidR="00325ACE">
        <w:t xml:space="preserve">. </w:t>
      </w:r>
      <w:r w:rsidR="003934CE" w:rsidRPr="004C2713">
        <w:t xml:space="preserve">The Bureau of Labor Statistics (BLS) collects only voluntarily-provided wholesale and retail price-related information on refined petroleum </w:t>
      </w:r>
      <w:r w:rsidR="003934CE" w:rsidRPr="004C2713">
        <w:lastRenderedPageBreak/>
        <w:t>products.  Furthermore, the aggregate statistics provided by BLS not only fail to satisfy the needs of EIA-782 users, but are inadequate as a base upon which to respond to various U.S. Congress inquiries.</w:t>
      </w:r>
    </w:p>
    <w:p w:rsidR="001A54DE" w:rsidRDefault="001A54DE" w:rsidP="00801FE7">
      <w:pPr>
        <w:pStyle w:val="Bullet"/>
      </w:pPr>
    </w:p>
    <w:p w:rsidR="00F05A43" w:rsidRPr="004C2713" w:rsidRDefault="003934CE" w:rsidP="00801FE7">
      <w:pPr>
        <w:pStyle w:val="Bullet"/>
      </w:pPr>
      <w:r w:rsidRPr="004C2713">
        <w:t xml:space="preserve">Both the </w:t>
      </w:r>
      <w:hyperlink r:id="rId169" w:history="1">
        <w:r w:rsidRPr="004C2713">
          <w:rPr>
            <w:rStyle w:val="Hyperlink"/>
          </w:rPr>
          <w:t>Consumer Price Index</w:t>
        </w:r>
      </w:hyperlink>
      <w:r w:rsidR="00D6179C" w:rsidRPr="004C2713">
        <w:t xml:space="preserve"> </w:t>
      </w:r>
      <w:r w:rsidRPr="004C2713">
        <w:t xml:space="preserve">and the </w:t>
      </w:r>
      <w:hyperlink r:id="rId170" w:history="1">
        <w:r w:rsidRPr="004C2713">
          <w:rPr>
            <w:rStyle w:val="Hyperlink"/>
          </w:rPr>
          <w:t>Producer Price Index</w:t>
        </w:r>
      </w:hyperlink>
      <w:r w:rsidRPr="004C2713">
        <w:t xml:space="preserve"> </w:t>
      </w:r>
      <w:r w:rsidR="00F36604" w:rsidRPr="004C2713">
        <w:t>a</w:t>
      </w:r>
      <w:r w:rsidRPr="004C2713">
        <w:t>re statistically designed to measure price change</w:t>
      </w:r>
      <w:r w:rsidR="007A51AF" w:rsidRPr="004C2713">
        <w:t xml:space="preserve">.  They do not use current volumes. </w:t>
      </w:r>
      <w:r w:rsidRPr="004C2713">
        <w:t xml:space="preserve"> However, EIA users require measures of both total volumes and actual average prices as calculated using a current month’s weights for accuracy.  More particularly, user needs would not be met because of the following deficiencies in BLS data or sampling frames: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Many retail sales of major products are not represented.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Disaggregation by sector is not provided for distillates.</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Wholesale prices at the national, regional, and State levels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Retail prices at the State-level are not provided.</w:t>
      </w:r>
    </w:p>
    <w:p w:rsidR="003934CE" w:rsidRPr="004C2713" w:rsidRDefault="003934CE" w:rsidP="004C2713">
      <w:pPr>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Reseller activity is not reflected in the Producer Price Index.</w:t>
      </w:r>
    </w:p>
    <w:p w:rsidR="005E5FA3" w:rsidRPr="004C2713" w:rsidRDefault="005E5FA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179C" w:rsidRPr="004C2713" w:rsidRDefault="003934CE" w:rsidP="00801FE7">
      <w:pPr>
        <w:pStyle w:val="Bullet"/>
      </w:pPr>
      <w:r w:rsidRPr="004C2713">
        <w:t>BLS sampling frames</w:t>
      </w:r>
      <w:r w:rsidR="007A51AF" w:rsidRPr="004C2713">
        <w:t xml:space="preserve"> may result in the exclusion of product sales by secondary businesses</w:t>
      </w:r>
      <w:r w:rsidRPr="004C2713">
        <w:t xml:space="preserve">, because they depend on </w:t>
      </w:r>
      <w:hyperlink r:id="rId171" w:history="1">
        <w:r w:rsidRPr="004C2713">
          <w:rPr>
            <w:rStyle w:val="Hyperlink"/>
          </w:rPr>
          <w:t xml:space="preserve">North American Industrial Classification System </w:t>
        </w:r>
        <w:r w:rsidR="00702E42" w:rsidRPr="004C2713">
          <w:rPr>
            <w:rStyle w:val="Hyperlink"/>
          </w:rPr>
          <w:t>(NAICS)</w:t>
        </w:r>
      </w:hyperlink>
      <w:r w:rsidR="00702E42" w:rsidRPr="004C2713">
        <w:t xml:space="preserve"> </w:t>
      </w:r>
      <w:r w:rsidRPr="004C2713">
        <w:t>codes</w:t>
      </w:r>
      <w:r w:rsidR="00F36604" w:rsidRPr="004C2713">
        <w:t>.</w:t>
      </w:r>
      <w:r w:rsidR="00C343BD" w:rsidRPr="004C2713">
        <w:t xml:space="preserve"> </w:t>
      </w:r>
    </w:p>
    <w:p w:rsidR="00C71080" w:rsidRDefault="00C71080"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The 1985 adoption by the Bureau of Labor </w:t>
      </w:r>
      <w:r w:rsidR="00050955" w:rsidRPr="004C2713">
        <w:rPr>
          <w:rFonts w:asciiTheme="minorHAnsi" w:hAnsiTheme="minorHAnsi"/>
          <w:color w:val="000000"/>
          <w:sz w:val="22"/>
        </w:rPr>
        <w:t xml:space="preserve">Statistics </w:t>
      </w:r>
      <w:r w:rsidRPr="004C2713">
        <w:rPr>
          <w:rFonts w:asciiTheme="minorHAnsi" w:hAnsiTheme="minorHAnsi"/>
          <w:color w:val="000000"/>
          <w:sz w:val="22"/>
        </w:rPr>
        <w:t xml:space="preserve">of a new/revised methodology for pricing refined petroleum products at the wholesale level has also, albeit indirectly, resulted in users ‘crossing-over’ from BLS-provided-data to EIA-provided-data.  For example, while the revised BLS methodology has improved the </w:t>
      </w:r>
      <w:r w:rsidR="00D27361" w:rsidRPr="004C2713">
        <w:rPr>
          <w:rFonts w:asciiTheme="minorHAnsi" w:hAnsiTheme="minorHAnsi"/>
          <w:color w:val="000000"/>
          <w:sz w:val="22"/>
        </w:rPr>
        <w:t>timeliness</w:t>
      </w:r>
      <w:r w:rsidRPr="004C2713">
        <w:rPr>
          <w:rFonts w:asciiTheme="minorHAnsi" w:hAnsiTheme="minorHAnsi"/>
          <w:color w:val="000000"/>
          <w:sz w:val="22"/>
        </w:rPr>
        <w:t xml:space="preserve"> of their prices, regional prices and indexes for products on the PPI were eliminated.  Currently, BLS refers users seeking regional data to the </w:t>
      </w:r>
      <w:r w:rsidR="00F36604" w:rsidRPr="004C2713">
        <w:rPr>
          <w:rFonts w:asciiTheme="minorHAnsi" w:hAnsiTheme="minorHAnsi"/>
          <w:i/>
          <w:iCs/>
          <w:color w:val="000000"/>
          <w:sz w:val="22"/>
          <w:u w:val="single"/>
        </w:rPr>
        <w:t xml:space="preserve">PPM. </w:t>
      </w:r>
      <w:r w:rsidRPr="004C2713">
        <w:rPr>
          <w:rFonts w:asciiTheme="minorHAnsi" w:hAnsiTheme="minorHAnsi"/>
          <w:color w:val="000000"/>
          <w:sz w:val="22"/>
        </w:rPr>
        <w:t>Furthermore, due to the elimination of these data by BLS, industry and State governments are now using EIA-782 data to determine contract prices for fuel sales.</w:t>
      </w:r>
    </w:p>
    <w:p w:rsidR="00F36604" w:rsidRPr="00EF7F8C" w:rsidRDefault="00F36604" w:rsidP="00EF7F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EF7F8C" w:rsidRPr="00EF7F8C" w:rsidRDefault="000119C5" w:rsidP="00EF7F8C">
      <w:pPr>
        <w:spacing w:line="360" w:lineRule="auto"/>
        <w:rPr>
          <w:rFonts w:asciiTheme="minorHAnsi" w:hAnsiTheme="minorHAnsi"/>
          <w:color w:val="000000"/>
          <w:sz w:val="22"/>
        </w:rPr>
      </w:pPr>
      <w:r>
        <w:rPr>
          <w:rFonts w:asciiTheme="minorHAnsi" w:hAnsiTheme="minorHAnsi"/>
          <w:i/>
          <w:sz w:val="22"/>
        </w:rPr>
        <w:t xml:space="preserve">A </w:t>
      </w:r>
      <w:r w:rsidRPr="00EF7F8C">
        <w:rPr>
          <w:rFonts w:asciiTheme="minorHAnsi" w:hAnsiTheme="minorHAnsi"/>
          <w:sz w:val="22"/>
        </w:rPr>
        <w:t>feature article</w:t>
      </w:r>
      <w:r>
        <w:rPr>
          <w:rFonts w:asciiTheme="minorHAnsi" w:hAnsiTheme="minorHAnsi"/>
          <w:sz w:val="22"/>
        </w:rPr>
        <w:t xml:space="preserve"> in the</w:t>
      </w:r>
      <w:r w:rsidR="00EF7F8C" w:rsidRPr="00B54FDB">
        <w:rPr>
          <w:rFonts w:asciiTheme="minorHAnsi" w:hAnsiTheme="minorHAnsi"/>
          <w:i/>
          <w:sz w:val="22"/>
        </w:rPr>
        <w:t xml:space="preserve"> </w:t>
      </w:r>
      <w:r w:rsidR="00EF7F8C" w:rsidRPr="00B54FDB">
        <w:rPr>
          <w:rFonts w:asciiTheme="minorHAnsi" w:hAnsiTheme="minorHAnsi"/>
          <w:i/>
          <w:iCs/>
          <w:sz w:val="22"/>
          <w:u w:val="single"/>
        </w:rPr>
        <w:t>PMM</w:t>
      </w:r>
      <w:r>
        <w:rPr>
          <w:rFonts w:asciiTheme="minorHAnsi" w:hAnsiTheme="minorHAnsi"/>
          <w:sz w:val="22"/>
        </w:rPr>
        <w:t xml:space="preserve"> (March 2010),</w:t>
      </w:r>
      <w:r w:rsidR="00EF7F8C" w:rsidRPr="00EF7F8C">
        <w:rPr>
          <w:rFonts w:asciiTheme="minorHAnsi" w:hAnsiTheme="minorHAnsi"/>
          <w:sz w:val="22"/>
        </w:rPr>
        <w:t xml:space="preserve"> </w:t>
      </w:r>
      <w:hyperlink r:id="rId172" w:history="1">
        <w:r w:rsidR="00EF7F8C" w:rsidRPr="00EF7F8C">
          <w:rPr>
            <w:rStyle w:val="Hyperlink"/>
            <w:rFonts w:asciiTheme="minorHAnsi" w:hAnsiTheme="minorHAnsi"/>
            <w:sz w:val="22"/>
          </w:rPr>
          <w:t>A Comparison of EIA-782 Petroleum Product Price and Volume Data With Other Sources, 1998 - 2008</w:t>
        </w:r>
      </w:hyperlink>
      <w:r>
        <w:rPr>
          <w:rFonts w:asciiTheme="minorHAnsi" w:hAnsiTheme="minorHAnsi"/>
          <w:sz w:val="22"/>
        </w:rPr>
        <w:t>,</w:t>
      </w:r>
      <w:r w:rsidR="00EF7F8C" w:rsidRPr="00EF7F8C">
        <w:rPr>
          <w:rFonts w:asciiTheme="minorHAnsi" w:hAnsiTheme="minorHAnsi"/>
          <w:color w:val="000000"/>
          <w:sz w:val="22"/>
        </w:rPr>
        <w:t xml:space="preserve"> </w:t>
      </w:r>
      <w:r w:rsidR="00EF7F8C" w:rsidRPr="00EF7F8C">
        <w:rPr>
          <w:rFonts w:asciiTheme="minorHAnsi" w:hAnsiTheme="minorHAnsi"/>
          <w:sz w:val="22"/>
        </w:rPr>
        <w:t>describes and quantifies retail price data for resident</w:t>
      </w:r>
      <w:r w:rsidR="002B6C1F">
        <w:rPr>
          <w:rFonts w:asciiTheme="minorHAnsi" w:hAnsiTheme="minorHAnsi"/>
          <w:sz w:val="22"/>
        </w:rPr>
        <w:t>ial No. 2 distillate (e.g., h</w:t>
      </w:r>
      <w:r w:rsidR="00EF7F8C" w:rsidRPr="00EF7F8C">
        <w:rPr>
          <w:rFonts w:asciiTheme="minorHAnsi" w:hAnsiTheme="minorHAnsi"/>
          <w:sz w:val="22"/>
        </w:rPr>
        <w:t>ome heating oil), on-highway diesel fuel and regular grade motor gasoline. These are compared with the equivalent U-series (Urban area) prices given by the BLS CPI with no seasonal adjustments. Wholesale/Resale prices for No. 2 diesel fuel, No. 2 fuel oil, regular grade gasoline and kerosene-type jet fuel) differences between EIA-782A/EIA-782B and BLS PPI price data, although comparison cannot be done directly since EIA uses prices directly and BLS only publicly reports price indices for the PPI.</w:t>
      </w:r>
      <w:r w:rsidR="00EF7F8C" w:rsidRPr="00EF7F8C">
        <w:rPr>
          <w:rFonts w:asciiTheme="minorHAnsi" w:hAnsiTheme="minorHAnsi"/>
          <w:color w:val="000000"/>
          <w:sz w:val="22"/>
        </w:rPr>
        <w:t xml:space="preserve"> Retail and wholesale/resale price comparisons were made on an</w:t>
      </w:r>
      <w:r>
        <w:rPr>
          <w:rFonts w:asciiTheme="minorHAnsi" w:hAnsiTheme="minorHAnsi"/>
          <w:color w:val="000000"/>
          <w:sz w:val="22"/>
        </w:rPr>
        <w:t xml:space="preserve">nual data from 1999 through </w:t>
      </w:r>
      <w:r>
        <w:rPr>
          <w:rFonts w:asciiTheme="minorHAnsi" w:hAnsiTheme="minorHAnsi"/>
          <w:color w:val="000000"/>
          <w:sz w:val="22"/>
        </w:rPr>
        <w:lastRenderedPageBreak/>
        <w:t>2008</w:t>
      </w:r>
      <w:r w:rsidR="00EF7F8C" w:rsidRPr="00EF7F8C">
        <w:rPr>
          <w:rFonts w:asciiTheme="minorHAnsi" w:hAnsiTheme="minorHAnsi"/>
          <w:color w:val="000000"/>
          <w:sz w:val="22"/>
        </w:rPr>
        <w:t>. The article also compares volumes between EIA-782C sales data, EIA-821 data, the EIA product supplied data from Petroleum Supply Annual (PSA)</w:t>
      </w:r>
      <w:r w:rsidR="00734A74">
        <w:rPr>
          <w:rFonts w:asciiTheme="minorHAnsi" w:hAnsiTheme="minorHAnsi"/>
          <w:color w:val="000000"/>
          <w:sz w:val="22"/>
        </w:rPr>
        <w:t xml:space="preserve"> </w:t>
      </w:r>
      <w:r w:rsidR="00EF7F8C" w:rsidRPr="00EF7F8C">
        <w:rPr>
          <w:rFonts w:asciiTheme="minorHAnsi" w:hAnsiTheme="minorHAnsi"/>
          <w:color w:val="000000"/>
          <w:sz w:val="22"/>
        </w:rPr>
        <w:t xml:space="preserve">and Federal Highway Administration data for finished motor gasoline (all grades combined), distillate fuel oil, kerosene-type jet fuel, and residual fuel oil.  </w:t>
      </w:r>
    </w:p>
    <w:p w:rsidR="00EF7F8C" w:rsidRPr="00EF7F8C" w:rsidRDefault="00EF7F8C" w:rsidP="00EF7F8C">
      <w:pPr>
        <w:spacing w:line="360" w:lineRule="auto"/>
        <w:rPr>
          <w:rFonts w:asciiTheme="minorHAnsi" w:hAnsiTheme="minorHAnsi"/>
          <w:color w:val="00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BLS utilizes a fixed-volume weighted scheme to produce several levels of statistics of which the CPI and PPI indexes were used for comparison purposes in the article.  </w:t>
      </w:r>
      <w:r w:rsidR="00C343BD" w:rsidRPr="004C2713">
        <w:rPr>
          <w:rFonts w:asciiTheme="minorHAnsi" w:hAnsiTheme="minorHAnsi"/>
          <w:color w:val="000000"/>
          <w:sz w:val="22"/>
        </w:rPr>
        <w:t xml:space="preserve">Previously </w:t>
      </w:r>
      <w:r w:rsidR="00C343BD" w:rsidRPr="004C2713">
        <w:rPr>
          <w:rFonts w:asciiTheme="minorHAnsi" w:hAnsiTheme="minorHAnsi"/>
          <w:sz w:val="22"/>
        </w:rPr>
        <w:t>t</w:t>
      </w:r>
      <w:r w:rsidRPr="004C2713">
        <w:rPr>
          <w:rFonts w:asciiTheme="minorHAnsi" w:hAnsiTheme="minorHAnsi"/>
          <w:sz w:val="22"/>
        </w:rPr>
        <w:t>he BLS prices were based on 1982-1984 expenditures weights.</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p>
    <w:p w:rsidR="003934CE"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Regarding motor gasoline, the biggest difference between EIA-782A and BLS surveys is the weighting.  Major shifts in marketing strategies, such as cash discounts, self-serve, geographic movements in gasoline markets, or the introduction of reformulated gasoline into the market, would be identified immediately by the EIA surveys through </w:t>
      </w:r>
      <w:r w:rsidR="00734A74">
        <w:rPr>
          <w:rFonts w:asciiTheme="minorHAnsi" w:hAnsiTheme="minorHAnsi"/>
          <w:color w:val="000000"/>
          <w:sz w:val="22"/>
        </w:rPr>
        <w:t>the current volume weighting they employ</w:t>
      </w:r>
      <w:r w:rsidRPr="004C2713">
        <w:rPr>
          <w:rFonts w:asciiTheme="minorHAnsi" w:hAnsiTheme="minorHAnsi"/>
          <w:color w:val="000000"/>
          <w:sz w:val="22"/>
        </w:rPr>
        <w:t xml:space="preserve">.  The BLS fixed weights, in comparison, lag behind in reflecting these changes in the average prices.  </w:t>
      </w:r>
    </w:p>
    <w:p w:rsidR="003934CE" w:rsidRPr="004C2713" w:rsidRDefault="003934C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3934CE" w:rsidRPr="004C2713" w:rsidRDefault="001C6C4D" w:rsidP="00801FE7">
      <w:pPr>
        <w:pStyle w:val="Bullet"/>
      </w:pPr>
      <w:r w:rsidRPr="004C2713">
        <w:t xml:space="preserve">The </w:t>
      </w:r>
      <w:r w:rsidR="003934CE" w:rsidRPr="004C2713">
        <w:t>FHWA</w:t>
      </w:r>
      <w:r w:rsidR="00F36604" w:rsidRPr="004C2713">
        <w:t>’s</w:t>
      </w:r>
      <w:r w:rsidR="003934CE" w:rsidRPr="004C2713">
        <w:t xml:space="preserve"> </w:t>
      </w:r>
      <w:hyperlink r:id="rId173" w:history="1">
        <w:r w:rsidR="003934CE" w:rsidRPr="004C2713">
          <w:rPr>
            <w:rStyle w:val="Hyperlink"/>
          </w:rPr>
          <w:t>Monthly Motor Gasoline Reported by States</w:t>
        </w:r>
      </w:hyperlink>
      <w:r w:rsidR="003934CE" w:rsidRPr="004C2713">
        <w:t xml:space="preserve"> report</w:t>
      </w:r>
      <w:r w:rsidR="00F36604" w:rsidRPr="004C2713">
        <w:t>s tabulates</w:t>
      </w:r>
      <w:r w:rsidR="003934CE" w:rsidRPr="004C2713">
        <w:t xml:space="preserve"> gross gasoline gallons reported by wholesale distributors t</w:t>
      </w:r>
      <w:r w:rsidR="00F36604" w:rsidRPr="004C2713">
        <w:t>o State motor fuel tax agencies and these</w:t>
      </w:r>
      <w:r w:rsidR="003934CE" w:rsidRPr="004C2713">
        <w:t xml:space="preserve"> data are used to determine the disbursement of Federal highway trust funds to the States.</w:t>
      </w:r>
    </w:p>
    <w:p w:rsidR="00971C4E" w:rsidRPr="004C2713" w:rsidRDefault="00971C4E" w:rsidP="004C2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 xml:space="preserve">Some users of gasoline sales data have suggested the FHWA report as </w:t>
      </w:r>
      <w:r w:rsidR="002B6C1F">
        <w:rPr>
          <w:rFonts w:asciiTheme="minorHAnsi" w:hAnsiTheme="minorHAnsi"/>
          <w:color w:val="000000"/>
          <w:sz w:val="22"/>
        </w:rPr>
        <w:t>an alternative to the EIA-782C although i</w:t>
      </w:r>
      <w:r w:rsidRPr="004C2713">
        <w:rPr>
          <w:rFonts w:asciiTheme="minorHAnsi" w:hAnsiTheme="minorHAnsi"/>
          <w:color w:val="000000"/>
          <w:sz w:val="22"/>
        </w:rPr>
        <w:t xml:space="preserve">t is a </w:t>
      </w:r>
      <w:r w:rsidR="00F36604" w:rsidRPr="004C2713">
        <w:rPr>
          <w:rFonts w:asciiTheme="minorHAnsi" w:hAnsiTheme="minorHAnsi"/>
          <w:color w:val="000000"/>
          <w:sz w:val="22"/>
        </w:rPr>
        <w:t xml:space="preserve">poor </w:t>
      </w:r>
      <w:r w:rsidRPr="004C2713">
        <w:rPr>
          <w:rFonts w:asciiTheme="minorHAnsi" w:hAnsiTheme="minorHAnsi"/>
          <w:color w:val="000000"/>
          <w:sz w:val="22"/>
        </w:rPr>
        <w:t>alternative</w:t>
      </w:r>
      <w:r w:rsidR="00080C9D" w:rsidRPr="004C2713">
        <w:rPr>
          <w:rFonts w:asciiTheme="minorHAnsi" w:hAnsiTheme="minorHAnsi"/>
          <w:color w:val="000000"/>
          <w:sz w:val="22"/>
        </w:rPr>
        <w:t xml:space="preserve"> </w:t>
      </w:r>
      <w:r w:rsidR="00F36604" w:rsidRPr="004C2713">
        <w:rPr>
          <w:rFonts w:asciiTheme="minorHAnsi" w:hAnsiTheme="minorHAnsi"/>
          <w:color w:val="000000"/>
          <w:sz w:val="22"/>
        </w:rPr>
        <w:t xml:space="preserve">source </w:t>
      </w:r>
      <w:r w:rsidR="00080C9D" w:rsidRPr="004C2713">
        <w:rPr>
          <w:rFonts w:asciiTheme="minorHAnsi" w:hAnsiTheme="minorHAnsi"/>
          <w:color w:val="000000"/>
          <w:sz w:val="22"/>
        </w:rPr>
        <w:t>because of</w:t>
      </w:r>
      <w:r w:rsidRPr="004C2713">
        <w:rPr>
          <w:rFonts w:asciiTheme="minorHAnsi" w:hAnsiTheme="minorHAnsi"/>
          <w:color w:val="000000"/>
          <w:sz w:val="22"/>
        </w:rPr>
        <w:t xml:space="preserve"> the considerable time elapsing between gasoline sales data being collected and published in</w:t>
      </w:r>
      <w:r w:rsidR="00F36604" w:rsidRPr="004C2713">
        <w:rPr>
          <w:rFonts w:asciiTheme="minorHAnsi" w:hAnsiTheme="minorHAnsi"/>
          <w:color w:val="000000"/>
          <w:sz w:val="22"/>
        </w:rPr>
        <w:t xml:space="preserve"> FHWA’s</w:t>
      </w:r>
      <w:r w:rsidRPr="004C2713">
        <w:rPr>
          <w:rFonts w:asciiTheme="minorHAnsi" w:hAnsiTheme="minorHAnsi"/>
          <w:color w:val="000000"/>
          <w:sz w:val="22"/>
        </w:rPr>
        <w:t xml:space="preserve"> </w:t>
      </w:r>
      <w:r w:rsidRPr="004C2713">
        <w:rPr>
          <w:rFonts w:asciiTheme="minorHAnsi" w:hAnsiTheme="minorHAnsi"/>
          <w:sz w:val="22"/>
        </w:rPr>
        <w:t>“</w:t>
      </w:r>
      <w:r w:rsidRPr="004C2713">
        <w:rPr>
          <w:rFonts w:asciiTheme="minorHAnsi" w:hAnsiTheme="minorHAnsi"/>
          <w:i/>
          <w:sz w:val="22"/>
        </w:rPr>
        <w:t>Monthly Motor Gasoline Reported by States</w:t>
      </w:r>
      <w:r w:rsidRPr="004C2713">
        <w:rPr>
          <w:rFonts w:asciiTheme="minorHAnsi" w:hAnsiTheme="minorHAnsi"/>
          <w:sz w:val="22"/>
        </w:rPr>
        <w:t>”</w:t>
      </w:r>
      <w:r w:rsidRPr="004C2713">
        <w:rPr>
          <w:rFonts w:asciiTheme="minorHAnsi" w:hAnsiTheme="minorHAnsi"/>
          <w:color w:val="000000"/>
          <w:sz w:val="22"/>
        </w:rPr>
        <w:t xml:space="preserve"> report.  </w:t>
      </w:r>
    </w:p>
    <w:p w:rsidR="00102A7A" w:rsidRPr="004C2713" w:rsidRDefault="00102A7A"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D64905" w:rsidRPr="004C2713" w:rsidRDefault="00F36604"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FF0000"/>
          <w:sz w:val="22"/>
        </w:rPr>
      </w:pPr>
      <w:r w:rsidRPr="004C2713">
        <w:rPr>
          <w:rFonts w:asciiTheme="minorHAnsi" w:hAnsiTheme="minorHAnsi"/>
          <w:color w:val="000000"/>
          <w:sz w:val="22"/>
        </w:rPr>
        <w:t>Previous a</w:t>
      </w:r>
      <w:r w:rsidR="00D64905" w:rsidRPr="004C2713">
        <w:rPr>
          <w:rFonts w:asciiTheme="minorHAnsi" w:hAnsiTheme="minorHAnsi"/>
          <w:color w:val="000000"/>
          <w:sz w:val="22"/>
        </w:rPr>
        <w:t xml:space="preserve">nalysis of FHWA data showed that not only did more than 90 days elapse between the capture and publication of data, but State coverage was low.   FHWA </w:t>
      </w:r>
      <w:r w:rsidR="00734A74">
        <w:rPr>
          <w:rFonts w:asciiTheme="minorHAnsi" w:hAnsiTheme="minorHAnsi"/>
          <w:color w:val="000000"/>
          <w:sz w:val="22"/>
        </w:rPr>
        <w:t xml:space="preserve">data </w:t>
      </w:r>
      <w:r w:rsidR="00D64905" w:rsidRPr="004C2713">
        <w:rPr>
          <w:rFonts w:asciiTheme="minorHAnsi" w:hAnsiTheme="minorHAnsi"/>
          <w:color w:val="000000"/>
          <w:sz w:val="22"/>
        </w:rPr>
        <w:t>is a poor alternative to EIA-782C data for other reasons</w:t>
      </w:r>
      <w:r w:rsidR="002B6C1F">
        <w:rPr>
          <w:rFonts w:asciiTheme="minorHAnsi" w:hAnsiTheme="minorHAnsi"/>
          <w:color w:val="000000"/>
          <w:sz w:val="22"/>
        </w:rPr>
        <w:t>, including</w:t>
      </w:r>
      <w:r w:rsidR="00D64905" w:rsidRPr="004C2713">
        <w:rPr>
          <w:rFonts w:asciiTheme="minorHAnsi" w:hAnsiTheme="minorHAnsi"/>
          <w:sz w:val="22"/>
        </w:rPr>
        <w:t>:</w:t>
      </w:r>
      <w:r w:rsidR="00D64905" w:rsidRPr="004C2713">
        <w:rPr>
          <w:rFonts w:asciiTheme="minorHAnsi" w:hAnsiTheme="minorHAnsi"/>
          <w:color w:val="FF0000"/>
          <w:sz w:val="22"/>
        </w:rPr>
        <w:t xml:space="preserve">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Only cover gasoline and special fuels (diesel fuel and alternate fuels)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Are not published as timely as EIA-782C data</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Are reported using a methodology based on sales and gross receipts taxes which is not uniform across the States</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Do not break out the data by grade or formulation of gasoline</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 not break out the data by grade or sulfur content of distillate fuel </w:t>
      </w:r>
    </w:p>
    <w:p w:rsidR="00D64905" w:rsidRPr="004C2713" w:rsidRDefault="00D64905" w:rsidP="004608BE">
      <w:pPr>
        <w:pStyle w:val="ListParagraph"/>
        <w:widowControl/>
        <w:numPr>
          <w:ilvl w:val="1"/>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sz w:val="22"/>
        </w:rPr>
        <w:t xml:space="preserve">Does not include prices  </w:t>
      </w: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D64905" w:rsidRPr="004C2713" w:rsidRDefault="00D64905"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C2713">
        <w:rPr>
          <w:rFonts w:asciiTheme="minorHAnsi" w:hAnsiTheme="minorHAnsi"/>
          <w:color w:val="000000"/>
          <w:sz w:val="22"/>
        </w:rPr>
        <w:t xml:space="preserve">EIA-782 data are more accurate, timelier, cover more products, and reflect a higher response rate by State than does FHWA data.  </w:t>
      </w:r>
    </w:p>
    <w:p w:rsidR="005E5FA3" w:rsidRPr="004C2713" w:rsidRDefault="005E5FA3"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C00000"/>
          <w:sz w:val="22"/>
        </w:rPr>
      </w:pPr>
    </w:p>
    <w:p w:rsidR="004C2713" w:rsidRPr="004C2713" w:rsidRDefault="003934CE" w:rsidP="00C710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Other private and public sources providing petroleum product data purportedly equivalent to the EIA-782 survey series were also studied and were found to be inadequate in fulfilling the mandated requirements of the EIA-782 series surveys.  Each of the alternate sources differed importantly and significantly from the EIA-782 in one or more of the following areas:  data collection methodology, periodicity, survey frame, sales category disaggregation, product slate, geographic breakdown, and purpose.  Furthermore, only the EIA-782 series surveys provide detailed State-level breakdowns of information by end-use sector.  </w:t>
      </w:r>
    </w:p>
    <w:p w:rsidR="00FC5FB5" w:rsidRPr="004E1172" w:rsidRDefault="00FC5FB5" w:rsidP="003D725B">
      <w:pPr>
        <w:pStyle w:val="Heading1"/>
        <w:numPr>
          <w:ilvl w:val="0"/>
          <w:numId w:val="32"/>
        </w:numPr>
      </w:pPr>
      <w:r w:rsidRPr="004E1172">
        <w:t xml:space="preserve">Annual Fuel Oil and Kerosene Sales Report </w:t>
      </w:r>
      <w:r w:rsidR="005E5FA3" w:rsidRPr="004E1172">
        <w:t>(</w:t>
      </w:r>
      <w:r w:rsidRPr="004E1172">
        <w:t>EIA-821</w:t>
      </w:r>
      <w:r w:rsidR="005E5FA3" w:rsidRPr="004E1172">
        <w:t>)</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FC5FB5" w:rsidRPr="004C2713" w:rsidRDefault="00FC5FB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There is no similar information available for sales of distillate</w:t>
      </w:r>
      <w:r w:rsidR="00685BE0" w:rsidRPr="004C2713">
        <w:rPr>
          <w:rFonts w:asciiTheme="minorHAnsi" w:hAnsiTheme="minorHAnsi"/>
          <w:color w:val="000000"/>
          <w:sz w:val="22"/>
        </w:rPr>
        <w:t>,</w:t>
      </w:r>
      <w:r w:rsidRPr="004C2713">
        <w:rPr>
          <w:rFonts w:asciiTheme="minorHAnsi" w:hAnsiTheme="minorHAnsi"/>
          <w:color w:val="000000"/>
          <w:sz w:val="22"/>
        </w:rPr>
        <w:t xml:space="preserve"> residual fuel oil and kerosene by end-use at the State level.  The EIA-782A collect</w:t>
      </w:r>
      <w:r w:rsidR="001C6C4D" w:rsidRPr="004C2713">
        <w:rPr>
          <w:rFonts w:asciiTheme="minorHAnsi" w:hAnsiTheme="minorHAnsi"/>
          <w:color w:val="000000"/>
          <w:sz w:val="22"/>
        </w:rPr>
        <w:t>s</w:t>
      </w:r>
      <w:r w:rsidRPr="004C2713">
        <w:rPr>
          <w:rFonts w:asciiTheme="minorHAnsi" w:hAnsiTheme="minorHAnsi"/>
          <w:color w:val="000000"/>
          <w:sz w:val="22"/>
        </w:rPr>
        <w:t xml:space="preserve"> monthly sales data for distillate and residual fuel oil</w:t>
      </w:r>
      <w:r w:rsidR="00685BE0" w:rsidRPr="004C2713">
        <w:rPr>
          <w:rFonts w:asciiTheme="minorHAnsi" w:hAnsiTheme="minorHAnsi"/>
          <w:color w:val="000000"/>
          <w:sz w:val="22"/>
        </w:rPr>
        <w:t>;</w:t>
      </w:r>
      <w:r w:rsidRPr="004C2713">
        <w:rPr>
          <w:rFonts w:asciiTheme="minorHAnsi" w:hAnsiTheme="minorHAnsi"/>
          <w:color w:val="000000"/>
          <w:sz w:val="22"/>
        </w:rPr>
        <w:t xml:space="preserve"> however, the product breakouts and end-use categories on the EIA-782A are more limited than the disaggregation provided by the annual EIA-821 survey.  </w:t>
      </w: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E33963" w:rsidRPr="004C2713" w:rsidRDefault="00E33963"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C2713">
        <w:rPr>
          <w:rFonts w:asciiTheme="minorHAnsi" w:hAnsiTheme="minorHAnsi"/>
          <w:color w:val="000000"/>
          <w:sz w:val="22"/>
        </w:rPr>
        <w:t xml:space="preserve">Notwithstanding the limitations imposed by the differences in reporting categories, it would be impossible to obtain the same accuracy of annual volume statistics by summing the 12 reported monthly numbers.  Respondents to the EIA-782A do not </w:t>
      </w:r>
      <w:r w:rsidR="009805AD">
        <w:rPr>
          <w:rFonts w:asciiTheme="minorHAnsi" w:hAnsiTheme="minorHAnsi"/>
          <w:color w:val="000000"/>
          <w:sz w:val="22"/>
        </w:rPr>
        <w:t xml:space="preserve">always </w:t>
      </w:r>
      <w:r w:rsidRPr="004C2713">
        <w:rPr>
          <w:rFonts w:asciiTheme="minorHAnsi" w:hAnsiTheme="minorHAnsi"/>
          <w:color w:val="000000"/>
          <w:sz w:val="22"/>
        </w:rPr>
        <w:t xml:space="preserve">provide prior-period adjustments for their monthly estimated data.  However, revisions to prior estimates are figured into the reported EIA-821 annual volume totals.  </w:t>
      </w:r>
    </w:p>
    <w:p w:rsidR="00F05A43" w:rsidRPr="004C2713" w:rsidRDefault="00D27361" w:rsidP="003D725B">
      <w:pPr>
        <w:pStyle w:val="Heading1"/>
        <w:numPr>
          <w:ilvl w:val="0"/>
          <w:numId w:val="32"/>
        </w:numPr>
      </w:pPr>
      <w:r w:rsidRPr="004C2713">
        <w:t xml:space="preserve">Weekly </w:t>
      </w:r>
      <w:r w:rsidR="00D258F5" w:rsidRPr="004C2713">
        <w:t xml:space="preserve">Petroleum Product </w:t>
      </w:r>
      <w:r w:rsidRPr="004C2713">
        <w:t>Surveys (EIA-877, EIA-878</w:t>
      </w:r>
      <w:r w:rsidR="00347A8E">
        <w:t>,</w:t>
      </w:r>
      <w:r w:rsidRPr="004C2713">
        <w:t xml:space="preserve"> and EIA-888)</w:t>
      </w:r>
    </w:p>
    <w:p w:rsidR="00FC5FB5" w:rsidRPr="004C2713" w:rsidRDefault="00FC5FB5" w:rsidP="004C271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
          <w:color w:val="000000"/>
          <w:sz w:val="22"/>
        </w:rPr>
      </w:pPr>
    </w:p>
    <w:p w:rsidR="002F5FC8" w:rsidRPr="004C2713" w:rsidRDefault="002F5FC8" w:rsidP="00801FE7">
      <w:pPr>
        <w:pStyle w:val="Bullet"/>
      </w:pPr>
      <w:r w:rsidRPr="004C2713">
        <w:t>A r</w:t>
      </w:r>
      <w:r w:rsidR="00473C55" w:rsidRPr="004C2713">
        <w:t>eview of</w:t>
      </w:r>
      <w:r w:rsidR="0085721C">
        <w:t xml:space="preserve"> the</w:t>
      </w:r>
      <w:r w:rsidR="00734A74">
        <w:t xml:space="preserve"> </w:t>
      </w:r>
      <w:r w:rsidR="00473C55" w:rsidRPr="004C2713">
        <w:t>EIA-877</w:t>
      </w:r>
      <w:r w:rsidR="00891494" w:rsidRPr="004C2713">
        <w:t>, “Winter Heating Fuels Telephone Survey,”</w:t>
      </w:r>
      <w:r w:rsidR="00473C55" w:rsidRPr="004C2713">
        <w:t xml:space="preserve"> data comparison with other data sources</w:t>
      </w:r>
      <w:r w:rsidRPr="004C2713">
        <w:t xml:space="preserve"> found no other sources that provided the required frequency, timeliness, and geographic coverage needed to monitor fuel oil and propane prices and inventories.</w:t>
      </w:r>
    </w:p>
    <w:p w:rsidR="005036F0" w:rsidRDefault="005036F0" w:rsidP="00801FE7">
      <w:pPr>
        <w:pStyle w:val="Bullet"/>
      </w:pPr>
    </w:p>
    <w:p w:rsidR="00473C55" w:rsidRPr="004C2713" w:rsidRDefault="004942BD" w:rsidP="00801FE7">
      <w:pPr>
        <w:pStyle w:val="Bullet"/>
      </w:pPr>
      <w:r w:rsidRPr="004C2713">
        <w:t>Monthly,</w:t>
      </w:r>
      <w:r w:rsidR="003F0DF8" w:rsidRPr="004C2713">
        <w:t xml:space="preserve"> </w:t>
      </w:r>
      <w:r w:rsidR="00FC5FB5" w:rsidRPr="004C2713">
        <w:t xml:space="preserve">State-level residential home heating oil </w:t>
      </w:r>
      <w:r w:rsidRPr="004C2713">
        <w:t xml:space="preserve">and propane </w:t>
      </w:r>
      <w:r w:rsidR="00FC5FB5" w:rsidRPr="004C2713">
        <w:t>prices are collected by EIA on Forms EIA-</w:t>
      </w:r>
      <w:r w:rsidR="00FC5FB5" w:rsidRPr="00347A8E">
        <w:rPr>
          <w:szCs w:val="22"/>
        </w:rPr>
        <w:t xml:space="preserve">782A, </w:t>
      </w:r>
      <w:r w:rsidR="0085721C" w:rsidRPr="00347A8E">
        <w:rPr>
          <w:szCs w:val="22"/>
        </w:rPr>
        <w:t xml:space="preserve">“Refiners’/Gas Plant Operators’ </w:t>
      </w:r>
      <w:r w:rsidR="00FC5FB5" w:rsidRPr="00347A8E">
        <w:rPr>
          <w:szCs w:val="22"/>
        </w:rPr>
        <w:t>Monthly Petroleum Product Sales Report.</w:t>
      </w:r>
      <w:r w:rsidR="003C2BD7" w:rsidRPr="00347A8E">
        <w:rPr>
          <w:szCs w:val="22"/>
        </w:rPr>
        <w:t>”</w:t>
      </w:r>
      <w:r w:rsidR="00FC5FB5" w:rsidRPr="004C2713">
        <w:t xml:space="preserve">  However, since these prices are weighted by the volume of residential sales, the data are not available until approximately 60 </w:t>
      </w:r>
      <w:r w:rsidR="00FC5FB5" w:rsidRPr="004C2713">
        <w:lastRenderedPageBreak/>
        <w:t>days after the end of the month.  Thus, the EIA-782 data do not provide timely enough or frequent enough information for monitoring a potential emergency situation.</w:t>
      </w:r>
    </w:p>
    <w:p w:rsidR="005036F0" w:rsidRDefault="005036F0" w:rsidP="00801FE7">
      <w:pPr>
        <w:pStyle w:val="Bullet"/>
      </w:pPr>
    </w:p>
    <w:p w:rsidR="00FC5FB5" w:rsidRPr="004C2713" w:rsidRDefault="002F5FC8" w:rsidP="00801FE7">
      <w:pPr>
        <w:pStyle w:val="Bullet"/>
      </w:pPr>
      <w:r w:rsidRPr="004C2713">
        <w:t xml:space="preserve">BLS </w:t>
      </w:r>
      <w:r w:rsidR="00FC5FB5" w:rsidRPr="004C2713">
        <w:t xml:space="preserve">publishes monthly residential heating oil prices for metropolitan areas as part of the </w:t>
      </w:r>
      <w:hyperlink r:id="rId174" w:history="1">
        <w:r w:rsidR="00FC5FB5" w:rsidRPr="004C2713">
          <w:rPr>
            <w:rStyle w:val="Hyperlink"/>
            <w:i/>
            <w:iCs/>
          </w:rPr>
          <w:t>Consumer Price Index</w:t>
        </w:r>
        <w:r w:rsidRPr="004C2713">
          <w:rPr>
            <w:rStyle w:val="Hyperlink"/>
            <w:i/>
            <w:iCs/>
          </w:rPr>
          <w:t>,</w:t>
        </w:r>
      </w:hyperlink>
      <w:r w:rsidRPr="004C2713">
        <w:rPr>
          <w:i/>
          <w:iCs/>
        </w:rPr>
        <w:t xml:space="preserve"> </w:t>
      </w:r>
      <w:r w:rsidRPr="004C2713">
        <w:rPr>
          <w:iCs/>
        </w:rPr>
        <w:t>however t</w:t>
      </w:r>
      <w:r w:rsidR="00FC5FB5" w:rsidRPr="004C2713">
        <w:t>he BLS geographic coverage of selected metropolitan areas does not meet the need for State-level prices for ea</w:t>
      </w:r>
      <w:r w:rsidR="00E33963" w:rsidRPr="004C2713">
        <w:t xml:space="preserve">ch heating oil state in the </w:t>
      </w:r>
      <w:r w:rsidR="00C53F45" w:rsidRPr="00D23A63">
        <w:t>SHOPP Program</w:t>
      </w:r>
      <w:r w:rsidR="00D23A63" w:rsidRPr="00D23A63">
        <w:t>.</w:t>
      </w:r>
    </w:p>
    <w:p w:rsidR="00473C55" w:rsidRPr="004C2713" w:rsidRDefault="00473C55" w:rsidP="004C271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734A74" w:rsidRDefault="00631D1D" w:rsidP="00801FE7">
      <w:pPr>
        <w:pStyle w:val="Bullet"/>
      </w:pPr>
      <w:r w:rsidRPr="004C2713">
        <w:t xml:space="preserve">Below is </w:t>
      </w:r>
      <w:r w:rsidR="00734A74">
        <w:t xml:space="preserve">a </w:t>
      </w:r>
      <w:r w:rsidRPr="004C2713">
        <w:t xml:space="preserve">comparison of </w:t>
      </w:r>
      <w:r w:rsidR="00473C55" w:rsidRPr="004C2713">
        <w:t xml:space="preserve">EIA-878 </w:t>
      </w:r>
      <w:r w:rsidRPr="004C2713">
        <w:t>with other d</w:t>
      </w:r>
      <w:r w:rsidR="002F5FC8" w:rsidRPr="004C2713">
        <w:t>ata sources</w:t>
      </w:r>
      <w:r w:rsidR="00734A74">
        <w:t>:</w:t>
      </w:r>
    </w:p>
    <w:p w:rsidR="00982CBC" w:rsidRDefault="003934CE" w:rsidP="005036F0">
      <w:pPr>
        <w:pStyle w:val="Bullet"/>
        <w:numPr>
          <w:ilvl w:val="0"/>
          <w:numId w:val="34"/>
        </w:numPr>
        <w:ind w:left="720"/>
      </w:pPr>
      <w:r w:rsidRPr="004C2713">
        <w:t>The EIA-878 survey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w:t>
      </w:r>
      <w:r w:rsidR="005D7AA4" w:rsidRPr="004C2713">
        <w:t>PA</w:t>
      </w:r>
      <w:r w:rsidRPr="004C2713">
        <w:t xml:space="preserve"> that satisfy EIA and EIA’s customers’ requirements for unbiased, representative, current price data.  </w:t>
      </w:r>
      <w:r w:rsidRPr="00982CBC">
        <w:rPr>
          <w:szCs w:val="22"/>
        </w:rPr>
        <w:t>The</w:t>
      </w:r>
      <w:r w:rsidR="00982CBC" w:rsidRPr="00982CBC">
        <w:rPr>
          <w:szCs w:val="22"/>
        </w:rPr>
        <w:t xml:space="preserve"> </w:t>
      </w:r>
      <w:hyperlink r:id="rId175" w:history="1">
        <w:r w:rsidR="00982CBC" w:rsidRPr="00982CBC">
          <w:rPr>
            <w:rStyle w:val="Hyperlink"/>
            <w:szCs w:val="22"/>
          </w:rPr>
          <w:t>Lundberg Survey</w:t>
        </w:r>
      </w:hyperlink>
      <w:r w:rsidRPr="004C2713">
        <w:t xml:space="preserve"> is considered inadequate since it only collects prices every other Friday which isn't frequent enough to monitor fast developing market shifts.  </w:t>
      </w:r>
    </w:p>
    <w:p w:rsidR="00631D1D" w:rsidRDefault="003934CE" w:rsidP="005036F0">
      <w:pPr>
        <w:pStyle w:val="Bullet"/>
        <w:numPr>
          <w:ilvl w:val="0"/>
          <w:numId w:val="34"/>
        </w:numPr>
        <w:ind w:left="720"/>
      </w:pPr>
      <w:r w:rsidRPr="004C2713">
        <w:t xml:space="preserve">The </w:t>
      </w:r>
      <w:hyperlink r:id="rId176" w:history="1">
        <w:r w:rsidRPr="004C2713">
          <w:rPr>
            <w:rStyle w:val="Hyperlink"/>
          </w:rPr>
          <w:t>American Automobile Association</w:t>
        </w:r>
      </w:hyperlink>
      <w:r w:rsidR="003237D6" w:rsidRPr="004C2713">
        <w:rPr>
          <w:color w:val="FF0000"/>
        </w:rPr>
        <w:t xml:space="preserve"> </w:t>
      </w:r>
      <w:r w:rsidRPr="004C2713">
        <w:t xml:space="preserve">releases daily retail price information from its website based on data provided by the </w:t>
      </w:r>
      <w:hyperlink r:id="rId177" w:history="1">
        <w:r w:rsidRPr="004C2713">
          <w:rPr>
            <w:rStyle w:val="Hyperlink"/>
          </w:rPr>
          <w:t>Oil Price Information Service (OPIS).</w:t>
        </w:r>
      </w:hyperlink>
      <w:r w:rsidRPr="004C2713">
        <w:t xml:space="preserve">  These prices are credit card transaction based and do not represent a specific point in time.  In addition, it is not known how representative the set of transactions are of all retail outlets.  They also do not provide separate prices by formulation of gasoline, such as reformulated or conventional gasoline.  The EIA-782</w:t>
      </w:r>
      <w:r w:rsidR="00363A3D">
        <w:t>A</w:t>
      </w:r>
      <w:r w:rsidRPr="004C2713">
        <w:t xml:space="preserve">, </w:t>
      </w:r>
      <w:r w:rsidR="00347A8E" w:rsidRPr="00347A8E">
        <w:rPr>
          <w:szCs w:val="22"/>
        </w:rPr>
        <w:t xml:space="preserve">“Refiners’/Gas Plant Operators’ </w:t>
      </w:r>
      <w:r w:rsidRPr="00347A8E">
        <w:rPr>
          <w:szCs w:val="22"/>
        </w:rPr>
        <w:t>Monthly Petroleum Product Sales Report"</w:t>
      </w:r>
      <w:r w:rsidRPr="004C2713">
        <w:t xml:space="preserve"> survey only publishes a retail gasoline price once a month, three month</w:t>
      </w:r>
      <w:r w:rsidR="00F90571" w:rsidRPr="004C2713">
        <w:t>s</w:t>
      </w:r>
      <w:r w:rsidRPr="004C2713">
        <w:t xml:space="preserve"> a</w:t>
      </w:r>
      <w:r w:rsidR="00CA021E" w:rsidRPr="004C2713">
        <w:t xml:space="preserve">fter the reference </w:t>
      </w:r>
      <w:r w:rsidR="00CA021E" w:rsidRPr="00347A8E">
        <w:rPr>
          <w:szCs w:val="22"/>
        </w:rPr>
        <w:t>period</w:t>
      </w:r>
      <w:r w:rsidR="00347A8E" w:rsidRPr="00347A8E">
        <w:rPr>
          <w:szCs w:val="22"/>
        </w:rPr>
        <w:t>, but it only represents refiner prices and not prices from the retailers.</w:t>
      </w:r>
      <w:r w:rsidR="00CA021E" w:rsidRPr="00347A8E">
        <w:rPr>
          <w:szCs w:val="22"/>
        </w:rPr>
        <w:t xml:space="preserve">  </w:t>
      </w:r>
      <w:r w:rsidR="00F21988" w:rsidRPr="00347A8E">
        <w:rPr>
          <w:szCs w:val="22"/>
        </w:rPr>
        <w:t>BLS’s</w:t>
      </w:r>
      <w:r w:rsidRPr="004C2713">
        <w:t xml:space="preserve"> </w:t>
      </w:r>
      <w:hyperlink r:id="rId178" w:history="1">
        <w:r w:rsidRPr="004C2713">
          <w:rPr>
            <w:rStyle w:val="Hyperlink"/>
          </w:rPr>
          <w:t>Consumer Price Index</w:t>
        </w:r>
      </w:hyperlink>
      <w:r w:rsidRPr="004C2713">
        <w:t xml:space="preserve"> is available for select cities, but State averages and averages by PADDs are </w:t>
      </w:r>
      <w:r w:rsidR="00B139EF" w:rsidRPr="004C2713">
        <w:t>un</w:t>
      </w:r>
      <w:r w:rsidRPr="004C2713">
        <w:t xml:space="preserve">available.  Thus, due to timeliness, frequency, and reliability problems, other data sources do not meet </w:t>
      </w:r>
      <w:r w:rsidR="00F90571" w:rsidRPr="004C2713">
        <w:t xml:space="preserve">the </w:t>
      </w:r>
      <w:r w:rsidRPr="004C2713">
        <w:t>EIA's need for timely, independent source prices.</w:t>
      </w:r>
    </w:p>
    <w:p w:rsidR="00631D1D" w:rsidRPr="004C2713" w:rsidRDefault="00631D1D" w:rsidP="005036F0">
      <w:pPr>
        <w:pStyle w:val="Bullet"/>
        <w:numPr>
          <w:ilvl w:val="0"/>
          <w:numId w:val="34"/>
        </w:numPr>
        <w:ind w:left="720"/>
      </w:pPr>
      <w:r w:rsidRPr="004C2713">
        <w:t>Other data sources did not provided the required frequency, timeliness, and coverage needed to monitor regional retail motor gasoline prices.</w:t>
      </w:r>
    </w:p>
    <w:p w:rsidR="004E5DF3" w:rsidRPr="004C2713" w:rsidRDefault="004E5DF3" w:rsidP="00801FE7">
      <w:pPr>
        <w:pStyle w:val="Bullet"/>
      </w:pPr>
    </w:p>
    <w:p w:rsidR="00982CBC" w:rsidRDefault="004E1172" w:rsidP="00801FE7">
      <w:pPr>
        <w:pStyle w:val="Bullet"/>
      </w:pPr>
      <w:r>
        <w:lastRenderedPageBreak/>
        <w:t>A r</w:t>
      </w:r>
      <w:r w:rsidR="00CB6D1F" w:rsidRPr="004C2713">
        <w:t xml:space="preserve">eview of </w:t>
      </w:r>
      <w:r w:rsidR="0085721C">
        <w:t xml:space="preserve">the </w:t>
      </w:r>
      <w:r w:rsidR="00CB6D1F" w:rsidRPr="004C2713">
        <w:t>EIA-888</w:t>
      </w:r>
      <w:r w:rsidR="00473C55" w:rsidRPr="004C2713">
        <w:t xml:space="preserve"> data comparison with other data sources</w:t>
      </w:r>
      <w:r>
        <w:t xml:space="preserve"> found </w:t>
      </w:r>
      <w:r w:rsidR="003934CE" w:rsidRPr="004C2713">
        <w:t xml:space="preserve">no known surveys that use statistical sampling and estimation methods to publish the most representative and current on-highway diesel fuel prices on a weekly basis.  </w:t>
      </w:r>
    </w:p>
    <w:p w:rsidR="00982CBC" w:rsidRDefault="003934CE" w:rsidP="00734A74">
      <w:pPr>
        <w:pStyle w:val="Bullet"/>
        <w:numPr>
          <w:ilvl w:val="0"/>
          <w:numId w:val="31"/>
        </w:numPr>
      </w:pPr>
      <w:r w:rsidRPr="004C2713">
        <w:t xml:space="preserve">The </w:t>
      </w:r>
      <w:hyperlink r:id="rId179" w:history="1">
        <w:r w:rsidRPr="004C2713">
          <w:rPr>
            <w:rStyle w:val="Hyperlink"/>
          </w:rPr>
          <w:t>Oil Price Information Service</w:t>
        </w:r>
        <w:r w:rsidR="00CA021E" w:rsidRPr="004C2713">
          <w:rPr>
            <w:rStyle w:val="Hyperlink"/>
          </w:rPr>
          <w:t xml:space="preserve"> (OPIS)</w:t>
        </w:r>
      </w:hyperlink>
      <w:r w:rsidR="00667C26">
        <w:t xml:space="preserve"> </w:t>
      </w:r>
      <w:hyperlink r:id="rId180" w:history="1">
        <w:r w:rsidRPr="008C399D">
          <w:rPr>
            <w:rStyle w:val="Hyperlink"/>
            <w:szCs w:val="22"/>
          </w:rPr>
          <w:t>T</w:t>
        </w:r>
        <w:r w:rsidR="00CA021E" w:rsidRPr="008C399D">
          <w:rPr>
            <w:rStyle w:val="Hyperlink"/>
            <w:szCs w:val="22"/>
          </w:rPr>
          <w:t>-</w:t>
        </w:r>
        <w:r w:rsidRPr="008C399D">
          <w:rPr>
            <w:rStyle w:val="Hyperlink"/>
            <w:szCs w:val="22"/>
          </w:rPr>
          <w:t>CHEK</w:t>
        </w:r>
      </w:hyperlink>
      <w:r w:rsidR="008C399D" w:rsidRPr="008C399D">
        <w:rPr>
          <w:szCs w:val="22"/>
        </w:rPr>
        <w:t xml:space="preserve"> and </w:t>
      </w:r>
      <w:hyperlink r:id="rId181" w:history="1">
        <w:r w:rsidR="008C399D" w:rsidRPr="008C399D">
          <w:rPr>
            <w:rStyle w:val="Hyperlink"/>
            <w:szCs w:val="22"/>
          </w:rPr>
          <w:t>AXXIS Petro</w:t>
        </w:r>
      </w:hyperlink>
      <w:r w:rsidR="008C399D" w:rsidRPr="008C399D">
        <w:rPr>
          <w:szCs w:val="22"/>
        </w:rPr>
        <w:t xml:space="preserve"> </w:t>
      </w:r>
      <w:r w:rsidR="00667C26" w:rsidRPr="008C399D">
        <w:rPr>
          <w:szCs w:val="22"/>
        </w:rPr>
        <w:t xml:space="preserve"> </w:t>
      </w:r>
      <w:r w:rsidRPr="008C399D">
        <w:rPr>
          <w:szCs w:val="22"/>
        </w:rPr>
        <w:t>col</w:t>
      </w:r>
      <w:r w:rsidRPr="004C2713">
        <w:t xml:space="preserve">lect daily prices for on-highway retail diesel fuel from an unspecified sample of outlets and sell the data for a fee.  Their samples lack adequate refiner coverage in some regions, have an insufficient rural/urban mix, and also draw heavily from outlets that have a data link with credit companies and are not probability based.  </w:t>
      </w:r>
    </w:p>
    <w:p w:rsidR="00982CBC" w:rsidRDefault="003934CE" w:rsidP="00734A74">
      <w:pPr>
        <w:pStyle w:val="Bullet"/>
        <w:numPr>
          <w:ilvl w:val="0"/>
          <w:numId w:val="31"/>
        </w:numPr>
      </w:pPr>
      <w:r w:rsidRPr="00982CBC">
        <w:rPr>
          <w:szCs w:val="22"/>
        </w:rPr>
        <w:t>The</w:t>
      </w:r>
      <w:r w:rsidR="00982CBC" w:rsidRPr="00982CBC">
        <w:rPr>
          <w:szCs w:val="22"/>
        </w:rPr>
        <w:t xml:space="preserve"> </w:t>
      </w:r>
      <w:hyperlink r:id="rId182" w:history="1">
        <w:r w:rsidR="00982CBC" w:rsidRPr="00982CBC">
          <w:rPr>
            <w:rStyle w:val="Hyperlink"/>
            <w:szCs w:val="22"/>
          </w:rPr>
          <w:t>Lundberg Survey</w:t>
        </w:r>
      </w:hyperlink>
      <w:r w:rsidR="00CB6D1F" w:rsidRPr="00982CBC">
        <w:rPr>
          <w:szCs w:val="22"/>
        </w:rPr>
        <w:t xml:space="preserve"> publishes retail</w:t>
      </w:r>
      <w:r w:rsidR="00CB6D1F" w:rsidRPr="00982CBC">
        <w:t xml:space="preserve"> </w:t>
      </w:r>
      <w:r w:rsidRPr="00982CBC">
        <w:t xml:space="preserve">diesel fuel prices by PADD and nationally.  The Lundberg survey is inadequate to use to monitor changes in retail motor vehicle diesel fuel prices because it only publishes prices twice-monthly.  In addition, its methodology is not made publicly available.  </w:t>
      </w:r>
    </w:p>
    <w:p w:rsidR="00805025" w:rsidRPr="00982CBC" w:rsidRDefault="00CA021E" w:rsidP="00734A74">
      <w:pPr>
        <w:pStyle w:val="Bullet"/>
        <w:numPr>
          <w:ilvl w:val="0"/>
          <w:numId w:val="31"/>
        </w:numPr>
      </w:pPr>
      <w:r w:rsidRPr="00982CBC">
        <w:t>BLS’</w:t>
      </w:r>
      <w:r w:rsidR="003934CE" w:rsidRPr="00982CBC">
        <w:t xml:space="preserve"> </w:t>
      </w:r>
      <w:hyperlink r:id="rId183" w:history="1">
        <w:r w:rsidR="003934CE" w:rsidRPr="00982CBC">
          <w:rPr>
            <w:rStyle w:val="Hyperlink"/>
          </w:rPr>
          <w:t>Consumer Price Index</w:t>
        </w:r>
      </w:hyperlink>
      <w:r w:rsidR="003934CE" w:rsidRPr="00982CBC">
        <w:t xml:space="preserve"> </w:t>
      </w:r>
      <w:r w:rsidR="003934CE" w:rsidRPr="00982CBC">
        <w:rPr>
          <w:color w:val="000000"/>
        </w:rPr>
        <w:t xml:space="preserve">is available for select cities, but state averages and averages by PADDs are not available.  </w:t>
      </w:r>
    </w:p>
    <w:p w:rsidR="004E1172" w:rsidRDefault="004E1172" w:rsidP="00801FE7">
      <w:pPr>
        <w:pStyle w:val="Bullet"/>
      </w:pPr>
    </w:p>
    <w:p w:rsidR="00631D1D" w:rsidRPr="004C2713" w:rsidRDefault="00473C55" w:rsidP="00801FE7">
      <w:pPr>
        <w:pStyle w:val="Bullet"/>
      </w:pPr>
      <w:r w:rsidRPr="004C2713">
        <w:t xml:space="preserve">An evaluation of similar </w:t>
      </w:r>
      <w:r w:rsidR="00363A3D">
        <w:t>diesel fuel</w:t>
      </w:r>
      <w:r w:rsidR="00D6279E" w:rsidRPr="00667C26">
        <w:t xml:space="preserve"> </w:t>
      </w:r>
      <w:r w:rsidRPr="00667C26">
        <w:t>data</w:t>
      </w:r>
      <w:r w:rsidRPr="004C2713">
        <w:t xml:space="preserve"> found no other sources that provided the required frequency, timeliness, and coverage needed to monitor regional retail on-highway diesel fuel prices.</w:t>
      </w:r>
    </w:p>
    <w:p w:rsidR="00107D3E" w:rsidRPr="00540778" w:rsidRDefault="00107D3E" w:rsidP="00D20878">
      <w:pPr>
        <w:pStyle w:val="Heading1"/>
      </w:pPr>
      <w:r w:rsidRPr="00540778">
        <w:t>The Inadequacies of Similar Data</w:t>
      </w:r>
    </w:p>
    <w:p w:rsidR="00653FB4" w:rsidRPr="00540778" w:rsidRDefault="00653FB4"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102A7A"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There are three different method for calculating crude oil and petroleum product price data: </w:t>
      </w:r>
      <w:r w:rsidR="00102A7A" w:rsidRPr="004E1172">
        <w:rPr>
          <w:rFonts w:asciiTheme="minorHAnsi" w:hAnsiTheme="minorHAnsi"/>
          <w:color w:val="000000"/>
          <w:sz w:val="22"/>
        </w:rPr>
        <w:t xml:space="preserve">(1) </w:t>
      </w:r>
      <w:r w:rsidRPr="004E1172">
        <w:rPr>
          <w:rFonts w:asciiTheme="minorHAnsi" w:hAnsiTheme="minorHAnsi"/>
          <w:color w:val="000000"/>
          <w:sz w:val="22"/>
        </w:rPr>
        <w:t xml:space="preserve">posted or spot prices, </w:t>
      </w:r>
      <w:r w:rsidR="00102A7A" w:rsidRPr="004E1172">
        <w:rPr>
          <w:rFonts w:asciiTheme="minorHAnsi" w:hAnsiTheme="minorHAnsi"/>
          <w:color w:val="000000"/>
          <w:sz w:val="22"/>
        </w:rPr>
        <w:t xml:space="preserve">(2) </w:t>
      </w:r>
      <w:r w:rsidRPr="004E1172">
        <w:rPr>
          <w:rFonts w:asciiTheme="minorHAnsi" w:hAnsiTheme="minorHAnsi"/>
          <w:color w:val="000000"/>
          <w:sz w:val="22"/>
        </w:rPr>
        <w:t xml:space="preserve">base period weighted average prices, and </w:t>
      </w:r>
      <w:r w:rsidR="00102A7A" w:rsidRPr="004E1172">
        <w:rPr>
          <w:rFonts w:asciiTheme="minorHAnsi" w:hAnsiTheme="minorHAnsi"/>
          <w:color w:val="000000"/>
          <w:sz w:val="22"/>
        </w:rPr>
        <w:t xml:space="preserve">(3) </w:t>
      </w:r>
      <w:r w:rsidRPr="004E1172">
        <w:rPr>
          <w:rFonts w:asciiTheme="minorHAnsi" w:hAnsiTheme="minorHAnsi"/>
          <w:color w:val="000000"/>
          <w:sz w:val="22"/>
        </w:rPr>
        <w:t xml:space="preserve">current period weighted average prices.  </w:t>
      </w:r>
    </w:p>
    <w:p w:rsidR="00102A7A" w:rsidRPr="004E1172" w:rsidRDefault="00102A7A"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2A7A"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t xml:space="preserve">Posted or spot prices are collections of bid/post prices from a supplier or suppliers at a given location for a given size shipment.  These prices are primarily useful to purchasers and sellers who are intimately involved in evaluating marginal prices in a volatile market on a daily basis.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products; nor do they indicate how much volume is purchased or sold at that price (i.e. no product may have been sold at all at a particular posted price).  Among the daily/weekly journals publishing posted/spot prices are: </w:t>
      </w:r>
      <w:hyperlink r:id="rId184" w:history="1">
        <w:r w:rsidRPr="004E1172">
          <w:rPr>
            <w:rStyle w:val="Hyperlink"/>
            <w:rFonts w:asciiTheme="minorHAnsi" w:hAnsiTheme="minorHAnsi"/>
            <w:i/>
            <w:iCs/>
            <w:sz w:val="22"/>
          </w:rPr>
          <w:t>Petroleum Intelligence Weekly</w:t>
        </w:r>
      </w:hyperlink>
      <w:r w:rsidRPr="004E1172">
        <w:rPr>
          <w:rFonts w:asciiTheme="minorHAnsi" w:hAnsiTheme="minorHAnsi"/>
          <w:i/>
          <w:iCs/>
          <w:sz w:val="22"/>
        </w:rPr>
        <w:t xml:space="preserve">, Oil Daily, </w:t>
      </w:r>
      <w:hyperlink r:id="rId185" w:history="1">
        <w:r w:rsidRPr="004E1172">
          <w:rPr>
            <w:rStyle w:val="Hyperlink"/>
            <w:rFonts w:asciiTheme="minorHAnsi" w:hAnsiTheme="minorHAnsi"/>
            <w:i/>
            <w:iCs/>
            <w:sz w:val="22"/>
          </w:rPr>
          <w:t>Journal of Commerce</w:t>
        </w:r>
      </w:hyperlink>
      <w:r w:rsidRPr="004E1172">
        <w:rPr>
          <w:rFonts w:asciiTheme="minorHAnsi" w:hAnsiTheme="minorHAnsi"/>
          <w:i/>
          <w:iCs/>
          <w:sz w:val="22"/>
        </w:rPr>
        <w:t xml:space="preserve">, </w:t>
      </w:r>
      <w:hyperlink r:id="rId186" w:history="1">
        <w:r w:rsidRPr="004E1172">
          <w:rPr>
            <w:rStyle w:val="Hyperlink"/>
            <w:rFonts w:asciiTheme="minorHAnsi" w:hAnsiTheme="minorHAnsi"/>
            <w:i/>
            <w:iCs/>
            <w:sz w:val="22"/>
          </w:rPr>
          <w:t>Mid-East Journal</w:t>
        </w:r>
      </w:hyperlink>
      <w:r w:rsidRPr="004E1172">
        <w:rPr>
          <w:rFonts w:asciiTheme="minorHAnsi" w:hAnsiTheme="minorHAnsi"/>
          <w:i/>
          <w:iCs/>
          <w:sz w:val="22"/>
        </w:rPr>
        <w:t xml:space="preserve">, </w:t>
      </w:r>
      <w:hyperlink r:id="rId187" w:history="1">
        <w:r w:rsidRPr="004E1172">
          <w:rPr>
            <w:rStyle w:val="Hyperlink"/>
            <w:rFonts w:asciiTheme="minorHAnsi" w:hAnsiTheme="minorHAnsi"/>
            <w:i/>
            <w:iCs/>
            <w:sz w:val="22"/>
          </w:rPr>
          <w:t>Arab Oil and Gas</w:t>
        </w:r>
      </w:hyperlink>
      <w:r w:rsidRPr="004E1172">
        <w:rPr>
          <w:rFonts w:asciiTheme="minorHAnsi" w:hAnsiTheme="minorHAnsi"/>
          <w:i/>
          <w:iCs/>
          <w:sz w:val="22"/>
        </w:rPr>
        <w:t xml:space="preserve">, </w:t>
      </w:r>
      <w:hyperlink r:id="rId188" w:history="1">
        <w:r w:rsidRPr="004E1172">
          <w:rPr>
            <w:rStyle w:val="Hyperlink"/>
            <w:rFonts w:asciiTheme="minorHAnsi" w:hAnsiTheme="minorHAnsi"/>
            <w:i/>
            <w:iCs/>
            <w:sz w:val="22"/>
          </w:rPr>
          <w:t>Oil Express</w:t>
        </w:r>
      </w:hyperlink>
      <w:r w:rsidRPr="004E1172">
        <w:rPr>
          <w:rFonts w:asciiTheme="minorHAnsi" w:hAnsiTheme="minorHAnsi"/>
          <w:i/>
          <w:iCs/>
          <w:sz w:val="22"/>
        </w:rPr>
        <w:t xml:space="preserve">, </w:t>
      </w:r>
      <w:hyperlink r:id="rId189" w:history="1">
        <w:r w:rsidRPr="004E1172">
          <w:rPr>
            <w:rStyle w:val="Hyperlink"/>
            <w:rFonts w:asciiTheme="minorHAnsi" w:hAnsiTheme="minorHAnsi"/>
            <w:i/>
            <w:iCs/>
            <w:sz w:val="22"/>
          </w:rPr>
          <w:t>Platts Oilgram</w:t>
        </w:r>
      </w:hyperlink>
      <w:r w:rsidRPr="004E1172">
        <w:rPr>
          <w:rFonts w:asciiTheme="minorHAnsi" w:hAnsiTheme="minorHAnsi"/>
          <w:sz w:val="22"/>
        </w:rPr>
        <w:t xml:space="preserve">, and </w:t>
      </w:r>
      <w:hyperlink r:id="rId190" w:history="1">
        <w:r w:rsidRPr="004E1172">
          <w:rPr>
            <w:rStyle w:val="Hyperlink"/>
            <w:rFonts w:asciiTheme="minorHAnsi" w:hAnsiTheme="minorHAnsi"/>
            <w:i/>
            <w:iCs/>
            <w:sz w:val="22"/>
          </w:rPr>
          <w:t>Oil Buyers Guide International</w:t>
        </w:r>
      </w:hyperlink>
      <w:r w:rsidRPr="004E1172">
        <w:rPr>
          <w:rFonts w:asciiTheme="minorHAnsi" w:hAnsiTheme="minorHAnsi"/>
          <w:sz w:val="22"/>
        </w:rPr>
        <w:t>.</w:t>
      </w:r>
    </w:p>
    <w:p w:rsidR="006E7570" w:rsidRPr="006E7570" w:rsidRDefault="006E7570" w:rsidP="006E7570">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rPr>
          <w:rFonts w:asciiTheme="minorHAnsi" w:hAnsiTheme="minorHAnsi"/>
          <w:color w:val="FF0000"/>
          <w:sz w:val="22"/>
        </w:rPr>
      </w:pPr>
    </w:p>
    <w:p w:rsidR="00102A7A" w:rsidRPr="006E7570"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color w:val="000000"/>
          <w:sz w:val="22"/>
        </w:rPr>
        <w:lastRenderedPageBreak/>
        <w:t xml:space="preserve">Base period weighted average prices </w:t>
      </w:r>
      <w:r w:rsidRPr="004E1172">
        <w:rPr>
          <w:rFonts w:asciiTheme="minorHAnsi" w:hAnsiTheme="minorHAnsi"/>
          <w:sz w:val="22"/>
        </w:rPr>
        <w:t>employ fixed weight</w:t>
      </w:r>
      <w:r w:rsidR="0084702F" w:rsidRPr="004E1172">
        <w:rPr>
          <w:rFonts w:asciiTheme="minorHAnsi" w:hAnsiTheme="minorHAnsi"/>
          <w:sz w:val="22"/>
        </w:rPr>
        <w:t>s</w:t>
      </w:r>
      <w:r w:rsidRPr="004E1172">
        <w:rPr>
          <w:rFonts w:asciiTheme="minorHAnsi" w:hAnsiTheme="minorHAnsi"/>
          <w:sz w:val="22"/>
        </w:rPr>
        <w:t>.</w:t>
      </w:r>
      <w:r w:rsidRPr="004E1172">
        <w:rPr>
          <w:rFonts w:asciiTheme="minorHAnsi" w:hAnsiTheme="minorHAnsi"/>
          <w:color w:val="000000"/>
          <w:sz w:val="22"/>
        </w:rPr>
        <w:t xml:space="preserve">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an overall shift in sales from conventional gasoline to reformulated gasoline is a market shift that may not be reflected using a fixed weight methodology.  Among the best known sources using this method are the </w:t>
      </w:r>
      <w:r w:rsidRPr="004E1172">
        <w:rPr>
          <w:rFonts w:asciiTheme="minorHAnsi" w:hAnsiTheme="minorHAnsi"/>
          <w:sz w:val="22"/>
        </w:rPr>
        <w:t xml:space="preserve">Department of Agriculture, the Bureau of Labor Statistics, and </w:t>
      </w:r>
      <w:hyperlink r:id="rId191" w:history="1">
        <w:r w:rsidR="006E7570" w:rsidRPr="00982CBC">
          <w:rPr>
            <w:rStyle w:val="Hyperlink"/>
            <w:rFonts w:asciiTheme="minorHAnsi" w:hAnsiTheme="minorHAnsi"/>
            <w:sz w:val="22"/>
            <w:szCs w:val="22"/>
          </w:rPr>
          <w:t>Lundberg Survey</w:t>
        </w:r>
      </w:hyperlink>
      <w:r w:rsidR="006E7570">
        <w:t>.</w:t>
      </w:r>
    </w:p>
    <w:p w:rsidR="00102A7A" w:rsidRPr="006E7570" w:rsidRDefault="00102A7A" w:rsidP="004E1172">
      <w:pPr>
        <w:pStyle w:val="ListParagraph"/>
        <w:spacing w:line="360" w:lineRule="auto"/>
        <w:rPr>
          <w:rFonts w:asciiTheme="minorHAnsi" w:hAnsiTheme="minorHAnsi"/>
          <w:sz w:val="22"/>
        </w:rPr>
      </w:pPr>
    </w:p>
    <w:p w:rsidR="00107D3E" w:rsidRPr="004E1172" w:rsidRDefault="00107D3E" w:rsidP="004608BE">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current period weighted average price method employed by EIA takes the reference month's sales volumes and the revenue for the reference month to calculate a weighted average price for that month.  This is the only method that takes into account all transactions, including contracts, discounts, and distress sales weighted by their actual volumes of sales, and aggregates them into a representative average price.</w:t>
      </w:r>
      <w:r w:rsidR="00892C68" w:rsidRPr="004E1172">
        <w:rPr>
          <w:rFonts w:asciiTheme="minorHAnsi" w:hAnsiTheme="minorHAnsi"/>
          <w:color w:val="000000"/>
          <w:sz w:val="22"/>
        </w:rPr>
        <w:t xml:space="preserve">  No comparable sources </w:t>
      </w:r>
      <w:r w:rsidR="00835900" w:rsidRPr="004E1172">
        <w:rPr>
          <w:rFonts w:asciiTheme="minorHAnsi" w:hAnsiTheme="minorHAnsi"/>
          <w:color w:val="000000"/>
          <w:sz w:val="22"/>
        </w:rPr>
        <w:t xml:space="preserve">of weekly No. 2 heating oil and propane prices, regional retail motor gasoline prices, and regional retail on-highway diesel fuel prices </w:t>
      </w:r>
      <w:r w:rsidR="00892C68" w:rsidRPr="004E1172">
        <w:rPr>
          <w:rFonts w:asciiTheme="minorHAnsi" w:hAnsiTheme="minorHAnsi"/>
          <w:color w:val="000000"/>
          <w:sz w:val="22"/>
        </w:rPr>
        <w:t>publish prices using this methodology.</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In addition, EIA provides the only availabl</w:t>
      </w:r>
      <w:r w:rsidR="00D6179C" w:rsidRPr="004E1172">
        <w:rPr>
          <w:rFonts w:asciiTheme="minorHAnsi" w:hAnsiTheme="minorHAnsi"/>
          <w:color w:val="000000"/>
          <w:sz w:val="22"/>
        </w:rPr>
        <w:t xml:space="preserve">e source of State prices for a selection of petroleum products </w:t>
      </w:r>
      <w:r w:rsidRPr="004E1172">
        <w:rPr>
          <w:rFonts w:asciiTheme="minorHAnsi" w:hAnsiTheme="minorHAnsi"/>
          <w:color w:val="000000"/>
          <w:sz w:val="22"/>
        </w:rPr>
        <w:t>by various types of sales.  For reasons of content, methodology, industry geography, customer coverage, and the purposes for which the data are collected, EIA data are necessary to allow for the reliable macro/micro analysis of current conditions and trends.</w:t>
      </w:r>
    </w:p>
    <w:p w:rsidR="00107D3E" w:rsidRPr="004E1172" w:rsidRDefault="00107D3E"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B6D1F" w:rsidRPr="00494925" w:rsidRDefault="00AC52A4" w:rsidP="00494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None of these </w:t>
      </w:r>
      <w:r w:rsidR="00E33963" w:rsidRPr="004E1172">
        <w:rPr>
          <w:rFonts w:asciiTheme="minorHAnsi" w:hAnsiTheme="minorHAnsi"/>
          <w:color w:val="000000"/>
          <w:sz w:val="22"/>
        </w:rPr>
        <w:t xml:space="preserve">other </w:t>
      </w:r>
      <w:r w:rsidRPr="004E1172">
        <w:rPr>
          <w:rFonts w:asciiTheme="minorHAnsi" w:hAnsiTheme="minorHAnsi"/>
          <w:color w:val="000000"/>
          <w:sz w:val="22"/>
        </w:rPr>
        <w:t xml:space="preserve">data </w:t>
      </w:r>
      <w:r w:rsidR="00E33963" w:rsidRPr="004E1172">
        <w:rPr>
          <w:rFonts w:asciiTheme="minorHAnsi" w:hAnsiTheme="minorHAnsi"/>
          <w:color w:val="000000"/>
          <w:sz w:val="22"/>
        </w:rPr>
        <w:t>sources  provided the required frequency, timeliness, and geographic coverage needed to monitor No. 2 heating oil and propane prices and inventories, regional retail motor gasoline prices, and regional retail on-highway diesel fuel prices, respectively.</w:t>
      </w:r>
    </w:p>
    <w:p w:rsidR="00CF3FD8" w:rsidRPr="00540778" w:rsidRDefault="00BF7D97" w:rsidP="00D20878">
      <w:pPr>
        <w:pStyle w:val="Heading1"/>
      </w:pPr>
      <w:r>
        <w:t>A</w:t>
      </w:r>
      <w:r w:rsidR="00107D3E" w:rsidRPr="00540778">
        <w:t xml:space="preserve">5. </w:t>
      </w:r>
      <w:r w:rsidR="003533C7" w:rsidRPr="00540778">
        <w:t>Provisions for Reduci</w:t>
      </w:r>
      <w:r w:rsidR="00CF3FD8" w:rsidRPr="00540778">
        <w:t>n</w:t>
      </w:r>
      <w:r w:rsidR="003533C7" w:rsidRPr="00540778">
        <w:t>g</w:t>
      </w:r>
      <w:r w:rsidR="00CF3FD8" w:rsidRPr="00540778">
        <w:t xml:space="preserve"> Burden on Small Businesses</w:t>
      </w:r>
    </w:p>
    <w:p w:rsidR="00756B17" w:rsidRPr="00540778" w:rsidRDefault="00756B1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F7931" w:rsidRPr="00E57FD5" w:rsidRDefault="00CF3FD8" w:rsidP="004E11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trike/>
          <w:sz w:val="22"/>
        </w:rPr>
      </w:pPr>
      <w:r w:rsidRPr="004E1172">
        <w:rPr>
          <w:rFonts w:asciiTheme="minorHAnsi" w:hAnsiTheme="minorHAnsi"/>
          <w:sz w:val="22"/>
        </w:rPr>
        <w:t>Minimizing burden to small businesses is a primary concern to EIA</w:t>
      </w:r>
      <w:r w:rsidRPr="00E57FD5">
        <w:rPr>
          <w:rFonts w:asciiTheme="minorHAnsi" w:hAnsiTheme="minorHAnsi"/>
          <w:sz w:val="22"/>
        </w:rPr>
        <w:t xml:space="preserve">.  </w:t>
      </w:r>
      <w:r w:rsidR="00BC20D8" w:rsidRPr="00E57FD5">
        <w:rPr>
          <w:rFonts w:asciiTheme="minorHAnsi" w:hAnsiTheme="minorHAnsi"/>
          <w:sz w:val="22"/>
        </w:rPr>
        <w:t xml:space="preserve">Alternative modes of data collection seek to reduce respondent burden.  For example, some respondents provide data which can be uploaded, and thus reducing the need for data entry. </w:t>
      </w:r>
    </w:p>
    <w:p w:rsidR="008F7931" w:rsidRPr="00E57FD5" w:rsidRDefault="008F793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p>
    <w:p w:rsidR="00823B3B" w:rsidRPr="00E57FD5" w:rsidRDefault="00823B3B"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E57FD5">
        <w:rPr>
          <w:rFonts w:asciiTheme="minorHAnsi" w:hAnsiTheme="minorHAnsi"/>
          <w:sz w:val="22"/>
        </w:rPr>
        <w:lastRenderedPageBreak/>
        <w:t xml:space="preserve">The crude oil surveys </w:t>
      </w:r>
      <w:r w:rsidR="006E7570">
        <w:rPr>
          <w:rFonts w:asciiTheme="minorHAnsi" w:hAnsiTheme="minorHAnsi"/>
          <w:sz w:val="22"/>
        </w:rPr>
        <w:t>–</w:t>
      </w:r>
      <w:r w:rsidRPr="00E57FD5">
        <w:rPr>
          <w:rFonts w:asciiTheme="minorHAnsi" w:hAnsiTheme="minorHAnsi"/>
          <w:sz w:val="22"/>
        </w:rPr>
        <w:t xml:space="preserve"> EIA</w:t>
      </w:r>
      <w:r w:rsidR="008F7931" w:rsidRPr="00E57FD5">
        <w:rPr>
          <w:rFonts w:asciiTheme="minorHAnsi" w:hAnsiTheme="minorHAnsi"/>
          <w:sz w:val="22"/>
        </w:rPr>
        <w:t xml:space="preserve">-14, EIA-182, and EIA-856 </w:t>
      </w:r>
      <w:r w:rsidR="00BE23DA">
        <w:rPr>
          <w:rFonts w:asciiTheme="minorHAnsi" w:hAnsiTheme="minorHAnsi"/>
          <w:sz w:val="22"/>
        </w:rPr>
        <w:t>–</w:t>
      </w:r>
      <w:r w:rsidR="008F7931" w:rsidRPr="00E57FD5">
        <w:rPr>
          <w:rFonts w:asciiTheme="minorHAnsi" w:hAnsiTheme="minorHAnsi"/>
          <w:sz w:val="22"/>
        </w:rPr>
        <w:t xml:space="preserve"> </w:t>
      </w:r>
      <w:r w:rsidR="00BE23DA">
        <w:rPr>
          <w:rFonts w:asciiTheme="minorHAnsi" w:hAnsiTheme="minorHAnsi"/>
          <w:sz w:val="22"/>
        </w:rPr>
        <w:t xml:space="preserve">do not </w:t>
      </w:r>
      <w:r w:rsidRPr="00E57FD5">
        <w:rPr>
          <w:rFonts w:asciiTheme="minorHAnsi" w:hAnsiTheme="minorHAnsi"/>
          <w:sz w:val="22"/>
        </w:rPr>
        <w:t>include small businesses in their respondent populations.</w:t>
      </w:r>
      <w:r w:rsidR="008F7931" w:rsidRPr="00E57FD5">
        <w:rPr>
          <w:rFonts w:asciiTheme="minorHAnsi" w:hAnsiTheme="minorHAnsi"/>
          <w:sz w:val="22"/>
        </w:rPr>
        <w:t xml:space="preserve"> </w:t>
      </w:r>
    </w:p>
    <w:p w:rsidR="00823B3B" w:rsidRPr="00E57FD5" w:rsidRDefault="00823B3B" w:rsidP="004E1172">
      <w:pPr>
        <w:pStyle w:val="BodyText"/>
        <w:spacing w:line="360" w:lineRule="auto"/>
        <w:jc w:val="left"/>
        <w:rPr>
          <w:rFonts w:asciiTheme="minorHAnsi" w:hAnsiTheme="minorHAnsi"/>
          <w:color w:val="auto"/>
          <w:sz w:val="22"/>
        </w:rPr>
      </w:pPr>
    </w:p>
    <w:p w:rsidR="00844971" w:rsidRDefault="00823B3B" w:rsidP="004E1172">
      <w:pPr>
        <w:pStyle w:val="BodyText"/>
        <w:spacing w:line="360" w:lineRule="auto"/>
        <w:jc w:val="left"/>
        <w:rPr>
          <w:rFonts w:asciiTheme="minorHAnsi" w:hAnsiTheme="minorHAnsi"/>
          <w:color w:val="auto"/>
          <w:sz w:val="22"/>
        </w:rPr>
      </w:pPr>
      <w:r w:rsidRPr="00E57FD5">
        <w:rPr>
          <w:rFonts w:asciiTheme="minorHAnsi" w:hAnsiTheme="minorHAnsi"/>
          <w:color w:val="auto"/>
          <w:sz w:val="22"/>
        </w:rPr>
        <w:t xml:space="preserve">On the annual and weekly sample surveys - EIA-821, EIA-877, </w:t>
      </w:r>
      <w:r w:rsidR="006E7570">
        <w:rPr>
          <w:rFonts w:asciiTheme="minorHAnsi" w:hAnsiTheme="minorHAnsi"/>
          <w:color w:val="auto"/>
          <w:sz w:val="22"/>
        </w:rPr>
        <w:t>EIA-878, and E</w:t>
      </w:r>
      <w:r w:rsidRPr="00E57FD5">
        <w:rPr>
          <w:rFonts w:asciiTheme="minorHAnsi" w:hAnsiTheme="minorHAnsi"/>
          <w:color w:val="auto"/>
          <w:sz w:val="22"/>
        </w:rPr>
        <w:t>IA-888 - i</w:t>
      </w:r>
      <w:r w:rsidR="00CF3FD8" w:rsidRPr="00E57FD5">
        <w:rPr>
          <w:rFonts w:asciiTheme="minorHAnsi" w:hAnsiTheme="minorHAnsi"/>
          <w:color w:val="auto"/>
          <w:sz w:val="22"/>
        </w:rPr>
        <w:t xml:space="preserve">t is important that all sizes of firms, large and small, </w:t>
      </w:r>
      <w:r w:rsidRPr="00E57FD5">
        <w:rPr>
          <w:rFonts w:asciiTheme="minorHAnsi" w:hAnsiTheme="minorHAnsi"/>
          <w:color w:val="auto"/>
          <w:sz w:val="22"/>
        </w:rPr>
        <w:t>participate in order t</w:t>
      </w:r>
      <w:r w:rsidR="00CF3FD8" w:rsidRPr="00E57FD5">
        <w:rPr>
          <w:rFonts w:asciiTheme="minorHAnsi" w:hAnsiTheme="minorHAnsi"/>
          <w:color w:val="auto"/>
          <w:sz w:val="22"/>
        </w:rPr>
        <w:t>o obtain a proper representation of the petroleum industry.  The inclusion of smaller firms is necessary to accurately portray State volumes and prices</w:t>
      </w:r>
      <w:r w:rsidRPr="00E57FD5">
        <w:rPr>
          <w:rFonts w:asciiTheme="minorHAnsi" w:hAnsiTheme="minorHAnsi"/>
          <w:color w:val="auto"/>
          <w:sz w:val="22"/>
        </w:rPr>
        <w:t xml:space="preserve"> while seeking to minimize burden for small businesses through sampling techniques</w:t>
      </w:r>
      <w:r w:rsidR="00CF3FD8" w:rsidRPr="00E57FD5">
        <w:rPr>
          <w:rFonts w:asciiTheme="minorHAnsi" w:hAnsiTheme="minorHAnsi"/>
          <w:color w:val="auto"/>
          <w:sz w:val="22"/>
        </w:rPr>
        <w:t xml:space="preserve">.  </w:t>
      </w:r>
    </w:p>
    <w:p w:rsidR="00BE23DA" w:rsidRPr="00E57FD5" w:rsidRDefault="00BE23DA" w:rsidP="004E1172">
      <w:pPr>
        <w:pStyle w:val="BodyText"/>
        <w:spacing w:line="360" w:lineRule="auto"/>
        <w:jc w:val="left"/>
        <w:rPr>
          <w:rFonts w:asciiTheme="minorHAnsi" w:hAnsiTheme="minorHAnsi"/>
          <w:color w:val="auto"/>
          <w:sz w:val="22"/>
        </w:rPr>
      </w:pPr>
    </w:p>
    <w:p w:rsidR="00406F14" w:rsidRPr="004E1172" w:rsidRDefault="00290B13" w:rsidP="00325ACE">
      <w:pPr>
        <w:pStyle w:val="TEXT"/>
        <w:spacing w:line="360" w:lineRule="auto"/>
      </w:pPr>
      <w:r w:rsidRPr="004E1172">
        <w:t>T</w:t>
      </w:r>
      <w:r w:rsidR="00E33963" w:rsidRPr="004E1172">
        <w:t xml:space="preserve">he EIA-821 is </w:t>
      </w:r>
      <w:r w:rsidR="00406F14" w:rsidRPr="004E1172">
        <w:t>required to collect data from both large and small businesses.  In the EIA-821 sample design, refiners, multi-State dealers and large companies greater than five percent of the total sales for a particular category in a State are selected with certainty.  The remainder of the universe is cross-stratified by type of sale and volume for each State.  In general, this allocation yields smaller sampling fractions for smaller companies and thereby reduces total small business burden.</w:t>
      </w:r>
    </w:p>
    <w:p w:rsidR="00406F14" w:rsidRPr="004E1172" w:rsidRDefault="00406F14" w:rsidP="00325ACE">
      <w:pPr>
        <w:pStyle w:val="TEXT"/>
        <w:spacing w:line="360" w:lineRule="auto"/>
      </w:pPr>
      <w:r w:rsidRPr="004E1172">
        <w:t xml:space="preserve">All sizes of firms, large and small, participate in the EIA-877 survey in order to accurately estimate State-level residential prices.  However, to minimize the burden on small No. 2 heating oil dealers, a </w:t>
      </w:r>
      <w:r w:rsidR="00FC0F25" w:rsidRPr="004E1172">
        <w:t xml:space="preserve">stratified </w:t>
      </w:r>
      <w:r w:rsidRPr="004E1172">
        <w:t xml:space="preserve">sample design is used for the EIA-877 survey.  In this design, dealers are stratified for each State by size of sales volumes, according to the volumes reported in the EIA-863 frame.   This results in smaller sampling fractions overall and smaller sampling fractions for smaller dealers than for larger dealers. </w:t>
      </w:r>
    </w:p>
    <w:p w:rsidR="00F95940" w:rsidRPr="004E1172" w:rsidRDefault="00406F14" w:rsidP="00325ACE">
      <w:pPr>
        <w:pStyle w:val="TEXT"/>
        <w:spacing w:line="360" w:lineRule="auto"/>
      </w:pPr>
      <w:r w:rsidRPr="004E1172">
        <w:t>To minimize the burden of propane dealers</w:t>
      </w:r>
      <w:r w:rsidR="000C3D29" w:rsidRPr="004E1172">
        <w:t xml:space="preserve"> on the EIA-877</w:t>
      </w:r>
      <w:r w:rsidRPr="004E1172">
        <w:t>, certainty companies are selected in those state</w:t>
      </w:r>
      <w:r w:rsidR="00F95940" w:rsidRPr="004E1172">
        <w:t>s where the company represents five</w:t>
      </w:r>
      <w:r w:rsidR="0016633A" w:rsidRPr="004E1172">
        <w:t xml:space="preserve"> percent </w:t>
      </w:r>
      <w:r w:rsidRPr="004E1172">
        <w:t>or more of the state volume.  Outlets within the company are then selected to represent the company</w:t>
      </w:r>
      <w:r w:rsidR="00F95940" w:rsidRPr="004E1172">
        <w:t>.</w:t>
      </w:r>
      <w:r w:rsidRPr="004E1172">
        <w:t xml:space="preserve"> </w:t>
      </w:r>
      <w:r w:rsidR="00F95940" w:rsidRPr="004E1172">
        <w:t>In this design, outlets are</w:t>
      </w:r>
      <w:r w:rsidRPr="004E1172">
        <w:t xml:space="preserve"> stratified by size</w:t>
      </w:r>
      <w:r w:rsidR="00F95940" w:rsidRPr="004E1172">
        <w:t xml:space="preserve"> for each State</w:t>
      </w:r>
      <w:r w:rsidRPr="004E1172">
        <w:t xml:space="preserve"> to further reduce burden</w:t>
      </w:r>
      <w:r w:rsidR="00F95940" w:rsidRPr="004E1172">
        <w:t xml:space="preserve"> of small businesses</w:t>
      </w:r>
      <w:r w:rsidRPr="004E1172">
        <w:t xml:space="preserve">.  </w:t>
      </w:r>
    </w:p>
    <w:p w:rsidR="0081072E" w:rsidRPr="004E1172" w:rsidRDefault="0081072E" w:rsidP="00325ACE">
      <w:pPr>
        <w:pStyle w:val="TEXT"/>
        <w:spacing w:line="360" w:lineRule="auto"/>
      </w:pPr>
      <w:r w:rsidRPr="004E1172">
        <w:t>To reduce burden on the EIA-</w:t>
      </w:r>
      <w:r w:rsidR="008C399D">
        <w:t>878 survey an area sample of 801</w:t>
      </w:r>
      <w:r w:rsidRPr="004E1172">
        <w:t xml:space="preserve"> companies was selected from a sampling frame of over 115,000 gasoline outlets.</w:t>
      </w:r>
    </w:p>
    <w:p w:rsidR="00F95940" w:rsidRPr="004E1172" w:rsidRDefault="00BC20D8" w:rsidP="00325ACE">
      <w:pPr>
        <w:pStyle w:val="TEXT"/>
        <w:spacing w:line="360" w:lineRule="auto"/>
      </w:pPr>
      <w:r w:rsidRPr="004E1172">
        <w:t xml:space="preserve">To reduce burden on the </w:t>
      </w:r>
      <w:r w:rsidR="0081072E" w:rsidRPr="004E1172">
        <w:t>EIA-88</w:t>
      </w:r>
      <w:r w:rsidR="00F95940" w:rsidRPr="004E1172">
        <w:t>8</w:t>
      </w:r>
      <w:r w:rsidRPr="004E1172">
        <w:t xml:space="preserve"> survey</w:t>
      </w:r>
      <w:r w:rsidR="0081072E" w:rsidRPr="004E1172">
        <w:t xml:space="preserve"> a stratified sample of </w:t>
      </w:r>
      <w:r w:rsidR="008C399D">
        <w:t>403</w:t>
      </w:r>
      <w:r w:rsidR="00D32FAD" w:rsidRPr="004E1172">
        <w:t xml:space="preserve"> </w:t>
      </w:r>
      <w:r w:rsidR="0081072E" w:rsidRPr="004E1172">
        <w:t>outlets</w:t>
      </w:r>
      <w:r w:rsidR="00D32FAD" w:rsidRPr="004E1172">
        <w:t xml:space="preserve"> was selected from a sampling frame of </w:t>
      </w:r>
      <w:r w:rsidR="0081072E" w:rsidRPr="004E1172">
        <w:t>about 62,000 service</w:t>
      </w:r>
      <w:r w:rsidR="00BE23DA">
        <w:t xml:space="preserve"> stations and 4,000 truck stops </w:t>
      </w:r>
      <w:r w:rsidR="0081072E" w:rsidRPr="004E1172">
        <w:t>which sell on-highway diesel fuel in the contiguous United States</w:t>
      </w:r>
      <w:r w:rsidR="00D32FAD" w:rsidRPr="004E1172">
        <w:t>.</w:t>
      </w:r>
    </w:p>
    <w:p w:rsidR="00D6179C" w:rsidRPr="004E1172" w:rsidRDefault="00F95940" w:rsidP="00801FE7">
      <w:pPr>
        <w:pStyle w:val="TEXT"/>
        <w:rPr>
          <w:color w:val="000000"/>
        </w:rPr>
      </w:pPr>
      <w:r w:rsidRPr="004E1172">
        <w:t>See P</w:t>
      </w:r>
      <w:r w:rsidR="00FC0F25" w:rsidRPr="004E1172">
        <w:t>art B for further details</w:t>
      </w:r>
      <w:r w:rsidRPr="004E1172">
        <w:t xml:space="preserve"> regarding the sampling procedures for these surveys</w:t>
      </w:r>
      <w:r w:rsidR="00FC0F25" w:rsidRPr="004E1172">
        <w:t>.</w:t>
      </w:r>
    </w:p>
    <w:p w:rsidR="00CF3FD8" w:rsidRPr="00540778" w:rsidRDefault="00BF7D97" w:rsidP="00D20878">
      <w:pPr>
        <w:pStyle w:val="Heading1"/>
      </w:pPr>
      <w:r>
        <w:lastRenderedPageBreak/>
        <w:t>A</w:t>
      </w:r>
      <w:r w:rsidR="00107D3E" w:rsidRPr="00540778">
        <w:t xml:space="preserve">6. </w:t>
      </w:r>
      <w:r w:rsidR="003533C7" w:rsidRPr="00540778">
        <w:t xml:space="preserve">Consequences of </w:t>
      </w:r>
      <w:r w:rsidR="00CF3FD8" w:rsidRPr="00540778">
        <w:t>Less Frequent</w:t>
      </w:r>
      <w:r w:rsidR="003533C7" w:rsidRPr="00540778">
        <w:t xml:space="preserve"> Reporting</w:t>
      </w:r>
    </w:p>
    <w:p w:rsidR="00CF3FD8" w:rsidRPr="004E1172" w:rsidRDefault="00CF3FD8" w:rsidP="004E117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 xml:space="preserve">The Petroleum Marketing survey forms vary in periodicity depending on the requirements and uses </w:t>
      </w:r>
      <w:r w:rsidR="007553DE" w:rsidRPr="004E1172">
        <w:rPr>
          <w:rFonts w:asciiTheme="minorHAnsi" w:hAnsiTheme="minorHAnsi"/>
          <w:color w:val="000000"/>
          <w:sz w:val="22"/>
        </w:rPr>
        <w:t xml:space="preserve">of </w:t>
      </w:r>
      <w:r w:rsidRPr="004E1172">
        <w:rPr>
          <w:rFonts w:asciiTheme="minorHAnsi" w:hAnsiTheme="minorHAnsi"/>
          <w:color w:val="000000"/>
          <w:sz w:val="22"/>
        </w:rPr>
        <w:t>the survey data.  Forms filed on a monthly basis include EIA-182</w:t>
      </w:r>
      <w:r w:rsidR="00290B13" w:rsidRPr="004E1172">
        <w:rPr>
          <w:rFonts w:asciiTheme="minorHAnsi" w:hAnsiTheme="minorHAnsi"/>
          <w:color w:val="000000"/>
          <w:sz w:val="22"/>
        </w:rPr>
        <w:t>, EIA-856, EIA-14, and EIA-782A</w:t>
      </w:r>
      <w:r w:rsidRPr="004E1172">
        <w:rPr>
          <w:rFonts w:asciiTheme="minorHAnsi" w:hAnsiTheme="minorHAnsi"/>
          <w:color w:val="000000"/>
          <w:sz w:val="22"/>
        </w:rPr>
        <w:t xml:space="preserve"> and </w:t>
      </w:r>
      <w:r w:rsidR="000C3D29" w:rsidRPr="004E1172">
        <w:rPr>
          <w:rFonts w:asciiTheme="minorHAnsi" w:hAnsiTheme="minorHAnsi"/>
          <w:color w:val="000000"/>
          <w:sz w:val="22"/>
        </w:rPr>
        <w:t>EIA-782</w:t>
      </w:r>
      <w:r w:rsidR="00631D1D" w:rsidRPr="004E1172">
        <w:rPr>
          <w:rFonts w:asciiTheme="minorHAnsi" w:hAnsiTheme="minorHAnsi"/>
          <w:color w:val="000000"/>
          <w:sz w:val="22"/>
        </w:rPr>
        <w:t xml:space="preserve">C.  </w:t>
      </w:r>
      <w:r w:rsidR="00631D1D" w:rsidRPr="008C399D">
        <w:rPr>
          <w:rFonts w:asciiTheme="minorHAnsi" w:hAnsiTheme="minorHAnsi"/>
          <w:sz w:val="22"/>
        </w:rPr>
        <w:t xml:space="preserve">All of the </w:t>
      </w:r>
      <w:r w:rsidR="00287A2E" w:rsidRPr="008C399D">
        <w:rPr>
          <w:rFonts w:asciiTheme="minorHAnsi" w:hAnsiTheme="minorHAnsi"/>
          <w:sz w:val="22"/>
        </w:rPr>
        <w:t xml:space="preserve">monthly </w:t>
      </w:r>
      <w:r w:rsidR="00631D1D" w:rsidRPr="008C399D">
        <w:rPr>
          <w:rFonts w:asciiTheme="minorHAnsi" w:hAnsiTheme="minorHAnsi"/>
          <w:sz w:val="22"/>
        </w:rPr>
        <w:t>crude oil</w:t>
      </w:r>
      <w:r w:rsidRPr="008C399D">
        <w:rPr>
          <w:rFonts w:asciiTheme="minorHAnsi" w:hAnsiTheme="minorHAnsi"/>
          <w:sz w:val="22"/>
        </w:rPr>
        <w:t xml:space="preserve"> forms collec</w:t>
      </w:r>
      <w:r w:rsidR="00287A2E" w:rsidRPr="008C399D">
        <w:rPr>
          <w:rFonts w:asciiTheme="minorHAnsi" w:hAnsiTheme="minorHAnsi"/>
          <w:sz w:val="22"/>
        </w:rPr>
        <w:t>t product price and volume data. The EIA-782</w:t>
      </w:r>
      <w:r w:rsidR="006E7570">
        <w:rPr>
          <w:rFonts w:asciiTheme="minorHAnsi" w:hAnsiTheme="minorHAnsi"/>
          <w:sz w:val="22"/>
        </w:rPr>
        <w:t>A</w:t>
      </w:r>
      <w:r w:rsidR="00287A2E" w:rsidRPr="008C399D">
        <w:rPr>
          <w:rFonts w:asciiTheme="minorHAnsi" w:hAnsiTheme="minorHAnsi"/>
          <w:sz w:val="22"/>
        </w:rPr>
        <w:t xml:space="preserve"> collects price</w:t>
      </w:r>
      <w:r w:rsidR="006E7570">
        <w:rPr>
          <w:rFonts w:asciiTheme="minorHAnsi" w:hAnsiTheme="minorHAnsi"/>
          <w:sz w:val="22"/>
        </w:rPr>
        <w:t>/volume</w:t>
      </w:r>
      <w:r w:rsidR="00287A2E" w:rsidRPr="008C399D">
        <w:rPr>
          <w:rFonts w:asciiTheme="minorHAnsi" w:hAnsiTheme="minorHAnsi"/>
          <w:sz w:val="22"/>
        </w:rPr>
        <w:t xml:space="preserve"> and </w:t>
      </w:r>
      <w:r w:rsidRPr="008C399D">
        <w:rPr>
          <w:rFonts w:asciiTheme="minorHAnsi" w:hAnsiTheme="minorHAnsi"/>
          <w:sz w:val="22"/>
        </w:rPr>
        <w:t>the EIA</w:t>
      </w:r>
      <w:r w:rsidRPr="008C399D">
        <w:rPr>
          <w:rFonts w:asciiTheme="minorHAnsi" w:hAnsiTheme="minorHAnsi"/>
          <w:sz w:val="22"/>
        </w:rPr>
        <w:softHyphen/>
        <w:t xml:space="preserve">-782C </w:t>
      </w:r>
      <w:r w:rsidR="00287A2E" w:rsidRPr="008C399D">
        <w:rPr>
          <w:rFonts w:asciiTheme="minorHAnsi" w:hAnsiTheme="minorHAnsi"/>
          <w:sz w:val="22"/>
        </w:rPr>
        <w:t>collects volumes of petroleum</w:t>
      </w:r>
      <w:r w:rsidRPr="008C399D">
        <w:rPr>
          <w:rFonts w:asciiTheme="minorHAnsi" w:hAnsiTheme="minorHAnsi"/>
          <w:sz w:val="22"/>
        </w:rPr>
        <w:t xml:space="preserve"> products.  The</w:t>
      </w:r>
      <w:r w:rsidRPr="004E1172">
        <w:rPr>
          <w:rFonts w:asciiTheme="minorHAnsi" w:hAnsiTheme="minorHAnsi"/>
          <w:color w:val="000000"/>
          <w:sz w:val="22"/>
        </w:rPr>
        <w:t xml:space="preserve"> annual survey, EIA-821, and the quadrennial universe frame survey, EIA-863, collect only product volume data.</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forms collecting product price data must be current in order to be meaningful, which necessitates monthly collection.  The one monthly form that collects only volumetric data, the EIA-782C, is widely used by State governments on a monthly basis.  When the EIA-782 survey was initially proposed in April 198</w:t>
      </w:r>
      <w:r w:rsidR="006E7570">
        <w:rPr>
          <w:rFonts w:asciiTheme="minorHAnsi" w:hAnsiTheme="minorHAnsi"/>
          <w:color w:val="000000"/>
          <w:sz w:val="22"/>
        </w:rPr>
        <w:t>2, a quarterly form, the EIA-783</w:t>
      </w:r>
      <w:r w:rsidRPr="004E1172">
        <w:rPr>
          <w:rFonts w:asciiTheme="minorHAnsi" w:hAnsiTheme="minorHAnsi"/>
          <w:color w:val="000000"/>
          <w:sz w:val="22"/>
        </w:rPr>
        <w:t>, was included in the series.  However, during the extensive public hearings and consultations with data providers and users, State governments in particular objected strongly to the quarterly data collection.  State governments are frequent, regular, monthly users of petroleum products supply, marketing and distribution data.  The monthly EIA-782 data collection and publication enables these governments and other data users to receive accurate and timely data for use in trend analysis, demand modeling and forecasting, policy evaluation and analysis, contingency planning, and budgetary planning.  At the same time, data providers indicated that no savings in cost or effort would result from implementation of a quarterly form.  The data providers were also concerned that since the State governments needed the data monthly, the States would conduct 50 separate surveys.  The data providers preferred to provide the data once to EIA rather than separately to each State government.</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EIA-856, EIA-14 and EIA-182 are required on a monthly basis because of the integral role these surveys play in the analysis of the nationally critical crude oil market.  The EIA-</w:t>
      </w:r>
      <w:r w:rsidRPr="004E1172">
        <w:rPr>
          <w:rFonts w:asciiTheme="minorHAnsi" w:hAnsiTheme="minorHAnsi"/>
          <w:color w:val="000000"/>
          <w:sz w:val="22"/>
        </w:rPr>
        <w:softHyphen/>
        <w:t xml:space="preserve">856 must fulfill the requirements of the </w:t>
      </w:r>
      <w:r w:rsidR="00D6179C" w:rsidRPr="004E1172">
        <w:rPr>
          <w:rFonts w:asciiTheme="minorHAnsi" w:hAnsiTheme="minorHAnsi"/>
          <w:color w:val="000000"/>
          <w:sz w:val="22"/>
        </w:rPr>
        <w:t>International Energy Agency (</w:t>
      </w:r>
      <w:r w:rsidRPr="004E1172">
        <w:rPr>
          <w:rFonts w:asciiTheme="minorHAnsi" w:hAnsiTheme="minorHAnsi"/>
          <w:color w:val="000000"/>
          <w:sz w:val="22"/>
        </w:rPr>
        <w:t>IEA</w:t>
      </w:r>
      <w:r w:rsidR="00D6179C" w:rsidRPr="004E1172">
        <w:rPr>
          <w:rFonts w:asciiTheme="minorHAnsi" w:hAnsiTheme="minorHAnsi"/>
          <w:color w:val="000000"/>
          <w:sz w:val="22"/>
        </w:rPr>
        <w:t>)</w:t>
      </w:r>
      <w:r w:rsidRPr="004E1172">
        <w:rPr>
          <w:rFonts w:asciiTheme="minorHAnsi" w:hAnsiTheme="minorHAnsi"/>
          <w:color w:val="000000"/>
          <w:sz w:val="22"/>
        </w:rPr>
        <w:t xml:space="preserve"> agreement, provide critical information to the Strategic Petroleum Reserve Office for evaluating market conditions in connection with its purchases of crude oil, and meet the analytic requirements of EIA and other data users.  Data gathered by the EIA-182 and EIA-14 are also used on a regular monthly basis by Congress, DOE and other users for monitoring, forecasting and market analysis.  The price data collected by these survey forms would not be adequate for realistic industry analysis if collected less than monthly.</w:t>
      </w:r>
    </w:p>
    <w:p w:rsidR="005F6606" w:rsidRPr="004E1172" w:rsidRDefault="005F6606"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lastRenderedPageBreak/>
        <w:t xml:space="preserve">The EIA-821 form is an annual collection.  EIA uses the EIA-821 data to report to Congress on fuel oil supplies by economic sector in the </w:t>
      </w:r>
      <w:r w:rsidRPr="004E1172">
        <w:rPr>
          <w:rFonts w:asciiTheme="minorHAnsi" w:hAnsiTheme="minorHAnsi"/>
          <w:i/>
          <w:iCs/>
          <w:color w:val="000000"/>
          <w:sz w:val="22"/>
        </w:rPr>
        <w:t>A</w:t>
      </w:r>
      <w:r w:rsidR="005D7AA4" w:rsidRPr="004E1172">
        <w:rPr>
          <w:rFonts w:asciiTheme="minorHAnsi" w:hAnsiTheme="minorHAnsi"/>
          <w:i/>
          <w:iCs/>
          <w:color w:val="000000"/>
          <w:sz w:val="22"/>
        </w:rPr>
        <w:t>ER</w:t>
      </w:r>
      <w:r w:rsidRPr="004E1172">
        <w:rPr>
          <w:rFonts w:asciiTheme="minorHAnsi" w:hAnsiTheme="minorHAnsi"/>
          <w:color w:val="000000"/>
          <w:sz w:val="22"/>
        </w:rPr>
        <w:t xml:space="preserve">.  Data collected at greater intervals than annually would severely handicap modeling performed by </w:t>
      </w:r>
      <w:r w:rsidR="007E745D" w:rsidRPr="004E1172">
        <w:rPr>
          <w:rFonts w:asciiTheme="minorHAnsi" w:hAnsiTheme="minorHAnsi"/>
          <w:color w:val="000000"/>
          <w:sz w:val="22"/>
        </w:rPr>
        <w:t>DOE</w:t>
      </w:r>
      <w:r w:rsidRPr="004E1172">
        <w:rPr>
          <w:rFonts w:asciiTheme="minorHAnsi" w:hAnsiTheme="minorHAnsi"/>
          <w:color w:val="000000"/>
          <w:sz w:val="22"/>
        </w:rPr>
        <w:t xml:space="preserve"> for use in energy policy development, and in its energy forecasting and consumption programs.</w:t>
      </w: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4E1172">
        <w:rPr>
          <w:rFonts w:asciiTheme="minorHAnsi" w:hAnsiTheme="minorHAnsi"/>
          <w:color w:val="000000"/>
          <w:sz w:val="22"/>
        </w:rPr>
        <w:t>The EIA-877 is a</w:t>
      </w:r>
      <w:r w:rsidR="00107D3E" w:rsidRPr="004E1172">
        <w:rPr>
          <w:rFonts w:asciiTheme="minorHAnsi" w:hAnsiTheme="minorHAnsi"/>
          <w:color w:val="000000"/>
          <w:sz w:val="22"/>
        </w:rPr>
        <w:t xml:space="preserve"> </w:t>
      </w:r>
      <w:r w:rsidR="008324AE" w:rsidRPr="004E1172">
        <w:rPr>
          <w:rFonts w:asciiTheme="minorHAnsi" w:hAnsiTheme="minorHAnsi"/>
          <w:color w:val="000000"/>
          <w:sz w:val="22"/>
        </w:rPr>
        <w:t xml:space="preserve">weekly survey conducted over a </w:t>
      </w:r>
      <w:r w:rsidR="00107D3E" w:rsidRPr="004E1172">
        <w:rPr>
          <w:rFonts w:asciiTheme="minorHAnsi" w:hAnsiTheme="minorHAnsi"/>
          <w:color w:val="000000"/>
          <w:sz w:val="22"/>
        </w:rPr>
        <w:t>six month</w:t>
      </w:r>
      <w:r w:rsidR="008324AE" w:rsidRPr="004E1172">
        <w:rPr>
          <w:rFonts w:asciiTheme="minorHAnsi" w:hAnsiTheme="minorHAnsi"/>
          <w:color w:val="000000"/>
          <w:sz w:val="22"/>
        </w:rPr>
        <w:t xml:space="preserve"> period every year</w:t>
      </w:r>
      <w:r w:rsidRPr="004E1172">
        <w:rPr>
          <w:rFonts w:asciiTheme="minorHAnsi" w:hAnsiTheme="minorHAnsi"/>
          <w:color w:val="000000"/>
          <w:sz w:val="22"/>
        </w:rPr>
        <w:t xml:space="preserve">.  Less frequent reporting would not permit EIA to meet its obligation of providing timely, reliable information in order to monitor these critical fuels during the heating season.  </w:t>
      </w:r>
      <w:r w:rsidR="0097258E" w:rsidRPr="004E1172">
        <w:rPr>
          <w:rFonts w:asciiTheme="minorHAnsi" w:hAnsiTheme="minorHAnsi"/>
          <w:color w:val="000000"/>
          <w:sz w:val="22"/>
        </w:rPr>
        <w:t>The</w:t>
      </w:r>
      <w:r w:rsidRPr="004E1172">
        <w:rPr>
          <w:rFonts w:asciiTheme="minorHAnsi" w:hAnsiTheme="minorHAnsi"/>
          <w:color w:val="000000"/>
          <w:sz w:val="22"/>
        </w:rPr>
        <w:t xml:space="preserve"> </w:t>
      </w:r>
      <w:r w:rsidR="003C2BD7" w:rsidRPr="004E1172">
        <w:rPr>
          <w:rFonts w:asciiTheme="minorHAnsi" w:hAnsiTheme="minorHAnsi"/>
          <w:color w:val="000000"/>
          <w:sz w:val="22"/>
        </w:rPr>
        <w:t>“</w:t>
      </w:r>
      <w:r w:rsidRPr="004E1172">
        <w:rPr>
          <w:rFonts w:asciiTheme="minorHAnsi" w:hAnsiTheme="minorHAnsi"/>
          <w:color w:val="000000"/>
          <w:sz w:val="22"/>
        </w:rPr>
        <w:t>Needs For and U</w:t>
      </w:r>
      <w:r w:rsidR="00322217" w:rsidRPr="004E1172">
        <w:rPr>
          <w:rFonts w:asciiTheme="minorHAnsi" w:hAnsiTheme="minorHAnsi"/>
          <w:color w:val="000000"/>
          <w:sz w:val="22"/>
        </w:rPr>
        <w:t xml:space="preserve">ses of PMP </w:t>
      </w:r>
      <w:r w:rsidRPr="004E1172">
        <w:rPr>
          <w:rFonts w:asciiTheme="minorHAnsi" w:hAnsiTheme="minorHAnsi"/>
          <w:color w:val="000000"/>
          <w:sz w:val="22"/>
        </w:rPr>
        <w:t>Data</w:t>
      </w:r>
      <w:r w:rsidR="003C2BD7" w:rsidRPr="004E1172">
        <w:rPr>
          <w:rFonts w:asciiTheme="minorHAnsi" w:hAnsiTheme="minorHAnsi"/>
          <w:color w:val="000000"/>
          <w:sz w:val="22"/>
        </w:rPr>
        <w:t>”</w:t>
      </w:r>
      <w:r w:rsidRPr="004E1172">
        <w:rPr>
          <w:rFonts w:asciiTheme="minorHAnsi" w:hAnsiTheme="minorHAnsi"/>
          <w:color w:val="000000"/>
          <w:sz w:val="22"/>
        </w:rPr>
        <w:t xml:space="preserve"> describes the need by Congress for timely information.</w:t>
      </w:r>
    </w:p>
    <w:p w:rsidR="00CF3FD8"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E204BE" w:rsidRPr="006E7570" w:rsidRDefault="00CF3FD8" w:rsidP="006E75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r w:rsidRPr="006E7570">
        <w:rPr>
          <w:rFonts w:asciiTheme="minorHAnsi" w:hAnsiTheme="minorHAnsi"/>
          <w:color w:val="000000"/>
          <w:sz w:val="22"/>
          <w:szCs w:val="22"/>
        </w:rPr>
        <w:t>The EIA-878 and EIA-888 are weekly surveys.  Less frequent reporting would not permit EIA to meet its obligation of providing timely, reliable information in order to monitor these critical transportation fuels which are more volatile during market disruptions due to short term supply disruptions, price fluctuations, natural disasters or other catastrophic events.</w:t>
      </w:r>
      <w:r w:rsidR="006E7570" w:rsidRPr="006E7570">
        <w:rPr>
          <w:rFonts w:asciiTheme="minorHAnsi" w:hAnsiTheme="minorHAnsi"/>
          <w:color w:val="000000"/>
          <w:sz w:val="22"/>
          <w:szCs w:val="22"/>
        </w:rPr>
        <w:t xml:space="preserve"> .  These data are collected and published on the same day.</w:t>
      </w:r>
    </w:p>
    <w:p w:rsidR="00CF3FD8" w:rsidRPr="006A5EBC" w:rsidRDefault="00BF7D97" w:rsidP="00D20878">
      <w:pPr>
        <w:pStyle w:val="Heading1"/>
      </w:pPr>
      <w:r w:rsidRPr="006A5EBC">
        <w:t>A</w:t>
      </w:r>
      <w:r w:rsidR="00107D3E" w:rsidRPr="006A5EBC">
        <w:t xml:space="preserve">7. </w:t>
      </w:r>
      <w:r w:rsidR="003533C7" w:rsidRPr="006A5EBC">
        <w:t>Compliance with 5 CFR 1320.5</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86736D" w:rsidRPr="004E1172" w:rsidRDefault="00127745" w:rsidP="004E1172">
      <w:pPr>
        <w:pStyle w:val="BodyText"/>
        <w:spacing w:line="360" w:lineRule="auto"/>
        <w:jc w:val="left"/>
        <w:rPr>
          <w:rFonts w:asciiTheme="minorHAnsi" w:hAnsiTheme="minorHAnsi"/>
          <w:sz w:val="22"/>
        </w:rPr>
      </w:pPr>
      <w:r w:rsidRPr="004E1172">
        <w:rPr>
          <w:rFonts w:asciiTheme="minorHAnsi" w:hAnsiTheme="minorHAnsi"/>
          <w:sz w:val="22"/>
        </w:rPr>
        <w:t>The</w:t>
      </w:r>
      <w:r w:rsidR="00CF3FD8" w:rsidRPr="004E1172">
        <w:rPr>
          <w:rFonts w:asciiTheme="minorHAnsi" w:hAnsiTheme="minorHAnsi"/>
          <w:sz w:val="22"/>
        </w:rPr>
        <w:t xml:space="preserve"> justification requiring respondents to report information more frequently than every quarter</w:t>
      </w:r>
      <w:r w:rsidRPr="004E1172">
        <w:rPr>
          <w:rFonts w:asciiTheme="minorHAnsi" w:hAnsiTheme="minorHAnsi"/>
          <w:sz w:val="22"/>
        </w:rPr>
        <w:t xml:space="preserve"> has been described above</w:t>
      </w:r>
      <w:r w:rsidR="00CF3FD8" w:rsidRPr="004E1172">
        <w:rPr>
          <w:rFonts w:asciiTheme="minorHAnsi" w:hAnsiTheme="minorHAnsi"/>
          <w:sz w:val="22"/>
        </w:rPr>
        <w:t xml:space="preserve">.   Form EIA-782C is requested in only 20 days after the end of the reporting period because the state energy offices need information on supply conditions by the earliest review of the </w:t>
      </w:r>
      <w:hyperlink r:id="rId192" w:history="1">
        <w:r w:rsidR="003E1695" w:rsidRPr="004E1172">
          <w:rPr>
            <w:rStyle w:val="Hyperlink"/>
            <w:rFonts w:asciiTheme="minorHAnsi" w:hAnsiTheme="minorHAnsi"/>
            <w:bCs/>
            <w:sz w:val="22"/>
          </w:rPr>
          <w:t>Prime Supplier Repor</w:t>
        </w:r>
        <w:r w:rsidR="00200DD6" w:rsidRPr="004E1172">
          <w:rPr>
            <w:rStyle w:val="Hyperlink"/>
            <w:rFonts w:asciiTheme="minorHAnsi" w:hAnsiTheme="minorHAnsi"/>
            <w:bCs/>
            <w:sz w:val="22"/>
          </w:rPr>
          <w:t>ts</w:t>
        </w:r>
      </w:hyperlink>
      <w:r w:rsidR="00CF3FD8" w:rsidRPr="004E1172">
        <w:rPr>
          <w:rFonts w:asciiTheme="minorHAnsi" w:hAnsiTheme="minorHAnsi"/>
          <w:sz w:val="22"/>
        </w:rPr>
        <w:t xml:space="preserve"> which are generated by the EIA-782C.  In the event of fuel shortages, the prime supplier reports are used by a governor to reque</w:t>
      </w:r>
      <w:r w:rsidR="003533C7" w:rsidRPr="004E1172">
        <w:rPr>
          <w:rFonts w:asciiTheme="minorHAnsi" w:hAnsiTheme="minorHAnsi"/>
          <w:sz w:val="22"/>
        </w:rPr>
        <w:t xml:space="preserve">st that three percent (3%) </w:t>
      </w:r>
      <w:r w:rsidR="00CF3FD8" w:rsidRPr="004E1172">
        <w:rPr>
          <w:rFonts w:asciiTheme="minorHAnsi" w:hAnsiTheme="minorHAnsi"/>
          <w:sz w:val="22"/>
        </w:rPr>
        <w:t xml:space="preserve">of the total volume expected to be sold in a state be set aside as a special product reserve for that state. </w:t>
      </w:r>
    </w:p>
    <w:p w:rsidR="00CF3FD8" w:rsidRDefault="00BF7D97" w:rsidP="00D20878">
      <w:pPr>
        <w:pStyle w:val="Heading1"/>
      </w:pPr>
      <w:r w:rsidRPr="006A5EBC">
        <w:t>A</w:t>
      </w:r>
      <w:r w:rsidR="00C36267" w:rsidRPr="006A5EBC">
        <w:t xml:space="preserve">8. </w:t>
      </w:r>
      <w:r w:rsidR="00CF3FD8" w:rsidRPr="006A5EBC">
        <w:t>Summary of Consultations Outside the Agency</w:t>
      </w:r>
    </w:p>
    <w:p w:rsidR="00B32C67" w:rsidRDefault="00B32C67"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CE21A6"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sidRPr="004E1172">
        <w:rPr>
          <w:rFonts w:asciiTheme="minorHAnsi" w:hAnsiTheme="minorHAnsi"/>
          <w:sz w:val="22"/>
        </w:rPr>
        <w:t>On</w:t>
      </w:r>
      <w:r w:rsidR="004B7182" w:rsidRPr="004E1172">
        <w:rPr>
          <w:rFonts w:asciiTheme="minorHAnsi" w:hAnsiTheme="minorHAnsi"/>
          <w:sz w:val="22"/>
        </w:rPr>
        <w:t xml:space="preserve"> </w:t>
      </w:r>
      <w:r w:rsidR="00EB4B1B" w:rsidRPr="004E1172">
        <w:rPr>
          <w:rFonts w:asciiTheme="minorHAnsi" w:hAnsiTheme="minorHAnsi"/>
          <w:sz w:val="22"/>
        </w:rPr>
        <w:t>April 5, 2012</w:t>
      </w:r>
      <w:r w:rsidRPr="004E1172">
        <w:rPr>
          <w:rFonts w:asciiTheme="minorHAnsi" w:hAnsiTheme="minorHAnsi"/>
          <w:sz w:val="22"/>
        </w:rPr>
        <w:t xml:space="preserve">, EIA published </w:t>
      </w:r>
      <w:r w:rsidR="0086736D">
        <w:rPr>
          <w:rFonts w:asciiTheme="minorHAnsi" w:hAnsiTheme="minorHAnsi"/>
          <w:sz w:val="22"/>
        </w:rPr>
        <w:t xml:space="preserve">two 60-day </w:t>
      </w:r>
      <w:r w:rsidRPr="004E1172">
        <w:rPr>
          <w:rFonts w:asciiTheme="minorHAnsi" w:hAnsiTheme="minorHAnsi"/>
          <w:sz w:val="22"/>
        </w:rPr>
        <w:t>Federal Register Notice</w:t>
      </w:r>
      <w:r w:rsidR="0086736D">
        <w:rPr>
          <w:rFonts w:asciiTheme="minorHAnsi" w:hAnsiTheme="minorHAnsi"/>
          <w:sz w:val="22"/>
        </w:rPr>
        <w:t xml:space="preserve">s (FRN). The first FRN was published in </w:t>
      </w:r>
      <w:hyperlink r:id="rId193" w:history="1">
        <w:r w:rsidR="0086736D" w:rsidRPr="0086736D">
          <w:rPr>
            <w:rStyle w:val="Hyperlink"/>
            <w:rFonts w:asciiTheme="minorHAnsi" w:hAnsiTheme="minorHAnsi"/>
            <w:sz w:val="22"/>
          </w:rPr>
          <w:t>Volume 77, No. 66, March 6, 2012</w:t>
        </w:r>
      </w:hyperlink>
      <w:r w:rsidR="0086736D">
        <w:rPr>
          <w:rFonts w:asciiTheme="minorHAnsi" w:hAnsiTheme="minorHAnsi"/>
          <w:sz w:val="22"/>
        </w:rPr>
        <w:t xml:space="preserve"> and the second published in </w:t>
      </w:r>
      <w:hyperlink r:id="rId194" w:history="1">
        <w:r w:rsidRPr="004E1172">
          <w:rPr>
            <w:rStyle w:val="Hyperlink"/>
            <w:rFonts w:asciiTheme="minorHAnsi" w:hAnsiTheme="minorHAnsi"/>
            <w:sz w:val="22"/>
          </w:rPr>
          <w:t>Volume</w:t>
        </w:r>
        <w:r w:rsidR="00287A2E" w:rsidRPr="004E1172">
          <w:rPr>
            <w:rStyle w:val="Hyperlink"/>
            <w:rFonts w:asciiTheme="minorHAnsi" w:hAnsiTheme="minorHAnsi"/>
            <w:sz w:val="22"/>
          </w:rPr>
          <w:t xml:space="preserve"> 77, No. 66, Thursday, April 5, 2012</w:t>
        </w:r>
      </w:hyperlink>
      <w:r w:rsidR="00287A2E" w:rsidRPr="004E1172">
        <w:rPr>
          <w:rFonts w:asciiTheme="minorHAnsi" w:hAnsiTheme="minorHAnsi"/>
          <w:sz w:val="22"/>
        </w:rPr>
        <w:t>)</w:t>
      </w:r>
      <w:r w:rsidR="00CE21A6" w:rsidRPr="004E1172">
        <w:rPr>
          <w:rFonts w:asciiTheme="minorHAnsi" w:hAnsiTheme="minorHAnsi"/>
          <w:sz w:val="22"/>
        </w:rPr>
        <w:t xml:space="preserve"> </w:t>
      </w:r>
      <w:r w:rsidR="0086736D">
        <w:rPr>
          <w:rFonts w:asciiTheme="minorHAnsi" w:hAnsiTheme="minorHAnsi"/>
          <w:sz w:val="22"/>
        </w:rPr>
        <w:t>These FRN</w:t>
      </w:r>
      <w:r w:rsidR="00200DD6" w:rsidRPr="004E1172">
        <w:rPr>
          <w:rFonts w:asciiTheme="minorHAnsi" w:hAnsiTheme="minorHAnsi"/>
          <w:sz w:val="22"/>
        </w:rPr>
        <w:t xml:space="preserve"> </w:t>
      </w:r>
      <w:r w:rsidRPr="004E1172">
        <w:rPr>
          <w:rFonts w:asciiTheme="minorHAnsi" w:hAnsiTheme="minorHAnsi"/>
          <w:sz w:val="22"/>
        </w:rPr>
        <w:t>invit</w:t>
      </w:r>
      <w:r w:rsidR="0086736D">
        <w:rPr>
          <w:rFonts w:asciiTheme="minorHAnsi" w:hAnsiTheme="minorHAnsi"/>
          <w:sz w:val="22"/>
        </w:rPr>
        <w:t>ed</w:t>
      </w:r>
      <w:r w:rsidRPr="004E1172">
        <w:rPr>
          <w:rFonts w:asciiTheme="minorHAnsi" w:hAnsiTheme="minorHAnsi"/>
          <w:sz w:val="22"/>
        </w:rPr>
        <w:t xml:space="preserve"> public comments on the proposed extension</w:t>
      </w:r>
      <w:r w:rsidR="00BF7D97" w:rsidRPr="004E1172">
        <w:rPr>
          <w:rFonts w:asciiTheme="minorHAnsi" w:hAnsiTheme="minorHAnsi"/>
          <w:sz w:val="22"/>
        </w:rPr>
        <w:t xml:space="preserve"> of the surveys (except the EIA-782B</w:t>
      </w:r>
      <w:r w:rsidR="0086736D">
        <w:rPr>
          <w:rFonts w:asciiTheme="minorHAnsi" w:hAnsiTheme="minorHAnsi"/>
          <w:sz w:val="22"/>
        </w:rPr>
        <w:t xml:space="preserve"> which is not being renewed</w:t>
      </w:r>
      <w:r w:rsidR="00BF7D97" w:rsidRPr="004E1172">
        <w:rPr>
          <w:rFonts w:asciiTheme="minorHAnsi" w:hAnsiTheme="minorHAnsi"/>
          <w:sz w:val="22"/>
        </w:rPr>
        <w:t>) in the Petroleum Marketing Program</w:t>
      </w:r>
      <w:r w:rsidRPr="004E1172">
        <w:rPr>
          <w:rFonts w:asciiTheme="minorHAnsi" w:hAnsiTheme="minorHAnsi"/>
          <w:sz w:val="22"/>
        </w:rPr>
        <w:t xml:space="preserve">.  </w:t>
      </w:r>
      <w:r w:rsidR="004B7182" w:rsidRPr="004E1172">
        <w:rPr>
          <w:rFonts w:asciiTheme="minorHAnsi" w:hAnsiTheme="minorHAnsi"/>
          <w:sz w:val="22"/>
        </w:rPr>
        <w:t xml:space="preserve">The Bureau of Economic Analysis </w:t>
      </w:r>
      <w:r w:rsidR="00FE6929">
        <w:rPr>
          <w:rFonts w:asciiTheme="minorHAnsi" w:hAnsiTheme="minorHAnsi"/>
          <w:sz w:val="22"/>
        </w:rPr>
        <w:t xml:space="preserve">(BEA) </w:t>
      </w:r>
      <w:r w:rsidR="004B7182" w:rsidRPr="004E1172">
        <w:rPr>
          <w:rFonts w:asciiTheme="minorHAnsi" w:hAnsiTheme="minorHAnsi"/>
          <w:sz w:val="22"/>
        </w:rPr>
        <w:t>responded to the notice with a letter of support for the Petroleum Marketing Surveys. BEA stated that it uses the EIA-14</w:t>
      </w:r>
      <w:r w:rsidR="00CE21A6" w:rsidRPr="004E1172">
        <w:rPr>
          <w:rFonts w:asciiTheme="minorHAnsi" w:hAnsiTheme="minorHAnsi"/>
          <w:sz w:val="22"/>
        </w:rPr>
        <w:t>,</w:t>
      </w:r>
      <w:r w:rsidR="004B7182" w:rsidRPr="004E1172">
        <w:rPr>
          <w:rFonts w:asciiTheme="minorHAnsi" w:hAnsiTheme="minorHAnsi"/>
          <w:sz w:val="22"/>
        </w:rPr>
        <w:t xml:space="preserve"> </w:t>
      </w:r>
      <w:r w:rsidR="00CE21A6" w:rsidRPr="004E1172">
        <w:rPr>
          <w:rFonts w:asciiTheme="minorHAnsi" w:hAnsiTheme="minorHAnsi"/>
          <w:sz w:val="22"/>
        </w:rPr>
        <w:t xml:space="preserve">EIA-856, </w:t>
      </w:r>
      <w:r w:rsidR="006E7570">
        <w:rPr>
          <w:rFonts w:asciiTheme="minorHAnsi" w:hAnsiTheme="minorHAnsi"/>
          <w:sz w:val="22"/>
        </w:rPr>
        <w:t>and EIA-</w:t>
      </w:r>
      <w:r w:rsidR="004B7182" w:rsidRPr="004E1172">
        <w:rPr>
          <w:rFonts w:asciiTheme="minorHAnsi" w:hAnsiTheme="minorHAnsi"/>
          <w:sz w:val="22"/>
        </w:rPr>
        <w:t xml:space="preserve">782C to prepare the national income and product accounts. </w:t>
      </w:r>
      <w:r w:rsidR="00CE21A6" w:rsidRPr="004E1172">
        <w:rPr>
          <w:rFonts w:asciiTheme="minorHAnsi" w:hAnsiTheme="minorHAnsi"/>
          <w:sz w:val="22"/>
        </w:rPr>
        <w:t xml:space="preserve">BEA uses the EIA-14 data on composite (domestic and imported) acquisition cost per barrel of crude oil by refineries to </w:t>
      </w:r>
      <w:r w:rsidR="00CE21A6" w:rsidRPr="004E1172">
        <w:rPr>
          <w:rFonts w:asciiTheme="minorHAnsi" w:hAnsiTheme="minorHAnsi"/>
          <w:sz w:val="22"/>
        </w:rPr>
        <w:lastRenderedPageBreak/>
        <w:t>calculate a measure of price change for purchases of crude oil. This price index is used to deflate crude oil held in inventory by refiners for the change in private inventory component of gross domestic product (GDP). These data are also used for research and analysis (not current production) by BEA’s Balance of Payments Division Methodology and Special Studies Branch. BEA uses the EIA-782C data on volumes of first sale of motor gasoline by grade to prepare estimates of the gasoline and oil component of personal consumption expenditures, PCE</w:t>
      </w:r>
      <w:r w:rsidR="0081072E" w:rsidRPr="004E1172">
        <w:rPr>
          <w:rFonts w:asciiTheme="minorHAnsi" w:hAnsiTheme="minorHAnsi"/>
          <w:sz w:val="22"/>
        </w:rPr>
        <w:t xml:space="preserve">, </w:t>
      </w:r>
      <w:r w:rsidR="00CE21A6" w:rsidRPr="004E1172">
        <w:rPr>
          <w:rFonts w:asciiTheme="minorHAnsi" w:hAnsiTheme="minorHAnsi"/>
          <w:sz w:val="22"/>
        </w:rPr>
        <w:t xml:space="preserve">a major component of GDP. The gallon sales by grade are used in constructing a weighted price per gallon which is then used to prepare estimates of real gasoline and oil expenditures. BEA uses EIA-856 data in the Balance of Payments for the total crude oil import prices and quantities for BEA’s goods projections for the advance estimate of GDP. The BLS uses the EIA-856 to compute their crude oil price index which is also used by BEA’s Balance of Payments. </w:t>
      </w:r>
    </w:p>
    <w:p w:rsidR="00CE21A6" w:rsidRPr="004E1172" w:rsidRDefault="00CE21A6" w:rsidP="004E1172">
      <w:pPr>
        <w:pStyle w:val="Default"/>
        <w:spacing w:line="360" w:lineRule="auto"/>
        <w:rPr>
          <w:rFonts w:asciiTheme="minorHAnsi" w:hAnsiTheme="minorHAnsi"/>
          <w:sz w:val="22"/>
        </w:rPr>
      </w:pPr>
    </w:p>
    <w:p w:rsidR="00CE74EF" w:rsidRPr="004E1172" w:rsidRDefault="00CE74EF" w:rsidP="004E1172">
      <w:pPr>
        <w:pStyle w:val="Default"/>
        <w:spacing w:line="360" w:lineRule="auto"/>
        <w:rPr>
          <w:rFonts w:asciiTheme="minorHAnsi" w:hAnsiTheme="minorHAnsi"/>
          <w:sz w:val="22"/>
        </w:rPr>
      </w:pPr>
      <w:r w:rsidRPr="004E1172">
        <w:rPr>
          <w:rFonts w:asciiTheme="minorHAnsi" w:hAnsiTheme="minorHAnsi"/>
          <w:sz w:val="22"/>
        </w:rPr>
        <w:t xml:space="preserve">Another user wrote to request the EIA-877, </w:t>
      </w:r>
      <w:r w:rsidR="00E44E39" w:rsidRPr="004E1172">
        <w:rPr>
          <w:rFonts w:asciiTheme="minorHAnsi" w:hAnsiTheme="minorHAnsi"/>
          <w:sz w:val="22"/>
        </w:rPr>
        <w:t>“</w:t>
      </w:r>
      <w:r w:rsidRPr="004E1172">
        <w:rPr>
          <w:rFonts w:asciiTheme="minorHAnsi" w:hAnsiTheme="minorHAnsi"/>
          <w:sz w:val="22"/>
        </w:rPr>
        <w:t xml:space="preserve">Winter Heating Fuels Telephone Survey,” be extended by two months, from the first week in September to the last week of April.  They speculated that expanding the survey for two months would allow customers to have better pricing information, information which would be useful in strategizing as to when it may be advantageous to order heating oil supplies. They requested EIA provide clarification regarding discontinuation of low sulfur No. 2 diesel fuel oil, as No. 2 diesel fuel oil and home heating oil as these terms are sometimes synonymous.  EIA explained that they intend to discontinue collection of low sulfur No. 2 diesel fuel oil for on-highway purposes only and that they plan to continue collecting data on home heating oil.    </w:t>
      </w:r>
    </w:p>
    <w:p w:rsidR="00CE21A6" w:rsidRPr="004E1172" w:rsidRDefault="00CE21A6" w:rsidP="004E1172">
      <w:pPr>
        <w:pStyle w:val="Default"/>
        <w:spacing w:line="360" w:lineRule="auto"/>
        <w:rPr>
          <w:rFonts w:asciiTheme="minorHAnsi" w:hAnsiTheme="minorHAnsi"/>
          <w:sz w:val="22"/>
        </w:rPr>
      </w:pPr>
    </w:p>
    <w:p w:rsidR="00CF3FD8" w:rsidRPr="004E1172" w:rsidRDefault="00CE74EF" w:rsidP="004E1172">
      <w:pPr>
        <w:spacing w:line="360" w:lineRule="auto"/>
        <w:rPr>
          <w:rFonts w:asciiTheme="minorHAnsi" w:hAnsiTheme="minorHAnsi"/>
          <w:sz w:val="22"/>
        </w:rPr>
      </w:pPr>
      <w:r w:rsidRPr="004E1172">
        <w:rPr>
          <w:rFonts w:asciiTheme="minorHAnsi" w:hAnsiTheme="minorHAnsi"/>
          <w:sz w:val="22"/>
        </w:rPr>
        <w:t>Another user wrote in support of the Petroleum Marketing Program</w:t>
      </w:r>
      <w:r w:rsidR="00E44E39" w:rsidRPr="004E1172">
        <w:rPr>
          <w:rFonts w:asciiTheme="minorHAnsi" w:hAnsiTheme="minorHAnsi"/>
          <w:sz w:val="22"/>
        </w:rPr>
        <w:t xml:space="preserve">, </w:t>
      </w:r>
      <w:r w:rsidR="006E7570">
        <w:rPr>
          <w:rFonts w:asciiTheme="minorHAnsi" w:hAnsiTheme="minorHAnsi"/>
          <w:sz w:val="22"/>
        </w:rPr>
        <w:t>indicating</w:t>
      </w:r>
      <w:r w:rsidRPr="004E1172">
        <w:rPr>
          <w:rFonts w:asciiTheme="minorHAnsi" w:hAnsiTheme="minorHAnsi"/>
          <w:sz w:val="22"/>
        </w:rPr>
        <w:t xml:space="preserve"> they use</w:t>
      </w:r>
      <w:r w:rsidR="00E44E39" w:rsidRPr="004E1172">
        <w:rPr>
          <w:rFonts w:asciiTheme="minorHAnsi" w:hAnsiTheme="minorHAnsi"/>
          <w:sz w:val="22"/>
        </w:rPr>
        <w:t>d</w:t>
      </w:r>
      <w:r w:rsidRPr="004E1172">
        <w:rPr>
          <w:rFonts w:asciiTheme="minorHAnsi" w:hAnsiTheme="minorHAnsi"/>
          <w:sz w:val="22"/>
        </w:rPr>
        <w:t xml:space="preserve"> data collected from the EIA-14, the EIA-182, the EIA-782A, and EIA-856.</w:t>
      </w:r>
    </w:p>
    <w:p w:rsidR="00CF3FD8" w:rsidRPr="006A5EBC" w:rsidRDefault="00BF7D97" w:rsidP="00D20878">
      <w:pPr>
        <w:pStyle w:val="Heading1"/>
      </w:pPr>
      <w:r w:rsidRPr="006A5EBC">
        <w:t>A</w:t>
      </w:r>
      <w:r w:rsidR="00C36267" w:rsidRPr="006A5EBC">
        <w:t xml:space="preserve">9. </w:t>
      </w:r>
      <w:r w:rsidR="003533C7" w:rsidRPr="006A5EBC">
        <w:t>Payments or Gifts to Respondents</w:t>
      </w:r>
      <w:r w:rsidR="00CF3FD8" w:rsidRPr="006A5EBC">
        <w:t xml:space="preserve"> </w:t>
      </w:r>
    </w:p>
    <w:p w:rsidR="00CF3FD8" w:rsidRPr="006A5EBC" w:rsidRDefault="00CF3FD8" w:rsidP="00D6179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heme="minorHAnsi" w:hAnsiTheme="minorHAnsi"/>
          <w:color w:val="000000"/>
          <w:sz w:val="22"/>
        </w:rPr>
      </w:pPr>
      <w:r w:rsidRPr="004E1172">
        <w:rPr>
          <w:rFonts w:asciiTheme="minorHAnsi" w:hAnsiTheme="minorHAnsi"/>
          <w:color w:val="000000"/>
          <w:sz w:val="22"/>
        </w:rPr>
        <w:t>There are no plans to pay respondents to respond to these surveys.</w:t>
      </w:r>
    </w:p>
    <w:p w:rsidR="00CF3FD8" w:rsidRPr="00AB4581" w:rsidRDefault="00BF7D97" w:rsidP="00D20878">
      <w:pPr>
        <w:pStyle w:val="Heading1"/>
      </w:pPr>
      <w:r w:rsidRPr="006A5EBC">
        <w:t>A</w:t>
      </w:r>
      <w:r w:rsidR="00C36267" w:rsidRPr="006A5EBC">
        <w:t xml:space="preserve">10. </w:t>
      </w:r>
      <w:r w:rsidR="00630FA1" w:rsidRPr="006A5EBC">
        <w:t xml:space="preserve">Provisions for </w:t>
      </w:r>
      <w:r w:rsidR="00AB4581" w:rsidRPr="00AB4581">
        <w:t>Confidentiality of Information</w:t>
      </w:r>
    </w:p>
    <w:p w:rsidR="00E46F01" w:rsidRPr="00540778" w:rsidRDefault="00E46F01" w:rsidP="00D617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4C7366" w:rsidRDefault="00E46F01" w:rsidP="004E11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information reported on the petroleum marketing survey Forms EIA-863 (Part 1, items 9-18, Part II, and Part III</w:t>
      </w:r>
      <w:r w:rsidR="005D175C" w:rsidRPr="004E1172">
        <w:rPr>
          <w:rFonts w:asciiTheme="minorHAnsi" w:hAnsiTheme="minorHAnsi"/>
          <w:color w:val="000000"/>
          <w:sz w:val="22"/>
        </w:rPr>
        <w:t>)</w:t>
      </w:r>
      <w:r w:rsidRPr="004E1172">
        <w:rPr>
          <w:rFonts w:asciiTheme="minorHAnsi" w:hAnsiTheme="minorHAnsi"/>
          <w:color w:val="000000"/>
          <w:sz w:val="22"/>
        </w:rPr>
        <w:t xml:space="preserve">, EIA-878, and EIA-888 is considered confidential in accordance with the Confidential Information Protection and Statistical Efficiency Act of 2002 (P.L. 107-347) and the information will be used solely for statistical purposes.  </w:t>
      </w:r>
      <w:r w:rsidR="004C7366">
        <w:rPr>
          <w:rFonts w:asciiTheme="minorHAnsi" w:hAnsiTheme="minorHAnsi"/>
          <w:color w:val="000000"/>
          <w:sz w:val="22"/>
        </w:rPr>
        <w:t>Form EIA-863 i</w:t>
      </w:r>
      <w:r w:rsidRPr="004E1172">
        <w:rPr>
          <w:rFonts w:asciiTheme="minorHAnsi" w:hAnsiTheme="minorHAnsi"/>
          <w:color w:val="000000"/>
          <w:sz w:val="22"/>
        </w:rPr>
        <w:t>nstructions will include the following</w:t>
      </w:r>
      <w:r w:rsidR="004C7366">
        <w:rPr>
          <w:rFonts w:asciiTheme="minorHAnsi" w:hAnsiTheme="minorHAnsi"/>
          <w:color w:val="000000"/>
          <w:sz w:val="22"/>
        </w:rPr>
        <w:t xml:space="preserve"> statement</w:t>
      </w:r>
      <w:r w:rsidRPr="004E1172">
        <w:rPr>
          <w:rFonts w:asciiTheme="minorHAnsi" w:hAnsiTheme="minorHAnsi"/>
          <w:color w:val="000000"/>
          <w:sz w:val="22"/>
        </w:rPr>
        <w:t>:</w:t>
      </w:r>
    </w:p>
    <w:p w:rsidR="004C7366" w:rsidRP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lastRenderedPageBreak/>
        <w:t xml:space="preserve">The information reported in items 1-8 of Part I, Respondent Identification Data, of the EIA-863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ind w:left="720"/>
        <w:rPr>
          <w:rFonts w:asciiTheme="minorHAnsi" w:hAnsiTheme="minorHAnsi" w:cs="Arial"/>
          <w:color w:val="000000"/>
          <w:sz w:val="22"/>
          <w:szCs w:val="22"/>
        </w:rPr>
      </w:pPr>
      <w:r w:rsidRPr="004C7366">
        <w:rPr>
          <w:rFonts w:asciiTheme="minorHAnsi" w:hAnsiTheme="minorHAnsi" w:cs="Arial"/>
          <w:color w:val="000000"/>
          <w:sz w:val="22"/>
          <w:szCs w:val="22"/>
        </w:rPr>
        <w:t xml:space="preserve">With regard to the information reported in items 1-8 of Part I, the Federal Energy Administration Act requires the EIA to provide company-specific data to other Federal agencies when requested for official use. That information reported in Part I may also be made available, upon request, to another component of the DOE; to any Committee of Congress, the Government Accountability Office, or other Federal agencies authorized by law to receive such information. A court of competent jurisdiction may obtain this information in response to an order. That Part I information may be used for any non-statistical purposes such as administrative, regulatory, law enforcement, or adjudicatory purposes. </w:t>
      </w:r>
    </w:p>
    <w:p w:rsidR="004C7366" w:rsidRPr="004C7366" w:rsidRDefault="004C7366" w:rsidP="004C7366">
      <w:pPr>
        <w:widowControl/>
        <w:ind w:left="720"/>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Arial"/>
          <w:color w:val="000000"/>
          <w:sz w:val="22"/>
          <w:szCs w:val="22"/>
        </w:rPr>
      </w:pPr>
      <w:r w:rsidRPr="004C7366">
        <w:rPr>
          <w:rFonts w:asciiTheme="minorHAnsi" w:hAnsiTheme="minorHAnsi" w:cs="Arial"/>
          <w:color w:val="000000"/>
          <w:sz w:val="22"/>
          <w:szCs w:val="22"/>
        </w:rPr>
        <w:t>The information reported in Part I item 9-18, Parts II, Preparer Information, and III, Total Sales Volumes by State, of the EIA-863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r>
        <w:rPr>
          <w:rFonts w:asciiTheme="minorHAnsi" w:hAnsiTheme="minorHAnsi" w:cs="Arial"/>
          <w:color w:val="000000"/>
          <w:sz w:val="22"/>
          <w:szCs w:val="22"/>
        </w:rPr>
        <w:t>.</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0000"/>
          <w:sz w:val="22"/>
          <w:szCs w:val="22"/>
        </w:rPr>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 xml:space="preserve">Forms EIA-878 and 888 are telephone surveys and have a shorter version of the CIPSEA pledge that is read to the respondent over the telephone.  </w:t>
      </w:r>
    </w:p>
    <w:p w:rsidR="004C7366" w:rsidRDefault="004C7366" w:rsidP="004C7366">
      <w:pPr>
        <w:pStyle w:val="BodyTextIndent"/>
        <w:ind w:right="720"/>
      </w:pPr>
      <w:r>
        <w:t>The information you provide will be used for statistical purposes only.  In accordance with the Confidential Information Protection provisions in Public Law 107-347, your responses will be kept confidential and will not be disclosed in identifiable form.  By law, everyone working on this EIA survey is subject to a jail term, a fine, or both if he or she discloses ANY information that could identify any confidential survey response.</w:t>
      </w:r>
    </w:p>
    <w:p w:rsidR="004C7366" w:rsidRDefault="004C7366" w:rsidP="004C7366">
      <w:pPr>
        <w:pStyle w:val="BodyTextIndent"/>
        <w:ind w:left="0" w:right="720"/>
      </w:pP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Pr>
          <w:rFonts w:asciiTheme="minorHAnsi" w:hAnsiTheme="minorHAnsi"/>
          <w:color w:val="000000"/>
          <w:sz w:val="22"/>
        </w:rPr>
        <w:t>The instructions to Forms EIA-878 and EIA-888,that are available on EIA’s web site, include the full CIPSEA pledge:</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asciiTheme="minorHAnsi" w:hAnsiTheme="minorHAnsi"/>
          <w:color w:val="000000"/>
          <w:sz w:val="22"/>
        </w:rPr>
      </w:pPr>
      <w:r>
        <w:t>The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p w:rsid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p>
    <w:p w:rsidR="004C7366" w:rsidRDefault="004C7366" w:rsidP="004C7366">
      <w:pPr>
        <w:pStyle w:val="BodyTextIndent2"/>
        <w:spacing w:line="360" w:lineRule="auto"/>
        <w:ind w:left="0"/>
        <w:rPr>
          <w:rFonts w:asciiTheme="minorHAnsi" w:hAnsiTheme="minorHAnsi"/>
          <w:color w:val="000000"/>
          <w:sz w:val="22"/>
        </w:rPr>
      </w:pPr>
      <w:r w:rsidRPr="004E1172">
        <w:rPr>
          <w:rFonts w:asciiTheme="minorHAnsi" w:hAnsiTheme="minorHAnsi"/>
          <w:color w:val="000000"/>
          <w:sz w:val="22"/>
        </w:rPr>
        <w:t>The</w:t>
      </w:r>
      <w:r>
        <w:rPr>
          <w:rFonts w:asciiTheme="minorHAnsi" w:hAnsiTheme="minorHAnsi"/>
          <w:color w:val="000000"/>
          <w:sz w:val="22"/>
        </w:rPr>
        <w:t xml:space="preserve"> instructions to </w:t>
      </w:r>
      <w:r w:rsidRPr="004E1172">
        <w:rPr>
          <w:rFonts w:asciiTheme="minorHAnsi" w:hAnsiTheme="minorHAnsi"/>
          <w:color w:val="000000"/>
          <w:sz w:val="22"/>
        </w:rPr>
        <w:t xml:space="preserve"> the petroleum marketing survey Forms EIA-14, EIA-182, EIA-782A, EIA-782C, EIA-821, EIA-856, EIA-863 (Part 1, Items 1-8)</w:t>
      </w:r>
      <w:r w:rsidRPr="004E1172">
        <w:rPr>
          <w:rFonts w:asciiTheme="minorHAnsi" w:hAnsiTheme="minorHAnsi"/>
          <w:b/>
          <w:color w:val="000000"/>
          <w:sz w:val="22"/>
        </w:rPr>
        <w:t xml:space="preserve"> </w:t>
      </w:r>
      <w:r w:rsidRPr="004E1172">
        <w:rPr>
          <w:rFonts w:asciiTheme="minorHAnsi" w:hAnsiTheme="minorHAnsi"/>
          <w:color w:val="000000"/>
          <w:sz w:val="22"/>
        </w:rPr>
        <w:t xml:space="preserve">and EIA-877 </w:t>
      </w:r>
      <w:r>
        <w:rPr>
          <w:rFonts w:asciiTheme="minorHAnsi" w:hAnsiTheme="minorHAnsi"/>
          <w:color w:val="000000"/>
          <w:sz w:val="22"/>
        </w:rPr>
        <w:t>state:</w:t>
      </w:r>
    </w:p>
    <w:p w:rsidR="004C7366" w:rsidRDefault="004C7366" w:rsidP="004C7366">
      <w:pPr>
        <w:pStyle w:val="BodyTextIndent2"/>
        <w:spacing w:line="240" w:lineRule="auto"/>
        <w:ind w:left="720" w:right="720"/>
        <w:rPr>
          <w:rFonts w:asciiTheme="minorHAnsi" w:hAnsiTheme="minorHAnsi"/>
          <w:sz w:val="22"/>
        </w:rPr>
      </w:pPr>
      <w:r>
        <w:rPr>
          <w:rFonts w:asciiTheme="minorHAnsi" w:hAnsiTheme="minorHAnsi"/>
          <w:color w:val="000000"/>
          <w:sz w:val="22"/>
        </w:rPr>
        <w:lastRenderedPageBreak/>
        <w:t xml:space="preserve">The information reported on this form </w:t>
      </w:r>
      <w:r w:rsidRPr="004E1172">
        <w:rPr>
          <w:rFonts w:asciiTheme="minorHAnsi" w:hAnsiTheme="minorHAnsi"/>
          <w:color w:val="000000"/>
          <w:sz w:val="22"/>
        </w:rPr>
        <w:t xml:space="preserve">will be </w:t>
      </w:r>
      <w:r w:rsidRPr="004E1172">
        <w:rPr>
          <w:rFonts w:asciiTheme="minorHAnsi" w:hAnsiTheme="minorHAnsi"/>
          <w:sz w:val="22"/>
        </w:rPr>
        <w:t>protected</w:t>
      </w:r>
      <w:r w:rsidRPr="004E1172">
        <w:rPr>
          <w:rFonts w:asciiTheme="minorHAnsi" w:hAnsiTheme="minorHAnsi"/>
          <w:color w:val="000080"/>
          <w:sz w:val="22"/>
        </w:rPr>
        <w:t xml:space="preserve"> </w:t>
      </w:r>
      <w:r w:rsidRPr="004E1172">
        <w:rPr>
          <w:rFonts w:asciiTheme="minorHAnsi" w:hAnsiTheme="minorHAnsi"/>
          <w:color w:val="000000"/>
          <w:sz w:val="22"/>
        </w:rPr>
        <w:t>and not disclosed to the public to the extent that it satisfies the criteria for exemption under the Freedom of Information Act (FOIA), 5 U.S.C. §552, the Department of Energy (DOE) regulations, 10 C.F.R. §1004.11, implementing the FOIA, and the Trade Secrets Act, 18 U.S.C. §1905.</w:t>
      </w:r>
    </w:p>
    <w:p w:rsidR="004C7366" w:rsidRPr="004E1172" w:rsidRDefault="004C7366" w:rsidP="004C7366">
      <w:pPr>
        <w:ind w:left="720"/>
        <w:rPr>
          <w:rFonts w:asciiTheme="minorHAnsi" w:hAnsiTheme="minorHAnsi"/>
          <w:color w:val="000000"/>
          <w:sz w:val="22"/>
        </w:rPr>
      </w:pPr>
      <w:r w:rsidRPr="004E1172">
        <w:rPr>
          <w:rFonts w:asciiTheme="minorHAnsi" w:hAnsiTheme="minorHAnsi"/>
          <w:color w:val="000000"/>
          <w:sz w:val="22"/>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4C7366" w:rsidRPr="004C7366" w:rsidRDefault="004C7366"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sz w:val="22"/>
          <w:szCs w:val="22"/>
        </w:rPr>
      </w:pPr>
    </w:p>
    <w:p w:rsidR="00E46F01" w:rsidRPr="004C7366" w:rsidRDefault="00E46F01" w:rsidP="004C73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szCs w:val="22"/>
        </w:rPr>
      </w:pPr>
      <w:r w:rsidRPr="004C7366">
        <w:rPr>
          <w:rFonts w:asciiTheme="minorHAnsi" w:hAnsiTheme="minorHAnsi"/>
          <w:color w:val="000000"/>
          <w:sz w:val="22"/>
          <w:szCs w:val="22"/>
        </w:rPr>
        <w:t xml:space="preserve"> </w:t>
      </w:r>
    </w:p>
    <w:p w:rsidR="00E46F01" w:rsidRPr="004E1172"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iCs/>
          <w:color w:val="000000"/>
          <w:sz w:val="22"/>
        </w:rPr>
        <w:t>Disclosure limitation methods are not used on tabular information for statistics based on information reported on Form EIA-821.  For Form EIA-821, the following will also be included in the form</w:t>
      </w:r>
      <w:r w:rsidR="00A86801" w:rsidRPr="004E1172">
        <w:rPr>
          <w:rFonts w:asciiTheme="minorHAnsi" w:hAnsiTheme="minorHAnsi"/>
          <w:iCs/>
          <w:color w:val="000000"/>
          <w:sz w:val="22"/>
        </w:rPr>
        <w:t>’</w:t>
      </w:r>
      <w:r w:rsidRPr="004E1172">
        <w:rPr>
          <w:rFonts w:asciiTheme="minorHAnsi" w:hAnsiTheme="minorHAnsi"/>
          <w:iCs/>
          <w:color w:val="000000"/>
          <w:sz w:val="22"/>
        </w:rPr>
        <w:t>s instructions</w:t>
      </w:r>
      <w:r w:rsidR="00955AB9" w:rsidRPr="004E1172">
        <w:rPr>
          <w:rFonts w:asciiTheme="minorHAnsi" w:hAnsiTheme="minorHAnsi"/>
          <w:iCs/>
          <w:color w:val="000000"/>
          <w:sz w:val="22"/>
        </w:rPr>
        <w:t xml:space="preserve">: </w:t>
      </w:r>
    </w:p>
    <w:p w:rsidR="00E46F01" w:rsidRPr="004E1172" w:rsidRDefault="00E46F01" w:rsidP="00494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2"/>
        </w:rPr>
      </w:pPr>
      <w:r w:rsidRPr="004E1172">
        <w:rPr>
          <w:rFonts w:asciiTheme="minorHAnsi" w:hAnsiTheme="minorHAnsi"/>
          <w:sz w:val="22"/>
        </w:rPr>
        <w:t>Disclosure limitation procedures are not applied to the statistical data published from th</w:t>
      </w:r>
      <w:r w:rsidR="00A876F6" w:rsidRPr="004E1172">
        <w:rPr>
          <w:rFonts w:asciiTheme="minorHAnsi" w:hAnsiTheme="minorHAnsi"/>
          <w:sz w:val="22"/>
        </w:rPr>
        <w:t>is survey's information. T</w:t>
      </w:r>
      <w:r w:rsidRPr="004E1172">
        <w:rPr>
          <w:rFonts w:asciiTheme="minorHAnsi" w:hAnsiTheme="minorHAnsi"/>
          <w:sz w:val="22"/>
        </w:rPr>
        <w: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955AB9" w:rsidRPr="004E1172" w:rsidRDefault="00955AB9"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r w:rsidRPr="00494925">
        <w:rPr>
          <w:rFonts w:asciiTheme="minorHAnsi" w:hAnsiTheme="minorHAnsi"/>
          <w:iCs/>
          <w:color w:val="000000"/>
          <w:sz w:val="22"/>
        </w:rPr>
        <w:t>Respondents to Form EI</w:t>
      </w:r>
      <w:r w:rsidR="0084702F" w:rsidRPr="00494925">
        <w:rPr>
          <w:rFonts w:asciiTheme="minorHAnsi" w:hAnsiTheme="minorHAnsi"/>
          <w:iCs/>
          <w:color w:val="000000"/>
          <w:sz w:val="22"/>
        </w:rPr>
        <w:t xml:space="preserve">A-782C are informed that </w:t>
      </w:r>
      <w:r w:rsidR="0084702F" w:rsidRPr="00667C26">
        <w:rPr>
          <w:rFonts w:asciiTheme="minorHAnsi" w:hAnsiTheme="minorHAnsi"/>
          <w:iCs/>
          <w:sz w:val="22"/>
        </w:rPr>
        <w:t>State Energy O</w:t>
      </w:r>
      <w:r w:rsidRPr="00667C26">
        <w:rPr>
          <w:rFonts w:asciiTheme="minorHAnsi" w:hAnsiTheme="minorHAnsi"/>
          <w:iCs/>
          <w:sz w:val="22"/>
        </w:rPr>
        <w:t xml:space="preserve">ffices are interested in receiving a copy of the EIA-782C and the respondent may choose to provide a duplicate of each monthly report directly to the appropriate </w:t>
      </w:r>
      <w:r w:rsidR="00BE6394" w:rsidRPr="00667C26">
        <w:rPr>
          <w:rFonts w:asciiTheme="minorHAnsi" w:hAnsiTheme="minorHAnsi"/>
          <w:iCs/>
          <w:sz w:val="22"/>
        </w:rPr>
        <w:t xml:space="preserve">State </w:t>
      </w:r>
      <w:r w:rsidR="0084702F" w:rsidRPr="00667C26">
        <w:rPr>
          <w:rFonts w:asciiTheme="minorHAnsi" w:hAnsiTheme="minorHAnsi"/>
          <w:iCs/>
          <w:sz w:val="22"/>
        </w:rPr>
        <w:t>E</w:t>
      </w:r>
      <w:r w:rsidRPr="00667C26">
        <w:rPr>
          <w:rFonts w:asciiTheme="minorHAnsi" w:hAnsiTheme="minorHAnsi"/>
          <w:iCs/>
          <w:sz w:val="22"/>
        </w:rPr>
        <w:t xml:space="preserve">nergy </w:t>
      </w:r>
      <w:r w:rsidR="0084702F" w:rsidRPr="00667C26">
        <w:rPr>
          <w:rFonts w:asciiTheme="minorHAnsi" w:hAnsiTheme="minorHAnsi"/>
          <w:iCs/>
          <w:sz w:val="22"/>
        </w:rPr>
        <w:t>O</w:t>
      </w:r>
      <w:r w:rsidRPr="00667C26">
        <w:rPr>
          <w:rFonts w:asciiTheme="minorHAnsi" w:hAnsiTheme="minorHAnsi"/>
          <w:iCs/>
          <w:sz w:val="22"/>
        </w:rPr>
        <w:t>ffice where the respondent</w:t>
      </w:r>
      <w:r w:rsidRPr="00494925">
        <w:rPr>
          <w:rFonts w:asciiTheme="minorHAnsi" w:hAnsiTheme="minorHAnsi"/>
          <w:iCs/>
          <w:color w:val="000000"/>
          <w:sz w:val="22"/>
        </w:rPr>
        <w:t xml:space="preserve"> made sales.</w:t>
      </w: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iCs/>
          <w:color w:val="000000"/>
          <w:sz w:val="22"/>
        </w:rPr>
      </w:pPr>
    </w:p>
    <w:p w:rsidR="00E46F01" w:rsidRPr="00494925" w:rsidRDefault="00E46F0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94925">
        <w:rPr>
          <w:rFonts w:asciiTheme="minorHAnsi" w:hAnsiTheme="minorHAnsi"/>
          <w:iCs/>
          <w:color w:val="000000"/>
          <w:sz w:val="22"/>
        </w:rPr>
        <w:t>For Form EIA-782C, the following will also be included in the form</w:t>
      </w:r>
      <w:r w:rsidR="00A86801" w:rsidRPr="00494925">
        <w:rPr>
          <w:rFonts w:asciiTheme="minorHAnsi" w:hAnsiTheme="minorHAnsi"/>
          <w:iCs/>
          <w:color w:val="000000"/>
          <w:sz w:val="22"/>
        </w:rPr>
        <w:t>’</w:t>
      </w:r>
      <w:r w:rsidRPr="00494925">
        <w:rPr>
          <w:rFonts w:asciiTheme="minorHAnsi" w:hAnsiTheme="minorHAnsi"/>
          <w:iCs/>
          <w:color w:val="000000"/>
          <w:sz w:val="22"/>
        </w:rPr>
        <w:t xml:space="preserve">s instructions. </w:t>
      </w:r>
    </w:p>
    <w:p w:rsidR="00E46F01" w:rsidRPr="004E1172" w:rsidRDefault="00E46F01" w:rsidP="00494925">
      <w:pPr>
        <w:ind w:left="720"/>
        <w:rPr>
          <w:rFonts w:asciiTheme="minorHAnsi" w:hAnsiTheme="minorHAnsi"/>
          <w:sz w:val="22"/>
        </w:rPr>
      </w:pPr>
      <w:r w:rsidRPr="004E1172">
        <w:rPr>
          <w:rFonts w:asciiTheme="minorHAnsi" w:hAnsiTheme="minorHAnsi"/>
          <w:color w:val="000000"/>
          <w:sz w:val="22"/>
        </w:rPr>
        <w:t xml:space="preserve">Information provided to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Energy O</w:t>
      </w:r>
      <w:r w:rsidRPr="004E1172">
        <w:rPr>
          <w:rFonts w:asciiTheme="minorHAnsi" w:hAnsiTheme="minorHAnsi"/>
          <w:color w:val="000000"/>
          <w:sz w:val="22"/>
        </w:rPr>
        <w:t xml:space="preserve">ffices are not subject to federal regulations governing disclosure of company level data.   Contact your </w:t>
      </w:r>
      <w:r w:rsidR="00BE6394" w:rsidRPr="004E1172">
        <w:rPr>
          <w:rFonts w:asciiTheme="minorHAnsi" w:hAnsiTheme="minorHAnsi"/>
          <w:color w:val="000000"/>
          <w:sz w:val="22"/>
        </w:rPr>
        <w:t xml:space="preserve">State </w:t>
      </w:r>
      <w:r w:rsidR="00AB4581" w:rsidRPr="004E1172">
        <w:rPr>
          <w:rFonts w:asciiTheme="minorHAnsi" w:hAnsiTheme="minorHAnsi"/>
          <w:color w:val="000000"/>
          <w:sz w:val="22"/>
        </w:rPr>
        <w:t>E</w:t>
      </w:r>
      <w:r w:rsidRPr="004E1172">
        <w:rPr>
          <w:rFonts w:asciiTheme="minorHAnsi" w:hAnsiTheme="minorHAnsi"/>
          <w:color w:val="000000"/>
          <w:sz w:val="22"/>
        </w:rPr>
        <w:t xml:space="preserve">nergy </w:t>
      </w:r>
      <w:r w:rsidR="00AB4581" w:rsidRPr="004E1172">
        <w:rPr>
          <w:rFonts w:asciiTheme="minorHAnsi" w:hAnsiTheme="minorHAnsi"/>
          <w:color w:val="000000"/>
          <w:sz w:val="22"/>
        </w:rPr>
        <w:t>O</w:t>
      </w:r>
      <w:r w:rsidRPr="004E1172">
        <w:rPr>
          <w:rFonts w:asciiTheme="minorHAnsi" w:hAnsiTheme="minorHAnsi"/>
          <w:color w:val="000000"/>
          <w:sz w:val="22"/>
        </w:rPr>
        <w:t>ffice for details on their data confidentiality policies and regulations</w:t>
      </w:r>
      <w:r w:rsidR="00D20878" w:rsidRPr="004E1172">
        <w:rPr>
          <w:rFonts w:asciiTheme="minorHAnsi" w:hAnsiTheme="minorHAnsi"/>
          <w:color w:val="000000"/>
          <w:sz w:val="22"/>
        </w:rPr>
        <w:t>.</w:t>
      </w:r>
    </w:p>
    <w:p w:rsidR="00CF3FD8" w:rsidRPr="00540778" w:rsidRDefault="00BF7D97" w:rsidP="00D20878">
      <w:pPr>
        <w:pStyle w:val="Heading1"/>
      </w:pPr>
      <w:r>
        <w:t>A</w:t>
      </w:r>
      <w:r w:rsidR="00C36267" w:rsidRPr="00540778">
        <w:t xml:space="preserve">11. </w:t>
      </w:r>
      <w:r w:rsidR="00CF3FD8" w:rsidRPr="00540778">
        <w:t>Justification for Sensitive Questions</w:t>
      </w:r>
    </w:p>
    <w:p w:rsidR="00CF3FD8" w:rsidRPr="00540778" w:rsidRDefault="00CF3FD8" w:rsidP="00D6179C">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questions of a sens</w:t>
      </w:r>
      <w:r w:rsidR="0018428D" w:rsidRPr="004E1172">
        <w:rPr>
          <w:rFonts w:asciiTheme="minorHAnsi" w:hAnsiTheme="minorHAnsi"/>
          <w:color w:val="000000"/>
          <w:sz w:val="22"/>
        </w:rPr>
        <w:t>itive nature asked on the ten</w:t>
      </w:r>
      <w:r w:rsidRPr="004E1172">
        <w:rPr>
          <w:rFonts w:asciiTheme="minorHAnsi" w:hAnsiTheme="minorHAnsi"/>
          <w:color w:val="000000"/>
          <w:sz w:val="22"/>
        </w:rPr>
        <w:t xml:space="preserve"> </w:t>
      </w:r>
      <w:r w:rsidR="000C3D29" w:rsidRPr="004E1172">
        <w:rPr>
          <w:rFonts w:asciiTheme="minorHAnsi" w:hAnsiTheme="minorHAnsi"/>
          <w:color w:val="000000"/>
          <w:sz w:val="22"/>
        </w:rPr>
        <w:t xml:space="preserve">surveys in the </w:t>
      </w:r>
      <w:r w:rsidRPr="004E1172">
        <w:rPr>
          <w:rFonts w:asciiTheme="minorHAnsi" w:hAnsiTheme="minorHAnsi"/>
          <w:color w:val="000000"/>
          <w:sz w:val="22"/>
        </w:rPr>
        <w:t xml:space="preserve">Petroleum </w:t>
      </w:r>
      <w:r w:rsidR="00C7794D" w:rsidRPr="004E1172">
        <w:rPr>
          <w:rFonts w:asciiTheme="minorHAnsi" w:hAnsiTheme="minorHAnsi"/>
          <w:color w:val="000000"/>
          <w:sz w:val="22"/>
        </w:rPr>
        <w:t xml:space="preserve">Marketing </w:t>
      </w:r>
      <w:r w:rsidR="000C3D29" w:rsidRPr="004E1172">
        <w:rPr>
          <w:rFonts w:asciiTheme="minorHAnsi" w:hAnsiTheme="minorHAnsi"/>
          <w:color w:val="000000"/>
          <w:sz w:val="22"/>
        </w:rPr>
        <w:t>Program</w:t>
      </w:r>
      <w:r w:rsidRPr="004E1172">
        <w:rPr>
          <w:rFonts w:asciiTheme="minorHAnsi" w:hAnsiTheme="minorHAnsi"/>
          <w:color w:val="000000"/>
          <w:sz w:val="22"/>
        </w:rPr>
        <w:t>.</w:t>
      </w:r>
    </w:p>
    <w:p w:rsidR="008777A7" w:rsidRDefault="008777A7" w:rsidP="00D20878">
      <w:pPr>
        <w:pStyle w:val="Heading1"/>
        <w:rPr>
          <w:color w:val="FF0000"/>
        </w:rPr>
      </w:pPr>
      <w:r>
        <w:t>A12. Estimated Average Reporting Burden</w:t>
      </w:r>
    </w:p>
    <w:p w:rsidR="008777A7" w:rsidRDefault="008777A7" w:rsidP="008777A7">
      <w:pPr>
        <w:keepNext/>
        <w:jc w:val="both"/>
        <w:rPr>
          <w:rFonts w:ascii="Times New Roman" w:hAnsi="Times New Roman"/>
          <w:color w:val="000000"/>
        </w:rPr>
      </w:pPr>
    </w:p>
    <w:p w:rsidR="008777A7" w:rsidRPr="004E1172" w:rsidRDefault="008777A7"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sz w:val="22"/>
        </w:rPr>
        <w:t xml:space="preserve">The overall annual burden for this package is estimated to </w:t>
      </w:r>
      <w:r w:rsidRPr="008C399D">
        <w:rPr>
          <w:rFonts w:asciiTheme="minorHAnsi" w:hAnsiTheme="minorHAnsi"/>
          <w:sz w:val="22"/>
        </w:rPr>
        <w:t>be $3,806,040.  Base</w:t>
      </w:r>
      <w:r w:rsidR="00057216">
        <w:rPr>
          <w:rFonts w:asciiTheme="minorHAnsi" w:hAnsiTheme="minorHAnsi"/>
          <w:sz w:val="22"/>
        </w:rPr>
        <w:t>d on the reporting burden, the c</w:t>
      </w:r>
      <w:r w:rsidRPr="008C399D">
        <w:rPr>
          <w:rFonts w:asciiTheme="minorHAnsi" w:hAnsiTheme="minorHAnsi"/>
          <w:sz w:val="22"/>
        </w:rPr>
        <w:t>ost to the respondents is estimated to be: 56,186 hours x $67.74 per hour</w:t>
      </w:r>
      <w:r w:rsidRPr="004E1172">
        <w:rPr>
          <w:rFonts w:asciiTheme="minorHAnsi" w:hAnsiTheme="minorHAnsi"/>
          <w:color w:val="000000"/>
          <w:sz w:val="22"/>
        </w:rPr>
        <w:t xml:space="preserve">. An average cost per hour of </w:t>
      </w:r>
      <w:r w:rsidRPr="004E1172">
        <w:rPr>
          <w:rFonts w:asciiTheme="minorHAnsi" w:hAnsiTheme="minorHAnsi"/>
          <w:color w:val="000000"/>
          <w:sz w:val="22"/>
        </w:rPr>
        <w:lastRenderedPageBreak/>
        <w:t>$67.74 is used because that is the average salary plus benefits for an equivalent EIA employee. EIA assumes that the survey respondent workforce completing surveys for EIA is comparable to the EIA workforce.</w:t>
      </w:r>
    </w:p>
    <w:p w:rsidR="008777A7" w:rsidRDefault="008777A7" w:rsidP="008777A7">
      <w:pPr>
        <w:pStyle w:val="BodyTextIndent"/>
        <w:ind w:left="0"/>
      </w:pPr>
    </w:p>
    <w:p w:rsidR="0086736D" w:rsidRPr="00BF299D" w:rsidRDefault="008777A7" w:rsidP="00BF299D">
      <w:pPr>
        <w:pStyle w:val="BodyTextIndent"/>
        <w:spacing w:line="360" w:lineRule="auto"/>
        <w:ind w:left="0"/>
        <w:jc w:val="left"/>
        <w:rPr>
          <w:rFonts w:asciiTheme="minorHAnsi" w:hAnsiTheme="minorHAnsi"/>
          <w:sz w:val="22"/>
        </w:rPr>
      </w:pPr>
      <w:r w:rsidRPr="00BF299D">
        <w:rPr>
          <w:rFonts w:asciiTheme="minorHAnsi" w:hAnsiTheme="minorHAnsi"/>
          <w:color w:val="auto"/>
          <w:sz w:val="22"/>
        </w:rPr>
        <w:t>Table</w:t>
      </w:r>
      <w:r w:rsidR="005C5AEA" w:rsidRPr="00BF299D">
        <w:rPr>
          <w:rFonts w:asciiTheme="minorHAnsi" w:hAnsiTheme="minorHAnsi"/>
          <w:color w:val="auto"/>
          <w:sz w:val="22"/>
        </w:rPr>
        <w:t xml:space="preserve"> A3 </w:t>
      </w:r>
      <w:r w:rsidR="00403C52" w:rsidRPr="00BF299D">
        <w:rPr>
          <w:rFonts w:asciiTheme="minorHAnsi" w:hAnsiTheme="minorHAnsi"/>
          <w:color w:val="auto"/>
          <w:sz w:val="22"/>
        </w:rPr>
        <w:t>displays</w:t>
      </w:r>
      <w:r w:rsidRPr="00BF299D">
        <w:rPr>
          <w:rFonts w:asciiTheme="minorHAnsi" w:hAnsiTheme="minorHAnsi"/>
          <w:sz w:val="22"/>
        </w:rPr>
        <w:t xml:space="preserve"> the reporting burden estimates for Petroleum Marketing surveys</w:t>
      </w:r>
      <w:r w:rsidR="00BF299D">
        <w:rPr>
          <w:rFonts w:asciiTheme="minorHAnsi" w:hAnsiTheme="minorHAnsi"/>
          <w:sz w:val="22"/>
        </w:rPr>
        <w:t>.</w:t>
      </w:r>
    </w:p>
    <w:p w:rsidR="00F03D19" w:rsidRDefault="00325ACE" w:rsidP="0086736D">
      <w:pPr>
        <w:pStyle w:val="Heading1"/>
      </w:pPr>
      <w:r>
        <w:t>T</w:t>
      </w:r>
      <w:r w:rsidR="00F03D19">
        <w:t>able A3: Estimated Reporting Burden</w:t>
      </w:r>
    </w:p>
    <w:tbl>
      <w:tblPr>
        <w:tblW w:w="8535" w:type="dxa"/>
        <w:tblInd w:w="93" w:type="dxa"/>
        <w:tblCellMar>
          <w:left w:w="0" w:type="dxa"/>
          <w:right w:w="0" w:type="dxa"/>
        </w:tblCellMar>
        <w:tblLook w:val="04A0"/>
      </w:tblPr>
      <w:tblGrid>
        <w:gridCol w:w="1298"/>
        <w:gridCol w:w="1081"/>
        <w:gridCol w:w="950"/>
        <w:gridCol w:w="446"/>
        <w:gridCol w:w="1390"/>
        <w:gridCol w:w="229"/>
        <w:gridCol w:w="1076"/>
        <w:gridCol w:w="1224"/>
        <w:gridCol w:w="875"/>
      </w:tblGrid>
      <w:tr w:rsidR="008777A7" w:rsidRPr="00403C52" w:rsidTr="00BF299D">
        <w:trPr>
          <w:trHeight w:val="892"/>
        </w:trPr>
        <w:tc>
          <w:tcPr>
            <w:tcW w:w="1298"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b/>
                <w:bCs/>
                <w:sz w:val="20"/>
                <w:szCs w:val="20"/>
              </w:rPr>
            </w:pPr>
            <w:r w:rsidRPr="00403C52">
              <w:rPr>
                <w:rFonts w:asciiTheme="minorHAnsi" w:hAnsiTheme="minorHAnsi"/>
                <w:sz w:val="20"/>
                <w:szCs w:val="20"/>
              </w:rPr>
              <w:br w:type="page"/>
            </w:r>
            <w:r w:rsidRPr="00403C52">
              <w:rPr>
                <w:rFonts w:asciiTheme="minorHAnsi" w:hAnsiTheme="minorHAnsi"/>
                <w:b/>
                <w:bCs/>
                <w:sz w:val="20"/>
                <w:szCs w:val="20"/>
              </w:rPr>
              <w:t>Survey Number</w:t>
            </w:r>
          </w:p>
        </w:tc>
        <w:tc>
          <w:tcPr>
            <w:tcW w:w="108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8777A7" w:rsidRPr="00403C52" w:rsidRDefault="008777A7">
            <w:pPr>
              <w:autoSpaceDE/>
              <w:jc w:val="center"/>
              <w:rPr>
                <w:rFonts w:asciiTheme="minorHAnsi" w:eastAsiaTheme="minorHAnsi" w:hAnsiTheme="minorHAnsi"/>
                <w:b/>
                <w:bCs/>
                <w:sz w:val="20"/>
                <w:szCs w:val="20"/>
              </w:rPr>
            </w:pPr>
            <w:r w:rsidRPr="00403C52">
              <w:rPr>
                <w:rFonts w:asciiTheme="minorHAnsi" w:hAnsiTheme="minorHAnsi"/>
                <w:b/>
                <w:bCs/>
                <w:sz w:val="20"/>
                <w:szCs w:val="20"/>
              </w:rPr>
              <w:t>Frequency</w:t>
            </w:r>
          </w:p>
        </w:tc>
        <w:tc>
          <w:tcPr>
            <w:tcW w:w="95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Size of Universe</w:t>
            </w:r>
          </w:p>
        </w:tc>
        <w:tc>
          <w:tcPr>
            <w:tcW w:w="1836"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Average Number of Respondents Annually</w:t>
            </w:r>
          </w:p>
        </w:tc>
        <w:tc>
          <w:tcPr>
            <w:tcW w:w="1305" w:type="dxa"/>
            <w:gridSpan w:val="2"/>
            <w:tcBorders>
              <w:top w:val="single" w:sz="8" w:space="0" w:color="auto"/>
              <w:left w:val="nil"/>
              <w:bottom w:val="single" w:sz="8" w:space="0" w:color="auto"/>
              <w:right w:val="nil"/>
            </w:tcBorders>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Number of Responses Annually</w:t>
            </w:r>
          </w:p>
        </w:tc>
        <w:tc>
          <w:tcPr>
            <w:tcW w:w="122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Response Burden Per Respondent</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Total Burden Hours</w:t>
            </w:r>
          </w:p>
        </w:tc>
      </w:tr>
      <w:tr w:rsidR="008777A7" w:rsidRPr="00403C52" w:rsidTr="00BF299D">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EIA-14</w:t>
            </w:r>
          </w:p>
        </w:tc>
        <w:tc>
          <w:tcPr>
            <w:tcW w:w="1081"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2065" w:type="dxa"/>
            <w:gridSpan w:val="3"/>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72</w:t>
            </w:r>
          </w:p>
        </w:tc>
        <w:tc>
          <w:tcPr>
            <w:tcW w:w="1076"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864</w:t>
            </w:r>
          </w:p>
        </w:tc>
        <w:tc>
          <w:tcPr>
            <w:tcW w:w="1224"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1.75</w:t>
            </w:r>
          </w:p>
        </w:tc>
        <w:tc>
          <w:tcPr>
            <w:tcW w:w="841" w:type="dxa"/>
            <w:tcBorders>
              <w:top w:val="nil"/>
              <w:left w:val="nil"/>
              <w:bottom w:val="nil"/>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1512</w:t>
            </w:r>
          </w:p>
        </w:tc>
      </w:tr>
      <w:tr w:rsidR="008777A7" w:rsidRPr="00403C52" w:rsidTr="00BF299D">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EIA-182</w:t>
            </w:r>
          </w:p>
        </w:tc>
        <w:tc>
          <w:tcPr>
            <w:tcW w:w="1081"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2065" w:type="dxa"/>
            <w:gridSpan w:val="3"/>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82</w:t>
            </w:r>
          </w:p>
        </w:tc>
        <w:tc>
          <w:tcPr>
            <w:tcW w:w="1076"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984</w:t>
            </w:r>
          </w:p>
        </w:tc>
        <w:tc>
          <w:tcPr>
            <w:tcW w:w="1224"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841"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4,231</w:t>
            </w:r>
          </w:p>
        </w:tc>
      </w:tr>
      <w:tr w:rsidR="008777A7" w:rsidRPr="00403C52" w:rsidTr="00BF299D">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EIA-782A</w:t>
            </w:r>
          </w:p>
        </w:tc>
        <w:tc>
          <w:tcPr>
            <w:tcW w:w="1081"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2065" w:type="dxa"/>
            <w:gridSpan w:val="3"/>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95</w:t>
            </w:r>
          </w:p>
        </w:tc>
        <w:tc>
          <w:tcPr>
            <w:tcW w:w="1076"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1,140</w:t>
            </w:r>
          </w:p>
        </w:tc>
        <w:tc>
          <w:tcPr>
            <w:tcW w:w="1224"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15</w:t>
            </w:r>
          </w:p>
        </w:tc>
        <w:tc>
          <w:tcPr>
            <w:tcW w:w="841" w:type="dxa"/>
            <w:tcBorders>
              <w:top w:val="nil"/>
              <w:left w:val="nil"/>
              <w:bottom w:val="nil"/>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17,100</w:t>
            </w:r>
          </w:p>
        </w:tc>
      </w:tr>
      <w:tr w:rsidR="008777A7" w:rsidRPr="00403C52" w:rsidTr="00BF299D">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EIA-782C</w:t>
            </w:r>
          </w:p>
        </w:tc>
        <w:tc>
          <w:tcPr>
            <w:tcW w:w="1081"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2065" w:type="dxa"/>
            <w:gridSpan w:val="3"/>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200</w:t>
            </w:r>
          </w:p>
        </w:tc>
        <w:tc>
          <w:tcPr>
            <w:tcW w:w="1076"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2,400</w:t>
            </w:r>
          </w:p>
        </w:tc>
        <w:tc>
          <w:tcPr>
            <w:tcW w:w="1224"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2.1</w:t>
            </w:r>
          </w:p>
        </w:tc>
        <w:tc>
          <w:tcPr>
            <w:tcW w:w="841"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5,040</w:t>
            </w:r>
          </w:p>
        </w:tc>
      </w:tr>
      <w:tr w:rsidR="008777A7" w:rsidRPr="00403C52" w:rsidTr="00BF299D">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EIA-821</w:t>
            </w:r>
          </w:p>
        </w:tc>
        <w:tc>
          <w:tcPr>
            <w:tcW w:w="1081"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A</w:t>
            </w:r>
          </w:p>
        </w:tc>
        <w:tc>
          <w:tcPr>
            <w:tcW w:w="950"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4,041</w:t>
            </w:r>
          </w:p>
        </w:tc>
        <w:tc>
          <w:tcPr>
            <w:tcW w:w="1076"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3,184</w:t>
            </w:r>
          </w:p>
        </w:tc>
        <w:tc>
          <w:tcPr>
            <w:tcW w:w="1224"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4.4</w:t>
            </w:r>
          </w:p>
        </w:tc>
        <w:tc>
          <w:tcPr>
            <w:tcW w:w="841" w:type="dxa"/>
            <w:tcBorders>
              <w:top w:val="nil"/>
              <w:left w:val="nil"/>
              <w:bottom w:val="nil"/>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14,010</w:t>
            </w:r>
          </w:p>
        </w:tc>
      </w:tr>
      <w:tr w:rsidR="008777A7" w:rsidRPr="00403C52" w:rsidTr="00BF299D">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EIA-856</w:t>
            </w:r>
          </w:p>
        </w:tc>
        <w:tc>
          <w:tcPr>
            <w:tcW w:w="1081"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M</w:t>
            </w:r>
          </w:p>
        </w:tc>
        <w:tc>
          <w:tcPr>
            <w:tcW w:w="950"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2065" w:type="dxa"/>
            <w:gridSpan w:val="3"/>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43</w:t>
            </w:r>
          </w:p>
        </w:tc>
        <w:tc>
          <w:tcPr>
            <w:tcW w:w="1076"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516</w:t>
            </w:r>
          </w:p>
        </w:tc>
        <w:tc>
          <w:tcPr>
            <w:tcW w:w="1224"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6.1</w:t>
            </w:r>
          </w:p>
        </w:tc>
        <w:tc>
          <w:tcPr>
            <w:tcW w:w="841"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3,148</w:t>
            </w:r>
          </w:p>
        </w:tc>
      </w:tr>
      <w:tr w:rsidR="008777A7" w:rsidRPr="00403C52" w:rsidTr="00BF299D">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EIA-863</w:t>
            </w:r>
          </w:p>
        </w:tc>
        <w:tc>
          <w:tcPr>
            <w:tcW w:w="1081"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Q</w:t>
            </w:r>
          </w:p>
        </w:tc>
        <w:tc>
          <w:tcPr>
            <w:tcW w:w="950"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24,400</w:t>
            </w:r>
          </w:p>
        </w:tc>
        <w:tc>
          <w:tcPr>
            <w:tcW w:w="2065" w:type="dxa"/>
            <w:gridSpan w:val="3"/>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5017</w:t>
            </w:r>
          </w:p>
        </w:tc>
        <w:tc>
          <w:tcPr>
            <w:tcW w:w="1076"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5017</w:t>
            </w:r>
          </w:p>
        </w:tc>
        <w:tc>
          <w:tcPr>
            <w:tcW w:w="1224"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w:t>
            </w:r>
            <w:r w:rsidR="00CA40B5" w:rsidRPr="00403C52">
              <w:rPr>
                <w:rFonts w:asciiTheme="minorHAnsi" w:hAnsiTheme="minorHAnsi"/>
                <w:sz w:val="20"/>
                <w:szCs w:val="20"/>
              </w:rPr>
              <w:t>.0</w:t>
            </w:r>
          </w:p>
        </w:tc>
        <w:tc>
          <w:tcPr>
            <w:tcW w:w="841" w:type="dxa"/>
            <w:tcBorders>
              <w:top w:val="nil"/>
              <w:left w:val="nil"/>
              <w:bottom w:val="nil"/>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5017</w:t>
            </w:r>
          </w:p>
        </w:tc>
      </w:tr>
      <w:tr w:rsidR="008777A7" w:rsidRPr="00403C52" w:rsidTr="00BF299D">
        <w:trPr>
          <w:trHeight w:val="258"/>
        </w:trPr>
        <w:tc>
          <w:tcPr>
            <w:tcW w:w="1298"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EIA-877</w:t>
            </w:r>
          </w:p>
        </w:tc>
        <w:tc>
          <w:tcPr>
            <w:tcW w:w="1081"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S</w:t>
            </w:r>
          </w:p>
        </w:tc>
        <w:tc>
          <w:tcPr>
            <w:tcW w:w="950"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14,000</w:t>
            </w:r>
          </w:p>
        </w:tc>
        <w:tc>
          <w:tcPr>
            <w:tcW w:w="2065" w:type="dxa"/>
            <w:gridSpan w:val="3"/>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1,200</w:t>
            </w:r>
          </w:p>
        </w:tc>
        <w:tc>
          <w:tcPr>
            <w:tcW w:w="1076"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30,000</w:t>
            </w:r>
          </w:p>
        </w:tc>
        <w:tc>
          <w:tcPr>
            <w:tcW w:w="1224" w:type="dxa"/>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0.1</w:t>
            </w:r>
          </w:p>
        </w:tc>
        <w:tc>
          <w:tcPr>
            <w:tcW w:w="841"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3,000</w:t>
            </w:r>
          </w:p>
        </w:tc>
      </w:tr>
      <w:tr w:rsidR="008777A7" w:rsidRPr="00403C52" w:rsidTr="00BF299D">
        <w:trPr>
          <w:trHeight w:val="258"/>
        </w:trPr>
        <w:tc>
          <w:tcPr>
            <w:tcW w:w="1298" w:type="dxa"/>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EIA-878</w:t>
            </w:r>
          </w:p>
        </w:tc>
        <w:tc>
          <w:tcPr>
            <w:tcW w:w="1081"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W</w:t>
            </w:r>
          </w:p>
        </w:tc>
        <w:tc>
          <w:tcPr>
            <w:tcW w:w="950"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115,000</w:t>
            </w:r>
          </w:p>
        </w:tc>
        <w:tc>
          <w:tcPr>
            <w:tcW w:w="2065" w:type="dxa"/>
            <w:gridSpan w:val="3"/>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800</w:t>
            </w:r>
          </w:p>
        </w:tc>
        <w:tc>
          <w:tcPr>
            <w:tcW w:w="1076"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41,600</w:t>
            </w:r>
          </w:p>
        </w:tc>
        <w:tc>
          <w:tcPr>
            <w:tcW w:w="1224" w:type="dxa"/>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0.05</w:t>
            </w:r>
          </w:p>
        </w:tc>
        <w:tc>
          <w:tcPr>
            <w:tcW w:w="841" w:type="dxa"/>
            <w:tcBorders>
              <w:top w:val="nil"/>
              <w:left w:val="nil"/>
              <w:bottom w:val="nil"/>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2,080</w:t>
            </w:r>
          </w:p>
        </w:tc>
      </w:tr>
      <w:tr w:rsidR="008777A7" w:rsidRPr="00403C52" w:rsidTr="00BF299D">
        <w:trPr>
          <w:trHeight w:val="258"/>
        </w:trPr>
        <w:tc>
          <w:tcPr>
            <w:tcW w:w="1298"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EIA-888</w:t>
            </w:r>
          </w:p>
        </w:tc>
        <w:tc>
          <w:tcPr>
            <w:tcW w:w="1081"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W</w:t>
            </w:r>
          </w:p>
        </w:tc>
        <w:tc>
          <w:tcPr>
            <w:tcW w:w="950"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66,000</w:t>
            </w:r>
          </w:p>
        </w:tc>
        <w:tc>
          <w:tcPr>
            <w:tcW w:w="2065" w:type="dxa"/>
            <w:gridSpan w:val="3"/>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403</w:t>
            </w:r>
          </w:p>
        </w:tc>
        <w:tc>
          <w:tcPr>
            <w:tcW w:w="1076"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20,956</w:t>
            </w:r>
          </w:p>
        </w:tc>
        <w:tc>
          <w:tcPr>
            <w:tcW w:w="1224" w:type="dxa"/>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0.05</w:t>
            </w:r>
          </w:p>
        </w:tc>
        <w:tc>
          <w:tcPr>
            <w:tcW w:w="84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sz w:val="20"/>
                <w:szCs w:val="20"/>
              </w:rPr>
            </w:pPr>
            <w:r w:rsidRPr="00403C52">
              <w:rPr>
                <w:rFonts w:asciiTheme="minorHAnsi" w:hAnsiTheme="minorHAnsi"/>
                <w:sz w:val="20"/>
                <w:szCs w:val="20"/>
              </w:rPr>
              <w:t>10480</w:t>
            </w:r>
          </w:p>
        </w:tc>
      </w:tr>
      <w:tr w:rsidR="008777A7" w:rsidRPr="00403C52" w:rsidTr="00BF299D">
        <w:trPr>
          <w:trHeight w:val="258"/>
        </w:trPr>
        <w:tc>
          <w:tcPr>
            <w:tcW w:w="1298"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b/>
                <w:bCs/>
                <w:sz w:val="20"/>
                <w:szCs w:val="20"/>
              </w:rPr>
            </w:pPr>
            <w:r w:rsidRPr="00403C52">
              <w:rPr>
                <w:rFonts w:asciiTheme="minorHAnsi" w:hAnsiTheme="minorHAnsi"/>
                <w:b/>
                <w:bCs/>
                <w:sz w:val="20"/>
                <w:szCs w:val="20"/>
              </w:rPr>
              <w:t>TOTAL</w:t>
            </w:r>
          </w:p>
        </w:tc>
        <w:tc>
          <w:tcPr>
            <w:tcW w:w="1081" w:type="dxa"/>
            <w:tcBorders>
              <w:top w:val="single" w:sz="8" w:space="0" w:color="auto"/>
              <w:bottom w:val="single" w:sz="8" w:space="0" w:color="auto"/>
            </w:tcBorders>
            <w:noWrap/>
            <w:tcMar>
              <w:top w:w="0" w:type="dxa"/>
              <w:left w:w="108" w:type="dxa"/>
              <w:bottom w:w="0" w:type="dxa"/>
              <w:right w:w="108" w:type="dxa"/>
            </w:tcMar>
            <w:vAlign w:val="bottom"/>
          </w:tcPr>
          <w:p w:rsidR="008777A7" w:rsidRPr="00403C52" w:rsidRDefault="008777A7">
            <w:pPr>
              <w:autoSpaceDE/>
              <w:jc w:val="right"/>
              <w:rPr>
                <w:rFonts w:asciiTheme="minorHAnsi" w:eastAsiaTheme="minorHAnsi" w:hAnsiTheme="minorHAnsi"/>
                <w:sz w:val="20"/>
                <w:szCs w:val="20"/>
              </w:rPr>
            </w:pPr>
          </w:p>
        </w:tc>
        <w:tc>
          <w:tcPr>
            <w:tcW w:w="950" w:type="dxa"/>
            <w:tcBorders>
              <w:top w:val="single" w:sz="8" w:space="0" w:color="auto"/>
              <w:bottom w:val="single" w:sz="8" w:space="0" w:color="auto"/>
            </w:tcBorders>
            <w:noWrap/>
            <w:tcMar>
              <w:top w:w="0" w:type="dxa"/>
              <w:left w:w="108" w:type="dxa"/>
              <w:bottom w:w="0" w:type="dxa"/>
              <w:right w:w="108" w:type="dxa"/>
            </w:tcMar>
            <w:vAlign w:val="bottom"/>
          </w:tcPr>
          <w:p w:rsidR="008777A7" w:rsidRPr="00403C52" w:rsidRDefault="008777A7">
            <w:pPr>
              <w:autoSpaceDE/>
              <w:jc w:val="right"/>
              <w:rPr>
                <w:rFonts w:asciiTheme="minorHAnsi" w:eastAsiaTheme="minorHAnsi" w:hAnsiTheme="minorHAnsi"/>
                <w:sz w:val="20"/>
                <w:szCs w:val="20"/>
              </w:rPr>
            </w:pPr>
          </w:p>
        </w:tc>
        <w:tc>
          <w:tcPr>
            <w:tcW w:w="2065" w:type="dxa"/>
            <w:gridSpan w:val="3"/>
            <w:tcBorders>
              <w:top w:val="single" w:sz="8" w:space="0" w:color="auto"/>
              <w:bottom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11,953</w:t>
            </w:r>
          </w:p>
        </w:tc>
        <w:tc>
          <w:tcPr>
            <w:tcW w:w="1076" w:type="dxa"/>
            <w:tcBorders>
              <w:top w:val="single" w:sz="8" w:space="0" w:color="auto"/>
              <w:bottom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106,661</w:t>
            </w:r>
          </w:p>
        </w:tc>
        <w:tc>
          <w:tcPr>
            <w:tcW w:w="1224" w:type="dxa"/>
            <w:tcBorders>
              <w:top w:val="single" w:sz="8" w:space="0" w:color="auto"/>
              <w:bottom w:val="single" w:sz="8" w:space="0" w:color="auto"/>
            </w:tcBorders>
            <w:noWrap/>
            <w:tcMar>
              <w:top w:w="0" w:type="dxa"/>
              <w:left w:w="108" w:type="dxa"/>
              <w:bottom w:w="0" w:type="dxa"/>
              <w:right w:w="108" w:type="dxa"/>
            </w:tcMar>
            <w:vAlign w:val="bottom"/>
          </w:tcPr>
          <w:p w:rsidR="008777A7" w:rsidRPr="00403C52" w:rsidRDefault="008777A7">
            <w:pPr>
              <w:autoSpaceDE/>
              <w:jc w:val="right"/>
              <w:rPr>
                <w:rFonts w:asciiTheme="minorHAnsi" w:eastAsiaTheme="minorHAnsi" w:hAnsiTheme="minorHAnsi"/>
                <w:sz w:val="20"/>
                <w:szCs w:val="20"/>
              </w:rPr>
            </w:pPr>
          </w:p>
        </w:tc>
        <w:tc>
          <w:tcPr>
            <w:tcW w:w="8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777A7" w:rsidRPr="00403C52" w:rsidRDefault="008777A7">
            <w:pPr>
              <w:autoSpaceDE/>
              <w:jc w:val="right"/>
              <w:rPr>
                <w:rFonts w:asciiTheme="minorHAnsi" w:eastAsiaTheme="minorHAnsi" w:hAnsiTheme="minorHAnsi"/>
                <w:b/>
                <w:bCs/>
                <w:sz w:val="20"/>
                <w:szCs w:val="20"/>
              </w:rPr>
            </w:pPr>
            <w:r w:rsidRPr="00403C52">
              <w:rPr>
                <w:rFonts w:asciiTheme="minorHAnsi" w:hAnsiTheme="minorHAnsi"/>
                <w:b/>
                <w:bCs/>
                <w:sz w:val="20"/>
                <w:szCs w:val="20"/>
              </w:rPr>
              <w:t>56,18</w:t>
            </w:r>
            <w:r w:rsidR="00C729A1">
              <w:rPr>
                <w:rFonts w:asciiTheme="minorHAnsi" w:hAnsiTheme="minorHAnsi"/>
                <w:b/>
                <w:bCs/>
                <w:sz w:val="20"/>
                <w:szCs w:val="20"/>
              </w:rPr>
              <w:t>5</w:t>
            </w:r>
            <w:r w:rsidR="000A3353">
              <w:rPr>
                <w:rFonts w:asciiTheme="minorHAnsi" w:hAnsiTheme="minorHAnsi"/>
                <w:b/>
                <w:bCs/>
                <w:sz w:val="20"/>
                <w:szCs w:val="20"/>
              </w:rPr>
              <w:t>*</w:t>
            </w:r>
          </w:p>
        </w:tc>
      </w:tr>
      <w:tr w:rsidR="008777A7" w:rsidRPr="00403C52" w:rsidTr="00BF299D">
        <w:trPr>
          <w:trHeight w:val="258"/>
        </w:trPr>
        <w:tc>
          <w:tcPr>
            <w:tcW w:w="2379" w:type="dxa"/>
            <w:gridSpan w:val="2"/>
            <w:tcBorders>
              <w:top w:val="single" w:sz="8" w:space="0" w:color="auto"/>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i/>
                <w:iCs/>
                <w:sz w:val="20"/>
                <w:szCs w:val="20"/>
                <w:u w:val="single"/>
              </w:rPr>
            </w:pPr>
            <w:r w:rsidRPr="00403C52">
              <w:rPr>
                <w:rFonts w:asciiTheme="minorHAnsi" w:hAnsiTheme="minorHAnsi"/>
                <w:i/>
                <w:iCs/>
                <w:sz w:val="20"/>
                <w:szCs w:val="20"/>
                <w:u w:val="single"/>
              </w:rPr>
              <w:t>Frequency</w:t>
            </w:r>
          </w:p>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Q=Quadrennial</w:t>
            </w:r>
          </w:p>
        </w:tc>
        <w:tc>
          <w:tcPr>
            <w:tcW w:w="950" w:type="dxa"/>
            <w:tcBorders>
              <w:top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446" w:type="dxa"/>
            <w:tcBorders>
              <w:top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2695" w:type="dxa"/>
            <w:gridSpan w:val="3"/>
            <w:tcBorders>
              <w:top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1224" w:type="dxa"/>
            <w:tcBorders>
              <w:top w:val="single" w:sz="8" w:space="0" w:color="auto"/>
            </w:tcBorders>
            <w:noWrap/>
            <w:tcMar>
              <w:top w:w="0" w:type="dxa"/>
              <w:left w:w="108" w:type="dxa"/>
              <w:bottom w:w="0" w:type="dxa"/>
              <w:right w:w="108" w:type="dxa"/>
            </w:tcMar>
            <w:vAlign w:val="bottom"/>
          </w:tcPr>
          <w:p w:rsidR="008777A7" w:rsidRPr="00403C52" w:rsidRDefault="008777A7">
            <w:pPr>
              <w:rPr>
                <w:rFonts w:asciiTheme="minorHAnsi" w:eastAsiaTheme="minorHAnsi" w:hAnsiTheme="minorHAnsi"/>
                <w:sz w:val="20"/>
                <w:szCs w:val="20"/>
              </w:rPr>
            </w:pPr>
          </w:p>
        </w:tc>
        <w:tc>
          <w:tcPr>
            <w:tcW w:w="841" w:type="dxa"/>
            <w:tcBorders>
              <w:top w:val="single" w:sz="8" w:space="0" w:color="auto"/>
              <w:left w:val="nil"/>
              <w:bottom w:val="nil"/>
              <w:right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r>
      <w:tr w:rsidR="008777A7" w:rsidRPr="00403C52" w:rsidTr="00BF299D">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A=Annually</w:t>
            </w:r>
          </w:p>
        </w:tc>
        <w:tc>
          <w:tcPr>
            <w:tcW w:w="950"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841" w:type="dxa"/>
            <w:tcBorders>
              <w:top w:val="nil"/>
              <w:left w:val="nil"/>
              <w:bottom w:val="nil"/>
              <w:right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r>
      <w:tr w:rsidR="008777A7" w:rsidRPr="00403C52" w:rsidTr="00BF299D">
        <w:trPr>
          <w:trHeight w:val="258"/>
        </w:trPr>
        <w:tc>
          <w:tcPr>
            <w:tcW w:w="2379"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M=Monthly</w:t>
            </w:r>
          </w:p>
        </w:tc>
        <w:tc>
          <w:tcPr>
            <w:tcW w:w="950"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446"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2695" w:type="dxa"/>
            <w:gridSpan w:val="3"/>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841" w:type="dxa"/>
            <w:tcBorders>
              <w:top w:val="nil"/>
              <w:left w:val="nil"/>
              <w:bottom w:val="nil"/>
              <w:right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r>
      <w:tr w:rsidR="008777A7" w:rsidRPr="00403C52" w:rsidTr="00BF299D">
        <w:trPr>
          <w:trHeight w:val="258"/>
        </w:trPr>
        <w:tc>
          <w:tcPr>
            <w:tcW w:w="3775" w:type="dxa"/>
            <w:gridSpan w:val="4"/>
            <w:tcBorders>
              <w:top w:val="nil"/>
              <w:left w:val="single" w:sz="8" w:space="0" w:color="auto"/>
              <w:bottom w:val="nil"/>
              <w:right w:val="nil"/>
            </w:tcBorders>
            <w:noWrap/>
            <w:tcMar>
              <w:top w:w="0" w:type="dxa"/>
              <w:left w:w="108" w:type="dxa"/>
              <w:bottom w:w="0" w:type="dxa"/>
              <w:right w:w="108" w:type="dxa"/>
            </w:tcMar>
            <w:vAlign w:val="bottom"/>
            <w:hideMark/>
          </w:tcPr>
          <w:p w:rsidR="008777A7" w:rsidRPr="00403C52" w:rsidRDefault="008777A7">
            <w:pPr>
              <w:autoSpaceDE/>
              <w:rPr>
                <w:rFonts w:asciiTheme="minorHAnsi" w:eastAsiaTheme="minorHAnsi" w:hAnsiTheme="minorHAnsi"/>
                <w:sz w:val="20"/>
                <w:szCs w:val="20"/>
              </w:rPr>
            </w:pPr>
            <w:r w:rsidRPr="00403C52">
              <w:rPr>
                <w:rFonts w:asciiTheme="minorHAnsi" w:hAnsiTheme="minorHAnsi"/>
                <w:sz w:val="20"/>
                <w:szCs w:val="20"/>
              </w:rPr>
              <w:t>S=Semi-monthly (October-March)</w:t>
            </w:r>
          </w:p>
        </w:tc>
        <w:tc>
          <w:tcPr>
            <w:tcW w:w="2695" w:type="dxa"/>
            <w:gridSpan w:val="3"/>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1224" w:type="dxa"/>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841" w:type="dxa"/>
            <w:tcBorders>
              <w:top w:val="nil"/>
              <w:left w:val="nil"/>
              <w:bottom w:val="nil"/>
              <w:right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r>
      <w:tr w:rsidR="008777A7" w:rsidRPr="00403C52" w:rsidTr="00BF299D">
        <w:trPr>
          <w:trHeight w:val="258"/>
        </w:trPr>
        <w:tc>
          <w:tcPr>
            <w:tcW w:w="2379"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8777A7" w:rsidRDefault="008777A7">
            <w:pPr>
              <w:autoSpaceDE/>
              <w:rPr>
                <w:rFonts w:asciiTheme="minorHAnsi" w:hAnsiTheme="minorHAnsi"/>
                <w:sz w:val="20"/>
                <w:szCs w:val="20"/>
              </w:rPr>
            </w:pPr>
            <w:r w:rsidRPr="00403C52">
              <w:rPr>
                <w:rFonts w:asciiTheme="minorHAnsi" w:hAnsiTheme="minorHAnsi"/>
                <w:sz w:val="20"/>
                <w:szCs w:val="20"/>
              </w:rPr>
              <w:t>W=Weekly</w:t>
            </w:r>
          </w:p>
          <w:p w:rsidR="000A3353" w:rsidRPr="00403C52" w:rsidRDefault="000A3353">
            <w:pPr>
              <w:autoSpaceDE/>
              <w:rPr>
                <w:rFonts w:asciiTheme="minorHAnsi" w:eastAsiaTheme="minorHAnsi" w:hAnsiTheme="minorHAnsi"/>
                <w:sz w:val="20"/>
                <w:szCs w:val="20"/>
              </w:rPr>
            </w:pPr>
            <w:r>
              <w:rPr>
                <w:rFonts w:asciiTheme="minorHAnsi" w:hAnsiTheme="minorHAnsi"/>
                <w:sz w:val="20"/>
                <w:szCs w:val="20"/>
              </w:rPr>
              <w:t>*Due to rounding</w:t>
            </w:r>
          </w:p>
        </w:tc>
        <w:tc>
          <w:tcPr>
            <w:tcW w:w="950" w:type="dxa"/>
            <w:tcBorders>
              <w:top w:val="nil"/>
              <w:left w:val="nil"/>
              <w:bottom w:val="single" w:sz="8" w:space="0" w:color="auto"/>
              <w:right w:val="nil"/>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446" w:type="dxa"/>
            <w:tcBorders>
              <w:top w:val="nil"/>
              <w:left w:val="nil"/>
              <w:bottom w:val="single" w:sz="8" w:space="0" w:color="auto"/>
              <w:right w:val="nil"/>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2695" w:type="dxa"/>
            <w:gridSpan w:val="3"/>
            <w:tcBorders>
              <w:top w:val="nil"/>
              <w:left w:val="nil"/>
              <w:bottom w:val="single" w:sz="8" w:space="0" w:color="auto"/>
              <w:right w:val="nil"/>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1224" w:type="dxa"/>
            <w:tcBorders>
              <w:top w:val="nil"/>
              <w:left w:val="nil"/>
              <w:bottom w:val="single" w:sz="8" w:space="0" w:color="auto"/>
              <w:right w:val="nil"/>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c>
          <w:tcPr>
            <w:tcW w:w="84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777A7" w:rsidRPr="00403C52" w:rsidRDefault="008777A7">
            <w:pPr>
              <w:autoSpaceDE/>
              <w:rPr>
                <w:rFonts w:asciiTheme="minorHAnsi" w:eastAsiaTheme="minorHAnsi" w:hAnsiTheme="minorHAnsi"/>
                <w:sz w:val="20"/>
                <w:szCs w:val="20"/>
              </w:rPr>
            </w:pPr>
          </w:p>
        </w:tc>
      </w:tr>
    </w:tbl>
    <w:p w:rsidR="008777A7" w:rsidRDefault="008777A7" w:rsidP="00D20878">
      <w:pPr>
        <w:pStyle w:val="Heading1"/>
        <w:rPr>
          <w:rFonts w:cs="Times"/>
        </w:rPr>
      </w:pPr>
      <w:r>
        <w:t>A13.  Estimates of Cost Burden to Respondents</w:t>
      </w:r>
    </w:p>
    <w:p w:rsidR="008777A7" w:rsidRDefault="008777A7" w:rsidP="008777A7">
      <w:pPr>
        <w:jc w:val="both"/>
      </w:pPr>
    </w:p>
    <w:p w:rsidR="008777A7" w:rsidRPr="004E1172" w:rsidRDefault="008777A7" w:rsidP="004E1172">
      <w:pPr>
        <w:spacing w:line="360" w:lineRule="auto"/>
        <w:rPr>
          <w:rFonts w:asciiTheme="minorHAnsi" w:hAnsiTheme="minorHAnsi"/>
          <w:sz w:val="22"/>
        </w:rPr>
      </w:pPr>
      <w:r w:rsidRPr="004E1172">
        <w:rPr>
          <w:rFonts w:asciiTheme="minorHAnsi" w:hAnsiTheme="minorHAnsi"/>
          <w:sz w:val="22"/>
        </w:rPr>
        <w:t>EIA estimates that there are no additional costs to respondents associated with the surveys in the Petroleum Marketing Program other than the costs associated with the burden hours as set forth in item 12 above.</w:t>
      </w:r>
    </w:p>
    <w:p w:rsidR="008777A7" w:rsidRDefault="008777A7" w:rsidP="00D20878">
      <w:pPr>
        <w:pStyle w:val="Heading1"/>
        <w:rPr>
          <w:color w:val="C00000"/>
        </w:rPr>
      </w:pPr>
      <w:r>
        <w:t>A14. Annual Cost to the Federal Government</w:t>
      </w:r>
    </w:p>
    <w:p w:rsidR="008777A7" w:rsidRDefault="008777A7" w:rsidP="008777A7">
      <w:pPr>
        <w:keepNext/>
        <w:jc w:val="both"/>
        <w:rPr>
          <w:rFonts w:ascii="Times New Roman" w:hAnsi="Times New Roman"/>
          <w:color w:val="000000"/>
        </w:rPr>
      </w:pPr>
    </w:p>
    <w:p w:rsidR="00DC3DB7" w:rsidRPr="00325ACE" w:rsidRDefault="00400178" w:rsidP="00325ACE">
      <w:pPr>
        <w:spacing w:line="360" w:lineRule="auto"/>
        <w:rPr>
          <w:rFonts w:asciiTheme="minorHAnsi" w:hAnsiTheme="minorHAnsi"/>
          <w:sz w:val="22"/>
        </w:rPr>
      </w:pPr>
      <w:r w:rsidRPr="004E1172">
        <w:rPr>
          <w:rFonts w:asciiTheme="minorHAnsi" w:hAnsiTheme="minorHAnsi"/>
          <w:color w:val="000000"/>
          <w:sz w:val="22"/>
        </w:rPr>
        <w:t>The annual cost estimate which includes personnel, development/maintenance, collection, processing, analysis, and publication for the ten surveys</w:t>
      </w:r>
      <w:r w:rsidR="00CA40B5" w:rsidRPr="004E1172">
        <w:rPr>
          <w:rFonts w:asciiTheme="minorHAnsi" w:hAnsiTheme="minorHAnsi"/>
          <w:color w:val="000000"/>
          <w:sz w:val="22"/>
        </w:rPr>
        <w:t xml:space="preserve"> in the Petroleum Marketing Program</w:t>
      </w:r>
      <w:r w:rsidRPr="004E1172">
        <w:rPr>
          <w:rFonts w:asciiTheme="minorHAnsi" w:hAnsiTheme="minorHAnsi"/>
          <w:color w:val="000000"/>
          <w:sz w:val="22"/>
        </w:rPr>
        <w:t xml:space="preserve"> </w:t>
      </w:r>
      <w:r w:rsidRPr="004E1172">
        <w:rPr>
          <w:rFonts w:asciiTheme="minorHAnsi" w:hAnsiTheme="minorHAnsi"/>
          <w:sz w:val="22"/>
        </w:rPr>
        <w:t xml:space="preserve">is </w:t>
      </w:r>
      <w:r w:rsidR="0018119F">
        <w:rPr>
          <w:rFonts w:asciiTheme="minorHAnsi" w:hAnsiTheme="minorHAnsi"/>
          <w:sz w:val="22"/>
        </w:rPr>
        <w:t>$3,991,324. </w:t>
      </w:r>
      <w:r w:rsidRPr="004E1172">
        <w:rPr>
          <w:rFonts w:asciiTheme="minorHAnsi" w:hAnsiTheme="minorHAnsi"/>
          <w:sz w:val="22"/>
        </w:rPr>
        <w:t>This includes an overhead cost of 20</w:t>
      </w:r>
      <w:r w:rsidR="00CA40B5" w:rsidRPr="004E1172">
        <w:rPr>
          <w:rFonts w:asciiTheme="minorHAnsi" w:hAnsiTheme="minorHAnsi"/>
          <w:sz w:val="22"/>
        </w:rPr>
        <w:t xml:space="preserve"> percent</w:t>
      </w:r>
      <w:r w:rsidRPr="004E1172">
        <w:rPr>
          <w:rFonts w:asciiTheme="minorHAnsi" w:hAnsiTheme="minorHAnsi"/>
          <w:sz w:val="22"/>
        </w:rPr>
        <w:t xml:space="preserve"> for the Federal staff to cover indirect costs such as space, supplies, etc. and the total contractor staff cost which already included the overhead costs.</w:t>
      </w:r>
    </w:p>
    <w:p w:rsidR="008777A7" w:rsidRDefault="00325ACE" w:rsidP="00D20878">
      <w:pPr>
        <w:pStyle w:val="Heading1"/>
        <w:rPr>
          <w:color w:val="C00000"/>
        </w:rPr>
      </w:pPr>
      <w:r>
        <w:lastRenderedPageBreak/>
        <w:t>A</w:t>
      </w:r>
      <w:r w:rsidR="008777A7">
        <w:t>15. Changes in Burden</w:t>
      </w:r>
    </w:p>
    <w:p w:rsidR="008777A7" w:rsidRDefault="008777A7" w:rsidP="008777A7">
      <w:pPr>
        <w:keepNext/>
        <w:jc w:val="both"/>
        <w:rPr>
          <w:rFonts w:ascii="Times New Roman" w:hAnsi="Times New Roman"/>
          <w:color w:val="000000"/>
        </w:rPr>
      </w:pPr>
    </w:p>
    <w:p w:rsidR="00F32BDB" w:rsidRDefault="008777A7" w:rsidP="004E1172">
      <w:pPr>
        <w:spacing w:line="360" w:lineRule="auto"/>
        <w:rPr>
          <w:rFonts w:asciiTheme="minorHAnsi" w:hAnsiTheme="minorHAnsi"/>
          <w:sz w:val="22"/>
        </w:rPr>
      </w:pPr>
      <w:r w:rsidRPr="004E1172">
        <w:rPr>
          <w:rFonts w:asciiTheme="minorHAnsi" w:hAnsiTheme="minorHAnsi"/>
          <w:color w:val="000000"/>
          <w:sz w:val="22"/>
        </w:rPr>
        <w:t xml:space="preserve">Respondent burden has </w:t>
      </w:r>
      <w:r w:rsidRPr="004E1172">
        <w:rPr>
          <w:rFonts w:asciiTheme="minorHAnsi" w:hAnsiTheme="minorHAnsi"/>
          <w:sz w:val="22"/>
        </w:rPr>
        <w:t xml:space="preserve">declined </w:t>
      </w:r>
      <w:r w:rsidRPr="004E1172">
        <w:rPr>
          <w:rFonts w:asciiTheme="minorHAnsi" w:hAnsiTheme="minorHAnsi"/>
          <w:color w:val="000000"/>
          <w:sz w:val="22"/>
        </w:rPr>
        <w:t xml:space="preserve">by </w:t>
      </w:r>
      <w:r w:rsidRPr="004E1172">
        <w:rPr>
          <w:rFonts w:asciiTheme="minorHAnsi" w:hAnsiTheme="minorHAnsi"/>
          <w:sz w:val="22"/>
        </w:rPr>
        <w:t>65,107 (121,293-56,186)</w:t>
      </w:r>
      <w:r w:rsidR="00E910F6">
        <w:rPr>
          <w:rFonts w:asciiTheme="minorHAnsi" w:hAnsiTheme="minorHAnsi"/>
          <w:sz w:val="22"/>
        </w:rPr>
        <w:t xml:space="preserve"> </w:t>
      </w:r>
      <w:r w:rsidRPr="004E1172">
        <w:rPr>
          <w:rFonts w:asciiTheme="minorHAnsi" w:hAnsiTheme="minorHAnsi"/>
          <w:color w:val="000000"/>
          <w:sz w:val="22"/>
        </w:rPr>
        <w:t>hours from the previous OMB clearance</w:t>
      </w:r>
      <w:r w:rsidR="00E910F6">
        <w:rPr>
          <w:rFonts w:asciiTheme="minorHAnsi" w:hAnsiTheme="minorHAnsi"/>
          <w:color w:val="000000"/>
          <w:sz w:val="22"/>
        </w:rPr>
        <w:t xml:space="preserve">. This is </w:t>
      </w:r>
      <w:r w:rsidRPr="004E1172">
        <w:rPr>
          <w:rFonts w:asciiTheme="minorHAnsi" w:hAnsiTheme="minorHAnsi"/>
          <w:color w:val="000000"/>
          <w:sz w:val="22"/>
        </w:rPr>
        <w:t xml:space="preserve">because the monthly </w:t>
      </w:r>
      <w:r w:rsidRPr="004E1172">
        <w:rPr>
          <w:rFonts w:asciiTheme="minorHAnsi" w:hAnsiTheme="minorHAnsi"/>
          <w:sz w:val="22"/>
        </w:rPr>
        <w:t>EIA-782B has been discontinued</w:t>
      </w:r>
      <w:r w:rsidR="00E910F6">
        <w:rPr>
          <w:rFonts w:asciiTheme="minorHAnsi" w:hAnsiTheme="minorHAnsi"/>
          <w:sz w:val="22"/>
        </w:rPr>
        <w:t xml:space="preserve"> (program change)</w:t>
      </w:r>
      <w:r w:rsidR="00167292">
        <w:rPr>
          <w:rFonts w:asciiTheme="minorHAnsi" w:hAnsiTheme="minorHAnsi"/>
          <w:sz w:val="22"/>
        </w:rPr>
        <w:t>, resulting in reduction of 62,010 hours</w:t>
      </w:r>
      <w:r w:rsidR="00E910F6">
        <w:rPr>
          <w:rFonts w:asciiTheme="minorHAnsi" w:hAnsiTheme="minorHAnsi"/>
          <w:sz w:val="22"/>
        </w:rPr>
        <w:t>,</w:t>
      </w:r>
      <w:r w:rsidR="00167292">
        <w:rPr>
          <w:rFonts w:asciiTheme="minorHAnsi" w:hAnsiTheme="minorHAnsi"/>
          <w:sz w:val="22"/>
        </w:rPr>
        <w:t xml:space="preserve"> and </w:t>
      </w:r>
      <w:r w:rsidR="004C74C3">
        <w:rPr>
          <w:rFonts w:asciiTheme="minorHAnsi" w:hAnsiTheme="minorHAnsi"/>
          <w:sz w:val="22"/>
        </w:rPr>
        <w:t xml:space="preserve">an reduction of </w:t>
      </w:r>
      <w:r w:rsidR="00167292">
        <w:rPr>
          <w:rFonts w:asciiTheme="minorHAnsi" w:hAnsiTheme="minorHAnsi"/>
          <w:sz w:val="22"/>
        </w:rPr>
        <w:t>3</w:t>
      </w:r>
      <w:r w:rsidR="00BF299D">
        <w:rPr>
          <w:rFonts w:asciiTheme="minorHAnsi" w:hAnsiTheme="minorHAnsi"/>
          <w:sz w:val="22"/>
        </w:rPr>
        <w:t>,</w:t>
      </w:r>
      <w:r w:rsidR="00C729A1">
        <w:rPr>
          <w:rFonts w:asciiTheme="minorHAnsi" w:hAnsiTheme="minorHAnsi"/>
          <w:sz w:val="22"/>
        </w:rPr>
        <w:t>098</w:t>
      </w:r>
      <w:r w:rsidR="00E910F6">
        <w:rPr>
          <w:rFonts w:asciiTheme="minorHAnsi" w:hAnsiTheme="minorHAnsi"/>
          <w:sz w:val="22"/>
        </w:rPr>
        <w:t xml:space="preserve"> </w:t>
      </w:r>
      <w:r w:rsidR="004C74C3">
        <w:rPr>
          <w:rFonts w:asciiTheme="minorHAnsi" w:hAnsiTheme="minorHAnsi"/>
          <w:sz w:val="22"/>
        </w:rPr>
        <w:t xml:space="preserve">hours </w:t>
      </w:r>
      <w:r w:rsidR="00E910F6">
        <w:rPr>
          <w:rFonts w:asciiTheme="minorHAnsi" w:hAnsiTheme="minorHAnsi"/>
          <w:sz w:val="22"/>
        </w:rPr>
        <w:t xml:space="preserve">due to </w:t>
      </w:r>
      <w:r w:rsidR="00C729A1">
        <w:rPr>
          <w:rFonts w:asciiTheme="minorHAnsi" w:hAnsiTheme="minorHAnsi"/>
          <w:sz w:val="22"/>
        </w:rPr>
        <w:t xml:space="preserve">dynamic population </w:t>
      </w:r>
      <w:r w:rsidR="004C74C3">
        <w:rPr>
          <w:rFonts w:asciiTheme="minorHAnsi" w:hAnsiTheme="minorHAnsi"/>
          <w:sz w:val="22"/>
        </w:rPr>
        <w:t xml:space="preserve">on several of </w:t>
      </w:r>
      <w:r w:rsidR="00C729A1">
        <w:rPr>
          <w:rFonts w:asciiTheme="minorHAnsi" w:hAnsiTheme="minorHAnsi"/>
          <w:sz w:val="22"/>
        </w:rPr>
        <w:t>o</w:t>
      </w:r>
      <w:r w:rsidR="004C74C3">
        <w:rPr>
          <w:rFonts w:asciiTheme="minorHAnsi" w:hAnsiTheme="minorHAnsi"/>
          <w:sz w:val="22"/>
        </w:rPr>
        <w:t>the</w:t>
      </w:r>
      <w:r w:rsidR="00C729A1">
        <w:rPr>
          <w:rFonts w:asciiTheme="minorHAnsi" w:hAnsiTheme="minorHAnsi"/>
          <w:sz w:val="22"/>
        </w:rPr>
        <w:t>r surveys - the</w:t>
      </w:r>
      <w:r w:rsidR="004C74C3">
        <w:rPr>
          <w:rFonts w:asciiTheme="minorHAnsi" w:hAnsiTheme="minorHAnsi"/>
          <w:sz w:val="22"/>
        </w:rPr>
        <w:t xml:space="preserve"> EIA-782C</w:t>
      </w:r>
      <w:r w:rsidR="00F32BDB">
        <w:rPr>
          <w:rFonts w:asciiTheme="minorHAnsi" w:hAnsiTheme="minorHAnsi"/>
          <w:sz w:val="22"/>
        </w:rPr>
        <w:t xml:space="preserve"> (+378)</w:t>
      </w:r>
      <w:r w:rsidR="004C74C3">
        <w:rPr>
          <w:rFonts w:asciiTheme="minorHAnsi" w:hAnsiTheme="minorHAnsi"/>
          <w:sz w:val="22"/>
        </w:rPr>
        <w:t xml:space="preserve">, </w:t>
      </w:r>
      <w:r w:rsidR="00C729A1">
        <w:rPr>
          <w:rFonts w:asciiTheme="minorHAnsi" w:hAnsiTheme="minorHAnsi"/>
          <w:sz w:val="22"/>
        </w:rPr>
        <w:t>the EIA-</w:t>
      </w:r>
      <w:r w:rsidR="004C74C3">
        <w:rPr>
          <w:rFonts w:asciiTheme="minorHAnsi" w:hAnsiTheme="minorHAnsi"/>
          <w:sz w:val="22"/>
        </w:rPr>
        <w:t>821</w:t>
      </w:r>
      <w:r w:rsidR="00F32BDB">
        <w:rPr>
          <w:rFonts w:asciiTheme="minorHAnsi" w:hAnsiTheme="minorHAnsi"/>
          <w:sz w:val="22"/>
        </w:rPr>
        <w:t xml:space="preserve"> (-3,771)</w:t>
      </w:r>
      <w:r w:rsidR="004C74C3">
        <w:rPr>
          <w:rFonts w:asciiTheme="minorHAnsi" w:hAnsiTheme="minorHAnsi"/>
          <w:sz w:val="22"/>
        </w:rPr>
        <w:t xml:space="preserve">, and </w:t>
      </w:r>
      <w:r w:rsidR="00C729A1">
        <w:rPr>
          <w:rFonts w:asciiTheme="minorHAnsi" w:hAnsiTheme="minorHAnsi"/>
          <w:sz w:val="22"/>
        </w:rPr>
        <w:t>the EIA-88</w:t>
      </w:r>
      <w:r w:rsidR="00F32BDB">
        <w:rPr>
          <w:rFonts w:asciiTheme="minorHAnsi" w:hAnsiTheme="minorHAnsi"/>
          <w:sz w:val="22"/>
        </w:rPr>
        <w:t xml:space="preserve">8 (+138) </w:t>
      </w:r>
      <w:r w:rsidR="004C74C3">
        <w:rPr>
          <w:rFonts w:asciiTheme="minorHAnsi" w:hAnsiTheme="minorHAnsi"/>
          <w:sz w:val="22"/>
        </w:rPr>
        <w:t xml:space="preserve">as indicated in Table </w:t>
      </w:r>
      <w:r w:rsidR="00BF299D" w:rsidRPr="00BF299D">
        <w:rPr>
          <w:rFonts w:asciiTheme="minorHAnsi" w:hAnsiTheme="minorHAnsi"/>
          <w:sz w:val="22"/>
        </w:rPr>
        <w:t xml:space="preserve">A4.  </w:t>
      </w:r>
    </w:p>
    <w:p w:rsidR="00F32BDB" w:rsidRDefault="00F32BDB" w:rsidP="004E1172">
      <w:pPr>
        <w:spacing w:line="360" w:lineRule="auto"/>
        <w:rPr>
          <w:rFonts w:asciiTheme="minorHAnsi" w:hAnsiTheme="minorHAnsi"/>
          <w:sz w:val="22"/>
        </w:rPr>
      </w:pPr>
    </w:p>
    <w:p w:rsidR="00F32BDB" w:rsidRDefault="00F32BDB" w:rsidP="004E1172">
      <w:pPr>
        <w:spacing w:line="360" w:lineRule="auto"/>
        <w:rPr>
          <w:rFonts w:asciiTheme="minorHAnsi" w:hAnsiTheme="minorHAnsi"/>
          <w:sz w:val="22"/>
        </w:rPr>
      </w:pPr>
      <w:r>
        <w:rPr>
          <w:rFonts w:asciiTheme="minorHAnsi" w:hAnsiTheme="minorHAnsi"/>
          <w:sz w:val="22"/>
        </w:rPr>
        <w:t>We have included an annualized reporting burden for the EIA-863 even though currently there are no plans to implement this quadrennial survey during this three –year cycle. Since the Federal Register Notice was published in April, the number of respondents on the EIA-863 has declined from 24,400 to less than 22,000 due to deaths and mergers.</w:t>
      </w:r>
    </w:p>
    <w:tbl>
      <w:tblPr>
        <w:tblW w:w="10980" w:type="dxa"/>
        <w:tblInd w:w="-630" w:type="dxa"/>
        <w:tblCellMar>
          <w:left w:w="0" w:type="dxa"/>
          <w:right w:w="0" w:type="dxa"/>
        </w:tblCellMar>
        <w:tblLook w:val="04A0"/>
      </w:tblPr>
      <w:tblGrid>
        <w:gridCol w:w="470"/>
        <w:gridCol w:w="610"/>
        <w:gridCol w:w="720"/>
        <w:gridCol w:w="900"/>
        <w:gridCol w:w="990"/>
        <w:gridCol w:w="990"/>
        <w:gridCol w:w="894"/>
        <w:gridCol w:w="906"/>
        <w:gridCol w:w="900"/>
        <w:gridCol w:w="900"/>
        <w:gridCol w:w="990"/>
        <w:gridCol w:w="86"/>
        <w:gridCol w:w="814"/>
        <w:gridCol w:w="810"/>
      </w:tblGrid>
      <w:tr w:rsidR="00BF299D" w:rsidRPr="00403C52" w:rsidTr="00C729A1">
        <w:trPr>
          <w:gridBefore w:val="1"/>
          <w:gridAfter w:val="2"/>
          <w:wBefore w:w="470" w:type="dxa"/>
          <w:wAfter w:w="1624" w:type="dxa"/>
          <w:trHeight w:val="743"/>
        </w:trPr>
        <w:tc>
          <w:tcPr>
            <w:tcW w:w="8886" w:type="dxa"/>
            <w:gridSpan w:val="11"/>
            <w:vAlign w:val="center"/>
            <w:hideMark/>
          </w:tcPr>
          <w:p w:rsidR="00BF299D" w:rsidRPr="00BF299D" w:rsidRDefault="00BF299D" w:rsidP="00065520">
            <w:pPr>
              <w:pStyle w:val="Heading1"/>
            </w:pPr>
            <w:r>
              <w:t xml:space="preserve">Table A4: Comparison of </w:t>
            </w:r>
            <w:r w:rsidR="00DD17A4">
              <w:t xml:space="preserve">2011 </w:t>
            </w:r>
            <w:r>
              <w:t>and 2009 Reporting Burden</w:t>
            </w:r>
          </w:p>
          <w:p w:rsidR="00BF299D" w:rsidRPr="00403C52" w:rsidRDefault="00BF299D" w:rsidP="00065520">
            <w:pPr>
              <w:autoSpaceDE/>
              <w:autoSpaceDN/>
              <w:rPr>
                <w:rFonts w:asciiTheme="minorHAnsi" w:hAnsiTheme="minorHAnsi"/>
                <w:sz w:val="20"/>
                <w:szCs w:val="20"/>
              </w:rPr>
            </w:pPr>
          </w:p>
        </w:tc>
      </w:tr>
      <w:tr w:rsidR="00C729A1" w:rsidRPr="00BF299D" w:rsidTr="00C729A1">
        <w:tblPrEx>
          <w:tblCellMar>
            <w:left w:w="108" w:type="dxa"/>
            <w:right w:w="108" w:type="dxa"/>
          </w:tblCellMar>
        </w:tblPrEx>
        <w:trPr>
          <w:trHeight w:val="303"/>
        </w:trPr>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Survey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EIA-14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EIA-182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EIA-782C</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EIA-821</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EIA-856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EIA-877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EIA-878</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EIA-888</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EIA-863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BF299D" w:rsidRPr="00BF299D" w:rsidRDefault="00BF299D" w:rsidP="00C729A1">
            <w:pPr>
              <w:widowControl/>
              <w:autoSpaceDE/>
              <w:autoSpaceDN/>
              <w:adjustRightInd/>
              <w:jc w:val="right"/>
              <w:rPr>
                <w:rFonts w:ascii="Calibri" w:hAnsi="Calibri"/>
                <w:color w:val="000000"/>
                <w:sz w:val="19"/>
                <w:szCs w:val="19"/>
              </w:rPr>
            </w:pPr>
            <w:r w:rsidRPr="00BF299D">
              <w:rPr>
                <w:rFonts w:ascii="Calibri" w:hAnsi="Calibri"/>
                <w:color w:val="000000"/>
                <w:sz w:val="19"/>
                <w:szCs w:val="19"/>
              </w:rPr>
              <w:t>EIA-782B</w:t>
            </w:r>
          </w:p>
        </w:tc>
      </w:tr>
      <w:tr w:rsidR="00C729A1" w:rsidRPr="00BF299D"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2011</w:t>
            </w:r>
          </w:p>
        </w:tc>
        <w:tc>
          <w:tcPr>
            <w:tcW w:w="72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1512</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5040</w:t>
            </w:r>
          </w:p>
        </w:tc>
        <w:tc>
          <w:tcPr>
            <w:tcW w:w="894"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14010</w:t>
            </w:r>
          </w:p>
        </w:tc>
        <w:tc>
          <w:tcPr>
            <w:tcW w:w="906"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3148</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3000</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1048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0</w:t>
            </w:r>
          </w:p>
        </w:tc>
      </w:tr>
      <w:tr w:rsidR="00C729A1" w:rsidRPr="00BF299D"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rPr>
                <w:rFonts w:ascii="Calibri" w:hAnsi="Calibri"/>
                <w:color w:val="000000"/>
                <w:sz w:val="19"/>
                <w:szCs w:val="19"/>
              </w:rPr>
            </w:pPr>
            <w:r w:rsidRPr="00BF299D">
              <w:rPr>
                <w:rFonts w:ascii="Calibri" w:hAnsi="Calibri"/>
                <w:color w:val="000000"/>
                <w:sz w:val="19"/>
                <w:szCs w:val="19"/>
              </w:rPr>
              <w:t>2009</w:t>
            </w:r>
          </w:p>
        </w:tc>
        <w:tc>
          <w:tcPr>
            <w:tcW w:w="72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1428</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4231</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17100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4662</w:t>
            </w:r>
          </w:p>
        </w:tc>
        <w:tc>
          <w:tcPr>
            <w:tcW w:w="894"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17780</w:t>
            </w:r>
          </w:p>
        </w:tc>
        <w:tc>
          <w:tcPr>
            <w:tcW w:w="906"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3074</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3000</w:t>
            </w:r>
          </w:p>
        </w:tc>
        <w:tc>
          <w:tcPr>
            <w:tcW w:w="90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2080</w:t>
            </w:r>
          </w:p>
        </w:tc>
        <w:tc>
          <w:tcPr>
            <w:tcW w:w="99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910</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5017</w:t>
            </w:r>
          </w:p>
        </w:tc>
        <w:tc>
          <w:tcPr>
            <w:tcW w:w="810" w:type="dxa"/>
            <w:tcBorders>
              <w:top w:val="nil"/>
              <w:left w:val="nil"/>
              <w:bottom w:val="single" w:sz="4" w:space="0" w:color="auto"/>
              <w:right w:val="single" w:sz="4" w:space="0" w:color="auto"/>
            </w:tcBorders>
            <w:shd w:val="clear" w:color="auto" w:fill="auto"/>
            <w:noWrap/>
            <w:vAlign w:val="bottom"/>
            <w:hideMark/>
          </w:tcPr>
          <w:p w:rsidR="00BF299D" w:rsidRPr="00BF299D" w:rsidRDefault="00BF299D" w:rsidP="00065520">
            <w:pPr>
              <w:widowControl/>
              <w:autoSpaceDE/>
              <w:autoSpaceDN/>
              <w:adjustRightInd/>
              <w:jc w:val="right"/>
              <w:rPr>
                <w:rFonts w:ascii="Calibri" w:hAnsi="Calibri"/>
                <w:color w:val="000000"/>
                <w:sz w:val="19"/>
                <w:szCs w:val="19"/>
              </w:rPr>
            </w:pPr>
            <w:r w:rsidRPr="00BF299D">
              <w:rPr>
                <w:rFonts w:ascii="Calibri" w:hAnsi="Calibri"/>
                <w:color w:val="000000"/>
                <w:sz w:val="19"/>
                <w:szCs w:val="19"/>
              </w:rPr>
              <w:t>62010</w:t>
            </w:r>
          </w:p>
        </w:tc>
      </w:tr>
      <w:tr w:rsidR="00C729A1" w:rsidRPr="00C729A1" w:rsidTr="00C729A1">
        <w:tblPrEx>
          <w:tblCellMar>
            <w:left w:w="108" w:type="dxa"/>
            <w:right w:w="108" w:type="dxa"/>
          </w:tblCellMar>
        </w:tblPrEx>
        <w:trPr>
          <w:trHeight w:val="303"/>
        </w:trPr>
        <w:tc>
          <w:tcPr>
            <w:tcW w:w="1080" w:type="dxa"/>
            <w:gridSpan w:val="2"/>
            <w:tcBorders>
              <w:top w:val="nil"/>
              <w:left w:val="single" w:sz="4" w:space="0" w:color="auto"/>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rPr>
                <w:rFonts w:ascii="Calibri" w:hAnsi="Calibri"/>
                <w:color w:val="000000"/>
                <w:sz w:val="19"/>
                <w:szCs w:val="19"/>
              </w:rPr>
            </w:pPr>
            <w:r w:rsidRPr="00C729A1">
              <w:rPr>
                <w:rFonts w:ascii="Calibri" w:hAnsi="Calibri"/>
                <w:color w:val="000000"/>
                <w:sz w:val="19"/>
                <w:szCs w:val="19"/>
              </w:rPr>
              <w:t>Difference</w:t>
            </w:r>
          </w:p>
        </w:tc>
        <w:tc>
          <w:tcPr>
            <w:tcW w:w="72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84</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378</w:t>
            </w:r>
          </w:p>
        </w:tc>
        <w:tc>
          <w:tcPr>
            <w:tcW w:w="894"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-3771</w:t>
            </w:r>
          </w:p>
        </w:tc>
        <w:tc>
          <w:tcPr>
            <w:tcW w:w="906"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73</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0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99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138</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0</w:t>
            </w:r>
          </w:p>
        </w:tc>
        <w:tc>
          <w:tcPr>
            <w:tcW w:w="810" w:type="dxa"/>
            <w:tcBorders>
              <w:top w:val="nil"/>
              <w:left w:val="nil"/>
              <w:bottom w:val="single" w:sz="4" w:space="0" w:color="auto"/>
              <w:right w:val="single" w:sz="4" w:space="0" w:color="auto"/>
            </w:tcBorders>
            <w:shd w:val="clear" w:color="auto" w:fill="auto"/>
            <w:noWrap/>
            <w:vAlign w:val="bottom"/>
            <w:hideMark/>
          </w:tcPr>
          <w:p w:rsidR="00C729A1" w:rsidRPr="00C729A1" w:rsidRDefault="00C729A1" w:rsidP="00C729A1">
            <w:pPr>
              <w:widowControl/>
              <w:autoSpaceDE/>
              <w:autoSpaceDN/>
              <w:adjustRightInd/>
              <w:jc w:val="right"/>
              <w:rPr>
                <w:rFonts w:ascii="Calibri" w:hAnsi="Calibri"/>
                <w:color w:val="000000"/>
                <w:sz w:val="19"/>
                <w:szCs w:val="19"/>
              </w:rPr>
            </w:pPr>
            <w:r w:rsidRPr="00C729A1">
              <w:rPr>
                <w:rFonts w:ascii="Calibri" w:hAnsi="Calibri"/>
                <w:color w:val="000000"/>
                <w:sz w:val="19"/>
                <w:szCs w:val="19"/>
              </w:rPr>
              <w:t>-62010</w:t>
            </w:r>
          </w:p>
        </w:tc>
      </w:tr>
    </w:tbl>
    <w:p w:rsidR="008777A7" w:rsidRPr="004E1172" w:rsidRDefault="008777A7" w:rsidP="004E1172">
      <w:pPr>
        <w:spacing w:line="360" w:lineRule="auto"/>
        <w:rPr>
          <w:rFonts w:asciiTheme="minorHAnsi" w:hAnsiTheme="minorHAnsi" w:cs="Times"/>
          <w:sz w:val="22"/>
          <w:szCs w:val="22"/>
        </w:rPr>
      </w:pPr>
    </w:p>
    <w:p w:rsidR="006E7570" w:rsidRDefault="00CA40B5"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bCs/>
          <w:sz w:val="22"/>
        </w:rPr>
      </w:pPr>
      <w:r w:rsidRPr="008C399D">
        <w:rPr>
          <w:rFonts w:asciiTheme="minorHAnsi" w:hAnsiTheme="minorHAnsi"/>
          <w:bCs/>
          <w:sz w:val="22"/>
        </w:rPr>
        <w:t xml:space="preserve">We </w:t>
      </w:r>
      <w:r w:rsidR="00364A00">
        <w:rPr>
          <w:rFonts w:asciiTheme="minorHAnsi" w:hAnsiTheme="minorHAnsi"/>
          <w:bCs/>
          <w:sz w:val="22"/>
        </w:rPr>
        <w:t>seek to</w:t>
      </w:r>
      <w:r w:rsidRPr="008C399D">
        <w:rPr>
          <w:rFonts w:asciiTheme="minorHAnsi" w:hAnsiTheme="minorHAnsi"/>
          <w:bCs/>
          <w:sz w:val="22"/>
        </w:rPr>
        <w:t xml:space="preserve"> clear the EIA-863 to maintain continuity of the program.  We have annualized the respondent burden for this survey over four years since </w:t>
      </w:r>
      <w:r w:rsidR="00FA5BB7" w:rsidRPr="008C399D">
        <w:rPr>
          <w:rFonts w:asciiTheme="minorHAnsi" w:hAnsiTheme="minorHAnsi"/>
          <w:bCs/>
          <w:sz w:val="22"/>
        </w:rPr>
        <w:t xml:space="preserve">this </w:t>
      </w:r>
      <w:r w:rsidRPr="008C399D">
        <w:rPr>
          <w:rFonts w:asciiTheme="minorHAnsi" w:hAnsiTheme="minorHAnsi"/>
          <w:bCs/>
          <w:sz w:val="22"/>
        </w:rPr>
        <w:t xml:space="preserve">is a </w:t>
      </w:r>
      <w:r w:rsidR="00FA5BB7" w:rsidRPr="008C399D">
        <w:rPr>
          <w:rFonts w:asciiTheme="minorHAnsi" w:hAnsiTheme="minorHAnsi"/>
          <w:bCs/>
          <w:sz w:val="22"/>
        </w:rPr>
        <w:t>quadrennial survey</w:t>
      </w:r>
      <w:r w:rsidRPr="008C399D">
        <w:rPr>
          <w:rFonts w:asciiTheme="minorHAnsi" w:hAnsiTheme="minorHAnsi"/>
          <w:bCs/>
          <w:sz w:val="22"/>
        </w:rPr>
        <w:t xml:space="preserve">. We are currently not planning to conduct this survey in </w:t>
      </w:r>
      <w:r w:rsidR="00FA5BB7" w:rsidRPr="008C399D">
        <w:rPr>
          <w:rFonts w:asciiTheme="minorHAnsi" w:hAnsiTheme="minorHAnsi"/>
          <w:bCs/>
          <w:sz w:val="22"/>
        </w:rPr>
        <w:t>the next 3 years.</w:t>
      </w:r>
    </w:p>
    <w:p w:rsidR="00815376" w:rsidRPr="00815376" w:rsidRDefault="00815376" w:rsidP="00D20878">
      <w:pPr>
        <w:pStyle w:val="Heading1"/>
      </w:pPr>
      <w:r>
        <w:t>A</w:t>
      </w:r>
      <w:r w:rsidRPr="00540778">
        <w:t>16. Collection, Tabulation, and Publication Plans</w:t>
      </w:r>
    </w:p>
    <w:p w:rsidR="00815376" w:rsidRPr="00540778" w:rsidRDefault="00815376" w:rsidP="0081537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rPr>
      </w:pPr>
    </w:p>
    <w:p w:rsidR="00057216" w:rsidRPr="00057216" w:rsidRDefault="00F74D4B" w:rsidP="00057216">
      <w:pPr>
        <w:pStyle w:val="Text0"/>
        <w:numPr>
          <w:ilvl w:val="0"/>
          <w:numId w:val="14"/>
        </w:numPr>
        <w:spacing w:before="0" w:after="0" w:line="360" w:lineRule="auto"/>
        <w:rPr>
          <w:rFonts w:asciiTheme="minorHAnsi" w:hAnsiTheme="minorHAnsi"/>
          <w:sz w:val="22"/>
        </w:rPr>
      </w:pPr>
      <w:hyperlink r:id="rId195" w:history="1">
        <w:r w:rsidR="00057216" w:rsidRPr="006E7570">
          <w:rPr>
            <w:rStyle w:val="Hyperlink"/>
            <w:rFonts w:asciiTheme="minorHAnsi" w:hAnsiTheme="minorHAnsi"/>
            <w:bCs/>
            <w:sz w:val="22"/>
            <w:szCs w:val="22"/>
          </w:rPr>
          <w:t>Gasoline and Diesel Fuel Update (GDFU)</w:t>
        </w:r>
      </w:hyperlink>
      <w:r w:rsidR="00057216" w:rsidRPr="006E7570">
        <w:rPr>
          <w:rFonts w:asciiTheme="minorHAnsi" w:hAnsiTheme="minorHAnsi"/>
          <w:color w:val="000000"/>
          <w:sz w:val="22"/>
          <w:szCs w:val="22"/>
        </w:rPr>
        <w:t>: Weekly data reported on the EIA-878 and the EIA-888 are collected on Monday.  Prices are reported as of 8:</w:t>
      </w:r>
      <w:r w:rsidR="00057216" w:rsidRPr="006E7570">
        <w:rPr>
          <w:rFonts w:asciiTheme="minorHAnsi" w:hAnsiTheme="minorHAnsi"/>
          <w:sz w:val="22"/>
          <w:szCs w:val="22"/>
        </w:rPr>
        <w:t>00 a.m. local time. These data are published the same day by 5:00 p.m. E</w:t>
      </w:r>
      <w:r w:rsidR="00776857">
        <w:rPr>
          <w:rFonts w:asciiTheme="minorHAnsi" w:hAnsiTheme="minorHAnsi"/>
          <w:sz w:val="22"/>
          <w:szCs w:val="22"/>
        </w:rPr>
        <w:t>astern Time (ET). Two days later at 10</w:t>
      </w:r>
      <w:r w:rsidR="00057216" w:rsidRPr="006E7570">
        <w:rPr>
          <w:rFonts w:asciiTheme="minorHAnsi" w:hAnsiTheme="minorHAnsi"/>
          <w:sz w:val="22"/>
          <w:szCs w:val="22"/>
        </w:rPr>
        <w:t>:</w:t>
      </w:r>
      <w:r w:rsidR="00776857">
        <w:rPr>
          <w:rFonts w:asciiTheme="minorHAnsi" w:hAnsiTheme="minorHAnsi"/>
          <w:sz w:val="22"/>
          <w:szCs w:val="22"/>
        </w:rPr>
        <w:t>3</w:t>
      </w:r>
      <w:r w:rsidR="00057216" w:rsidRPr="006E7570">
        <w:rPr>
          <w:rFonts w:asciiTheme="minorHAnsi" w:hAnsiTheme="minorHAnsi"/>
          <w:sz w:val="22"/>
          <w:szCs w:val="22"/>
        </w:rPr>
        <w:t xml:space="preserve">0 a.m. </w:t>
      </w:r>
      <w:r w:rsidR="00776857">
        <w:rPr>
          <w:rFonts w:asciiTheme="minorHAnsi" w:hAnsiTheme="minorHAnsi"/>
          <w:sz w:val="22"/>
          <w:szCs w:val="22"/>
        </w:rPr>
        <w:t xml:space="preserve">ET </w:t>
      </w:r>
      <w:r w:rsidR="00057216" w:rsidRPr="006E7570">
        <w:rPr>
          <w:rFonts w:asciiTheme="minorHAnsi" w:hAnsiTheme="minorHAnsi"/>
          <w:sz w:val="22"/>
          <w:szCs w:val="22"/>
        </w:rPr>
        <w:t xml:space="preserve">these data are also released in the </w:t>
      </w:r>
      <w:hyperlink r:id="rId196" w:history="1">
        <w:r w:rsidR="00057216" w:rsidRPr="00EB5B9B">
          <w:rPr>
            <w:rStyle w:val="Hyperlink"/>
            <w:rFonts w:asciiTheme="minorHAnsi" w:hAnsiTheme="minorHAnsi"/>
            <w:bCs/>
            <w:sz w:val="22"/>
          </w:rPr>
          <w:t>Weekly Petroleum Status Report (WPSR)</w:t>
        </w:r>
      </w:hyperlink>
      <w:r w:rsidR="00057216" w:rsidRPr="006E7570">
        <w:rPr>
          <w:rFonts w:asciiTheme="minorHAnsi" w:hAnsiTheme="minorHAnsi"/>
          <w:sz w:val="22"/>
          <w:szCs w:val="22"/>
        </w:rPr>
        <w:t xml:space="preserve"> and they are released again at 1:00 p.m.</w:t>
      </w:r>
      <w:r w:rsidR="00776857">
        <w:rPr>
          <w:rFonts w:asciiTheme="minorHAnsi" w:hAnsiTheme="minorHAnsi"/>
          <w:sz w:val="22"/>
          <w:szCs w:val="22"/>
        </w:rPr>
        <w:t xml:space="preserve"> ET</w:t>
      </w:r>
      <w:r w:rsidR="00057216" w:rsidRPr="006E7570">
        <w:rPr>
          <w:rFonts w:asciiTheme="minorHAnsi" w:hAnsiTheme="minorHAnsi"/>
          <w:sz w:val="22"/>
          <w:szCs w:val="22"/>
        </w:rPr>
        <w:t xml:space="preserve"> </w:t>
      </w:r>
      <w:r w:rsidR="005F7082">
        <w:rPr>
          <w:rFonts w:asciiTheme="minorHAnsi" w:hAnsiTheme="minorHAnsi"/>
          <w:sz w:val="22"/>
          <w:szCs w:val="22"/>
        </w:rPr>
        <w:t xml:space="preserve">on Wednesday </w:t>
      </w:r>
      <w:r w:rsidR="00057216" w:rsidRPr="006E7570">
        <w:rPr>
          <w:rFonts w:asciiTheme="minorHAnsi" w:hAnsiTheme="minorHAnsi"/>
          <w:sz w:val="22"/>
          <w:szCs w:val="22"/>
        </w:rPr>
        <w:t xml:space="preserve">in the </w:t>
      </w:r>
      <w:hyperlink r:id="rId197" w:history="1">
        <w:r w:rsidR="00057216" w:rsidRPr="00EB5B9B">
          <w:rPr>
            <w:rStyle w:val="Strong"/>
            <w:rFonts w:asciiTheme="minorHAnsi" w:hAnsiTheme="minorHAnsi"/>
            <w:b w:val="0"/>
            <w:bCs w:val="0"/>
            <w:color w:val="2200CC"/>
            <w:sz w:val="22"/>
            <w:u w:val="single"/>
          </w:rPr>
          <w:t>This Week In Petroleum (TWIP)</w:t>
        </w:r>
      </w:hyperlink>
      <w:r w:rsidR="00057216">
        <w:rPr>
          <w:rFonts w:asciiTheme="minorHAnsi" w:hAnsiTheme="minorHAnsi"/>
          <w:sz w:val="22"/>
        </w:rPr>
        <w:t>.</w:t>
      </w:r>
    </w:p>
    <w:p w:rsidR="00403C52" w:rsidRPr="00057216" w:rsidRDefault="00403C52" w:rsidP="006E7570">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EE6072" w:rsidRPr="006E7570" w:rsidRDefault="00F74D4B" w:rsidP="006E7570">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198" w:history="1">
        <w:r w:rsidR="00CA40B5" w:rsidRPr="006E7570">
          <w:rPr>
            <w:rStyle w:val="Hyperlink"/>
            <w:rFonts w:asciiTheme="minorHAnsi" w:hAnsiTheme="minorHAnsi"/>
            <w:bCs/>
            <w:sz w:val="22"/>
            <w:szCs w:val="22"/>
          </w:rPr>
          <w:t>Heating Oil and Propane Update (HOPU)</w:t>
        </w:r>
      </w:hyperlink>
      <w:r w:rsidR="00CA40B5" w:rsidRPr="006E7570">
        <w:rPr>
          <w:rFonts w:asciiTheme="minorHAnsi" w:hAnsiTheme="minorHAnsi"/>
          <w:sz w:val="22"/>
          <w:szCs w:val="22"/>
        </w:rPr>
        <w:t>:</w:t>
      </w:r>
      <w:r w:rsidR="002E1F89" w:rsidRPr="006E7570">
        <w:rPr>
          <w:rFonts w:asciiTheme="minorHAnsi" w:hAnsiTheme="minorHAnsi"/>
          <w:color w:val="000000"/>
          <w:sz w:val="22"/>
          <w:szCs w:val="22"/>
        </w:rPr>
        <w:t xml:space="preserve"> Weekly </w:t>
      </w:r>
      <w:r w:rsidR="00CF3FD8" w:rsidRPr="006E7570">
        <w:rPr>
          <w:rFonts w:asciiTheme="minorHAnsi" w:hAnsiTheme="minorHAnsi"/>
          <w:color w:val="000000"/>
          <w:sz w:val="22"/>
          <w:szCs w:val="22"/>
        </w:rPr>
        <w:t xml:space="preserve">data reported on </w:t>
      </w:r>
      <w:r w:rsidR="002E1F89" w:rsidRPr="006E7570">
        <w:rPr>
          <w:rFonts w:asciiTheme="minorHAnsi" w:hAnsiTheme="minorHAnsi"/>
          <w:color w:val="000000"/>
          <w:sz w:val="22"/>
          <w:szCs w:val="22"/>
        </w:rPr>
        <w:t xml:space="preserve">the </w:t>
      </w:r>
      <w:r w:rsidR="00CF3FD8" w:rsidRPr="006E7570">
        <w:rPr>
          <w:rFonts w:asciiTheme="minorHAnsi" w:hAnsiTheme="minorHAnsi"/>
          <w:color w:val="000000"/>
          <w:sz w:val="22"/>
          <w:szCs w:val="22"/>
        </w:rPr>
        <w:t>EIA-877 are collected from October 1 through mid March. The</w:t>
      </w:r>
      <w:r w:rsidR="00CA40B5" w:rsidRPr="006E7570">
        <w:rPr>
          <w:rFonts w:asciiTheme="minorHAnsi" w:hAnsiTheme="minorHAnsi"/>
          <w:color w:val="000000"/>
          <w:sz w:val="22"/>
          <w:szCs w:val="22"/>
        </w:rPr>
        <w:t>se</w:t>
      </w:r>
      <w:r w:rsidR="00CF3FD8" w:rsidRPr="006E7570">
        <w:rPr>
          <w:rFonts w:asciiTheme="minorHAnsi" w:hAnsiTheme="minorHAnsi"/>
          <w:color w:val="000000"/>
          <w:sz w:val="22"/>
          <w:szCs w:val="22"/>
        </w:rPr>
        <w:t xml:space="preserve"> data are </w:t>
      </w:r>
      <w:r w:rsidR="00CA40B5" w:rsidRPr="006E7570">
        <w:rPr>
          <w:rFonts w:asciiTheme="minorHAnsi" w:hAnsiTheme="minorHAnsi"/>
          <w:color w:val="000000"/>
          <w:sz w:val="22"/>
          <w:szCs w:val="22"/>
        </w:rPr>
        <w:t xml:space="preserve">initially </w:t>
      </w:r>
      <w:r w:rsidR="00AB4581" w:rsidRPr="006E7570">
        <w:rPr>
          <w:rFonts w:asciiTheme="minorHAnsi" w:hAnsiTheme="minorHAnsi"/>
          <w:color w:val="000000"/>
          <w:sz w:val="22"/>
          <w:szCs w:val="22"/>
        </w:rPr>
        <w:t xml:space="preserve">published in the </w:t>
      </w:r>
      <w:r w:rsidR="005F7082">
        <w:rPr>
          <w:rFonts w:asciiTheme="minorHAnsi" w:hAnsiTheme="minorHAnsi"/>
          <w:color w:val="000000"/>
          <w:sz w:val="22"/>
          <w:szCs w:val="22"/>
        </w:rPr>
        <w:t xml:space="preserve">WPSR at 10:30 a.m. </w:t>
      </w:r>
      <w:r w:rsidR="00776857">
        <w:rPr>
          <w:rFonts w:asciiTheme="minorHAnsi" w:hAnsiTheme="minorHAnsi"/>
          <w:color w:val="000000"/>
          <w:sz w:val="22"/>
          <w:szCs w:val="22"/>
        </w:rPr>
        <w:t xml:space="preserve">ET </w:t>
      </w:r>
      <w:r w:rsidR="005F7082">
        <w:rPr>
          <w:rFonts w:asciiTheme="minorHAnsi" w:hAnsiTheme="minorHAnsi"/>
          <w:color w:val="000000"/>
          <w:sz w:val="22"/>
          <w:szCs w:val="22"/>
        </w:rPr>
        <w:t>on Wednesday and</w:t>
      </w:r>
      <w:r w:rsidR="006E7570" w:rsidRPr="006E7570">
        <w:rPr>
          <w:rFonts w:asciiTheme="minorHAnsi" w:hAnsiTheme="minorHAnsi"/>
          <w:color w:val="000000"/>
          <w:sz w:val="22"/>
          <w:szCs w:val="22"/>
        </w:rPr>
        <w:t xml:space="preserve"> again </w:t>
      </w:r>
      <w:r w:rsidR="005F7082">
        <w:rPr>
          <w:rFonts w:asciiTheme="minorHAnsi" w:hAnsiTheme="minorHAnsi"/>
          <w:color w:val="000000"/>
          <w:sz w:val="22"/>
          <w:szCs w:val="22"/>
        </w:rPr>
        <w:t xml:space="preserve">the same day </w:t>
      </w:r>
      <w:r w:rsidR="006E7570" w:rsidRPr="006E7570">
        <w:rPr>
          <w:rFonts w:asciiTheme="minorHAnsi" w:hAnsiTheme="minorHAnsi"/>
          <w:color w:val="000000"/>
          <w:sz w:val="22"/>
          <w:szCs w:val="22"/>
        </w:rPr>
        <w:t>in the</w:t>
      </w:r>
      <w:r w:rsidR="006E7570" w:rsidRPr="006E7570">
        <w:rPr>
          <w:rFonts w:asciiTheme="minorHAnsi" w:hAnsiTheme="minorHAnsi"/>
          <w:i/>
          <w:color w:val="000000"/>
          <w:sz w:val="22"/>
          <w:szCs w:val="22"/>
        </w:rPr>
        <w:t xml:space="preserve"> </w:t>
      </w:r>
      <w:r w:rsidR="005F7082">
        <w:rPr>
          <w:rFonts w:asciiTheme="minorHAnsi" w:hAnsiTheme="minorHAnsi"/>
          <w:i/>
          <w:color w:val="000000"/>
          <w:sz w:val="22"/>
          <w:szCs w:val="22"/>
        </w:rPr>
        <w:t xml:space="preserve">TWIP </w:t>
      </w:r>
      <w:r w:rsidR="005F7082">
        <w:rPr>
          <w:rFonts w:asciiTheme="minorHAnsi" w:hAnsiTheme="minorHAnsi"/>
          <w:color w:val="000000"/>
          <w:sz w:val="22"/>
          <w:szCs w:val="22"/>
        </w:rPr>
        <w:t>on</w:t>
      </w:r>
      <w:r w:rsidR="006E7570" w:rsidRPr="006E7570">
        <w:rPr>
          <w:rFonts w:asciiTheme="minorHAnsi" w:hAnsiTheme="minorHAnsi"/>
          <w:color w:val="000000"/>
          <w:sz w:val="22"/>
          <w:szCs w:val="22"/>
        </w:rPr>
        <w:t xml:space="preserve"> at 1:00 p.m. ET, </w:t>
      </w:r>
      <w:r w:rsidR="002E1F89" w:rsidRPr="006E7570">
        <w:rPr>
          <w:rFonts w:asciiTheme="minorHAnsi" w:hAnsiTheme="minorHAnsi"/>
          <w:color w:val="000000"/>
          <w:sz w:val="22"/>
          <w:szCs w:val="22"/>
        </w:rPr>
        <w:t xml:space="preserve">and </w:t>
      </w:r>
      <w:r w:rsidR="000250CA" w:rsidRPr="006E7570">
        <w:rPr>
          <w:rFonts w:asciiTheme="minorHAnsi" w:hAnsiTheme="minorHAnsi"/>
          <w:color w:val="000000"/>
          <w:sz w:val="22"/>
          <w:szCs w:val="22"/>
        </w:rPr>
        <w:t xml:space="preserve">utilized in the </w:t>
      </w:r>
      <w:r w:rsidR="00CA40B5" w:rsidRPr="006E7570">
        <w:rPr>
          <w:rFonts w:asciiTheme="minorHAnsi" w:hAnsiTheme="minorHAnsi"/>
          <w:i/>
          <w:color w:val="000000"/>
          <w:sz w:val="22"/>
          <w:szCs w:val="22"/>
        </w:rPr>
        <w:t>STEO</w:t>
      </w:r>
      <w:r w:rsidR="00AB4581" w:rsidRPr="006E7570">
        <w:rPr>
          <w:rFonts w:asciiTheme="minorHAnsi" w:hAnsiTheme="minorHAnsi"/>
          <w:sz w:val="22"/>
          <w:szCs w:val="22"/>
        </w:rPr>
        <w:t>.</w:t>
      </w:r>
      <w:r w:rsidR="003E1695" w:rsidRPr="006E7570">
        <w:rPr>
          <w:rFonts w:asciiTheme="minorHAnsi" w:hAnsiTheme="minorHAnsi"/>
          <w:b/>
          <w:bCs/>
          <w:sz w:val="22"/>
          <w:szCs w:val="22"/>
        </w:rPr>
        <w:t xml:space="preserve"> </w:t>
      </w:r>
    </w:p>
    <w:p w:rsidR="00403C52" w:rsidRPr="00403C52" w:rsidRDefault="00403C52" w:rsidP="00403C52">
      <w:pPr>
        <w:pStyle w:val="ListParagraph"/>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p>
    <w:p w:rsidR="00CF3FD8" w:rsidRPr="008C399D" w:rsidRDefault="00F74D4B" w:rsidP="004608BE">
      <w:pPr>
        <w:pStyle w:val="ListParagraph"/>
        <w:keepNext/>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szCs w:val="22"/>
        </w:rPr>
      </w:pPr>
      <w:hyperlink r:id="rId199" w:history="1">
        <w:r w:rsidR="002E1F89" w:rsidRPr="008C399D">
          <w:rPr>
            <w:rStyle w:val="Hyperlink"/>
            <w:rFonts w:asciiTheme="minorHAnsi" w:hAnsiTheme="minorHAnsi"/>
            <w:bCs/>
            <w:sz w:val="22"/>
            <w:szCs w:val="22"/>
          </w:rPr>
          <w:t>Petroleum Marketing Monthl</w:t>
        </w:r>
        <w:r w:rsidR="006E7570">
          <w:rPr>
            <w:rStyle w:val="Hyperlink"/>
            <w:rFonts w:asciiTheme="minorHAnsi" w:hAnsiTheme="minorHAnsi"/>
            <w:bCs/>
            <w:sz w:val="22"/>
            <w:szCs w:val="22"/>
          </w:rPr>
          <w:t>y (PMM)</w:t>
        </w:r>
      </w:hyperlink>
      <w:r w:rsidR="002E1F89" w:rsidRPr="008C399D">
        <w:rPr>
          <w:rFonts w:asciiTheme="minorHAnsi" w:hAnsiTheme="minorHAnsi"/>
          <w:sz w:val="22"/>
          <w:szCs w:val="22"/>
        </w:rPr>
        <w:t>: Data collected from the mo</w:t>
      </w:r>
      <w:r w:rsidR="002E1F89" w:rsidRPr="008C399D">
        <w:rPr>
          <w:rFonts w:asciiTheme="minorHAnsi" w:hAnsiTheme="minorHAnsi"/>
          <w:color w:val="000000"/>
          <w:sz w:val="22"/>
          <w:szCs w:val="22"/>
        </w:rPr>
        <w:t>nthly s</w:t>
      </w:r>
      <w:r w:rsidR="00815376" w:rsidRPr="008C399D">
        <w:rPr>
          <w:rFonts w:asciiTheme="minorHAnsi" w:hAnsiTheme="minorHAnsi"/>
          <w:color w:val="000000"/>
          <w:sz w:val="22"/>
          <w:szCs w:val="22"/>
        </w:rPr>
        <w:t>urveys (EIA-14,</w:t>
      </w:r>
      <w:r w:rsidR="00CF3FD8" w:rsidRPr="008C399D">
        <w:rPr>
          <w:rFonts w:asciiTheme="minorHAnsi" w:hAnsiTheme="minorHAnsi"/>
          <w:color w:val="000000"/>
          <w:sz w:val="22"/>
          <w:szCs w:val="22"/>
        </w:rPr>
        <w:t xml:space="preserve"> EIA-182</w:t>
      </w:r>
      <w:r w:rsidR="00815376" w:rsidRPr="008C399D">
        <w:rPr>
          <w:rFonts w:asciiTheme="minorHAnsi" w:hAnsiTheme="minorHAnsi"/>
          <w:color w:val="000000"/>
          <w:sz w:val="22"/>
          <w:szCs w:val="22"/>
        </w:rPr>
        <w:t>,</w:t>
      </w:r>
      <w:r w:rsidR="00CF3FD8" w:rsidRPr="008C399D">
        <w:rPr>
          <w:rFonts w:asciiTheme="minorHAnsi" w:hAnsiTheme="minorHAnsi"/>
          <w:color w:val="000000"/>
          <w:sz w:val="22"/>
          <w:szCs w:val="22"/>
        </w:rPr>
        <w:t xml:space="preserve"> EIA-782A</w:t>
      </w:r>
      <w:r w:rsidR="00E33963" w:rsidRPr="008C399D">
        <w:rPr>
          <w:rFonts w:asciiTheme="minorHAnsi" w:hAnsiTheme="minorHAnsi"/>
          <w:color w:val="000000"/>
          <w:sz w:val="22"/>
          <w:szCs w:val="22"/>
        </w:rPr>
        <w:t>, EIA-782C</w:t>
      </w:r>
      <w:r w:rsidR="006E7570">
        <w:rPr>
          <w:rFonts w:asciiTheme="minorHAnsi" w:hAnsiTheme="minorHAnsi"/>
          <w:color w:val="000000"/>
          <w:sz w:val="22"/>
          <w:szCs w:val="22"/>
        </w:rPr>
        <w:t>,</w:t>
      </w:r>
      <w:r w:rsidR="00E33963" w:rsidRPr="008C399D">
        <w:rPr>
          <w:rFonts w:asciiTheme="minorHAnsi" w:hAnsiTheme="minorHAnsi"/>
          <w:color w:val="000000"/>
          <w:sz w:val="22"/>
          <w:szCs w:val="22"/>
        </w:rPr>
        <w:t xml:space="preserve"> and</w:t>
      </w:r>
      <w:r w:rsidR="00CF3FD8" w:rsidRPr="008C399D">
        <w:rPr>
          <w:rFonts w:asciiTheme="minorHAnsi" w:hAnsiTheme="minorHAnsi"/>
          <w:color w:val="000000"/>
          <w:sz w:val="22"/>
          <w:szCs w:val="22"/>
        </w:rPr>
        <w:t xml:space="preserve"> EIA-856)</w:t>
      </w:r>
      <w:r w:rsidR="002E1F89" w:rsidRPr="008C399D">
        <w:rPr>
          <w:rFonts w:asciiTheme="minorHAnsi" w:hAnsiTheme="minorHAnsi"/>
          <w:color w:val="000000"/>
          <w:sz w:val="22"/>
          <w:szCs w:val="22"/>
        </w:rPr>
        <w:t xml:space="preserve"> </w:t>
      </w:r>
      <w:r w:rsidR="006E7570">
        <w:rPr>
          <w:rFonts w:asciiTheme="minorHAnsi" w:hAnsiTheme="minorHAnsi"/>
          <w:color w:val="000000"/>
          <w:sz w:val="22"/>
          <w:szCs w:val="22"/>
        </w:rPr>
        <w:t>are</w:t>
      </w:r>
      <w:r w:rsidR="002E1F89" w:rsidRPr="008C399D">
        <w:rPr>
          <w:rFonts w:asciiTheme="minorHAnsi" w:hAnsiTheme="minorHAnsi"/>
          <w:color w:val="000000"/>
          <w:sz w:val="22"/>
          <w:szCs w:val="22"/>
        </w:rPr>
        <w:t xml:space="preserve"> collected </w:t>
      </w:r>
      <w:r w:rsidR="002E1F89" w:rsidRPr="008C399D">
        <w:rPr>
          <w:rFonts w:asciiTheme="minorHAnsi" w:hAnsiTheme="minorHAnsi"/>
          <w:sz w:val="22"/>
          <w:szCs w:val="22"/>
        </w:rPr>
        <w:t xml:space="preserve">and </w:t>
      </w:r>
      <w:r w:rsidR="00CA40B5" w:rsidRPr="008C399D">
        <w:rPr>
          <w:rFonts w:asciiTheme="minorHAnsi" w:hAnsiTheme="minorHAnsi"/>
          <w:sz w:val="22"/>
          <w:szCs w:val="22"/>
        </w:rPr>
        <w:t xml:space="preserve">published </w:t>
      </w:r>
      <w:r w:rsidR="002E1F89" w:rsidRPr="008C399D">
        <w:rPr>
          <w:rFonts w:asciiTheme="minorHAnsi" w:hAnsiTheme="minorHAnsi"/>
          <w:sz w:val="22"/>
          <w:szCs w:val="22"/>
        </w:rPr>
        <w:t>in the</w:t>
      </w:r>
      <w:r w:rsidR="002E1F89" w:rsidRPr="008C399D">
        <w:rPr>
          <w:rFonts w:asciiTheme="minorHAnsi" w:hAnsiTheme="minorHAnsi"/>
          <w:color w:val="000000"/>
          <w:sz w:val="22"/>
          <w:szCs w:val="22"/>
        </w:rPr>
        <w:t xml:space="preserve"> </w:t>
      </w:r>
      <w:r w:rsidR="002E1F89" w:rsidRPr="008C399D">
        <w:rPr>
          <w:rFonts w:asciiTheme="minorHAnsi" w:hAnsiTheme="minorHAnsi"/>
          <w:i/>
          <w:color w:val="000000"/>
          <w:sz w:val="22"/>
          <w:szCs w:val="22"/>
        </w:rPr>
        <w:t>PMM</w:t>
      </w:r>
      <w:r w:rsidR="002E1F89" w:rsidRPr="008C399D">
        <w:rPr>
          <w:rFonts w:asciiTheme="minorHAnsi" w:hAnsiTheme="minorHAnsi"/>
          <w:color w:val="000000"/>
          <w:sz w:val="22"/>
          <w:szCs w:val="22"/>
        </w:rPr>
        <w:t xml:space="preserve"> according to the following schedule:</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(1) EIA-782C forms due</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20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CF3FD8" w:rsidRPr="008C399D" w:rsidRDefault="00CF3FD8"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(2) All other monthly forms due</w:t>
      </w:r>
      <w:r w:rsidRPr="008C399D">
        <w:rPr>
          <w:rFonts w:asciiTheme="minorHAnsi" w:hAnsiTheme="minorHAnsi"/>
          <w:color w:val="000000"/>
          <w:sz w:val="22"/>
          <w:szCs w:val="22"/>
        </w:rPr>
        <w:tab/>
      </w:r>
      <w:r w:rsidRPr="008C399D">
        <w:rPr>
          <w:rFonts w:asciiTheme="minorHAnsi" w:hAnsiTheme="minorHAnsi"/>
          <w:color w:val="000000"/>
          <w:sz w:val="22"/>
          <w:szCs w:val="22"/>
        </w:rPr>
        <w:tab/>
        <w:t xml:space="preserve">30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DD4A4B" w:rsidRPr="008C399D" w:rsidRDefault="00DD4A4B" w:rsidP="004E1172">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ind w:left="5040" w:hanging="4320"/>
        <w:rPr>
          <w:rFonts w:asciiTheme="minorHAnsi" w:hAnsiTheme="minorHAnsi"/>
          <w:color w:val="000000"/>
          <w:sz w:val="22"/>
          <w:szCs w:val="22"/>
        </w:rPr>
      </w:pPr>
      <w:r w:rsidRPr="008C399D">
        <w:rPr>
          <w:rFonts w:asciiTheme="minorHAnsi" w:hAnsiTheme="minorHAnsi"/>
          <w:color w:val="000000"/>
          <w:sz w:val="22"/>
          <w:szCs w:val="22"/>
        </w:rPr>
        <w:t>(3) Processing of data completed</w:t>
      </w:r>
      <w:r w:rsidRPr="008C399D">
        <w:rPr>
          <w:rFonts w:asciiTheme="minorHAnsi" w:hAnsiTheme="minorHAnsi"/>
          <w:color w:val="000000"/>
          <w:sz w:val="22"/>
          <w:szCs w:val="22"/>
        </w:rPr>
        <w:tab/>
        <w:t xml:space="preserve">45 calendar days after </w:t>
      </w:r>
      <w:r w:rsidR="002E1F89" w:rsidRPr="008C399D">
        <w:rPr>
          <w:rFonts w:asciiTheme="minorHAnsi" w:hAnsiTheme="minorHAnsi"/>
          <w:color w:val="000000"/>
          <w:sz w:val="22"/>
          <w:szCs w:val="22"/>
        </w:rPr>
        <w:t xml:space="preserve">the </w:t>
      </w:r>
      <w:r w:rsidRPr="008C399D">
        <w:rPr>
          <w:rFonts w:asciiTheme="minorHAnsi" w:hAnsiTheme="minorHAnsi"/>
          <w:color w:val="000000"/>
          <w:sz w:val="22"/>
          <w:szCs w:val="22"/>
        </w:rPr>
        <w:t>end of reference month</w:t>
      </w:r>
    </w:p>
    <w:p w:rsidR="00956D24" w:rsidRPr="00D73331" w:rsidRDefault="00CF3FD8"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heme="minorHAnsi" w:hAnsiTheme="minorHAnsi"/>
          <w:color w:val="000000"/>
          <w:sz w:val="22"/>
          <w:szCs w:val="22"/>
        </w:rPr>
      </w:pPr>
      <w:r w:rsidRPr="00D73331">
        <w:rPr>
          <w:rFonts w:asciiTheme="minorHAnsi" w:hAnsiTheme="minorHAnsi"/>
          <w:color w:val="000000"/>
          <w:sz w:val="22"/>
          <w:szCs w:val="22"/>
        </w:rPr>
        <w:t>(</w:t>
      </w:r>
      <w:r w:rsidR="00DD4A4B" w:rsidRPr="00D73331">
        <w:rPr>
          <w:rFonts w:asciiTheme="minorHAnsi" w:hAnsiTheme="minorHAnsi"/>
          <w:color w:val="000000"/>
          <w:sz w:val="22"/>
          <w:szCs w:val="22"/>
        </w:rPr>
        <w:t>4</w:t>
      </w:r>
      <w:r w:rsidRPr="00D73331">
        <w:rPr>
          <w:rFonts w:asciiTheme="minorHAnsi" w:hAnsiTheme="minorHAnsi"/>
          <w:color w:val="000000"/>
          <w:sz w:val="22"/>
          <w:szCs w:val="22"/>
        </w:rPr>
        <w:t xml:space="preserve">) </w:t>
      </w:r>
      <w:r w:rsidR="00815376" w:rsidRPr="00D73331">
        <w:rPr>
          <w:rFonts w:asciiTheme="minorHAnsi" w:hAnsiTheme="minorHAnsi"/>
          <w:color w:val="000000"/>
          <w:sz w:val="22"/>
          <w:szCs w:val="22"/>
        </w:rPr>
        <w:t>EIA-</w:t>
      </w:r>
      <w:r w:rsidRPr="00D73331">
        <w:rPr>
          <w:rFonts w:asciiTheme="minorHAnsi" w:hAnsiTheme="minorHAnsi"/>
          <w:color w:val="000000"/>
          <w:sz w:val="22"/>
          <w:szCs w:val="22"/>
        </w:rPr>
        <w:t xml:space="preserve">782C </w:t>
      </w:r>
      <w:r w:rsidR="00494925" w:rsidRPr="00D73331">
        <w:rPr>
          <w:rFonts w:asciiTheme="minorHAnsi" w:hAnsiTheme="minorHAnsi"/>
          <w:color w:val="000000"/>
          <w:sz w:val="22"/>
          <w:szCs w:val="22"/>
        </w:rPr>
        <w:t xml:space="preserve">data published electronically </w:t>
      </w:r>
    </w:p>
    <w:p w:rsidR="00CF3FD8" w:rsidRPr="00956D24" w:rsidRDefault="00956D24" w:rsidP="00956D24">
      <w:pPr>
        <w:widowControl/>
        <w:tabs>
          <w:tab w:val="left" w:pos="1080"/>
          <w:tab w:val="left" w:pos="1440"/>
          <w:tab w:val="left" w:pos="2160"/>
          <w:tab w:val="left" w:pos="2880"/>
          <w:tab w:val="left" w:pos="3600"/>
          <w:tab w:val="left" w:pos="4320"/>
          <w:tab w:val="left" w:pos="4860"/>
          <w:tab w:val="left" w:pos="5760"/>
          <w:tab w:val="left" w:pos="6480"/>
          <w:tab w:val="left" w:pos="7200"/>
          <w:tab w:val="left" w:pos="7920"/>
        </w:tabs>
        <w:spacing w:line="360" w:lineRule="auto"/>
        <w:ind w:left="720"/>
        <w:rPr>
          <w:rFonts w:ascii="Times New Roman" w:hAnsi="Times New Roman"/>
          <w:color w:val="000000"/>
        </w:rPr>
      </w:pPr>
      <w:r w:rsidRPr="00D73331">
        <w:rPr>
          <w:rFonts w:asciiTheme="minorHAnsi" w:hAnsiTheme="minorHAnsi"/>
          <w:color w:val="000000"/>
          <w:sz w:val="22"/>
          <w:szCs w:val="22"/>
        </w:rPr>
        <w:tab/>
        <w:t xml:space="preserve">in the </w:t>
      </w:r>
      <w:hyperlink r:id="rId200" w:history="1">
        <w:r w:rsidRPr="00D73331">
          <w:rPr>
            <w:rStyle w:val="Hyperlink"/>
            <w:rFonts w:asciiTheme="minorHAnsi" w:hAnsiTheme="minorHAnsi"/>
            <w:sz w:val="22"/>
            <w:szCs w:val="22"/>
          </w:rPr>
          <w:t>Prime Supplier Report</w:t>
        </w:r>
      </w:hyperlink>
      <w:r>
        <w:rPr>
          <w:rFonts w:asciiTheme="minorHAnsi" w:hAnsiTheme="minorHAnsi"/>
          <w:color w:val="000000"/>
          <w:sz w:val="22"/>
          <w:szCs w:val="22"/>
        </w:rPr>
        <w:tab/>
      </w:r>
      <w:r w:rsidR="0003146B" w:rsidRPr="008C399D">
        <w:rPr>
          <w:rFonts w:asciiTheme="minorHAnsi" w:hAnsiTheme="minorHAnsi"/>
          <w:color w:val="000000"/>
          <w:sz w:val="22"/>
          <w:szCs w:val="22"/>
        </w:rPr>
        <w:t>50</w:t>
      </w:r>
      <w:r w:rsidR="00CF3FD8" w:rsidRPr="008C399D">
        <w:rPr>
          <w:rFonts w:asciiTheme="minorHAnsi" w:hAnsiTheme="minorHAnsi"/>
          <w:color w:val="000000"/>
          <w:sz w:val="22"/>
          <w:szCs w:val="22"/>
        </w:rPr>
        <w:t xml:space="preserve"> calendar days after </w:t>
      </w:r>
      <w:r w:rsidR="002E1F89" w:rsidRPr="008C399D">
        <w:rPr>
          <w:rFonts w:asciiTheme="minorHAnsi" w:hAnsiTheme="minorHAnsi"/>
          <w:color w:val="000000"/>
          <w:sz w:val="22"/>
          <w:szCs w:val="22"/>
        </w:rPr>
        <w:t xml:space="preserve">the </w:t>
      </w:r>
      <w:r w:rsidR="00CF3FD8" w:rsidRPr="008C399D">
        <w:rPr>
          <w:rFonts w:asciiTheme="minorHAnsi" w:hAnsiTheme="minorHAnsi"/>
          <w:color w:val="000000"/>
          <w:sz w:val="22"/>
          <w:szCs w:val="22"/>
        </w:rPr>
        <w:t xml:space="preserve">end of </w:t>
      </w:r>
      <w:r w:rsidR="000250CA" w:rsidRPr="008C399D">
        <w:rPr>
          <w:rFonts w:asciiTheme="minorHAnsi" w:hAnsiTheme="minorHAnsi"/>
          <w:color w:val="000000"/>
          <w:sz w:val="22"/>
          <w:szCs w:val="22"/>
        </w:rPr>
        <w:t>reference month</w:t>
      </w:r>
    </w:p>
    <w:p w:rsidR="0022764F" w:rsidRPr="008C399D" w:rsidRDefault="00315056" w:rsidP="00494925">
      <w:pPr>
        <w:widowControl/>
        <w:tabs>
          <w:tab w:val="left" w:pos="720"/>
          <w:tab w:val="left" w:pos="1440"/>
          <w:tab w:val="left" w:pos="2160"/>
          <w:tab w:val="left" w:pos="2880"/>
          <w:tab w:val="left" w:pos="3600"/>
          <w:tab w:val="left" w:pos="4320"/>
          <w:tab w:val="left" w:pos="4860"/>
          <w:tab w:val="left" w:pos="5040"/>
          <w:tab w:val="left" w:pos="5760"/>
          <w:tab w:val="left" w:pos="6480"/>
          <w:tab w:val="left" w:pos="7200"/>
          <w:tab w:val="left" w:pos="7920"/>
        </w:tabs>
        <w:spacing w:line="360" w:lineRule="auto"/>
        <w:rPr>
          <w:rFonts w:asciiTheme="minorHAnsi" w:hAnsiTheme="minorHAnsi"/>
          <w:color w:val="000000"/>
          <w:sz w:val="22"/>
          <w:szCs w:val="22"/>
        </w:rPr>
      </w:pPr>
      <w:r w:rsidRPr="008C399D">
        <w:rPr>
          <w:rFonts w:asciiTheme="minorHAnsi" w:hAnsiTheme="minorHAnsi"/>
          <w:color w:val="000000"/>
          <w:sz w:val="22"/>
          <w:szCs w:val="22"/>
        </w:rPr>
        <w:t xml:space="preserve">  </w:t>
      </w:r>
      <w:r w:rsidR="0022764F" w:rsidRPr="008C399D">
        <w:rPr>
          <w:rFonts w:asciiTheme="minorHAnsi" w:hAnsiTheme="minorHAnsi"/>
          <w:color w:val="000000"/>
          <w:sz w:val="22"/>
          <w:szCs w:val="22"/>
        </w:rPr>
        <w:tab/>
      </w:r>
      <w:r w:rsidR="00CF3FD8" w:rsidRPr="008C399D">
        <w:rPr>
          <w:rFonts w:asciiTheme="minorHAnsi" w:hAnsiTheme="minorHAnsi"/>
          <w:color w:val="000000"/>
          <w:sz w:val="22"/>
          <w:szCs w:val="22"/>
        </w:rPr>
        <w:t>(5)</w:t>
      </w:r>
      <w:r w:rsidR="002E1F89" w:rsidRPr="00956D24">
        <w:rPr>
          <w:rFonts w:asciiTheme="minorHAnsi" w:hAnsiTheme="minorHAnsi"/>
          <w:i/>
          <w:color w:val="000000"/>
          <w:sz w:val="22"/>
          <w:szCs w:val="22"/>
        </w:rPr>
        <w:t xml:space="preserve">PPM </w:t>
      </w:r>
      <w:r w:rsidR="002E1F89" w:rsidRPr="008C399D">
        <w:rPr>
          <w:rFonts w:asciiTheme="minorHAnsi" w:hAnsiTheme="minorHAnsi"/>
          <w:color w:val="000000"/>
          <w:sz w:val="22"/>
          <w:szCs w:val="22"/>
        </w:rPr>
        <w:t>published</w:t>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2E1F89" w:rsidRPr="008C399D">
        <w:rPr>
          <w:rFonts w:asciiTheme="minorHAnsi" w:hAnsiTheme="minorHAnsi"/>
          <w:color w:val="000000"/>
          <w:sz w:val="22"/>
          <w:szCs w:val="22"/>
        </w:rPr>
        <w:tab/>
      </w:r>
      <w:r w:rsidR="000250CA" w:rsidRPr="008C399D">
        <w:rPr>
          <w:rFonts w:asciiTheme="minorHAnsi" w:hAnsiTheme="minorHAnsi"/>
          <w:color w:val="000000"/>
          <w:sz w:val="22"/>
          <w:szCs w:val="22"/>
        </w:rPr>
        <w:t>6</w:t>
      </w:r>
      <w:r w:rsidR="0003146B" w:rsidRPr="008C399D">
        <w:rPr>
          <w:rFonts w:asciiTheme="minorHAnsi" w:hAnsiTheme="minorHAnsi"/>
          <w:color w:val="000000"/>
          <w:sz w:val="22"/>
          <w:szCs w:val="22"/>
        </w:rPr>
        <w:t xml:space="preserve">0 calendar days </w:t>
      </w:r>
      <w:r w:rsidR="00DD4A4B" w:rsidRPr="008C399D">
        <w:rPr>
          <w:rFonts w:asciiTheme="minorHAnsi" w:hAnsiTheme="minorHAnsi"/>
          <w:color w:val="000000"/>
          <w:sz w:val="22"/>
          <w:szCs w:val="22"/>
        </w:rPr>
        <w:t>after</w:t>
      </w:r>
      <w:r w:rsidR="000250CA" w:rsidRPr="008C399D">
        <w:rPr>
          <w:rFonts w:asciiTheme="minorHAnsi" w:hAnsiTheme="minorHAnsi"/>
          <w:color w:val="000000"/>
          <w:sz w:val="22"/>
          <w:szCs w:val="22"/>
        </w:rPr>
        <w:t xml:space="preserve"> </w:t>
      </w:r>
      <w:r w:rsidR="002E1F89" w:rsidRPr="008C399D">
        <w:rPr>
          <w:rFonts w:asciiTheme="minorHAnsi" w:hAnsiTheme="minorHAnsi"/>
          <w:color w:val="000000"/>
          <w:sz w:val="22"/>
          <w:szCs w:val="22"/>
        </w:rPr>
        <w:t xml:space="preserve">the </w:t>
      </w:r>
      <w:r w:rsidR="000250CA" w:rsidRPr="008C399D">
        <w:rPr>
          <w:rFonts w:asciiTheme="minorHAnsi" w:hAnsiTheme="minorHAnsi"/>
          <w:color w:val="000000"/>
          <w:sz w:val="22"/>
          <w:szCs w:val="22"/>
        </w:rPr>
        <w:t xml:space="preserve">end of the </w:t>
      </w:r>
      <w:r w:rsidR="005776F9" w:rsidRPr="008C399D">
        <w:rPr>
          <w:rFonts w:asciiTheme="minorHAnsi" w:hAnsiTheme="minorHAnsi"/>
          <w:color w:val="000000"/>
          <w:sz w:val="22"/>
          <w:szCs w:val="22"/>
        </w:rPr>
        <w:t>reference month</w:t>
      </w:r>
    </w:p>
    <w:p w:rsidR="00494925" w:rsidRPr="008C399D" w:rsidRDefault="00494925" w:rsidP="00494925">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CF3FD8" w:rsidRPr="008C399D" w:rsidRDefault="00F74D4B" w:rsidP="004608BE">
      <w:pPr>
        <w:pStyle w:val="ListParagraph"/>
        <w:widowContro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hyperlink r:id="rId201" w:history="1">
        <w:r w:rsidR="00CA40B5" w:rsidRPr="00956D24">
          <w:rPr>
            <w:rStyle w:val="Hyperlink"/>
            <w:rFonts w:asciiTheme="minorHAnsi" w:hAnsiTheme="minorHAnsi"/>
            <w:bCs/>
            <w:i/>
            <w:sz w:val="22"/>
            <w:szCs w:val="22"/>
          </w:rPr>
          <w:t>Fuel Oil and Kerosene Sale</w:t>
        </w:r>
        <w:r w:rsidR="00956D24" w:rsidRPr="00956D24">
          <w:rPr>
            <w:rStyle w:val="Hyperlink"/>
            <w:rFonts w:asciiTheme="minorHAnsi" w:hAnsiTheme="minorHAnsi"/>
            <w:bCs/>
            <w:i/>
            <w:sz w:val="22"/>
            <w:szCs w:val="22"/>
          </w:rPr>
          <w:t>s (FOKS)</w:t>
        </w:r>
      </w:hyperlink>
      <w:r w:rsidR="00200DD6" w:rsidRPr="00956D24">
        <w:rPr>
          <w:rFonts w:asciiTheme="minorHAnsi" w:hAnsiTheme="minorHAnsi"/>
          <w:sz w:val="22"/>
          <w:szCs w:val="22"/>
        </w:rPr>
        <w:t>:</w:t>
      </w:r>
      <w:r w:rsidR="00200DD6" w:rsidRPr="008C399D">
        <w:rPr>
          <w:rFonts w:asciiTheme="minorHAnsi" w:hAnsiTheme="minorHAnsi"/>
          <w:sz w:val="22"/>
          <w:szCs w:val="22"/>
        </w:rPr>
        <w:t xml:space="preserve"> Data collected from the annual survey</w:t>
      </w:r>
      <w:r w:rsidR="00CA40B5" w:rsidRPr="008C399D">
        <w:rPr>
          <w:rFonts w:asciiTheme="minorHAnsi" w:hAnsiTheme="minorHAnsi"/>
          <w:b/>
          <w:bCs/>
          <w:i/>
          <w:sz w:val="22"/>
          <w:szCs w:val="22"/>
        </w:rPr>
        <w:t xml:space="preserve"> </w:t>
      </w:r>
      <w:r w:rsidR="00CF3FD8" w:rsidRPr="008C399D">
        <w:rPr>
          <w:rFonts w:asciiTheme="minorHAnsi" w:hAnsiTheme="minorHAnsi"/>
          <w:sz w:val="22"/>
          <w:szCs w:val="22"/>
        </w:rPr>
        <w:t>(EIA-821)</w:t>
      </w:r>
      <w:r w:rsidR="00200DD6" w:rsidRPr="008C399D">
        <w:rPr>
          <w:rFonts w:asciiTheme="minorHAnsi" w:hAnsiTheme="minorHAnsi"/>
          <w:sz w:val="22"/>
          <w:szCs w:val="22"/>
        </w:rPr>
        <w:t xml:space="preserve"> are originally published in the FOKS Report according to the following schedule and republished in other publications, including the </w:t>
      </w:r>
      <w:r w:rsidR="00200DD6" w:rsidRPr="008C399D">
        <w:rPr>
          <w:rFonts w:asciiTheme="minorHAnsi" w:hAnsiTheme="minorHAnsi"/>
          <w:i/>
          <w:sz w:val="22"/>
          <w:szCs w:val="22"/>
        </w:rPr>
        <w:t>AER</w:t>
      </w:r>
      <w:r w:rsidR="00200DD6" w:rsidRPr="008C399D">
        <w:rPr>
          <w:rFonts w:asciiTheme="minorHAnsi" w:hAnsiTheme="minorHAnsi"/>
          <w:sz w:val="22"/>
          <w:szCs w:val="22"/>
        </w:rPr>
        <w:t>.</w:t>
      </w:r>
    </w:p>
    <w:p w:rsidR="00CF3FD8" w:rsidRPr="004E1172" w:rsidRDefault="00937BC1"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8C399D">
        <w:rPr>
          <w:rFonts w:asciiTheme="minorHAnsi" w:hAnsiTheme="minorHAnsi"/>
          <w:color w:val="000000"/>
          <w:sz w:val="22"/>
          <w:szCs w:val="22"/>
        </w:rPr>
        <w:t>(1) Forms Mailed</w:t>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Pr="008C399D">
        <w:rPr>
          <w:rFonts w:asciiTheme="minorHAnsi" w:hAnsiTheme="minorHAnsi"/>
          <w:color w:val="000000"/>
          <w:sz w:val="22"/>
          <w:szCs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AF1153" w:rsidRPr="004E1172">
        <w:rPr>
          <w:rFonts w:asciiTheme="minorHAnsi" w:hAnsiTheme="minorHAnsi"/>
          <w:color w:val="000000"/>
          <w:sz w:val="22"/>
        </w:rPr>
        <w:t xml:space="preserve">Early </w:t>
      </w:r>
      <w:r w:rsidR="00CF3FD8" w:rsidRPr="004E1172">
        <w:rPr>
          <w:rFonts w:asciiTheme="minorHAnsi" w:hAnsiTheme="minorHAnsi"/>
          <w:color w:val="000000"/>
          <w:sz w:val="22"/>
        </w:rPr>
        <w:t>January</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(2) Responses due</w:t>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Pr="004E1172">
        <w:rPr>
          <w:rFonts w:asciiTheme="minorHAnsi" w:hAnsiTheme="minorHAnsi"/>
          <w:color w:val="000000"/>
          <w:sz w:val="22"/>
        </w:rPr>
        <w:t>Early March</w:t>
      </w:r>
      <w:r w:rsidR="0045684C" w:rsidRPr="004E1172">
        <w:rPr>
          <w:rFonts w:asciiTheme="minorHAnsi" w:hAnsiTheme="minorHAnsi"/>
          <w:color w:val="000000"/>
          <w:sz w:val="22"/>
        </w:rPr>
        <w:t xml:space="preserve">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color w:val="000000"/>
          <w:sz w:val="22"/>
        </w:rPr>
      </w:pPr>
      <w:r w:rsidRPr="004E1172">
        <w:rPr>
          <w:rFonts w:asciiTheme="minorHAnsi" w:hAnsiTheme="minorHAnsi"/>
          <w:color w:val="000000"/>
          <w:sz w:val="22"/>
        </w:rPr>
        <w:t>(3) Second Mailing to nonrespondents</w:t>
      </w:r>
      <w:r w:rsidRPr="004E1172">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494925">
        <w:rPr>
          <w:rFonts w:asciiTheme="minorHAnsi" w:hAnsiTheme="minorHAnsi"/>
          <w:color w:val="000000"/>
          <w:sz w:val="22"/>
        </w:rPr>
        <w:tab/>
      </w:r>
      <w:r w:rsidR="00815376" w:rsidRPr="004E1172">
        <w:rPr>
          <w:rFonts w:asciiTheme="minorHAnsi" w:hAnsiTheme="minorHAnsi"/>
          <w:color w:val="000000"/>
          <w:sz w:val="22"/>
        </w:rPr>
        <w:t>Mid-</w:t>
      </w:r>
      <w:r w:rsidR="005776F9" w:rsidRPr="004E1172">
        <w:rPr>
          <w:rFonts w:asciiTheme="minorHAnsi" w:hAnsiTheme="minorHAnsi"/>
          <w:color w:val="000000"/>
          <w:sz w:val="22"/>
        </w:rPr>
        <w:t>April</w:t>
      </w:r>
      <w:r w:rsidR="0045684C" w:rsidRPr="004E1172">
        <w:rPr>
          <w:rFonts w:asciiTheme="minorHAnsi" w:hAnsiTheme="minorHAnsi"/>
          <w:color w:val="000000"/>
          <w:sz w:val="22"/>
        </w:rPr>
        <w:t xml:space="preserve"> </w:t>
      </w:r>
    </w:p>
    <w:p w:rsidR="00CF3FD8" w:rsidRPr="004E1172" w:rsidRDefault="00494925" w:rsidP="008C39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rPr>
      </w:pPr>
      <w:r>
        <w:rPr>
          <w:rFonts w:asciiTheme="minorHAnsi" w:hAnsiTheme="minorHAnsi"/>
          <w:color w:val="000000"/>
          <w:sz w:val="22"/>
        </w:rPr>
        <w:tab/>
      </w:r>
      <w:r w:rsidR="00CF3FD8" w:rsidRPr="004E1172">
        <w:rPr>
          <w:rFonts w:asciiTheme="minorHAnsi" w:hAnsiTheme="minorHAnsi"/>
          <w:color w:val="000000"/>
          <w:sz w:val="22"/>
        </w:rPr>
        <w:t>(4) Close-out data collection</w:t>
      </w:r>
      <w:r w:rsidR="00CF3FD8" w:rsidRPr="004E1172">
        <w:rPr>
          <w:rFonts w:asciiTheme="minorHAnsi" w:hAnsiTheme="minorHAnsi"/>
          <w:color w:val="000000"/>
          <w:sz w:val="22"/>
        </w:rPr>
        <w:tab/>
      </w:r>
      <w:r w:rsidR="00CF3FD8" w:rsidRPr="004E1172">
        <w:rPr>
          <w:rFonts w:asciiTheme="minorHAnsi" w:hAnsiTheme="minorHAnsi"/>
          <w:color w:val="000000"/>
          <w:sz w:val="22"/>
        </w:rPr>
        <w:tab/>
      </w:r>
      <w:r w:rsidR="00CF3FD8" w:rsidRPr="004E1172">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Pr>
          <w:rFonts w:asciiTheme="minorHAnsi" w:hAnsiTheme="minorHAnsi"/>
          <w:color w:val="000000"/>
          <w:sz w:val="22"/>
        </w:rPr>
        <w:tab/>
      </w:r>
      <w:r w:rsidR="00272DED" w:rsidRPr="004E1172">
        <w:rPr>
          <w:rFonts w:asciiTheme="minorHAnsi" w:hAnsiTheme="minorHAnsi"/>
          <w:sz w:val="22"/>
        </w:rPr>
        <w:t xml:space="preserve">Early September </w:t>
      </w:r>
    </w:p>
    <w:p w:rsidR="00CF3FD8"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(5) Completion of analysis/validation</w:t>
      </w:r>
      <w:r w:rsidRPr="004E1172">
        <w:rPr>
          <w:rFonts w:asciiTheme="minorHAnsi" w:hAnsiTheme="minorHAnsi"/>
          <w:sz w:val="22"/>
        </w:rPr>
        <w:tab/>
      </w:r>
      <w:r w:rsidRPr="004E1172">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494925">
        <w:rPr>
          <w:rFonts w:asciiTheme="minorHAnsi" w:hAnsiTheme="minorHAnsi"/>
          <w:sz w:val="22"/>
        </w:rPr>
        <w:tab/>
      </w:r>
      <w:r w:rsidR="000C3D29" w:rsidRPr="004E1172">
        <w:rPr>
          <w:rFonts w:asciiTheme="minorHAnsi" w:hAnsiTheme="minorHAnsi"/>
          <w:sz w:val="22"/>
        </w:rPr>
        <w:t>Mid-</w:t>
      </w:r>
      <w:r w:rsidR="00664FEE" w:rsidRPr="004E1172">
        <w:rPr>
          <w:rFonts w:asciiTheme="minorHAnsi" w:hAnsiTheme="minorHAnsi"/>
          <w:sz w:val="22"/>
        </w:rPr>
        <w:t>October</w:t>
      </w:r>
      <w:r w:rsidR="005776F9" w:rsidRPr="004E1172">
        <w:rPr>
          <w:rFonts w:asciiTheme="minorHAnsi" w:hAnsiTheme="minorHAnsi"/>
          <w:sz w:val="22"/>
        </w:rPr>
        <w:t xml:space="preserve"> </w:t>
      </w:r>
    </w:p>
    <w:p w:rsidR="008C399D" w:rsidRPr="004E1172" w:rsidRDefault="00CF3FD8" w:rsidP="008673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040"/>
        <w:rPr>
          <w:rFonts w:asciiTheme="minorHAnsi" w:hAnsiTheme="minorHAnsi"/>
          <w:sz w:val="22"/>
        </w:rPr>
      </w:pPr>
      <w:r w:rsidRPr="004E1172">
        <w:rPr>
          <w:rFonts w:asciiTheme="minorHAnsi" w:hAnsiTheme="minorHAnsi"/>
          <w:sz w:val="22"/>
        </w:rPr>
        <w:t xml:space="preserve">(6) </w:t>
      </w:r>
      <w:r w:rsidR="000250CA" w:rsidRPr="004E1172">
        <w:rPr>
          <w:rFonts w:asciiTheme="minorHAnsi" w:hAnsiTheme="minorHAnsi"/>
          <w:sz w:val="22"/>
        </w:rPr>
        <w:t>Post in Tables on Petroleum Navigator</w:t>
      </w:r>
      <w:r w:rsidR="00494925">
        <w:rPr>
          <w:rFonts w:asciiTheme="minorHAnsi" w:hAnsiTheme="minorHAnsi"/>
          <w:sz w:val="22"/>
        </w:rPr>
        <w:t xml:space="preserve"> and</w:t>
      </w:r>
      <w:r w:rsidR="002E1F89" w:rsidRPr="004E1172">
        <w:rPr>
          <w:rFonts w:asciiTheme="minorHAnsi" w:hAnsiTheme="minorHAnsi"/>
          <w:sz w:val="22"/>
        </w:rPr>
        <w:t xml:space="preserve"> update FOKR webpage </w:t>
      </w:r>
      <w:r w:rsidR="002E1F89" w:rsidRPr="004E1172">
        <w:rPr>
          <w:rFonts w:asciiTheme="minorHAnsi" w:hAnsiTheme="minorHAnsi"/>
          <w:sz w:val="22"/>
        </w:rPr>
        <w:tab/>
      </w:r>
      <w:r w:rsidR="00664FEE" w:rsidRPr="004E1172">
        <w:rPr>
          <w:rFonts w:asciiTheme="minorHAnsi" w:hAnsiTheme="minorHAnsi"/>
          <w:sz w:val="22"/>
        </w:rPr>
        <w:t>End October</w:t>
      </w:r>
      <w:r w:rsidR="0045684C" w:rsidRPr="004E1172">
        <w:rPr>
          <w:rFonts w:asciiTheme="minorHAnsi" w:hAnsiTheme="minorHAnsi"/>
          <w:sz w:val="22"/>
        </w:rPr>
        <w:t xml:space="preserve"> </w:t>
      </w:r>
    </w:p>
    <w:p w:rsidR="00CF3FD8" w:rsidRPr="00540778" w:rsidRDefault="00BF7D97" w:rsidP="00D20878">
      <w:pPr>
        <w:pStyle w:val="Heading1"/>
      </w:pPr>
      <w:r>
        <w:t>A</w:t>
      </w:r>
      <w:r w:rsidR="001504FA" w:rsidRPr="00540778">
        <w:t>17</w:t>
      </w:r>
      <w:r w:rsidR="005776F9" w:rsidRPr="00540778">
        <w:t xml:space="preserve">. </w:t>
      </w:r>
      <w:r w:rsidR="00CF3FD8" w:rsidRPr="00540778">
        <w:t xml:space="preserve">OMB </w:t>
      </w:r>
      <w:r w:rsidR="003533C7" w:rsidRPr="00540778">
        <w:t xml:space="preserve">Number and </w:t>
      </w:r>
      <w:r w:rsidR="00CF3FD8" w:rsidRPr="00540778">
        <w:t>Expiration Date</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EE6072" w:rsidRPr="004E1172" w:rsidRDefault="00CF3FD8" w:rsidP="004E117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 expiration date will be displayed on the petroleum marketing survey forms</w:t>
      </w:r>
      <w:r w:rsidR="00981F99" w:rsidRPr="004E1172">
        <w:rPr>
          <w:rFonts w:asciiTheme="minorHAnsi" w:hAnsiTheme="minorHAnsi"/>
          <w:color w:val="000000"/>
          <w:sz w:val="22"/>
        </w:rPr>
        <w:t>.</w:t>
      </w:r>
    </w:p>
    <w:p w:rsidR="00CF3FD8" w:rsidRPr="00540778" w:rsidRDefault="00BF7D97" w:rsidP="00D20878">
      <w:pPr>
        <w:pStyle w:val="Heading1"/>
      </w:pPr>
      <w:r>
        <w:t>A</w:t>
      </w:r>
      <w:r w:rsidR="001504FA" w:rsidRPr="00540778">
        <w:t>18</w:t>
      </w:r>
      <w:r w:rsidR="005776F9" w:rsidRPr="00540778">
        <w:t xml:space="preserve">. </w:t>
      </w:r>
      <w:r w:rsidR="00CF3FD8" w:rsidRPr="00540778">
        <w:t xml:space="preserve">Certification Statement </w:t>
      </w:r>
    </w:p>
    <w:p w:rsidR="00CF3FD8" w:rsidRPr="00540778" w:rsidRDefault="00CF3FD8" w:rsidP="00290B1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olor w:val="000000"/>
        </w:rPr>
      </w:pPr>
    </w:p>
    <w:p w:rsidR="009532D4" w:rsidRPr="00494925" w:rsidRDefault="00CF3FD8" w:rsidP="004949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color w:val="000000"/>
          <w:sz w:val="22"/>
        </w:rPr>
      </w:pPr>
      <w:r w:rsidRPr="004E1172">
        <w:rPr>
          <w:rFonts w:asciiTheme="minorHAnsi" w:hAnsiTheme="minorHAnsi"/>
          <w:color w:val="000000"/>
          <w:sz w:val="22"/>
        </w:rPr>
        <w:t>There are no exceptions to the certification statement of OMB Form</w:t>
      </w:r>
      <w:r w:rsidR="00952DAF" w:rsidRPr="004E1172">
        <w:rPr>
          <w:rFonts w:asciiTheme="minorHAnsi" w:hAnsiTheme="minorHAnsi"/>
          <w:color w:val="000000"/>
          <w:sz w:val="22"/>
        </w:rPr>
        <w:t xml:space="preserve"> 83-I</w:t>
      </w:r>
      <w:r w:rsidR="00981F99" w:rsidRPr="004E1172">
        <w:rPr>
          <w:rFonts w:asciiTheme="minorHAnsi" w:hAnsiTheme="minorHAnsi"/>
          <w:color w:val="000000"/>
          <w:sz w:val="22"/>
        </w:rPr>
        <w:t>.</w:t>
      </w:r>
    </w:p>
    <w:sectPr w:rsidR="009532D4" w:rsidRPr="00494925" w:rsidSect="00BF299D">
      <w:headerReference w:type="even" r:id="rId202"/>
      <w:headerReference w:type="default" r:id="rId203"/>
      <w:footerReference w:type="default" r:id="rId204"/>
      <w:headerReference w:type="first" r:id="rId205"/>
      <w:pgSz w:w="12240" w:h="15840"/>
      <w:pgMar w:top="1440" w:right="1296" w:bottom="1440" w:left="1296" w:header="720" w:footer="720" w:gutter="0"/>
      <w:pgBorders w:offsetFrom="page">
        <w:bottom w:val="single" w:sz="8" w:space="24" w:color="auto"/>
      </w:pgBorders>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30F" w:rsidRDefault="0030230F">
      <w:r>
        <w:separator/>
      </w:r>
    </w:p>
  </w:endnote>
  <w:endnote w:type="continuationSeparator" w:id="0">
    <w:p w:rsidR="0030230F" w:rsidRDefault="00302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58"/>
      <w:gridCol w:w="8406"/>
    </w:tblGrid>
    <w:tr w:rsidR="00C42054" w:rsidTr="00146E32">
      <w:tc>
        <w:tcPr>
          <w:tcW w:w="1458" w:type="dxa"/>
        </w:tcPr>
        <w:p w:rsidR="00C42054" w:rsidRPr="00FD2111" w:rsidRDefault="00C42054"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00F74D4B"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00F74D4B" w:rsidRPr="00FD2111">
            <w:rPr>
              <w:b/>
              <w:color w:val="4F81BD" w:themeColor="accent1"/>
              <w:sz w:val="20"/>
              <w:szCs w:val="20"/>
            </w:rPr>
            <w:fldChar w:fldCharType="separate"/>
          </w:r>
          <w:r w:rsidR="00E902D7">
            <w:rPr>
              <w:b/>
              <w:noProof/>
              <w:color w:val="4F81BD" w:themeColor="accent1"/>
              <w:sz w:val="20"/>
              <w:szCs w:val="20"/>
            </w:rPr>
            <w:t>ii</w:t>
          </w:r>
          <w:r w:rsidR="00F74D4B" w:rsidRPr="00FD2111">
            <w:rPr>
              <w:b/>
              <w:color w:val="4F81BD" w:themeColor="accent1"/>
              <w:sz w:val="20"/>
              <w:szCs w:val="20"/>
            </w:rPr>
            <w:fldChar w:fldCharType="end"/>
          </w:r>
        </w:p>
      </w:tc>
      <w:tc>
        <w:tcPr>
          <w:tcW w:w="8406" w:type="dxa"/>
        </w:tcPr>
        <w:p w:rsidR="00C42054" w:rsidRDefault="00F74D4B">
          <w:pPr>
            <w:pStyle w:val="Footer"/>
          </w:pPr>
          <w:sdt>
            <w:sdtPr>
              <w:rPr>
                <w:sz w:val="20"/>
                <w:szCs w:val="20"/>
              </w:rPr>
              <w:alias w:val="Subject"/>
              <w:id w:val="1705557749"/>
              <w:dataBinding w:prefixMappings="xmlns:ns0='http://purl.org/dc/elements/1.1/' xmlns:ns1='http://schemas.openxmlformats.org/package/2006/metadata/core-properties' " w:xpath="/ns1:coreProperties[1]/ns0:subject[1]" w:storeItemID="{6C3C8BC8-F283-45AE-878A-BAB7291924A1}"/>
              <w:text/>
            </w:sdtPr>
            <w:sdtContent>
              <w:r w:rsidR="00C42054" w:rsidRPr="00146E32">
                <w:rPr>
                  <w:sz w:val="20"/>
                  <w:szCs w:val="20"/>
                </w:rPr>
                <w:t>EIA’s Supporting Statement for 2013 Petroleum Marketing Surveys: OMB Number 1905-0174</w:t>
              </w:r>
            </w:sdtContent>
          </w:sdt>
        </w:p>
      </w:tc>
    </w:tr>
  </w:tbl>
  <w:p w:rsidR="00C42054" w:rsidRDefault="00C4205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458"/>
      <w:gridCol w:w="8406"/>
    </w:tblGrid>
    <w:tr w:rsidR="00C42054" w:rsidTr="00146E32">
      <w:tc>
        <w:tcPr>
          <w:tcW w:w="1458" w:type="dxa"/>
        </w:tcPr>
        <w:p w:rsidR="00C42054" w:rsidRPr="00FD2111" w:rsidRDefault="00C42054" w:rsidP="00146E32">
          <w:pPr>
            <w:pStyle w:val="Footer"/>
            <w:rPr>
              <w:b/>
              <w:color w:val="4F81BD" w:themeColor="accent1"/>
              <w:sz w:val="20"/>
              <w:szCs w:val="20"/>
            </w:rPr>
          </w:pPr>
          <w:r w:rsidRPr="00FD2111">
            <w:rPr>
              <w:b/>
              <w:color w:val="7F7F7F" w:themeColor="background1" w:themeShade="7F"/>
              <w:spacing w:val="60"/>
              <w:sz w:val="20"/>
              <w:szCs w:val="20"/>
            </w:rPr>
            <w:t>Page</w:t>
          </w:r>
          <w:r w:rsidRPr="00FD2111">
            <w:rPr>
              <w:b/>
              <w:color w:val="4F81BD" w:themeColor="accent1"/>
              <w:sz w:val="20"/>
              <w:szCs w:val="20"/>
            </w:rPr>
            <w:t xml:space="preserve"> | </w:t>
          </w:r>
          <w:r w:rsidR="00F74D4B" w:rsidRPr="00FD2111">
            <w:rPr>
              <w:b/>
              <w:color w:val="4F81BD" w:themeColor="accent1"/>
              <w:sz w:val="20"/>
              <w:szCs w:val="20"/>
            </w:rPr>
            <w:fldChar w:fldCharType="begin"/>
          </w:r>
          <w:r w:rsidRPr="00FD2111">
            <w:rPr>
              <w:b/>
              <w:color w:val="4F81BD" w:themeColor="accent1"/>
              <w:sz w:val="20"/>
              <w:szCs w:val="20"/>
            </w:rPr>
            <w:instrText xml:space="preserve"> PAGE   \* MERGEFORMAT </w:instrText>
          </w:r>
          <w:r w:rsidR="00F74D4B" w:rsidRPr="00FD2111">
            <w:rPr>
              <w:b/>
              <w:color w:val="4F81BD" w:themeColor="accent1"/>
              <w:sz w:val="20"/>
              <w:szCs w:val="20"/>
            </w:rPr>
            <w:fldChar w:fldCharType="separate"/>
          </w:r>
          <w:r w:rsidR="00E902D7">
            <w:rPr>
              <w:b/>
              <w:noProof/>
              <w:color w:val="4F81BD" w:themeColor="accent1"/>
              <w:sz w:val="20"/>
              <w:szCs w:val="20"/>
            </w:rPr>
            <w:t>- 49 -</w:t>
          </w:r>
          <w:r w:rsidR="00F74D4B" w:rsidRPr="00FD2111">
            <w:rPr>
              <w:b/>
              <w:color w:val="4F81BD" w:themeColor="accent1"/>
              <w:sz w:val="20"/>
              <w:szCs w:val="20"/>
            </w:rPr>
            <w:fldChar w:fldCharType="end"/>
          </w:r>
        </w:p>
      </w:tc>
      <w:tc>
        <w:tcPr>
          <w:tcW w:w="8406" w:type="dxa"/>
        </w:tcPr>
        <w:p w:rsidR="00C42054" w:rsidRDefault="00F74D4B">
          <w:pPr>
            <w:pStyle w:val="Footer"/>
          </w:pPr>
          <w:sdt>
            <w:sdtPr>
              <w:rPr>
                <w:sz w:val="20"/>
                <w:szCs w:val="20"/>
              </w:rPr>
              <w:alias w:val="Subject"/>
              <w:id w:val="326924550"/>
              <w:dataBinding w:prefixMappings="xmlns:ns0='http://purl.org/dc/elements/1.1/' xmlns:ns1='http://schemas.openxmlformats.org/package/2006/metadata/core-properties' " w:xpath="/ns1:coreProperties[1]/ns0:subject[1]" w:storeItemID="{6C3C8BC8-F283-45AE-878A-BAB7291924A1}"/>
              <w:text/>
            </w:sdtPr>
            <w:sdtContent>
              <w:r w:rsidR="00C42054" w:rsidRPr="00146E32">
                <w:rPr>
                  <w:sz w:val="20"/>
                  <w:szCs w:val="20"/>
                </w:rPr>
                <w:t>EIA’s Supporting Statement for 2013 Petroleum Marketing Surveys: OMB Number 1905-0174</w:t>
              </w:r>
            </w:sdtContent>
          </w:sdt>
        </w:p>
      </w:tc>
    </w:tr>
  </w:tbl>
  <w:p w:rsidR="00C42054" w:rsidRDefault="00C4205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30F" w:rsidRDefault="00F74D4B">
      <w:r>
        <w:rPr>
          <w:rStyle w:val="PageNumber"/>
        </w:rPr>
        <w:fldChar w:fldCharType="begin"/>
      </w:r>
      <w:r w:rsidR="0030230F">
        <w:rPr>
          <w:rStyle w:val="PageNumber"/>
        </w:rPr>
        <w:instrText xml:space="preserve"> PAGE </w:instrText>
      </w:r>
      <w:r>
        <w:rPr>
          <w:rStyle w:val="PageNumber"/>
        </w:rPr>
        <w:fldChar w:fldCharType="separate"/>
      </w:r>
      <w:r w:rsidR="0030230F">
        <w:rPr>
          <w:rStyle w:val="PageNumber"/>
          <w:noProof/>
        </w:rPr>
        <w:t>- 17 -</w:t>
      </w:r>
      <w:r>
        <w:rPr>
          <w:rStyle w:val="PageNumber"/>
        </w:rPr>
        <w:fldChar w:fldCharType="end"/>
      </w:r>
      <w:r>
        <w:rPr>
          <w:rStyle w:val="PageNumber"/>
        </w:rPr>
        <w:fldChar w:fldCharType="begin"/>
      </w:r>
      <w:r w:rsidR="0030230F">
        <w:rPr>
          <w:rStyle w:val="PageNumber"/>
        </w:rPr>
        <w:instrText xml:space="preserve"> PAGE </w:instrText>
      </w:r>
      <w:r>
        <w:rPr>
          <w:rStyle w:val="PageNumber"/>
        </w:rPr>
        <w:fldChar w:fldCharType="separate"/>
      </w:r>
      <w:r w:rsidR="0030230F">
        <w:rPr>
          <w:rStyle w:val="PageNumber"/>
          <w:noProof/>
        </w:rPr>
        <w:t>- 17 -</w:t>
      </w:r>
      <w:r>
        <w:rPr>
          <w:rStyle w:val="PageNumber"/>
        </w:rPr>
        <w:fldChar w:fldCharType="end"/>
      </w:r>
      <w:r>
        <w:rPr>
          <w:rStyle w:val="PageNumber"/>
        </w:rPr>
        <w:fldChar w:fldCharType="begin"/>
      </w:r>
      <w:r w:rsidR="0030230F">
        <w:rPr>
          <w:rStyle w:val="PageNumber"/>
        </w:rPr>
        <w:instrText xml:space="preserve"> PAGE </w:instrText>
      </w:r>
      <w:r>
        <w:rPr>
          <w:rStyle w:val="PageNumber"/>
        </w:rPr>
        <w:fldChar w:fldCharType="separate"/>
      </w:r>
      <w:r w:rsidR="0030230F">
        <w:rPr>
          <w:rStyle w:val="PageNumber"/>
          <w:noProof/>
        </w:rPr>
        <w:t>- 17 -</w:t>
      </w:r>
      <w:r>
        <w:rPr>
          <w:rStyle w:val="PageNumber"/>
        </w:rPr>
        <w:fldChar w:fldCharType="end"/>
      </w:r>
      <w:r w:rsidR="0030230F">
        <w:separator/>
      </w:r>
    </w:p>
  </w:footnote>
  <w:footnote w:type="continuationSeparator" w:id="0">
    <w:p w:rsidR="0030230F" w:rsidRDefault="00302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54" w:rsidRDefault="00C42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7F3"/>
    <w:multiLevelType w:val="hybridMultilevel"/>
    <w:tmpl w:val="4954A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C0114"/>
    <w:multiLevelType w:val="hybridMultilevel"/>
    <w:tmpl w:val="F7368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580B15"/>
    <w:multiLevelType w:val="hybridMultilevel"/>
    <w:tmpl w:val="F8987DFC"/>
    <w:lvl w:ilvl="0" w:tplc="BCAA5F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534E8F"/>
    <w:multiLevelType w:val="hybridMultilevel"/>
    <w:tmpl w:val="0FC427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1731826"/>
    <w:multiLevelType w:val="hybridMultilevel"/>
    <w:tmpl w:val="791486A8"/>
    <w:lvl w:ilvl="0" w:tplc="04090001">
      <w:start w:val="1"/>
      <w:numFmt w:val="bullet"/>
      <w:lvlText w:val=""/>
      <w:lvlJc w:val="left"/>
      <w:pPr>
        <w:ind w:left="360" w:hanging="360"/>
      </w:pPr>
      <w:rPr>
        <w:rFonts w:ascii="Symbol" w:hAnsi="Symbol" w:hint="default"/>
        <w:b/>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
    <w:nsid w:val="13BF31BC"/>
    <w:multiLevelType w:val="hybridMultilevel"/>
    <w:tmpl w:val="55D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B1742"/>
    <w:multiLevelType w:val="hybridMultilevel"/>
    <w:tmpl w:val="F012716C"/>
    <w:lvl w:ilvl="0" w:tplc="1580338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7">
    <w:nsid w:val="23577402"/>
    <w:multiLevelType w:val="hybridMultilevel"/>
    <w:tmpl w:val="61CA1F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C230C1"/>
    <w:multiLevelType w:val="hybridMultilevel"/>
    <w:tmpl w:val="2C88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8174D0"/>
    <w:multiLevelType w:val="hybridMultilevel"/>
    <w:tmpl w:val="2DA8E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8F72DD"/>
    <w:multiLevelType w:val="hybridMultilevel"/>
    <w:tmpl w:val="98D0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355C3"/>
    <w:multiLevelType w:val="hybridMultilevel"/>
    <w:tmpl w:val="E7FC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F303FA"/>
    <w:multiLevelType w:val="hybridMultilevel"/>
    <w:tmpl w:val="5E24E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F666A5"/>
    <w:multiLevelType w:val="hybridMultilevel"/>
    <w:tmpl w:val="32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07262"/>
    <w:multiLevelType w:val="hybridMultilevel"/>
    <w:tmpl w:val="38C8A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F0154C"/>
    <w:multiLevelType w:val="hybridMultilevel"/>
    <w:tmpl w:val="07AE178E"/>
    <w:lvl w:ilvl="0" w:tplc="04090001">
      <w:start w:val="1"/>
      <w:numFmt w:val="upperLetter"/>
      <w:lvlText w:val="%1."/>
      <w:lvlJc w:val="left"/>
      <w:pPr>
        <w:ind w:left="360" w:hanging="360"/>
      </w:pPr>
      <w:rPr>
        <w:b/>
      </w:rPr>
    </w:lvl>
    <w:lvl w:ilvl="1" w:tplc="04090003">
      <w:start w:val="1"/>
      <w:numFmt w:val="decimal"/>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30B5065"/>
    <w:multiLevelType w:val="hybridMultilevel"/>
    <w:tmpl w:val="CE9E3A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AE4718"/>
    <w:multiLevelType w:val="hybridMultilevel"/>
    <w:tmpl w:val="46E4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F8E3DF3"/>
    <w:multiLevelType w:val="hybridMultilevel"/>
    <w:tmpl w:val="B55AE4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A839F7"/>
    <w:multiLevelType w:val="hybridMultilevel"/>
    <w:tmpl w:val="CF8CE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A4534E"/>
    <w:multiLevelType w:val="hybridMultilevel"/>
    <w:tmpl w:val="2D0EB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5427F6B"/>
    <w:multiLevelType w:val="hybridMultilevel"/>
    <w:tmpl w:val="F718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10536"/>
    <w:multiLevelType w:val="hybridMultilevel"/>
    <w:tmpl w:val="A9C8E8DC"/>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nsid w:val="5595068E"/>
    <w:multiLevelType w:val="hybridMultilevel"/>
    <w:tmpl w:val="F710EC68"/>
    <w:lvl w:ilvl="0" w:tplc="04090015">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A290E7D"/>
    <w:multiLevelType w:val="hybridMultilevel"/>
    <w:tmpl w:val="F49CA5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DA6D7E"/>
    <w:multiLevelType w:val="hybridMultilevel"/>
    <w:tmpl w:val="3748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AD61DE"/>
    <w:multiLevelType w:val="hybridMultilevel"/>
    <w:tmpl w:val="3748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3CA7946"/>
    <w:multiLevelType w:val="hybridMultilevel"/>
    <w:tmpl w:val="C60EC420"/>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EA03D7"/>
    <w:multiLevelType w:val="hybridMultilevel"/>
    <w:tmpl w:val="61E4CA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C08462E"/>
    <w:multiLevelType w:val="hybridMultilevel"/>
    <w:tmpl w:val="0DB097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72DA73A3"/>
    <w:multiLevelType w:val="hybridMultilevel"/>
    <w:tmpl w:val="159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B823AA"/>
    <w:multiLevelType w:val="hybridMultilevel"/>
    <w:tmpl w:val="E5D22D0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4006E20"/>
    <w:multiLevelType w:val="hybridMultilevel"/>
    <w:tmpl w:val="5E52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0B2E51"/>
    <w:multiLevelType w:val="hybridMultilevel"/>
    <w:tmpl w:val="3AF051C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7623A92"/>
    <w:multiLevelType w:val="hybridMultilevel"/>
    <w:tmpl w:val="83B2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7E2F20"/>
    <w:multiLevelType w:val="hybridMultilevel"/>
    <w:tmpl w:val="3A62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670C02"/>
    <w:multiLevelType w:val="hybridMultilevel"/>
    <w:tmpl w:val="9A984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1"/>
  </w:num>
  <w:num w:numId="4">
    <w:abstractNumId w:val="9"/>
  </w:num>
  <w:num w:numId="5">
    <w:abstractNumId w:val="0"/>
  </w:num>
  <w:num w:numId="6">
    <w:abstractNumId w:val="19"/>
  </w:num>
  <w:num w:numId="7">
    <w:abstractNumId w:val="20"/>
  </w:num>
  <w:num w:numId="8">
    <w:abstractNumId w:val="11"/>
  </w:num>
  <w:num w:numId="9">
    <w:abstractNumId w:val="24"/>
  </w:num>
  <w:num w:numId="10">
    <w:abstractNumId w:val="4"/>
  </w:num>
  <w:num w:numId="11">
    <w:abstractNumId w:val="15"/>
  </w:num>
  <w:num w:numId="12">
    <w:abstractNumId w:val="38"/>
  </w:num>
  <w:num w:numId="13">
    <w:abstractNumId w:val="18"/>
  </w:num>
  <w:num w:numId="14">
    <w:abstractNumId w:val="28"/>
  </w:num>
  <w:num w:numId="15">
    <w:abstractNumId w:val="34"/>
  </w:num>
  <w:num w:numId="16">
    <w:abstractNumId w:val="30"/>
  </w:num>
  <w:num w:numId="17">
    <w:abstractNumId w:val="8"/>
  </w:num>
  <w:num w:numId="18">
    <w:abstractNumId w:val="2"/>
  </w:num>
  <w:num w:numId="19">
    <w:abstractNumId w:val="25"/>
  </w:num>
  <w:num w:numId="20">
    <w:abstractNumId w:val="6"/>
  </w:num>
  <w:num w:numId="21">
    <w:abstractNumId w:val="23"/>
  </w:num>
  <w:num w:numId="22">
    <w:abstractNumId w:val="17"/>
  </w:num>
  <w:num w:numId="23">
    <w:abstractNumId w:val="32"/>
  </w:num>
  <w:num w:numId="24">
    <w:abstractNumId w:val="37"/>
  </w:num>
  <w:num w:numId="25">
    <w:abstractNumId w:val="13"/>
  </w:num>
  <w:num w:numId="26">
    <w:abstractNumId w:val="33"/>
  </w:num>
  <w:num w:numId="27">
    <w:abstractNumId w:val="16"/>
  </w:num>
  <w:num w:numId="28">
    <w:abstractNumId w:val="31"/>
  </w:num>
  <w:num w:numId="29">
    <w:abstractNumId w:val="35"/>
  </w:num>
  <w:num w:numId="30">
    <w:abstractNumId w:val="5"/>
  </w:num>
  <w:num w:numId="31">
    <w:abstractNumId w:val="36"/>
  </w:num>
  <w:num w:numId="32">
    <w:abstractNumId w:val="26"/>
  </w:num>
  <w:num w:numId="33">
    <w:abstractNumId w:val="27"/>
  </w:num>
  <w:num w:numId="34">
    <w:abstractNumId w:val="7"/>
  </w:num>
  <w:num w:numId="35">
    <w:abstractNumId w:val="29"/>
  </w:num>
  <w:num w:numId="36">
    <w:abstractNumId w:val="1"/>
  </w:num>
  <w:num w:numId="37">
    <w:abstractNumId w:val="10"/>
  </w:num>
  <w:num w:numId="38">
    <w:abstractNumId w:val="14"/>
  </w:num>
  <w:num w:numId="39">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105473"/>
  </w:hdrShapeDefaults>
  <w:footnotePr>
    <w:footnote w:id="-1"/>
    <w:footnote w:id="0"/>
  </w:footnotePr>
  <w:endnotePr>
    <w:endnote w:id="-1"/>
    <w:endnote w:id="0"/>
  </w:endnotePr>
  <w:compat/>
  <w:rsids>
    <w:rsidRoot w:val="00047D1E"/>
    <w:rsid w:val="00000AAE"/>
    <w:rsid w:val="00002C6C"/>
    <w:rsid w:val="000119C5"/>
    <w:rsid w:val="00015801"/>
    <w:rsid w:val="00016464"/>
    <w:rsid w:val="0001758E"/>
    <w:rsid w:val="000228C6"/>
    <w:rsid w:val="000250CA"/>
    <w:rsid w:val="0002695E"/>
    <w:rsid w:val="0003146B"/>
    <w:rsid w:val="000355A7"/>
    <w:rsid w:val="00041080"/>
    <w:rsid w:val="00041C74"/>
    <w:rsid w:val="00047D1E"/>
    <w:rsid w:val="00050955"/>
    <w:rsid w:val="00053F06"/>
    <w:rsid w:val="00054208"/>
    <w:rsid w:val="00055597"/>
    <w:rsid w:val="000558B4"/>
    <w:rsid w:val="00057216"/>
    <w:rsid w:val="0006038A"/>
    <w:rsid w:val="00064CB4"/>
    <w:rsid w:val="00065520"/>
    <w:rsid w:val="00070FB0"/>
    <w:rsid w:val="00071E25"/>
    <w:rsid w:val="0007220B"/>
    <w:rsid w:val="0007498D"/>
    <w:rsid w:val="00080C9D"/>
    <w:rsid w:val="00083D5A"/>
    <w:rsid w:val="00092E8B"/>
    <w:rsid w:val="00093C10"/>
    <w:rsid w:val="00093E50"/>
    <w:rsid w:val="00096468"/>
    <w:rsid w:val="00096679"/>
    <w:rsid w:val="000A3353"/>
    <w:rsid w:val="000A41F8"/>
    <w:rsid w:val="000A52FE"/>
    <w:rsid w:val="000A5554"/>
    <w:rsid w:val="000B011E"/>
    <w:rsid w:val="000B369C"/>
    <w:rsid w:val="000B6345"/>
    <w:rsid w:val="000B67AE"/>
    <w:rsid w:val="000B6CAD"/>
    <w:rsid w:val="000B76AE"/>
    <w:rsid w:val="000C0328"/>
    <w:rsid w:val="000C089B"/>
    <w:rsid w:val="000C3D29"/>
    <w:rsid w:val="000C49F4"/>
    <w:rsid w:val="000C626E"/>
    <w:rsid w:val="000D544C"/>
    <w:rsid w:val="000D6F0C"/>
    <w:rsid w:val="000E1D7B"/>
    <w:rsid w:val="000E1E5A"/>
    <w:rsid w:val="000E43AD"/>
    <w:rsid w:val="000E4FDE"/>
    <w:rsid w:val="000E4FEF"/>
    <w:rsid w:val="000E5F25"/>
    <w:rsid w:val="000E7B64"/>
    <w:rsid w:val="000F6BEB"/>
    <w:rsid w:val="000F792B"/>
    <w:rsid w:val="00100D47"/>
    <w:rsid w:val="001013F5"/>
    <w:rsid w:val="001014D5"/>
    <w:rsid w:val="00102A7A"/>
    <w:rsid w:val="0010511C"/>
    <w:rsid w:val="00107A3F"/>
    <w:rsid w:val="00107D3E"/>
    <w:rsid w:val="00111914"/>
    <w:rsid w:val="00112F29"/>
    <w:rsid w:val="00114157"/>
    <w:rsid w:val="00115AB3"/>
    <w:rsid w:val="00116769"/>
    <w:rsid w:val="00122063"/>
    <w:rsid w:val="001229A8"/>
    <w:rsid w:val="00123EE5"/>
    <w:rsid w:val="0012647F"/>
    <w:rsid w:val="0012763A"/>
    <w:rsid w:val="00127745"/>
    <w:rsid w:val="00134806"/>
    <w:rsid w:val="00135152"/>
    <w:rsid w:val="00141CD1"/>
    <w:rsid w:val="00142AA4"/>
    <w:rsid w:val="00146E32"/>
    <w:rsid w:val="001504FA"/>
    <w:rsid w:val="001522B7"/>
    <w:rsid w:val="0016058D"/>
    <w:rsid w:val="00160F89"/>
    <w:rsid w:val="0016197B"/>
    <w:rsid w:val="00162B45"/>
    <w:rsid w:val="00163E20"/>
    <w:rsid w:val="0016633A"/>
    <w:rsid w:val="00166FD5"/>
    <w:rsid w:val="00167292"/>
    <w:rsid w:val="0017325A"/>
    <w:rsid w:val="0018119F"/>
    <w:rsid w:val="0018211D"/>
    <w:rsid w:val="00182845"/>
    <w:rsid w:val="00183816"/>
    <w:rsid w:val="0018428D"/>
    <w:rsid w:val="00184D23"/>
    <w:rsid w:val="00186264"/>
    <w:rsid w:val="0018677B"/>
    <w:rsid w:val="00196385"/>
    <w:rsid w:val="001973E7"/>
    <w:rsid w:val="001A0410"/>
    <w:rsid w:val="001A3104"/>
    <w:rsid w:val="001A54DE"/>
    <w:rsid w:val="001B1EAE"/>
    <w:rsid w:val="001B2798"/>
    <w:rsid w:val="001B77D2"/>
    <w:rsid w:val="001C42E3"/>
    <w:rsid w:val="001C500D"/>
    <w:rsid w:val="001C6C4D"/>
    <w:rsid w:val="001C7C9A"/>
    <w:rsid w:val="001D03AB"/>
    <w:rsid w:val="001D18CE"/>
    <w:rsid w:val="001D2EC4"/>
    <w:rsid w:val="001D4640"/>
    <w:rsid w:val="001D5A20"/>
    <w:rsid w:val="001D720D"/>
    <w:rsid w:val="001E16F5"/>
    <w:rsid w:val="001E2845"/>
    <w:rsid w:val="001E6BBE"/>
    <w:rsid w:val="001F3BCF"/>
    <w:rsid w:val="001F50F6"/>
    <w:rsid w:val="001F5B2A"/>
    <w:rsid w:val="00200745"/>
    <w:rsid w:val="002009E8"/>
    <w:rsid w:val="00200DD6"/>
    <w:rsid w:val="0020237F"/>
    <w:rsid w:val="0020310B"/>
    <w:rsid w:val="00203892"/>
    <w:rsid w:val="00206953"/>
    <w:rsid w:val="002073EF"/>
    <w:rsid w:val="00212497"/>
    <w:rsid w:val="00221D11"/>
    <w:rsid w:val="0022214F"/>
    <w:rsid w:val="00223695"/>
    <w:rsid w:val="00223DCA"/>
    <w:rsid w:val="00225A60"/>
    <w:rsid w:val="0022764F"/>
    <w:rsid w:val="002310A0"/>
    <w:rsid w:val="00233A2F"/>
    <w:rsid w:val="00236A87"/>
    <w:rsid w:val="00242A4D"/>
    <w:rsid w:val="002435FC"/>
    <w:rsid w:val="00247D67"/>
    <w:rsid w:val="002514C8"/>
    <w:rsid w:val="00253264"/>
    <w:rsid w:val="002532D4"/>
    <w:rsid w:val="00254709"/>
    <w:rsid w:val="00262398"/>
    <w:rsid w:val="00263714"/>
    <w:rsid w:val="00267903"/>
    <w:rsid w:val="0026795A"/>
    <w:rsid w:val="00271BB5"/>
    <w:rsid w:val="00272DED"/>
    <w:rsid w:val="00277141"/>
    <w:rsid w:val="00280105"/>
    <w:rsid w:val="00283623"/>
    <w:rsid w:val="00283B8A"/>
    <w:rsid w:val="00286B5F"/>
    <w:rsid w:val="00287A2E"/>
    <w:rsid w:val="00290B13"/>
    <w:rsid w:val="002A038A"/>
    <w:rsid w:val="002A2149"/>
    <w:rsid w:val="002A687D"/>
    <w:rsid w:val="002B09DC"/>
    <w:rsid w:val="002B6B34"/>
    <w:rsid w:val="002B6C1F"/>
    <w:rsid w:val="002B6C34"/>
    <w:rsid w:val="002C0A4A"/>
    <w:rsid w:val="002C0F67"/>
    <w:rsid w:val="002C37AC"/>
    <w:rsid w:val="002C401B"/>
    <w:rsid w:val="002C48C8"/>
    <w:rsid w:val="002C4B41"/>
    <w:rsid w:val="002C7C66"/>
    <w:rsid w:val="002D2265"/>
    <w:rsid w:val="002D35E9"/>
    <w:rsid w:val="002D52E2"/>
    <w:rsid w:val="002D60CF"/>
    <w:rsid w:val="002D6C9D"/>
    <w:rsid w:val="002E174E"/>
    <w:rsid w:val="002E1EB0"/>
    <w:rsid w:val="002E1F89"/>
    <w:rsid w:val="002E341A"/>
    <w:rsid w:val="002E3CC0"/>
    <w:rsid w:val="002E6B08"/>
    <w:rsid w:val="002E7ED3"/>
    <w:rsid w:val="002F060B"/>
    <w:rsid w:val="002F0C10"/>
    <w:rsid w:val="002F2691"/>
    <w:rsid w:val="002F330B"/>
    <w:rsid w:val="002F554E"/>
    <w:rsid w:val="002F5FC8"/>
    <w:rsid w:val="002F6C33"/>
    <w:rsid w:val="002F7B52"/>
    <w:rsid w:val="0030230F"/>
    <w:rsid w:val="0030248F"/>
    <w:rsid w:val="00303825"/>
    <w:rsid w:val="00303B83"/>
    <w:rsid w:val="00305A65"/>
    <w:rsid w:val="003119E3"/>
    <w:rsid w:val="00314A45"/>
    <w:rsid w:val="00315056"/>
    <w:rsid w:val="00322217"/>
    <w:rsid w:val="003237D6"/>
    <w:rsid w:val="00324AFA"/>
    <w:rsid w:val="00325ACE"/>
    <w:rsid w:val="00326146"/>
    <w:rsid w:val="00330530"/>
    <w:rsid w:val="003316A6"/>
    <w:rsid w:val="0033515D"/>
    <w:rsid w:val="00335E66"/>
    <w:rsid w:val="0033703F"/>
    <w:rsid w:val="00340898"/>
    <w:rsid w:val="003419E3"/>
    <w:rsid w:val="00341FA7"/>
    <w:rsid w:val="003429A4"/>
    <w:rsid w:val="00343718"/>
    <w:rsid w:val="0034606C"/>
    <w:rsid w:val="00347A8E"/>
    <w:rsid w:val="00347FDB"/>
    <w:rsid w:val="003533C7"/>
    <w:rsid w:val="0035661E"/>
    <w:rsid w:val="00357620"/>
    <w:rsid w:val="00360C63"/>
    <w:rsid w:val="00361AA4"/>
    <w:rsid w:val="00362982"/>
    <w:rsid w:val="0036363E"/>
    <w:rsid w:val="00363A3D"/>
    <w:rsid w:val="00363C07"/>
    <w:rsid w:val="00364A00"/>
    <w:rsid w:val="003671C0"/>
    <w:rsid w:val="00373503"/>
    <w:rsid w:val="00375A8C"/>
    <w:rsid w:val="00375D88"/>
    <w:rsid w:val="00377572"/>
    <w:rsid w:val="003778E9"/>
    <w:rsid w:val="003804BF"/>
    <w:rsid w:val="00381A3F"/>
    <w:rsid w:val="003852F1"/>
    <w:rsid w:val="00387D2A"/>
    <w:rsid w:val="003934CE"/>
    <w:rsid w:val="00394864"/>
    <w:rsid w:val="003969D1"/>
    <w:rsid w:val="003A1909"/>
    <w:rsid w:val="003A370B"/>
    <w:rsid w:val="003A3EC4"/>
    <w:rsid w:val="003A46FC"/>
    <w:rsid w:val="003A56DA"/>
    <w:rsid w:val="003A7698"/>
    <w:rsid w:val="003B40B7"/>
    <w:rsid w:val="003B6543"/>
    <w:rsid w:val="003C2484"/>
    <w:rsid w:val="003C2BD7"/>
    <w:rsid w:val="003C3449"/>
    <w:rsid w:val="003C5824"/>
    <w:rsid w:val="003C6519"/>
    <w:rsid w:val="003C7CCD"/>
    <w:rsid w:val="003D0853"/>
    <w:rsid w:val="003D0CB1"/>
    <w:rsid w:val="003D2F2C"/>
    <w:rsid w:val="003D36DF"/>
    <w:rsid w:val="003D3D2E"/>
    <w:rsid w:val="003D5731"/>
    <w:rsid w:val="003D725B"/>
    <w:rsid w:val="003E1695"/>
    <w:rsid w:val="003E1B10"/>
    <w:rsid w:val="003E58E9"/>
    <w:rsid w:val="003E5A52"/>
    <w:rsid w:val="003F0DF8"/>
    <w:rsid w:val="003F28C8"/>
    <w:rsid w:val="003F31BA"/>
    <w:rsid w:val="003F4E6D"/>
    <w:rsid w:val="003F5CE3"/>
    <w:rsid w:val="003F6445"/>
    <w:rsid w:val="003F7555"/>
    <w:rsid w:val="003F7E5A"/>
    <w:rsid w:val="00400178"/>
    <w:rsid w:val="00400255"/>
    <w:rsid w:val="00401023"/>
    <w:rsid w:val="0040293F"/>
    <w:rsid w:val="00403645"/>
    <w:rsid w:val="00403C52"/>
    <w:rsid w:val="004050CC"/>
    <w:rsid w:val="00406730"/>
    <w:rsid w:val="00406F14"/>
    <w:rsid w:val="00406FBE"/>
    <w:rsid w:val="004110B1"/>
    <w:rsid w:val="004114C3"/>
    <w:rsid w:val="004166FF"/>
    <w:rsid w:val="00416C16"/>
    <w:rsid w:val="00421358"/>
    <w:rsid w:val="0042212B"/>
    <w:rsid w:val="00422B12"/>
    <w:rsid w:val="004335B8"/>
    <w:rsid w:val="00433675"/>
    <w:rsid w:val="00437930"/>
    <w:rsid w:val="004471E4"/>
    <w:rsid w:val="004501D4"/>
    <w:rsid w:val="00451D0B"/>
    <w:rsid w:val="00454EC0"/>
    <w:rsid w:val="004552AA"/>
    <w:rsid w:val="0045684C"/>
    <w:rsid w:val="00456ED9"/>
    <w:rsid w:val="004576AD"/>
    <w:rsid w:val="004608BE"/>
    <w:rsid w:val="00460DEF"/>
    <w:rsid w:val="0046123A"/>
    <w:rsid w:val="0046312B"/>
    <w:rsid w:val="004636DA"/>
    <w:rsid w:val="00463D82"/>
    <w:rsid w:val="00465285"/>
    <w:rsid w:val="0046528E"/>
    <w:rsid w:val="00466CFC"/>
    <w:rsid w:val="00473C55"/>
    <w:rsid w:val="00475054"/>
    <w:rsid w:val="00475B30"/>
    <w:rsid w:val="00481C13"/>
    <w:rsid w:val="00484FBA"/>
    <w:rsid w:val="00485A82"/>
    <w:rsid w:val="00487F73"/>
    <w:rsid w:val="004901E7"/>
    <w:rsid w:val="00491D95"/>
    <w:rsid w:val="0049318B"/>
    <w:rsid w:val="004935B1"/>
    <w:rsid w:val="004942BD"/>
    <w:rsid w:val="004944D1"/>
    <w:rsid w:val="00494925"/>
    <w:rsid w:val="004A0552"/>
    <w:rsid w:val="004A5B88"/>
    <w:rsid w:val="004A76E9"/>
    <w:rsid w:val="004B3050"/>
    <w:rsid w:val="004B3170"/>
    <w:rsid w:val="004B3C4E"/>
    <w:rsid w:val="004B4340"/>
    <w:rsid w:val="004B5313"/>
    <w:rsid w:val="004B5633"/>
    <w:rsid w:val="004B7182"/>
    <w:rsid w:val="004C2713"/>
    <w:rsid w:val="004C558B"/>
    <w:rsid w:val="004C5D27"/>
    <w:rsid w:val="004C7366"/>
    <w:rsid w:val="004C74C3"/>
    <w:rsid w:val="004D0F86"/>
    <w:rsid w:val="004D1549"/>
    <w:rsid w:val="004D2D0D"/>
    <w:rsid w:val="004D42A6"/>
    <w:rsid w:val="004D6084"/>
    <w:rsid w:val="004E1172"/>
    <w:rsid w:val="004E1B41"/>
    <w:rsid w:val="004E3F73"/>
    <w:rsid w:val="004E4B5F"/>
    <w:rsid w:val="004E539B"/>
    <w:rsid w:val="004E5DF3"/>
    <w:rsid w:val="004E61A4"/>
    <w:rsid w:val="004E76C3"/>
    <w:rsid w:val="004F1717"/>
    <w:rsid w:val="004F356E"/>
    <w:rsid w:val="004F43B1"/>
    <w:rsid w:val="004F4B12"/>
    <w:rsid w:val="004F4BAA"/>
    <w:rsid w:val="004F4D8E"/>
    <w:rsid w:val="004F60A2"/>
    <w:rsid w:val="004F76C5"/>
    <w:rsid w:val="005036F0"/>
    <w:rsid w:val="005205AB"/>
    <w:rsid w:val="00521138"/>
    <w:rsid w:val="00521971"/>
    <w:rsid w:val="00523490"/>
    <w:rsid w:val="00523740"/>
    <w:rsid w:val="00524A31"/>
    <w:rsid w:val="00524DE0"/>
    <w:rsid w:val="005252C3"/>
    <w:rsid w:val="00533179"/>
    <w:rsid w:val="005335AB"/>
    <w:rsid w:val="00540778"/>
    <w:rsid w:val="00542D6E"/>
    <w:rsid w:val="00543CCD"/>
    <w:rsid w:val="005563FF"/>
    <w:rsid w:val="00557EBB"/>
    <w:rsid w:val="00561A96"/>
    <w:rsid w:val="00567A94"/>
    <w:rsid w:val="00575DDB"/>
    <w:rsid w:val="005776F9"/>
    <w:rsid w:val="00577A4B"/>
    <w:rsid w:val="005829EF"/>
    <w:rsid w:val="005830AC"/>
    <w:rsid w:val="00583B0F"/>
    <w:rsid w:val="00585F61"/>
    <w:rsid w:val="00590A03"/>
    <w:rsid w:val="00591A69"/>
    <w:rsid w:val="00592694"/>
    <w:rsid w:val="005954B7"/>
    <w:rsid w:val="00596B41"/>
    <w:rsid w:val="005A6EE0"/>
    <w:rsid w:val="005A7A0F"/>
    <w:rsid w:val="005B1F59"/>
    <w:rsid w:val="005B202A"/>
    <w:rsid w:val="005B5450"/>
    <w:rsid w:val="005B7960"/>
    <w:rsid w:val="005C0A76"/>
    <w:rsid w:val="005C1325"/>
    <w:rsid w:val="005C28DC"/>
    <w:rsid w:val="005C5AEA"/>
    <w:rsid w:val="005D07ED"/>
    <w:rsid w:val="005D175C"/>
    <w:rsid w:val="005D73CE"/>
    <w:rsid w:val="005D7AA4"/>
    <w:rsid w:val="005E3A43"/>
    <w:rsid w:val="005E48F0"/>
    <w:rsid w:val="005E5FA3"/>
    <w:rsid w:val="005F00FE"/>
    <w:rsid w:val="005F6606"/>
    <w:rsid w:val="005F7082"/>
    <w:rsid w:val="005F7C9B"/>
    <w:rsid w:val="006004D2"/>
    <w:rsid w:val="006007A7"/>
    <w:rsid w:val="0060227D"/>
    <w:rsid w:val="0060318D"/>
    <w:rsid w:val="0060363C"/>
    <w:rsid w:val="00603A09"/>
    <w:rsid w:val="006071C3"/>
    <w:rsid w:val="00610CDD"/>
    <w:rsid w:val="00611586"/>
    <w:rsid w:val="006139D4"/>
    <w:rsid w:val="0061545D"/>
    <w:rsid w:val="00616668"/>
    <w:rsid w:val="0061684F"/>
    <w:rsid w:val="00620699"/>
    <w:rsid w:val="00620D16"/>
    <w:rsid w:val="00623D5D"/>
    <w:rsid w:val="00624BD8"/>
    <w:rsid w:val="00625A27"/>
    <w:rsid w:val="0063070D"/>
    <w:rsid w:val="00630FA1"/>
    <w:rsid w:val="0063135E"/>
    <w:rsid w:val="00631676"/>
    <w:rsid w:val="00631D1D"/>
    <w:rsid w:val="00636294"/>
    <w:rsid w:val="006415D8"/>
    <w:rsid w:val="00644A84"/>
    <w:rsid w:val="00653875"/>
    <w:rsid w:val="00653FB4"/>
    <w:rsid w:val="00655A33"/>
    <w:rsid w:val="0065631C"/>
    <w:rsid w:val="00660A75"/>
    <w:rsid w:val="00660D7C"/>
    <w:rsid w:val="00660FA2"/>
    <w:rsid w:val="00664D02"/>
    <w:rsid w:val="00664FEE"/>
    <w:rsid w:val="00666576"/>
    <w:rsid w:val="00667C26"/>
    <w:rsid w:val="0067039C"/>
    <w:rsid w:val="0067066C"/>
    <w:rsid w:val="00671BAB"/>
    <w:rsid w:val="00672136"/>
    <w:rsid w:val="006728C8"/>
    <w:rsid w:val="00674603"/>
    <w:rsid w:val="0067541C"/>
    <w:rsid w:val="006767FA"/>
    <w:rsid w:val="00680EBE"/>
    <w:rsid w:val="006810AD"/>
    <w:rsid w:val="00682A1D"/>
    <w:rsid w:val="006837D3"/>
    <w:rsid w:val="006850B7"/>
    <w:rsid w:val="006856B7"/>
    <w:rsid w:val="00685BE0"/>
    <w:rsid w:val="00686CEF"/>
    <w:rsid w:val="00690158"/>
    <w:rsid w:val="00690ED3"/>
    <w:rsid w:val="00690F21"/>
    <w:rsid w:val="00695F66"/>
    <w:rsid w:val="006A0492"/>
    <w:rsid w:val="006A420D"/>
    <w:rsid w:val="006A54FC"/>
    <w:rsid w:val="006A5EBC"/>
    <w:rsid w:val="006A6D6C"/>
    <w:rsid w:val="006B253D"/>
    <w:rsid w:val="006B2A87"/>
    <w:rsid w:val="006B43FE"/>
    <w:rsid w:val="006B4ACA"/>
    <w:rsid w:val="006B5696"/>
    <w:rsid w:val="006B751D"/>
    <w:rsid w:val="006C0448"/>
    <w:rsid w:val="006C1553"/>
    <w:rsid w:val="006C2F64"/>
    <w:rsid w:val="006D0A03"/>
    <w:rsid w:val="006D225A"/>
    <w:rsid w:val="006D3E5D"/>
    <w:rsid w:val="006D4722"/>
    <w:rsid w:val="006D7D65"/>
    <w:rsid w:val="006E0078"/>
    <w:rsid w:val="006E05AA"/>
    <w:rsid w:val="006E3317"/>
    <w:rsid w:val="006E4743"/>
    <w:rsid w:val="006E72EF"/>
    <w:rsid w:val="006E7570"/>
    <w:rsid w:val="006F10B7"/>
    <w:rsid w:val="006F2F3D"/>
    <w:rsid w:val="006F6CE4"/>
    <w:rsid w:val="006F7949"/>
    <w:rsid w:val="00701E1D"/>
    <w:rsid w:val="007021D9"/>
    <w:rsid w:val="00702BF5"/>
    <w:rsid w:val="00702E42"/>
    <w:rsid w:val="00705594"/>
    <w:rsid w:val="00712321"/>
    <w:rsid w:val="007159EA"/>
    <w:rsid w:val="0071648A"/>
    <w:rsid w:val="007167F8"/>
    <w:rsid w:val="00720797"/>
    <w:rsid w:val="00721065"/>
    <w:rsid w:val="00721FE3"/>
    <w:rsid w:val="00722416"/>
    <w:rsid w:val="00722F83"/>
    <w:rsid w:val="007236E2"/>
    <w:rsid w:val="00723C4B"/>
    <w:rsid w:val="00726886"/>
    <w:rsid w:val="00730304"/>
    <w:rsid w:val="007325A0"/>
    <w:rsid w:val="00733984"/>
    <w:rsid w:val="00734A74"/>
    <w:rsid w:val="00735012"/>
    <w:rsid w:val="007409DC"/>
    <w:rsid w:val="00741EE9"/>
    <w:rsid w:val="00742221"/>
    <w:rsid w:val="007422B4"/>
    <w:rsid w:val="00742B04"/>
    <w:rsid w:val="007434C0"/>
    <w:rsid w:val="00744BCE"/>
    <w:rsid w:val="00747012"/>
    <w:rsid w:val="00750092"/>
    <w:rsid w:val="0075210C"/>
    <w:rsid w:val="00752171"/>
    <w:rsid w:val="007553DE"/>
    <w:rsid w:val="007562DD"/>
    <w:rsid w:val="00756452"/>
    <w:rsid w:val="00756B17"/>
    <w:rsid w:val="00757C60"/>
    <w:rsid w:val="0076178F"/>
    <w:rsid w:val="00761FE6"/>
    <w:rsid w:val="007627AF"/>
    <w:rsid w:val="00766085"/>
    <w:rsid w:val="00766903"/>
    <w:rsid w:val="00766D71"/>
    <w:rsid w:val="007702FF"/>
    <w:rsid w:val="00770E4D"/>
    <w:rsid w:val="0077101E"/>
    <w:rsid w:val="00774525"/>
    <w:rsid w:val="007747CB"/>
    <w:rsid w:val="00774BC7"/>
    <w:rsid w:val="00776778"/>
    <w:rsid w:val="00776857"/>
    <w:rsid w:val="00776E8C"/>
    <w:rsid w:val="00777A3E"/>
    <w:rsid w:val="00781390"/>
    <w:rsid w:val="00781E53"/>
    <w:rsid w:val="00784FB3"/>
    <w:rsid w:val="00785715"/>
    <w:rsid w:val="00790E1D"/>
    <w:rsid w:val="00791285"/>
    <w:rsid w:val="0079537B"/>
    <w:rsid w:val="00795840"/>
    <w:rsid w:val="007A003C"/>
    <w:rsid w:val="007A41E6"/>
    <w:rsid w:val="007A51AF"/>
    <w:rsid w:val="007A5FE1"/>
    <w:rsid w:val="007A72C3"/>
    <w:rsid w:val="007B0F0F"/>
    <w:rsid w:val="007B2C34"/>
    <w:rsid w:val="007B2EE5"/>
    <w:rsid w:val="007C1D09"/>
    <w:rsid w:val="007C241E"/>
    <w:rsid w:val="007C2ACB"/>
    <w:rsid w:val="007C4D2A"/>
    <w:rsid w:val="007C5FAE"/>
    <w:rsid w:val="007C5FDB"/>
    <w:rsid w:val="007D1F6E"/>
    <w:rsid w:val="007D3B00"/>
    <w:rsid w:val="007D5EEE"/>
    <w:rsid w:val="007D6A6F"/>
    <w:rsid w:val="007E0F21"/>
    <w:rsid w:val="007E3E97"/>
    <w:rsid w:val="007E5837"/>
    <w:rsid w:val="007E5DCE"/>
    <w:rsid w:val="007E6AEE"/>
    <w:rsid w:val="007E745D"/>
    <w:rsid w:val="007E77B3"/>
    <w:rsid w:val="007F0A29"/>
    <w:rsid w:val="00801FE7"/>
    <w:rsid w:val="00802286"/>
    <w:rsid w:val="00803D85"/>
    <w:rsid w:val="00805025"/>
    <w:rsid w:val="00805893"/>
    <w:rsid w:val="0081072E"/>
    <w:rsid w:val="00810DC0"/>
    <w:rsid w:val="008119EB"/>
    <w:rsid w:val="00811A78"/>
    <w:rsid w:val="00813359"/>
    <w:rsid w:val="00813563"/>
    <w:rsid w:val="00814292"/>
    <w:rsid w:val="0081494C"/>
    <w:rsid w:val="00815376"/>
    <w:rsid w:val="00816222"/>
    <w:rsid w:val="008175C4"/>
    <w:rsid w:val="0082062E"/>
    <w:rsid w:val="00823B3B"/>
    <w:rsid w:val="00824A53"/>
    <w:rsid w:val="00825B5B"/>
    <w:rsid w:val="00831007"/>
    <w:rsid w:val="008324AE"/>
    <w:rsid w:val="00835900"/>
    <w:rsid w:val="008373B0"/>
    <w:rsid w:val="00841C4B"/>
    <w:rsid w:val="00841EBF"/>
    <w:rsid w:val="008425F7"/>
    <w:rsid w:val="00843299"/>
    <w:rsid w:val="00843764"/>
    <w:rsid w:val="00844971"/>
    <w:rsid w:val="0084702F"/>
    <w:rsid w:val="00851717"/>
    <w:rsid w:val="00852F27"/>
    <w:rsid w:val="0085721C"/>
    <w:rsid w:val="008574FB"/>
    <w:rsid w:val="00857E4B"/>
    <w:rsid w:val="008608B6"/>
    <w:rsid w:val="00860B15"/>
    <w:rsid w:val="0086170E"/>
    <w:rsid w:val="0086366E"/>
    <w:rsid w:val="00866494"/>
    <w:rsid w:val="0086736D"/>
    <w:rsid w:val="008710C3"/>
    <w:rsid w:val="008777A7"/>
    <w:rsid w:val="00884D45"/>
    <w:rsid w:val="0088694F"/>
    <w:rsid w:val="00891494"/>
    <w:rsid w:val="008917E9"/>
    <w:rsid w:val="0089199C"/>
    <w:rsid w:val="00892B80"/>
    <w:rsid w:val="00892C68"/>
    <w:rsid w:val="00893D9C"/>
    <w:rsid w:val="00897E05"/>
    <w:rsid w:val="008A51B6"/>
    <w:rsid w:val="008B662F"/>
    <w:rsid w:val="008C399D"/>
    <w:rsid w:val="008C666C"/>
    <w:rsid w:val="008C6F31"/>
    <w:rsid w:val="008D0FE7"/>
    <w:rsid w:val="008D2884"/>
    <w:rsid w:val="008D28ED"/>
    <w:rsid w:val="008D5E6F"/>
    <w:rsid w:val="008D6AB6"/>
    <w:rsid w:val="008E22B3"/>
    <w:rsid w:val="008E68C7"/>
    <w:rsid w:val="008E7FE7"/>
    <w:rsid w:val="008F12D2"/>
    <w:rsid w:val="008F6A16"/>
    <w:rsid w:val="008F75BC"/>
    <w:rsid w:val="008F7931"/>
    <w:rsid w:val="00901742"/>
    <w:rsid w:val="00901B5E"/>
    <w:rsid w:val="00902EF1"/>
    <w:rsid w:val="009036BE"/>
    <w:rsid w:val="00905522"/>
    <w:rsid w:val="009055A6"/>
    <w:rsid w:val="00905E81"/>
    <w:rsid w:val="00905E88"/>
    <w:rsid w:val="00906CD5"/>
    <w:rsid w:val="00912CB0"/>
    <w:rsid w:val="00915061"/>
    <w:rsid w:val="00916284"/>
    <w:rsid w:val="00923D81"/>
    <w:rsid w:val="009240FD"/>
    <w:rsid w:val="00925BAC"/>
    <w:rsid w:val="009263C3"/>
    <w:rsid w:val="00933A4F"/>
    <w:rsid w:val="00937BC1"/>
    <w:rsid w:val="00937EA5"/>
    <w:rsid w:val="00942311"/>
    <w:rsid w:val="00942A23"/>
    <w:rsid w:val="00942F8F"/>
    <w:rsid w:val="00943533"/>
    <w:rsid w:val="0094792D"/>
    <w:rsid w:val="00947FF6"/>
    <w:rsid w:val="009505CA"/>
    <w:rsid w:val="00952DAF"/>
    <w:rsid w:val="0095309B"/>
    <w:rsid w:val="009532D4"/>
    <w:rsid w:val="00955AB9"/>
    <w:rsid w:val="00956D24"/>
    <w:rsid w:val="00956D60"/>
    <w:rsid w:val="00957F77"/>
    <w:rsid w:val="009625A4"/>
    <w:rsid w:val="0096484D"/>
    <w:rsid w:val="00965286"/>
    <w:rsid w:val="00965B99"/>
    <w:rsid w:val="00966060"/>
    <w:rsid w:val="00971207"/>
    <w:rsid w:val="00971779"/>
    <w:rsid w:val="00971C4E"/>
    <w:rsid w:val="0097258E"/>
    <w:rsid w:val="00972625"/>
    <w:rsid w:val="00973A3D"/>
    <w:rsid w:val="00973A84"/>
    <w:rsid w:val="00976C3C"/>
    <w:rsid w:val="00977977"/>
    <w:rsid w:val="009805AD"/>
    <w:rsid w:val="00981F99"/>
    <w:rsid w:val="009822C5"/>
    <w:rsid w:val="00982CBC"/>
    <w:rsid w:val="00984C9C"/>
    <w:rsid w:val="00994922"/>
    <w:rsid w:val="009A0320"/>
    <w:rsid w:val="009A12FB"/>
    <w:rsid w:val="009A2CC2"/>
    <w:rsid w:val="009A5DC9"/>
    <w:rsid w:val="009B08C1"/>
    <w:rsid w:val="009B0D5A"/>
    <w:rsid w:val="009B134D"/>
    <w:rsid w:val="009B1A98"/>
    <w:rsid w:val="009B2468"/>
    <w:rsid w:val="009B6BD4"/>
    <w:rsid w:val="009C0B14"/>
    <w:rsid w:val="009D0DE1"/>
    <w:rsid w:val="009D6A82"/>
    <w:rsid w:val="009E1A97"/>
    <w:rsid w:val="009E1E97"/>
    <w:rsid w:val="009E2AED"/>
    <w:rsid w:val="009E3173"/>
    <w:rsid w:val="009E74D3"/>
    <w:rsid w:val="009E78A9"/>
    <w:rsid w:val="009F0459"/>
    <w:rsid w:val="009F3548"/>
    <w:rsid w:val="009F4445"/>
    <w:rsid w:val="00A00CAD"/>
    <w:rsid w:val="00A070A2"/>
    <w:rsid w:val="00A11AC2"/>
    <w:rsid w:val="00A120F1"/>
    <w:rsid w:val="00A126BF"/>
    <w:rsid w:val="00A14887"/>
    <w:rsid w:val="00A16A95"/>
    <w:rsid w:val="00A17B23"/>
    <w:rsid w:val="00A24305"/>
    <w:rsid w:val="00A24A8F"/>
    <w:rsid w:val="00A2699C"/>
    <w:rsid w:val="00A27771"/>
    <w:rsid w:val="00A300EF"/>
    <w:rsid w:val="00A31CD7"/>
    <w:rsid w:val="00A349B8"/>
    <w:rsid w:val="00A41B32"/>
    <w:rsid w:val="00A43BFC"/>
    <w:rsid w:val="00A447A2"/>
    <w:rsid w:val="00A50E5F"/>
    <w:rsid w:val="00A50FD1"/>
    <w:rsid w:val="00A52DE5"/>
    <w:rsid w:val="00A545DB"/>
    <w:rsid w:val="00A55EA2"/>
    <w:rsid w:val="00A56A50"/>
    <w:rsid w:val="00A57147"/>
    <w:rsid w:val="00A577A9"/>
    <w:rsid w:val="00A57FE7"/>
    <w:rsid w:val="00A61516"/>
    <w:rsid w:val="00A6245B"/>
    <w:rsid w:val="00A64DC8"/>
    <w:rsid w:val="00A72D70"/>
    <w:rsid w:val="00A841A4"/>
    <w:rsid w:val="00A85B51"/>
    <w:rsid w:val="00A86801"/>
    <w:rsid w:val="00A876F6"/>
    <w:rsid w:val="00A904B8"/>
    <w:rsid w:val="00A9345E"/>
    <w:rsid w:val="00A95B19"/>
    <w:rsid w:val="00A96C5E"/>
    <w:rsid w:val="00A96EC7"/>
    <w:rsid w:val="00A972B7"/>
    <w:rsid w:val="00A97DFB"/>
    <w:rsid w:val="00A97FF6"/>
    <w:rsid w:val="00AA0EA3"/>
    <w:rsid w:val="00AA3E76"/>
    <w:rsid w:val="00AA4BFC"/>
    <w:rsid w:val="00AA5B7F"/>
    <w:rsid w:val="00AB39C3"/>
    <w:rsid w:val="00AB3D5F"/>
    <w:rsid w:val="00AB453D"/>
    <w:rsid w:val="00AB4581"/>
    <w:rsid w:val="00AB634B"/>
    <w:rsid w:val="00AB7134"/>
    <w:rsid w:val="00AC41A5"/>
    <w:rsid w:val="00AC42F3"/>
    <w:rsid w:val="00AC52A4"/>
    <w:rsid w:val="00AC7468"/>
    <w:rsid w:val="00AD091C"/>
    <w:rsid w:val="00AD20D4"/>
    <w:rsid w:val="00AD272D"/>
    <w:rsid w:val="00AD73AC"/>
    <w:rsid w:val="00AE2C27"/>
    <w:rsid w:val="00AE3D18"/>
    <w:rsid w:val="00AE5785"/>
    <w:rsid w:val="00AE7BB0"/>
    <w:rsid w:val="00AF1153"/>
    <w:rsid w:val="00AF17F0"/>
    <w:rsid w:val="00AF44AB"/>
    <w:rsid w:val="00AF55F7"/>
    <w:rsid w:val="00AF640D"/>
    <w:rsid w:val="00AF7E4F"/>
    <w:rsid w:val="00AF7FF2"/>
    <w:rsid w:val="00B03B0D"/>
    <w:rsid w:val="00B04F7B"/>
    <w:rsid w:val="00B139EF"/>
    <w:rsid w:val="00B16B88"/>
    <w:rsid w:val="00B16C67"/>
    <w:rsid w:val="00B179B0"/>
    <w:rsid w:val="00B21C63"/>
    <w:rsid w:val="00B222CA"/>
    <w:rsid w:val="00B2752B"/>
    <w:rsid w:val="00B32C67"/>
    <w:rsid w:val="00B32FE5"/>
    <w:rsid w:val="00B3376D"/>
    <w:rsid w:val="00B353C2"/>
    <w:rsid w:val="00B36CAE"/>
    <w:rsid w:val="00B36F51"/>
    <w:rsid w:val="00B41643"/>
    <w:rsid w:val="00B41B5C"/>
    <w:rsid w:val="00B429F5"/>
    <w:rsid w:val="00B462BC"/>
    <w:rsid w:val="00B5137B"/>
    <w:rsid w:val="00B52A38"/>
    <w:rsid w:val="00B54FDB"/>
    <w:rsid w:val="00B574DF"/>
    <w:rsid w:val="00B61FDC"/>
    <w:rsid w:val="00B642F4"/>
    <w:rsid w:val="00B65591"/>
    <w:rsid w:val="00B66013"/>
    <w:rsid w:val="00B676A5"/>
    <w:rsid w:val="00B6778C"/>
    <w:rsid w:val="00B714C3"/>
    <w:rsid w:val="00B716E6"/>
    <w:rsid w:val="00B72340"/>
    <w:rsid w:val="00B735D4"/>
    <w:rsid w:val="00B74CCF"/>
    <w:rsid w:val="00B74D58"/>
    <w:rsid w:val="00B778CF"/>
    <w:rsid w:val="00B81FA3"/>
    <w:rsid w:val="00B833D2"/>
    <w:rsid w:val="00B83BBD"/>
    <w:rsid w:val="00B83F55"/>
    <w:rsid w:val="00B94D63"/>
    <w:rsid w:val="00B95AF2"/>
    <w:rsid w:val="00B96727"/>
    <w:rsid w:val="00B97EC9"/>
    <w:rsid w:val="00BA26FC"/>
    <w:rsid w:val="00BA2B81"/>
    <w:rsid w:val="00BA53B2"/>
    <w:rsid w:val="00BA6519"/>
    <w:rsid w:val="00BB0E10"/>
    <w:rsid w:val="00BB537E"/>
    <w:rsid w:val="00BB5AEC"/>
    <w:rsid w:val="00BC20D8"/>
    <w:rsid w:val="00BC4364"/>
    <w:rsid w:val="00BC4D3C"/>
    <w:rsid w:val="00BC6B25"/>
    <w:rsid w:val="00BC791C"/>
    <w:rsid w:val="00BD2068"/>
    <w:rsid w:val="00BD2ED6"/>
    <w:rsid w:val="00BD55D8"/>
    <w:rsid w:val="00BD65EE"/>
    <w:rsid w:val="00BD6A0C"/>
    <w:rsid w:val="00BD6C9C"/>
    <w:rsid w:val="00BE093F"/>
    <w:rsid w:val="00BE1F2C"/>
    <w:rsid w:val="00BE23DA"/>
    <w:rsid w:val="00BE257F"/>
    <w:rsid w:val="00BE2622"/>
    <w:rsid w:val="00BE3153"/>
    <w:rsid w:val="00BE5872"/>
    <w:rsid w:val="00BE6394"/>
    <w:rsid w:val="00BE6C8C"/>
    <w:rsid w:val="00BE71C2"/>
    <w:rsid w:val="00BF084C"/>
    <w:rsid w:val="00BF299D"/>
    <w:rsid w:val="00BF4C55"/>
    <w:rsid w:val="00BF58BC"/>
    <w:rsid w:val="00BF5E05"/>
    <w:rsid w:val="00BF7D97"/>
    <w:rsid w:val="00C00842"/>
    <w:rsid w:val="00C02EFD"/>
    <w:rsid w:val="00C0452B"/>
    <w:rsid w:val="00C12921"/>
    <w:rsid w:val="00C16CA5"/>
    <w:rsid w:val="00C2514B"/>
    <w:rsid w:val="00C26B78"/>
    <w:rsid w:val="00C30D52"/>
    <w:rsid w:val="00C3273C"/>
    <w:rsid w:val="00C343BD"/>
    <w:rsid w:val="00C36267"/>
    <w:rsid w:val="00C36D40"/>
    <w:rsid w:val="00C36D49"/>
    <w:rsid w:val="00C36E92"/>
    <w:rsid w:val="00C42054"/>
    <w:rsid w:val="00C42962"/>
    <w:rsid w:val="00C476B2"/>
    <w:rsid w:val="00C52E0F"/>
    <w:rsid w:val="00C53F45"/>
    <w:rsid w:val="00C57BCA"/>
    <w:rsid w:val="00C60826"/>
    <w:rsid w:val="00C61883"/>
    <w:rsid w:val="00C61EDC"/>
    <w:rsid w:val="00C629B2"/>
    <w:rsid w:val="00C62DF3"/>
    <w:rsid w:val="00C70229"/>
    <w:rsid w:val="00C70AF1"/>
    <w:rsid w:val="00C71080"/>
    <w:rsid w:val="00C71EBE"/>
    <w:rsid w:val="00C729A1"/>
    <w:rsid w:val="00C759BC"/>
    <w:rsid w:val="00C76EB4"/>
    <w:rsid w:val="00C7794D"/>
    <w:rsid w:val="00C8015F"/>
    <w:rsid w:val="00C82595"/>
    <w:rsid w:val="00C843C7"/>
    <w:rsid w:val="00C85D9E"/>
    <w:rsid w:val="00C91A92"/>
    <w:rsid w:val="00C93152"/>
    <w:rsid w:val="00C93F25"/>
    <w:rsid w:val="00C97360"/>
    <w:rsid w:val="00C97B16"/>
    <w:rsid w:val="00CA021E"/>
    <w:rsid w:val="00CA24BE"/>
    <w:rsid w:val="00CA40B5"/>
    <w:rsid w:val="00CB1D94"/>
    <w:rsid w:val="00CB61B4"/>
    <w:rsid w:val="00CB6D1F"/>
    <w:rsid w:val="00CB7F34"/>
    <w:rsid w:val="00CB7FBB"/>
    <w:rsid w:val="00CC20C7"/>
    <w:rsid w:val="00CC2235"/>
    <w:rsid w:val="00CC242C"/>
    <w:rsid w:val="00CC24AF"/>
    <w:rsid w:val="00CC4E4F"/>
    <w:rsid w:val="00CC4E69"/>
    <w:rsid w:val="00CD3945"/>
    <w:rsid w:val="00CE21A6"/>
    <w:rsid w:val="00CE30E5"/>
    <w:rsid w:val="00CE3D5F"/>
    <w:rsid w:val="00CE449E"/>
    <w:rsid w:val="00CE74EF"/>
    <w:rsid w:val="00CF2187"/>
    <w:rsid w:val="00CF2BCD"/>
    <w:rsid w:val="00CF3FD8"/>
    <w:rsid w:val="00CF42A9"/>
    <w:rsid w:val="00CF54D4"/>
    <w:rsid w:val="00CF633A"/>
    <w:rsid w:val="00CF64E6"/>
    <w:rsid w:val="00D005EE"/>
    <w:rsid w:val="00D006EB"/>
    <w:rsid w:val="00D024BD"/>
    <w:rsid w:val="00D02FA8"/>
    <w:rsid w:val="00D041F3"/>
    <w:rsid w:val="00D05B82"/>
    <w:rsid w:val="00D06A11"/>
    <w:rsid w:val="00D0782F"/>
    <w:rsid w:val="00D10AAB"/>
    <w:rsid w:val="00D11297"/>
    <w:rsid w:val="00D11539"/>
    <w:rsid w:val="00D1267B"/>
    <w:rsid w:val="00D17961"/>
    <w:rsid w:val="00D17AA5"/>
    <w:rsid w:val="00D206D2"/>
    <w:rsid w:val="00D20878"/>
    <w:rsid w:val="00D22B39"/>
    <w:rsid w:val="00D23A63"/>
    <w:rsid w:val="00D25870"/>
    <w:rsid w:val="00D258F5"/>
    <w:rsid w:val="00D27361"/>
    <w:rsid w:val="00D30CD7"/>
    <w:rsid w:val="00D32FAD"/>
    <w:rsid w:val="00D34301"/>
    <w:rsid w:val="00D367C5"/>
    <w:rsid w:val="00D40B3D"/>
    <w:rsid w:val="00D42D8A"/>
    <w:rsid w:val="00D4789F"/>
    <w:rsid w:val="00D47DBE"/>
    <w:rsid w:val="00D5181D"/>
    <w:rsid w:val="00D51F21"/>
    <w:rsid w:val="00D52C84"/>
    <w:rsid w:val="00D5390D"/>
    <w:rsid w:val="00D577A0"/>
    <w:rsid w:val="00D57858"/>
    <w:rsid w:val="00D57D8F"/>
    <w:rsid w:val="00D6179C"/>
    <w:rsid w:val="00D61C1A"/>
    <w:rsid w:val="00D6279E"/>
    <w:rsid w:val="00D633EA"/>
    <w:rsid w:val="00D6404E"/>
    <w:rsid w:val="00D64905"/>
    <w:rsid w:val="00D64938"/>
    <w:rsid w:val="00D649DA"/>
    <w:rsid w:val="00D6722F"/>
    <w:rsid w:val="00D70D8C"/>
    <w:rsid w:val="00D729A7"/>
    <w:rsid w:val="00D72B24"/>
    <w:rsid w:val="00D731A6"/>
    <w:rsid w:val="00D73331"/>
    <w:rsid w:val="00D73EE9"/>
    <w:rsid w:val="00D776B5"/>
    <w:rsid w:val="00D8047A"/>
    <w:rsid w:val="00D82C33"/>
    <w:rsid w:val="00D86F89"/>
    <w:rsid w:val="00D93F0C"/>
    <w:rsid w:val="00D95460"/>
    <w:rsid w:val="00D9722B"/>
    <w:rsid w:val="00DA075B"/>
    <w:rsid w:val="00DA0EA6"/>
    <w:rsid w:val="00DA3050"/>
    <w:rsid w:val="00DA47DE"/>
    <w:rsid w:val="00DA7271"/>
    <w:rsid w:val="00DB3E47"/>
    <w:rsid w:val="00DB4790"/>
    <w:rsid w:val="00DC1A64"/>
    <w:rsid w:val="00DC1DE8"/>
    <w:rsid w:val="00DC2059"/>
    <w:rsid w:val="00DC2F17"/>
    <w:rsid w:val="00DC3DB7"/>
    <w:rsid w:val="00DC520F"/>
    <w:rsid w:val="00DC5B56"/>
    <w:rsid w:val="00DD0ACD"/>
    <w:rsid w:val="00DD17A4"/>
    <w:rsid w:val="00DD4A4B"/>
    <w:rsid w:val="00DF30B3"/>
    <w:rsid w:val="00DF69CC"/>
    <w:rsid w:val="00E004F9"/>
    <w:rsid w:val="00E0198D"/>
    <w:rsid w:val="00E03077"/>
    <w:rsid w:val="00E05A94"/>
    <w:rsid w:val="00E06635"/>
    <w:rsid w:val="00E06CDB"/>
    <w:rsid w:val="00E06D08"/>
    <w:rsid w:val="00E06EA1"/>
    <w:rsid w:val="00E0777C"/>
    <w:rsid w:val="00E07D40"/>
    <w:rsid w:val="00E129D6"/>
    <w:rsid w:val="00E13178"/>
    <w:rsid w:val="00E15D73"/>
    <w:rsid w:val="00E20250"/>
    <w:rsid w:val="00E204BE"/>
    <w:rsid w:val="00E2556A"/>
    <w:rsid w:val="00E2658C"/>
    <w:rsid w:val="00E322A7"/>
    <w:rsid w:val="00E33534"/>
    <w:rsid w:val="00E33963"/>
    <w:rsid w:val="00E363EA"/>
    <w:rsid w:val="00E40096"/>
    <w:rsid w:val="00E40426"/>
    <w:rsid w:val="00E40508"/>
    <w:rsid w:val="00E42BDD"/>
    <w:rsid w:val="00E44E39"/>
    <w:rsid w:val="00E45887"/>
    <w:rsid w:val="00E45949"/>
    <w:rsid w:val="00E46023"/>
    <w:rsid w:val="00E46F01"/>
    <w:rsid w:val="00E47A4C"/>
    <w:rsid w:val="00E52057"/>
    <w:rsid w:val="00E5213D"/>
    <w:rsid w:val="00E57FD5"/>
    <w:rsid w:val="00E60D7F"/>
    <w:rsid w:val="00E617EC"/>
    <w:rsid w:val="00E65D08"/>
    <w:rsid w:val="00E671B8"/>
    <w:rsid w:val="00E70BC7"/>
    <w:rsid w:val="00E71A83"/>
    <w:rsid w:val="00E73C20"/>
    <w:rsid w:val="00E75B5F"/>
    <w:rsid w:val="00E7621D"/>
    <w:rsid w:val="00E770CF"/>
    <w:rsid w:val="00E778A3"/>
    <w:rsid w:val="00E80802"/>
    <w:rsid w:val="00E84F3D"/>
    <w:rsid w:val="00E8734A"/>
    <w:rsid w:val="00E902D7"/>
    <w:rsid w:val="00E910F6"/>
    <w:rsid w:val="00E941C5"/>
    <w:rsid w:val="00E95D9B"/>
    <w:rsid w:val="00EB227B"/>
    <w:rsid w:val="00EB4B1B"/>
    <w:rsid w:val="00EB5466"/>
    <w:rsid w:val="00EB5B9B"/>
    <w:rsid w:val="00EC01B7"/>
    <w:rsid w:val="00EC03E1"/>
    <w:rsid w:val="00EC10D5"/>
    <w:rsid w:val="00EC16CB"/>
    <w:rsid w:val="00EC2C2B"/>
    <w:rsid w:val="00EC6EF3"/>
    <w:rsid w:val="00EC79E4"/>
    <w:rsid w:val="00ED0E73"/>
    <w:rsid w:val="00ED30F1"/>
    <w:rsid w:val="00ED537D"/>
    <w:rsid w:val="00EE246B"/>
    <w:rsid w:val="00EE4C36"/>
    <w:rsid w:val="00EE6072"/>
    <w:rsid w:val="00EE64E3"/>
    <w:rsid w:val="00EE6687"/>
    <w:rsid w:val="00EE7558"/>
    <w:rsid w:val="00EF0464"/>
    <w:rsid w:val="00EF13D9"/>
    <w:rsid w:val="00EF3B52"/>
    <w:rsid w:val="00EF4A65"/>
    <w:rsid w:val="00EF6263"/>
    <w:rsid w:val="00EF635A"/>
    <w:rsid w:val="00EF670F"/>
    <w:rsid w:val="00EF7F8C"/>
    <w:rsid w:val="00F01CA6"/>
    <w:rsid w:val="00F03907"/>
    <w:rsid w:val="00F03D19"/>
    <w:rsid w:val="00F05A43"/>
    <w:rsid w:val="00F066FC"/>
    <w:rsid w:val="00F078B2"/>
    <w:rsid w:val="00F10E1F"/>
    <w:rsid w:val="00F114C1"/>
    <w:rsid w:val="00F14BAF"/>
    <w:rsid w:val="00F16538"/>
    <w:rsid w:val="00F16AA8"/>
    <w:rsid w:val="00F16EF9"/>
    <w:rsid w:val="00F20FA1"/>
    <w:rsid w:val="00F21988"/>
    <w:rsid w:val="00F268BC"/>
    <w:rsid w:val="00F26F09"/>
    <w:rsid w:val="00F3027B"/>
    <w:rsid w:val="00F311B4"/>
    <w:rsid w:val="00F32B54"/>
    <w:rsid w:val="00F32BDB"/>
    <w:rsid w:val="00F33B5E"/>
    <w:rsid w:val="00F34765"/>
    <w:rsid w:val="00F36604"/>
    <w:rsid w:val="00F406A6"/>
    <w:rsid w:val="00F41112"/>
    <w:rsid w:val="00F41554"/>
    <w:rsid w:val="00F41D08"/>
    <w:rsid w:val="00F545C6"/>
    <w:rsid w:val="00F54E13"/>
    <w:rsid w:val="00F55379"/>
    <w:rsid w:val="00F5683D"/>
    <w:rsid w:val="00F6150E"/>
    <w:rsid w:val="00F623FB"/>
    <w:rsid w:val="00F62685"/>
    <w:rsid w:val="00F662F6"/>
    <w:rsid w:val="00F665D2"/>
    <w:rsid w:val="00F70011"/>
    <w:rsid w:val="00F74D4B"/>
    <w:rsid w:val="00F75E18"/>
    <w:rsid w:val="00F77E30"/>
    <w:rsid w:val="00F80E1B"/>
    <w:rsid w:val="00F8299F"/>
    <w:rsid w:val="00F85DBD"/>
    <w:rsid w:val="00F90571"/>
    <w:rsid w:val="00F90573"/>
    <w:rsid w:val="00F91E72"/>
    <w:rsid w:val="00F9581A"/>
    <w:rsid w:val="00F95940"/>
    <w:rsid w:val="00F965C9"/>
    <w:rsid w:val="00FA28E4"/>
    <w:rsid w:val="00FA3ADB"/>
    <w:rsid w:val="00FA45B4"/>
    <w:rsid w:val="00FA45DC"/>
    <w:rsid w:val="00FA5BB7"/>
    <w:rsid w:val="00FA621C"/>
    <w:rsid w:val="00FA732C"/>
    <w:rsid w:val="00FB0E94"/>
    <w:rsid w:val="00FB2030"/>
    <w:rsid w:val="00FB54CE"/>
    <w:rsid w:val="00FB767A"/>
    <w:rsid w:val="00FC0F25"/>
    <w:rsid w:val="00FC1DAA"/>
    <w:rsid w:val="00FC2102"/>
    <w:rsid w:val="00FC2D10"/>
    <w:rsid w:val="00FC5000"/>
    <w:rsid w:val="00FC5FB5"/>
    <w:rsid w:val="00FC6C9E"/>
    <w:rsid w:val="00FD0205"/>
    <w:rsid w:val="00FD2111"/>
    <w:rsid w:val="00FD52BB"/>
    <w:rsid w:val="00FE08F2"/>
    <w:rsid w:val="00FE1A0E"/>
    <w:rsid w:val="00FE2683"/>
    <w:rsid w:val="00FE6006"/>
    <w:rsid w:val="00FE6159"/>
    <w:rsid w:val="00FE6929"/>
    <w:rsid w:val="00FF7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6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455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3EE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93152"/>
    <w:pPr>
      <w:keepNext/>
      <w:widowControl/>
      <w:autoSpaceDE/>
      <w:autoSpaceDN/>
      <w:adjustRightInd/>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123EE5"/>
    <w:pPr>
      <w:keepNext/>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outlineLvl w:val="6"/>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06FBE"/>
    <w:pPr>
      <w:ind w:left="720" w:hanging="720"/>
    </w:pPr>
  </w:style>
  <w:style w:type="character" w:customStyle="1" w:styleId="Hypertext">
    <w:name w:val="Hypertext"/>
    <w:rsid w:val="00A72D70"/>
    <w:rPr>
      <w:color w:val="0000FF"/>
      <w:u w:val="single"/>
    </w:rPr>
  </w:style>
  <w:style w:type="character" w:styleId="Hyperlink">
    <w:name w:val="Hyperlink"/>
    <w:basedOn w:val="DefaultParagraphFont"/>
    <w:uiPriority w:val="99"/>
    <w:rsid w:val="00A72D70"/>
    <w:rPr>
      <w:color w:val="0000FF"/>
      <w:u w:val="single"/>
    </w:rPr>
  </w:style>
  <w:style w:type="character" w:styleId="CommentReference">
    <w:name w:val="annotation reference"/>
    <w:basedOn w:val="DefaultParagraphFont"/>
    <w:uiPriority w:val="99"/>
    <w:semiHidden/>
    <w:rsid w:val="00CB7F34"/>
    <w:rPr>
      <w:sz w:val="16"/>
      <w:szCs w:val="16"/>
    </w:rPr>
  </w:style>
  <w:style w:type="paragraph" w:styleId="CommentText">
    <w:name w:val="annotation text"/>
    <w:basedOn w:val="Normal"/>
    <w:link w:val="CommentTextChar"/>
    <w:uiPriority w:val="99"/>
    <w:semiHidden/>
    <w:rsid w:val="00363C07"/>
    <w:rPr>
      <w:sz w:val="20"/>
      <w:szCs w:val="20"/>
    </w:rPr>
  </w:style>
  <w:style w:type="paragraph" w:styleId="CommentSubject">
    <w:name w:val="annotation subject"/>
    <w:basedOn w:val="CommentText"/>
    <w:next w:val="CommentText"/>
    <w:semiHidden/>
    <w:rsid w:val="00CB7F34"/>
    <w:rPr>
      <w:b/>
      <w:bCs/>
    </w:rPr>
  </w:style>
  <w:style w:type="paragraph" w:styleId="BalloonText">
    <w:name w:val="Balloon Text"/>
    <w:basedOn w:val="Normal"/>
    <w:semiHidden/>
    <w:rsid w:val="00CB7F34"/>
    <w:rPr>
      <w:rFonts w:ascii="Tahoma" w:hAnsi="Tahoma" w:cs="Tahoma"/>
      <w:sz w:val="16"/>
      <w:szCs w:val="16"/>
    </w:rPr>
  </w:style>
  <w:style w:type="paragraph" w:styleId="BodyText">
    <w:name w:val="Body Text"/>
    <w:basedOn w:val="Normal"/>
    <w:rsid w:val="00CF3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olor w:val="000000"/>
    </w:rPr>
  </w:style>
  <w:style w:type="paragraph" w:styleId="BodyTextIndent">
    <w:name w:val="Body Text Indent"/>
    <w:basedOn w:val="Normal"/>
    <w:rsid w:val="00CF3F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Times New Roman" w:hAnsi="Times New Roman"/>
      <w:color w:val="000000"/>
    </w:rPr>
  </w:style>
  <w:style w:type="paragraph" w:styleId="NormalWeb">
    <w:name w:val="Normal (Web)"/>
    <w:basedOn w:val="Normal"/>
    <w:uiPriority w:val="99"/>
    <w:rsid w:val="00CF3FD8"/>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basedOn w:val="DefaultParagraphFont"/>
    <w:rsid w:val="00CF3FD8"/>
  </w:style>
  <w:style w:type="character" w:styleId="Strong">
    <w:name w:val="Strong"/>
    <w:basedOn w:val="DefaultParagraphFont"/>
    <w:uiPriority w:val="22"/>
    <w:qFormat/>
    <w:rsid w:val="00CF3FD8"/>
    <w:rPr>
      <w:b/>
      <w:bCs/>
    </w:rPr>
  </w:style>
  <w:style w:type="paragraph" w:styleId="Footer">
    <w:name w:val="footer"/>
    <w:basedOn w:val="Normal"/>
    <w:link w:val="FooterChar"/>
    <w:uiPriority w:val="99"/>
    <w:rsid w:val="00CF3FD8"/>
    <w:pPr>
      <w:tabs>
        <w:tab w:val="center" w:pos="4320"/>
        <w:tab w:val="right" w:pos="8640"/>
      </w:tabs>
    </w:pPr>
  </w:style>
  <w:style w:type="character" w:styleId="PageNumber">
    <w:name w:val="page number"/>
    <w:basedOn w:val="DefaultParagraphFont"/>
    <w:rsid w:val="00CF3FD8"/>
  </w:style>
  <w:style w:type="character" w:styleId="FollowedHyperlink">
    <w:name w:val="FollowedHyperlink"/>
    <w:basedOn w:val="DefaultParagraphFont"/>
    <w:rsid w:val="0063135E"/>
    <w:rPr>
      <w:color w:val="800080"/>
      <w:u w:val="single"/>
    </w:rPr>
  </w:style>
  <w:style w:type="paragraph" w:styleId="Header">
    <w:name w:val="header"/>
    <w:basedOn w:val="Normal"/>
    <w:rsid w:val="003A46FC"/>
    <w:pPr>
      <w:tabs>
        <w:tab w:val="center" w:pos="4320"/>
        <w:tab w:val="right" w:pos="8640"/>
      </w:tabs>
    </w:pPr>
  </w:style>
  <w:style w:type="paragraph" w:styleId="BodyTextIndent2">
    <w:name w:val="Body Text Indent 2"/>
    <w:basedOn w:val="Normal"/>
    <w:rsid w:val="00A16A95"/>
    <w:pPr>
      <w:spacing w:after="120" w:line="480" w:lineRule="auto"/>
      <w:ind w:left="360"/>
    </w:pPr>
  </w:style>
  <w:style w:type="paragraph" w:customStyle="1" w:styleId="Default">
    <w:name w:val="Default"/>
    <w:rsid w:val="003934CE"/>
    <w:pPr>
      <w:autoSpaceDE w:val="0"/>
      <w:autoSpaceDN w:val="0"/>
      <w:adjustRightInd w:val="0"/>
    </w:pPr>
    <w:rPr>
      <w:color w:val="000000"/>
      <w:sz w:val="24"/>
      <w:szCs w:val="24"/>
    </w:rPr>
  </w:style>
  <w:style w:type="character" w:styleId="Emphasis">
    <w:name w:val="Emphasis"/>
    <w:basedOn w:val="DefaultParagraphFont"/>
    <w:qFormat/>
    <w:rsid w:val="003934CE"/>
    <w:rPr>
      <w:rFonts w:cs="Times New Roman"/>
      <w:i/>
      <w:iCs/>
    </w:rPr>
  </w:style>
  <w:style w:type="table" w:styleId="TableGrid">
    <w:name w:val="Table Grid"/>
    <w:basedOn w:val="TableNormal"/>
    <w:uiPriority w:val="1"/>
    <w:rsid w:val="00485A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23EE5"/>
    <w:rPr>
      <w:rFonts w:ascii="Arial" w:hAnsi="Arial" w:cs="Arial"/>
      <w:b/>
      <w:bCs/>
      <w:i/>
      <w:iCs/>
      <w:sz w:val="28"/>
      <w:szCs w:val="28"/>
    </w:rPr>
  </w:style>
  <w:style w:type="character" w:customStyle="1" w:styleId="Heading7Char">
    <w:name w:val="Heading 7 Char"/>
    <w:basedOn w:val="DefaultParagraphFont"/>
    <w:link w:val="Heading7"/>
    <w:rsid w:val="00123EE5"/>
    <w:rPr>
      <w:b/>
      <w:sz w:val="28"/>
    </w:rPr>
  </w:style>
  <w:style w:type="paragraph" w:styleId="Title">
    <w:name w:val="Title"/>
    <w:basedOn w:val="Normal"/>
    <w:link w:val="TitleChar"/>
    <w:qFormat/>
    <w:rsid w:val="00123EE5"/>
    <w:pPr>
      <w:widowControl/>
      <w:autoSpaceDE/>
      <w:autoSpaceDN/>
      <w:adjustRightInd/>
      <w:jc w:val="center"/>
    </w:pPr>
    <w:rPr>
      <w:rFonts w:ascii="Times New Roman" w:hAnsi="Times New Roman"/>
      <w:b/>
      <w:bCs/>
      <w:szCs w:val="20"/>
    </w:rPr>
  </w:style>
  <w:style w:type="character" w:customStyle="1" w:styleId="TitleChar">
    <w:name w:val="Title Char"/>
    <w:basedOn w:val="DefaultParagraphFont"/>
    <w:link w:val="Title"/>
    <w:rsid w:val="00123EE5"/>
    <w:rPr>
      <w:b/>
      <w:bCs/>
      <w:sz w:val="24"/>
    </w:rPr>
  </w:style>
  <w:style w:type="paragraph" w:styleId="TOC2">
    <w:name w:val="toc 2"/>
    <w:basedOn w:val="Normal"/>
    <w:next w:val="Normal"/>
    <w:autoRedefine/>
    <w:uiPriority w:val="39"/>
    <w:rsid w:val="00123EE5"/>
    <w:pPr>
      <w:widowControl/>
      <w:tabs>
        <w:tab w:val="right" w:leader="dot" w:pos="9350"/>
      </w:tabs>
      <w:autoSpaceDE/>
      <w:autoSpaceDN/>
      <w:adjustRightInd/>
      <w:ind w:left="288"/>
    </w:pPr>
    <w:rPr>
      <w:rFonts w:ascii="Times New Roman" w:hAnsi="Times New Roman"/>
      <w:noProof/>
      <w:sz w:val="20"/>
      <w:szCs w:val="20"/>
    </w:rPr>
  </w:style>
  <w:style w:type="paragraph" w:styleId="TOC3">
    <w:name w:val="toc 3"/>
    <w:basedOn w:val="Normal"/>
    <w:next w:val="Normal"/>
    <w:autoRedefine/>
    <w:uiPriority w:val="39"/>
    <w:rsid w:val="00123EE5"/>
    <w:pPr>
      <w:widowControl/>
      <w:tabs>
        <w:tab w:val="left" w:pos="630"/>
        <w:tab w:val="right" w:leader="dot" w:pos="9360"/>
      </w:tabs>
      <w:autoSpaceDE/>
      <w:autoSpaceDN/>
      <w:adjustRightInd/>
    </w:pPr>
    <w:rPr>
      <w:rFonts w:ascii="Times New Roman" w:hAnsi="Times New Roman"/>
      <w:noProof/>
      <w:sz w:val="20"/>
      <w:szCs w:val="20"/>
    </w:rPr>
  </w:style>
  <w:style w:type="paragraph" w:styleId="TableofFigures">
    <w:name w:val="table of figures"/>
    <w:basedOn w:val="Normal"/>
    <w:next w:val="Normal"/>
    <w:rsid w:val="00123EE5"/>
    <w:pPr>
      <w:widowControl/>
      <w:autoSpaceDE/>
      <w:autoSpaceDN/>
      <w:adjustRightInd/>
      <w:ind w:left="400" w:hanging="400"/>
    </w:pPr>
    <w:rPr>
      <w:rFonts w:ascii="Times New Roman" w:hAnsi="Times New Roman"/>
      <w:sz w:val="20"/>
      <w:szCs w:val="20"/>
    </w:rPr>
  </w:style>
  <w:style w:type="paragraph" w:styleId="ListParagraph">
    <w:name w:val="List Paragraph"/>
    <w:basedOn w:val="Normal"/>
    <w:uiPriority w:val="34"/>
    <w:qFormat/>
    <w:rsid w:val="00AF640D"/>
    <w:pPr>
      <w:ind w:left="720"/>
      <w:contextualSpacing/>
    </w:pPr>
  </w:style>
  <w:style w:type="character" w:customStyle="1" w:styleId="Heading3Char">
    <w:name w:val="Heading 3 Char"/>
    <w:basedOn w:val="DefaultParagraphFont"/>
    <w:link w:val="Heading3"/>
    <w:rsid w:val="00C93152"/>
    <w:rPr>
      <w:rFonts w:ascii="Arial" w:hAnsi="Arial" w:cs="Arial"/>
      <w:b/>
      <w:bCs/>
      <w:sz w:val="26"/>
      <w:szCs w:val="26"/>
    </w:rPr>
  </w:style>
  <w:style w:type="paragraph" w:styleId="z-TopofForm">
    <w:name w:val="HTML Top of Form"/>
    <w:basedOn w:val="Normal"/>
    <w:link w:val="z-TopofFormChar"/>
    <w:rsid w:val="00C93152"/>
    <w:pPr>
      <w:widowControl/>
      <w:autoSpaceDE/>
      <w:autoSpaceDN/>
      <w:adjustRightInd/>
    </w:pPr>
    <w:rPr>
      <w:rFonts w:ascii="Times New Roman" w:hAnsi="Times New Roman"/>
      <w:szCs w:val="20"/>
    </w:rPr>
  </w:style>
  <w:style w:type="character" w:customStyle="1" w:styleId="z-TopofFormChar">
    <w:name w:val="z-Top of Form Char"/>
    <w:basedOn w:val="DefaultParagraphFont"/>
    <w:link w:val="z-TopofForm"/>
    <w:rsid w:val="00C93152"/>
    <w:rPr>
      <w:sz w:val="24"/>
    </w:rPr>
  </w:style>
  <w:style w:type="paragraph" w:styleId="FootnoteText">
    <w:name w:val="footnote text"/>
    <w:basedOn w:val="Normal"/>
    <w:link w:val="FootnoteTextChar"/>
    <w:rsid w:val="00C9315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C93152"/>
  </w:style>
  <w:style w:type="paragraph" w:customStyle="1" w:styleId="Technical5">
    <w:name w:val="Technical[5]"/>
    <w:basedOn w:val="Normal"/>
    <w:rsid w:val="00E2556A"/>
    <w:pPr>
      <w:widowControl/>
      <w:autoSpaceDE/>
      <w:autoSpaceDN/>
      <w:adjustRightInd/>
    </w:pPr>
    <w:rPr>
      <w:rFonts w:ascii="Times New Roman" w:hAnsi="Times New Roman"/>
      <w:b/>
      <w:sz w:val="20"/>
      <w:szCs w:val="20"/>
    </w:rPr>
  </w:style>
  <w:style w:type="paragraph" w:styleId="Caption">
    <w:name w:val="caption"/>
    <w:basedOn w:val="Normal"/>
    <w:next w:val="Normal"/>
    <w:qFormat/>
    <w:rsid w:val="00E2556A"/>
    <w:pPr>
      <w:widowControl/>
      <w:tabs>
        <w:tab w:val="left" w:pos="144"/>
        <w:tab w:val="left" w:pos="1440"/>
        <w:tab w:val="left" w:pos="2304"/>
        <w:tab w:val="left" w:pos="3744"/>
        <w:tab w:val="left" w:pos="5904"/>
        <w:tab w:val="left" w:pos="7056"/>
        <w:tab w:val="left" w:pos="8640"/>
      </w:tabs>
      <w:autoSpaceDE/>
      <w:autoSpaceDN/>
      <w:adjustRightInd/>
    </w:pPr>
    <w:rPr>
      <w:rFonts w:ascii="Times New Roman" w:hAnsi="Times New Roman"/>
      <w:b/>
      <w:szCs w:val="20"/>
    </w:rPr>
  </w:style>
  <w:style w:type="paragraph" w:customStyle="1" w:styleId="TEXT">
    <w:name w:val="TEXT"/>
    <w:basedOn w:val="Normal"/>
    <w:next w:val="Normal"/>
    <w:link w:val="TEXTChar"/>
    <w:autoRedefine/>
    <w:rsid w:val="00801FE7"/>
    <w:pPr>
      <w:widowControl/>
      <w:autoSpaceDE/>
      <w:autoSpaceDN/>
      <w:adjustRightInd/>
      <w:spacing w:after="240"/>
      <w:ind w:right="144"/>
    </w:pPr>
    <w:rPr>
      <w:rFonts w:asciiTheme="minorHAnsi" w:hAnsiTheme="minorHAnsi"/>
      <w:bCs/>
      <w:sz w:val="22"/>
    </w:rPr>
  </w:style>
  <w:style w:type="paragraph" w:customStyle="1" w:styleId="Text0">
    <w:name w:val="Text"/>
    <w:basedOn w:val="Normal"/>
    <w:link w:val="TextChar0"/>
    <w:autoRedefine/>
    <w:rsid w:val="005563FF"/>
    <w:pPr>
      <w:widowControl/>
      <w:autoSpaceDE/>
      <w:autoSpaceDN/>
      <w:adjustRightInd/>
      <w:spacing w:before="240" w:after="120"/>
      <w:ind w:left="2160"/>
    </w:pPr>
    <w:rPr>
      <w:rFonts w:ascii="Times New Roman" w:hAnsi="Times New Roman"/>
    </w:rPr>
  </w:style>
  <w:style w:type="character" w:customStyle="1" w:styleId="TextChar0">
    <w:name w:val="Text Char"/>
    <w:basedOn w:val="DefaultParagraphFont"/>
    <w:link w:val="Text0"/>
    <w:rsid w:val="005563FF"/>
    <w:rPr>
      <w:sz w:val="24"/>
      <w:szCs w:val="24"/>
    </w:rPr>
  </w:style>
  <w:style w:type="character" w:customStyle="1" w:styleId="TEXTChar">
    <w:name w:val="TEXT Char"/>
    <w:basedOn w:val="DefaultParagraphFont"/>
    <w:link w:val="TEXT"/>
    <w:rsid w:val="00801FE7"/>
    <w:rPr>
      <w:rFonts w:asciiTheme="minorHAnsi" w:hAnsiTheme="minorHAnsi"/>
      <w:bCs/>
      <w:sz w:val="22"/>
      <w:szCs w:val="24"/>
    </w:rPr>
  </w:style>
  <w:style w:type="paragraph" w:customStyle="1" w:styleId="Bullet">
    <w:name w:val="Bullet"/>
    <w:basedOn w:val="ListBullet5"/>
    <w:autoRedefine/>
    <w:rsid w:val="00801FE7"/>
    <w:pPr>
      <w:widowControl/>
      <w:tabs>
        <w:tab w:val="clear" w:pos="864"/>
      </w:tabs>
      <w:autoSpaceDE/>
      <w:autoSpaceDN/>
      <w:adjustRightInd/>
      <w:spacing w:line="360" w:lineRule="auto"/>
      <w:ind w:left="0" w:firstLine="0"/>
      <w:contextualSpacing w:val="0"/>
    </w:pPr>
    <w:rPr>
      <w:rFonts w:asciiTheme="minorHAnsi" w:hAnsiTheme="minorHAnsi"/>
      <w:sz w:val="22"/>
    </w:rPr>
  </w:style>
  <w:style w:type="paragraph" w:styleId="ListBullet5">
    <w:name w:val="List Bullet 5"/>
    <w:basedOn w:val="Normal"/>
    <w:rsid w:val="0045684C"/>
    <w:pPr>
      <w:tabs>
        <w:tab w:val="num" w:pos="864"/>
      </w:tabs>
      <w:ind w:left="864" w:hanging="360"/>
      <w:contextualSpacing/>
    </w:pPr>
  </w:style>
  <w:style w:type="paragraph" w:styleId="EndnoteText">
    <w:name w:val="endnote text"/>
    <w:basedOn w:val="Normal"/>
    <w:link w:val="EndnoteTextChar"/>
    <w:rsid w:val="00D633EA"/>
    <w:rPr>
      <w:sz w:val="20"/>
      <w:szCs w:val="20"/>
    </w:rPr>
  </w:style>
  <w:style w:type="character" w:customStyle="1" w:styleId="EndnoteTextChar">
    <w:name w:val="Endnote Text Char"/>
    <w:basedOn w:val="DefaultParagraphFont"/>
    <w:link w:val="EndnoteText"/>
    <w:rsid w:val="00D633EA"/>
    <w:rPr>
      <w:rFonts w:ascii="Times" w:hAnsi="Times"/>
    </w:rPr>
  </w:style>
  <w:style w:type="character" w:styleId="EndnoteReference">
    <w:name w:val="endnote reference"/>
    <w:basedOn w:val="DefaultParagraphFont"/>
    <w:rsid w:val="00D633EA"/>
    <w:rPr>
      <w:vertAlign w:val="superscript"/>
    </w:rPr>
  </w:style>
  <w:style w:type="character" w:customStyle="1" w:styleId="Heading1Char">
    <w:name w:val="Heading 1 Char"/>
    <w:basedOn w:val="DefaultParagraphFont"/>
    <w:link w:val="Heading1"/>
    <w:rsid w:val="004552AA"/>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link w:val="NoSpacingChar"/>
    <w:uiPriority w:val="1"/>
    <w:qFormat/>
    <w:rsid w:val="004552AA"/>
    <w:pPr>
      <w:widowControl/>
      <w:autoSpaceDE/>
      <w:autoSpaceDN/>
      <w:adjustRightInd/>
    </w:pPr>
    <w:rPr>
      <w:rFonts w:asciiTheme="minorHAnsi" w:eastAsiaTheme="minorEastAsia" w:hAnsiTheme="minorHAnsi" w:cstheme="minorBidi"/>
      <w:sz w:val="20"/>
      <w:szCs w:val="20"/>
      <w:lang w:bidi="en-US"/>
    </w:rPr>
  </w:style>
  <w:style w:type="character" w:customStyle="1" w:styleId="NoSpacingChar">
    <w:name w:val="No Spacing Char"/>
    <w:basedOn w:val="DefaultParagraphFont"/>
    <w:link w:val="NoSpacing"/>
    <w:uiPriority w:val="1"/>
    <w:rsid w:val="004552AA"/>
    <w:rPr>
      <w:rFonts w:asciiTheme="minorHAnsi" w:eastAsiaTheme="minorEastAsia" w:hAnsiTheme="minorHAnsi" w:cstheme="minorBidi"/>
      <w:lang w:bidi="en-US"/>
    </w:rPr>
  </w:style>
  <w:style w:type="paragraph" w:styleId="Revision">
    <w:name w:val="Revision"/>
    <w:hidden/>
    <w:uiPriority w:val="99"/>
    <w:semiHidden/>
    <w:rsid w:val="004B5633"/>
    <w:rPr>
      <w:rFonts w:ascii="Times" w:hAnsi="Times"/>
      <w:sz w:val="24"/>
      <w:szCs w:val="24"/>
    </w:rPr>
  </w:style>
  <w:style w:type="character" w:customStyle="1" w:styleId="CommentTextChar">
    <w:name w:val="Comment Text Char"/>
    <w:basedOn w:val="DefaultParagraphFont"/>
    <w:link w:val="CommentText"/>
    <w:uiPriority w:val="99"/>
    <w:semiHidden/>
    <w:rsid w:val="00A27771"/>
    <w:rPr>
      <w:rFonts w:ascii="Times" w:hAnsi="Times"/>
    </w:rPr>
  </w:style>
  <w:style w:type="paragraph" w:styleId="PlainText">
    <w:name w:val="Plain Text"/>
    <w:basedOn w:val="Normal"/>
    <w:link w:val="PlainTextChar"/>
    <w:uiPriority w:val="99"/>
    <w:unhideWhenUsed/>
    <w:rsid w:val="0036363E"/>
    <w:pPr>
      <w:widowControl/>
      <w:autoSpaceDE/>
      <w:autoSpaceDN/>
      <w:adjustRightInd/>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6363E"/>
    <w:rPr>
      <w:rFonts w:ascii="Consolas" w:eastAsiaTheme="minorEastAsia" w:hAnsi="Consolas" w:cstheme="minorBidi"/>
      <w:sz w:val="21"/>
      <w:szCs w:val="21"/>
    </w:rPr>
  </w:style>
  <w:style w:type="character" w:customStyle="1" w:styleId="FooterChar">
    <w:name w:val="Footer Char"/>
    <w:basedOn w:val="DefaultParagraphFont"/>
    <w:link w:val="Footer"/>
    <w:uiPriority w:val="99"/>
    <w:rsid w:val="00146E32"/>
    <w:rPr>
      <w:rFonts w:ascii="Times" w:hAnsi="Times"/>
      <w:sz w:val="24"/>
      <w:szCs w:val="24"/>
    </w:rPr>
  </w:style>
  <w:style w:type="paragraph" w:styleId="TOC1">
    <w:name w:val="toc 1"/>
    <w:basedOn w:val="Normal"/>
    <w:next w:val="Normal"/>
    <w:autoRedefine/>
    <w:uiPriority w:val="39"/>
    <w:rsid w:val="000E43AD"/>
    <w:pPr>
      <w:spacing w:after="100"/>
    </w:pPr>
  </w:style>
  <w:style w:type="paragraph" w:styleId="TOC9">
    <w:name w:val="toc 9"/>
    <w:basedOn w:val="Normal"/>
    <w:next w:val="Normal"/>
    <w:autoRedefine/>
    <w:rsid w:val="000E43AD"/>
    <w:pPr>
      <w:spacing w:after="100"/>
      <w:ind w:left="1920"/>
    </w:pPr>
  </w:style>
</w:styles>
</file>

<file path=word/webSettings.xml><?xml version="1.0" encoding="utf-8"?>
<w:webSettings xmlns:r="http://schemas.openxmlformats.org/officeDocument/2006/relationships" xmlns:w="http://schemas.openxmlformats.org/wordprocessingml/2006/main">
  <w:divs>
    <w:div w:id="63526796">
      <w:bodyDiv w:val="1"/>
      <w:marLeft w:val="0"/>
      <w:marRight w:val="0"/>
      <w:marTop w:val="0"/>
      <w:marBottom w:val="0"/>
      <w:divBdr>
        <w:top w:val="none" w:sz="0" w:space="0" w:color="auto"/>
        <w:left w:val="none" w:sz="0" w:space="0" w:color="auto"/>
        <w:bottom w:val="none" w:sz="0" w:space="0" w:color="auto"/>
        <w:right w:val="none" w:sz="0" w:space="0" w:color="auto"/>
      </w:divBdr>
    </w:div>
    <w:div w:id="99036349">
      <w:bodyDiv w:val="1"/>
      <w:marLeft w:val="0"/>
      <w:marRight w:val="0"/>
      <w:marTop w:val="0"/>
      <w:marBottom w:val="0"/>
      <w:divBdr>
        <w:top w:val="none" w:sz="0" w:space="0" w:color="auto"/>
        <w:left w:val="none" w:sz="0" w:space="0" w:color="auto"/>
        <w:bottom w:val="none" w:sz="0" w:space="0" w:color="auto"/>
        <w:right w:val="none" w:sz="0" w:space="0" w:color="auto"/>
      </w:divBdr>
    </w:div>
    <w:div w:id="284311385">
      <w:bodyDiv w:val="1"/>
      <w:marLeft w:val="0"/>
      <w:marRight w:val="0"/>
      <w:marTop w:val="0"/>
      <w:marBottom w:val="0"/>
      <w:divBdr>
        <w:top w:val="none" w:sz="0" w:space="0" w:color="auto"/>
        <w:left w:val="none" w:sz="0" w:space="0" w:color="auto"/>
        <w:bottom w:val="none" w:sz="0" w:space="0" w:color="auto"/>
        <w:right w:val="none" w:sz="0" w:space="0" w:color="auto"/>
      </w:divBdr>
    </w:div>
    <w:div w:id="287514854">
      <w:bodyDiv w:val="1"/>
      <w:marLeft w:val="0"/>
      <w:marRight w:val="0"/>
      <w:marTop w:val="0"/>
      <w:marBottom w:val="0"/>
      <w:divBdr>
        <w:top w:val="none" w:sz="0" w:space="0" w:color="auto"/>
        <w:left w:val="none" w:sz="0" w:space="0" w:color="auto"/>
        <w:bottom w:val="none" w:sz="0" w:space="0" w:color="auto"/>
        <w:right w:val="none" w:sz="0" w:space="0" w:color="auto"/>
      </w:divBdr>
    </w:div>
    <w:div w:id="383523926">
      <w:bodyDiv w:val="1"/>
      <w:marLeft w:val="0"/>
      <w:marRight w:val="0"/>
      <w:marTop w:val="0"/>
      <w:marBottom w:val="0"/>
      <w:divBdr>
        <w:top w:val="none" w:sz="0" w:space="0" w:color="auto"/>
        <w:left w:val="none" w:sz="0" w:space="0" w:color="auto"/>
        <w:bottom w:val="none" w:sz="0" w:space="0" w:color="auto"/>
        <w:right w:val="none" w:sz="0" w:space="0" w:color="auto"/>
      </w:divBdr>
    </w:div>
    <w:div w:id="390231682">
      <w:bodyDiv w:val="1"/>
      <w:marLeft w:val="0"/>
      <w:marRight w:val="0"/>
      <w:marTop w:val="0"/>
      <w:marBottom w:val="0"/>
      <w:divBdr>
        <w:top w:val="none" w:sz="0" w:space="0" w:color="auto"/>
        <w:left w:val="none" w:sz="0" w:space="0" w:color="auto"/>
        <w:bottom w:val="none" w:sz="0" w:space="0" w:color="auto"/>
        <w:right w:val="none" w:sz="0" w:space="0" w:color="auto"/>
      </w:divBdr>
    </w:div>
    <w:div w:id="412971392">
      <w:bodyDiv w:val="1"/>
      <w:marLeft w:val="0"/>
      <w:marRight w:val="0"/>
      <w:marTop w:val="0"/>
      <w:marBottom w:val="0"/>
      <w:divBdr>
        <w:top w:val="none" w:sz="0" w:space="0" w:color="auto"/>
        <w:left w:val="none" w:sz="0" w:space="0" w:color="auto"/>
        <w:bottom w:val="none" w:sz="0" w:space="0" w:color="auto"/>
        <w:right w:val="none" w:sz="0" w:space="0" w:color="auto"/>
      </w:divBdr>
    </w:div>
    <w:div w:id="545723388">
      <w:bodyDiv w:val="1"/>
      <w:marLeft w:val="0"/>
      <w:marRight w:val="0"/>
      <w:marTop w:val="0"/>
      <w:marBottom w:val="0"/>
      <w:divBdr>
        <w:top w:val="none" w:sz="0" w:space="0" w:color="auto"/>
        <w:left w:val="none" w:sz="0" w:space="0" w:color="auto"/>
        <w:bottom w:val="none" w:sz="0" w:space="0" w:color="auto"/>
        <w:right w:val="none" w:sz="0" w:space="0" w:color="auto"/>
      </w:divBdr>
    </w:div>
    <w:div w:id="558056977">
      <w:bodyDiv w:val="1"/>
      <w:marLeft w:val="0"/>
      <w:marRight w:val="0"/>
      <w:marTop w:val="0"/>
      <w:marBottom w:val="0"/>
      <w:divBdr>
        <w:top w:val="none" w:sz="0" w:space="0" w:color="auto"/>
        <w:left w:val="none" w:sz="0" w:space="0" w:color="auto"/>
        <w:bottom w:val="none" w:sz="0" w:space="0" w:color="auto"/>
        <w:right w:val="none" w:sz="0" w:space="0" w:color="auto"/>
      </w:divBdr>
      <w:divsChild>
        <w:div w:id="2000647617">
          <w:marLeft w:val="0"/>
          <w:marRight w:val="0"/>
          <w:marTop w:val="0"/>
          <w:marBottom w:val="0"/>
          <w:divBdr>
            <w:top w:val="none" w:sz="0" w:space="0" w:color="auto"/>
            <w:left w:val="none" w:sz="0" w:space="0" w:color="auto"/>
            <w:bottom w:val="none" w:sz="0" w:space="0" w:color="auto"/>
            <w:right w:val="none" w:sz="0" w:space="0" w:color="auto"/>
          </w:divBdr>
          <w:divsChild>
            <w:div w:id="1877698501">
              <w:marLeft w:val="0"/>
              <w:marRight w:val="0"/>
              <w:marTop w:val="0"/>
              <w:marBottom w:val="0"/>
              <w:divBdr>
                <w:top w:val="none" w:sz="0" w:space="0" w:color="auto"/>
                <w:left w:val="none" w:sz="0" w:space="0" w:color="auto"/>
                <w:bottom w:val="none" w:sz="0" w:space="0" w:color="auto"/>
                <w:right w:val="none" w:sz="0" w:space="0" w:color="auto"/>
              </w:divBdr>
            </w:div>
            <w:div w:id="578753130">
              <w:marLeft w:val="0"/>
              <w:marRight w:val="0"/>
              <w:marTop w:val="0"/>
              <w:marBottom w:val="0"/>
              <w:divBdr>
                <w:top w:val="none" w:sz="0" w:space="0" w:color="auto"/>
                <w:left w:val="none" w:sz="0" w:space="0" w:color="auto"/>
                <w:bottom w:val="none" w:sz="0" w:space="0" w:color="auto"/>
                <w:right w:val="none" w:sz="0" w:space="0" w:color="auto"/>
              </w:divBdr>
            </w:div>
            <w:div w:id="1289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9425">
      <w:bodyDiv w:val="1"/>
      <w:marLeft w:val="0"/>
      <w:marRight w:val="0"/>
      <w:marTop w:val="0"/>
      <w:marBottom w:val="0"/>
      <w:divBdr>
        <w:top w:val="none" w:sz="0" w:space="0" w:color="auto"/>
        <w:left w:val="none" w:sz="0" w:space="0" w:color="auto"/>
        <w:bottom w:val="none" w:sz="0" w:space="0" w:color="auto"/>
        <w:right w:val="none" w:sz="0" w:space="0" w:color="auto"/>
      </w:divBdr>
      <w:divsChild>
        <w:div w:id="364065736">
          <w:marLeft w:val="0"/>
          <w:marRight w:val="0"/>
          <w:marTop w:val="0"/>
          <w:marBottom w:val="0"/>
          <w:divBdr>
            <w:top w:val="none" w:sz="0" w:space="0" w:color="auto"/>
            <w:left w:val="none" w:sz="0" w:space="0" w:color="auto"/>
            <w:bottom w:val="none" w:sz="0" w:space="0" w:color="auto"/>
            <w:right w:val="none" w:sz="0" w:space="0" w:color="auto"/>
          </w:divBdr>
          <w:divsChild>
            <w:div w:id="56708085">
              <w:marLeft w:val="0"/>
              <w:marRight w:val="0"/>
              <w:marTop w:val="0"/>
              <w:marBottom w:val="0"/>
              <w:divBdr>
                <w:top w:val="none" w:sz="0" w:space="0" w:color="auto"/>
                <w:left w:val="none" w:sz="0" w:space="0" w:color="auto"/>
                <w:bottom w:val="none" w:sz="0" w:space="0" w:color="auto"/>
                <w:right w:val="none" w:sz="0" w:space="0" w:color="auto"/>
              </w:divBdr>
              <w:divsChild>
                <w:div w:id="1771706663">
                  <w:marLeft w:val="0"/>
                  <w:marRight w:val="0"/>
                  <w:marTop w:val="0"/>
                  <w:marBottom w:val="0"/>
                  <w:divBdr>
                    <w:top w:val="none" w:sz="0" w:space="0" w:color="auto"/>
                    <w:left w:val="none" w:sz="0" w:space="0" w:color="auto"/>
                    <w:bottom w:val="none" w:sz="0" w:space="0" w:color="auto"/>
                    <w:right w:val="none" w:sz="0" w:space="0" w:color="auto"/>
                  </w:divBdr>
                  <w:divsChild>
                    <w:div w:id="1048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21980">
      <w:bodyDiv w:val="1"/>
      <w:marLeft w:val="0"/>
      <w:marRight w:val="0"/>
      <w:marTop w:val="0"/>
      <w:marBottom w:val="0"/>
      <w:divBdr>
        <w:top w:val="none" w:sz="0" w:space="0" w:color="auto"/>
        <w:left w:val="none" w:sz="0" w:space="0" w:color="auto"/>
        <w:bottom w:val="none" w:sz="0" w:space="0" w:color="auto"/>
        <w:right w:val="none" w:sz="0" w:space="0" w:color="auto"/>
      </w:divBdr>
      <w:divsChild>
        <w:div w:id="1442914587">
          <w:marLeft w:val="0"/>
          <w:marRight w:val="0"/>
          <w:marTop w:val="0"/>
          <w:marBottom w:val="0"/>
          <w:divBdr>
            <w:top w:val="none" w:sz="0" w:space="0" w:color="auto"/>
            <w:left w:val="none" w:sz="0" w:space="0" w:color="auto"/>
            <w:bottom w:val="none" w:sz="0" w:space="0" w:color="auto"/>
            <w:right w:val="none" w:sz="0" w:space="0" w:color="auto"/>
          </w:divBdr>
          <w:divsChild>
            <w:div w:id="847906128">
              <w:marLeft w:val="0"/>
              <w:marRight w:val="0"/>
              <w:marTop w:val="0"/>
              <w:marBottom w:val="0"/>
              <w:divBdr>
                <w:top w:val="none" w:sz="0" w:space="0" w:color="auto"/>
                <w:left w:val="none" w:sz="0" w:space="0" w:color="auto"/>
                <w:bottom w:val="none" w:sz="0" w:space="0" w:color="auto"/>
                <w:right w:val="none" w:sz="0" w:space="0" w:color="auto"/>
              </w:divBdr>
              <w:divsChild>
                <w:div w:id="268709759">
                  <w:marLeft w:val="0"/>
                  <w:marRight w:val="0"/>
                  <w:marTop w:val="0"/>
                  <w:marBottom w:val="0"/>
                  <w:divBdr>
                    <w:top w:val="none" w:sz="0" w:space="0" w:color="auto"/>
                    <w:left w:val="none" w:sz="0" w:space="0" w:color="auto"/>
                    <w:bottom w:val="none" w:sz="0" w:space="0" w:color="auto"/>
                    <w:right w:val="none" w:sz="0" w:space="0" w:color="auto"/>
                  </w:divBdr>
                  <w:divsChild>
                    <w:div w:id="749741809">
                      <w:marLeft w:val="0"/>
                      <w:marRight w:val="0"/>
                      <w:marTop w:val="0"/>
                      <w:marBottom w:val="0"/>
                      <w:divBdr>
                        <w:top w:val="none" w:sz="0" w:space="0" w:color="auto"/>
                        <w:left w:val="none" w:sz="0" w:space="0" w:color="auto"/>
                        <w:bottom w:val="none" w:sz="0" w:space="0" w:color="auto"/>
                        <w:right w:val="none" w:sz="0" w:space="0" w:color="auto"/>
                      </w:divBdr>
                      <w:divsChild>
                        <w:div w:id="1762801499">
                          <w:marLeft w:val="0"/>
                          <w:marRight w:val="0"/>
                          <w:marTop w:val="0"/>
                          <w:marBottom w:val="0"/>
                          <w:divBdr>
                            <w:top w:val="none" w:sz="0" w:space="0" w:color="auto"/>
                            <w:left w:val="none" w:sz="0" w:space="0" w:color="auto"/>
                            <w:bottom w:val="none" w:sz="0" w:space="0" w:color="auto"/>
                            <w:right w:val="none" w:sz="0" w:space="0" w:color="auto"/>
                          </w:divBdr>
                          <w:divsChild>
                            <w:div w:id="8033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4371">
      <w:bodyDiv w:val="1"/>
      <w:marLeft w:val="0"/>
      <w:marRight w:val="0"/>
      <w:marTop w:val="0"/>
      <w:marBottom w:val="0"/>
      <w:divBdr>
        <w:top w:val="none" w:sz="0" w:space="0" w:color="auto"/>
        <w:left w:val="none" w:sz="0" w:space="0" w:color="auto"/>
        <w:bottom w:val="none" w:sz="0" w:space="0" w:color="auto"/>
        <w:right w:val="none" w:sz="0" w:space="0" w:color="auto"/>
      </w:divBdr>
    </w:div>
    <w:div w:id="722678666">
      <w:bodyDiv w:val="1"/>
      <w:marLeft w:val="0"/>
      <w:marRight w:val="0"/>
      <w:marTop w:val="0"/>
      <w:marBottom w:val="0"/>
      <w:divBdr>
        <w:top w:val="none" w:sz="0" w:space="0" w:color="auto"/>
        <w:left w:val="none" w:sz="0" w:space="0" w:color="auto"/>
        <w:bottom w:val="none" w:sz="0" w:space="0" w:color="auto"/>
        <w:right w:val="none" w:sz="0" w:space="0" w:color="auto"/>
      </w:divBdr>
    </w:div>
    <w:div w:id="781994623">
      <w:bodyDiv w:val="1"/>
      <w:marLeft w:val="0"/>
      <w:marRight w:val="0"/>
      <w:marTop w:val="0"/>
      <w:marBottom w:val="0"/>
      <w:divBdr>
        <w:top w:val="none" w:sz="0" w:space="0" w:color="auto"/>
        <w:left w:val="none" w:sz="0" w:space="0" w:color="auto"/>
        <w:bottom w:val="none" w:sz="0" w:space="0" w:color="auto"/>
        <w:right w:val="none" w:sz="0" w:space="0" w:color="auto"/>
      </w:divBdr>
    </w:div>
    <w:div w:id="831412840">
      <w:bodyDiv w:val="1"/>
      <w:marLeft w:val="0"/>
      <w:marRight w:val="0"/>
      <w:marTop w:val="0"/>
      <w:marBottom w:val="0"/>
      <w:divBdr>
        <w:top w:val="none" w:sz="0" w:space="0" w:color="auto"/>
        <w:left w:val="none" w:sz="0" w:space="0" w:color="auto"/>
        <w:bottom w:val="none" w:sz="0" w:space="0" w:color="auto"/>
        <w:right w:val="none" w:sz="0" w:space="0" w:color="auto"/>
      </w:divBdr>
    </w:div>
    <w:div w:id="843395579">
      <w:bodyDiv w:val="1"/>
      <w:marLeft w:val="0"/>
      <w:marRight w:val="0"/>
      <w:marTop w:val="0"/>
      <w:marBottom w:val="0"/>
      <w:divBdr>
        <w:top w:val="none" w:sz="0" w:space="0" w:color="auto"/>
        <w:left w:val="none" w:sz="0" w:space="0" w:color="auto"/>
        <w:bottom w:val="none" w:sz="0" w:space="0" w:color="auto"/>
        <w:right w:val="none" w:sz="0" w:space="0" w:color="auto"/>
      </w:divBdr>
    </w:div>
    <w:div w:id="878203922">
      <w:bodyDiv w:val="1"/>
      <w:marLeft w:val="0"/>
      <w:marRight w:val="0"/>
      <w:marTop w:val="0"/>
      <w:marBottom w:val="0"/>
      <w:divBdr>
        <w:top w:val="none" w:sz="0" w:space="0" w:color="auto"/>
        <w:left w:val="none" w:sz="0" w:space="0" w:color="auto"/>
        <w:bottom w:val="none" w:sz="0" w:space="0" w:color="auto"/>
        <w:right w:val="none" w:sz="0" w:space="0" w:color="auto"/>
      </w:divBdr>
    </w:div>
    <w:div w:id="887843424">
      <w:bodyDiv w:val="1"/>
      <w:marLeft w:val="0"/>
      <w:marRight w:val="0"/>
      <w:marTop w:val="0"/>
      <w:marBottom w:val="0"/>
      <w:divBdr>
        <w:top w:val="none" w:sz="0" w:space="0" w:color="auto"/>
        <w:left w:val="none" w:sz="0" w:space="0" w:color="auto"/>
        <w:bottom w:val="none" w:sz="0" w:space="0" w:color="auto"/>
        <w:right w:val="none" w:sz="0" w:space="0" w:color="auto"/>
      </w:divBdr>
      <w:divsChild>
        <w:div w:id="1247619273">
          <w:marLeft w:val="0"/>
          <w:marRight w:val="0"/>
          <w:marTop w:val="0"/>
          <w:marBottom w:val="0"/>
          <w:divBdr>
            <w:top w:val="none" w:sz="0" w:space="0" w:color="auto"/>
            <w:left w:val="none" w:sz="0" w:space="0" w:color="auto"/>
            <w:bottom w:val="none" w:sz="0" w:space="0" w:color="auto"/>
            <w:right w:val="none" w:sz="0" w:space="0" w:color="auto"/>
          </w:divBdr>
          <w:divsChild>
            <w:div w:id="1437630265">
              <w:marLeft w:val="0"/>
              <w:marRight w:val="0"/>
              <w:marTop w:val="0"/>
              <w:marBottom w:val="0"/>
              <w:divBdr>
                <w:top w:val="none" w:sz="0" w:space="0" w:color="auto"/>
                <w:left w:val="none" w:sz="0" w:space="0" w:color="auto"/>
                <w:bottom w:val="none" w:sz="0" w:space="0" w:color="auto"/>
                <w:right w:val="none" w:sz="0" w:space="0" w:color="auto"/>
              </w:divBdr>
              <w:divsChild>
                <w:div w:id="26835325">
                  <w:marLeft w:val="0"/>
                  <w:marRight w:val="0"/>
                  <w:marTop w:val="0"/>
                  <w:marBottom w:val="0"/>
                  <w:divBdr>
                    <w:top w:val="none" w:sz="0" w:space="0" w:color="auto"/>
                    <w:left w:val="none" w:sz="0" w:space="0" w:color="auto"/>
                    <w:bottom w:val="none" w:sz="0" w:space="0" w:color="auto"/>
                    <w:right w:val="none" w:sz="0" w:space="0" w:color="auto"/>
                  </w:divBdr>
                  <w:divsChild>
                    <w:div w:id="1331719499">
                      <w:marLeft w:val="0"/>
                      <w:marRight w:val="0"/>
                      <w:marTop w:val="0"/>
                      <w:marBottom w:val="0"/>
                      <w:divBdr>
                        <w:top w:val="none" w:sz="0" w:space="0" w:color="auto"/>
                        <w:left w:val="none" w:sz="0" w:space="0" w:color="auto"/>
                        <w:bottom w:val="none" w:sz="0" w:space="0" w:color="auto"/>
                        <w:right w:val="none" w:sz="0" w:space="0" w:color="auto"/>
                      </w:divBdr>
                      <w:divsChild>
                        <w:div w:id="2113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028">
      <w:bodyDiv w:val="1"/>
      <w:marLeft w:val="0"/>
      <w:marRight w:val="0"/>
      <w:marTop w:val="0"/>
      <w:marBottom w:val="0"/>
      <w:divBdr>
        <w:top w:val="none" w:sz="0" w:space="0" w:color="auto"/>
        <w:left w:val="none" w:sz="0" w:space="0" w:color="auto"/>
        <w:bottom w:val="none" w:sz="0" w:space="0" w:color="auto"/>
        <w:right w:val="none" w:sz="0" w:space="0" w:color="auto"/>
      </w:divBdr>
    </w:div>
    <w:div w:id="905184334">
      <w:bodyDiv w:val="1"/>
      <w:marLeft w:val="0"/>
      <w:marRight w:val="0"/>
      <w:marTop w:val="0"/>
      <w:marBottom w:val="0"/>
      <w:divBdr>
        <w:top w:val="none" w:sz="0" w:space="0" w:color="auto"/>
        <w:left w:val="none" w:sz="0" w:space="0" w:color="auto"/>
        <w:bottom w:val="none" w:sz="0" w:space="0" w:color="auto"/>
        <w:right w:val="none" w:sz="0" w:space="0" w:color="auto"/>
      </w:divBdr>
    </w:div>
    <w:div w:id="925847257">
      <w:bodyDiv w:val="1"/>
      <w:marLeft w:val="0"/>
      <w:marRight w:val="0"/>
      <w:marTop w:val="0"/>
      <w:marBottom w:val="0"/>
      <w:divBdr>
        <w:top w:val="none" w:sz="0" w:space="0" w:color="auto"/>
        <w:left w:val="none" w:sz="0" w:space="0" w:color="auto"/>
        <w:bottom w:val="none" w:sz="0" w:space="0" w:color="auto"/>
        <w:right w:val="none" w:sz="0" w:space="0" w:color="auto"/>
      </w:divBdr>
    </w:div>
    <w:div w:id="1070346079">
      <w:bodyDiv w:val="1"/>
      <w:marLeft w:val="0"/>
      <w:marRight w:val="0"/>
      <w:marTop w:val="0"/>
      <w:marBottom w:val="0"/>
      <w:divBdr>
        <w:top w:val="none" w:sz="0" w:space="0" w:color="auto"/>
        <w:left w:val="none" w:sz="0" w:space="0" w:color="auto"/>
        <w:bottom w:val="none" w:sz="0" w:space="0" w:color="auto"/>
        <w:right w:val="none" w:sz="0" w:space="0" w:color="auto"/>
      </w:divBdr>
      <w:divsChild>
        <w:div w:id="1991858874">
          <w:marLeft w:val="0"/>
          <w:marRight w:val="0"/>
          <w:marTop w:val="0"/>
          <w:marBottom w:val="0"/>
          <w:divBdr>
            <w:top w:val="none" w:sz="0" w:space="0" w:color="auto"/>
            <w:left w:val="none" w:sz="0" w:space="0" w:color="auto"/>
            <w:bottom w:val="none" w:sz="0" w:space="0" w:color="auto"/>
            <w:right w:val="none" w:sz="0" w:space="0" w:color="auto"/>
          </w:divBdr>
          <w:divsChild>
            <w:div w:id="644823134">
              <w:marLeft w:val="0"/>
              <w:marRight w:val="0"/>
              <w:marTop w:val="0"/>
              <w:marBottom w:val="0"/>
              <w:divBdr>
                <w:top w:val="none" w:sz="0" w:space="0" w:color="auto"/>
                <w:left w:val="none" w:sz="0" w:space="0" w:color="auto"/>
                <w:bottom w:val="none" w:sz="0" w:space="0" w:color="auto"/>
                <w:right w:val="none" w:sz="0" w:space="0" w:color="auto"/>
              </w:divBdr>
              <w:divsChild>
                <w:div w:id="915940172">
                  <w:marLeft w:val="0"/>
                  <w:marRight w:val="0"/>
                  <w:marTop w:val="0"/>
                  <w:marBottom w:val="0"/>
                  <w:divBdr>
                    <w:top w:val="none" w:sz="0" w:space="0" w:color="auto"/>
                    <w:left w:val="none" w:sz="0" w:space="0" w:color="auto"/>
                    <w:bottom w:val="none" w:sz="0" w:space="0" w:color="auto"/>
                    <w:right w:val="none" w:sz="0" w:space="0" w:color="auto"/>
                  </w:divBdr>
                  <w:divsChild>
                    <w:div w:id="978343259">
                      <w:marLeft w:val="0"/>
                      <w:marRight w:val="0"/>
                      <w:marTop w:val="0"/>
                      <w:marBottom w:val="0"/>
                      <w:divBdr>
                        <w:top w:val="none" w:sz="0" w:space="0" w:color="auto"/>
                        <w:left w:val="none" w:sz="0" w:space="0" w:color="auto"/>
                        <w:bottom w:val="none" w:sz="0" w:space="0" w:color="auto"/>
                        <w:right w:val="none" w:sz="0" w:space="0" w:color="auto"/>
                      </w:divBdr>
                      <w:divsChild>
                        <w:div w:id="9263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09560">
      <w:bodyDiv w:val="1"/>
      <w:marLeft w:val="0"/>
      <w:marRight w:val="0"/>
      <w:marTop w:val="0"/>
      <w:marBottom w:val="0"/>
      <w:divBdr>
        <w:top w:val="none" w:sz="0" w:space="0" w:color="auto"/>
        <w:left w:val="none" w:sz="0" w:space="0" w:color="auto"/>
        <w:bottom w:val="none" w:sz="0" w:space="0" w:color="auto"/>
        <w:right w:val="none" w:sz="0" w:space="0" w:color="auto"/>
      </w:divBdr>
      <w:divsChild>
        <w:div w:id="1342778646">
          <w:marLeft w:val="0"/>
          <w:marRight w:val="0"/>
          <w:marTop w:val="0"/>
          <w:marBottom w:val="0"/>
          <w:divBdr>
            <w:top w:val="none" w:sz="0" w:space="0" w:color="auto"/>
            <w:left w:val="none" w:sz="0" w:space="0" w:color="auto"/>
            <w:bottom w:val="none" w:sz="0" w:space="0" w:color="auto"/>
            <w:right w:val="none" w:sz="0" w:space="0" w:color="auto"/>
          </w:divBdr>
          <w:divsChild>
            <w:div w:id="1602715555">
              <w:marLeft w:val="0"/>
              <w:marRight w:val="0"/>
              <w:marTop w:val="0"/>
              <w:marBottom w:val="0"/>
              <w:divBdr>
                <w:top w:val="none" w:sz="0" w:space="0" w:color="auto"/>
                <w:left w:val="none" w:sz="0" w:space="0" w:color="auto"/>
                <w:bottom w:val="none" w:sz="0" w:space="0" w:color="auto"/>
                <w:right w:val="none" w:sz="0" w:space="0" w:color="auto"/>
              </w:divBdr>
              <w:divsChild>
                <w:div w:id="914244665">
                  <w:marLeft w:val="0"/>
                  <w:marRight w:val="0"/>
                  <w:marTop w:val="0"/>
                  <w:marBottom w:val="0"/>
                  <w:divBdr>
                    <w:top w:val="none" w:sz="0" w:space="0" w:color="auto"/>
                    <w:left w:val="none" w:sz="0" w:space="0" w:color="auto"/>
                    <w:bottom w:val="none" w:sz="0" w:space="0" w:color="auto"/>
                    <w:right w:val="none" w:sz="0" w:space="0" w:color="auto"/>
                  </w:divBdr>
                  <w:divsChild>
                    <w:div w:id="1177497838">
                      <w:marLeft w:val="0"/>
                      <w:marRight w:val="0"/>
                      <w:marTop w:val="0"/>
                      <w:marBottom w:val="0"/>
                      <w:divBdr>
                        <w:top w:val="none" w:sz="0" w:space="0" w:color="auto"/>
                        <w:left w:val="none" w:sz="0" w:space="0" w:color="auto"/>
                        <w:bottom w:val="none" w:sz="0" w:space="0" w:color="auto"/>
                        <w:right w:val="none" w:sz="0" w:space="0" w:color="auto"/>
                      </w:divBdr>
                      <w:divsChild>
                        <w:div w:id="1026831038">
                          <w:marLeft w:val="0"/>
                          <w:marRight w:val="0"/>
                          <w:marTop w:val="0"/>
                          <w:marBottom w:val="0"/>
                          <w:divBdr>
                            <w:top w:val="none" w:sz="0" w:space="0" w:color="auto"/>
                            <w:left w:val="none" w:sz="0" w:space="0" w:color="auto"/>
                            <w:bottom w:val="none" w:sz="0" w:space="0" w:color="auto"/>
                            <w:right w:val="none" w:sz="0" w:space="0" w:color="auto"/>
                          </w:divBdr>
                          <w:divsChild>
                            <w:div w:id="1754277562">
                              <w:marLeft w:val="-225"/>
                              <w:marRight w:val="0"/>
                              <w:marTop w:val="0"/>
                              <w:marBottom w:val="0"/>
                              <w:divBdr>
                                <w:top w:val="none" w:sz="0" w:space="0" w:color="auto"/>
                                <w:left w:val="none" w:sz="0" w:space="0" w:color="auto"/>
                                <w:bottom w:val="none" w:sz="0" w:space="0" w:color="auto"/>
                                <w:right w:val="none" w:sz="0" w:space="0" w:color="auto"/>
                              </w:divBdr>
                              <w:divsChild>
                                <w:div w:id="1397390874">
                                  <w:marLeft w:val="0"/>
                                  <w:marRight w:val="0"/>
                                  <w:marTop w:val="0"/>
                                  <w:marBottom w:val="0"/>
                                  <w:divBdr>
                                    <w:top w:val="none" w:sz="0" w:space="0" w:color="auto"/>
                                    <w:left w:val="none" w:sz="0" w:space="0" w:color="auto"/>
                                    <w:bottom w:val="none" w:sz="0" w:space="0" w:color="auto"/>
                                    <w:right w:val="none" w:sz="0" w:space="0" w:color="auto"/>
                                  </w:divBdr>
                                  <w:divsChild>
                                    <w:div w:id="325404986">
                                      <w:marLeft w:val="0"/>
                                      <w:marRight w:val="0"/>
                                      <w:marTop w:val="0"/>
                                      <w:marBottom w:val="0"/>
                                      <w:divBdr>
                                        <w:top w:val="none" w:sz="0" w:space="0" w:color="auto"/>
                                        <w:left w:val="none" w:sz="0" w:space="0" w:color="auto"/>
                                        <w:bottom w:val="none" w:sz="0" w:space="0" w:color="auto"/>
                                        <w:right w:val="none" w:sz="0" w:space="0" w:color="auto"/>
                                      </w:divBdr>
                                      <w:divsChild>
                                        <w:div w:id="1135492681">
                                          <w:marLeft w:val="0"/>
                                          <w:marRight w:val="0"/>
                                          <w:marTop w:val="0"/>
                                          <w:marBottom w:val="0"/>
                                          <w:divBdr>
                                            <w:top w:val="none" w:sz="0" w:space="0" w:color="auto"/>
                                            <w:left w:val="none" w:sz="0" w:space="0" w:color="auto"/>
                                            <w:bottom w:val="none" w:sz="0" w:space="0" w:color="auto"/>
                                            <w:right w:val="none" w:sz="0" w:space="0" w:color="auto"/>
                                          </w:divBdr>
                                          <w:divsChild>
                                            <w:div w:id="1649436267">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689113221">
                                                      <w:marLeft w:val="0"/>
                                                      <w:marRight w:val="0"/>
                                                      <w:marTop w:val="0"/>
                                                      <w:marBottom w:val="0"/>
                                                      <w:divBdr>
                                                        <w:top w:val="none" w:sz="0" w:space="0" w:color="auto"/>
                                                        <w:left w:val="none" w:sz="0" w:space="0" w:color="auto"/>
                                                        <w:bottom w:val="none" w:sz="0" w:space="0" w:color="auto"/>
                                                        <w:right w:val="none" w:sz="0" w:space="0" w:color="auto"/>
                                                      </w:divBdr>
                                                      <w:divsChild>
                                                        <w:div w:id="528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529274">
      <w:bodyDiv w:val="1"/>
      <w:marLeft w:val="0"/>
      <w:marRight w:val="0"/>
      <w:marTop w:val="0"/>
      <w:marBottom w:val="0"/>
      <w:divBdr>
        <w:top w:val="none" w:sz="0" w:space="0" w:color="auto"/>
        <w:left w:val="none" w:sz="0" w:space="0" w:color="auto"/>
        <w:bottom w:val="none" w:sz="0" w:space="0" w:color="auto"/>
        <w:right w:val="none" w:sz="0" w:space="0" w:color="auto"/>
      </w:divBdr>
    </w:div>
    <w:div w:id="1310280206">
      <w:bodyDiv w:val="1"/>
      <w:marLeft w:val="0"/>
      <w:marRight w:val="0"/>
      <w:marTop w:val="0"/>
      <w:marBottom w:val="0"/>
      <w:divBdr>
        <w:top w:val="none" w:sz="0" w:space="0" w:color="auto"/>
        <w:left w:val="none" w:sz="0" w:space="0" w:color="auto"/>
        <w:bottom w:val="none" w:sz="0" w:space="0" w:color="auto"/>
        <w:right w:val="none" w:sz="0" w:space="0" w:color="auto"/>
      </w:divBdr>
    </w:div>
    <w:div w:id="1362778247">
      <w:bodyDiv w:val="1"/>
      <w:marLeft w:val="0"/>
      <w:marRight w:val="0"/>
      <w:marTop w:val="0"/>
      <w:marBottom w:val="0"/>
      <w:divBdr>
        <w:top w:val="none" w:sz="0" w:space="0" w:color="auto"/>
        <w:left w:val="none" w:sz="0" w:space="0" w:color="auto"/>
        <w:bottom w:val="none" w:sz="0" w:space="0" w:color="auto"/>
        <w:right w:val="none" w:sz="0" w:space="0" w:color="auto"/>
      </w:divBdr>
    </w:div>
    <w:div w:id="1391343658">
      <w:bodyDiv w:val="1"/>
      <w:marLeft w:val="0"/>
      <w:marRight w:val="0"/>
      <w:marTop w:val="0"/>
      <w:marBottom w:val="0"/>
      <w:divBdr>
        <w:top w:val="none" w:sz="0" w:space="0" w:color="auto"/>
        <w:left w:val="none" w:sz="0" w:space="0" w:color="auto"/>
        <w:bottom w:val="none" w:sz="0" w:space="0" w:color="auto"/>
        <w:right w:val="none" w:sz="0" w:space="0" w:color="auto"/>
      </w:divBdr>
      <w:divsChild>
        <w:div w:id="2012640787">
          <w:marLeft w:val="0"/>
          <w:marRight w:val="0"/>
          <w:marTop w:val="0"/>
          <w:marBottom w:val="0"/>
          <w:divBdr>
            <w:top w:val="none" w:sz="0" w:space="0" w:color="auto"/>
            <w:left w:val="none" w:sz="0" w:space="0" w:color="auto"/>
            <w:bottom w:val="none" w:sz="0" w:space="0" w:color="auto"/>
            <w:right w:val="none" w:sz="0" w:space="0" w:color="auto"/>
          </w:divBdr>
          <w:divsChild>
            <w:div w:id="1976642246">
              <w:marLeft w:val="0"/>
              <w:marRight w:val="0"/>
              <w:marTop w:val="0"/>
              <w:marBottom w:val="0"/>
              <w:divBdr>
                <w:top w:val="none" w:sz="0" w:space="0" w:color="auto"/>
                <w:left w:val="none" w:sz="0" w:space="0" w:color="auto"/>
                <w:bottom w:val="none" w:sz="0" w:space="0" w:color="auto"/>
                <w:right w:val="none" w:sz="0" w:space="0" w:color="auto"/>
              </w:divBdr>
              <w:divsChild>
                <w:div w:id="1693140743">
                  <w:marLeft w:val="0"/>
                  <w:marRight w:val="0"/>
                  <w:marTop w:val="0"/>
                  <w:marBottom w:val="0"/>
                  <w:divBdr>
                    <w:top w:val="none" w:sz="0" w:space="0" w:color="auto"/>
                    <w:left w:val="none" w:sz="0" w:space="0" w:color="auto"/>
                    <w:bottom w:val="none" w:sz="0" w:space="0" w:color="auto"/>
                    <w:right w:val="none" w:sz="0" w:space="0" w:color="auto"/>
                  </w:divBdr>
                  <w:divsChild>
                    <w:div w:id="5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3814">
      <w:bodyDiv w:val="1"/>
      <w:marLeft w:val="0"/>
      <w:marRight w:val="0"/>
      <w:marTop w:val="0"/>
      <w:marBottom w:val="0"/>
      <w:divBdr>
        <w:top w:val="none" w:sz="0" w:space="0" w:color="auto"/>
        <w:left w:val="none" w:sz="0" w:space="0" w:color="auto"/>
        <w:bottom w:val="none" w:sz="0" w:space="0" w:color="auto"/>
        <w:right w:val="none" w:sz="0" w:space="0" w:color="auto"/>
      </w:divBdr>
    </w:div>
    <w:div w:id="1418668011">
      <w:bodyDiv w:val="1"/>
      <w:marLeft w:val="0"/>
      <w:marRight w:val="0"/>
      <w:marTop w:val="0"/>
      <w:marBottom w:val="0"/>
      <w:divBdr>
        <w:top w:val="none" w:sz="0" w:space="0" w:color="auto"/>
        <w:left w:val="none" w:sz="0" w:space="0" w:color="auto"/>
        <w:bottom w:val="none" w:sz="0" w:space="0" w:color="auto"/>
        <w:right w:val="none" w:sz="0" w:space="0" w:color="auto"/>
      </w:divBdr>
    </w:div>
    <w:div w:id="1530993446">
      <w:bodyDiv w:val="1"/>
      <w:marLeft w:val="0"/>
      <w:marRight w:val="0"/>
      <w:marTop w:val="0"/>
      <w:marBottom w:val="0"/>
      <w:divBdr>
        <w:top w:val="none" w:sz="0" w:space="0" w:color="auto"/>
        <w:left w:val="none" w:sz="0" w:space="0" w:color="auto"/>
        <w:bottom w:val="none" w:sz="0" w:space="0" w:color="auto"/>
        <w:right w:val="none" w:sz="0" w:space="0" w:color="auto"/>
      </w:divBdr>
    </w:div>
    <w:div w:id="1771272180">
      <w:bodyDiv w:val="1"/>
      <w:marLeft w:val="0"/>
      <w:marRight w:val="0"/>
      <w:marTop w:val="0"/>
      <w:marBottom w:val="0"/>
      <w:divBdr>
        <w:top w:val="none" w:sz="0" w:space="0" w:color="auto"/>
        <w:left w:val="none" w:sz="0" w:space="0" w:color="auto"/>
        <w:bottom w:val="none" w:sz="0" w:space="0" w:color="auto"/>
        <w:right w:val="none" w:sz="0" w:space="0" w:color="auto"/>
      </w:divBdr>
    </w:div>
    <w:div w:id="1776708945">
      <w:bodyDiv w:val="1"/>
      <w:marLeft w:val="0"/>
      <w:marRight w:val="0"/>
      <w:marTop w:val="0"/>
      <w:marBottom w:val="0"/>
      <w:divBdr>
        <w:top w:val="none" w:sz="0" w:space="0" w:color="auto"/>
        <w:left w:val="none" w:sz="0" w:space="0" w:color="auto"/>
        <w:bottom w:val="none" w:sz="0" w:space="0" w:color="auto"/>
        <w:right w:val="none" w:sz="0" w:space="0" w:color="auto"/>
      </w:divBdr>
      <w:divsChild>
        <w:div w:id="1774746288">
          <w:marLeft w:val="0"/>
          <w:marRight w:val="0"/>
          <w:marTop w:val="0"/>
          <w:marBottom w:val="0"/>
          <w:divBdr>
            <w:top w:val="none" w:sz="0" w:space="0" w:color="auto"/>
            <w:left w:val="none" w:sz="0" w:space="0" w:color="auto"/>
            <w:bottom w:val="none" w:sz="0" w:space="0" w:color="auto"/>
            <w:right w:val="none" w:sz="0" w:space="0" w:color="auto"/>
          </w:divBdr>
          <w:divsChild>
            <w:div w:id="642465152">
              <w:marLeft w:val="0"/>
              <w:marRight w:val="0"/>
              <w:marTop w:val="0"/>
              <w:marBottom w:val="0"/>
              <w:divBdr>
                <w:top w:val="none" w:sz="0" w:space="0" w:color="auto"/>
                <w:left w:val="none" w:sz="0" w:space="0" w:color="auto"/>
                <w:bottom w:val="none" w:sz="0" w:space="0" w:color="auto"/>
                <w:right w:val="none" w:sz="0" w:space="0" w:color="auto"/>
              </w:divBdr>
              <w:divsChild>
                <w:div w:id="2053578255">
                  <w:marLeft w:val="0"/>
                  <w:marRight w:val="0"/>
                  <w:marTop w:val="0"/>
                  <w:marBottom w:val="0"/>
                  <w:divBdr>
                    <w:top w:val="none" w:sz="0" w:space="0" w:color="auto"/>
                    <w:left w:val="none" w:sz="0" w:space="0" w:color="auto"/>
                    <w:bottom w:val="none" w:sz="0" w:space="0" w:color="auto"/>
                    <w:right w:val="none" w:sz="0" w:space="0" w:color="auto"/>
                  </w:divBdr>
                  <w:divsChild>
                    <w:div w:id="1218585182">
                      <w:marLeft w:val="0"/>
                      <w:marRight w:val="0"/>
                      <w:marTop w:val="0"/>
                      <w:marBottom w:val="0"/>
                      <w:divBdr>
                        <w:top w:val="none" w:sz="0" w:space="0" w:color="auto"/>
                        <w:left w:val="none" w:sz="0" w:space="0" w:color="auto"/>
                        <w:bottom w:val="none" w:sz="0" w:space="0" w:color="auto"/>
                        <w:right w:val="none" w:sz="0" w:space="0" w:color="auto"/>
                      </w:divBdr>
                      <w:divsChild>
                        <w:div w:id="1020738973">
                          <w:marLeft w:val="0"/>
                          <w:marRight w:val="0"/>
                          <w:marTop w:val="0"/>
                          <w:marBottom w:val="0"/>
                          <w:divBdr>
                            <w:top w:val="none" w:sz="0" w:space="0" w:color="auto"/>
                            <w:left w:val="none" w:sz="0" w:space="0" w:color="auto"/>
                            <w:bottom w:val="none" w:sz="0" w:space="0" w:color="auto"/>
                            <w:right w:val="none" w:sz="0" w:space="0" w:color="auto"/>
                          </w:divBdr>
                          <w:divsChild>
                            <w:div w:id="16313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3624">
      <w:bodyDiv w:val="1"/>
      <w:marLeft w:val="0"/>
      <w:marRight w:val="0"/>
      <w:marTop w:val="0"/>
      <w:marBottom w:val="0"/>
      <w:divBdr>
        <w:top w:val="none" w:sz="0" w:space="0" w:color="auto"/>
        <w:left w:val="none" w:sz="0" w:space="0" w:color="auto"/>
        <w:bottom w:val="none" w:sz="0" w:space="0" w:color="auto"/>
        <w:right w:val="none" w:sz="0" w:space="0" w:color="auto"/>
      </w:divBdr>
    </w:div>
    <w:div w:id="1820147256">
      <w:bodyDiv w:val="1"/>
      <w:marLeft w:val="0"/>
      <w:marRight w:val="0"/>
      <w:marTop w:val="0"/>
      <w:marBottom w:val="0"/>
      <w:divBdr>
        <w:top w:val="none" w:sz="0" w:space="0" w:color="auto"/>
        <w:left w:val="none" w:sz="0" w:space="0" w:color="auto"/>
        <w:bottom w:val="none" w:sz="0" w:space="0" w:color="auto"/>
        <w:right w:val="none" w:sz="0" w:space="0" w:color="auto"/>
      </w:divBdr>
      <w:divsChild>
        <w:div w:id="781262219">
          <w:marLeft w:val="0"/>
          <w:marRight w:val="0"/>
          <w:marTop w:val="0"/>
          <w:marBottom w:val="0"/>
          <w:divBdr>
            <w:top w:val="none" w:sz="0" w:space="0" w:color="auto"/>
            <w:left w:val="none" w:sz="0" w:space="0" w:color="auto"/>
            <w:bottom w:val="none" w:sz="0" w:space="0" w:color="auto"/>
            <w:right w:val="none" w:sz="0" w:space="0" w:color="auto"/>
          </w:divBdr>
          <w:divsChild>
            <w:div w:id="1149056011">
              <w:marLeft w:val="0"/>
              <w:marRight w:val="0"/>
              <w:marTop w:val="0"/>
              <w:marBottom w:val="0"/>
              <w:divBdr>
                <w:top w:val="none" w:sz="0" w:space="0" w:color="auto"/>
                <w:left w:val="none" w:sz="0" w:space="0" w:color="auto"/>
                <w:bottom w:val="none" w:sz="0" w:space="0" w:color="auto"/>
                <w:right w:val="none" w:sz="0" w:space="0" w:color="auto"/>
              </w:divBdr>
              <w:divsChild>
                <w:div w:id="394471919">
                  <w:marLeft w:val="0"/>
                  <w:marRight w:val="0"/>
                  <w:marTop w:val="0"/>
                  <w:marBottom w:val="0"/>
                  <w:divBdr>
                    <w:top w:val="none" w:sz="0" w:space="0" w:color="auto"/>
                    <w:left w:val="none" w:sz="0" w:space="0" w:color="auto"/>
                    <w:bottom w:val="none" w:sz="0" w:space="0" w:color="auto"/>
                    <w:right w:val="none" w:sz="0" w:space="0" w:color="auto"/>
                  </w:divBdr>
                  <w:divsChild>
                    <w:div w:id="553352001">
                      <w:marLeft w:val="0"/>
                      <w:marRight w:val="0"/>
                      <w:marTop w:val="0"/>
                      <w:marBottom w:val="0"/>
                      <w:divBdr>
                        <w:top w:val="none" w:sz="0" w:space="0" w:color="auto"/>
                        <w:left w:val="none" w:sz="0" w:space="0" w:color="auto"/>
                        <w:bottom w:val="none" w:sz="0" w:space="0" w:color="auto"/>
                        <w:right w:val="none" w:sz="0" w:space="0" w:color="auto"/>
                      </w:divBdr>
                      <w:divsChild>
                        <w:div w:id="17772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67203">
      <w:bodyDiv w:val="1"/>
      <w:marLeft w:val="0"/>
      <w:marRight w:val="0"/>
      <w:marTop w:val="0"/>
      <w:marBottom w:val="0"/>
      <w:divBdr>
        <w:top w:val="none" w:sz="0" w:space="0" w:color="auto"/>
        <w:left w:val="none" w:sz="0" w:space="0" w:color="auto"/>
        <w:bottom w:val="none" w:sz="0" w:space="0" w:color="auto"/>
        <w:right w:val="none" w:sz="0" w:space="0" w:color="auto"/>
      </w:divBdr>
    </w:div>
    <w:div w:id="1864316269">
      <w:bodyDiv w:val="1"/>
      <w:marLeft w:val="0"/>
      <w:marRight w:val="0"/>
      <w:marTop w:val="0"/>
      <w:marBottom w:val="0"/>
      <w:divBdr>
        <w:top w:val="none" w:sz="0" w:space="0" w:color="auto"/>
        <w:left w:val="none" w:sz="0" w:space="0" w:color="auto"/>
        <w:bottom w:val="none" w:sz="0" w:space="0" w:color="auto"/>
        <w:right w:val="none" w:sz="0" w:space="0" w:color="auto"/>
      </w:divBdr>
    </w:div>
    <w:div w:id="1873378055">
      <w:bodyDiv w:val="1"/>
      <w:marLeft w:val="0"/>
      <w:marRight w:val="0"/>
      <w:marTop w:val="0"/>
      <w:marBottom w:val="0"/>
      <w:divBdr>
        <w:top w:val="none" w:sz="0" w:space="0" w:color="auto"/>
        <w:left w:val="none" w:sz="0" w:space="0" w:color="auto"/>
        <w:bottom w:val="none" w:sz="0" w:space="0" w:color="auto"/>
        <w:right w:val="none" w:sz="0" w:space="0" w:color="auto"/>
      </w:divBdr>
      <w:divsChild>
        <w:div w:id="394206583">
          <w:marLeft w:val="0"/>
          <w:marRight w:val="0"/>
          <w:marTop w:val="0"/>
          <w:marBottom w:val="0"/>
          <w:divBdr>
            <w:top w:val="none" w:sz="0" w:space="0" w:color="auto"/>
            <w:left w:val="none" w:sz="0" w:space="0" w:color="auto"/>
            <w:bottom w:val="none" w:sz="0" w:space="0" w:color="auto"/>
            <w:right w:val="none" w:sz="0" w:space="0" w:color="auto"/>
          </w:divBdr>
          <w:divsChild>
            <w:div w:id="552548283">
              <w:marLeft w:val="0"/>
              <w:marRight w:val="0"/>
              <w:marTop w:val="0"/>
              <w:marBottom w:val="0"/>
              <w:divBdr>
                <w:top w:val="none" w:sz="0" w:space="0" w:color="auto"/>
                <w:left w:val="none" w:sz="0" w:space="0" w:color="auto"/>
                <w:bottom w:val="none" w:sz="0" w:space="0" w:color="auto"/>
                <w:right w:val="none" w:sz="0" w:space="0" w:color="auto"/>
              </w:divBdr>
              <w:divsChild>
                <w:div w:id="1606957434">
                  <w:marLeft w:val="0"/>
                  <w:marRight w:val="0"/>
                  <w:marTop w:val="0"/>
                  <w:marBottom w:val="0"/>
                  <w:divBdr>
                    <w:top w:val="none" w:sz="0" w:space="0" w:color="auto"/>
                    <w:left w:val="none" w:sz="0" w:space="0" w:color="auto"/>
                    <w:bottom w:val="none" w:sz="0" w:space="0" w:color="auto"/>
                    <w:right w:val="none" w:sz="0" w:space="0" w:color="auto"/>
                  </w:divBdr>
                  <w:divsChild>
                    <w:div w:id="130246876">
                      <w:marLeft w:val="0"/>
                      <w:marRight w:val="0"/>
                      <w:marTop w:val="0"/>
                      <w:marBottom w:val="0"/>
                      <w:divBdr>
                        <w:top w:val="none" w:sz="0" w:space="0" w:color="auto"/>
                        <w:left w:val="none" w:sz="0" w:space="0" w:color="auto"/>
                        <w:bottom w:val="none" w:sz="0" w:space="0" w:color="auto"/>
                        <w:right w:val="none" w:sz="0" w:space="0" w:color="auto"/>
                      </w:divBdr>
                      <w:divsChild>
                        <w:div w:id="452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atimes.com" TargetMode="External"/><Relationship Id="rId21" Type="http://schemas.openxmlformats.org/officeDocument/2006/relationships/hyperlink" Target="http://www.eia.gov/petroleum/marketing/monthly/" TargetMode="External"/><Relationship Id="rId42" Type="http://schemas.openxmlformats.org/officeDocument/2006/relationships/hyperlink" Target="http://www.eia.gov/petroleum/supply/annual/volume1/" TargetMode="External"/><Relationship Id="rId63" Type="http://schemas.openxmlformats.org/officeDocument/2006/relationships/hyperlink" Target="http://eere.energy.gov" TargetMode="External"/><Relationship Id="rId84" Type="http://schemas.openxmlformats.org/officeDocument/2006/relationships/hyperlink" Target="http://nyserda.ny.gov" TargetMode="External"/><Relationship Id="rId138" Type="http://schemas.openxmlformats.org/officeDocument/2006/relationships/hyperlink" Target="http://online.wsj.com/home-page" TargetMode="External"/><Relationship Id="rId159" Type="http://schemas.openxmlformats.org/officeDocument/2006/relationships/hyperlink" Target="http://www.ap.org" TargetMode="External"/><Relationship Id="rId170" Type="http://schemas.openxmlformats.org/officeDocument/2006/relationships/hyperlink" Target="http://www.bls.gov/ppi/home.htm" TargetMode="External"/><Relationship Id="rId191" Type="http://schemas.openxmlformats.org/officeDocument/2006/relationships/hyperlink" Target="http://www.lundbergsurvey.com/" TargetMode="External"/><Relationship Id="rId205" Type="http://schemas.openxmlformats.org/officeDocument/2006/relationships/header" Target="header6.xml"/><Relationship Id="rId16" Type="http://schemas.openxmlformats.org/officeDocument/2006/relationships/image" Target="media/image3.jpeg"/><Relationship Id="rId107" Type="http://schemas.openxmlformats.org/officeDocument/2006/relationships/hyperlink" Target="http://www.eia.gov/todayinenergy/detail.cfm?id=4890" TargetMode="External"/><Relationship Id="rId11" Type="http://schemas.openxmlformats.org/officeDocument/2006/relationships/header" Target="header2.xml"/><Relationship Id="rId32" Type="http://schemas.openxmlformats.org/officeDocument/2006/relationships/hyperlink" Target="http://www.eia.gov/oil_gas/natural_gas/data_publications/crude_oil_natural_gas_reserves/cr.html" TargetMode="External"/><Relationship Id="rId37" Type="http://schemas.openxmlformats.org/officeDocument/2006/relationships/hyperlink" Target="http://www.eia.gov/oil_gas/petroleum/data_publications/weekly_petroleum_status_report/wpsr.html" TargetMode="External"/><Relationship Id="rId53" Type="http://schemas.openxmlformats.org/officeDocument/2006/relationships/hyperlink" Target="http://www.eia.gov/petroleum/marketing/monthly/" TargetMode="External"/><Relationship Id="rId58" Type="http://schemas.openxmlformats.org/officeDocument/2006/relationships/hyperlink" Target="http://www.eia.gov/petroleum/gasdiesel/" TargetMode="External"/><Relationship Id="rId74" Type="http://schemas.openxmlformats.org/officeDocument/2006/relationships/hyperlink" Target="http://www.energy.ca.gov/index.html" TargetMode="External"/><Relationship Id="rId79" Type="http://schemas.openxmlformats.org/officeDocument/2006/relationships/hyperlink" Target="http://dnr.louisiana.gov/tad" TargetMode="External"/><Relationship Id="rId102" Type="http://schemas.openxmlformats.org/officeDocument/2006/relationships/hyperlink" Target="http://www.eia.gov/todayinenergy/detail.cfm?id=5730" TargetMode="External"/><Relationship Id="rId123" Type="http://schemas.openxmlformats.org/officeDocument/2006/relationships/hyperlink" Target="http://www1.eere.energy.gov/wip/wap.html" TargetMode="External"/><Relationship Id="rId128" Type="http://schemas.openxmlformats.org/officeDocument/2006/relationships/hyperlink" Target="http://online.wsj.com/home-page" TargetMode="External"/><Relationship Id="rId144" Type="http://schemas.openxmlformats.org/officeDocument/2006/relationships/hyperlink" Target="http://www.ap.org" TargetMode="External"/><Relationship Id="rId149" Type="http://schemas.openxmlformats.org/officeDocument/2006/relationships/hyperlink" Target="http://www.washingtonpost.com" TargetMode="External"/><Relationship Id="rId5" Type="http://schemas.openxmlformats.org/officeDocument/2006/relationships/webSettings" Target="webSettings.xml"/><Relationship Id="rId90" Type="http://schemas.openxmlformats.org/officeDocument/2006/relationships/hyperlink" Target="http://www.eia.gov/survey/form/eia_182/proposed/form.pdf" TargetMode="External"/><Relationship Id="rId95" Type="http://schemas.openxmlformats.org/officeDocument/2006/relationships/hyperlink" Target="http://www.eia.gov/survey/form/eia_863/proposed/form.pdf" TargetMode="External"/><Relationship Id="rId160" Type="http://schemas.openxmlformats.org/officeDocument/2006/relationships/hyperlink" Target="http://www.latimes.com" TargetMode="External"/><Relationship Id="rId165" Type="http://schemas.openxmlformats.org/officeDocument/2006/relationships/hyperlink" Target="http://www.platts.com/Products/oilgrampricereport" TargetMode="External"/><Relationship Id="rId181" Type="http://schemas.openxmlformats.org/officeDocument/2006/relationships/hyperlink" Target="http://www.axxispetro.com/market/index.html" TargetMode="External"/><Relationship Id="rId186" Type="http://schemas.openxmlformats.org/officeDocument/2006/relationships/hyperlink" Target="http://www.mei.edu/middle-east-journal" TargetMode="External"/><Relationship Id="rId22" Type="http://schemas.openxmlformats.org/officeDocument/2006/relationships/hyperlink" Target="http://www.eia.gov/petroleum/supply/monthly/" TargetMode="External"/><Relationship Id="rId27" Type="http://schemas.openxmlformats.org/officeDocument/2006/relationships/hyperlink" Target="http://www.eia.gov/oil_gas/petroleum/data_publications/weekly_petroleum_status_report/wpsr.html" TargetMode="External"/><Relationship Id="rId43" Type="http://schemas.openxmlformats.org/officeDocument/2006/relationships/hyperlink" Target="http://www.eia.gov/petroleum/supply/annual/volume2/" TargetMode="External"/><Relationship Id="rId48" Type="http://schemas.openxmlformats.org/officeDocument/2006/relationships/hyperlink" Target="http://www.eia.gov/petroleum/marketing/monthly/" TargetMode="External"/><Relationship Id="rId64" Type="http://schemas.openxmlformats.org/officeDocument/2006/relationships/hyperlink" Target="http://www.eia.gov" TargetMode="External"/><Relationship Id="rId69" Type="http://schemas.openxmlformats.org/officeDocument/2006/relationships/hyperlink" Target="http://www.bls.gov/" TargetMode="External"/><Relationship Id="rId113" Type="http://schemas.openxmlformats.org/officeDocument/2006/relationships/hyperlink" Target="http://www/energyalamac.ca.gov/petroleum/index.html" TargetMode="External"/><Relationship Id="rId118" Type="http://schemas.openxmlformats.org/officeDocument/2006/relationships/hyperlink" Target="http://www.nytimes.com/" TargetMode="External"/><Relationship Id="rId134" Type="http://schemas.openxmlformats.org/officeDocument/2006/relationships/hyperlink" Target="http://www.washingtonpost.com" TargetMode="External"/><Relationship Id="rId139" Type="http://schemas.openxmlformats.org/officeDocument/2006/relationships/hyperlink" Target="http://www.washingtonpost.com" TargetMode="External"/><Relationship Id="rId80" Type="http://schemas.openxmlformats.org/officeDocument/2006/relationships/hyperlink" Target="http://www.energy.state.md.us" TargetMode="External"/><Relationship Id="rId85" Type="http://schemas.openxmlformats.org/officeDocument/2006/relationships/hyperlink" Target="http://www.depweb.state.pa.us/energy" TargetMode="External"/><Relationship Id="rId150" Type="http://schemas.openxmlformats.org/officeDocument/2006/relationships/hyperlink" Target="http://www.sddc.army.mil/GCD/Fuel%20Surcharge/Fuel%20Surcharge%20policy%206-30-10%20version%20(ELB)%20(2)_14_SEP_2010.pdf" TargetMode="External"/><Relationship Id="rId155" Type="http://schemas.openxmlformats.org/officeDocument/2006/relationships/hyperlink" Target="http://www.promover.org/content.asp?pl+21&amp;sl=3&amp;contentid=35" TargetMode="External"/><Relationship Id="rId171" Type="http://schemas.openxmlformats.org/officeDocument/2006/relationships/hyperlink" Target="http://www.census.gov/eos/www/naics/" TargetMode="External"/><Relationship Id="rId176" Type="http://schemas.openxmlformats.org/officeDocument/2006/relationships/hyperlink" Target="http://www.aaa.com" TargetMode="External"/><Relationship Id="rId192" Type="http://schemas.openxmlformats.org/officeDocument/2006/relationships/hyperlink" Target="http://www.eia.gov/oil_gas/petroleum/data_publications/prime_supplier_report/psr.html" TargetMode="External"/><Relationship Id="rId197" Type="http://schemas.openxmlformats.org/officeDocument/2006/relationships/hyperlink" Target="http://www.eia.gov/oog/info/twip/twip.asp" TargetMode="External"/><Relationship Id="rId206" Type="http://schemas.openxmlformats.org/officeDocument/2006/relationships/fontTable" Target="fontTable.xml"/><Relationship Id="rId201" Type="http://schemas.openxmlformats.org/officeDocument/2006/relationships/hyperlink" Target="http://www.eia.gov/petroleum/fueloilkerosene/" TargetMode="External"/><Relationship Id="rId12" Type="http://schemas.openxmlformats.org/officeDocument/2006/relationships/footer" Target="footer1.xml"/><Relationship Id="rId17" Type="http://schemas.openxmlformats.org/officeDocument/2006/relationships/hyperlink" Target="http://www.eia.gov/glossary/index.cfm?id=Petroleum%20Administration%20for%20Defense%20District" TargetMode="External"/><Relationship Id="rId33" Type="http://schemas.openxmlformats.org/officeDocument/2006/relationships/hyperlink" Target="http://www.eia.gov/totalenergy/data/monthly/" TargetMode="External"/><Relationship Id="rId38" Type="http://schemas.openxmlformats.org/officeDocument/2006/relationships/hyperlink" Target="http://www.eia.gov/state/seds/seds-data-fuel.cfm" TargetMode="External"/><Relationship Id="rId59" Type="http://schemas.openxmlformats.org/officeDocument/2006/relationships/hyperlink" Target="http://www.eia.gov/oil_gas/petroleum/data_publications/weekly_petroleum_status_report/wpsr.html" TargetMode="External"/><Relationship Id="rId103" Type="http://schemas.openxmlformats.org/officeDocument/2006/relationships/hyperlink" Target="http://www.bloomberg.com/quote/DOERIMPO:IND" TargetMode="External"/><Relationship Id="rId108" Type="http://schemas.openxmlformats.org/officeDocument/2006/relationships/hyperlink" Target="http://www.fossil.energy.gov/programs/reserves/" TargetMode="External"/><Relationship Id="rId124" Type="http://schemas.openxmlformats.org/officeDocument/2006/relationships/hyperlink" Target="http://www.oregon.gov/OHCS/SOS_Low_Income_Weatherization_Assistance_Oregon.shtml" TargetMode="External"/><Relationship Id="rId129" Type="http://schemas.openxmlformats.org/officeDocument/2006/relationships/hyperlink" Target="http://www.washingtonpost.com" TargetMode="External"/><Relationship Id="rId54" Type="http://schemas.openxmlformats.org/officeDocument/2006/relationships/hyperlink" Target="http://www.eia.gov/oog/info/hopu/hopu.asp" TargetMode="External"/><Relationship Id="rId70" Type="http://schemas.openxmlformats.org/officeDocument/2006/relationships/hyperlink" Target="http://www.irs.gov/" TargetMode="External"/><Relationship Id="rId75" Type="http://schemas.openxmlformats.org/officeDocument/2006/relationships/hyperlink" Target="http://www.opm.state.ct.us/pdpd2/energy/enserv.htm" TargetMode="External"/><Relationship Id="rId91" Type="http://schemas.openxmlformats.org/officeDocument/2006/relationships/hyperlink" Target="http://www.eia.gov/survey/form/eia_782A/proposed/form.pdf" TargetMode="External"/><Relationship Id="rId96" Type="http://schemas.openxmlformats.org/officeDocument/2006/relationships/hyperlink" Target="http://www.eia.gov/survey/form/eia_877/proposed/form.pdf" TargetMode="External"/><Relationship Id="rId140" Type="http://schemas.openxmlformats.org/officeDocument/2006/relationships/hyperlink" Target="http://www.eia.gov/forecasts/steo/special/summer/2012_summer_fuels.pdf" TargetMode="External"/><Relationship Id="rId145" Type="http://schemas.openxmlformats.org/officeDocument/2006/relationships/hyperlink" Target="http://www.latimes.com" TargetMode="External"/><Relationship Id="rId161" Type="http://schemas.openxmlformats.org/officeDocument/2006/relationships/hyperlink" Target="http://www.nytimes.com/" TargetMode="External"/><Relationship Id="rId166" Type="http://schemas.openxmlformats.org/officeDocument/2006/relationships/hyperlink" Target="http://petroleuminsights.blogspot.com/p/data.html" TargetMode="External"/><Relationship Id="rId182" Type="http://schemas.openxmlformats.org/officeDocument/2006/relationships/hyperlink" Target="http://www.lundbergsurvey.com/" TargetMode="External"/><Relationship Id="rId187" Type="http://schemas.openxmlformats.org/officeDocument/2006/relationships/hyperlink" Target="http://ogsonline.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ia.gov/oil_gas/petroleum/data_publications/prime_supplier_report/psr.html" TargetMode="External"/><Relationship Id="rId28" Type="http://schemas.openxmlformats.org/officeDocument/2006/relationships/hyperlink" Target="http://www.eia.gov/totalenergy/data/annual/" TargetMode="External"/><Relationship Id="rId49" Type="http://schemas.openxmlformats.org/officeDocument/2006/relationships/hyperlink" Target="http://www.eia.gov/state/seds/seds-data-fuel.cfm" TargetMode="External"/><Relationship Id="rId114" Type="http://schemas.openxmlformats.org/officeDocument/2006/relationships/hyperlink" Target="http://dnr.louisiana.gov/assets/TAD/newsletters/2012/2012-03.pdf" TargetMode="External"/><Relationship Id="rId119" Type="http://schemas.openxmlformats.org/officeDocument/2006/relationships/hyperlink" Target="http://www.usatoday.com" TargetMode="External"/><Relationship Id="rId44" Type="http://schemas.openxmlformats.org/officeDocument/2006/relationships/hyperlink" Target="http://www.eia.gov/pub/oil_gas/natural_gas/data_publications/cost_indices_equipment_production/current/coststudy.html" TargetMode="External"/><Relationship Id="rId60" Type="http://schemas.openxmlformats.org/officeDocument/2006/relationships/hyperlink" Target="http://www.cbp.gov" TargetMode="External"/><Relationship Id="rId65" Type="http://schemas.openxmlformats.org/officeDocument/2006/relationships/hyperlink" Target="http://www.fe.doe.gov" TargetMode="External"/><Relationship Id="rId81" Type="http://schemas.openxmlformats.org/officeDocument/2006/relationships/hyperlink" Target="http://www.mass.gov/doer/" TargetMode="External"/><Relationship Id="rId86" Type="http://schemas.openxmlformats.org/officeDocument/2006/relationships/hyperlink" Target="http://www.dmme.virginia/gov/index.shtml" TargetMode="External"/><Relationship Id="rId130" Type="http://schemas.openxmlformats.org/officeDocument/2006/relationships/hyperlink" Target="http://www.latimes.com" TargetMode="External"/><Relationship Id="rId135" Type="http://schemas.openxmlformats.org/officeDocument/2006/relationships/hyperlink" Target="http://www.latimes.com" TargetMode="External"/><Relationship Id="rId151" Type="http://schemas.openxmlformats.org/officeDocument/2006/relationships/hyperlink" Target="http://www.ttnews.com/fuel/national.aspx" TargetMode="External"/><Relationship Id="rId156" Type="http://schemas.openxmlformats.org/officeDocument/2006/relationships/hyperlink" Target="http://www.reuters.com" TargetMode="External"/><Relationship Id="rId177" Type="http://schemas.openxmlformats.org/officeDocument/2006/relationships/hyperlink" Target="http://www.opisnet.com" TargetMode="External"/><Relationship Id="rId198" Type="http://schemas.openxmlformats.org/officeDocument/2006/relationships/hyperlink" Target="http://www.eia.gov/oog/info/hopu/hopu.asp" TargetMode="External"/><Relationship Id="rId172" Type="http://schemas.openxmlformats.org/officeDocument/2006/relationships/hyperlink" Target="http://www.eia.gov/FTPROOT/features/comparison7822010.pdf" TargetMode="External"/><Relationship Id="rId193" Type="http://schemas.openxmlformats.org/officeDocument/2006/relationships/hyperlink" Target="http://www.gpo.gov/fdsys/pkg/FR-2012-03-06/pdf/2012-5386.pdf" TargetMode="External"/><Relationship Id="rId202" Type="http://schemas.openxmlformats.org/officeDocument/2006/relationships/header" Target="header4.xml"/><Relationship Id="rId207"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hyperlink" Target="http://www.eia.gov/petroleum/supply/annual/volume1/" TargetMode="External"/><Relationship Id="rId39" Type="http://schemas.openxmlformats.org/officeDocument/2006/relationships/hyperlink" Target="http://www.eia.gov/forecasts/steo/uncertainty/" TargetMode="External"/><Relationship Id="rId109" Type="http://schemas.openxmlformats.org/officeDocument/2006/relationships/hyperlink" Target="http://www.fossil.energy.gov/programs/reserves/" TargetMode="External"/><Relationship Id="rId34" Type="http://schemas.openxmlformats.org/officeDocument/2006/relationships/hyperlink" Target="http://www.eia.gov/forecasts/steo/" TargetMode="External"/><Relationship Id="rId50" Type="http://schemas.openxmlformats.org/officeDocument/2006/relationships/hyperlink" Target="http://www.eia.gov/oil_gas/petroleum/data_publications/prime_supplier_report/psr.html" TargetMode="External"/><Relationship Id="rId55" Type="http://schemas.openxmlformats.org/officeDocument/2006/relationships/hyperlink" Target="http://www.eia.gov/oil_gas/petroleum/data_publications/weekly_petroleum_status_report/wpsr.html" TargetMode="External"/><Relationship Id="rId76" Type="http://schemas.openxmlformats.org/officeDocument/2006/relationships/hyperlink" Target="http://www.energy.dnrec.delaware.gov" TargetMode="External"/><Relationship Id="rId97" Type="http://schemas.openxmlformats.org/officeDocument/2006/relationships/hyperlink" Target="http://www.eia.gov/survey/form/eia_878/proposed/form.pdf" TargetMode="External"/><Relationship Id="rId104" Type="http://schemas.openxmlformats.org/officeDocument/2006/relationships/hyperlink" Target="http://www.eia.gov/petroleum/supply/monthly/" TargetMode="External"/><Relationship Id="rId120" Type="http://schemas.openxmlformats.org/officeDocument/2006/relationships/hyperlink" Target="http://online.wsj.com/home-page" TargetMode="External"/><Relationship Id="rId125" Type="http://schemas.openxmlformats.org/officeDocument/2006/relationships/hyperlink" Target="http://www.latimes.com" TargetMode="External"/><Relationship Id="rId141" Type="http://schemas.openxmlformats.org/officeDocument/2006/relationships/hyperlink" Target="http://www.reuters.com" TargetMode="External"/><Relationship Id="rId146" Type="http://schemas.openxmlformats.org/officeDocument/2006/relationships/hyperlink" Target="http://www.nytimes.com/" TargetMode="External"/><Relationship Id="rId167" Type="http://schemas.openxmlformats.org/officeDocument/2006/relationships/hyperlink" Target="http://www.bls.gov/ppi/home.htm" TargetMode="External"/><Relationship Id="rId188" Type="http://schemas.openxmlformats.org/officeDocument/2006/relationships/hyperlink" Target="http://www.oilexpress.com" TargetMode="External"/><Relationship Id="rId7" Type="http://schemas.openxmlformats.org/officeDocument/2006/relationships/endnotes" Target="endnotes.xml"/><Relationship Id="rId71" Type="http://schemas.openxmlformats.org/officeDocument/2006/relationships/hyperlink" Target="http://www.fhwa.dot.gov/" TargetMode="External"/><Relationship Id="rId92" Type="http://schemas.openxmlformats.org/officeDocument/2006/relationships/hyperlink" Target="http://www.eia.gov/survey/form/eia_782C/proposed/form.pdf" TargetMode="External"/><Relationship Id="rId162" Type="http://schemas.openxmlformats.org/officeDocument/2006/relationships/hyperlink" Target="http://www.usatoday.com" TargetMode="External"/><Relationship Id="rId183" Type="http://schemas.openxmlformats.org/officeDocument/2006/relationships/hyperlink" Target="http://www.bls.gov/cpi" TargetMode="External"/><Relationship Id="rId2" Type="http://schemas.openxmlformats.org/officeDocument/2006/relationships/numbering" Target="numbering.xml"/><Relationship Id="rId29" Type="http://schemas.openxmlformats.org/officeDocument/2006/relationships/hyperlink" Target="http://www.eia.gov/forecasts/aeo/er" TargetMode="External"/><Relationship Id="rId24" Type="http://schemas.openxmlformats.org/officeDocument/2006/relationships/hyperlink" Target="http://www.eia.gov/petroleum/gasdiesel/" TargetMode="External"/><Relationship Id="rId40" Type="http://schemas.openxmlformats.org/officeDocument/2006/relationships/hyperlink" Target="http://www.eia.gov/petroleum/marketing/monthly/" TargetMode="External"/><Relationship Id="rId45" Type="http://schemas.openxmlformats.org/officeDocument/2006/relationships/hyperlink" Target="http://www.eia.gov/petroleum/marketing/monthly/" TargetMode="External"/><Relationship Id="rId66" Type="http://schemas.openxmlformats.org/officeDocument/2006/relationships/hyperlink" Target="http://www1.eere.energy.gov/wip/wap.html" TargetMode="External"/><Relationship Id="rId87" Type="http://schemas.openxmlformats.org/officeDocument/2006/relationships/hyperlink" Target="http://www.commerce.wa.gov/site/526/default.aspx" TargetMode="External"/><Relationship Id="rId110" Type="http://schemas.openxmlformats.org/officeDocument/2006/relationships/hyperlink" Target="http://www.fossil.energy.gov/programs/reserves/" TargetMode="External"/><Relationship Id="rId115" Type="http://schemas.openxmlformats.org/officeDocument/2006/relationships/hyperlink" Target="http://www.dmme.virginia.gov/DMR3/oil.shtml" TargetMode="External"/><Relationship Id="rId131" Type="http://schemas.openxmlformats.org/officeDocument/2006/relationships/hyperlink" Target="http://www.nytimes.com/" TargetMode="External"/><Relationship Id="rId136" Type="http://schemas.openxmlformats.org/officeDocument/2006/relationships/hyperlink" Target="http://www.nytimes.com/" TargetMode="External"/><Relationship Id="rId157" Type="http://schemas.openxmlformats.org/officeDocument/2006/relationships/hyperlink" Target="http://www.bloomberg.com" TargetMode="External"/><Relationship Id="rId178" Type="http://schemas.openxmlformats.org/officeDocument/2006/relationships/hyperlink" Target="http://www.bls.gov/cpi" TargetMode="External"/><Relationship Id="rId61" Type="http://schemas.openxmlformats.org/officeDocument/2006/relationships/hyperlink" Target="http://www.bea.gov/" TargetMode="External"/><Relationship Id="rId82" Type="http://schemas.openxmlformats.org/officeDocument/2006/relationships/hyperlink" Target="http://www.nh.gov/oep/" TargetMode="External"/><Relationship Id="rId152" Type="http://schemas.openxmlformats.org/officeDocument/2006/relationships/hyperlink" Target="http://www.joc.com/" TargetMode="External"/><Relationship Id="rId173" Type="http://schemas.openxmlformats.org/officeDocument/2006/relationships/hyperlink" Target="http://www.fhwa.dot.gov/ohim/mmfr/dec04/index.htm" TargetMode="External"/><Relationship Id="rId194" Type="http://schemas.openxmlformats.org/officeDocument/2006/relationships/hyperlink" Target="http://www.eia.gov/oss/FRN-60-Day-Marketing-2013.pdf" TargetMode="External"/><Relationship Id="rId199" Type="http://schemas.openxmlformats.org/officeDocument/2006/relationships/hyperlink" Target="http://www.eia.gov/oil_gas/petroleum/data_publications/petroleum_marketing_monthly/pmm.html" TargetMode="External"/><Relationship Id="rId203" Type="http://schemas.openxmlformats.org/officeDocument/2006/relationships/header" Target="header5.xml"/><Relationship Id="rId19" Type="http://schemas.openxmlformats.org/officeDocument/2006/relationships/hyperlink" Target="http://www.eia.gov/petroleum/supply/annual/volume2/" TargetMode="External"/><Relationship Id="rId14" Type="http://schemas.openxmlformats.org/officeDocument/2006/relationships/header" Target="header3.xml"/><Relationship Id="rId30" Type="http://schemas.openxmlformats.org/officeDocument/2006/relationships/hyperlink" Target="http://www.eia.gov/forecasts/ieo/" TargetMode="External"/><Relationship Id="rId35" Type="http://schemas.openxmlformats.org/officeDocument/2006/relationships/hyperlink" Target="http://www.eia.gov/forecasts/steo/uncertainty/" TargetMode="External"/><Relationship Id="rId56" Type="http://schemas.openxmlformats.org/officeDocument/2006/relationships/hyperlink" Target="http://www.eia.gov/petroleum/gasdiesel/" TargetMode="External"/><Relationship Id="rId77" Type="http://schemas.openxmlformats.org/officeDocument/2006/relationships/hyperlink" Target="http://www.illinoisenergy.org" TargetMode="External"/><Relationship Id="rId100" Type="http://schemas.openxmlformats.org/officeDocument/2006/relationships/hyperlink" Target="http://www.wtrg.com/prices/htm" TargetMode="External"/><Relationship Id="rId105" Type="http://schemas.openxmlformats.org/officeDocument/2006/relationships/hyperlink" Target="http://www.eia.gov/petroleum/supply/monthly/" TargetMode="External"/><Relationship Id="rId126" Type="http://schemas.openxmlformats.org/officeDocument/2006/relationships/hyperlink" Target="http://www.nytimes.com/" TargetMode="External"/><Relationship Id="rId147" Type="http://schemas.openxmlformats.org/officeDocument/2006/relationships/hyperlink" Target="http://www.usatoday.com" TargetMode="External"/><Relationship Id="rId168" Type="http://schemas.openxmlformats.org/officeDocument/2006/relationships/hyperlink" Target="http://www.eia.gov/survey/" TargetMode="External"/><Relationship Id="rId8" Type="http://schemas.openxmlformats.org/officeDocument/2006/relationships/image" Target="media/image1.jpeg"/><Relationship Id="rId51" Type="http://schemas.openxmlformats.org/officeDocument/2006/relationships/hyperlink" Target="http://www.eia.gov/petroleum/fueloilkerosene/" TargetMode="External"/><Relationship Id="rId72" Type="http://schemas.openxmlformats.org/officeDocument/2006/relationships/hyperlink" Target="http://www.epa.gov/" TargetMode="External"/><Relationship Id="rId93" Type="http://schemas.openxmlformats.org/officeDocument/2006/relationships/hyperlink" Target="http://www.eia.gov/survey/form/eia_821/proposed/form.pdf" TargetMode="External"/><Relationship Id="rId98" Type="http://schemas.openxmlformats.org/officeDocument/2006/relationships/hyperlink" Target="http://www.eia.gov/survey/form/eia_888/proposed/form.pdf" TargetMode="External"/><Relationship Id="rId121" Type="http://schemas.openxmlformats.org/officeDocument/2006/relationships/hyperlink" Target="http://www.washingtonpost.com" TargetMode="External"/><Relationship Id="rId142" Type="http://schemas.openxmlformats.org/officeDocument/2006/relationships/hyperlink" Target="http://www.bloomberg.com" TargetMode="External"/><Relationship Id="rId163" Type="http://schemas.openxmlformats.org/officeDocument/2006/relationships/hyperlink" Target="http://online.wsj.com/home-page" TargetMode="External"/><Relationship Id="rId184" Type="http://schemas.openxmlformats.org/officeDocument/2006/relationships/hyperlink" Target="http://www.energyintel.com/Pages/EIA_GroupHome.aspx" TargetMode="External"/><Relationship Id="rId189" Type="http://schemas.openxmlformats.org/officeDocument/2006/relationships/hyperlink" Target="http://www.platts.com/Products/oilgrampricereport" TargetMode="External"/><Relationship Id="rId3" Type="http://schemas.openxmlformats.org/officeDocument/2006/relationships/styles" Target="styles.xml"/><Relationship Id="rId25" Type="http://schemas.openxmlformats.org/officeDocument/2006/relationships/hyperlink" Target="http://www.eia.gov/oog/info/hopu/hopu.asp" TargetMode="External"/><Relationship Id="rId46" Type="http://schemas.openxmlformats.org/officeDocument/2006/relationships/hyperlink" Target="http://www.eia.gov/state/seds/seds-data-fuel.cfm" TargetMode="External"/><Relationship Id="rId67" Type="http://schemas.openxmlformats.org/officeDocument/2006/relationships/hyperlink" Target="http://www.jct.gov/" TargetMode="External"/><Relationship Id="rId116" Type="http://schemas.openxmlformats.org/officeDocument/2006/relationships/hyperlink" Target="http://doe.state.wy.us/lmi/0905/a1.htm" TargetMode="External"/><Relationship Id="rId137" Type="http://schemas.openxmlformats.org/officeDocument/2006/relationships/hyperlink" Target="http://www.usatoday.com" TargetMode="External"/><Relationship Id="rId158" Type="http://schemas.openxmlformats.org/officeDocument/2006/relationships/hyperlink" Target="http://www.dowjones.com" TargetMode="External"/><Relationship Id="rId20" Type="http://schemas.openxmlformats.org/officeDocument/2006/relationships/hyperlink" Target="http://www.eia.gov/petroleum/fueloilkerosene/" TargetMode="External"/><Relationship Id="rId41" Type="http://schemas.openxmlformats.org/officeDocument/2006/relationships/hyperlink" Target="http://www.eia.gov/petroleum/supply/monthly/" TargetMode="External"/><Relationship Id="rId62" Type="http://schemas.openxmlformats.org/officeDocument/2006/relationships/hyperlink" Target="http://www.energy.gov/" TargetMode="External"/><Relationship Id="rId83" Type="http://schemas.openxmlformats.org/officeDocument/2006/relationships/hyperlink" Target="http://www.bpu.state.nj.us" TargetMode="External"/><Relationship Id="rId88" Type="http://schemas.openxmlformats.org/officeDocument/2006/relationships/hyperlink" Target="http://epa.gov/OMS/highway-diesel/regs/420f06064.htm" TargetMode="External"/><Relationship Id="rId111" Type="http://schemas.openxmlformats.org/officeDocument/2006/relationships/hyperlink" Target="http://www.census.gov/compendia/databooks/2010/tables/sma_A-52.xls" TargetMode="External"/><Relationship Id="rId132" Type="http://schemas.openxmlformats.org/officeDocument/2006/relationships/hyperlink" Target="http://www.usatoday.com" TargetMode="External"/><Relationship Id="rId153" Type="http://schemas.openxmlformats.org/officeDocument/2006/relationships/hyperlink" Target="http://www.nitl.org" TargetMode="External"/><Relationship Id="rId174" Type="http://schemas.openxmlformats.org/officeDocument/2006/relationships/hyperlink" Target="http://www.bls.gov/cpi" TargetMode="External"/><Relationship Id="rId179" Type="http://schemas.openxmlformats.org/officeDocument/2006/relationships/hyperlink" Target="http://www.opisnet.com" TargetMode="External"/><Relationship Id="rId195" Type="http://schemas.openxmlformats.org/officeDocument/2006/relationships/hyperlink" Target="http://www.eia.gov/petroleum/gasdiesel/" TargetMode="External"/><Relationship Id="rId190" Type="http://schemas.openxmlformats.org/officeDocument/2006/relationships/hyperlink" Target="http://www.oilandgasonline.com/buyersguide.mvc/" TargetMode="External"/><Relationship Id="rId204" Type="http://schemas.openxmlformats.org/officeDocument/2006/relationships/footer" Target="footer4.xml"/><Relationship Id="rId15" Type="http://schemas.openxmlformats.org/officeDocument/2006/relationships/footer" Target="footer3.xml"/><Relationship Id="rId36" Type="http://schemas.openxmlformats.org/officeDocument/2006/relationships/hyperlink" Target="http://www.eia.gov/petroleum/marketing/monthly/" TargetMode="External"/><Relationship Id="rId57" Type="http://schemas.openxmlformats.org/officeDocument/2006/relationships/hyperlink" Target="http://www.eia.gov/oil_gas/petroleum/data_publications/weekly_petroleum_status_report/wpsr.html" TargetMode="External"/><Relationship Id="rId106" Type="http://schemas.openxmlformats.org/officeDocument/2006/relationships/hyperlink" Target="http://www.eia.gov/dnav/pet/pet_crd_crpdn_adc_mbblpd_m.htm" TargetMode="External"/><Relationship Id="rId127" Type="http://schemas.openxmlformats.org/officeDocument/2006/relationships/hyperlink" Target="http://www.usatoday.com" TargetMode="External"/><Relationship Id="rId10" Type="http://schemas.openxmlformats.org/officeDocument/2006/relationships/header" Target="header1.xml"/><Relationship Id="rId31" Type="http://schemas.openxmlformats.org/officeDocument/2006/relationships/hyperlink" Target="http://www.eia.gov/state/seds/seds-data-fuel.cfm" TargetMode="External"/><Relationship Id="rId52" Type="http://schemas.openxmlformats.org/officeDocument/2006/relationships/hyperlink" Target="http://www.eia.gov/state/seds/seds-data-fuel.cfm" TargetMode="External"/><Relationship Id="rId73" Type="http://schemas.openxmlformats.org/officeDocument/2006/relationships/hyperlink" Target="http://www.gsa.gov/" TargetMode="External"/><Relationship Id="rId78" Type="http://schemas.openxmlformats.org/officeDocument/2006/relationships/hyperlink" Target="http://www.energy.in.gov" TargetMode="External"/><Relationship Id="rId94" Type="http://schemas.openxmlformats.org/officeDocument/2006/relationships/hyperlink" Target="http://www.eia.gov/survey/form/eia_856/proposed/form.pdf" TargetMode="External"/><Relationship Id="rId99" Type="http://schemas.openxmlformats.org/officeDocument/2006/relationships/hyperlink" Target="http://www.eia.gov/glossary/index.cfm?id=Petroleum%20Administration%20for%20Defense%20District" TargetMode="External"/><Relationship Id="rId101" Type="http://schemas.openxmlformats.org/officeDocument/2006/relationships/hyperlink" Target="http://www.ogj.com/topics/refiner-acquisition-cost.htm" TargetMode="External"/><Relationship Id="rId122" Type="http://schemas.openxmlformats.org/officeDocument/2006/relationships/hyperlink" Target="http://www.bls.gov/opub/mlr/2006/12/art5full.pdf" TargetMode="External"/><Relationship Id="rId143" Type="http://schemas.openxmlformats.org/officeDocument/2006/relationships/hyperlink" Target="http://www.dowjones.org" TargetMode="External"/><Relationship Id="rId148" Type="http://schemas.openxmlformats.org/officeDocument/2006/relationships/hyperlink" Target="http://online.wsj.com/home-page" TargetMode="External"/><Relationship Id="rId164" Type="http://schemas.openxmlformats.org/officeDocument/2006/relationships/hyperlink" Target="http://www.washingtonpost.com" TargetMode="External"/><Relationship Id="rId169" Type="http://schemas.openxmlformats.org/officeDocument/2006/relationships/hyperlink" Target="http://www.bls.gov/cpi" TargetMode="External"/><Relationship Id="rId185" Type="http://schemas.openxmlformats.org/officeDocument/2006/relationships/hyperlink" Target="http://www.joc.co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tchek.com" TargetMode="External"/><Relationship Id="rId26" Type="http://schemas.openxmlformats.org/officeDocument/2006/relationships/hyperlink" Target="http://www.eia.gov/oog/info/twip/twip.asp" TargetMode="External"/><Relationship Id="rId47" Type="http://schemas.openxmlformats.org/officeDocument/2006/relationships/hyperlink" Target="http://www.eia.gov/forecasts/steo/uncertainty/" TargetMode="External"/><Relationship Id="rId68" Type="http://schemas.openxmlformats.org/officeDocument/2006/relationships/hyperlink" Target="http://www.boemre.gov/mmshome.htm" TargetMode="External"/><Relationship Id="rId89" Type="http://schemas.openxmlformats.org/officeDocument/2006/relationships/hyperlink" Target="http://www.eia.gov/survey/form/eia_14/proposed/form.pdf" TargetMode="External"/><Relationship Id="rId112" Type="http://schemas.openxmlformats.org/officeDocument/2006/relationships/hyperlink" Target="http://www.census.gov/compendia/databooks/2010/tables/sma_A-52.xls" TargetMode="External"/><Relationship Id="rId133" Type="http://schemas.openxmlformats.org/officeDocument/2006/relationships/hyperlink" Target="http://online.wsj.com/home-page" TargetMode="External"/><Relationship Id="rId154" Type="http://schemas.openxmlformats.org/officeDocument/2006/relationships/hyperlink" Target="http://www.natso.com" TargetMode="External"/><Relationship Id="rId175" Type="http://schemas.openxmlformats.org/officeDocument/2006/relationships/hyperlink" Target="http://www.lundbergsurvey.com/" TargetMode="External"/><Relationship Id="rId196" Type="http://schemas.openxmlformats.org/officeDocument/2006/relationships/hyperlink" Target="http://www.eia.gov/oil_gas/petroleum/data_publications/weekly_petroleum_status_report/wpsr.html" TargetMode="External"/><Relationship Id="rId200" Type="http://schemas.openxmlformats.org/officeDocument/2006/relationships/hyperlink" Target="http://www.eia.gov/oil_gas/petroleum/data_publications/prime_supplier_report/ps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7BD5-70A2-4BF8-B1B3-F028A877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17183</Words>
  <Characters>105801</Characters>
  <Application>Microsoft Office Word</Application>
  <DocSecurity>0</DocSecurity>
  <Lines>881</Lines>
  <Paragraphs>245</Paragraphs>
  <ScaleCrop>false</ScaleCrop>
  <HeadingPairs>
    <vt:vector size="2" baseType="variant">
      <vt:variant>
        <vt:lpstr>Title</vt:lpstr>
      </vt:variant>
      <vt:variant>
        <vt:i4>1</vt:i4>
      </vt:variant>
    </vt:vector>
  </HeadingPairs>
  <TitlesOfParts>
    <vt:vector size="1" baseType="lpstr">
      <vt:lpstr>Supporting Statement for 2013 Petroleum Marketing Surveys: OMB NUMBER 1905-0174</vt:lpstr>
    </vt:vector>
  </TitlesOfParts>
  <Company>DOE/EIA</Company>
  <LinksUpToDate>false</LinksUpToDate>
  <CharactersWithSpaces>122739</CharactersWithSpaces>
  <SharedDoc>false</SharedDoc>
  <HLinks>
    <vt:vector size="54" baseType="variant">
      <vt:variant>
        <vt:i4>8126527</vt:i4>
      </vt:variant>
      <vt:variant>
        <vt:i4>24</vt:i4>
      </vt:variant>
      <vt:variant>
        <vt:i4>0</vt:i4>
      </vt:variant>
      <vt:variant>
        <vt:i4>5</vt:i4>
      </vt:variant>
      <vt:variant>
        <vt:lpwstr>http://www.aaanewsroom.net/Main.asp</vt:lpwstr>
      </vt:variant>
      <vt:variant>
        <vt:lpwstr/>
      </vt:variant>
      <vt:variant>
        <vt:i4>11</vt:i4>
      </vt:variant>
      <vt:variant>
        <vt:i4>21</vt:i4>
      </vt:variant>
      <vt:variant>
        <vt:i4>0</vt:i4>
      </vt:variant>
      <vt:variant>
        <vt:i4>5</vt:i4>
      </vt:variant>
      <vt:variant>
        <vt:lpwstr>http://www.ttnews.com/fuel/national.aspx</vt:lpwstr>
      </vt:variant>
      <vt:variant>
        <vt:lpwstr/>
      </vt:variant>
      <vt:variant>
        <vt:i4>2162797</vt:i4>
      </vt:variant>
      <vt:variant>
        <vt:i4>18</vt:i4>
      </vt:variant>
      <vt:variant>
        <vt:i4>0</vt:i4>
      </vt:variant>
      <vt:variant>
        <vt:i4>5</vt:i4>
      </vt:variant>
      <vt:variant>
        <vt:lpwstr>http://tonto.eia.doe.gov/oog/info/wohdp/diesel.asp</vt:lpwstr>
      </vt:variant>
      <vt:variant>
        <vt:lpwstr/>
      </vt:variant>
      <vt:variant>
        <vt:i4>2687055</vt:i4>
      </vt:variant>
      <vt:variant>
        <vt:i4>15</vt:i4>
      </vt:variant>
      <vt:variant>
        <vt:i4>0</vt:i4>
      </vt:variant>
      <vt:variant>
        <vt:i4>5</vt:i4>
      </vt:variant>
      <vt:variant>
        <vt:lpwstr>http://www.ups.com/content/us/en/resources/find/cost/fuel_surcharge.html</vt:lpwstr>
      </vt:variant>
      <vt:variant>
        <vt:lpwstr/>
      </vt:variant>
      <vt:variant>
        <vt:i4>6750268</vt:i4>
      </vt:variant>
      <vt:variant>
        <vt:i4>12</vt:i4>
      </vt:variant>
      <vt:variant>
        <vt:i4>0</vt:i4>
      </vt:variant>
      <vt:variant>
        <vt:i4>5</vt:i4>
      </vt:variant>
      <vt:variant>
        <vt:lpwstr>http://www.nyserda.org/prices.html</vt:lpwstr>
      </vt:variant>
      <vt:variant>
        <vt:lpwstr/>
      </vt:variant>
      <vt:variant>
        <vt:i4>6750268</vt:i4>
      </vt:variant>
      <vt:variant>
        <vt:i4>9</vt:i4>
      </vt:variant>
      <vt:variant>
        <vt:i4>0</vt:i4>
      </vt:variant>
      <vt:variant>
        <vt:i4>5</vt:i4>
      </vt:variant>
      <vt:variant>
        <vt:lpwstr>http://www.nyserda.org/prices.html</vt:lpwstr>
      </vt:variant>
      <vt:variant>
        <vt:lpwstr/>
      </vt:variant>
      <vt:variant>
        <vt:i4>3276854</vt:i4>
      </vt:variant>
      <vt:variant>
        <vt:i4>6</vt:i4>
      </vt:variant>
      <vt:variant>
        <vt:i4>0</vt:i4>
      </vt:variant>
      <vt:variant>
        <vt:i4>5</vt:i4>
      </vt:variant>
      <vt:variant>
        <vt:lpwstr>http://energyalmanac.ca.gov/gasoline/index.html</vt:lpwstr>
      </vt:variant>
      <vt:variant>
        <vt:lpwstr/>
      </vt:variant>
      <vt:variant>
        <vt:i4>5439581</vt:i4>
      </vt:variant>
      <vt:variant>
        <vt:i4>3</vt:i4>
      </vt:variant>
      <vt:variant>
        <vt:i4>0</vt:i4>
      </vt:variant>
      <vt:variant>
        <vt:i4>5</vt:i4>
      </vt:variant>
      <vt:variant>
        <vt:lpwstr>http://www.eia.doe.gov/oil_gas/petroleum/data_publications/wrgp/mogas_home_page.html</vt:lpwstr>
      </vt:variant>
      <vt:variant>
        <vt:lpwstr/>
      </vt:variant>
      <vt:variant>
        <vt:i4>6029332</vt:i4>
      </vt:variant>
      <vt:variant>
        <vt:i4>0</vt:i4>
      </vt:variant>
      <vt:variant>
        <vt:i4>0</vt:i4>
      </vt:variant>
      <vt:variant>
        <vt:i4>5</vt:i4>
      </vt:variant>
      <vt:variant>
        <vt:lpwstr>http://www.energyalmanac.ca.gov/petroleum/index.html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2013 Petroleum Marketing Surveys: OMB NUMBER 1905-0174</dc:title>
  <dc:subject>EIA’s Supporting Statement for 2013 Petroleum Marketing Surveys: OMB Number 1905-0174</dc:subject>
  <dc:creator>EIA</dc:creator>
  <cp:keywords/>
  <dc:description/>
  <cp:lastModifiedBy>Shawna Waugh</cp:lastModifiedBy>
  <cp:revision>2</cp:revision>
  <cp:lastPrinted>2012-07-12T15:20:00Z</cp:lastPrinted>
  <dcterms:created xsi:type="dcterms:W3CDTF">2012-07-12T17:11:00Z</dcterms:created>
  <dcterms:modified xsi:type="dcterms:W3CDTF">2012-07-12T17:11:00Z</dcterms:modified>
  <cp:category>Petroleum Marketing</cp:category>
  <cp:contentStatus>Draft</cp:contentStatus>
</cp:coreProperties>
</file>