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6D7C93" w:rsidRDefault="00016E14">
      <w:pPr>
        <w:jc w:val="center"/>
        <w:rPr>
          <w:rFonts w:ascii="Courier" w:hAnsi="Courier"/>
        </w:rPr>
      </w:pPr>
      <w:r w:rsidRPr="00016E14">
        <w:rPr>
          <w:rFonts w:ascii="Courier" w:hAnsi="Courier"/>
        </w:rPr>
        <w:t>EDICS Tracking and OMB Number: (XXXX) XXXX-XXXX</w:t>
      </w:r>
    </w:p>
    <w:p w:rsidR="006D7C93" w:rsidRDefault="00016E14">
      <w:pPr>
        <w:jc w:val="center"/>
        <w:rPr>
          <w:rFonts w:ascii="Courier" w:hAnsi="Courier"/>
        </w:rPr>
      </w:pPr>
      <w:r w:rsidRPr="00016E14">
        <w:rPr>
          <w:rFonts w:ascii="Courier" w:hAnsi="Courier"/>
        </w:rPr>
        <w:t>Revised XX/XX/XXXX</w:t>
      </w:r>
    </w:p>
    <w:p w:rsidR="006D7C93" w:rsidRDefault="00016E14">
      <w:pPr>
        <w:jc w:val="center"/>
        <w:rPr>
          <w:rFonts w:ascii="Courier" w:hAnsi="Courier"/>
          <w:szCs w:val="20"/>
        </w:rPr>
      </w:pPr>
      <w:r w:rsidRPr="00016E14">
        <w:rPr>
          <w:rFonts w:ascii="Courier" w:hAnsi="Courier"/>
        </w:rPr>
        <w:t>RIN Number: XXXX-XXXX (if applicable)</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510DA1" w:rsidRDefault="00386054" w:rsidP="00B578F4">
      <w:pPr>
        <w:pStyle w:val="ListParagraph"/>
        <w:numPr>
          <w:ilvl w:val="0"/>
          <w:numId w:val="20"/>
        </w:numPr>
        <w:rPr>
          <w:b/>
        </w:rPr>
      </w:pPr>
      <w:r w:rsidRPr="00510DA1">
        <w:rPr>
          <w:b/>
        </w:rPr>
        <w:t xml:space="preserve">Explain the circumstances that make the collection of information necessary.  Identify any legal or administrative requirements that necessitate the collection.  Attach a </w:t>
      </w:r>
      <w:r w:rsidR="003C7F70" w:rsidRPr="00510DA1">
        <w:rPr>
          <w:b/>
        </w:rPr>
        <w:t xml:space="preserve">hard </w:t>
      </w:r>
      <w:r w:rsidRPr="00510DA1">
        <w:rPr>
          <w:b/>
        </w:rPr>
        <w:t>copy of the appropriate section of each statute and regulation mandating or authorizing the collection of information</w:t>
      </w:r>
      <w:r w:rsidR="003C7F70" w:rsidRPr="00510DA1">
        <w:rPr>
          <w:b/>
        </w:rPr>
        <w:t>,</w:t>
      </w:r>
      <w:r w:rsidR="00050CBE" w:rsidRPr="00510DA1">
        <w:rPr>
          <w:b/>
        </w:rPr>
        <w:t xml:space="preserve"> or </w:t>
      </w:r>
      <w:r w:rsidR="003C7F70" w:rsidRPr="00510DA1">
        <w:rPr>
          <w:b/>
        </w:rPr>
        <w:t xml:space="preserve">you may </w:t>
      </w:r>
      <w:r w:rsidR="00050CBE" w:rsidRPr="00510DA1">
        <w:rPr>
          <w:b/>
        </w:rPr>
        <w:t xml:space="preserve">provide a valid </w:t>
      </w:r>
      <w:r w:rsidR="003C7F70" w:rsidRPr="00510DA1">
        <w:rPr>
          <w:b/>
        </w:rPr>
        <w:t>URL</w:t>
      </w:r>
      <w:r w:rsidR="00050CBE" w:rsidRPr="00510DA1">
        <w:rPr>
          <w:b/>
        </w:rPr>
        <w:t xml:space="preserve"> link or paste the applicable section</w:t>
      </w:r>
      <w:r w:rsidRPr="00510DA1">
        <w:rPr>
          <w:b/>
        </w:rPr>
        <w:t xml:space="preserve">. </w:t>
      </w:r>
      <w:r w:rsidR="00BA13A2" w:rsidRPr="00510DA1">
        <w:rPr>
          <w:b/>
        </w:rPr>
        <w:t xml:space="preserve">Please limit pasted text to no longer than 3 pages. </w:t>
      </w:r>
      <w:r w:rsidRPr="00510DA1">
        <w:rPr>
          <w:b/>
        </w:rPr>
        <w:t>Specify the review type of the collection (new, revision, extension, reinstatement with change, reinstatement without change)</w:t>
      </w:r>
      <w:r w:rsidR="00050CBE" w:rsidRPr="00510DA1">
        <w:rPr>
          <w:b/>
        </w:rPr>
        <w:t>. If revised, briefly specify the changes.  If a rulemaking is involved, make note of the sections or changed sections, if applicable.</w:t>
      </w:r>
    </w:p>
    <w:p w:rsidR="00E6090A" w:rsidRDefault="00803F4F" w:rsidP="00E6090A">
      <w:pPr>
        <w:ind w:left="720"/>
        <w:rPr>
          <w:color w:val="000000"/>
        </w:rPr>
      </w:pPr>
      <w:r>
        <w:t xml:space="preserve">The office of International and Foreign Language Education </w:t>
      </w:r>
      <w:r w:rsidR="00BD396D">
        <w:t xml:space="preserve">(IFLE) </w:t>
      </w:r>
      <w:r>
        <w:t>at the US Department of Education has not conducted a comprehensive assessment of the National Resource Center (NRC), Business and International Education (BIE), and Undergraduate International Studies and Foreig</w:t>
      </w:r>
      <w:r w:rsidR="00BD396D">
        <w:t>n Languages (UISFL) programs.  IFLE has awarded a contract to EPI International (EPI)</w:t>
      </w:r>
      <w:r w:rsidR="005D2B45">
        <w:t xml:space="preserve"> </w:t>
      </w:r>
      <w:r w:rsidR="00BD396D">
        <w:t xml:space="preserve">to help in the creation of, and the administration </w:t>
      </w:r>
      <w:r w:rsidR="005D2B45">
        <w:t xml:space="preserve">of </w:t>
      </w:r>
      <w:r w:rsidR="00232B1A">
        <w:t xml:space="preserve">survey </w:t>
      </w:r>
      <w:r w:rsidR="005D2B45">
        <w:t>phone interviews</w:t>
      </w:r>
      <w:r w:rsidR="00BD396D">
        <w:t>. EPI will analyze data collected through the phone interviews and will submit a final report outlining the results of the data collected, as well as making program recommendations to IFLE.</w:t>
      </w:r>
    </w:p>
    <w:p w:rsidR="00E6090A" w:rsidRDefault="00362355" w:rsidP="009C2B44">
      <w:pPr>
        <w:ind w:left="720"/>
        <w:rPr>
          <w:bCs/>
        </w:rPr>
      </w:pPr>
      <w:r>
        <w:rPr>
          <w:bCs/>
        </w:rPr>
        <w:t>This is a new collect</w:t>
      </w:r>
      <w:r w:rsidR="003339D3">
        <w:rPr>
          <w:bCs/>
        </w:rPr>
        <w:t>ion</w:t>
      </w:r>
      <w:r>
        <w:rPr>
          <w:bCs/>
        </w:rPr>
        <w:t xml:space="preserve"> and th</w:t>
      </w:r>
      <w:r w:rsidR="003339D3">
        <w:rPr>
          <w:bCs/>
        </w:rPr>
        <w:t xml:space="preserve">e purpose of </w:t>
      </w:r>
      <w:r w:rsidR="00361510">
        <w:rPr>
          <w:bCs/>
        </w:rPr>
        <w:t xml:space="preserve">the </w:t>
      </w:r>
      <w:r w:rsidR="003339D3" w:rsidRPr="004927A3">
        <w:rPr>
          <w:bCs/>
        </w:rPr>
        <w:t>phone interview</w:t>
      </w:r>
      <w:r w:rsidR="00361510">
        <w:rPr>
          <w:bCs/>
        </w:rPr>
        <w:t>s</w:t>
      </w:r>
      <w:r w:rsidR="003339D3" w:rsidRPr="004927A3">
        <w:rPr>
          <w:bCs/>
        </w:rPr>
        <w:t xml:space="preserve"> administered to a </w:t>
      </w:r>
      <w:r w:rsidR="00361510">
        <w:rPr>
          <w:bCs/>
        </w:rPr>
        <w:t>sampling</w:t>
      </w:r>
      <w:r w:rsidR="004927A3" w:rsidRPr="004927A3">
        <w:rPr>
          <w:bCs/>
        </w:rPr>
        <w:t xml:space="preserve"> of the recipient universe </w:t>
      </w:r>
      <w:r w:rsidR="003339D3">
        <w:rPr>
          <w:bCs/>
        </w:rPr>
        <w:t>is to collect information</w:t>
      </w:r>
      <w:r w:rsidR="00E6090A" w:rsidRPr="000D588A">
        <w:rPr>
          <w:bCs/>
        </w:rPr>
        <w:t xml:space="preserve"> to assist IFLE staff in developing a comprehensive plan for analysis and formative assessment of t</w:t>
      </w:r>
      <w:r w:rsidR="0011733A">
        <w:rPr>
          <w:bCs/>
        </w:rPr>
        <w:t>he UISFL, BIE and NRC programs.</w:t>
      </w:r>
      <w:r w:rsidR="00E6090A" w:rsidRPr="000D588A">
        <w:rPr>
          <w:bCs/>
        </w:rPr>
        <w:t xml:space="preserve"> </w:t>
      </w:r>
      <w:r w:rsidR="003339D3">
        <w:rPr>
          <w:bCs/>
        </w:rPr>
        <w:t xml:space="preserve"> Statu</w:t>
      </w:r>
      <w:r w:rsidR="009D2C50">
        <w:rPr>
          <w:bCs/>
        </w:rPr>
        <w:t>t</w:t>
      </w:r>
      <w:r w:rsidR="003339D3">
        <w:rPr>
          <w:bCs/>
        </w:rPr>
        <w:t>e and Regulations for each program are included as an attachment to this package.</w:t>
      </w:r>
    </w:p>
    <w:p w:rsidR="004927A3" w:rsidRPr="000D588A" w:rsidRDefault="00BD396D" w:rsidP="009C2B44">
      <w:pPr>
        <w:ind w:left="720"/>
        <w:rPr>
          <w:bCs/>
        </w:rPr>
      </w:pPr>
      <w:r>
        <w:rPr>
          <w:bCs/>
        </w:rPr>
        <w:t xml:space="preserve">The phone interviews will </w:t>
      </w:r>
      <w:r w:rsidR="004927A3">
        <w:rPr>
          <w:bCs/>
        </w:rPr>
        <w:t>allow EPI to delve deeper into the</w:t>
      </w:r>
      <w:r w:rsidR="00232B1A">
        <w:rPr>
          <w:bCs/>
        </w:rPr>
        <w:t xml:space="preserve"> </w:t>
      </w:r>
      <w:r w:rsidR="005D2B45">
        <w:rPr>
          <w:bCs/>
        </w:rPr>
        <w:t>programmatic</w:t>
      </w:r>
      <w:r w:rsidR="004927A3">
        <w:rPr>
          <w:bCs/>
        </w:rPr>
        <w:t xml:space="preserve"> questions </w:t>
      </w:r>
      <w:r>
        <w:rPr>
          <w:bCs/>
        </w:rPr>
        <w:t>with respondents and</w:t>
      </w:r>
      <w:r w:rsidR="004927A3">
        <w:rPr>
          <w:bCs/>
        </w:rPr>
        <w:t xml:space="preserve"> obtain a richer and more detailed picture of the</w:t>
      </w:r>
      <w:r w:rsidR="00232B1A">
        <w:rPr>
          <w:bCs/>
        </w:rPr>
        <w:t xml:space="preserve"> </w:t>
      </w:r>
      <w:r w:rsidR="00361510">
        <w:rPr>
          <w:bCs/>
        </w:rPr>
        <w:t>program</w:t>
      </w:r>
      <w:r w:rsidR="004927A3">
        <w:rPr>
          <w:bCs/>
        </w:rPr>
        <w:t xml:space="preserve"> data.  .</w:t>
      </w:r>
    </w:p>
    <w:p w:rsidR="00B83FB3" w:rsidRDefault="00386054" w:rsidP="00B578F4">
      <w:pPr>
        <w:pStyle w:val="ListParagraph"/>
        <w:numPr>
          <w:ilvl w:val="0"/>
          <w:numId w:val="20"/>
        </w:numPr>
        <w:rPr>
          <w:b/>
        </w:rPr>
      </w:pPr>
      <w:r w:rsidRPr="00510DA1">
        <w:rPr>
          <w:b/>
        </w:rPr>
        <w:t>Indicate how, by whom, and for what purpose the information is to be used.  Except for a new collection, indicate the actual use the agency has made of the information received from the current collection.</w:t>
      </w:r>
    </w:p>
    <w:p w:rsidR="003339D3" w:rsidRDefault="006419B6" w:rsidP="006419B6">
      <w:pPr>
        <w:pStyle w:val="ListParagraph"/>
      </w:pPr>
      <w:r>
        <w:t xml:space="preserve">The </w:t>
      </w:r>
      <w:r w:rsidR="00BD396D">
        <w:t>in</w:t>
      </w:r>
      <w:r w:rsidR="00BC0E1C">
        <w:t xml:space="preserve">formation will be used by IFLE </w:t>
      </w:r>
      <w:r w:rsidR="00BD396D">
        <w:t>to determine,</w:t>
      </w:r>
      <w:r w:rsidR="004B3132">
        <w:t xml:space="preserve"> and implement both minor short-term and fundamental long-term changes to programs.  </w:t>
      </w:r>
      <w:r w:rsidR="00BC0E1C">
        <w:t xml:space="preserve">The information collected will help demonstrate accomplishments of the programs, including international education capacity building on campuses. IFLE will use the results to improve the Title VI programs.  </w:t>
      </w:r>
      <w:r w:rsidR="004B3132">
        <w:t>The information collected will assist IFLE in developing program priorities, possibly revising regulations</w:t>
      </w:r>
      <w:r w:rsidR="003339D3">
        <w:t>,</w:t>
      </w:r>
      <w:r w:rsidR="004B3132">
        <w:t xml:space="preserve"> and </w:t>
      </w:r>
      <w:r w:rsidR="003339D3">
        <w:t xml:space="preserve">will provide valuable information which will </w:t>
      </w:r>
      <w:r w:rsidR="00BD396D">
        <w:t>assist in</w:t>
      </w:r>
      <w:r w:rsidR="003339D3">
        <w:t xml:space="preserve"> </w:t>
      </w:r>
      <w:r w:rsidR="003339D3">
        <w:lastRenderedPageBreak/>
        <w:t>guiding the programs</w:t>
      </w:r>
      <w:r w:rsidR="004B3132">
        <w:t xml:space="preserve"> to help better meet the</w:t>
      </w:r>
      <w:r w:rsidR="003339D3">
        <w:t>ir</w:t>
      </w:r>
      <w:r w:rsidR="004B3132">
        <w:t xml:space="preserve"> legislative intent</w:t>
      </w:r>
      <w:r w:rsidR="003339D3">
        <w:t>.</w:t>
      </w:r>
      <w:r w:rsidR="004B3132">
        <w:t xml:space="preserve"> </w:t>
      </w:r>
      <w:r w:rsidR="00BD396D">
        <w:t xml:space="preserve"> The informatio</w:t>
      </w:r>
      <w:r w:rsidR="00BC0E1C">
        <w:t>n will also assist IFLE in demonstrating program impact to Congress.</w:t>
      </w:r>
    </w:p>
    <w:p w:rsidR="009C2B44" w:rsidRPr="006419B6" w:rsidRDefault="00BC0E1C" w:rsidP="009C2B44">
      <w:pPr>
        <w:pStyle w:val="ListParagraph"/>
      </w:pPr>
      <w:r>
        <w:t>Once the final report is published, g</w:t>
      </w:r>
      <w:r w:rsidR="0011733A">
        <w:t>rantees</w:t>
      </w:r>
      <w:r>
        <w:t xml:space="preserve"> will be able to</w:t>
      </w:r>
      <w:r w:rsidR="0011733A">
        <w:t xml:space="preserve"> use the results to improve their administration of the programs</w:t>
      </w:r>
      <w:r>
        <w:t xml:space="preserve"> on their campus</w:t>
      </w:r>
      <w:r w:rsidR="0011733A">
        <w:t xml:space="preserve">.  </w:t>
      </w:r>
      <w:r w:rsidR="009C2B44">
        <w:t xml:space="preserve">  </w:t>
      </w:r>
    </w:p>
    <w:p w:rsidR="00B83FB3" w:rsidRPr="00313738" w:rsidRDefault="00386054" w:rsidP="00B578F4">
      <w:pPr>
        <w:pStyle w:val="ListParagraph"/>
        <w:numPr>
          <w:ilvl w:val="0"/>
          <w:numId w:val="20"/>
        </w:numPr>
        <w:rPr>
          <w:b/>
        </w:rPr>
      </w:pPr>
      <w:r w:rsidRPr="00313738">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B3132" w:rsidRDefault="004B3132" w:rsidP="004B3132">
      <w:pPr>
        <w:pStyle w:val="ListParagraph"/>
      </w:pPr>
      <w:r>
        <w:t xml:space="preserve">The </w:t>
      </w:r>
      <w:r w:rsidR="00361510">
        <w:t xml:space="preserve">phone </w:t>
      </w:r>
      <w:r>
        <w:t xml:space="preserve">interview protocols are to be administered by an EPI researcher via phone interviews to a </w:t>
      </w:r>
      <w:r w:rsidR="00361510">
        <w:t>sampling</w:t>
      </w:r>
      <w:r w:rsidR="005D2B45">
        <w:t xml:space="preserve"> (approximately </w:t>
      </w:r>
      <w:r w:rsidR="00ED6DF1">
        <w:t>15</w:t>
      </w:r>
      <w:r w:rsidR="00232B1A">
        <w:t xml:space="preserve"> </w:t>
      </w:r>
      <w:r w:rsidR="005D2B45">
        <w:t xml:space="preserve">grantees) </w:t>
      </w:r>
      <w:r>
        <w:t>of the population</w:t>
      </w:r>
      <w:r w:rsidR="005D2B45">
        <w:t xml:space="preserve"> </w:t>
      </w:r>
      <w:r>
        <w:t>of grantees in each program.</w:t>
      </w:r>
      <w:r w:rsidR="00ED6DF1">
        <w:t xml:space="preserve">  A total of 45 grantees (15 per program) will be contacted.</w:t>
      </w:r>
    </w:p>
    <w:p w:rsidR="00B83FB3" w:rsidRDefault="00386054" w:rsidP="00B578F4">
      <w:pPr>
        <w:pStyle w:val="ListParagraph"/>
        <w:numPr>
          <w:ilvl w:val="0"/>
          <w:numId w:val="20"/>
        </w:numPr>
        <w:rPr>
          <w:b/>
        </w:rPr>
      </w:pPr>
      <w:r w:rsidRPr="00313738">
        <w:rPr>
          <w:b/>
        </w:rPr>
        <w:t>Describe ef</w:t>
      </w:r>
      <w:r w:rsidR="00B578F4" w:rsidRPr="00313738">
        <w:rPr>
          <w:b/>
        </w:rPr>
        <w:t xml:space="preserve">forts to identify duplication. </w:t>
      </w:r>
      <w:r w:rsidRPr="00313738">
        <w:rPr>
          <w:b/>
        </w:rPr>
        <w:t>Show specifically why any similar information already available cannot be used or modified for use for the purposes described in Item 2</w:t>
      </w:r>
      <w:r w:rsidR="000A2965" w:rsidRPr="00313738">
        <w:rPr>
          <w:b/>
        </w:rPr>
        <w:t xml:space="preserve"> </w:t>
      </w:r>
      <w:r w:rsidRPr="00313738">
        <w:rPr>
          <w:b/>
        </w:rPr>
        <w:t>above.</w:t>
      </w:r>
    </w:p>
    <w:p w:rsidR="006B5123" w:rsidRDefault="006B5123" w:rsidP="006B5123">
      <w:pPr>
        <w:pStyle w:val="ListParagraph"/>
        <w:spacing w:after="0"/>
      </w:pPr>
      <w:r>
        <w:t xml:space="preserve">The information collection will not duplicate any other collections.  </w:t>
      </w:r>
    </w:p>
    <w:p w:rsidR="006B5123" w:rsidRPr="006B5123" w:rsidRDefault="006B5123" w:rsidP="006B5123">
      <w:pPr>
        <w:pStyle w:val="ListParagraph"/>
        <w:spacing w:after="0"/>
        <w:rPr>
          <w:color w:val="000000" w:themeColor="text1"/>
        </w:rPr>
      </w:pPr>
      <w:r>
        <w:t>The only other information collected about these programs is their performance reports submitted through the International Resource Information System (</w:t>
      </w:r>
      <w:r w:rsidRPr="006B5123">
        <w:rPr>
          <w:color w:val="000000" w:themeColor="text1"/>
        </w:rPr>
        <w:t xml:space="preserve">IRIS, OMB No. 1840-0759 Expiration Date 04/30/2013).  </w:t>
      </w:r>
      <w:r>
        <w:t>Data on pre and post-award activities, including capacity building is not collected through IRIS.</w:t>
      </w:r>
    </w:p>
    <w:p w:rsidR="00B83FB3" w:rsidRDefault="00386054" w:rsidP="00B578F4">
      <w:pPr>
        <w:pStyle w:val="ListParagraph"/>
        <w:numPr>
          <w:ilvl w:val="0"/>
          <w:numId w:val="20"/>
        </w:numPr>
        <w:rPr>
          <w:b/>
        </w:rPr>
      </w:pPr>
      <w:r w:rsidRPr="00313738">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13738" w:rsidRPr="00313738" w:rsidRDefault="00313738" w:rsidP="00313738">
      <w:pPr>
        <w:pStyle w:val="ListParagraph"/>
      </w:pPr>
      <w:r w:rsidRPr="00313738">
        <w:t>This collection will not impact small businesses or small entities.</w:t>
      </w:r>
    </w:p>
    <w:p w:rsidR="00B83FB3" w:rsidRDefault="00386054" w:rsidP="00B578F4">
      <w:pPr>
        <w:pStyle w:val="ListParagraph"/>
        <w:numPr>
          <w:ilvl w:val="0"/>
          <w:numId w:val="20"/>
        </w:numPr>
        <w:rPr>
          <w:b/>
        </w:rPr>
      </w:pPr>
      <w:r w:rsidRPr="00313738">
        <w:rPr>
          <w:b/>
        </w:rPr>
        <w:t>Describe the consequences to Federal program or policy activities if the collection is not conducted or is conducted less frequently, as well as any technical or legal obstacles to reducing burden.</w:t>
      </w:r>
    </w:p>
    <w:p w:rsidR="0011733A" w:rsidRDefault="00313738" w:rsidP="00313738">
      <w:pPr>
        <w:pStyle w:val="ListParagraph"/>
      </w:pPr>
      <w:r>
        <w:t xml:space="preserve">The </w:t>
      </w:r>
      <w:r w:rsidR="009C2B44">
        <w:t xml:space="preserve">phone interviews </w:t>
      </w:r>
      <w:r>
        <w:t xml:space="preserve">will provide </w:t>
      </w:r>
      <w:r w:rsidR="003339D3">
        <w:t>data</w:t>
      </w:r>
      <w:r w:rsidR="0011733A">
        <w:t xml:space="preserve"> on</w:t>
      </w:r>
      <w:r w:rsidR="00362355">
        <w:t xml:space="preserve"> the outcomes of the NRC, BIE, and UISFL programs. </w:t>
      </w:r>
      <w:r w:rsidR="0011733A">
        <w:t xml:space="preserve">The </w:t>
      </w:r>
      <w:r w:rsidR="00542A20">
        <w:t>data</w:t>
      </w:r>
      <w:r w:rsidR="0011733A">
        <w:t xml:space="preserve"> will be used </w:t>
      </w:r>
      <w:r w:rsidR="00542A20">
        <w:t xml:space="preserve">analyze program effectiveness and will enable IFLE staff </w:t>
      </w:r>
      <w:r w:rsidR="0011733A">
        <w:t xml:space="preserve">to take a strategic look at the programs to determine whether </w:t>
      </w:r>
      <w:r w:rsidR="00362355">
        <w:t>changes to regulations and program policies</w:t>
      </w:r>
      <w:r w:rsidR="0011733A">
        <w:t xml:space="preserve"> are warranted</w:t>
      </w:r>
      <w:r w:rsidR="00362355">
        <w:t xml:space="preserve">.  This information has not been collected in the past.  </w:t>
      </w:r>
      <w:r w:rsidR="00004005">
        <w:t xml:space="preserve"> If the phone interview information is not collected, IFLE will be impeded in its work towards program and will not be able to implement nece</w:t>
      </w:r>
      <w:r w:rsidR="003020FD">
        <w:t xml:space="preserve">ssary changes to programs.  If </w:t>
      </w:r>
      <w:r w:rsidR="00004005">
        <w:t>IFLE cannot demonstrate program outcomes to Congress, in this tight budget climate, there is a chance that the IFLE budget may be cut further.</w:t>
      </w:r>
    </w:p>
    <w:p w:rsidR="00313738" w:rsidRPr="00313738" w:rsidRDefault="0011733A" w:rsidP="00313738">
      <w:pPr>
        <w:pStyle w:val="ListParagraph"/>
      </w:pPr>
      <w:r>
        <w:t>There are no technical or legal obstacles to reducing burden.</w:t>
      </w:r>
    </w:p>
    <w:p w:rsidR="00386054" w:rsidRPr="000B6F14" w:rsidRDefault="00386054" w:rsidP="0011733A">
      <w:pPr>
        <w:pStyle w:val="ListParagraph"/>
        <w:numPr>
          <w:ilvl w:val="0"/>
          <w:numId w:val="20"/>
        </w:numPr>
        <w:spacing w:before="0" w:after="0"/>
        <w:contextualSpacing/>
        <w:rPr>
          <w:b/>
        </w:rPr>
      </w:pPr>
      <w:r w:rsidRPr="000B6F14">
        <w:rPr>
          <w:b/>
        </w:rPr>
        <w:lastRenderedPageBreak/>
        <w:t>Explain any special circumstances that would cause an information collection to be conducted in a manner:</w:t>
      </w:r>
    </w:p>
    <w:p w:rsidR="00386054" w:rsidRPr="000B6F14" w:rsidRDefault="00386054" w:rsidP="0011733A">
      <w:pPr>
        <w:pStyle w:val="ListParagraph"/>
        <w:numPr>
          <w:ilvl w:val="0"/>
          <w:numId w:val="21"/>
        </w:numPr>
        <w:spacing w:before="0" w:after="0"/>
        <w:contextualSpacing/>
        <w:rPr>
          <w:b/>
        </w:rPr>
      </w:pPr>
      <w:r w:rsidRPr="000B6F14">
        <w:rPr>
          <w:b/>
        </w:rPr>
        <w:t>requiring respondents to report information to the agency more often than quarterly;</w:t>
      </w:r>
    </w:p>
    <w:p w:rsidR="00386054" w:rsidRPr="000B6F14" w:rsidRDefault="00386054" w:rsidP="0011733A">
      <w:pPr>
        <w:pStyle w:val="ListParagraph"/>
        <w:numPr>
          <w:ilvl w:val="0"/>
          <w:numId w:val="21"/>
        </w:numPr>
        <w:spacing w:before="0" w:after="0"/>
        <w:contextualSpacing/>
        <w:rPr>
          <w:b/>
        </w:rPr>
      </w:pPr>
      <w:r w:rsidRPr="000B6F14">
        <w:rPr>
          <w:b/>
        </w:rPr>
        <w:t>requiring respondents to prepare a written response to a collection of information in fewer than 30 days after receipt of it;</w:t>
      </w:r>
    </w:p>
    <w:p w:rsidR="00386054" w:rsidRPr="000B6F14" w:rsidRDefault="00386054" w:rsidP="0011733A">
      <w:pPr>
        <w:pStyle w:val="ListParagraph"/>
        <w:numPr>
          <w:ilvl w:val="0"/>
          <w:numId w:val="21"/>
        </w:numPr>
        <w:spacing w:before="0" w:after="0"/>
        <w:contextualSpacing/>
        <w:rPr>
          <w:b/>
        </w:rPr>
      </w:pPr>
      <w:r w:rsidRPr="000B6F14">
        <w:rPr>
          <w:b/>
        </w:rPr>
        <w:t>requiring respondents to submit more than an original and two copies of any document;</w:t>
      </w:r>
    </w:p>
    <w:p w:rsidR="00386054" w:rsidRPr="000B6F14" w:rsidRDefault="00386054" w:rsidP="0011733A">
      <w:pPr>
        <w:pStyle w:val="ListParagraph"/>
        <w:numPr>
          <w:ilvl w:val="0"/>
          <w:numId w:val="21"/>
        </w:numPr>
        <w:spacing w:before="0" w:after="0"/>
        <w:contextualSpacing/>
        <w:rPr>
          <w:b/>
        </w:rPr>
      </w:pPr>
      <w:r w:rsidRPr="000B6F14">
        <w:rPr>
          <w:b/>
        </w:rPr>
        <w:t>requiring respondents to retain records, other than health, medical, government contract, grant-in-aid, or tax records for more than three years;</w:t>
      </w:r>
    </w:p>
    <w:p w:rsidR="00386054" w:rsidRPr="000B6F14" w:rsidRDefault="00386054" w:rsidP="0011733A">
      <w:pPr>
        <w:pStyle w:val="ListParagraph"/>
        <w:numPr>
          <w:ilvl w:val="0"/>
          <w:numId w:val="21"/>
        </w:numPr>
        <w:spacing w:before="0" w:after="0"/>
        <w:contextualSpacing/>
        <w:rPr>
          <w:b/>
        </w:rPr>
      </w:pPr>
      <w:r w:rsidRPr="000B6F14">
        <w:rPr>
          <w:b/>
        </w:rPr>
        <w:t>in connection with a statistical survey, that is not designed to produce valid and reliable results than can be generalized to the universe of study;</w:t>
      </w:r>
    </w:p>
    <w:p w:rsidR="00386054" w:rsidRPr="000B6F14" w:rsidRDefault="00386054" w:rsidP="0011733A">
      <w:pPr>
        <w:pStyle w:val="ListParagraph"/>
        <w:numPr>
          <w:ilvl w:val="0"/>
          <w:numId w:val="21"/>
        </w:numPr>
        <w:spacing w:before="0" w:after="0"/>
        <w:contextualSpacing/>
        <w:rPr>
          <w:b/>
        </w:rPr>
      </w:pPr>
      <w:r w:rsidRPr="000B6F14">
        <w:rPr>
          <w:b/>
        </w:rPr>
        <w:t>requiring the use of a statistical data classification that has not been reviewed and approved by OMB;</w:t>
      </w:r>
    </w:p>
    <w:p w:rsidR="00386054" w:rsidRPr="000B6F14" w:rsidRDefault="00386054" w:rsidP="0011733A">
      <w:pPr>
        <w:pStyle w:val="ListParagraph"/>
        <w:numPr>
          <w:ilvl w:val="0"/>
          <w:numId w:val="21"/>
        </w:numPr>
        <w:spacing w:before="0" w:after="0"/>
        <w:contextualSpacing/>
        <w:rPr>
          <w:b/>
        </w:rPr>
      </w:pPr>
      <w:r w:rsidRPr="000B6F1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B6F14" w:rsidRDefault="00386054" w:rsidP="0011733A">
      <w:pPr>
        <w:pStyle w:val="ListParagraph"/>
        <w:numPr>
          <w:ilvl w:val="0"/>
          <w:numId w:val="21"/>
        </w:numPr>
        <w:spacing w:before="0" w:after="0"/>
        <w:contextualSpacing/>
        <w:rPr>
          <w:b/>
        </w:rPr>
      </w:pPr>
      <w:r w:rsidRPr="000B6F14">
        <w:rPr>
          <w:b/>
        </w:rPr>
        <w:t>requiring respondents to submit proprietary trade secrets, or other confidential information unless the agency can demonstrate that it has instituted procedures to protect the information’s confidentiality to the extent permitted by law.</w:t>
      </w:r>
    </w:p>
    <w:p w:rsidR="00542A20" w:rsidRDefault="00542A20" w:rsidP="000B6F14">
      <w:pPr>
        <w:spacing w:after="0"/>
        <w:ind w:left="720"/>
      </w:pPr>
    </w:p>
    <w:p w:rsidR="000B6F14" w:rsidRDefault="000B6F14" w:rsidP="000B6F14">
      <w:pPr>
        <w:spacing w:after="0"/>
        <w:ind w:left="720"/>
      </w:pPr>
      <w:r>
        <w:t>There are no special circumstances that would require this information collection to be conducted in any of the ways listed as part of this question.</w:t>
      </w:r>
    </w:p>
    <w:p w:rsidR="000B6F14" w:rsidRPr="00EF7FF5" w:rsidRDefault="000B6F14" w:rsidP="000B6F14"/>
    <w:p w:rsidR="00386054" w:rsidRPr="000B6F14" w:rsidRDefault="001743A5" w:rsidP="00B83FB3">
      <w:pPr>
        <w:pStyle w:val="ListParagraph"/>
        <w:numPr>
          <w:ilvl w:val="0"/>
          <w:numId w:val="20"/>
        </w:numPr>
        <w:rPr>
          <w:b/>
        </w:rPr>
      </w:pPr>
      <w:r w:rsidRPr="001878F3">
        <w:rPr>
          <w:b/>
        </w:rPr>
        <w:t xml:space="preserve">As </w:t>
      </w:r>
      <w:r w:rsidR="00386054" w:rsidRPr="001878F3">
        <w:rPr>
          <w:b/>
        </w:rPr>
        <w:t xml:space="preserve">applicable, </w:t>
      </w:r>
      <w:r w:rsidRPr="001878F3">
        <w:rPr>
          <w:b/>
        </w:rPr>
        <w:t xml:space="preserve">state that the Department has published the 60 and 30 Federal Register notices as </w:t>
      </w:r>
      <w:r w:rsidR="00386054" w:rsidRPr="001878F3">
        <w:rPr>
          <w:b/>
        </w:rPr>
        <w:t xml:space="preserve">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w:t>
      </w:r>
      <w:r w:rsidR="00386054" w:rsidRPr="000B6F14">
        <w:rPr>
          <w:b/>
        </w:rPr>
        <w:t>hour burden.</w:t>
      </w:r>
    </w:p>
    <w:p w:rsidR="00386054" w:rsidRPr="000B6F14" w:rsidRDefault="00386054" w:rsidP="00B578F4">
      <w:pPr>
        <w:pStyle w:val="ListParagraph"/>
        <w:rPr>
          <w:rStyle w:val="a"/>
          <w:b/>
        </w:rPr>
      </w:pPr>
      <w:r w:rsidRPr="000B6F14">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B6F14" w:rsidRDefault="00386054" w:rsidP="00B578F4">
      <w:pPr>
        <w:pStyle w:val="ListParagraph"/>
        <w:rPr>
          <w:rStyle w:val="a"/>
          <w:b/>
        </w:rPr>
      </w:pPr>
      <w:r w:rsidRPr="000B6F14">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B6F14" w:rsidRDefault="000B6F14" w:rsidP="00D6226E">
      <w:pPr>
        <w:pStyle w:val="ListParagraph"/>
        <w:spacing w:before="0" w:after="0"/>
      </w:pPr>
      <w:r>
        <w:t>A 60-</w:t>
      </w:r>
      <w:r w:rsidRPr="00F97D38">
        <w:t xml:space="preserve">day notice </w:t>
      </w:r>
      <w:r>
        <w:t xml:space="preserve">and a 30-day </w:t>
      </w:r>
      <w:r w:rsidRPr="00F97D38">
        <w:t xml:space="preserve">notice about this information collection </w:t>
      </w:r>
      <w:r w:rsidR="007D3158">
        <w:t>were</w:t>
      </w:r>
      <w:r w:rsidRPr="00F97D38">
        <w:t xml:space="preserve"> published in the Federal Register to allow public comment.  </w:t>
      </w:r>
      <w:r>
        <w:t>The Department summarize</w:t>
      </w:r>
      <w:r w:rsidR="007D3158">
        <w:t>d</w:t>
      </w:r>
      <w:r>
        <w:t xml:space="preserve"> public comments and respond</w:t>
      </w:r>
      <w:r w:rsidR="007D3158">
        <w:t>ed</w:t>
      </w:r>
      <w:r>
        <w:t xml:space="preserve"> to them.  </w:t>
      </w:r>
    </w:p>
    <w:p w:rsidR="00ED6DF1" w:rsidRDefault="00ED6DF1" w:rsidP="00D6226E">
      <w:pPr>
        <w:pStyle w:val="ListParagraph"/>
        <w:spacing w:before="0" w:after="0"/>
      </w:pPr>
    </w:p>
    <w:p w:rsidR="003020FD" w:rsidRDefault="003020FD" w:rsidP="00D6226E">
      <w:pPr>
        <w:pStyle w:val="ListParagraph"/>
        <w:spacing w:before="0" w:after="0"/>
      </w:pPr>
    </w:p>
    <w:p w:rsidR="00361510" w:rsidRDefault="00361510" w:rsidP="00D6226E">
      <w:pPr>
        <w:pStyle w:val="ListParagraph"/>
        <w:spacing w:before="0" w:after="0"/>
      </w:pPr>
      <w:r>
        <w:t xml:space="preserve">Changes were made to the original information collection based on feedback received in the public comments.  </w:t>
      </w:r>
      <w:r w:rsidR="00174CDD">
        <w:t>Pubic comments focused mainly on the written survey</w:t>
      </w:r>
      <w:r w:rsidR="005D2B45">
        <w:t>, which has been removed from this clearance package</w:t>
      </w:r>
      <w:r w:rsidR="00174CDD">
        <w:t xml:space="preserve">. </w:t>
      </w:r>
      <w:r w:rsidR="003020FD">
        <w:t xml:space="preserve">Only information pertaining to the phone interview survey is now included.  </w:t>
      </w:r>
      <w:r w:rsidR="00174CDD">
        <w:t>Comments reflected the fact that much of the data requested in the written survey has been reported by grantees in the past through IFLEs on-line reporting system, “</w:t>
      </w:r>
      <w:r w:rsidR="005D2B45">
        <w:t>I</w:t>
      </w:r>
      <w:r w:rsidR="00174CDD">
        <w:t xml:space="preserve">nternational </w:t>
      </w:r>
      <w:r w:rsidR="005D2B45">
        <w:t xml:space="preserve">Resource Information System </w:t>
      </w:r>
      <w:r w:rsidR="00174CDD">
        <w:t>(IRIS)</w:t>
      </w:r>
      <w:r w:rsidR="005D2B45">
        <w:t>”</w:t>
      </w:r>
      <w:r w:rsidR="00174CDD">
        <w:t xml:space="preserve">.  Comments reflected that asking for </w:t>
      </w:r>
      <w:r w:rsidR="00852A26">
        <w:t>the survey information</w:t>
      </w:r>
      <w:r w:rsidR="00174CDD">
        <w:t xml:space="preserve"> wa</w:t>
      </w:r>
      <w:r w:rsidR="005D2B45">
        <w:t xml:space="preserve">s repetitive and the estimated hour burden </w:t>
      </w:r>
      <w:r w:rsidR="00852A26">
        <w:t xml:space="preserve">was </w:t>
      </w:r>
      <w:r w:rsidR="003020FD">
        <w:t xml:space="preserve">too </w:t>
      </w:r>
      <w:r w:rsidR="00852A26">
        <w:t>low</w:t>
      </w:r>
      <w:r w:rsidR="005D2B45">
        <w:t xml:space="preserve">. </w:t>
      </w:r>
      <w:r w:rsidR="003020FD">
        <w:t xml:space="preserve"> The comments stated that requesting that grantees submit the IRIS information again is burdensome.   Comments regarding the appropriateness of the phone interviews were positive. </w:t>
      </w:r>
      <w:r w:rsidR="005D2B45">
        <w:t xml:space="preserve"> </w:t>
      </w:r>
      <w:r w:rsidR="00174CDD">
        <w:t>IFLE carefully reviewed the comments, and based on the</w:t>
      </w:r>
      <w:r w:rsidR="005D2B45">
        <w:t xml:space="preserve"> comments,</w:t>
      </w:r>
      <w:r w:rsidR="00174CDD">
        <w:t xml:space="preserve"> revised the information collect</w:t>
      </w:r>
      <w:r w:rsidR="005D2B45">
        <w:t>ion</w:t>
      </w:r>
      <w:r w:rsidR="00174CDD">
        <w:t xml:space="preserve"> to reflect only the phone interviews.  The written survey that was to be collected by EPI though Survey Monkey will not be administered.  </w:t>
      </w:r>
      <w:r w:rsidR="00852A26">
        <w:t>EPI will administer only phone interv</w:t>
      </w:r>
      <w:r w:rsidR="003020FD">
        <w:t>iews to 15 grantees per program, for a total of 45 phone interviews.</w:t>
      </w:r>
    </w:p>
    <w:p w:rsidR="000B6F14" w:rsidRDefault="000B6F14" w:rsidP="000B6F14">
      <w:pPr>
        <w:pStyle w:val="ListParagraph"/>
        <w:spacing w:before="0" w:after="0"/>
        <w:ind w:left="0"/>
      </w:pPr>
    </w:p>
    <w:p w:rsidR="00386054" w:rsidRDefault="00386054" w:rsidP="00B83FB3">
      <w:pPr>
        <w:pStyle w:val="ListParagraph"/>
        <w:numPr>
          <w:ilvl w:val="0"/>
          <w:numId w:val="20"/>
        </w:numPr>
        <w:rPr>
          <w:rStyle w:val="a"/>
          <w:b/>
        </w:rPr>
      </w:pPr>
      <w:r w:rsidRPr="00313738">
        <w:rPr>
          <w:rStyle w:val="a"/>
          <w:b/>
        </w:rPr>
        <w:t>Explain any decision to provide any payment or gift to respondents, other than remuneration of contractors or grantees</w:t>
      </w:r>
      <w:r w:rsidR="003E285A" w:rsidRPr="00313738">
        <w:rPr>
          <w:rStyle w:val="a"/>
          <w:b/>
        </w:rPr>
        <w:t xml:space="preserve"> with meaningful justification</w:t>
      </w:r>
      <w:r w:rsidRPr="00313738">
        <w:rPr>
          <w:rStyle w:val="a"/>
          <w:b/>
        </w:rPr>
        <w:t>.</w:t>
      </w:r>
    </w:p>
    <w:p w:rsidR="00313738" w:rsidRPr="00313738" w:rsidRDefault="00313738" w:rsidP="00313738">
      <w:pPr>
        <w:pStyle w:val="ListParagraph"/>
      </w:pPr>
      <w:r>
        <w:rPr>
          <w:rStyle w:val="a"/>
        </w:rPr>
        <w:t>No payments or gifts to respondents will be given.</w:t>
      </w:r>
    </w:p>
    <w:p w:rsidR="00B83FB3" w:rsidRDefault="00386054" w:rsidP="00B578F4">
      <w:pPr>
        <w:pStyle w:val="ListParagraph"/>
        <w:numPr>
          <w:ilvl w:val="0"/>
          <w:numId w:val="20"/>
        </w:numPr>
        <w:rPr>
          <w:b/>
        </w:rPr>
      </w:pPr>
      <w:r w:rsidRPr="00313738">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13738">
        <w:rPr>
          <w:b/>
        </w:rPr>
        <w:t xml:space="preserve"> as indicated on the IC Data Form</w:t>
      </w:r>
      <w:r w:rsidRPr="00313738">
        <w:rPr>
          <w:b/>
        </w:rPr>
        <w:t xml:space="preserve">. A confidentiality statement with a legal citation that authorizes the </w:t>
      </w:r>
      <w:r w:rsidR="001743A5" w:rsidRPr="00313738">
        <w:rPr>
          <w:b/>
        </w:rPr>
        <w:t xml:space="preserve">pledge </w:t>
      </w:r>
      <w:r w:rsidRPr="00313738">
        <w:rPr>
          <w:b/>
        </w:rPr>
        <w:t xml:space="preserve">of </w:t>
      </w:r>
      <w:r w:rsidR="001743A5" w:rsidRPr="00313738">
        <w:rPr>
          <w:b/>
        </w:rPr>
        <w:t xml:space="preserve">confidentiality </w:t>
      </w:r>
      <w:r w:rsidRPr="00313738">
        <w:rPr>
          <w:b/>
        </w:rPr>
        <w:t>should be provided.</w:t>
      </w:r>
      <w:r w:rsidR="00CF7053" w:rsidRPr="00313738">
        <w:rPr>
          <w:b/>
        </w:rPr>
        <w:t xml:space="preserve"> </w:t>
      </w:r>
      <w:r w:rsidR="00016E14" w:rsidRPr="00313738">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313738">
        <w:rPr>
          <w:b/>
        </w:rPr>
        <w:t xml:space="preserve">. </w:t>
      </w:r>
      <w:r w:rsidR="001743A5" w:rsidRPr="00313738">
        <w:rPr>
          <w:b/>
        </w:rPr>
        <w:t>If the collection is subject to the Privacy Act, the Privacy Act statement is deemed sufficient with respect to confidentiality. If there is no expectation of confidentiality, simply state that the Department make</w:t>
      </w:r>
      <w:r w:rsidR="006A3B5C" w:rsidRPr="00313738">
        <w:rPr>
          <w:b/>
        </w:rPr>
        <w:t>s</w:t>
      </w:r>
      <w:r w:rsidR="001743A5" w:rsidRPr="00313738">
        <w:rPr>
          <w:b/>
        </w:rPr>
        <w:t xml:space="preserve"> no pledge about the confidentially of the data.</w:t>
      </w:r>
    </w:p>
    <w:p w:rsidR="00313738" w:rsidRPr="00313738" w:rsidRDefault="00313738" w:rsidP="00313738">
      <w:pPr>
        <w:pStyle w:val="ListParagraph"/>
      </w:pPr>
      <w:r>
        <w:t>This collection is not subject to the Privacy Act.</w:t>
      </w:r>
    </w:p>
    <w:p w:rsidR="00B83FB3" w:rsidRDefault="00386054" w:rsidP="00B578F4">
      <w:pPr>
        <w:pStyle w:val="ListParagraph"/>
        <w:numPr>
          <w:ilvl w:val="0"/>
          <w:numId w:val="20"/>
        </w:numPr>
      </w:pPr>
      <w:r w:rsidRPr="00313738">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313738" w:rsidRPr="00313738" w:rsidRDefault="00313738" w:rsidP="00313738">
      <w:pPr>
        <w:pStyle w:val="ListParagraph"/>
      </w:pPr>
      <w:r>
        <w:lastRenderedPageBreak/>
        <w:t>T</w:t>
      </w:r>
      <w:r w:rsidR="00945605">
        <w:t>his collection does not collect</w:t>
      </w:r>
      <w:r>
        <w:t xml:space="preserve"> information about matters that are commonly considered private.</w:t>
      </w:r>
    </w:p>
    <w:p w:rsidR="00386054" w:rsidRPr="001878F3" w:rsidRDefault="00386054" w:rsidP="00B578F4">
      <w:pPr>
        <w:pStyle w:val="ListParagraph"/>
        <w:numPr>
          <w:ilvl w:val="0"/>
          <w:numId w:val="20"/>
        </w:numPr>
        <w:rPr>
          <w:rStyle w:val="a"/>
          <w:b/>
        </w:rPr>
      </w:pPr>
      <w:r w:rsidRPr="001878F3">
        <w:rPr>
          <w:rStyle w:val="a"/>
          <w:b/>
        </w:rPr>
        <w:t>Provide estimates of the hour burden of the collection of information.  The statement should:</w:t>
      </w:r>
    </w:p>
    <w:p w:rsidR="0011733A" w:rsidRDefault="00386054" w:rsidP="0011733A">
      <w:pPr>
        <w:pStyle w:val="ListParagraph"/>
        <w:numPr>
          <w:ilvl w:val="0"/>
          <w:numId w:val="22"/>
        </w:numPr>
        <w:spacing w:before="0" w:after="0"/>
        <w:rPr>
          <w:rStyle w:val="a"/>
          <w:b/>
        </w:rPr>
      </w:pPr>
      <w:r w:rsidRPr="0011733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1733A" w:rsidRDefault="00386054" w:rsidP="0011733A">
      <w:pPr>
        <w:pStyle w:val="ListParagraph"/>
        <w:numPr>
          <w:ilvl w:val="0"/>
          <w:numId w:val="22"/>
        </w:numPr>
        <w:spacing w:before="0" w:after="0"/>
        <w:rPr>
          <w:rStyle w:val="a"/>
          <w:b/>
        </w:rPr>
      </w:pPr>
      <w:r w:rsidRPr="0011733A">
        <w:rPr>
          <w:rStyle w:val="a"/>
          <w:b/>
        </w:rPr>
        <w:t xml:space="preserve">If this request for approval covers more than one form, provide separate hour burden estimates for each form and aggregate the hour burdens in the </w:t>
      </w:r>
      <w:r w:rsidR="003C7F70" w:rsidRPr="0011733A">
        <w:rPr>
          <w:rStyle w:val="a"/>
          <w:b/>
        </w:rPr>
        <w:t xml:space="preserve">ROCIS </w:t>
      </w:r>
      <w:r w:rsidRPr="0011733A">
        <w:rPr>
          <w:rStyle w:val="a"/>
          <w:b/>
        </w:rPr>
        <w:t>IC Burden Analysis Table.</w:t>
      </w:r>
      <w:r w:rsidR="00CE72AF" w:rsidRPr="0011733A">
        <w:rPr>
          <w:rStyle w:val="a"/>
          <w:b/>
        </w:rPr>
        <w:t xml:space="preserve">  (The table should at </w:t>
      </w:r>
      <w:r w:rsidR="003C7F70" w:rsidRPr="0011733A">
        <w:rPr>
          <w:rStyle w:val="a"/>
          <w:b/>
        </w:rPr>
        <w:t>minimum</w:t>
      </w:r>
      <w:r w:rsidR="00CE72AF" w:rsidRPr="0011733A">
        <w:rPr>
          <w:rStyle w:val="a"/>
          <w:b/>
        </w:rPr>
        <w:t xml:space="preserve"> include Respondent types, IC activity, Respondent and Responses, Hours/Response, and Total Hours)</w:t>
      </w:r>
    </w:p>
    <w:p w:rsidR="00386054" w:rsidRDefault="00386054" w:rsidP="0011733A">
      <w:pPr>
        <w:pStyle w:val="ListParagraph"/>
        <w:numPr>
          <w:ilvl w:val="0"/>
          <w:numId w:val="22"/>
        </w:numPr>
        <w:spacing w:before="0" w:after="0"/>
        <w:rPr>
          <w:rStyle w:val="a"/>
          <w:b/>
        </w:rPr>
      </w:pPr>
      <w:r w:rsidRPr="00C65AB0">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24E68" w:rsidRDefault="00824E68" w:rsidP="00824E68">
      <w:pPr>
        <w:ind w:left="1080"/>
      </w:pPr>
    </w:p>
    <w:p w:rsidR="00945605" w:rsidRDefault="00824E68" w:rsidP="00824E68">
      <w:pPr>
        <w:ind w:left="1080"/>
      </w:pPr>
      <w:r>
        <w:t>The number of burden hours</w:t>
      </w:r>
      <w:r w:rsidR="00174CDD">
        <w:t xml:space="preserve"> for the phone interview</w:t>
      </w:r>
      <w:r>
        <w:t xml:space="preserve"> is based on </w:t>
      </w:r>
      <w:r w:rsidR="00174CDD">
        <w:t>the actual time of pilot interviews.</w:t>
      </w:r>
      <w:r>
        <w:t xml:space="preserve">  </w:t>
      </w:r>
      <w:r w:rsidR="009873A4">
        <w:t>This information can also be fou</w:t>
      </w:r>
      <w:r w:rsidR="00A47E13">
        <w:t>nd in the ROCIS IC Burden Analysis</w:t>
      </w:r>
      <w:r w:rsidR="009873A4">
        <w:t xml:space="preserve"> Table</w:t>
      </w:r>
      <w:r w:rsidR="00A47E13">
        <w:t xml:space="preserve"> submitted with this package.  </w:t>
      </w:r>
      <w:r>
        <w:t xml:space="preserve">The NRC, BIE, and USIFL </w:t>
      </w:r>
      <w:r w:rsidR="009C2B44">
        <w:t xml:space="preserve">phone interview protocols </w:t>
      </w:r>
      <w:r>
        <w:t xml:space="preserve">were created with the assistance of </w:t>
      </w:r>
      <w:r w:rsidR="00945605">
        <w:t xml:space="preserve">the </w:t>
      </w:r>
      <w:r>
        <w:t>TAG</w:t>
      </w:r>
      <w:r w:rsidR="005A0D03">
        <w:t xml:space="preserve"> members</w:t>
      </w:r>
      <w:r>
        <w:t xml:space="preserve">, who are experts in the field of international studies, as well as current and past grantees.  The </w:t>
      </w:r>
      <w:r w:rsidR="009C2B44">
        <w:t xml:space="preserve">phone interviews </w:t>
      </w:r>
      <w:r>
        <w:t xml:space="preserve">will </w:t>
      </w:r>
      <w:r w:rsidR="009C2B44">
        <w:t>require</w:t>
      </w:r>
      <w:r>
        <w:t xml:space="preserve"> current and past grantees </w:t>
      </w:r>
      <w:r w:rsidR="009C2B44">
        <w:t xml:space="preserve">to </w:t>
      </w:r>
      <w:r>
        <w:t xml:space="preserve">submit information only once.  There is no </w:t>
      </w:r>
      <w:r w:rsidR="005A0D03">
        <w:t>cost to the respondents as the i</w:t>
      </w:r>
      <w:r>
        <w:t xml:space="preserve">nformation has already been collected. </w:t>
      </w:r>
      <w:r w:rsidR="00A47E13">
        <w:t xml:space="preserve"> </w:t>
      </w:r>
    </w:p>
    <w:p w:rsidR="000832D9" w:rsidRPr="000832D9" w:rsidRDefault="009C2B44" w:rsidP="00824E68">
      <w:pPr>
        <w:ind w:left="1080"/>
      </w:pPr>
      <w:r>
        <w:t xml:space="preserve">The phone interviews are estimated at </w:t>
      </w:r>
      <w:r w:rsidR="00C01CE5">
        <w:t xml:space="preserve">45 </w:t>
      </w:r>
      <w:r>
        <w:t>minutes per respondent for each program (no variance)</w:t>
      </w:r>
      <w:r w:rsidR="005A0D03">
        <w:t>.</w:t>
      </w:r>
    </w:p>
    <w:tbl>
      <w:tblPr>
        <w:tblW w:w="0" w:type="auto"/>
        <w:jc w:val="center"/>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3240"/>
      </w:tblGrid>
      <w:tr w:rsidR="005A0D03" w:rsidRPr="00F10650" w:rsidTr="000832D9">
        <w:trPr>
          <w:jc w:val="center"/>
        </w:trPr>
        <w:tc>
          <w:tcPr>
            <w:tcW w:w="3618" w:type="dxa"/>
            <w:vAlign w:val="center"/>
          </w:tcPr>
          <w:p w:rsidR="005A0D03" w:rsidRPr="004F64A8" w:rsidRDefault="005A0D03" w:rsidP="009B33F8">
            <w:pPr>
              <w:pStyle w:val="Style"/>
              <w:tabs>
                <w:tab w:val="left" w:pos="-360"/>
                <w:tab w:val="left" w:pos="0"/>
                <w:tab w:val="left" w:pos="270"/>
                <w:tab w:val="left" w:pos="1440"/>
              </w:tabs>
              <w:ind w:left="0" w:firstLine="0"/>
              <w:rPr>
                <w:b/>
                <w:szCs w:val="24"/>
              </w:rPr>
            </w:pPr>
            <w:r w:rsidRPr="004F64A8">
              <w:rPr>
                <w:b/>
                <w:szCs w:val="24"/>
              </w:rPr>
              <w:t xml:space="preserve">Number of </w:t>
            </w:r>
            <w:r>
              <w:rPr>
                <w:b/>
                <w:szCs w:val="24"/>
              </w:rPr>
              <w:t xml:space="preserve">NRC </w:t>
            </w:r>
            <w:r w:rsidR="009B33F8">
              <w:rPr>
                <w:b/>
                <w:szCs w:val="24"/>
              </w:rPr>
              <w:t xml:space="preserve">respondents </w:t>
            </w:r>
            <w:r>
              <w:rPr>
                <w:b/>
                <w:szCs w:val="24"/>
              </w:rPr>
              <w:t>Phone Interview</w:t>
            </w:r>
          </w:p>
        </w:tc>
        <w:tc>
          <w:tcPr>
            <w:tcW w:w="3240" w:type="dxa"/>
          </w:tcPr>
          <w:p w:rsidR="005A0D03" w:rsidRDefault="00852A26" w:rsidP="000832D9">
            <w:pPr>
              <w:pStyle w:val="Style"/>
              <w:tabs>
                <w:tab w:val="left" w:pos="-360"/>
                <w:tab w:val="left" w:pos="0"/>
                <w:tab w:val="left" w:pos="270"/>
                <w:tab w:val="left" w:pos="1440"/>
              </w:tabs>
              <w:ind w:left="0" w:firstLine="0"/>
              <w:jc w:val="both"/>
              <w:rPr>
                <w:szCs w:val="24"/>
              </w:rPr>
            </w:pPr>
            <w:r>
              <w:rPr>
                <w:szCs w:val="24"/>
              </w:rPr>
              <w:t>15</w:t>
            </w:r>
          </w:p>
        </w:tc>
      </w:tr>
      <w:tr w:rsidR="002C5812" w:rsidRPr="00F10650" w:rsidTr="000832D9">
        <w:trPr>
          <w:jc w:val="center"/>
        </w:trPr>
        <w:tc>
          <w:tcPr>
            <w:tcW w:w="3618" w:type="dxa"/>
            <w:vAlign w:val="center"/>
          </w:tcPr>
          <w:p w:rsidR="002C5812" w:rsidRPr="004F64A8" w:rsidRDefault="005A0D03" w:rsidP="009B33F8">
            <w:pPr>
              <w:pStyle w:val="Style"/>
              <w:tabs>
                <w:tab w:val="left" w:pos="-360"/>
                <w:tab w:val="left" w:pos="0"/>
                <w:tab w:val="left" w:pos="270"/>
                <w:tab w:val="left" w:pos="1440"/>
              </w:tabs>
              <w:ind w:left="0" w:firstLine="0"/>
              <w:rPr>
                <w:b/>
                <w:szCs w:val="24"/>
              </w:rPr>
            </w:pPr>
            <w:r>
              <w:rPr>
                <w:b/>
                <w:szCs w:val="24"/>
              </w:rPr>
              <w:t>Annual hour burden</w:t>
            </w:r>
            <w:r w:rsidR="009B33F8">
              <w:rPr>
                <w:b/>
                <w:szCs w:val="24"/>
              </w:rPr>
              <w:t xml:space="preserve"> </w:t>
            </w:r>
          </w:p>
        </w:tc>
        <w:tc>
          <w:tcPr>
            <w:tcW w:w="3240" w:type="dxa"/>
          </w:tcPr>
          <w:p w:rsidR="002C5812" w:rsidRDefault="00852A26" w:rsidP="000832D9">
            <w:pPr>
              <w:pStyle w:val="Style"/>
              <w:tabs>
                <w:tab w:val="left" w:pos="-360"/>
                <w:tab w:val="left" w:pos="0"/>
                <w:tab w:val="left" w:pos="270"/>
                <w:tab w:val="left" w:pos="1440"/>
              </w:tabs>
              <w:ind w:left="0" w:firstLine="0"/>
              <w:jc w:val="both"/>
              <w:rPr>
                <w:szCs w:val="24"/>
              </w:rPr>
            </w:pPr>
            <w:r>
              <w:rPr>
                <w:szCs w:val="24"/>
              </w:rPr>
              <w:t>6.75</w:t>
            </w:r>
          </w:p>
        </w:tc>
      </w:tr>
      <w:tr w:rsidR="005A0D03" w:rsidRPr="00F10650" w:rsidTr="000832D9">
        <w:trPr>
          <w:jc w:val="center"/>
        </w:trPr>
        <w:tc>
          <w:tcPr>
            <w:tcW w:w="3618" w:type="dxa"/>
            <w:vAlign w:val="center"/>
          </w:tcPr>
          <w:p w:rsidR="005A0D03" w:rsidRPr="004F64A8" w:rsidRDefault="005A0D03" w:rsidP="009B33F8">
            <w:pPr>
              <w:pStyle w:val="Style"/>
              <w:tabs>
                <w:tab w:val="left" w:pos="-360"/>
                <w:tab w:val="left" w:pos="0"/>
                <w:tab w:val="left" w:pos="270"/>
                <w:tab w:val="left" w:pos="1440"/>
              </w:tabs>
              <w:ind w:left="0" w:firstLine="0"/>
              <w:rPr>
                <w:b/>
                <w:szCs w:val="24"/>
              </w:rPr>
            </w:pPr>
            <w:r w:rsidRPr="004F64A8">
              <w:rPr>
                <w:b/>
                <w:szCs w:val="24"/>
              </w:rPr>
              <w:t xml:space="preserve">Number of </w:t>
            </w:r>
            <w:r>
              <w:rPr>
                <w:b/>
                <w:szCs w:val="24"/>
              </w:rPr>
              <w:t>BIE r</w:t>
            </w:r>
            <w:r w:rsidRPr="004F64A8">
              <w:rPr>
                <w:b/>
                <w:szCs w:val="24"/>
              </w:rPr>
              <w:t xml:space="preserve">espondents </w:t>
            </w:r>
            <w:r>
              <w:rPr>
                <w:b/>
                <w:szCs w:val="24"/>
              </w:rPr>
              <w:t>Phone Interview</w:t>
            </w:r>
          </w:p>
        </w:tc>
        <w:tc>
          <w:tcPr>
            <w:tcW w:w="3240" w:type="dxa"/>
          </w:tcPr>
          <w:p w:rsidR="005A0D03" w:rsidRDefault="00852A26" w:rsidP="00852A26">
            <w:pPr>
              <w:pStyle w:val="Style"/>
              <w:tabs>
                <w:tab w:val="left" w:pos="-360"/>
                <w:tab w:val="left" w:pos="0"/>
                <w:tab w:val="left" w:pos="270"/>
                <w:tab w:val="left" w:pos="1440"/>
              </w:tabs>
              <w:ind w:left="0" w:firstLine="0"/>
              <w:jc w:val="both"/>
              <w:rPr>
                <w:szCs w:val="24"/>
              </w:rPr>
            </w:pPr>
            <w:r>
              <w:rPr>
                <w:szCs w:val="24"/>
              </w:rPr>
              <w:t>15</w:t>
            </w:r>
          </w:p>
        </w:tc>
      </w:tr>
      <w:tr w:rsidR="005A0D03" w:rsidRPr="00F10650" w:rsidTr="000832D9">
        <w:trPr>
          <w:jc w:val="center"/>
        </w:trPr>
        <w:tc>
          <w:tcPr>
            <w:tcW w:w="3618" w:type="dxa"/>
            <w:vAlign w:val="center"/>
          </w:tcPr>
          <w:p w:rsidR="005A0D03" w:rsidRPr="004F64A8" w:rsidRDefault="005A0D03" w:rsidP="002C5812">
            <w:pPr>
              <w:pStyle w:val="Style"/>
              <w:tabs>
                <w:tab w:val="left" w:pos="-360"/>
                <w:tab w:val="left" w:pos="0"/>
                <w:tab w:val="left" w:pos="270"/>
                <w:tab w:val="left" w:pos="1440"/>
              </w:tabs>
              <w:ind w:left="0" w:firstLine="0"/>
              <w:rPr>
                <w:b/>
                <w:szCs w:val="24"/>
              </w:rPr>
            </w:pPr>
            <w:r>
              <w:rPr>
                <w:b/>
                <w:szCs w:val="24"/>
              </w:rPr>
              <w:t>Annual hour burden</w:t>
            </w:r>
          </w:p>
        </w:tc>
        <w:tc>
          <w:tcPr>
            <w:tcW w:w="3240" w:type="dxa"/>
          </w:tcPr>
          <w:p w:rsidR="005A0D03" w:rsidRDefault="00852A26" w:rsidP="000832D9">
            <w:pPr>
              <w:pStyle w:val="Style"/>
              <w:tabs>
                <w:tab w:val="left" w:pos="-360"/>
                <w:tab w:val="left" w:pos="0"/>
                <w:tab w:val="left" w:pos="270"/>
                <w:tab w:val="left" w:pos="1440"/>
              </w:tabs>
              <w:ind w:left="0" w:firstLine="0"/>
              <w:jc w:val="both"/>
              <w:rPr>
                <w:szCs w:val="24"/>
              </w:rPr>
            </w:pPr>
            <w:r>
              <w:rPr>
                <w:szCs w:val="24"/>
              </w:rPr>
              <w:t>6.75</w:t>
            </w:r>
          </w:p>
        </w:tc>
      </w:tr>
      <w:tr w:rsidR="005A0D03" w:rsidRPr="00F10650" w:rsidTr="000832D9">
        <w:trPr>
          <w:jc w:val="center"/>
        </w:trPr>
        <w:tc>
          <w:tcPr>
            <w:tcW w:w="3618" w:type="dxa"/>
            <w:vAlign w:val="center"/>
          </w:tcPr>
          <w:p w:rsidR="005A0D03" w:rsidRPr="004F64A8" w:rsidRDefault="005A0D03" w:rsidP="009B33F8">
            <w:pPr>
              <w:pStyle w:val="Style"/>
              <w:tabs>
                <w:tab w:val="left" w:pos="-360"/>
                <w:tab w:val="left" w:pos="0"/>
                <w:tab w:val="left" w:pos="270"/>
                <w:tab w:val="left" w:pos="1440"/>
              </w:tabs>
              <w:ind w:left="0" w:firstLine="0"/>
              <w:rPr>
                <w:b/>
                <w:szCs w:val="24"/>
              </w:rPr>
            </w:pPr>
            <w:r w:rsidRPr="004F64A8">
              <w:rPr>
                <w:b/>
                <w:szCs w:val="24"/>
              </w:rPr>
              <w:lastRenderedPageBreak/>
              <w:t xml:space="preserve">Number of </w:t>
            </w:r>
            <w:r>
              <w:rPr>
                <w:b/>
                <w:szCs w:val="24"/>
              </w:rPr>
              <w:t xml:space="preserve">UISFL </w:t>
            </w:r>
            <w:r w:rsidRPr="004F64A8">
              <w:rPr>
                <w:b/>
                <w:szCs w:val="24"/>
              </w:rPr>
              <w:t xml:space="preserve">respondents </w:t>
            </w:r>
            <w:r>
              <w:rPr>
                <w:b/>
                <w:szCs w:val="24"/>
              </w:rPr>
              <w:t>Phone Interview</w:t>
            </w:r>
          </w:p>
        </w:tc>
        <w:tc>
          <w:tcPr>
            <w:tcW w:w="3240" w:type="dxa"/>
          </w:tcPr>
          <w:p w:rsidR="005A0D03" w:rsidRDefault="00852A26" w:rsidP="00852A26">
            <w:pPr>
              <w:pStyle w:val="Style"/>
              <w:tabs>
                <w:tab w:val="left" w:pos="-360"/>
                <w:tab w:val="left" w:pos="0"/>
                <w:tab w:val="left" w:pos="270"/>
                <w:tab w:val="left" w:pos="1440"/>
              </w:tabs>
              <w:ind w:left="0" w:firstLine="0"/>
              <w:jc w:val="both"/>
              <w:rPr>
                <w:szCs w:val="24"/>
              </w:rPr>
            </w:pPr>
            <w:r>
              <w:rPr>
                <w:szCs w:val="24"/>
              </w:rPr>
              <w:t>15</w:t>
            </w:r>
          </w:p>
        </w:tc>
      </w:tr>
      <w:tr w:rsidR="005A0D03" w:rsidRPr="00F10650" w:rsidTr="000832D9">
        <w:trPr>
          <w:jc w:val="center"/>
        </w:trPr>
        <w:tc>
          <w:tcPr>
            <w:tcW w:w="3618" w:type="dxa"/>
            <w:vAlign w:val="center"/>
          </w:tcPr>
          <w:p w:rsidR="005A0D03" w:rsidRPr="004F64A8" w:rsidRDefault="005A0D03" w:rsidP="000832D9">
            <w:pPr>
              <w:pStyle w:val="Style"/>
              <w:tabs>
                <w:tab w:val="left" w:pos="-360"/>
                <w:tab w:val="left" w:pos="0"/>
                <w:tab w:val="left" w:pos="270"/>
                <w:tab w:val="left" w:pos="1440"/>
              </w:tabs>
              <w:ind w:left="0" w:firstLine="0"/>
              <w:rPr>
                <w:b/>
                <w:szCs w:val="24"/>
              </w:rPr>
            </w:pPr>
            <w:r>
              <w:rPr>
                <w:b/>
                <w:szCs w:val="24"/>
              </w:rPr>
              <w:t>Annual hour burden</w:t>
            </w:r>
          </w:p>
        </w:tc>
        <w:tc>
          <w:tcPr>
            <w:tcW w:w="3240" w:type="dxa"/>
          </w:tcPr>
          <w:p w:rsidR="005A0D03" w:rsidRDefault="00852A26" w:rsidP="00824E68">
            <w:pPr>
              <w:pStyle w:val="Style"/>
              <w:tabs>
                <w:tab w:val="left" w:pos="-360"/>
                <w:tab w:val="left" w:pos="0"/>
                <w:tab w:val="left" w:pos="270"/>
                <w:tab w:val="left" w:pos="1440"/>
              </w:tabs>
              <w:ind w:left="0" w:firstLine="0"/>
              <w:jc w:val="both"/>
              <w:rPr>
                <w:szCs w:val="24"/>
              </w:rPr>
            </w:pPr>
            <w:r>
              <w:rPr>
                <w:szCs w:val="24"/>
              </w:rPr>
              <w:t>6.75</w:t>
            </w:r>
          </w:p>
        </w:tc>
      </w:tr>
      <w:tr w:rsidR="002C5812" w:rsidRPr="00F10650" w:rsidTr="000832D9">
        <w:trPr>
          <w:jc w:val="center"/>
        </w:trPr>
        <w:tc>
          <w:tcPr>
            <w:tcW w:w="3618" w:type="dxa"/>
            <w:vAlign w:val="center"/>
          </w:tcPr>
          <w:p w:rsidR="002C5812" w:rsidRPr="004F64A8" w:rsidRDefault="002C5812" w:rsidP="000832D9">
            <w:pPr>
              <w:pStyle w:val="Style"/>
              <w:tabs>
                <w:tab w:val="left" w:pos="-360"/>
                <w:tab w:val="left" w:pos="0"/>
                <w:tab w:val="left" w:pos="270"/>
                <w:tab w:val="left" w:pos="1440"/>
              </w:tabs>
              <w:ind w:left="0" w:firstLine="0"/>
              <w:rPr>
                <w:b/>
                <w:szCs w:val="24"/>
              </w:rPr>
            </w:pPr>
            <w:r w:rsidRPr="004F64A8">
              <w:rPr>
                <w:b/>
                <w:szCs w:val="24"/>
              </w:rPr>
              <w:t xml:space="preserve">Annual cost to </w:t>
            </w:r>
            <w:r w:rsidR="005A0D03">
              <w:rPr>
                <w:b/>
                <w:szCs w:val="24"/>
              </w:rPr>
              <w:t xml:space="preserve">all </w:t>
            </w:r>
            <w:r w:rsidRPr="004F64A8">
              <w:rPr>
                <w:b/>
                <w:szCs w:val="24"/>
              </w:rPr>
              <w:t>respondents</w:t>
            </w:r>
          </w:p>
        </w:tc>
        <w:tc>
          <w:tcPr>
            <w:tcW w:w="3240" w:type="dxa"/>
          </w:tcPr>
          <w:p w:rsidR="002C5812" w:rsidRPr="00F10650" w:rsidRDefault="002C5812" w:rsidP="00824E68">
            <w:pPr>
              <w:pStyle w:val="Style"/>
              <w:tabs>
                <w:tab w:val="left" w:pos="-360"/>
                <w:tab w:val="left" w:pos="0"/>
                <w:tab w:val="left" w:pos="270"/>
                <w:tab w:val="left" w:pos="1440"/>
              </w:tabs>
              <w:ind w:left="0" w:firstLine="0"/>
              <w:jc w:val="both"/>
              <w:rPr>
                <w:szCs w:val="24"/>
              </w:rPr>
            </w:pPr>
            <w:r>
              <w:rPr>
                <w:szCs w:val="24"/>
              </w:rPr>
              <w:t>No cost</w:t>
            </w:r>
            <w:r w:rsidR="00824E68">
              <w:rPr>
                <w:szCs w:val="24"/>
              </w:rPr>
              <w:t xml:space="preserve"> </w:t>
            </w:r>
          </w:p>
        </w:tc>
      </w:tr>
    </w:tbl>
    <w:p w:rsidR="000832D9" w:rsidRPr="000832D9" w:rsidRDefault="000832D9" w:rsidP="000832D9"/>
    <w:p w:rsidR="00386054" w:rsidRPr="001878F3" w:rsidRDefault="00386054" w:rsidP="00B578F4">
      <w:pPr>
        <w:pStyle w:val="ListParagraph"/>
        <w:numPr>
          <w:ilvl w:val="0"/>
          <w:numId w:val="20"/>
        </w:numPr>
        <w:rPr>
          <w:b/>
        </w:rPr>
      </w:pPr>
      <w:r w:rsidRPr="001878F3">
        <w:rPr>
          <w:rStyle w:val="a"/>
          <w:b/>
        </w:rPr>
        <w:t>Provide an estimate of the total annual cost burden to respondents or record keepers resulting from the collection of information.  (Do not include the cost of any hour burden shown in Items 12 and 14.)</w:t>
      </w:r>
    </w:p>
    <w:p w:rsidR="0011733A" w:rsidRDefault="00386054" w:rsidP="0011733A">
      <w:pPr>
        <w:pStyle w:val="ListParagraph"/>
        <w:numPr>
          <w:ilvl w:val="0"/>
          <w:numId w:val="23"/>
        </w:numPr>
        <w:spacing w:before="0" w:after="0"/>
        <w:ind w:left="1080"/>
        <w:rPr>
          <w:b/>
        </w:rPr>
      </w:pPr>
      <w:r w:rsidRPr="00EF7FF5">
        <w:t xml:space="preserve">The </w:t>
      </w:r>
      <w:r w:rsidRPr="0011733A">
        <w:rPr>
          <w:b/>
        </w:rPr>
        <w:t>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1733A" w:rsidRDefault="00386054" w:rsidP="0011733A">
      <w:pPr>
        <w:pStyle w:val="ListParagraph"/>
        <w:numPr>
          <w:ilvl w:val="0"/>
          <w:numId w:val="23"/>
        </w:numPr>
        <w:spacing w:before="0" w:after="0"/>
        <w:ind w:left="1080"/>
        <w:rPr>
          <w:b/>
        </w:rPr>
      </w:pPr>
      <w:r w:rsidRPr="0011733A">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8281E" w:rsidRDefault="00386054" w:rsidP="0011733A">
      <w:pPr>
        <w:pStyle w:val="ListParagraph"/>
        <w:numPr>
          <w:ilvl w:val="0"/>
          <w:numId w:val="23"/>
        </w:numPr>
        <w:spacing w:before="0" w:after="0"/>
        <w:ind w:left="1080"/>
        <w:rPr>
          <w:b/>
        </w:rPr>
      </w:pPr>
      <w:r w:rsidRPr="00F8281E">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8281E">
        <w:rPr>
          <w:b/>
        </w:rPr>
        <w:t>government</w:t>
      </w:r>
      <w:r w:rsidRPr="00F8281E">
        <w:rPr>
          <w:b/>
        </w:rPr>
        <w:t xml:space="preserve"> or (4) as part of customary and usual business or private practices.</w:t>
      </w:r>
      <w:r w:rsidR="001743A5" w:rsidRPr="00F8281E">
        <w:rPr>
          <w:b/>
        </w:rPr>
        <w:t xml:space="preserve"> Also, these estimates should not include the hourly costs (i.e., the monetization of the hours) captured above in Item 12</w:t>
      </w:r>
    </w:p>
    <w:p w:rsidR="00386054" w:rsidRPr="00F8281E" w:rsidRDefault="00386054" w:rsidP="0011733A">
      <w:pPr>
        <w:pStyle w:val="ListParagraph"/>
        <w:spacing w:after="0"/>
        <w:ind w:left="1080"/>
        <w:rPr>
          <w:b/>
        </w:rPr>
      </w:pPr>
      <w:r w:rsidRPr="00F8281E">
        <w:rPr>
          <w:b/>
        </w:rPr>
        <w:t>Total Annualized Capital/Startup Cost:</w:t>
      </w:r>
    </w:p>
    <w:p w:rsidR="00386054" w:rsidRPr="00F8281E" w:rsidRDefault="00386054" w:rsidP="0011733A">
      <w:pPr>
        <w:tabs>
          <w:tab w:val="left" w:pos="-720"/>
        </w:tabs>
        <w:suppressAutoHyphens/>
        <w:spacing w:after="0"/>
        <w:ind w:left="1080"/>
        <w:rPr>
          <w:b/>
        </w:rPr>
      </w:pPr>
      <w:r w:rsidRPr="00F8281E">
        <w:rPr>
          <w:b/>
        </w:rPr>
        <w:t xml:space="preserve">Total Annual Costs (O&amp;M): </w:t>
      </w:r>
    </w:p>
    <w:p w:rsidR="00386054" w:rsidRPr="00F8281E" w:rsidRDefault="00386054" w:rsidP="0011733A">
      <w:pPr>
        <w:tabs>
          <w:tab w:val="left" w:pos="-720"/>
        </w:tabs>
        <w:suppressAutoHyphens/>
        <w:spacing w:after="0"/>
        <w:ind w:left="1080"/>
        <w:rPr>
          <w:b/>
        </w:rPr>
      </w:pPr>
      <w:r w:rsidRPr="00F8281E">
        <w:rPr>
          <w:b/>
        </w:rPr>
        <w:t>Total Annualized Costs Requested:</w:t>
      </w:r>
    </w:p>
    <w:p w:rsidR="00F8281E" w:rsidRPr="00EF7FF5" w:rsidRDefault="00F8281E" w:rsidP="00F8281E">
      <w:pPr>
        <w:tabs>
          <w:tab w:val="left" w:pos="-720"/>
        </w:tabs>
        <w:suppressAutoHyphens/>
      </w:pPr>
      <w:r w:rsidRPr="00F10650">
        <w:t>There is no capital, start-up, or maintenance cost to respondents.</w:t>
      </w:r>
      <w:r>
        <w:t xml:space="preserve">  Record keepers are already maintaining survey information.</w:t>
      </w:r>
    </w:p>
    <w:p w:rsidR="00B83FB3" w:rsidRDefault="00386054" w:rsidP="00B578F4">
      <w:pPr>
        <w:pStyle w:val="ListParagraph"/>
        <w:numPr>
          <w:ilvl w:val="0"/>
          <w:numId w:val="20"/>
        </w:numPr>
        <w:rPr>
          <w:rStyle w:val="a"/>
          <w:b/>
        </w:rPr>
      </w:pPr>
      <w:r w:rsidRPr="00027596">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027596">
        <w:rPr>
          <w:rStyle w:val="a"/>
          <w:b/>
        </w:rPr>
        <w:lastRenderedPageBreak/>
        <w:t>collection of information.  Agencies also may aggregate cost estimates from Items 12, 13, and 14 in a single table.</w:t>
      </w:r>
    </w:p>
    <w:p w:rsidR="000832D9" w:rsidRDefault="000832D9" w:rsidP="000832D9">
      <w:pPr>
        <w:spacing w:after="0"/>
        <w:ind w:left="360"/>
        <w:rPr>
          <w:rStyle w:val="a"/>
        </w:rPr>
      </w:pPr>
      <w:r>
        <w:rPr>
          <w:rStyle w:val="a"/>
        </w:rPr>
        <w:t>The annualized cost to the Federal government will be approximately $</w:t>
      </w:r>
      <w:r w:rsidR="00CD234F">
        <w:rPr>
          <w:rStyle w:val="a"/>
        </w:rPr>
        <w:t>260,663</w:t>
      </w:r>
      <w:r>
        <w:rPr>
          <w:rStyle w:val="a"/>
        </w:rPr>
        <w:t>.  This includes the equivalent of one person-</w:t>
      </w:r>
      <w:r w:rsidR="00CD234F">
        <w:rPr>
          <w:rStyle w:val="a"/>
        </w:rPr>
        <w:t xml:space="preserve"> month</w:t>
      </w:r>
      <w:r>
        <w:rPr>
          <w:rStyle w:val="a"/>
        </w:rPr>
        <w:t xml:space="preserve"> of senior federal government staff time and the cost of employing </w:t>
      </w:r>
      <w:r w:rsidR="005A0D03">
        <w:rPr>
          <w:rStyle w:val="a"/>
        </w:rPr>
        <w:t xml:space="preserve">a contractor to create the surveys, administer the surveys, and </w:t>
      </w:r>
      <w:r>
        <w:rPr>
          <w:rStyle w:val="a"/>
        </w:rPr>
        <w:t xml:space="preserve">to clean the data, analyze the data, and </w:t>
      </w:r>
      <w:r w:rsidR="005A0D03">
        <w:rPr>
          <w:rStyle w:val="a"/>
        </w:rPr>
        <w:t>prepare the</w:t>
      </w:r>
      <w:r>
        <w:rPr>
          <w:rStyle w:val="a"/>
        </w:rPr>
        <w:t xml:space="preserve"> draft of the final report.  </w:t>
      </w:r>
    </w:p>
    <w:tbl>
      <w:tblPr>
        <w:tblStyle w:val="TableGrid"/>
        <w:tblW w:w="0" w:type="auto"/>
        <w:tblInd w:w="360" w:type="dxa"/>
        <w:tblLook w:val="04A0" w:firstRow="1" w:lastRow="0" w:firstColumn="1" w:lastColumn="0" w:noHBand="0" w:noVBand="1"/>
      </w:tblPr>
      <w:tblGrid>
        <w:gridCol w:w="2472"/>
        <w:gridCol w:w="2309"/>
        <w:gridCol w:w="2319"/>
        <w:gridCol w:w="2116"/>
      </w:tblGrid>
      <w:tr w:rsidR="00063C9A" w:rsidTr="00063C9A">
        <w:tc>
          <w:tcPr>
            <w:tcW w:w="2472" w:type="dxa"/>
          </w:tcPr>
          <w:p w:rsidR="00063C9A" w:rsidRDefault="00063C9A" w:rsidP="000832D9">
            <w:pPr>
              <w:spacing w:after="0"/>
              <w:rPr>
                <w:rStyle w:val="a"/>
              </w:rPr>
            </w:pPr>
          </w:p>
        </w:tc>
        <w:tc>
          <w:tcPr>
            <w:tcW w:w="2309" w:type="dxa"/>
          </w:tcPr>
          <w:p w:rsidR="00063C9A" w:rsidRDefault="00063C9A" w:rsidP="000832D9">
            <w:pPr>
              <w:spacing w:after="0"/>
              <w:rPr>
                <w:rStyle w:val="a"/>
              </w:rPr>
            </w:pPr>
            <w:r>
              <w:rPr>
                <w:rStyle w:val="a"/>
              </w:rPr>
              <w:t>Hours</w:t>
            </w:r>
          </w:p>
        </w:tc>
        <w:tc>
          <w:tcPr>
            <w:tcW w:w="2319" w:type="dxa"/>
          </w:tcPr>
          <w:p w:rsidR="00063C9A" w:rsidRDefault="00063C9A" w:rsidP="000832D9">
            <w:pPr>
              <w:spacing w:after="0"/>
              <w:rPr>
                <w:rStyle w:val="a"/>
              </w:rPr>
            </w:pPr>
            <w:r>
              <w:rPr>
                <w:rStyle w:val="a"/>
              </w:rPr>
              <w:t>Salary</w:t>
            </w:r>
          </w:p>
        </w:tc>
        <w:tc>
          <w:tcPr>
            <w:tcW w:w="2116" w:type="dxa"/>
          </w:tcPr>
          <w:p w:rsidR="00063C9A" w:rsidRDefault="00063C9A" w:rsidP="000832D9">
            <w:pPr>
              <w:spacing w:after="0"/>
              <w:rPr>
                <w:rStyle w:val="a"/>
              </w:rPr>
            </w:pPr>
            <w:r>
              <w:rPr>
                <w:rStyle w:val="a"/>
              </w:rPr>
              <w:t>Total</w:t>
            </w:r>
          </w:p>
        </w:tc>
      </w:tr>
      <w:tr w:rsidR="00063C9A" w:rsidTr="00063C9A">
        <w:tc>
          <w:tcPr>
            <w:tcW w:w="2472" w:type="dxa"/>
          </w:tcPr>
          <w:p w:rsidR="00063C9A" w:rsidRDefault="00063C9A" w:rsidP="000832D9">
            <w:pPr>
              <w:spacing w:after="0"/>
              <w:rPr>
                <w:rStyle w:val="a"/>
              </w:rPr>
            </w:pPr>
            <w:r>
              <w:rPr>
                <w:rStyle w:val="a"/>
              </w:rPr>
              <w:t>Senior Program Officer</w:t>
            </w:r>
          </w:p>
        </w:tc>
        <w:tc>
          <w:tcPr>
            <w:tcW w:w="2309" w:type="dxa"/>
          </w:tcPr>
          <w:p w:rsidR="00063C9A" w:rsidRDefault="00063C9A" w:rsidP="000832D9">
            <w:pPr>
              <w:spacing w:after="0"/>
              <w:rPr>
                <w:rStyle w:val="a"/>
              </w:rPr>
            </w:pPr>
            <w:r>
              <w:rPr>
                <w:rStyle w:val="a"/>
              </w:rPr>
              <w:t>160 (1 month full time)</w:t>
            </w:r>
          </w:p>
        </w:tc>
        <w:tc>
          <w:tcPr>
            <w:tcW w:w="2319" w:type="dxa"/>
          </w:tcPr>
          <w:p w:rsidR="00063C9A" w:rsidRDefault="00063C9A" w:rsidP="000832D9">
            <w:pPr>
              <w:spacing w:after="0"/>
              <w:rPr>
                <w:rStyle w:val="a"/>
              </w:rPr>
            </w:pPr>
            <w:r>
              <w:rPr>
                <w:rStyle w:val="a"/>
              </w:rPr>
              <w:t>$55</w:t>
            </w:r>
            <w:r w:rsidR="00DD1544">
              <w:rPr>
                <w:rStyle w:val="a"/>
              </w:rPr>
              <w:t>/ hour</w:t>
            </w:r>
          </w:p>
        </w:tc>
        <w:tc>
          <w:tcPr>
            <w:tcW w:w="2116" w:type="dxa"/>
          </w:tcPr>
          <w:p w:rsidR="00063C9A" w:rsidRDefault="00063C9A" w:rsidP="000832D9">
            <w:pPr>
              <w:spacing w:after="0"/>
              <w:rPr>
                <w:rStyle w:val="a"/>
              </w:rPr>
            </w:pPr>
            <w:r>
              <w:rPr>
                <w:rStyle w:val="a"/>
              </w:rPr>
              <w:t>$8,800</w:t>
            </w:r>
          </w:p>
        </w:tc>
      </w:tr>
      <w:tr w:rsidR="00063C9A" w:rsidTr="00063C9A">
        <w:tc>
          <w:tcPr>
            <w:tcW w:w="2472" w:type="dxa"/>
          </w:tcPr>
          <w:p w:rsidR="00063C9A" w:rsidRDefault="00063C9A" w:rsidP="000832D9">
            <w:pPr>
              <w:spacing w:after="0"/>
              <w:rPr>
                <w:rStyle w:val="a"/>
              </w:rPr>
            </w:pPr>
            <w:r>
              <w:rPr>
                <w:rStyle w:val="a"/>
              </w:rPr>
              <w:t>Contractor</w:t>
            </w:r>
          </w:p>
        </w:tc>
        <w:tc>
          <w:tcPr>
            <w:tcW w:w="2309" w:type="dxa"/>
          </w:tcPr>
          <w:p w:rsidR="00063C9A" w:rsidRDefault="00063C9A" w:rsidP="000832D9">
            <w:pPr>
              <w:spacing w:after="0"/>
              <w:rPr>
                <w:rStyle w:val="a"/>
              </w:rPr>
            </w:pPr>
            <w:r>
              <w:rPr>
                <w:rStyle w:val="a"/>
              </w:rPr>
              <w:t>Fixed price Contract</w:t>
            </w:r>
          </w:p>
        </w:tc>
        <w:tc>
          <w:tcPr>
            <w:tcW w:w="2319" w:type="dxa"/>
          </w:tcPr>
          <w:p w:rsidR="00063C9A" w:rsidRDefault="00063C9A" w:rsidP="000832D9">
            <w:pPr>
              <w:spacing w:after="0"/>
              <w:rPr>
                <w:rStyle w:val="a"/>
              </w:rPr>
            </w:pPr>
          </w:p>
        </w:tc>
        <w:tc>
          <w:tcPr>
            <w:tcW w:w="2116" w:type="dxa"/>
          </w:tcPr>
          <w:p w:rsidR="00063C9A" w:rsidRDefault="00063C9A" w:rsidP="000832D9">
            <w:pPr>
              <w:spacing w:after="0"/>
              <w:rPr>
                <w:rStyle w:val="a"/>
              </w:rPr>
            </w:pPr>
            <w:r>
              <w:rPr>
                <w:rStyle w:val="a"/>
              </w:rPr>
              <w:t>$251,863</w:t>
            </w:r>
          </w:p>
        </w:tc>
      </w:tr>
    </w:tbl>
    <w:p w:rsidR="00063C9A" w:rsidRDefault="00063C9A" w:rsidP="000832D9">
      <w:pPr>
        <w:spacing w:after="0"/>
        <w:ind w:left="360"/>
        <w:rPr>
          <w:rStyle w:val="a"/>
        </w:rPr>
      </w:pPr>
    </w:p>
    <w:p w:rsidR="000832D9" w:rsidRPr="000832D9" w:rsidRDefault="000832D9" w:rsidP="000832D9">
      <w:pPr>
        <w:rPr>
          <w:rStyle w:val="a"/>
          <w:b/>
        </w:rPr>
      </w:pPr>
    </w:p>
    <w:p w:rsidR="00B83FB3" w:rsidRDefault="00386054" w:rsidP="00B578F4">
      <w:pPr>
        <w:pStyle w:val="ListParagraph"/>
        <w:numPr>
          <w:ilvl w:val="0"/>
          <w:numId w:val="20"/>
        </w:numPr>
        <w:rPr>
          <w:b/>
        </w:rPr>
      </w:pPr>
      <w:r w:rsidRPr="00287344">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87344">
        <w:rPr>
          <w:b/>
        </w:rPr>
        <w:t xml:space="preserve">totals for </w:t>
      </w:r>
      <w:r w:rsidRPr="00287344">
        <w:rPr>
          <w:b/>
        </w:rPr>
        <w:t>changes in burden hours</w:t>
      </w:r>
      <w:r w:rsidR="002473CE" w:rsidRPr="00287344">
        <w:rPr>
          <w:b/>
        </w:rPr>
        <w:t>, responses</w:t>
      </w:r>
      <w:r w:rsidRPr="00287344">
        <w:rPr>
          <w:b/>
        </w:rPr>
        <w:t xml:space="preserve"> and cost</w:t>
      </w:r>
      <w:r w:rsidR="002473CE" w:rsidRPr="00287344">
        <w:rPr>
          <w:b/>
        </w:rPr>
        <w:t>s</w:t>
      </w:r>
      <w:r w:rsidRPr="00287344">
        <w:rPr>
          <w:b/>
        </w:rPr>
        <w:t xml:space="preserve"> </w:t>
      </w:r>
      <w:r w:rsidR="002473CE" w:rsidRPr="00287344">
        <w:rPr>
          <w:b/>
        </w:rPr>
        <w:t>(if applicable)</w:t>
      </w:r>
      <w:r w:rsidRPr="00287344">
        <w:rPr>
          <w:b/>
        </w:rPr>
        <w:t>.</w:t>
      </w:r>
    </w:p>
    <w:p w:rsidR="00287344" w:rsidRPr="00287344" w:rsidRDefault="00287344" w:rsidP="00287344">
      <w:pPr>
        <w:pStyle w:val="ListParagraph"/>
      </w:pPr>
      <w:r>
        <w:t>Not applicable, this is a new collection.</w:t>
      </w:r>
    </w:p>
    <w:p w:rsidR="00B83FB3" w:rsidRDefault="00386054" w:rsidP="00B578F4">
      <w:pPr>
        <w:pStyle w:val="ListParagraph"/>
        <w:numPr>
          <w:ilvl w:val="0"/>
          <w:numId w:val="20"/>
        </w:numPr>
        <w:rPr>
          <w:rStyle w:val="a"/>
          <w:b/>
        </w:rPr>
      </w:pPr>
      <w:r w:rsidRPr="001878F3">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733A" w:rsidRDefault="0011733A" w:rsidP="0011733A">
      <w:pPr>
        <w:pStyle w:val="ListParagraph"/>
        <w:numPr>
          <w:ilvl w:val="0"/>
          <w:numId w:val="20"/>
        </w:numPr>
        <w:spacing w:after="0"/>
        <w:rPr>
          <w:rStyle w:val="a"/>
        </w:rPr>
      </w:pPr>
      <w:r>
        <w:rPr>
          <w:rStyle w:val="a"/>
        </w:rPr>
        <w:t xml:space="preserve">The </w:t>
      </w:r>
      <w:r w:rsidR="00C01CE5">
        <w:rPr>
          <w:rStyle w:val="a"/>
        </w:rPr>
        <w:t xml:space="preserve">phone interviews </w:t>
      </w:r>
      <w:r>
        <w:rPr>
          <w:rStyle w:val="a"/>
        </w:rPr>
        <w:t xml:space="preserve">will be conducted in fall 2012 for a period of two months.  IFLE and a contractor will then analyze the data.  A draft report will be submitted internally to the Department three months later.  After internal approval, estimated to take two months, it will be published online for grantees and the public on our website at </w:t>
      </w:r>
      <w:hyperlink r:id="rId9" w:history="1">
        <w:r w:rsidRPr="00B42652">
          <w:rPr>
            <w:rStyle w:val="Hyperlink"/>
          </w:rPr>
          <w:t>http://www2.ed.gov/about/offices/list/ope/iegps/index.html</w:t>
        </w:r>
      </w:hyperlink>
      <w:r>
        <w:rPr>
          <w:rStyle w:val="a"/>
        </w:rPr>
        <w:t xml:space="preserve">.  </w:t>
      </w:r>
    </w:p>
    <w:p w:rsidR="000832D9" w:rsidRDefault="000832D9" w:rsidP="000832D9">
      <w:pPr>
        <w:pStyle w:val="ListParagraph"/>
        <w:spacing w:after="0"/>
        <w:rPr>
          <w:rStyle w:val="a"/>
        </w:rPr>
      </w:pPr>
      <w:r>
        <w:rPr>
          <w:rStyle w:val="a"/>
        </w:rPr>
        <w:t>This timeline is dependent upon approval for this information collection package.  Below is the tentative schedule.</w:t>
      </w:r>
    </w:p>
    <w:p w:rsidR="000832D9" w:rsidRDefault="000832D9" w:rsidP="000832D9">
      <w:pPr>
        <w:pStyle w:val="ListParagraph"/>
        <w:spacing w:after="0"/>
        <w:rPr>
          <w:rStyle w:val="a"/>
        </w:rPr>
      </w:pPr>
    </w:p>
    <w:p w:rsidR="000832D9" w:rsidRPr="00692F6A" w:rsidRDefault="000832D9" w:rsidP="000832D9">
      <w:pPr>
        <w:pStyle w:val="Text"/>
        <w:pBdr>
          <w:top w:val="single" w:sz="4" w:space="1" w:color="auto"/>
          <w:left w:val="single" w:sz="4" w:space="4" w:color="auto"/>
          <w:bottom w:val="single" w:sz="4" w:space="1" w:color="auto"/>
          <w:right w:val="single" w:sz="4" w:space="4" w:color="auto"/>
        </w:pBdr>
        <w:ind w:left="360"/>
        <w:jc w:val="center"/>
        <w:rPr>
          <w:b/>
          <w:bCs/>
          <w:sz w:val="24"/>
        </w:rPr>
      </w:pPr>
      <w:r w:rsidRPr="00692F6A">
        <w:rPr>
          <w:b/>
          <w:bCs/>
          <w:sz w:val="24"/>
        </w:rPr>
        <w:t>Survey Collection, Processing, Publication</w:t>
      </w:r>
    </w:p>
    <w:p w:rsidR="000832D9" w:rsidRPr="00692F6A" w:rsidRDefault="005D2B45" w:rsidP="000832D9">
      <w:pPr>
        <w:pStyle w:val="Text"/>
        <w:pBdr>
          <w:top w:val="single" w:sz="4" w:space="1" w:color="auto"/>
          <w:left w:val="single" w:sz="4" w:space="4" w:color="auto"/>
          <w:bottom w:val="single" w:sz="4" w:space="1" w:color="auto"/>
          <w:right w:val="single" w:sz="4" w:space="4" w:color="auto"/>
        </w:pBdr>
        <w:tabs>
          <w:tab w:val="left" w:pos="2160"/>
        </w:tabs>
        <w:spacing w:after="120"/>
        <w:ind w:left="360"/>
        <w:rPr>
          <w:sz w:val="24"/>
        </w:rPr>
      </w:pPr>
      <w:r>
        <w:rPr>
          <w:sz w:val="24"/>
        </w:rPr>
        <w:t>11</w:t>
      </w:r>
      <w:r w:rsidR="0011733A">
        <w:rPr>
          <w:sz w:val="24"/>
        </w:rPr>
        <w:t>/2012</w:t>
      </w:r>
      <w:r w:rsidR="000832D9">
        <w:rPr>
          <w:sz w:val="24"/>
        </w:rPr>
        <w:tab/>
        <w:t xml:space="preserve">Start of survey </w:t>
      </w:r>
    </w:p>
    <w:p w:rsidR="000832D9" w:rsidRPr="00692F6A" w:rsidRDefault="005D2B45" w:rsidP="000832D9">
      <w:pPr>
        <w:pStyle w:val="Text"/>
        <w:pBdr>
          <w:top w:val="single" w:sz="4" w:space="1" w:color="auto"/>
          <w:left w:val="single" w:sz="4" w:space="4" w:color="auto"/>
          <w:bottom w:val="single" w:sz="4" w:space="1" w:color="auto"/>
          <w:right w:val="single" w:sz="4" w:space="4" w:color="auto"/>
        </w:pBdr>
        <w:tabs>
          <w:tab w:val="left" w:pos="2160"/>
        </w:tabs>
        <w:spacing w:after="120"/>
        <w:ind w:left="360"/>
        <w:rPr>
          <w:sz w:val="24"/>
        </w:rPr>
      </w:pPr>
      <w:r>
        <w:rPr>
          <w:sz w:val="24"/>
        </w:rPr>
        <w:t>01</w:t>
      </w:r>
      <w:r w:rsidR="000832D9">
        <w:rPr>
          <w:sz w:val="24"/>
        </w:rPr>
        <w:t>/201</w:t>
      </w:r>
      <w:r>
        <w:rPr>
          <w:sz w:val="24"/>
        </w:rPr>
        <w:t>3</w:t>
      </w:r>
      <w:r w:rsidR="000832D9">
        <w:rPr>
          <w:sz w:val="24"/>
        </w:rPr>
        <w:tab/>
        <w:t>Close of survey</w:t>
      </w:r>
    </w:p>
    <w:p w:rsidR="000832D9" w:rsidRPr="00692F6A" w:rsidRDefault="007D3158" w:rsidP="000832D9">
      <w:pPr>
        <w:pStyle w:val="Text"/>
        <w:pBdr>
          <w:top w:val="single" w:sz="4" w:space="1" w:color="auto"/>
          <w:left w:val="single" w:sz="4" w:space="4" w:color="auto"/>
          <w:bottom w:val="single" w:sz="4" w:space="1" w:color="auto"/>
          <w:right w:val="single" w:sz="4" w:space="4" w:color="auto"/>
        </w:pBdr>
        <w:tabs>
          <w:tab w:val="left" w:pos="2160"/>
        </w:tabs>
        <w:spacing w:after="120"/>
        <w:ind w:left="360"/>
        <w:rPr>
          <w:rFonts w:ascii="Arial" w:hAnsi="Arial" w:cs="Arial"/>
          <w:sz w:val="24"/>
        </w:rPr>
      </w:pPr>
      <w:r>
        <w:rPr>
          <w:sz w:val="24"/>
        </w:rPr>
        <w:t>4</w:t>
      </w:r>
      <w:r w:rsidR="000832D9">
        <w:rPr>
          <w:sz w:val="24"/>
        </w:rPr>
        <w:t>/2013</w:t>
      </w:r>
      <w:r w:rsidR="000832D9" w:rsidRPr="00692F6A">
        <w:rPr>
          <w:sz w:val="24"/>
        </w:rPr>
        <w:tab/>
      </w:r>
      <w:r w:rsidR="000832D9">
        <w:rPr>
          <w:sz w:val="24"/>
        </w:rPr>
        <w:t>Data analysis complete</w:t>
      </w:r>
    </w:p>
    <w:p w:rsidR="000832D9" w:rsidRPr="00692F6A" w:rsidRDefault="007D3158" w:rsidP="000832D9">
      <w:pPr>
        <w:pStyle w:val="Text"/>
        <w:pBdr>
          <w:top w:val="single" w:sz="4" w:space="1" w:color="auto"/>
          <w:left w:val="single" w:sz="4" w:space="4" w:color="auto"/>
          <w:bottom w:val="single" w:sz="4" w:space="1" w:color="auto"/>
          <w:right w:val="single" w:sz="4" w:space="4" w:color="auto"/>
        </w:pBdr>
        <w:tabs>
          <w:tab w:val="left" w:pos="2160"/>
        </w:tabs>
        <w:spacing w:after="120"/>
        <w:ind w:left="360"/>
        <w:rPr>
          <w:sz w:val="24"/>
        </w:rPr>
      </w:pPr>
      <w:r>
        <w:rPr>
          <w:sz w:val="24"/>
        </w:rPr>
        <w:lastRenderedPageBreak/>
        <w:t>7</w:t>
      </w:r>
      <w:r w:rsidR="000832D9">
        <w:rPr>
          <w:sz w:val="24"/>
        </w:rPr>
        <w:t>/2013</w:t>
      </w:r>
      <w:r w:rsidR="000832D9" w:rsidRPr="00692F6A">
        <w:rPr>
          <w:sz w:val="24"/>
        </w:rPr>
        <w:tab/>
      </w:r>
      <w:r w:rsidR="000832D9">
        <w:rPr>
          <w:sz w:val="24"/>
        </w:rPr>
        <w:t>ED approval of report complete</w:t>
      </w:r>
    </w:p>
    <w:p w:rsidR="000832D9" w:rsidRPr="00692F6A" w:rsidRDefault="007D3158" w:rsidP="000832D9">
      <w:pPr>
        <w:pStyle w:val="Text"/>
        <w:pBdr>
          <w:top w:val="single" w:sz="4" w:space="1" w:color="auto"/>
          <w:left w:val="single" w:sz="4" w:space="4" w:color="auto"/>
          <w:bottom w:val="single" w:sz="4" w:space="1" w:color="auto"/>
          <w:right w:val="single" w:sz="4" w:space="4" w:color="auto"/>
        </w:pBdr>
        <w:tabs>
          <w:tab w:val="left" w:pos="2160"/>
        </w:tabs>
        <w:spacing w:after="120"/>
        <w:ind w:left="360"/>
        <w:rPr>
          <w:sz w:val="24"/>
        </w:rPr>
      </w:pPr>
      <w:r>
        <w:rPr>
          <w:sz w:val="24"/>
        </w:rPr>
        <w:t>8</w:t>
      </w:r>
      <w:r w:rsidR="000832D9">
        <w:rPr>
          <w:sz w:val="24"/>
        </w:rPr>
        <w:t>/2013</w:t>
      </w:r>
      <w:r w:rsidR="000832D9" w:rsidRPr="00692F6A">
        <w:rPr>
          <w:sz w:val="24"/>
        </w:rPr>
        <w:tab/>
        <w:t xml:space="preserve">Release of </w:t>
      </w:r>
      <w:r w:rsidR="000832D9">
        <w:rPr>
          <w:sz w:val="24"/>
        </w:rPr>
        <w:t>report to the public</w:t>
      </w:r>
    </w:p>
    <w:p w:rsidR="000832D9" w:rsidRPr="00692F6A" w:rsidRDefault="000832D9" w:rsidP="000832D9">
      <w:pPr>
        <w:pStyle w:val="ListParagraph"/>
        <w:spacing w:after="0"/>
        <w:rPr>
          <w:rStyle w:val="a"/>
        </w:rPr>
      </w:pPr>
    </w:p>
    <w:p w:rsidR="00B83FB3" w:rsidRDefault="00386054" w:rsidP="00B578F4">
      <w:pPr>
        <w:pStyle w:val="ListParagraph"/>
        <w:numPr>
          <w:ilvl w:val="0"/>
          <w:numId w:val="20"/>
        </w:numPr>
        <w:rPr>
          <w:rStyle w:val="a"/>
          <w:b/>
        </w:rPr>
      </w:pPr>
      <w:r w:rsidRPr="00287344">
        <w:rPr>
          <w:rStyle w:val="a"/>
          <w:b/>
        </w:rPr>
        <w:t>If seeking approval to not display the expiration date for OMB approval of the information collection, explain the reasons that display would be inappropriate.</w:t>
      </w:r>
    </w:p>
    <w:p w:rsidR="00BE3D9C" w:rsidRDefault="00BE3D9C" w:rsidP="00BE3D9C">
      <w:pPr>
        <w:pStyle w:val="ListParagraph"/>
        <w:spacing w:before="0" w:after="0"/>
        <w:rPr>
          <w:rStyle w:val="a"/>
        </w:rPr>
      </w:pPr>
      <w:r>
        <w:rPr>
          <w:rStyle w:val="a"/>
        </w:rPr>
        <w:t>IFLE will instruct EPI to display the expiration date for OMB approval of the information collection on the Surveys.</w:t>
      </w:r>
    </w:p>
    <w:p w:rsidR="00386054" w:rsidRDefault="00386054" w:rsidP="00B578F4">
      <w:pPr>
        <w:pStyle w:val="ListParagraph"/>
        <w:numPr>
          <w:ilvl w:val="0"/>
          <w:numId w:val="20"/>
        </w:numPr>
        <w:rPr>
          <w:rStyle w:val="a"/>
          <w:b/>
        </w:rPr>
      </w:pPr>
      <w:r w:rsidRPr="00287344">
        <w:rPr>
          <w:rStyle w:val="a"/>
          <w:b/>
        </w:rPr>
        <w:t>Explain each exception to the certification statement identified in the Certification of Paperwork Reduction Act.</w:t>
      </w:r>
    </w:p>
    <w:p w:rsidR="00287344" w:rsidRPr="00287344" w:rsidRDefault="00287344" w:rsidP="00287344">
      <w:pPr>
        <w:pStyle w:val="ListParagraph"/>
      </w:pPr>
      <w:r>
        <w:rPr>
          <w:rStyle w:val="a"/>
        </w:rPr>
        <w:t>Not applicable.</w:t>
      </w:r>
    </w:p>
    <w:sectPr w:rsidR="00287344" w:rsidRPr="00287344"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DD" w:rsidRDefault="00174CDD">
      <w:pPr>
        <w:spacing w:line="20" w:lineRule="exact"/>
      </w:pPr>
    </w:p>
  </w:endnote>
  <w:endnote w:type="continuationSeparator" w:id="0">
    <w:p w:rsidR="00174CDD" w:rsidRDefault="00174CDD">
      <w:r>
        <w:t xml:space="preserve"> </w:t>
      </w:r>
    </w:p>
  </w:endnote>
  <w:endnote w:type="continuationNotice" w:id="1">
    <w:p w:rsidR="00174CDD" w:rsidRDefault="00174C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DD" w:rsidRDefault="00174CD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74CDD" w:rsidRDefault="00174CDD" w:rsidP="00431228">
                          <w:pPr>
                            <w:tabs>
                              <w:tab w:val="center" w:pos="4650"/>
                            </w:tabs>
                            <w:suppressAutoHyphens/>
                            <w:jc w:val="center"/>
                          </w:pPr>
                          <w:r>
                            <w:fldChar w:fldCharType="begin"/>
                          </w:r>
                          <w:r>
                            <w:instrText>page \* arabic</w:instrText>
                          </w:r>
                          <w:r>
                            <w:fldChar w:fldCharType="separate"/>
                          </w:r>
                          <w:r w:rsidR="00542A1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74CDD" w:rsidRDefault="00174CDD" w:rsidP="00431228">
                    <w:pPr>
                      <w:tabs>
                        <w:tab w:val="center" w:pos="4650"/>
                      </w:tabs>
                      <w:suppressAutoHyphens/>
                      <w:jc w:val="center"/>
                    </w:pPr>
                    <w:r>
                      <w:fldChar w:fldCharType="begin"/>
                    </w:r>
                    <w:r>
                      <w:instrText>page \* arabic</w:instrText>
                    </w:r>
                    <w:r>
                      <w:fldChar w:fldCharType="separate"/>
                    </w:r>
                    <w:r w:rsidR="00542A1A">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DD" w:rsidRDefault="00174CDD">
      <w:r>
        <w:separator/>
      </w:r>
    </w:p>
  </w:footnote>
  <w:footnote w:type="continuationSeparator" w:id="0">
    <w:p w:rsidR="00174CDD" w:rsidRDefault="00174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DD" w:rsidRDefault="00174CDD" w:rsidP="003E539A">
    <w:pPr>
      <w:spacing w:after="0"/>
    </w:pPr>
    <w:r w:rsidRPr="00016E14">
      <w:t>EDICS Tracking and OMB Number: (XXXX) XXXX-XXXX</w:t>
    </w:r>
  </w:p>
  <w:p w:rsidR="00174CDD" w:rsidRDefault="00174CDD" w:rsidP="003E539A">
    <w:pPr>
      <w:spacing w:after="0"/>
      <w:jc w:val="right"/>
    </w:pPr>
    <w:r w:rsidRPr="00016E14">
      <w:t>Revised: XX/XX/XXXX</w:t>
    </w:r>
  </w:p>
  <w:p w:rsidR="00174CDD" w:rsidRDefault="00174CDD"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005"/>
    <w:rsid w:val="000077F4"/>
    <w:rsid w:val="00016E14"/>
    <w:rsid w:val="00027596"/>
    <w:rsid w:val="00050CBE"/>
    <w:rsid w:val="00063C9A"/>
    <w:rsid w:val="00066E84"/>
    <w:rsid w:val="000832D9"/>
    <w:rsid w:val="000909E0"/>
    <w:rsid w:val="00093889"/>
    <w:rsid w:val="000A2965"/>
    <w:rsid w:val="000B14D8"/>
    <w:rsid w:val="000B6F14"/>
    <w:rsid w:val="000D588A"/>
    <w:rsid w:val="000E592D"/>
    <w:rsid w:val="000F175B"/>
    <w:rsid w:val="0011733A"/>
    <w:rsid w:val="0014500F"/>
    <w:rsid w:val="00153F20"/>
    <w:rsid w:val="001743A5"/>
    <w:rsid w:val="00174CDD"/>
    <w:rsid w:val="0018279C"/>
    <w:rsid w:val="001878F3"/>
    <w:rsid w:val="001D0603"/>
    <w:rsid w:val="00232B1A"/>
    <w:rsid w:val="002473CE"/>
    <w:rsid w:val="0025688A"/>
    <w:rsid w:val="00287344"/>
    <w:rsid w:val="002B0412"/>
    <w:rsid w:val="002B0A95"/>
    <w:rsid w:val="002C09AD"/>
    <w:rsid w:val="002C5812"/>
    <w:rsid w:val="003020FD"/>
    <w:rsid w:val="00313738"/>
    <w:rsid w:val="00322E02"/>
    <w:rsid w:val="003339D3"/>
    <w:rsid w:val="00361510"/>
    <w:rsid w:val="00362355"/>
    <w:rsid w:val="00386054"/>
    <w:rsid w:val="003947E5"/>
    <w:rsid w:val="003C29C2"/>
    <w:rsid w:val="003C7F70"/>
    <w:rsid w:val="003E285A"/>
    <w:rsid w:val="003E539A"/>
    <w:rsid w:val="00431228"/>
    <w:rsid w:val="004927A3"/>
    <w:rsid w:val="004A2DBB"/>
    <w:rsid w:val="004B3132"/>
    <w:rsid w:val="004B7428"/>
    <w:rsid w:val="004D6005"/>
    <w:rsid w:val="004E23D9"/>
    <w:rsid w:val="004F692A"/>
    <w:rsid w:val="00510DA1"/>
    <w:rsid w:val="00512598"/>
    <w:rsid w:val="0053551D"/>
    <w:rsid w:val="00542A1A"/>
    <w:rsid w:val="00542A20"/>
    <w:rsid w:val="00563CCF"/>
    <w:rsid w:val="005A0D03"/>
    <w:rsid w:val="005A1566"/>
    <w:rsid w:val="005A1DFC"/>
    <w:rsid w:val="005A4185"/>
    <w:rsid w:val="005D2B45"/>
    <w:rsid w:val="005D2E7B"/>
    <w:rsid w:val="00617A98"/>
    <w:rsid w:val="0063484C"/>
    <w:rsid w:val="006419B6"/>
    <w:rsid w:val="00654305"/>
    <w:rsid w:val="006737C0"/>
    <w:rsid w:val="00677BC2"/>
    <w:rsid w:val="00686875"/>
    <w:rsid w:val="006A3B5C"/>
    <w:rsid w:val="006A4732"/>
    <w:rsid w:val="006B5123"/>
    <w:rsid w:val="006C01D0"/>
    <w:rsid w:val="006D7C93"/>
    <w:rsid w:val="007661D9"/>
    <w:rsid w:val="00787B58"/>
    <w:rsid w:val="007B14E8"/>
    <w:rsid w:val="007C12B5"/>
    <w:rsid w:val="007D3158"/>
    <w:rsid w:val="007E77FA"/>
    <w:rsid w:val="008011B6"/>
    <w:rsid w:val="00803F4F"/>
    <w:rsid w:val="00824E68"/>
    <w:rsid w:val="00852A26"/>
    <w:rsid w:val="008967C8"/>
    <w:rsid w:val="008D0130"/>
    <w:rsid w:val="008F3062"/>
    <w:rsid w:val="00921CB1"/>
    <w:rsid w:val="00945605"/>
    <w:rsid w:val="009544A3"/>
    <w:rsid w:val="009873A4"/>
    <w:rsid w:val="009949A8"/>
    <w:rsid w:val="009B33F8"/>
    <w:rsid w:val="009C2B44"/>
    <w:rsid w:val="009D2C50"/>
    <w:rsid w:val="00A01331"/>
    <w:rsid w:val="00A41F2C"/>
    <w:rsid w:val="00A47E13"/>
    <w:rsid w:val="00A87940"/>
    <w:rsid w:val="00A94CCB"/>
    <w:rsid w:val="00AB0D7D"/>
    <w:rsid w:val="00B23EC0"/>
    <w:rsid w:val="00B578F4"/>
    <w:rsid w:val="00B83FB3"/>
    <w:rsid w:val="00BA13A2"/>
    <w:rsid w:val="00BC0E1C"/>
    <w:rsid w:val="00BC244F"/>
    <w:rsid w:val="00BD1325"/>
    <w:rsid w:val="00BD396D"/>
    <w:rsid w:val="00BE3D9C"/>
    <w:rsid w:val="00C01CE5"/>
    <w:rsid w:val="00C641E9"/>
    <w:rsid w:val="00C65AB0"/>
    <w:rsid w:val="00C71525"/>
    <w:rsid w:val="00C723C2"/>
    <w:rsid w:val="00C9556E"/>
    <w:rsid w:val="00CD234F"/>
    <w:rsid w:val="00CE72AF"/>
    <w:rsid w:val="00CF7053"/>
    <w:rsid w:val="00D004BE"/>
    <w:rsid w:val="00D115BF"/>
    <w:rsid w:val="00D269C3"/>
    <w:rsid w:val="00D6226E"/>
    <w:rsid w:val="00DD1544"/>
    <w:rsid w:val="00DD4DC1"/>
    <w:rsid w:val="00E023B7"/>
    <w:rsid w:val="00E07290"/>
    <w:rsid w:val="00E52F91"/>
    <w:rsid w:val="00E6090A"/>
    <w:rsid w:val="00EA3C1F"/>
    <w:rsid w:val="00EC2CC4"/>
    <w:rsid w:val="00ED6DF1"/>
    <w:rsid w:val="00EF7FF5"/>
    <w:rsid w:val="00F313DF"/>
    <w:rsid w:val="00F651D1"/>
    <w:rsid w:val="00F8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rsid w:val="00E07290"/>
    <w:pPr>
      <w:tabs>
        <w:tab w:val="left" w:pos="-720"/>
      </w:tabs>
      <w:suppressAutoHyphens/>
    </w:pPr>
  </w:style>
  <w:style w:type="character" w:customStyle="1" w:styleId="FootnoteTextChar">
    <w:name w:val="Footnote Text Char"/>
    <w:basedOn w:val="DefaultParagraphFont"/>
    <w:link w:val="FootnoteText"/>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HEAD2">
    <w:name w:val="HEAD2"/>
    <w:basedOn w:val="Normal"/>
    <w:autoRedefine/>
    <w:rsid w:val="00510DA1"/>
    <w:pPr>
      <w:spacing w:before="280" w:after="360"/>
      <w:jc w:val="center"/>
    </w:pPr>
    <w:rPr>
      <w:rFonts w:ascii="Times New Roman Bold" w:eastAsia="Times" w:hAnsi="Times New Roman Bold"/>
      <w:b/>
      <w:bCs/>
      <w:smallCaps/>
      <w:sz w:val="32"/>
      <w:szCs w:val="32"/>
    </w:rPr>
  </w:style>
  <w:style w:type="character" w:customStyle="1" w:styleId="contenttext">
    <w:name w:val="contenttext"/>
    <w:basedOn w:val="DefaultParagraphFont"/>
    <w:rsid w:val="00510DA1"/>
  </w:style>
  <w:style w:type="paragraph" w:customStyle="1" w:styleId="Style">
    <w:name w:val="Style"/>
    <w:basedOn w:val="Normal"/>
    <w:rsid w:val="000832D9"/>
    <w:pPr>
      <w:widowControl w:val="0"/>
      <w:spacing w:after="0"/>
      <w:ind w:left="270" w:hanging="270"/>
    </w:pPr>
    <w:rPr>
      <w:snapToGrid w:val="0"/>
      <w:szCs w:val="20"/>
    </w:rPr>
  </w:style>
  <w:style w:type="character" w:styleId="Hyperlink">
    <w:name w:val="Hyperlink"/>
    <w:basedOn w:val="DefaultParagraphFont"/>
    <w:uiPriority w:val="99"/>
    <w:unhideWhenUsed/>
    <w:rsid w:val="000832D9"/>
    <w:rPr>
      <w:color w:val="0000FF" w:themeColor="hyperlink"/>
      <w:u w:val="single"/>
    </w:rPr>
  </w:style>
  <w:style w:type="paragraph" w:customStyle="1" w:styleId="Text">
    <w:name w:val="Text"/>
    <w:basedOn w:val="Normal"/>
    <w:uiPriority w:val="99"/>
    <w:rsid w:val="000832D9"/>
    <w:pPr>
      <w:spacing w:after="24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rsid w:val="00E07290"/>
    <w:pPr>
      <w:tabs>
        <w:tab w:val="left" w:pos="-720"/>
      </w:tabs>
      <w:suppressAutoHyphens/>
    </w:pPr>
  </w:style>
  <w:style w:type="character" w:customStyle="1" w:styleId="FootnoteTextChar">
    <w:name w:val="Footnote Text Char"/>
    <w:basedOn w:val="DefaultParagraphFont"/>
    <w:link w:val="FootnoteText"/>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HEAD2">
    <w:name w:val="HEAD2"/>
    <w:basedOn w:val="Normal"/>
    <w:autoRedefine/>
    <w:rsid w:val="00510DA1"/>
    <w:pPr>
      <w:spacing w:before="280" w:after="360"/>
      <w:jc w:val="center"/>
    </w:pPr>
    <w:rPr>
      <w:rFonts w:ascii="Times New Roman Bold" w:eastAsia="Times" w:hAnsi="Times New Roman Bold"/>
      <w:b/>
      <w:bCs/>
      <w:smallCaps/>
      <w:sz w:val="32"/>
      <w:szCs w:val="32"/>
    </w:rPr>
  </w:style>
  <w:style w:type="character" w:customStyle="1" w:styleId="contenttext">
    <w:name w:val="contenttext"/>
    <w:basedOn w:val="DefaultParagraphFont"/>
    <w:rsid w:val="00510DA1"/>
  </w:style>
  <w:style w:type="paragraph" w:customStyle="1" w:styleId="Style">
    <w:name w:val="Style"/>
    <w:basedOn w:val="Normal"/>
    <w:rsid w:val="000832D9"/>
    <w:pPr>
      <w:widowControl w:val="0"/>
      <w:spacing w:after="0"/>
      <w:ind w:left="270" w:hanging="270"/>
    </w:pPr>
    <w:rPr>
      <w:snapToGrid w:val="0"/>
      <w:szCs w:val="20"/>
    </w:rPr>
  </w:style>
  <w:style w:type="character" w:styleId="Hyperlink">
    <w:name w:val="Hyperlink"/>
    <w:basedOn w:val="DefaultParagraphFont"/>
    <w:uiPriority w:val="99"/>
    <w:unhideWhenUsed/>
    <w:rsid w:val="000832D9"/>
    <w:rPr>
      <w:color w:val="0000FF" w:themeColor="hyperlink"/>
      <w:u w:val="single"/>
    </w:rPr>
  </w:style>
  <w:style w:type="paragraph" w:customStyle="1" w:styleId="Text">
    <w:name w:val="Text"/>
    <w:basedOn w:val="Normal"/>
    <w:uiPriority w:val="99"/>
    <w:rsid w:val="000832D9"/>
    <w:pPr>
      <w:spacing w:after="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98938">
      <w:bodyDiv w:val="1"/>
      <w:marLeft w:val="0"/>
      <w:marRight w:val="0"/>
      <w:marTop w:val="0"/>
      <w:marBottom w:val="0"/>
      <w:divBdr>
        <w:top w:val="none" w:sz="0" w:space="0" w:color="auto"/>
        <w:left w:val="none" w:sz="0" w:space="0" w:color="auto"/>
        <w:bottom w:val="none" w:sz="0" w:space="0" w:color="auto"/>
        <w:right w:val="none" w:sz="0" w:space="0" w:color="auto"/>
      </w:divBdr>
    </w:div>
    <w:div w:id="9701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about/offices/list/ope/iegp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8535F-C047-41A0-B891-B59A390E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3034</Words>
  <Characters>17294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Amy Wilson</dc:creator>
  <cp:lastModifiedBy>Authorised User</cp:lastModifiedBy>
  <cp:revision>2</cp:revision>
  <cp:lastPrinted>2012-05-15T21:31:00Z</cp:lastPrinted>
  <dcterms:created xsi:type="dcterms:W3CDTF">2012-08-27T12:45:00Z</dcterms:created>
  <dcterms:modified xsi:type="dcterms:W3CDTF">2012-08-27T12:45:00Z</dcterms:modified>
</cp:coreProperties>
</file>