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2F30D0" w:rsidRDefault="00DC1C23">
      <w:pPr>
        <w:tabs>
          <w:tab w:val="center" w:pos="4680"/>
        </w:tabs>
        <w:suppressAutoHyphens/>
        <w:rPr>
          <w:rFonts w:ascii="Times New Roman" w:hAnsi="Times New Roman"/>
          <w:b/>
          <w:sz w:val="28"/>
          <w:szCs w:val="28"/>
        </w:rPr>
      </w:pPr>
      <w:r w:rsidRPr="002F30D0">
        <w:rPr>
          <w:rFonts w:ascii="Times New Roman" w:hAnsi="Times New Roman"/>
          <w:sz w:val="28"/>
          <w:szCs w:val="28"/>
        </w:rPr>
        <w:tab/>
      </w:r>
      <w:r w:rsidRPr="002F30D0">
        <w:rPr>
          <w:rFonts w:ascii="Times New Roman" w:hAnsi="Times New Roman"/>
          <w:b/>
          <w:sz w:val="28"/>
          <w:szCs w:val="28"/>
        </w:rPr>
        <w:t>THE SUPPORTING STATEMENT</w:t>
      </w:r>
    </w:p>
    <w:p w:rsidR="00DC1C23" w:rsidRPr="002F30D0" w:rsidRDefault="00DC1C23" w:rsidP="00511C25">
      <w:pPr>
        <w:tabs>
          <w:tab w:val="left" w:pos="-720"/>
        </w:tabs>
        <w:suppressAutoHyphens/>
        <w:rPr>
          <w:rFonts w:ascii="Times New Roman" w:hAnsi="Times New Roman"/>
          <w:b/>
          <w:sz w:val="28"/>
          <w:szCs w:val="28"/>
        </w:rPr>
      </w:pPr>
    </w:p>
    <w:p w:rsidR="00DC1C23" w:rsidRDefault="00DC1C23" w:rsidP="00511C25">
      <w:pPr>
        <w:tabs>
          <w:tab w:val="left" w:pos="-720"/>
        </w:tabs>
        <w:suppressAutoHyphens/>
        <w:rPr>
          <w:rFonts w:ascii="Times New Roman" w:hAnsi="Times New Roman"/>
          <w:b/>
          <w:sz w:val="28"/>
          <w:szCs w:val="28"/>
        </w:rPr>
      </w:pPr>
    </w:p>
    <w:p w:rsidR="002B5717" w:rsidRPr="002F30D0" w:rsidRDefault="002B5717" w:rsidP="00511C25">
      <w:pPr>
        <w:tabs>
          <w:tab w:val="left" w:pos="-720"/>
        </w:tabs>
        <w:suppressAutoHyphens/>
        <w:rPr>
          <w:rFonts w:ascii="Times New Roman" w:hAnsi="Times New Roman"/>
          <w:b/>
          <w:sz w:val="28"/>
          <w:szCs w:val="28"/>
        </w:rPr>
      </w:pPr>
    </w:p>
    <w:p w:rsidR="002C3C4F" w:rsidRPr="002F30D0" w:rsidRDefault="002C3C4F" w:rsidP="002C3C4F">
      <w:pPr>
        <w:widowControl/>
        <w:spacing w:before="100" w:beforeAutospacing="1" w:after="100" w:afterAutospacing="1"/>
        <w:rPr>
          <w:rFonts w:ascii="Times New Roman" w:hAnsi="Times New Roman"/>
          <w:snapToGrid/>
          <w:sz w:val="28"/>
          <w:szCs w:val="28"/>
        </w:rPr>
      </w:pPr>
      <w:r w:rsidRPr="002F30D0">
        <w:rPr>
          <w:rFonts w:ascii="Times New Roman" w:hAnsi="Times New Roman"/>
          <w:b/>
          <w:bCs/>
          <w:snapToGrid/>
          <w:sz w:val="28"/>
          <w:szCs w:val="28"/>
        </w:rPr>
        <w:t>A. Justification</w:t>
      </w:r>
    </w:p>
    <w:p w:rsidR="002B5717" w:rsidRDefault="002B5717" w:rsidP="002B5717">
      <w:pPr>
        <w:widowControl/>
        <w:spacing w:before="100" w:beforeAutospacing="1" w:after="100" w:afterAutospacing="1"/>
        <w:rPr>
          <w:rFonts w:ascii="Times New Roman" w:hAnsi="Times New Roman"/>
          <w:b/>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rsidR="00B10F72" w:rsidRPr="00B10F72" w:rsidRDefault="00572A47" w:rsidP="00B10F72">
      <w:pPr>
        <w:widowControl/>
        <w:ind w:left="720"/>
        <w:rPr>
          <w:rFonts w:ascii="Times New Roman" w:hAnsi="Times New Roman"/>
          <w:sz w:val="24"/>
          <w:szCs w:val="24"/>
        </w:rPr>
      </w:pPr>
      <w:r w:rsidRPr="00B10F72">
        <w:rPr>
          <w:rFonts w:ascii="Times New Roman" w:hAnsi="Times New Roman"/>
          <w:snapToGrid/>
          <w:sz w:val="24"/>
          <w:szCs w:val="24"/>
        </w:rPr>
        <w:t xml:space="preserve">The </w:t>
      </w:r>
      <w:r w:rsidR="00B10F72" w:rsidRPr="00B10F72">
        <w:rPr>
          <w:rFonts w:ascii="Times New Roman" w:hAnsi="Times New Roman"/>
          <w:sz w:val="24"/>
          <w:szCs w:val="24"/>
        </w:rPr>
        <w:t>program of State Councils on Developmental Disabilities (Councils) is authorized in Subtitle B of the Developmental Disabilities Assistance and Bill of Rights Act of 2000, as amended, [42 U.S.C. 15001 et seq.] (</w:t>
      </w:r>
      <w:proofErr w:type="gramStart"/>
      <w:r w:rsidR="00B10F72" w:rsidRPr="00B10F72">
        <w:rPr>
          <w:rFonts w:ascii="Times New Roman" w:hAnsi="Times New Roman"/>
          <w:sz w:val="24"/>
          <w:szCs w:val="24"/>
        </w:rPr>
        <w:t>the</w:t>
      </w:r>
      <w:proofErr w:type="gramEnd"/>
      <w:r w:rsidR="00B10F72" w:rsidRPr="00B10F72">
        <w:rPr>
          <w:rFonts w:ascii="Times New Roman" w:hAnsi="Times New Roman"/>
          <w:sz w:val="24"/>
          <w:szCs w:val="24"/>
        </w:rPr>
        <w:t xml:space="preserve"> DD Act).  The purpose and roles of the Council are mandated and described in Sections 121, 124, and 125 of the DD Act</w:t>
      </w:r>
      <w:r w:rsidR="002B5717">
        <w:rPr>
          <w:rFonts w:ascii="Times New Roman" w:hAnsi="Times New Roman"/>
          <w:sz w:val="24"/>
          <w:szCs w:val="24"/>
        </w:rPr>
        <w:t>, including management of its budget</w:t>
      </w:r>
      <w:r w:rsidR="00B10F72" w:rsidRPr="00B10F72">
        <w:rPr>
          <w:rFonts w:ascii="Times New Roman" w:hAnsi="Times New Roman"/>
          <w:sz w:val="24"/>
          <w:szCs w:val="24"/>
        </w:rPr>
        <w:t>.  Regarding fiscal management of this program at the State level, responsibility is shared between the Council and the designated State agency (DSA).  The purpose and roles of the DSA are described in Section 125(d), focused primarily on various support responsibilities [Section 125(d</w:t>
      </w:r>
      <w:proofErr w:type="gramStart"/>
      <w:r w:rsidR="00B10F72" w:rsidRPr="00B10F72">
        <w:rPr>
          <w:rFonts w:ascii="Times New Roman" w:hAnsi="Times New Roman"/>
          <w:sz w:val="24"/>
          <w:szCs w:val="24"/>
        </w:rPr>
        <w:t>)(</w:t>
      </w:r>
      <w:proofErr w:type="gramEnd"/>
      <w:r w:rsidR="00B10F72" w:rsidRPr="00B10F72">
        <w:rPr>
          <w:rFonts w:ascii="Times New Roman" w:hAnsi="Times New Roman"/>
          <w:sz w:val="24"/>
          <w:szCs w:val="24"/>
        </w:rPr>
        <w:t>3)(B)], including fiscal management [Section 125(d)(3)(C)].  Consequently, there is a sharing of fiscal responsibilities under this program between the Council and the DSA.  This sharing of responsibilities in fiscal management is oftentimes mediated by development of a Memorandum of Understanding that delineates the respective responsibilities of the Council and of the DSA [Section 125(d</w:t>
      </w:r>
      <w:proofErr w:type="gramStart"/>
      <w:r w:rsidR="00B10F72" w:rsidRPr="00B10F72">
        <w:rPr>
          <w:rFonts w:ascii="Times New Roman" w:hAnsi="Times New Roman"/>
          <w:sz w:val="24"/>
          <w:szCs w:val="24"/>
        </w:rPr>
        <w:t>)(</w:t>
      </w:r>
      <w:proofErr w:type="gramEnd"/>
      <w:r w:rsidR="00B10F72" w:rsidRPr="00B10F72">
        <w:rPr>
          <w:rFonts w:ascii="Times New Roman" w:hAnsi="Times New Roman"/>
          <w:sz w:val="24"/>
          <w:szCs w:val="24"/>
        </w:rPr>
        <w:t>3)(G)].</w:t>
      </w:r>
    </w:p>
    <w:p w:rsidR="00B10F72" w:rsidRPr="00B10F72" w:rsidRDefault="00B10F72" w:rsidP="00B10F72">
      <w:pPr>
        <w:widowControl/>
        <w:ind w:left="720"/>
        <w:rPr>
          <w:rFonts w:ascii="Times New Roman" w:hAnsi="Times New Roman"/>
          <w:sz w:val="24"/>
          <w:szCs w:val="24"/>
        </w:rPr>
      </w:pPr>
    </w:p>
    <w:p w:rsidR="00B10F72" w:rsidRPr="00B10F72" w:rsidRDefault="00B10F72" w:rsidP="00B10F72">
      <w:pPr>
        <w:widowControl/>
        <w:ind w:left="720"/>
        <w:rPr>
          <w:rFonts w:ascii="Times New Roman" w:hAnsi="Times New Roman"/>
          <w:sz w:val="24"/>
          <w:szCs w:val="24"/>
        </w:rPr>
      </w:pPr>
      <w:r w:rsidRPr="00B10F72">
        <w:rPr>
          <w:rFonts w:ascii="Times New Roman" w:hAnsi="Times New Roman"/>
          <w:sz w:val="24"/>
          <w:szCs w:val="24"/>
        </w:rPr>
        <w:t>This data collection using a special form [ADD-02B] is necessary due to legislation and regulation.  Funds for the Council program, awarded to States under Subtitle B of the DD Act, are contingent on fiscal requirements, listed below and mandated in the DD Act.  The collection of the data in the proposed form is both ne</w:t>
      </w:r>
      <w:r w:rsidR="002B5717">
        <w:rPr>
          <w:rFonts w:ascii="Times New Roman" w:hAnsi="Times New Roman"/>
          <w:sz w:val="24"/>
          <w:szCs w:val="24"/>
        </w:rPr>
        <w:t>cessary and authorized.  First, </w:t>
      </w:r>
      <w:r w:rsidRPr="00B10F72">
        <w:rPr>
          <w:rFonts w:ascii="Times New Roman" w:hAnsi="Times New Roman"/>
          <w:sz w:val="24"/>
          <w:szCs w:val="24"/>
        </w:rPr>
        <w:t>the data are necessary for monitoring and assuring compliance with the DD Act.  Second, the Department is specifically authorized to request such data by the DD Act in Section 103(b):  "The Secretary ... shall have access for the purpose of ... examination to any ... records of the recipients... that are pertinent to such assistance."  Further, 45 CFR, Part 1386.32(a) states that "the Governor or appropriate State financial officer must submit financial status reports on the programs...</w:t>
      </w:r>
      <w:proofErr w:type="gramStart"/>
      <w:r w:rsidRPr="00B10F72">
        <w:rPr>
          <w:rFonts w:ascii="Times New Roman" w:hAnsi="Times New Roman"/>
          <w:sz w:val="24"/>
          <w:szCs w:val="24"/>
        </w:rPr>
        <w:t xml:space="preserve">”  </w:t>
      </w:r>
      <w:r w:rsidRPr="00B10F72">
        <w:rPr>
          <w:rFonts w:ascii="Times New Roman" w:hAnsi="Times New Roman"/>
          <w:b/>
          <w:sz w:val="24"/>
          <w:szCs w:val="24"/>
        </w:rPr>
        <w:t>&lt;</w:t>
      </w:r>
      <w:proofErr w:type="gramEnd"/>
      <w:r w:rsidRPr="00B10F72">
        <w:rPr>
          <w:rFonts w:ascii="Times New Roman" w:hAnsi="Times New Roman"/>
          <w:b/>
          <w:sz w:val="24"/>
          <w:szCs w:val="24"/>
        </w:rPr>
        <w:t>&lt;Note:</w:t>
      </w:r>
      <w:r w:rsidRPr="00B10F72">
        <w:rPr>
          <w:rFonts w:ascii="Times New Roman" w:hAnsi="Times New Roman"/>
          <w:sz w:val="24"/>
          <w:szCs w:val="24"/>
        </w:rPr>
        <w:t xml:space="preserve">  the regulations, including their citations, are </w:t>
      </w:r>
      <w:r w:rsidR="002B5717">
        <w:rPr>
          <w:rFonts w:ascii="Times New Roman" w:hAnsi="Times New Roman"/>
          <w:sz w:val="24"/>
          <w:szCs w:val="24"/>
        </w:rPr>
        <w:t xml:space="preserve">in the process of </w:t>
      </w:r>
      <w:r w:rsidRPr="00B10F72">
        <w:rPr>
          <w:rFonts w:ascii="Times New Roman" w:hAnsi="Times New Roman"/>
          <w:sz w:val="24"/>
          <w:szCs w:val="24"/>
        </w:rPr>
        <w:t>being updated to reflect the changes in the Act as of 2000.</w:t>
      </w:r>
      <w:r w:rsidRPr="00B10F72">
        <w:rPr>
          <w:rFonts w:ascii="Times New Roman" w:hAnsi="Times New Roman"/>
          <w:b/>
          <w:sz w:val="24"/>
          <w:szCs w:val="24"/>
        </w:rPr>
        <w:t>&gt;&gt;</w:t>
      </w:r>
    </w:p>
    <w:p w:rsidR="00B10F72" w:rsidRPr="00B10F72" w:rsidRDefault="00B10F72" w:rsidP="00B10F72">
      <w:pPr>
        <w:widowControl/>
        <w:ind w:left="720"/>
        <w:rPr>
          <w:rFonts w:ascii="Times New Roman" w:hAnsi="Times New Roman"/>
          <w:sz w:val="24"/>
          <w:szCs w:val="24"/>
        </w:rPr>
      </w:pPr>
    </w:p>
    <w:p w:rsidR="00B10F72" w:rsidRPr="00B10F72" w:rsidRDefault="00B10F72" w:rsidP="002B5717">
      <w:pPr>
        <w:widowControl/>
        <w:ind w:left="720"/>
        <w:rPr>
          <w:rFonts w:ascii="Times New Roman" w:hAnsi="Times New Roman"/>
          <w:spacing w:val="-3"/>
          <w:sz w:val="24"/>
          <w:szCs w:val="24"/>
        </w:rPr>
      </w:pPr>
      <w:r w:rsidRPr="00B10F72">
        <w:rPr>
          <w:rFonts w:ascii="Times New Roman" w:hAnsi="Times New Roman"/>
          <w:sz w:val="24"/>
          <w:szCs w:val="24"/>
        </w:rPr>
        <w:t>The SF-</w:t>
      </w:r>
      <w:r w:rsidR="000E7BF8">
        <w:rPr>
          <w:rFonts w:ascii="Times New Roman" w:hAnsi="Times New Roman"/>
          <w:sz w:val="24"/>
          <w:szCs w:val="24"/>
        </w:rPr>
        <w:t xml:space="preserve">425 </w:t>
      </w:r>
      <w:r w:rsidRPr="00B10F72">
        <w:rPr>
          <w:rFonts w:ascii="Times New Roman" w:hAnsi="Times New Roman"/>
          <w:sz w:val="24"/>
          <w:szCs w:val="24"/>
        </w:rPr>
        <w:t xml:space="preserve">alone is insufficient due to the extensive range of fiscal requirements of this program.  </w:t>
      </w:r>
      <w:r w:rsidRPr="00B10F72">
        <w:rPr>
          <w:rFonts w:ascii="Times New Roman" w:hAnsi="Times New Roman"/>
          <w:spacing w:val="-3"/>
          <w:sz w:val="24"/>
          <w:szCs w:val="24"/>
        </w:rPr>
        <w:t xml:space="preserve">The </w:t>
      </w:r>
      <w:r w:rsidRPr="00B10F72">
        <w:rPr>
          <w:rFonts w:ascii="Times New Roman" w:hAnsi="Times New Roman"/>
          <w:sz w:val="24"/>
          <w:szCs w:val="24"/>
        </w:rPr>
        <w:t>following</w:t>
      </w:r>
      <w:r w:rsidRPr="00B10F72">
        <w:rPr>
          <w:rFonts w:ascii="Times New Roman" w:hAnsi="Times New Roman"/>
          <w:spacing w:val="-3"/>
          <w:sz w:val="24"/>
          <w:szCs w:val="24"/>
        </w:rPr>
        <w:t xml:space="preserve"> are the grant requirements, found in the DD Act, which must be monitored by the Department as the agency responsible for the program.</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[42 USC 15022, Section 122(b)] “Unobligated Allotments”</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States have a total of two fiscal years within which to obligate funding awarded to this program:  the year of the award and the following year.</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[Regulations:  45 CFR, 1386.3(a)] “Liquidation of Obligations”</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States have a total of three fiscal years within which to liquidate obligations of funding awarded to this program:  the year of the award and the following two years.</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[DD Act:  42 USC 15026, Section 126(a)]</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[Regulations:  45 CFR, 1386.35(d)]</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The minimum level of total State share is computed, based upon three kinds of projects upon which the Federal funding is expended:</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For projects undertaken directly by Council members or Council staff, there is no required State's share [Section 126(a</w:t>
      </w:r>
      <w:proofErr w:type="gramStart"/>
      <w:r w:rsidRPr="00B10F72">
        <w:rPr>
          <w:rFonts w:ascii="Times New Roman" w:hAnsi="Times New Roman"/>
          <w:spacing w:val="-3"/>
          <w:sz w:val="24"/>
          <w:szCs w:val="24"/>
        </w:rPr>
        <w:t>)(</w:t>
      </w:r>
      <w:proofErr w:type="gramEnd"/>
      <w:r w:rsidRPr="00B10F72">
        <w:rPr>
          <w:rFonts w:ascii="Times New Roman" w:hAnsi="Times New Roman"/>
          <w:spacing w:val="-3"/>
          <w:sz w:val="24"/>
          <w:szCs w:val="24"/>
        </w:rPr>
        <w:t>3)].</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For projects targeting poverty areas, the proportion of outlays represented by the State's share must be at least ten percent (10%) [Section 126(a</w:t>
      </w:r>
      <w:proofErr w:type="gramStart"/>
      <w:r w:rsidRPr="00B10F72">
        <w:rPr>
          <w:rFonts w:ascii="Times New Roman" w:hAnsi="Times New Roman"/>
          <w:spacing w:val="-3"/>
          <w:sz w:val="24"/>
          <w:szCs w:val="24"/>
        </w:rPr>
        <w:t>)(</w:t>
      </w:r>
      <w:proofErr w:type="gramEnd"/>
      <w:r w:rsidRPr="00B10F72">
        <w:rPr>
          <w:rFonts w:ascii="Times New Roman" w:hAnsi="Times New Roman"/>
          <w:spacing w:val="-3"/>
          <w:sz w:val="24"/>
          <w:szCs w:val="24"/>
        </w:rPr>
        <w:t>2)].</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For all other projects and activities, the proportion of outlays represented by the State's share must be at least twenty-five percent (25%) [Section 126(a</w:t>
      </w:r>
      <w:proofErr w:type="gramStart"/>
      <w:r w:rsidRPr="00B10F72">
        <w:rPr>
          <w:rFonts w:ascii="Times New Roman" w:hAnsi="Times New Roman"/>
          <w:spacing w:val="-3"/>
          <w:sz w:val="24"/>
          <w:szCs w:val="24"/>
        </w:rPr>
        <w:t>)(</w:t>
      </w:r>
      <w:proofErr w:type="gramEnd"/>
      <w:r w:rsidRPr="00B10F72">
        <w:rPr>
          <w:rFonts w:ascii="Times New Roman" w:hAnsi="Times New Roman"/>
          <w:spacing w:val="-3"/>
          <w:sz w:val="24"/>
          <w:szCs w:val="24"/>
        </w:rPr>
        <w:t>1)].</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[DD Act:  42 USC 15026, Section 126(c)(3)]</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[Regulations:  45 CFR, 1386.35(e)]</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The match requirement is in aggregate and is not applicable to individual projects or activities, but rather based on the above categories.</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[42 USC 15024, Section 124(c)(5)(B)(</w:t>
      </w:r>
      <w:proofErr w:type="spellStart"/>
      <w:r w:rsidRPr="00B10F72">
        <w:rPr>
          <w:rFonts w:ascii="Times New Roman" w:hAnsi="Times New Roman"/>
          <w:spacing w:val="-3"/>
          <w:sz w:val="24"/>
          <w:szCs w:val="24"/>
        </w:rPr>
        <w:t>i</w:t>
      </w:r>
      <w:proofErr w:type="spellEnd"/>
      <w:r w:rsidRPr="00B10F72">
        <w:rPr>
          <w:rFonts w:ascii="Times New Roman" w:hAnsi="Times New Roman"/>
          <w:spacing w:val="-3"/>
          <w:sz w:val="24"/>
          <w:szCs w:val="24"/>
        </w:rPr>
        <w:t>)]</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Not less than 70 percent of Subtitle B funds are to be expended for activities related to the goals described in Section 124(c)(4).</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6"/>
        </w:numPr>
        <w:tabs>
          <w:tab w:val="clear" w:pos="360"/>
          <w:tab w:val="left" w:pos="-720"/>
          <w:tab w:val="num" w:pos="1080"/>
        </w:tabs>
        <w:suppressAutoHyphens/>
        <w:ind w:left="1260" w:hanging="540"/>
        <w:rPr>
          <w:rFonts w:ascii="Times New Roman" w:hAnsi="Times New Roman"/>
          <w:spacing w:val="-3"/>
          <w:sz w:val="24"/>
          <w:szCs w:val="24"/>
        </w:rPr>
      </w:pPr>
      <w:r w:rsidRPr="00B10F72">
        <w:rPr>
          <w:rFonts w:ascii="Times New Roman" w:hAnsi="Times New Roman"/>
          <w:spacing w:val="-3"/>
          <w:sz w:val="24"/>
          <w:szCs w:val="24"/>
        </w:rPr>
        <w:t>[42 USC 15024, Section 124(c)(5)(B)(vi)]</w:t>
      </w:r>
    </w:p>
    <w:p w:rsidR="00B10F72" w:rsidRPr="00B10F72" w:rsidRDefault="00B10F72" w:rsidP="00B10F72">
      <w:pPr>
        <w:pStyle w:val="BodyTextIndent2"/>
        <w:ind w:left="1080"/>
        <w:rPr>
          <w:rFonts w:ascii="Times New Roman" w:hAnsi="Times New Roman"/>
          <w:szCs w:val="24"/>
        </w:rPr>
      </w:pPr>
      <w:r w:rsidRPr="00B10F72">
        <w:rPr>
          <w:rFonts w:ascii="Times New Roman" w:hAnsi="Times New Roman"/>
          <w:szCs w:val="24"/>
        </w:rPr>
        <w:t>The State funds the “Functions of the Designated State Agency” (FDSA) with limited Federal participation permitted, as outlined below:</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the Federal participation cannot exceed half of the total FDSA, except if the Council itself is the Designated State Agency, in which case FDSA can be fully Federally funded;</w:t>
      </w:r>
    </w:p>
    <w:p w:rsidR="00B10F72" w:rsidRPr="00B10F72" w:rsidRDefault="00B10F72" w:rsidP="00B10F72">
      <w:pPr>
        <w:widowControl/>
        <w:ind w:left="720"/>
        <w:rPr>
          <w:rFonts w:ascii="Times New Roman" w:hAnsi="Times New Roman"/>
          <w:spacing w:val="-3"/>
          <w:sz w:val="24"/>
          <w:szCs w:val="24"/>
        </w:rPr>
      </w:pPr>
    </w:p>
    <w:p w:rsidR="0057337F"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 xml:space="preserve">the Federal participation cannot exceed the lesser of $50,000 or 5 percent of the State allotment, </w:t>
      </w:r>
    </w:p>
    <w:p w:rsidR="0057337F" w:rsidRDefault="0057337F" w:rsidP="0057337F">
      <w:pPr>
        <w:widowControl/>
        <w:ind w:left="720"/>
        <w:rPr>
          <w:rFonts w:ascii="Times New Roman" w:hAnsi="Times New Roman"/>
          <w:spacing w:val="-3"/>
          <w:sz w:val="24"/>
          <w:szCs w:val="24"/>
        </w:rPr>
      </w:pPr>
    </w:p>
    <w:p w:rsidR="00B10F72" w:rsidRPr="00B10F72" w:rsidRDefault="0057337F"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Pr>
          <w:rFonts w:ascii="Times New Roman" w:hAnsi="Times New Roman"/>
          <w:spacing w:val="-3"/>
          <w:sz w:val="24"/>
          <w:szCs w:val="24"/>
        </w:rPr>
        <w:t xml:space="preserve">the Federal participation in this function is limited to the fiscal year when the federal funding was awarded, </w:t>
      </w:r>
      <w:r w:rsidR="00B10F72" w:rsidRPr="00B10F72">
        <w:rPr>
          <w:rFonts w:ascii="Times New Roman" w:hAnsi="Times New Roman"/>
          <w:spacing w:val="-3"/>
          <w:sz w:val="24"/>
          <w:szCs w:val="24"/>
        </w:rPr>
        <w:t>and</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numPr>
          <w:ilvl w:val="0"/>
          <w:numId w:val="8"/>
        </w:numPr>
        <w:tabs>
          <w:tab w:val="clear" w:pos="360"/>
          <w:tab w:val="left" w:pos="-720"/>
          <w:tab w:val="left" w:pos="1710"/>
        </w:tabs>
        <w:suppressAutoHyphens/>
        <w:ind w:left="1710" w:hanging="450"/>
        <w:rPr>
          <w:rFonts w:ascii="Times New Roman" w:hAnsi="Times New Roman"/>
          <w:spacing w:val="-3"/>
          <w:sz w:val="24"/>
          <w:szCs w:val="24"/>
        </w:rPr>
      </w:pPr>
      <w:r w:rsidRPr="00B10F72">
        <w:rPr>
          <w:rFonts w:ascii="Times New Roman" w:hAnsi="Times New Roman"/>
          <w:spacing w:val="-3"/>
          <w:sz w:val="24"/>
          <w:szCs w:val="24"/>
        </w:rPr>
        <w:t>[42 USC 15025, Section 125(d)(4)(A)] “Use Of Funds For Designated State Agency Responsibilities – Condition For Federal Funding”</w:t>
      </w:r>
    </w:p>
    <w:p w:rsidR="00B10F72" w:rsidRPr="00B10F72" w:rsidRDefault="00B10F72" w:rsidP="00B10F72">
      <w:pPr>
        <w:pStyle w:val="BodyTextIndent3"/>
        <w:ind w:left="1710"/>
        <w:rPr>
          <w:rFonts w:ascii="Times New Roman" w:hAnsi="Times New Roman"/>
          <w:szCs w:val="24"/>
        </w:rPr>
      </w:pPr>
      <w:r w:rsidRPr="00B10F72">
        <w:rPr>
          <w:rFonts w:ascii="Times New Roman" w:hAnsi="Times New Roman"/>
          <w:szCs w:val="24"/>
        </w:rPr>
        <w:t>The State's share cannot be less than such State expenditures from the previous fiscal year, except in a year in which the Council becomes its own Designated State Agency &lt;maintenance of effort&gt;.</w:t>
      </w:r>
    </w:p>
    <w:p w:rsidR="00B10F72" w:rsidRPr="00B10F72" w:rsidRDefault="00B10F72" w:rsidP="00B10F72">
      <w:pPr>
        <w:widowControl/>
        <w:ind w:left="720"/>
        <w:rPr>
          <w:rFonts w:ascii="Times New Roman" w:hAnsi="Times New Roman"/>
          <w:spacing w:val="-3"/>
          <w:sz w:val="24"/>
          <w:szCs w:val="24"/>
        </w:rPr>
      </w:pPr>
    </w:p>
    <w:p w:rsidR="00B10F72" w:rsidRPr="00B10F72" w:rsidRDefault="00B10F72" w:rsidP="00B10F72">
      <w:pPr>
        <w:widowControl/>
        <w:ind w:left="720"/>
        <w:rPr>
          <w:rFonts w:ascii="Times New Roman" w:hAnsi="Times New Roman"/>
          <w:spacing w:val="-3"/>
          <w:sz w:val="24"/>
          <w:szCs w:val="24"/>
        </w:rPr>
      </w:pPr>
      <w:r w:rsidRPr="00B10F72">
        <w:rPr>
          <w:rFonts w:ascii="Times New Roman" w:hAnsi="Times New Roman"/>
          <w:spacing w:val="-3"/>
          <w:sz w:val="24"/>
          <w:szCs w:val="24"/>
        </w:rPr>
        <w:lastRenderedPageBreak/>
        <w:t>Collection of financial status data using the ADD-02B is necessary for proper stewardship of the fiscal resources given these special and detailed fiscal requirements.</w:t>
      </w:r>
    </w:p>
    <w:p w:rsidR="00572A47" w:rsidRPr="00B10F72" w:rsidRDefault="00572A47" w:rsidP="00572A47">
      <w:pPr>
        <w:widowControl/>
        <w:ind w:left="720"/>
        <w:rPr>
          <w:rFonts w:ascii="Times New Roman" w:hAnsi="Times New Roman"/>
          <w:snapToGrid/>
          <w:sz w:val="24"/>
          <w:szCs w:val="24"/>
        </w:rPr>
      </w:pPr>
    </w:p>
    <w:p w:rsidR="00563EF8" w:rsidRPr="00B10F72" w:rsidRDefault="00563EF8" w:rsidP="00CA26B5">
      <w:pPr>
        <w:widowControl/>
        <w:ind w:left="720"/>
        <w:rPr>
          <w:rFonts w:ascii="Times New Roman" w:hAnsi="Times New Roman"/>
          <w:snapToGrid/>
          <w:sz w:val="24"/>
          <w:szCs w:val="24"/>
        </w:rPr>
      </w:pPr>
      <w:r w:rsidRPr="00B10F72">
        <w:rPr>
          <w:rFonts w:ascii="Times New Roman" w:hAnsi="Times New Roman"/>
          <w:snapToGrid/>
          <w:sz w:val="24"/>
          <w:szCs w:val="24"/>
        </w:rPr>
        <w:t>This is an ongoing data collection, and does not represent a change in requirements.</w:t>
      </w:r>
    </w:p>
    <w:p w:rsidR="0018436A" w:rsidRPr="00B10F72" w:rsidRDefault="0018436A" w:rsidP="00CA26B5">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rsidR="006B53B2" w:rsidRPr="006B53B2" w:rsidRDefault="006B53B2" w:rsidP="006B53B2">
      <w:pPr>
        <w:widowControl/>
        <w:ind w:left="720"/>
        <w:rPr>
          <w:rFonts w:ascii="Times New Roman" w:hAnsi="Times New Roman"/>
          <w:snapToGrid/>
          <w:sz w:val="24"/>
          <w:szCs w:val="24"/>
        </w:rPr>
      </w:pPr>
      <w:r w:rsidRPr="006B53B2">
        <w:rPr>
          <w:rFonts w:ascii="Times New Roman" w:hAnsi="Times New Roman"/>
          <w:snapToGrid/>
          <w:sz w:val="24"/>
          <w:szCs w:val="24"/>
        </w:rPr>
        <w:t xml:space="preserve">The information submitted in the ADD-02B </w:t>
      </w:r>
      <w:r w:rsidR="00644613">
        <w:rPr>
          <w:rFonts w:ascii="Times New Roman" w:hAnsi="Times New Roman"/>
          <w:snapToGrid/>
          <w:sz w:val="24"/>
          <w:szCs w:val="24"/>
        </w:rPr>
        <w:t>is</w:t>
      </w:r>
      <w:r w:rsidRPr="006B53B2">
        <w:rPr>
          <w:rFonts w:ascii="Times New Roman" w:hAnsi="Times New Roman"/>
          <w:snapToGrid/>
          <w:sz w:val="24"/>
          <w:szCs w:val="24"/>
        </w:rPr>
        <w:t xml:space="preserve"> used to verify and support compliance of States with the fiscal mandates of the DD Act.  Fiscal personnel analyze the information to determine if States are in danger of, or already in, noncompliance with the DD Act.  States </w:t>
      </w:r>
      <w:r w:rsidR="00644613">
        <w:rPr>
          <w:rFonts w:ascii="Times New Roman" w:hAnsi="Times New Roman"/>
          <w:snapToGrid/>
          <w:sz w:val="24"/>
          <w:szCs w:val="24"/>
        </w:rPr>
        <w:t xml:space="preserve">are </w:t>
      </w:r>
      <w:r w:rsidRPr="006B53B2">
        <w:rPr>
          <w:rFonts w:ascii="Times New Roman" w:hAnsi="Times New Roman"/>
          <w:snapToGrid/>
          <w:sz w:val="24"/>
          <w:szCs w:val="24"/>
        </w:rPr>
        <w:t xml:space="preserve">warned of any noncompliance situation arising in order to prevent an eventual problem.  If any enforcement issue does arise, the State will be required to develop a corrective action plan for preventing the situation from recurring.  Further, </w:t>
      </w:r>
      <w:r w:rsidR="00644613">
        <w:rPr>
          <w:rFonts w:ascii="Times New Roman" w:hAnsi="Times New Roman"/>
          <w:snapToGrid/>
          <w:sz w:val="24"/>
          <w:szCs w:val="24"/>
        </w:rPr>
        <w:t xml:space="preserve">a </w:t>
      </w:r>
      <w:r w:rsidRPr="006B53B2">
        <w:rPr>
          <w:rFonts w:ascii="Times New Roman" w:hAnsi="Times New Roman"/>
          <w:snapToGrid/>
          <w:sz w:val="24"/>
          <w:szCs w:val="24"/>
        </w:rPr>
        <w:t xml:space="preserve">data base </w:t>
      </w:r>
      <w:r w:rsidR="00644613">
        <w:rPr>
          <w:rFonts w:ascii="Times New Roman" w:hAnsi="Times New Roman"/>
          <w:snapToGrid/>
          <w:sz w:val="24"/>
          <w:szCs w:val="24"/>
        </w:rPr>
        <w:t xml:space="preserve">will be </w:t>
      </w:r>
      <w:r w:rsidRPr="006B53B2">
        <w:rPr>
          <w:rFonts w:ascii="Times New Roman" w:hAnsi="Times New Roman"/>
          <w:snapToGrid/>
          <w:sz w:val="24"/>
          <w:szCs w:val="24"/>
        </w:rPr>
        <w:t>regularly scanned for historical trends that would be useful as input to fiscal policy as well as useful for indicating which States could need technical assistance.  It is not the intention of the Department to catch State agencies out of compliance, but rather to encourage compliance proactively.</w:t>
      </w:r>
      <w:r w:rsidR="00943DDC">
        <w:rPr>
          <w:rFonts w:ascii="Times New Roman" w:hAnsi="Times New Roman"/>
          <w:snapToGrid/>
          <w:sz w:val="24"/>
          <w:szCs w:val="24"/>
        </w:rPr>
        <w:t xml:space="preserve">  Additionally, State grantees are identified that have not fully expended their awarded funding within the time permitted</w:t>
      </w:r>
      <w:r w:rsidR="006E5B4F">
        <w:rPr>
          <w:rFonts w:ascii="Times New Roman" w:hAnsi="Times New Roman"/>
          <w:snapToGrid/>
          <w:sz w:val="24"/>
          <w:szCs w:val="24"/>
        </w:rPr>
        <w:t xml:space="preserve"> (two years for obligation and three years for full expenditure) … </w:t>
      </w:r>
      <w:r w:rsidR="00943DDC">
        <w:rPr>
          <w:rFonts w:ascii="Times New Roman" w:hAnsi="Times New Roman"/>
          <w:snapToGrid/>
          <w:sz w:val="24"/>
          <w:szCs w:val="24"/>
        </w:rPr>
        <w:t>the excess funding is pulled back to be returned to the U.S. Treasury.</w:t>
      </w:r>
    </w:p>
    <w:p w:rsidR="00572A47" w:rsidRPr="00CA26B5" w:rsidRDefault="00572A47" w:rsidP="00CA26B5">
      <w:pPr>
        <w:widowControl/>
        <w:ind w:left="720"/>
        <w:rPr>
          <w:rFonts w:ascii="Times New Roman" w:hAnsi="Times New Roman"/>
          <w:snapToGrid/>
          <w:sz w:val="24"/>
          <w:szCs w:val="24"/>
        </w:rPr>
      </w:pPr>
    </w:p>
    <w:p w:rsidR="0018436A" w:rsidRPr="00CA26B5" w:rsidRDefault="0018436A" w:rsidP="00CA26B5">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rsidR="0064544B" w:rsidRDefault="00644613" w:rsidP="0064544B">
      <w:pPr>
        <w:widowControl/>
        <w:ind w:left="720"/>
        <w:rPr>
          <w:rFonts w:ascii="Times New Roman" w:hAnsi="Times New Roman"/>
          <w:snapToGrid/>
          <w:sz w:val="24"/>
          <w:szCs w:val="24"/>
        </w:rPr>
      </w:pPr>
      <w:r w:rsidRPr="00644613">
        <w:rPr>
          <w:rFonts w:ascii="Times New Roman" w:hAnsi="Times New Roman"/>
          <w:snapToGrid/>
          <w:sz w:val="24"/>
          <w:szCs w:val="24"/>
        </w:rPr>
        <w:t>Electronic submission of the form</w:t>
      </w:r>
      <w:r w:rsidR="005B4994">
        <w:rPr>
          <w:rFonts w:ascii="Times New Roman" w:hAnsi="Times New Roman"/>
          <w:snapToGrid/>
          <w:sz w:val="24"/>
          <w:szCs w:val="24"/>
        </w:rPr>
        <w:t xml:space="preserve"> from the grantees to the federal government has been developed</w:t>
      </w:r>
      <w:r w:rsidRPr="00644613">
        <w:rPr>
          <w:rFonts w:ascii="Times New Roman" w:hAnsi="Times New Roman"/>
          <w:snapToGrid/>
          <w:sz w:val="24"/>
          <w:szCs w:val="24"/>
        </w:rPr>
        <w:t xml:space="preserve"> using internet-based technology</w:t>
      </w:r>
      <w:r>
        <w:rPr>
          <w:rFonts w:ascii="Times New Roman" w:hAnsi="Times New Roman"/>
          <w:snapToGrid/>
          <w:sz w:val="24"/>
          <w:szCs w:val="24"/>
        </w:rPr>
        <w:t>.  A</w:t>
      </w:r>
      <w:r w:rsidRPr="00644613">
        <w:rPr>
          <w:rFonts w:ascii="Times New Roman" w:hAnsi="Times New Roman"/>
          <w:snapToGrid/>
          <w:sz w:val="24"/>
          <w:szCs w:val="24"/>
        </w:rPr>
        <w:t>nalys</w:t>
      </w:r>
      <w:r>
        <w:rPr>
          <w:rFonts w:ascii="Times New Roman" w:hAnsi="Times New Roman"/>
          <w:snapToGrid/>
          <w:sz w:val="24"/>
          <w:szCs w:val="24"/>
        </w:rPr>
        <w:t>e</w:t>
      </w:r>
      <w:r w:rsidRPr="00644613">
        <w:rPr>
          <w:rFonts w:ascii="Times New Roman" w:hAnsi="Times New Roman"/>
          <w:snapToGrid/>
          <w:sz w:val="24"/>
          <w:szCs w:val="24"/>
        </w:rPr>
        <w:t xml:space="preserve">s of the data by the </w:t>
      </w:r>
      <w:r>
        <w:rPr>
          <w:rFonts w:ascii="Times New Roman" w:hAnsi="Times New Roman"/>
          <w:snapToGrid/>
          <w:sz w:val="24"/>
          <w:szCs w:val="24"/>
        </w:rPr>
        <w:t>f</w:t>
      </w:r>
      <w:r w:rsidRPr="00644613">
        <w:rPr>
          <w:rFonts w:ascii="Times New Roman" w:hAnsi="Times New Roman"/>
          <w:snapToGrid/>
          <w:sz w:val="24"/>
          <w:szCs w:val="24"/>
        </w:rPr>
        <w:t xml:space="preserve">ederal </w:t>
      </w:r>
      <w:r w:rsidR="005B4994">
        <w:rPr>
          <w:rFonts w:ascii="Times New Roman" w:hAnsi="Times New Roman"/>
          <w:snapToGrid/>
          <w:sz w:val="24"/>
          <w:szCs w:val="24"/>
        </w:rPr>
        <w:t>g</w:t>
      </w:r>
      <w:r w:rsidRPr="00644613">
        <w:rPr>
          <w:rFonts w:ascii="Times New Roman" w:hAnsi="Times New Roman"/>
          <w:snapToGrid/>
          <w:sz w:val="24"/>
          <w:szCs w:val="24"/>
        </w:rPr>
        <w:t xml:space="preserve">overnment </w:t>
      </w:r>
      <w:r w:rsidR="005B4994">
        <w:rPr>
          <w:rFonts w:ascii="Times New Roman" w:hAnsi="Times New Roman"/>
          <w:snapToGrid/>
          <w:sz w:val="24"/>
          <w:szCs w:val="24"/>
        </w:rPr>
        <w:t xml:space="preserve">are </w:t>
      </w:r>
      <w:r w:rsidRPr="00644613">
        <w:rPr>
          <w:rFonts w:ascii="Times New Roman" w:hAnsi="Times New Roman"/>
          <w:snapToGrid/>
          <w:sz w:val="24"/>
          <w:szCs w:val="24"/>
        </w:rPr>
        <w:t>autom</w:t>
      </w:r>
      <w:r w:rsidR="005B4994">
        <w:rPr>
          <w:rFonts w:ascii="Times New Roman" w:hAnsi="Times New Roman"/>
          <w:snapToGrid/>
          <w:sz w:val="24"/>
          <w:szCs w:val="24"/>
        </w:rPr>
        <w:t>ated</w:t>
      </w:r>
      <w:r w:rsidRPr="00644613">
        <w:rPr>
          <w:rFonts w:ascii="Times New Roman" w:hAnsi="Times New Roman"/>
          <w:snapToGrid/>
          <w:sz w:val="24"/>
          <w:szCs w:val="24"/>
        </w:rPr>
        <w:t>.</w:t>
      </w:r>
    </w:p>
    <w:p w:rsidR="0018436A" w:rsidRDefault="0018436A" w:rsidP="00644613">
      <w:pPr>
        <w:widowControl/>
        <w:tabs>
          <w:tab w:val="left" w:pos="1770"/>
        </w:tabs>
        <w:ind w:left="720"/>
        <w:rPr>
          <w:rFonts w:ascii="Times New Roman" w:hAnsi="Times New Roman"/>
          <w:snapToGrid/>
          <w:sz w:val="24"/>
          <w:szCs w:val="24"/>
        </w:rPr>
      </w:pPr>
    </w:p>
    <w:p w:rsidR="00644613" w:rsidRPr="00CA26B5" w:rsidRDefault="00644613" w:rsidP="00644613">
      <w:pPr>
        <w:widowControl/>
        <w:tabs>
          <w:tab w:val="left" w:pos="1770"/>
        </w:tabs>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rsidR="004A635D" w:rsidRPr="004A635D" w:rsidRDefault="004A635D" w:rsidP="004A635D">
      <w:pPr>
        <w:widowControl/>
        <w:ind w:left="720"/>
        <w:rPr>
          <w:rFonts w:ascii="Times New Roman" w:hAnsi="Times New Roman"/>
          <w:snapToGrid/>
          <w:sz w:val="24"/>
          <w:szCs w:val="24"/>
        </w:rPr>
      </w:pPr>
      <w:r w:rsidRPr="004A635D">
        <w:rPr>
          <w:rFonts w:ascii="Times New Roman" w:hAnsi="Times New Roman"/>
          <w:snapToGrid/>
          <w:sz w:val="24"/>
          <w:szCs w:val="24"/>
        </w:rPr>
        <w:t>The SF-</w:t>
      </w:r>
      <w:r w:rsidR="000E7BF8">
        <w:rPr>
          <w:rFonts w:ascii="Times New Roman" w:hAnsi="Times New Roman"/>
          <w:snapToGrid/>
          <w:sz w:val="24"/>
          <w:szCs w:val="24"/>
        </w:rPr>
        <w:t>425</w:t>
      </w:r>
      <w:r w:rsidRPr="004A635D">
        <w:rPr>
          <w:rFonts w:ascii="Times New Roman" w:hAnsi="Times New Roman"/>
          <w:snapToGrid/>
          <w:sz w:val="24"/>
          <w:szCs w:val="24"/>
        </w:rPr>
        <w:t xml:space="preserve"> was analyzed for use as a compliance tool, but it was found to be insufficient by itself in that it did not break out financial information necessary for monitoring of the various fiscal requirements of the program.</w:t>
      </w:r>
    </w:p>
    <w:p w:rsidR="004A635D" w:rsidRPr="004A635D" w:rsidRDefault="004A635D" w:rsidP="004A635D">
      <w:pPr>
        <w:widowControl/>
        <w:ind w:left="720"/>
        <w:rPr>
          <w:rFonts w:ascii="Times New Roman" w:hAnsi="Times New Roman"/>
          <w:snapToGrid/>
          <w:sz w:val="24"/>
          <w:szCs w:val="24"/>
        </w:rPr>
      </w:pPr>
    </w:p>
    <w:p w:rsidR="004A635D" w:rsidRPr="004A635D" w:rsidRDefault="004A635D" w:rsidP="004A635D">
      <w:pPr>
        <w:widowControl/>
        <w:ind w:left="720"/>
        <w:rPr>
          <w:rFonts w:ascii="Times New Roman" w:hAnsi="Times New Roman"/>
          <w:snapToGrid/>
          <w:sz w:val="24"/>
          <w:szCs w:val="24"/>
        </w:rPr>
      </w:pPr>
      <w:r w:rsidRPr="004A635D">
        <w:rPr>
          <w:rFonts w:ascii="Times New Roman" w:hAnsi="Times New Roman"/>
          <w:snapToGrid/>
          <w:sz w:val="24"/>
          <w:szCs w:val="24"/>
        </w:rPr>
        <w:t>The only other State fiscal information was from the Program Performance Report (PPR), which collects information on Council activities in the State.  The PPR's utility was reviewed, but the nature of the information made it unusable, as it was never intended as a compliance tool and it is programmatically oriented rath</w:t>
      </w:r>
      <w:r>
        <w:rPr>
          <w:rFonts w:ascii="Times New Roman" w:hAnsi="Times New Roman"/>
          <w:snapToGrid/>
          <w:sz w:val="24"/>
          <w:szCs w:val="24"/>
        </w:rPr>
        <w:t>er than fiscally oriented.  The </w:t>
      </w:r>
      <w:r w:rsidRPr="004A635D">
        <w:rPr>
          <w:rFonts w:ascii="Times New Roman" w:hAnsi="Times New Roman"/>
          <w:snapToGrid/>
          <w:sz w:val="24"/>
          <w:szCs w:val="24"/>
        </w:rPr>
        <w:t xml:space="preserve">PPR reports three separate years of funds pooled together in an expenditure report </w:t>
      </w:r>
      <w:r w:rsidRPr="004A635D">
        <w:rPr>
          <w:rFonts w:ascii="Times New Roman" w:hAnsi="Times New Roman"/>
          <w:snapToGrid/>
          <w:sz w:val="24"/>
          <w:szCs w:val="24"/>
        </w:rPr>
        <w:lastRenderedPageBreak/>
        <w:t>and did not include matching State funding, so the information it contained could not be used.</w:t>
      </w:r>
    </w:p>
    <w:p w:rsidR="00572A47" w:rsidRDefault="00572A47" w:rsidP="00572A47">
      <w:pPr>
        <w:widowControl/>
        <w:ind w:left="720"/>
        <w:rPr>
          <w:rFonts w:ascii="Times New Roman" w:hAnsi="Times New Roman"/>
          <w:snapToGrid/>
          <w:sz w:val="24"/>
          <w:szCs w:val="24"/>
        </w:rPr>
      </w:pPr>
    </w:p>
    <w:p w:rsidR="0018436A" w:rsidRDefault="0018436A" w:rsidP="003D7897">
      <w:pPr>
        <w:widowControl/>
        <w:ind w:left="720"/>
        <w:rPr>
          <w:rFonts w:ascii="Times New Roman" w:hAnsi="Times New Roman"/>
          <w:snapToGrid/>
          <w:sz w:val="24"/>
          <w:szCs w:val="24"/>
        </w:rPr>
      </w:pPr>
    </w:p>
    <w:p w:rsidR="0057337F" w:rsidRPr="003D7897" w:rsidRDefault="0057337F" w:rsidP="003D7897">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rsidR="00D564DC" w:rsidRPr="00D564DC" w:rsidRDefault="00D564DC" w:rsidP="00D564DC">
      <w:pPr>
        <w:widowControl/>
        <w:ind w:left="720"/>
        <w:rPr>
          <w:rFonts w:ascii="Times New Roman" w:hAnsi="Times New Roman"/>
          <w:snapToGrid/>
          <w:sz w:val="24"/>
          <w:szCs w:val="24"/>
        </w:rPr>
      </w:pPr>
      <w:r w:rsidRPr="00D564DC">
        <w:rPr>
          <w:rFonts w:ascii="Times New Roman" w:hAnsi="Times New Roman"/>
          <w:snapToGrid/>
          <w:sz w:val="24"/>
          <w:szCs w:val="24"/>
        </w:rPr>
        <w:t>The information collected does not involve, nor result in assignment of burden to any small business or other small entity. It is collected from 55</w:t>
      </w:r>
      <w:r w:rsidR="005B4994">
        <w:rPr>
          <w:rFonts w:ascii="Times New Roman" w:hAnsi="Times New Roman"/>
          <w:snapToGrid/>
          <w:sz w:val="24"/>
          <w:szCs w:val="24"/>
        </w:rPr>
        <w:t xml:space="preserve"> grantees that are</w:t>
      </w:r>
      <w:r w:rsidRPr="00D564DC">
        <w:rPr>
          <w:rFonts w:ascii="Times New Roman" w:hAnsi="Times New Roman"/>
          <w:snapToGrid/>
          <w:sz w:val="24"/>
          <w:szCs w:val="24"/>
        </w:rPr>
        <w:t xml:space="preserve"> State agencies.</w:t>
      </w:r>
    </w:p>
    <w:p w:rsidR="0018436A" w:rsidRDefault="0018436A" w:rsidP="00D564DC">
      <w:pPr>
        <w:widowControl/>
        <w:ind w:left="720"/>
        <w:rPr>
          <w:rFonts w:ascii="Times New Roman" w:hAnsi="Times New Roman"/>
          <w:snapToGrid/>
          <w:sz w:val="24"/>
          <w:szCs w:val="24"/>
        </w:rPr>
      </w:pPr>
    </w:p>
    <w:p w:rsidR="005B4994" w:rsidRPr="00D564DC" w:rsidRDefault="005B4994" w:rsidP="00D564DC">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rsidR="00867A32" w:rsidRPr="00867A32" w:rsidRDefault="00867A32" w:rsidP="00867A32">
      <w:pPr>
        <w:widowControl/>
        <w:ind w:left="720"/>
        <w:rPr>
          <w:rFonts w:ascii="Times New Roman" w:hAnsi="Times New Roman"/>
          <w:snapToGrid/>
          <w:sz w:val="24"/>
          <w:szCs w:val="24"/>
        </w:rPr>
      </w:pPr>
      <w:r w:rsidRPr="00867A32">
        <w:rPr>
          <w:rFonts w:ascii="Times New Roman" w:hAnsi="Times New Roman"/>
          <w:snapToGrid/>
          <w:sz w:val="24"/>
          <w:szCs w:val="24"/>
        </w:rPr>
        <w:t>The collection of information is on an annual basis.  No reporting or less frequent reporting would allow problems to develop to the point of becoming major enforcement or even disallowance issues.  Annual reporting allows the Department to alert States to compliance problems, thus reducing the Federal Government's need to take punitive action.</w:t>
      </w:r>
    </w:p>
    <w:p w:rsidR="00B02FFA" w:rsidRPr="00B02FFA" w:rsidRDefault="00B02FFA" w:rsidP="00B02FFA">
      <w:pPr>
        <w:widowControl/>
        <w:ind w:left="720"/>
        <w:rPr>
          <w:rFonts w:ascii="Times New Roman" w:hAnsi="Times New Roman"/>
          <w:snapToGrid/>
          <w:sz w:val="24"/>
          <w:szCs w:val="24"/>
        </w:rPr>
      </w:pPr>
    </w:p>
    <w:p w:rsidR="0018436A" w:rsidRPr="00AD0DE4" w:rsidRDefault="0018436A" w:rsidP="00AD0DE4">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rsidR="00E41F46" w:rsidRPr="00E41F46" w:rsidRDefault="00E41F46" w:rsidP="00E41F46">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rsidR="0018436A" w:rsidRDefault="0018436A" w:rsidP="00E41F46">
      <w:pPr>
        <w:widowControl/>
        <w:ind w:left="720"/>
        <w:rPr>
          <w:rFonts w:ascii="Times New Roman" w:hAnsi="Times New Roman"/>
          <w:snapToGrid/>
          <w:sz w:val="24"/>
          <w:szCs w:val="24"/>
        </w:rPr>
      </w:pPr>
    </w:p>
    <w:p w:rsidR="00E570A9" w:rsidRPr="00E41F46" w:rsidRDefault="00E570A9" w:rsidP="00E41F4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rsidR="00B02FFA" w:rsidRDefault="008916AA" w:rsidP="00EC7D7D">
      <w:pPr>
        <w:widowControl/>
        <w:ind w:left="720"/>
        <w:rPr>
          <w:rFonts w:ascii="Times New Roman" w:hAnsi="Times New Roman"/>
          <w:snapToGrid/>
          <w:sz w:val="24"/>
          <w:szCs w:val="24"/>
        </w:rPr>
      </w:pPr>
      <w:r>
        <w:rPr>
          <w:rFonts w:ascii="Times New Roman" w:hAnsi="Times New Roman"/>
          <w:snapToGrid/>
          <w:sz w:val="24"/>
          <w:szCs w:val="24"/>
        </w:rPr>
        <w:t xml:space="preserve">A 60-day public comment period for the information collection was provided through notification in the Federal Register Notice published on Wednesday, December 14, 2011. </w:t>
      </w:r>
    </w:p>
    <w:p w:rsidR="008916AA" w:rsidRPr="00EC7D7D" w:rsidRDefault="008916AA" w:rsidP="00EC7D7D">
      <w:pPr>
        <w:widowControl/>
        <w:ind w:left="720"/>
        <w:rPr>
          <w:rFonts w:ascii="Times New Roman" w:hAnsi="Times New Roman"/>
          <w:snapToGrid/>
          <w:sz w:val="24"/>
          <w:szCs w:val="24"/>
        </w:rPr>
      </w:pPr>
      <w:r>
        <w:rPr>
          <w:rFonts w:ascii="Times New Roman" w:hAnsi="Times New Roman"/>
          <w:snapToGrid/>
          <w:sz w:val="24"/>
          <w:szCs w:val="24"/>
        </w:rPr>
        <w:t xml:space="preserve">No comments were received from the 60-day notice. </w:t>
      </w:r>
    </w:p>
    <w:p w:rsidR="00AE1DC9" w:rsidRDefault="00AE1DC9" w:rsidP="00E23496">
      <w:pPr>
        <w:widowControl/>
        <w:ind w:left="720"/>
        <w:rPr>
          <w:rFonts w:ascii="Times New Roman" w:hAnsi="Times New Roman"/>
          <w:snapToGrid/>
          <w:sz w:val="24"/>
          <w:szCs w:val="24"/>
        </w:rPr>
      </w:pPr>
    </w:p>
    <w:p w:rsidR="008916AA" w:rsidRDefault="008916AA" w:rsidP="00E23496">
      <w:pPr>
        <w:widowControl/>
        <w:ind w:left="720"/>
        <w:rPr>
          <w:rFonts w:ascii="Times New Roman" w:hAnsi="Times New Roman"/>
          <w:snapToGrid/>
          <w:sz w:val="24"/>
          <w:szCs w:val="24"/>
        </w:rPr>
      </w:pPr>
    </w:p>
    <w:p w:rsidR="008916AA" w:rsidRDefault="008916AA" w:rsidP="00E23496">
      <w:pPr>
        <w:widowControl/>
        <w:ind w:left="720"/>
        <w:rPr>
          <w:rFonts w:ascii="Times New Roman" w:hAnsi="Times New Roman"/>
          <w:snapToGrid/>
          <w:sz w:val="24"/>
          <w:szCs w:val="24"/>
        </w:rPr>
      </w:pPr>
    </w:p>
    <w:p w:rsidR="008916AA" w:rsidRDefault="008916AA" w:rsidP="00E23496">
      <w:pPr>
        <w:widowControl/>
        <w:ind w:left="720"/>
        <w:rPr>
          <w:rFonts w:ascii="Times New Roman" w:hAnsi="Times New Roman"/>
          <w:snapToGrid/>
          <w:sz w:val="24"/>
          <w:szCs w:val="24"/>
        </w:rPr>
      </w:pPr>
    </w:p>
    <w:p w:rsidR="0018436A" w:rsidRDefault="0018436A" w:rsidP="00E23496">
      <w:pPr>
        <w:widowControl/>
        <w:ind w:left="720"/>
        <w:rPr>
          <w:rFonts w:ascii="Times New Roman" w:hAnsi="Times New Roman"/>
          <w:snapToGrid/>
          <w:sz w:val="24"/>
          <w:szCs w:val="24"/>
        </w:rPr>
      </w:pPr>
    </w:p>
    <w:p w:rsidR="0057337F" w:rsidRDefault="0057337F" w:rsidP="00E23496">
      <w:pPr>
        <w:widowControl/>
        <w:ind w:left="720"/>
        <w:rPr>
          <w:rFonts w:ascii="Times New Roman" w:hAnsi="Times New Roman"/>
          <w:snapToGrid/>
          <w:sz w:val="24"/>
          <w:szCs w:val="24"/>
        </w:rPr>
      </w:pPr>
    </w:p>
    <w:p w:rsidR="008916AA" w:rsidRDefault="008916AA" w:rsidP="00E23496">
      <w:pPr>
        <w:widowControl/>
        <w:ind w:left="720"/>
        <w:rPr>
          <w:rFonts w:ascii="Times New Roman" w:hAnsi="Times New Roman"/>
          <w:snapToGrid/>
          <w:sz w:val="24"/>
          <w:szCs w:val="24"/>
        </w:rPr>
      </w:pPr>
    </w:p>
    <w:p w:rsidR="008916AA" w:rsidRPr="00CA26B5" w:rsidRDefault="008916AA" w:rsidP="008916AA">
      <w:pPr>
        <w:widowControl/>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rsidR="001D2008" w:rsidRPr="001D2008" w:rsidRDefault="001D2008" w:rsidP="001D2008">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rsidR="0018436A" w:rsidRDefault="0018436A" w:rsidP="001D2008">
      <w:pPr>
        <w:widowControl/>
        <w:ind w:left="720"/>
        <w:rPr>
          <w:rFonts w:ascii="Times New Roman" w:hAnsi="Times New Roman"/>
          <w:snapToGrid/>
          <w:sz w:val="24"/>
          <w:szCs w:val="24"/>
        </w:rPr>
      </w:pPr>
    </w:p>
    <w:p w:rsidR="00696244" w:rsidRDefault="00696244" w:rsidP="001D2008">
      <w:pPr>
        <w:widowControl/>
        <w:ind w:left="720"/>
        <w:rPr>
          <w:rFonts w:ascii="Times New Roman" w:hAnsi="Times New Roman"/>
          <w:snapToGrid/>
          <w:sz w:val="24"/>
          <w:szCs w:val="24"/>
        </w:rPr>
      </w:pPr>
    </w:p>
    <w:p w:rsidR="005B4994" w:rsidRPr="001D2008" w:rsidRDefault="005B4994" w:rsidP="001D2008">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Assurance of Confidentiality Provided to Respondents </w:t>
      </w:r>
    </w:p>
    <w:p w:rsidR="00FB3EB2" w:rsidRPr="00FB3EB2" w:rsidRDefault="00FB3EB2" w:rsidP="00FB3EB2">
      <w:pPr>
        <w:widowControl/>
        <w:ind w:left="720"/>
        <w:rPr>
          <w:rFonts w:ascii="Times New Roman" w:hAnsi="Times New Roman"/>
          <w:snapToGrid/>
          <w:sz w:val="24"/>
          <w:szCs w:val="24"/>
        </w:rPr>
      </w:pPr>
      <w:r w:rsidRPr="00FB3EB2">
        <w:rPr>
          <w:rFonts w:ascii="Times New Roman" w:hAnsi="Times New Roman"/>
          <w:snapToGrid/>
          <w:sz w:val="24"/>
          <w:szCs w:val="24"/>
        </w:rPr>
        <w:t>There are no data collected that require confidentiality, and hence no assurance of confidentiality is required.</w:t>
      </w:r>
    </w:p>
    <w:p w:rsidR="00AE1DC9" w:rsidRDefault="00AE1DC9" w:rsidP="00FB3EB2">
      <w:pPr>
        <w:widowControl/>
        <w:ind w:left="720"/>
        <w:rPr>
          <w:rFonts w:ascii="Times New Roman" w:hAnsi="Times New Roman"/>
          <w:snapToGrid/>
          <w:sz w:val="24"/>
          <w:szCs w:val="24"/>
        </w:rPr>
      </w:pPr>
    </w:p>
    <w:p w:rsidR="0018436A" w:rsidRPr="00FB3EB2" w:rsidRDefault="0018436A" w:rsidP="00FB3EB2">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Justification for Sensitive Questions </w:t>
      </w:r>
    </w:p>
    <w:p w:rsidR="000E3D4A" w:rsidRPr="000E3D4A" w:rsidRDefault="00952964" w:rsidP="000E3D4A">
      <w:pPr>
        <w:widowControl/>
        <w:ind w:left="720"/>
        <w:rPr>
          <w:rFonts w:ascii="Times New Roman" w:hAnsi="Times New Roman"/>
          <w:snapToGrid/>
          <w:sz w:val="24"/>
          <w:szCs w:val="24"/>
        </w:rPr>
      </w:pPr>
      <w:r>
        <w:rPr>
          <w:rFonts w:ascii="Times New Roman" w:hAnsi="Times New Roman"/>
          <w:snapToGrid/>
          <w:sz w:val="24"/>
          <w:szCs w:val="24"/>
        </w:rPr>
        <w:t xml:space="preserve">No data are </w:t>
      </w:r>
      <w:r w:rsidR="000E3D4A" w:rsidRPr="000E3D4A">
        <w:rPr>
          <w:rFonts w:ascii="Times New Roman" w:hAnsi="Times New Roman"/>
          <w:snapToGrid/>
          <w:sz w:val="24"/>
          <w:szCs w:val="24"/>
        </w:rPr>
        <w:t>collected that is of a sensitive nature.</w:t>
      </w:r>
    </w:p>
    <w:p w:rsidR="00AE1DC9" w:rsidRDefault="00AE1DC9" w:rsidP="000E3D4A">
      <w:pPr>
        <w:widowControl/>
        <w:ind w:left="720"/>
        <w:rPr>
          <w:rFonts w:ascii="Times New Roman" w:hAnsi="Times New Roman"/>
          <w:snapToGrid/>
          <w:sz w:val="24"/>
          <w:szCs w:val="24"/>
        </w:rPr>
      </w:pPr>
    </w:p>
    <w:p w:rsidR="0018436A" w:rsidRDefault="0018436A" w:rsidP="000E3D4A">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Annualized Burden Hours and Costs </w:t>
      </w:r>
    </w:p>
    <w:p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tbl>
      <w:tblPr>
        <w:tblW w:w="0" w:type="auto"/>
        <w:tblInd w:w="864" w:type="dxa"/>
        <w:tblLayout w:type="fixed"/>
        <w:tblLook w:val="00A7"/>
      </w:tblPr>
      <w:tblGrid>
        <w:gridCol w:w="1170"/>
        <w:gridCol w:w="2610"/>
        <w:gridCol w:w="2844"/>
        <w:gridCol w:w="1476"/>
      </w:tblGrid>
      <w:tr w:rsidR="00AE1DC9" w:rsidRPr="00AE1DC9" w:rsidTr="008C2070">
        <w:tc>
          <w:tcPr>
            <w:tcW w:w="1170"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Total</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00AE1DC9" w:rsidRPr="00AE1DC9" w:rsidTr="008C2070">
        <w:tc>
          <w:tcPr>
            <w:tcW w:w="1170" w:type="dxa"/>
            <w:tcBorders>
              <w:bottom w:val="single" w:sz="12" w:space="0" w:color="808080"/>
            </w:tcBorders>
          </w:tcPr>
          <w:p w:rsidR="00AE1DC9" w:rsidRPr="00AE1DC9" w:rsidRDefault="00AE1DC9" w:rsidP="008C2070">
            <w:pPr>
              <w:widowControl/>
              <w:ind w:left="134"/>
              <w:rPr>
                <w:rFonts w:ascii="Times New Roman" w:hAnsi="Times New Roman"/>
                <w:snapToGrid/>
                <w:sz w:val="24"/>
                <w:szCs w:val="24"/>
              </w:rPr>
            </w:pPr>
            <w:r w:rsidRPr="00AE1DC9">
              <w:rPr>
                <w:rFonts w:ascii="Times New Roman" w:hAnsi="Times New Roman"/>
                <w:snapToGrid/>
                <w:sz w:val="24"/>
                <w:szCs w:val="24"/>
              </w:rPr>
              <w:t>55</w:t>
            </w:r>
          </w:p>
        </w:tc>
        <w:tc>
          <w:tcPr>
            <w:tcW w:w="2610" w:type="dxa"/>
            <w:tcBorders>
              <w:bottom w:val="single" w:sz="12" w:space="0" w:color="808080"/>
            </w:tcBorders>
          </w:tcPr>
          <w:p w:rsidR="00AE1DC9" w:rsidRPr="00AE1DC9" w:rsidRDefault="00952964" w:rsidP="008C2070">
            <w:pPr>
              <w:widowControl/>
              <w:ind w:left="252"/>
              <w:rPr>
                <w:rFonts w:ascii="Times New Roman" w:hAnsi="Times New Roman"/>
                <w:snapToGrid/>
                <w:sz w:val="24"/>
                <w:szCs w:val="24"/>
              </w:rPr>
            </w:pPr>
            <w:r>
              <w:rPr>
                <w:rFonts w:ascii="Times New Roman" w:hAnsi="Times New Roman"/>
                <w:snapToGrid/>
                <w:sz w:val="24"/>
                <w:szCs w:val="24"/>
              </w:rPr>
              <w:t>3</w:t>
            </w:r>
          </w:p>
        </w:tc>
        <w:tc>
          <w:tcPr>
            <w:tcW w:w="2844" w:type="dxa"/>
            <w:tcBorders>
              <w:bottom w:val="single" w:sz="12" w:space="0" w:color="808080"/>
            </w:tcBorders>
          </w:tcPr>
          <w:p w:rsidR="00AE1DC9" w:rsidRPr="00AE1DC9" w:rsidRDefault="00952964" w:rsidP="00952964">
            <w:pPr>
              <w:widowControl/>
              <w:ind w:left="162"/>
              <w:rPr>
                <w:rFonts w:ascii="Times New Roman" w:hAnsi="Times New Roman"/>
                <w:snapToGrid/>
                <w:sz w:val="24"/>
                <w:szCs w:val="24"/>
              </w:rPr>
            </w:pPr>
            <w:r>
              <w:rPr>
                <w:rFonts w:ascii="Times New Roman" w:hAnsi="Times New Roman"/>
                <w:snapToGrid/>
                <w:sz w:val="24"/>
                <w:szCs w:val="24"/>
              </w:rPr>
              <w:t>5.1</w:t>
            </w:r>
          </w:p>
        </w:tc>
        <w:tc>
          <w:tcPr>
            <w:tcW w:w="1476" w:type="dxa"/>
            <w:tcBorders>
              <w:bottom w:val="single" w:sz="12" w:space="0" w:color="808080"/>
            </w:tcBorders>
          </w:tcPr>
          <w:p w:rsidR="00AE1DC9" w:rsidRPr="00AE1DC9" w:rsidRDefault="00952964" w:rsidP="000F12F5">
            <w:pPr>
              <w:widowControl/>
              <w:ind w:left="160"/>
              <w:rPr>
                <w:rFonts w:ascii="Times New Roman" w:hAnsi="Times New Roman"/>
                <w:snapToGrid/>
                <w:sz w:val="24"/>
                <w:szCs w:val="24"/>
              </w:rPr>
            </w:pPr>
            <w:r>
              <w:rPr>
                <w:rFonts w:ascii="Times New Roman" w:hAnsi="Times New Roman"/>
                <w:snapToGrid/>
                <w:sz w:val="24"/>
                <w:szCs w:val="24"/>
              </w:rPr>
              <w:t>841.5</w:t>
            </w:r>
          </w:p>
        </w:tc>
      </w:tr>
    </w:tbl>
    <w:p w:rsidR="00AE1DC9" w:rsidRPr="00AE1DC9" w:rsidRDefault="00AE1DC9" w:rsidP="00AE1DC9">
      <w:pPr>
        <w:widowControl/>
        <w:ind w:left="720"/>
        <w:rPr>
          <w:rFonts w:ascii="Times New Roman" w:hAnsi="Times New Roman"/>
          <w:snapToGrid/>
          <w:sz w:val="24"/>
          <w:szCs w:val="24"/>
        </w:rPr>
      </w:pPr>
    </w:p>
    <w:p w:rsidR="00AE1DC9" w:rsidRPr="00CB39C6" w:rsidRDefault="00697AC3" w:rsidP="00AE1DC9">
      <w:pPr>
        <w:widowControl/>
        <w:ind w:left="720"/>
      </w:pPr>
      <w:r>
        <w:rPr>
          <w:rFonts w:ascii="Times New Roman" w:hAnsi="Times New Roman"/>
          <w:snapToGrid/>
          <w:sz w:val="24"/>
          <w:szCs w:val="24"/>
        </w:rPr>
        <w:t>The State’s estimates of their a</w:t>
      </w:r>
      <w:r w:rsidR="00AE1DC9" w:rsidRPr="00AE1DC9">
        <w:rPr>
          <w:rFonts w:ascii="Times New Roman" w:hAnsi="Times New Roman"/>
          <w:snapToGrid/>
          <w:sz w:val="24"/>
          <w:szCs w:val="24"/>
        </w:rPr>
        <w:t xml:space="preserve">nnual burden </w:t>
      </w:r>
      <w:r w:rsidR="00CB39C6">
        <w:rPr>
          <w:rFonts w:ascii="Times New Roman" w:hAnsi="Times New Roman"/>
          <w:snapToGrid/>
          <w:sz w:val="24"/>
          <w:szCs w:val="24"/>
        </w:rPr>
        <w:t xml:space="preserve">hours for this information collection </w:t>
      </w:r>
      <w:r w:rsidR="00AE1DC9" w:rsidRPr="00AE1DC9">
        <w:rPr>
          <w:rFonts w:ascii="Times New Roman" w:hAnsi="Times New Roman"/>
          <w:snapToGrid/>
          <w:sz w:val="24"/>
          <w:szCs w:val="24"/>
        </w:rPr>
        <w:t xml:space="preserve">varies </w:t>
      </w:r>
      <w:r w:rsidR="00A365EF">
        <w:rPr>
          <w:rFonts w:ascii="Times New Roman" w:hAnsi="Times New Roman"/>
          <w:snapToGrid/>
          <w:sz w:val="24"/>
          <w:szCs w:val="24"/>
        </w:rPr>
        <w:t xml:space="preserve">greatly </w:t>
      </w:r>
      <w:r w:rsidR="00CB39C6">
        <w:rPr>
          <w:rFonts w:ascii="Times New Roman" w:hAnsi="Times New Roman"/>
          <w:snapToGrid/>
          <w:sz w:val="24"/>
          <w:szCs w:val="24"/>
        </w:rPr>
        <w:t>from State to State, influ</w:t>
      </w:r>
      <w:r>
        <w:rPr>
          <w:rFonts w:ascii="Times New Roman" w:hAnsi="Times New Roman"/>
          <w:snapToGrid/>
          <w:sz w:val="24"/>
          <w:szCs w:val="24"/>
        </w:rPr>
        <w:t xml:space="preserve">enced by factors such </w:t>
      </w:r>
      <w:r w:rsidR="00952964">
        <w:rPr>
          <w:rFonts w:ascii="Times New Roman" w:hAnsi="Times New Roman"/>
          <w:snapToGrid/>
          <w:sz w:val="24"/>
          <w:szCs w:val="24"/>
        </w:rPr>
        <w:t xml:space="preserve">as </w:t>
      </w:r>
      <w:r w:rsidR="00AE1DC9" w:rsidRPr="00AE1DC9">
        <w:rPr>
          <w:rFonts w:ascii="Times New Roman" w:hAnsi="Times New Roman"/>
          <w:snapToGrid/>
          <w:sz w:val="24"/>
          <w:szCs w:val="24"/>
        </w:rPr>
        <w:t>program complexity</w:t>
      </w:r>
      <w:r w:rsidR="00952964">
        <w:rPr>
          <w:rFonts w:ascii="Times New Roman" w:hAnsi="Times New Roman"/>
          <w:snapToGrid/>
          <w:sz w:val="24"/>
          <w:szCs w:val="24"/>
        </w:rPr>
        <w:t>, capabilities of their financial information systems, and quality of communication between Council staff and DSA staff</w:t>
      </w:r>
      <w:r w:rsidR="00AE1DC9" w:rsidRPr="00AE1DC9">
        <w:rPr>
          <w:rFonts w:ascii="Times New Roman" w:hAnsi="Times New Roman"/>
          <w:snapToGrid/>
          <w:sz w:val="24"/>
          <w:szCs w:val="24"/>
        </w:rPr>
        <w:t>.</w:t>
      </w:r>
      <w:r w:rsidR="00AE1DC9">
        <w:rPr>
          <w:rFonts w:ascii="Times New Roman" w:hAnsi="Times New Roman"/>
          <w:snapToGrid/>
          <w:sz w:val="24"/>
          <w:szCs w:val="24"/>
        </w:rPr>
        <w:t xml:space="preserve">  A survey of a representative selection of States was conducted</w:t>
      </w:r>
      <w:r w:rsidR="00696244">
        <w:rPr>
          <w:rFonts w:ascii="Times New Roman" w:hAnsi="Times New Roman"/>
          <w:snapToGrid/>
          <w:sz w:val="24"/>
          <w:szCs w:val="24"/>
        </w:rPr>
        <w:t xml:space="preserve">, focusing on </w:t>
      </w:r>
      <w:r w:rsidR="00AE1DC9">
        <w:rPr>
          <w:rFonts w:ascii="Times New Roman" w:hAnsi="Times New Roman"/>
          <w:snapToGrid/>
          <w:sz w:val="24"/>
          <w:szCs w:val="24"/>
        </w:rPr>
        <w:t xml:space="preserve">geographic diversity, </w:t>
      </w:r>
      <w:r w:rsidR="00696244">
        <w:rPr>
          <w:rFonts w:ascii="Times New Roman" w:hAnsi="Times New Roman"/>
          <w:snapToGrid/>
          <w:sz w:val="24"/>
          <w:szCs w:val="24"/>
        </w:rPr>
        <w:t>State-</w:t>
      </w:r>
      <w:r w:rsidR="00AE1DC9">
        <w:rPr>
          <w:rFonts w:ascii="Times New Roman" w:hAnsi="Times New Roman"/>
          <w:snapToGrid/>
          <w:sz w:val="24"/>
          <w:szCs w:val="24"/>
        </w:rPr>
        <w:t xml:space="preserve">size diversity, </w:t>
      </w:r>
      <w:r w:rsidR="00696244">
        <w:rPr>
          <w:rFonts w:ascii="Times New Roman" w:hAnsi="Times New Roman"/>
          <w:snapToGrid/>
          <w:sz w:val="24"/>
          <w:szCs w:val="24"/>
        </w:rPr>
        <w:t xml:space="preserve">and </w:t>
      </w:r>
      <w:r w:rsidR="004F6610">
        <w:rPr>
          <w:rFonts w:ascii="Times New Roman" w:hAnsi="Times New Roman"/>
          <w:snapToGrid/>
          <w:sz w:val="24"/>
          <w:szCs w:val="24"/>
        </w:rPr>
        <w:t>program </w:t>
      </w:r>
      <w:r w:rsidR="00AE1DC9">
        <w:rPr>
          <w:rFonts w:ascii="Times New Roman" w:hAnsi="Times New Roman"/>
          <w:snapToGrid/>
          <w:sz w:val="24"/>
          <w:szCs w:val="24"/>
        </w:rPr>
        <w:t>funding level diversity</w:t>
      </w:r>
      <w:r>
        <w:rPr>
          <w:rFonts w:ascii="Times New Roman" w:hAnsi="Times New Roman"/>
          <w:snapToGrid/>
          <w:sz w:val="24"/>
          <w:szCs w:val="24"/>
        </w:rPr>
        <w:t>, and the s</w:t>
      </w:r>
      <w:r w:rsidR="00AE1DC9">
        <w:rPr>
          <w:rFonts w:ascii="Times New Roman" w:hAnsi="Times New Roman"/>
          <w:snapToGrid/>
          <w:sz w:val="24"/>
          <w:szCs w:val="24"/>
        </w:rPr>
        <w:t xml:space="preserve">urvey data illustrated </w:t>
      </w:r>
      <w:r>
        <w:rPr>
          <w:rFonts w:ascii="Times New Roman" w:hAnsi="Times New Roman"/>
          <w:snapToGrid/>
          <w:sz w:val="24"/>
          <w:szCs w:val="24"/>
        </w:rPr>
        <w:t xml:space="preserve">this </w:t>
      </w:r>
      <w:r w:rsidR="00AE1DC9">
        <w:rPr>
          <w:rFonts w:ascii="Times New Roman" w:hAnsi="Times New Roman"/>
          <w:snapToGrid/>
          <w:sz w:val="24"/>
          <w:szCs w:val="24"/>
        </w:rPr>
        <w:t>very broad range of burden hours</w:t>
      </w:r>
      <w:r w:rsidR="00A365EF">
        <w:rPr>
          <w:rFonts w:ascii="Times New Roman" w:hAnsi="Times New Roman"/>
          <w:snapToGrid/>
          <w:sz w:val="24"/>
          <w:szCs w:val="24"/>
        </w:rPr>
        <w:t>.    A </w:t>
      </w:r>
      <w:r w:rsidR="00CB39C6">
        <w:rPr>
          <w:rFonts w:ascii="Times New Roman" w:hAnsi="Times New Roman"/>
          <w:snapToGrid/>
          <w:sz w:val="24"/>
          <w:szCs w:val="24"/>
        </w:rPr>
        <w:t xml:space="preserve">nation-wide </w:t>
      </w:r>
      <w:r>
        <w:rPr>
          <w:rFonts w:ascii="Times New Roman" w:hAnsi="Times New Roman"/>
          <w:snapToGrid/>
          <w:sz w:val="24"/>
          <w:szCs w:val="24"/>
        </w:rPr>
        <w:t xml:space="preserve">estimate </w:t>
      </w:r>
      <w:r w:rsidR="00CB39C6">
        <w:rPr>
          <w:rFonts w:ascii="Times New Roman" w:hAnsi="Times New Roman"/>
          <w:snapToGrid/>
          <w:sz w:val="24"/>
          <w:szCs w:val="24"/>
        </w:rPr>
        <w:t xml:space="preserve">for </w:t>
      </w:r>
      <w:r w:rsidR="00696244">
        <w:rPr>
          <w:rFonts w:ascii="Times New Roman" w:hAnsi="Times New Roman"/>
          <w:snapToGrid/>
          <w:sz w:val="24"/>
          <w:szCs w:val="24"/>
        </w:rPr>
        <w:t xml:space="preserve">burden hours </w:t>
      </w:r>
      <w:r w:rsidR="00CB39C6">
        <w:rPr>
          <w:rFonts w:ascii="Times New Roman" w:hAnsi="Times New Roman"/>
          <w:snapToGrid/>
          <w:sz w:val="24"/>
          <w:szCs w:val="24"/>
        </w:rPr>
        <w:t xml:space="preserve">was </w:t>
      </w:r>
      <w:r>
        <w:rPr>
          <w:rFonts w:ascii="Times New Roman" w:hAnsi="Times New Roman"/>
          <w:snapToGrid/>
          <w:sz w:val="24"/>
          <w:szCs w:val="24"/>
        </w:rPr>
        <w:t xml:space="preserve">calculated </w:t>
      </w:r>
      <w:r w:rsidR="00CB39C6">
        <w:rPr>
          <w:rFonts w:ascii="Times New Roman" w:hAnsi="Times New Roman"/>
          <w:snapToGrid/>
          <w:sz w:val="24"/>
          <w:szCs w:val="24"/>
        </w:rPr>
        <w:t xml:space="preserve">based on </w:t>
      </w:r>
      <w:r w:rsidR="00696244">
        <w:rPr>
          <w:rFonts w:ascii="Times New Roman" w:hAnsi="Times New Roman"/>
          <w:snapToGrid/>
          <w:sz w:val="24"/>
          <w:szCs w:val="24"/>
        </w:rPr>
        <w:t xml:space="preserve">median </w:t>
      </w:r>
      <w:r w:rsidR="00CB39C6">
        <w:rPr>
          <w:rFonts w:ascii="Times New Roman" w:hAnsi="Times New Roman"/>
          <w:snapToGrid/>
          <w:sz w:val="24"/>
          <w:szCs w:val="24"/>
        </w:rPr>
        <w:t xml:space="preserve">survey </w:t>
      </w:r>
      <w:r w:rsidR="00696244">
        <w:rPr>
          <w:rFonts w:ascii="Times New Roman" w:hAnsi="Times New Roman"/>
          <w:snapToGrid/>
          <w:sz w:val="24"/>
          <w:szCs w:val="24"/>
        </w:rPr>
        <w:t xml:space="preserve">values. </w:t>
      </w:r>
      <w:r w:rsidR="00AE1DC9" w:rsidRPr="00AE1DC9">
        <w:rPr>
          <w:rFonts w:ascii="Times New Roman" w:hAnsi="Times New Roman"/>
          <w:snapToGrid/>
          <w:sz w:val="24"/>
          <w:szCs w:val="24"/>
        </w:rPr>
        <w:t xml:space="preserve"> The current approximation of annual burden</w:t>
      </w:r>
      <w:r w:rsidR="004F6610">
        <w:rPr>
          <w:rFonts w:ascii="Times New Roman" w:hAnsi="Times New Roman"/>
          <w:snapToGrid/>
          <w:sz w:val="24"/>
          <w:szCs w:val="24"/>
        </w:rPr>
        <w:t xml:space="preserve"> hours for this information collection, derived from the survey data</w:t>
      </w:r>
      <w:r>
        <w:rPr>
          <w:rFonts w:ascii="Times New Roman" w:hAnsi="Times New Roman"/>
          <w:snapToGrid/>
          <w:sz w:val="24"/>
          <w:szCs w:val="24"/>
        </w:rPr>
        <w:t>,</w:t>
      </w:r>
      <w:r w:rsidR="004F6610">
        <w:rPr>
          <w:rFonts w:ascii="Times New Roman" w:hAnsi="Times New Roman"/>
          <w:snapToGrid/>
          <w:sz w:val="24"/>
          <w:szCs w:val="24"/>
        </w:rPr>
        <w:t xml:space="preserve"> is</w:t>
      </w:r>
      <w:r w:rsidR="000F12F5">
        <w:rPr>
          <w:rFonts w:ascii="Times New Roman" w:hAnsi="Times New Roman"/>
          <w:snapToGrid/>
          <w:sz w:val="24"/>
          <w:szCs w:val="24"/>
        </w:rPr>
        <w:t> </w:t>
      </w:r>
      <w:r w:rsidR="00A365EF">
        <w:rPr>
          <w:rFonts w:ascii="Times New Roman" w:hAnsi="Times New Roman"/>
          <w:snapToGrid/>
          <w:sz w:val="24"/>
          <w:szCs w:val="24"/>
        </w:rPr>
        <w:t>15.3</w:t>
      </w:r>
      <w:r>
        <w:rPr>
          <w:rFonts w:ascii="Times New Roman" w:hAnsi="Times New Roman"/>
          <w:snapToGrid/>
          <w:sz w:val="24"/>
          <w:szCs w:val="24"/>
        </w:rPr>
        <w:t> hours per State per year</w:t>
      </w:r>
      <w:r w:rsidR="00A365EF">
        <w:rPr>
          <w:rFonts w:ascii="Times New Roman" w:hAnsi="Times New Roman"/>
          <w:snapToGrid/>
          <w:sz w:val="24"/>
          <w:szCs w:val="24"/>
        </w:rPr>
        <w:t xml:space="preserve"> (for three reports submitted)</w:t>
      </w:r>
      <w:r w:rsidR="00CB39C6">
        <w:rPr>
          <w:rFonts w:ascii="Times New Roman" w:hAnsi="Times New Roman"/>
          <w:snapToGrid/>
          <w:sz w:val="24"/>
          <w:szCs w:val="24"/>
        </w:rPr>
        <w:t xml:space="preserve">, which works out to </w:t>
      </w:r>
      <w:r w:rsidR="00A365EF">
        <w:rPr>
          <w:rFonts w:ascii="Times New Roman" w:hAnsi="Times New Roman"/>
          <w:snapToGrid/>
          <w:sz w:val="24"/>
          <w:szCs w:val="24"/>
        </w:rPr>
        <w:t>841.5</w:t>
      </w:r>
      <w:r w:rsidR="000F12F5">
        <w:rPr>
          <w:rFonts w:ascii="Times New Roman" w:hAnsi="Times New Roman"/>
          <w:snapToGrid/>
          <w:sz w:val="24"/>
          <w:szCs w:val="24"/>
        </w:rPr>
        <w:t> </w:t>
      </w:r>
      <w:r w:rsidR="00CB39C6">
        <w:rPr>
          <w:rFonts w:ascii="Times New Roman" w:hAnsi="Times New Roman"/>
          <w:snapToGrid/>
          <w:sz w:val="24"/>
          <w:szCs w:val="24"/>
        </w:rPr>
        <w:t>hours nation-wide (i.e., 55x</w:t>
      </w:r>
      <w:r w:rsidR="00A365EF">
        <w:rPr>
          <w:rFonts w:ascii="Times New Roman" w:hAnsi="Times New Roman"/>
          <w:snapToGrid/>
          <w:sz w:val="24"/>
          <w:szCs w:val="24"/>
        </w:rPr>
        <w:t>15.3</w:t>
      </w:r>
      <w:r w:rsidR="00CB39C6">
        <w:rPr>
          <w:rFonts w:ascii="Times New Roman" w:hAnsi="Times New Roman"/>
          <w:snapToGrid/>
          <w:sz w:val="24"/>
          <w:szCs w:val="24"/>
        </w:rPr>
        <w:t>).</w:t>
      </w:r>
      <w:r w:rsidR="00A365EF">
        <w:rPr>
          <w:rFonts w:ascii="Times New Roman" w:hAnsi="Times New Roman"/>
          <w:snapToGrid/>
          <w:sz w:val="24"/>
          <w:szCs w:val="24"/>
        </w:rPr>
        <w:t xml:space="preserve">  Note that most of the State grantees must submit three reports, because they are permitted three years for liquidating each of their annual awards.</w:t>
      </w:r>
    </w:p>
    <w:p w:rsidR="00AE1DC9" w:rsidRPr="00AE1DC9" w:rsidRDefault="00AE1DC9" w:rsidP="00AE1DC9">
      <w:pPr>
        <w:widowControl/>
        <w:ind w:left="720"/>
        <w:rPr>
          <w:rFonts w:ascii="Times New Roman" w:hAnsi="Times New Roman"/>
          <w:snapToGrid/>
          <w:sz w:val="24"/>
          <w:szCs w:val="24"/>
        </w:rPr>
      </w:pP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tbl>
      <w:tblPr>
        <w:tblW w:w="8151" w:type="dxa"/>
        <w:tblInd w:w="864" w:type="dxa"/>
        <w:tblLayout w:type="fixed"/>
        <w:tblLook w:val="00A7"/>
      </w:tblPr>
      <w:tblGrid>
        <w:gridCol w:w="1674"/>
        <w:gridCol w:w="2250"/>
        <w:gridCol w:w="2520"/>
        <w:gridCol w:w="1707"/>
      </w:tblGrid>
      <w:tr w:rsidR="00AE1DC9" w:rsidRPr="00AE1DC9" w:rsidTr="008C2070">
        <w:tc>
          <w:tcPr>
            <w:tcW w:w="1674" w:type="dxa"/>
            <w:tcBorders>
              <w:top w:val="single" w:sz="12" w:space="0" w:color="808080"/>
              <w:bottom w:val="single" w:sz="6" w:space="0" w:color="808080"/>
            </w:tcBorders>
          </w:tcPr>
          <w:p w:rsidR="00AE1DC9" w:rsidRPr="00AE1DC9" w:rsidRDefault="00AE1DC9" w:rsidP="00697AC3">
            <w:pPr>
              <w:widowControl/>
              <w:ind w:left="162"/>
              <w:rPr>
                <w:rFonts w:ascii="Times New Roman" w:hAnsi="Times New Roman"/>
                <w:snapToGrid/>
                <w:sz w:val="24"/>
                <w:szCs w:val="24"/>
              </w:rPr>
            </w:pPr>
            <w:r w:rsidRPr="00AE1DC9">
              <w:rPr>
                <w:rFonts w:ascii="Times New Roman" w:hAnsi="Times New Roman"/>
                <w:snapToGrid/>
                <w:sz w:val="24"/>
                <w:szCs w:val="24"/>
              </w:rPr>
              <w:lastRenderedPageBreak/>
              <w:t>Average Cost/Hour</w:t>
            </w:r>
          </w:p>
        </w:tc>
        <w:tc>
          <w:tcPr>
            <w:tcW w:w="2250" w:type="dxa"/>
            <w:tcBorders>
              <w:top w:val="single" w:sz="12" w:space="0" w:color="808080"/>
              <w:bottom w:val="single" w:sz="6" w:space="0" w:color="808080"/>
            </w:tcBorders>
          </w:tcPr>
          <w:p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Burden Hours/State</w:t>
            </w:r>
          </w:p>
        </w:tc>
        <w:tc>
          <w:tcPr>
            <w:tcW w:w="2520" w:type="dxa"/>
            <w:tcBorders>
              <w:top w:val="single" w:sz="12" w:space="0" w:color="808080"/>
              <w:bottom w:val="single" w:sz="6" w:space="0" w:color="808080"/>
            </w:tcBorders>
          </w:tcPr>
          <w:p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Annual Cost/State</w:t>
            </w:r>
          </w:p>
        </w:tc>
        <w:tc>
          <w:tcPr>
            <w:tcW w:w="1707" w:type="dxa"/>
            <w:tcBorders>
              <w:top w:val="single" w:sz="12" w:space="0" w:color="808080"/>
              <w:bottom w:val="single" w:sz="6" w:space="0" w:color="808080"/>
            </w:tcBorders>
          </w:tcPr>
          <w:p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Total Annual</w:t>
            </w:r>
          </w:p>
          <w:p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Cost</w:t>
            </w:r>
          </w:p>
        </w:tc>
      </w:tr>
      <w:tr w:rsidR="00AE1DC9" w:rsidRPr="00AE1DC9" w:rsidTr="008C2070">
        <w:tc>
          <w:tcPr>
            <w:tcW w:w="1674" w:type="dxa"/>
            <w:tcBorders>
              <w:bottom w:val="single" w:sz="12" w:space="0" w:color="808080"/>
            </w:tcBorders>
          </w:tcPr>
          <w:p w:rsidR="00AE1DC9" w:rsidRPr="00AE1DC9" w:rsidRDefault="00AE1DC9" w:rsidP="00697AC3">
            <w:pPr>
              <w:widowControl/>
              <w:ind w:left="342"/>
              <w:rPr>
                <w:rFonts w:ascii="Times New Roman" w:hAnsi="Times New Roman"/>
                <w:snapToGrid/>
                <w:sz w:val="24"/>
                <w:szCs w:val="24"/>
              </w:rPr>
            </w:pPr>
            <w:r w:rsidRPr="00AE1DC9">
              <w:rPr>
                <w:rFonts w:ascii="Times New Roman" w:hAnsi="Times New Roman"/>
                <w:snapToGrid/>
                <w:sz w:val="24"/>
                <w:szCs w:val="24"/>
              </w:rPr>
              <w:t>$</w:t>
            </w:r>
            <w:r w:rsidR="00697AC3">
              <w:rPr>
                <w:rFonts w:ascii="Times New Roman" w:hAnsi="Times New Roman"/>
                <w:snapToGrid/>
                <w:sz w:val="24"/>
                <w:szCs w:val="24"/>
              </w:rPr>
              <w:t>40</w:t>
            </w:r>
          </w:p>
        </w:tc>
        <w:tc>
          <w:tcPr>
            <w:tcW w:w="2250" w:type="dxa"/>
            <w:tcBorders>
              <w:bottom w:val="single" w:sz="12" w:space="0" w:color="808080"/>
            </w:tcBorders>
          </w:tcPr>
          <w:p w:rsidR="00AE1DC9" w:rsidRPr="00AE1DC9" w:rsidRDefault="002323D4" w:rsidP="000F12F5">
            <w:pPr>
              <w:widowControl/>
              <w:ind w:left="522"/>
              <w:rPr>
                <w:rFonts w:ascii="Times New Roman" w:hAnsi="Times New Roman"/>
                <w:snapToGrid/>
                <w:sz w:val="24"/>
                <w:szCs w:val="24"/>
              </w:rPr>
            </w:pPr>
            <w:r>
              <w:rPr>
                <w:rFonts w:ascii="Times New Roman" w:hAnsi="Times New Roman"/>
                <w:snapToGrid/>
                <w:sz w:val="24"/>
                <w:szCs w:val="24"/>
              </w:rPr>
              <w:t>15.3</w:t>
            </w:r>
          </w:p>
        </w:tc>
        <w:tc>
          <w:tcPr>
            <w:tcW w:w="2520" w:type="dxa"/>
            <w:tcBorders>
              <w:bottom w:val="single" w:sz="12" w:space="0" w:color="808080"/>
            </w:tcBorders>
          </w:tcPr>
          <w:p w:rsidR="00AE1DC9" w:rsidRPr="00AE1DC9" w:rsidRDefault="00AE1DC9" w:rsidP="002323D4">
            <w:pPr>
              <w:widowControl/>
              <w:ind w:left="432"/>
              <w:rPr>
                <w:rFonts w:ascii="Times New Roman" w:hAnsi="Times New Roman"/>
                <w:snapToGrid/>
                <w:sz w:val="24"/>
                <w:szCs w:val="24"/>
              </w:rPr>
            </w:pPr>
            <w:r w:rsidRPr="00AE1DC9">
              <w:rPr>
                <w:rFonts w:ascii="Times New Roman" w:hAnsi="Times New Roman"/>
                <w:snapToGrid/>
                <w:sz w:val="24"/>
                <w:szCs w:val="24"/>
              </w:rPr>
              <w:t>$</w:t>
            </w:r>
            <w:r w:rsidR="002323D4">
              <w:rPr>
                <w:rFonts w:ascii="Times New Roman" w:hAnsi="Times New Roman"/>
                <w:snapToGrid/>
                <w:sz w:val="24"/>
                <w:szCs w:val="24"/>
              </w:rPr>
              <w:t>612</w:t>
            </w:r>
          </w:p>
        </w:tc>
        <w:tc>
          <w:tcPr>
            <w:tcW w:w="1707" w:type="dxa"/>
            <w:tcBorders>
              <w:bottom w:val="single" w:sz="12" w:space="0" w:color="808080"/>
            </w:tcBorders>
          </w:tcPr>
          <w:p w:rsidR="00AE1DC9" w:rsidRPr="00AE1DC9" w:rsidRDefault="00AE1DC9" w:rsidP="002323D4">
            <w:pPr>
              <w:widowControl/>
              <w:ind w:left="110"/>
              <w:rPr>
                <w:rFonts w:ascii="Times New Roman" w:hAnsi="Times New Roman"/>
                <w:snapToGrid/>
                <w:sz w:val="24"/>
                <w:szCs w:val="24"/>
              </w:rPr>
            </w:pPr>
            <w:r w:rsidRPr="00AE1DC9">
              <w:rPr>
                <w:rFonts w:ascii="Times New Roman" w:hAnsi="Times New Roman"/>
                <w:snapToGrid/>
                <w:sz w:val="24"/>
                <w:szCs w:val="24"/>
              </w:rPr>
              <w:t>$</w:t>
            </w:r>
            <w:r w:rsidR="002323D4">
              <w:rPr>
                <w:rFonts w:ascii="Times New Roman" w:hAnsi="Times New Roman"/>
                <w:snapToGrid/>
                <w:sz w:val="24"/>
                <w:szCs w:val="24"/>
              </w:rPr>
              <w:t>33</w:t>
            </w:r>
            <w:r w:rsidR="00697AC3">
              <w:rPr>
                <w:rFonts w:ascii="Times New Roman" w:hAnsi="Times New Roman"/>
                <w:snapToGrid/>
                <w:sz w:val="24"/>
                <w:szCs w:val="24"/>
              </w:rPr>
              <w:t>,</w:t>
            </w:r>
            <w:r w:rsidR="002323D4">
              <w:rPr>
                <w:rFonts w:ascii="Times New Roman" w:hAnsi="Times New Roman"/>
                <w:snapToGrid/>
                <w:sz w:val="24"/>
                <w:szCs w:val="24"/>
              </w:rPr>
              <w:t>660</w:t>
            </w:r>
          </w:p>
        </w:tc>
      </w:tr>
    </w:tbl>
    <w:p w:rsidR="00E23496" w:rsidRDefault="00E23496" w:rsidP="00E23496">
      <w:pPr>
        <w:widowControl/>
        <w:ind w:left="720"/>
        <w:rPr>
          <w:rFonts w:ascii="Times New Roman" w:hAnsi="Times New Roman"/>
          <w:snapToGrid/>
          <w:sz w:val="24"/>
          <w:szCs w:val="24"/>
        </w:rPr>
      </w:pPr>
    </w:p>
    <w:p w:rsidR="0018436A" w:rsidRDefault="0018436A" w:rsidP="00E23496">
      <w:pPr>
        <w:widowControl/>
        <w:ind w:left="720"/>
        <w:rPr>
          <w:rFonts w:ascii="Times New Roman" w:hAnsi="Times New Roman"/>
          <w:snapToGrid/>
          <w:sz w:val="24"/>
          <w:szCs w:val="24"/>
        </w:rPr>
      </w:pPr>
    </w:p>
    <w:p w:rsidR="0057337F" w:rsidRPr="00CA26B5" w:rsidRDefault="0057337F" w:rsidP="00E2349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collection of information for </w:t>
      </w:r>
      <w:r w:rsidR="008858D2">
        <w:rPr>
          <w:rFonts w:ascii="Times New Roman" w:hAnsi="Times New Roman"/>
          <w:snapToGrid/>
          <w:sz w:val="24"/>
          <w:szCs w:val="24"/>
        </w:rPr>
        <w:t>this fiscal reporting</w:t>
      </w:r>
      <w:r w:rsidRPr="00AE1DC9">
        <w:rPr>
          <w:rFonts w:ascii="Times New Roman" w:hAnsi="Times New Roman"/>
          <w:snapToGrid/>
          <w:sz w:val="24"/>
          <w:szCs w:val="24"/>
        </w:rPr>
        <w:t>.</w:t>
      </w:r>
    </w:p>
    <w:p w:rsidR="005B4994" w:rsidRDefault="005B4994" w:rsidP="00AE1DC9">
      <w:pPr>
        <w:widowControl/>
        <w:ind w:left="720"/>
        <w:rPr>
          <w:rFonts w:ascii="Times New Roman" w:hAnsi="Times New Roman"/>
          <w:snapToGrid/>
          <w:sz w:val="24"/>
          <w:szCs w:val="24"/>
        </w:rPr>
      </w:pPr>
    </w:p>
    <w:p w:rsidR="0018436A" w:rsidRPr="00AE1DC9" w:rsidRDefault="0018436A" w:rsidP="00AE1DC9">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Annualized Cost to the Federal Government </w:t>
      </w: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Pr>
          <w:rFonts w:ascii="Times New Roman" w:hAnsi="Times New Roman"/>
          <w:snapToGrid/>
          <w:sz w:val="24"/>
          <w:szCs w:val="24"/>
        </w:rPr>
        <w:t>40</w:t>
      </w:r>
      <w:r w:rsidRPr="00AE1DC9">
        <w:rPr>
          <w:rFonts w:ascii="Times New Roman" w:hAnsi="Times New Roman"/>
          <w:snapToGrid/>
          <w:sz w:val="24"/>
          <w:szCs w:val="24"/>
        </w:rPr>
        <w:t xml:space="preserve"> per hour for the efforts of a Program Specialist; this estimated hourly rate includes fringe benefits.</w:t>
      </w:r>
    </w:p>
    <w:p w:rsidR="00AE1DC9" w:rsidRPr="00AE1DC9" w:rsidRDefault="00AE1DC9" w:rsidP="00AE1DC9">
      <w:pPr>
        <w:widowControl/>
        <w:ind w:left="720"/>
        <w:rPr>
          <w:rFonts w:ascii="Times New Roman" w:hAnsi="Times New Roman"/>
          <w:snapToGrid/>
          <w:sz w:val="24"/>
          <w:szCs w:val="24"/>
        </w:rPr>
      </w:pPr>
    </w:p>
    <w:p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Program specialists will devote an estimate</w:t>
      </w:r>
      <w:r w:rsidR="00973F7F">
        <w:rPr>
          <w:rFonts w:ascii="Times New Roman" w:hAnsi="Times New Roman"/>
          <w:snapToGrid/>
          <w:sz w:val="24"/>
          <w:szCs w:val="24"/>
        </w:rPr>
        <w:t>d</w:t>
      </w:r>
      <w:r w:rsidR="00726DDF">
        <w:rPr>
          <w:rFonts w:ascii="Times New Roman" w:hAnsi="Times New Roman"/>
          <w:snapToGrid/>
          <w:sz w:val="24"/>
          <w:szCs w:val="24"/>
        </w:rPr>
        <w:t xml:space="preserve"> </w:t>
      </w:r>
      <w:r w:rsidR="004E7D97">
        <w:rPr>
          <w:rFonts w:ascii="Times New Roman" w:hAnsi="Times New Roman"/>
          <w:snapToGrid/>
          <w:sz w:val="24"/>
          <w:szCs w:val="24"/>
        </w:rPr>
        <w:t>1.5</w:t>
      </w:r>
      <w:r w:rsidRPr="00AE1DC9">
        <w:rPr>
          <w:rFonts w:ascii="Times New Roman" w:hAnsi="Times New Roman"/>
          <w:snapToGrid/>
          <w:sz w:val="24"/>
          <w:szCs w:val="24"/>
        </w:rPr>
        <w:t> hours</w:t>
      </w:r>
      <w:r w:rsidR="004E7D97">
        <w:rPr>
          <w:rFonts w:ascii="Times New Roman" w:hAnsi="Times New Roman"/>
          <w:snapToGrid/>
          <w:sz w:val="24"/>
          <w:szCs w:val="24"/>
        </w:rPr>
        <w:t xml:space="preserve"> per State, and thus 82.5 hours </w:t>
      </w:r>
      <w:r w:rsidR="00943DDC">
        <w:rPr>
          <w:rFonts w:ascii="Times New Roman" w:hAnsi="Times New Roman"/>
          <w:snapToGrid/>
          <w:sz w:val="24"/>
          <w:szCs w:val="24"/>
        </w:rPr>
        <w:t xml:space="preserve">total </w:t>
      </w:r>
      <w:r w:rsidRPr="00AE1DC9">
        <w:rPr>
          <w:rFonts w:ascii="Times New Roman" w:hAnsi="Times New Roman"/>
          <w:snapToGrid/>
          <w:sz w:val="24"/>
          <w:szCs w:val="24"/>
        </w:rPr>
        <w:t xml:space="preserve">every year to </w:t>
      </w:r>
      <w:r w:rsidR="00943DDC" w:rsidRPr="00943DDC">
        <w:rPr>
          <w:rFonts w:ascii="Times New Roman" w:hAnsi="Times New Roman"/>
          <w:snapToGrid/>
          <w:sz w:val="24"/>
          <w:szCs w:val="24"/>
        </w:rPr>
        <w:t>organize and review the ADD-02B data and to generate analyses of the information therein for staff use</w:t>
      </w:r>
      <w:r w:rsidR="00943DDC">
        <w:rPr>
          <w:rFonts w:ascii="Times New Roman" w:hAnsi="Times New Roman"/>
          <w:snapToGrid/>
          <w:sz w:val="24"/>
          <w:szCs w:val="24"/>
        </w:rPr>
        <w:t xml:space="preserve"> and for appropriate financial management.</w:t>
      </w:r>
    </w:p>
    <w:p w:rsidR="00AE1DC9" w:rsidRPr="00AE1DC9" w:rsidRDefault="00AE1DC9" w:rsidP="00AE1DC9">
      <w:pPr>
        <w:widowControl/>
        <w:ind w:left="720"/>
        <w:rPr>
          <w:rFonts w:ascii="Times New Roman" w:hAnsi="Times New Roman"/>
          <w:snapToGrid/>
          <w:sz w:val="24"/>
          <w:szCs w:val="24"/>
        </w:rPr>
      </w:pP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  </w:t>
      </w:r>
      <w:r w:rsidRPr="00AE1DC9">
        <w:rPr>
          <w:rFonts w:ascii="Times New Roman" w:hAnsi="Times New Roman"/>
          <w:snapToGrid/>
          <w:sz w:val="24"/>
          <w:szCs w:val="24"/>
          <w:u w:val="single"/>
        </w:rPr>
        <w:t>Total Estimated Federal Costs</w:t>
      </w:r>
      <w:proofErr w:type="gramStart"/>
      <w:r w:rsidRPr="00AE1DC9">
        <w:rPr>
          <w:rFonts w:ascii="Times New Roman" w:hAnsi="Times New Roman"/>
          <w:snapToGrid/>
          <w:sz w:val="24"/>
          <w:szCs w:val="24"/>
        </w:rPr>
        <w:t>:.......................</w:t>
      </w:r>
      <w:proofErr w:type="gramEnd"/>
      <w:r w:rsidRPr="00AE1DC9">
        <w:rPr>
          <w:rFonts w:ascii="Times New Roman" w:hAnsi="Times New Roman"/>
          <w:snapToGrid/>
          <w:sz w:val="24"/>
          <w:szCs w:val="24"/>
        </w:rPr>
        <w:t xml:space="preserve">  $</w:t>
      </w:r>
      <w:r w:rsidR="00075539">
        <w:rPr>
          <w:rFonts w:ascii="Times New Roman" w:hAnsi="Times New Roman"/>
          <w:snapToGrid/>
          <w:sz w:val="24"/>
          <w:szCs w:val="24"/>
        </w:rPr>
        <w:t>3</w:t>
      </w:r>
      <w:r w:rsidRPr="00AE1DC9">
        <w:rPr>
          <w:rFonts w:ascii="Times New Roman" w:hAnsi="Times New Roman"/>
          <w:snapToGrid/>
          <w:sz w:val="24"/>
          <w:szCs w:val="24"/>
        </w:rPr>
        <w:t>,</w:t>
      </w:r>
      <w:r w:rsidR="00075539">
        <w:rPr>
          <w:rFonts w:ascii="Times New Roman" w:hAnsi="Times New Roman"/>
          <w:snapToGrid/>
          <w:sz w:val="24"/>
          <w:szCs w:val="24"/>
        </w:rPr>
        <w:t>3</w:t>
      </w:r>
      <w:r w:rsidRPr="00AE1DC9">
        <w:rPr>
          <w:rFonts w:ascii="Times New Roman" w:hAnsi="Times New Roman"/>
          <w:snapToGrid/>
          <w:sz w:val="24"/>
          <w:szCs w:val="24"/>
        </w:rPr>
        <w:t>00</w:t>
      </w:r>
    </w:p>
    <w:p w:rsidR="00AE1DC9" w:rsidRDefault="00AE1DC9" w:rsidP="00E23496">
      <w:pPr>
        <w:widowControl/>
        <w:ind w:left="720"/>
        <w:rPr>
          <w:rFonts w:ascii="Times New Roman" w:hAnsi="Times New Roman"/>
          <w:snapToGrid/>
          <w:sz w:val="24"/>
          <w:szCs w:val="24"/>
        </w:rPr>
      </w:pPr>
    </w:p>
    <w:p w:rsidR="0018436A" w:rsidRPr="00CA26B5" w:rsidRDefault="0018436A" w:rsidP="00E2349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for Program Changes or Adjustments </w:t>
      </w:r>
    </w:p>
    <w:p w:rsidR="00FC2932" w:rsidRPr="00FC2932" w:rsidRDefault="00FC2932" w:rsidP="00FC2932">
      <w:pPr>
        <w:widowControl/>
        <w:ind w:left="720"/>
        <w:rPr>
          <w:rFonts w:ascii="Times New Roman" w:hAnsi="Times New Roman"/>
          <w:snapToGrid/>
          <w:sz w:val="24"/>
          <w:szCs w:val="24"/>
        </w:rPr>
      </w:pPr>
      <w:r w:rsidRPr="00FC2932">
        <w:rPr>
          <w:rFonts w:ascii="Times New Roman" w:hAnsi="Times New Roman"/>
          <w:snapToGrid/>
          <w:sz w:val="24"/>
          <w:szCs w:val="24"/>
        </w:rPr>
        <w:t>This is an on-going data coll</w:t>
      </w:r>
      <w:r w:rsidR="00C9131D">
        <w:rPr>
          <w:rFonts w:ascii="Times New Roman" w:hAnsi="Times New Roman"/>
          <w:snapToGrid/>
          <w:sz w:val="24"/>
          <w:szCs w:val="24"/>
        </w:rPr>
        <w:t xml:space="preserve">ection, with no changes.  </w:t>
      </w:r>
    </w:p>
    <w:p w:rsidR="00FC2932" w:rsidRDefault="00FC2932" w:rsidP="00FC2932">
      <w:pPr>
        <w:widowControl/>
        <w:ind w:left="720"/>
        <w:rPr>
          <w:rFonts w:ascii="Times New Roman" w:hAnsi="Times New Roman"/>
          <w:snapToGrid/>
          <w:sz w:val="24"/>
          <w:szCs w:val="24"/>
        </w:rPr>
      </w:pPr>
    </w:p>
    <w:p w:rsidR="0018436A" w:rsidRDefault="0018436A" w:rsidP="00FC2932">
      <w:pPr>
        <w:widowControl/>
        <w:ind w:left="720"/>
        <w:rPr>
          <w:rFonts w:ascii="Times New Roman" w:hAnsi="Times New Roman"/>
          <w:snapToGrid/>
          <w:sz w:val="24"/>
          <w:szCs w:val="24"/>
        </w:rPr>
      </w:pPr>
    </w:p>
    <w:p w:rsidR="00C9131D" w:rsidRDefault="00C9131D" w:rsidP="00FC2932">
      <w:pPr>
        <w:widowControl/>
        <w:ind w:left="720"/>
        <w:rPr>
          <w:rFonts w:ascii="Times New Roman" w:hAnsi="Times New Roman"/>
          <w:snapToGrid/>
          <w:sz w:val="24"/>
          <w:szCs w:val="24"/>
        </w:rPr>
      </w:pPr>
    </w:p>
    <w:p w:rsidR="00C9131D" w:rsidRDefault="00C9131D" w:rsidP="00C9131D">
      <w:pPr>
        <w:widowControl/>
        <w:rPr>
          <w:rFonts w:ascii="Times New Roman" w:hAnsi="Times New Roman"/>
          <w:snapToGrid/>
          <w:sz w:val="24"/>
          <w:szCs w:val="24"/>
        </w:rPr>
      </w:pPr>
    </w:p>
    <w:p w:rsidR="00C9131D" w:rsidRPr="00FC2932" w:rsidRDefault="00C9131D" w:rsidP="00FC2932">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Plans for Tabulation and Publication and Project Time Schedule </w:t>
      </w:r>
    </w:p>
    <w:p w:rsidR="005A40CF" w:rsidRPr="005A40CF" w:rsidRDefault="005A40CF" w:rsidP="005A40CF">
      <w:pPr>
        <w:widowControl/>
        <w:ind w:left="720"/>
        <w:rPr>
          <w:rFonts w:ascii="Times New Roman" w:hAnsi="Times New Roman"/>
          <w:snapToGrid/>
          <w:sz w:val="24"/>
          <w:szCs w:val="24"/>
        </w:rPr>
      </w:pPr>
      <w:proofErr w:type="gramStart"/>
      <w:r w:rsidRPr="005A40CF">
        <w:rPr>
          <w:rFonts w:ascii="Times New Roman" w:hAnsi="Times New Roman"/>
          <w:snapToGrid/>
          <w:sz w:val="24"/>
          <w:szCs w:val="24"/>
        </w:rPr>
        <w:t>None.</w:t>
      </w:r>
      <w:proofErr w:type="gramEnd"/>
      <w:r w:rsidRPr="005A40CF">
        <w:rPr>
          <w:rFonts w:ascii="Times New Roman" w:hAnsi="Times New Roman"/>
          <w:snapToGrid/>
          <w:sz w:val="24"/>
          <w:szCs w:val="24"/>
        </w:rPr>
        <w:t xml:space="preserve">  Compliance oriented only.</w:t>
      </w:r>
    </w:p>
    <w:p w:rsidR="007011A8" w:rsidRPr="007011A8" w:rsidRDefault="007011A8" w:rsidP="007011A8">
      <w:pPr>
        <w:widowControl/>
        <w:ind w:left="720"/>
        <w:rPr>
          <w:rFonts w:ascii="Times New Roman" w:hAnsi="Times New Roman"/>
          <w:snapToGrid/>
          <w:sz w:val="24"/>
          <w:szCs w:val="24"/>
        </w:rPr>
      </w:pPr>
    </w:p>
    <w:p w:rsidR="0018436A" w:rsidRPr="007011A8" w:rsidRDefault="0018436A" w:rsidP="007011A8">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Reason(s) Display of OMB Expiration Date is Inappropriate </w:t>
      </w:r>
    </w:p>
    <w:p w:rsidR="00E23496" w:rsidRDefault="008A6A4C" w:rsidP="00E23496">
      <w:pPr>
        <w:widowControl/>
        <w:ind w:left="720"/>
        <w:rPr>
          <w:rFonts w:ascii="Times New Roman" w:hAnsi="Times New Roman"/>
          <w:snapToGrid/>
          <w:sz w:val="24"/>
          <w:szCs w:val="24"/>
        </w:rPr>
      </w:pPr>
      <w:r>
        <w:rPr>
          <w:rFonts w:ascii="Times New Roman" w:hAnsi="Times New Roman"/>
          <w:snapToGrid/>
          <w:sz w:val="24"/>
          <w:szCs w:val="24"/>
        </w:rPr>
        <w:lastRenderedPageBreak/>
        <w:t>Not applicable.</w:t>
      </w:r>
    </w:p>
    <w:p w:rsidR="008A6A4C" w:rsidRDefault="008A6A4C" w:rsidP="00E23496">
      <w:pPr>
        <w:widowControl/>
        <w:ind w:left="720"/>
        <w:rPr>
          <w:rFonts w:ascii="Times New Roman" w:hAnsi="Times New Roman"/>
          <w:snapToGrid/>
          <w:sz w:val="24"/>
          <w:szCs w:val="24"/>
        </w:rPr>
      </w:pPr>
    </w:p>
    <w:p w:rsidR="0018436A" w:rsidRPr="00CA26B5" w:rsidRDefault="0018436A" w:rsidP="00E2349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Exceptions to Certification for Paperwork Reduction Act Submissions</w:t>
      </w:r>
    </w:p>
    <w:p w:rsidR="008A6A4C" w:rsidRDefault="008A6A4C" w:rsidP="008A6A4C">
      <w:pPr>
        <w:widowControl/>
        <w:ind w:left="720"/>
        <w:rPr>
          <w:rFonts w:ascii="Times New Roman" w:hAnsi="Times New Roman"/>
          <w:snapToGrid/>
          <w:sz w:val="24"/>
          <w:szCs w:val="24"/>
        </w:rPr>
      </w:pPr>
      <w:r>
        <w:rPr>
          <w:rFonts w:ascii="Times New Roman" w:hAnsi="Times New Roman"/>
          <w:snapToGrid/>
          <w:sz w:val="24"/>
          <w:szCs w:val="24"/>
        </w:rPr>
        <w:t>Not applicable.</w:t>
      </w:r>
    </w:p>
    <w:p w:rsidR="008A6A4C" w:rsidRDefault="008A6A4C" w:rsidP="008A6A4C">
      <w:pPr>
        <w:widowControl/>
        <w:ind w:left="720"/>
        <w:rPr>
          <w:rFonts w:ascii="Times New Roman" w:hAnsi="Times New Roman"/>
          <w:snapToGrid/>
          <w:sz w:val="24"/>
          <w:szCs w:val="24"/>
        </w:rPr>
      </w:pPr>
    </w:p>
    <w:p w:rsidR="0018436A" w:rsidRPr="00CA26B5" w:rsidRDefault="0018436A" w:rsidP="008A6A4C">
      <w:pPr>
        <w:widowControl/>
        <w:ind w:left="720"/>
        <w:rPr>
          <w:rFonts w:ascii="Times New Roman" w:hAnsi="Times New Roman"/>
          <w:snapToGrid/>
          <w:sz w:val="24"/>
          <w:szCs w:val="24"/>
        </w:rPr>
      </w:pPr>
    </w:p>
    <w:p w:rsidR="002C3C4F" w:rsidRDefault="002C3C4F" w:rsidP="002C3C4F">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CA26B5" w:rsidRPr="00CA26B5" w:rsidRDefault="00CA26B5" w:rsidP="00CA26B5">
      <w:pPr>
        <w:widowControl/>
        <w:ind w:left="720"/>
        <w:rPr>
          <w:rFonts w:ascii="Times New Roman" w:hAnsi="Times New Roman"/>
          <w:bCs/>
          <w:snapToGrid/>
          <w:sz w:val="24"/>
          <w:szCs w:val="24"/>
        </w:rPr>
      </w:pPr>
      <w:r>
        <w:rPr>
          <w:rFonts w:ascii="Times New Roman" w:hAnsi="Times New Roman"/>
          <w:bCs/>
          <w:snapToGrid/>
          <w:sz w:val="24"/>
          <w:szCs w:val="24"/>
        </w:rPr>
        <w:t>This information collection does not employee statistical methods.</w:t>
      </w:r>
    </w:p>
    <w:p w:rsidR="00CA26B5" w:rsidRPr="00CA26B5" w:rsidRDefault="00CA26B5" w:rsidP="00CA26B5">
      <w:pPr>
        <w:widowControl/>
        <w:rPr>
          <w:rFonts w:ascii="Times New Roman" w:hAnsi="Times New Roman"/>
          <w:snapToGrid/>
          <w:sz w:val="24"/>
          <w:szCs w:val="24"/>
        </w:rPr>
      </w:pPr>
    </w:p>
    <w:sectPr w:rsidR="00CA26B5" w:rsidRPr="00CA26B5"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D14" w:rsidRDefault="00E72D14">
      <w:pPr>
        <w:spacing w:line="20" w:lineRule="exact"/>
        <w:rPr>
          <w:sz w:val="24"/>
        </w:rPr>
      </w:pPr>
    </w:p>
  </w:endnote>
  <w:endnote w:type="continuationSeparator" w:id="0">
    <w:p w:rsidR="00E72D14" w:rsidRDefault="00E72D14">
      <w:r>
        <w:rPr>
          <w:sz w:val="24"/>
        </w:rPr>
        <w:t xml:space="preserve"> </w:t>
      </w:r>
    </w:p>
  </w:endnote>
  <w:endnote w:type="continuationNotice" w:id="1">
    <w:p w:rsidR="00E72D14" w:rsidRDefault="00E72D14">
      <w:r>
        <w:rPr>
          <w:sz w:val="24"/>
        </w:rP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C4" w:rsidRDefault="007807C4" w:rsidP="007807C4">
    <w:pPr>
      <w:spacing w:before="140" w:line="100" w:lineRule="exact"/>
      <w:rPr>
        <w:sz w:val="10"/>
      </w:rPr>
    </w:pPr>
  </w:p>
  <w:p w:rsidR="007807C4" w:rsidRDefault="007807C4" w:rsidP="007807C4">
    <w:pPr>
      <w:tabs>
        <w:tab w:val="left" w:pos="-720"/>
      </w:tabs>
      <w:suppressAutoHyphens/>
      <w:rPr>
        <w:sz w:val="24"/>
      </w:rPr>
    </w:pPr>
  </w:p>
  <w:p w:rsidR="007807C4" w:rsidRDefault="000E0F36" w:rsidP="007807C4">
    <w:pPr>
      <w:tabs>
        <w:tab w:val="left" w:pos="-720"/>
      </w:tabs>
      <w:suppressAutoHyphens/>
      <w:rPr>
        <w:sz w:val="24"/>
      </w:rPr>
    </w:pPr>
    <w:r w:rsidRPr="000E0F36">
      <w:rPr>
        <w:noProof/>
        <w:snapToGrid/>
      </w:rPr>
      <w:pict>
        <v:rect id="_x0000_s1026" style="position:absolute;margin-left:1.5pt;margin-top:12pt;width:465pt;height:12pt;z-index:-251658752;mso-position-horizontal-relative:margin" o:allowincell="f" filled="f" stroked="f" strokeweight="0">
          <v:textbox inset="0,0,0,0">
            <w:txbxContent>
              <w:p w:rsidR="007807C4" w:rsidRDefault="007807C4" w:rsidP="007807C4">
                <w:pPr>
                  <w:tabs>
                    <w:tab w:val="center" w:pos="4650"/>
                  </w:tabs>
                  <w:suppressAutoHyphens/>
                  <w:jc w:val="both"/>
                  <w:rPr>
                    <w:sz w:val="24"/>
                  </w:rPr>
                </w:pPr>
                <w:r>
                  <w:rPr>
                    <w:sz w:val="24"/>
                  </w:rPr>
                  <w:tab/>
                </w:r>
                <w:r w:rsidR="000E0F36">
                  <w:rPr>
                    <w:sz w:val="24"/>
                  </w:rPr>
                  <w:fldChar w:fldCharType="begin"/>
                </w:r>
                <w:r>
                  <w:rPr>
                    <w:sz w:val="24"/>
                  </w:rPr>
                  <w:instrText>page \* arabic</w:instrText>
                </w:r>
                <w:r w:rsidR="000E0F36">
                  <w:rPr>
                    <w:sz w:val="24"/>
                  </w:rPr>
                  <w:fldChar w:fldCharType="separate"/>
                </w:r>
                <w:r w:rsidR="008916AA">
                  <w:rPr>
                    <w:noProof/>
                    <w:sz w:val="24"/>
                  </w:rPr>
                  <w:t>5</w:t>
                </w:r>
                <w:r w:rsidR="000E0F36">
                  <w:rPr>
                    <w:sz w:val="24"/>
                  </w:rPr>
                  <w:fldChar w:fldCharType="end"/>
                </w:r>
              </w:p>
            </w:txbxContent>
          </v:textbox>
          <w10:wrap anchorx="margin"/>
        </v:rect>
      </w:pict>
    </w:r>
  </w:p>
  <w:p w:rsidR="00DC1C23" w:rsidRPr="007807C4" w:rsidRDefault="00DC1C23" w:rsidP="00780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D14" w:rsidRDefault="00E72D14">
      <w:r>
        <w:rPr>
          <w:sz w:val="24"/>
        </w:rPr>
        <w:separator/>
      </w:r>
    </w:p>
  </w:footnote>
  <w:footnote w:type="continuationSeparator" w:id="0">
    <w:p w:rsidR="00E72D14" w:rsidRDefault="00E72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100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17D09B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0839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o:shapelayout v:ext="edit">
      <o:idmap v:ext="edit" data="1"/>
    </o:shapelayout>
  </w:hdrShapeDefaults>
  <w:footnotePr>
    <w:footnote w:id="-1"/>
    <w:footnote w:id="0"/>
  </w:footnotePr>
  <w:endnotePr>
    <w:numFmt w:val="decimal"/>
    <w:endnote w:id="-1"/>
    <w:endnote w:id="0"/>
    <w:endnote w:id="1"/>
  </w:endnotePr>
  <w:compat/>
  <w:rsids>
    <w:rsidRoot w:val="00DC1C23"/>
    <w:rsid w:val="00060E54"/>
    <w:rsid w:val="00075539"/>
    <w:rsid w:val="000949CF"/>
    <w:rsid w:val="000E0F36"/>
    <w:rsid w:val="000E1E70"/>
    <w:rsid w:val="000E3D4A"/>
    <w:rsid w:val="000E7BF8"/>
    <w:rsid w:val="000F12F5"/>
    <w:rsid w:val="0014145B"/>
    <w:rsid w:val="00162A99"/>
    <w:rsid w:val="0018436A"/>
    <w:rsid w:val="00186385"/>
    <w:rsid w:val="001C483C"/>
    <w:rsid w:val="001D2008"/>
    <w:rsid w:val="002323D4"/>
    <w:rsid w:val="00234235"/>
    <w:rsid w:val="0029589B"/>
    <w:rsid w:val="00296738"/>
    <w:rsid w:val="002B5717"/>
    <w:rsid w:val="002C3C4F"/>
    <w:rsid w:val="002E10D1"/>
    <w:rsid w:val="002F30D0"/>
    <w:rsid w:val="003405A4"/>
    <w:rsid w:val="00397138"/>
    <w:rsid w:val="003B1DC7"/>
    <w:rsid w:val="003D7897"/>
    <w:rsid w:val="003E6EA3"/>
    <w:rsid w:val="00467954"/>
    <w:rsid w:val="00476C1F"/>
    <w:rsid w:val="00480072"/>
    <w:rsid w:val="00481224"/>
    <w:rsid w:val="0049119A"/>
    <w:rsid w:val="004943E0"/>
    <w:rsid w:val="004A635D"/>
    <w:rsid w:val="004C41C7"/>
    <w:rsid w:val="004E7D97"/>
    <w:rsid w:val="004F6610"/>
    <w:rsid w:val="00511C25"/>
    <w:rsid w:val="00555808"/>
    <w:rsid w:val="00563EF8"/>
    <w:rsid w:val="00572A47"/>
    <w:rsid w:val="0057337F"/>
    <w:rsid w:val="0058205A"/>
    <w:rsid w:val="005824BD"/>
    <w:rsid w:val="005A40CF"/>
    <w:rsid w:val="005B1C6A"/>
    <w:rsid w:val="005B22D4"/>
    <w:rsid w:val="005B4994"/>
    <w:rsid w:val="005D274E"/>
    <w:rsid w:val="005D61DB"/>
    <w:rsid w:val="005F0ED4"/>
    <w:rsid w:val="00603498"/>
    <w:rsid w:val="00640565"/>
    <w:rsid w:val="00644613"/>
    <w:rsid w:val="0064544B"/>
    <w:rsid w:val="00696244"/>
    <w:rsid w:val="00697AC3"/>
    <w:rsid w:val="006B2726"/>
    <w:rsid w:val="006B53B2"/>
    <w:rsid w:val="006E5B4F"/>
    <w:rsid w:val="006E6629"/>
    <w:rsid w:val="006F68BE"/>
    <w:rsid w:val="007011A8"/>
    <w:rsid w:val="00726DDF"/>
    <w:rsid w:val="00731447"/>
    <w:rsid w:val="00740530"/>
    <w:rsid w:val="007807C4"/>
    <w:rsid w:val="007C6C7F"/>
    <w:rsid w:val="00841BDF"/>
    <w:rsid w:val="00846E18"/>
    <w:rsid w:val="0086798A"/>
    <w:rsid w:val="00867A32"/>
    <w:rsid w:val="00872442"/>
    <w:rsid w:val="0087749D"/>
    <w:rsid w:val="008858D2"/>
    <w:rsid w:val="008916AA"/>
    <w:rsid w:val="008A6712"/>
    <w:rsid w:val="008A6A4C"/>
    <w:rsid w:val="008C2070"/>
    <w:rsid w:val="008E31FF"/>
    <w:rsid w:val="0091646B"/>
    <w:rsid w:val="00936A53"/>
    <w:rsid w:val="00943DDC"/>
    <w:rsid w:val="00945B72"/>
    <w:rsid w:val="00952964"/>
    <w:rsid w:val="00973F7F"/>
    <w:rsid w:val="009A2729"/>
    <w:rsid w:val="009D44AD"/>
    <w:rsid w:val="00A365EF"/>
    <w:rsid w:val="00A574C4"/>
    <w:rsid w:val="00A77AC0"/>
    <w:rsid w:val="00A918E4"/>
    <w:rsid w:val="00AA4104"/>
    <w:rsid w:val="00AD0DE4"/>
    <w:rsid w:val="00AE1DC9"/>
    <w:rsid w:val="00AF4347"/>
    <w:rsid w:val="00AF5FE7"/>
    <w:rsid w:val="00B02FFA"/>
    <w:rsid w:val="00B10F72"/>
    <w:rsid w:val="00B14A6A"/>
    <w:rsid w:val="00B763BD"/>
    <w:rsid w:val="00BD378C"/>
    <w:rsid w:val="00C13BA6"/>
    <w:rsid w:val="00C17B82"/>
    <w:rsid w:val="00C9131D"/>
    <w:rsid w:val="00CA26B5"/>
    <w:rsid w:val="00CB39C6"/>
    <w:rsid w:val="00CE53AB"/>
    <w:rsid w:val="00D176EB"/>
    <w:rsid w:val="00D564DC"/>
    <w:rsid w:val="00D9648C"/>
    <w:rsid w:val="00DC1C23"/>
    <w:rsid w:val="00E23496"/>
    <w:rsid w:val="00E239B3"/>
    <w:rsid w:val="00E41F46"/>
    <w:rsid w:val="00E570A9"/>
    <w:rsid w:val="00E72D14"/>
    <w:rsid w:val="00EC7D7D"/>
    <w:rsid w:val="00F10B17"/>
    <w:rsid w:val="00FA5092"/>
    <w:rsid w:val="00FB3EB2"/>
    <w:rsid w:val="00FC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F36"/>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0F36"/>
    <w:rPr>
      <w:sz w:val="24"/>
    </w:rPr>
  </w:style>
  <w:style w:type="character" w:styleId="EndnoteReference">
    <w:name w:val="endnote reference"/>
    <w:basedOn w:val="DefaultParagraphFont"/>
    <w:semiHidden/>
    <w:rsid w:val="000E0F36"/>
    <w:rPr>
      <w:vertAlign w:val="superscript"/>
    </w:rPr>
  </w:style>
  <w:style w:type="paragraph" w:styleId="FootnoteText">
    <w:name w:val="footnote text"/>
    <w:basedOn w:val="Normal"/>
    <w:semiHidden/>
    <w:rsid w:val="000E0F36"/>
    <w:rPr>
      <w:sz w:val="24"/>
    </w:rPr>
  </w:style>
  <w:style w:type="character" w:styleId="FootnoteReference">
    <w:name w:val="footnote reference"/>
    <w:basedOn w:val="DefaultParagraphFont"/>
    <w:semiHidden/>
    <w:rsid w:val="000E0F36"/>
    <w:rPr>
      <w:vertAlign w:val="superscript"/>
    </w:rPr>
  </w:style>
  <w:style w:type="paragraph" w:styleId="TOC1">
    <w:name w:val="toc 1"/>
    <w:basedOn w:val="Normal"/>
    <w:next w:val="Normal"/>
    <w:autoRedefine/>
    <w:semiHidden/>
    <w:rsid w:val="000E0F36"/>
    <w:pPr>
      <w:tabs>
        <w:tab w:val="right" w:leader="dot" w:pos="9360"/>
      </w:tabs>
      <w:suppressAutoHyphens/>
      <w:spacing w:before="480"/>
      <w:ind w:left="720" w:right="720" w:hanging="720"/>
    </w:pPr>
  </w:style>
  <w:style w:type="paragraph" w:styleId="TOC2">
    <w:name w:val="toc 2"/>
    <w:basedOn w:val="Normal"/>
    <w:next w:val="Normal"/>
    <w:autoRedefine/>
    <w:semiHidden/>
    <w:rsid w:val="000E0F36"/>
    <w:pPr>
      <w:tabs>
        <w:tab w:val="right" w:leader="dot" w:pos="9360"/>
      </w:tabs>
      <w:suppressAutoHyphens/>
      <w:ind w:left="1440" w:right="720" w:hanging="720"/>
    </w:pPr>
  </w:style>
  <w:style w:type="paragraph" w:styleId="TOC3">
    <w:name w:val="toc 3"/>
    <w:basedOn w:val="Normal"/>
    <w:next w:val="Normal"/>
    <w:autoRedefine/>
    <w:semiHidden/>
    <w:rsid w:val="000E0F36"/>
    <w:pPr>
      <w:tabs>
        <w:tab w:val="right" w:leader="dot" w:pos="9360"/>
      </w:tabs>
      <w:suppressAutoHyphens/>
      <w:ind w:left="2160" w:right="720" w:hanging="720"/>
    </w:pPr>
  </w:style>
  <w:style w:type="paragraph" w:styleId="TOC4">
    <w:name w:val="toc 4"/>
    <w:basedOn w:val="Normal"/>
    <w:next w:val="Normal"/>
    <w:autoRedefine/>
    <w:semiHidden/>
    <w:rsid w:val="000E0F36"/>
    <w:pPr>
      <w:tabs>
        <w:tab w:val="right" w:leader="dot" w:pos="9360"/>
      </w:tabs>
      <w:suppressAutoHyphens/>
      <w:ind w:left="2880" w:right="720" w:hanging="720"/>
    </w:pPr>
  </w:style>
  <w:style w:type="paragraph" w:styleId="TOC5">
    <w:name w:val="toc 5"/>
    <w:basedOn w:val="Normal"/>
    <w:next w:val="Normal"/>
    <w:autoRedefine/>
    <w:semiHidden/>
    <w:rsid w:val="000E0F36"/>
    <w:pPr>
      <w:tabs>
        <w:tab w:val="right" w:leader="dot" w:pos="9360"/>
      </w:tabs>
      <w:suppressAutoHyphens/>
      <w:ind w:left="3600" w:right="720" w:hanging="720"/>
    </w:pPr>
  </w:style>
  <w:style w:type="paragraph" w:styleId="TOC6">
    <w:name w:val="toc 6"/>
    <w:basedOn w:val="Normal"/>
    <w:next w:val="Normal"/>
    <w:autoRedefine/>
    <w:semiHidden/>
    <w:rsid w:val="000E0F36"/>
    <w:pPr>
      <w:tabs>
        <w:tab w:val="right" w:pos="9360"/>
      </w:tabs>
      <w:suppressAutoHyphens/>
      <w:ind w:left="720" w:hanging="720"/>
    </w:pPr>
  </w:style>
  <w:style w:type="paragraph" w:styleId="TOC7">
    <w:name w:val="toc 7"/>
    <w:basedOn w:val="Normal"/>
    <w:next w:val="Normal"/>
    <w:autoRedefine/>
    <w:semiHidden/>
    <w:rsid w:val="000E0F36"/>
    <w:pPr>
      <w:suppressAutoHyphens/>
      <w:ind w:left="720" w:hanging="720"/>
    </w:pPr>
  </w:style>
  <w:style w:type="paragraph" w:styleId="TOC8">
    <w:name w:val="toc 8"/>
    <w:basedOn w:val="Normal"/>
    <w:next w:val="Normal"/>
    <w:autoRedefine/>
    <w:semiHidden/>
    <w:rsid w:val="000E0F36"/>
    <w:pPr>
      <w:tabs>
        <w:tab w:val="right" w:pos="9360"/>
      </w:tabs>
      <w:suppressAutoHyphens/>
      <w:ind w:left="720" w:hanging="720"/>
    </w:pPr>
  </w:style>
  <w:style w:type="paragraph" w:styleId="TOC9">
    <w:name w:val="toc 9"/>
    <w:basedOn w:val="Normal"/>
    <w:next w:val="Normal"/>
    <w:autoRedefine/>
    <w:semiHidden/>
    <w:rsid w:val="000E0F36"/>
    <w:pPr>
      <w:tabs>
        <w:tab w:val="right" w:leader="dot" w:pos="9360"/>
      </w:tabs>
      <w:suppressAutoHyphens/>
      <w:ind w:left="720" w:hanging="720"/>
    </w:pPr>
  </w:style>
  <w:style w:type="paragraph" w:styleId="Index1">
    <w:name w:val="index 1"/>
    <w:basedOn w:val="Normal"/>
    <w:next w:val="Normal"/>
    <w:autoRedefine/>
    <w:semiHidden/>
    <w:rsid w:val="000E0F36"/>
    <w:pPr>
      <w:tabs>
        <w:tab w:val="right" w:leader="dot" w:pos="9360"/>
      </w:tabs>
      <w:suppressAutoHyphens/>
      <w:ind w:left="1440" w:right="720" w:hanging="1440"/>
    </w:pPr>
  </w:style>
  <w:style w:type="paragraph" w:styleId="Index2">
    <w:name w:val="index 2"/>
    <w:basedOn w:val="Normal"/>
    <w:next w:val="Normal"/>
    <w:autoRedefine/>
    <w:semiHidden/>
    <w:rsid w:val="000E0F36"/>
    <w:pPr>
      <w:tabs>
        <w:tab w:val="right" w:leader="dot" w:pos="9360"/>
      </w:tabs>
      <w:suppressAutoHyphens/>
      <w:ind w:left="1440" w:right="720" w:hanging="720"/>
    </w:pPr>
  </w:style>
  <w:style w:type="paragraph" w:styleId="TOAHeading">
    <w:name w:val="toa heading"/>
    <w:basedOn w:val="Normal"/>
    <w:next w:val="Normal"/>
    <w:semiHidden/>
    <w:rsid w:val="000E0F36"/>
    <w:pPr>
      <w:tabs>
        <w:tab w:val="right" w:pos="9360"/>
      </w:tabs>
      <w:suppressAutoHyphens/>
    </w:pPr>
  </w:style>
  <w:style w:type="paragraph" w:styleId="Caption">
    <w:name w:val="caption"/>
    <w:basedOn w:val="Normal"/>
    <w:next w:val="Normal"/>
    <w:qFormat/>
    <w:rsid w:val="000E0F36"/>
    <w:rPr>
      <w:sz w:val="24"/>
    </w:rPr>
  </w:style>
  <w:style w:type="character" w:customStyle="1" w:styleId="EquationCaption">
    <w:name w:val="_Equation Caption"/>
    <w:rsid w:val="000E0F36"/>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BodyTextIndent">
    <w:name w:val="Body Text Indent"/>
    <w:basedOn w:val="Normal"/>
    <w:link w:val="BodyTextIndentChar"/>
    <w:rsid w:val="00B10F72"/>
    <w:pPr>
      <w:widowControl/>
      <w:tabs>
        <w:tab w:val="left" w:pos="-720"/>
      </w:tabs>
      <w:suppressAutoHyphens/>
      <w:ind w:left="900"/>
      <w:jc w:val="both"/>
    </w:pPr>
    <w:rPr>
      <w:rFonts w:ascii="Arial" w:hAnsi="Arial"/>
      <w:snapToGrid/>
      <w:spacing w:val="-3"/>
      <w:sz w:val="24"/>
    </w:rPr>
  </w:style>
  <w:style w:type="character" w:customStyle="1" w:styleId="BodyTextIndentChar">
    <w:name w:val="Body Text Indent Char"/>
    <w:basedOn w:val="DefaultParagraphFont"/>
    <w:link w:val="BodyTextIndent"/>
    <w:rsid w:val="00B10F72"/>
    <w:rPr>
      <w:rFonts w:ascii="Arial" w:hAnsi="Arial"/>
      <w:spacing w:val="-3"/>
      <w:sz w:val="24"/>
    </w:rPr>
  </w:style>
  <w:style w:type="paragraph" w:styleId="BodyTextIndent2">
    <w:name w:val="Body Text Indent 2"/>
    <w:basedOn w:val="Normal"/>
    <w:link w:val="BodyTextIndent2Char"/>
    <w:rsid w:val="00B10F72"/>
    <w:pPr>
      <w:widowControl/>
      <w:tabs>
        <w:tab w:val="left" w:pos="-720"/>
      </w:tabs>
      <w:suppressAutoHyphens/>
      <w:ind w:left="900"/>
    </w:pPr>
    <w:rPr>
      <w:rFonts w:ascii="Arial" w:hAnsi="Arial"/>
      <w:snapToGrid/>
      <w:spacing w:val="-3"/>
      <w:sz w:val="24"/>
    </w:rPr>
  </w:style>
  <w:style w:type="character" w:customStyle="1" w:styleId="BodyTextIndent2Char">
    <w:name w:val="Body Text Indent 2 Char"/>
    <w:basedOn w:val="DefaultParagraphFont"/>
    <w:link w:val="BodyTextIndent2"/>
    <w:rsid w:val="00B10F72"/>
    <w:rPr>
      <w:rFonts w:ascii="Arial" w:hAnsi="Arial"/>
      <w:spacing w:val="-3"/>
      <w:sz w:val="24"/>
    </w:rPr>
  </w:style>
  <w:style w:type="paragraph" w:styleId="BodyTextIndent3">
    <w:name w:val="Body Text Indent 3"/>
    <w:basedOn w:val="Normal"/>
    <w:link w:val="BodyTextIndent3Char"/>
    <w:rsid w:val="00B10F72"/>
    <w:pPr>
      <w:widowControl/>
      <w:tabs>
        <w:tab w:val="left" w:pos="-720"/>
      </w:tabs>
      <w:suppressAutoHyphens/>
      <w:ind w:left="1440"/>
    </w:pPr>
    <w:rPr>
      <w:rFonts w:ascii="Arial" w:hAnsi="Arial"/>
      <w:snapToGrid/>
      <w:spacing w:val="-3"/>
      <w:sz w:val="24"/>
    </w:rPr>
  </w:style>
  <w:style w:type="character" w:customStyle="1" w:styleId="BodyTextIndent3Char">
    <w:name w:val="Body Text Indent 3 Char"/>
    <w:basedOn w:val="DefaultParagraphFont"/>
    <w:link w:val="BodyTextIndent3"/>
    <w:rsid w:val="00B10F72"/>
    <w:rPr>
      <w:rFonts w:ascii="Arial" w:hAnsi="Arial"/>
      <w:spacing w:val="-3"/>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0980-0212</OMB_x0020_Control_x0020_Number>
    <FR_x0020_Title xmlns="e059a2d5-a4f8-4fd8-b836-4c9cf26100e7" xsi:nil="true"/>
    <ACF_x0020_Tracking_x0020_No_x002e_ xmlns="e059a2d5-a4f8-4fd8-b836-4c9cf26100e7">ADD-0046</ACF_x0020_Tracking_x0020_No_x002e_>
    <Description0 xmlns="e059a2d5-a4f8-4fd8-b836-4c9cf26100e7">SCDD -- FSR (ADD-02B) -- Supporting Statement</Description0>
  </documentManagement>
</p:properties>
</file>

<file path=customXml/itemProps1.xml><?xml version="1.0" encoding="utf-8"?>
<ds:datastoreItem xmlns:ds="http://schemas.openxmlformats.org/officeDocument/2006/customXml" ds:itemID="{2376D1FA-C031-4A22-BAE8-3A8FCB6B53E1}">
  <ds:schemaRefs>
    <ds:schemaRef ds:uri="http://schemas.microsoft.com/office/2006/metadata/longProperties"/>
  </ds:schemaRefs>
</ds:datastoreItem>
</file>

<file path=customXml/itemProps2.xml><?xml version="1.0" encoding="utf-8"?>
<ds:datastoreItem xmlns:ds="http://schemas.openxmlformats.org/officeDocument/2006/customXml" ds:itemID="{6A5EB6BB-6CED-4A5C-BB9A-2B9E6770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647677-B101-466F-8092-6D6E42F1B4BD}">
  <ds:schemaRefs>
    <ds:schemaRef ds:uri="http://schemas.microsoft.com/sharepoint/v3/contenttype/forms"/>
  </ds:schemaRefs>
</ds:datastoreItem>
</file>

<file path=customXml/itemProps4.xml><?xml version="1.0" encoding="utf-8"?>
<ds:datastoreItem xmlns:ds="http://schemas.openxmlformats.org/officeDocument/2006/customXml" ds:itemID="{3F382144-4E49-48C2-8873-93E3C05D685F}">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SCDD-ADD02B-08-Supp</vt:lpstr>
    </vt:vector>
  </TitlesOfParts>
  <Company>DHHS</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SCDD-ADD02B-08-Supp</dc:title>
  <dc:subject/>
  <dc:creator>ACF</dc:creator>
  <cp:keywords/>
  <dc:description/>
  <cp:lastModifiedBy>DHHS</cp:lastModifiedBy>
  <cp:revision>4</cp:revision>
  <cp:lastPrinted>2012-07-25T17:09:00Z</cp:lastPrinted>
  <dcterms:created xsi:type="dcterms:W3CDTF">2012-07-13T15:14:00Z</dcterms:created>
  <dcterms:modified xsi:type="dcterms:W3CDTF">2012-07-25T17:26:00Z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