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5629" w:rsidRDefault="0093719C" w:rsidP="005E5629">
      <w:pPr>
        <w:jc w:val="center"/>
        <w:rPr>
          <w:b/>
          <w:u w:val="single"/>
        </w:rPr>
      </w:pPr>
      <w:r>
        <w:rPr>
          <w:b/>
          <w:u w:val="single"/>
        </w:rPr>
        <w:t xml:space="preserve">Addendum: </w:t>
      </w:r>
      <w:r w:rsidR="005E5629" w:rsidRPr="005E5629">
        <w:rPr>
          <w:b/>
          <w:u w:val="single"/>
        </w:rPr>
        <w:t>Comments/Responses Related to Cost and Burden Estimat</w:t>
      </w:r>
      <w:r w:rsidR="005E5629">
        <w:rPr>
          <w:b/>
          <w:u w:val="single"/>
        </w:rPr>
        <w:t>e</w:t>
      </w:r>
      <w:r w:rsidR="005E5629" w:rsidRPr="005E5629">
        <w:rPr>
          <w:b/>
          <w:u w:val="single"/>
        </w:rPr>
        <w:t>s</w:t>
      </w:r>
    </w:p>
    <w:p w:rsidR="005E5629" w:rsidRPr="005E5629" w:rsidRDefault="005E5629" w:rsidP="005E5629">
      <w:pPr>
        <w:jc w:val="center"/>
        <w:rPr>
          <w:b/>
          <w:u w:val="single"/>
        </w:rPr>
      </w:pPr>
    </w:p>
    <w:p w:rsidR="005E5629" w:rsidRPr="005E5629" w:rsidRDefault="005E5629" w:rsidP="005E5629">
      <w:r w:rsidRPr="005E5629">
        <w:t xml:space="preserve">The Departments received many comments stating that the preliminary cost analysis underestimated the one-time start-up costs as well as maintenance costs.  For example, one commenter did a survey of its members (hereinafter “regulated community survey”), wherein 36 member companies responded to questions regarding implementation and maintenance costs.  The commenter extrapolated the survey results to all enrollees with coverage in the United States.  Accordingly, the commenter projected that one-time implementation costs would be $188 million and maintenance costs would be $194 million per year.  The commenter stated that a significant cost driver was the </w:t>
      </w:r>
      <w:r w:rsidR="00A10571">
        <w:t xml:space="preserve">proposed </w:t>
      </w:r>
      <w:r w:rsidRPr="005E5629">
        <w:t xml:space="preserve">March 23, 2012 deadline to switch from current benefit descriptions to the new uniform SBCs.  Accordingly, the commenter estimated that there could be a savings of 23 percent with an 18-month extension of the implementation timeline.  The commenter also stated that additional factors affecting costs were, among other things, the proposed regulations’ requirement to provide premium information; the number and complexity of coverage examples; the renewal process and timeframe to provide SBCs; the number of variations of SBCs to be delivered to each applicant or enrollee; paper delivery of SBCs to most group enrollees; and insufficient flexibility in the SBC template.  </w:t>
      </w:r>
      <w:r w:rsidR="00A10571">
        <w:t>T</w:t>
      </w:r>
      <w:r w:rsidRPr="005E5629">
        <w:t>he Departments have take</w:t>
      </w:r>
      <w:r w:rsidR="00A10571">
        <w:t>n</w:t>
      </w:r>
      <w:r w:rsidRPr="005E5629">
        <w:t xml:space="preserve"> steps </w:t>
      </w:r>
      <w:r w:rsidR="00A10571">
        <w:t xml:space="preserve">in the final regulations </w:t>
      </w:r>
      <w:r w:rsidRPr="005E5629">
        <w:t xml:space="preserve">to ease administrative burden related to most of these factors. </w:t>
      </w:r>
    </w:p>
    <w:p w:rsidR="005E5629" w:rsidRPr="005E5629" w:rsidRDefault="005E5629" w:rsidP="005E5629"/>
    <w:p w:rsidR="005E5629" w:rsidRPr="005E5629" w:rsidRDefault="005E5629" w:rsidP="005E5629">
      <w:r w:rsidRPr="005E5629">
        <w:t xml:space="preserve">Because the regulated community survey, as well other </w:t>
      </w:r>
      <w:proofErr w:type="spellStart"/>
      <w:r w:rsidRPr="005E5629">
        <w:t>commenters</w:t>
      </w:r>
      <w:proofErr w:type="spellEnd"/>
      <w:r w:rsidRPr="005E5629">
        <w:t xml:space="preserve">’ cost estimates, did not provide specific, detailed cost information, it is difficult for the Department to acquire more than a general understanding of the differences between the Departments’ cost estimates and the </w:t>
      </w:r>
      <w:proofErr w:type="spellStart"/>
      <w:r w:rsidRPr="005E5629">
        <w:t>commenters</w:t>
      </w:r>
      <w:proofErr w:type="spellEnd"/>
      <w:r w:rsidRPr="005E5629">
        <w:t xml:space="preserve">’ cost estimates.  Accordingly, the Departments continue to believe that there is considerable uncertainty arising from general data limitations and the degree to which and the degree to which economies of scale are achievable.  </w:t>
      </w:r>
    </w:p>
    <w:p w:rsidR="005E5629" w:rsidRPr="005E5629" w:rsidRDefault="005E5629" w:rsidP="005E5629"/>
    <w:p w:rsidR="005E5629" w:rsidRPr="005E5629" w:rsidRDefault="005E5629" w:rsidP="005E5629">
      <w:r w:rsidRPr="005E5629">
        <w:t xml:space="preserve">Even if the Departments assumed that the regulated community </w:t>
      </w:r>
      <w:proofErr w:type="gramStart"/>
      <w:r w:rsidRPr="005E5629">
        <w:t>survey,</w:t>
      </w:r>
      <w:proofErr w:type="gramEnd"/>
      <w:r w:rsidRPr="005E5629">
        <w:t xml:space="preserve"> or other </w:t>
      </w:r>
      <w:proofErr w:type="spellStart"/>
      <w:r w:rsidRPr="005E5629">
        <w:t>commenters</w:t>
      </w:r>
      <w:proofErr w:type="spellEnd"/>
      <w:r w:rsidRPr="005E5629">
        <w:t xml:space="preserve">’ cost estimates, accurately projected the proposed regulations’ costs, it would be necessary for the Departments to discount those projected costs to account for policy changes in these final regulations.  Particularly, these final regulations now provide for phased implementation, omit premium or cost of coverage information on SBCs, provide for only one coverage example, and provide for more facile electronic disclosures prior to enrollment in coverage.  </w:t>
      </w:r>
    </w:p>
    <w:p w:rsidR="005E5629" w:rsidRDefault="005E5629" w:rsidP="005E5629">
      <w:pPr>
        <w:jc w:val="center"/>
      </w:pPr>
    </w:p>
    <w:p w:rsidR="005E5629" w:rsidRDefault="005E5629" w:rsidP="005E5629">
      <w:pPr>
        <w:jc w:val="center"/>
      </w:pPr>
      <w:r>
        <w:t>***</w:t>
      </w:r>
    </w:p>
    <w:p w:rsidR="005E5629" w:rsidRDefault="005E5629" w:rsidP="005E5629"/>
    <w:p w:rsidR="005E5629" w:rsidRPr="005E5629" w:rsidRDefault="005E5629" w:rsidP="005E5629">
      <w:r w:rsidRPr="005E5629">
        <w:t>Because the SBC disclosures are closely related to disclosures that issuers and TPAs provide today as a part of their normal operations (e.g., covered benefits and cost sharing), the Departments estimate that the incremental costs of compiling and providing such readily available information in the final, standardized format is estimated to be modest.</w:t>
      </w:r>
      <w:r w:rsidRPr="005E5629">
        <w:rPr>
          <w:vertAlign w:val="superscript"/>
        </w:rPr>
        <w:footnoteReference w:id="1"/>
      </w:r>
      <w:r w:rsidRPr="005E5629">
        <w:t xml:space="preserve">  The regulated </w:t>
      </w:r>
      <w:r w:rsidRPr="005E5629">
        <w:lastRenderedPageBreak/>
        <w:t>community has taken exception to this assumption, and it has stated in written comments, and discussions with the Departments, that information will need to be pulled from multiple sources.  However, an opposite conclusion appears to have been reached by a November 2011 survey related to the regulated community’s preparedness for SBCs.  Particularly, the survey noted that existing communications practices and technology would allow affected entities to be in compliance even by the original March 23, 2012 deadline.</w:t>
      </w:r>
      <w:r w:rsidRPr="005E5629">
        <w:rPr>
          <w:vertAlign w:val="superscript"/>
        </w:rPr>
        <w:footnoteReference w:id="2"/>
      </w:r>
      <w:r w:rsidRPr="005E5629">
        <w:t xml:space="preserve"> The results of this survey are also consistent with comments indicating that timely compliance is feasible. </w:t>
      </w:r>
    </w:p>
    <w:p w:rsidR="005E5629" w:rsidRDefault="005E5629" w:rsidP="005E5629"/>
    <w:p w:rsidR="005E5629" w:rsidRPr="005E5629" w:rsidRDefault="005E5629" w:rsidP="005E5629">
      <w:pPr>
        <w:jc w:val="center"/>
      </w:pPr>
      <w:r w:rsidRPr="005E5629">
        <w:t>***</w:t>
      </w:r>
    </w:p>
    <w:p w:rsidR="005E5629" w:rsidRDefault="005E5629" w:rsidP="005E5629"/>
    <w:p w:rsidR="005E5629" w:rsidRPr="005E5629" w:rsidRDefault="005E5629" w:rsidP="005E5629">
      <w:pPr>
        <w:rPr>
          <w:b/>
        </w:rPr>
      </w:pPr>
      <w:r w:rsidRPr="005E5629">
        <w:t xml:space="preserve">In the proposed regulations, the Departments estimated that each issuer/TPA would need 3 hours to produce, and 1 hour to review, SBCs (not including CEs) for all products. Some </w:t>
      </w:r>
      <w:proofErr w:type="spellStart"/>
      <w:r w:rsidRPr="005E5629">
        <w:t>commenters</w:t>
      </w:r>
      <w:proofErr w:type="spellEnd"/>
      <w:r w:rsidRPr="005E5629">
        <w:t xml:space="preserve"> thought this time burden was an underestimate. However, these </w:t>
      </w:r>
      <w:proofErr w:type="spellStart"/>
      <w:r w:rsidRPr="005E5629">
        <w:t>commenters</w:t>
      </w:r>
      <w:proofErr w:type="spellEnd"/>
      <w:r w:rsidRPr="005E5629">
        <w:t xml:space="preserve"> did not provide data that could allow the Departments to adjust their estimates. Accordingly, in these final regulations, the Departments are retaining their original estimates. The Departments also continue to assume that the 3 hours needed to produce SBCs would be equally divided between IT professionals and benefits/sales professionals.  The Departments also continue to assume that the 1 hour needed to review SBCs would be equally divided between financial managers for benefits/sales professionals and attorneys.</w:t>
      </w:r>
    </w:p>
    <w:p w:rsidR="005E5629" w:rsidRDefault="005E5629" w:rsidP="005E5629"/>
    <w:p w:rsidR="005E5629" w:rsidRPr="005E5629" w:rsidRDefault="005E5629" w:rsidP="005E5629">
      <w:pPr>
        <w:jc w:val="center"/>
      </w:pPr>
      <w:r w:rsidRPr="005E5629">
        <w:t>***</w:t>
      </w:r>
    </w:p>
    <w:p w:rsidR="005E5629" w:rsidRDefault="005E5629" w:rsidP="005E5629"/>
    <w:p w:rsidR="0054251D" w:rsidRDefault="0054251D" w:rsidP="005E5629">
      <w:r>
        <w:t>With respect to</w:t>
      </w:r>
      <w:r w:rsidRPr="005B31F3">
        <w:t xml:space="preserve"> the individual market, issuers are responsible for generat</w:t>
      </w:r>
      <w:r>
        <w:t>ing</w:t>
      </w:r>
      <w:r w:rsidRPr="005B31F3">
        <w:t>, review</w:t>
      </w:r>
      <w:r>
        <w:t>ing, updating, and distributing</w:t>
      </w:r>
      <w:r w:rsidRPr="005B31F3">
        <w:t xml:space="preserve"> SBCs.  </w:t>
      </w:r>
      <w:r>
        <w:t xml:space="preserve">With respect </w:t>
      </w:r>
      <w:r w:rsidRPr="005B31F3">
        <w:t xml:space="preserve">to employer-sponsored coverage, </w:t>
      </w:r>
      <w:r>
        <w:t>the Departments assume that fully-</w:t>
      </w:r>
      <w:r w:rsidRPr="005B31F3">
        <w:t>insured plans will rely on health insurance issuers</w:t>
      </w:r>
      <w:r>
        <w:t>,</w:t>
      </w:r>
      <w:r w:rsidRPr="005B31F3">
        <w:t xml:space="preserve"> and self-insured plans will rely on TPAs</w:t>
      </w:r>
      <w:r>
        <w:t>,</w:t>
      </w:r>
      <w:r w:rsidRPr="005B31F3">
        <w:t xml:space="preserve"> to</w:t>
      </w:r>
      <w:r>
        <w:t xml:space="preserve"> perform these functions</w:t>
      </w:r>
      <w:r w:rsidRPr="005B31F3">
        <w:t xml:space="preserve">.  </w:t>
      </w:r>
      <w:r>
        <w:t xml:space="preserve">Some </w:t>
      </w:r>
      <w:proofErr w:type="spellStart"/>
      <w:r>
        <w:t>commenters</w:t>
      </w:r>
      <w:proofErr w:type="spellEnd"/>
      <w:r>
        <w:t xml:space="preserve"> stated that some employers internally prepare plan materials and do not rely on TPAs.  </w:t>
      </w:r>
      <w:r w:rsidRPr="005B31F3">
        <w:t xml:space="preserve">While </w:t>
      </w:r>
      <w:r>
        <w:t xml:space="preserve">the Departments acknowledge that some </w:t>
      </w:r>
      <w:r w:rsidRPr="005B31F3">
        <w:t xml:space="preserve">plans </w:t>
      </w:r>
      <w:r>
        <w:t>may internally</w:t>
      </w:r>
      <w:r w:rsidRPr="005B31F3">
        <w:t xml:space="preserve"> prepare </w:t>
      </w:r>
      <w:r>
        <w:t xml:space="preserve">the </w:t>
      </w:r>
      <w:r w:rsidRPr="005B31F3">
        <w:t>SBC</w:t>
      </w:r>
      <w:r>
        <w:t xml:space="preserve"> disclosures</w:t>
      </w:r>
      <w:r w:rsidRPr="005B31F3">
        <w:t xml:space="preserve">, </w:t>
      </w:r>
      <w:r>
        <w:t xml:space="preserve">the Departments do not have sufficient data to develop separate estimates for such plans.  Therefore, </w:t>
      </w:r>
      <w:r w:rsidRPr="005B31F3">
        <w:t xml:space="preserve">the Departments </w:t>
      </w:r>
      <w:r>
        <w:t xml:space="preserve">continue to </w:t>
      </w:r>
      <w:r w:rsidRPr="005B31F3">
        <w:t>make this simplifying assumption because most plans appear to rely on issuers and TPAs for the purpose of administrative duties such as enrollment and claims processing.</w:t>
      </w:r>
      <w:r w:rsidRPr="005B31F3">
        <w:rPr>
          <w:rStyle w:val="FootnoteReference"/>
        </w:rPr>
        <w:footnoteReference w:id="3"/>
      </w:r>
      <w:r w:rsidRPr="005B31F3">
        <w:t xml:space="preserve">  Thus, the Departments </w:t>
      </w:r>
      <w:r>
        <w:t xml:space="preserve">have </w:t>
      </w:r>
      <w:r w:rsidRPr="005B31F3">
        <w:t>use</w:t>
      </w:r>
      <w:r>
        <w:t>d</w:t>
      </w:r>
      <w:r w:rsidRPr="005B31F3">
        <w:t xml:space="preserve"> health insurance issuers and TPAs as the unit</w:t>
      </w:r>
      <w:r>
        <w:t>s</w:t>
      </w:r>
      <w:r w:rsidRPr="005B31F3">
        <w:t xml:space="preserve"> of analysis for the purposes of estimating administrative costs</w:t>
      </w:r>
      <w:r>
        <w:t xml:space="preserve"> in this regulatory impact analysis</w:t>
      </w:r>
      <w:r w:rsidRPr="005B31F3">
        <w:t>.</w:t>
      </w:r>
    </w:p>
    <w:sectPr w:rsidR="0054251D" w:rsidSect="005E5629">
      <w:headerReference w:type="default" r:id="rId7"/>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66725" w:rsidRDefault="00766725" w:rsidP="0054251D">
      <w:r>
        <w:separator/>
      </w:r>
    </w:p>
  </w:endnote>
  <w:endnote w:type="continuationSeparator" w:id="0">
    <w:p w:rsidR="00766725" w:rsidRDefault="00766725" w:rsidP="0054251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Times">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4F5C" w:rsidRDefault="0092651B" w:rsidP="00BD7E94">
    <w:pPr>
      <w:pStyle w:val="Footer"/>
      <w:framePr w:wrap="around" w:vAnchor="text" w:hAnchor="margin" w:xAlign="center" w:y="1"/>
      <w:rPr>
        <w:rStyle w:val="PageNumber"/>
      </w:rPr>
    </w:pPr>
    <w:r>
      <w:rPr>
        <w:rStyle w:val="PageNumber"/>
      </w:rPr>
      <w:fldChar w:fldCharType="begin"/>
    </w:r>
    <w:r w:rsidR="005E5629">
      <w:rPr>
        <w:rStyle w:val="PageNumber"/>
      </w:rPr>
      <w:instrText xml:space="preserve">PAGE  </w:instrText>
    </w:r>
    <w:r>
      <w:rPr>
        <w:rStyle w:val="PageNumber"/>
      </w:rPr>
      <w:fldChar w:fldCharType="end"/>
    </w:r>
  </w:p>
  <w:p w:rsidR="00C94F5C" w:rsidRDefault="00766725">
    <w:pPr>
      <w:pStyle w:val="Footer"/>
    </w:pPr>
  </w:p>
  <w:p w:rsidR="00C94F5C" w:rsidRDefault="00766725"/>
  <w:p w:rsidR="00C94F5C" w:rsidRDefault="00766725"/>
  <w:p w:rsidR="00C94F5C" w:rsidRDefault="00766725"/>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4F5C" w:rsidRDefault="0092651B" w:rsidP="00BD7E94">
    <w:pPr>
      <w:pStyle w:val="Footer"/>
      <w:framePr w:wrap="around" w:vAnchor="text" w:hAnchor="margin" w:xAlign="center" w:y="1"/>
      <w:rPr>
        <w:rStyle w:val="PageNumber"/>
      </w:rPr>
    </w:pPr>
    <w:r>
      <w:rPr>
        <w:rStyle w:val="PageNumber"/>
      </w:rPr>
      <w:fldChar w:fldCharType="begin"/>
    </w:r>
    <w:r w:rsidR="005E5629">
      <w:rPr>
        <w:rStyle w:val="PageNumber"/>
      </w:rPr>
      <w:instrText xml:space="preserve">PAGE  </w:instrText>
    </w:r>
    <w:r>
      <w:rPr>
        <w:rStyle w:val="PageNumber"/>
      </w:rPr>
      <w:fldChar w:fldCharType="separate"/>
    </w:r>
    <w:r w:rsidR="00C32A8C">
      <w:rPr>
        <w:rStyle w:val="PageNumber"/>
        <w:noProof/>
      </w:rPr>
      <w:t>1</w:t>
    </w:r>
    <w:r>
      <w:rPr>
        <w:rStyle w:val="PageNumber"/>
      </w:rPr>
      <w:fldChar w:fldCharType="end"/>
    </w:r>
  </w:p>
  <w:p w:rsidR="00C94F5C" w:rsidRDefault="00766725">
    <w:pPr>
      <w:pStyle w:val="Footer"/>
    </w:pPr>
  </w:p>
  <w:p w:rsidR="00C94F5C" w:rsidRDefault="00766725"/>
  <w:p w:rsidR="00C94F5C" w:rsidRDefault="00766725"/>
  <w:p w:rsidR="00C94F5C" w:rsidRDefault="00766725"/>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66725" w:rsidRDefault="00766725" w:rsidP="0054251D">
      <w:r>
        <w:separator/>
      </w:r>
    </w:p>
  </w:footnote>
  <w:footnote w:type="continuationSeparator" w:id="0">
    <w:p w:rsidR="00766725" w:rsidRDefault="00766725" w:rsidP="0054251D">
      <w:r>
        <w:continuationSeparator/>
      </w:r>
    </w:p>
  </w:footnote>
  <w:footnote w:id="1">
    <w:p w:rsidR="005E5629" w:rsidRDefault="005E5629" w:rsidP="005E5629">
      <w:pPr>
        <w:pStyle w:val="FootnoteText"/>
        <w:keepLines/>
      </w:pPr>
      <w:r w:rsidRPr="002918BD">
        <w:rPr>
          <w:rStyle w:val="FootnoteReference"/>
        </w:rPr>
        <w:footnoteRef/>
      </w:r>
      <w:r w:rsidRPr="002918BD">
        <w:t xml:space="preserve"> For example, issuers in the individual and small group markets already report some of the SBC information to HHS for display in the plan finder on the HealthCare.gov website.  Issuers have been reporting data to HHS since May 2010 and have refreshed that data on a quarterly basis.  These reporting entities have demonstrated that they have the capacity to report information on plan benefit design.  See </w:t>
      </w:r>
      <w:hyperlink r:id="rId1" w:history="1">
        <w:r w:rsidRPr="002918BD">
          <w:rPr>
            <w:rStyle w:val="Hyperlink"/>
          </w:rPr>
          <w:t>http://finder.healthcare.gov/</w:t>
        </w:r>
      </w:hyperlink>
      <w:r w:rsidRPr="002918BD">
        <w:t>. Further, ERISA-covered plans already report some of the SBC information in summary plan descriptions (SPDs).  </w:t>
      </w:r>
    </w:p>
    <w:p w:rsidR="005E5629" w:rsidRDefault="005E5629" w:rsidP="005E5629">
      <w:pPr>
        <w:pStyle w:val="FootnoteText"/>
        <w:keepLines/>
      </w:pPr>
    </w:p>
  </w:footnote>
  <w:footnote w:id="2">
    <w:p w:rsidR="005E5629" w:rsidRPr="00843525" w:rsidRDefault="005E5629" w:rsidP="005E5629">
      <w:pPr>
        <w:pStyle w:val="FootnoteText"/>
      </w:pPr>
      <w:r>
        <w:rPr>
          <w:rStyle w:val="FootnoteReference"/>
        </w:rPr>
        <w:footnoteRef/>
      </w:r>
      <w:r>
        <w:t xml:space="preserve"> See December 13, 2011 news release for </w:t>
      </w:r>
      <w:proofErr w:type="spellStart"/>
      <w:r>
        <w:t>HighRoads</w:t>
      </w:r>
      <w:proofErr w:type="spellEnd"/>
      <w:r>
        <w:t xml:space="preserve"> Pulse Study, available at </w:t>
      </w:r>
      <w:hyperlink r:id="rId2" w:history="1">
        <w:r w:rsidRPr="000B33DB">
          <w:rPr>
            <w:rStyle w:val="Hyperlink"/>
          </w:rPr>
          <w:t>http://newsroom.highroads.com/hr-compliance-connection/highroads-study-shows-employers-will-not-eliminate-benefits-coverage-due-to-health-care-reform</w:t>
        </w:r>
      </w:hyperlink>
      <w:r>
        <w:t>.  Among other things, the study’s author noted, “</w:t>
      </w:r>
      <w:r w:rsidRPr="00843525">
        <w:t xml:space="preserve">SBCs have </w:t>
      </w:r>
      <w:r>
        <w:t>not</w:t>
      </w:r>
      <w:r w:rsidRPr="00843525">
        <w:t xml:space="preserve"> caused a great concern among organizations…This is partly a reflection of current communications practices—many employers are already providing a level of communication close to that required by the SBC regulations—and partly a reflection of HR departments embracing technology.  By using automation to leverage existing data, they are better able to respond to required changes. That will enable timely compliance once the new deadline is determined</w:t>
      </w:r>
      <w:r>
        <w:t>.”</w:t>
      </w:r>
    </w:p>
    <w:p w:rsidR="005E5629" w:rsidRDefault="005E5629" w:rsidP="005E5629">
      <w:pPr>
        <w:pStyle w:val="FootnoteText"/>
      </w:pPr>
    </w:p>
  </w:footnote>
  <w:footnote w:id="3">
    <w:p w:rsidR="0054251D" w:rsidRDefault="0054251D" w:rsidP="0054251D">
      <w:pPr>
        <w:pStyle w:val="FootnoteText"/>
        <w:spacing w:after="120"/>
      </w:pPr>
      <w:r>
        <w:rPr>
          <w:rStyle w:val="FootnoteReference"/>
        </w:rPr>
        <w:footnoteRef/>
      </w:r>
      <w:r>
        <w:t xml:space="preserve"> See, for example, the Department of Labor’s March 2011 report to Congress on self-insured health plans, available at </w:t>
      </w:r>
      <w:hyperlink r:id="rId3" w:history="1">
        <w:r w:rsidRPr="00075F9D">
          <w:rPr>
            <w:rStyle w:val="Hyperlink"/>
          </w:rPr>
          <w:t>http://www.dol.gov/ebsa/pdf/ACAReportToCongress032811.pdf</w:t>
        </w:r>
      </w:hyperlink>
      <w:r>
        <w:t xml:space="preserve">.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4F5C" w:rsidRDefault="0076672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05FD1"/>
    <w:multiLevelType w:val="hybridMultilevel"/>
    <w:tmpl w:val="901029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0E7C58"/>
    <w:multiLevelType w:val="hybridMultilevel"/>
    <w:tmpl w:val="37A069C2"/>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
    <w:nsid w:val="12E22970"/>
    <w:multiLevelType w:val="hybridMultilevel"/>
    <w:tmpl w:val="D72A0A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137C21DC"/>
    <w:multiLevelType w:val="hybridMultilevel"/>
    <w:tmpl w:val="D1F09C26"/>
    <w:lvl w:ilvl="0" w:tplc="485C4D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6AF7D77"/>
    <w:multiLevelType w:val="multilevel"/>
    <w:tmpl w:val="63EA8B10"/>
    <w:lvl w:ilvl="0">
      <w:start w:val="1"/>
      <w:numFmt w:val="lowerLetter"/>
      <w:suff w:val="space"/>
      <w:lvlText w:val="(%1)"/>
      <w:lvlJc w:val="left"/>
      <w:pPr>
        <w:ind w:firstLine="720"/>
      </w:pPr>
      <w:rPr>
        <w:rFonts w:ascii="Times New Roman" w:hAnsi="Times New Roman" w:cs="Courier New" w:hint="default"/>
        <w:b w:val="0"/>
        <w:i w:val="0"/>
        <w:color w:val="auto"/>
        <w:sz w:val="24"/>
      </w:rPr>
    </w:lvl>
    <w:lvl w:ilvl="1">
      <w:start w:val="1"/>
      <w:numFmt w:val="decimal"/>
      <w:suff w:val="space"/>
      <w:lvlText w:val="(%2)"/>
      <w:lvlJc w:val="left"/>
      <w:pPr>
        <w:ind w:firstLine="720"/>
      </w:pPr>
      <w:rPr>
        <w:rFonts w:ascii="Times New Roman" w:hAnsi="Times New Roman" w:cs="Times New Roman" w:hint="default"/>
        <w:b w:val="0"/>
        <w:i w:val="0"/>
        <w:sz w:val="24"/>
      </w:rPr>
    </w:lvl>
    <w:lvl w:ilvl="2">
      <w:start w:val="1"/>
      <w:numFmt w:val="lowerRoman"/>
      <w:suff w:val="space"/>
      <w:lvlText w:val="(%3)"/>
      <w:lvlJc w:val="left"/>
      <w:pPr>
        <w:ind w:firstLine="720"/>
      </w:pPr>
      <w:rPr>
        <w:rFonts w:ascii="Times New Roman" w:hAnsi="Times New Roman" w:cs="Times New Roman" w:hint="default"/>
        <w:b w:val="0"/>
        <w:i w:val="0"/>
        <w:sz w:val="24"/>
      </w:rPr>
    </w:lvl>
    <w:lvl w:ilvl="3">
      <w:start w:val="1"/>
      <w:numFmt w:val="upperLetter"/>
      <w:suff w:val="space"/>
      <w:lvlText w:val="(%4)"/>
      <w:lvlJc w:val="left"/>
      <w:pPr>
        <w:ind w:left="180" w:firstLine="720"/>
      </w:pPr>
      <w:rPr>
        <w:rFonts w:ascii="Times New Roman" w:hAnsi="Times New Roman" w:cs="Times New Roman" w:hint="default"/>
        <w:b w:val="0"/>
        <w:i w:val="0"/>
        <w:sz w:val="24"/>
      </w:rPr>
    </w:lvl>
    <w:lvl w:ilvl="4">
      <w:start w:val="1"/>
      <w:numFmt w:val="decimal"/>
      <w:suff w:val="space"/>
      <w:lvlText w:val="(%5)"/>
      <w:lvlJc w:val="left"/>
      <w:pPr>
        <w:ind w:firstLine="720"/>
      </w:pPr>
      <w:rPr>
        <w:rFonts w:cs="Times New Roman" w:hint="default"/>
        <w:u w:val="words"/>
      </w:rPr>
    </w:lvl>
    <w:lvl w:ilvl="5">
      <w:start w:val="1"/>
      <w:numFmt w:val="lowerRoman"/>
      <w:suff w:val="space"/>
      <w:lvlText w:val="(%6)"/>
      <w:lvlJc w:val="left"/>
      <w:pPr>
        <w:ind w:firstLine="720"/>
      </w:pPr>
      <w:rPr>
        <w:rFonts w:cs="Times New Roman" w:hint="default"/>
        <w:u w:val="words"/>
      </w:rPr>
    </w:lvl>
    <w:lvl w:ilvl="6">
      <w:start w:val="1"/>
      <w:numFmt w:val="decimal"/>
      <w:suff w:val="space"/>
      <w:lvlText w:val="(%7)"/>
      <w:lvlJc w:val="left"/>
      <w:pPr>
        <w:ind w:firstLine="720"/>
      </w:pPr>
      <w:rPr>
        <w:rFonts w:cs="Times New Roman" w:hint="default"/>
      </w:rPr>
    </w:lvl>
    <w:lvl w:ilvl="7">
      <w:start w:val="1"/>
      <w:numFmt w:val="lowerLetter"/>
      <w:suff w:val="space"/>
      <w:lvlText w:val="%8."/>
      <w:lvlJc w:val="left"/>
      <w:pPr>
        <w:ind w:firstLine="720"/>
      </w:pPr>
      <w:rPr>
        <w:rFonts w:cs="Times New Roman" w:hint="default"/>
      </w:rPr>
    </w:lvl>
    <w:lvl w:ilvl="8">
      <w:start w:val="1"/>
      <w:numFmt w:val="lowerRoman"/>
      <w:suff w:val="space"/>
      <w:lvlText w:val="%9."/>
      <w:lvlJc w:val="left"/>
      <w:pPr>
        <w:ind w:firstLine="720"/>
      </w:pPr>
      <w:rPr>
        <w:rFonts w:cs="Times New Roman" w:hint="default"/>
      </w:rPr>
    </w:lvl>
  </w:abstractNum>
  <w:abstractNum w:abstractNumId="5">
    <w:nsid w:val="19783CAC"/>
    <w:multiLevelType w:val="hybridMultilevel"/>
    <w:tmpl w:val="FCC24B48"/>
    <w:lvl w:ilvl="0" w:tplc="646608E2">
      <w:start w:val="1"/>
      <w:numFmt w:val="lowerLetter"/>
      <w:lvlText w:val="%1."/>
      <w:lvlJc w:val="left"/>
      <w:pPr>
        <w:tabs>
          <w:tab w:val="num" w:pos="720"/>
        </w:tabs>
        <w:ind w:left="720" w:hanging="360"/>
      </w:pPr>
      <w:rPr>
        <w:rFonts w:hint="default"/>
        <w:color w:val="00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D9D4C84"/>
    <w:multiLevelType w:val="hybridMultilevel"/>
    <w:tmpl w:val="871CB2E8"/>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7">
    <w:nsid w:val="1DE34D52"/>
    <w:multiLevelType w:val="hybridMultilevel"/>
    <w:tmpl w:val="165C36AE"/>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nsid w:val="23232FAF"/>
    <w:multiLevelType w:val="hybridMultilevel"/>
    <w:tmpl w:val="F73C4BC0"/>
    <w:lvl w:ilvl="0" w:tplc="B45EF44C">
      <w:start w:val="1"/>
      <w:numFmt w:val="bullet"/>
      <w:lvlText w:val="o"/>
      <w:lvlJc w:val="left"/>
      <w:pPr>
        <w:tabs>
          <w:tab w:val="num" w:pos="720"/>
        </w:tabs>
        <w:ind w:left="720" w:hanging="360"/>
      </w:pPr>
      <w:rPr>
        <w:rFonts w:ascii="Courier New" w:hAnsi="Courier New" w:hint="default"/>
        <w:color w:val="00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41D2DD7"/>
    <w:multiLevelType w:val="hybridMultilevel"/>
    <w:tmpl w:val="69C05660"/>
    <w:lvl w:ilvl="0" w:tplc="046023D0">
      <w:start w:val="2"/>
      <w:numFmt w:val="decimal"/>
      <w:lvlText w:val="(%1)"/>
      <w:lvlJc w:val="left"/>
      <w:pPr>
        <w:tabs>
          <w:tab w:val="num" w:pos="1440"/>
        </w:tabs>
        <w:ind w:left="1440" w:hanging="360"/>
      </w:pPr>
      <w:rPr>
        <w:rFonts w:hint="default"/>
        <w:u w:val="none"/>
      </w:rPr>
    </w:lvl>
    <w:lvl w:ilvl="1" w:tplc="04090019" w:tentative="1">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0">
    <w:nsid w:val="2D5F53B5"/>
    <w:multiLevelType w:val="multilevel"/>
    <w:tmpl w:val="104A53E2"/>
    <w:lvl w:ilvl="0">
      <w:start w:val="1"/>
      <w:numFmt w:val="decimal"/>
      <w:lvlText w:val="%1."/>
      <w:lvlJc w:val="left"/>
      <w:pPr>
        <w:tabs>
          <w:tab w:val="num" w:pos="720"/>
        </w:tabs>
        <w:ind w:left="720" w:hanging="360"/>
      </w:pPr>
      <w:rPr>
        <w:rFonts w:hint="default"/>
        <w:color w:val="00000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31DA4371"/>
    <w:multiLevelType w:val="multilevel"/>
    <w:tmpl w:val="104A53E2"/>
    <w:lvl w:ilvl="0">
      <w:start w:val="1"/>
      <w:numFmt w:val="decimal"/>
      <w:lvlText w:val="%1."/>
      <w:lvlJc w:val="left"/>
      <w:pPr>
        <w:tabs>
          <w:tab w:val="num" w:pos="720"/>
        </w:tabs>
        <w:ind w:left="720" w:hanging="360"/>
      </w:pPr>
      <w:rPr>
        <w:rFonts w:hint="default"/>
        <w:color w:val="00000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32605C56"/>
    <w:multiLevelType w:val="multilevel"/>
    <w:tmpl w:val="8D8E0C0C"/>
    <w:lvl w:ilvl="0">
      <w:start w:val="1"/>
      <w:numFmt w:val="lowerLetter"/>
      <w:lvlText w:val="%1."/>
      <w:lvlJc w:val="left"/>
      <w:pPr>
        <w:tabs>
          <w:tab w:val="num" w:pos="720"/>
        </w:tabs>
        <w:ind w:left="720" w:hanging="360"/>
      </w:pPr>
      <w:rPr>
        <w:rFonts w:hint="default"/>
        <w:color w:val="00000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nsid w:val="34CA74C8"/>
    <w:multiLevelType w:val="hybridMultilevel"/>
    <w:tmpl w:val="D2662872"/>
    <w:lvl w:ilvl="0" w:tplc="B45EF44C">
      <w:start w:val="1"/>
      <w:numFmt w:val="bullet"/>
      <w:lvlText w:val="o"/>
      <w:lvlJc w:val="left"/>
      <w:pPr>
        <w:tabs>
          <w:tab w:val="num" w:pos="720"/>
        </w:tabs>
        <w:ind w:left="720" w:hanging="360"/>
      </w:pPr>
      <w:rPr>
        <w:rFonts w:ascii="Courier New" w:hAnsi="Courier New" w:hint="default"/>
        <w:color w:val="00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37F1677A"/>
    <w:multiLevelType w:val="multilevel"/>
    <w:tmpl w:val="104A53E2"/>
    <w:lvl w:ilvl="0">
      <w:start w:val="1"/>
      <w:numFmt w:val="decimal"/>
      <w:lvlText w:val="%1."/>
      <w:lvlJc w:val="left"/>
      <w:pPr>
        <w:tabs>
          <w:tab w:val="num" w:pos="720"/>
        </w:tabs>
        <w:ind w:left="720" w:hanging="360"/>
      </w:pPr>
      <w:rPr>
        <w:rFonts w:hint="default"/>
        <w:color w:val="00000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nsid w:val="386E098C"/>
    <w:multiLevelType w:val="hybridMultilevel"/>
    <w:tmpl w:val="E06ACECE"/>
    <w:lvl w:ilvl="0" w:tplc="0409000F">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nsid w:val="38751E45"/>
    <w:multiLevelType w:val="hybridMultilevel"/>
    <w:tmpl w:val="00EEEA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FCB00EB"/>
    <w:multiLevelType w:val="hybridMultilevel"/>
    <w:tmpl w:val="E78431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nsid w:val="47967BD4"/>
    <w:multiLevelType w:val="hybridMultilevel"/>
    <w:tmpl w:val="6E38DE42"/>
    <w:lvl w:ilvl="0" w:tplc="02AE417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47A130BA"/>
    <w:multiLevelType w:val="hybridMultilevel"/>
    <w:tmpl w:val="0D0AB092"/>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20">
    <w:nsid w:val="4EDA48B7"/>
    <w:multiLevelType w:val="hybridMultilevel"/>
    <w:tmpl w:val="E9E6995C"/>
    <w:lvl w:ilvl="0" w:tplc="4DB69AA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1">
    <w:nsid w:val="5D137E4F"/>
    <w:multiLevelType w:val="hybridMultilevel"/>
    <w:tmpl w:val="CD6EB1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D430A88"/>
    <w:multiLevelType w:val="hybridMultilevel"/>
    <w:tmpl w:val="07E2B820"/>
    <w:lvl w:ilvl="0" w:tplc="B4186B9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57E67BC"/>
    <w:multiLevelType w:val="hybridMultilevel"/>
    <w:tmpl w:val="C43A9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A383EA3"/>
    <w:multiLevelType w:val="multilevel"/>
    <w:tmpl w:val="104A53E2"/>
    <w:lvl w:ilvl="0">
      <w:start w:val="1"/>
      <w:numFmt w:val="decimal"/>
      <w:lvlText w:val="%1."/>
      <w:lvlJc w:val="left"/>
      <w:pPr>
        <w:tabs>
          <w:tab w:val="num" w:pos="720"/>
        </w:tabs>
        <w:ind w:left="720" w:hanging="360"/>
      </w:pPr>
      <w:rPr>
        <w:rFonts w:hint="default"/>
        <w:color w:val="00000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nsid w:val="734604CC"/>
    <w:multiLevelType w:val="hybridMultilevel"/>
    <w:tmpl w:val="4F306A72"/>
    <w:lvl w:ilvl="0" w:tplc="646608E2">
      <w:start w:val="1"/>
      <w:numFmt w:val="lowerLetter"/>
      <w:lvlText w:val="%1."/>
      <w:lvlJc w:val="left"/>
      <w:pPr>
        <w:tabs>
          <w:tab w:val="num" w:pos="720"/>
        </w:tabs>
        <w:ind w:left="720" w:hanging="360"/>
      </w:pPr>
      <w:rPr>
        <w:rFonts w:hint="default"/>
        <w:color w:val="00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7CB744B7"/>
    <w:multiLevelType w:val="multilevel"/>
    <w:tmpl w:val="D2662872"/>
    <w:lvl w:ilvl="0">
      <w:start w:val="1"/>
      <w:numFmt w:val="bullet"/>
      <w:lvlText w:val="o"/>
      <w:lvlJc w:val="left"/>
      <w:pPr>
        <w:tabs>
          <w:tab w:val="num" w:pos="720"/>
        </w:tabs>
        <w:ind w:left="720" w:hanging="360"/>
      </w:pPr>
      <w:rPr>
        <w:rFonts w:ascii="Courier New" w:hAnsi="Courier New" w:hint="default"/>
        <w:color w:val="00000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13"/>
  </w:num>
  <w:num w:numId="3">
    <w:abstractNumId w:val="26"/>
  </w:num>
  <w:num w:numId="4">
    <w:abstractNumId w:val="25"/>
  </w:num>
  <w:num w:numId="5">
    <w:abstractNumId w:val="12"/>
  </w:num>
  <w:num w:numId="6">
    <w:abstractNumId w:val="15"/>
  </w:num>
  <w:num w:numId="7">
    <w:abstractNumId w:val="9"/>
  </w:num>
  <w:num w:numId="8">
    <w:abstractNumId w:val="11"/>
  </w:num>
  <w:num w:numId="9">
    <w:abstractNumId w:val="24"/>
  </w:num>
  <w:num w:numId="10">
    <w:abstractNumId w:val="4"/>
  </w:num>
  <w:num w:numId="11">
    <w:abstractNumId w:val="14"/>
  </w:num>
  <w:num w:numId="12">
    <w:abstractNumId w:val="10"/>
  </w:num>
  <w:num w:numId="13">
    <w:abstractNumId w:val="18"/>
  </w:num>
  <w:num w:numId="14">
    <w:abstractNumId w:val="5"/>
  </w:num>
  <w:num w:numId="15">
    <w:abstractNumId w:val="1"/>
  </w:num>
  <w:num w:numId="16">
    <w:abstractNumId w:val="19"/>
  </w:num>
  <w:num w:numId="17">
    <w:abstractNumId w:val="6"/>
  </w:num>
  <w:num w:numId="18">
    <w:abstractNumId w:val="20"/>
  </w:num>
  <w:num w:numId="1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7"/>
  </w:num>
  <w:num w:numId="21">
    <w:abstractNumId w:val="7"/>
  </w:num>
  <w:num w:numId="22">
    <w:abstractNumId w:val="21"/>
  </w:num>
  <w:num w:numId="23">
    <w:abstractNumId w:val="22"/>
  </w:num>
  <w:num w:numId="24">
    <w:abstractNumId w:val="16"/>
  </w:num>
  <w:num w:numId="25">
    <w:abstractNumId w:val="3"/>
  </w:num>
  <w:num w:numId="26">
    <w:abstractNumId w:val="0"/>
  </w:num>
  <w:num w:numId="27">
    <w:abstractNumId w:val="23"/>
  </w:num>
  <w:num w:numId="2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trackRevisions/>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54251D"/>
    <w:rsid w:val="00114BBD"/>
    <w:rsid w:val="001F752B"/>
    <w:rsid w:val="0054251D"/>
    <w:rsid w:val="005E5629"/>
    <w:rsid w:val="00766725"/>
    <w:rsid w:val="0092651B"/>
    <w:rsid w:val="0093719C"/>
    <w:rsid w:val="009D54F1"/>
    <w:rsid w:val="009D6B6D"/>
    <w:rsid w:val="00A10571"/>
    <w:rsid w:val="00B3663C"/>
    <w:rsid w:val="00C32A8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251D"/>
    <w:pPr>
      <w:spacing w:after="0" w:line="240" w:lineRule="auto"/>
    </w:pPr>
    <w:rPr>
      <w:rFonts w:eastAsia="Times New Roman" w:cs="Times New Roman"/>
      <w:szCs w:val="24"/>
    </w:rPr>
  </w:style>
  <w:style w:type="paragraph" w:styleId="Heading1">
    <w:name w:val="heading 1"/>
    <w:basedOn w:val="Normal"/>
    <w:next w:val="Normal"/>
    <w:link w:val="Heading1Char"/>
    <w:qFormat/>
    <w:rsid w:val="0054251D"/>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4251D"/>
    <w:rPr>
      <w:rFonts w:eastAsia="Times New Roman" w:cs="Times New Roman"/>
      <w:b/>
      <w:bCs/>
      <w:szCs w:val="24"/>
    </w:rPr>
  </w:style>
  <w:style w:type="character" w:customStyle="1" w:styleId="footnoteref">
    <w:name w:val="footnote ref"/>
    <w:rsid w:val="0054251D"/>
  </w:style>
  <w:style w:type="character" w:styleId="Hyperlink">
    <w:name w:val="Hyperlink"/>
    <w:uiPriority w:val="99"/>
    <w:rsid w:val="0054251D"/>
    <w:rPr>
      <w:rFonts w:cs="Times New Roman"/>
      <w:color w:val="0000FF"/>
      <w:u w:val="single"/>
    </w:rPr>
  </w:style>
  <w:style w:type="paragraph" w:styleId="FootnoteText">
    <w:name w:val="footnote text"/>
    <w:basedOn w:val="Normal"/>
    <w:link w:val="FootnoteTextChar"/>
    <w:uiPriority w:val="99"/>
    <w:semiHidden/>
    <w:rsid w:val="0054251D"/>
    <w:rPr>
      <w:sz w:val="20"/>
      <w:szCs w:val="20"/>
    </w:rPr>
  </w:style>
  <w:style w:type="character" w:customStyle="1" w:styleId="FootnoteTextChar">
    <w:name w:val="Footnote Text Char"/>
    <w:basedOn w:val="DefaultParagraphFont"/>
    <w:link w:val="FootnoteText"/>
    <w:uiPriority w:val="99"/>
    <w:semiHidden/>
    <w:rsid w:val="0054251D"/>
    <w:rPr>
      <w:rFonts w:eastAsia="Times New Roman" w:cs="Times New Roman"/>
      <w:sz w:val="20"/>
      <w:szCs w:val="20"/>
    </w:rPr>
  </w:style>
  <w:style w:type="character" w:styleId="FootnoteReference">
    <w:name w:val="footnote reference"/>
    <w:uiPriority w:val="99"/>
    <w:semiHidden/>
    <w:rsid w:val="0054251D"/>
    <w:rPr>
      <w:rFonts w:cs="Times New Roman"/>
      <w:vertAlign w:val="superscript"/>
    </w:rPr>
  </w:style>
  <w:style w:type="character" w:styleId="CommentReference">
    <w:name w:val="annotation reference"/>
    <w:rsid w:val="0054251D"/>
    <w:rPr>
      <w:sz w:val="16"/>
      <w:szCs w:val="16"/>
    </w:rPr>
  </w:style>
  <w:style w:type="paragraph" w:styleId="CommentText">
    <w:name w:val="annotation text"/>
    <w:basedOn w:val="Normal"/>
    <w:link w:val="CommentTextChar"/>
    <w:rsid w:val="0054251D"/>
    <w:rPr>
      <w:sz w:val="20"/>
      <w:szCs w:val="20"/>
    </w:rPr>
  </w:style>
  <w:style w:type="character" w:customStyle="1" w:styleId="CommentTextChar">
    <w:name w:val="Comment Text Char"/>
    <w:basedOn w:val="DefaultParagraphFont"/>
    <w:link w:val="CommentText"/>
    <w:rsid w:val="0054251D"/>
    <w:rPr>
      <w:rFonts w:eastAsia="Times New Roman" w:cs="Times New Roman"/>
      <w:sz w:val="20"/>
      <w:szCs w:val="20"/>
    </w:rPr>
  </w:style>
  <w:style w:type="paragraph" w:styleId="HTMLPreformatted">
    <w:name w:val="HTML Preformatted"/>
    <w:basedOn w:val="Normal"/>
    <w:link w:val="HTMLPreformattedChar"/>
    <w:uiPriority w:val="99"/>
    <w:rsid w:val="005425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PreformattedChar">
    <w:name w:val="HTML Preformatted Char"/>
    <w:basedOn w:val="DefaultParagraphFont"/>
    <w:link w:val="HTMLPreformatted"/>
    <w:uiPriority w:val="99"/>
    <w:rsid w:val="0054251D"/>
    <w:rPr>
      <w:rFonts w:ascii="Courier New" w:eastAsia="Times New Roman" w:hAnsi="Courier New" w:cs="Times New Roman"/>
      <w:sz w:val="20"/>
      <w:szCs w:val="20"/>
    </w:rPr>
  </w:style>
  <w:style w:type="paragraph" w:styleId="Footer">
    <w:name w:val="footer"/>
    <w:basedOn w:val="Normal"/>
    <w:link w:val="FooterChar"/>
    <w:uiPriority w:val="99"/>
    <w:rsid w:val="0054251D"/>
    <w:pPr>
      <w:tabs>
        <w:tab w:val="center" w:pos="4320"/>
        <w:tab w:val="right" w:pos="8640"/>
      </w:tabs>
    </w:pPr>
  </w:style>
  <w:style w:type="character" w:customStyle="1" w:styleId="FooterChar">
    <w:name w:val="Footer Char"/>
    <w:basedOn w:val="DefaultParagraphFont"/>
    <w:link w:val="Footer"/>
    <w:uiPriority w:val="99"/>
    <w:rsid w:val="0054251D"/>
    <w:rPr>
      <w:rFonts w:eastAsia="Times New Roman" w:cs="Times New Roman"/>
      <w:szCs w:val="24"/>
    </w:rPr>
  </w:style>
  <w:style w:type="character" w:styleId="PageNumber">
    <w:name w:val="page number"/>
    <w:basedOn w:val="DefaultParagraphFont"/>
    <w:rsid w:val="0054251D"/>
  </w:style>
  <w:style w:type="paragraph" w:styleId="BalloonText">
    <w:name w:val="Balloon Text"/>
    <w:basedOn w:val="Normal"/>
    <w:link w:val="BalloonTextChar"/>
    <w:uiPriority w:val="99"/>
    <w:semiHidden/>
    <w:rsid w:val="0054251D"/>
    <w:rPr>
      <w:rFonts w:ascii="Tahoma" w:hAnsi="Tahoma"/>
      <w:sz w:val="16"/>
      <w:szCs w:val="16"/>
    </w:rPr>
  </w:style>
  <w:style w:type="character" w:customStyle="1" w:styleId="BalloonTextChar">
    <w:name w:val="Balloon Text Char"/>
    <w:basedOn w:val="DefaultParagraphFont"/>
    <w:link w:val="BalloonText"/>
    <w:uiPriority w:val="99"/>
    <w:semiHidden/>
    <w:rsid w:val="0054251D"/>
    <w:rPr>
      <w:rFonts w:ascii="Tahoma" w:eastAsia="Times New Roman" w:hAnsi="Tahoma" w:cs="Times New Roman"/>
      <w:sz w:val="16"/>
      <w:szCs w:val="16"/>
    </w:rPr>
  </w:style>
  <w:style w:type="paragraph" w:styleId="CommentSubject">
    <w:name w:val="annotation subject"/>
    <w:basedOn w:val="CommentText"/>
    <w:next w:val="CommentText"/>
    <w:link w:val="CommentSubjectChar"/>
    <w:uiPriority w:val="99"/>
    <w:semiHidden/>
    <w:rsid w:val="0054251D"/>
    <w:rPr>
      <w:b/>
      <w:bCs/>
    </w:rPr>
  </w:style>
  <w:style w:type="character" w:customStyle="1" w:styleId="CommentSubjectChar">
    <w:name w:val="Comment Subject Char"/>
    <w:basedOn w:val="CommentTextChar"/>
    <w:link w:val="CommentSubject"/>
    <w:uiPriority w:val="99"/>
    <w:semiHidden/>
    <w:rsid w:val="0054251D"/>
    <w:rPr>
      <w:b/>
      <w:bCs/>
    </w:rPr>
  </w:style>
  <w:style w:type="character" w:customStyle="1" w:styleId="WW8Num2z3">
    <w:name w:val="WW8Num2z3"/>
    <w:rsid w:val="0054251D"/>
    <w:rPr>
      <w:rFonts w:ascii="Symbol" w:hAnsi="Symbol"/>
    </w:rPr>
  </w:style>
  <w:style w:type="character" w:customStyle="1" w:styleId="CharChar2">
    <w:name w:val="Char Char2"/>
    <w:locked/>
    <w:rsid w:val="0054251D"/>
    <w:rPr>
      <w:lang w:eastAsia="ar-SA"/>
    </w:rPr>
  </w:style>
  <w:style w:type="paragraph" w:styleId="NormalWeb">
    <w:name w:val="Normal (Web)"/>
    <w:basedOn w:val="Normal"/>
    <w:uiPriority w:val="99"/>
    <w:rsid w:val="0054251D"/>
    <w:pPr>
      <w:spacing w:before="150" w:after="150"/>
    </w:pPr>
  </w:style>
  <w:style w:type="paragraph" w:styleId="Revision">
    <w:name w:val="Revision"/>
    <w:hidden/>
    <w:uiPriority w:val="99"/>
    <w:semiHidden/>
    <w:rsid w:val="0054251D"/>
    <w:pPr>
      <w:spacing w:after="0" w:line="240" w:lineRule="auto"/>
    </w:pPr>
    <w:rPr>
      <w:rFonts w:eastAsia="Times New Roman" w:cs="Times New Roman"/>
      <w:szCs w:val="24"/>
    </w:rPr>
  </w:style>
  <w:style w:type="paragraph" w:styleId="ListParagraph">
    <w:name w:val="List Paragraph"/>
    <w:basedOn w:val="Normal"/>
    <w:uiPriority w:val="34"/>
    <w:qFormat/>
    <w:rsid w:val="0054251D"/>
    <w:pPr>
      <w:spacing w:after="200" w:line="276" w:lineRule="auto"/>
      <w:ind w:left="720"/>
      <w:contextualSpacing/>
    </w:pPr>
    <w:rPr>
      <w:rFonts w:ascii="Calibri" w:eastAsia="Calibri" w:hAnsi="Calibri"/>
      <w:sz w:val="22"/>
      <w:szCs w:val="22"/>
    </w:rPr>
  </w:style>
  <w:style w:type="paragraph" w:styleId="PlainText">
    <w:name w:val="Plain Text"/>
    <w:basedOn w:val="Normal"/>
    <w:link w:val="PlainTextChar"/>
    <w:uiPriority w:val="99"/>
    <w:unhideWhenUsed/>
    <w:rsid w:val="0054251D"/>
    <w:rPr>
      <w:rFonts w:ascii="Calibri" w:eastAsia="Calibri" w:hAnsi="Calibri"/>
      <w:sz w:val="22"/>
      <w:szCs w:val="21"/>
    </w:rPr>
  </w:style>
  <w:style w:type="character" w:customStyle="1" w:styleId="PlainTextChar">
    <w:name w:val="Plain Text Char"/>
    <w:basedOn w:val="DefaultParagraphFont"/>
    <w:link w:val="PlainText"/>
    <w:uiPriority w:val="99"/>
    <w:rsid w:val="0054251D"/>
    <w:rPr>
      <w:rFonts w:ascii="Calibri" w:eastAsia="Calibri" w:hAnsi="Calibri" w:cs="Times New Roman"/>
      <w:sz w:val="22"/>
      <w:szCs w:val="21"/>
    </w:rPr>
  </w:style>
  <w:style w:type="character" w:styleId="FollowedHyperlink">
    <w:name w:val="FollowedHyperlink"/>
    <w:uiPriority w:val="99"/>
    <w:unhideWhenUsed/>
    <w:rsid w:val="0054251D"/>
    <w:rPr>
      <w:color w:val="800080"/>
      <w:u w:val="single"/>
    </w:rPr>
  </w:style>
  <w:style w:type="character" w:styleId="Strong">
    <w:name w:val="Strong"/>
    <w:uiPriority w:val="99"/>
    <w:qFormat/>
    <w:rsid w:val="0054251D"/>
    <w:rPr>
      <w:rFonts w:ascii="Times New Roman" w:hAnsi="Times New Roman" w:cs="Times New Roman" w:hint="default"/>
      <w:b/>
      <w:bCs/>
    </w:rPr>
  </w:style>
  <w:style w:type="paragraph" w:styleId="Header">
    <w:name w:val="header"/>
    <w:basedOn w:val="Normal"/>
    <w:link w:val="HeaderChar"/>
    <w:uiPriority w:val="99"/>
    <w:unhideWhenUsed/>
    <w:rsid w:val="0054251D"/>
    <w:pPr>
      <w:tabs>
        <w:tab w:val="center" w:pos="4680"/>
        <w:tab w:val="right" w:pos="9360"/>
      </w:tabs>
    </w:pPr>
    <w:rPr>
      <w:rFonts w:eastAsia="Calibri"/>
    </w:rPr>
  </w:style>
  <w:style w:type="character" w:customStyle="1" w:styleId="HeaderChar">
    <w:name w:val="Header Char"/>
    <w:basedOn w:val="DefaultParagraphFont"/>
    <w:link w:val="Header"/>
    <w:uiPriority w:val="99"/>
    <w:rsid w:val="0054251D"/>
    <w:rPr>
      <w:rFonts w:eastAsia="Calibri" w:cs="Times New Roman"/>
      <w:szCs w:val="24"/>
    </w:rPr>
  </w:style>
  <w:style w:type="paragraph" w:styleId="EndnoteText">
    <w:name w:val="endnote text"/>
    <w:basedOn w:val="Normal"/>
    <w:link w:val="EndnoteTextChar"/>
    <w:uiPriority w:val="99"/>
    <w:unhideWhenUsed/>
    <w:rsid w:val="0054251D"/>
    <w:rPr>
      <w:rFonts w:eastAsia="Calibri"/>
      <w:sz w:val="20"/>
      <w:szCs w:val="20"/>
    </w:rPr>
  </w:style>
  <w:style w:type="character" w:customStyle="1" w:styleId="EndnoteTextChar">
    <w:name w:val="Endnote Text Char"/>
    <w:basedOn w:val="DefaultParagraphFont"/>
    <w:link w:val="EndnoteText"/>
    <w:uiPriority w:val="99"/>
    <w:rsid w:val="0054251D"/>
    <w:rPr>
      <w:rFonts w:eastAsia="Calibri" w:cs="Times New Roman"/>
      <w:sz w:val="20"/>
      <w:szCs w:val="20"/>
    </w:rPr>
  </w:style>
  <w:style w:type="paragraph" w:customStyle="1" w:styleId="Default">
    <w:name w:val="Default"/>
    <w:uiPriority w:val="99"/>
    <w:rsid w:val="0054251D"/>
    <w:pPr>
      <w:autoSpaceDE w:val="0"/>
      <w:autoSpaceDN w:val="0"/>
      <w:adjustRightInd w:val="0"/>
      <w:spacing w:after="0" w:line="240" w:lineRule="auto"/>
    </w:pPr>
    <w:rPr>
      <w:rFonts w:eastAsia="Calibri" w:cs="Times New Roman"/>
      <w:color w:val="000000"/>
      <w:szCs w:val="24"/>
    </w:rPr>
  </w:style>
  <w:style w:type="paragraph" w:customStyle="1" w:styleId="xmsonormal">
    <w:name w:val="x_msonormal"/>
    <w:basedOn w:val="Normal"/>
    <w:uiPriority w:val="99"/>
    <w:rsid w:val="0054251D"/>
    <w:pPr>
      <w:spacing w:before="100" w:beforeAutospacing="1" w:after="100" w:afterAutospacing="1"/>
    </w:pPr>
    <w:rPr>
      <w:rFonts w:ascii="Times" w:hAnsi="Times"/>
      <w:sz w:val="20"/>
      <w:szCs w:val="20"/>
    </w:rPr>
  </w:style>
  <w:style w:type="paragraph" w:customStyle="1" w:styleId="xmsolistparagraph">
    <w:name w:val="xmsolistparagraph"/>
    <w:basedOn w:val="Normal"/>
    <w:uiPriority w:val="99"/>
    <w:rsid w:val="0054251D"/>
    <w:pPr>
      <w:spacing w:before="100" w:beforeAutospacing="1" w:after="100" w:afterAutospacing="1"/>
    </w:pPr>
  </w:style>
  <w:style w:type="character" w:styleId="EndnoteReference">
    <w:name w:val="endnote reference"/>
    <w:uiPriority w:val="99"/>
    <w:unhideWhenUsed/>
    <w:rsid w:val="0054251D"/>
    <w:rPr>
      <w:rFonts w:ascii="Times New Roman" w:hAnsi="Times New Roman" w:cs="Times New Roman" w:hint="default"/>
      <w:vertAlign w:val="superscript"/>
    </w:rPr>
  </w:style>
  <w:style w:type="character" w:customStyle="1" w:styleId="footnotes1">
    <w:name w:val="footnotes1"/>
    <w:uiPriority w:val="99"/>
    <w:rsid w:val="0054251D"/>
    <w:rPr>
      <w:rFonts w:ascii="Arial" w:hAnsi="Arial" w:cs="Arial" w:hint="default"/>
      <w:color w:val="000000"/>
      <w:sz w:val="11"/>
      <w:szCs w:val="11"/>
    </w:rPr>
  </w:style>
  <w:style w:type="table" w:styleId="TableGrid">
    <w:name w:val="Table Grid"/>
    <w:basedOn w:val="TableNormal"/>
    <w:uiPriority w:val="99"/>
    <w:rsid w:val="0054251D"/>
    <w:pPr>
      <w:spacing w:after="0" w:line="240" w:lineRule="auto"/>
    </w:pPr>
    <w:rPr>
      <w:rFonts w:eastAsia="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www.dol.gov/ebsa/pdf/ACAReportToCongress032811.pdf" TargetMode="External"/><Relationship Id="rId2" Type="http://schemas.openxmlformats.org/officeDocument/2006/relationships/hyperlink" Target="http://newsroom.highroads.com/hr-compliance-connection/highroads-study-shows-employers-will-not-eliminate-benefits-coverage-due-to-health-care-reform" TargetMode="External"/><Relationship Id="rId1" Type="http://schemas.openxmlformats.org/officeDocument/2006/relationships/hyperlink" Target="https://owa.hhs.gov/owa/redir.aspx?C=6af10531e5204d548baaa087c7c1ed64&amp;URL=http%3a%2f%2ffinder.healthcare.gov%2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808</Words>
  <Characters>4610</Characters>
  <Application>Microsoft Office Word</Application>
  <DocSecurity>0</DocSecurity>
  <Lines>38</Lines>
  <Paragraphs>10</Paragraphs>
  <ScaleCrop>false</ScaleCrop>
  <Company>CMS</Company>
  <LinksUpToDate>false</LinksUpToDate>
  <CharactersWithSpaces>5408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CMS2</dc:creator>
  <cp:keywords/>
  <dc:description/>
  <cp:lastModifiedBy>HHS</cp:lastModifiedBy>
  <cp:revision>5</cp:revision>
  <dcterms:created xsi:type="dcterms:W3CDTF">2012-01-12T16:18:00Z</dcterms:created>
  <dcterms:modified xsi:type="dcterms:W3CDTF">2012-01-18T20:20:00Z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-615607085</vt:i4>
  </property>
  <property fmtid="{D5CDD505-2E9C-101B-9397-08002B2CF9AE}" pid="3" name="_NewReviewCycle">
    <vt:lpwstr/>
  </property>
  <property fmtid="{D5CDD505-2E9C-101B-9397-08002B2CF9AE}" pid="4" name="_EmailSubject">
    <vt:lpwstr>2715 PRA submission -- 1 of 2</vt:lpwstr>
  </property>
  <property fmtid="{D5CDD505-2E9C-101B-9397-08002B2CF9AE}" pid="5" name="_AuthorEmail">
    <vt:lpwstr>jacob.ackerman@cms.hhs.gov</vt:lpwstr>
  </property>
  <property fmtid="{D5CDD505-2E9C-101B-9397-08002B2CF9AE}" pid="6" name="_AuthorEmailDisplayName">
    <vt:lpwstr>Ackerman, Jacob C. (CMS/CCIIO)</vt:lpwstr>
  </property>
  <property fmtid="{D5CDD505-2E9C-101B-9397-08002B2CF9AE}" pid="8" name="_PreviousAdHocReviewCycleID">
    <vt:i4>1170704240</vt:i4>
  </property>
</Properties>
</file>