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4E" w:rsidRPr="00A723E8" w:rsidRDefault="00E7294E" w:rsidP="008E68C2">
      <w:pPr>
        <w:spacing w:before="100" w:beforeAutospacing="1" w:after="100" w:afterAutospacing="1"/>
        <w:jc w:val="center"/>
        <w:outlineLvl w:val="1"/>
        <w:rPr>
          <w:b/>
          <w:bCs/>
          <w:sz w:val="36"/>
          <w:szCs w:val="36"/>
        </w:rPr>
      </w:pPr>
      <w:r w:rsidRPr="00A723E8">
        <w:rPr>
          <w:b/>
          <w:bCs/>
          <w:sz w:val="36"/>
          <w:szCs w:val="36"/>
        </w:rPr>
        <w:t>Cross-Site Evaluation of the Minority Substance Abuse/HIV Prevention Program</w:t>
      </w:r>
    </w:p>
    <w:p w:rsidR="00FC2082" w:rsidRPr="00A723E8" w:rsidRDefault="00846D08" w:rsidP="00471C9E">
      <w:pPr>
        <w:jc w:val="center"/>
        <w:outlineLvl w:val="0"/>
        <w:rPr>
          <w:b/>
          <w:sz w:val="28"/>
        </w:rPr>
      </w:pPr>
      <w:r w:rsidRPr="00A723E8">
        <w:rPr>
          <w:b/>
          <w:sz w:val="28"/>
        </w:rPr>
        <w:t>OMB Supporting Statement</w:t>
      </w:r>
    </w:p>
    <w:p w:rsidR="00846D08" w:rsidRPr="00A723E8" w:rsidRDefault="00846D08"/>
    <w:p w:rsidR="002E0F33" w:rsidRPr="00A723E8" w:rsidRDefault="002E0F33" w:rsidP="002E0F33">
      <w:pPr>
        <w:pStyle w:val="Heading2"/>
      </w:pPr>
      <w:r w:rsidRPr="00A723E8">
        <w:t>Part A. Justification</w:t>
      </w:r>
    </w:p>
    <w:p w:rsidR="002E0F33" w:rsidRPr="00A723E8" w:rsidRDefault="002E0F33" w:rsidP="002E0F33">
      <w:pPr>
        <w:pStyle w:val="Heading2"/>
        <w:spacing w:before="120" w:line="360" w:lineRule="auto"/>
      </w:pPr>
      <w:r w:rsidRPr="00A723E8">
        <w:t>A1. Circumstances Necessitating Data Collection</w:t>
      </w:r>
    </w:p>
    <w:p w:rsidR="003752DE" w:rsidRPr="00A723E8" w:rsidRDefault="00877400" w:rsidP="00846D08">
      <w:r w:rsidRPr="00A723E8">
        <w:t xml:space="preserve">The Substance Abuse and Mental Health Services Administration (SAMHSA), Center for Substance Abuse Prevention (CSAP) is requesting approval </w:t>
      </w:r>
      <w:r w:rsidR="00E62713" w:rsidRPr="00A723E8">
        <w:t xml:space="preserve">from the Office of Management and Budget (OMB) </w:t>
      </w:r>
      <w:r w:rsidRPr="00A723E8">
        <w:t xml:space="preserve">for the revision </w:t>
      </w:r>
      <w:r w:rsidR="00153EB0">
        <w:t xml:space="preserve">and reinstatement </w:t>
      </w:r>
      <w:r w:rsidRPr="00A723E8">
        <w:t xml:space="preserve">of data collection activities for the cross-site study of the </w:t>
      </w:r>
      <w:r w:rsidR="00F3627A" w:rsidRPr="00A723E8">
        <w:t xml:space="preserve">Minority </w:t>
      </w:r>
      <w:r w:rsidR="003F3137" w:rsidRPr="00A723E8">
        <w:t>HIV/</w:t>
      </w:r>
      <w:r w:rsidR="00F3627A" w:rsidRPr="00A723E8">
        <w:t>AIDS Initiative (MAI)</w:t>
      </w:r>
      <w:r w:rsidR="00811E4C" w:rsidRPr="00A723E8">
        <w:t>,</w:t>
      </w:r>
      <w:r w:rsidR="00F3627A" w:rsidRPr="00A723E8">
        <w:t xml:space="preserve"> </w:t>
      </w:r>
      <w:r w:rsidR="006D5AA8" w:rsidRPr="00A723E8">
        <w:t xml:space="preserve">which includes both youth and adult </w:t>
      </w:r>
      <w:r w:rsidR="00E40DE5" w:rsidRPr="00A723E8">
        <w:t>questionnaires</w:t>
      </w:r>
      <w:r w:rsidR="001922E7" w:rsidRPr="00A723E8">
        <w:t>.</w:t>
      </w:r>
      <w:r w:rsidR="00E24532" w:rsidRPr="00A723E8">
        <w:t xml:space="preserve"> </w:t>
      </w:r>
      <w:r w:rsidR="003752DE" w:rsidRPr="00A723E8">
        <w:t>This revision includes the addition of 4 cohorts, changes to the data collection procedures based on intervention duration, and the addition of two questions on binge drinking behavior</w:t>
      </w:r>
      <w:r w:rsidR="002972AF">
        <w:t>.</w:t>
      </w:r>
      <w:r w:rsidR="00896D54">
        <w:t xml:space="preserve"> </w:t>
      </w:r>
      <w:r w:rsidR="002972AF">
        <w:t xml:space="preserve">The instruments were also modified to include </w:t>
      </w:r>
      <w:r w:rsidR="00E80409">
        <w:t xml:space="preserve">five </w:t>
      </w:r>
      <w:r w:rsidR="00896D54" w:rsidRPr="00896D54">
        <w:t xml:space="preserve"> items for adults and </w:t>
      </w:r>
      <w:r w:rsidR="00165A76">
        <w:t>two</w:t>
      </w:r>
      <w:r w:rsidR="00896D54" w:rsidRPr="00896D54">
        <w:t xml:space="preserve"> items for youth on military families and deployment</w:t>
      </w:r>
      <w:r w:rsidR="002972AF">
        <w:t xml:space="preserve"> that were recently approved by OMB under the </w:t>
      </w:r>
      <w:r w:rsidR="002972AF" w:rsidRPr="002972AF">
        <w:t>CSAP National Outcomes Measures (NOMs</w:t>
      </w:r>
      <w:r w:rsidR="002972AF">
        <w:t xml:space="preserve">) </w:t>
      </w:r>
      <w:r w:rsidR="002972AF" w:rsidRPr="002972AF">
        <w:t>(OMB # 0930-0230)</w:t>
      </w:r>
      <w:r w:rsidR="00896D54" w:rsidRPr="00896D54">
        <w:t>.</w:t>
      </w:r>
      <w:r w:rsidR="00896D54">
        <w:t xml:space="preserve"> </w:t>
      </w:r>
      <w:r w:rsidR="00811E4C" w:rsidRPr="00A723E8">
        <w:t xml:space="preserve">The current approval </w:t>
      </w:r>
      <w:r w:rsidR="002972AF">
        <w:t xml:space="preserve">for the full cross-site </w:t>
      </w:r>
      <w:r w:rsidR="00153EB0">
        <w:t xml:space="preserve">was </w:t>
      </w:r>
      <w:r w:rsidR="00811E4C" w:rsidRPr="00A723E8">
        <w:t>under OMB No. 0930-0298, which expire</w:t>
      </w:r>
      <w:r w:rsidR="00153EB0">
        <w:t>d</w:t>
      </w:r>
      <w:r w:rsidR="00811E4C" w:rsidRPr="00A723E8">
        <w:t xml:space="preserve"> on</w:t>
      </w:r>
      <w:r w:rsidR="00EC6D38">
        <w:t xml:space="preserve"> </w:t>
      </w:r>
      <w:r w:rsidR="00E62713">
        <w:t>April 30, 2012</w:t>
      </w:r>
      <w:r w:rsidR="009B4190" w:rsidRPr="00A723E8">
        <w:t>.</w:t>
      </w:r>
    </w:p>
    <w:p w:rsidR="003752DE" w:rsidRPr="00A723E8" w:rsidRDefault="003752DE" w:rsidP="00846D08"/>
    <w:p w:rsidR="00846D08" w:rsidRPr="00B44DA2" w:rsidRDefault="00877400" w:rsidP="00846D08">
      <w:pPr>
        <w:rPr>
          <w:rFonts w:asciiTheme="minorHAnsi" w:hAnsiTheme="minorHAnsi" w:cstheme="minorHAnsi"/>
        </w:rPr>
      </w:pPr>
      <w:r w:rsidRPr="00B44DA2">
        <w:rPr>
          <w:rFonts w:asciiTheme="minorHAnsi" w:hAnsiTheme="minorHAnsi" w:cstheme="minorHAnsi"/>
        </w:rPr>
        <w:t xml:space="preserve">This cross-site study supports two of SAMHSA’s </w:t>
      </w:r>
      <w:r w:rsidR="00E62713">
        <w:rPr>
          <w:rFonts w:asciiTheme="minorHAnsi" w:hAnsiTheme="minorHAnsi" w:cstheme="minorHAnsi"/>
        </w:rPr>
        <w:t>eight</w:t>
      </w:r>
      <w:r w:rsidR="00E62713" w:rsidRPr="00B44DA2">
        <w:rPr>
          <w:rFonts w:asciiTheme="minorHAnsi" w:hAnsiTheme="minorHAnsi" w:cstheme="minorHAnsi"/>
        </w:rPr>
        <w:t xml:space="preserve"> </w:t>
      </w:r>
      <w:r w:rsidRPr="00B44DA2">
        <w:rPr>
          <w:rFonts w:asciiTheme="minorHAnsi" w:hAnsiTheme="minorHAnsi" w:cstheme="minorHAnsi"/>
        </w:rPr>
        <w:t>Strategic Initiatives: Prevention of Substance Abuse and Mental Illness</w:t>
      </w:r>
      <w:r w:rsidR="00E62713">
        <w:rPr>
          <w:rFonts w:asciiTheme="minorHAnsi" w:hAnsiTheme="minorHAnsi" w:cstheme="minorHAnsi"/>
        </w:rPr>
        <w:t>,</w:t>
      </w:r>
      <w:r w:rsidRPr="00B44DA2">
        <w:rPr>
          <w:rFonts w:asciiTheme="minorHAnsi" w:hAnsiTheme="minorHAnsi" w:cstheme="minorHAnsi"/>
        </w:rPr>
        <w:t xml:space="preserve"> and Data, Outcomes, and Quality.</w:t>
      </w:r>
      <w:r w:rsidR="00165A76" w:rsidRPr="00B44DA2">
        <w:rPr>
          <w:rFonts w:asciiTheme="minorHAnsi" w:hAnsiTheme="minorHAnsi" w:cstheme="minorHAnsi"/>
        </w:rPr>
        <w:t xml:space="preserve">  The participating MAI grantees are community based organizations who serve high risk minority populations </w:t>
      </w:r>
      <w:r w:rsidR="00036DC6" w:rsidRPr="00B44DA2">
        <w:rPr>
          <w:rFonts w:asciiTheme="minorHAnsi" w:hAnsiTheme="minorHAnsi" w:cstheme="minorHAnsi"/>
        </w:rPr>
        <w:t>with the goal of</w:t>
      </w:r>
      <w:r w:rsidR="00165A76" w:rsidRPr="00B44DA2">
        <w:rPr>
          <w:rFonts w:asciiTheme="minorHAnsi" w:hAnsiTheme="minorHAnsi" w:cstheme="minorHAnsi"/>
        </w:rPr>
        <w:t xml:space="preserve"> prevent</w:t>
      </w:r>
      <w:r w:rsidR="00036DC6" w:rsidRPr="00B44DA2">
        <w:rPr>
          <w:rFonts w:asciiTheme="minorHAnsi" w:hAnsiTheme="minorHAnsi" w:cstheme="minorHAnsi"/>
        </w:rPr>
        <w:t xml:space="preserve">ing </w:t>
      </w:r>
      <w:r w:rsidR="00165A76" w:rsidRPr="00B44DA2">
        <w:rPr>
          <w:rFonts w:asciiTheme="minorHAnsi" w:hAnsiTheme="minorHAnsi" w:cstheme="minorHAnsi"/>
        </w:rPr>
        <w:t>substance abuse</w:t>
      </w:r>
      <w:r w:rsidR="00465B76">
        <w:rPr>
          <w:rFonts w:asciiTheme="minorHAnsi" w:hAnsiTheme="minorHAnsi" w:cstheme="minorHAnsi"/>
        </w:rPr>
        <w:t>,</w:t>
      </w:r>
      <w:r w:rsidR="00165A76" w:rsidRPr="00B44DA2">
        <w:rPr>
          <w:rFonts w:asciiTheme="minorHAnsi" w:hAnsiTheme="minorHAnsi" w:cstheme="minorHAnsi"/>
        </w:rPr>
        <w:t xml:space="preserve"> which is a risk factor for acquiring HIV.  They do this by implementing evidence-based prevention interventions which have been proven to be effective and measuring their </w:t>
      </w:r>
      <w:r w:rsidR="00036DC6" w:rsidRPr="00B44DA2">
        <w:rPr>
          <w:rFonts w:asciiTheme="minorHAnsi" w:hAnsiTheme="minorHAnsi" w:cstheme="minorHAnsi"/>
        </w:rPr>
        <w:t>outcomes</w:t>
      </w:r>
      <w:r w:rsidR="00165A76" w:rsidRPr="00B44DA2">
        <w:rPr>
          <w:rFonts w:asciiTheme="minorHAnsi" w:hAnsiTheme="minorHAnsi" w:cstheme="minorHAnsi"/>
        </w:rPr>
        <w:t xml:space="preserve">. </w:t>
      </w:r>
      <w:r w:rsidRPr="00B44DA2">
        <w:rPr>
          <w:rFonts w:asciiTheme="minorHAnsi" w:hAnsiTheme="minorHAnsi" w:cstheme="minorHAnsi"/>
        </w:rPr>
        <w:t xml:space="preserve"> </w:t>
      </w:r>
      <w:r w:rsidR="00036DC6" w:rsidRPr="00B44DA2">
        <w:rPr>
          <w:rFonts w:asciiTheme="minorHAnsi" w:hAnsiTheme="minorHAnsi" w:cstheme="minorHAnsi"/>
        </w:rPr>
        <w:t>Specifically, t</w:t>
      </w:r>
      <w:r w:rsidR="00846D08" w:rsidRPr="00B44DA2">
        <w:rPr>
          <w:rFonts w:asciiTheme="minorHAnsi" w:hAnsiTheme="minorHAnsi" w:cstheme="minorHAnsi"/>
        </w:rPr>
        <w:t xml:space="preserve">he primary objectives of the </w:t>
      </w:r>
      <w:r w:rsidR="006A6ADC" w:rsidRPr="00B44DA2">
        <w:rPr>
          <w:rFonts w:asciiTheme="minorHAnsi" w:hAnsiTheme="minorHAnsi" w:cstheme="minorHAnsi"/>
        </w:rPr>
        <w:t>cross-site</w:t>
      </w:r>
      <w:r w:rsidR="00277829" w:rsidRPr="00B44DA2">
        <w:rPr>
          <w:rFonts w:asciiTheme="minorHAnsi" w:hAnsiTheme="minorHAnsi" w:cstheme="minorHAnsi"/>
        </w:rPr>
        <w:t xml:space="preserve"> study </w:t>
      </w:r>
      <w:r w:rsidR="001A3730" w:rsidRPr="00B44DA2">
        <w:rPr>
          <w:rFonts w:asciiTheme="minorHAnsi" w:hAnsiTheme="minorHAnsi" w:cstheme="minorHAnsi"/>
        </w:rPr>
        <w:t xml:space="preserve">are </w:t>
      </w:r>
      <w:r w:rsidR="00277829" w:rsidRPr="00B44DA2">
        <w:rPr>
          <w:rFonts w:asciiTheme="minorHAnsi" w:hAnsiTheme="minorHAnsi" w:cstheme="minorHAnsi"/>
        </w:rPr>
        <w:t>to:</w:t>
      </w:r>
    </w:p>
    <w:p w:rsidR="00846D08" w:rsidRPr="00A723E8" w:rsidRDefault="00846D08" w:rsidP="00846D08"/>
    <w:p w:rsidR="00C7635A" w:rsidRPr="00A723E8" w:rsidRDefault="00C7635A" w:rsidP="002C06C2">
      <w:pPr>
        <w:numPr>
          <w:ilvl w:val="0"/>
          <w:numId w:val="11"/>
        </w:numPr>
      </w:pPr>
      <w:r w:rsidRPr="00A723E8">
        <w:t xml:space="preserve">Determine the success of the MAI in preventing, delaying, and/or reducing the </w:t>
      </w:r>
      <w:r w:rsidR="006A1553">
        <w:t xml:space="preserve">substance </w:t>
      </w:r>
      <w:proofErr w:type="gramStart"/>
      <w:r w:rsidRPr="00A723E8">
        <w:t>use  among</w:t>
      </w:r>
      <w:proofErr w:type="gramEnd"/>
      <w:r w:rsidRPr="00A723E8">
        <w:t xml:space="preserve"> the target populations. </w:t>
      </w:r>
    </w:p>
    <w:p w:rsidR="00846D08" w:rsidRPr="00A723E8" w:rsidRDefault="00846D08" w:rsidP="002C06C2">
      <w:pPr>
        <w:numPr>
          <w:ilvl w:val="0"/>
          <w:numId w:val="11"/>
        </w:numPr>
      </w:pPr>
      <w:r w:rsidRPr="00A723E8">
        <w:t xml:space="preserve">Measure the effectiveness of </w:t>
      </w:r>
      <w:r w:rsidR="00277829" w:rsidRPr="00A723E8">
        <w:t xml:space="preserve">evidence-based programs and infrastructure development activities such </w:t>
      </w:r>
      <w:r w:rsidR="006A793A" w:rsidRPr="00A723E8">
        <w:t>as</w:t>
      </w:r>
      <w:r w:rsidR="00F06A4D" w:rsidRPr="00A723E8">
        <w:t>:</w:t>
      </w:r>
      <w:r w:rsidR="006A793A" w:rsidRPr="00A723E8">
        <w:t xml:space="preserve"> outreach</w:t>
      </w:r>
      <w:r w:rsidR="00277829" w:rsidRPr="00A723E8">
        <w:t xml:space="preserve"> and training, mo</w:t>
      </w:r>
      <w:r w:rsidR="00F3627A" w:rsidRPr="00A723E8">
        <w:t>bilization of key stakeholders,</w:t>
      </w:r>
      <w:r w:rsidR="00277829" w:rsidRPr="00A723E8">
        <w:t xml:space="preserve"> substance abuse and HIV/</w:t>
      </w:r>
      <w:r w:rsidR="006A793A" w:rsidRPr="00A723E8">
        <w:t>AIDS counseling</w:t>
      </w:r>
      <w:r w:rsidR="00277829" w:rsidRPr="00A723E8">
        <w:t xml:space="preserve"> and education, referrals to appropriate medical treatment and/or other </w:t>
      </w:r>
      <w:r w:rsidRPr="00A723E8">
        <w:t xml:space="preserve">intervention strategies </w:t>
      </w:r>
      <w:r w:rsidR="00F06A4D" w:rsidRPr="00A723E8">
        <w:t>(i.e., c</w:t>
      </w:r>
      <w:r w:rsidRPr="00A723E8">
        <w:t xml:space="preserve">ultural enrichment activities, </w:t>
      </w:r>
      <w:r w:rsidR="00E62713">
        <w:t xml:space="preserve">providing </w:t>
      </w:r>
      <w:r w:rsidRPr="00A723E8">
        <w:t xml:space="preserve">educational and vocational resources, </w:t>
      </w:r>
      <w:r w:rsidR="00F06A4D" w:rsidRPr="00A723E8">
        <w:t>and</w:t>
      </w:r>
      <w:r w:rsidRPr="00A723E8">
        <w:t xml:space="preserve"> computer-based curricula</w:t>
      </w:r>
      <w:r w:rsidR="00F06A4D" w:rsidRPr="00A723E8">
        <w:t>)</w:t>
      </w:r>
      <w:r w:rsidR="00F3627A" w:rsidRPr="00A723E8">
        <w:t>.</w:t>
      </w:r>
    </w:p>
    <w:p w:rsidR="00C7635A" w:rsidRPr="00A723E8" w:rsidRDefault="00C7635A" w:rsidP="002C06C2">
      <w:pPr>
        <w:numPr>
          <w:ilvl w:val="0"/>
          <w:numId w:val="11"/>
        </w:numPr>
      </w:pPr>
      <w:r w:rsidRPr="00A723E8">
        <w:t>Assess the process of adopting and implementing the Strategic Prevention Framework (SPF) with the target populations.</w:t>
      </w:r>
    </w:p>
    <w:p w:rsidR="00846D08" w:rsidRPr="00A723E8" w:rsidRDefault="00846D08" w:rsidP="00846D08"/>
    <w:p w:rsidR="006F598D" w:rsidRPr="00A723E8" w:rsidRDefault="006F598D"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w:t>
      </w:r>
      <w:r w:rsidR="00CB0124" w:rsidRPr="00A723E8">
        <w:t>is pr</w:t>
      </w:r>
      <w:r w:rsidRPr="00A723E8">
        <w:t>ogram is</w:t>
      </w:r>
      <w:r w:rsidR="00CB0124" w:rsidRPr="00A723E8">
        <w:t xml:space="preserve"> authori</w:t>
      </w:r>
      <w:r w:rsidRPr="00A723E8">
        <w:t>z</w:t>
      </w:r>
      <w:r w:rsidR="00CB0124" w:rsidRPr="00A723E8">
        <w:t xml:space="preserve">ed by </w:t>
      </w:r>
      <w:r w:rsidR="001A3730" w:rsidRPr="00A723E8">
        <w:t>Section 5</w:t>
      </w:r>
      <w:r w:rsidR="00011448" w:rsidRPr="00A723E8">
        <w:t>16 of</w:t>
      </w:r>
      <w:r w:rsidR="001A3730" w:rsidRPr="00A723E8">
        <w:t xml:space="preserve"> the Public Health </w:t>
      </w:r>
      <w:r w:rsidR="00032379" w:rsidRPr="00A723E8">
        <w:t>Service</w:t>
      </w:r>
      <w:r w:rsidR="001A3730" w:rsidRPr="00A723E8">
        <w:t xml:space="preserve"> Act, as amended</w:t>
      </w:r>
      <w:r w:rsidR="003D28DB" w:rsidRPr="00A723E8">
        <w:t>,</w:t>
      </w:r>
      <w:r w:rsidR="001A3730" w:rsidRPr="00A723E8">
        <w:t xml:space="preserve"> and subje</w:t>
      </w:r>
      <w:r w:rsidR="003F3137" w:rsidRPr="00A723E8">
        <w:t>ct to the availability of funds</w:t>
      </w:r>
      <w:r w:rsidR="00011448" w:rsidRPr="00A723E8">
        <w:t xml:space="preserve">. </w:t>
      </w:r>
      <w:r w:rsidR="001A3730" w:rsidRPr="00A723E8">
        <w:t>It was support</w:t>
      </w:r>
      <w:r w:rsidR="00F3627A" w:rsidRPr="00A723E8">
        <w:t>ed</w:t>
      </w:r>
      <w:r w:rsidR="001A3730" w:rsidRPr="00A723E8">
        <w:t xml:space="preserve"> by the </w:t>
      </w:r>
      <w:r w:rsidR="00CB0124" w:rsidRPr="00A723E8">
        <w:t>Congressi</w:t>
      </w:r>
      <w:r w:rsidRPr="00A723E8">
        <w:t>on</w:t>
      </w:r>
      <w:r w:rsidR="00CB0124" w:rsidRPr="00A723E8">
        <w:t xml:space="preserve">al Black Caucus through its Conference </w:t>
      </w:r>
      <w:r w:rsidRPr="00A723E8">
        <w:t>R</w:t>
      </w:r>
      <w:r w:rsidR="00CB0124" w:rsidRPr="00A723E8">
        <w:t>eport on H.R. 4328, Making Omnibus Consolidated and Emergency Suppl</w:t>
      </w:r>
      <w:r w:rsidRPr="00A723E8">
        <w:t>e</w:t>
      </w:r>
      <w:r w:rsidR="00CB0124" w:rsidRPr="00A723E8">
        <w:t xml:space="preserve">mental </w:t>
      </w:r>
      <w:r w:rsidR="00032379" w:rsidRPr="00A723E8">
        <w:t>Appropriation</w:t>
      </w:r>
      <w:r w:rsidR="00837384" w:rsidRPr="00A723E8">
        <w:t>s Act,</w:t>
      </w:r>
      <w:r w:rsidR="00CB0124" w:rsidRPr="00A723E8">
        <w:t xml:space="preserve"> for FY 199</w:t>
      </w:r>
      <w:r w:rsidRPr="00A723E8">
        <w:t>8</w:t>
      </w:r>
      <w:r w:rsidR="00011448" w:rsidRPr="00A723E8">
        <w:t xml:space="preserve"> </w:t>
      </w:r>
      <w:r w:rsidR="00CB0124" w:rsidRPr="00A723E8">
        <w:t>(</w:t>
      </w:r>
      <w:r w:rsidRPr="00A723E8">
        <w:t>House</w:t>
      </w:r>
      <w:r w:rsidR="00CB0124" w:rsidRPr="00A723E8">
        <w:t xml:space="preserve"> of Represe</w:t>
      </w:r>
      <w:r w:rsidRPr="00A723E8">
        <w:t>n</w:t>
      </w:r>
      <w:r w:rsidR="001A3730" w:rsidRPr="00A723E8">
        <w:t>tatives, October 19, 1998</w:t>
      </w:r>
      <w:r w:rsidR="00F3627A" w:rsidRPr="00A723E8">
        <w:t>)</w:t>
      </w:r>
      <w:r w:rsidR="003D28DB" w:rsidRPr="00A723E8">
        <w:t>,</w:t>
      </w:r>
      <w:r w:rsidR="00CB0124" w:rsidRPr="00A723E8">
        <w:t xml:space="preserve"> to address prev</w:t>
      </w:r>
      <w:r w:rsidRPr="00A723E8">
        <w:t>en</w:t>
      </w:r>
      <w:r w:rsidR="00CB0124" w:rsidRPr="00A723E8">
        <w:t>tion and t</w:t>
      </w:r>
      <w:r w:rsidRPr="00A723E8">
        <w:t>re</w:t>
      </w:r>
      <w:r w:rsidR="00CB0124" w:rsidRPr="00A723E8">
        <w:t xml:space="preserve">atment needs </w:t>
      </w:r>
      <w:r w:rsidR="00CB0124" w:rsidRPr="00A723E8">
        <w:lastRenderedPageBreak/>
        <w:t>of minority communit</w:t>
      </w:r>
      <w:r w:rsidRPr="00A723E8">
        <w:t>i</w:t>
      </w:r>
      <w:r w:rsidR="00CB0124" w:rsidRPr="00A723E8">
        <w:t xml:space="preserve">es that are </w:t>
      </w:r>
      <w:r w:rsidR="002A27DE" w:rsidRPr="00A723E8">
        <w:t>disproportionately</w:t>
      </w:r>
      <w:r w:rsidR="00422597" w:rsidRPr="00A723E8">
        <w:t xml:space="preserve"> </w:t>
      </w:r>
      <w:r w:rsidR="00CB0124" w:rsidRPr="00A723E8">
        <w:t>affected by HIV/AIDS</w:t>
      </w:r>
      <w:r w:rsidR="006540C2" w:rsidRPr="00A723E8">
        <w:t xml:space="preserve">.  </w:t>
      </w:r>
      <w:r w:rsidRPr="00A723E8">
        <w:t xml:space="preserve"> It</w:t>
      </w:r>
      <w:r w:rsidR="00CB0124" w:rsidRPr="00A723E8">
        <w:t xml:space="preserve"> builds on pr</w:t>
      </w:r>
      <w:r w:rsidRPr="00A723E8">
        <w:t>e</w:t>
      </w:r>
      <w:r w:rsidR="00CB0124" w:rsidRPr="00A723E8">
        <w:t>viou</w:t>
      </w:r>
      <w:r w:rsidRPr="00A723E8">
        <w:t>s</w:t>
      </w:r>
      <w:r w:rsidR="00CB0124" w:rsidRPr="00A723E8">
        <w:t>ly authorized programs addressing these issues</w:t>
      </w:r>
      <w:r w:rsidRPr="00A723E8">
        <w:t xml:space="preserve"> </w:t>
      </w:r>
      <w:r w:rsidR="00380AFE" w:rsidRPr="00A723E8">
        <w:t>(</w:t>
      </w:r>
      <w:r w:rsidRPr="00A723E8">
        <w:t>discussed below</w:t>
      </w:r>
      <w:r w:rsidR="00380AFE" w:rsidRPr="00A723E8">
        <w:t>)</w:t>
      </w:r>
      <w:r w:rsidR="00CB0124" w:rsidRPr="00A723E8">
        <w:t xml:space="preserve">. </w:t>
      </w:r>
    </w:p>
    <w:p w:rsidR="00C7635A" w:rsidRPr="00A723E8" w:rsidRDefault="00C7635A"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6D08" w:rsidRPr="00A723E8"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Although several Federal agencies have mandates to fund projects targeting </w:t>
      </w:r>
      <w:r w:rsidR="001A4E71" w:rsidRPr="00A723E8">
        <w:t xml:space="preserve">minority and minority </w:t>
      </w:r>
      <w:r w:rsidR="006A6ADC" w:rsidRPr="00A723E8">
        <w:t>re-entry</w:t>
      </w:r>
      <w:r w:rsidR="001A4E71" w:rsidRPr="00A723E8">
        <w:t xml:space="preserve"> populations</w:t>
      </w:r>
      <w:r w:rsidRPr="00A723E8">
        <w:t xml:space="preserve"> who are at risk for substance </w:t>
      </w:r>
      <w:r w:rsidR="005E6B63" w:rsidRPr="00A723E8">
        <w:t>use</w:t>
      </w:r>
      <w:r w:rsidR="00422597" w:rsidRPr="00A723E8">
        <w:t xml:space="preserve"> and</w:t>
      </w:r>
      <w:r w:rsidR="005E6B63" w:rsidRPr="00A723E8">
        <w:t xml:space="preserve"> HIV</w:t>
      </w:r>
      <w:r w:rsidR="001A4E71" w:rsidRPr="00A723E8">
        <w:t xml:space="preserve">/AIDS, very little is </w:t>
      </w:r>
      <w:r w:rsidR="006A793A" w:rsidRPr="00A723E8">
        <w:t>known about</w:t>
      </w:r>
      <w:r w:rsidRPr="00A723E8">
        <w:t xml:space="preserve"> the efficacy of such programs once they become widely disseminated. Prior efforts to evaluate </w:t>
      </w:r>
      <w:r w:rsidR="006540C2" w:rsidRPr="00A723E8">
        <w:t xml:space="preserve">Federal </w:t>
      </w:r>
      <w:r w:rsidRPr="00A723E8">
        <w:t xml:space="preserve">substance use prevention initiatives targeting at-risk </w:t>
      </w:r>
      <w:r w:rsidR="001A4E71" w:rsidRPr="00A723E8">
        <w:t>populations</w:t>
      </w:r>
      <w:r w:rsidRPr="00A723E8">
        <w:t xml:space="preserve"> have focused on highly </w:t>
      </w:r>
      <w:r w:rsidR="00FF14BD" w:rsidRPr="00A723E8">
        <w:t xml:space="preserve">specific </w:t>
      </w:r>
      <w:r w:rsidRPr="00A723E8">
        <w:t xml:space="preserve">program models and strictly defined target </w:t>
      </w:r>
      <w:r w:rsidR="006540C2" w:rsidRPr="00A723E8">
        <w:t xml:space="preserve">populations </w:t>
      </w:r>
      <w:r w:rsidRPr="00A723E8">
        <w:t xml:space="preserve">or have been hampered by lack of valid instrumentation and poor </w:t>
      </w:r>
      <w:r w:rsidR="001A4E71" w:rsidRPr="00A723E8">
        <w:t xml:space="preserve">study </w:t>
      </w:r>
      <w:r w:rsidRPr="00A723E8">
        <w:t xml:space="preserve">design. </w:t>
      </w:r>
      <w:r w:rsidR="006540C2" w:rsidRPr="00A723E8">
        <w:t>Although</w:t>
      </w:r>
      <w:r w:rsidR="00380AFE" w:rsidRPr="00A723E8">
        <w:t xml:space="preserve"> models </w:t>
      </w:r>
      <w:r w:rsidR="006540C2" w:rsidRPr="00A723E8">
        <w:t>have been</w:t>
      </w:r>
      <w:r w:rsidR="00380AFE" w:rsidRPr="00A723E8">
        <w:t xml:space="preserve"> disseminated to community-based agencies (</w:t>
      </w:r>
      <w:r w:rsidR="00B54449" w:rsidRPr="00A723E8">
        <w:t>that</w:t>
      </w:r>
      <w:r w:rsidR="00380AFE" w:rsidRPr="00A723E8">
        <w:t xml:space="preserve"> typically implement these programs under less rigorous and controlled parameters), measures and e</w:t>
      </w:r>
      <w:r w:rsidRPr="00A723E8">
        <w:t xml:space="preserve">fforts to assess outcomes </w:t>
      </w:r>
      <w:r w:rsidR="00B54449" w:rsidRPr="00A723E8">
        <w:t>were</w:t>
      </w:r>
      <w:r w:rsidRPr="00A723E8">
        <w:t xml:space="preserve"> </w:t>
      </w:r>
      <w:r w:rsidR="00B54449" w:rsidRPr="00A723E8">
        <w:t xml:space="preserve">inadequate and/or </w:t>
      </w:r>
      <w:r w:rsidRPr="00A723E8">
        <w:t>not sufficient</w:t>
      </w:r>
      <w:r w:rsidR="000509DF" w:rsidRPr="00A723E8">
        <w:t>ly designed</w:t>
      </w:r>
      <w:r w:rsidRPr="00A723E8">
        <w:t xml:space="preserve"> to determine the true impact of these interventions. In addition, the link between </w:t>
      </w:r>
      <w:r w:rsidR="001A4E71" w:rsidRPr="00A723E8">
        <w:t xml:space="preserve">substance abuse and HIV/AIDS </w:t>
      </w:r>
      <w:r w:rsidRPr="00A723E8">
        <w:t xml:space="preserve">outcomes has not been evaluated for these programs </w:t>
      </w:r>
      <w:r w:rsidR="002E74FC" w:rsidRPr="00A723E8">
        <w:t>or</w:t>
      </w:r>
      <w:r w:rsidRPr="00A723E8">
        <w:t xml:space="preserve"> </w:t>
      </w:r>
      <w:r w:rsidR="00011448" w:rsidRPr="00A723E8">
        <w:t>in local community settings</w:t>
      </w:r>
      <w:r w:rsidR="002E74FC" w:rsidRPr="00A723E8">
        <w:t>.</w:t>
      </w:r>
    </w:p>
    <w:p w:rsidR="00846D08" w:rsidRPr="00A723E8"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6D08" w:rsidRPr="00A723E8"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Literature searches within SAMHSA’s three centers and with five other Federal agencies were conducted to identify studies with similar goals and expected outcomes. </w:t>
      </w:r>
      <w:r w:rsidR="006540C2" w:rsidRPr="00A723E8">
        <w:t>These searches have indicate</w:t>
      </w:r>
      <w:r w:rsidR="00C7635A" w:rsidRPr="00A723E8">
        <w:t>d</w:t>
      </w:r>
      <w:r w:rsidR="006540C2" w:rsidRPr="00A723E8">
        <w:t xml:space="preserve"> that n</w:t>
      </w:r>
      <w:r w:rsidRPr="00A723E8">
        <w:t xml:space="preserve">o similar study has been conducted </w:t>
      </w:r>
      <w:r w:rsidR="006540C2" w:rsidRPr="00A723E8">
        <w:t>which</w:t>
      </w:r>
      <w:r w:rsidR="00380AFE" w:rsidRPr="00A723E8">
        <w:t xml:space="preserve"> </w:t>
      </w:r>
      <w:r w:rsidRPr="00A723E8">
        <w:t>examin</w:t>
      </w:r>
      <w:r w:rsidR="00380AFE" w:rsidRPr="00A723E8">
        <w:t>es</w:t>
      </w:r>
      <w:r w:rsidRPr="00A723E8">
        <w:t xml:space="preserve"> </w:t>
      </w:r>
      <w:r w:rsidR="00182EF3" w:rsidRPr="00A723E8">
        <w:t xml:space="preserve">prevention initiatives regarding </w:t>
      </w:r>
      <w:r w:rsidR="006D369D" w:rsidRPr="00A723E8">
        <w:t>substance abuse (</w:t>
      </w:r>
      <w:r w:rsidR="00700B27" w:rsidRPr="00A723E8">
        <w:t>SA</w:t>
      </w:r>
      <w:r w:rsidR="006D369D" w:rsidRPr="00A723E8">
        <w:t>)</w:t>
      </w:r>
      <w:r w:rsidR="00011448" w:rsidRPr="00A723E8">
        <w:t xml:space="preserve"> in relation to</w:t>
      </w:r>
      <w:r w:rsidRPr="00A723E8">
        <w:t xml:space="preserve"> HIV/AIDS</w:t>
      </w:r>
      <w:r w:rsidR="00182EF3" w:rsidRPr="00A723E8">
        <w:t>.</w:t>
      </w:r>
      <w:r w:rsidRPr="00A723E8">
        <w:t xml:space="preserve"> Even though the present </w:t>
      </w:r>
      <w:r w:rsidR="006A6ADC" w:rsidRPr="00A723E8">
        <w:t>cross-site</w:t>
      </w:r>
      <w:r w:rsidR="00277829" w:rsidRPr="00A723E8">
        <w:t xml:space="preserve"> study</w:t>
      </w:r>
      <w:r w:rsidRPr="00A723E8">
        <w:t xml:space="preserve"> is unique from others that have been conducted in the field, information generated from these literature searches has sharpened the present </w:t>
      </w:r>
      <w:r w:rsidR="006A6ADC" w:rsidRPr="00A723E8">
        <w:t>cross-site</w:t>
      </w:r>
      <w:r w:rsidR="001A4E71" w:rsidRPr="00A723E8">
        <w:t xml:space="preserve"> study</w:t>
      </w:r>
      <w:r w:rsidRPr="00A723E8">
        <w:t xml:space="preserve"> design and enhanced the likely utility of </w:t>
      </w:r>
      <w:r w:rsidR="005E6B63" w:rsidRPr="00A723E8">
        <w:t>the results</w:t>
      </w:r>
      <w:r w:rsidRPr="00A723E8">
        <w:t>.</w:t>
      </w:r>
    </w:p>
    <w:p w:rsidR="00846D08" w:rsidRPr="00A723E8" w:rsidRDefault="00846D08" w:rsidP="00846D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57BB" w:rsidRPr="00A723E8" w:rsidRDefault="001A4E71"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The </w:t>
      </w:r>
      <w:r w:rsidR="006A6ADC" w:rsidRPr="00A723E8">
        <w:t>cross-site</w:t>
      </w:r>
      <w:r w:rsidRPr="00A723E8">
        <w:t xml:space="preserve"> </w:t>
      </w:r>
      <w:r w:rsidR="00205056" w:rsidRPr="00A723E8">
        <w:t>study</w:t>
      </w:r>
      <w:r w:rsidRPr="00A723E8">
        <w:t xml:space="preserve"> is scientifically appropriate, employs measures to safeguard the privacy and </w:t>
      </w:r>
      <w:r w:rsidR="00962E70" w:rsidRPr="00A723E8">
        <w:t xml:space="preserve">security </w:t>
      </w:r>
      <w:r w:rsidRPr="00A723E8">
        <w:t>of participants</w:t>
      </w:r>
      <w:r w:rsidR="00962E70" w:rsidRPr="00A723E8">
        <w:t>’ responses</w:t>
      </w:r>
      <w:r w:rsidRPr="00A723E8">
        <w:t xml:space="preserve">, and supports </w:t>
      </w:r>
      <w:r w:rsidR="006727C3" w:rsidRPr="00A723E8">
        <w:t xml:space="preserve">the </w:t>
      </w:r>
      <w:r w:rsidRPr="00A723E8">
        <w:t xml:space="preserve">program and study needs of multiple Federal </w:t>
      </w:r>
      <w:r w:rsidR="005D76A6" w:rsidRPr="00A723E8">
        <w:t>agencies.</w:t>
      </w:r>
      <w:r w:rsidRPr="00A723E8">
        <w:t xml:space="preserve"> </w:t>
      </w:r>
      <w:r w:rsidR="00F557BB" w:rsidRPr="00A723E8">
        <w:t xml:space="preserve">Sample size, respondent burden, and intrusiveness have been minimized to be consistent with cross-site </w:t>
      </w:r>
      <w:r w:rsidR="004A31FB" w:rsidRPr="00A723E8">
        <w:t>study</w:t>
      </w:r>
      <w:r w:rsidR="00F557BB" w:rsidRPr="00A723E8">
        <w:t xml:space="preserve"> objectives. </w:t>
      </w:r>
      <w:r w:rsidR="00B54449" w:rsidRPr="00A723E8">
        <w:t>To minimize</w:t>
      </w:r>
      <w:r w:rsidR="00532C61" w:rsidRPr="00A723E8">
        <w:t xml:space="preserve"> and control</w:t>
      </w:r>
      <w:r w:rsidR="00B54449" w:rsidRPr="00A723E8">
        <w:t xml:space="preserve"> respondent burden</w:t>
      </w:r>
      <w:r w:rsidR="00532C61" w:rsidRPr="00A723E8">
        <w:t xml:space="preserve"> and to ensure the user-relevance of questions,</w:t>
      </w:r>
      <w:r w:rsidR="00B54449" w:rsidRPr="00A723E8">
        <w:t xml:space="preserve"> e</w:t>
      </w:r>
      <w:r w:rsidR="00F557BB" w:rsidRPr="00A723E8">
        <w:t>very effort has been made to coordinate</w:t>
      </w:r>
      <w:r w:rsidR="00437A61" w:rsidRPr="00A723E8">
        <w:t xml:space="preserve"> </w:t>
      </w:r>
      <w:r w:rsidR="00F557BB" w:rsidRPr="00A723E8">
        <w:t>cross-site data collection with local data collection efforts</w:t>
      </w:r>
      <w:r w:rsidR="00532C61" w:rsidRPr="00A723E8">
        <w:t>,</w:t>
      </w:r>
      <w:r w:rsidR="006727C3" w:rsidRPr="00A723E8">
        <w:t xml:space="preserve"> including pilot testing</w:t>
      </w:r>
      <w:r w:rsidR="00532C61" w:rsidRPr="00A723E8">
        <w:t>.</w:t>
      </w:r>
    </w:p>
    <w:p w:rsidR="00532C61" w:rsidRPr="00A723E8" w:rsidRDefault="00532C61"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557BB" w:rsidRPr="00A723E8" w:rsidRDefault="00F557B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The </w:t>
      </w:r>
      <w:r w:rsidR="006A6ADC" w:rsidRPr="00A723E8">
        <w:t>cross-site</w:t>
      </w:r>
      <w:r w:rsidR="004A31FB" w:rsidRPr="00A723E8">
        <w:t xml:space="preserve"> study</w:t>
      </w:r>
      <w:r w:rsidRPr="00A723E8">
        <w:t xml:space="preserve"> results will have significant implications for the substance abuse</w:t>
      </w:r>
      <w:r w:rsidR="00422597" w:rsidRPr="00A723E8">
        <w:t xml:space="preserve"> and</w:t>
      </w:r>
      <w:r w:rsidRPr="00A723E8">
        <w:t xml:space="preserve"> HIV/AIDS prevention field, the allocation of grant funds, and other evaluation activities conducted by multiple Federal, </w:t>
      </w:r>
      <w:r w:rsidR="00532C61" w:rsidRPr="00A723E8">
        <w:t>S</w:t>
      </w:r>
      <w:r w:rsidRPr="00A723E8">
        <w:t xml:space="preserve">tate, and local government agencies. The results will be used to develop </w:t>
      </w:r>
      <w:r w:rsidR="006727C3" w:rsidRPr="00A723E8">
        <w:t>F</w:t>
      </w:r>
      <w:r w:rsidRPr="00A723E8">
        <w:t>ederal policy in support of CSAP program initiatives, inform the public of lessons learned and findings, improve existing programs, and promote replication and dissemination of effective prevention strategies.</w:t>
      </w:r>
    </w:p>
    <w:p w:rsidR="00E26DA7" w:rsidRPr="00A723E8" w:rsidRDefault="00E26DA7"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0D2FB6" w:rsidRPr="00A723E8" w:rsidRDefault="000D2FB6"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sidRPr="00A723E8">
        <w:rPr>
          <w:b/>
        </w:rPr>
        <w:t>Background</w:t>
      </w:r>
    </w:p>
    <w:p w:rsidR="003949C7" w:rsidRPr="00A723E8" w:rsidRDefault="003949C7" w:rsidP="00471C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0434E2" w:rsidRPr="00A723E8" w:rsidRDefault="0003237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Epidemiological studies on the dynamics of substance abuse</w:t>
      </w:r>
      <w:r w:rsidR="00422597" w:rsidRPr="00A723E8">
        <w:t xml:space="preserve"> and</w:t>
      </w:r>
      <w:r w:rsidRPr="00A723E8">
        <w:t xml:space="preserve"> HIV</w:t>
      </w:r>
      <w:r w:rsidR="006727C3" w:rsidRPr="00A723E8">
        <w:t>/AIDS</w:t>
      </w:r>
      <w:r w:rsidRPr="00A723E8">
        <w:t xml:space="preserve"> demonstrate a continued need to reach</w:t>
      </w:r>
      <w:r w:rsidR="006727C3" w:rsidRPr="00A723E8">
        <w:t xml:space="preserve"> out to</w:t>
      </w:r>
      <w:r w:rsidRPr="00A723E8">
        <w:t xml:space="preserve"> communities of color, particularly </w:t>
      </w:r>
      <w:r w:rsidR="006727C3" w:rsidRPr="00A723E8">
        <w:t xml:space="preserve">to </w:t>
      </w:r>
      <w:r w:rsidRPr="00A723E8">
        <w:t>those reporting high rates of HIV</w:t>
      </w:r>
      <w:r w:rsidR="006727C3" w:rsidRPr="00A723E8">
        <w:t>/AIDS</w:t>
      </w:r>
      <w:r w:rsidR="00422597" w:rsidRPr="00A723E8">
        <w:t xml:space="preserve"> </w:t>
      </w:r>
      <w:r w:rsidRPr="00A723E8">
        <w:t xml:space="preserve">and </w:t>
      </w:r>
      <w:r w:rsidR="00422597" w:rsidRPr="00A723E8">
        <w:t xml:space="preserve">other </w:t>
      </w:r>
      <w:r w:rsidRPr="00A723E8">
        <w:t xml:space="preserve">sexually transmitted diseases (STDs). </w:t>
      </w:r>
      <w:r w:rsidR="001A3730" w:rsidRPr="00A723E8">
        <w:t xml:space="preserve">The </w:t>
      </w:r>
      <w:r w:rsidRPr="00A723E8">
        <w:t>Center</w:t>
      </w:r>
      <w:r w:rsidR="00471C9E" w:rsidRPr="00A723E8">
        <w:t>s</w:t>
      </w:r>
      <w:r w:rsidR="001A3730" w:rsidRPr="00A723E8">
        <w:t xml:space="preserve"> for Disease Control and </w:t>
      </w:r>
      <w:r w:rsidRPr="00A723E8">
        <w:t>Prevention</w:t>
      </w:r>
      <w:r w:rsidR="001A3730" w:rsidRPr="00A723E8">
        <w:t xml:space="preserve"> (CDC)</w:t>
      </w:r>
      <w:r w:rsidR="000434E2" w:rsidRPr="00A723E8">
        <w:t xml:space="preserve"> reported that although African Americans are only 13% of the U.S. population, they accounted for 52% of all HIV/AIDS cases diagnosed in 2008 and that Hispanics accounted for 19 percent of AIDS cases in 2008, despite making up only 15 percent of the U.S. population. </w:t>
      </w:r>
    </w:p>
    <w:p w:rsidR="003949C7" w:rsidRPr="00A723E8" w:rsidRDefault="003949C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32379" w:rsidRPr="00A723E8" w:rsidRDefault="00610D4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Of </w:t>
      </w:r>
      <w:r w:rsidR="00032379" w:rsidRPr="00A723E8">
        <w:t>particular</w:t>
      </w:r>
      <w:r w:rsidRPr="00A723E8">
        <w:t xml:space="preserve"> </w:t>
      </w:r>
      <w:r w:rsidR="00032379" w:rsidRPr="00A723E8">
        <w:t>concern</w:t>
      </w:r>
      <w:r w:rsidRPr="00A723E8">
        <w:t xml:space="preserve"> to communi</w:t>
      </w:r>
      <w:r w:rsidR="00A96801" w:rsidRPr="00A723E8">
        <w:t xml:space="preserve">ties </w:t>
      </w:r>
      <w:r w:rsidRPr="00A723E8">
        <w:t>of color is the return of ex-</w:t>
      </w:r>
      <w:r w:rsidR="00032379" w:rsidRPr="00A723E8">
        <w:t>offenders</w:t>
      </w:r>
      <w:r w:rsidR="006D369D" w:rsidRPr="00A723E8">
        <w:t>,</w:t>
      </w:r>
      <w:r w:rsidRPr="00A723E8">
        <w:t xml:space="preserve"> </w:t>
      </w:r>
      <w:r w:rsidR="00A96801" w:rsidRPr="00A723E8">
        <w:t xml:space="preserve">otherwise known as the re-entry population. </w:t>
      </w:r>
      <w:r w:rsidR="00032379" w:rsidRPr="00A723E8">
        <w:t xml:space="preserve">Despite the efforts of correctional facilities to prevent sexual risk-taking behavior and substance abuse among incarcerated </w:t>
      </w:r>
      <w:r w:rsidR="00A96801" w:rsidRPr="00A723E8">
        <w:t>persons</w:t>
      </w:r>
      <w:r w:rsidR="00032379" w:rsidRPr="00A723E8">
        <w:t>, a significant number engage in high-risk activities (such as I</w:t>
      </w:r>
      <w:r w:rsidR="00A96801" w:rsidRPr="00A723E8">
        <w:t>D</w:t>
      </w:r>
      <w:r w:rsidR="00032379" w:rsidRPr="00A723E8">
        <w:t>U, tattooing, and coerced sexual activity)</w:t>
      </w:r>
      <w:r w:rsidR="00B71FFB" w:rsidRPr="00A723E8">
        <w:t>,</w:t>
      </w:r>
      <w:r w:rsidR="00032379" w:rsidRPr="00A723E8">
        <w:t xml:space="preserve"> placing other</w:t>
      </w:r>
      <w:r w:rsidR="00A96801" w:rsidRPr="00A723E8">
        <w:t>s</w:t>
      </w:r>
      <w:r w:rsidR="00032379" w:rsidRPr="00A723E8">
        <w:t xml:space="preserve"> at risk for HIV transmission. Each year, </w:t>
      </w:r>
      <w:r w:rsidR="00032379" w:rsidRPr="00A723E8">
        <w:lastRenderedPageBreak/>
        <w:t>m</w:t>
      </w:r>
      <w:r w:rsidR="00A96801" w:rsidRPr="00A723E8">
        <w:t>any</w:t>
      </w:r>
      <w:r w:rsidR="00032379" w:rsidRPr="00A723E8">
        <w:t xml:space="preserve"> of these persons</w:t>
      </w:r>
      <w:r w:rsidR="006D369D" w:rsidRPr="00A723E8">
        <w:t>,</w:t>
      </w:r>
      <w:r w:rsidR="00032379" w:rsidRPr="00A723E8">
        <w:t xml:space="preserve"> unaware of their HIV status</w:t>
      </w:r>
      <w:r w:rsidR="006D369D" w:rsidRPr="00A723E8">
        <w:t>,</w:t>
      </w:r>
      <w:r w:rsidR="00032379" w:rsidRPr="00A723E8">
        <w:t xml:space="preserve"> return to their communities </w:t>
      </w:r>
      <w:r w:rsidR="00B71FFB" w:rsidRPr="00A723E8">
        <w:t xml:space="preserve">and </w:t>
      </w:r>
      <w:r w:rsidR="006D369D" w:rsidRPr="00A723E8">
        <w:t>re-</w:t>
      </w:r>
      <w:r w:rsidR="00032379" w:rsidRPr="00A723E8">
        <w:t>engage in substance abuse and other high-risk behaviors, putting others at an even gr</w:t>
      </w:r>
      <w:r w:rsidR="00A96801" w:rsidRPr="00A723E8">
        <w:t>e</w:t>
      </w:r>
      <w:r w:rsidR="00032379" w:rsidRPr="00A723E8">
        <w:t>ater risk for HIV</w:t>
      </w:r>
      <w:r w:rsidR="006D369D" w:rsidRPr="00A723E8">
        <w:t>/AIDS</w:t>
      </w:r>
      <w:r w:rsidR="00032379" w:rsidRPr="00A723E8">
        <w:t xml:space="preserve"> transmission.</w:t>
      </w:r>
    </w:p>
    <w:p w:rsidR="00032379" w:rsidRPr="00A723E8" w:rsidRDefault="0003237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344D" w:rsidRPr="00A723E8" w:rsidRDefault="0042259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Regardless of the mode of HIV transmission</w:t>
      </w:r>
      <w:r w:rsidR="001922E7" w:rsidRPr="00A723E8">
        <w:t xml:space="preserve"> </w:t>
      </w:r>
      <w:r w:rsidR="00032379" w:rsidRPr="00A723E8">
        <w:t xml:space="preserve">HIV/AIDS </w:t>
      </w:r>
      <w:r w:rsidRPr="00A723E8">
        <w:t>is an</w:t>
      </w:r>
      <w:r w:rsidR="00032379" w:rsidRPr="00A723E8">
        <w:t xml:space="preserve"> infectious disease </w:t>
      </w:r>
      <w:r w:rsidR="00A713F1" w:rsidRPr="00A723E8">
        <w:t>that ha</w:t>
      </w:r>
      <w:r w:rsidRPr="00A723E8">
        <w:t>s</w:t>
      </w:r>
      <w:r w:rsidR="00032379" w:rsidRPr="00A723E8">
        <w:t xml:space="preserve"> drastic long</w:t>
      </w:r>
      <w:r w:rsidR="006D369D" w:rsidRPr="00A723E8">
        <w:t>-</w:t>
      </w:r>
      <w:r w:rsidR="00032379" w:rsidRPr="00A723E8">
        <w:t>term medical</w:t>
      </w:r>
      <w:r w:rsidR="000A57CE" w:rsidRPr="00A723E8">
        <w:t>, economic</w:t>
      </w:r>
      <w:r w:rsidR="006D369D" w:rsidRPr="00A723E8">
        <w:t>,</w:t>
      </w:r>
      <w:r w:rsidR="00032379" w:rsidRPr="00A723E8">
        <w:t xml:space="preserve"> and social consequences </w:t>
      </w:r>
      <w:r w:rsidR="006D369D" w:rsidRPr="00A723E8">
        <w:t>on</w:t>
      </w:r>
      <w:r w:rsidR="00032379" w:rsidRPr="00A723E8">
        <w:t xml:space="preserve"> minority populations</w:t>
      </w:r>
      <w:r w:rsidR="006D369D" w:rsidRPr="00A723E8">
        <w:t>.</w:t>
      </w:r>
      <w:r w:rsidR="00032379" w:rsidRPr="00A723E8">
        <w:t xml:space="preserve"> Meeting the challenges posed by </w:t>
      </w:r>
      <w:r w:rsidRPr="00A723E8">
        <w:t>HIV/AIDS</w:t>
      </w:r>
      <w:r w:rsidR="00032379" w:rsidRPr="00A723E8">
        <w:t xml:space="preserve"> requires close coordination with existing local, </w:t>
      </w:r>
      <w:r w:rsidR="00532C61" w:rsidRPr="00A723E8">
        <w:t>S</w:t>
      </w:r>
      <w:r w:rsidR="00032379" w:rsidRPr="00A723E8">
        <w:t>tate</w:t>
      </w:r>
      <w:r w:rsidR="006D369D" w:rsidRPr="00A723E8">
        <w:t>,</w:t>
      </w:r>
      <w:r w:rsidR="00032379" w:rsidRPr="00A723E8">
        <w:t xml:space="preserve"> and territorial </w:t>
      </w:r>
      <w:r w:rsidR="00DF54DB" w:rsidRPr="00A723E8">
        <w:t>substance abuse</w:t>
      </w:r>
      <w:r w:rsidRPr="00A723E8">
        <w:t xml:space="preserve"> and</w:t>
      </w:r>
      <w:r w:rsidR="00032379" w:rsidRPr="00A723E8">
        <w:t xml:space="preserve"> HIV/AIDS</w:t>
      </w:r>
      <w:r w:rsidR="00532C61" w:rsidRPr="00A723E8">
        <w:t xml:space="preserve"> prevention</w:t>
      </w:r>
      <w:r w:rsidR="00032379" w:rsidRPr="00A723E8">
        <w:t xml:space="preserve"> programs. SAMHSA is working to improve access to quality </w:t>
      </w:r>
      <w:r w:rsidR="00A56C4C" w:rsidRPr="00A723E8">
        <w:t>services</w:t>
      </w:r>
      <w:r w:rsidR="00032379" w:rsidRPr="00A723E8">
        <w:t xml:space="preserve"> by increasing outreach and service capacity to at risk populations of color. </w:t>
      </w:r>
      <w:r w:rsidR="002B2D04" w:rsidRPr="00A723E8">
        <w:t>Grantees are asked to u</w:t>
      </w:r>
      <w:r w:rsidR="00032379" w:rsidRPr="00A723E8">
        <w:t>se of the S</w:t>
      </w:r>
      <w:r w:rsidR="00C7635A" w:rsidRPr="00A723E8">
        <w:t xml:space="preserve">trategic </w:t>
      </w:r>
      <w:r w:rsidR="00032379" w:rsidRPr="00A723E8">
        <w:t>P</w:t>
      </w:r>
      <w:r w:rsidR="00C7635A" w:rsidRPr="00A723E8">
        <w:t xml:space="preserve">revention </w:t>
      </w:r>
      <w:r w:rsidR="00032379" w:rsidRPr="00A723E8">
        <w:t>F</w:t>
      </w:r>
      <w:r w:rsidR="00C7635A" w:rsidRPr="00A723E8">
        <w:t>ramework</w:t>
      </w:r>
      <w:r w:rsidR="00032379" w:rsidRPr="00A723E8">
        <w:t xml:space="preserve"> </w:t>
      </w:r>
      <w:r w:rsidR="00A96801" w:rsidRPr="00A723E8">
        <w:t>as a method</w:t>
      </w:r>
      <w:r w:rsidR="00032379" w:rsidRPr="00A723E8">
        <w:t xml:space="preserve"> to prevent and reduce </w:t>
      </w:r>
      <w:r w:rsidR="003135BE" w:rsidRPr="00A723E8">
        <w:t>both substance abuse</w:t>
      </w:r>
      <w:r w:rsidR="006D369D" w:rsidRPr="00A723E8">
        <w:t xml:space="preserve"> and</w:t>
      </w:r>
      <w:r w:rsidR="00032379" w:rsidRPr="00A723E8">
        <w:t xml:space="preserve"> </w:t>
      </w:r>
      <w:r w:rsidR="006D369D" w:rsidRPr="00A723E8">
        <w:t xml:space="preserve">the transmission of </w:t>
      </w:r>
      <w:r w:rsidR="00032379" w:rsidRPr="00A723E8">
        <w:t>HIV</w:t>
      </w:r>
      <w:r w:rsidR="006D369D" w:rsidRPr="00A723E8">
        <w:t>/AIDS</w:t>
      </w:r>
      <w:r w:rsidR="00032379" w:rsidRPr="00A723E8">
        <w:t xml:space="preserve"> </w:t>
      </w:r>
      <w:r w:rsidR="004C292B" w:rsidRPr="00A723E8">
        <w:t xml:space="preserve">that </w:t>
      </w:r>
      <w:r w:rsidR="00032379" w:rsidRPr="00A723E8">
        <w:t>will lay the necessary foundation for effective and sustainable prevention service delivery in the context of substance abuse and HIV</w:t>
      </w:r>
      <w:r w:rsidR="003135BE" w:rsidRPr="00A723E8">
        <w:t>/AIDS</w:t>
      </w:r>
      <w:r w:rsidR="00032379" w:rsidRPr="00A723E8">
        <w:t>.</w:t>
      </w:r>
    </w:p>
    <w:p w:rsidR="001A3730" w:rsidRPr="00A723E8" w:rsidRDefault="001A3730"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5BE" w:rsidRPr="00A723E8" w:rsidRDefault="003135BE"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In FY </w:t>
      </w:r>
      <w:r w:rsidR="00734517" w:rsidRPr="00A723E8">
        <w:t>2009</w:t>
      </w:r>
      <w:r w:rsidRPr="00A723E8">
        <w:t>, t</w:t>
      </w:r>
      <w:r w:rsidR="00794EC3" w:rsidRPr="00A723E8">
        <w:t xml:space="preserve">he </w:t>
      </w:r>
      <w:r w:rsidR="00744367" w:rsidRPr="00A723E8">
        <w:t>MAI</w:t>
      </w:r>
      <w:r w:rsidR="00794EC3" w:rsidRPr="00A723E8">
        <w:t xml:space="preserve"> </w:t>
      </w:r>
      <w:r w:rsidR="00563135" w:rsidRPr="00A723E8">
        <w:t xml:space="preserve">Cohort </w:t>
      </w:r>
      <w:r w:rsidR="00734517" w:rsidRPr="00A723E8">
        <w:t xml:space="preserve">7 </w:t>
      </w:r>
      <w:r w:rsidR="00794EC3" w:rsidRPr="00A723E8">
        <w:t xml:space="preserve">Program funded </w:t>
      </w:r>
      <w:r w:rsidR="00734517" w:rsidRPr="00A723E8">
        <w:t xml:space="preserve">55 </w:t>
      </w:r>
      <w:r w:rsidRPr="00A723E8">
        <w:t>five</w:t>
      </w:r>
      <w:r w:rsidR="00744367" w:rsidRPr="00A723E8">
        <w:t>-</w:t>
      </w:r>
      <w:r w:rsidR="00794EC3" w:rsidRPr="00A723E8">
        <w:t>year grants</w:t>
      </w:r>
      <w:r w:rsidR="00734517" w:rsidRPr="00A723E8">
        <w:t xml:space="preserve"> and in FY 2010 the MAI Cohort 8 Program funded 5 five-year grants</w:t>
      </w:r>
      <w:r w:rsidR="003C4122" w:rsidRPr="00A723E8">
        <w:t xml:space="preserve"> </w:t>
      </w:r>
      <w:r w:rsidR="00794EC3" w:rsidRPr="00A723E8">
        <w:t>to community-based organizations</w:t>
      </w:r>
      <w:r w:rsidRPr="00A723E8">
        <w:t>.</w:t>
      </w:r>
      <w:r w:rsidR="00794EC3" w:rsidRPr="00A723E8">
        <w:t xml:space="preserve"> Th</w:t>
      </w:r>
      <w:r w:rsidR="008229B0" w:rsidRPr="00A723E8">
        <w:t>ese</w:t>
      </w:r>
      <w:r w:rsidR="00794EC3" w:rsidRPr="00A723E8">
        <w:t xml:space="preserve"> program</w:t>
      </w:r>
      <w:r w:rsidR="008229B0" w:rsidRPr="00A723E8">
        <w:t>s</w:t>
      </w:r>
      <w:r w:rsidR="00794EC3" w:rsidRPr="00A723E8">
        <w:t xml:space="preserve"> combine</w:t>
      </w:r>
      <w:r w:rsidR="002B2D04" w:rsidRPr="00A723E8">
        <w:t>d</w:t>
      </w:r>
      <w:r w:rsidR="00794EC3" w:rsidRPr="00A723E8">
        <w:t xml:space="preserve"> planning and services funding and require</w:t>
      </w:r>
      <w:r w:rsidR="002B2D04" w:rsidRPr="00A723E8">
        <w:t>d</w:t>
      </w:r>
      <w:r w:rsidR="00794EC3" w:rsidRPr="00A723E8">
        <w:t xml:space="preserve"> all grantees to participate in this cross-site study</w:t>
      </w:r>
      <w:r w:rsidR="003D35F1" w:rsidRPr="00A723E8">
        <w:t xml:space="preserve">. </w:t>
      </w:r>
      <w:r w:rsidR="00794EC3" w:rsidRPr="00A723E8">
        <w:t xml:space="preserve">They are expected to provide leadership and coordination on the planning and implementation of the SPF that targets minority populations and </w:t>
      </w:r>
      <w:r w:rsidRPr="00A723E8">
        <w:t xml:space="preserve">the </w:t>
      </w:r>
      <w:r w:rsidR="00794EC3" w:rsidRPr="00A723E8">
        <w:t xml:space="preserve">minority </w:t>
      </w:r>
      <w:r w:rsidR="006A6ADC" w:rsidRPr="00A723E8">
        <w:t>re-entry</w:t>
      </w:r>
      <w:r w:rsidR="00794EC3" w:rsidRPr="00A723E8">
        <w:t xml:space="preserve"> population in communities of color with </w:t>
      </w:r>
      <w:r w:rsidRPr="00A723E8">
        <w:t xml:space="preserve">a </w:t>
      </w:r>
      <w:r w:rsidR="00794EC3" w:rsidRPr="00A723E8">
        <w:t xml:space="preserve">high prevalence of </w:t>
      </w:r>
      <w:r w:rsidRPr="00A723E8">
        <w:t>substance abuse</w:t>
      </w:r>
      <w:r w:rsidR="00422597" w:rsidRPr="00A723E8">
        <w:t xml:space="preserve"> and</w:t>
      </w:r>
      <w:r w:rsidR="00794EC3" w:rsidRPr="00A723E8">
        <w:t xml:space="preserve"> HIV/AIDS. The primary objectives of the cross-site study are to:</w:t>
      </w:r>
    </w:p>
    <w:p w:rsidR="003135BE" w:rsidRPr="00A723E8" w:rsidRDefault="003135BE" w:rsidP="00794EC3"/>
    <w:p w:rsidR="003135BE" w:rsidRPr="00A723E8" w:rsidRDefault="00744367" w:rsidP="002C06C2">
      <w:pPr>
        <w:numPr>
          <w:ilvl w:val="0"/>
          <w:numId w:val="11"/>
        </w:numPr>
      </w:pPr>
      <w:r w:rsidRPr="00A723E8">
        <w:t>A</w:t>
      </w:r>
      <w:r w:rsidR="00794EC3" w:rsidRPr="00A723E8">
        <w:t>ssess the process of adopting and implementing the SPF with the target population,</w:t>
      </w:r>
    </w:p>
    <w:p w:rsidR="003135BE" w:rsidRPr="00A723E8" w:rsidRDefault="003135BE" w:rsidP="002C06C2">
      <w:pPr>
        <w:numPr>
          <w:ilvl w:val="0"/>
          <w:numId w:val="11"/>
        </w:numPr>
      </w:pPr>
      <w:r w:rsidRPr="00A723E8">
        <w:t>M</w:t>
      </w:r>
      <w:r w:rsidR="00794EC3" w:rsidRPr="00A723E8">
        <w:t>easure the effectiveness of specified intervention strategies such as cultural enrichment, educational and evaluation</w:t>
      </w:r>
      <w:r w:rsidR="00D03494" w:rsidRPr="00A723E8">
        <w:t xml:space="preserve"> activities</w:t>
      </w:r>
      <w:r w:rsidR="00744367" w:rsidRPr="00A723E8">
        <w:t>,</w:t>
      </w:r>
      <w:r w:rsidR="00794EC3" w:rsidRPr="00A723E8">
        <w:t xml:space="preserve"> </w:t>
      </w:r>
      <w:r w:rsidR="00744367" w:rsidRPr="00A723E8">
        <w:t>v</w:t>
      </w:r>
      <w:r w:rsidR="00794EC3" w:rsidRPr="00A723E8">
        <w:t xml:space="preserve">ocational resources, </w:t>
      </w:r>
      <w:r w:rsidR="00D03494" w:rsidRPr="00A723E8">
        <w:t>and/</w:t>
      </w:r>
      <w:r w:rsidR="00794EC3" w:rsidRPr="00A723E8">
        <w:t>or computer-based curricula, and</w:t>
      </w:r>
    </w:p>
    <w:p w:rsidR="00794EC3" w:rsidRPr="00A723E8" w:rsidRDefault="003135BE" w:rsidP="002C06C2">
      <w:pPr>
        <w:numPr>
          <w:ilvl w:val="0"/>
          <w:numId w:val="11"/>
        </w:numPr>
      </w:pPr>
      <w:r w:rsidRPr="00A723E8">
        <w:t>D</w:t>
      </w:r>
      <w:r w:rsidR="00794EC3" w:rsidRPr="00A723E8">
        <w:t xml:space="preserve">etermine the success of </w:t>
      </w:r>
      <w:r w:rsidRPr="00A723E8">
        <w:t xml:space="preserve">the MAI </w:t>
      </w:r>
      <w:r w:rsidR="00794EC3" w:rsidRPr="00A723E8">
        <w:t>in delaying, preventing, and/or reducing the use of alcohol, tobacco, and other drugs among the target population.</w:t>
      </w:r>
    </w:p>
    <w:p w:rsidR="00794EC3" w:rsidRPr="00A723E8" w:rsidRDefault="00794EC3" w:rsidP="00794E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35BE" w:rsidRPr="00A723E8" w:rsidRDefault="008229B0" w:rsidP="00666C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23E8">
        <w:t xml:space="preserve">The </w:t>
      </w:r>
      <w:r w:rsidR="00563135" w:rsidRPr="00A723E8">
        <w:t xml:space="preserve">MAI Cohort </w:t>
      </w:r>
      <w:r w:rsidR="003C4122" w:rsidRPr="00A723E8">
        <w:t xml:space="preserve">9 </w:t>
      </w:r>
      <w:r w:rsidR="006207BE">
        <w:t>(35 five-year grants)</w:t>
      </w:r>
      <w:r w:rsidR="003033F4">
        <w:t xml:space="preserve"> </w:t>
      </w:r>
      <w:r w:rsidR="003C4122" w:rsidRPr="00A723E8">
        <w:t>and</w:t>
      </w:r>
      <w:r w:rsidR="00512598" w:rsidRPr="00A723E8">
        <w:t xml:space="preserve"> </w:t>
      </w:r>
      <w:r w:rsidR="0070744C" w:rsidRPr="00A723E8">
        <w:t>10</w:t>
      </w:r>
      <w:r w:rsidR="003033F4">
        <w:t xml:space="preserve"> </w:t>
      </w:r>
      <w:r w:rsidR="006207BE">
        <w:t>(27 five-year grants)</w:t>
      </w:r>
      <w:r w:rsidR="00563135" w:rsidRPr="00A723E8">
        <w:t xml:space="preserve"> </w:t>
      </w:r>
      <w:r w:rsidR="00794EC3" w:rsidRPr="00A723E8">
        <w:t>program</w:t>
      </w:r>
      <w:r w:rsidR="003C4122" w:rsidRPr="00A723E8">
        <w:t>s</w:t>
      </w:r>
      <w:r w:rsidR="00794EC3" w:rsidRPr="00A723E8">
        <w:t xml:space="preserve"> </w:t>
      </w:r>
      <w:r w:rsidR="00A87B38" w:rsidRPr="00A723E8">
        <w:t>build</w:t>
      </w:r>
      <w:r w:rsidR="003C4122" w:rsidRPr="00A723E8">
        <w:t xml:space="preserve"> </w:t>
      </w:r>
      <w:r w:rsidR="00A87B38" w:rsidRPr="00A723E8">
        <w:t>on previous SAMHSA/CSAP H</w:t>
      </w:r>
      <w:r w:rsidR="00744367" w:rsidRPr="00A723E8">
        <w:t>I</w:t>
      </w:r>
      <w:r w:rsidR="00A87B38" w:rsidRPr="00A723E8">
        <w:t>V/AIDS grant programs</w:t>
      </w:r>
      <w:r w:rsidR="00744367" w:rsidRPr="00A723E8">
        <w:t xml:space="preserve"> that provided</w:t>
      </w:r>
      <w:r w:rsidR="0000344D" w:rsidRPr="00A723E8">
        <w:t xml:space="preserve"> substance abuse and HIV/AIDS </w:t>
      </w:r>
      <w:r w:rsidR="00744367" w:rsidRPr="00A723E8">
        <w:t xml:space="preserve">planning and </w:t>
      </w:r>
      <w:r w:rsidR="0000344D" w:rsidRPr="00A723E8">
        <w:t>prevention services for minority populations</w:t>
      </w:r>
      <w:r w:rsidR="00DB7D33" w:rsidRPr="00A723E8">
        <w:t>.</w:t>
      </w:r>
    </w:p>
    <w:p w:rsidR="00666CC9" w:rsidRPr="00A723E8" w:rsidRDefault="00666CC9" w:rsidP="00666C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344D" w:rsidRPr="00A723E8" w:rsidRDefault="00666CC9" w:rsidP="00F17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23E8">
        <w:t>T</w:t>
      </w:r>
      <w:r w:rsidR="00EA2FFB" w:rsidRPr="00A723E8">
        <w:t xml:space="preserve">he goal for Cohort 1 grants was to provide services. </w:t>
      </w:r>
      <w:r w:rsidR="00532C61" w:rsidRPr="00A723E8">
        <w:t>G</w:t>
      </w:r>
      <w:r w:rsidR="0000344D" w:rsidRPr="00A723E8">
        <w:t>oals for Cohorts 2-</w:t>
      </w:r>
      <w:r w:rsidR="00AA5295" w:rsidRPr="00A723E8">
        <w:t>10</w:t>
      </w:r>
      <w:r w:rsidR="0000344D" w:rsidRPr="00A723E8">
        <w:t xml:space="preserve"> grants were to add, increase, or enhance integrated substance abuse and HIV prevention services by providing supportive services and by strengthening linkages </w:t>
      </w:r>
      <w:r w:rsidR="004E0104" w:rsidRPr="00A723E8">
        <w:t>among</w:t>
      </w:r>
      <w:r w:rsidR="0000344D" w:rsidRPr="00A723E8">
        <w:t xml:space="preserve"> service providers for at-risk minority populations.</w:t>
      </w:r>
      <w:r w:rsidR="0081481B" w:rsidRPr="00A723E8">
        <w:t xml:space="preserve"> </w:t>
      </w:r>
      <w:r w:rsidR="0000344D" w:rsidRPr="00A723E8">
        <w:t xml:space="preserve">HIV Cohorts 1-3 </w:t>
      </w:r>
      <w:r w:rsidR="00011E87" w:rsidRPr="00A723E8">
        <w:t>fell u</w:t>
      </w:r>
      <w:r w:rsidR="0000344D" w:rsidRPr="00A723E8">
        <w:t xml:space="preserve">nder SAMHSA/CSAP’s umbrella OMB Clearance </w:t>
      </w:r>
      <w:r w:rsidR="003135BE" w:rsidRPr="00A723E8">
        <w:t>D</w:t>
      </w:r>
      <w:r w:rsidR="0000344D" w:rsidRPr="00A723E8">
        <w:t xml:space="preserve">ocument 0930—0208. Since neither the HIV Cohort 4 nor the Cohort 5 Programs were </w:t>
      </w:r>
      <w:r w:rsidR="006A6ADC" w:rsidRPr="00A723E8">
        <w:t>cross-site</w:t>
      </w:r>
      <w:r w:rsidR="0000344D" w:rsidRPr="00A723E8">
        <w:t xml:space="preserve"> studies, they did not require OMB clearance.</w:t>
      </w:r>
    </w:p>
    <w:p w:rsidR="0081481B" w:rsidRPr="00A723E8" w:rsidRDefault="0081481B" w:rsidP="00313F8B"/>
    <w:p w:rsidR="0081533E" w:rsidRDefault="001075EF" w:rsidP="008E2E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81533E" w:rsidSect="0081533E">
          <w:footerReference w:type="default" r:id="rId9"/>
          <w:headerReference w:type="first" r:id="rId10"/>
          <w:footerReference w:type="first" r:id="rId11"/>
          <w:pgSz w:w="12240" w:h="15840" w:code="1"/>
          <w:pgMar w:top="720" w:right="1080" w:bottom="720" w:left="1080" w:header="720" w:footer="720" w:gutter="0"/>
          <w:cols w:space="720"/>
          <w:titlePg/>
          <w:docGrid w:linePitch="360"/>
        </w:sectPr>
      </w:pPr>
      <w:r w:rsidRPr="00A723E8">
        <w:t>These past programs have enabled CSAP to make great progress in providing innovative, community-based drug prevention, planning</w:t>
      </w:r>
      <w:r w:rsidR="003135BE" w:rsidRPr="00A723E8">
        <w:t>,</w:t>
      </w:r>
      <w:r w:rsidRPr="00A723E8">
        <w:t xml:space="preserve"> and intervention services to minority populations at risk for substance abuse and HIV/AIDS. </w:t>
      </w:r>
      <w:r w:rsidR="009435CD" w:rsidRPr="00A723E8">
        <w:t xml:space="preserve">HIV 6 grantees successfully </w:t>
      </w:r>
      <w:r w:rsidR="006E4B6B">
        <w:t>improved on a number of key outcomes.  See tables below.</w:t>
      </w:r>
      <w:r w:rsidR="006E4B6B" w:rsidRPr="00A723E8" w:rsidDel="006E4B6B">
        <w:t xml:space="preserve"> </w:t>
      </w:r>
      <w:bookmarkStart w:id="0" w:name="_Toc304815285"/>
    </w:p>
    <w:p w:rsidR="008C299A" w:rsidRDefault="00252033" w:rsidP="008C299A">
      <w:pPr>
        <w:pStyle w:val="Table-Title"/>
      </w:pPr>
      <w:proofErr w:type="gramStart"/>
      <w:r>
        <w:lastRenderedPageBreak/>
        <w:t>Table 1</w:t>
      </w:r>
      <w:r w:rsidR="00491428">
        <w:t>.</w:t>
      </w:r>
      <w:proofErr w:type="gramEnd"/>
      <w:r w:rsidR="00491428">
        <w:t xml:space="preserve">  </w:t>
      </w:r>
      <w:r w:rsidR="008C299A">
        <w:t xml:space="preserve">Risk of Harm </w:t>
      </w:r>
      <w:proofErr w:type="gramStart"/>
      <w:r w:rsidR="008C299A">
        <w:t>From</w:t>
      </w:r>
      <w:proofErr w:type="gramEnd"/>
      <w:r w:rsidR="008C299A">
        <w:t xml:space="preserve"> Substance Use</w:t>
      </w:r>
      <w:bookmarkEnd w:id="0"/>
    </w:p>
    <w:p w:rsidR="008C299A" w:rsidRDefault="008C299A" w:rsidP="008C299A">
      <w:pPr>
        <w:pStyle w:val="Table-Subtitle"/>
      </w:pPr>
      <w:r>
        <w:t>P</w:t>
      </w:r>
      <w:r w:rsidR="008E2E78">
        <w:t xml:space="preserve">ercentage of HIV Cohort 6 </w:t>
      </w:r>
      <w:r>
        <w:t>Program Participants Ages 12 or Older Reporting Moderate or Great Risk of Harm From Having Five or More Drinks of Alcohol Once or Twice a Week and From Smoking Marijuana Once or Twice a Week at Baseline and Exit</w:t>
      </w:r>
    </w:p>
    <w:tbl>
      <w:tblPr>
        <w:tblW w:w="13931" w:type="dxa"/>
        <w:tblInd w:w="-805"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3780"/>
        <w:gridCol w:w="1203"/>
        <w:gridCol w:w="1042"/>
        <w:gridCol w:w="1307"/>
        <w:gridCol w:w="1067"/>
        <w:gridCol w:w="1254"/>
        <w:gridCol w:w="1087"/>
        <w:gridCol w:w="1234"/>
        <w:gridCol w:w="1053"/>
        <w:gridCol w:w="904"/>
      </w:tblGrid>
      <w:tr w:rsidR="008C299A" w:rsidRPr="005E4168" w:rsidTr="008E2E78">
        <w:trPr>
          <w:trHeight w:val="144"/>
          <w:tblHeader/>
        </w:trPr>
        <w:tc>
          <w:tcPr>
            <w:tcW w:w="4983"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E2E78">
            <w:pPr>
              <w:pStyle w:val="Table-Header"/>
              <w:ind w:left="-445" w:firstLine="445"/>
            </w:pPr>
          </w:p>
        </w:tc>
        <w:tc>
          <w:tcPr>
            <w:tcW w:w="4670"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ind w:left="360"/>
            </w:pPr>
            <w:r w:rsidRPr="002C06C2">
              <w:t>Ages 12 to 17</w:t>
            </w:r>
          </w:p>
        </w:tc>
        <w:tc>
          <w:tcPr>
            <w:tcW w:w="4278"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ind w:left="360"/>
            </w:pPr>
            <w:r w:rsidRPr="002C06C2">
              <w:t>Ages 18 or Older</w:t>
            </w:r>
          </w:p>
        </w:tc>
      </w:tr>
      <w:tr w:rsidR="008C299A" w:rsidRPr="005E4168" w:rsidTr="008E2E78">
        <w:trPr>
          <w:trHeight w:val="144"/>
          <w:tblHeader/>
        </w:trPr>
        <w:tc>
          <w:tcPr>
            <w:tcW w:w="4983" w:type="dxa"/>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numPr>
                <w:ilvl w:val="0"/>
                <w:numId w:val="2"/>
              </w:numPr>
            </w:pPr>
          </w:p>
        </w:tc>
        <w:tc>
          <w:tcPr>
            <w:tcW w:w="1042"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Valid N</w:t>
            </w:r>
          </w:p>
        </w:tc>
        <w:tc>
          <w:tcPr>
            <w:tcW w:w="1307"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Baseline %</w:t>
            </w:r>
          </w:p>
        </w:tc>
        <w:tc>
          <w:tcPr>
            <w:tcW w:w="1067"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Exit %</w:t>
            </w:r>
          </w:p>
        </w:tc>
        <w:tc>
          <w:tcPr>
            <w:tcW w:w="125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Change</w:t>
            </w:r>
          </w:p>
        </w:tc>
        <w:tc>
          <w:tcPr>
            <w:tcW w:w="1087"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Valid N</w:t>
            </w:r>
          </w:p>
        </w:tc>
        <w:tc>
          <w:tcPr>
            <w:tcW w:w="123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Baseline %</w:t>
            </w:r>
          </w:p>
        </w:tc>
        <w:tc>
          <w:tcPr>
            <w:tcW w:w="1053"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Exit %</w:t>
            </w:r>
          </w:p>
        </w:tc>
        <w:tc>
          <w:tcPr>
            <w:tcW w:w="90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Change</w:t>
            </w:r>
          </w:p>
        </w:tc>
      </w:tr>
      <w:tr w:rsidR="008C299A" w:rsidRPr="005E4168" w:rsidTr="008E2E78">
        <w:trPr>
          <w:trHeight w:val="144"/>
        </w:trPr>
        <w:tc>
          <w:tcPr>
            <w:tcW w:w="3780" w:type="dxa"/>
            <w:tcBorders>
              <w:top w:val="single" w:sz="4" w:space="0" w:color="auto"/>
            </w:tcBorders>
            <w:vAlign w:val="center"/>
            <w:hideMark/>
          </w:tcPr>
          <w:p w:rsidR="008C299A" w:rsidRPr="002C06C2" w:rsidRDefault="008C299A" w:rsidP="008C299A">
            <w:pPr>
              <w:pStyle w:val="Table-Body"/>
              <w:ind w:left="360"/>
            </w:pPr>
            <w:r w:rsidRPr="002C06C2">
              <w:t>Alcohol</w:t>
            </w:r>
          </w:p>
        </w:tc>
        <w:tc>
          <w:tcPr>
            <w:tcW w:w="1203" w:type="dxa"/>
            <w:tcBorders>
              <w:top w:val="single" w:sz="4" w:space="0" w:color="auto"/>
              <w:right w:val="single" w:sz="8" w:space="0" w:color="BFBFBF"/>
            </w:tcBorders>
            <w:vAlign w:val="center"/>
            <w:hideMark/>
          </w:tcPr>
          <w:p w:rsidR="008C299A" w:rsidRPr="002C06C2" w:rsidRDefault="008C299A" w:rsidP="00DE182F">
            <w:pPr>
              <w:pStyle w:val="Table-Body"/>
              <w:ind w:left="360"/>
            </w:pPr>
            <w:r w:rsidRPr="002C06C2">
              <w:t>Cohort 6</w:t>
            </w:r>
          </w:p>
        </w:tc>
        <w:tc>
          <w:tcPr>
            <w:tcW w:w="1042" w:type="dxa"/>
            <w:tcBorders>
              <w:top w:val="single" w:sz="4" w:space="0" w:color="auto"/>
              <w:left w:val="single" w:sz="8" w:space="0" w:color="BFBFBF"/>
            </w:tcBorders>
            <w:vAlign w:val="center"/>
            <w:hideMark/>
          </w:tcPr>
          <w:p w:rsidR="008C299A" w:rsidRPr="002C06C2" w:rsidRDefault="008C299A" w:rsidP="008C299A">
            <w:pPr>
              <w:pStyle w:val="Table-Body"/>
            </w:pPr>
            <w:r w:rsidRPr="002C06C2">
              <w:t>1,792</w:t>
            </w:r>
          </w:p>
        </w:tc>
        <w:tc>
          <w:tcPr>
            <w:tcW w:w="1307" w:type="dxa"/>
            <w:tcBorders>
              <w:top w:val="single" w:sz="4" w:space="0" w:color="auto"/>
            </w:tcBorders>
            <w:vAlign w:val="center"/>
            <w:hideMark/>
          </w:tcPr>
          <w:p w:rsidR="008C299A" w:rsidRPr="002C06C2" w:rsidRDefault="008C299A" w:rsidP="008C299A">
            <w:pPr>
              <w:pStyle w:val="Table-Body"/>
            </w:pPr>
            <w:r w:rsidRPr="002C06C2">
              <w:t>75.9</w:t>
            </w:r>
          </w:p>
        </w:tc>
        <w:tc>
          <w:tcPr>
            <w:tcW w:w="1067" w:type="dxa"/>
            <w:tcBorders>
              <w:top w:val="single" w:sz="4" w:space="0" w:color="auto"/>
            </w:tcBorders>
            <w:vAlign w:val="center"/>
            <w:hideMark/>
          </w:tcPr>
          <w:p w:rsidR="008C299A" w:rsidRPr="002C06C2" w:rsidRDefault="008C299A" w:rsidP="008C299A">
            <w:pPr>
              <w:pStyle w:val="Table-Body"/>
            </w:pPr>
            <w:r w:rsidRPr="002C06C2">
              <w:t>82.2</w:t>
            </w:r>
          </w:p>
        </w:tc>
        <w:tc>
          <w:tcPr>
            <w:tcW w:w="1254" w:type="dxa"/>
            <w:tcBorders>
              <w:top w:val="single" w:sz="4" w:space="0" w:color="auto"/>
              <w:right w:val="single" w:sz="8" w:space="0" w:color="BFBFBF"/>
            </w:tcBorders>
            <w:vAlign w:val="center"/>
            <w:hideMark/>
          </w:tcPr>
          <w:p w:rsidR="008C299A" w:rsidRPr="002C06C2" w:rsidRDefault="00EC4AE7" w:rsidP="008C299A">
            <w:pPr>
              <w:pStyle w:val="Table-Body"/>
            </w:pPr>
            <w:r>
              <w:t>6.2</w:t>
            </w:r>
          </w:p>
        </w:tc>
        <w:tc>
          <w:tcPr>
            <w:tcW w:w="1087" w:type="dxa"/>
            <w:tcBorders>
              <w:top w:val="single" w:sz="4" w:space="0" w:color="auto"/>
              <w:left w:val="single" w:sz="8" w:space="0" w:color="BFBFBF"/>
            </w:tcBorders>
            <w:vAlign w:val="center"/>
            <w:hideMark/>
          </w:tcPr>
          <w:p w:rsidR="008C299A" w:rsidRPr="002C06C2" w:rsidRDefault="008C299A" w:rsidP="008C299A">
            <w:pPr>
              <w:pStyle w:val="Table-Body"/>
            </w:pPr>
            <w:r w:rsidRPr="002C06C2">
              <w:t>10,111</w:t>
            </w:r>
          </w:p>
        </w:tc>
        <w:tc>
          <w:tcPr>
            <w:tcW w:w="1234" w:type="dxa"/>
            <w:tcBorders>
              <w:top w:val="single" w:sz="4" w:space="0" w:color="auto"/>
            </w:tcBorders>
            <w:vAlign w:val="center"/>
            <w:hideMark/>
          </w:tcPr>
          <w:p w:rsidR="008C299A" w:rsidRPr="002C06C2" w:rsidRDefault="008C299A" w:rsidP="008C299A">
            <w:pPr>
              <w:pStyle w:val="Table-Body"/>
            </w:pPr>
            <w:r w:rsidRPr="002C06C2">
              <w:t>83.9</w:t>
            </w:r>
          </w:p>
        </w:tc>
        <w:tc>
          <w:tcPr>
            <w:tcW w:w="1053" w:type="dxa"/>
            <w:tcBorders>
              <w:top w:val="single" w:sz="4" w:space="0" w:color="auto"/>
            </w:tcBorders>
            <w:vAlign w:val="center"/>
            <w:hideMark/>
          </w:tcPr>
          <w:p w:rsidR="008C299A" w:rsidRPr="002C06C2" w:rsidRDefault="008C299A" w:rsidP="008C299A">
            <w:pPr>
              <w:pStyle w:val="Table-Body"/>
            </w:pPr>
            <w:r w:rsidRPr="002C06C2">
              <w:t>87.7</w:t>
            </w:r>
          </w:p>
        </w:tc>
        <w:tc>
          <w:tcPr>
            <w:tcW w:w="904" w:type="dxa"/>
            <w:tcBorders>
              <w:top w:val="single" w:sz="4" w:space="0" w:color="auto"/>
            </w:tcBorders>
            <w:vAlign w:val="center"/>
            <w:hideMark/>
          </w:tcPr>
          <w:p w:rsidR="008C299A" w:rsidRPr="002C06C2" w:rsidRDefault="00EC4AE7" w:rsidP="008C299A">
            <w:pPr>
              <w:pStyle w:val="Table-Body"/>
            </w:pPr>
            <w:r>
              <w:t>3.8</w:t>
            </w:r>
          </w:p>
        </w:tc>
      </w:tr>
      <w:tr w:rsidR="008C299A" w:rsidRPr="005E4168" w:rsidTr="008E2E78">
        <w:trPr>
          <w:trHeight w:val="144"/>
        </w:trPr>
        <w:tc>
          <w:tcPr>
            <w:tcW w:w="3780" w:type="dxa"/>
            <w:shd w:val="clear" w:color="auto" w:fill="F2F2F2"/>
            <w:vAlign w:val="center"/>
            <w:hideMark/>
          </w:tcPr>
          <w:p w:rsidR="008C299A" w:rsidRPr="002C06C2" w:rsidRDefault="008C299A" w:rsidP="008C299A">
            <w:pPr>
              <w:pStyle w:val="Table-Body"/>
              <w:ind w:left="360"/>
            </w:pPr>
            <w:r w:rsidRPr="002C06C2">
              <w:t>Marijuana</w:t>
            </w:r>
          </w:p>
        </w:tc>
        <w:tc>
          <w:tcPr>
            <w:tcW w:w="1203" w:type="dxa"/>
            <w:tcBorders>
              <w:right w:val="single" w:sz="8" w:space="0" w:color="BFBFBF"/>
            </w:tcBorders>
            <w:shd w:val="clear" w:color="auto" w:fill="F2F2F2"/>
            <w:vAlign w:val="center"/>
            <w:hideMark/>
          </w:tcPr>
          <w:p w:rsidR="008C299A" w:rsidRPr="002C06C2" w:rsidRDefault="008C299A" w:rsidP="00DE182F">
            <w:pPr>
              <w:pStyle w:val="Table-Body"/>
              <w:ind w:left="360"/>
            </w:pPr>
            <w:r w:rsidRPr="002C06C2">
              <w:t>Cohort 6</w:t>
            </w:r>
          </w:p>
        </w:tc>
        <w:tc>
          <w:tcPr>
            <w:tcW w:w="1042" w:type="dxa"/>
            <w:tcBorders>
              <w:left w:val="single" w:sz="8" w:space="0" w:color="BFBFBF"/>
            </w:tcBorders>
            <w:shd w:val="clear" w:color="auto" w:fill="F2F2F2"/>
            <w:vAlign w:val="center"/>
            <w:hideMark/>
          </w:tcPr>
          <w:p w:rsidR="008C299A" w:rsidRPr="002C06C2" w:rsidRDefault="008C299A" w:rsidP="008C299A">
            <w:pPr>
              <w:pStyle w:val="Table-Body"/>
            </w:pPr>
            <w:r w:rsidRPr="002C06C2">
              <w:t>1,796</w:t>
            </w:r>
          </w:p>
        </w:tc>
        <w:tc>
          <w:tcPr>
            <w:tcW w:w="1307" w:type="dxa"/>
            <w:shd w:val="clear" w:color="auto" w:fill="F2F2F2"/>
            <w:vAlign w:val="center"/>
            <w:hideMark/>
          </w:tcPr>
          <w:p w:rsidR="008C299A" w:rsidRPr="002C06C2" w:rsidRDefault="008C299A" w:rsidP="008C299A">
            <w:pPr>
              <w:pStyle w:val="Table-Body"/>
            </w:pPr>
            <w:r w:rsidRPr="002C06C2">
              <w:t>65.8</w:t>
            </w:r>
          </w:p>
        </w:tc>
        <w:tc>
          <w:tcPr>
            <w:tcW w:w="1067" w:type="dxa"/>
            <w:shd w:val="clear" w:color="auto" w:fill="F2F2F2"/>
            <w:vAlign w:val="center"/>
            <w:hideMark/>
          </w:tcPr>
          <w:p w:rsidR="008C299A" w:rsidRPr="002C06C2" w:rsidRDefault="008C299A" w:rsidP="008C299A">
            <w:pPr>
              <w:pStyle w:val="Table-Body"/>
            </w:pPr>
            <w:r w:rsidRPr="002C06C2">
              <w:t>73.4</w:t>
            </w:r>
          </w:p>
        </w:tc>
        <w:tc>
          <w:tcPr>
            <w:tcW w:w="1254" w:type="dxa"/>
            <w:tcBorders>
              <w:right w:val="single" w:sz="8" w:space="0" w:color="BFBFBF"/>
            </w:tcBorders>
            <w:shd w:val="clear" w:color="auto" w:fill="F2F2F2"/>
            <w:vAlign w:val="center"/>
            <w:hideMark/>
          </w:tcPr>
          <w:p w:rsidR="008C299A" w:rsidRPr="002C06C2" w:rsidRDefault="00EC4AE7" w:rsidP="008C299A">
            <w:pPr>
              <w:pStyle w:val="Table-Body"/>
            </w:pPr>
            <w:r>
              <w:t>7.6</w:t>
            </w:r>
          </w:p>
        </w:tc>
        <w:tc>
          <w:tcPr>
            <w:tcW w:w="1087" w:type="dxa"/>
            <w:tcBorders>
              <w:left w:val="single" w:sz="8" w:space="0" w:color="BFBFBF"/>
            </w:tcBorders>
            <w:shd w:val="clear" w:color="auto" w:fill="F2F2F2"/>
            <w:vAlign w:val="center"/>
            <w:hideMark/>
          </w:tcPr>
          <w:p w:rsidR="008C299A" w:rsidRPr="002C06C2" w:rsidRDefault="008C299A" w:rsidP="008C299A">
            <w:pPr>
              <w:pStyle w:val="Table-Body"/>
            </w:pPr>
            <w:r w:rsidRPr="002C06C2">
              <w:t>9,428</w:t>
            </w:r>
          </w:p>
        </w:tc>
        <w:tc>
          <w:tcPr>
            <w:tcW w:w="1234" w:type="dxa"/>
            <w:shd w:val="clear" w:color="auto" w:fill="F2F2F2"/>
            <w:vAlign w:val="center"/>
            <w:hideMark/>
          </w:tcPr>
          <w:p w:rsidR="008C299A" w:rsidRPr="002C06C2" w:rsidRDefault="008C299A" w:rsidP="008C299A">
            <w:pPr>
              <w:pStyle w:val="Table-Body"/>
            </w:pPr>
            <w:r w:rsidRPr="002C06C2">
              <w:t>68.2</w:t>
            </w:r>
          </w:p>
        </w:tc>
        <w:tc>
          <w:tcPr>
            <w:tcW w:w="1053" w:type="dxa"/>
            <w:shd w:val="clear" w:color="auto" w:fill="F2F2F2"/>
            <w:vAlign w:val="center"/>
            <w:hideMark/>
          </w:tcPr>
          <w:p w:rsidR="008C299A" w:rsidRPr="002C06C2" w:rsidRDefault="008C299A" w:rsidP="008C299A">
            <w:pPr>
              <w:pStyle w:val="Table-Body"/>
            </w:pPr>
            <w:r w:rsidRPr="002C06C2">
              <w:t>76.0</w:t>
            </w:r>
          </w:p>
        </w:tc>
        <w:tc>
          <w:tcPr>
            <w:tcW w:w="904" w:type="dxa"/>
            <w:shd w:val="clear" w:color="auto" w:fill="F2F2F2"/>
            <w:vAlign w:val="center"/>
            <w:hideMark/>
          </w:tcPr>
          <w:p w:rsidR="008C299A" w:rsidRPr="002C06C2" w:rsidRDefault="00EC4AE7" w:rsidP="008C299A">
            <w:pPr>
              <w:pStyle w:val="Table-Body"/>
            </w:pPr>
            <w:r>
              <w:t>7.8</w:t>
            </w:r>
          </w:p>
        </w:tc>
      </w:tr>
    </w:tbl>
    <w:p w:rsidR="008C299A" w:rsidRDefault="008E2E78" w:rsidP="008C299A">
      <w:pPr>
        <w:pStyle w:val="Table-Source"/>
      </w:pPr>
      <w:r>
        <w:t xml:space="preserve">Source: HIV Cohort 6 </w:t>
      </w:r>
      <w:r w:rsidR="008C299A">
        <w:t>participant-level data, matched cases only through FY 2010</w:t>
      </w:r>
    </w:p>
    <w:p w:rsidR="008C299A" w:rsidRDefault="008C299A" w:rsidP="008C299A">
      <w:pPr>
        <w:pStyle w:val="Table-Source"/>
      </w:pPr>
      <w:r>
        <w:t>Note 1: Valid N refers to the total number of valid responses to the survey item.</w:t>
      </w:r>
    </w:p>
    <w:p w:rsidR="008C299A" w:rsidRDefault="008C299A" w:rsidP="008C299A">
      <w:pPr>
        <w:pStyle w:val="Table-Source"/>
      </w:pPr>
      <w:r>
        <w:t>Note 2: Figures within the “Change” column are calculated as the difference between exit and baseline. Minor discrepancies are due to rounding.</w:t>
      </w:r>
    </w:p>
    <w:p w:rsidR="008C299A" w:rsidRDefault="008C299A" w:rsidP="008C299A">
      <w:pPr>
        <w:pStyle w:val="Table-Title"/>
      </w:pPr>
      <w:bookmarkStart w:id="1" w:name="_Toc304815286"/>
      <w:proofErr w:type="gramStart"/>
      <w:r>
        <w:t xml:space="preserve">Table </w:t>
      </w:r>
      <w:r w:rsidR="00252033">
        <w:t>2</w:t>
      </w:r>
      <w:r w:rsidR="00491428">
        <w:t>.</w:t>
      </w:r>
      <w:proofErr w:type="gramEnd"/>
      <w:r w:rsidR="00491428">
        <w:t xml:space="preserve">  </w:t>
      </w:r>
      <w:r>
        <w:t>Disapproval of Peer Substance Use</w:t>
      </w:r>
      <w:bookmarkEnd w:id="1"/>
    </w:p>
    <w:p w:rsidR="008C299A" w:rsidRDefault="008C299A" w:rsidP="008C299A">
      <w:pPr>
        <w:pStyle w:val="Table-Subtitle"/>
      </w:pPr>
      <w:r>
        <w:t>P</w:t>
      </w:r>
      <w:r w:rsidR="008E2E78">
        <w:t xml:space="preserve">ercentage of HIV Cohort 6 </w:t>
      </w:r>
      <w:r>
        <w:t>Program Participants Ages 12 to 17 Who Somewhat or Strongly Disapprove of Their Peers Using Alcohol Nearly Every Day, Trying Marijuana and Using Marijuana Regularly at Baseline and Exit</w:t>
      </w:r>
    </w:p>
    <w:tbl>
      <w:tblPr>
        <w:tblW w:w="10080"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4226"/>
        <w:gridCol w:w="1199"/>
        <w:gridCol w:w="1038"/>
        <w:gridCol w:w="1304"/>
        <w:gridCol w:w="1063"/>
        <w:gridCol w:w="1250"/>
      </w:tblGrid>
      <w:tr w:rsidR="008C299A" w:rsidRPr="00382A8E" w:rsidTr="008C299A">
        <w:trPr>
          <w:trHeight w:val="144"/>
          <w:tblHeader/>
        </w:trPr>
        <w:tc>
          <w:tcPr>
            <w:tcW w:w="5425"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jc w:val="left"/>
            </w:pPr>
          </w:p>
        </w:tc>
        <w:tc>
          <w:tcPr>
            <w:tcW w:w="4655"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Ages 12 to 17</w:t>
            </w:r>
          </w:p>
        </w:tc>
      </w:tr>
      <w:tr w:rsidR="008C299A" w:rsidRPr="00382A8E" w:rsidTr="008C299A">
        <w:trPr>
          <w:trHeight w:val="144"/>
          <w:tblHead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numPr>
                <w:ilvl w:val="0"/>
                <w:numId w:val="2"/>
              </w:numPr>
            </w:pPr>
          </w:p>
        </w:tc>
        <w:tc>
          <w:tcPr>
            <w:tcW w:w="1038"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Valid N</w:t>
            </w:r>
          </w:p>
        </w:tc>
        <w:tc>
          <w:tcPr>
            <w:tcW w:w="130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Baseline %</w:t>
            </w:r>
          </w:p>
        </w:tc>
        <w:tc>
          <w:tcPr>
            <w:tcW w:w="1063"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Exit %</w:t>
            </w:r>
          </w:p>
        </w:tc>
        <w:tc>
          <w:tcPr>
            <w:tcW w:w="125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Change</w:t>
            </w:r>
          </w:p>
        </w:tc>
      </w:tr>
      <w:tr w:rsidR="008C299A" w:rsidRPr="00382A8E" w:rsidTr="008C299A">
        <w:trPr>
          <w:trHeight w:val="144"/>
        </w:trPr>
        <w:tc>
          <w:tcPr>
            <w:tcW w:w="4226" w:type="dxa"/>
            <w:tcBorders>
              <w:top w:val="single" w:sz="4" w:space="0" w:color="auto"/>
            </w:tcBorders>
            <w:vAlign w:val="center"/>
            <w:hideMark/>
          </w:tcPr>
          <w:p w:rsidR="008C299A" w:rsidRPr="002C06C2" w:rsidRDefault="008C299A" w:rsidP="008C299A">
            <w:pPr>
              <w:pStyle w:val="Table-Body"/>
            </w:pPr>
            <w:r w:rsidRPr="002C06C2">
              <w:t>Alcohol</w:t>
            </w:r>
          </w:p>
        </w:tc>
        <w:tc>
          <w:tcPr>
            <w:tcW w:w="1199" w:type="dxa"/>
            <w:tcBorders>
              <w:top w:val="single" w:sz="4" w:space="0" w:color="auto"/>
              <w:right w:val="single" w:sz="8" w:space="0" w:color="BFBFBF"/>
            </w:tcBorders>
            <w:vAlign w:val="center"/>
            <w:hideMark/>
          </w:tcPr>
          <w:p w:rsidR="008C299A" w:rsidRPr="002C06C2" w:rsidRDefault="008C299A" w:rsidP="00DE182F">
            <w:pPr>
              <w:pStyle w:val="Table-Body"/>
            </w:pPr>
            <w:r w:rsidRPr="002C06C2">
              <w:t>Cohort 6</w:t>
            </w:r>
          </w:p>
        </w:tc>
        <w:tc>
          <w:tcPr>
            <w:tcW w:w="1038" w:type="dxa"/>
            <w:tcBorders>
              <w:top w:val="single" w:sz="4" w:space="0" w:color="auto"/>
              <w:left w:val="single" w:sz="8" w:space="0" w:color="BFBFBF"/>
            </w:tcBorders>
            <w:vAlign w:val="center"/>
            <w:hideMark/>
          </w:tcPr>
          <w:p w:rsidR="008C299A" w:rsidRPr="002C06C2" w:rsidRDefault="008C299A" w:rsidP="008C299A">
            <w:pPr>
              <w:pStyle w:val="Table-Body"/>
            </w:pPr>
            <w:r w:rsidRPr="002C06C2">
              <w:t>1,570</w:t>
            </w:r>
          </w:p>
        </w:tc>
        <w:tc>
          <w:tcPr>
            <w:tcW w:w="1304" w:type="dxa"/>
            <w:tcBorders>
              <w:top w:val="single" w:sz="4" w:space="0" w:color="auto"/>
            </w:tcBorders>
            <w:vAlign w:val="center"/>
            <w:hideMark/>
          </w:tcPr>
          <w:p w:rsidR="008C299A" w:rsidRPr="002C06C2" w:rsidRDefault="008C299A" w:rsidP="008C299A">
            <w:pPr>
              <w:pStyle w:val="Table-Body"/>
            </w:pPr>
            <w:r w:rsidRPr="002C06C2">
              <w:t>66.4</w:t>
            </w:r>
          </w:p>
        </w:tc>
        <w:tc>
          <w:tcPr>
            <w:tcW w:w="1063" w:type="dxa"/>
            <w:tcBorders>
              <w:top w:val="single" w:sz="4" w:space="0" w:color="auto"/>
            </w:tcBorders>
            <w:vAlign w:val="center"/>
            <w:hideMark/>
          </w:tcPr>
          <w:p w:rsidR="008C299A" w:rsidRPr="002C06C2" w:rsidRDefault="008C299A" w:rsidP="008C299A">
            <w:pPr>
              <w:pStyle w:val="Table-Body"/>
            </w:pPr>
            <w:r w:rsidRPr="002C06C2">
              <w:t>67.4</w:t>
            </w:r>
          </w:p>
        </w:tc>
        <w:tc>
          <w:tcPr>
            <w:tcW w:w="1250" w:type="dxa"/>
            <w:tcBorders>
              <w:top w:val="single" w:sz="4" w:space="0" w:color="auto"/>
            </w:tcBorders>
            <w:vAlign w:val="center"/>
            <w:hideMark/>
          </w:tcPr>
          <w:p w:rsidR="008C299A" w:rsidRPr="002C06C2" w:rsidRDefault="008C299A" w:rsidP="008C299A">
            <w:pPr>
              <w:pStyle w:val="Table-Body"/>
            </w:pPr>
            <w:r w:rsidRPr="002C06C2">
              <w:t>1.0</w:t>
            </w:r>
          </w:p>
        </w:tc>
      </w:tr>
      <w:tr w:rsidR="008C299A" w:rsidRPr="00382A8E" w:rsidTr="008C299A">
        <w:trPr>
          <w:trHeight w:val="144"/>
        </w:trPr>
        <w:tc>
          <w:tcPr>
            <w:tcW w:w="4226" w:type="dxa"/>
            <w:shd w:val="clear" w:color="auto" w:fill="F2F2F2"/>
            <w:vAlign w:val="center"/>
            <w:hideMark/>
          </w:tcPr>
          <w:p w:rsidR="008C299A" w:rsidRPr="002C06C2" w:rsidRDefault="008C299A" w:rsidP="008C299A">
            <w:pPr>
              <w:pStyle w:val="Table-Body"/>
            </w:pPr>
            <w:r w:rsidRPr="002C06C2">
              <w:t>Trying Marijuana</w:t>
            </w:r>
          </w:p>
        </w:tc>
        <w:tc>
          <w:tcPr>
            <w:tcW w:w="1199"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38" w:type="dxa"/>
            <w:tcBorders>
              <w:left w:val="single" w:sz="8" w:space="0" w:color="BFBFBF"/>
            </w:tcBorders>
            <w:shd w:val="clear" w:color="auto" w:fill="F2F2F2"/>
            <w:vAlign w:val="center"/>
            <w:hideMark/>
          </w:tcPr>
          <w:p w:rsidR="008C299A" w:rsidRPr="002C06C2" w:rsidRDefault="008C299A" w:rsidP="008C299A">
            <w:pPr>
              <w:pStyle w:val="Table-Body"/>
            </w:pPr>
            <w:r w:rsidRPr="002C06C2">
              <w:t>1,542</w:t>
            </w:r>
          </w:p>
        </w:tc>
        <w:tc>
          <w:tcPr>
            <w:tcW w:w="1304" w:type="dxa"/>
            <w:shd w:val="clear" w:color="auto" w:fill="F2F2F2"/>
            <w:vAlign w:val="center"/>
            <w:hideMark/>
          </w:tcPr>
          <w:p w:rsidR="008C299A" w:rsidRPr="002C06C2" w:rsidRDefault="008C299A" w:rsidP="008C299A">
            <w:pPr>
              <w:pStyle w:val="Table-Body"/>
            </w:pPr>
            <w:r w:rsidRPr="002C06C2">
              <w:t>58.4</w:t>
            </w:r>
          </w:p>
        </w:tc>
        <w:tc>
          <w:tcPr>
            <w:tcW w:w="1063" w:type="dxa"/>
            <w:shd w:val="clear" w:color="auto" w:fill="F2F2F2"/>
            <w:vAlign w:val="center"/>
            <w:hideMark/>
          </w:tcPr>
          <w:p w:rsidR="008C299A" w:rsidRPr="002C06C2" w:rsidRDefault="008C299A" w:rsidP="008C299A">
            <w:pPr>
              <w:pStyle w:val="Table-Body"/>
            </w:pPr>
            <w:r w:rsidRPr="002C06C2">
              <w:t>60.8</w:t>
            </w:r>
          </w:p>
        </w:tc>
        <w:tc>
          <w:tcPr>
            <w:tcW w:w="1250" w:type="dxa"/>
            <w:shd w:val="clear" w:color="auto" w:fill="F2F2F2"/>
            <w:vAlign w:val="center"/>
            <w:hideMark/>
          </w:tcPr>
          <w:p w:rsidR="008C299A" w:rsidRPr="002C06C2" w:rsidRDefault="008C299A" w:rsidP="008C299A">
            <w:pPr>
              <w:pStyle w:val="Table-Body"/>
            </w:pPr>
            <w:r w:rsidRPr="002C06C2">
              <w:t>2.4</w:t>
            </w:r>
          </w:p>
        </w:tc>
      </w:tr>
      <w:tr w:rsidR="008C299A" w:rsidRPr="00382A8E" w:rsidTr="008C299A">
        <w:trPr>
          <w:trHeight w:val="144"/>
        </w:trPr>
        <w:tc>
          <w:tcPr>
            <w:tcW w:w="4226" w:type="dxa"/>
            <w:vAlign w:val="center"/>
            <w:hideMark/>
          </w:tcPr>
          <w:p w:rsidR="008C299A" w:rsidRPr="002C06C2" w:rsidRDefault="008C299A" w:rsidP="008C299A">
            <w:pPr>
              <w:pStyle w:val="Table-Body"/>
            </w:pPr>
            <w:r w:rsidRPr="002C06C2">
              <w:t>Regular Marijuana Use</w:t>
            </w:r>
          </w:p>
        </w:tc>
        <w:tc>
          <w:tcPr>
            <w:tcW w:w="1199" w:type="dxa"/>
            <w:tcBorders>
              <w:right w:val="single" w:sz="8" w:space="0" w:color="BFBFBF"/>
            </w:tcBorders>
            <w:vAlign w:val="center"/>
            <w:hideMark/>
          </w:tcPr>
          <w:p w:rsidR="008C299A" w:rsidRPr="002C06C2" w:rsidRDefault="008C299A" w:rsidP="00DE182F">
            <w:pPr>
              <w:pStyle w:val="Table-Body"/>
            </w:pPr>
            <w:r w:rsidRPr="002C06C2">
              <w:t>Cohort 6</w:t>
            </w:r>
          </w:p>
        </w:tc>
        <w:tc>
          <w:tcPr>
            <w:tcW w:w="1038" w:type="dxa"/>
            <w:tcBorders>
              <w:left w:val="single" w:sz="8" w:space="0" w:color="BFBFBF"/>
            </w:tcBorders>
            <w:vAlign w:val="center"/>
            <w:hideMark/>
          </w:tcPr>
          <w:p w:rsidR="008C299A" w:rsidRPr="002C06C2" w:rsidRDefault="008C299A" w:rsidP="008C299A">
            <w:pPr>
              <w:pStyle w:val="Table-Body"/>
            </w:pPr>
            <w:r w:rsidRPr="002C06C2">
              <w:t>1,523</w:t>
            </w:r>
          </w:p>
        </w:tc>
        <w:tc>
          <w:tcPr>
            <w:tcW w:w="1304" w:type="dxa"/>
            <w:vAlign w:val="center"/>
            <w:hideMark/>
          </w:tcPr>
          <w:p w:rsidR="008C299A" w:rsidRPr="002C06C2" w:rsidRDefault="008C299A" w:rsidP="008C299A">
            <w:pPr>
              <w:pStyle w:val="Table-Body"/>
            </w:pPr>
            <w:r w:rsidRPr="002C06C2">
              <w:t>56.6</w:t>
            </w:r>
          </w:p>
        </w:tc>
        <w:tc>
          <w:tcPr>
            <w:tcW w:w="1063" w:type="dxa"/>
            <w:vAlign w:val="center"/>
            <w:hideMark/>
          </w:tcPr>
          <w:p w:rsidR="008C299A" w:rsidRPr="002C06C2" w:rsidRDefault="008C299A" w:rsidP="008C299A">
            <w:pPr>
              <w:pStyle w:val="Table-Body"/>
            </w:pPr>
            <w:r w:rsidRPr="002C06C2">
              <w:t>58.2</w:t>
            </w:r>
          </w:p>
        </w:tc>
        <w:tc>
          <w:tcPr>
            <w:tcW w:w="1250" w:type="dxa"/>
            <w:vAlign w:val="center"/>
            <w:hideMark/>
          </w:tcPr>
          <w:p w:rsidR="008C299A" w:rsidRPr="002C06C2" w:rsidRDefault="008C299A" w:rsidP="008C299A">
            <w:pPr>
              <w:pStyle w:val="Table-Body"/>
            </w:pPr>
            <w:r w:rsidRPr="002C06C2">
              <w:t>1.6</w:t>
            </w:r>
          </w:p>
        </w:tc>
      </w:tr>
    </w:tbl>
    <w:p w:rsidR="008C299A" w:rsidRDefault="008E2E78" w:rsidP="008C299A">
      <w:pPr>
        <w:pStyle w:val="Table-Source"/>
      </w:pPr>
      <w:r>
        <w:t xml:space="preserve">Source: HIV Cohort 6 </w:t>
      </w:r>
      <w:r w:rsidR="008C299A">
        <w:t>participant-level data, matched cases only through FY 2010</w:t>
      </w:r>
    </w:p>
    <w:p w:rsidR="008C299A" w:rsidRDefault="008C299A" w:rsidP="008C299A">
      <w:pPr>
        <w:pStyle w:val="Table-Source"/>
      </w:pPr>
      <w:r>
        <w:t>Note 1: Valid N refers to the total number of valid responses to the survey item.</w:t>
      </w:r>
    </w:p>
    <w:p w:rsidR="008C299A" w:rsidRPr="008E2E78" w:rsidRDefault="008C299A" w:rsidP="008E2E78">
      <w:pPr>
        <w:pStyle w:val="Table-Source"/>
      </w:pPr>
      <w:r>
        <w:t>Note 2: Figures within the “Change” column are calculated as the difference between exit and baseline. Minor discrepancies are due to rounding.</w:t>
      </w:r>
    </w:p>
    <w:p w:rsidR="008C299A" w:rsidRDefault="008C299A" w:rsidP="008C299A">
      <w:pPr>
        <w:pStyle w:val="Table-Title"/>
      </w:pPr>
      <w:bookmarkStart w:id="2" w:name="_Toc304815287"/>
      <w:proofErr w:type="gramStart"/>
      <w:r>
        <w:lastRenderedPageBreak/>
        <w:t xml:space="preserve">Table </w:t>
      </w:r>
      <w:r w:rsidR="00252033">
        <w:t>3</w:t>
      </w:r>
      <w:r w:rsidR="00491428">
        <w:t>.</w:t>
      </w:r>
      <w:proofErr w:type="gramEnd"/>
      <w:r w:rsidR="00491428">
        <w:t xml:space="preserve">  </w:t>
      </w:r>
      <w:r>
        <w:t>Changes in Past 30-Day Substance Use</w:t>
      </w:r>
      <w:bookmarkEnd w:id="2"/>
    </w:p>
    <w:p w:rsidR="008C299A" w:rsidRDefault="008C299A" w:rsidP="008C299A">
      <w:pPr>
        <w:pStyle w:val="Table-Subtitle"/>
      </w:pPr>
      <w:r>
        <w:t xml:space="preserve">Average Days of Substance Use </w:t>
      </w:r>
      <w:proofErr w:type="gramStart"/>
      <w:r>
        <w:t>During</w:t>
      </w:r>
      <w:proofErr w:type="gramEnd"/>
      <w:r>
        <w:t xml:space="preserve"> the Past 30-Days by HIV Cohort 6 and 7 Program Participants Ages 12 or Older at Baseline and Exit</w:t>
      </w:r>
    </w:p>
    <w:tbl>
      <w:tblPr>
        <w:tblW w:w="14172" w:type="dxa"/>
        <w:tblInd w:w="-985"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4050"/>
        <w:gridCol w:w="1199"/>
        <w:gridCol w:w="1039"/>
        <w:gridCol w:w="1304"/>
        <w:gridCol w:w="1062"/>
        <w:gridCol w:w="1251"/>
        <w:gridCol w:w="1084"/>
        <w:gridCol w:w="1232"/>
        <w:gridCol w:w="1048"/>
        <w:gridCol w:w="903"/>
      </w:tblGrid>
      <w:tr w:rsidR="008C299A" w:rsidRPr="00837A96" w:rsidTr="008E2E78">
        <w:trPr>
          <w:trHeight w:val="144"/>
          <w:tblHeader/>
        </w:trPr>
        <w:tc>
          <w:tcPr>
            <w:tcW w:w="5249"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p>
        </w:tc>
        <w:tc>
          <w:tcPr>
            <w:tcW w:w="4656"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Youth</w:t>
            </w:r>
          </w:p>
        </w:tc>
        <w:tc>
          <w:tcPr>
            <w:tcW w:w="4267"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Adult</w:t>
            </w:r>
          </w:p>
        </w:tc>
      </w:tr>
      <w:tr w:rsidR="008C299A" w:rsidRPr="00837A96" w:rsidTr="008E2E78">
        <w:trPr>
          <w:trHeight w:val="144"/>
          <w:tblHeader/>
        </w:trPr>
        <w:tc>
          <w:tcPr>
            <w:tcW w:w="5249" w:type="dxa"/>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numPr>
                <w:ilvl w:val="0"/>
                <w:numId w:val="2"/>
              </w:numPr>
            </w:pPr>
          </w:p>
        </w:tc>
        <w:tc>
          <w:tcPr>
            <w:tcW w:w="1039"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Valid N</w:t>
            </w:r>
          </w:p>
        </w:tc>
        <w:tc>
          <w:tcPr>
            <w:tcW w:w="130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Baseline %</w:t>
            </w:r>
          </w:p>
        </w:tc>
        <w:tc>
          <w:tcPr>
            <w:tcW w:w="1062"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Exit %</w:t>
            </w:r>
          </w:p>
        </w:tc>
        <w:tc>
          <w:tcPr>
            <w:tcW w:w="1251"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Change</w:t>
            </w:r>
          </w:p>
        </w:tc>
        <w:tc>
          <w:tcPr>
            <w:tcW w:w="108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Valid N</w:t>
            </w:r>
          </w:p>
        </w:tc>
        <w:tc>
          <w:tcPr>
            <w:tcW w:w="1232"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Baseline %</w:t>
            </w:r>
          </w:p>
        </w:tc>
        <w:tc>
          <w:tcPr>
            <w:tcW w:w="1048"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Exit %</w:t>
            </w:r>
          </w:p>
        </w:tc>
        <w:tc>
          <w:tcPr>
            <w:tcW w:w="903"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8C299A">
            <w:pPr>
              <w:pStyle w:val="Table-Header"/>
            </w:pPr>
            <w:r w:rsidRPr="002C06C2">
              <w:t>Change</w:t>
            </w:r>
          </w:p>
        </w:tc>
      </w:tr>
      <w:tr w:rsidR="008C299A" w:rsidRPr="00837A96" w:rsidTr="008E2E78">
        <w:trPr>
          <w:trHeight w:val="144"/>
        </w:trPr>
        <w:tc>
          <w:tcPr>
            <w:tcW w:w="4050" w:type="dxa"/>
            <w:tcBorders>
              <w:top w:val="single" w:sz="4" w:space="0" w:color="auto"/>
            </w:tcBorders>
            <w:vAlign w:val="center"/>
            <w:hideMark/>
          </w:tcPr>
          <w:p w:rsidR="008C299A" w:rsidRPr="002C06C2" w:rsidRDefault="008C299A" w:rsidP="00F767BA">
            <w:pPr>
              <w:pStyle w:val="Table-Body"/>
            </w:pPr>
            <w:r w:rsidRPr="002C06C2">
              <w:t>Alcohol</w:t>
            </w:r>
          </w:p>
        </w:tc>
        <w:tc>
          <w:tcPr>
            <w:tcW w:w="1199" w:type="dxa"/>
            <w:tcBorders>
              <w:top w:val="single" w:sz="4" w:space="0" w:color="auto"/>
              <w:right w:val="single" w:sz="8" w:space="0" w:color="BFBFBF"/>
            </w:tcBorders>
            <w:vAlign w:val="center"/>
            <w:hideMark/>
          </w:tcPr>
          <w:p w:rsidR="008C299A" w:rsidRPr="002C06C2" w:rsidRDefault="008C299A" w:rsidP="00DE182F">
            <w:pPr>
              <w:pStyle w:val="Table-Body"/>
            </w:pPr>
            <w:r w:rsidRPr="002C06C2">
              <w:t>Cohort 6</w:t>
            </w:r>
          </w:p>
        </w:tc>
        <w:tc>
          <w:tcPr>
            <w:tcW w:w="1039" w:type="dxa"/>
            <w:tcBorders>
              <w:top w:val="single" w:sz="4" w:space="0" w:color="auto"/>
              <w:left w:val="single" w:sz="8" w:space="0" w:color="BFBFBF"/>
            </w:tcBorders>
            <w:vAlign w:val="center"/>
            <w:hideMark/>
          </w:tcPr>
          <w:p w:rsidR="008C299A" w:rsidRPr="002C06C2" w:rsidRDefault="008C299A" w:rsidP="00F767BA">
            <w:pPr>
              <w:pStyle w:val="Table-Body"/>
            </w:pPr>
            <w:r w:rsidRPr="002C06C2">
              <w:t>3,151</w:t>
            </w:r>
          </w:p>
        </w:tc>
        <w:tc>
          <w:tcPr>
            <w:tcW w:w="1304" w:type="dxa"/>
            <w:tcBorders>
              <w:top w:val="single" w:sz="4" w:space="0" w:color="auto"/>
            </w:tcBorders>
            <w:vAlign w:val="center"/>
            <w:hideMark/>
          </w:tcPr>
          <w:p w:rsidR="008C299A" w:rsidRPr="002C06C2" w:rsidRDefault="008C299A" w:rsidP="00F767BA">
            <w:pPr>
              <w:pStyle w:val="Table-Body"/>
            </w:pPr>
            <w:r w:rsidRPr="002C06C2">
              <w:t>1.3</w:t>
            </w:r>
          </w:p>
        </w:tc>
        <w:tc>
          <w:tcPr>
            <w:tcW w:w="1062" w:type="dxa"/>
            <w:tcBorders>
              <w:top w:val="single" w:sz="4" w:space="0" w:color="auto"/>
            </w:tcBorders>
            <w:vAlign w:val="center"/>
            <w:hideMark/>
          </w:tcPr>
          <w:p w:rsidR="008C299A" w:rsidRPr="002C06C2" w:rsidRDefault="008C299A" w:rsidP="00F767BA">
            <w:pPr>
              <w:pStyle w:val="Table-Body"/>
            </w:pPr>
            <w:r w:rsidRPr="002C06C2">
              <w:t>1.0</w:t>
            </w:r>
          </w:p>
        </w:tc>
        <w:tc>
          <w:tcPr>
            <w:tcW w:w="1251" w:type="dxa"/>
            <w:tcBorders>
              <w:top w:val="single" w:sz="4" w:space="0" w:color="auto"/>
              <w:right w:val="single" w:sz="8" w:space="0" w:color="BFBFBF"/>
            </w:tcBorders>
            <w:vAlign w:val="center"/>
            <w:hideMark/>
          </w:tcPr>
          <w:p w:rsidR="008C299A" w:rsidRPr="002C06C2" w:rsidRDefault="00EC4AE7" w:rsidP="00F767BA">
            <w:pPr>
              <w:pStyle w:val="Table-Body"/>
            </w:pPr>
            <w:r>
              <w:t>-0.2</w:t>
            </w:r>
          </w:p>
        </w:tc>
        <w:tc>
          <w:tcPr>
            <w:tcW w:w="1084" w:type="dxa"/>
            <w:tcBorders>
              <w:top w:val="single" w:sz="4" w:space="0" w:color="auto"/>
              <w:left w:val="single" w:sz="8" w:space="0" w:color="BFBFBF"/>
            </w:tcBorders>
            <w:vAlign w:val="center"/>
            <w:hideMark/>
          </w:tcPr>
          <w:p w:rsidR="008C299A" w:rsidRPr="002C06C2" w:rsidRDefault="008C299A" w:rsidP="00F767BA">
            <w:pPr>
              <w:pStyle w:val="Table-Body"/>
            </w:pPr>
            <w:r w:rsidRPr="002C06C2">
              <w:t>9,406</w:t>
            </w:r>
          </w:p>
        </w:tc>
        <w:tc>
          <w:tcPr>
            <w:tcW w:w="1232" w:type="dxa"/>
            <w:tcBorders>
              <w:top w:val="single" w:sz="4" w:space="0" w:color="auto"/>
            </w:tcBorders>
            <w:vAlign w:val="center"/>
            <w:hideMark/>
          </w:tcPr>
          <w:p w:rsidR="008C299A" w:rsidRPr="002C06C2" w:rsidRDefault="008C299A" w:rsidP="00F767BA">
            <w:pPr>
              <w:pStyle w:val="Table-Body"/>
            </w:pPr>
            <w:r w:rsidRPr="002C06C2">
              <w:t>2.8</w:t>
            </w:r>
          </w:p>
        </w:tc>
        <w:tc>
          <w:tcPr>
            <w:tcW w:w="1048" w:type="dxa"/>
            <w:tcBorders>
              <w:top w:val="single" w:sz="4" w:space="0" w:color="auto"/>
            </w:tcBorders>
            <w:vAlign w:val="center"/>
            <w:hideMark/>
          </w:tcPr>
          <w:p w:rsidR="008C299A" w:rsidRPr="002C06C2" w:rsidRDefault="008C299A" w:rsidP="00F767BA">
            <w:pPr>
              <w:pStyle w:val="Table-Body"/>
            </w:pPr>
            <w:r w:rsidRPr="002C06C2">
              <w:t>2.3</w:t>
            </w:r>
          </w:p>
        </w:tc>
        <w:tc>
          <w:tcPr>
            <w:tcW w:w="903" w:type="dxa"/>
            <w:tcBorders>
              <w:top w:val="single" w:sz="4" w:space="0" w:color="auto"/>
            </w:tcBorders>
            <w:vAlign w:val="center"/>
            <w:hideMark/>
          </w:tcPr>
          <w:p w:rsidR="008C299A" w:rsidRPr="002C06C2" w:rsidRDefault="00EC4AE7" w:rsidP="00F767BA">
            <w:pPr>
              <w:pStyle w:val="Table-Body"/>
            </w:pPr>
            <w:r>
              <w:t>-0.5</w:t>
            </w:r>
          </w:p>
        </w:tc>
      </w:tr>
      <w:tr w:rsidR="008C299A" w:rsidRPr="00837A96" w:rsidTr="008E2E78">
        <w:trPr>
          <w:trHeight w:val="144"/>
        </w:trPr>
        <w:tc>
          <w:tcPr>
            <w:tcW w:w="4050" w:type="dxa"/>
            <w:shd w:val="clear" w:color="auto" w:fill="F2F2F2"/>
            <w:vAlign w:val="center"/>
            <w:hideMark/>
          </w:tcPr>
          <w:p w:rsidR="008C299A" w:rsidRPr="002C06C2" w:rsidRDefault="008C299A" w:rsidP="008E2E78">
            <w:pPr>
              <w:pStyle w:val="Table-Body"/>
              <w:tabs>
                <w:tab w:val="left" w:pos="92"/>
              </w:tabs>
            </w:pPr>
            <w:r w:rsidRPr="002C06C2">
              <w:t>Marijuana</w:t>
            </w:r>
          </w:p>
        </w:tc>
        <w:tc>
          <w:tcPr>
            <w:tcW w:w="1199"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39" w:type="dxa"/>
            <w:tcBorders>
              <w:left w:val="single" w:sz="8" w:space="0" w:color="BFBFBF"/>
            </w:tcBorders>
            <w:shd w:val="clear" w:color="auto" w:fill="F2F2F2"/>
            <w:vAlign w:val="center"/>
            <w:hideMark/>
          </w:tcPr>
          <w:p w:rsidR="008C299A" w:rsidRPr="002C06C2" w:rsidRDefault="008C299A" w:rsidP="00F767BA">
            <w:pPr>
              <w:pStyle w:val="Table-Body"/>
            </w:pPr>
            <w:r w:rsidRPr="002C06C2">
              <w:t>2,064</w:t>
            </w:r>
          </w:p>
        </w:tc>
        <w:tc>
          <w:tcPr>
            <w:tcW w:w="1304" w:type="dxa"/>
            <w:shd w:val="clear" w:color="auto" w:fill="F2F2F2"/>
            <w:vAlign w:val="center"/>
            <w:hideMark/>
          </w:tcPr>
          <w:p w:rsidR="008C299A" w:rsidRPr="002C06C2" w:rsidRDefault="008C299A" w:rsidP="00F767BA">
            <w:pPr>
              <w:pStyle w:val="Table-Body"/>
            </w:pPr>
            <w:r w:rsidRPr="002C06C2">
              <w:t>2.1</w:t>
            </w:r>
          </w:p>
        </w:tc>
        <w:tc>
          <w:tcPr>
            <w:tcW w:w="1062" w:type="dxa"/>
            <w:shd w:val="clear" w:color="auto" w:fill="F2F2F2"/>
            <w:vAlign w:val="center"/>
            <w:hideMark/>
          </w:tcPr>
          <w:p w:rsidR="008C299A" w:rsidRPr="002C06C2" w:rsidRDefault="008C299A" w:rsidP="00F767BA">
            <w:pPr>
              <w:pStyle w:val="Table-Body"/>
            </w:pPr>
            <w:r w:rsidRPr="002C06C2">
              <w:t>1.6</w:t>
            </w:r>
          </w:p>
        </w:tc>
        <w:tc>
          <w:tcPr>
            <w:tcW w:w="1251" w:type="dxa"/>
            <w:tcBorders>
              <w:right w:val="single" w:sz="8" w:space="0" w:color="BFBFBF"/>
            </w:tcBorders>
            <w:shd w:val="clear" w:color="auto" w:fill="F2F2F2"/>
            <w:vAlign w:val="center"/>
            <w:hideMark/>
          </w:tcPr>
          <w:p w:rsidR="008C299A" w:rsidRPr="002C06C2" w:rsidRDefault="00EC4AE7" w:rsidP="00F767BA">
            <w:pPr>
              <w:pStyle w:val="Table-Body"/>
            </w:pPr>
            <w:r>
              <w:t>-0.5</w:t>
            </w:r>
          </w:p>
        </w:tc>
        <w:tc>
          <w:tcPr>
            <w:tcW w:w="1084" w:type="dxa"/>
            <w:tcBorders>
              <w:left w:val="single" w:sz="8" w:space="0" w:color="BFBFBF"/>
            </w:tcBorders>
            <w:shd w:val="clear" w:color="auto" w:fill="F2F2F2"/>
            <w:vAlign w:val="center"/>
            <w:hideMark/>
          </w:tcPr>
          <w:p w:rsidR="008C299A" w:rsidRPr="002C06C2" w:rsidRDefault="008C299A" w:rsidP="00F767BA">
            <w:pPr>
              <w:pStyle w:val="Table-Body"/>
            </w:pPr>
            <w:r w:rsidRPr="002C06C2">
              <w:t>10,942</w:t>
            </w:r>
          </w:p>
        </w:tc>
        <w:tc>
          <w:tcPr>
            <w:tcW w:w="1232" w:type="dxa"/>
            <w:shd w:val="clear" w:color="auto" w:fill="F2F2F2"/>
            <w:vAlign w:val="center"/>
            <w:hideMark/>
          </w:tcPr>
          <w:p w:rsidR="008C299A" w:rsidRPr="002C06C2" w:rsidRDefault="008C299A" w:rsidP="00F767BA">
            <w:pPr>
              <w:pStyle w:val="Table-Body"/>
            </w:pPr>
            <w:r w:rsidRPr="002C06C2">
              <w:t>2.3</w:t>
            </w:r>
          </w:p>
        </w:tc>
        <w:tc>
          <w:tcPr>
            <w:tcW w:w="1048" w:type="dxa"/>
            <w:shd w:val="clear" w:color="auto" w:fill="F2F2F2"/>
            <w:vAlign w:val="center"/>
            <w:hideMark/>
          </w:tcPr>
          <w:p w:rsidR="008C299A" w:rsidRPr="002C06C2" w:rsidRDefault="008C299A" w:rsidP="00F767BA">
            <w:pPr>
              <w:pStyle w:val="Table-Body"/>
            </w:pPr>
            <w:r w:rsidRPr="002C06C2">
              <w:t>1.7</w:t>
            </w:r>
          </w:p>
        </w:tc>
        <w:tc>
          <w:tcPr>
            <w:tcW w:w="903" w:type="dxa"/>
            <w:shd w:val="clear" w:color="auto" w:fill="F2F2F2"/>
            <w:vAlign w:val="center"/>
            <w:hideMark/>
          </w:tcPr>
          <w:p w:rsidR="008C299A" w:rsidRPr="002C06C2" w:rsidRDefault="00EC4AE7" w:rsidP="00F767BA">
            <w:pPr>
              <w:pStyle w:val="Table-Body"/>
            </w:pPr>
            <w:r>
              <w:t>-0.6</w:t>
            </w:r>
          </w:p>
        </w:tc>
      </w:tr>
      <w:tr w:rsidR="008C299A" w:rsidRPr="00837A96" w:rsidTr="008E2E78">
        <w:trPr>
          <w:trHeight w:val="144"/>
        </w:trPr>
        <w:tc>
          <w:tcPr>
            <w:tcW w:w="4050" w:type="dxa"/>
            <w:vAlign w:val="center"/>
            <w:hideMark/>
          </w:tcPr>
          <w:p w:rsidR="008C299A" w:rsidRPr="002C06C2" w:rsidRDefault="008C299A" w:rsidP="00F767BA">
            <w:pPr>
              <w:pStyle w:val="Table-Body"/>
            </w:pPr>
            <w:r w:rsidRPr="002C06C2">
              <w:t>Illicit Drugs (Excluding Marijuana)</w:t>
            </w:r>
          </w:p>
        </w:tc>
        <w:tc>
          <w:tcPr>
            <w:tcW w:w="1199" w:type="dxa"/>
            <w:tcBorders>
              <w:right w:val="single" w:sz="8" w:space="0" w:color="BFBFBF"/>
            </w:tcBorders>
            <w:vAlign w:val="center"/>
            <w:hideMark/>
          </w:tcPr>
          <w:p w:rsidR="008C299A" w:rsidRPr="002C06C2" w:rsidRDefault="008C299A" w:rsidP="00DE182F">
            <w:pPr>
              <w:pStyle w:val="Table-Body"/>
            </w:pPr>
            <w:r w:rsidRPr="002C06C2">
              <w:t>Cohort 6</w:t>
            </w:r>
          </w:p>
        </w:tc>
        <w:tc>
          <w:tcPr>
            <w:tcW w:w="1039" w:type="dxa"/>
            <w:tcBorders>
              <w:left w:val="single" w:sz="8" w:space="0" w:color="BFBFBF"/>
            </w:tcBorders>
            <w:vAlign w:val="center"/>
            <w:hideMark/>
          </w:tcPr>
          <w:p w:rsidR="008C299A" w:rsidRPr="002C06C2" w:rsidRDefault="008C299A" w:rsidP="00F767BA">
            <w:pPr>
              <w:pStyle w:val="Table-Body"/>
            </w:pPr>
            <w:r w:rsidRPr="002C06C2">
              <w:t>2,115</w:t>
            </w:r>
          </w:p>
        </w:tc>
        <w:tc>
          <w:tcPr>
            <w:tcW w:w="1304" w:type="dxa"/>
            <w:vAlign w:val="center"/>
            <w:hideMark/>
          </w:tcPr>
          <w:p w:rsidR="008C299A" w:rsidRPr="002C06C2" w:rsidRDefault="008C299A" w:rsidP="00F767BA">
            <w:pPr>
              <w:pStyle w:val="Table-Body"/>
            </w:pPr>
            <w:r w:rsidRPr="002C06C2">
              <w:t>0.8</w:t>
            </w:r>
          </w:p>
        </w:tc>
        <w:tc>
          <w:tcPr>
            <w:tcW w:w="1062" w:type="dxa"/>
            <w:vAlign w:val="center"/>
            <w:hideMark/>
          </w:tcPr>
          <w:p w:rsidR="008C299A" w:rsidRPr="002C06C2" w:rsidRDefault="008C299A" w:rsidP="00F767BA">
            <w:pPr>
              <w:pStyle w:val="Table-Body"/>
            </w:pPr>
            <w:r w:rsidRPr="002C06C2">
              <w:t>0.6</w:t>
            </w:r>
          </w:p>
        </w:tc>
        <w:tc>
          <w:tcPr>
            <w:tcW w:w="1251" w:type="dxa"/>
            <w:tcBorders>
              <w:right w:val="single" w:sz="8" w:space="0" w:color="BFBFBF"/>
            </w:tcBorders>
            <w:vAlign w:val="center"/>
            <w:hideMark/>
          </w:tcPr>
          <w:p w:rsidR="008C299A" w:rsidRPr="002C06C2" w:rsidRDefault="008C299A" w:rsidP="00F767BA">
            <w:pPr>
              <w:pStyle w:val="Table-Body"/>
            </w:pPr>
            <w:r w:rsidRPr="002C06C2">
              <w:t>-0.2</w:t>
            </w:r>
          </w:p>
        </w:tc>
        <w:tc>
          <w:tcPr>
            <w:tcW w:w="1084" w:type="dxa"/>
            <w:tcBorders>
              <w:left w:val="single" w:sz="8" w:space="0" w:color="BFBFBF"/>
            </w:tcBorders>
            <w:vAlign w:val="center"/>
            <w:hideMark/>
          </w:tcPr>
          <w:p w:rsidR="008C299A" w:rsidRPr="002C06C2" w:rsidRDefault="008C299A" w:rsidP="00F767BA">
            <w:pPr>
              <w:pStyle w:val="Table-Body"/>
            </w:pPr>
            <w:r w:rsidRPr="002C06C2">
              <w:t>11,056</w:t>
            </w:r>
          </w:p>
        </w:tc>
        <w:tc>
          <w:tcPr>
            <w:tcW w:w="1232" w:type="dxa"/>
            <w:vAlign w:val="center"/>
            <w:hideMark/>
          </w:tcPr>
          <w:p w:rsidR="008C299A" w:rsidRPr="002C06C2" w:rsidRDefault="008C299A" w:rsidP="00F767BA">
            <w:pPr>
              <w:pStyle w:val="Table-Body"/>
            </w:pPr>
            <w:r w:rsidRPr="002C06C2">
              <w:t>2.1</w:t>
            </w:r>
          </w:p>
        </w:tc>
        <w:tc>
          <w:tcPr>
            <w:tcW w:w="1048" w:type="dxa"/>
            <w:vAlign w:val="center"/>
            <w:hideMark/>
          </w:tcPr>
          <w:p w:rsidR="008C299A" w:rsidRPr="002C06C2" w:rsidRDefault="008C299A" w:rsidP="00F767BA">
            <w:pPr>
              <w:pStyle w:val="Table-Body"/>
            </w:pPr>
            <w:r w:rsidRPr="002C06C2">
              <w:t>1.5</w:t>
            </w:r>
          </w:p>
        </w:tc>
        <w:tc>
          <w:tcPr>
            <w:tcW w:w="903" w:type="dxa"/>
            <w:vAlign w:val="center"/>
            <w:hideMark/>
          </w:tcPr>
          <w:p w:rsidR="008C299A" w:rsidRPr="002C06C2" w:rsidRDefault="00EC4AE7" w:rsidP="00F767BA">
            <w:pPr>
              <w:pStyle w:val="Table-Body"/>
            </w:pPr>
            <w:r>
              <w:t>-0.6</w:t>
            </w:r>
          </w:p>
        </w:tc>
      </w:tr>
      <w:tr w:rsidR="008C299A" w:rsidRPr="00837A96" w:rsidTr="008E2E78">
        <w:trPr>
          <w:trHeight w:val="144"/>
        </w:trPr>
        <w:tc>
          <w:tcPr>
            <w:tcW w:w="4050" w:type="dxa"/>
            <w:shd w:val="clear" w:color="auto" w:fill="F2F2F2"/>
            <w:vAlign w:val="center"/>
            <w:hideMark/>
          </w:tcPr>
          <w:p w:rsidR="008C299A" w:rsidRPr="002C06C2" w:rsidRDefault="008C299A" w:rsidP="00F767BA">
            <w:pPr>
              <w:pStyle w:val="Table-Body"/>
            </w:pPr>
            <w:r w:rsidRPr="002C06C2">
              <w:t>Prescription Drugs</w:t>
            </w:r>
          </w:p>
        </w:tc>
        <w:tc>
          <w:tcPr>
            <w:tcW w:w="1199"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39" w:type="dxa"/>
            <w:tcBorders>
              <w:left w:val="single" w:sz="8" w:space="0" w:color="BFBFBF"/>
            </w:tcBorders>
            <w:shd w:val="clear" w:color="auto" w:fill="F2F2F2"/>
            <w:vAlign w:val="center"/>
            <w:hideMark/>
          </w:tcPr>
          <w:p w:rsidR="008C299A" w:rsidRPr="002C06C2" w:rsidRDefault="008C299A" w:rsidP="00F767BA">
            <w:pPr>
              <w:pStyle w:val="Table-Body"/>
            </w:pPr>
            <w:r w:rsidRPr="002C06C2">
              <w:t>N/A</w:t>
            </w:r>
          </w:p>
        </w:tc>
        <w:tc>
          <w:tcPr>
            <w:tcW w:w="1304" w:type="dxa"/>
            <w:shd w:val="clear" w:color="auto" w:fill="F2F2F2"/>
            <w:vAlign w:val="center"/>
            <w:hideMark/>
          </w:tcPr>
          <w:p w:rsidR="008C299A" w:rsidRPr="002C06C2" w:rsidRDefault="008C299A" w:rsidP="00F767BA">
            <w:pPr>
              <w:pStyle w:val="Table-Body"/>
            </w:pPr>
            <w:r w:rsidRPr="002C06C2">
              <w:t>--</w:t>
            </w:r>
          </w:p>
        </w:tc>
        <w:tc>
          <w:tcPr>
            <w:tcW w:w="1062" w:type="dxa"/>
            <w:shd w:val="clear" w:color="auto" w:fill="F2F2F2"/>
            <w:vAlign w:val="center"/>
            <w:hideMark/>
          </w:tcPr>
          <w:p w:rsidR="008C299A" w:rsidRPr="002C06C2" w:rsidRDefault="008C299A" w:rsidP="00F767BA">
            <w:pPr>
              <w:pStyle w:val="Table-Body"/>
            </w:pPr>
            <w:r w:rsidRPr="002C06C2">
              <w:t>N/A</w:t>
            </w:r>
          </w:p>
        </w:tc>
        <w:tc>
          <w:tcPr>
            <w:tcW w:w="1251" w:type="dxa"/>
            <w:tcBorders>
              <w:right w:val="single" w:sz="8" w:space="0" w:color="BFBFBF"/>
            </w:tcBorders>
            <w:shd w:val="clear" w:color="auto" w:fill="F2F2F2"/>
            <w:vAlign w:val="center"/>
            <w:hideMark/>
          </w:tcPr>
          <w:p w:rsidR="008C299A" w:rsidRPr="002C06C2" w:rsidRDefault="008C299A" w:rsidP="00F767BA">
            <w:pPr>
              <w:pStyle w:val="Table-Body"/>
            </w:pPr>
            <w:r w:rsidRPr="002C06C2">
              <w:t>--</w:t>
            </w:r>
          </w:p>
        </w:tc>
        <w:tc>
          <w:tcPr>
            <w:tcW w:w="1084" w:type="dxa"/>
            <w:tcBorders>
              <w:left w:val="single" w:sz="8" w:space="0" w:color="BFBFBF"/>
            </w:tcBorders>
            <w:shd w:val="clear" w:color="auto" w:fill="F2F2F2"/>
            <w:vAlign w:val="center"/>
            <w:hideMark/>
          </w:tcPr>
          <w:p w:rsidR="008C299A" w:rsidRPr="002C06C2" w:rsidRDefault="008C299A" w:rsidP="00F767BA">
            <w:pPr>
              <w:pStyle w:val="Table-Body"/>
            </w:pPr>
            <w:r w:rsidRPr="002C06C2">
              <w:t>10,860</w:t>
            </w:r>
          </w:p>
        </w:tc>
        <w:tc>
          <w:tcPr>
            <w:tcW w:w="1232" w:type="dxa"/>
            <w:shd w:val="clear" w:color="auto" w:fill="F2F2F2"/>
            <w:vAlign w:val="center"/>
            <w:hideMark/>
          </w:tcPr>
          <w:p w:rsidR="008C299A" w:rsidRPr="002C06C2" w:rsidRDefault="008C299A" w:rsidP="00F767BA">
            <w:pPr>
              <w:pStyle w:val="Table-Body"/>
            </w:pPr>
            <w:r w:rsidRPr="002C06C2">
              <w:t>0.5</w:t>
            </w:r>
          </w:p>
        </w:tc>
        <w:tc>
          <w:tcPr>
            <w:tcW w:w="1048" w:type="dxa"/>
            <w:shd w:val="clear" w:color="auto" w:fill="F2F2F2"/>
            <w:vAlign w:val="center"/>
            <w:hideMark/>
          </w:tcPr>
          <w:p w:rsidR="008C299A" w:rsidRPr="002C06C2" w:rsidRDefault="008C299A" w:rsidP="00F767BA">
            <w:pPr>
              <w:pStyle w:val="Table-Body"/>
            </w:pPr>
            <w:r w:rsidRPr="002C06C2">
              <w:t>0.4</w:t>
            </w:r>
          </w:p>
        </w:tc>
        <w:tc>
          <w:tcPr>
            <w:tcW w:w="903" w:type="dxa"/>
            <w:shd w:val="clear" w:color="auto" w:fill="F2F2F2"/>
            <w:vAlign w:val="center"/>
            <w:hideMark/>
          </w:tcPr>
          <w:p w:rsidR="008C299A" w:rsidRPr="002C06C2" w:rsidRDefault="00EC4AE7" w:rsidP="00F767BA">
            <w:pPr>
              <w:pStyle w:val="Table-Body"/>
            </w:pPr>
            <w:r>
              <w:t>-0.1</w:t>
            </w:r>
          </w:p>
        </w:tc>
      </w:tr>
    </w:tbl>
    <w:p w:rsidR="008C299A" w:rsidRDefault="008E2E78" w:rsidP="008E2E78">
      <w:pPr>
        <w:pStyle w:val="Table-Source"/>
        <w:pBdr>
          <w:bottom w:val="single" w:sz="2" w:space="11" w:color="FFFFFF"/>
        </w:pBdr>
      </w:pPr>
      <w:r>
        <w:t xml:space="preserve">Source: HIV Cohort 6 </w:t>
      </w:r>
      <w:r w:rsidR="008C299A">
        <w:t>participant-level data, matched cases only through FY 2010</w:t>
      </w:r>
    </w:p>
    <w:p w:rsidR="008C299A" w:rsidRDefault="008C299A" w:rsidP="008E2E78">
      <w:pPr>
        <w:pStyle w:val="Table-Source"/>
        <w:pBdr>
          <w:bottom w:val="single" w:sz="2" w:space="11" w:color="FFFFFF"/>
        </w:pBdr>
      </w:pPr>
      <w:r>
        <w:t>Note 1: Valid N refers to the total number of valid responses to the survey item.</w:t>
      </w:r>
    </w:p>
    <w:p w:rsidR="008C299A" w:rsidRDefault="008C299A" w:rsidP="008E2E78">
      <w:pPr>
        <w:pStyle w:val="Table-Source"/>
        <w:pBdr>
          <w:bottom w:val="single" w:sz="2" w:space="11" w:color="FFFFFF"/>
        </w:pBdr>
      </w:pPr>
      <w:r>
        <w:t>Note 2: Figures within the “Change” column are calculated as the difference between exit and baseline. Minor discrepancies are due to rounding.</w:t>
      </w:r>
    </w:p>
    <w:p w:rsidR="008C299A" w:rsidRDefault="008C299A" w:rsidP="008E2E78">
      <w:pPr>
        <w:pStyle w:val="Table-Source"/>
        <w:pBdr>
          <w:bottom w:val="single" w:sz="2" w:space="11" w:color="FFFFFF"/>
        </w:pBdr>
      </w:pPr>
      <w:r>
        <w:t>Note 3: The “Youth” category includes respondents ages 12 to 17 with the exception of alcohol use; for this measure, the category is comprised of participants ages 12 to 20. The “Adult” category includes respondents ages 18 or older with the exception of alcohol use; for this measure, the category is defined as ages 21 or older.</w:t>
      </w:r>
    </w:p>
    <w:p w:rsidR="008E2E78" w:rsidRDefault="008E2E78" w:rsidP="008C299A">
      <w:pPr>
        <w:pStyle w:val="Table-Title"/>
        <w:sectPr w:rsidR="008E2E78" w:rsidSect="008E2E78">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5840" w:h="12240" w:orient="landscape" w:code="1"/>
          <w:pgMar w:top="1440" w:right="1440" w:bottom="1440" w:left="1440" w:header="864" w:footer="864" w:gutter="0"/>
          <w:cols w:space="720"/>
          <w:docGrid w:linePitch="326"/>
        </w:sectPr>
      </w:pPr>
      <w:bookmarkStart w:id="3" w:name="_Toc304815288"/>
    </w:p>
    <w:p w:rsidR="008C299A" w:rsidRDefault="008C299A" w:rsidP="008C299A">
      <w:pPr>
        <w:pStyle w:val="Table-Title"/>
      </w:pPr>
      <w:proofErr w:type="gramStart"/>
      <w:r>
        <w:lastRenderedPageBreak/>
        <w:t xml:space="preserve">Table </w:t>
      </w:r>
      <w:r w:rsidR="00252033">
        <w:t>4</w:t>
      </w:r>
      <w:r w:rsidR="00491428">
        <w:t>.</w:t>
      </w:r>
      <w:proofErr w:type="gramEnd"/>
      <w:r w:rsidR="00491428">
        <w:t xml:space="preserve">  </w:t>
      </w:r>
      <w:r>
        <w:t xml:space="preserve">Risk of Harm </w:t>
      </w:r>
      <w:proofErr w:type="gramStart"/>
      <w:r>
        <w:t>From</w:t>
      </w:r>
      <w:proofErr w:type="gramEnd"/>
      <w:r>
        <w:t xml:space="preserve"> Unprotected Sex</w:t>
      </w:r>
      <w:bookmarkEnd w:id="3"/>
    </w:p>
    <w:p w:rsidR="008C299A" w:rsidRDefault="008E2E78" w:rsidP="008C299A">
      <w:pPr>
        <w:pStyle w:val="Table-Subtitle"/>
      </w:pPr>
      <w:r>
        <w:t>Percentage of HIV Cohort 6</w:t>
      </w:r>
      <w:r w:rsidR="008C299A">
        <w:t xml:space="preserve"> Program Participants Ages 18 or Older Reporting Moderate or Great Risk of Harm </w:t>
      </w:r>
      <w:proofErr w:type="gramStart"/>
      <w:r w:rsidR="008C299A">
        <w:t>From</w:t>
      </w:r>
      <w:proofErr w:type="gramEnd"/>
      <w:r w:rsidR="008C299A">
        <w:t xml:space="preserve"> Unprotected Sex at Baseline and Exit</w:t>
      </w:r>
    </w:p>
    <w:tbl>
      <w:tblPr>
        <w:tblW w:w="10080"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4236"/>
        <w:gridCol w:w="1190"/>
        <w:gridCol w:w="1062"/>
        <w:gridCol w:w="1297"/>
        <w:gridCol w:w="1052"/>
        <w:gridCol w:w="1243"/>
      </w:tblGrid>
      <w:tr w:rsidR="008C299A" w:rsidRPr="00CA1EB9" w:rsidTr="00F767BA">
        <w:trPr>
          <w:trHeight w:val="144"/>
          <w:tblHeader/>
        </w:trPr>
        <w:tc>
          <w:tcPr>
            <w:tcW w:w="5426"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ind w:left="360"/>
            </w:pPr>
          </w:p>
        </w:tc>
        <w:tc>
          <w:tcPr>
            <w:tcW w:w="4654"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Ages 18 or Older</w:t>
            </w:r>
          </w:p>
        </w:tc>
      </w:tr>
      <w:tr w:rsidR="008C299A" w:rsidRPr="00CA1EB9" w:rsidTr="00F767BA">
        <w:trPr>
          <w:trHeight w:val="144"/>
          <w:tblHead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numPr>
                <w:ilvl w:val="0"/>
                <w:numId w:val="2"/>
              </w:numPr>
            </w:pPr>
          </w:p>
        </w:tc>
        <w:tc>
          <w:tcPr>
            <w:tcW w:w="1062"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Valid N</w:t>
            </w:r>
          </w:p>
        </w:tc>
        <w:tc>
          <w:tcPr>
            <w:tcW w:w="1297"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Baseline %</w:t>
            </w:r>
          </w:p>
        </w:tc>
        <w:tc>
          <w:tcPr>
            <w:tcW w:w="1052"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Exit %</w:t>
            </w:r>
          </w:p>
        </w:tc>
        <w:tc>
          <w:tcPr>
            <w:tcW w:w="1243"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Change</w:t>
            </w:r>
          </w:p>
        </w:tc>
      </w:tr>
      <w:tr w:rsidR="008C299A" w:rsidRPr="00CA1EB9" w:rsidTr="00F767BA">
        <w:trPr>
          <w:trHeight w:val="144"/>
        </w:trPr>
        <w:tc>
          <w:tcPr>
            <w:tcW w:w="4236" w:type="dxa"/>
            <w:tcBorders>
              <w:top w:val="single" w:sz="4" w:space="0" w:color="auto"/>
            </w:tcBorders>
            <w:vAlign w:val="center"/>
            <w:hideMark/>
          </w:tcPr>
          <w:p w:rsidR="008C299A" w:rsidRPr="002C06C2" w:rsidRDefault="008C299A" w:rsidP="00F767BA">
            <w:pPr>
              <w:pStyle w:val="Table-Body"/>
            </w:pPr>
            <w:r w:rsidRPr="002C06C2">
              <w:t xml:space="preserve">Perception of Risk of </w:t>
            </w:r>
            <w:r w:rsidRPr="002C06C2">
              <w:br/>
              <w:t>Unprotected Anal Sex</w:t>
            </w:r>
          </w:p>
        </w:tc>
        <w:tc>
          <w:tcPr>
            <w:tcW w:w="1190" w:type="dxa"/>
            <w:tcBorders>
              <w:top w:val="single" w:sz="4" w:space="0" w:color="auto"/>
              <w:right w:val="single" w:sz="8" w:space="0" w:color="BFBFBF"/>
            </w:tcBorders>
            <w:vAlign w:val="center"/>
            <w:hideMark/>
          </w:tcPr>
          <w:p w:rsidR="008C299A" w:rsidRPr="002C06C2" w:rsidRDefault="008C299A" w:rsidP="00DE182F">
            <w:pPr>
              <w:pStyle w:val="Table-Body"/>
            </w:pPr>
            <w:r w:rsidRPr="002C06C2">
              <w:t>Cohort 6</w:t>
            </w:r>
          </w:p>
        </w:tc>
        <w:tc>
          <w:tcPr>
            <w:tcW w:w="1062" w:type="dxa"/>
            <w:tcBorders>
              <w:top w:val="single" w:sz="4" w:space="0" w:color="auto"/>
              <w:left w:val="single" w:sz="8" w:space="0" w:color="BFBFBF"/>
            </w:tcBorders>
            <w:vAlign w:val="center"/>
            <w:hideMark/>
          </w:tcPr>
          <w:p w:rsidR="008C299A" w:rsidRPr="002C06C2" w:rsidRDefault="008C299A" w:rsidP="00F767BA">
            <w:pPr>
              <w:pStyle w:val="Table-Body"/>
            </w:pPr>
            <w:r w:rsidRPr="002C06C2">
              <w:t>10,976</w:t>
            </w:r>
          </w:p>
        </w:tc>
        <w:tc>
          <w:tcPr>
            <w:tcW w:w="1297" w:type="dxa"/>
            <w:tcBorders>
              <w:top w:val="single" w:sz="4" w:space="0" w:color="auto"/>
            </w:tcBorders>
            <w:vAlign w:val="center"/>
            <w:hideMark/>
          </w:tcPr>
          <w:p w:rsidR="008C299A" w:rsidRPr="002C06C2" w:rsidRDefault="008C299A" w:rsidP="00F767BA">
            <w:pPr>
              <w:pStyle w:val="Table-Body"/>
            </w:pPr>
            <w:r w:rsidRPr="002C06C2">
              <w:t>90.8</w:t>
            </w:r>
          </w:p>
        </w:tc>
        <w:tc>
          <w:tcPr>
            <w:tcW w:w="1052" w:type="dxa"/>
            <w:tcBorders>
              <w:top w:val="single" w:sz="4" w:space="0" w:color="auto"/>
            </w:tcBorders>
            <w:vAlign w:val="center"/>
            <w:hideMark/>
          </w:tcPr>
          <w:p w:rsidR="008C299A" w:rsidRPr="002C06C2" w:rsidRDefault="008C299A" w:rsidP="00F767BA">
            <w:pPr>
              <w:pStyle w:val="Table-Body"/>
            </w:pPr>
            <w:r w:rsidRPr="002C06C2">
              <w:t>93.7</w:t>
            </w:r>
          </w:p>
        </w:tc>
        <w:tc>
          <w:tcPr>
            <w:tcW w:w="1243" w:type="dxa"/>
            <w:tcBorders>
              <w:top w:val="single" w:sz="4" w:space="0" w:color="auto"/>
            </w:tcBorders>
            <w:vAlign w:val="center"/>
            <w:hideMark/>
          </w:tcPr>
          <w:p w:rsidR="008C299A" w:rsidRPr="002C06C2" w:rsidRDefault="00EC4AE7" w:rsidP="00F767BA">
            <w:pPr>
              <w:pStyle w:val="Table-Body"/>
            </w:pPr>
            <w:r>
              <w:t>2.9</w:t>
            </w:r>
          </w:p>
        </w:tc>
      </w:tr>
      <w:tr w:rsidR="008C299A" w:rsidRPr="00CA1EB9" w:rsidTr="008C299A">
        <w:trPr>
          <w:trHeight w:val="144"/>
        </w:trPr>
        <w:tc>
          <w:tcPr>
            <w:tcW w:w="4236" w:type="dxa"/>
            <w:shd w:val="clear" w:color="auto" w:fill="F2F2F2"/>
            <w:vAlign w:val="center"/>
            <w:hideMark/>
          </w:tcPr>
          <w:p w:rsidR="008C299A" w:rsidRPr="002C06C2" w:rsidRDefault="008C299A" w:rsidP="00F767BA">
            <w:pPr>
              <w:pStyle w:val="Table-Body"/>
            </w:pPr>
            <w:r w:rsidRPr="002C06C2">
              <w:t xml:space="preserve">Perception of Risk of </w:t>
            </w:r>
            <w:r w:rsidRPr="002C06C2">
              <w:br/>
              <w:t>Unprotected Oral Sex</w:t>
            </w:r>
          </w:p>
        </w:tc>
        <w:tc>
          <w:tcPr>
            <w:tcW w:w="1190"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62" w:type="dxa"/>
            <w:tcBorders>
              <w:left w:val="single" w:sz="8" w:space="0" w:color="BFBFBF"/>
            </w:tcBorders>
            <w:shd w:val="clear" w:color="auto" w:fill="F2F2F2"/>
            <w:vAlign w:val="center"/>
            <w:hideMark/>
          </w:tcPr>
          <w:p w:rsidR="008C299A" w:rsidRPr="002C06C2" w:rsidRDefault="008C299A" w:rsidP="00F767BA">
            <w:pPr>
              <w:pStyle w:val="Table-Body"/>
            </w:pPr>
            <w:r w:rsidRPr="002C06C2">
              <w:t>10,986</w:t>
            </w:r>
          </w:p>
        </w:tc>
        <w:tc>
          <w:tcPr>
            <w:tcW w:w="1297" w:type="dxa"/>
            <w:shd w:val="clear" w:color="auto" w:fill="F2F2F2"/>
            <w:vAlign w:val="center"/>
            <w:hideMark/>
          </w:tcPr>
          <w:p w:rsidR="008C299A" w:rsidRPr="002C06C2" w:rsidRDefault="008C299A" w:rsidP="00F767BA">
            <w:pPr>
              <w:pStyle w:val="Table-Body"/>
            </w:pPr>
            <w:r w:rsidRPr="002C06C2">
              <w:t>79.7</w:t>
            </w:r>
          </w:p>
        </w:tc>
        <w:tc>
          <w:tcPr>
            <w:tcW w:w="1052" w:type="dxa"/>
            <w:shd w:val="clear" w:color="auto" w:fill="F2F2F2"/>
            <w:vAlign w:val="center"/>
            <w:hideMark/>
          </w:tcPr>
          <w:p w:rsidR="008C299A" w:rsidRPr="002C06C2" w:rsidRDefault="008C299A" w:rsidP="00F767BA">
            <w:pPr>
              <w:pStyle w:val="Table-Body"/>
            </w:pPr>
            <w:r w:rsidRPr="002C06C2">
              <w:t>83.6</w:t>
            </w:r>
          </w:p>
        </w:tc>
        <w:tc>
          <w:tcPr>
            <w:tcW w:w="1243" w:type="dxa"/>
            <w:shd w:val="clear" w:color="auto" w:fill="F2F2F2"/>
            <w:vAlign w:val="center"/>
            <w:hideMark/>
          </w:tcPr>
          <w:p w:rsidR="008C299A" w:rsidRPr="002C06C2" w:rsidRDefault="00EC4AE7" w:rsidP="00F767BA">
            <w:pPr>
              <w:pStyle w:val="Table-Body"/>
            </w:pPr>
            <w:r>
              <w:t>3.9</w:t>
            </w:r>
          </w:p>
        </w:tc>
      </w:tr>
      <w:tr w:rsidR="008C299A" w:rsidRPr="00CA1EB9" w:rsidTr="008C299A">
        <w:trPr>
          <w:trHeight w:val="144"/>
        </w:trPr>
        <w:tc>
          <w:tcPr>
            <w:tcW w:w="4236" w:type="dxa"/>
            <w:vAlign w:val="center"/>
            <w:hideMark/>
          </w:tcPr>
          <w:p w:rsidR="008C299A" w:rsidRPr="002C06C2" w:rsidRDefault="008C299A" w:rsidP="00F767BA">
            <w:pPr>
              <w:pStyle w:val="Table-Body"/>
            </w:pPr>
            <w:r w:rsidRPr="002C06C2">
              <w:t xml:space="preserve">Perception of Risk of </w:t>
            </w:r>
            <w:r w:rsidRPr="002C06C2">
              <w:br/>
              <w:t>Unprotected Vaginal Sex</w:t>
            </w:r>
          </w:p>
        </w:tc>
        <w:tc>
          <w:tcPr>
            <w:tcW w:w="1190" w:type="dxa"/>
            <w:tcBorders>
              <w:right w:val="single" w:sz="8" w:space="0" w:color="BFBFBF"/>
            </w:tcBorders>
            <w:vAlign w:val="center"/>
            <w:hideMark/>
          </w:tcPr>
          <w:p w:rsidR="008C299A" w:rsidRPr="002C06C2" w:rsidRDefault="008C299A" w:rsidP="00DE182F">
            <w:pPr>
              <w:pStyle w:val="Table-Body"/>
            </w:pPr>
            <w:r w:rsidRPr="002C06C2">
              <w:t>Cohort 6</w:t>
            </w:r>
          </w:p>
        </w:tc>
        <w:tc>
          <w:tcPr>
            <w:tcW w:w="1062" w:type="dxa"/>
            <w:tcBorders>
              <w:left w:val="single" w:sz="8" w:space="0" w:color="BFBFBF"/>
            </w:tcBorders>
            <w:vAlign w:val="center"/>
            <w:hideMark/>
          </w:tcPr>
          <w:p w:rsidR="008C299A" w:rsidRPr="002C06C2" w:rsidRDefault="008C299A" w:rsidP="00F767BA">
            <w:pPr>
              <w:pStyle w:val="Table-Body"/>
            </w:pPr>
            <w:r w:rsidRPr="002C06C2">
              <w:t>10,979</w:t>
            </w:r>
          </w:p>
        </w:tc>
        <w:tc>
          <w:tcPr>
            <w:tcW w:w="1297" w:type="dxa"/>
            <w:vAlign w:val="center"/>
            <w:hideMark/>
          </w:tcPr>
          <w:p w:rsidR="008C299A" w:rsidRPr="002C06C2" w:rsidRDefault="008C299A" w:rsidP="00F767BA">
            <w:pPr>
              <w:pStyle w:val="Table-Body"/>
            </w:pPr>
            <w:r w:rsidRPr="002C06C2">
              <w:t>87.9</w:t>
            </w:r>
          </w:p>
        </w:tc>
        <w:tc>
          <w:tcPr>
            <w:tcW w:w="1052" w:type="dxa"/>
            <w:vAlign w:val="center"/>
            <w:hideMark/>
          </w:tcPr>
          <w:p w:rsidR="008C299A" w:rsidRPr="002C06C2" w:rsidRDefault="008C299A" w:rsidP="00F767BA">
            <w:pPr>
              <w:pStyle w:val="Table-Body"/>
            </w:pPr>
            <w:r w:rsidRPr="002C06C2">
              <w:t>91.2</w:t>
            </w:r>
          </w:p>
        </w:tc>
        <w:tc>
          <w:tcPr>
            <w:tcW w:w="1243" w:type="dxa"/>
            <w:vAlign w:val="center"/>
            <w:hideMark/>
          </w:tcPr>
          <w:p w:rsidR="008C299A" w:rsidRPr="002C06C2" w:rsidRDefault="00EC4AE7" w:rsidP="00F767BA">
            <w:pPr>
              <w:pStyle w:val="Table-Body"/>
            </w:pPr>
            <w:r>
              <w:t>3.4</w:t>
            </w:r>
          </w:p>
        </w:tc>
      </w:tr>
    </w:tbl>
    <w:p w:rsidR="008C299A" w:rsidRDefault="008C299A" w:rsidP="008C299A">
      <w:pPr>
        <w:pStyle w:val="Table-Source"/>
      </w:pPr>
      <w:r>
        <w:t>Source: HIV Cohort 6 participant-level data, matched cases only through FY 2010</w:t>
      </w:r>
    </w:p>
    <w:p w:rsidR="008C299A" w:rsidRDefault="008C299A" w:rsidP="008C299A">
      <w:pPr>
        <w:pStyle w:val="Table-Source"/>
      </w:pPr>
      <w:r>
        <w:t>Note 1: Valid N refers to the total number of valid responses to the survey item.</w:t>
      </w:r>
    </w:p>
    <w:p w:rsidR="008C299A" w:rsidRDefault="008C299A" w:rsidP="008C299A">
      <w:pPr>
        <w:pStyle w:val="Table-Source"/>
      </w:pPr>
      <w:r>
        <w:t>Note 2: Figures within the “Change” column are calculated as the difference between exit and baseline. Minor discrepancies are due to rounding.</w:t>
      </w:r>
    </w:p>
    <w:p w:rsidR="008C299A" w:rsidRDefault="008C299A" w:rsidP="008C299A">
      <w:pPr>
        <w:pStyle w:val="Table-Title"/>
      </w:pPr>
      <w:bookmarkStart w:id="4" w:name="_Toc304815289"/>
      <w:proofErr w:type="gramStart"/>
      <w:r>
        <w:t xml:space="preserve">Table </w:t>
      </w:r>
      <w:r w:rsidR="00252033">
        <w:t>5</w:t>
      </w:r>
      <w:r w:rsidR="00491428">
        <w:t>.</w:t>
      </w:r>
      <w:proofErr w:type="gramEnd"/>
      <w:r w:rsidR="00491428">
        <w:t xml:space="preserve">  </w:t>
      </w:r>
      <w:r>
        <w:t>Participants Reporting Protected Sex</w:t>
      </w:r>
      <w:bookmarkEnd w:id="4"/>
    </w:p>
    <w:p w:rsidR="008C299A" w:rsidRDefault="008E2E78" w:rsidP="008C299A">
      <w:pPr>
        <w:pStyle w:val="Table-Subtitle"/>
      </w:pPr>
      <w:r>
        <w:t>Percentage of HIV Cohort 6</w:t>
      </w:r>
      <w:r w:rsidR="008C299A">
        <w:t xml:space="preserve"> Program Participants Ages 18 or Older Reporting That Their Last Sexual Encounter Was Protected at Baseline and Exit</w:t>
      </w:r>
    </w:p>
    <w:tbl>
      <w:tblPr>
        <w:tblW w:w="10080"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4224"/>
        <w:gridCol w:w="1199"/>
        <w:gridCol w:w="1039"/>
        <w:gridCol w:w="1304"/>
        <w:gridCol w:w="1063"/>
        <w:gridCol w:w="1251"/>
      </w:tblGrid>
      <w:tr w:rsidR="008C299A" w:rsidRPr="008B4811" w:rsidTr="00F767BA">
        <w:trPr>
          <w:trHeight w:val="144"/>
          <w:tblHeader/>
        </w:trPr>
        <w:tc>
          <w:tcPr>
            <w:tcW w:w="5423"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ind w:left="360"/>
            </w:pPr>
          </w:p>
        </w:tc>
        <w:tc>
          <w:tcPr>
            <w:tcW w:w="4657"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Ages 18 or Older</w:t>
            </w:r>
          </w:p>
        </w:tc>
      </w:tr>
      <w:tr w:rsidR="008C299A" w:rsidRPr="008B4811" w:rsidTr="00F767BA">
        <w:trPr>
          <w:trHeight w:val="144"/>
          <w:tblHead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numPr>
                <w:ilvl w:val="0"/>
                <w:numId w:val="2"/>
              </w:numPr>
            </w:pPr>
          </w:p>
        </w:tc>
        <w:tc>
          <w:tcPr>
            <w:tcW w:w="1039"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Valid N</w:t>
            </w:r>
          </w:p>
        </w:tc>
        <w:tc>
          <w:tcPr>
            <w:tcW w:w="1304"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Baseline %</w:t>
            </w:r>
          </w:p>
        </w:tc>
        <w:tc>
          <w:tcPr>
            <w:tcW w:w="1063"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Exit %</w:t>
            </w:r>
          </w:p>
        </w:tc>
        <w:tc>
          <w:tcPr>
            <w:tcW w:w="1251"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Change</w:t>
            </w:r>
          </w:p>
        </w:tc>
      </w:tr>
      <w:tr w:rsidR="008C299A" w:rsidRPr="008B4811" w:rsidTr="00F767BA">
        <w:trPr>
          <w:trHeight w:val="144"/>
        </w:trPr>
        <w:tc>
          <w:tcPr>
            <w:tcW w:w="4224" w:type="dxa"/>
            <w:tcBorders>
              <w:top w:val="single" w:sz="4" w:space="0" w:color="auto"/>
            </w:tcBorders>
            <w:vAlign w:val="center"/>
            <w:hideMark/>
          </w:tcPr>
          <w:p w:rsidR="008C299A" w:rsidRPr="002C06C2" w:rsidRDefault="008C299A" w:rsidP="00F767BA">
            <w:pPr>
              <w:pStyle w:val="Table-Body"/>
            </w:pPr>
            <w:r w:rsidRPr="002C06C2">
              <w:t>Protected Anal Sex</w:t>
            </w:r>
          </w:p>
        </w:tc>
        <w:tc>
          <w:tcPr>
            <w:tcW w:w="1199" w:type="dxa"/>
            <w:tcBorders>
              <w:top w:val="single" w:sz="4" w:space="0" w:color="auto"/>
              <w:right w:val="single" w:sz="8" w:space="0" w:color="BFBFBF"/>
            </w:tcBorders>
            <w:vAlign w:val="center"/>
            <w:hideMark/>
          </w:tcPr>
          <w:p w:rsidR="008C299A" w:rsidRPr="002C06C2" w:rsidRDefault="008C299A" w:rsidP="00DE182F">
            <w:pPr>
              <w:pStyle w:val="Table-Body"/>
            </w:pPr>
            <w:r w:rsidRPr="002C06C2">
              <w:t>Cohort 6</w:t>
            </w:r>
          </w:p>
        </w:tc>
        <w:tc>
          <w:tcPr>
            <w:tcW w:w="1039" w:type="dxa"/>
            <w:tcBorders>
              <w:top w:val="single" w:sz="4" w:space="0" w:color="auto"/>
              <w:left w:val="single" w:sz="8" w:space="0" w:color="BFBFBF"/>
            </w:tcBorders>
            <w:vAlign w:val="center"/>
            <w:hideMark/>
          </w:tcPr>
          <w:p w:rsidR="008C299A" w:rsidRPr="002C06C2" w:rsidRDefault="008C299A" w:rsidP="00F767BA">
            <w:pPr>
              <w:pStyle w:val="Table-Body"/>
            </w:pPr>
            <w:r w:rsidRPr="002C06C2">
              <w:t>3,015</w:t>
            </w:r>
          </w:p>
        </w:tc>
        <w:tc>
          <w:tcPr>
            <w:tcW w:w="1304" w:type="dxa"/>
            <w:tcBorders>
              <w:top w:val="single" w:sz="4" w:space="0" w:color="auto"/>
            </w:tcBorders>
            <w:vAlign w:val="center"/>
            <w:hideMark/>
          </w:tcPr>
          <w:p w:rsidR="008C299A" w:rsidRPr="002C06C2" w:rsidRDefault="008C299A" w:rsidP="00F767BA">
            <w:pPr>
              <w:pStyle w:val="Table-Body"/>
            </w:pPr>
            <w:r w:rsidRPr="002C06C2">
              <w:t>39.2</w:t>
            </w:r>
          </w:p>
        </w:tc>
        <w:tc>
          <w:tcPr>
            <w:tcW w:w="1063" w:type="dxa"/>
            <w:tcBorders>
              <w:top w:val="single" w:sz="4" w:space="0" w:color="auto"/>
            </w:tcBorders>
            <w:vAlign w:val="center"/>
            <w:hideMark/>
          </w:tcPr>
          <w:p w:rsidR="008C299A" w:rsidRPr="002C06C2" w:rsidRDefault="008C299A" w:rsidP="00F767BA">
            <w:pPr>
              <w:pStyle w:val="Table-Body"/>
            </w:pPr>
            <w:r w:rsidRPr="002C06C2">
              <w:t>43.2</w:t>
            </w:r>
          </w:p>
        </w:tc>
        <w:tc>
          <w:tcPr>
            <w:tcW w:w="1251" w:type="dxa"/>
            <w:tcBorders>
              <w:top w:val="single" w:sz="4" w:space="0" w:color="auto"/>
            </w:tcBorders>
            <w:vAlign w:val="center"/>
            <w:hideMark/>
          </w:tcPr>
          <w:p w:rsidR="008C299A" w:rsidRPr="002C06C2" w:rsidRDefault="00EC4AE7" w:rsidP="00F767BA">
            <w:pPr>
              <w:pStyle w:val="Table-Body"/>
            </w:pPr>
            <w:r>
              <w:t>4.0</w:t>
            </w:r>
          </w:p>
        </w:tc>
      </w:tr>
      <w:tr w:rsidR="008C299A" w:rsidRPr="008B4811" w:rsidTr="008C299A">
        <w:trPr>
          <w:trHeight w:val="144"/>
        </w:trPr>
        <w:tc>
          <w:tcPr>
            <w:tcW w:w="4224" w:type="dxa"/>
            <w:shd w:val="clear" w:color="auto" w:fill="F2F2F2"/>
            <w:vAlign w:val="center"/>
            <w:hideMark/>
          </w:tcPr>
          <w:p w:rsidR="008C299A" w:rsidRPr="002C06C2" w:rsidRDefault="008C299A" w:rsidP="00F767BA">
            <w:pPr>
              <w:pStyle w:val="Table-Body"/>
            </w:pPr>
            <w:r w:rsidRPr="002C06C2">
              <w:t>Protected Oral Sex</w:t>
            </w:r>
          </w:p>
        </w:tc>
        <w:tc>
          <w:tcPr>
            <w:tcW w:w="1199"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39" w:type="dxa"/>
            <w:tcBorders>
              <w:left w:val="single" w:sz="8" w:space="0" w:color="BFBFBF"/>
            </w:tcBorders>
            <w:shd w:val="clear" w:color="auto" w:fill="F2F2F2"/>
            <w:vAlign w:val="center"/>
            <w:hideMark/>
          </w:tcPr>
          <w:p w:rsidR="008C299A" w:rsidRPr="002C06C2" w:rsidRDefault="008C299A" w:rsidP="00F767BA">
            <w:pPr>
              <w:pStyle w:val="Table-Body"/>
            </w:pPr>
            <w:r w:rsidRPr="002C06C2">
              <w:t>8,360</w:t>
            </w:r>
          </w:p>
        </w:tc>
        <w:tc>
          <w:tcPr>
            <w:tcW w:w="1304" w:type="dxa"/>
            <w:shd w:val="clear" w:color="auto" w:fill="F2F2F2"/>
            <w:vAlign w:val="center"/>
            <w:hideMark/>
          </w:tcPr>
          <w:p w:rsidR="008C299A" w:rsidRPr="002C06C2" w:rsidRDefault="008C299A" w:rsidP="00F767BA">
            <w:pPr>
              <w:pStyle w:val="Table-Body"/>
            </w:pPr>
            <w:r w:rsidRPr="002C06C2">
              <w:t>24.7</w:t>
            </w:r>
          </w:p>
        </w:tc>
        <w:tc>
          <w:tcPr>
            <w:tcW w:w="1063" w:type="dxa"/>
            <w:shd w:val="clear" w:color="auto" w:fill="F2F2F2"/>
            <w:vAlign w:val="center"/>
            <w:hideMark/>
          </w:tcPr>
          <w:p w:rsidR="008C299A" w:rsidRPr="002C06C2" w:rsidRDefault="008C299A" w:rsidP="00F767BA">
            <w:pPr>
              <w:pStyle w:val="Table-Body"/>
            </w:pPr>
            <w:r w:rsidRPr="002C06C2">
              <w:t>29.0</w:t>
            </w:r>
          </w:p>
        </w:tc>
        <w:tc>
          <w:tcPr>
            <w:tcW w:w="1251" w:type="dxa"/>
            <w:shd w:val="clear" w:color="auto" w:fill="F2F2F2"/>
            <w:vAlign w:val="center"/>
            <w:hideMark/>
          </w:tcPr>
          <w:p w:rsidR="008C299A" w:rsidRPr="002C06C2" w:rsidRDefault="00EC4AE7" w:rsidP="00F767BA">
            <w:pPr>
              <w:pStyle w:val="Table-Body"/>
            </w:pPr>
            <w:r>
              <w:t>4.4</w:t>
            </w:r>
          </w:p>
        </w:tc>
      </w:tr>
      <w:tr w:rsidR="008C299A" w:rsidRPr="008B4811" w:rsidTr="008C299A">
        <w:trPr>
          <w:trHeight w:val="144"/>
        </w:trPr>
        <w:tc>
          <w:tcPr>
            <w:tcW w:w="4224" w:type="dxa"/>
            <w:vAlign w:val="center"/>
            <w:hideMark/>
          </w:tcPr>
          <w:p w:rsidR="008C299A" w:rsidRPr="002C06C2" w:rsidRDefault="008C299A" w:rsidP="00F767BA">
            <w:pPr>
              <w:pStyle w:val="Table-Body"/>
            </w:pPr>
            <w:r w:rsidRPr="002C06C2">
              <w:t>Protected Vaginal Sex</w:t>
            </w:r>
          </w:p>
        </w:tc>
        <w:tc>
          <w:tcPr>
            <w:tcW w:w="1199" w:type="dxa"/>
            <w:tcBorders>
              <w:right w:val="single" w:sz="8" w:space="0" w:color="BFBFBF"/>
            </w:tcBorders>
            <w:vAlign w:val="center"/>
            <w:hideMark/>
          </w:tcPr>
          <w:p w:rsidR="008C299A" w:rsidRPr="002C06C2" w:rsidRDefault="008C299A" w:rsidP="00DE182F">
            <w:pPr>
              <w:pStyle w:val="Table-Body"/>
            </w:pPr>
            <w:r w:rsidRPr="002C06C2">
              <w:t>Cohort 6</w:t>
            </w:r>
          </w:p>
        </w:tc>
        <w:tc>
          <w:tcPr>
            <w:tcW w:w="1039" w:type="dxa"/>
            <w:tcBorders>
              <w:left w:val="single" w:sz="8" w:space="0" w:color="BFBFBF"/>
            </w:tcBorders>
            <w:vAlign w:val="center"/>
            <w:hideMark/>
          </w:tcPr>
          <w:p w:rsidR="008C299A" w:rsidRPr="002C06C2" w:rsidRDefault="008C299A" w:rsidP="00F767BA">
            <w:pPr>
              <w:pStyle w:val="Table-Body"/>
            </w:pPr>
            <w:r w:rsidRPr="002C06C2">
              <w:t>9,228</w:t>
            </w:r>
          </w:p>
        </w:tc>
        <w:tc>
          <w:tcPr>
            <w:tcW w:w="1304" w:type="dxa"/>
            <w:vAlign w:val="center"/>
            <w:hideMark/>
          </w:tcPr>
          <w:p w:rsidR="008C299A" w:rsidRPr="002C06C2" w:rsidRDefault="008C299A" w:rsidP="00F767BA">
            <w:pPr>
              <w:pStyle w:val="Table-Body"/>
            </w:pPr>
            <w:r w:rsidRPr="002C06C2">
              <w:t>38.0</w:t>
            </w:r>
          </w:p>
        </w:tc>
        <w:tc>
          <w:tcPr>
            <w:tcW w:w="1063" w:type="dxa"/>
            <w:vAlign w:val="center"/>
            <w:hideMark/>
          </w:tcPr>
          <w:p w:rsidR="008C299A" w:rsidRPr="002C06C2" w:rsidRDefault="008C299A" w:rsidP="00F767BA">
            <w:pPr>
              <w:pStyle w:val="Table-Body"/>
            </w:pPr>
            <w:r w:rsidRPr="002C06C2">
              <w:t>42.8</w:t>
            </w:r>
          </w:p>
        </w:tc>
        <w:tc>
          <w:tcPr>
            <w:tcW w:w="1251" w:type="dxa"/>
            <w:vAlign w:val="center"/>
            <w:hideMark/>
          </w:tcPr>
          <w:p w:rsidR="008C299A" w:rsidRPr="002C06C2" w:rsidRDefault="00EC4AE7" w:rsidP="00F767BA">
            <w:pPr>
              <w:pStyle w:val="Table-Body"/>
            </w:pPr>
            <w:r>
              <w:t>4.7</w:t>
            </w:r>
          </w:p>
        </w:tc>
      </w:tr>
    </w:tbl>
    <w:p w:rsidR="008C299A" w:rsidRDefault="008E2E78" w:rsidP="008C299A">
      <w:pPr>
        <w:pStyle w:val="Table-Source"/>
        <w:pBdr>
          <w:bottom w:val="single" w:sz="2" w:space="0" w:color="FFFFFF"/>
        </w:pBdr>
      </w:pPr>
      <w:r>
        <w:t>Source: HIV Cohort 6</w:t>
      </w:r>
      <w:r w:rsidR="008C299A">
        <w:t xml:space="preserve"> participant-level data, matched cases only through FY 2010</w:t>
      </w:r>
    </w:p>
    <w:p w:rsidR="008C299A" w:rsidRDefault="008C299A" w:rsidP="008C299A">
      <w:pPr>
        <w:pStyle w:val="Table-Source"/>
        <w:pBdr>
          <w:bottom w:val="single" w:sz="2" w:space="0" w:color="FFFFFF"/>
        </w:pBdr>
      </w:pPr>
      <w:r>
        <w:t>Note 1: Valid N refers to the total number of valid responses to the survey item.</w:t>
      </w:r>
    </w:p>
    <w:p w:rsidR="008C299A" w:rsidRDefault="008C299A" w:rsidP="008C299A">
      <w:pPr>
        <w:pStyle w:val="Table-Source"/>
        <w:pBdr>
          <w:bottom w:val="single" w:sz="2" w:space="0" w:color="FFFFFF"/>
        </w:pBdr>
      </w:pPr>
      <w:r>
        <w:t>Note 2: Figures within the “Change” column are calculated as the difference between exit and baseline. Minor discrepancies are due to rounding.</w:t>
      </w:r>
    </w:p>
    <w:p w:rsidR="008E2E78" w:rsidRDefault="008E2E78" w:rsidP="008C299A">
      <w:pPr>
        <w:pStyle w:val="Table-Title"/>
        <w:sectPr w:rsidR="008E2E78" w:rsidSect="008E2E78">
          <w:endnotePr>
            <w:numFmt w:val="lowerLetter"/>
          </w:endnotePr>
          <w:pgSz w:w="12240" w:h="15840" w:code="1"/>
          <w:pgMar w:top="1440" w:right="1440" w:bottom="1440" w:left="810" w:header="864" w:footer="864" w:gutter="0"/>
          <w:cols w:space="720"/>
          <w:docGrid w:linePitch="326"/>
        </w:sectPr>
      </w:pPr>
      <w:bookmarkStart w:id="5" w:name="_Toc304815290"/>
    </w:p>
    <w:p w:rsidR="008C299A" w:rsidRDefault="008C299A" w:rsidP="008C299A">
      <w:pPr>
        <w:pStyle w:val="Table-Title"/>
      </w:pPr>
      <w:proofErr w:type="gramStart"/>
      <w:r>
        <w:lastRenderedPageBreak/>
        <w:t xml:space="preserve">Table </w:t>
      </w:r>
      <w:r w:rsidR="00252033">
        <w:t>6</w:t>
      </w:r>
      <w:r w:rsidR="00491428">
        <w:t>.</w:t>
      </w:r>
      <w:proofErr w:type="gramEnd"/>
      <w:r w:rsidR="00491428">
        <w:t xml:space="preserve">  </w:t>
      </w:r>
      <w:r>
        <w:t>Sexual Self Efficacy, HIV Knowledge and Hepatitis Knowledge</w:t>
      </w:r>
      <w:bookmarkEnd w:id="5"/>
    </w:p>
    <w:p w:rsidR="008C299A" w:rsidRDefault="008C299A" w:rsidP="008C299A">
      <w:pPr>
        <w:pStyle w:val="Table-Subtitle"/>
      </w:pPr>
      <w:r>
        <w:t>Average Sexual Self Efficacy, Hepatitis Knowledge and HIV Knowledge Scale Scores at Baseline and Exit for HIV Cohort 6 and 7 Participants Ages 12 or Older</w:t>
      </w:r>
    </w:p>
    <w:tbl>
      <w:tblPr>
        <w:tblW w:w="13950" w:type="dxa"/>
        <w:tblInd w:w="-895" w:type="dxa"/>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Look w:val="04A0"/>
      </w:tblPr>
      <w:tblGrid>
        <w:gridCol w:w="3600"/>
        <w:gridCol w:w="1710"/>
        <w:gridCol w:w="1080"/>
        <w:gridCol w:w="1170"/>
        <w:gridCol w:w="990"/>
        <w:gridCol w:w="1170"/>
        <w:gridCol w:w="1170"/>
        <w:gridCol w:w="1080"/>
        <w:gridCol w:w="990"/>
        <w:gridCol w:w="990"/>
      </w:tblGrid>
      <w:tr w:rsidR="008C299A" w:rsidRPr="00A40903" w:rsidTr="00EC4AE7">
        <w:trPr>
          <w:trHeight w:val="144"/>
          <w:tblHeader/>
        </w:trPr>
        <w:tc>
          <w:tcPr>
            <w:tcW w:w="5310" w:type="dxa"/>
            <w:gridSpan w:val="2"/>
            <w:vMerge w:val="restart"/>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ind w:left="360"/>
            </w:pPr>
          </w:p>
        </w:tc>
        <w:tc>
          <w:tcPr>
            <w:tcW w:w="4410"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Ages 12 to 17</w:t>
            </w:r>
          </w:p>
        </w:tc>
        <w:tc>
          <w:tcPr>
            <w:tcW w:w="4230" w:type="dxa"/>
            <w:gridSpan w:val="4"/>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Ages 18 or Older</w:t>
            </w:r>
          </w:p>
        </w:tc>
      </w:tr>
      <w:tr w:rsidR="008C299A" w:rsidRPr="00A40903" w:rsidTr="00EC4AE7">
        <w:trPr>
          <w:trHeight w:val="144"/>
          <w:tblHeader/>
        </w:trPr>
        <w:tc>
          <w:tcPr>
            <w:tcW w:w="5310" w:type="dxa"/>
            <w:gridSpan w:val="2"/>
            <w:vMerge/>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numPr>
                <w:ilvl w:val="0"/>
                <w:numId w:val="2"/>
              </w:numPr>
            </w:pPr>
          </w:p>
        </w:tc>
        <w:tc>
          <w:tcPr>
            <w:tcW w:w="108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Valid N</w:t>
            </w:r>
          </w:p>
        </w:tc>
        <w:tc>
          <w:tcPr>
            <w:tcW w:w="117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Baseline %</w:t>
            </w:r>
          </w:p>
        </w:tc>
        <w:tc>
          <w:tcPr>
            <w:tcW w:w="99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Exit %</w:t>
            </w:r>
          </w:p>
        </w:tc>
        <w:tc>
          <w:tcPr>
            <w:tcW w:w="117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Change</w:t>
            </w:r>
          </w:p>
        </w:tc>
        <w:tc>
          <w:tcPr>
            <w:tcW w:w="117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Valid N</w:t>
            </w:r>
          </w:p>
        </w:tc>
        <w:tc>
          <w:tcPr>
            <w:tcW w:w="108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Baseline %</w:t>
            </w:r>
          </w:p>
        </w:tc>
        <w:tc>
          <w:tcPr>
            <w:tcW w:w="99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Exit %</w:t>
            </w:r>
          </w:p>
        </w:tc>
        <w:tc>
          <w:tcPr>
            <w:tcW w:w="990" w:type="dxa"/>
            <w:tcBorders>
              <w:top w:val="single" w:sz="4" w:space="0" w:color="auto"/>
              <w:left w:val="single" w:sz="4" w:space="0" w:color="auto"/>
              <w:bottom w:val="single" w:sz="4" w:space="0" w:color="auto"/>
              <w:right w:val="single" w:sz="4" w:space="0" w:color="auto"/>
            </w:tcBorders>
            <w:shd w:val="clear" w:color="auto" w:fill="7F7F7F"/>
            <w:vAlign w:val="center"/>
            <w:hideMark/>
          </w:tcPr>
          <w:p w:rsidR="008C299A" w:rsidRPr="002C06C2" w:rsidRDefault="008C299A" w:rsidP="00F767BA">
            <w:pPr>
              <w:pStyle w:val="Table-Header"/>
            </w:pPr>
            <w:r w:rsidRPr="002C06C2">
              <w:t>Change</w:t>
            </w:r>
          </w:p>
        </w:tc>
      </w:tr>
      <w:tr w:rsidR="008C299A" w:rsidRPr="00A40903" w:rsidTr="00EC4AE7">
        <w:trPr>
          <w:trHeight w:val="144"/>
        </w:trPr>
        <w:tc>
          <w:tcPr>
            <w:tcW w:w="3600" w:type="dxa"/>
            <w:tcBorders>
              <w:top w:val="single" w:sz="4" w:space="0" w:color="auto"/>
            </w:tcBorders>
            <w:vAlign w:val="center"/>
            <w:hideMark/>
          </w:tcPr>
          <w:p w:rsidR="008C299A" w:rsidRPr="002C06C2" w:rsidRDefault="008C299A" w:rsidP="00F767BA">
            <w:pPr>
              <w:pStyle w:val="Table-Body"/>
            </w:pPr>
            <w:r w:rsidRPr="002C06C2">
              <w:t>Sexual Self-Efficacy</w:t>
            </w:r>
          </w:p>
        </w:tc>
        <w:tc>
          <w:tcPr>
            <w:tcW w:w="1710" w:type="dxa"/>
            <w:tcBorders>
              <w:top w:val="single" w:sz="4" w:space="0" w:color="auto"/>
              <w:right w:val="single" w:sz="8" w:space="0" w:color="BFBFBF"/>
            </w:tcBorders>
            <w:vAlign w:val="center"/>
            <w:hideMark/>
          </w:tcPr>
          <w:p w:rsidR="008C299A" w:rsidRPr="002C06C2" w:rsidRDefault="008C299A" w:rsidP="00DE182F">
            <w:pPr>
              <w:pStyle w:val="Table-Body"/>
            </w:pPr>
            <w:r w:rsidRPr="002C06C2">
              <w:t>Cohort 6</w:t>
            </w:r>
          </w:p>
        </w:tc>
        <w:tc>
          <w:tcPr>
            <w:tcW w:w="1080" w:type="dxa"/>
            <w:tcBorders>
              <w:top w:val="single" w:sz="4" w:space="0" w:color="auto"/>
              <w:left w:val="single" w:sz="8" w:space="0" w:color="BFBFBF"/>
            </w:tcBorders>
            <w:vAlign w:val="center"/>
            <w:hideMark/>
          </w:tcPr>
          <w:p w:rsidR="008C299A" w:rsidRPr="002C06C2" w:rsidRDefault="008C299A" w:rsidP="00F767BA">
            <w:pPr>
              <w:pStyle w:val="Table-Body"/>
            </w:pPr>
            <w:r w:rsidRPr="002C06C2">
              <w:t>1,983</w:t>
            </w:r>
          </w:p>
        </w:tc>
        <w:tc>
          <w:tcPr>
            <w:tcW w:w="1170" w:type="dxa"/>
            <w:tcBorders>
              <w:top w:val="single" w:sz="4" w:space="0" w:color="auto"/>
            </w:tcBorders>
            <w:vAlign w:val="center"/>
            <w:hideMark/>
          </w:tcPr>
          <w:p w:rsidR="008C299A" w:rsidRPr="002C06C2" w:rsidRDefault="008C299A" w:rsidP="00F767BA">
            <w:pPr>
              <w:pStyle w:val="Table-Body"/>
            </w:pPr>
            <w:r w:rsidRPr="002C06C2">
              <w:t>13.8</w:t>
            </w:r>
          </w:p>
        </w:tc>
        <w:tc>
          <w:tcPr>
            <w:tcW w:w="990" w:type="dxa"/>
            <w:tcBorders>
              <w:top w:val="single" w:sz="4" w:space="0" w:color="auto"/>
            </w:tcBorders>
            <w:vAlign w:val="center"/>
            <w:hideMark/>
          </w:tcPr>
          <w:p w:rsidR="008C299A" w:rsidRPr="002C06C2" w:rsidRDefault="008C299A" w:rsidP="00F767BA">
            <w:pPr>
              <w:pStyle w:val="Table-Body"/>
            </w:pPr>
            <w:r w:rsidRPr="002C06C2">
              <w:t>14.1</w:t>
            </w:r>
          </w:p>
        </w:tc>
        <w:tc>
          <w:tcPr>
            <w:tcW w:w="1170" w:type="dxa"/>
            <w:tcBorders>
              <w:top w:val="single" w:sz="4" w:space="0" w:color="auto"/>
              <w:right w:val="single" w:sz="8" w:space="0" w:color="BFBFBF"/>
            </w:tcBorders>
            <w:vAlign w:val="center"/>
            <w:hideMark/>
          </w:tcPr>
          <w:p w:rsidR="008C299A" w:rsidRPr="002C06C2" w:rsidRDefault="00EC4AE7" w:rsidP="00F767BA">
            <w:pPr>
              <w:pStyle w:val="Table-Body"/>
            </w:pPr>
            <w:r>
              <w:t>0.3</w:t>
            </w:r>
          </w:p>
        </w:tc>
        <w:tc>
          <w:tcPr>
            <w:tcW w:w="1170" w:type="dxa"/>
            <w:tcBorders>
              <w:top w:val="single" w:sz="4" w:space="0" w:color="auto"/>
              <w:left w:val="single" w:sz="8" w:space="0" w:color="BFBFBF"/>
            </w:tcBorders>
            <w:vAlign w:val="center"/>
            <w:hideMark/>
          </w:tcPr>
          <w:p w:rsidR="008C299A" w:rsidRPr="002C06C2" w:rsidRDefault="008C299A" w:rsidP="00F767BA">
            <w:pPr>
              <w:pStyle w:val="Table-Body"/>
            </w:pPr>
            <w:r w:rsidRPr="002C06C2">
              <w:t>10,724</w:t>
            </w:r>
          </w:p>
        </w:tc>
        <w:tc>
          <w:tcPr>
            <w:tcW w:w="1080" w:type="dxa"/>
            <w:tcBorders>
              <w:top w:val="single" w:sz="4" w:space="0" w:color="auto"/>
            </w:tcBorders>
            <w:vAlign w:val="center"/>
            <w:hideMark/>
          </w:tcPr>
          <w:p w:rsidR="008C299A" w:rsidRPr="002C06C2" w:rsidRDefault="008C299A" w:rsidP="00F767BA">
            <w:pPr>
              <w:pStyle w:val="Table-Body"/>
            </w:pPr>
            <w:r w:rsidRPr="002C06C2">
              <w:t>11.3</w:t>
            </w:r>
          </w:p>
        </w:tc>
        <w:tc>
          <w:tcPr>
            <w:tcW w:w="990" w:type="dxa"/>
            <w:tcBorders>
              <w:top w:val="single" w:sz="4" w:space="0" w:color="auto"/>
            </w:tcBorders>
            <w:vAlign w:val="center"/>
            <w:hideMark/>
          </w:tcPr>
          <w:p w:rsidR="008C299A" w:rsidRPr="002C06C2" w:rsidRDefault="008C299A" w:rsidP="00F767BA">
            <w:pPr>
              <w:pStyle w:val="Table-Body"/>
            </w:pPr>
            <w:r w:rsidRPr="002C06C2">
              <w:t>12.1</w:t>
            </w:r>
          </w:p>
        </w:tc>
        <w:tc>
          <w:tcPr>
            <w:tcW w:w="990" w:type="dxa"/>
            <w:tcBorders>
              <w:top w:val="single" w:sz="4" w:space="0" w:color="auto"/>
            </w:tcBorders>
            <w:vAlign w:val="center"/>
            <w:hideMark/>
          </w:tcPr>
          <w:p w:rsidR="008C299A" w:rsidRPr="002C06C2" w:rsidRDefault="00EC4AE7" w:rsidP="00F767BA">
            <w:pPr>
              <w:pStyle w:val="Table-Body"/>
            </w:pPr>
            <w:r>
              <w:t>0.8</w:t>
            </w:r>
          </w:p>
        </w:tc>
      </w:tr>
      <w:tr w:rsidR="008C299A" w:rsidRPr="00A40903" w:rsidTr="00EC4AE7">
        <w:trPr>
          <w:trHeight w:val="144"/>
        </w:trPr>
        <w:tc>
          <w:tcPr>
            <w:tcW w:w="3600" w:type="dxa"/>
            <w:shd w:val="clear" w:color="auto" w:fill="F2F2F2"/>
            <w:vAlign w:val="center"/>
            <w:hideMark/>
          </w:tcPr>
          <w:p w:rsidR="008C299A" w:rsidRPr="002C06C2" w:rsidRDefault="008C299A" w:rsidP="00F767BA">
            <w:pPr>
              <w:pStyle w:val="Table-Body"/>
            </w:pPr>
            <w:r w:rsidRPr="002C06C2">
              <w:t>Hepatitis Knowledge</w:t>
            </w:r>
          </w:p>
        </w:tc>
        <w:tc>
          <w:tcPr>
            <w:tcW w:w="1710" w:type="dxa"/>
            <w:tcBorders>
              <w:right w:val="single" w:sz="8" w:space="0" w:color="BFBFBF"/>
            </w:tcBorders>
            <w:shd w:val="clear" w:color="auto" w:fill="F2F2F2"/>
            <w:vAlign w:val="center"/>
            <w:hideMark/>
          </w:tcPr>
          <w:p w:rsidR="008C299A" w:rsidRPr="002C06C2" w:rsidRDefault="008C299A" w:rsidP="00DE182F">
            <w:pPr>
              <w:pStyle w:val="Table-Body"/>
            </w:pPr>
            <w:r w:rsidRPr="002C06C2">
              <w:t>Cohort 6</w:t>
            </w:r>
          </w:p>
        </w:tc>
        <w:tc>
          <w:tcPr>
            <w:tcW w:w="1080" w:type="dxa"/>
            <w:tcBorders>
              <w:left w:val="single" w:sz="8" w:space="0" w:color="BFBFBF"/>
            </w:tcBorders>
            <w:shd w:val="clear" w:color="auto" w:fill="F2F2F2"/>
            <w:vAlign w:val="center"/>
            <w:hideMark/>
          </w:tcPr>
          <w:p w:rsidR="008C299A" w:rsidRPr="002C06C2" w:rsidRDefault="008C299A" w:rsidP="00F767BA">
            <w:pPr>
              <w:pStyle w:val="Table-Body"/>
            </w:pPr>
            <w:r w:rsidRPr="002C06C2">
              <w:t>2,088</w:t>
            </w:r>
          </w:p>
        </w:tc>
        <w:tc>
          <w:tcPr>
            <w:tcW w:w="1170" w:type="dxa"/>
            <w:shd w:val="clear" w:color="auto" w:fill="F2F2F2"/>
            <w:vAlign w:val="center"/>
            <w:hideMark/>
          </w:tcPr>
          <w:p w:rsidR="008C299A" w:rsidRPr="002C06C2" w:rsidRDefault="008C299A" w:rsidP="00F767BA">
            <w:pPr>
              <w:pStyle w:val="Table-Body"/>
            </w:pPr>
            <w:r w:rsidRPr="002C06C2">
              <w:t>30.5</w:t>
            </w:r>
          </w:p>
        </w:tc>
        <w:tc>
          <w:tcPr>
            <w:tcW w:w="990" w:type="dxa"/>
            <w:shd w:val="clear" w:color="auto" w:fill="F2F2F2"/>
            <w:vAlign w:val="center"/>
            <w:hideMark/>
          </w:tcPr>
          <w:p w:rsidR="008C299A" w:rsidRPr="002C06C2" w:rsidRDefault="008C299A" w:rsidP="00F767BA">
            <w:pPr>
              <w:pStyle w:val="Table-Body"/>
            </w:pPr>
            <w:r w:rsidRPr="002C06C2">
              <w:t>60.2</w:t>
            </w:r>
          </w:p>
        </w:tc>
        <w:tc>
          <w:tcPr>
            <w:tcW w:w="1170" w:type="dxa"/>
            <w:tcBorders>
              <w:right w:val="single" w:sz="8" w:space="0" w:color="BFBFBF"/>
            </w:tcBorders>
            <w:shd w:val="clear" w:color="auto" w:fill="F2F2F2"/>
            <w:vAlign w:val="center"/>
            <w:hideMark/>
          </w:tcPr>
          <w:p w:rsidR="008C299A" w:rsidRPr="002C06C2" w:rsidRDefault="00EC4AE7" w:rsidP="00F767BA">
            <w:pPr>
              <w:pStyle w:val="Table-Body"/>
            </w:pPr>
            <w:r>
              <w:t>29.7</w:t>
            </w:r>
          </w:p>
        </w:tc>
        <w:tc>
          <w:tcPr>
            <w:tcW w:w="1170" w:type="dxa"/>
            <w:tcBorders>
              <w:left w:val="single" w:sz="8" w:space="0" w:color="BFBFBF"/>
            </w:tcBorders>
            <w:shd w:val="clear" w:color="auto" w:fill="F2F2F2"/>
            <w:vAlign w:val="center"/>
            <w:hideMark/>
          </w:tcPr>
          <w:p w:rsidR="008C299A" w:rsidRPr="002C06C2" w:rsidRDefault="008C299A" w:rsidP="00F767BA">
            <w:pPr>
              <w:pStyle w:val="Table-Body"/>
            </w:pPr>
            <w:r w:rsidRPr="002C06C2">
              <w:t>11,075</w:t>
            </w:r>
          </w:p>
        </w:tc>
        <w:tc>
          <w:tcPr>
            <w:tcW w:w="1080" w:type="dxa"/>
            <w:shd w:val="clear" w:color="auto" w:fill="F2F2F2"/>
            <w:vAlign w:val="center"/>
            <w:hideMark/>
          </w:tcPr>
          <w:p w:rsidR="008C299A" w:rsidRPr="002C06C2" w:rsidRDefault="008C299A" w:rsidP="00F767BA">
            <w:pPr>
              <w:pStyle w:val="Table-Body"/>
            </w:pPr>
            <w:r w:rsidRPr="002C06C2">
              <w:t>47.0</w:t>
            </w:r>
          </w:p>
        </w:tc>
        <w:tc>
          <w:tcPr>
            <w:tcW w:w="990" w:type="dxa"/>
            <w:shd w:val="clear" w:color="auto" w:fill="F2F2F2"/>
            <w:vAlign w:val="center"/>
            <w:hideMark/>
          </w:tcPr>
          <w:p w:rsidR="008C299A" w:rsidRPr="002C06C2" w:rsidRDefault="008C299A" w:rsidP="00F767BA">
            <w:pPr>
              <w:pStyle w:val="Table-Body"/>
            </w:pPr>
            <w:r w:rsidRPr="002C06C2">
              <w:t>65.8</w:t>
            </w:r>
          </w:p>
        </w:tc>
        <w:tc>
          <w:tcPr>
            <w:tcW w:w="990" w:type="dxa"/>
            <w:shd w:val="clear" w:color="auto" w:fill="F2F2F2"/>
            <w:vAlign w:val="center"/>
            <w:hideMark/>
          </w:tcPr>
          <w:p w:rsidR="008C299A" w:rsidRPr="002C06C2" w:rsidRDefault="00EC4AE7" w:rsidP="00F767BA">
            <w:pPr>
              <w:pStyle w:val="Table-Body"/>
            </w:pPr>
            <w:r>
              <w:t>18.8</w:t>
            </w:r>
          </w:p>
        </w:tc>
      </w:tr>
      <w:tr w:rsidR="008C299A" w:rsidRPr="00A40903" w:rsidTr="00EC4AE7">
        <w:trPr>
          <w:trHeight w:val="144"/>
        </w:trPr>
        <w:tc>
          <w:tcPr>
            <w:tcW w:w="3600" w:type="dxa"/>
            <w:vAlign w:val="center"/>
            <w:hideMark/>
          </w:tcPr>
          <w:p w:rsidR="008C299A" w:rsidRPr="002C06C2" w:rsidRDefault="008C299A" w:rsidP="00F767BA">
            <w:pPr>
              <w:pStyle w:val="Table-Body"/>
            </w:pPr>
            <w:r w:rsidRPr="002C06C2">
              <w:t>HIV Knowledge</w:t>
            </w:r>
          </w:p>
        </w:tc>
        <w:tc>
          <w:tcPr>
            <w:tcW w:w="1710" w:type="dxa"/>
            <w:tcBorders>
              <w:right w:val="single" w:sz="8" w:space="0" w:color="BFBFBF"/>
            </w:tcBorders>
            <w:vAlign w:val="center"/>
            <w:hideMark/>
          </w:tcPr>
          <w:p w:rsidR="008C299A" w:rsidRPr="002C06C2" w:rsidRDefault="008C299A" w:rsidP="00DE182F">
            <w:pPr>
              <w:pStyle w:val="Table-Body"/>
            </w:pPr>
            <w:r w:rsidRPr="002C06C2">
              <w:t>Cohort 6</w:t>
            </w:r>
          </w:p>
        </w:tc>
        <w:tc>
          <w:tcPr>
            <w:tcW w:w="1080" w:type="dxa"/>
            <w:tcBorders>
              <w:left w:val="single" w:sz="8" w:space="0" w:color="BFBFBF"/>
            </w:tcBorders>
            <w:vAlign w:val="center"/>
            <w:hideMark/>
          </w:tcPr>
          <w:p w:rsidR="008C299A" w:rsidRPr="002C06C2" w:rsidRDefault="008C299A" w:rsidP="00F767BA">
            <w:pPr>
              <w:pStyle w:val="Table-Body"/>
            </w:pPr>
            <w:r w:rsidRPr="002C06C2">
              <w:t>2,116</w:t>
            </w:r>
          </w:p>
        </w:tc>
        <w:tc>
          <w:tcPr>
            <w:tcW w:w="1170" w:type="dxa"/>
            <w:vAlign w:val="center"/>
            <w:hideMark/>
          </w:tcPr>
          <w:p w:rsidR="008C299A" w:rsidRPr="002C06C2" w:rsidRDefault="008C299A" w:rsidP="00F767BA">
            <w:pPr>
              <w:pStyle w:val="Table-Body"/>
            </w:pPr>
            <w:r w:rsidRPr="002C06C2">
              <w:t>58.0</w:t>
            </w:r>
          </w:p>
        </w:tc>
        <w:tc>
          <w:tcPr>
            <w:tcW w:w="990" w:type="dxa"/>
            <w:vAlign w:val="center"/>
            <w:hideMark/>
          </w:tcPr>
          <w:p w:rsidR="008C299A" w:rsidRPr="002C06C2" w:rsidRDefault="008C299A" w:rsidP="00F767BA">
            <w:pPr>
              <w:pStyle w:val="Table-Body"/>
            </w:pPr>
            <w:r w:rsidRPr="002C06C2">
              <w:t>75.5</w:t>
            </w:r>
          </w:p>
        </w:tc>
        <w:tc>
          <w:tcPr>
            <w:tcW w:w="1170" w:type="dxa"/>
            <w:tcBorders>
              <w:right w:val="single" w:sz="8" w:space="0" w:color="BFBFBF"/>
            </w:tcBorders>
            <w:vAlign w:val="center"/>
            <w:hideMark/>
          </w:tcPr>
          <w:p w:rsidR="008C299A" w:rsidRPr="002C06C2" w:rsidRDefault="00EC4AE7" w:rsidP="00F767BA">
            <w:pPr>
              <w:pStyle w:val="Table-Body"/>
            </w:pPr>
            <w:r>
              <w:t>17.5</w:t>
            </w:r>
          </w:p>
        </w:tc>
        <w:tc>
          <w:tcPr>
            <w:tcW w:w="1170" w:type="dxa"/>
            <w:tcBorders>
              <w:left w:val="single" w:sz="8" w:space="0" w:color="BFBFBF"/>
            </w:tcBorders>
            <w:vAlign w:val="center"/>
            <w:hideMark/>
          </w:tcPr>
          <w:p w:rsidR="008C299A" w:rsidRPr="002C06C2" w:rsidRDefault="008C299A" w:rsidP="00F767BA">
            <w:pPr>
              <w:pStyle w:val="Table-Body"/>
            </w:pPr>
            <w:r w:rsidRPr="002C06C2">
              <w:t>11,082</w:t>
            </w:r>
          </w:p>
        </w:tc>
        <w:tc>
          <w:tcPr>
            <w:tcW w:w="1080" w:type="dxa"/>
            <w:vAlign w:val="center"/>
            <w:hideMark/>
          </w:tcPr>
          <w:p w:rsidR="008C299A" w:rsidRPr="002C06C2" w:rsidRDefault="008C299A" w:rsidP="00F767BA">
            <w:pPr>
              <w:pStyle w:val="Table-Body"/>
            </w:pPr>
            <w:r w:rsidRPr="002C06C2">
              <w:t>75.9</w:t>
            </w:r>
          </w:p>
        </w:tc>
        <w:tc>
          <w:tcPr>
            <w:tcW w:w="990" w:type="dxa"/>
            <w:vAlign w:val="center"/>
            <w:hideMark/>
          </w:tcPr>
          <w:p w:rsidR="008C299A" w:rsidRPr="002C06C2" w:rsidRDefault="008C299A" w:rsidP="00F767BA">
            <w:pPr>
              <w:pStyle w:val="Table-Body"/>
            </w:pPr>
            <w:r w:rsidRPr="002C06C2">
              <w:t>83.1</w:t>
            </w:r>
          </w:p>
        </w:tc>
        <w:tc>
          <w:tcPr>
            <w:tcW w:w="990" w:type="dxa"/>
            <w:vAlign w:val="center"/>
            <w:hideMark/>
          </w:tcPr>
          <w:p w:rsidR="008C299A" w:rsidRPr="002C06C2" w:rsidRDefault="00EC4AE7" w:rsidP="00F767BA">
            <w:pPr>
              <w:pStyle w:val="Table-Body"/>
            </w:pPr>
            <w:r>
              <w:t>7.2</w:t>
            </w:r>
          </w:p>
        </w:tc>
      </w:tr>
    </w:tbl>
    <w:p w:rsidR="008C299A" w:rsidRDefault="008C299A" w:rsidP="00F767BA">
      <w:pPr>
        <w:pStyle w:val="Table-Source"/>
        <w:ind w:left="-270" w:firstLine="414"/>
      </w:pPr>
      <w:r>
        <w:t>Source: HIV Cohort 6 and 7 participant-level data, matched cases only through FY 2010</w:t>
      </w:r>
    </w:p>
    <w:p w:rsidR="008C299A" w:rsidRDefault="008C299A" w:rsidP="00F767BA">
      <w:pPr>
        <w:pStyle w:val="Table-Source"/>
        <w:ind w:left="-270" w:firstLine="414"/>
      </w:pPr>
      <w:r>
        <w:t>Note 1: Valid N refers to the total number of valid responses to the survey item.</w:t>
      </w:r>
    </w:p>
    <w:p w:rsidR="008C299A" w:rsidRDefault="008C299A" w:rsidP="00F767BA">
      <w:pPr>
        <w:pStyle w:val="Table-Source"/>
        <w:ind w:left="-270" w:firstLine="414"/>
      </w:pPr>
      <w:r>
        <w:t>Note 2: Figures within the “Change” column are calculated as the difference between exit and baseline. Minor discrepancies are due to rounding.</w:t>
      </w:r>
    </w:p>
    <w:p w:rsidR="008C299A" w:rsidRDefault="008C299A" w:rsidP="002E0F33">
      <w:pPr>
        <w:pStyle w:val="Heading2"/>
        <w:spacing w:before="120" w:line="360" w:lineRule="auto"/>
        <w:sectPr w:rsidR="008C299A" w:rsidSect="008E2E78">
          <w:endnotePr>
            <w:numFmt w:val="lowerLetter"/>
          </w:endnotePr>
          <w:pgSz w:w="15840" w:h="12240" w:orient="landscape" w:code="1"/>
          <w:pgMar w:top="810" w:right="1440" w:bottom="1440" w:left="1440" w:header="864" w:footer="864" w:gutter="0"/>
          <w:cols w:space="720"/>
          <w:docGrid w:linePitch="326"/>
        </w:sectPr>
      </w:pPr>
    </w:p>
    <w:p w:rsidR="00E55F6A" w:rsidRPr="00A723E8" w:rsidRDefault="00E55F6A" w:rsidP="00E55F6A">
      <w:r w:rsidRPr="00A723E8">
        <w:lastRenderedPageBreak/>
        <w:t xml:space="preserve">The Cohort 6, 7, 8, 9 and 10 MAI Programs differ substantially from the earlier programs in that they target very different populations and call for the use of the SPF and evidence-based programs. While these grantees have substantial flexibility in choosing evidence-based programs, they are all required to base their projects on the five steps of SAMHSA’s SPF to build service capacity specific to substance abuse and HIV/AIDS prevention services. </w:t>
      </w:r>
    </w:p>
    <w:p w:rsidR="00E55F6A" w:rsidRDefault="00E55F6A" w:rsidP="00E55F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600025" w:rsidRDefault="00600025" w:rsidP="006000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0F33" w:rsidRPr="00A723E8" w:rsidRDefault="002E0F33" w:rsidP="002E0F33">
      <w:pPr>
        <w:pStyle w:val="Heading2"/>
        <w:spacing w:before="120" w:line="360" w:lineRule="auto"/>
      </w:pPr>
      <w:r w:rsidRPr="00A723E8">
        <w:t>A2. Purpose and Use of Information</w:t>
      </w:r>
    </w:p>
    <w:p w:rsidR="009714E2" w:rsidRPr="00A723E8" w:rsidRDefault="009714E2"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23E8">
        <w:rPr>
          <w:rStyle w:val="WP9BodyText"/>
          <w:color w:val="000000"/>
        </w:rPr>
        <w:t>Th</w:t>
      </w:r>
      <w:r w:rsidR="00297343" w:rsidRPr="00A723E8">
        <w:rPr>
          <w:rStyle w:val="WP9BodyText"/>
          <w:color w:val="000000"/>
        </w:rPr>
        <w:t>e</w:t>
      </w:r>
      <w:r w:rsidRPr="00A723E8">
        <w:rPr>
          <w:rStyle w:val="WP9BodyText"/>
          <w:color w:val="000000"/>
        </w:rPr>
        <w:t xml:space="preserve"> </w:t>
      </w:r>
      <w:r w:rsidR="00297343" w:rsidRPr="00A723E8">
        <w:t xml:space="preserve">Minority HIV/AIDS Initiative (MAI) </w:t>
      </w:r>
      <w:r w:rsidRPr="00A723E8">
        <w:rPr>
          <w:rStyle w:val="WP9BodyText"/>
          <w:color w:val="000000"/>
        </w:rPr>
        <w:t xml:space="preserve">cross-site study will involve </w:t>
      </w:r>
      <w:r w:rsidR="0095167B" w:rsidRPr="00A723E8">
        <w:rPr>
          <w:rStyle w:val="WP9BodyText"/>
          <w:color w:val="000000"/>
        </w:rPr>
        <w:t xml:space="preserve">not only </w:t>
      </w:r>
      <w:r w:rsidRPr="00A723E8">
        <w:rPr>
          <w:rStyle w:val="WP9BodyText"/>
          <w:color w:val="000000"/>
        </w:rPr>
        <w:t xml:space="preserve">collecting information on the planning and delivery of the evidence based programs, </w:t>
      </w:r>
      <w:r w:rsidR="0095167B" w:rsidRPr="00A723E8">
        <w:rPr>
          <w:rStyle w:val="WP9BodyText"/>
          <w:color w:val="000000"/>
        </w:rPr>
        <w:t>but also</w:t>
      </w:r>
      <w:r w:rsidRPr="00A723E8">
        <w:rPr>
          <w:rStyle w:val="WP9BodyText"/>
          <w:color w:val="000000"/>
        </w:rPr>
        <w:t xml:space="preserve"> assessing their effectiveness. </w:t>
      </w:r>
      <w:r w:rsidR="00B8377C" w:rsidRPr="00A723E8">
        <w:t xml:space="preserve">Grantees </w:t>
      </w:r>
      <w:r w:rsidR="0016207D" w:rsidRPr="00A723E8">
        <w:t xml:space="preserve">will be </w:t>
      </w:r>
      <w:r w:rsidR="00B8377C" w:rsidRPr="00A723E8">
        <w:t>conducting ongoing monitoring and analysis of their projects to assess program effectiveness, including Federal reporting of the GPRA, SAMHSA/CSAP NOMs, as well as HIV Counseling and</w:t>
      </w:r>
      <w:r w:rsidR="00DA2224" w:rsidRPr="00A723E8">
        <w:t xml:space="preserve"> </w:t>
      </w:r>
      <w:r w:rsidR="00B8377C" w:rsidRPr="00A723E8">
        <w:t>Testing.</w:t>
      </w:r>
      <w:r w:rsidR="00731209">
        <w:t xml:space="preserve"> The specific </w:t>
      </w:r>
      <w:r w:rsidR="006E67FB">
        <w:t>purpose of this study, as well as the planned use of findings from this evaluation, is</w:t>
      </w:r>
      <w:r w:rsidR="00731209">
        <w:t xml:space="preserve"> described in this section.</w:t>
      </w:r>
    </w:p>
    <w:p w:rsidR="003203FE" w:rsidRDefault="003203FE"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40A7D" w:rsidRPr="00A723E8" w:rsidRDefault="00740A7D"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CSAP has a well-established history of incorporating evaluation findings and conclusions into the policy process, and the results of this study will be used similarly. It is designed to provide more specific information on the effectiveness of diversely funded programs in preventing and/or reducing </w:t>
      </w:r>
      <w:r>
        <w:t>substance</w:t>
      </w:r>
      <w:r w:rsidRPr="00A723E8">
        <w:t xml:space="preserve"> use and related problems, CSAP will use the evaluation results to influence public policy studies, and programming as they relate to the provision of youth and adult services. More specifically, the research will support the following uses by CSAP:</w:t>
      </w:r>
    </w:p>
    <w:p w:rsidR="00740A7D" w:rsidRPr="00A723E8"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40A7D" w:rsidRPr="00A723E8" w:rsidRDefault="00740A7D" w:rsidP="00740A7D">
      <w:pPr>
        <w:numPr>
          <w:ilvl w:val="0"/>
          <w:numId w:val="11"/>
        </w:numPr>
      </w:pPr>
      <w:r w:rsidRPr="00A723E8">
        <w:t>Findings will be used in required NOMs and GPRA performance reporting, and will be presented in annual reports to Congress.</w:t>
      </w:r>
    </w:p>
    <w:p w:rsidR="00740A7D" w:rsidRPr="00A723E8" w:rsidRDefault="00740A7D" w:rsidP="00740A7D">
      <w:pPr>
        <w:numPr>
          <w:ilvl w:val="0"/>
          <w:numId w:val="11"/>
        </w:numPr>
      </w:pPr>
      <w:r w:rsidRPr="00A723E8">
        <w:t xml:space="preserve">Findings regarding SPF implementation will be used to assess prevention, delay or reduce </w:t>
      </w:r>
      <w:r>
        <w:t>substance</w:t>
      </w:r>
      <w:r w:rsidRPr="00A723E8">
        <w:t xml:space="preserve"> use, influence positive sexual behaviors, change </w:t>
      </w:r>
      <w:r>
        <w:t>substance use</w:t>
      </w:r>
      <w:r w:rsidRPr="00A723E8">
        <w:t xml:space="preserve"> attitudes, and reduce associated problem sexual and substance use behaviors, as well as to assess the effectiveness of currently funded prevention programs. Furthermore, the common u</w:t>
      </w:r>
      <w:r>
        <w:t>tilization</w:t>
      </w:r>
      <w:r w:rsidRPr="00A723E8">
        <w:t xml:space="preserve"> of </w:t>
      </w:r>
      <w:r>
        <w:t>substance use</w:t>
      </w:r>
      <w:r w:rsidRPr="00A723E8">
        <w:t xml:space="preserve"> outcome measures (from CSAP, GPRA, and NOMs) will allow CSAP to compare initiatives (including the previous HIV/AIDS programs) as to their success in achieving their goals. Such extensive cross-initiative information will be used to set broad prevention policy priorities.</w:t>
      </w:r>
    </w:p>
    <w:p w:rsidR="00740A7D" w:rsidRPr="00A723E8" w:rsidRDefault="00740A7D" w:rsidP="00740A7D">
      <w:pPr>
        <w:numPr>
          <w:ilvl w:val="0"/>
          <w:numId w:val="11"/>
        </w:numPr>
      </w:pPr>
      <w:r w:rsidRPr="00A723E8">
        <w:t xml:space="preserve">Findings concerning the </w:t>
      </w:r>
      <w:r>
        <w:t>substance use</w:t>
      </w:r>
      <w:r w:rsidRPr="00A723E8">
        <w:t xml:space="preserve"> and sexual behavior risk factors as both program outcomes and mediating factors will be used to refine policy and shape future program funding announcements. In addition, the findings may be used to provide recommendations to States regarding selection of evidence-based programs, since a portion of Block Grant monies given to the States must be spent on SA prevention. Additional monies have been awarded to some States through the Strategic Prevention Framework State Incentive Grants (SPF-SIG).</w:t>
      </w:r>
    </w:p>
    <w:p w:rsidR="00740A7D" w:rsidRPr="00A723E8" w:rsidRDefault="00740A7D" w:rsidP="00740A7D">
      <w:pPr>
        <w:numPr>
          <w:ilvl w:val="0"/>
          <w:numId w:val="11"/>
        </w:numPr>
      </w:pPr>
      <w:r w:rsidRPr="00A723E8">
        <w:t>Findings concerning program inputs (intervention strategies, frequency, and length) will be used to provide program guidelines (e.g., through RFA’s) and to plan appropriate technical assistance services for programs/States.</w:t>
      </w:r>
    </w:p>
    <w:p w:rsidR="00740A7D" w:rsidRPr="00A723E8" w:rsidRDefault="00740A7D" w:rsidP="00740A7D">
      <w:pPr>
        <w:numPr>
          <w:ilvl w:val="0"/>
          <w:numId w:val="11"/>
        </w:numPr>
      </w:pPr>
      <w:r w:rsidRPr="00A723E8">
        <w:lastRenderedPageBreak/>
        <w:t>Findings will support CSAP publications and materials on prevention practices that are an important resource for public and private organizations involved in the design and implementation of prevention programming for youth and adults.</w:t>
      </w:r>
    </w:p>
    <w:p w:rsidR="00740A7D" w:rsidRPr="00A723E8" w:rsidRDefault="00740A7D" w:rsidP="00740A7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40A7D" w:rsidRPr="00A723E8" w:rsidRDefault="00740A7D" w:rsidP="00740A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In sum, the findings from the study will be a crucial resource for CSAP in setting prevention policy priorities, measuring performance, and designing and promoting optimally effective prevention program initiatives. Although the cross</w:t>
      </w:r>
      <w:r>
        <w:t>-</w:t>
      </w:r>
      <w:r w:rsidRPr="00A723E8">
        <w:t xml:space="preserve">site study is designed primarily to address CSAP program requirements, the study results will be useful to other Federal, State, and community agencies involved in efforts to prevent or reduce </w:t>
      </w:r>
      <w:r w:rsidR="00AB4258">
        <w:t>substance</w:t>
      </w:r>
      <w:r w:rsidRPr="00A723E8">
        <w:t xml:space="preserve"> use among youth and adults. While some of these agencies are specifically interested in providing preventive health services, others have a more general interest in approaches or strategies that have been proven effective. </w:t>
      </w:r>
    </w:p>
    <w:p w:rsidR="00740A7D" w:rsidRPr="00A723E8" w:rsidRDefault="00740A7D"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621F5" w:rsidRDefault="0016207D" w:rsidP="002621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rPr>
          <w:rStyle w:val="WP9BodyText"/>
          <w:color w:val="000000"/>
        </w:rPr>
        <w:t>CSAP</w:t>
      </w:r>
      <w:r w:rsidR="00E66151">
        <w:rPr>
          <w:rStyle w:val="WP9BodyText"/>
          <w:color w:val="000000"/>
        </w:rPr>
        <w:t xml:space="preserve"> has and plans to continue using the data collected under this initiative to improve program performance, meet statutory/regulatory requirements, and </w:t>
      </w:r>
      <w:r w:rsidR="002621F5">
        <w:rPr>
          <w:rStyle w:val="WP9BodyText"/>
          <w:color w:val="000000"/>
        </w:rPr>
        <w:t xml:space="preserve">enhance the current knowledge base on prevention programs for minority populations </w:t>
      </w:r>
      <w:r w:rsidR="002E6BC6">
        <w:rPr>
          <w:rStyle w:val="WP9BodyText"/>
          <w:color w:val="000000"/>
        </w:rPr>
        <w:t>at risk for</w:t>
      </w:r>
      <w:r w:rsidR="002621F5">
        <w:rPr>
          <w:rStyle w:val="WP9BodyText"/>
          <w:color w:val="000000"/>
        </w:rPr>
        <w:t xml:space="preserve"> substance use and HIV/AIDS and </w:t>
      </w:r>
      <w:r w:rsidR="00E66151">
        <w:rPr>
          <w:rStyle w:val="WP9BodyText"/>
          <w:color w:val="000000"/>
        </w:rPr>
        <w:t>increase public awareness about factors associated with substance use and HIV risk behaviors among minority populations.</w:t>
      </w:r>
      <w:r w:rsidRPr="00A723E8">
        <w:rPr>
          <w:rStyle w:val="WP9BodyText"/>
          <w:color w:val="000000"/>
        </w:rPr>
        <w:t xml:space="preserve"> </w:t>
      </w:r>
      <w:r w:rsidR="002621F5" w:rsidRPr="00402840">
        <w:t>In order to improve program performance, CSAP shares the most recent program performance data and related outcomes to grantees, stakeholders, and other Federal officials at annual MAI grantee meetings.  These findings are then used to inform program direction and identify and address weaknesses. For example, the most recent performance data indicated a need to improve non-user stability rates for alcohol and decrease illicit drug use rates. As a result, the two most recent MAI cohorts, namely the Ready to Respond Initiative and the Capacity Building Initiative</w:t>
      </w:r>
      <w:r w:rsidR="002621F5">
        <w:t>,</w:t>
      </w:r>
      <w:r w:rsidR="002621F5" w:rsidRPr="00402840">
        <w:t xml:space="preserve"> are specifically focused on increasing HIV prevention interventions with high-risk populations as well as the capacity to implement integrated, evidence-based substance abuse interventions.</w:t>
      </w:r>
      <w:r w:rsidR="002621F5">
        <w:t xml:space="preserve"> </w:t>
      </w:r>
      <w:r w:rsidR="002621F5" w:rsidRPr="00402840">
        <w:t>This change in focus will ultimately increase program performance in these areas.</w:t>
      </w:r>
    </w:p>
    <w:p w:rsidR="002621F5" w:rsidRDefault="002621F5" w:rsidP="003949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rPr>
      </w:pPr>
    </w:p>
    <w:p w:rsidR="002621F5" w:rsidRDefault="002621F5" w:rsidP="002621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CSAP also plans to continue using the data collected under this initiative to meet statutory/regulatory requirements.  Specifically, </w:t>
      </w:r>
      <w:r w:rsidRPr="00402840">
        <w:t>SAMHSA must collect these data to meet its federal requirements specified in the ADAMHA Reorganization Act of 1992 (PL 102-321), as well as the GPRA Modernization Act of 2010 (PL 111-352). According to the ADAMHA Reorganization Act of 1992 (Section 516) “the Director of the Prevention Center, shall: (a) provide assistance to communities to develop comprehensive long-term strategies for the prevention of substance abuse; and (b) evaluate the success of different community approaches toward the prevention of such abuse.</w:t>
      </w:r>
      <w:r>
        <w:t>”</w:t>
      </w:r>
      <w:r w:rsidRPr="00402840">
        <w:t xml:space="preserve"> These requirements specify that SAMHSA </w:t>
      </w:r>
      <w:r>
        <w:t xml:space="preserve">must </w:t>
      </w:r>
      <w:r w:rsidRPr="00402840">
        <w:t xml:space="preserve">evaluate this program, identify strengths and weakness, and assist the Director in making decisions necessary to strengthen the program and comply with this federal statute. In addition, data collected through the MAI help SAMHSA comply with federal reporting requirements related to appropriations (i.e. GPRA). Currently, SAMHSA uses data collected through the MAI to report on 14 performance measures. </w:t>
      </w:r>
    </w:p>
    <w:p w:rsidR="002621F5" w:rsidRDefault="002621F5" w:rsidP="003949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rPr>
      </w:pPr>
    </w:p>
    <w:p w:rsidR="002621F5"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rPr>
      </w:pPr>
      <w:r>
        <w:t xml:space="preserve">Through this initiative, CSAP has and plans to continue to enhance the current knowledge base on the effectiveness of prevention programs for minority populations at risk for SA and </w:t>
      </w:r>
      <w:r>
        <w:lastRenderedPageBreak/>
        <w:t xml:space="preserve">HIV/AIDS as well as increase public awareness about factors associated with substance use and HIV risk behaviors among minority populations. </w:t>
      </w:r>
      <w:r w:rsidRPr="00A723E8">
        <w:rPr>
          <w:rStyle w:val="WP9BodyText"/>
        </w:rPr>
        <w:t xml:space="preserve">Information collected </w:t>
      </w:r>
      <w:r>
        <w:rPr>
          <w:rStyle w:val="WP9BodyText"/>
        </w:rPr>
        <w:t xml:space="preserve">under this initiative </w:t>
      </w:r>
      <w:r w:rsidRPr="00A723E8">
        <w:rPr>
          <w:rStyle w:val="WP9BodyText"/>
        </w:rPr>
        <w:t>will be used by CSAP and other Federal agencies in their efforts to assess specific intervention services in the prevention or reduction of substance use and HIV/AIDS among minority community and re-entry populations</w:t>
      </w:r>
      <w:r>
        <w:rPr>
          <w:rStyle w:val="WP9BodyText"/>
        </w:rPr>
        <w:t xml:space="preserve">. CSAP plans to provide evidence and conclusions for disseminating optimally effective prevention policy and programs.  </w:t>
      </w:r>
      <w:r w:rsidRPr="00A723E8">
        <w:rPr>
          <w:rStyle w:val="WP9BodyText"/>
          <w:color w:val="000000"/>
        </w:rPr>
        <w:t xml:space="preserve">Information will also be useful to policymakers, who need to learn how to extend their reach into and among these populations. </w:t>
      </w:r>
    </w:p>
    <w:p w:rsidR="002621F5"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rPr>
      </w:pPr>
    </w:p>
    <w:p w:rsidR="002621F5" w:rsidRPr="002B40FB" w:rsidRDefault="002621F5" w:rsidP="00152C9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02840">
        <w:t>The MAI program findings on substance use and HIV risk behaviors have and continue to be widely disseminated through presentations and publications to increase public awareness.  For the past four years, CSAP has presented findings obtained from data collected through the MAI at the annual National Prevention Network Research Conference (NPNRC).  The NPNRC is attended by leading researchers in the field of prevention, as well as representatives from every Single State Authority.  Last year, CSAP presented findings on the Cohort 6 re-entry population at the annual American Public Health Association Meeting.  Lastly, using data from Cohort 3, CSAP and contract staff jointly published two peer-reviewed articles, one in the Journal of Alcohol &amp; Drug Education on a latent structure analysis of substance use and HIV risk behaviors among high-risk minority adults, and the other in the Journal of the National Medical Association on a structural model analysis of HIV risk behaviors among sexually active minority adolescents. These articles exemplify CSAP’s continued contributions to the prevention field and to increased public awareness of factors associated with substance use and HIV risk behaviors among specific minority populations, through the use of data collected by HIV grantees.  In the next several months, the MAI program will be able to provide information on what are the most effective substance abuse and HIV prevention interventions for specific target populations and under what conditions</w:t>
      </w:r>
    </w:p>
    <w:p w:rsidR="0016207D" w:rsidRPr="00A723E8" w:rsidRDefault="0016207D" w:rsidP="003949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color w:val="000000"/>
        </w:rPr>
      </w:pPr>
    </w:p>
    <w:p w:rsidR="009714E2" w:rsidRPr="00A723E8" w:rsidRDefault="009714E2"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color w:val="000000"/>
        </w:rPr>
        <w:t>CSAP will also share the outcome information</w:t>
      </w:r>
      <w:r w:rsidRPr="00A723E8">
        <w:rPr>
          <w:rStyle w:val="WP9BodyText"/>
        </w:rPr>
        <w:t xml:space="preserve"> and lessons learned with other Federal DHHS agencies, including but not limited to SAMHSA’s Center for Substance Abuse Treatment (CSAT), the National Institute on Drug Abuse (NIDA), the Center</w:t>
      </w:r>
      <w:r w:rsidR="00B42364" w:rsidRPr="00A723E8">
        <w:rPr>
          <w:rStyle w:val="WP9BodyText"/>
        </w:rPr>
        <w:t>s</w:t>
      </w:r>
      <w:r w:rsidRPr="00A723E8">
        <w:rPr>
          <w:rStyle w:val="WP9BodyText"/>
        </w:rPr>
        <w:t xml:space="preserve"> for Disease</w:t>
      </w:r>
      <w:r w:rsidR="003203FE" w:rsidRPr="00A723E8">
        <w:rPr>
          <w:rStyle w:val="WP9BodyText"/>
        </w:rPr>
        <w:t xml:space="preserve"> Control</w:t>
      </w:r>
      <w:r w:rsidRPr="00A723E8">
        <w:rPr>
          <w:rStyle w:val="WP9BodyText"/>
        </w:rPr>
        <w:t xml:space="preserve"> </w:t>
      </w:r>
      <w:r w:rsidR="00B42364" w:rsidRPr="00A723E8">
        <w:rPr>
          <w:rStyle w:val="WP9BodyText"/>
        </w:rPr>
        <w:t xml:space="preserve">and Prevention </w:t>
      </w:r>
      <w:r w:rsidRPr="00A723E8">
        <w:rPr>
          <w:rStyle w:val="WP9BodyText"/>
        </w:rPr>
        <w:t>(C</w:t>
      </w:r>
      <w:r w:rsidR="003203FE" w:rsidRPr="00A723E8">
        <w:rPr>
          <w:rStyle w:val="WP9BodyText"/>
        </w:rPr>
        <w:t>DC</w:t>
      </w:r>
      <w:r w:rsidRPr="00A723E8">
        <w:rPr>
          <w:rStyle w:val="WP9BodyText"/>
        </w:rPr>
        <w:t xml:space="preserve">), and the Administration </w:t>
      </w:r>
      <w:r w:rsidR="001A368B" w:rsidRPr="00A723E8">
        <w:rPr>
          <w:rStyle w:val="WP9BodyText"/>
        </w:rPr>
        <w:t>for</w:t>
      </w:r>
      <w:r w:rsidRPr="00A723E8">
        <w:rPr>
          <w:rStyle w:val="WP9BodyText"/>
        </w:rPr>
        <w:t xml:space="preserve"> Children and Families (ACF)</w:t>
      </w:r>
      <w:r w:rsidR="001A368B" w:rsidRPr="00A723E8">
        <w:rPr>
          <w:rStyle w:val="WP9BodyText"/>
        </w:rPr>
        <w:t>,</w:t>
      </w:r>
      <w:r w:rsidRPr="00A723E8">
        <w:rPr>
          <w:rStyle w:val="WP9BodyText"/>
        </w:rPr>
        <w:t xml:space="preserve"> which administers several drug-related programs targeted at hard-to-reach and at-risk populations.</w:t>
      </w:r>
    </w:p>
    <w:p w:rsidR="009714E2" w:rsidRPr="00A723E8" w:rsidRDefault="009714E2"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152C98" w:rsidRPr="00443201" w:rsidRDefault="009714E2" w:rsidP="00F349A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 xml:space="preserve">Beyond </w:t>
      </w:r>
      <w:r w:rsidR="00495FBE">
        <w:rPr>
          <w:rStyle w:val="WP9BodyText"/>
        </w:rPr>
        <w:t xml:space="preserve">Federal </w:t>
      </w:r>
      <w:r w:rsidRPr="00A723E8">
        <w:rPr>
          <w:rStyle w:val="WP9BodyText"/>
        </w:rPr>
        <w:t>DHHS</w:t>
      </w:r>
      <w:r w:rsidR="00495FBE">
        <w:rPr>
          <w:rStyle w:val="WP9BodyText"/>
        </w:rPr>
        <w:t xml:space="preserve"> agencies</w:t>
      </w:r>
      <w:r w:rsidRPr="00A723E8">
        <w:rPr>
          <w:rStyle w:val="WP9BodyText"/>
        </w:rPr>
        <w:t>, CSAP plans to share outcomes and lessons learned with</w:t>
      </w:r>
      <w:r w:rsidR="00495FBE">
        <w:rPr>
          <w:rStyle w:val="WP9BodyText"/>
        </w:rPr>
        <w:t xml:space="preserve"> other </w:t>
      </w:r>
      <w:r w:rsidR="00443201">
        <w:rPr>
          <w:rStyle w:val="WP9BodyText"/>
        </w:rPr>
        <w:t>F</w:t>
      </w:r>
      <w:r w:rsidR="00495FBE" w:rsidRPr="00443201">
        <w:rPr>
          <w:rStyle w:val="WP9BodyText"/>
        </w:rPr>
        <w:t>ederal agencies that provide services to high-risk youth</w:t>
      </w:r>
      <w:r w:rsidR="00152C98" w:rsidRPr="00443201">
        <w:rPr>
          <w:rStyle w:val="WP9BodyText"/>
        </w:rPr>
        <w:t>:</w:t>
      </w:r>
    </w:p>
    <w:p w:rsidR="00152C98" w:rsidRPr="00443201" w:rsidRDefault="00152C98" w:rsidP="00152C98">
      <w:pPr>
        <w:pStyle w:val="ListParagraph"/>
        <w:numPr>
          <w:ilvl w:val="0"/>
          <w:numId w:val="1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3201">
        <w:t>The Department of Justice (DOJ) and their Office of Juvenile Justice and Delinquency Prevention (OJJDP), which funds projects that target high-risk youth and often involve SA prevention interventions.</w:t>
      </w:r>
    </w:p>
    <w:p w:rsidR="001A368B" w:rsidRPr="00A723E8" w:rsidRDefault="001A368B" w:rsidP="002C06C2">
      <w:pPr>
        <w:numPr>
          <w:ilvl w:val="0"/>
          <w:numId w:val="11"/>
        </w:numPr>
      </w:pPr>
      <w:r w:rsidRPr="00443201">
        <w:t>T</w:t>
      </w:r>
      <w:r w:rsidR="009714E2" w:rsidRPr="00443201">
        <w:t>he Department of Housing and</w:t>
      </w:r>
      <w:r w:rsidR="009714E2" w:rsidRPr="00A723E8">
        <w:t xml:space="preserve"> Urban Development</w:t>
      </w:r>
      <w:r w:rsidR="00D007C2" w:rsidRPr="00A723E8">
        <w:t xml:space="preserve"> (HUD)</w:t>
      </w:r>
      <w:r w:rsidR="009714E2" w:rsidRPr="00A723E8">
        <w:t>, which supports two major initiatives (the National Youth Sports Program and the Public Housing Drug Elimination Program) that target youth at risk of substance use and provide positive alternative activities for at-risk youth in a drug-free environment</w:t>
      </w:r>
      <w:r w:rsidR="00DA2224" w:rsidRPr="00A723E8">
        <w:t>.</w:t>
      </w:r>
    </w:p>
    <w:p w:rsidR="001A368B" w:rsidRPr="00A723E8" w:rsidRDefault="001A368B" w:rsidP="002C06C2">
      <w:pPr>
        <w:numPr>
          <w:ilvl w:val="0"/>
          <w:numId w:val="11"/>
        </w:numPr>
      </w:pPr>
      <w:r w:rsidRPr="00A723E8">
        <w:lastRenderedPageBreak/>
        <w:t>T</w:t>
      </w:r>
      <w:r w:rsidR="009714E2" w:rsidRPr="00A723E8">
        <w:t>he Department of Education</w:t>
      </w:r>
      <w:r w:rsidR="00D007C2" w:rsidRPr="00A723E8">
        <w:t xml:space="preserve"> (DOE)</w:t>
      </w:r>
      <w:r w:rsidR="009714E2" w:rsidRPr="00A723E8">
        <w:t>, which funds the Safe Schools/Healthy Students effort (focused on violence and substance abuse prevention) under the Drug Free Schools and Communities Act.</w:t>
      </w:r>
    </w:p>
    <w:p w:rsidR="009714E2" w:rsidRPr="00A723E8" w:rsidRDefault="009714E2" w:rsidP="002C06C2">
      <w:pPr>
        <w:numPr>
          <w:ilvl w:val="0"/>
          <w:numId w:val="11"/>
        </w:numPr>
      </w:pPr>
      <w:r w:rsidRPr="00A723E8">
        <w:t>State and local program planners and the public through publications and a public-use data set.</w:t>
      </w:r>
    </w:p>
    <w:p w:rsidR="009714E2" w:rsidRDefault="009714E2"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8146C" w:rsidRPr="00A723E8" w:rsidRDefault="00A8146C" w:rsidP="00A814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State and local agencies also have significant responsibilities for design and implementation of prevention programs for youth and adults. The results of the MAI cross-site findings may be useful in a variety of ways to State and local agencies, including:</w:t>
      </w:r>
    </w:p>
    <w:p w:rsidR="00A8146C" w:rsidRPr="00A723E8" w:rsidRDefault="00A8146C" w:rsidP="00A8146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p>
    <w:p w:rsidR="00A8146C" w:rsidRPr="00A723E8" w:rsidRDefault="00A8146C" w:rsidP="00A8146C">
      <w:pPr>
        <w:numPr>
          <w:ilvl w:val="0"/>
          <w:numId w:val="11"/>
        </w:numPr>
      </w:pPr>
      <w:r w:rsidRPr="00A723E8">
        <w:t>Policymakers in State and local governments will have evidence of the impact of various evidence-based programs and infrastructure development models on preventing or reducing use and HIV/AIDS among minority and re-entry youth and adults residing in communities of color. The evidence will be useful in setting prevention policy priorities.</w:t>
      </w:r>
    </w:p>
    <w:p w:rsidR="00A8146C" w:rsidRPr="00A723E8" w:rsidRDefault="00A8146C" w:rsidP="00A8146C">
      <w:pPr>
        <w:numPr>
          <w:ilvl w:val="0"/>
          <w:numId w:val="11"/>
        </w:numPr>
      </w:pPr>
      <w:r w:rsidRPr="00A723E8">
        <w:t>Program planners in State and local governments and in community-based organizations will have comparative evidence on the effectiveness of different models for the provision of youth and adult services. This information will be useful in developing funding guidelines and direct service programs.</w:t>
      </w:r>
    </w:p>
    <w:p w:rsidR="00A8146C" w:rsidRPr="00A723E8" w:rsidRDefault="00A8146C" w:rsidP="00A8146C">
      <w:pPr>
        <w:numPr>
          <w:ilvl w:val="0"/>
          <w:numId w:val="11"/>
        </w:numPr>
      </w:pPr>
      <w:r w:rsidRPr="00A723E8">
        <w:t>National, not-for-profit, nonprofit, voluntary, and professional organizations will have an accurate portrayal of the program inputs that are required to establish successful programs targeting minority and re-entry youth and adults residing in communities of color. This information will promote optimally effective prevention program design.</w:t>
      </w:r>
    </w:p>
    <w:p w:rsidR="00A8146C" w:rsidRPr="00A723E8" w:rsidRDefault="00A8146C"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9714E2" w:rsidRPr="00A723E8" w:rsidRDefault="009714E2"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Implementing evidence-based programs in minority community settings presents challenges</w:t>
      </w:r>
      <w:r w:rsidR="0016207D" w:rsidRPr="00A723E8">
        <w:t xml:space="preserve"> (i.e., </w:t>
      </w:r>
      <w:r w:rsidRPr="00A723E8">
        <w:t>maintaining rigor in design and instrumentation, as well as maintaining the ability to measure impact</w:t>
      </w:r>
      <w:r w:rsidR="0016207D" w:rsidRPr="00A723E8">
        <w:t>)</w:t>
      </w:r>
      <w:r w:rsidR="001A368B" w:rsidRPr="00A723E8">
        <w:t>,</w:t>
      </w:r>
      <w:r w:rsidRPr="00A723E8">
        <w:t xml:space="preserve"> given the need for local adaptations for specific target populations. </w:t>
      </w:r>
      <w:r w:rsidR="001A368B" w:rsidRPr="00A723E8">
        <w:t>Using</w:t>
      </w:r>
      <w:r w:rsidRPr="00A723E8">
        <w:t xml:space="preserve"> the lessons learned from the previous programs, the </w:t>
      </w:r>
      <w:r w:rsidR="000A57CE" w:rsidRPr="00A723E8">
        <w:t xml:space="preserve">current </w:t>
      </w:r>
      <w:r w:rsidRPr="00A723E8">
        <w:t xml:space="preserve">focus is on enhancing the effectiveness of specific interventions for reducing risk factors and/or enhancing the factors that protect against </w:t>
      </w:r>
      <w:r w:rsidR="002E6BC6">
        <w:t>substance use</w:t>
      </w:r>
      <w:r w:rsidRPr="00A723E8">
        <w:t xml:space="preserve"> and HIV/AIDS among </w:t>
      </w:r>
      <w:r w:rsidR="00E26DA7" w:rsidRPr="00A723E8">
        <w:t>the</w:t>
      </w:r>
      <w:r w:rsidRPr="00A723E8">
        <w:t xml:space="preserve"> minority youth and adult</w:t>
      </w:r>
      <w:r w:rsidR="00141734" w:rsidRPr="00A723E8">
        <w:t xml:space="preserve"> population as well as the</w:t>
      </w:r>
      <w:r w:rsidRPr="00A723E8">
        <w:t xml:space="preserve"> minority youth and adult re-entry population.</w:t>
      </w:r>
    </w:p>
    <w:p w:rsidR="00C1682F" w:rsidRDefault="00C1682F"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sidRPr="00A723E8">
        <w:rPr>
          <w:b/>
        </w:rPr>
        <w:t>Changes</w:t>
      </w:r>
      <w:r w:rsidR="000A44CC">
        <w:rPr>
          <w:b/>
        </w:rPr>
        <w:t xml:space="preserve"> from previous OMB submission</w:t>
      </w:r>
    </w:p>
    <w:p w:rsidR="003949C7" w:rsidRPr="00A723E8" w:rsidRDefault="003949C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11E4C"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Data will be collected from approximately </w:t>
      </w:r>
      <w:r w:rsidR="0079360F">
        <w:t>35</w:t>
      </w:r>
      <w:r w:rsidRPr="00A723E8">
        <w:t>,</w:t>
      </w:r>
      <w:r w:rsidR="0079360F">
        <w:t>43</w:t>
      </w:r>
      <w:r w:rsidR="00116FC8">
        <w:t>3</w:t>
      </w:r>
      <w:r w:rsidR="009A79E9">
        <w:t xml:space="preserve"> </w:t>
      </w:r>
      <w:r w:rsidRPr="00A723E8">
        <w:t xml:space="preserve">respondents served by the 122 grantees at three time points (baseline or program entry, program exit, and three to six months post-exit) for interventions lasting 30 days or longer, two time points (baseline and exit) for interventions lasting between 2 and 29 days and one time point (exit only) for single session (one day) interventions. The CSAP National Outcomes Measures (NOMs) Adult and Youth questionnaires, which have been approved by OMB (OMB # 0930-0230) for use in all CSAP evaluation studies, will be used to measure </w:t>
      </w:r>
      <w:r w:rsidR="007A538B">
        <w:t>substance</w:t>
      </w:r>
      <w:r w:rsidRPr="00A723E8">
        <w:t xml:space="preserve"> use and risk factors associated with </w:t>
      </w:r>
      <w:r w:rsidR="007A538B">
        <w:t>substance</w:t>
      </w:r>
      <w:r w:rsidRPr="00A723E8">
        <w:t xml:space="preserve"> use among program participants. These NOMs data are used to report on Government Performance and Results Act (GPRA) and findings across CSAP programs. </w:t>
      </w:r>
    </w:p>
    <w:p w:rsidR="00811E4C" w:rsidRPr="00A723E8" w:rsidRDefault="00811E4C"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lastRenderedPageBreak/>
        <w:t xml:space="preserve">For this program, these cross-site instruments are augmented with additional scales to measure other important risk and protective factors uniquely associated with HIV/AIDS among minority populations and minority re-entry populations in communities of color. The youth </w:t>
      </w:r>
      <w:r w:rsidR="00EC0D31" w:rsidRPr="00A723E8">
        <w:t xml:space="preserve">(covering ages 12-17) </w:t>
      </w:r>
      <w:r w:rsidRPr="00A723E8">
        <w:t xml:space="preserve">questionnaire contains 125 questions, of which 28 relate to HIV/AIDS and the adult questionnaire contains 118 items, of which 47 relate to HIV/AIDS. Two new questions have been added to </w:t>
      </w:r>
      <w:r w:rsidR="00EC0D31" w:rsidRPr="00A723E8">
        <w:t xml:space="preserve">both the youth and adult questionnaires to </w:t>
      </w:r>
      <w:r w:rsidRPr="00A723E8">
        <w:t xml:space="preserve">address SAMHSA’s need to collect information on binge drinking behavior, not covered under any prior OMB package. </w:t>
      </w:r>
      <w:r w:rsidR="00FE4A71">
        <w:t xml:space="preserve"> </w:t>
      </w:r>
      <w:r w:rsidR="000A44CC">
        <w:t xml:space="preserve">According to National Institutes on Alcohol Abuse and Alcoholism, binge drinking is defined as a pattern of drinking that brings a person's blood alcohol concentration (BAC) to 0.08 percent or above. This typically happens when a man consumes 5 or more drinks and a woman consumes 4 or more drinks in about 2 hours.  </w:t>
      </w:r>
    </w:p>
    <w:p w:rsidR="000A44CC" w:rsidRPr="00A723E8" w:rsidRDefault="000A44CC"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These questions are:</w:t>
      </w: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D5AA8" w:rsidRPr="00A723E8" w:rsidRDefault="00FE4A71"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During</w:t>
      </w:r>
      <w:r w:rsidR="006D5AA8" w:rsidRPr="00A723E8">
        <w:t xml:space="preserve"> the past 30 days, on how many days did you have 4 or more drinks on the same occasion? [By 'occasion,' we mean at the same time or within a couple of hours of each other]</w:t>
      </w: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rsidRPr="00A723E8">
        <w:t>and</w:t>
      </w:r>
      <w:proofErr w:type="gramEnd"/>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During the past 30 days, on how many days did you have 5 or more drinks on the same occasion? [By 'occasion,' we mean at the same time or within a couple of hours of each other].</w:t>
      </w:r>
    </w:p>
    <w:p w:rsidR="006D5AA8" w:rsidRPr="00A723E8"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A1169" w:rsidRDefault="006D5AA8"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Grantees will report these data online through the CSAP Prevention Management Reporting and Training System (PMRTS).  Participants in interventions lasting 30 days or longer will be required to complete the entire questionnaire (three sections).  Participants in interventions lasting between 2 and 29 days will complete sections one and two of the questionnaire and participants in single-session interventions will complete section one and 3-5 questions from section two.  </w:t>
      </w:r>
      <w:r w:rsidR="00ED6181" w:rsidRPr="00ED6181">
        <w:t xml:space="preserve">Participants are free to refuse to respond to the entire survey or to particular items in the survey. </w:t>
      </w:r>
      <w:r w:rsidRPr="00A723E8">
        <w:t>See breakdown below:</w:t>
      </w:r>
    </w:p>
    <w:p w:rsidR="00FA1169" w:rsidRDefault="00FA1169"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1080"/>
        <w:gridCol w:w="4230"/>
        <w:gridCol w:w="2610"/>
      </w:tblGrid>
      <w:tr w:rsidR="006D5AA8" w:rsidRPr="00A723E8" w:rsidTr="00BF1005">
        <w:trPr>
          <w:cantSplit/>
          <w:trHeight w:val="665"/>
          <w:tblHeader/>
        </w:trPr>
        <w:tc>
          <w:tcPr>
            <w:tcW w:w="1818" w:type="dxa"/>
            <w:shd w:val="clear" w:color="auto" w:fill="BFBFBF"/>
            <w:vAlign w:val="center"/>
          </w:tcPr>
          <w:p w:rsidR="006D5AA8" w:rsidRPr="00A723E8" w:rsidRDefault="00FA1169"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lastRenderedPageBreak/>
              <w:br w:type="page"/>
            </w:r>
            <w:r w:rsidR="006D5AA8" w:rsidRPr="00A723E8">
              <w:rPr>
                <w:rFonts w:ascii="Arial" w:hAnsi="Arial" w:cs="Arial"/>
                <w:b/>
                <w:smallCaps/>
                <w:sz w:val="22"/>
                <w:szCs w:val="22"/>
              </w:rPr>
              <w:t>Intervention</w:t>
            </w:r>
          </w:p>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rsidRPr="00A723E8">
              <w:rPr>
                <w:rFonts w:ascii="Arial" w:hAnsi="Arial" w:cs="Arial"/>
                <w:b/>
                <w:smallCaps/>
                <w:sz w:val="22"/>
                <w:szCs w:val="22"/>
              </w:rPr>
              <w:t>Duration</w:t>
            </w:r>
          </w:p>
        </w:tc>
        <w:tc>
          <w:tcPr>
            <w:tcW w:w="1080" w:type="dxa"/>
            <w:shd w:val="clear" w:color="auto" w:fill="BFBFBF"/>
            <w:vAlign w:val="center"/>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rsidRPr="00A723E8">
              <w:rPr>
                <w:rFonts w:ascii="Arial" w:hAnsi="Arial" w:cs="Arial"/>
                <w:b/>
                <w:smallCaps/>
                <w:sz w:val="22"/>
                <w:szCs w:val="22"/>
              </w:rPr>
              <w:t xml:space="preserve">Length </w:t>
            </w:r>
          </w:p>
        </w:tc>
        <w:tc>
          <w:tcPr>
            <w:tcW w:w="4230" w:type="dxa"/>
            <w:shd w:val="clear" w:color="auto" w:fill="BFBFBF"/>
            <w:vAlign w:val="center"/>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rsidRPr="00A723E8">
              <w:rPr>
                <w:rFonts w:ascii="Arial" w:hAnsi="Arial" w:cs="Arial"/>
                <w:b/>
                <w:smallCaps/>
                <w:sz w:val="22"/>
                <w:szCs w:val="22"/>
              </w:rPr>
              <w:t>Definition</w:t>
            </w:r>
          </w:p>
        </w:tc>
        <w:tc>
          <w:tcPr>
            <w:tcW w:w="2610" w:type="dxa"/>
            <w:shd w:val="clear" w:color="auto" w:fill="BFBFBF"/>
            <w:vAlign w:val="center"/>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rsidRPr="00A723E8">
              <w:rPr>
                <w:rFonts w:ascii="Arial" w:hAnsi="Arial" w:cs="Arial"/>
                <w:b/>
                <w:smallCaps/>
                <w:sz w:val="22"/>
                <w:szCs w:val="22"/>
              </w:rPr>
              <w:t>Sections of Survey To be Administered</w:t>
            </w:r>
          </w:p>
        </w:tc>
      </w:tr>
      <w:tr w:rsidR="006D5AA8" w:rsidRPr="00A723E8" w:rsidTr="00BF1005">
        <w:trPr>
          <w:cantSplit/>
        </w:trPr>
        <w:tc>
          <w:tcPr>
            <w:tcW w:w="1818"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Single Session Intervention</w:t>
            </w:r>
          </w:p>
        </w:tc>
        <w:tc>
          <w:tcPr>
            <w:tcW w:w="1080"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1 day or less</w:t>
            </w:r>
          </w:p>
        </w:tc>
        <w:tc>
          <w:tcPr>
            <w:tcW w:w="4230"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A direct service intervention that lasts one day or less.  Participants may receive multiple services during the session, but do not continue in a CSAP HIV grant funded activity for more than one day.</w:t>
            </w:r>
          </w:p>
        </w:tc>
        <w:tc>
          <w:tcPr>
            <w:tcW w:w="2610" w:type="dxa"/>
          </w:tcPr>
          <w:p w:rsidR="006D5AA8" w:rsidRPr="00A723E8" w:rsidRDefault="006D5AA8" w:rsidP="002C06C2">
            <w:pPr>
              <w:pStyle w:val="ListParagraph"/>
              <w:numPr>
                <w:ilvl w:val="0"/>
                <w:numId w:val="1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One: Facts about You</w:t>
            </w:r>
          </w:p>
          <w:p w:rsidR="006D5AA8" w:rsidRPr="00A723E8" w:rsidRDefault="006D5AA8" w:rsidP="002C06C2">
            <w:pPr>
              <w:pStyle w:val="ListParagraph"/>
              <w:numPr>
                <w:ilvl w:val="0"/>
                <w:numId w:val="1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3 to 5 questions from Section Two: Attitudes &amp; Knowledge</w:t>
            </w:r>
          </w:p>
        </w:tc>
      </w:tr>
      <w:tr w:rsidR="006D5AA8" w:rsidRPr="00A723E8" w:rsidTr="00BF1005">
        <w:trPr>
          <w:cantSplit/>
        </w:trPr>
        <w:tc>
          <w:tcPr>
            <w:tcW w:w="1818" w:type="dxa"/>
          </w:tcPr>
          <w:p w:rsidR="006D5AA8" w:rsidRPr="00A723E8" w:rsidDel="000F7086"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Multiple Session Brief Intervention</w:t>
            </w:r>
          </w:p>
        </w:tc>
        <w:tc>
          <w:tcPr>
            <w:tcW w:w="1080" w:type="dxa"/>
          </w:tcPr>
          <w:p w:rsidR="006D5AA8" w:rsidRPr="00A723E8" w:rsidDel="000F7086"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Less than 30 days</w:t>
            </w:r>
          </w:p>
        </w:tc>
        <w:tc>
          <w:tcPr>
            <w:tcW w:w="4230"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 xml:space="preserve">The participant should receive at least two HIV Grant funded sessions or service encounters. The period of time between the first session or encounter and the last session or encounter should be </w:t>
            </w:r>
            <w:r w:rsidRPr="00A723E8">
              <w:rPr>
                <w:rFonts w:ascii="Arial" w:hAnsi="Arial" w:cs="Arial"/>
                <w:b/>
                <w:sz w:val="22"/>
                <w:szCs w:val="22"/>
              </w:rPr>
              <w:t>two to 29 days</w:t>
            </w:r>
            <w:r w:rsidRPr="00A723E8">
              <w:rPr>
                <w:rFonts w:ascii="Arial" w:hAnsi="Arial" w:cs="Arial"/>
                <w:sz w:val="22"/>
                <w:szCs w:val="22"/>
              </w:rPr>
              <w:t>.</w:t>
            </w:r>
          </w:p>
        </w:tc>
        <w:tc>
          <w:tcPr>
            <w:tcW w:w="2610" w:type="dxa"/>
          </w:tcPr>
          <w:p w:rsidR="006D5AA8" w:rsidRPr="00A723E8" w:rsidRDefault="006D5AA8" w:rsidP="002C06C2">
            <w:pPr>
              <w:pStyle w:val="ListParagraph"/>
              <w:numPr>
                <w:ilvl w:val="0"/>
                <w:numId w:val="1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One: Facts about You</w:t>
            </w:r>
          </w:p>
          <w:p w:rsidR="006D5AA8" w:rsidRPr="00A723E8" w:rsidRDefault="006D5AA8" w:rsidP="002C06C2">
            <w:pPr>
              <w:pStyle w:val="ListParagraph"/>
              <w:numPr>
                <w:ilvl w:val="0"/>
                <w:numId w:val="1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Two: Attitudes &amp; Knowledge</w:t>
            </w:r>
          </w:p>
        </w:tc>
      </w:tr>
      <w:tr w:rsidR="006D5AA8" w:rsidRPr="00A723E8" w:rsidTr="00BF1005">
        <w:trPr>
          <w:cantSplit/>
        </w:trPr>
        <w:tc>
          <w:tcPr>
            <w:tcW w:w="1818"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Multiple Session Long Intervention</w:t>
            </w:r>
          </w:p>
        </w:tc>
        <w:tc>
          <w:tcPr>
            <w:tcW w:w="1080"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30 days or more</w:t>
            </w:r>
          </w:p>
        </w:tc>
        <w:tc>
          <w:tcPr>
            <w:tcW w:w="4230" w:type="dxa"/>
          </w:tcPr>
          <w:p w:rsidR="006D5AA8" w:rsidRPr="00A723E8" w:rsidRDefault="006D5AA8" w:rsidP="00297AC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23E8">
              <w:rPr>
                <w:rFonts w:ascii="Arial" w:hAnsi="Arial" w:cs="Arial"/>
                <w:sz w:val="22"/>
                <w:szCs w:val="22"/>
              </w:rPr>
              <w:t xml:space="preserve">The participant should receive at least two HIV Grant funded sessions or service encounters. The period of time between the first session/encounter and the last session/encounter should be </w:t>
            </w:r>
            <w:r w:rsidRPr="00A723E8">
              <w:rPr>
                <w:rFonts w:ascii="Arial" w:hAnsi="Arial" w:cs="Arial"/>
                <w:b/>
                <w:sz w:val="22"/>
                <w:szCs w:val="22"/>
              </w:rPr>
              <w:t>30 days or more</w:t>
            </w:r>
            <w:r w:rsidRPr="00A723E8">
              <w:rPr>
                <w:rFonts w:ascii="Arial" w:hAnsi="Arial" w:cs="Arial"/>
                <w:sz w:val="22"/>
                <w:szCs w:val="22"/>
              </w:rPr>
              <w:t>.</w:t>
            </w:r>
          </w:p>
        </w:tc>
        <w:tc>
          <w:tcPr>
            <w:tcW w:w="2610" w:type="dxa"/>
          </w:tcPr>
          <w:p w:rsidR="006D5AA8" w:rsidRPr="00A723E8" w:rsidRDefault="006D5AA8" w:rsidP="002C06C2">
            <w:pPr>
              <w:pStyle w:val="ListParagraph"/>
              <w:numPr>
                <w:ilvl w:val="0"/>
                <w:numId w:val="1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One: Facts about You</w:t>
            </w:r>
          </w:p>
          <w:p w:rsidR="006D5AA8" w:rsidRPr="00A723E8" w:rsidRDefault="006D5AA8" w:rsidP="002C06C2">
            <w:pPr>
              <w:pStyle w:val="ListParagraph"/>
              <w:numPr>
                <w:ilvl w:val="0"/>
                <w:numId w:val="1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Two: Attitudes &amp; Knowledge</w:t>
            </w:r>
          </w:p>
          <w:p w:rsidR="006D5AA8" w:rsidRPr="00A723E8" w:rsidRDefault="006D5AA8" w:rsidP="002C06C2">
            <w:pPr>
              <w:pStyle w:val="ListParagraph"/>
              <w:numPr>
                <w:ilvl w:val="0"/>
                <w:numId w:val="1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2"/>
                <w:szCs w:val="22"/>
              </w:rPr>
            </w:pPr>
            <w:r w:rsidRPr="00A723E8">
              <w:rPr>
                <w:rFonts w:ascii="Arial" w:hAnsi="Arial" w:cs="Arial"/>
                <w:sz w:val="22"/>
                <w:szCs w:val="22"/>
              </w:rPr>
              <w:t>Section Three: Behavior &amp; Relationships</w:t>
            </w:r>
          </w:p>
        </w:tc>
      </w:tr>
    </w:tbl>
    <w:p w:rsidR="009A31A0" w:rsidRPr="00A723E8" w:rsidRDefault="009A31A0" w:rsidP="009714E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color w:val="000000"/>
        </w:rPr>
      </w:pPr>
    </w:p>
    <w:p w:rsidR="002E0F33" w:rsidRPr="00A723E8" w:rsidRDefault="002E0F33" w:rsidP="002E0F33">
      <w:pPr>
        <w:pStyle w:val="Heading2"/>
        <w:spacing w:before="120" w:line="360" w:lineRule="auto"/>
      </w:pPr>
      <w:r w:rsidRPr="00A723E8">
        <w:t>A3. Use of Information Technology</w:t>
      </w:r>
    </w:p>
    <w:p w:rsidR="0036525E"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It is anticipated that technical infrastructure and data management skills will vary across grantee sites. To maximize data accuracy and reliability, online data entry tools will be designed for the instruments being submitted for clearance. These tools will be made available to grantees through CSAPS’s Prevention Management Reporting and Training System (PMRTS). </w:t>
      </w:r>
    </w:p>
    <w:p w:rsidR="0036525E" w:rsidRDefault="0036525E" w:rsidP="0036525E">
      <w:pPr>
        <w:rPr>
          <w:color w:val="1F497D"/>
        </w:rPr>
      </w:pPr>
    </w:p>
    <w:p w:rsidR="0036525E" w:rsidRPr="0036525E" w:rsidRDefault="0036525E" w:rsidP="0036525E">
      <w:r w:rsidRPr="0036525E">
        <w:t>The PMRTS requires only a web browser and access to the Internet.  Users are able to access the system 24 hours a day, 7 days weeks, aside from scheduled maintenance windows through the use of an encrypted username and password.  Upon logging into a system-assigned account, grantees can</w:t>
      </w:r>
      <w:r>
        <w:t>:</w:t>
      </w:r>
      <w:r w:rsidRPr="0036525E">
        <w:t xml:space="preserve"> enter </w:t>
      </w:r>
      <w:proofErr w:type="spellStart"/>
      <w:r w:rsidRPr="0036525E">
        <w:t>anonymized</w:t>
      </w:r>
      <w:proofErr w:type="spellEnd"/>
      <w:r w:rsidRPr="0036525E">
        <w:t xml:space="preserve"> survey data (e.g., no names or social security numbers are entered into the system)</w:t>
      </w:r>
      <w:r>
        <w:t>;</w:t>
      </w:r>
      <w:r w:rsidRPr="0036525E">
        <w:t xml:space="preserve"> perform a bulk file upload of their survey data</w:t>
      </w:r>
      <w:r>
        <w:t>;</w:t>
      </w:r>
      <w:r w:rsidRPr="0036525E">
        <w:t xml:space="preserve"> and run reports to export their survey data in CSV format.  The system also allows CSAP </w:t>
      </w:r>
      <w:r>
        <w:t>Project O</w:t>
      </w:r>
      <w:r w:rsidRPr="0036525E">
        <w:t xml:space="preserve">fficers to run </w:t>
      </w:r>
      <w:r>
        <w:t>reports about o</w:t>
      </w:r>
      <w:r w:rsidRPr="0036525E">
        <w:t>verall responses</w:t>
      </w:r>
      <w:r>
        <w:t>,</w:t>
      </w:r>
      <w:r w:rsidRPr="0036525E">
        <w:t xml:space="preserve"> and </w:t>
      </w:r>
      <w:r>
        <w:t xml:space="preserve">Coverage Reports that provide </w:t>
      </w:r>
      <w:r w:rsidRPr="0036525E">
        <w:t xml:space="preserve">information </w:t>
      </w:r>
      <w:r>
        <w:t>about</w:t>
      </w:r>
      <w:r w:rsidRPr="0036525E">
        <w:t xml:space="preserve"> which grantees have submitted data</w:t>
      </w:r>
      <w:r>
        <w:t xml:space="preserve"> into the PMRTS</w:t>
      </w:r>
      <w:r w:rsidRPr="0036525E">
        <w:t xml:space="preserve">.  </w:t>
      </w:r>
    </w:p>
    <w:p w:rsidR="0036525E" w:rsidRDefault="0036525E" w:rsidP="0036525E">
      <w:pPr>
        <w:rPr>
          <w:color w:val="1F497D"/>
        </w:rPr>
      </w:pP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The tools</w:t>
      </w:r>
      <w:r w:rsidR="0036525E">
        <w:t xml:space="preserve"> in the PMRTS</w:t>
      </w:r>
      <w:r w:rsidRPr="00A723E8">
        <w:t xml:space="preserve"> have been designed to reflect the structure of the instruments, and to allow the entry of data from completed survey forms directly into the system through the use of radio buttons corresponding to response options. The system will automatically quantify the selected response options and store the numeric codes in a SQL server for subsequent extraction, cleaning, and analysis.</w:t>
      </w: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lastRenderedPageBreak/>
        <w:t xml:space="preserve">The PMRTS is maintained by CSAP’s </w:t>
      </w:r>
      <w:r w:rsidR="001375E8">
        <w:t>Data Collection, Analyses, and Reporting Contract (</w:t>
      </w:r>
      <w:r w:rsidR="0036525E">
        <w:t>DCAR</w:t>
      </w:r>
      <w:r w:rsidR="001375E8">
        <w:t>)</w:t>
      </w:r>
      <w:r w:rsidRPr="00A723E8">
        <w:t xml:space="preserve">. The data entered online by grantees are periodically extracted) for cleaning, record linkage, and analysis. Grantees have two options for accessing the data they entered online. In the first option, grantees can download the raw data they have entered online (as soon as it is submitted) in spreadsheet form. They can also access their data from the cleaned analysis files posted on PMRTS under password protection. In the second option, grantees can upload complete data files to the PMRTS. For this option, grantees are required to use a standard codebook while preparing the data, thus ensuring that uploaded data files have the same numeric coding and variable naming conventions as the data entered using the online tools. </w:t>
      </w: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These online data entry tools reduce the grantees’ burden by facilitating the data entry process and minimizing coding and variable naming errors. They also allow grantees without access to data management/analysis software to accurately quantify the information in completed survey forms. The </w:t>
      </w:r>
      <w:r w:rsidR="0036525E">
        <w:t>DCAR</w:t>
      </w:r>
      <w:r w:rsidR="0036525E" w:rsidRPr="00A723E8">
        <w:t xml:space="preserve"> </w:t>
      </w:r>
      <w:r w:rsidRPr="00A723E8">
        <w:t>will then conduct cross-site analyses to determine outcomes for the program as a whole.</w:t>
      </w:r>
    </w:p>
    <w:p w:rsidR="00F375EF" w:rsidRPr="00A723E8" w:rsidRDefault="00F375EF"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477B" w:rsidRDefault="00F375EF" w:rsidP="006847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The electronic multi-site data collection process will increase the efficiency and practical utility of the assessment of these programs. The CSAP multi-site questionnaires have been developed and used by grantees in previous HIV cohort programs and have been demonstrated to work efficiently and effectively. Based on the feedback of the HIV pilot, the questionnaires and procedures for electronic transmission of data files have been improved to increase efficiency and minimize burden on both training participants and grantee staff.</w:t>
      </w:r>
      <w:r w:rsidR="00EF7696">
        <w:t xml:space="preserve"> </w:t>
      </w:r>
      <w:r w:rsidR="0068477B">
        <w:t>Additionally, all MAI grantee’s proposals were reviewed for assurances of participant protections by an independent peer review committee, and any identified issues about inadequacies were resolved prior to funding</w:t>
      </w:r>
    </w:p>
    <w:p w:rsidR="0068477B" w:rsidRDefault="0068477B" w:rsidP="00F375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0F33" w:rsidRPr="00A723E8" w:rsidRDefault="002E0F33" w:rsidP="002E0F33">
      <w:pPr>
        <w:pStyle w:val="Heading2"/>
        <w:spacing w:before="120" w:line="360" w:lineRule="auto"/>
      </w:pPr>
      <w:r w:rsidRPr="00A723E8">
        <w:t>A4. Efforts to Identify Duplication</w:t>
      </w:r>
    </w:p>
    <w:p w:rsidR="003E3792" w:rsidRPr="00A723E8" w:rsidRDefault="003E3792"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CSAP conduct</w:t>
      </w:r>
      <w:r w:rsidR="00A534FC" w:rsidRPr="00A723E8">
        <w:t>ed</w:t>
      </w:r>
      <w:r w:rsidRPr="00A723E8">
        <w:t xml:space="preserve"> an</w:t>
      </w:r>
      <w:r w:rsidR="004520ED" w:rsidRPr="00A723E8">
        <w:t xml:space="preserve"> extensive literature s</w:t>
      </w:r>
      <w:r w:rsidRPr="00A723E8">
        <w:t>earch, consult</w:t>
      </w:r>
      <w:r w:rsidR="009A31A0" w:rsidRPr="00A723E8">
        <w:t>ed</w:t>
      </w:r>
      <w:r w:rsidRPr="00A723E8">
        <w:t xml:space="preserve"> with </w:t>
      </w:r>
      <w:r w:rsidR="00E4351D" w:rsidRPr="00A723E8">
        <w:t>staff in Federal agencies and organizations that work</w:t>
      </w:r>
      <w:r w:rsidR="004520ED" w:rsidRPr="00A723E8">
        <w:t xml:space="preserve"> with </w:t>
      </w:r>
      <w:r w:rsidR="00F44E8E">
        <w:t>substance use</w:t>
      </w:r>
      <w:r w:rsidR="004520ED" w:rsidRPr="00A723E8">
        <w:t xml:space="preserve"> and HIV/AIDS prevention programs, and discuss</w:t>
      </w:r>
      <w:r w:rsidR="009A31A0" w:rsidRPr="00A723E8">
        <w:t>ed</w:t>
      </w:r>
      <w:r w:rsidRPr="00A723E8">
        <w:t xml:space="preserve"> the proposed pr</w:t>
      </w:r>
      <w:r w:rsidR="00C60403" w:rsidRPr="00A723E8">
        <w:t>o</w:t>
      </w:r>
      <w:r w:rsidRPr="00A723E8">
        <w:t>gram</w:t>
      </w:r>
      <w:r w:rsidR="004520ED" w:rsidRPr="00A723E8">
        <w:t xml:space="preserve"> with substance abuse prevention experts</w:t>
      </w:r>
      <w:r w:rsidR="009A31A0" w:rsidRPr="00A723E8">
        <w:t>. S</w:t>
      </w:r>
      <w:r w:rsidRPr="00A723E8">
        <w:t>pec</w:t>
      </w:r>
      <w:r w:rsidR="004B4148" w:rsidRPr="00A723E8">
        <w:t>i</w:t>
      </w:r>
      <w:r w:rsidRPr="00A723E8">
        <w:t>fically</w:t>
      </w:r>
      <w:r w:rsidR="009A31A0" w:rsidRPr="00A723E8">
        <w:t>, CSAP</w:t>
      </w:r>
      <w:r w:rsidRPr="00A723E8">
        <w:t>:</w:t>
      </w:r>
    </w:p>
    <w:p w:rsidR="003E3792" w:rsidRPr="00A723E8" w:rsidRDefault="003E3792" w:rsidP="009A31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520ED" w:rsidRPr="00A723E8" w:rsidRDefault="009A31A0" w:rsidP="002C06C2">
      <w:pPr>
        <w:numPr>
          <w:ilvl w:val="0"/>
          <w:numId w:val="11"/>
        </w:numPr>
      </w:pPr>
      <w:r w:rsidRPr="00A723E8">
        <w:t>C</w:t>
      </w:r>
      <w:r w:rsidR="003E3792" w:rsidRPr="00A723E8">
        <w:t>onducted a</w:t>
      </w:r>
      <w:r w:rsidR="004520ED" w:rsidRPr="00A723E8">
        <w:t xml:space="preserve"> comprehensive literature search</w:t>
      </w:r>
      <w:r w:rsidR="003E3792" w:rsidRPr="00A723E8">
        <w:t xml:space="preserve"> </w:t>
      </w:r>
      <w:r w:rsidR="00FD24B3" w:rsidRPr="00A723E8">
        <w:t xml:space="preserve">of completed and ongoing studies of </w:t>
      </w:r>
      <w:r w:rsidR="002E6BC6">
        <w:t>substance use</w:t>
      </w:r>
      <w:r w:rsidR="00FD24B3" w:rsidRPr="00A723E8">
        <w:t xml:space="preserve"> and HIV/AIDS prevention programs targeting youth and adults </w:t>
      </w:r>
      <w:r w:rsidRPr="00A723E8">
        <w:t>and</w:t>
      </w:r>
      <w:r w:rsidR="0019033B" w:rsidRPr="00A723E8">
        <w:t xml:space="preserve"> found insignificant duplication</w:t>
      </w:r>
      <w:r w:rsidRPr="00A723E8">
        <w:t xml:space="preserve"> with this cross-site study</w:t>
      </w:r>
      <w:r w:rsidR="00FF13F3" w:rsidRPr="00A723E8">
        <w:t>.</w:t>
      </w:r>
      <w:r w:rsidR="00FD24B3" w:rsidRPr="00A723E8">
        <w:t xml:space="preserve"> </w:t>
      </w:r>
      <w:r w:rsidR="00F13C3C" w:rsidRPr="00A723E8">
        <w:t>All</w:t>
      </w:r>
      <w:r w:rsidR="00FD24B3" w:rsidRPr="00A723E8">
        <w:t xml:space="preserve"> studies were examined closely to take advantage of applicable methods and to identify any methodological problems that might detract from the validity, </w:t>
      </w:r>
      <w:proofErr w:type="spellStart"/>
      <w:r w:rsidR="00FD24B3" w:rsidRPr="00A723E8">
        <w:t>generalizability</w:t>
      </w:r>
      <w:proofErr w:type="spellEnd"/>
      <w:r w:rsidR="00FD24B3" w:rsidRPr="00A723E8">
        <w:t>, or application of results</w:t>
      </w:r>
      <w:r w:rsidR="0019033B" w:rsidRPr="00A723E8">
        <w:t>.</w:t>
      </w:r>
    </w:p>
    <w:p w:rsidR="004520ED" w:rsidRPr="00A723E8" w:rsidRDefault="00F13C3C" w:rsidP="002C06C2">
      <w:pPr>
        <w:numPr>
          <w:ilvl w:val="0"/>
          <w:numId w:val="11"/>
        </w:numPr>
      </w:pPr>
      <w:r w:rsidRPr="00A723E8">
        <w:t>C</w:t>
      </w:r>
      <w:r w:rsidR="003E3792" w:rsidRPr="00A723E8">
        <w:t>onsulted with s</w:t>
      </w:r>
      <w:r w:rsidR="004520ED" w:rsidRPr="00A723E8">
        <w:t>taff in CSAT, CDC</w:t>
      </w:r>
      <w:r w:rsidR="00803E7A" w:rsidRPr="00A723E8">
        <w:t>, NIAID</w:t>
      </w:r>
      <w:r w:rsidR="00080CF5" w:rsidRPr="00A723E8">
        <w:t xml:space="preserve">, </w:t>
      </w:r>
      <w:r w:rsidR="004520ED" w:rsidRPr="00A723E8">
        <w:t xml:space="preserve">NIDA, ACF, OJJDP, HUD, </w:t>
      </w:r>
      <w:r w:rsidR="0019033B" w:rsidRPr="00A723E8">
        <w:t>DOE and DOJ</w:t>
      </w:r>
      <w:r w:rsidR="003E3792" w:rsidRPr="00A723E8">
        <w:t>.</w:t>
      </w:r>
      <w:r w:rsidR="004520ED" w:rsidRPr="00A723E8">
        <w:t xml:space="preserve"> None of these Federal organizations has conducted a cross-site outcome evaluation of prevention and early intervention programs targeting minority youth and minority </w:t>
      </w:r>
      <w:r w:rsidR="006A6ADC" w:rsidRPr="00A723E8">
        <w:t>re-entry</w:t>
      </w:r>
      <w:r w:rsidR="004520ED" w:rsidRPr="00A723E8">
        <w:t xml:space="preserve"> youth residing in communities of color that is similar to the one being proposed for this study.</w:t>
      </w:r>
    </w:p>
    <w:p w:rsidR="004520ED" w:rsidRPr="00A723E8" w:rsidRDefault="00F13C3C" w:rsidP="002C06C2">
      <w:pPr>
        <w:numPr>
          <w:ilvl w:val="0"/>
          <w:numId w:val="11"/>
        </w:numPr>
      </w:pPr>
      <w:r w:rsidRPr="00A723E8">
        <w:lastRenderedPageBreak/>
        <w:t>S</w:t>
      </w:r>
      <w:r w:rsidR="003E3792" w:rsidRPr="00A723E8">
        <w:t>taff attended n</w:t>
      </w:r>
      <w:r w:rsidR="004520ED" w:rsidRPr="00A723E8">
        <w:t xml:space="preserve">ational meetings </w:t>
      </w:r>
      <w:r w:rsidR="003E3792" w:rsidRPr="00A723E8">
        <w:t xml:space="preserve">at which </w:t>
      </w:r>
      <w:r w:rsidR="004520ED" w:rsidRPr="00A723E8">
        <w:t xml:space="preserve">completed, ongoing, or contemplated evaluations </w:t>
      </w:r>
      <w:r w:rsidR="003E3792" w:rsidRPr="00A723E8">
        <w:t>were</w:t>
      </w:r>
      <w:r w:rsidR="004520ED" w:rsidRPr="00A723E8">
        <w:t xml:space="preserve"> discussed </w:t>
      </w:r>
      <w:r w:rsidR="003E3792" w:rsidRPr="00A723E8">
        <w:t>and found</w:t>
      </w:r>
      <w:r w:rsidR="004520ED" w:rsidRPr="00A723E8">
        <w:t xml:space="preserve"> insignificant duplication with the proposed study.</w:t>
      </w:r>
    </w:p>
    <w:p w:rsidR="004520ED" w:rsidRPr="00A723E8" w:rsidRDefault="004520ED" w:rsidP="00452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B120D" w:rsidRDefault="008C1B61"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In summary, CSAP did not</w:t>
      </w:r>
      <w:r w:rsidR="004520ED" w:rsidRPr="00A723E8">
        <w:t xml:space="preserve"> identify </w:t>
      </w:r>
      <w:r w:rsidRPr="00A723E8">
        <w:t xml:space="preserve">any </w:t>
      </w:r>
      <w:r w:rsidR="004520ED" w:rsidRPr="00A723E8">
        <w:t xml:space="preserve">redundancy </w:t>
      </w:r>
      <w:r w:rsidR="00C60403" w:rsidRPr="00A723E8">
        <w:t>in that there were</w:t>
      </w:r>
      <w:r w:rsidR="004520ED" w:rsidRPr="00A723E8">
        <w:t xml:space="preserve"> no precedents for </w:t>
      </w:r>
      <w:r w:rsidR="00803E7A" w:rsidRPr="00A723E8">
        <w:t>a cross</w:t>
      </w:r>
      <w:r w:rsidR="004520ED" w:rsidRPr="00A723E8">
        <w:t xml:space="preserve">-site study of projects </w:t>
      </w:r>
      <w:r w:rsidR="000E24E4" w:rsidRPr="00A723E8">
        <w:t>similar to</w:t>
      </w:r>
      <w:r w:rsidR="004520ED" w:rsidRPr="00A723E8">
        <w:t xml:space="preserve"> the one being proposed</w:t>
      </w:r>
      <w:r w:rsidR="00C53DEE" w:rsidRPr="00A723E8">
        <w:t xml:space="preserve">. </w:t>
      </w:r>
      <w:r w:rsidR="0019033B" w:rsidRPr="00A723E8">
        <w:t>Others suffered</w:t>
      </w:r>
      <w:r w:rsidR="004520ED" w:rsidRPr="00A723E8">
        <w:t xml:space="preserve"> severe methodological problems such as low sample sizes, lack of dosage monitoring, and/or lack of published/reliable/valid measures and scales that make it unlikely </w:t>
      </w:r>
      <w:r w:rsidR="00F13C3C" w:rsidRPr="00A723E8">
        <w:t>that</w:t>
      </w:r>
      <w:r w:rsidR="004520ED" w:rsidRPr="00A723E8">
        <w:t xml:space="preserve"> current information </w:t>
      </w:r>
      <w:r w:rsidR="00F13C3C" w:rsidRPr="00A723E8">
        <w:t>will</w:t>
      </w:r>
      <w:r w:rsidR="004520ED" w:rsidRPr="00A723E8">
        <w:t xml:space="preserve"> be published or released among the scientific community or in respected journals, government publications, etc. </w:t>
      </w:r>
      <w:r w:rsidRPr="00A723E8">
        <w:t>Thus, it is clear that t</w:t>
      </w:r>
      <w:r w:rsidR="006B120D" w:rsidRPr="00A723E8">
        <w:t xml:space="preserve">he data to be collected </w:t>
      </w:r>
      <w:r w:rsidR="00E9760E" w:rsidRPr="00A723E8">
        <w:t>will be</w:t>
      </w:r>
      <w:r w:rsidR="006B120D" w:rsidRPr="00A723E8">
        <w:t xml:space="preserve"> unique to the CSAP </w:t>
      </w:r>
      <w:r w:rsidRPr="00A723E8">
        <w:t>MAI</w:t>
      </w:r>
      <w:r w:rsidR="006B120D" w:rsidRPr="00A723E8">
        <w:t xml:space="preserve"> programs, collected only for the CSAP programs, and not available elsewhere. The data collected through the multi-site effort will be non-duplicative, minimize burden on respondents, and be of use to both CSAP and the communities of color.</w:t>
      </w:r>
    </w:p>
    <w:p w:rsidR="00F44E8E" w:rsidRPr="00A723E8" w:rsidRDefault="00F44E8E"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0F33" w:rsidRPr="00A723E8" w:rsidRDefault="002E0F33" w:rsidP="002E0F33">
      <w:pPr>
        <w:pStyle w:val="Heading2"/>
        <w:spacing w:before="120" w:line="360" w:lineRule="auto"/>
      </w:pPr>
      <w:r w:rsidRPr="00A723E8">
        <w:t>A5. Involvement of Small Entities</w:t>
      </w:r>
    </w:p>
    <w:p w:rsidR="00FF1705" w:rsidRPr="00A723E8" w:rsidRDefault="00FF1705"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This </w:t>
      </w:r>
      <w:r w:rsidR="00962E70" w:rsidRPr="00A723E8">
        <w:t xml:space="preserve">data collection </w:t>
      </w:r>
      <w:r w:rsidRPr="00A723E8">
        <w:t>will have no significant impact on small entities.</w:t>
      </w:r>
    </w:p>
    <w:p w:rsidR="00FF1705" w:rsidRPr="00A723E8" w:rsidRDefault="00FF17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2E0F33" w:rsidRPr="00A723E8" w:rsidRDefault="002E0F33" w:rsidP="002E0F33">
      <w:pPr>
        <w:pStyle w:val="Heading2"/>
        <w:spacing w:before="120" w:line="360" w:lineRule="auto"/>
      </w:pPr>
      <w:r w:rsidRPr="00A723E8">
        <w:t>A6. Consequences If Information Collected Less Frequently</w:t>
      </w:r>
    </w:p>
    <w:p w:rsidR="007D30AA" w:rsidRDefault="00FF1705" w:rsidP="007D30AA">
      <w:pPr>
        <w:rPr>
          <w:rFonts w:cstheme="minorHAnsi"/>
          <w:sz w:val="20"/>
          <w:szCs w:val="20"/>
        </w:rPr>
      </w:pPr>
      <w:r w:rsidRPr="00A723E8">
        <w:t xml:space="preserve">The data will be collected </w:t>
      </w:r>
      <w:r w:rsidR="003F78F4" w:rsidRPr="00A723E8">
        <w:t xml:space="preserve">from participants </w:t>
      </w:r>
      <w:r w:rsidR="003A0F6C" w:rsidRPr="00A723E8">
        <w:t xml:space="preserve">in interventions lasting 30 days or longer </w:t>
      </w:r>
      <w:r w:rsidR="00322B45" w:rsidRPr="00A723E8">
        <w:t>at three points in time</w:t>
      </w:r>
      <w:r w:rsidR="00E9760E" w:rsidRPr="00A723E8">
        <w:t xml:space="preserve">: baseline (program entry), program exit and </w:t>
      </w:r>
      <w:r w:rsidR="001B1801" w:rsidRPr="00A723E8">
        <w:t xml:space="preserve">three to </w:t>
      </w:r>
      <w:r w:rsidR="00E9760E" w:rsidRPr="00A723E8">
        <w:t>six months post-exit</w:t>
      </w:r>
      <w:r w:rsidR="00AB5FB2" w:rsidRPr="00A723E8">
        <w:t>, two time points (baseline and exit) for interventions lasting between 2 and 29 days and one time point (exit only) for single session (one day) interventions.</w:t>
      </w:r>
      <w:r w:rsidRPr="00A723E8">
        <w:t xml:space="preserve"> Fail</w:t>
      </w:r>
      <w:r w:rsidR="00F13C3C" w:rsidRPr="00A723E8">
        <w:t>ure</w:t>
      </w:r>
      <w:r w:rsidRPr="00A723E8">
        <w:t xml:space="preserve"> to collect the information from all participants </w:t>
      </w:r>
      <w:r w:rsidR="00EE2ACE" w:rsidRPr="00A723E8">
        <w:t xml:space="preserve">at </w:t>
      </w:r>
      <w:r w:rsidR="00F13C3C" w:rsidRPr="00A723E8">
        <w:t xml:space="preserve">all </w:t>
      </w:r>
      <w:r w:rsidR="00EE2ACE" w:rsidRPr="00A723E8">
        <w:t xml:space="preserve">three points in time </w:t>
      </w:r>
      <w:r w:rsidRPr="00A723E8">
        <w:t>will result in missed</w:t>
      </w:r>
      <w:r w:rsidR="003F78F4" w:rsidRPr="00A723E8">
        <w:t xml:space="preserve"> </w:t>
      </w:r>
      <w:r w:rsidR="00DE3C03" w:rsidRPr="00A723E8">
        <w:t xml:space="preserve">opportunities </w:t>
      </w:r>
      <w:r w:rsidR="00322B45" w:rsidRPr="00A723E8">
        <w:t xml:space="preserve">and lessons </w:t>
      </w:r>
      <w:r w:rsidR="00803E7A" w:rsidRPr="00A723E8">
        <w:t>learned on</w:t>
      </w:r>
      <w:r w:rsidR="00EE2ACE" w:rsidRPr="00A723E8">
        <w:t xml:space="preserve"> how to </w:t>
      </w:r>
      <w:r w:rsidRPr="00A723E8">
        <w:t>provide a quality improvement mechanism for C</w:t>
      </w:r>
      <w:r w:rsidR="00322B45" w:rsidRPr="00A723E8">
        <w:t>SAP</w:t>
      </w:r>
      <w:r w:rsidRPr="00A723E8">
        <w:t xml:space="preserve"> to continually monitor and refine its </w:t>
      </w:r>
      <w:r w:rsidR="00DE3C03" w:rsidRPr="00A723E8">
        <w:t xml:space="preserve">prevention </w:t>
      </w:r>
      <w:r w:rsidR="00322B45" w:rsidRPr="00A723E8">
        <w:t>programs</w:t>
      </w:r>
      <w:r w:rsidRPr="00A723E8">
        <w:t xml:space="preserve"> to ensure they meet the needs of </w:t>
      </w:r>
      <w:r w:rsidR="00322B45" w:rsidRPr="00A723E8">
        <w:t>minority popu</w:t>
      </w:r>
      <w:r w:rsidR="00DE3C03" w:rsidRPr="00A723E8">
        <w:t>lations</w:t>
      </w:r>
      <w:r w:rsidR="00322B45" w:rsidRPr="00A723E8">
        <w:t xml:space="preserve"> </w:t>
      </w:r>
      <w:r w:rsidR="00DE3C03" w:rsidRPr="00A723E8">
        <w:t xml:space="preserve">and minority re entry populations </w:t>
      </w:r>
      <w:r w:rsidR="00322B45" w:rsidRPr="00A723E8">
        <w:t>at risk f</w:t>
      </w:r>
      <w:r w:rsidR="00DE3C03" w:rsidRPr="00A723E8">
        <w:t>or</w:t>
      </w:r>
      <w:r w:rsidR="00322B45" w:rsidRPr="00A723E8">
        <w:t xml:space="preserve"> SA/HIV/AIDS </w:t>
      </w:r>
      <w:r w:rsidR="00DE3C03" w:rsidRPr="00A723E8">
        <w:t>r</w:t>
      </w:r>
      <w:r w:rsidR="00322B45" w:rsidRPr="00A723E8">
        <w:t>es</w:t>
      </w:r>
      <w:r w:rsidR="00DE3C03" w:rsidRPr="00A723E8">
        <w:t>i</w:t>
      </w:r>
      <w:r w:rsidR="00322B45" w:rsidRPr="00A723E8">
        <w:t>ding in communities of color.</w:t>
      </w:r>
      <w:r w:rsidRPr="00A723E8">
        <w:t xml:space="preserve"> </w:t>
      </w:r>
      <w:r w:rsidR="00F13C3C" w:rsidRPr="00A723E8">
        <w:t>Data collected at all three points in time is essential</w:t>
      </w:r>
      <w:r w:rsidR="003A0F6C" w:rsidRPr="00A723E8">
        <w:t xml:space="preserve"> for 30-day or longer interventions</w:t>
      </w:r>
      <w:r w:rsidR="00F13C3C" w:rsidRPr="00A723E8">
        <w:t>, as it</w:t>
      </w:r>
      <w:r w:rsidR="001A1ECA" w:rsidRPr="00A723E8">
        <w:t xml:space="preserve"> will also demonstrate whether sustainable results can be achieved over time after the program has </w:t>
      </w:r>
      <w:r w:rsidR="001A1ECA" w:rsidRPr="00280C76">
        <w:t>ended</w:t>
      </w:r>
      <w:r w:rsidR="00F13C3C" w:rsidRPr="00280C76">
        <w:t>,</w:t>
      </w:r>
      <w:r w:rsidR="001A1ECA" w:rsidRPr="00280C76">
        <w:t xml:space="preserve"> and if so, for which types of interventions and populations.</w:t>
      </w:r>
      <w:r w:rsidR="00A10762" w:rsidRPr="00280C76">
        <w:t xml:space="preserve">  </w:t>
      </w:r>
      <w:r w:rsidR="007D30AA" w:rsidRPr="00280C76">
        <w:t>Since this information is all based on self</w:t>
      </w:r>
      <w:r w:rsidR="007D30AA">
        <w:t>-</w:t>
      </w:r>
      <w:r w:rsidR="007D30AA" w:rsidRPr="00280C76">
        <w:t>reporting, response accuracy will be assessed by employing</w:t>
      </w:r>
      <w:r w:rsidR="007D30AA" w:rsidRPr="00280C76">
        <w:rPr>
          <w:rFonts w:cstheme="minorHAnsi"/>
        </w:rPr>
        <w:t xml:space="preserve"> internal consistency and validity checks embedded in the questionnaires. Likewise, SAMSHA recognizes that response rates will decline overtime when data are collected over an extended period of time</w:t>
      </w:r>
      <w:r w:rsidR="007D30AA">
        <w:rPr>
          <w:rFonts w:cstheme="minorHAnsi"/>
        </w:rPr>
        <w:t>.</w:t>
      </w:r>
    </w:p>
    <w:p w:rsidR="007D30AA" w:rsidRDefault="007D30AA" w:rsidP="00F80F9D">
      <w:pPr>
        <w:rPr>
          <w:rFonts w:cstheme="minorHAnsi"/>
          <w:sz w:val="20"/>
          <w:szCs w:val="20"/>
        </w:rPr>
      </w:pPr>
    </w:p>
    <w:p w:rsidR="007D30AA" w:rsidRPr="00A723E8" w:rsidRDefault="007D30AA" w:rsidP="007D30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Without this information:</w:t>
      </w:r>
    </w:p>
    <w:p w:rsidR="007D30AA" w:rsidRPr="00A723E8" w:rsidRDefault="007D30AA" w:rsidP="007D30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nnotationt"/>
          <w:color w:val="000000"/>
        </w:rPr>
      </w:pPr>
    </w:p>
    <w:p w:rsidR="007D30AA" w:rsidRPr="00A723E8" w:rsidRDefault="007D30AA" w:rsidP="007D30AA">
      <w:pPr>
        <w:numPr>
          <w:ilvl w:val="0"/>
          <w:numId w:val="11"/>
        </w:numPr>
      </w:pPr>
      <w:r w:rsidRPr="00A723E8">
        <w:t>CSAP will not be able to determine the extent to which it can prevent, reduce, and/or delay substance abuse and, in turn, reduce other risky behaviors that can lead to HIV/AIDS infection among minority populations and minority re-entry populations residing in communities of color.</w:t>
      </w:r>
    </w:p>
    <w:p w:rsidR="007D30AA" w:rsidRPr="00A723E8" w:rsidRDefault="007D30AA" w:rsidP="007D30AA">
      <w:pPr>
        <w:numPr>
          <w:ilvl w:val="0"/>
          <w:numId w:val="11"/>
        </w:numPr>
      </w:pPr>
      <w:r w:rsidRPr="00A723E8">
        <w:t>CSAP will not be able to monitor the quality of its prevention programs and determine how they can be improved to ensure continued success at meeting the needs of minority populations at risk for HIV/AIDS.</w:t>
      </w:r>
    </w:p>
    <w:p w:rsidR="007D30AA" w:rsidRPr="00A723E8" w:rsidRDefault="007D30AA" w:rsidP="007D30AA">
      <w:pPr>
        <w:numPr>
          <w:ilvl w:val="0"/>
          <w:numId w:val="11"/>
        </w:numPr>
      </w:pPr>
      <w:r w:rsidRPr="00A723E8">
        <w:lastRenderedPageBreak/>
        <w:t>CSAP will not be able to describe fully the range of prevention services used and the efficacy of evidence-based programs.</w:t>
      </w:r>
    </w:p>
    <w:p w:rsidR="007D30AA" w:rsidRPr="00A723E8" w:rsidRDefault="007D30AA" w:rsidP="007D30AA">
      <w:pPr>
        <w:numPr>
          <w:ilvl w:val="0"/>
          <w:numId w:val="11"/>
        </w:numPr>
      </w:pPr>
      <w:r w:rsidRPr="00A723E8">
        <w:t>CSAP will not be able to ascertain if participants are more knowledgeable about HIV/AIDS and how they relate to SA as a result of program participation.</w:t>
      </w:r>
    </w:p>
    <w:p w:rsidR="007D30AA" w:rsidRPr="00A723E8" w:rsidRDefault="007D30AA" w:rsidP="007D30AA">
      <w:pPr>
        <w:numPr>
          <w:ilvl w:val="0"/>
          <w:numId w:val="11"/>
        </w:numPr>
      </w:pPr>
      <w:r w:rsidRPr="00A723E8">
        <w:t xml:space="preserve">CSAP will not be able to identify those prevention services that are most effective and identify the potentially unique needs of minority populations residing in the community and minority re-entry populations. </w:t>
      </w:r>
    </w:p>
    <w:p w:rsidR="007D30AA" w:rsidRPr="00A723E8" w:rsidRDefault="007D30AA" w:rsidP="007D30AA">
      <w:pPr>
        <w:numPr>
          <w:ilvl w:val="0"/>
          <w:numId w:val="11"/>
        </w:numPr>
      </w:pPr>
      <w:r w:rsidRPr="00A723E8">
        <w:t>CSAP will not be able to meet its Federal reporting requirements to DHHS, OMB, and Congress.</w:t>
      </w:r>
    </w:p>
    <w:p w:rsidR="007D30AA" w:rsidRDefault="007D30AA" w:rsidP="00F80F9D">
      <w:pPr>
        <w:rPr>
          <w:rFonts w:cstheme="minorHAnsi"/>
          <w:sz w:val="20"/>
          <w:szCs w:val="20"/>
        </w:rPr>
      </w:pPr>
    </w:p>
    <w:p w:rsidR="007D30AA" w:rsidRDefault="007D30AA" w:rsidP="007D30AA">
      <w:r>
        <w:t xml:space="preserve">Several measures are in place to ensure that grantees do not falsify responses or selectively choose respondents.  As part of its grant application process SAMHSA/CSAP requires grantees to describe the methods by which data will be collected, how data collection forms will be administered and by whom.  These proposals are reviewed and any identified issues about inadequacies are resolved prior to funding.  After funding, grantees must submit their data using CSAP’s Prevention Management Reporting and Training System (PMRTS).  The PMRTS conducts internal consistency and validity checks on the data entered into the system to ensure the accuracy of the data submitted, and CSAP project officers (PO’s) monitor the data submitted by grantees periodically to check for accuracy. Additionally, all MAI grantees are required to collect and report data from all intervention participants, a census is required not a sample of participants.  Thus, grantees cannot selectively choose </w:t>
      </w:r>
      <w:r w:rsidR="00CD3B6D">
        <w:t>respondents;</w:t>
      </w:r>
      <w:r>
        <w:t xml:space="preserve"> they must gather data from all respondents. </w:t>
      </w:r>
    </w:p>
    <w:p w:rsidR="00CD3B6D" w:rsidRDefault="00CD3B6D" w:rsidP="007D30AA"/>
    <w:p w:rsidR="00CD3B6D" w:rsidRDefault="00CD3B6D" w:rsidP="00CD3B6D">
      <w:pPr>
        <w:rPr>
          <w:rStyle w:val="WP9BodyText"/>
        </w:rPr>
      </w:pPr>
      <w:r>
        <w:t>Additionally, to determine if there is a</w:t>
      </w:r>
      <w:r w:rsidRPr="00CD3B6D">
        <w:rPr>
          <w:rFonts w:cstheme="minorHAnsi"/>
        </w:rPr>
        <w:t xml:space="preserve"> </w:t>
      </w:r>
      <w:r w:rsidRPr="00280C76">
        <w:rPr>
          <w:rFonts w:cstheme="minorHAnsi"/>
        </w:rPr>
        <w:t>non-response bias, data from respondents will be compared with available data on non-respondents. In addition, a</w:t>
      </w:r>
      <w:r w:rsidRPr="00280C76">
        <w:rPr>
          <w:rStyle w:val="WP9BodyText"/>
        </w:rPr>
        <w:t xml:space="preserve"> two-step analysis strategy will be used to control for attrition bias. First, baseline characteristics of all participants will be compared with baseline</w:t>
      </w:r>
      <w:r w:rsidRPr="00A723E8">
        <w:rPr>
          <w:rStyle w:val="WP9BodyText"/>
        </w:rPr>
        <w:t xml:space="preserve"> characteristics of participants who completed the programs. These two sets of data records will be compared with respect to baseline values of demographic characteristics, incarceration/reentry status, levels of risk and protection, and levels of substance use. Second, baseline factors found to differ significantly between the two sets of records will be included in all of the models and only model estimates net of these factors will be reported in the final evaluation results. This approach minimizes selectivity biases due to program attrition in reported program effects.</w:t>
      </w:r>
    </w:p>
    <w:p w:rsidR="007D30AA" w:rsidRDefault="007D30AA"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0F33" w:rsidRPr="00A723E8" w:rsidRDefault="002E0F33" w:rsidP="002E0F33">
      <w:pPr>
        <w:pStyle w:val="Heading2"/>
        <w:spacing w:before="120" w:line="360" w:lineRule="auto"/>
      </w:pPr>
      <w:r w:rsidRPr="00A723E8">
        <w:t xml:space="preserve">A7.  Consistency </w:t>
      </w:r>
      <w:proofErr w:type="gramStart"/>
      <w:r w:rsidRPr="00A723E8">
        <w:t>With</w:t>
      </w:r>
      <w:proofErr w:type="gramEnd"/>
      <w:r w:rsidRPr="00A723E8">
        <w:t xml:space="preserve"> Guidelines in 5 </w:t>
      </w:r>
      <w:smartTag w:uri="urn:schemas-microsoft-com:office:smarttags" w:element="stockticker">
        <w:r w:rsidRPr="00A723E8">
          <w:t>CFR</w:t>
        </w:r>
      </w:smartTag>
      <w:r w:rsidRPr="00A723E8">
        <w:t xml:space="preserve"> 1320.5(d) (2)</w:t>
      </w:r>
    </w:p>
    <w:p w:rsidR="00C60403" w:rsidRPr="00A723E8"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This information collection fully complies with 5 CFR 1320.5(d</w:t>
      </w:r>
      <w:r w:rsidR="00C427F5" w:rsidRPr="00A723E8">
        <w:t>) (</w:t>
      </w:r>
      <w:r w:rsidRPr="00A723E8">
        <w:t>2).</w:t>
      </w:r>
    </w:p>
    <w:p w:rsidR="001401C6" w:rsidRPr="00A723E8" w:rsidRDefault="001401C6" w:rsidP="001401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color w:val="FF0000"/>
        </w:rPr>
      </w:pPr>
    </w:p>
    <w:p w:rsidR="002E0F33" w:rsidRPr="00A723E8" w:rsidRDefault="002E0F33" w:rsidP="002E0F33">
      <w:pPr>
        <w:pStyle w:val="Heading2"/>
        <w:spacing w:before="120" w:line="360" w:lineRule="auto"/>
      </w:pPr>
      <w:r w:rsidRPr="00A723E8">
        <w:lastRenderedPageBreak/>
        <w:t xml:space="preserve">A8.  Consultation </w:t>
      </w:r>
      <w:proofErr w:type="gramStart"/>
      <w:r w:rsidRPr="00A723E8">
        <w:t>Outside</w:t>
      </w:r>
      <w:proofErr w:type="gramEnd"/>
      <w:r w:rsidRPr="00A723E8">
        <w:t xml:space="preserve"> the Agency</w:t>
      </w:r>
    </w:p>
    <w:p w:rsidR="002E0F33" w:rsidRPr="00A723E8" w:rsidRDefault="002E0F33" w:rsidP="002E0F33">
      <w:pPr>
        <w:pStyle w:val="Heading3"/>
        <w:spacing w:before="120" w:line="360" w:lineRule="auto"/>
      </w:pPr>
      <w:r w:rsidRPr="00A723E8">
        <w:t>A8a. Federal Registry Announcement</w:t>
      </w:r>
    </w:p>
    <w:p w:rsidR="00C60403" w:rsidRPr="00A723E8" w:rsidRDefault="00C60403"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The notice required in 5 CFR 1320.8(d) was published in the Federal Register on</w:t>
      </w:r>
      <w:r w:rsidR="00506E18" w:rsidRPr="00A723E8">
        <w:t xml:space="preserve"> </w:t>
      </w:r>
      <w:r w:rsidR="00E97202">
        <w:t>May 17, 2012 (Vol. 77, p. 29355</w:t>
      </w:r>
      <w:r w:rsidR="00160D43">
        <w:t>)</w:t>
      </w:r>
      <w:r w:rsidR="003D35F1" w:rsidRPr="00A723E8">
        <w:t>.</w:t>
      </w:r>
      <w:r w:rsidR="00160D43">
        <w:t xml:space="preserve">  No comments were received.</w:t>
      </w:r>
      <w:r w:rsidR="003D35F1" w:rsidRPr="00A723E8">
        <w:t xml:space="preserve"> </w:t>
      </w:r>
    </w:p>
    <w:p w:rsidR="00C60403" w:rsidRPr="00A723E8" w:rsidRDefault="00C60403" w:rsidP="00C60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E0F33" w:rsidRPr="00A723E8" w:rsidRDefault="002E0F33" w:rsidP="002E0F33">
      <w:pPr>
        <w:pStyle w:val="Heading3"/>
        <w:spacing w:before="120" w:line="360" w:lineRule="auto"/>
      </w:pPr>
      <w:r w:rsidRPr="00A723E8">
        <w:t xml:space="preserve">A8b. Consultations </w:t>
      </w:r>
      <w:proofErr w:type="gramStart"/>
      <w:r w:rsidRPr="00A723E8">
        <w:t>Outside</w:t>
      </w:r>
      <w:proofErr w:type="gramEnd"/>
      <w:r w:rsidRPr="00A723E8">
        <w:t xml:space="preserve"> the Agency</w:t>
      </w:r>
    </w:p>
    <w:p w:rsidR="00F97BCB" w:rsidRPr="00A723E8" w:rsidRDefault="00F97BC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 xml:space="preserve">The multi-site study and questionnaire design were based on initial consultation with SAMHSA experts from CMHS and CSAT, </w:t>
      </w:r>
      <w:r w:rsidR="006362C8" w:rsidRPr="00A723E8">
        <w:t xml:space="preserve">and on </w:t>
      </w:r>
      <w:r w:rsidRPr="00A723E8">
        <w:t>pilot testing</w:t>
      </w:r>
      <w:r w:rsidR="007605CE" w:rsidRPr="00A723E8">
        <w:t xml:space="preserve"> with </w:t>
      </w:r>
      <w:r w:rsidRPr="00A723E8">
        <w:t>the previous HIV Cohorts</w:t>
      </w:r>
      <w:r w:rsidR="007605CE" w:rsidRPr="00A723E8">
        <w:t>.</w:t>
      </w:r>
      <w:r w:rsidR="002F7FE7" w:rsidRPr="00A723E8">
        <w:t xml:space="preserve"> </w:t>
      </w:r>
      <w:r w:rsidR="0019033B" w:rsidRPr="00A723E8">
        <w:t>O</w:t>
      </w:r>
      <w:r w:rsidRPr="00A723E8">
        <w:t>ther SAMHSA HIV program experts</w:t>
      </w:r>
      <w:r w:rsidR="006362C8" w:rsidRPr="00A723E8">
        <w:t>,</w:t>
      </w:r>
      <w:r w:rsidR="0019033B" w:rsidRPr="00A723E8">
        <w:t xml:space="preserve"> such as Jenifer Fiedelholtz of OPPB and David R Robertson of CSAT</w:t>
      </w:r>
      <w:r w:rsidR="00BE35AD" w:rsidRPr="00A723E8">
        <w:t xml:space="preserve"> (</w:t>
      </w:r>
      <w:r w:rsidR="0019033B" w:rsidRPr="00A723E8">
        <w:t>among others</w:t>
      </w:r>
      <w:r w:rsidR="00BE35AD" w:rsidRPr="00A723E8">
        <w:t>)</w:t>
      </w:r>
      <w:r w:rsidR="006362C8" w:rsidRPr="00A723E8">
        <w:t>,</w:t>
      </w:r>
      <w:r w:rsidR="0019033B" w:rsidRPr="00A723E8">
        <w:t xml:space="preserve"> were consulted </w:t>
      </w:r>
      <w:r w:rsidR="00FF13F3" w:rsidRPr="00A723E8">
        <w:t>on the</w:t>
      </w:r>
      <w:r w:rsidR="0019033B" w:rsidRPr="00A723E8">
        <w:t xml:space="preserve"> following issues</w:t>
      </w:r>
      <w:r w:rsidRPr="00A723E8">
        <w:t>:</w:t>
      </w:r>
    </w:p>
    <w:p w:rsidR="00F97BCB" w:rsidRPr="00A723E8" w:rsidRDefault="00F97BCB" w:rsidP="00F97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rPr>
      </w:pPr>
    </w:p>
    <w:p w:rsidR="00F97BCB" w:rsidRPr="00A723E8" w:rsidRDefault="00F97BCB" w:rsidP="002C06C2">
      <w:pPr>
        <w:numPr>
          <w:ilvl w:val="0"/>
          <w:numId w:val="11"/>
        </w:numPr>
      </w:pPr>
      <w:r w:rsidRPr="00A723E8">
        <w:t xml:space="preserve">Draft study design plan and </w:t>
      </w:r>
      <w:r w:rsidR="00962E70" w:rsidRPr="00A723E8">
        <w:t xml:space="preserve">privacy/data security </w:t>
      </w:r>
      <w:r w:rsidRPr="00A723E8">
        <w:t>procedures; plan for coordinating and collecting data; measures to be used to assess outcomes</w:t>
      </w:r>
      <w:r w:rsidR="006362C8" w:rsidRPr="00A723E8">
        <w:t xml:space="preserve">; </w:t>
      </w:r>
      <w:r w:rsidRPr="00A723E8">
        <w:t>and mediating factors</w:t>
      </w:r>
    </w:p>
    <w:p w:rsidR="00F97BCB" w:rsidRPr="00A723E8" w:rsidRDefault="00F97BCB" w:rsidP="002C06C2">
      <w:pPr>
        <w:numPr>
          <w:ilvl w:val="0"/>
          <w:numId w:val="11"/>
        </w:numPr>
      </w:pPr>
      <w:r w:rsidRPr="00A723E8">
        <w:t>Suitability of proposed assessment instruments</w:t>
      </w:r>
    </w:p>
    <w:p w:rsidR="00F97BCB" w:rsidRPr="00A723E8" w:rsidRDefault="00F97BCB" w:rsidP="002C06C2">
      <w:pPr>
        <w:numPr>
          <w:ilvl w:val="0"/>
          <w:numId w:val="11"/>
        </w:numPr>
      </w:pPr>
      <w:r w:rsidRPr="00A723E8">
        <w:t>Materials and nuances of prevention programs that may be relevant to finalizing the methods to be used in conducting the cross-site study and reporting study findings</w:t>
      </w:r>
    </w:p>
    <w:p w:rsidR="00F97BCB" w:rsidRPr="00A723E8" w:rsidRDefault="00F97BCB" w:rsidP="002C06C2">
      <w:pPr>
        <w:numPr>
          <w:ilvl w:val="0"/>
          <w:numId w:val="11"/>
        </w:numPr>
      </w:pPr>
      <w:r w:rsidRPr="00A723E8">
        <w:t>Means of minimizing the burden on project staff and program participants</w:t>
      </w:r>
    </w:p>
    <w:p w:rsidR="00F97BCB" w:rsidRPr="00A723E8" w:rsidRDefault="00F97BCB" w:rsidP="002C06C2">
      <w:pPr>
        <w:numPr>
          <w:ilvl w:val="0"/>
          <w:numId w:val="11"/>
        </w:numPr>
      </w:pPr>
      <w:r w:rsidRPr="00A723E8">
        <w:t>Identification of efforts to ensure user relevance of results.</w:t>
      </w:r>
    </w:p>
    <w:p w:rsidR="00F97BCB" w:rsidRPr="00A723E8" w:rsidRDefault="00F97BCB" w:rsidP="00F97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44105" w:rsidRPr="00A723E8" w:rsidRDefault="0019033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723E8">
        <w:t>CSAP consulted with other experts on SA</w:t>
      </w:r>
      <w:r w:rsidR="00185053" w:rsidRPr="00A723E8">
        <w:t xml:space="preserve"> and </w:t>
      </w:r>
      <w:r w:rsidRPr="00A723E8">
        <w:t>HIV</w:t>
      </w:r>
      <w:r w:rsidR="006362C8" w:rsidRPr="00A723E8">
        <w:t>/AIDS</w:t>
      </w:r>
      <w:r w:rsidR="00BE35AD" w:rsidRPr="00A723E8">
        <w:t>,</w:t>
      </w:r>
      <w:r w:rsidRPr="00A723E8">
        <w:t xml:space="preserve"> as well as</w:t>
      </w:r>
      <w:r w:rsidR="00D97432" w:rsidRPr="00A723E8">
        <w:t xml:space="preserve"> </w:t>
      </w:r>
      <w:r w:rsidR="001401C6" w:rsidRPr="00A723E8">
        <w:t xml:space="preserve">other </w:t>
      </w:r>
      <w:r w:rsidR="006362C8" w:rsidRPr="00A723E8">
        <w:t>F</w:t>
      </w:r>
      <w:r w:rsidR="00D97432" w:rsidRPr="00A723E8">
        <w:t>ederal agencies with related programs or mandates</w:t>
      </w:r>
      <w:r w:rsidR="00BE35AD" w:rsidRPr="00A723E8">
        <w:t>, including NIDA, ACF, CDC, DOJ, OJJDP, HUD, and the DOE</w:t>
      </w:r>
      <w:r w:rsidR="003D35F1" w:rsidRPr="00A723E8">
        <w:t xml:space="preserve">. </w:t>
      </w:r>
      <w:r w:rsidR="00BE35AD" w:rsidRPr="00A723E8">
        <w:t>C</w:t>
      </w:r>
      <w:r w:rsidRPr="00A723E8">
        <w:t>onsultations resulted in</w:t>
      </w:r>
      <w:r w:rsidR="00D97432" w:rsidRPr="00A723E8">
        <w:t xml:space="preserve"> the refinement of measures and the coordination</w:t>
      </w:r>
      <w:r w:rsidR="00F97BCB" w:rsidRPr="00A723E8">
        <w:t xml:space="preserve"> </w:t>
      </w:r>
      <w:r w:rsidR="00D97432" w:rsidRPr="00A723E8">
        <w:t xml:space="preserve">of Federal data needs. </w:t>
      </w:r>
    </w:p>
    <w:p w:rsidR="003949C7" w:rsidRPr="00A723E8" w:rsidRDefault="003949C7"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E0F33" w:rsidRPr="00A723E8" w:rsidRDefault="002E0F33" w:rsidP="002E0F33">
      <w:pPr>
        <w:pStyle w:val="Heading2"/>
        <w:spacing w:before="120" w:line="360" w:lineRule="auto"/>
      </w:pPr>
      <w:r w:rsidRPr="00A723E8">
        <w:t>A9. Payment to Respondents</w:t>
      </w:r>
    </w:p>
    <w:p w:rsidR="0068477B" w:rsidRDefault="0068477B"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1520" w:rsidRDefault="005D1520" w:rsidP="005D15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To maximize response rates MAI grantees will offer non-monetary incentives valued at $10 to all respondents.  </w:t>
      </w:r>
      <w:r w:rsidRPr="005D1520">
        <w:t>These incentives are specific to their target population and may include: T-shirts, food coupons, movie tickets or other types of merchandise that do not exceed $10 in value.  No monetary incentives are provided to respondents.</w:t>
      </w:r>
    </w:p>
    <w:p w:rsidR="005D1520" w:rsidRDefault="005D1520" w:rsidP="005D15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1520" w:rsidRDefault="005D1520" w:rsidP="005D15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use of incentives has proven necessary and effective in recruiting respondents to participate in this type of research, and incentives are effective in increasing response rates for data collection activities (</w:t>
      </w:r>
      <w:proofErr w:type="spellStart"/>
      <w:r>
        <w:t>Castiglioni</w:t>
      </w:r>
      <w:proofErr w:type="spellEnd"/>
      <w:r>
        <w:t xml:space="preserve">, </w:t>
      </w:r>
      <w:proofErr w:type="spellStart"/>
      <w:r>
        <w:t>Pforr</w:t>
      </w:r>
      <w:proofErr w:type="spellEnd"/>
      <w:r>
        <w:t xml:space="preserve">, and Krieger, 2008; Goldenberg, McGrath, and Tan, 2009; Laurie and Lynn, 2009; </w:t>
      </w:r>
      <w:proofErr w:type="spellStart"/>
      <w:r>
        <w:t>McGonagle</w:t>
      </w:r>
      <w:proofErr w:type="spellEnd"/>
      <w:r>
        <w:t xml:space="preserve">, </w:t>
      </w:r>
      <w:proofErr w:type="spellStart"/>
      <w:r>
        <w:t>Schoeni</w:t>
      </w:r>
      <w:proofErr w:type="spellEnd"/>
      <w:r>
        <w:t xml:space="preserve">, </w:t>
      </w:r>
      <w:proofErr w:type="spellStart"/>
      <w:r>
        <w:t>Couper</w:t>
      </w:r>
      <w:proofErr w:type="spellEnd"/>
      <w:r>
        <w:t xml:space="preserve">, and </w:t>
      </w:r>
      <w:proofErr w:type="spellStart"/>
      <w:r>
        <w:t>Mushtag</w:t>
      </w:r>
      <w:proofErr w:type="spellEnd"/>
      <w:r>
        <w:t xml:space="preserve">, 2011; Rogers, 2011). Additionally, incentives are used routinely by SAMHSA and by other Federal agencies. For example, the Targeted Capacity Expansion Program for Substance Abuse Treatment and HIV/AIDS (TCE-HIV) Multisite Evaluation offers participants gift cards valued at $10-$20 (OMB # 0930-0317, expires 11/30/13) and the Cross-Site Evaluation of the Garrett Lee Smith Memorial </w:t>
      </w:r>
      <w:r>
        <w:lastRenderedPageBreak/>
        <w:t>Suicide Prevention and Early Intervention Program offers participants incentives valued at $10-$20 (OMB # 0930-0286, expires 8/31/13).</w:t>
      </w:r>
    </w:p>
    <w:p w:rsidR="005D1520" w:rsidRDefault="005D1520" w:rsidP="005D1520">
      <w:pPr>
        <w:pStyle w:val="PlainText"/>
      </w:pPr>
    </w:p>
    <w:p w:rsidR="005D1520" w:rsidRDefault="005D1520" w:rsidP="005D1520">
      <w:pPr>
        <w:pStyle w:val="PlainText"/>
      </w:pPr>
    </w:p>
    <w:p w:rsidR="002E0F33" w:rsidRPr="00A723E8" w:rsidRDefault="002E0F33" w:rsidP="002E0F33">
      <w:pPr>
        <w:pStyle w:val="Heading2"/>
        <w:spacing w:before="120" w:line="360" w:lineRule="auto"/>
      </w:pPr>
      <w:r w:rsidRPr="00A723E8">
        <w:t xml:space="preserve">A10.  Assurance of Confidentiality </w:t>
      </w:r>
    </w:p>
    <w:p w:rsidR="006054B3" w:rsidRDefault="005B38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B3871">
        <w:t>SAMHSA has statutory authority to collect data under the Government Performance and Results Act (Public Law 1103(a), Title 31) and is subject to the Privacy Act for the protection of this data.  As part of its grant application process, SAMHSA/CSAP requires grantees to describe the procedures they will use to ensure the privacy and protection of participant data.  These include by whom and the methods by which data will be collected; how data collection forms will be administered; where data will be stored; who will/will not have access to information; and how the identity of participants will be safeguarded.  Consent forms will include language about privacy and that the data collection is voluntary and will not affect participation in direct service programs. Data are collected through self report</w:t>
      </w:r>
    </w:p>
    <w:p w:rsidR="006054B3" w:rsidRDefault="006054B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54B3" w:rsidRDefault="005B38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B3871">
        <w:t>The information from grantees and all other potential respondents will be kept private through all points in the data collection and reporting process. All data will be closely safeguarded, and no institutional or individual identifiers will be used in reports.  Only aggregated data will be reported. SAMHSA and its contractors will not receive identifiable client records.  Provider-level information will be aggregated to, at the least, the level of the grant/cooperative agreement-funding announcement.</w:t>
      </w:r>
    </w:p>
    <w:p w:rsidR="0043499D" w:rsidRDefault="0043499D" w:rsidP="003949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color w:val="000000"/>
        </w:rPr>
      </w:pPr>
    </w:p>
    <w:p w:rsidR="002E0F33" w:rsidRPr="00A723E8" w:rsidRDefault="002E0F33" w:rsidP="002E0F33">
      <w:pPr>
        <w:pStyle w:val="Heading2"/>
        <w:spacing w:before="120" w:line="360" w:lineRule="auto"/>
      </w:pPr>
      <w:r w:rsidRPr="00A723E8">
        <w:t>A11.  Questions of a Sensitive Nature</w:t>
      </w:r>
    </w:p>
    <w:p w:rsidR="0043499D" w:rsidRDefault="005B3871" w:rsidP="0043499D">
      <w:r w:rsidRPr="005B3871">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use of alcohol or other drugs.   The data that will be submitted by each grantee will be based in large part on data that most programs are already routinely collecting.  This primarily includes data on client demographics, substance abuse history, services received, and outcomes in order to understand the needs of participants and to measure the impact of services.  Grantees are required to have adequate consent procedures in place, and these procedures include obtaining and documenting active parental/guardian consent when necessary.  SAMHSA review committees will not approve nor will SAMHSA fund a site without adequate provisions for meeting Federal policies regarding consent. Review committees consider the following participant protection (PP) criteria:</w:t>
      </w:r>
    </w:p>
    <w:p w:rsidR="00280C76" w:rsidRPr="00AE569B" w:rsidRDefault="00280C76" w:rsidP="0043499D"/>
    <w:p w:rsidR="0043499D" w:rsidRPr="00AE569B" w:rsidRDefault="005B3871" w:rsidP="009F59A9">
      <w:pPr>
        <w:pStyle w:val="ListParagraph"/>
        <w:numPr>
          <w:ilvl w:val="0"/>
          <w:numId w:val="17"/>
        </w:numPr>
        <w:tabs>
          <w:tab w:val="left" w:pos="1080"/>
        </w:tabs>
        <w:ind w:firstLine="0"/>
      </w:pPr>
      <w:r w:rsidRPr="005B3871">
        <w:t xml:space="preserve">Protect participants from potential risks, </w:t>
      </w:r>
    </w:p>
    <w:p w:rsidR="0043499D" w:rsidRPr="00AE569B" w:rsidRDefault="005B3871" w:rsidP="009F59A9">
      <w:pPr>
        <w:pStyle w:val="ListParagraph"/>
        <w:numPr>
          <w:ilvl w:val="0"/>
          <w:numId w:val="17"/>
        </w:numPr>
        <w:tabs>
          <w:tab w:val="left" w:pos="1080"/>
        </w:tabs>
        <w:ind w:firstLine="0"/>
      </w:pPr>
      <w:r w:rsidRPr="005B3871">
        <w:t xml:space="preserve">Fair selection of participants, </w:t>
      </w:r>
    </w:p>
    <w:p w:rsidR="0043499D" w:rsidRPr="00AE569B" w:rsidRDefault="005B3871" w:rsidP="00B44DA2">
      <w:pPr>
        <w:tabs>
          <w:tab w:val="left" w:pos="1080"/>
        </w:tabs>
        <w:ind w:left="720"/>
      </w:pPr>
      <w:r w:rsidRPr="005B3871">
        <w:t xml:space="preserve">3. </w:t>
      </w:r>
      <w:r w:rsidR="00B44DA2">
        <w:t xml:space="preserve">  </w:t>
      </w:r>
      <w:r w:rsidRPr="005B3871">
        <w:t xml:space="preserve">Absence of coercion, </w:t>
      </w:r>
    </w:p>
    <w:p w:rsidR="0043499D" w:rsidRPr="00AE569B" w:rsidRDefault="005B3871" w:rsidP="00B44DA2">
      <w:pPr>
        <w:tabs>
          <w:tab w:val="left" w:pos="1080"/>
        </w:tabs>
        <w:ind w:left="720"/>
      </w:pPr>
      <w:r w:rsidRPr="005B3871">
        <w:t xml:space="preserve">4. </w:t>
      </w:r>
      <w:r w:rsidR="00B44DA2">
        <w:t xml:space="preserve">  </w:t>
      </w:r>
      <w:r w:rsidRPr="005B3871">
        <w:t xml:space="preserve">Data collection, </w:t>
      </w:r>
    </w:p>
    <w:p w:rsidR="0043499D" w:rsidRPr="00AE569B" w:rsidRDefault="005B3871" w:rsidP="00B44DA2">
      <w:pPr>
        <w:tabs>
          <w:tab w:val="left" w:pos="1080"/>
        </w:tabs>
        <w:ind w:left="720"/>
      </w:pPr>
      <w:r w:rsidRPr="005B3871">
        <w:t xml:space="preserve">5. </w:t>
      </w:r>
      <w:r w:rsidR="00B44DA2">
        <w:t xml:space="preserve">  </w:t>
      </w:r>
      <w:r w:rsidRPr="005B3871">
        <w:t xml:space="preserve">Privacy and confidentiality, and </w:t>
      </w:r>
    </w:p>
    <w:p w:rsidR="0043499D" w:rsidRPr="00AE569B" w:rsidRDefault="005B3871" w:rsidP="00B44DA2">
      <w:pPr>
        <w:tabs>
          <w:tab w:val="left" w:pos="1080"/>
        </w:tabs>
        <w:ind w:left="720"/>
      </w:pPr>
      <w:r w:rsidRPr="005B3871">
        <w:lastRenderedPageBreak/>
        <w:t>6.</w:t>
      </w:r>
      <w:r w:rsidR="00B44DA2">
        <w:t xml:space="preserve">  </w:t>
      </w:r>
      <w:r w:rsidRPr="005B3871">
        <w:t xml:space="preserve"> Adequate consent procedures.  </w:t>
      </w:r>
    </w:p>
    <w:p w:rsidR="00280C76" w:rsidRDefault="00280C76" w:rsidP="0043499D">
      <w:pPr>
        <w:rPr>
          <w:color w:val="000000"/>
        </w:rPr>
      </w:pPr>
    </w:p>
    <w:p w:rsidR="0043499D" w:rsidRPr="00AE569B" w:rsidRDefault="005B3871" w:rsidP="0043499D">
      <w:r w:rsidRPr="005B3871">
        <w:rPr>
          <w:color w:val="000000"/>
        </w:rPr>
        <w:t>Applications are coded:  no PP concerns or comments; PP comments or PP concerns.  Before an application can be funded, the applicant must address in writing any PP comments or concerns raised to the CSAP’s participant protection officer’s satisfaction.  Until this is done, they are barred from funding especially if the application is coded with "concerns".  The CSAP participant protection officer reviews their response to issues raised by the peer review committee.  If they respond to the protection officer’s satisfaction, the bar on funding is lifted.</w:t>
      </w:r>
    </w:p>
    <w:p w:rsidR="00280C76" w:rsidRDefault="00280C76" w:rsidP="0043499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pPr>
    </w:p>
    <w:p w:rsidR="0043499D" w:rsidRPr="00AE569B" w:rsidRDefault="005B3871" w:rsidP="0043499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tLeast"/>
        <w:jc w:val="both"/>
      </w:pPr>
      <w:r w:rsidRPr="005B3871">
        <w:t xml:space="preserve">SAMHSA follows procedures similar to those used by CDC and </w:t>
      </w:r>
      <w:proofErr w:type="spellStart"/>
      <w:r w:rsidRPr="005B3871">
        <w:t>DoEd</w:t>
      </w:r>
      <w:proofErr w:type="spellEnd"/>
      <w:r w:rsidRPr="005B3871">
        <w:t xml:space="preserve"> regarding parental consent for youth: adherence to state and local regulations.</w:t>
      </w:r>
    </w:p>
    <w:p w:rsidR="009276A6" w:rsidRPr="00A723E8" w:rsidRDefault="009276A6" w:rsidP="003949C7">
      <w:pPr>
        <w:suppressLineNumbers/>
        <w:rPr>
          <w:rStyle w:val="WP9BodyText"/>
        </w:rPr>
      </w:pPr>
    </w:p>
    <w:p w:rsidR="006E34AD" w:rsidRPr="00A723E8" w:rsidRDefault="006E34AD" w:rsidP="006E34AD">
      <w:pPr>
        <w:pStyle w:val="Heading2"/>
        <w:spacing w:before="120" w:line="360" w:lineRule="auto"/>
      </w:pPr>
      <w:r w:rsidRPr="00A723E8">
        <w:t>A12.  Estimates of Annualized Hour Burden</w:t>
      </w:r>
    </w:p>
    <w:p w:rsidR="00053B46" w:rsidRPr="00A723E8" w:rsidRDefault="00B7797A" w:rsidP="00053B46">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Table</w:t>
      </w:r>
      <w:r w:rsidR="002671EE" w:rsidRPr="00A723E8">
        <w:rPr>
          <w:rStyle w:val="WP9BodyText"/>
        </w:rPr>
        <w:t>s</w:t>
      </w:r>
      <w:r w:rsidRPr="00A723E8">
        <w:rPr>
          <w:rStyle w:val="WP9BodyText"/>
        </w:rPr>
        <w:t xml:space="preserve"> </w:t>
      </w:r>
      <w:r w:rsidR="00E56F86">
        <w:rPr>
          <w:rStyle w:val="WP9BodyText"/>
        </w:rPr>
        <w:t>7</w:t>
      </w:r>
      <w:r w:rsidR="002671EE" w:rsidRPr="00A723E8">
        <w:rPr>
          <w:rStyle w:val="WP9BodyText"/>
        </w:rPr>
        <w:t xml:space="preserve">a and </w:t>
      </w:r>
      <w:r w:rsidR="00E56F86">
        <w:rPr>
          <w:rStyle w:val="WP9BodyText"/>
        </w:rPr>
        <w:t>7</w:t>
      </w:r>
      <w:r w:rsidR="002671EE" w:rsidRPr="00A723E8">
        <w:rPr>
          <w:rStyle w:val="WP9BodyText"/>
        </w:rPr>
        <w:t>b</w:t>
      </w:r>
      <w:r w:rsidRPr="00A723E8">
        <w:rPr>
          <w:rStyle w:val="WP9BodyText"/>
        </w:rPr>
        <w:t xml:space="preserve"> show the estimated annualized burden for data collection. The evaluation data will be collected through questionnaires administered to youth and adult program participants. </w:t>
      </w:r>
      <w:r w:rsidR="0067036A" w:rsidRPr="00A723E8">
        <w:rPr>
          <w:rStyle w:val="WP9BodyText"/>
        </w:rPr>
        <w:t xml:space="preserve">Youth and Adults in interventions lasting 30 days or longer </w:t>
      </w:r>
      <w:r w:rsidRPr="00A723E8">
        <w:rPr>
          <w:rStyle w:val="WP9BodyText"/>
        </w:rPr>
        <w:t>will complete questionnaires three times, taking an average of 50 minutes for baseline, exit, an</w:t>
      </w:r>
      <w:r w:rsidR="00DF6120" w:rsidRPr="00A723E8">
        <w:rPr>
          <w:rStyle w:val="WP9BodyText"/>
        </w:rPr>
        <w:t>d follow-up questionnaire</w:t>
      </w:r>
      <w:r w:rsidR="0067036A" w:rsidRPr="00A723E8">
        <w:rPr>
          <w:rStyle w:val="WP9BodyText"/>
        </w:rPr>
        <w:t>s. Participants in interventions lasting 2-29 days will complete questionnaires two times taking an average of 30 minutes to complete.  Single-session intervention participants will complete one questionnaire at ex</w:t>
      </w:r>
      <w:r w:rsidR="00912C4D" w:rsidRPr="00A723E8">
        <w:rPr>
          <w:rStyle w:val="WP9BodyText"/>
        </w:rPr>
        <w:t>i</w:t>
      </w:r>
      <w:r w:rsidR="0067036A" w:rsidRPr="00A723E8">
        <w:rPr>
          <w:rStyle w:val="WP9BodyText"/>
        </w:rPr>
        <w:t>t taking approximately 15 minutes to complete.</w:t>
      </w:r>
      <w:r w:rsidR="00DF6120" w:rsidRPr="00A723E8">
        <w:rPr>
          <w:rStyle w:val="WP9BodyText"/>
        </w:rPr>
        <w:t xml:space="preserve"> Approximately </w:t>
      </w:r>
      <w:r w:rsidR="00A723E8" w:rsidRPr="00A723E8">
        <w:rPr>
          <w:rStyle w:val="WP9BodyText"/>
        </w:rPr>
        <w:t>11,81</w:t>
      </w:r>
      <w:r w:rsidR="000E724B">
        <w:rPr>
          <w:rStyle w:val="WP9BodyText"/>
        </w:rPr>
        <w:t>1</w:t>
      </w:r>
      <w:r w:rsidRPr="00A723E8">
        <w:rPr>
          <w:rStyle w:val="WP9BodyText"/>
        </w:rPr>
        <w:t xml:space="preserve"> adults </w:t>
      </w:r>
      <w:r w:rsidR="00F2380C" w:rsidRPr="00A723E8">
        <w:rPr>
          <w:rStyle w:val="WP9BodyText"/>
        </w:rPr>
        <w:t xml:space="preserve">and youth </w:t>
      </w:r>
      <w:r w:rsidRPr="00A723E8">
        <w:rPr>
          <w:rStyle w:val="WP9BodyText"/>
        </w:rPr>
        <w:t xml:space="preserve">are expected to respond </w:t>
      </w:r>
      <w:r w:rsidR="006A772E" w:rsidRPr="00A723E8">
        <w:rPr>
          <w:rStyle w:val="WP9BodyText"/>
        </w:rPr>
        <w:t xml:space="preserve">annually </w:t>
      </w:r>
      <w:r w:rsidR="00A50602" w:rsidRPr="00A723E8">
        <w:rPr>
          <w:rStyle w:val="WP9BodyText"/>
        </w:rPr>
        <w:t>a</w:t>
      </w:r>
      <w:r w:rsidR="001922E7" w:rsidRPr="00A723E8">
        <w:rPr>
          <w:rStyle w:val="WP9BodyText"/>
        </w:rPr>
        <w:t>cross all 3 intervention types</w:t>
      </w:r>
      <w:r w:rsidRPr="00A723E8">
        <w:rPr>
          <w:rStyle w:val="WP9BodyText"/>
        </w:rPr>
        <w:t>.</w:t>
      </w:r>
      <w:r w:rsidR="00EC304D" w:rsidRPr="00A723E8">
        <w:rPr>
          <w:rStyle w:val="WP9BodyText"/>
        </w:rPr>
        <w:t xml:space="preserve"> </w:t>
      </w:r>
      <w:r w:rsidR="00593B3C" w:rsidRPr="00A723E8">
        <w:rPr>
          <w:rStyle w:val="WP9BodyText"/>
        </w:rPr>
        <w:t xml:space="preserve">Based on HIV Cohort </w:t>
      </w:r>
      <w:r w:rsidR="00EC304D" w:rsidRPr="00A723E8">
        <w:rPr>
          <w:rStyle w:val="WP9BodyText"/>
        </w:rPr>
        <w:t>6</w:t>
      </w:r>
      <w:r w:rsidR="00593B3C" w:rsidRPr="00A723E8">
        <w:rPr>
          <w:rStyle w:val="WP9BodyText"/>
        </w:rPr>
        <w:t xml:space="preserve"> results, t</w:t>
      </w:r>
      <w:r w:rsidR="001F1478" w:rsidRPr="00A723E8">
        <w:rPr>
          <w:rStyle w:val="WP9BodyText"/>
        </w:rPr>
        <w:t xml:space="preserve">he expected response rates at exit are </w:t>
      </w:r>
      <w:r w:rsidR="00C91010" w:rsidRPr="00A723E8">
        <w:rPr>
          <w:rStyle w:val="WP9BodyText"/>
        </w:rPr>
        <w:t>6</w:t>
      </w:r>
      <w:r w:rsidR="00881130" w:rsidRPr="00A723E8">
        <w:rPr>
          <w:rStyle w:val="WP9BodyText"/>
        </w:rPr>
        <w:t>2</w:t>
      </w:r>
      <w:r w:rsidR="001F1478" w:rsidRPr="00A723E8">
        <w:rPr>
          <w:rStyle w:val="WP9BodyText"/>
        </w:rPr>
        <w:t xml:space="preserve">% and </w:t>
      </w:r>
      <w:r w:rsidR="00881130" w:rsidRPr="00A723E8">
        <w:rPr>
          <w:rStyle w:val="WP9BodyText"/>
        </w:rPr>
        <w:t>37</w:t>
      </w:r>
      <w:r w:rsidR="001F1478" w:rsidRPr="00A723E8">
        <w:rPr>
          <w:rStyle w:val="WP9BodyText"/>
        </w:rPr>
        <w:t>% at</w:t>
      </w:r>
      <w:r w:rsidR="00593B3C" w:rsidRPr="00A723E8">
        <w:rPr>
          <w:rStyle w:val="WP9BodyText"/>
        </w:rPr>
        <w:t xml:space="preserve"> the</w:t>
      </w:r>
      <w:r w:rsidR="001F1478" w:rsidRPr="00A723E8">
        <w:rPr>
          <w:rStyle w:val="WP9BodyText"/>
        </w:rPr>
        <w:t xml:space="preserve"> </w:t>
      </w:r>
      <w:r w:rsidR="00FA1371" w:rsidRPr="00A723E8">
        <w:rPr>
          <w:rStyle w:val="WP9BodyText"/>
        </w:rPr>
        <w:t xml:space="preserve">three to six </w:t>
      </w:r>
      <w:r w:rsidR="001F1478" w:rsidRPr="00A723E8">
        <w:rPr>
          <w:rStyle w:val="WP9BodyText"/>
        </w:rPr>
        <w:t>month follow-up</w:t>
      </w:r>
      <w:r w:rsidR="001922E7" w:rsidRPr="00A723E8">
        <w:rPr>
          <w:rStyle w:val="WP9BodyText"/>
        </w:rPr>
        <w:t xml:space="preserve"> in interventions lasting 30 days or longer</w:t>
      </w:r>
      <w:r w:rsidR="00593B3C" w:rsidRPr="00A723E8">
        <w:rPr>
          <w:rStyle w:val="WP9BodyText"/>
        </w:rPr>
        <w:t>.</w:t>
      </w:r>
      <w:r w:rsidR="001F1478" w:rsidRPr="00A723E8">
        <w:rPr>
          <w:rStyle w:val="WP9BodyText"/>
        </w:rPr>
        <w:t xml:space="preserve"> </w:t>
      </w:r>
      <w:r w:rsidR="00053B46" w:rsidRPr="00A723E8">
        <w:rPr>
          <w:rStyle w:val="WP9BodyText"/>
        </w:rPr>
        <w:t xml:space="preserve">The total burden </w:t>
      </w:r>
      <w:r w:rsidR="008D7A6C">
        <w:rPr>
          <w:rStyle w:val="WP9BodyText"/>
        </w:rPr>
        <w:t xml:space="preserve">for this three year clearance </w:t>
      </w:r>
      <w:proofErr w:type="gramStart"/>
      <w:r w:rsidR="008D7A6C">
        <w:rPr>
          <w:rStyle w:val="WP9BodyText"/>
        </w:rPr>
        <w:t xml:space="preserve">request  </w:t>
      </w:r>
      <w:r w:rsidRPr="00A723E8">
        <w:rPr>
          <w:rStyle w:val="WP9BodyText"/>
        </w:rPr>
        <w:t>is</w:t>
      </w:r>
      <w:proofErr w:type="gramEnd"/>
      <w:r w:rsidRPr="00A723E8">
        <w:rPr>
          <w:rStyle w:val="WP9BodyText"/>
        </w:rPr>
        <w:t xml:space="preserve"> </w:t>
      </w:r>
      <w:r w:rsidR="0079360F">
        <w:rPr>
          <w:rStyle w:val="WP9BodyText"/>
        </w:rPr>
        <w:t>4</w:t>
      </w:r>
      <w:r w:rsidR="00D75557">
        <w:rPr>
          <w:rStyle w:val="WP9BodyText"/>
        </w:rPr>
        <w:t>5,147</w:t>
      </w:r>
      <w:r w:rsidRPr="00A723E8">
        <w:rPr>
          <w:rStyle w:val="WP9BodyText"/>
        </w:rPr>
        <w:t xml:space="preserve"> hours and the average annualized burden is </w:t>
      </w:r>
      <w:r w:rsidR="00072516" w:rsidRPr="00A723E8">
        <w:rPr>
          <w:rStyle w:val="WP9BodyText"/>
        </w:rPr>
        <w:t>1</w:t>
      </w:r>
      <w:r w:rsidR="00E56F86">
        <w:rPr>
          <w:rStyle w:val="WP9BodyText"/>
        </w:rPr>
        <w:t>5,049</w:t>
      </w:r>
      <w:r w:rsidR="00072516" w:rsidRPr="00A723E8">
        <w:rPr>
          <w:rStyle w:val="WP9BodyText"/>
        </w:rPr>
        <w:t xml:space="preserve"> </w:t>
      </w:r>
      <w:r w:rsidRPr="00A723E8">
        <w:rPr>
          <w:rStyle w:val="WP9BodyText"/>
        </w:rPr>
        <w:t xml:space="preserve">hours </w:t>
      </w:r>
      <w:r w:rsidR="00593B3C" w:rsidRPr="00A723E8">
        <w:rPr>
          <w:rStyle w:val="WP9BodyText"/>
        </w:rPr>
        <w:t>, as noted in the following table.</w:t>
      </w:r>
    </w:p>
    <w:p w:rsidR="00004F09" w:rsidRDefault="00004F09" w:rsidP="002671EE">
      <w:pPr>
        <w:rPr>
          <w:rFonts w:ascii="Times New Roman" w:hAnsi="Times New Roman"/>
          <w:b/>
          <w:bCs/>
          <w:color w:val="000000"/>
          <w:sz w:val="22"/>
          <w:szCs w:val="22"/>
          <w:lang w:bidi="ar-SA"/>
        </w:rPr>
      </w:pPr>
    </w:p>
    <w:p w:rsidR="002671EE" w:rsidRPr="00004F09" w:rsidRDefault="00FA1169" w:rsidP="002671EE">
      <w:pPr>
        <w:rPr>
          <w:rFonts w:ascii="Arial" w:hAnsi="Arial"/>
          <w:b/>
          <w:color w:val="000000"/>
          <w:sz w:val="28"/>
        </w:rPr>
      </w:pPr>
      <w:r>
        <w:rPr>
          <w:rFonts w:ascii="Arial" w:hAnsi="Arial"/>
          <w:b/>
          <w:color w:val="000000"/>
          <w:sz w:val="28"/>
        </w:rPr>
        <w:br w:type="page"/>
      </w:r>
      <w:proofErr w:type="gramStart"/>
      <w:r w:rsidR="00116CFA" w:rsidRPr="00FA1169">
        <w:rPr>
          <w:rFonts w:ascii="Arial" w:hAnsi="Arial"/>
          <w:b/>
          <w:color w:val="000000"/>
          <w:sz w:val="28"/>
        </w:rPr>
        <w:lastRenderedPageBreak/>
        <w:t xml:space="preserve">Table </w:t>
      </w:r>
      <w:r w:rsidR="00252033" w:rsidRPr="00FA1169">
        <w:rPr>
          <w:rFonts w:ascii="Arial" w:hAnsi="Arial"/>
          <w:b/>
          <w:color w:val="000000"/>
          <w:sz w:val="28"/>
        </w:rPr>
        <w:t>7a</w:t>
      </w:r>
      <w:r w:rsidR="005B3871" w:rsidRPr="005B3871">
        <w:rPr>
          <w:rFonts w:ascii="Arial" w:hAnsi="Arial"/>
          <w:b/>
          <w:color w:val="000000"/>
          <w:sz w:val="28"/>
        </w:rPr>
        <w:t>.</w:t>
      </w:r>
      <w:proofErr w:type="gramEnd"/>
      <w:r w:rsidR="005B3871" w:rsidRPr="005B3871">
        <w:rPr>
          <w:rFonts w:ascii="Arial" w:hAnsi="Arial"/>
          <w:b/>
          <w:color w:val="000000"/>
          <w:sz w:val="28"/>
        </w:rPr>
        <w:t xml:space="preserve">  Estimates of Annualized Hour Burden by Intervention Length  </w:t>
      </w:r>
    </w:p>
    <w:p w:rsidR="002671EE" w:rsidRDefault="002671EE"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b/>
        </w:rPr>
      </w:pPr>
    </w:p>
    <w:tbl>
      <w:tblPr>
        <w:tblW w:w="9561" w:type="dxa"/>
        <w:tblInd w:w="87" w:type="dxa"/>
        <w:tblLayout w:type="fixed"/>
        <w:tblLook w:val="04A0"/>
      </w:tblPr>
      <w:tblGrid>
        <w:gridCol w:w="1460"/>
        <w:gridCol w:w="1441"/>
        <w:gridCol w:w="1350"/>
        <w:gridCol w:w="1260"/>
        <w:gridCol w:w="1170"/>
        <w:gridCol w:w="900"/>
        <w:gridCol w:w="900"/>
        <w:gridCol w:w="1080"/>
      </w:tblGrid>
      <w:tr w:rsidR="002535DD" w:rsidRPr="004C2D33" w:rsidTr="002535DD">
        <w:trPr>
          <w:trHeight w:val="2122"/>
        </w:trPr>
        <w:tc>
          <w:tcPr>
            <w:tcW w:w="146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263092" w:rsidRPr="004C2D33" w:rsidRDefault="00116CFA" w:rsidP="002535DD">
            <w:pPr>
              <w:rPr>
                <w:b/>
                <w:sz w:val="22"/>
                <w:szCs w:val="22"/>
              </w:rPr>
            </w:pPr>
            <w:r w:rsidRPr="004C2D33">
              <w:rPr>
                <w:b/>
                <w:sz w:val="22"/>
                <w:szCs w:val="22"/>
              </w:rPr>
              <w:t>Intervention Length</w:t>
            </w:r>
          </w:p>
        </w:tc>
        <w:tc>
          <w:tcPr>
            <w:tcW w:w="1441"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4C2D33" w:rsidRPr="004C2D33" w:rsidRDefault="00116CFA" w:rsidP="002535DD">
            <w:pPr>
              <w:rPr>
                <w:b/>
                <w:sz w:val="22"/>
                <w:szCs w:val="22"/>
              </w:rPr>
            </w:pPr>
            <w:r w:rsidRPr="004C2D33">
              <w:rPr>
                <w:b/>
                <w:sz w:val="22"/>
                <w:szCs w:val="22"/>
              </w:rPr>
              <w:t>Number</w:t>
            </w:r>
          </w:p>
          <w:p w:rsidR="005159F1" w:rsidRPr="004C2D33" w:rsidRDefault="00116CFA" w:rsidP="002535DD">
            <w:pPr>
              <w:rPr>
                <w:b/>
                <w:sz w:val="22"/>
                <w:szCs w:val="22"/>
              </w:rPr>
            </w:pPr>
            <w:r w:rsidRPr="004C2D33">
              <w:rPr>
                <w:b/>
                <w:sz w:val="22"/>
                <w:szCs w:val="22"/>
              </w:rPr>
              <w:t>of Respondents</w:t>
            </w:r>
          </w:p>
        </w:tc>
        <w:tc>
          <w:tcPr>
            <w:tcW w:w="135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5159F1" w:rsidRPr="004C2D33" w:rsidRDefault="00116CFA" w:rsidP="002535DD">
            <w:pPr>
              <w:rPr>
                <w:b/>
                <w:sz w:val="22"/>
                <w:szCs w:val="22"/>
              </w:rPr>
            </w:pPr>
            <w:r w:rsidRPr="004C2D33">
              <w:rPr>
                <w:b/>
                <w:sz w:val="22"/>
                <w:szCs w:val="22"/>
              </w:rPr>
              <w:t>Responses per Respondent</w:t>
            </w:r>
          </w:p>
        </w:tc>
        <w:tc>
          <w:tcPr>
            <w:tcW w:w="126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5159F1" w:rsidRPr="004C2D33" w:rsidRDefault="00116CFA" w:rsidP="002535DD">
            <w:pPr>
              <w:rPr>
                <w:b/>
                <w:sz w:val="22"/>
                <w:szCs w:val="22"/>
              </w:rPr>
            </w:pPr>
            <w:r w:rsidRPr="004C2D33">
              <w:rPr>
                <w:b/>
                <w:sz w:val="22"/>
                <w:szCs w:val="22"/>
              </w:rPr>
              <w:t>Total Responses</w:t>
            </w:r>
          </w:p>
        </w:tc>
        <w:tc>
          <w:tcPr>
            <w:tcW w:w="117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2535DD" w:rsidRDefault="00116CFA" w:rsidP="002535DD">
            <w:pPr>
              <w:rPr>
                <w:b/>
                <w:sz w:val="22"/>
                <w:szCs w:val="22"/>
              </w:rPr>
            </w:pPr>
            <w:r w:rsidRPr="004C2D33">
              <w:rPr>
                <w:b/>
                <w:sz w:val="22"/>
                <w:szCs w:val="22"/>
              </w:rPr>
              <w:t>Hours</w:t>
            </w:r>
          </w:p>
          <w:p w:rsidR="005159F1" w:rsidRPr="004C2D33" w:rsidRDefault="00116CFA" w:rsidP="002535DD">
            <w:pPr>
              <w:rPr>
                <w:b/>
                <w:sz w:val="22"/>
                <w:szCs w:val="22"/>
              </w:rPr>
            </w:pPr>
            <w:r w:rsidRPr="004C2D33">
              <w:rPr>
                <w:b/>
                <w:sz w:val="22"/>
                <w:szCs w:val="22"/>
              </w:rPr>
              <w:t>per Response</w:t>
            </w:r>
          </w:p>
        </w:tc>
        <w:tc>
          <w:tcPr>
            <w:tcW w:w="900" w:type="dxa"/>
            <w:tcBorders>
              <w:top w:val="single" w:sz="8" w:space="0" w:color="auto"/>
              <w:left w:val="single" w:sz="8" w:space="0" w:color="auto"/>
              <w:bottom w:val="double" w:sz="4" w:space="0" w:color="auto"/>
              <w:right w:val="single" w:sz="8" w:space="0" w:color="auto"/>
            </w:tcBorders>
            <w:shd w:val="clear" w:color="auto" w:fill="auto"/>
            <w:vAlign w:val="center"/>
            <w:hideMark/>
          </w:tcPr>
          <w:p w:rsidR="005159F1" w:rsidRPr="004C2D33" w:rsidRDefault="00116CFA" w:rsidP="002535DD">
            <w:pPr>
              <w:rPr>
                <w:b/>
                <w:sz w:val="22"/>
                <w:szCs w:val="22"/>
              </w:rPr>
            </w:pPr>
            <w:r w:rsidRPr="004C2D33">
              <w:rPr>
                <w:b/>
                <w:sz w:val="22"/>
                <w:szCs w:val="22"/>
              </w:rPr>
              <w:t>Total Hour Burden</w:t>
            </w:r>
          </w:p>
        </w:tc>
        <w:tc>
          <w:tcPr>
            <w:tcW w:w="900" w:type="dxa"/>
            <w:tcBorders>
              <w:top w:val="single" w:sz="8" w:space="0" w:color="auto"/>
              <w:left w:val="nil"/>
              <w:bottom w:val="double" w:sz="4" w:space="0" w:color="auto"/>
              <w:right w:val="single" w:sz="8" w:space="0" w:color="auto"/>
            </w:tcBorders>
            <w:shd w:val="clear" w:color="auto" w:fill="auto"/>
            <w:vAlign w:val="center"/>
            <w:hideMark/>
          </w:tcPr>
          <w:p w:rsidR="00567F4B" w:rsidRPr="004C2D33" w:rsidRDefault="00116CFA" w:rsidP="002535DD">
            <w:pPr>
              <w:rPr>
                <w:b/>
                <w:sz w:val="22"/>
                <w:szCs w:val="22"/>
                <w:lang w:bidi="ar-SA"/>
              </w:rPr>
            </w:pPr>
            <w:r w:rsidRPr="004C2D33">
              <w:rPr>
                <w:b/>
                <w:sz w:val="22"/>
                <w:szCs w:val="22"/>
              </w:rPr>
              <w:t>Hourly</w:t>
            </w:r>
          </w:p>
          <w:p w:rsidR="00263092" w:rsidRPr="004C2D33" w:rsidRDefault="00567F4B" w:rsidP="002535DD">
            <w:pPr>
              <w:rPr>
                <w:b/>
                <w:sz w:val="22"/>
                <w:szCs w:val="22"/>
              </w:rPr>
            </w:pPr>
            <w:r w:rsidRPr="004C2D33">
              <w:rPr>
                <w:b/>
                <w:sz w:val="22"/>
                <w:szCs w:val="22"/>
                <w:lang w:bidi="ar-SA"/>
              </w:rPr>
              <w:t>Wage Cost</w:t>
            </w:r>
          </w:p>
        </w:tc>
        <w:tc>
          <w:tcPr>
            <w:tcW w:w="1080" w:type="dxa"/>
            <w:tcBorders>
              <w:top w:val="single" w:sz="8" w:space="0" w:color="auto"/>
              <w:left w:val="nil"/>
              <w:bottom w:val="double" w:sz="4" w:space="0" w:color="auto"/>
              <w:right w:val="single" w:sz="8" w:space="0" w:color="auto"/>
            </w:tcBorders>
            <w:shd w:val="clear" w:color="auto" w:fill="auto"/>
            <w:vAlign w:val="center"/>
            <w:hideMark/>
          </w:tcPr>
          <w:p w:rsidR="00567F4B" w:rsidRPr="004C2D33" w:rsidRDefault="00116CFA" w:rsidP="002535DD">
            <w:pPr>
              <w:rPr>
                <w:b/>
                <w:sz w:val="22"/>
                <w:szCs w:val="22"/>
                <w:lang w:bidi="ar-SA"/>
              </w:rPr>
            </w:pPr>
            <w:r w:rsidRPr="004C2D33">
              <w:rPr>
                <w:b/>
                <w:sz w:val="22"/>
                <w:szCs w:val="22"/>
              </w:rPr>
              <w:t>Total Hour</w:t>
            </w:r>
          </w:p>
          <w:p w:rsidR="00263092" w:rsidRPr="004C2D33" w:rsidRDefault="00567F4B" w:rsidP="002535DD">
            <w:pPr>
              <w:rPr>
                <w:b/>
                <w:sz w:val="22"/>
                <w:szCs w:val="22"/>
              </w:rPr>
            </w:pPr>
            <w:r w:rsidRPr="004C2D33">
              <w:rPr>
                <w:b/>
                <w:sz w:val="22"/>
                <w:szCs w:val="22"/>
                <w:lang w:bidi="ar-SA"/>
              </w:rPr>
              <w:t>Cost</w:t>
            </w:r>
          </w:p>
        </w:tc>
      </w:tr>
      <w:tr w:rsidR="002A48C2" w:rsidRPr="002535DD" w:rsidTr="002A48C2">
        <w:trPr>
          <w:trHeight w:val="402"/>
        </w:trPr>
        <w:tc>
          <w:tcPr>
            <w:tcW w:w="9561" w:type="dxa"/>
            <w:gridSpan w:val="8"/>
            <w:tcBorders>
              <w:top w:val="double" w:sz="4" w:space="0" w:color="auto"/>
              <w:left w:val="single" w:sz="8" w:space="0" w:color="auto"/>
              <w:bottom w:val="single" w:sz="8" w:space="0" w:color="auto"/>
              <w:right w:val="single" w:sz="8" w:space="0" w:color="auto"/>
            </w:tcBorders>
            <w:shd w:val="clear" w:color="auto" w:fill="auto"/>
            <w:vAlign w:val="center"/>
            <w:hideMark/>
          </w:tcPr>
          <w:p w:rsidR="002A48C2" w:rsidRPr="002535DD" w:rsidRDefault="002A48C2" w:rsidP="002A48C2">
            <w:pPr>
              <w:rPr>
                <w:sz w:val="22"/>
                <w:szCs w:val="22"/>
              </w:rPr>
            </w:pPr>
            <w:r w:rsidRPr="002535DD">
              <w:rPr>
                <w:sz w:val="22"/>
                <w:szCs w:val="22"/>
              </w:rPr>
              <w:t>30- Days or More Intervention </w:t>
            </w:r>
          </w:p>
        </w:tc>
      </w:tr>
      <w:tr w:rsidR="002535DD" w:rsidRPr="002535DD" w:rsidTr="002535DD">
        <w:trPr>
          <w:trHeight w:val="12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63092" w:rsidRPr="002535DD" w:rsidRDefault="00116CFA" w:rsidP="00263092">
            <w:pPr>
              <w:rPr>
                <w:sz w:val="22"/>
                <w:szCs w:val="22"/>
              </w:rPr>
            </w:pPr>
            <w:r w:rsidRPr="002535DD">
              <w:rPr>
                <w:sz w:val="22"/>
                <w:szCs w:val="22"/>
              </w:rPr>
              <w:t>Base line</w:t>
            </w:r>
          </w:p>
        </w:tc>
        <w:tc>
          <w:tcPr>
            <w:tcW w:w="1441"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7,937</w:t>
            </w:r>
          </w:p>
        </w:tc>
        <w:tc>
          <w:tcPr>
            <w:tcW w:w="135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7,937</w:t>
            </w:r>
          </w:p>
        </w:tc>
        <w:tc>
          <w:tcPr>
            <w:tcW w:w="117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6700D3">
            <w:pPr>
              <w:rPr>
                <w:sz w:val="22"/>
                <w:szCs w:val="22"/>
              </w:rPr>
            </w:pPr>
            <w:r w:rsidRPr="002535DD">
              <w:rPr>
                <w:sz w:val="22"/>
                <w:szCs w:val="22"/>
              </w:rPr>
              <w:t>0.</w:t>
            </w:r>
            <w:r w:rsidR="00567F4B" w:rsidRPr="002535DD">
              <w:rPr>
                <w:sz w:val="22"/>
                <w:szCs w:val="22"/>
                <w:lang w:bidi="ar-SA"/>
              </w:rPr>
              <w:t>8</w:t>
            </w:r>
            <w:r w:rsidR="006700D3">
              <w:rPr>
                <w:sz w:val="22"/>
                <w:szCs w:val="22"/>
                <w:lang w:bidi="ar-SA"/>
              </w:rPr>
              <w:t>4</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567F4B" w:rsidP="002971D9">
            <w:pPr>
              <w:rPr>
                <w:sz w:val="22"/>
                <w:szCs w:val="22"/>
              </w:rPr>
            </w:pPr>
            <w:r w:rsidRPr="00FB7865">
              <w:rPr>
                <w:sz w:val="22"/>
                <w:szCs w:val="22"/>
                <w:lang w:bidi="ar-SA"/>
              </w:rPr>
              <w:t>6,</w:t>
            </w:r>
            <w:r w:rsidR="002266D2" w:rsidRPr="00FB7865">
              <w:rPr>
                <w:sz w:val="22"/>
                <w:szCs w:val="22"/>
                <w:lang w:bidi="ar-SA"/>
              </w:rPr>
              <w:t>667</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6700D3" w:rsidP="006700D3">
            <w:pPr>
              <w:rPr>
                <w:sz w:val="22"/>
                <w:szCs w:val="22"/>
              </w:rPr>
            </w:pPr>
            <w:r w:rsidRPr="00FB7865">
              <w:rPr>
                <w:sz w:val="22"/>
                <w:szCs w:val="22"/>
              </w:rPr>
              <w:t xml:space="preserve"> $16.57</w:t>
            </w:r>
            <w:r w:rsidR="00116CFA" w:rsidRPr="00FB7865">
              <w:rPr>
                <w:sz w:val="22"/>
                <w:szCs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5159F1" w:rsidRPr="00FB7865" w:rsidRDefault="00116CFA" w:rsidP="00320484">
            <w:pPr>
              <w:rPr>
                <w:sz w:val="22"/>
                <w:szCs w:val="22"/>
              </w:rPr>
            </w:pPr>
            <w:r w:rsidRPr="00FB7865">
              <w:rPr>
                <w:sz w:val="22"/>
                <w:szCs w:val="22"/>
              </w:rPr>
              <w:t>$</w:t>
            </w:r>
            <w:r w:rsidR="002266D2" w:rsidRPr="00FB7865">
              <w:rPr>
                <w:sz w:val="22"/>
                <w:szCs w:val="22"/>
                <w:lang w:bidi="ar-SA"/>
              </w:rPr>
              <w:t>110,</w:t>
            </w:r>
            <w:r w:rsidR="005B54B7" w:rsidRPr="00FB7865">
              <w:rPr>
                <w:sz w:val="22"/>
                <w:szCs w:val="22"/>
                <w:lang w:bidi="ar-SA"/>
              </w:rPr>
              <w:t>474</w:t>
            </w:r>
            <w:r w:rsidRPr="00FB7865">
              <w:rPr>
                <w:sz w:val="22"/>
                <w:szCs w:val="22"/>
              </w:rPr>
              <w:t xml:space="preserve"> </w:t>
            </w:r>
          </w:p>
        </w:tc>
      </w:tr>
      <w:tr w:rsidR="002D2C12" w:rsidRPr="002535DD" w:rsidTr="00986034">
        <w:trPr>
          <w:trHeight w:val="9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D2C12" w:rsidRPr="002535DD" w:rsidRDefault="002D2C12" w:rsidP="00263092">
            <w:pPr>
              <w:rPr>
                <w:sz w:val="22"/>
                <w:szCs w:val="22"/>
              </w:rPr>
            </w:pPr>
            <w:r w:rsidRPr="002535DD">
              <w:rPr>
                <w:sz w:val="22"/>
                <w:szCs w:val="22"/>
              </w:rPr>
              <w:t>Exit</w:t>
            </w:r>
          </w:p>
        </w:tc>
        <w:tc>
          <w:tcPr>
            <w:tcW w:w="1441"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4,887</w:t>
            </w:r>
          </w:p>
        </w:tc>
        <w:tc>
          <w:tcPr>
            <w:tcW w:w="135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jc w:val="both"/>
              <w:rPr>
                <w:sz w:val="22"/>
                <w:szCs w:val="22"/>
              </w:rPr>
            </w:pPr>
            <w:r w:rsidRPr="002535DD">
              <w:rPr>
                <w:sz w:val="22"/>
                <w:szCs w:val="22"/>
                <w:lang w:bidi="ar-SA"/>
              </w:rPr>
              <w:t>4,887</w:t>
            </w:r>
          </w:p>
        </w:tc>
        <w:tc>
          <w:tcPr>
            <w:tcW w:w="117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6700D3">
            <w:pPr>
              <w:rPr>
                <w:sz w:val="22"/>
                <w:szCs w:val="22"/>
              </w:rPr>
            </w:pPr>
            <w:r w:rsidRPr="002535DD">
              <w:rPr>
                <w:sz w:val="22"/>
                <w:szCs w:val="22"/>
              </w:rPr>
              <w:t>0.</w:t>
            </w:r>
            <w:r w:rsidRPr="002535DD">
              <w:rPr>
                <w:sz w:val="22"/>
                <w:szCs w:val="22"/>
                <w:lang w:bidi="ar-SA"/>
              </w:rPr>
              <w:t>8</w:t>
            </w:r>
            <w:r>
              <w:rPr>
                <w:sz w:val="22"/>
                <w:szCs w:val="22"/>
                <w:lang w:bidi="ar-SA"/>
              </w:rPr>
              <w:t>4</w:t>
            </w:r>
          </w:p>
        </w:tc>
        <w:tc>
          <w:tcPr>
            <w:tcW w:w="90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lang w:bidi="ar-SA"/>
              </w:rPr>
              <w:t>4,</w:t>
            </w:r>
            <w:r w:rsidR="005B54B7" w:rsidRPr="00FB7865">
              <w:rPr>
                <w:sz w:val="22"/>
                <w:szCs w:val="22"/>
                <w:lang w:bidi="ar-SA"/>
              </w:rPr>
              <w:t>105</w:t>
            </w:r>
          </w:p>
        </w:tc>
        <w:tc>
          <w:tcPr>
            <w:tcW w:w="900" w:type="dxa"/>
            <w:tcBorders>
              <w:top w:val="nil"/>
              <w:left w:val="nil"/>
              <w:bottom w:val="single" w:sz="8" w:space="0" w:color="auto"/>
              <w:right w:val="single" w:sz="8" w:space="0" w:color="auto"/>
            </w:tcBorders>
            <w:shd w:val="clear" w:color="auto" w:fill="auto"/>
            <w:hideMark/>
          </w:tcPr>
          <w:p w:rsidR="002D2C12" w:rsidRPr="00FB7865" w:rsidRDefault="002D2C12" w:rsidP="002971D9">
            <w:pPr>
              <w:rPr>
                <w:sz w:val="22"/>
                <w:szCs w:val="22"/>
              </w:rPr>
            </w:pPr>
            <w:r w:rsidRPr="00FB7865">
              <w:rPr>
                <w:sz w:val="22"/>
                <w:szCs w:val="22"/>
              </w:rPr>
              <w:t xml:space="preserve">$16.57 </w:t>
            </w:r>
          </w:p>
        </w:tc>
        <w:tc>
          <w:tcPr>
            <w:tcW w:w="108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rPr>
              <w:t>$</w:t>
            </w:r>
            <w:r w:rsidR="005B54B7" w:rsidRPr="00FB7865">
              <w:rPr>
                <w:sz w:val="22"/>
                <w:szCs w:val="22"/>
                <w:lang w:bidi="ar-SA"/>
              </w:rPr>
              <w:t>68,021</w:t>
            </w:r>
            <w:r w:rsidRPr="00FB7865">
              <w:rPr>
                <w:sz w:val="22"/>
                <w:szCs w:val="22"/>
              </w:rPr>
              <w:t xml:space="preserve"> </w:t>
            </w:r>
          </w:p>
        </w:tc>
      </w:tr>
      <w:tr w:rsidR="002D2C12" w:rsidRPr="002535DD" w:rsidTr="00986034">
        <w:trPr>
          <w:trHeight w:val="6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D2C12" w:rsidRPr="002535DD" w:rsidRDefault="002D2C12" w:rsidP="00263092">
            <w:pPr>
              <w:rPr>
                <w:sz w:val="22"/>
                <w:szCs w:val="22"/>
              </w:rPr>
            </w:pPr>
            <w:r w:rsidRPr="002535DD">
              <w:rPr>
                <w:sz w:val="22"/>
                <w:szCs w:val="22"/>
              </w:rPr>
              <w:t>Follow-up</w:t>
            </w:r>
          </w:p>
        </w:tc>
        <w:tc>
          <w:tcPr>
            <w:tcW w:w="1441"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2,942</w:t>
            </w:r>
          </w:p>
        </w:tc>
        <w:tc>
          <w:tcPr>
            <w:tcW w:w="135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2,942</w:t>
            </w:r>
          </w:p>
        </w:tc>
        <w:tc>
          <w:tcPr>
            <w:tcW w:w="117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6700D3">
            <w:pPr>
              <w:rPr>
                <w:sz w:val="22"/>
                <w:szCs w:val="22"/>
              </w:rPr>
            </w:pPr>
            <w:r w:rsidRPr="002535DD">
              <w:rPr>
                <w:sz w:val="22"/>
                <w:szCs w:val="22"/>
              </w:rPr>
              <w:t>0.</w:t>
            </w:r>
            <w:r w:rsidRPr="002535DD">
              <w:rPr>
                <w:sz w:val="22"/>
                <w:szCs w:val="22"/>
                <w:lang w:bidi="ar-SA"/>
              </w:rPr>
              <w:t>8</w:t>
            </w:r>
            <w:r>
              <w:rPr>
                <w:sz w:val="22"/>
                <w:szCs w:val="22"/>
                <w:lang w:bidi="ar-SA"/>
              </w:rPr>
              <w:t>4</w:t>
            </w:r>
          </w:p>
        </w:tc>
        <w:tc>
          <w:tcPr>
            <w:tcW w:w="90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lang w:bidi="ar-SA"/>
              </w:rPr>
              <w:t>2,4</w:t>
            </w:r>
            <w:r w:rsidR="005B54B7" w:rsidRPr="00FB7865">
              <w:rPr>
                <w:sz w:val="22"/>
                <w:szCs w:val="22"/>
                <w:lang w:bidi="ar-SA"/>
              </w:rPr>
              <w:t>71</w:t>
            </w:r>
          </w:p>
        </w:tc>
        <w:tc>
          <w:tcPr>
            <w:tcW w:w="900" w:type="dxa"/>
            <w:tcBorders>
              <w:top w:val="nil"/>
              <w:left w:val="nil"/>
              <w:bottom w:val="single" w:sz="8" w:space="0" w:color="auto"/>
              <w:right w:val="single" w:sz="8" w:space="0" w:color="auto"/>
            </w:tcBorders>
            <w:shd w:val="clear" w:color="auto" w:fill="auto"/>
            <w:hideMark/>
          </w:tcPr>
          <w:p w:rsidR="002D2C12" w:rsidRPr="00FB7865" w:rsidRDefault="002D2C12" w:rsidP="002971D9">
            <w:pPr>
              <w:rPr>
                <w:sz w:val="22"/>
                <w:szCs w:val="22"/>
              </w:rPr>
            </w:pPr>
            <w:r w:rsidRPr="00FB7865">
              <w:rPr>
                <w:sz w:val="22"/>
                <w:szCs w:val="22"/>
              </w:rPr>
              <w:t xml:space="preserve">$16.57 </w:t>
            </w:r>
          </w:p>
        </w:tc>
        <w:tc>
          <w:tcPr>
            <w:tcW w:w="108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rPr>
              <w:t>$</w:t>
            </w:r>
            <w:r w:rsidR="005B54B7" w:rsidRPr="00FB7865">
              <w:rPr>
                <w:sz w:val="22"/>
                <w:szCs w:val="22"/>
                <w:lang w:bidi="ar-SA"/>
              </w:rPr>
              <w:t>40,949</w:t>
            </w:r>
            <w:r w:rsidRPr="00FB7865">
              <w:rPr>
                <w:sz w:val="22"/>
                <w:szCs w:val="22"/>
              </w:rPr>
              <w:t xml:space="preserve"> </w:t>
            </w:r>
          </w:p>
        </w:tc>
      </w:tr>
      <w:tr w:rsidR="002535DD" w:rsidRPr="002535DD" w:rsidTr="002535DD">
        <w:trPr>
          <w:trHeight w:val="520"/>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63092" w:rsidRPr="002535DD" w:rsidRDefault="00116CFA" w:rsidP="00263092">
            <w:pPr>
              <w:rPr>
                <w:sz w:val="22"/>
                <w:szCs w:val="22"/>
              </w:rPr>
            </w:pPr>
            <w:r w:rsidRPr="002535DD">
              <w:rPr>
                <w:sz w:val="22"/>
                <w:szCs w:val="22"/>
              </w:rPr>
              <w:t>Subtotal</w:t>
            </w:r>
          </w:p>
        </w:tc>
        <w:tc>
          <w:tcPr>
            <w:tcW w:w="1441" w:type="dxa"/>
            <w:tcBorders>
              <w:top w:val="nil"/>
              <w:left w:val="nil"/>
              <w:bottom w:val="single" w:sz="8" w:space="0" w:color="auto"/>
              <w:right w:val="single" w:sz="8" w:space="0" w:color="auto"/>
            </w:tcBorders>
            <w:shd w:val="clear" w:color="auto" w:fill="auto"/>
            <w:vAlign w:val="center"/>
            <w:hideMark/>
          </w:tcPr>
          <w:p w:rsidR="00567F4B" w:rsidRPr="002535DD" w:rsidRDefault="00567F4B" w:rsidP="000810C6">
            <w:pPr>
              <w:rPr>
                <w:sz w:val="22"/>
                <w:szCs w:val="22"/>
                <w:lang w:bidi="ar-SA"/>
              </w:rPr>
            </w:pPr>
          </w:p>
          <w:p w:rsidR="005159F1" w:rsidRPr="002535DD" w:rsidRDefault="00567F4B" w:rsidP="002971D9">
            <w:pPr>
              <w:rPr>
                <w:sz w:val="22"/>
                <w:szCs w:val="22"/>
              </w:rPr>
            </w:pPr>
            <w:r w:rsidRPr="002535DD">
              <w:rPr>
                <w:sz w:val="22"/>
                <w:szCs w:val="22"/>
                <w:lang w:bidi="ar-SA"/>
              </w:rPr>
              <w:t>7,937</w:t>
            </w:r>
          </w:p>
        </w:tc>
        <w:tc>
          <w:tcPr>
            <w:tcW w:w="1350" w:type="dxa"/>
            <w:tcBorders>
              <w:top w:val="nil"/>
              <w:left w:val="nil"/>
              <w:bottom w:val="single" w:sz="8" w:space="0" w:color="auto"/>
              <w:right w:val="single" w:sz="8" w:space="0" w:color="auto"/>
            </w:tcBorders>
            <w:shd w:val="clear" w:color="auto" w:fill="auto"/>
            <w:vAlign w:val="center"/>
            <w:hideMark/>
          </w:tcPr>
          <w:p w:rsidR="005159F1" w:rsidRPr="002535DD" w:rsidRDefault="005159F1" w:rsidP="002971D9">
            <w:pPr>
              <w:rPr>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rsidR="00567F4B" w:rsidRPr="002535DD" w:rsidRDefault="00567F4B" w:rsidP="000810C6">
            <w:pPr>
              <w:rPr>
                <w:sz w:val="22"/>
                <w:szCs w:val="22"/>
                <w:lang w:bidi="ar-SA"/>
              </w:rPr>
            </w:pPr>
          </w:p>
          <w:p w:rsidR="005159F1" w:rsidRPr="002535DD" w:rsidRDefault="00567F4B" w:rsidP="002971D9">
            <w:pPr>
              <w:rPr>
                <w:sz w:val="22"/>
                <w:szCs w:val="22"/>
              </w:rPr>
            </w:pPr>
            <w:r w:rsidRPr="002535DD">
              <w:rPr>
                <w:sz w:val="22"/>
                <w:szCs w:val="22"/>
                <w:lang w:bidi="ar-SA"/>
              </w:rPr>
              <w:t>15,766</w:t>
            </w:r>
          </w:p>
        </w:tc>
        <w:tc>
          <w:tcPr>
            <w:tcW w:w="1170" w:type="dxa"/>
            <w:tcBorders>
              <w:top w:val="nil"/>
              <w:left w:val="nil"/>
              <w:bottom w:val="single" w:sz="8" w:space="0" w:color="auto"/>
              <w:right w:val="single" w:sz="8" w:space="0" w:color="auto"/>
            </w:tcBorders>
            <w:shd w:val="clear" w:color="auto" w:fill="auto"/>
            <w:vAlign w:val="center"/>
            <w:hideMark/>
          </w:tcPr>
          <w:p w:rsidR="005159F1" w:rsidRPr="002535DD" w:rsidRDefault="005159F1" w:rsidP="002971D9">
            <w:pPr>
              <w:rPr>
                <w:sz w:val="22"/>
                <w:szCs w:val="22"/>
              </w:rPr>
            </w:pPr>
          </w:p>
        </w:tc>
        <w:tc>
          <w:tcPr>
            <w:tcW w:w="900" w:type="dxa"/>
            <w:tcBorders>
              <w:top w:val="nil"/>
              <w:left w:val="nil"/>
              <w:bottom w:val="single" w:sz="8" w:space="0" w:color="auto"/>
              <w:right w:val="single" w:sz="8" w:space="0" w:color="auto"/>
            </w:tcBorders>
            <w:shd w:val="clear" w:color="auto" w:fill="auto"/>
            <w:vAlign w:val="center"/>
            <w:hideMark/>
          </w:tcPr>
          <w:p w:rsidR="00567F4B" w:rsidRPr="00FB7865" w:rsidRDefault="00567F4B" w:rsidP="000810C6">
            <w:pPr>
              <w:rPr>
                <w:sz w:val="22"/>
                <w:szCs w:val="22"/>
                <w:lang w:bidi="ar-SA"/>
              </w:rPr>
            </w:pPr>
          </w:p>
          <w:p w:rsidR="005159F1" w:rsidRPr="00FB7865" w:rsidRDefault="00567F4B" w:rsidP="002971D9">
            <w:pPr>
              <w:rPr>
                <w:sz w:val="22"/>
                <w:szCs w:val="22"/>
              </w:rPr>
            </w:pPr>
            <w:r w:rsidRPr="00FB7865">
              <w:rPr>
                <w:sz w:val="22"/>
                <w:szCs w:val="22"/>
                <w:lang w:bidi="ar-SA"/>
              </w:rPr>
              <w:t>13,</w:t>
            </w:r>
            <w:r w:rsidR="005B54B7" w:rsidRPr="00FB7865">
              <w:rPr>
                <w:sz w:val="22"/>
                <w:szCs w:val="22"/>
                <w:lang w:bidi="ar-SA"/>
              </w:rPr>
              <w:t>243</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5159F1" w:rsidP="002971D9">
            <w:pPr>
              <w:rPr>
                <w:sz w:val="22"/>
                <w:szCs w:val="22"/>
              </w:rPr>
            </w:pPr>
          </w:p>
        </w:tc>
        <w:tc>
          <w:tcPr>
            <w:tcW w:w="1080" w:type="dxa"/>
            <w:tcBorders>
              <w:top w:val="nil"/>
              <w:left w:val="nil"/>
              <w:bottom w:val="single" w:sz="8" w:space="0" w:color="auto"/>
              <w:right w:val="single" w:sz="8" w:space="0" w:color="auto"/>
            </w:tcBorders>
            <w:shd w:val="clear" w:color="auto" w:fill="auto"/>
            <w:vAlign w:val="center"/>
            <w:hideMark/>
          </w:tcPr>
          <w:p w:rsidR="00567F4B" w:rsidRPr="00FB7865" w:rsidRDefault="00567F4B" w:rsidP="000810C6">
            <w:pPr>
              <w:rPr>
                <w:sz w:val="22"/>
                <w:szCs w:val="22"/>
                <w:lang w:bidi="ar-SA"/>
              </w:rPr>
            </w:pPr>
          </w:p>
          <w:p w:rsidR="005159F1" w:rsidRPr="00FB7865" w:rsidRDefault="00567F4B" w:rsidP="002971D9">
            <w:pPr>
              <w:rPr>
                <w:sz w:val="22"/>
                <w:szCs w:val="22"/>
              </w:rPr>
            </w:pPr>
            <w:r w:rsidRPr="00FB7865">
              <w:rPr>
                <w:sz w:val="22"/>
                <w:szCs w:val="22"/>
                <w:lang w:bidi="ar-SA"/>
              </w:rPr>
              <w:t>$</w:t>
            </w:r>
            <w:r w:rsidR="005B54B7" w:rsidRPr="00FB7865">
              <w:rPr>
                <w:sz w:val="22"/>
                <w:szCs w:val="22"/>
                <w:lang w:bidi="ar-SA"/>
              </w:rPr>
              <w:t>219,444</w:t>
            </w:r>
          </w:p>
        </w:tc>
      </w:tr>
      <w:tr w:rsidR="002A48C2" w:rsidRPr="002535DD" w:rsidTr="002A48C2">
        <w:trPr>
          <w:trHeight w:val="540"/>
        </w:trPr>
        <w:tc>
          <w:tcPr>
            <w:tcW w:w="9561" w:type="dxa"/>
            <w:gridSpan w:val="8"/>
            <w:tcBorders>
              <w:top w:val="nil"/>
              <w:left w:val="single" w:sz="8" w:space="0" w:color="auto"/>
              <w:bottom w:val="single" w:sz="8" w:space="0" w:color="auto"/>
              <w:right w:val="single" w:sz="8" w:space="0" w:color="auto"/>
            </w:tcBorders>
            <w:shd w:val="clear" w:color="auto" w:fill="auto"/>
            <w:vAlign w:val="bottom"/>
            <w:hideMark/>
          </w:tcPr>
          <w:p w:rsidR="002A48C2" w:rsidRPr="00FB7865" w:rsidRDefault="002A48C2" w:rsidP="002971D9">
            <w:pPr>
              <w:rPr>
                <w:sz w:val="22"/>
                <w:szCs w:val="22"/>
              </w:rPr>
            </w:pPr>
            <w:r w:rsidRPr="002535DD">
              <w:rPr>
                <w:sz w:val="22"/>
                <w:szCs w:val="22"/>
              </w:rPr>
              <w:t>2 to 29 Day Intervention</w:t>
            </w:r>
          </w:p>
        </w:tc>
      </w:tr>
      <w:tr w:rsidR="002D2C12" w:rsidRPr="002535DD" w:rsidTr="00986034">
        <w:trPr>
          <w:trHeight w:val="3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D2C12" w:rsidRPr="002535DD" w:rsidRDefault="002D2C12" w:rsidP="00263092">
            <w:pPr>
              <w:rPr>
                <w:sz w:val="22"/>
                <w:szCs w:val="22"/>
              </w:rPr>
            </w:pPr>
            <w:r w:rsidRPr="002535DD">
              <w:rPr>
                <w:sz w:val="22"/>
                <w:szCs w:val="22"/>
              </w:rPr>
              <w:t>Base line</w:t>
            </w:r>
          </w:p>
        </w:tc>
        <w:tc>
          <w:tcPr>
            <w:tcW w:w="1441"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1,416</w:t>
            </w:r>
          </w:p>
        </w:tc>
        <w:tc>
          <w:tcPr>
            <w:tcW w:w="135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1,416</w:t>
            </w:r>
          </w:p>
        </w:tc>
        <w:tc>
          <w:tcPr>
            <w:tcW w:w="117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jc w:val="both"/>
              <w:rPr>
                <w:sz w:val="22"/>
                <w:szCs w:val="22"/>
              </w:rPr>
            </w:pPr>
            <w:r w:rsidRPr="002535DD">
              <w:rPr>
                <w:sz w:val="22"/>
                <w:szCs w:val="22"/>
              </w:rPr>
              <w:t>0.</w:t>
            </w:r>
            <w:r w:rsidRPr="002535DD">
              <w:rPr>
                <w:sz w:val="22"/>
                <w:szCs w:val="22"/>
                <w:lang w:bidi="ar-SA"/>
              </w:rPr>
              <w:t>5</w:t>
            </w:r>
            <w:r>
              <w:rPr>
                <w:sz w:val="22"/>
                <w:szCs w:val="22"/>
                <w:lang w:bidi="ar-SA"/>
              </w:rPr>
              <w:t>1</w:t>
            </w:r>
          </w:p>
        </w:tc>
        <w:tc>
          <w:tcPr>
            <w:tcW w:w="90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lang w:bidi="ar-SA"/>
              </w:rPr>
              <w:t>7</w:t>
            </w:r>
            <w:r w:rsidR="009B6B85" w:rsidRPr="00FB7865">
              <w:rPr>
                <w:sz w:val="22"/>
                <w:szCs w:val="22"/>
                <w:lang w:bidi="ar-SA"/>
              </w:rPr>
              <w:t>22</w:t>
            </w:r>
          </w:p>
        </w:tc>
        <w:tc>
          <w:tcPr>
            <w:tcW w:w="900" w:type="dxa"/>
            <w:tcBorders>
              <w:top w:val="nil"/>
              <w:left w:val="nil"/>
              <w:bottom w:val="single" w:sz="8" w:space="0" w:color="auto"/>
              <w:right w:val="single" w:sz="8" w:space="0" w:color="auto"/>
            </w:tcBorders>
            <w:shd w:val="clear" w:color="auto" w:fill="auto"/>
            <w:hideMark/>
          </w:tcPr>
          <w:p w:rsidR="002D2C12" w:rsidRPr="00FB7865" w:rsidRDefault="002D2C12" w:rsidP="002971D9">
            <w:pPr>
              <w:rPr>
                <w:sz w:val="22"/>
                <w:szCs w:val="22"/>
              </w:rPr>
            </w:pPr>
            <w:r w:rsidRPr="00FB7865">
              <w:rPr>
                <w:sz w:val="22"/>
                <w:szCs w:val="22"/>
              </w:rPr>
              <w:t xml:space="preserve">$16.57 </w:t>
            </w:r>
          </w:p>
        </w:tc>
        <w:tc>
          <w:tcPr>
            <w:tcW w:w="108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rPr>
              <w:t>$</w:t>
            </w:r>
            <w:r w:rsidR="009B6B85" w:rsidRPr="00FB7865">
              <w:rPr>
                <w:sz w:val="22"/>
                <w:szCs w:val="22"/>
                <w:lang w:bidi="ar-SA"/>
              </w:rPr>
              <w:t>11,966</w:t>
            </w:r>
            <w:r w:rsidRPr="00FB7865">
              <w:rPr>
                <w:sz w:val="22"/>
                <w:szCs w:val="22"/>
              </w:rPr>
              <w:t xml:space="preserve"> </w:t>
            </w:r>
          </w:p>
        </w:tc>
      </w:tr>
      <w:tr w:rsidR="002D2C12" w:rsidRPr="002535DD" w:rsidTr="00986034">
        <w:trPr>
          <w:trHeight w:val="3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D2C12" w:rsidRPr="002535DD" w:rsidRDefault="002D2C12" w:rsidP="00263092">
            <w:pPr>
              <w:rPr>
                <w:sz w:val="22"/>
                <w:szCs w:val="22"/>
              </w:rPr>
            </w:pPr>
            <w:r w:rsidRPr="002535DD">
              <w:rPr>
                <w:sz w:val="22"/>
                <w:szCs w:val="22"/>
              </w:rPr>
              <w:t>Exit</w:t>
            </w:r>
          </w:p>
        </w:tc>
        <w:tc>
          <w:tcPr>
            <w:tcW w:w="1441"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872</w:t>
            </w:r>
          </w:p>
        </w:tc>
        <w:tc>
          <w:tcPr>
            <w:tcW w:w="135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lang w:bidi="ar-SA"/>
              </w:rPr>
              <w:t>872</w:t>
            </w:r>
          </w:p>
        </w:tc>
        <w:tc>
          <w:tcPr>
            <w:tcW w:w="1170" w:type="dxa"/>
            <w:tcBorders>
              <w:top w:val="nil"/>
              <w:left w:val="nil"/>
              <w:bottom w:val="single" w:sz="8" w:space="0" w:color="auto"/>
              <w:right w:val="single" w:sz="8" w:space="0" w:color="auto"/>
            </w:tcBorders>
            <w:shd w:val="clear" w:color="auto" w:fill="auto"/>
            <w:vAlign w:val="center"/>
            <w:hideMark/>
          </w:tcPr>
          <w:p w:rsidR="002D2C12" w:rsidRPr="002535DD" w:rsidRDefault="002D2C12" w:rsidP="002971D9">
            <w:pPr>
              <w:rPr>
                <w:sz w:val="22"/>
                <w:szCs w:val="22"/>
              </w:rPr>
            </w:pPr>
            <w:r w:rsidRPr="002535DD">
              <w:rPr>
                <w:sz w:val="22"/>
                <w:szCs w:val="22"/>
              </w:rPr>
              <w:t>0.</w:t>
            </w:r>
            <w:r w:rsidRPr="002535DD">
              <w:rPr>
                <w:sz w:val="22"/>
                <w:szCs w:val="22"/>
                <w:lang w:bidi="ar-SA"/>
              </w:rPr>
              <w:t>5</w:t>
            </w:r>
            <w:r>
              <w:rPr>
                <w:sz w:val="22"/>
                <w:szCs w:val="22"/>
                <w:lang w:bidi="ar-SA"/>
              </w:rPr>
              <w:t>1</w:t>
            </w:r>
          </w:p>
        </w:tc>
        <w:tc>
          <w:tcPr>
            <w:tcW w:w="90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lang w:bidi="ar-SA"/>
              </w:rPr>
              <w:t>4</w:t>
            </w:r>
            <w:r w:rsidR="009B6B85" w:rsidRPr="00FB7865">
              <w:rPr>
                <w:sz w:val="22"/>
                <w:szCs w:val="22"/>
                <w:lang w:bidi="ar-SA"/>
              </w:rPr>
              <w:t>45</w:t>
            </w:r>
          </w:p>
        </w:tc>
        <w:tc>
          <w:tcPr>
            <w:tcW w:w="900" w:type="dxa"/>
            <w:tcBorders>
              <w:top w:val="nil"/>
              <w:left w:val="nil"/>
              <w:bottom w:val="single" w:sz="8" w:space="0" w:color="auto"/>
              <w:right w:val="single" w:sz="8" w:space="0" w:color="auto"/>
            </w:tcBorders>
            <w:shd w:val="clear" w:color="auto" w:fill="auto"/>
            <w:hideMark/>
          </w:tcPr>
          <w:p w:rsidR="002D2C12" w:rsidRPr="00FB7865" w:rsidRDefault="002D2C12" w:rsidP="002971D9">
            <w:pPr>
              <w:rPr>
                <w:sz w:val="22"/>
                <w:szCs w:val="22"/>
              </w:rPr>
            </w:pPr>
            <w:r w:rsidRPr="00FB7865">
              <w:rPr>
                <w:sz w:val="22"/>
                <w:szCs w:val="22"/>
              </w:rPr>
              <w:t xml:space="preserve">$16.57 </w:t>
            </w:r>
          </w:p>
        </w:tc>
        <w:tc>
          <w:tcPr>
            <w:tcW w:w="1080" w:type="dxa"/>
            <w:tcBorders>
              <w:top w:val="nil"/>
              <w:left w:val="nil"/>
              <w:bottom w:val="single" w:sz="8" w:space="0" w:color="auto"/>
              <w:right w:val="single" w:sz="8" w:space="0" w:color="auto"/>
            </w:tcBorders>
            <w:shd w:val="clear" w:color="auto" w:fill="auto"/>
            <w:vAlign w:val="center"/>
            <w:hideMark/>
          </w:tcPr>
          <w:p w:rsidR="002D2C12" w:rsidRPr="00FB7865" w:rsidRDefault="002D2C12" w:rsidP="002971D9">
            <w:pPr>
              <w:rPr>
                <w:sz w:val="22"/>
                <w:szCs w:val="22"/>
              </w:rPr>
            </w:pPr>
            <w:r w:rsidRPr="00FB7865">
              <w:rPr>
                <w:sz w:val="22"/>
                <w:szCs w:val="22"/>
              </w:rPr>
              <w:t>$</w:t>
            </w:r>
            <w:r w:rsidR="009B6B85" w:rsidRPr="00FB7865">
              <w:rPr>
                <w:sz w:val="22"/>
                <w:szCs w:val="22"/>
                <w:lang w:bidi="ar-SA"/>
              </w:rPr>
              <w:t>7,369</w:t>
            </w:r>
            <w:r w:rsidRPr="00FB7865">
              <w:rPr>
                <w:sz w:val="22"/>
                <w:szCs w:val="22"/>
              </w:rPr>
              <w:t xml:space="preserve"> </w:t>
            </w:r>
          </w:p>
        </w:tc>
      </w:tr>
      <w:tr w:rsidR="002535DD" w:rsidRPr="002535DD" w:rsidTr="002535DD">
        <w:trPr>
          <w:trHeight w:val="3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63092" w:rsidRPr="002535DD" w:rsidRDefault="00116CFA" w:rsidP="00263092">
            <w:pPr>
              <w:rPr>
                <w:sz w:val="22"/>
                <w:szCs w:val="22"/>
              </w:rPr>
            </w:pPr>
            <w:r w:rsidRPr="002535DD">
              <w:rPr>
                <w:sz w:val="22"/>
                <w:szCs w:val="22"/>
              </w:rPr>
              <w:t>Subtotal</w:t>
            </w:r>
          </w:p>
        </w:tc>
        <w:tc>
          <w:tcPr>
            <w:tcW w:w="1441"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1,416</w:t>
            </w:r>
          </w:p>
        </w:tc>
        <w:tc>
          <w:tcPr>
            <w:tcW w:w="135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2971D9">
            <w:pPr>
              <w:rPr>
                <w:sz w:val="22"/>
                <w:szCs w:val="22"/>
              </w:rPr>
            </w:pPr>
            <w:r w:rsidRPr="002535DD">
              <w:rPr>
                <w:sz w:val="22"/>
                <w:szCs w:val="22"/>
              </w:rPr>
              <w:t> </w:t>
            </w:r>
          </w:p>
        </w:tc>
        <w:tc>
          <w:tcPr>
            <w:tcW w:w="1260"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2,28</w:t>
            </w:r>
            <w:r w:rsidR="00EB43D3">
              <w:rPr>
                <w:sz w:val="22"/>
                <w:szCs w:val="22"/>
                <w:lang w:bidi="ar-SA"/>
              </w:rPr>
              <w:t>8</w:t>
            </w:r>
          </w:p>
        </w:tc>
        <w:tc>
          <w:tcPr>
            <w:tcW w:w="117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2971D9">
            <w:pPr>
              <w:rPr>
                <w:sz w:val="22"/>
                <w:szCs w:val="22"/>
              </w:rPr>
            </w:pPr>
            <w:r w:rsidRPr="002535DD">
              <w:rPr>
                <w:sz w:val="22"/>
                <w:szCs w:val="22"/>
              </w:rPr>
              <w:t> </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116CFA" w:rsidP="002971D9">
            <w:pPr>
              <w:rPr>
                <w:sz w:val="22"/>
                <w:szCs w:val="22"/>
              </w:rPr>
            </w:pPr>
            <w:r w:rsidRPr="00FB7865">
              <w:rPr>
                <w:sz w:val="22"/>
                <w:szCs w:val="22"/>
              </w:rPr>
              <w:t>1,</w:t>
            </w:r>
            <w:r w:rsidR="00567F4B" w:rsidRPr="00FB7865">
              <w:rPr>
                <w:sz w:val="22"/>
                <w:szCs w:val="22"/>
                <w:lang w:bidi="ar-SA"/>
              </w:rPr>
              <w:t>1</w:t>
            </w:r>
            <w:r w:rsidR="009B6B85" w:rsidRPr="00FB7865">
              <w:rPr>
                <w:sz w:val="22"/>
                <w:szCs w:val="22"/>
                <w:lang w:bidi="ar-SA"/>
              </w:rPr>
              <w:t>67</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116CFA" w:rsidP="002971D9">
            <w:pPr>
              <w:rPr>
                <w:sz w:val="22"/>
                <w:szCs w:val="22"/>
              </w:rPr>
            </w:pPr>
            <w:r w:rsidRPr="00FB7865">
              <w:rPr>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5159F1" w:rsidRPr="00FB7865" w:rsidRDefault="00116CFA" w:rsidP="002971D9">
            <w:pPr>
              <w:rPr>
                <w:sz w:val="22"/>
                <w:szCs w:val="22"/>
              </w:rPr>
            </w:pPr>
            <w:r w:rsidRPr="00FB7865">
              <w:rPr>
                <w:sz w:val="22"/>
                <w:szCs w:val="22"/>
              </w:rPr>
              <w:t>$</w:t>
            </w:r>
            <w:r w:rsidR="009B6B85" w:rsidRPr="00FB7865">
              <w:rPr>
                <w:sz w:val="22"/>
                <w:szCs w:val="22"/>
                <w:lang w:bidi="ar-SA"/>
              </w:rPr>
              <w:t>19,335</w:t>
            </w:r>
            <w:r w:rsidRPr="00FB7865">
              <w:rPr>
                <w:sz w:val="22"/>
                <w:szCs w:val="22"/>
              </w:rPr>
              <w:t xml:space="preserve"> </w:t>
            </w:r>
          </w:p>
        </w:tc>
      </w:tr>
      <w:tr w:rsidR="002A48C2" w:rsidRPr="002535DD" w:rsidTr="002A48C2">
        <w:trPr>
          <w:trHeight w:val="540"/>
        </w:trPr>
        <w:tc>
          <w:tcPr>
            <w:tcW w:w="9561" w:type="dxa"/>
            <w:gridSpan w:val="8"/>
            <w:tcBorders>
              <w:top w:val="nil"/>
              <w:left w:val="single" w:sz="8" w:space="0" w:color="auto"/>
              <w:bottom w:val="single" w:sz="8" w:space="0" w:color="auto"/>
              <w:right w:val="single" w:sz="8" w:space="0" w:color="auto"/>
            </w:tcBorders>
            <w:shd w:val="clear" w:color="auto" w:fill="auto"/>
            <w:vAlign w:val="bottom"/>
            <w:hideMark/>
          </w:tcPr>
          <w:p w:rsidR="002A48C2" w:rsidRPr="00FB7865" w:rsidRDefault="002A48C2" w:rsidP="002971D9">
            <w:pPr>
              <w:jc w:val="both"/>
              <w:rPr>
                <w:sz w:val="22"/>
                <w:szCs w:val="22"/>
              </w:rPr>
            </w:pPr>
            <w:r w:rsidRPr="002535DD">
              <w:rPr>
                <w:sz w:val="22"/>
                <w:szCs w:val="22"/>
              </w:rPr>
              <w:t>Single Day Intervention</w:t>
            </w:r>
          </w:p>
        </w:tc>
      </w:tr>
      <w:tr w:rsidR="002535DD" w:rsidRPr="002535DD" w:rsidTr="002535DD">
        <w:trPr>
          <w:trHeight w:val="315"/>
        </w:trPr>
        <w:tc>
          <w:tcPr>
            <w:tcW w:w="1460" w:type="dxa"/>
            <w:tcBorders>
              <w:top w:val="nil"/>
              <w:left w:val="single" w:sz="8" w:space="0" w:color="auto"/>
              <w:bottom w:val="single" w:sz="8" w:space="0" w:color="auto"/>
              <w:right w:val="single" w:sz="8" w:space="0" w:color="auto"/>
            </w:tcBorders>
            <w:shd w:val="clear" w:color="auto" w:fill="auto"/>
            <w:vAlign w:val="bottom"/>
            <w:hideMark/>
          </w:tcPr>
          <w:p w:rsidR="00263092" w:rsidRPr="002535DD" w:rsidRDefault="00116CFA" w:rsidP="00263092">
            <w:pPr>
              <w:jc w:val="both"/>
              <w:rPr>
                <w:sz w:val="22"/>
                <w:szCs w:val="22"/>
              </w:rPr>
            </w:pPr>
            <w:r w:rsidRPr="002535DD">
              <w:rPr>
                <w:sz w:val="22"/>
                <w:szCs w:val="22"/>
              </w:rPr>
              <w:t>Exit</w:t>
            </w:r>
          </w:p>
        </w:tc>
        <w:tc>
          <w:tcPr>
            <w:tcW w:w="1441"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2,458</w:t>
            </w:r>
          </w:p>
        </w:tc>
        <w:tc>
          <w:tcPr>
            <w:tcW w:w="135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2971D9">
            <w:pPr>
              <w:rPr>
                <w:sz w:val="22"/>
                <w:szCs w:val="22"/>
              </w:rPr>
            </w:pPr>
            <w:r w:rsidRPr="002535DD">
              <w:rPr>
                <w:sz w:val="22"/>
                <w:szCs w:val="22"/>
              </w:rPr>
              <w:t>1</w:t>
            </w:r>
          </w:p>
        </w:tc>
        <w:tc>
          <w:tcPr>
            <w:tcW w:w="1260" w:type="dxa"/>
            <w:tcBorders>
              <w:top w:val="nil"/>
              <w:left w:val="nil"/>
              <w:bottom w:val="single" w:sz="8" w:space="0" w:color="auto"/>
              <w:right w:val="single" w:sz="8" w:space="0" w:color="auto"/>
            </w:tcBorders>
            <w:shd w:val="clear" w:color="auto" w:fill="auto"/>
            <w:vAlign w:val="center"/>
            <w:hideMark/>
          </w:tcPr>
          <w:p w:rsidR="005159F1" w:rsidRPr="002535DD" w:rsidRDefault="00567F4B" w:rsidP="002971D9">
            <w:pPr>
              <w:rPr>
                <w:sz w:val="22"/>
                <w:szCs w:val="22"/>
              </w:rPr>
            </w:pPr>
            <w:r w:rsidRPr="002535DD">
              <w:rPr>
                <w:sz w:val="22"/>
                <w:szCs w:val="22"/>
                <w:lang w:bidi="ar-SA"/>
              </w:rPr>
              <w:t>2,458</w:t>
            </w:r>
          </w:p>
        </w:tc>
        <w:tc>
          <w:tcPr>
            <w:tcW w:w="1170" w:type="dxa"/>
            <w:tcBorders>
              <w:top w:val="nil"/>
              <w:left w:val="nil"/>
              <w:bottom w:val="single" w:sz="8" w:space="0" w:color="auto"/>
              <w:right w:val="single" w:sz="8" w:space="0" w:color="auto"/>
            </w:tcBorders>
            <w:shd w:val="clear" w:color="auto" w:fill="auto"/>
            <w:vAlign w:val="center"/>
            <w:hideMark/>
          </w:tcPr>
          <w:p w:rsidR="005159F1" w:rsidRPr="002535DD" w:rsidRDefault="00116CFA" w:rsidP="002971D9">
            <w:pPr>
              <w:rPr>
                <w:sz w:val="22"/>
                <w:szCs w:val="22"/>
              </w:rPr>
            </w:pPr>
            <w:r w:rsidRPr="002535DD">
              <w:rPr>
                <w:sz w:val="22"/>
                <w:szCs w:val="22"/>
              </w:rPr>
              <w:t>0.</w:t>
            </w:r>
            <w:r w:rsidR="00567F4B" w:rsidRPr="002535DD">
              <w:rPr>
                <w:sz w:val="22"/>
                <w:szCs w:val="22"/>
                <w:lang w:bidi="ar-SA"/>
              </w:rPr>
              <w:t>2</w:t>
            </w:r>
            <w:r w:rsidR="006700D3">
              <w:rPr>
                <w:sz w:val="22"/>
                <w:szCs w:val="22"/>
                <w:lang w:bidi="ar-SA"/>
              </w:rPr>
              <w:t>6</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567F4B" w:rsidP="002971D9">
            <w:pPr>
              <w:rPr>
                <w:sz w:val="22"/>
                <w:szCs w:val="22"/>
              </w:rPr>
            </w:pPr>
            <w:r w:rsidRPr="00FB7865">
              <w:rPr>
                <w:sz w:val="22"/>
                <w:szCs w:val="22"/>
                <w:lang w:bidi="ar-SA"/>
              </w:rPr>
              <w:t>6</w:t>
            </w:r>
            <w:r w:rsidR="009B6B85" w:rsidRPr="00FB7865">
              <w:rPr>
                <w:sz w:val="22"/>
                <w:szCs w:val="22"/>
                <w:lang w:bidi="ar-SA"/>
              </w:rPr>
              <w:t>39</w:t>
            </w:r>
          </w:p>
        </w:tc>
        <w:tc>
          <w:tcPr>
            <w:tcW w:w="900" w:type="dxa"/>
            <w:tcBorders>
              <w:top w:val="nil"/>
              <w:left w:val="nil"/>
              <w:bottom w:val="single" w:sz="8" w:space="0" w:color="auto"/>
              <w:right w:val="single" w:sz="8" w:space="0" w:color="auto"/>
            </w:tcBorders>
            <w:shd w:val="clear" w:color="auto" w:fill="auto"/>
            <w:vAlign w:val="center"/>
            <w:hideMark/>
          </w:tcPr>
          <w:p w:rsidR="005159F1" w:rsidRPr="00FB7865" w:rsidRDefault="002D2C12" w:rsidP="002971D9">
            <w:pPr>
              <w:rPr>
                <w:sz w:val="22"/>
                <w:szCs w:val="22"/>
              </w:rPr>
            </w:pPr>
            <w:r w:rsidRPr="00FB7865">
              <w:rPr>
                <w:sz w:val="22"/>
                <w:szCs w:val="22"/>
              </w:rPr>
              <w:t>$16.57</w:t>
            </w:r>
          </w:p>
        </w:tc>
        <w:tc>
          <w:tcPr>
            <w:tcW w:w="1080" w:type="dxa"/>
            <w:tcBorders>
              <w:top w:val="nil"/>
              <w:left w:val="nil"/>
              <w:bottom w:val="single" w:sz="8" w:space="0" w:color="auto"/>
              <w:right w:val="single" w:sz="8" w:space="0" w:color="auto"/>
            </w:tcBorders>
            <w:shd w:val="clear" w:color="auto" w:fill="auto"/>
            <w:vAlign w:val="center"/>
            <w:hideMark/>
          </w:tcPr>
          <w:p w:rsidR="005159F1" w:rsidRPr="00FB7865" w:rsidRDefault="00116CFA" w:rsidP="002971D9">
            <w:pPr>
              <w:rPr>
                <w:sz w:val="22"/>
                <w:szCs w:val="22"/>
              </w:rPr>
            </w:pPr>
            <w:r w:rsidRPr="00FB7865">
              <w:rPr>
                <w:sz w:val="22"/>
                <w:szCs w:val="22"/>
              </w:rPr>
              <w:t>$</w:t>
            </w:r>
            <w:r w:rsidR="009B6B85" w:rsidRPr="00FB7865">
              <w:rPr>
                <w:sz w:val="22"/>
                <w:szCs w:val="22"/>
                <w:lang w:bidi="ar-SA"/>
              </w:rPr>
              <w:t>10,590</w:t>
            </w:r>
          </w:p>
        </w:tc>
      </w:tr>
      <w:tr w:rsidR="002535DD" w:rsidRPr="002535DD" w:rsidTr="002535DD">
        <w:trPr>
          <w:trHeight w:val="585"/>
        </w:trPr>
        <w:tc>
          <w:tcPr>
            <w:tcW w:w="1460" w:type="dxa"/>
            <w:tcBorders>
              <w:top w:val="nil"/>
              <w:left w:val="single" w:sz="8" w:space="0" w:color="auto"/>
              <w:bottom w:val="single" w:sz="8" w:space="0" w:color="auto"/>
              <w:right w:val="single" w:sz="8" w:space="0" w:color="auto"/>
            </w:tcBorders>
            <w:shd w:val="clear" w:color="000000" w:fill="D8D8D8"/>
            <w:hideMark/>
          </w:tcPr>
          <w:p w:rsidR="00263092" w:rsidRPr="002535DD" w:rsidRDefault="00116CFA" w:rsidP="00263092">
            <w:pPr>
              <w:rPr>
                <w:sz w:val="22"/>
                <w:szCs w:val="22"/>
              </w:rPr>
            </w:pPr>
            <w:r w:rsidRPr="002535DD">
              <w:rPr>
                <w:sz w:val="22"/>
                <w:szCs w:val="22"/>
              </w:rPr>
              <w:t>Annualized Total</w:t>
            </w:r>
          </w:p>
        </w:tc>
        <w:tc>
          <w:tcPr>
            <w:tcW w:w="1441" w:type="dxa"/>
            <w:tcBorders>
              <w:top w:val="nil"/>
              <w:left w:val="nil"/>
              <w:bottom w:val="single" w:sz="8" w:space="0" w:color="auto"/>
              <w:right w:val="single" w:sz="8" w:space="0" w:color="auto"/>
            </w:tcBorders>
            <w:shd w:val="clear" w:color="000000" w:fill="D8D8D8"/>
            <w:vAlign w:val="center"/>
            <w:hideMark/>
          </w:tcPr>
          <w:p w:rsidR="005159F1" w:rsidRPr="002535DD" w:rsidRDefault="00567F4B" w:rsidP="007C5AA3">
            <w:pPr>
              <w:rPr>
                <w:sz w:val="22"/>
                <w:szCs w:val="22"/>
              </w:rPr>
            </w:pPr>
            <w:r w:rsidRPr="002535DD">
              <w:rPr>
                <w:sz w:val="22"/>
                <w:szCs w:val="22"/>
                <w:lang w:bidi="ar-SA"/>
              </w:rPr>
              <w:t>11,81</w:t>
            </w:r>
            <w:r w:rsidR="007C5AA3">
              <w:rPr>
                <w:sz w:val="22"/>
                <w:szCs w:val="22"/>
                <w:lang w:bidi="ar-SA"/>
              </w:rPr>
              <w:t>1</w:t>
            </w:r>
          </w:p>
        </w:tc>
        <w:tc>
          <w:tcPr>
            <w:tcW w:w="1350" w:type="dxa"/>
            <w:tcBorders>
              <w:top w:val="nil"/>
              <w:left w:val="nil"/>
              <w:bottom w:val="single" w:sz="8" w:space="0" w:color="auto"/>
              <w:right w:val="single" w:sz="8" w:space="0" w:color="auto"/>
            </w:tcBorders>
            <w:shd w:val="clear" w:color="000000" w:fill="D8D8D8"/>
            <w:vAlign w:val="center"/>
            <w:hideMark/>
          </w:tcPr>
          <w:p w:rsidR="005159F1" w:rsidRPr="002535DD" w:rsidRDefault="00116CFA" w:rsidP="002971D9">
            <w:pPr>
              <w:rPr>
                <w:sz w:val="22"/>
                <w:szCs w:val="22"/>
              </w:rPr>
            </w:pPr>
            <w:r w:rsidRPr="002535DD">
              <w:rPr>
                <w:sz w:val="22"/>
                <w:szCs w:val="22"/>
              </w:rPr>
              <w:t> </w:t>
            </w:r>
          </w:p>
        </w:tc>
        <w:tc>
          <w:tcPr>
            <w:tcW w:w="1260" w:type="dxa"/>
            <w:tcBorders>
              <w:top w:val="nil"/>
              <w:left w:val="nil"/>
              <w:bottom w:val="single" w:sz="8" w:space="0" w:color="auto"/>
              <w:right w:val="single" w:sz="8" w:space="0" w:color="auto"/>
            </w:tcBorders>
            <w:shd w:val="clear" w:color="000000" w:fill="D8D8D8"/>
            <w:vAlign w:val="center"/>
            <w:hideMark/>
          </w:tcPr>
          <w:p w:rsidR="005159F1" w:rsidRPr="002535DD" w:rsidRDefault="00567F4B" w:rsidP="002971D9">
            <w:pPr>
              <w:rPr>
                <w:sz w:val="22"/>
                <w:szCs w:val="22"/>
              </w:rPr>
            </w:pPr>
            <w:r w:rsidRPr="002535DD">
              <w:rPr>
                <w:sz w:val="22"/>
                <w:szCs w:val="22"/>
                <w:lang w:bidi="ar-SA"/>
              </w:rPr>
              <w:t>20</w:t>
            </w:r>
            <w:r w:rsidR="00116CFA" w:rsidRPr="002535DD">
              <w:rPr>
                <w:sz w:val="22"/>
                <w:szCs w:val="22"/>
              </w:rPr>
              <w:t>,51</w:t>
            </w:r>
            <w:r w:rsidR="00EB43D3">
              <w:rPr>
                <w:sz w:val="22"/>
                <w:szCs w:val="22"/>
              </w:rPr>
              <w:t>2</w:t>
            </w:r>
          </w:p>
        </w:tc>
        <w:tc>
          <w:tcPr>
            <w:tcW w:w="1170" w:type="dxa"/>
            <w:tcBorders>
              <w:top w:val="nil"/>
              <w:left w:val="nil"/>
              <w:bottom w:val="single" w:sz="8" w:space="0" w:color="auto"/>
              <w:right w:val="single" w:sz="8" w:space="0" w:color="auto"/>
            </w:tcBorders>
            <w:shd w:val="clear" w:color="000000" w:fill="D8D8D8"/>
            <w:vAlign w:val="center"/>
            <w:hideMark/>
          </w:tcPr>
          <w:p w:rsidR="005159F1" w:rsidRPr="002535DD" w:rsidRDefault="00116CFA" w:rsidP="002971D9">
            <w:pPr>
              <w:rPr>
                <w:sz w:val="22"/>
                <w:szCs w:val="22"/>
              </w:rPr>
            </w:pPr>
            <w:r w:rsidRPr="002535DD">
              <w:rPr>
                <w:sz w:val="22"/>
                <w:szCs w:val="22"/>
              </w:rPr>
              <w:t> </w:t>
            </w:r>
          </w:p>
        </w:tc>
        <w:tc>
          <w:tcPr>
            <w:tcW w:w="900" w:type="dxa"/>
            <w:tcBorders>
              <w:top w:val="nil"/>
              <w:left w:val="nil"/>
              <w:bottom w:val="single" w:sz="8" w:space="0" w:color="auto"/>
              <w:right w:val="single" w:sz="8" w:space="0" w:color="auto"/>
            </w:tcBorders>
            <w:shd w:val="clear" w:color="000000" w:fill="D8D8D8"/>
            <w:vAlign w:val="center"/>
            <w:hideMark/>
          </w:tcPr>
          <w:p w:rsidR="005159F1" w:rsidRPr="00FB7865" w:rsidRDefault="00567F4B" w:rsidP="002971D9">
            <w:pPr>
              <w:rPr>
                <w:sz w:val="22"/>
                <w:szCs w:val="22"/>
              </w:rPr>
            </w:pPr>
            <w:r w:rsidRPr="00FB7865">
              <w:rPr>
                <w:sz w:val="22"/>
                <w:szCs w:val="22"/>
                <w:lang w:bidi="ar-SA"/>
              </w:rPr>
              <w:t>1</w:t>
            </w:r>
            <w:r w:rsidR="00B42E34" w:rsidRPr="00FB7865">
              <w:rPr>
                <w:sz w:val="22"/>
                <w:szCs w:val="22"/>
                <w:lang w:bidi="ar-SA"/>
              </w:rPr>
              <w:t>5,049</w:t>
            </w:r>
          </w:p>
        </w:tc>
        <w:tc>
          <w:tcPr>
            <w:tcW w:w="900" w:type="dxa"/>
            <w:tcBorders>
              <w:top w:val="nil"/>
              <w:left w:val="nil"/>
              <w:bottom w:val="single" w:sz="8" w:space="0" w:color="auto"/>
              <w:right w:val="single" w:sz="8" w:space="0" w:color="auto"/>
            </w:tcBorders>
            <w:shd w:val="clear" w:color="000000" w:fill="D8D8D8"/>
            <w:vAlign w:val="center"/>
            <w:hideMark/>
          </w:tcPr>
          <w:p w:rsidR="005159F1" w:rsidRPr="00FB7865" w:rsidRDefault="00116CFA" w:rsidP="002971D9">
            <w:pPr>
              <w:rPr>
                <w:sz w:val="22"/>
                <w:szCs w:val="22"/>
              </w:rPr>
            </w:pPr>
            <w:r w:rsidRPr="00FB7865">
              <w:rPr>
                <w:sz w:val="22"/>
                <w:szCs w:val="22"/>
              </w:rPr>
              <w:t> </w:t>
            </w:r>
          </w:p>
        </w:tc>
        <w:tc>
          <w:tcPr>
            <w:tcW w:w="1080" w:type="dxa"/>
            <w:tcBorders>
              <w:top w:val="nil"/>
              <w:left w:val="nil"/>
              <w:bottom w:val="single" w:sz="8" w:space="0" w:color="auto"/>
              <w:right w:val="single" w:sz="8" w:space="0" w:color="auto"/>
            </w:tcBorders>
            <w:shd w:val="clear" w:color="000000" w:fill="D8D8D8"/>
            <w:vAlign w:val="center"/>
            <w:hideMark/>
          </w:tcPr>
          <w:p w:rsidR="005159F1" w:rsidRPr="00FB7865" w:rsidRDefault="00116CFA" w:rsidP="002971D9">
            <w:pPr>
              <w:rPr>
                <w:sz w:val="22"/>
                <w:szCs w:val="22"/>
              </w:rPr>
            </w:pPr>
            <w:r w:rsidRPr="00FB7865">
              <w:rPr>
                <w:sz w:val="22"/>
                <w:szCs w:val="22"/>
              </w:rPr>
              <w:t>$</w:t>
            </w:r>
            <w:r w:rsidR="00986034" w:rsidRPr="00FB7865">
              <w:rPr>
                <w:sz w:val="22"/>
                <w:szCs w:val="22"/>
              </w:rPr>
              <w:t>249,369</w:t>
            </w:r>
          </w:p>
        </w:tc>
      </w:tr>
    </w:tbl>
    <w:p w:rsidR="00263092" w:rsidRPr="002535DD" w:rsidRDefault="00263092"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b/>
          <w:sz w:val="22"/>
          <w:szCs w:val="22"/>
        </w:rPr>
      </w:pPr>
    </w:p>
    <w:p w:rsidR="00371F0E" w:rsidRDefault="002671EE" w:rsidP="00567F4B">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Style w:val="WP9BodyText"/>
        </w:rPr>
      </w:pPr>
      <w:r w:rsidRPr="002535DD">
        <w:rPr>
          <w:rStyle w:val="WP9BodyText"/>
          <w:sz w:val="22"/>
          <w:szCs w:val="22"/>
        </w:rPr>
        <w:br/>
      </w:r>
      <w:r w:rsidR="00371F0E" w:rsidRPr="00A723E8">
        <w:rPr>
          <w:rStyle w:val="WP9BodyText"/>
        </w:rPr>
        <w:t>Note</w:t>
      </w:r>
      <w:r w:rsidR="002502EC">
        <w:rPr>
          <w:rStyle w:val="WP9BodyText"/>
        </w:rPr>
        <w:t xml:space="preserve"> 1</w:t>
      </w:r>
      <w:r w:rsidR="00371F0E" w:rsidRPr="00A723E8">
        <w:rPr>
          <w:rStyle w:val="WP9BodyText"/>
        </w:rPr>
        <w:t>:</w:t>
      </w:r>
      <w:r w:rsidR="00371F0E" w:rsidRPr="00A723E8">
        <w:rPr>
          <w:color w:val="1F497D"/>
        </w:rPr>
        <w:t xml:space="preserve"> </w:t>
      </w:r>
      <w:r w:rsidR="00371F0E" w:rsidRPr="00A723E8">
        <w:rPr>
          <w:rStyle w:val="WP9BodyText"/>
        </w:rPr>
        <w:t>Due to rounding, totals and subtotals may appear to be different than the sum of its components by a one point range.</w:t>
      </w:r>
    </w:p>
    <w:p w:rsidR="002502EC" w:rsidRDefault="002502EC" w:rsidP="00567F4B">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Style w:val="WP9BodyText"/>
        </w:rPr>
      </w:pPr>
    </w:p>
    <w:p w:rsidR="002502EC" w:rsidRDefault="002502EC" w:rsidP="002502E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Pr>
          <w:rStyle w:val="WP9BodyText"/>
        </w:rPr>
        <w:t>Note 2: The total hour cost is based on the estimated number of adults that will take the survey and does not include cost for youth participants.</w:t>
      </w:r>
    </w:p>
    <w:p w:rsidR="00822254" w:rsidRDefault="00822254" w:rsidP="002671EE">
      <w:pPr>
        <w:rPr>
          <w:rFonts w:ascii="Arial" w:hAnsi="Arial"/>
          <w:b/>
          <w:color w:val="000000"/>
          <w:sz w:val="28"/>
        </w:rPr>
      </w:pPr>
    </w:p>
    <w:p w:rsidR="00822254" w:rsidRDefault="00822254">
      <w:pPr>
        <w:rPr>
          <w:rFonts w:ascii="Arial" w:hAnsi="Arial"/>
          <w:b/>
          <w:color w:val="000000"/>
          <w:sz w:val="28"/>
        </w:rPr>
      </w:pPr>
      <w:r>
        <w:rPr>
          <w:rFonts w:ascii="Arial" w:hAnsi="Arial"/>
          <w:b/>
          <w:color w:val="000000"/>
          <w:sz w:val="28"/>
        </w:rPr>
        <w:br w:type="page"/>
      </w:r>
    </w:p>
    <w:p w:rsidR="002671EE" w:rsidRPr="00004F09" w:rsidRDefault="005B3871" w:rsidP="002671EE">
      <w:pPr>
        <w:rPr>
          <w:rStyle w:val="WP9BodyText"/>
          <w:rFonts w:ascii="Arial" w:hAnsi="Arial"/>
          <w:b/>
          <w:sz w:val="28"/>
        </w:rPr>
      </w:pPr>
      <w:proofErr w:type="gramStart"/>
      <w:r w:rsidRPr="005B3871">
        <w:rPr>
          <w:rFonts w:ascii="Arial" w:hAnsi="Arial"/>
          <w:b/>
          <w:color w:val="000000"/>
          <w:sz w:val="28"/>
        </w:rPr>
        <w:lastRenderedPageBreak/>
        <w:t xml:space="preserve">Table </w:t>
      </w:r>
      <w:r w:rsidR="00004F09" w:rsidRPr="00004F09">
        <w:rPr>
          <w:rFonts w:ascii="Arial" w:hAnsi="Arial" w:cs="Arial"/>
          <w:b/>
          <w:bCs/>
          <w:color w:val="000000"/>
          <w:sz w:val="28"/>
          <w:szCs w:val="28"/>
          <w:lang w:bidi="ar-SA"/>
        </w:rPr>
        <w:t>7b</w:t>
      </w:r>
      <w:r w:rsidRPr="005B3871">
        <w:rPr>
          <w:rFonts w:ascii="Arial" w:hAnsi="Arial"/>
          <w:b/>
          <w:color w:val="000000"/>
          <w:sz w:val="28"/>
        </w:rPr>
        <w:t>.</w:t>
      </w:r>
      <w:proofErr w:type="gramEnd"/>
      <w:r w:rsidRPr="005B3871">
        <w:rPr>
          <w:rFonts w:ascii="Arial" w:hAnsi="Arial"/>
          <w:b/>
          <w:color w:val="000000"/>
          <w:sz w:val="28"/>
        </w:rPr>
        <w:t xml:space="preserve">  Estimates of Annualized Hour Burden by Survey Type</w:t>
      </w:r>
      <w:r w:rsidRPr="005B3871">
        <w:rPr>
          <w:rStyle w:val="WP9BodyText"/>
          <w:rFonts w:ascii="Arial" w:hAnsi="Arial"/>
          <w:b/>
          <w:sz w:val="28"/>
        </w:rPr>
        <w:t xml:space="preserve">  </w:t>
      </w:r>
    </w:p>
    <w:p w:rsidR="00567F4B" w:rsidRDefault="00567F4B"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tbl>
      <w:tblPr>
        <w:tblW w:w="9062" w:type="dxa"/>
        <w:tblInd w:w="87" w:type="dxa"/>
        <w:tblLook w:val="04A0"/>
      </w:tblPr>
      <w:tblGrid>
        <w:gridCol w:w="1605"/>
        <w:gridCol w:w="1553"/>
        <w:gridCol w:w="1246"/>
        <w:gridCol w:w="1431"/>
        <w:gridCol w:w="1431"/>
        <w:gridCol w:w="1796"/>
      </w:tblGrid>
      <w:tr w:rsidR="0024000C" w:rsidRPr="00263092" w:rsidTr="0027520A">
        <w:trPr>
          <w:trHeight w:val="615"/>
        </w:trPr>
        <w:tc>
          <w:tcPr>
            <w:tcW w:w="1605" w:type="dxa"/>
            <w:tcBorders>
              <w:top w:val="single" w:sz="8" w:space="0" w:color="auto"/>
              <w:left w:val="single" w:sz="8" w:space="0" w:color="auto"/>
              <w:bottom w:val="double" w:sz="6" w:space="0" w:color="000000"/>
              <w:right w:val="single" w:sz="8" w:space="0" w:color="auto"/>
            </w:tcBorders>
            <w:shd w:val="clear" w:color="000000" w:fill="D9D9D9"/>
            <w:vAlign w:val="bottom"/>
            <w:hideMark/>
          </w:tcPr>
          <w:p w:rsidR="00263092" w:rsidRPr="002971D9" w:rsidRDefault="00116CFA" w:rsidP="00263092">
            <w:pPr>
              <w:jc w:val="both"/>
            </w:pPr>
            <w:r w:rsidRPr="002971D9">
              <w:t>Questionnaire</w:t>
            </w:r>
          </w:p>
        </w:tc>
        <w:tc>
          <w:tcPr>
            <w:tcW w:w="1553" w:type="dxa"/>
            <w:tcBorders>
              <w:top w:val="single" w:sz="8" w:space="0" w:color="auto"/>
              <w:left w:val="single" w:sz="8" w:space="0" w:color="auto"/>
              <w:bottom w:val="double" w:sz="6" w:space="0" w:color="000000"/>
              <w:right w:val="single" w:sz="8" w:space="0" w:color="auto"/>
            </w:tcBorders>
            <w:shd w:val="clear" w:color="000000" w:fill="D9D9D9"/>
            <w:vAlign w:val="bottom"/>
            <w:hideMark/>
          </w:tcPr>
          <w:p w:rsidR="00263092" w:rsidRPr="002971D9" w:rsidRDefault="00116CFA" w:rsidP="00263092">
            <w:pPr>
              <w:jc w:val="both"/>
            </w:pPr>
            <w:r w:rsidRPr="002971D9">
              <w:t>Number of Respondents</w:t>
            </w:r>
          </w:p>
        </w:tc>
        <w:tc>
          <w:tcPr>
            <w:tcW w:w="1246" w:type="dxa"/>
            <w:tcBorders>
              <w:top w:val="single" w:sz="8" w:space="0" w:color="auto"/>
              <w:left w:val="single" w:sz="8" w:space="0" w:color="auto"/>
              <w:bottom w:val="double" w:sz="6" w:space="0" w:color="000000"/>
              <w:right w:val="single" w:sz="8" w:space="0" w:color="auto"/>
            </w:tcBorders>
            <w:shd w:val="clear" w:color="000000" w:fill="D9D9D9"/>
            <w:vAlign w:val="bottom"/>
            <w:hideMark/>
          </w:tcPr>
          <w:p w:rsidR="00263092" w:rsidRPr="002971D9" w:rsidRDefault="00116CFA" w:rsidP="00263092">
            <w:pPr>
              <w:jc w:val="both"/>
            </w:pPr>
            <w:r w:rsidRPr="002971D9">
              <w:t>Total Responses</w:t>
            </w:r>
          </w:p>
        </w:tc>
        <w:tc>
          <w:tcPr>
            <w:tcW w:w="1431" w:type="dxa"/>
            <w:tcBorders>
              <w:top w:val="single" w:sz="8" w:space="0" w:color="auto"/>
              <w:left w:val="single" w:sz="8" w:space="0" w:color="auto"/>
              <w:bottom w:val="double" w:sz="6" w:space="0" w:color="000000"/>
              <w:right w:val="single" w:sz="8" w:space="0" w:color="auto"/>
            </w:tcBorders>
            <w:shd w:val="clear" w:color="000000" w:fill="D9D9D9"/>
            <w:vAlign w:val="bottom"/>
            <w:hideMark/>
          </w:tcPr>
          <w:p w:rsidR="00263092" w:rsidRPr="002971D9" w:rsidRDefault="00116CFA" w:rsidP="00263092">
            <w:pPr>
              <w:jc w:val="both"/>
            </w:pPr>
            <w:r w:rsidRPr="002971D9">
              <w:t>Total Hour Burden</w:t>
            </w:r>
          </w:p>
        </w:tc>
        <w:tc>
          <w:tcPr>
            <w:tcW w:w="1431" w:type="dxa"/>
            <w:tcBorders>
              <w:top w:val="single" w:sz="8" w:space="0" w:color="auto"/>
              <w:left w:val="nil"/>
              <w:bottom w:val="nil"/>
              <w:right w:val="single" w:sz="8" w:space="0" w:color="auto"/>
            </w:tcBorders>
            <w:shd w:val="clear" w:color="000000" w:fill="D9D9D9"/>
            <w:vAlign w:val="bottom"/>
            <w:hideMark/>
          </w:tcPr>
          <w:p w:rsidR="00567F4B" w:rsidRPr="00A723E8" w:rsidRDefault="00116CFA" w:rsidP="000810C6">
            <w:pPr>
              <w:rPr>
                <w:lang w:bidi="ar-SA"/>
              </w:rPr>
            </w:pPr>
            <w:r w:rsidRPr="002971D9">
              <w:t>Hourly</w:t>
            </w:r>
          </w:p>
          <w:p w:rsidR="00263092" w:rsidRPr="002971D9" w:rsidRDefault="00567F4B" w:rsidP="00263092">
            <w:r w:rsidRPr="00A723E8">
              <w:rPr>
                <w:lang w:bidi="ar-SA"/>
              </w:rPr>
              <w:t>Wage Cost</w:t>
            </w:r>
          </w:p>
        </w:tc>
        <w:tc>
          <w:tcPr>
            <w:tcW w:w="1796" w:type="dxa"/>
            <w:tcBorders>
              <w:top w:val="single" w:sz="8" w:space="0" w:color="auto"/>
              <w:left w:val="nil"/>
              <w:bottom w:val="nil"/>
              <w:right w:val="single" w:sz="8" w:space="0" w:color="auto"/>
            </w:tcBorders>
            <w:shd w:val="clear" w:color="000000" w:fill="D9D9D9"/>
            <w:vAlign w:val="bottom"/>
            <w:hideMark/>
          </w:tcPr>
          <w:p w:rsidR="00567F4B" w:rsidRPr="00A723E8" w:rsidRDefault="00116CFA" w:rsidP="000810C6">
            <w:pPr>
              <w:rPr>
                <w:lang w:bidi="ar-SA"/>
              </w:rPr>
            </w:pPr>
            <w:r w:rsidRPr="002971D9">
              <w:t>Total Hour</w:t>
            </w:r>
          </w:p>
          <w:p w:rsidR="00263092" w:rsidRPr="002971D9" w:rsidRDefault="00567F4B" w:rsidP="00263092">
            <w:r w:rsidRPr="00A723E8">
              <w:rPr>
                <w:lang w:bidi="ar-SA"/>
              </w:rPr>
              <w:t xml:space="preserve">Cost </w:t>
            </w:r>
          </w:p>
        </w:tc>
      </w:tr>
      <w:tr w:rsidR="002971D9" w:rsidRPr="00263092" w:rsidTr="0027520A">
        <w:trPr>
          <w:trHeight w:val="600"/>
        </w:trPr>
        <w:tc>
          <w:tcPr>
            <w:tcW w:w="1605" w:type="dxa"/>
            <w:tcBorders>
              <w:top w:val="nil"/>
              <w:left w:val="single" w:sz="8" w:space="0" w:color="auto"/>
              <w:bottom w:val="single" w:sz="8" w:space="0" w:color="auto"/>
              <w:right w:val="single" w:sz="8" w:space="0" w:color="auto"/>
            </w:tcBorders>
            <w:shd w:val="clear" w:color="000000" w:fill="FFFFFF"/>
            <w:vAlign w:val="bottom"/>
            <w:hideMark/>
          </w:tcPr>
          <w:p w:rsidR="00263092" w:rsidRPr="002971D9" w:rsidRDefault="00116CFA" w:rsidP="00263092">
            <w:r w:rsidRPr="002971D9">
              <w:t>Annualized Total Adult</w:t>
            </w:r>
          </w:p>
        </w:tc>
        <w:tc>
          <w:tcPr>
            <w:tcW w:w="1553" w:type="dxa"/>
            <w:tcBorders>
              <w:top w:val="nil"/>
              <w:left w:val="nil"/>
              <w:bottom w:val="single" w:sz="8" w:space="0" w:color="auto"/>
              <w:right w:val="single" w:sz="8" w:space="0" w:color="auto"/>
            </w:tcBorders>
            <w:shd w:val="clear" w:color="000000" w:fill="FFFFFF"/>
            <w:vAlign w:val="center"/>
            <w:hideMark/>
          </w:tcPr>
          <w:p w:rsidR="005159F1" w:rsidRPr="002971D9" w:rsidRDefault="00567F4B" w:rsidP="002971D9">
            <w:r w:rsidRPr="00A723E8">
              <w:rPr>
                <w:lang w:bidi="ar-SA"/>
              </w:rPr>
              <w:t>9,68</w:t>
            </w:r>
            <w:r w:rsidR="00440889">
              <w:rPr>
                <w:lang w:bidi="ar-SA"/>
              </w:rPr>
              <w:t>5</w:t>
            </w:r>
          </w:p>
        </w:tc>
        <w:tc>
          <w:tcPr>
            <w:tcW w:w="1246" w:type="dxa"/>
            <w:tcBorders>
              <w:top w:val="nil"/>
              <w:left w:val="nil"/>
              <w:bottom w:val="single" w:sz="8" w:space="0" w:color="auto"/>
              <w:right w:val="single" w:sz="8" w:space="0" w:color="auto"/>
            </w:tcBorders>
            <w:shd w:val="clear" w:color="000000" w:fill="FFFFFF"/>
            <w:vAlign w:val="center"/>
            <w:hideMark/>
          </w:tcPr>
          <w:p w:rsidR="005159F1" w:rsidRPr="002971D9" w:rsidRDefault="00567F4B" w:rsidP="002971D9">
            <w:r w:rsidRPr="00A723E8">
              <w:rPr>
                <w:lang w:bidi="ar-SA"/>
              </w:rPr>
              <w:t>16,8</w:t>
            </w:r>
            <w:r w:rsidR="00440889">
              <w:rPr>
                <w:lang w:bidi="ar-SA"/>
              </w:rPr>
              <w:t>20</w:t>
            </w:r>
          </w:p>
        </w:tc>
        <w:tc>
          <w:tcPr>
            <w:tcW w:w="1431" w:type="dxa"/>
            <w:tcBorders>
              <w:top w:val="double" w:sz="4" w:space="0" w:color="auto"/>
              <w:left w:val="nil"/>
              <w:bottom w:val="single" w:sz="8" w:space="0" w:color="auto"/>
              <w:right w:val="single" w:sz="8" w:space="0" w:color="auto"/>
            </w:tcBorders>
            <w:shd w:val="clear" w:color="000000" w:fill="FFFFFF"/>
            <w:vAlign w:val="center"/>
            <w:hideMark/>
          </w:tcPr>
          <w:p w:rsidR="005159F1" w:rsidRPr="00956F36" w:rsidRDefault="00567F4B" w:rsidP="002971D9">
            <w:r w:rsidRPr="00956F36">
              <w:rPr>
                <w:lang w:bidi="ar-SA"/>
              </w:rPr>
              <w:t>12,</w:t>
            </w:r>
            <w:r w:rsidR="00440889" w:rsidRPr="00956F36">
              <w:rPr>
                <w:lang w:bidi="ar-SA"/>
              </w:rPr>
              <w:t>340</w:t>
            </w:r>
          </w:p>
        </w:tc>
        <w:tc>
          <w:tcPr>
            <w:tcW w:w="1431" w:type="dxa"/>
            <w:tcBorders>
              <w:top w:val="double" w:sz="4" w:space="0" w:color="auto"/>
              <w:left w:val="nil"/>
              <w:bottom w:val="single" w:sz="8" w:space="0" w:color="auto"/>
              <w:right w:val="single" w:sz="8" w:space="0" w:color="auto"/>
            </w:tcBorders>
            <w:shd w:val="clear" w:color="000000" w:fill="FFFFFF"/>
            <w:vAlign w:val="center"/>
            <w:hideMark/>
          </w:tcPr>
          <w:p w:rsidR="005159F1" w:rsidRPr="00956F36" w:rsidRDefault="002D2C12" w:rsidP="002971D9">
            <w:r w:rsidRPr="00956F36">
              <w:rPr>
                <w:sz w:val="22"/>
                <w:szCs w:val="22"/>
              </w:rPr>
              <w:t>$16.57</w:t>
            </w:r>
          </w:p>
        </w:tc>
        <w:tc>
          <w:tcPr>
            <w:tcW w:w="1796" w:type="dxa"/>
            <w:tcBorders>
              <w:top w:val="double" w:sz="4" w:space="0" w:color="auto"/>
              <w:left w:val="nil"/>
              <w:bottom w:val="single" w:sz="8" w:space="0" w:color="auto"/>
              <w:right w:val="single" w:sz="8" w:space="0" w:color="auto"/>
            </w:tcBorders>
            <w:shd w:val="clear" w:color="000000" w:fill="FFFFFF"/>
            <w:vAlign w:val="center"/>
            <w:hideMark/>
          </w:tcPr>
          <w:p w:rsidR="005159F1" w:rsidRPr="00956F36" w:rsidRDefault="00116CFA" w:rsidP="00440889">
            <w:r w:rsidRPr="00956F36">
              <w:t>$</w:t>
            </w:r>
            <w:r w:rsidR="00440889" w:rsidRPr="00956F36">
              <w:rPr>
                <w:lang w:bidi="ar-SA"/>
              </w:rPr>
              <w:t>204,476</w:t>
            </w:r>
            <w:r w:rsidRPr="00956F36">
              <w:t xml:space="preserve"> </w:t>
            </w:r>
          </w:p>
        </w:tc>
      </w:tr>
      <w:tr w:rsidR="002971D9" w:rsidRPr="00263092" w:rsidTr="006A74C9">
        <w:trPr>
          <w:trHeight w:val="403"/>
        </w:trPr>
        <w:tc>
          <w:tcPr>
            <w:tcW w:w="1605"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263092" w:rsidRPr="002971D9" w:rsidRDefault="00116CFA" w:rsidP="00263092">
            <w:r w:rsidRPr="002971D9">
              <w:t>Annualized Total Youth</w:t>
            </w:r>
          </w:p>
        </w:tc>
        <w:tc>
          <w:tcPr>
            <w:tcW w:w="1553" w:type="dxa"/>
            <w:tcBorders>
              <w:top w:val="single" w:sz="8" w:space="0" w:color="auto"/>
              <w:left w:val="nil"/>
              <w:bottom w:val="single" w:sz="8" w:space="0" w:color="auto"/>
              <w:right w:val="single" w:sz="8" w:space="0" w:color="auto"/>
            </w:tcBorders>
            <w:shd w:val="clear" w:color="000000" w:fill="FFFFFF"/>
            <w:vAlign w:val="center"/>
            <w:hideMark/>
          </w:tcPr>
          <w:p w:rsidR="005159F1" w:rsidRPr="002971D9" w:rsidRDefault="00567F4B" w:rsidP="002971D9">
            <w:r w:rsidRPr="00A723E8">
              <w:rPr>
                <w:lang w:bidi="ar-SA"/>
              </w:rPr>
              <w:t>2,12</w:t>
            </w:r>
            <w:r w:rsidR="00440889">
              <w:rPr>
                <w:lang w:bidi="ar-SA"/>
              </w:rPr>
              <w:t>6</w:t>
            </w:r>
          </w:p>
        </w:tc>
        <w:tc>
          <w:tcPr>
            <w:tcW w:w="1246" w:type="dxa"/>
            <w:tcBorders>
              <w:top w:val="single" w:sz="8" w:space="0" w:color="auto"/>
              <w:left w:val="nil"/>
              <w:bottom w:val="single" w:sz="8" w:space="0" w:color="auto"/>
              <w:right w:val="single" w:sz="8" w:space="0" w:color="auto"/>
            </w:tcBorders>
            <w:shd w:val="clear" w:color="000000" w:fill="FFFFFF"/>
            <w:vAlign w:val="center"/>
            <w:hideMark/>
          </w:tcPr>
          <w:p w:rsidR="005159F1" w:rsidRPr="002971D9" w:rsidRDefault="00567F4B" w:rsidP="002971D9">
            <w:r w:rsidRPr="00A723E8">
              <w:rPr>
                <w:lang w:bidi="ar-SA"/>
              </w:rPr>
              <w:t>3,6</w:t>
            </w:r>
            <w:r w:rsidR="00440889">
              <w:rPr>
                <w:lang w:bidi="ar-SA"/>
              </w:rPr>
              <w:t>9</w:t>
            </w:r>
            <w:r w:rsidRPr="00A723E8">
              <w:rPr>
                <w:lang w:bidi="ar-SA"/>
              </w:rPr>
              <w:t>2</w:t>
            </w:r>
          </w:p>
        </w:tc>
        <w:tc>
          <w:tcPr>
            <w:tcW w:w="1431" w:type="dxa"/>
            <w:tcBorders>
              <w:top w:val="single" w:sz="8" w:space="0" w:color="auto"/>
              <w:left w:val="nil"/>
              <w:bottom w:val="single" w:sz="8" w:space="0" w:color="auto"/>
              <w:right w:val="single" w:sz="8" w:space="0" w:color="auto"/>
            </w:tcBorders>
            <w:shd w:val="clear" w:color="000000" w:fill="FFFFFF"/>
            <w:vAlign w:val="center"/>
            <w:hideMark/>
          </w:tcPr>
          <w:p w:rsidR="005159F1" w:rsidRPr="00956F36" w:rsidRDefault="00567F4B" w:rsidP="002971D9">
            <w:r w:rsidRPr="00956F36">
              <w:rPr>
                <w:lang w:bidi="ar-SA"/>
              </w:rPr>
              <w:t>2,</w:t>
            </w:r>
            <w:r w:rsidR="00440889" w:rsidRPr="00956F36">
              <w:rPr>
                <w:lang w:bidi="ar-SA"/>
              </w:rPr>
              <w:t>709</w:t>
            </w:r>
          </w:p>
        </w:tc>
        <w:tc>
          <w:tcPr>
            <w:tcW w:w="1431" w:type="dxa"/>
            <w:tcBorders>
              <w:top w:val="single" w:sz="8" w:space="0" w:color="auto"/>
              <w:left w:val="nil"/>
              <w:bottom w:val="single" w:sz="8" w:space="0" w:color="auto"/>
              <w:right w:val="single" w:sz="8" w:space="0" w:color="auto"/>
            </w:tcBorders>
            <w:shd w:val="clear" w:color="000000" w:fill="FFFFFF"/>
            <w:vAlign w:val="center"/>
            <w:hideMark/>
          </w:tcPr>
          <w:p w:rsidR="00263092" w:rsidRPr="00956F36" w:rsidRDefault="008F6149" w:rsidP="00263092">
            <w:r w:rsidRPr="00956F36">
              <w:rPr>
                <w:lang w:bidi="ar-SA"/>
              </w:rPr>
              <w:t>N/A</w:t>
            </w:r>
            <w:r w:rsidR="00567F4B" w:rsidRPr="00956F36">
              <w:rPr>
                <w:lang w:bidi="ar-SA"/>
              </w:rPr>
              <w:t>  </w:t>
            </w:r>
          </w:p>
        </w:tc>
        <w:tc>
          <w:tcPr>
            <w:tcW w:w="1796" w:type="dxa"/>
            <w:tcBorders>
              <w:top w:val="single" w:sz="8" w:space="0" w:color="auto"/>
              <w:left w:val="nil"/>
              <w:bottom w:val="single" w:sz="8" w:space="0" w:color="auto"/>
              <w:right w:val="single" w:sz="8" w:space="0" w:color="auto"/>
            </w:tcBorders>
            <w:shd w:val="clear" w:color="000000" w:fill="FFFFFF"/>
            <w:vAlign w:val="center"/>
            <w:hideMark/>
          </w:tcPr>
          <w:p w:rsidR="00263092" w:rsidRPr="00956F36" w:rsidRDefault="008F6149" w:rsidP="00263092">
            <w:r w:rsidRPr="00956F36">
              <w:rPr>
                <w:lang w:bidi="ar-SA"/>
              </w:rPr>
              <w:t>N/A</w:t>
            </w:r>
            <w:r w:rsidR="00567F4B" w:rsidRPr="00956F36">
              <w:rPr>
                <w:lang w:bidi="ar-SA"/>
              </w:rPr>
              <w:t xml:space="preserve"> </w:t>
            </w:r>
          </w:p>
        </w:tc>
      </w:tr>
      <w:tr w:rsidR="002971D9" w:rsidRPr="00263092" w:rsidTr="0027520A">
        <w:trPr>
          <w:trHeight w:val="600"/>
        </w:trPr>
        <w:tc>
          <w:tcPr>
            <w:tcW w:w="1605" w:type="dxa"/>
            <w:tcBorders>
              <w:top w:val="single" w:sz="8" w:space="0" w:color="auto"/>
              <w:left w:val="single" w:sz="8" w:space="0" w:color="auto"/>
              <w:bottom w:val="single" w:sz="8" w:space="0" w:color="auto"/>
              <w:right w:val="single" w:sz="8" w:space="0" w:color="auto"/>
            </w:tcBorders>
            <w:shd w:val="pct12" w:color="000000" w:fill="FFFFFF"/>
            <w:vAlign w:val="bottom"/>
            <w:hideMark/>
          </w:tcPr>
          <w:p w:rsidR="00263092" w:rsidRPr="002971D9" w:rsidRDefault="00116CFA" w:rsidP="00263092">
            <w:r w:rsidRPr="002971D9">
              <w:t>Annualized Total</w:t>
            </w:r>
          </w:p>
        </w:tc>
        <w:tc>
          <w:tcPr>
            <w:tcW w:w="1553" w:type="dxa"/>
            <w:tcBorders>
              <w:top w:val="single" w:sz="8" w:space="0" w:color="auto"/>
              <w:left w:val="nil"/>
              <w:bottom w:val="single" w:sz="8" w:space="0" w:color="auto"/>
              <w:right w:val="single" w:sz="8" w:space="0" w:color="auto"/>
            </w:tcBorders>
            <w:shd w:val="pct12" w:color="000000" w:fill="FFFFFF"/>
            <w:vAlign w:val="center"/>
            <w:hideMark/>
          </w:tcPr>
          <w:p w:rsidR="005159F1" w:rsidRPr="002971D9" w:rsidRDefault="00567F4B" w:rsidP="00EB43D3">
            <w:r w:rsidRPr="00A723E8">
              <w:rPr>
                <w:lang w:bidi="ar-SA"/>
              </w:rPr>
              <w:t>11,</w:t>
            </w:r>
            <w:r w:rsidR="00EB43D3" w:rsidRPr="00A723E8">
              <w:rPr>
                <w:lang w:bidi="ar-SA"/>
              </w:rPr>
              <w:t>81</w:t>
            </w:r>
            <w:r w:rsidR="00EB43D3">
              <w:rPr>
                <w:lang w:bidi="ar-SA"/>
              </w:rPr>
              <w:t>1</w:t>
            </w:r>
          </w:p>
        </w:tc>
        <w:tc>
          <w:tcPr>
            <w:tcW w:w="1246" w:type="dxa"/>
            <w:tcBorders>
              <w:top w:val="single" w:sz="8" w:space="0" w:color="auto"/>
              <w:left w:val="nil"/>
              <w:bottom w:val="single" w:sz="8" w:space="0" w:color="auto"/>
              <w:right w:val="single" w:sz="8" w:space="0" w:color="auto"/>
            </w:tcBorders>
            <w:shd w:val="pct12" w:color="000000" w:fill="FFFFFF"/>
            <w:vAlign w:val="center"/>
            <w:hideMark/>
          </w:tcPr>
          <w:p w:rsidR="005159F1" w:rsidRPr="002971D9" w:rsidRDefault="00567F4B" w:rsidP="00EB43D3">
            <w:r w:rsidRPr="00A723E8">
              <w:rPr>
                <w:lang w:bidi="ar-SA"/>
              </w:rPr>
              <w:t>20</w:t>
            </w:r>
            <w:r w:rsidR="00116CFA" w:rsidRPr="002971D9">
              <w:t>,</w:t>
            </w:r>
            <w:r w:rsidR="00EB43D3" w:rsidRPr="002971D9">
              <w:t>51</w:t>
            </w:r>
            <w:r w:rsidR="00EB43D3">
              <w:t>2</w:t>
            </w:r>
          </w:p>
        </w:tc>
        <w:tc>
          <w:tcPr>
            <w:tcW w:w="1431" w:type="dxa"/>
            <w:tcBorders>
              <w:top w:val="single" w:sz="8" w:space="0" w:color="auto"/>
              <w:left w:val="nil"/>
              <w:bottom w:val="single" w:sz="8" w:space="0" w:color="auto"/>
              <w:right w:val="single" w:sz="8" w:space="0" w:color="auto"/>
            </w:tcBorders>
            <w:shd w:val="pct12" w:color="000000" w:fill="FFFFFF"/>
            <w:vAlign w:val="center"/>
            <w:hideMark/>
          </w:tcPr>
          <w:p w:rsidR="005159F1" w:rsidRPr="002971D9" w:rsidRDefault="00567F4B" w:rsidP="002971D9">
            <w:r w:rsidRPr="00A723E8">
              <w:rPr>
                <w:lang w:bidi="ar-SA"/>
              </w:rPr>
              <w:t>1</w:t>
            </w:r>
            <w:r w:rsidR="00D75557">
              <w:rPr>
                <w:lang w:bidi="ar-SA"/>
              </w:rPr>
              <w:t>5,049</w:t>
            </w:r>
          </w:p>
        </w:tc>
        <w:tc>
          <w:tcPr>
            <w:tcW w:w="1431" w:type="dxa"/>
            <w:tcBorders>
              <w:top w:val="single" w:sz="8" w:space="0" w:color="auto"/>
              <w:left w:val="nil"/>
              <w:bottom w:val="single" w:sz="8" w:space="0" w:color="auto"/>
              <w:right w:val="single" w:sz="8" w:space="0" w:color="auto"/>
            </w:tcBorders>
            <w:shd w:val="pct12" w:color="000000" w:fill="FFFFFF"/>
            <w:vAlign w:val="center"/>
            <w:hideMark/>
          </w:tcPr>
          <w:p w:rsidR="00263092" w:rsidRPr="002971D9" w:rsidRDefault="00116CFA" w:rsidP="00263092">
            <w:r w:rsidRPr="002971D9">
              <w:t> </w:t>
            </w:r>
          </w:p>
        </w:tc>
        <w:tc>
          <w:tcPr>
            <w:tcW w:w="1796" w:type="dxa"/>
            <w:tcBorders>
              <w:top w:val="single" w:sz="8" w:space="0" w:color="auto"/>
              <w:left w:val="nil"/>
              <w:bottom w:val="single" w:sz="8" w:space="0" w:color="auto"/>
              <w:right w:val="single" w:sz="8" w:space="0" w:color="auto"/>
            </w:tcBorders>
            <w:shd w:val="pct12" w:color="000000" w:fill="FFFFFF"/>
            <w:vAlign w:val="center"/>
            <w:hideMark/>
          </w:tcPr>
          <w:p w:rsidR="005159F1" w:rsidRPr="002971D9" w:rsidRDefault="00116CFA" w:rsidP="002971D9">
            <w:r w:rsidRPr="00956F36">
              <w:t>$</w:t>
            </w:r>
            <w:r w:rsidR="00440889" w:rsidRPr="00956F36">
              <w:t>204,476</w:t>
            </w:r>
          </w:p>
        </w:tc>
      </w:tr>
    </w:tbl>
    <w:p w:rsidR="0027520A" w:rsidRDefault="0027520A" w:rsidP="006A74C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p w:rsidR="00263092" w:rsidRDefault="00263092"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p w:rsidR="00B7797A" w:rsidRDefault="00B7797A"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sidRPr="00A723E8">
        <w:rPr>
          <w:rStyle w:val="WP9BodyText"/>
        </w:rPr>
        <w:t>Th</w:t>
      </w:r>
      <w:r w:rsidR="00593B3C" w:rsidRPr="00A723E8">
        <w:rPr>
          <w:rStyle w:val="WP9BodyText"/>
        </w:rPr>
        <w:t>e</w:t>
      </w:r>
      <w:r w:rsidRPr="00A723E8">
        <w:rPr>
          <w:rStyle w:val="WP9BodyText"/>
        </w:rPr>
        <w:t xml:space="preserve"> burden estimate presented in Table</w:t>
      </w:r>
      <w:r w:rsidR="005E3477" w:rsidRPr="00A723E8">
        <w:rPr>
          <w:rStyle w:val="WP9BodyText"/>
        </w:rPr>
        <w:t>s</w:t>
      </w:r>
      <w:r w:rsidRPr="00A723E8">
        <w:rPr>
          <w:rStyle w:val="WP9BodyText"/>
        </w:rPr>
        <w:t xml:space="preserve"> </w:t>
      </w:r>
      <w:r w:rsidR="00194A64">
        <w:rPr>
          <w:rStyle w:val="WP9BodyText"/>
        </w:rPr>
        <w:t>7</w:t>
      </w:r>
      <w:r w:rsidR="005E3477" w:rsidRPr="00A723E8">
        <w:rPr>
          <w:rStyle w:val="WP9BodyText"/>
        </w:rPr>
        <w:t xml:space="preserve">a and </w:t>
      </w:r>
      <w:r w:rsidR="00194A64">
        <w:rPr>
          <w:rStyle w:val="WP9BodyText"/>
        </w:rPr>
        <w:t>7</w:t>
      </w:r>
      <w:r w:rsidR="005E3477" w:rsidRPr="00A723E8">
        <w:rPr>
          <w:rStyle w:val="WP9BodyText"/>
        </w:rPr>
        <w:t>b</w:t>
      </w:r>
      <w:r w:rsidRPr="00A723E8">
        <w:rPr>
          <w:rStyle w:val="WP9BodyText"/>
        </w:rPr>
        <w:t xml:space="preserve"> is based on </w:t>
      </w:r>
      <w:r w:rsidR="00614B8B" w:rsidRPr="00A723E8">
        <w:rPr>
          <w:rStyle w:val="WP9BodyText"/>
        </w:rPr>
        <w:t>Cohort 6 findings</w:t>
      </w:r>
      <w:r w:rsidRPr="00A723E8">
        <w:rPr>
          <w:rStyle w:val="WP9BodyText"/>
        </w:rPr>
        <w:t xml:space="preserve">. </w:t>
      </w:r>
      <w:r w:rsidR="003D709F">
        <w:rPr>
          <w:rStyle w:val="WP9BodyText"/>
        </w:rPr>
        <w:t xml:space="preserve">The approximate distribution of adults and youth in Cohort 6 is 82% adults and 18% youth. </w:t>
      </w:r>
      <w:r w:rsidRPr="00A723E8">
        <w:rPr>
          <w:rStyle w:val="WP9BodyText"/>
        </w:rPr>
        <w:t>There will be no direct cost to youth or adults for participating in the study.</w:t>
      </w:r>
      <w:r w:rsidR="00593B3C" w:rsidRPr="00A723E8">
        <w:rPr>
          <w:rStyle w:val="WP9BodyText"/>
        </w:rPr>
        <w:t>)</w:t>
      </w:r>
      <w:r w:rsidRPr="00A723E8">
        <w:rPr>
          <w:rStyle w:val="WP9BodyText"/>
        </w:rPr>
        <w:t>.</w:t>
      </w:r>
    </w:p>
    <w:p w:rsidR="006700D3" w:rsidRDefault="006700D3"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p w:rsidR="006700D3" w:rsidRPr="00A723E8" w:rsidRDefault="006700D3" w:rsidP="00B7797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Pr>
          <w:rFonts w:asciiTheme="minorHAnsi" w:hAnsiTheme="minorHAnsi" w:cstheme="minorHAnsi"/>
        </w:rPr>
        <w:t xml:space="preserve">The estimates for hourly wage of respondents is based on the national median hourly estimate for all occupations reported in the Bureau of Labor Statistics’ Occupational Employment Statistics, May 2010 National Occupational Employment and Wage Estimates United States. See </w:t>
      </w:r>
      <w:hyperlink r:id="rId18" w:history="1">
        <w:r>
          <w:rPr>
            <w:rStyle w:val="Hyperlink"/>
            <w:rFonts w:asciiTheme="minorHAnsi" w:hAnsiTheme="minorHAnsi" w:cstheme="minorHAnsi"/>
          </w:rPr>
          <w:t>http://www.bls.gov/oes/current/oes_nat.htm</w:t>
        </w:r>
      </w:hyperlink>
    </w:p>
    <w:p w:rsidR="00053B46" w:rsidRPr="00A723E8" w:rsidRDefault="00053B46" w:rsidP="00F4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rPr>
      </w:pPr>
    </w:p>
    <w:p w:rsidR="006E34AD" w:rsidRPr="00A723E8" w:rsidRDefault="006E34AD" w:rsidP="006E34AD">
      <w:pPr>
        <w:pStyle w:val="Heading2"/>
        <w:spacing w:before="120" w:line="360" w:lineRule="auto"/>
      </w:pPr>
      <w:r w:rsidRPr="00A723E8">
        <w:t>A13.  Estimates of Annualized Cost Burden to Respondents</w:t>
      </w:r>
    </w:p>
    <w:p w:rsidR="00F47108" w:rsidRPr="00A723E8" w:rsidRDefault="00F47108" w:rsidP="00F4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sidRPr="00A723E8">
        <w:rPr>
          <w:rStyle w:val="WP9BodyText"/>
        </w:rPr>
        <w:t xml:space="preserve">There will be no capital, start up, or operation and maintenance costs incurred by the </w:t>
      </w:r>
      <w:r w:rsidR="00973DBD" w:rsidRPr="00A723E8">
        <w:rPr>
          <w:rStyle w:val="WP9BodyText"/>
        </w:rPr>
        <w:t>adults and youth</w:t>
      </w:r>
      <w:r w:rsidRPr="00A723E8">
        <w:rPr>
          <w:rStyle w:val="WP9BodyText"/>
        </w:rPr>
        <w:t xml:space="preserve"> participating in this study.</w:t>
      </w:r>
      <w:r w:rsidR="002417E0" w:rsidRPr="00A723E8">
        <w:rPr>
          <w:rStyle w:val="WP9BodyText"/>
        </w:rPr>
        <w:t xml:space="preserve"> The </w:t>
      </w:r>
      <w:r w:rsidR="002346CF" w:rsidRPr="00A723E8">
        <w:rPr>
          <w:rStyle w:val="WP9BodyText"/>
        </w:rPr>
        <w:t xml:space="preserve">PMRTS </w:t>
      </w:r>
      <w:r w:rsidR="002417E0" w:rsidRPr="00A723E8">
        <w:rPr>
          <w:rStyle w:val="WP9BodyText"/>
        </w:rPr>
        <w:t>online data collection tool will be available at no cost to grantees.</w:t>
      </w:r>
    </w:p>
    <w:p w:rsidR="00F47108" w:rsidRPr="00A723E8" w:rsidRDefault="00F47108" w:rsidP="00664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p>
    <w:p w:rsidR="006E34AD" w:rsidRPr="00A723E8" w:rsidRDefault="006E34AD" w:rsidP="006E34AD">
      <w:pPr>
        <w:pStyle w:val="Heading2"/>
        <w:spacing w:before="120" w:line="360" w:lineRule="auto"/>
      </w:pPr>
      <w:r w:rsidRPr="00A723E8">
        <w:t>A14.  Estimates of Annualized Cost to the Government</w:t>
      </w:r>
    </w:p>
    <w:p w:rsidR="00F20DD7" w:rsidRPr="00A723E8" w:rsidRDefault="00F47108"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sidRPr="00A723E8">
        <w:rPr>
          <w:rStyle w:val="WP9BodyText"/>
        </w:rPr>
        <w:t xml:space="preserve">The total </w:t>
      </w:r>
      <w:r w:rsidR="000910DF" w:rsidRPr="00A723E8">
        <w:rPr>
          <w:rStyle w:val="WP9BodyText"/>
        </w:rPr>
        <w:t>contract</w:t>
      </w:r>
      <w:r w:rsidRPr="00A723E8">
        <w:rPr>
          <w:rStyle w:val="WP9BodyText"/>
        </w:rPr>
        <w:t xml:space="preserve"> award for the </w:t>
      </w:r>
      <w:r w:rsidR="00367B12">
        <w:rPr>
          <w:rStyle w:val="WP9BodyText"/>
        </w:rPr>
        <w:t>DCAR</w:t>
      </w:r>
      <w:r w:rsidR="00367B12" w:rsidRPr="00A723E8">
        <w:rPr>
          <w:rStyle w:val="WP9BodyText"/>
        </w:rPr>
        <w:t xml:space="preserve"> </w:t>
      </w:r>
      <w:r w:rsidR="00297343" w:rsidRPr="00A723E8">
        <w:rPr>
          <w:rStyle w:val="WP9BodyText"/>
        </w:rPr>
        <w:t>will cover</w:t>
      </w:r>
      <w:r w:rsidRPr="00A723E8">
        <w:rPr>
          <w:rStyle w:val="WP9BodyText"/>
        </w:rPr>
        <w:t xml:space="preserve"> all aspects of the study design</w:t>
      </w:r>
      <w:r w:rsidR="009B0485" w:rsidRPr="00A723E8">
        <w:rPr>
          <w:rStyle w:val="WP9BodyText"/>
        </w:rPr>
        <w:t xml:space="preserve">, </w:t>
      </w:r>
      <w:r w:rsidRPr="00A723E8">
        <w:rPr>
          <w:rStyle w:val="WP9BodyText"/>
        </w:rPr>
        <w:t>planning, data collection</w:t>
      </w:r>
      <w:r w:rsidR="009B0485" w:rsidRPr="00A723E8">
        <w:rPr>
          <w:rStyle w:val="WP9BodyText"/>
        </w:rPr>
        <w:t>,</w:t>
      </w:r>
      <w:r w:rsidRPr="00A723E8">
        <w:rPr>
          <w:rStyle w:val="WP9BodyText"/>
        </w:rPr>
        <w:t xml:space="preserve"> and analysis</w:t>
      </w:r>
      <w:r w:rsidR="00297343" w:rsidRPr="00A723E8">
        <w:rPr>
          <w:rStyle w:val="WP9BodyText"/>
        </w:rPr>
        <w:t>, with</w:t>
      </w:r>
      <w:r w:rsidR="00613056" w:rsidRPr="00A723E8">
        <w:rPr>
          <w:rStyle w:val="WP9BodyText"/>
        </w:rPr>
        <w:t xml:space="preserve"> the</w:t>
      </w:r>
      <w:r w:rsidRPr="00A723E8">
        <w:rPr>
          <w:rStyle w:val="WP9BodyText"/>
        </w:rPr>
        <w:t xml:space="preserve"> annualized cost </w:t>
      </w:r>
      <w:r w:rsidR="00297343" w:rsidRPr="00A723E8">
        <w:rPr>
          <w:rStyle w:val="WP9BodyText"/>
        </w:rPr>
        <w:t xml:space="preserve">of </w:t>
      </w:r>
      <w:r w:rsidR="001922E7" w:rsidRPr="00A723E8">
        <w:rPr>
          <w:rStyle w:val="WP9BodyText"/>
        </w:rPr>
        <w:t>$</w:t>
      </w:r>
      <w:r w:rsidR="00367B12">
        <w:rPr>
          <w:rStyle w:val="WP9BodyText"/>
        </w:rPr>
        <w:t>500,000</w:t>
      </w:r>
      <w:r w:rsidRPr="00A723E8">
        <w:rPr>
          <w:rStyle w:val="WP9BodyText"/>
        </w:rPr>
        <w:t>. These costs cover the following activities:</w:t>
      </w:r>
      <w:r w:rsidR="00546BBF" w:rsidRPr="00A723E8">
        <w:rPr>
          <w:rStyle w:val="WP9BodyText"/>
        </w:rPr>
        <w:t xml:space="preserve"> a</w:t>
      </w:r>
      <w:r w:rsidRPr="00A723E8">
        <w:rPr>
          <w:rStyle w:val="WP9BodyText"/>
        </w:rPr>
        <w:t>ssistance to study sites in cooperati</w:t>
      </w:r>
      <w:r w:rsidR="005B7369" w:rsidRPr="00A723E8">
        <w:rPr>
          <w:rStyle w:val="WP9BodyText"/>
        </w:rPr>
        <w:t>on</w:t>
      </w:r>
      <w:r w:rsidRPr="00A723E8">
        <w:rPr>
          <w:rStyle w:val="WP9BodyText"/>
        </w:rPr>
        <w:t xml:space="preserve"> with the national evaluation; </w:t>
      </w:r>
      <w:r w:rsidR="001922E7" w:rsidRPr="00A723E8">
        <w:rPr>
          <w:rStyle w:val="WP9BodyText"/>
        </w:rPr>
        <w:t xml:space="preserve">cleaning and </w:t>
      </w:r>
      <w:r w:rsidRPr="00A723E8">
        <w:rPr>
          <w:rStyle w:val="WP9BodyText"/>
        </w:rPr>
        <w:t xml:space="preserve">processing of outcome data from study sites; data analysis and reporting; </w:t>
      </w:r>
      <w:r w:rsidR="002174A5" w:rsidRPr="00A723E8">
        <w:rPr>
          <w:rStyle w:val="WP9BodyText"/>
        </w:rPr>
        <w:t xml:space="preserve">and </w:t>
      </w:r>
      <w:r w:rsidR="009B0485" w:rsidRPr="00A723E8">
        <w:rPr>
          <w:rStyle w:val="WP9BodyText"/>
        </w:rPr>
        <w:t xml:space="preserve">development </w:t>
      </w:r>
      <w:r w:rsidRPr="00A723E8">
        <w:rPr>
          <w:rStyle w:val="WP9BodyText"/>
        </w:rPr>
        <w:t>of public use data and documentation</w:t>
      </w:r>
      <w:r w:rsidR="009B0485" w:rsidRPr="00A723E8">
        <w:rPr>
          <w:rStyle w:val="WP9BodyText"/>
        </w:rPr>
        <w:t>.</w:t>
      </w:r>
    </w:p>
    <w:p w:rsidR="00F20DD7" w:rsidRPr="00A723E8" w:rsidRDefault="00F20DD7"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p w:rsidR="00AB5FB2" w:rsidRPr="00A723E8" w:rsidRDefault="00AB5FB2"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sidRPr="00A723E8">
        <w:rPr>
          <w:rStyle w:val="WP9BodyText"/>
        </w:rPr>
        <w:t xml:space="preserve">It is anticipated that the Government Project Officers who oversee the projects will expend time in assisting the </w:t>
      </w:r>
      <w:r w:rsidR="00367B12">
        <w:rPr>
          <w:rStyle w:val="WP9BodyText"/>
        </w:rPr>
        <w:t xml:space="preserve">DCAR </w:t>
      </w:r>
      <w:r w:rsidRPr="00A723E8">
        <w:rPr>
          <w:rStyle w:val="WP9BodyText"/>
        </w:rPr>
        <w:t xml:space="preserve">and grantees in appropriately responding to the measures.  The GPO overseeing the HIV Cross-site will expend a portion of time overseeing the analysis of the HIV Cross-site data, as well as updating the data collection procedures for new cohorts.  Data analysis activities include processing the data received from the various programs, as well as conducting statistical analysis.  These costs are broken out in the table below.  Annual hours are </w:t>
      </w:r>
      <w:r w:rsidR="00297343" w:rsidRPr="00A723E8">
        <w:rPr>
          <w:rStyle w:val="WP9BodyText"/>
        </w:rPr>
        <w:t>b</w:t>
      </w:r>
      <w:r w:rsidRPr="00A723E8">
        <w:rPr>
          <w:rStyle w:val="WP9BodyText"/>
        </w:rPr>
        <w:t>ased on a 40-hour work week for 48 weeks per</w:t>
      </w:r>
      <w:r w:rsidR="00BB1A56" w:rsidRPr="00A723E8">
        <w:rPr>
          <w:rStyle w:val="WP9BodyText"/>
        </w:rPr>
        <w:t xml:space="preserve"> year.</w:t>
      </w:r>
      <w:r w:rsidRPr="00A723E8">
        <w:rPr>
          <w:rStyle w:val="WP9BodyText"/>
        </w:rPr>
        <w:t xml:space="preserve"> </w:t>
      </w:r>
      <w:r w:rsidR="00F47108" w:rsidRPr="00A723E8">
        <w:rPr>
          <w:rStyle w:val="WP9BodyText"/>
        </w:rPr>
        <w:t xml:space="preserve">It is estimated that </w:t>
      </w:r>
      <w:r w:rsidR="00E43081" w:rsidRPr="00A723E8">
        <w:rPr>
          <w:rStyle w:val="WP9BodyText"/>
        </w:rPr>
        <w:t>8</w:t>
      </w:r>
      <w:r w:rsidR="00992F2E" w:rsidRPr="00A723E8">
        <w:rPr>
          <w:rStyle w:val="WP9BodyText"/>
        </w:rPr>
        <w:t xml:space="preserve"> </w:t>
      </w:r>
      <w:r w:rsidR="00F47108" w:rsidRPr="00A723E8">
        <w:rPr>
          <w:rStyle w:val="WP9BodyText"/>
        </w:rPr>
        <w:t xml:space="preserve">CSAP Project </w:t>
      </w:r>
      <w:r w:rsidR="00F47108" w:rsidRPr="00A723E8">
        <w:rPr>
          <w:rStyle w:val="WP9BodyText"/>
        </w:rPr>
        <w:lastRenderedPageBreak/>
        <w:t>Officer</w:t>
      </w:r>
      <w:r w:rsidR="00FB2578" w:rsidRPr="00A723E8">
        <w:rPr>
          <w:rStyle w:val="WP9BodyText"/>
        </w:rPr>
        <w:t>s</w:t>
      </w:r>
      <w:r w:rsidR="00F47108" w:rsidRPr="00A723E8">
        <w:rPr>
          <w:rStyle w:val="WP9BodyText"/>
        </w:rPr>
        <w:t xml:space="preserve"> will be involved for approximately </w:t>
      </w:r>
      <w:r w:rsidR="003E0B81" w:rsidRPr="00A723E8">
        <w:rPr>
          <w:rStyle w:val="WP9BodyText"/>
        </w:rPr>
        <w:t xml:space="preserve">2 </w:t>
      </w:r>
      <w:r w:rsidR="00F47108" w:rsidRPr="00A723E8">
        <w:rPr>
          <w:rStyle w:val="WP9BodyText"/>
        </w:rPr>
        <w:t xml:space="preserve">percent of their time at an </w:t>
      </w:r>
      <w:r w:rsidR="00840A44" w:rsidRPr="00A723E8">
        <w:rPr>
          <w:rStyle w:val="WP9BodyText"/>
        </w:rPr>
        <w:t>average annual</w:t>
      </w:r>
      <w:r w:rsidR="00F47108" w:rsidRPr="00A723E8">
        <w:rPr>
          <w:rStyle w:val="WP9BodyText"/>
        </w:rPr>
        <w:t xml:space="preserve"> salary of $</w:t>
      </w:r>
      <w:r w:rsidR="00840A44" w:rsidRPr="00A723E8">
        <w:rPr>
          <w:rStyle w:val="WP9BodyText"/>
        </w:rPr>
        <w:t>110,000</w:t>
      </w:r>
      <w:r w:rsidR="00BB1A56" w:rsidRPr="00A723E8">
        <w:rPr>
          <w:rStyle w:val="WP9BodyText"/>
        </w:rPr>
        <w:t xml:space="preserve">. </w:t>
      </w:r>
      <w:r w:rsidR="00F47108" w:rsidRPr="00A723E8">
        <w:rPr>
          <w:rStyle w:val="WP9BodyText"/>
        </w:rPr>
        <w:t xml:space="preserve">The annualized total cost to the government will be </w:t>
      </w:r>
      <w:r w:rsidR="00992F2E" w:rsidRPr="00A723E8">
        <w:rPr>
          <w:rStyle w:val="WP9BodyText"/>
        </w:rPr>
        <w:t>$</w:t>
      </w:r>
      <w:r w:rsidR="00367B12">
        <w:rPr>
          <w:rStyle w:val="WP9BodyText"/>
        </w:rPr>
        <w:t>523,040</w:t>
      </w:r>
      <w:r w:rsidR="00992F2E" w:rsidRPr="00A723E8">
        <w:rPr>
          <w:rStyle w:val="WP9BodyText"/>
        </w:rPr>
        <w:t>.</w:t>
      </w:r>
    </w:p>
    <w:p w:rsidR="006054B3" w:rsidRDefault="006054B3">
      <w:pPr>
        <w:pStyle w:val="ListParagraph"/>
        <w:spacing w:line="287" w:lineRule="atLeast"/>
        <w:ind w:left="0"/>
        <w:rPr>
          <w:color w:val="000000"/>
        </w:rPr>
      </w:pPr>
    </w:p>
    <w:p w:rsidR="006054B3" w:rsidRDefault="005B3871">
      <w:pPr>
        <w:pStyle w:val="ListParagraph"/>
        <w:spacing w:line="287" w:lineRule="atLeast"/>
        <w:ind w:left="0"/>
        <w:rPr>
          <w:rFonts w:ascii="Arial" w:hAnsi="Arial"/>
          <w:b/>
          <w:sz w:val="28"/>
        </w:rPr>
      </w:pPr>
      <w:proofErr w:type="gramStart"/>
      <w:r w:rsidRPr="005B3871">
        <w:rPr>
          <w:rFonts w:ascii="Arial" w:hAnsi="Arial"/>
          <w:b/>
          <w:sz w:val="28"/>
        </w:rPr>
        <w:t xml:space="preserve">Table </w:t>
      </w:r>
      <w:r w:rsidR="00004F09" w:rsidRPr="00004F09">
        <w:rPr>
          <w:rFonts w:ascii="Arial" w:hAnsi="Arial" w:cs="Arial"/>
          <w:b/>
          <w:bCs/>
          <w:sz w:val="28"/>
          <w:szCs w:val="28"/>
        </w:rPr>
        <w:t>8</w:t>
      </w:r>
      <w:r w:rsidR="00491428">
        <w:rPr>
          <w:rFonts w:ascii="Arial" w:hAnsi="Arial" w:cs="Arial"/>
          <w:b/>
          <w:bCs/>
          <w:sz w:val="28"/>
          <w:szCs w:val="28"/>
        </w:rPr>
        <w:t>.</w:t>
      </w:r>
      <w:proofErr w:type="gramEnd"/>
      <w:r w:rsidR="00491428">
        <w:rPr>
          <w:rFonts w:ascii="Arial" w:hAnsi="Arial" w:cs="Arial"/>
          <w:b/>
          <w:bCs/>
          <w:sz w:val="28"/>
          <w:szCs w:val="28"/>
        </w:rPr>
        <w:t xml:space="preserve"> </w:t>
      </w:r>
      <w:r w:rsidRPr="005B3871">
        <w:rPr>
          <w:rFonts w:ascii="Arial" w:hAnsi="Arial"/>
          <w:b/>
          <w:sz w:val="28"/>
        </w:rPr>
        <w:t xml:space="preserve"> Estimated Annualized Cost to the Government</w:t>
      </w:r>
    </w:p>
    <w:p w:rsidR="00612A17" w:rsidRPr="00A723E8" w:rsidRDefault="00612A17" w:rsidP="00612A17">
      <w:pPr>
        <w:pStyle w:val="ListParagraph"/>
        <w:spacing w:line="287" w:lineRule="atLeast"/>
        <w:jc w:val="center"/>
        <w:rPr>
          <w:b/>
          <w:bCs/>
        </w:rPr>
      </w:pPr>
    </w:p>
    <w:tbl>
      <w:tblPr>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5"/>
        <w:gridCol w:w="1355"/>
        <w:gridCol w:w="1054"/>
        <w:gridCol w:w="942"/>
        <w:gridCol w:w="1312"/>
      </w:tblGrid>
      <w:tr w:rsidR="00992F2E" w:rsidRPr="00A723E8" w:rsidTr="0076461E">
        <w:trPr>
          <w:trHeight w:val="773"/>
        </w:trPr>
        <w:tc>
          <w:tcPr>
            <w:tcW w:w="2555" w:type="dxa"/>
          </w:tcPr>
          <w:p w:rsidR="00992F2E" w:rsidRPr="00A723E8" w:rsidRDefault="00992F2E" w:rsidP="005776EC">
            <w:pPr>
              <w:suppressLineNumbers/>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rFonts w:ascii="Arial" w:hAnsi="Arial" w:cs="Arial"/>
                <w:b/>
                <w:i w:val="0"/>
                <w:sz w:val="22"/>
                <w:szCs w:val="22"/>
              </w:rPr>
            </w:pPr>
            <w:r w:rsidRPr="00A723E8">
              <w:rPr>
                <w:rStyle w:val="BodyText22"/>
                <w:rFonts w:ascii="Arial" w:hAnsi="Arial" w:cs="Arial"/>
                <w:b/>
                <w:i w:val="0"/>
                <w:sz w:val="22"/>
                <w:szCs w:val="22"/>
              </w:rPr>
              <w:t>Position</w:t>
            </w:r>
          </w:p>
        </w:tc>
        <w:tc>
          <w:tcPr>
            <w:tcW w:w="1355" w:type="dxa"/>
          </w:tcPr>
          <w:p w:rsidR="00992F2E" w:rsidRPr="00A723E8" w:rsidRDefault="00992F2E" w:rsidP="005776EC">
            <w:pPr>
              <w:suppressLineNumbers/>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rFonts w:ascii="Arial" w:hAnsi="Arial" w:cs="Arial"/>
                <w:b/>
                <w:i w:val="0"/>
                <w:sz w:val="22"/>
                <w:szCs w:val="22"/>
              </w:rPr>
            </w:pPr>
            <w:r w:rsidRPr="00A723E8">
              <w:rPr>
                <w:rStyle w:val="BodyText22"/>
                <w:rFonts w:ascii="Arial" w:hAnsi="Arial" w:cs="Arial"/>
                <w:b/>
                <w:i w:val="0"/>
                <w:sz w:val="22"/>
                <w:szCs w:val="22"/>
              </w:rPr>
              <w:t>Percent FTE</w:t>
            </w:r>
          </w:p>
        </w:tc>
        <w:tc>
          <w:tcPr>
            <w:tcW w:w="1054" w:type="dxa"/>
          </w:tcPr>
          <w:p w:rsidR="00992F2E" w:rsidRPr="00A723E8" w:rsidRDefault="00992F2E" w:rsidP="005776EC">
            <w:pPr>
              <w:suppressLineNumbers/>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rFonts w:ascii="Arial" w:hAnsi="Arial" w:cs="Arial"/>
                <w:b/>
                <w:i w:val="0"/>
                <w:sz w:val="22"/>
                <w:szCs w:val="22"/>
              </w:rPr>
            </w:pPr>
            <w:r w:rsidRPr="00A723E8">
              <w:rPr>
                <w:rStyle w:val="BodyText22"/>
                <w:rFonts w:ascii="Arial" w:hAnsi="Arial" w:cs="Arial"/>
                <w:b/>
                <w:i w:val="0"/>
                <w:sz w:val="22"/>
                <w:szCs w:val="22"/>
              </w:rPr>
              <w:t>Annual Hours</w:t>
            </w:r>
          </w:p>
        </w:tc>
        <w:tc>
          <w:tcPr>
            <w:tcW w:w="942" w:type="dxa"/>
          </w:tcPr>
          <w:p w:rsidR="00992F2E" w:rsidRPr="00A723E8" w:rsidRDefault="00992F2E" w:rsidP="005776EC">
            <w:pPr>
              <w:suppressLineNumbers/>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rFonts w:ascii="Arial" w:hAnsi="Arial" w:cs="Arial"/>
                <w:b/>
                <w:i w:val="0"/>
                <w:sz w:val="22"/>
                <w:szCs w:val="22"/>
              </w:rPr>
            </w:pPr>
            <w:r w:rsidRPr="00A723E8">
              <w:rPr>
                <w:rStyle w:val="BodyText22"/>
                <w:rFonts w:ascii="Arial" w:hAnsi="Arial" w:cs="Arial"/>
                <w:b/>
                <w:i w:val="0"/>
                <w:sz w:val="22"/>
                <w:szCs w:val="22"/>
              </w:rPr>
              <w:t>Rate</w:t>
            </w:r>
          </w:p>
        </w:tc>
        <w:tc>
          <w:tcPr>
            <w:tcW w:w="1312" w:type="dxa"/>
          </w:tcPr>
          <w:p w:rsidR="00992F2E" w:rsidRPr="00A723E8" w:rsidRDefault="00992F2E" w:rsidP="005776EC">
            <w:pPr>
              <w:suppressLineNumbers/>
              <w:tabs>
                <w:tab w:val="left" w:pos="0"/>
                <w:tab w:val="left" w:pos="720"/>
                <w:tab w:val="left" w:pos="11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Style w:val="BodyText22"/>
                <w:rFonts w:ascii="Arial" w:hAnsi="Arial" w:cs="Arial"/>
                <w:b/>
                <w:i w:val="0"/>
                <w:sz w:val="22"/>
                <w:szCs w:val="22"/>
              </w:rPr>
            </w:pPr>
            <w:r w:rsidRPr="00A723E8">
              <w:rPr>
                <w:rStyle w:val="BodyText22"/>
                <w:rFonts w:ascii="Arial" w:hAnsi="Arial" w:cs="Arial"/>
                <w:b/>
                <w:i w:val="0"/>
                <w:sz w:val="22"/>
                <w:szCs w:val="22"/>
              </w:rPr>
              <w:t>Total Annual Cost</w:t>
            </w:r>
          </w:p>
        </w:tc>
      </w:tr>
      <w:tr w:rsidR="00992F2E" w:rsidRPr="00A723E8" w:rsidTr="005776EC">
        <w:trPr>
          <w:trHeight w:val="345"/>
        </w:trPr>
        <w:tc>
          <w:tcPr>
            <w:tcW w:w="2555" w:type="dxa"/>
          </w:tcPr>
          <w:p w:rsidR="00992F2E" w:rsidRPr="00A723E8" w:rsidRDefault="00992F2E" w:rsidP="005776EC">
            <w:pPr>
              <w:jc w:val="both"/>
              <w:rPr>
                <w:rFonts w:ascii="Arial" w:hAnsi="Arial" w:cs="Arial"/>
                <w:color w:val="000000"/>
                <w:sz w:val="22"/>
                <w:szCs w:val="22"/>
              </w:rPr>
            </w:pPr>
            <w:r w:rsidRPr="00A723E8">
              <w:rPr>
                <w:rFonts w:ascii="Arial" w:hAnsi="Arial" w:cs="Arial"/>
                <w:color w:val="000000"/>
                <w:sz w:val="22"/>
                <w:szCs w:val="22"/>
              </w:rPr>
              <w:t>D</w:t>
            </w:r>
            <w:r w:rsidR="002D2C12">
              <w:rPr>
                <w:rFonts w:ascii="Arial" w:hAnsi="Arial" w:cs="Arial"/>
                <w:color w:val="000000"/>
                <w:sz w:val="22"/>
                <w:szCs w:val="22"/>
              </w:rPr>
              <w:t>CAR</w:t>
            </w:r>
            <w:r w:rsidRPr="00A723E8">
              <w:rPr>
                <w:rFonts w:ascii="Arial" w:hAnsi="Arial" w:cs="Arial"/>
                <w:color w:val="000000"/>
                <w:sz w:val="22"/>
                <w:szCs w:val="22"/>
              </w:rPr>
              <w:t xml:space="preserve"> Cross-site</w:t>
            </w:r>
          </w:p>
        </w:tc>
        <w:tc>
          <w:tcPr>
            <w:tcW w:w="1355"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NA</w:t>
            </w:r>
          </w:p>
        </w:tc>
        <w:tc>
          <w:tcPr>
            <w:tcW w:w="1054"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NA</w:t>
            </w:r>
          </w:p>
        </w:tc>
        <w:tc>
          <w:tcPr>
            <w:tcW w:w="942"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NA</w:t>
            </w:r>
          </w:p>
        </w:tc>
        <w:tc>
          <w:tcPr>
            <w:tcW w:w="1312" w:type="dxa"/>
          </w:tcPr>
          <w:p w:rsidR="00992F2E" w:rsidRPr="00A723E8" w:rsidRDefault="00992F2E" w:rsidP="002D2C12">
            <w:pPr>
              <w:jc w:val="center"/>
              <w:rPr>
                <w:rFonts w:ascii="Arial" w:hAnsi="Arial" w:cs="Arial"/>
                <w:color w:val="000000"/>
                <w:sz w:val="22"/>
                <w:szCs w:val="22"/>
              </w:rPr>
            </w:pPr>
            <w:r w:rsidRPr="00A723E8">
              <w:rPr>
                <w:rFonts w:ascii="Arial" w:hAnsi="Arial" w:cs="Arial"/>
                <w:color w:val="000000"/>
                <w:sz w:val="22"/>
                <w:szCs w:val="22"/>
              </w:rPr>
              <w:t>$</w:t>
            </w:r>
            <w:r w:rsidR="002D2C12">
              <w:rPr>
                <w:rFonts w:ascii="Arial" w:hAnsi="Arial" w:cs="Arial"/>
                <w:color w:val="000000"/>
                <w:sz w:val="22"/>
                <w:szCs w:val="22"/>
              </w:rPr>
              <w:t>500,000</w:t>
            </w:r>
          </w:p>
        </w:tc>
      </w:tr>
      <w:tr w:rsidR="00992F2E" w:rsidRPr="00A723E8" w:rsidTr="005776EC">
        <w:trPr>
          <w:trHeight w:val="330"/>
        </w:trPr>
        <w:tc>
          <w:tcPr>
            <w:tcW w:w="2555" w:type="dxa"/>
          </w:tcPr>
          <w:p w:rsidR="00992F2E" w:rsidRPr="00A723E8" w:rsidRDefault="00992F2E" w:rsidP="003770F1">
            <w:pPr>
              <w:tabs>
                <w:tab w:val="left" w:pos="180"/>
              </w:tabs>
              <w:rPr>
                <w:rFonts w:ascii="Arial" w:hAnsi="Arial" w:cs="Arial"/>
                <w:color w:val="000000"/>
                <w:sz w:val="22"/>
                <w:szCs w:val="22"/>
              </w:rPr>
            </w:pPr>
            <w:r w:rsidRPr="00A723E8">
              <w:rPr>
                <w:rFonts w:ascii="Arial" w:hAnsi="Arial" w:cs="Arial"/>
                <w:color w:val="000000"/>
                <w:sz w:val="22"/>
                <w:szCs w:val="22"/>
              </w:rPr>
              <w:t>HIV</w:t>
            </w:r>
            <w:r w:rsidR="00367B12">
              <w:rPr>
                <w:rFonts w:ascii="Arial" w:hAnsi="Arial" w:cs="Arial"/>
                <w:color w:val="000000"/>
                <w:sz w:val="22"/>
                <w:szCs w:val="22"/>
              </w:rPr>
              <w:t xml:space="preserve"> </w:t>
            </w:r>
            <w:r w:rsidRPr="00A723E8">
              <w:rPr>
                <w:rFonts w:ascii="Arial" w:hAnsi="Arial" w:cs="Arial"/>
                <w:color w:val="000000"/>
                <w:sz w:val="22"/>
                <w:szCs w:val="22"/>
              </w:rPr>
              <w:t>Cross-site GPO</w:t>
            </w:r>
          </w:p>
        </w:tc>
        <w:tc>
          <w:tcPr>
            <w:tcW w:w="1355"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10%</w:t>
            </w:r>
          </w:p>
        </w:tc>
        <w:tc>
          <w:tcPr>
            <w:tcW w:w="1054"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192</w:t>
            </w:r>
          </w:p>
        </w:tc>
        <w:tc>
          <w:tcPr>
            <w:tcW w:w="942"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$40</w:t>
            </w:r>
          </w:p>
        </w:tc>
        <w:tc>
          <w:tcPr>
            <w:tcW w:w="1312" w:type="dxa"/>
          </w:tcPr>
          <w:p w:rsidR="00992F2E" w:rsidRPr="00A723E8" w:rsidRDefault="00992F2E" w:rsidP="005776EC">
            <w:pPr>
              <w:jc w:val="center"/>
              <w:rPr>
                <w:rFonts w:ascii="Arial" w:hAnsi="Arial" w:cs="Arial"/>
                <w:color w:val="000000"/>
                <w:sz w:val="22"/>
                <w:szCs w:val="22"/>
              </w:rPr>
            </w:pPr>
            <w:r w:rsidRPr="00A723E8">
              <w:rPr>
                <w:rFonts w:ascii="Arial" w:hAnsi="Arial" w:cs="Arial"/>
                <w:color w:val="000000"/>
                <w:sz w:val="22"/>
                <w:szCs w:val="22"/>
              </w:rPr>
              <w:t>$7,680</w:t>
            </w:r>
          </w:p>
        </w:tc>
      </w:tr>
      <w:tr w:rsidR="00E43081" w:rsidRPr="00A723E8" w:rsidTr="005776EC">
        <w:trPr>
          <w:trHeight w:val="645"/>
        </w:trPr>
        <w:tc>
          <w:tcPr>
            <w:tcW w:w="2555" w:type="dxa"/>
          </w:tcPr>
          <w:p w:rsidR="00E43081" w:rsidRPr="00A723E8" w:rsidRDefault="00E43081" w:rsidP="005776EC">
            <w:pPr>
              <w:jc w:val="both"/>
              <w:rPr>
                <w:rFonts w:ascii="Arial" w:hAnsi="Arial" w:cs="Arial"/>
                <w:color w:val="000000"/>
                <w:sz w:val="22"/>
                <w:szCs w:val="22"/>
              </w:rPr>
            </w:pPr>
            <w:r w:rsidRPr="00A723E8">
              <w:rPr>
                <w:rFonts w:ascii="Arial" w:hAnsi="Arial" w:cs="Arial"/>
                <w:color w:val="000000"/>
                <w:sz w:val="22"/>
                <w:szCs w:val="22"/>
              </w:rPr>
              <w:t>HIV GPOs (Based on Estimated 8 GPOs)</w:t>
            </w:r>
          </w:p>
        </w:tc>
        <w:tc>
          <w:tcPr>
            <w:tcW w:w="1355" w:type="dxa"/>
          </w:tcPr>
          <w:p w:rsidR="00E43081" w:rsidRPr="00A723E8" w:rsidRDefault="00E43081" w:rsidP="005776EC">
            <w:pPr>
              <w:jc w:val="center"/>
              <w:rPr>
                <w:rFonts w:ascii="Arial" w:hAnsi="Arial" w:cs="Arial"/>
                <w:color w:val="000000"/>
                <w:sz w:val="22"/>
                <w:szCs w:val="22"/>
              </w:rPr>
            </w:pPr>
            <w:r w:rsidRPr="00A723E8">
              <w:rPr>
                <w:rFonts w:ascii="Arial" w:hAnsi="Arial" w:cs="Arial"/>
                <w:color w:val="000000"/>
                <w:sz w:val="22"/>
                <w:szCs w:val="22"/>
              </w:rPr>
              <w:t>2.50%</w:t>
            </w:r>
          </w:p>
        </w:tc>
        <w:tc>
          <w:tcPr>
            <w:tcW w:w="1054" w:type="dxa"/>
          </w:tcPr>
          <w:p w:rsidR="00E43081" w:rsidRPr="00A723E8" w:rsidRDefault="00E43081" w:rsidP="005776EC">
            <w:pPr>
              <w:jc w:val="center"/>
              <w:rPr>
                <w:rFonts w:ascii="Arial" w:hAnsi="Arial" w:cs="Arial"/>
                <w:color w:val="000000"/>
                <w:sz w:val="22"/>
                <w:szCs w:val="22"/>
              </w:rPr>
            </w:pPr>
            <w:r w:rsidRPr="00A723E8">
              <w:rPr>
                <w:rFonts w:ascii="Arial" w:hAnsi="Arial" w:cs="Arial"/>
                <w:color w:val="000000"/>
                <w:sz w:val="22"/>
                <w:szCs w:val="22"/>
              </w:rPr>
              <w:t>384</w:t>
            </w:r>
          </w:p>
        </w:tc>
        <w:tc>
          <w:tcPr>
            <w:tcW w:w="942" w:type="dxa"/>
          </w:tcPr>
          <w:p w:rsidR="00E43081" w:rsidRPr="00A723E8" w:rsidRDefault="00E43081" w:rsidP="005776EC">
            <w:pPr>
              <w:jc w:val="center"/>
              <w:rPr>
                <w:rFonts w:ascii="Arial" w:hAnsi="Arial" w:cs="Arial"/>
                <w:color w:val="000000"/>
                <w:sz w:val="22"/>
                <w:szCs w:val="22"/>
              </w:rPr>
            </w:pPr>
            <w:r w:rsidRPr="00A723E8">
              <w:rPr>
                <w:rFonts w:ascii="Arial" w:hAnsi="Arial" w:cs="Arial"/>
                <w:color w:val="000000"/>
                <w:sz w:val="22"/>
                <w:szCs w:val="22"/>
              </w:rPr>
              <w:t>$40</w:t>
            </w:r>
          </w:p>
        </w:tc>
        <w:tc>
          <w:tcPr>
            <w:tcW w:w="1312" w:type="dxa"/>
          </w:tcPr>
          <w:p w:rsidR="00E43081" w:rsidRPr="00A723E8" w:rsidRDefault="00E43081" w:rsidP="005776EC">
            <w:pPr>
              <w:jc w:val="center"/>
              <w:rPr>
                <w:rFonts w:ascii="Arial" w:hAnsi="Arial" w:cs="Arial"/>
                <w:color w:val="000000"/>
                <w:sz w:val="22"/>
                <w:szCs w:val="22"/>
              </w:rPr>
            </w:pPr>
            <w:r w:rsidRPr="00A723E8">
              <w:rPr>
                <w:rFonts w:ascii="Arial" w:hAnsi="Arial" w:cs="Arial"/>
                <w:color w:val="000000"/>
                <w:sz w:val="22"/>
                <w:szCs w:val="22"/>
              </w:rPr>
              <w:t>$15,360</w:t>
            </w:r>
          </w:p>
        </w:tc>
      </w:tr>
      <w:tr w:rsidR="00E43081" w:rsidRPr="00A723E8" w:rsidTr="005776EC">
        <w:trPr>
          <w:trHeight w:val="330"/>
        </w:trPr>
        <w:tc>
          <w:tcPr>
            <w:tcW w:w="2555" w:type="dxa"/>
          </w:tcPr>
          <w:p w:rsidR="00E43081" w:rsidRPr="00A723E8" w:rsidRDefault="00E43081" w:rsidP="005776EC">
            <w:pPr>
              <w:jc w:val="both"/>
              <w:rPr>
                <w:rFonts w:ascii="Arial" w:hAnsi="Arial" w:cs="Arial"/>
                <w:b/>
                <w:bCs/>
                <w:color w:val="000000"/>
                <w:sz w:val="22"/>
                <w:szCs w:val="22"/>
              </w:rPr>
            </w:pPr>
            <w:r w:rsidRPr="00A723E8">
              <w:rPr>
                <w:rFonts w:ascii="Arial" w:hAnsi="Arial" w:cs="Arial"/>
                <w:b/>
                <w:bCs/>
                <w:color w:val="000000"/>
                <w:sz w:val="22"/>
                <w:szCs w:val="22"/>
              </w:rPr>
              <w:t>Total</w:t>
            </w:r>
          </w:p>
        </w:tc>
        <w:tc>
          <w:tcPr>
            <w:tcW w:w="1355" w:type="dxa"/>
          </w:tcPr>
          <w:p w:rsidR="00E43081" w:rsidRPr="00A723E8" w:rsidRDefault="00E43081" w:rsidP="005776EC">
            <w:pPr>
              <w:jc w:val="center"/>
              <w:rPr>
                <w:rFonts w:ascii="Arial" w:hAnsi="Arial" w:cs="Arial"/>
                <w:color w:val="000000"/>
                <w:sz w:val="22"/>
                <w:szCs w:val="22"/>
              </w:rPr>
            </w:pPr>
          </w:p>
        </w:tc>
        <w:tc>
          <w:tcPr>
            <w:tcW w:w="1054" w:type="dxa"/>
          </w:tcPr>
          <w:p w:rsidR="00E43081" w:rsidRPr="00A723E8" w:rsidRDefault="00E43081" w:rsidP="005776EC">
            <w:pPr>
              <w:jc w:val="center"/>
              <w:rPr>
                <w:rFonts w:ascii="Arial" w:hAnsi="Arial" w:cs="Arial"/>
                <w:color w:val="000000"/>
                <w:sz w:val="22"/>
                <w:szCs w:val="22"/>
              </w:rPr>
            </w:pPr>
          </w:p>
        </w:tc>
        <w:tc>
          <w:tcPr>
            <w:tcW w:w="942" w:type="dxa"/>
          </w:tcPr>
          <w:p w:rsidR="00E43081" w:rsidRPr="00A723E8" w:rsidRDefault="00E43081" w:rsidP="005776EC">
            <w:pPr>
              <w:jc w:val="center"/>
              <w:rPr>
                <w:rFonts w:ascii="Arial" w:hAnsi="Arial" w:cs="Arial"/>
                <w:color w:val="000000"/>
                <w:sz w:val="22"/>
                <w:szCs w:val="22"/>
              </w:rPr>
            </w:pPr>
          </w:p>
        </w:tc>
        <w:tc>
          <w:tcPr>
            <w:tcW w:w="1312" w:type="dxa"/>
          </w:tcPr>
          <w:p w:rsidR="00E43081" w:rsidRPr="00A723E8" w:rsidRDefault="00367B12" w:rsidP="005776EC">
            <w:pPr>
              <w:jc w:val="center"/>
              <w:rPr>
                <w:rFonts w:ascii="Arial" w:hAnsi="Arial" w:cs="Arial"/>
                <w:color w:val="000000"/>
                <w:sz w:val="22"/>
                <w:szCs w:val="22"/>
              </w:rPr>
            </w:pPr>
            <w:r>
              <w:rPr>
                <w:rFonts w:ascii="Arial" w:hAnsi="Arial" w:cs="Arial"/>
                <w:color w:val="000000"/>
                <w:sz w:val="22"/>
                <w:szCs w:val="22"/>
              </w:rPr>
              <w:t>$523,040</w:t>
            </w:r>
          </w:p>
        </w:tc>
      </w:tr>
    </w:tbl>
    <w:p w:rsidR="00992F2E" w:rsidRPr="00A723E8" w:rsidRDefault="00992F2E" w:rsidP="00F4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E34AD" w:rsidRPr="00A723E8" w:rsidRDefault="006E34AD" w:rsidP="006E34AD">
      <w:pPr>
        <w:pStyle w:val="Heading2"/>
        <w:spacing w:before="120" w:line="360" w:lineRule="auto"/>
      </w:pPr>
      <w:r w:rsidRPr="00A723E8">
        <w:t>A15.  Changes in Burden</w:t>
      </w:r>
    </w:p>
    <w:p w:rsidR="00950C8B" w:rsidRPr="00A723E8" w:rsidRDefault="003314EF"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r>
        <w:rPr>
          <w:rStyle w:val="WP9BodyText"/>
        </w:rPr>
        <w:t>This is a reinstatement of a previously approved data collection. Currently there are 0 burden hours in the OMB inventory. Previously,</w:t>
      </w:r>
      <w:r w:rsidR="00950C8B" w:rsidRPr="00A723E8">
        <w:rPr>
          <w:rStyle w:val="WP9BodyText"/>
        </w:rPr>
        <w:t xml:space="preserve"> there </w:t>
      </w:r>
      <w:r w:rsidR="00664FA3">
        <w:rPr>
          <w:rStyle w:val="WP9BodyText"/>
        </w:rPr>
        <w:t>were</w:t>
      </w:r>
      <w:r w:rsidR="00950C8B" w:rsidRPr="00A723E8">
        <w:rPr>
          <w:rStyle w:val="WP9BodyText"/>
        </w:rPr>
        <w:t xml:space="preserve"> 16,770 hours in the OMB inventory. CSAP is </w:t>
      </w:r>
      <w:r w:rsidR="00950C8B" w:rsidRPr="000D2822">
        <w:rPr>
          <w:rStyle w:val="WP9BodyText"/>
        </w:rPr>
        <w:t xml:space="preserve">requesting </w:t>
      </w:r>
      <w:r w:rsidR="000D2822" w:rsidRPr="00B86371">
        <w:rPr>
          <w:rStyle w:val="WP9BodyText"/>
        </w:rPr>
        <w:t>15,049</w:t>
      </w:r>
      <w:r w:rsidR="00664FA3">
        <w:rPr>
          <w:rStyle w:val="WP9BodyText"/>
        </w:rPr>
        <w:t xml:space="preserve"> burden hours to continue this cross-site study</w:t>
      </w:r>
      <w:r w:rsidR="00950C8B" w:rsidRPr="000D2822">
        <w:rPr>
          <w:rStyle w:val="WP9BodyText"/>
        </w:rPr>
        <w:t xml:space="preserve">. </w:t>
      </w:r>
      <w:r w:rsidR="003F471E" w:rsidRPr="000D2822">
        <w:rPr>
          <w:rStyle w:val="WP9BodyText"/>
        </w:rPr>
        <w:t>The</w:t>
      </w:r>
      <w:r w:rsidR="003F471E" w:rsidRPr="00A723E8">
        <w:rPr>
          <w:rStyle w:val="WP9BodyText"/>
        </w:rPr>
        <w:t xml:space="preserve"> decrease </w:t>
      </w:r>
      <w:r w:rsidR="009B4190" w:rsidRPr="00A723E8">
        <w:rPr>
          <w:rStyle w:val="WP9BodyText"/>
        </w:rPr>
        <w:t xml:space="preserve">of </w:t>
      </w:r>
      <w:r w:rsidR="004E46D4">
        <w:rPr>
          <w:rStyle w:val="WP9BodyText"/>
        </w:rPr>
        <w:t xml:space="preserve">1,721 </w:t>
      </w:r>
      <w:r w:rsidR="006A772E" w:rsidRPr="00A723E8">
        <w:rPr>
          <w:rStyle w:val="WP9BodyText"/>
        </w:rPr>
        <w:t>hours</w:t>
      </w:r>
      <w:r w:rsidR="009B4190" w:rsidRPr="00A723E8">
        <w:rPr>
          <w:rStyle w:val="WP9BodyText"/>
        </w:rPr>
        <w:t xml:space="preserve"> </w:t>
      </w:r>
      <w:r w:rsidR="003F471E" w:rsidRPr="00A723E8">
        <w:rPr>
          <w:rStyle w:val="WP9BodyText"/>
        </w:rPr>
        <w:t>is</w:t>
      </w:r>
      <w:r w:rsidR="00950C8B" w:rsidRPr="00A723E8">
        <w:rPr>
          <w:rStyle w:val="WP9BodyText"/>
        </w:rPr>
        <w:t xml:space="preserve"> due to </w:t>
      </w:r>
      <w:r w:rsidR="009B4190" w:rsidRPr="00A723E8">
        <w:rPr>
          <w:rStyle w:val="WP9BodyText"/>
        </w:rPr>
        <w:t xml:space="preserve">an adjustment. The </w:t>
      </w:r>
      <w:r w:rsidR="00950C8B" w:rsidRPr="00A723E8">
        <w:rPr>
          <w:rStyle w:val="WP9BodyText"/>
        </w:rPr>
        <w:t>original estimate was based on all participants being enrolled in 30-day or longer interventions.  The adjustment also accounts for interventions lasting less than 30 days.</w:t>
      </w:r>
    </w:p>
    <w:p w:rsidR="007803FC" w:rsidRPr="00A723E8" w:rsidRDefault="007803FC" w:rsidP="0078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Pr>
      </w:pPr>
    </w:p>
    <w:p w:rsidR="006E34AD" w:rsidRPr="00A723E8" w:rsidRDefault="006E34AD" w:rsidP="006E34AD">
      <w:pPr>
        <w:pStyle w:val="Heading2"/>
        <w:spacing w:before="120" w:line="360" w:lineRule="auto"/>
      </w:pPr>
      <w:bookmarkStart w:id="6" w:name="_Toc189457721"/>
      <w:r w:rsidRPr="00A723E8">
        <w:t>A16.</w:t>
      </w:r>
      <w:r w:rsidRPr="00A723E8">
        <w:tab/>
      </w:r>
      <w:bookmarkStart w:id="7" w:name="_Toc515165886"/>
      <w:bookmarkStart w:id="8" w:name="_Toc79290372"/>
      <w:r w:rsidRPr="00A723E8">
        <w:t>Time Schedule, Analysis and Publication Plans</w:t>
      </w:r>
      <w:bookmarkEnd w:id="6"/>
      <w:bookmarkEnd w:id="7"/>
      <w:bookmarkEnd w:id="8"/>
    </w:p>
    <w:p w:rsidR="000719AA" w:rsidRPr="00A723E8" w:rsidRDefault="000719AA"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sidRPr="00A723E8">
        <w:rPr>
          <w:b/>
        </w:rPr>
        <w:t>Analysis Plans</w:t>
      </w:r>
    </w:p>
    <w:p w:rsidR="007803FC" w:rsidRPr="00A723E8" w:rsidRDefault="007803FC" w:rsidP="00471C9E">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p>
    <w:p w:rsidR="000719AA" w:rsidRPr="00A723E8" w:rsidRDefault="000719AA" w:rsidP="000719AA">
      <w:pPr>
        <w:suppressLineNumbers/>
        <w:rPr>
          <w:rStyle w:val="WP9BodyText"/>
        </w:rPr>
      </w:pPr>
      <w:r w:rsidRPr="00A723E8">
        <w:rPr>
          <w:rStyle w:val="WP9BodyText"/>
        </w:rPr>
        <w:t xml:space="preserve">The defining characteristic of this cross-site study is </w:t>
      </w:r>
      <w:r w:rsidR="002174A5" w:rsidRPr="00A723E8">
        <w:rPr>
          <w:rStyle w:val="WP9BodyText"/>
        </w:rPr>
        <w:t>the sharing of</w:t>
      </w:r>
      <w:r w:rsidRPr="00A723E8">
        <w:rPr>
          <w:rStyle w:val="WP9BodyText"/>
        </w:rPr>
        <w:t xml:space="preserve"> a common protocol, a common set of performance measures, </w:t>
      </w:r>
      <w:r w:rsidR="002174A5" w:rsidRPr="00A723E8">
        <w:rPr>
          <w:rStyle w:val="WP9BodyText"/>
        </w:rPr>
        <w:t xml:space="preserve">common </w:t>
      </w:r>
      <w:r w:rsidRPr="00A723E8">
        <w:rPr>
          <w:rStyle w:val="WP9BodyText"/>
        </w:rPr>
        <w:t xml:space="preserve">outcome objectives, and </w:t>
      </w:r>
      <w:r w:rsidR="005B7369" w:rsidRPr="00A723E8">
        <w:rPr>
          <w:rStyle w:val="WP9BodyText"/>
        </w:rPr>
        <w:t xml:space="preserve">common </w:t>
      </w:r>
      <w:r w:rsidRPr="00A723E8">
        <w:rPr>
          <w:rStyle w:val="WP9BodyText"/>
        </w:rPr>
        <w:t>evaluation questions</w:t>
      </w:r>
      <w:r w:rsidR="002174A5" w:rsidRPr="00A723E8">
        <w:rPr>
          <w:rStyle w:val="WP9BodyText"/>
        </w:rPr>
        <w:t xml:space="preserve"> by all participating grantees</w:t>
      </w:r>
      <w:r w:rsidR="003D35F1" w:rsidRPr="00A723E8">
        <w:rPr>
          <w:rStyle w:val="WP9BodyText"/>
        </w:rPr>
        <w:t xml:space="preserve">. </w:t>
      </w:r>
      <w:r w:rsidRPr="00A723E8">
        <w:rPr>
          <w:rStyle w:val="WP9BodyText"/>
        </w:rPr>
        <w:t xml:space="preserve">This study differs from more traditional multi-site clinical trials because each individual grantee will select </w:t>
      </w:r>
      <w:r w:rsidR="00546BBF" w:rsidRPr="00A723E8">
        <w:rPr>
          <w:rStyle w:val="WP9BodyText"/>
        </w:rPr>
        <w:t xml:space="preserve">Evidence Based Interventions (EBI) and </w:t>
      </w:r>
      <w:hyperlink r:id="rId19" w:tgtFrame="_blank" w:history="1">
        <w:r w:rsidR="00546BBF" w:rsidRPr="00A723E8">
          <w:rPr>
            <w:rStyle w:val="WP9BodyText"/>
          </w:rPr>
          <w:t>Diffusion of Effective Behavioral Interventions</w:t>
        </w:r>
      </w:hyperlink>
      <w:r w:rsidR="00546BBF" w:rsidRPr="00A723E8">
        <w:rPr>
          <w:rStyle w:val="WP9BodyText"/>
        </w:rPr>
        <w:t xml:space="preserve"> (DEBI) t</w:t>
      </w:r>
      <w:r w:rsidRPr="00A723E8">
        <w:rPr>
          <w:rStyle w:val="WP9BodyText"/>
        </w:rPr>
        <w:t xml:space="preserve">hat </w:t>
      </w:r>
      <w:r w:rsidR="000E24E4" w:rsidRPr="00A723E8">
        <w:rPr>
          <w:rStyle w:val="WP9BodyText"/>
        </w:rPr>
        <w:t>are</w:t>
      </w:r>
      <w:r w:rsidRPr="00A723E8">
        <w:rPr>
          <w:rStyle w:val="WP9BodyText"/>
        </w:rPr>
        <w:t xml:space="preserve"> </w:t>
      </w:r>
      <w:r w:rsidR="00A54F33" w:rsidRPr="00A723E8">
        <w:rPr>
          <w:rStyle w:val="WP9BodyText"/>
        </w:rPr>
        <w:t>adapted to</w:t>
      </w:r>
      <w:r w:rsidRPr="00A723E8">
        <w:rPr>
          <w:rStyle w:val="WP9BodyText"/>
        </w:rPr>
        <w:t xml:space="preserve"> the needs of the particular target population, setting, and organizational characteristics. </w:t>
      </w:r>
      <w:r w:rsidR="004D32AE" w:rsidRPr="00A723E8">
        <w:rPr>
          <w:rStyle w:val="WP9BodyText"/>
        </w:rPr>
        <w:t>This m</w:t>
      </w:r>
      <w:r w:rsidRPr="00A723E8">
        <w:rPr>
          <w:rStyle w:val="WP9BodyText"/>
        </w:rPr>
        <w:t>ulti-site evaluation do</w:t>
      </w:r>
      <w:r w:rsidR="004D32AE" w:rsidRPr="00A723E8">
        <w:rPr>
          <w:rStyle w:val="WP9BodyText"/>
        </w:rPr>
        <w:t>es</w:t>
      </w:r>
      <w:r w:rsidRPr="00A723E8">
        <w:rPr>
          <w:rStyle w:val="WP9BodyText"/>
        </w:rPr>
        <w:t xml:space="preserve"> not test </w:t>
      </w:r>
      <w:r w:rsidR="00053B46" w:rsidRPr="00A723E8">
        <w:rPr>
          <w:rStyle w:val="WP9BodyText"/>
        </w:rPr>
        <w:t>a single intervention that has</w:t>
      </w:r>
      <w:r w:rsidRPr="00A723E8">
        <w:rPr>
          <w:rStyle w:val="WP9BodyText"/>
        </w:rPr>
        <w:t xml:space="preserve"> </w:t>
      </w:r>
      <w:r w:rsidR="00C427F5" w:rsidRPr="00A723E8">
        <w:rPr>
          <w:rStyle w:val="WP9BodyText"/>
        </w:rPr>
        <w:t>di</w:t>
      </w:r>
      <w:r w:rsidRPr="00A723E8">
        <w:rPr>
          <w:rStyle w:val="WP9BodyText"/>
        </w:rPr>
        <w:t xml:space="preserve">fferent settings, rather </w:t>
      </w:r>
      <w:r w:rsidR="004D32AE" w:rsidRPr="00A723E8">
        <w:rPr>
          <w:rStyle w:val="WP9BodyText"/>
        </w:rPr>
        <w:t xml:space="preserve">it is </w:t>
      </w:r>
      <w:r w:rsidRPr="00A723E8">
        <w:rPr>
          <w:rStyle w:val="WP9BodyText"/>
        </w:rPr>
        <w:t>test</w:t>
      </w:r>
      <w:r w:rsidR="004D32AE" w:rsidRPr="00A723E8">
        <w:rPr>
          <w:rStyle w:val="WP9BodyText"/>
        </w:rPr>
        <w:t>ing</w:t>
      </w:r>
      <w:r w:rsidRPr="00A723E8">
        <w:rPr>
          <w:rStyle w:val="WP9BodyText"/>
        </w:rPr>
        <w:t xml:space="preserve"> a category of intervention</w:t>
      </w:r>
      <w:r w:rsidR="009B0485" w:rsidRPr="00A723E8">
        <w:rPr>
          <w:rStyle w:val="WP9BodyText"/>
        </w:rPr>
        <w:t>s</w:t>
      </w:r>
      <w:r w:rsidRPr="00A723E8">
        <w:rPr>
          <w:rStyle w:val="WP9BodyText"/>
        </w:rPr>
        <w:t xml:space="preserve"> that have similar outcome objectives but that use different approaches to accomplish those objectives.</w:t>
      </w:r>
    </w:p>
    <w:p w:rsidR="000719AA" w:rsidRPr="00A723E8" w:rsidRDefault="000719AA" w:rsidP="000719AA">
      <w:pPr>
        <w:suppressLineNumbers/>
        <w:rPr>
          <w:rStyle w:val="WP9BodyText"/>
        </w:rPr>
      </w:pPr>
    </w:p>
    <w:p w:rsidR="00A5282A" w:rsidRPr="00A90CD8" w:rsidRDefault="000719AA" w:rsidP="00A5282A">
      <w:pPr>
        <w:rPr>
          <w:rFonts w:ascii="Times New Roman" w:hAnsi="Times New Roman"/>
        </w:rPr>
      </w:pPr>
      <w:r w:rsidRPr="00A723E8">
        <w:rPr>
          <w:rStyle w:val="WP9BodyText"/>
        </w:rPr>
        <w:t xml:space="preserve">Analysis of a multiple-site data set requires a complex set of interrelated tasks. Planning for these tasks must be flexible, </w:t>
      </w:r>
      <w:r w:rsidR="005B7369" w:rsidRPr="00A723E8">
        <w:rPr>
          <w:rStyle w:val="WP9BodyText"/>
        </w:rPr>
        <w:t>and must allow</w:t>
      </w:r>
      <w:r w:rsidRPr="00A723E8">
        <w:rPr>
          <w:rStyle w:val="WP9BodyText"/>
        </w:rPr>
        <w:t xml:space="preserve"> adjustments as the opportunities and challenges presented by the empirical realities of the data set are discovered. While multi-site studies provide strong opportunities for knowledge generation </w:t>
      </w:r>
      <w:r w:rsidR="005B7369" w:rsidRPr="00A723E8">
        <w:rPr>
          <w:rStyle w:val="WP9BodyText"/>
        </w:rPr>
        <w:t>(</w:t>
      </w:r>
      <w:r w:rsidRPr="00A723E8">
        <w:rPr>
          <w:rStyle w:val="WP9BodyText"/>
        </w:rPr>
        <w:t>because of the ability to contrast intervention and implementation variation in a single study</w:t>
      </w:r>
      <w:r w:rsidR="005B7369" w:rsidRPr="00A723E8">
        <w:rPr>
          <w:rStyle w:val="WP9BodyText"/>
        </w:rPr>
        <w:t>)</w:t>
      </w:r>
      <w:r w:rsidRPr="00A723E8">
        <w:rPr>
          <w:rStyle w:val="WP9BodyText"/>
        </w:rPr>
        <w:t xml:space="preserve">, they also present significant </w:t>
      </w:r>
      <w:r w:rsidR="000E24E4" w:rsidRPr="00A723E8">
        <w:rPr>
          <w:rStyle w:val="WP9BodyText"/>
        </w:rPr>
        <w:t xml:space="preserve">evaluation </w:t>
      </w:r>
      <w:r w:rsidRPr="00A723E8">
        <w:rPr>
          <w:rStyle w:val="WP9BodyText"/>
        </w:rPr>
        <w:t>challenges. This study recognizes those challenges and anticipate</w:t>
      </w:r>
      <w:r w:rsidR="005B7369" w:rsidRPr="00A723E8">
        <w:rPr>
          <w:rStyle w:val="WP9BodyText"/>
        </w:rPr>
        <w:t>s</w:t>
      </w:r>
      <w:r w:rsidRPr="00A723E8">
        <w:rPr>
          <w:rStyle w:val="WP9BodyText"/>
        </w:rPr>
        <w:t xml:space="preserve"> solutions as they </w:t>
      </w:r>
      <w:r w:rsidRPr="00A723E8">
        <w:rPr>
          <w:rStyle w:val="WP9BodyText"/>
        </w:rPr>
        <w:lastRenderedPageBreak/>
        <w:t xml:space="preserve">will apply to the </w:t>
      </w:r>
      <w:r w:rsidR="00D04A8E" w:rsidRPr="00A723E8">
        <w:rPr>
          <w:rStyle w:val="WP9BodyText"/>
        </w:rPr>
        <w:t xml:space="preserve">122 </w:t>
      </w:r>
      <w:r w:rsidRPr="00A723E8">
        <w:rPr>
          <w:rStyle w:val="WP9BodyText"/>
        </w:rPr>
        <w:t xml:space="preserve">participating </w:t>
      </w:r>
      <w:proofErr w:type="spellStart"/>
      <w:r w:rsidRPr="00A723E8">
        <w:rPr>
          <w:rStyle w:val="WP9BodyText"/>
        </w:rPr>
        <w:t>grantees.</w:t>
      </w:r>
      <w:r w:rsidR="00A5282A" w:rsidRPr="00A90CD8">
        <w:rPr>
          <w:rFonts w:ascii="Times New Roman" w:hAnsi="Times New Roman"/>
        </w:rPr>
        <w:t>All</w:t>
      </w:r>
      <w:proofErr w:type="spellEnd"/>
      <w:r w:rsidR="00A5282A" w:rsidRPr="00A90CD8">
        <w:rPr>
          <w:rFonts w:ascii="Times New Roman" w:hAnsi="Times New Roman"/>
        </w:rPr>
        <w:t xml:space="preserve"> SAMHSA grantees are required to collect and report certain data so that the Agency can meet its obligations under the Government Performance and Results Modernization Act of 2010 (GPRA).  </w:t>
      </w:r>
    </w:p>
    <w:p w:rsidR="00A5282A" w:rsidRPr="00A90CD8" w:rsidRDefault="00A5282A" w:rsidP="00A5282A">
      <w:pPr>
        <w:rPr>
          <w:rFonts w:ascii="Times New Roman" w:hAnsi="Times New Roman"/>
        </w:rPr>
      </w:pPr>
    </w:p>
    <w:p w:rsidR="00A5282A" w:rsidRPr="00A90CD8" w:rsidRDefault="00A5282A" w:rsidP="00A5282A">
      <w:pPr>
        <w:rPr>
          <w:rFonts w:ascii="Times New Roman" w:hAnsi="Times New Roman"/>
        </w:rPr>
      </w:pPr>
      <w:r w:rsidRPr="00A90CD8">
        <w:rPr>
          <w:rFonts w:ascii="Times New Roman" w:hAnsi="Times New Roman"/>
        </w:rPr>
        <w:t xml:space="preserve">In SAMHSA programs, which are often </w:t>
      </w:r>
      <w:r>
        <w:rPr>
          <w:rFonts w:ascii="Times New Roman" w:hAnsi="Times New Roman"/>
        </w:rPr>
        <w:t xml:space="preserve">client level/participant </w:t>
      </w:r>
      <w:r w:rsidRPr="00A90CD8">
        <w:rPr>
          <w:rFonts w:ascii="Times New Roman" w:hAnsi="Times New Roman"/>
        </w:rPr>
        <w:t xml:space="preserve">interventions that are dramatically different from one </w:t>
      </w:r>
      <w:r>
        <w:rPr>
          <w:rFonts w:ascii="Times New Roman" w:hAnsi="Times New Roman"/>
        </w:rPr>
        <w:t xml:space="preserve">group </w:t>
      </w:r>
      <w:r w:rsidRPr="00A90CD8">
        <w:rPr>
          <w:rFonts w:ascii="Times New Roman" w:hAnsi="Times New Roman"/>
        </w:rPr>
        <w:t xml:space="preserve">to another may </w:t>
      </w:r>
      <w:r>
        <w:rPr>
          <w:rFonts w:ascii="Times New Roman" w:hAnsi="Times New Roman"/>
        </w:rPr>
        <w:t xml:space="preserve">have </w:t>
      </w:r>
      <w:r w:rsidRPr="00A90CD8">
        <w:rPr>
          <w:rFonts w:ascii="Times New Roman" w:hAnsi="Times New Roman"/>
        </w:rPr>
        <w:t xml:space="preserve">insufficient population receiving a specific intervention to justify a sample.  Populations from each </w:t>
      </w:r>
      <w:r>
        <w:rPr>
          <w:rFonts w:ascii="Times New Roman" w:hAnsi="Times New Roman"/>
        </w:rPr>
        <w:t xml:space="preserve">group </w:t>
      </w:r>
      <w:r w:rsidRPr="00A90CD8">
        <w:rPr>
          <w:rFonts w:ascii="Times New Roman" w:hAnsi="Times New Roman"/>
        </w:rPr>
        <w:t xml:space="preserve">may not be similar and would not be appropriate to infer general findings about the successes or failures of a program because of the uniqueness of each </w:t>
      </w:r>
      <w:r>
        <w:rPr>
          <w:rFonts w:ascii="Times New Roman" w:hAnsi="Times New Roman"/>
        </w:rPr>
        <w:t>group</w:t>
      </w:r>
      <w:r w:rsidRPr="00A90CD8">
        <w:rPr>
          <w:rFonts w:ascii="Times New Roman" w:hAnsi="Times New Roman"/>
        </w:rPr>
        <w:t xml:space="preserve">.  Within </w:t>
      </w:r>
      <w:r>
        <w:rPr>
          <w:rFonts w:ascii="Times New Roman" w:hAnsi="Times New Roman"/>
        </w:rPr>
        <w:t>populations</w:t>
      </w:r>
      <w:r w:rsidRPr="00A90CD8">
        <w:rPr>
          <w:rFonts w:ascii="Times New Roman" w:hAnsi="Times New Roman"/>
        </w:rPr>
        <w:t xml:space="preserve">, sample sizes may be too small to properly sample, leading to large sample variance and errors in findings about the programs.  In these cases, where programs differ from </w:t>
      </w:r>
      <w:r>
        <w:rPr>
          <w:rFonts w:ascii="Times New Roman" w:hAnsi="Times New Roman"/>
        </w:rPr>
        <w:t>group to group</w:t>
      </w:r>
      <w:r w:rsidRPr="00A90CD8">
        <w:rPr>
          <w:rFonts w:ascii="Times New Roman" w:hAnsi="Times New Roman"/>
        </w:rPr>
        <w:t>, it is important to gather data sufficient to draw statistically accurate conclusions about how the programs are performing and about what characteristics of the program may matter to the success of the program.</w:t>
      </w:r>
    </w:p>
    <w:p w:rsidR="00A5282A" w:rsidRPr="00A90CD8" w:rsidRDefault="00A5282A" w:rsidP="00A5282A">
      <w:pPr>
        <w:rPr>
          <w:rFonts w:ascii="Times New Roman" w:hAnsi="Times New Roman"/>
        </w:rPr>
      </w:pPr>
    </w:p>
    <w:p w:rsidR="00A5282A" w:rsidRPr="00A90CD8" w:rsidRDefault="00A5282A" w:rsidP="00A5282A">
      <w:pPr>
        <w:rPr>
          <w:rFonts w:ascii="Times New Roman" w:hAnsi="Times New Roman"/>
        </w:rPr>
      </w:pPr>
      <w:r w:rsidRPr="00A90CD8">
        <w:rPr>
          <w:rFonts w:ascii="Times New Roman" w:hAnsi="Times New Roman"/>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identifying subpopulations (i.e., racial, ethnic, sexual/gender minority groups) vulnerable to health disparities and (2) implement strategies to decrease the differences in </w:t>
      </w:r>
      <w:r w:rsidRPr="00A90CD8">
        <w:rPr>
          <w:rFonts w:ascii="Times New Roman" w:hAnsi="Times New Roman"/>
          <w:b/>
          <w:bCs/>
        </w:rPr>
        <w:t>access, service use</w:t>
      </w:r>
      <w:r w:rsidRPr="00A90CD8">
        <w:rPr>
          <w:rFonts w:ascii="Times New Roman" w:hAnsi="Times New Roman"/>
        </w:rPr>
        <w:t xml:space="preserve">, and </w:t>
      </w:r>
      <w:r w:rsidRPr="00A90CD8">
        <w:rPr>
          <w:rFonts w:ascii="Times New Roman" w:hAnsi="Times New Roman"/>
          <w:b/>
          <w:bCs/>
        </w:rPr>
        <w:t xml:space="preserve">outcomes </w:t>
      </w:r>
      <w:r w:rsidRPr="00A90CD8">
        <w:rPr>
          <w:rFonts w:ascii="Times New Roman" w:hAnsi="Times New Roman"/>
        </w:rPr>
        <w:t xml:space="preserve">among those subpopulations.  </w:t>
      </w:r>
      <w:r>
        <w:rPr>
          <w:rFonts w:ascii="Times New Roman" w:hAnsi="Times New Roman"/>
        </w:rPr>
        <w:t xml:space="preserve">There will be subpopulations where sample size is too small to properly sample and where a census would be necessary obtain relevant and reliable outcome data.  </w:t>
      </w:r>
    </w:p>
    <w:p w:rsidR="00A5282A" w:rsidRPr="00A90CD8" w:rsidRDefault="00A5282A" w:rsidP="00A5282A">
      <w:pPr>
        <w:rPr>
          <w:rFonts w:ascii="Times New Roman" w:hAnsi="Times New Roman"/>
        </w:rPr>
      </w:pPr>
    </w:p>
    <w:p w:rsidR="009B0485" w:rsidRPr="00A723E8" w:rsidRDefault="00E44FBE" w:rsidP="000719AA">
      <w:pPr>
        <w:suppressLineNumbers/>
        <w:rPr>
          <w:rStyle w:val="WP9BodyText"/>
        </w:rPr>
      </w:pPr>
      <w:r>
        <w:rPr>
          <w:rFonts w:cstheme="minorHAnsi"/>
          <w:sz w:val="20"/>
          <w:szCs w:val="20"/>
        </w:rPr>
        <w:t xml:space="preserve"> </w:t>
      </w:r>
      <w:proofErr w:type="gramStart"/>
      <w:r w:rsidR="000719AA" w:rsidRPr="00A723E8">
        <w:rPr>
          <w:rStyle w:val="WP9BodyText"/>
        </w:rPr>
        <w:t>Statistical Procedure Determination.</w:t>
      </w:r>
      <w:proofErr w:type="gramEnd"/>
      <w:r w:rsidR="000719AA" w:rsidRPr="00A723E8">
        <w:rPr>
          <w:rStyle w:val="WP9BodyText"/>
        </w:rPr>
        <w:t xml:space="preserve"> As a multi-site design, the CSAP initiative collects information at two levels of observation: 1) across individuals</w:t>
      </w:r>
      <w:r w:rsidR="009B0485" w:rsidRPr="00A723E8">
        <w:rPr>
          <w:rStyle w:val="WP9BodyText"/>
        </w:rPr>
        <w:t>,</w:t>
      </w:r>
      <w:r w:rsidR="000719AA" w:rsidRPr="00A723E8">
        <w:rPr>
          <w:rStyle w:val="WP9BodyText"/>
        </w:rPr>
        <w:t xml:space="preserve"> and 2) within individuals at three points in time</w:t>
      </w:r>
      <w:r w:rsidR="00D04A8E" w:rsidRPr="00A723E8">
        <w:rPr>
          <w:rStyle w:val="WP9BodyText"/>
        </w:rPr>
        <w:t xml:space="preserve"> for individuals in interventions lasting 30 days or</w:t>
      </w:r>
      <w:r w:rsidR="00575BCD" w:rsidRPr="00A723E8">
        <w:rPr>
          <w:rStyle w:val="WP9BodyText"/>
        </w:rPr>
        <w:t xml:space="preserve"> </w:t>
      </w:r>
      <w:r w:rsidR="00D04A8E" w:rsidRPr="00A723E8">
        <w:rPr>
          <w:rStyle w:val="WP9BodyText"/>
        </w:rPr>
        <w:t>longer</w:t>
      </w:r>
      <w:r w:rsidR="000F7698" w:rsidRPr="00A723E8">
        <w:rPr>
          <w:rStyle w:val="WP9BodyText"/>
        </w:rPr>
        <w:t xml:space="preserve"> and two points in time for individuals in interventions lasting between 2 and 29 days</w:t>
      </w:r>
      <w:r w:rsidR="000719AA" w:rsidRPr="00A723E8">
        <w:rPr>
          <w:rStyle w:val="WP9BodyText"/>
        </w:rPr>
        <w:t>. The units of observation also have a hierarchical relation. Individual level units (youth and adults) are nested within program sites and points in time are nested within individuals.</w:t>
      </w:r>
    </w:p>
    <w:p w:rsidR="009B0485" w:rsidRPr="00A723E8" w:rsidRDefault="009B0485" w:rsidP="000719AA">
      <w:pPr>
        <w:suppressLineNumbers/>
        <w:rPr>
          <w:rStyle w:val="WP9BodyText"/>
        </w:rPr>
      </w:pPr>
    </w:p>
    <w:p w:rsidR="009B0485" w:rsidRPr="00A723E8" w:rsidRDefault="000719AA" w:rsidP="000719AA">
      <w:pPr>
        <w:suppressLineNumbers/>
        <w:rPr>
          <w:rStyle w:val="WP9BodyText"/>
        </w:rPr>
      </w:pPr>
      <w:r w:rsidRPr="00A723E8">
        <w:rPr>
          <w:rStyle w:val="WP9BodyText"/>
        </w:rPr>
        <w:t>The proposed analysis includes several distinct steps</w:t>
      </w:r>
      <w:r w:rsidR="009B0485" w:rsidRPr="00A723E8">
        <w:rPr>
          <w:rStyle w:val="WP9BodyText"/>
        </w:rPr>
        <w:t>:</w:t>
      </w:r>
    </w:p>
    <w:p w:rsidR="007803FC" w:rsidRPr="00A723E8" w:rsidRDefault="007803FC" w:rsidP="000719AA">
      <w:pPr>
        <w:suppressLineNumbers/>
        <w:rPr>
          <w:rStyle w:val="WP9BodyText"/>
        </w:rPr>
      </w:pPr>
    </w:p>
    <w:p w:rsidR="009B0485" w:rsidRPr="00A723E8" w:rsidRDefault="000719AA" w:rsidP="002C06C2">
      <w:pPr>
        <w:numPr>
          <w:ilvl w:val="0"/>
          <w:numId w:val="11"/>
        </w:numPr>
      </w:pPr>
      <w:r w:rsidRPr="00A723E8">
        <w:t>First, pooled analyses of outcomes will be conducted to assess the (controlled) presence of significant factors in growth curve trends for youth and adults participating in prevention interventions.</w:t>
      </w:r>
    </w:p>
    <w:p w:rsidR="009B0485" w:rsidRPr="00A723E8" w:rsidRDefault="000719AA" w:rsidP="002C06C2">
      <w:pPr>
        <w:numPr>
          <w:ilvl w:val="0"/>
          <w:numId w:val="11"/>
        </w:numPr>
      </w:pPr>
      <w:r w:rsidRPr="00A723E8">
        <w:t>Second, the heterogeneity of outcomes across sites will be asses</w:t>
      </w:r>
      <w:r w:rsidR="009B0485" w:rsidRPr="00A723E8">
        <w:t>sed</w:t>
      </w:r>
      <w:r w:rsidRPr="00A723E8">
        <w:t xml:space="preserve"> to determine if outcomes for substance use or important protective factors significantly differ across sites. If there are significant differences, hypotheses will be developed to explain those differences and conduct </w:t>
      </w:r>
      <w:r w:rsidR="00932FCA" w:rsidRPr="00A723E8">
        <w:t>multivariate</w:t>
      </w:r>
      <w:r w:rsidRPr="00A723E8">
        <w:t xml:space="preserve"> analyses on</w:t>
      </w:r>
      <w:r w:rsidR="009B0485" w:rsidRPr="00A723E8">
        <w:t>:</w:t>
      </w:r>
      <w:r w:rsidRPr="00A723E8">
        <w:t xml:space="preserve"> a) clusters of sites that share characteristics hypothesized to be contributors to effectiveness, and/or b) individual sites that exhibit combinations of principles and practices hypothesized as contributors to effectiveness.</w:t>
      </w:r>
    </w:p>
    <w:p w:rsidR="000719AA" w:rsidRPr="00A723E8" w:rsidRDefault="000719AA" w:rsidP="002C06C2">
      <w:pPr>
        <w:numPr>
          <w:ilvl w:val="0"/>
          <w:numId w:val="11"/>
        </w:numPr>
      </w:pPr>
      <w:r w:rsidRPr="00A723E8">
        <w:t xml:space="preserve">Additional analyses </w:t>
      </w:r>
      <w:r w:rsidR="00EF5947" w:rsidRPr="00A723E8">
        <w:t xml:space="preserve">will </w:t>
      </w:r>
      <w:r w:rsidRPr="00A723E8">
        <w:t>test the sensitivity of effectiveness models to differences in participant characteristics.</w:t>
      </w:r>
    </w:p>
    <w:p w:rsidR="000719AA" w:rsidRPr="00A723E8" w:rsidRDefault="000719AA" w:rsidP="000719AA">
      <w:pPr>
        <w:suppressLineNumbers/>
        <w:rPr>
          <w:sz w:val="23"/>
        </w:rPr>
      </w:pPr>
    </w:p>
    <w:p w:rsidR="000719AA" w:rsidRPr="00A723E8" w:rsidRDefault="000719AA" w:rsidP="000719AA">
      <w:pPr>
        <w:suppressLineNumbers/>
        <w:rPr>
          <w:rStyle w:val="WP9BodyText"/>
        </w:rPr>
      </w:pPr>
      <w:proofErr w:type="gramStart"/>
      <w:r w:rsidRPr="00A723E8">
        <w:rPr>
          <w:rStyle w:val="WP9BodyText"/>
        </w:rPr>
        <w:lastRenderedPageBreak/>
        <w:t>Statistical Test Determinations.</w:t>
      </w:r>
      <w:proofErr w:type="gramEnd"/>
      <w:r w:rsidRPr="00A723E8">
        <w:rPr>
          <w:rStyle w:val="WP9BodyText"/>
        </w:rPr>
        <w:t xml:space="preserve"> Both the structural equation model (SEM) approach to estimat</w:t>
      </w:r>
      <w:r w:rsidR="00EF5947" w:rsidRPr="00A723E8">
        <w:rPr>
          <w:rStyle w:val="WP9BodyText"/>
        </w:rPr>
        <w:t>ing</w:t>
      </w:r>
      <w:r w:rsidRPr="00A723E8">
        <w:rPr>
          <w:rStyle w:val="WP9BodyText"/>
        </w:rPr>
        <w:t xml:space="preserve"> the trajectory parameters and the hierarchical linear model (HLM) approach that can consider time to be nested within an individual will be the key analytic methods conducted for this </w:t>
      </w:r>
      <w:r w:rsidR="002174A5" w:rsidRPr="00A723E8">
        <w:rPr>
          <w:rStyle w:val="WP9BodyText"/>
        </w:rPr>
        <w:t>multi-site evaluation (</w:t>
      </w:r>
      <w:r w:rsidRPr="00A723E8">
        <w:rPr>
          <w:rStyle w:val="WP9BodyText"/>
        </w:rPr>
        <w:t>MSE</w:t>
      </w:r>
      <w:r w:rsidR="002174A5" w:rsidRPr="00A723E8">
        <w:rPr>
          <w:rStyle w:val="WP9BodyText"/>
        </w:rPr>
        <w:t>)</w:t>
      </w:r>
      <w:r w:rsidRPr="00A723E8">
        <w:rPr>
          <w:rStyle w:val="WP9BodyText"/>
        </w:rPr>
        <w:t xml:space="preserve"> (</w:t>
      </w:r>
      <w:proofErr w:type="spellStart"/>
      <w:r w:rsidRPr="00A723E8">
        <w:rPr>
          <w:rStyle w:val="WP9BodyText"/>
        </w:rPr>
        <w:t>Bollen</w:t>
      </w:r>
      <w:proofErr w:type="spellEnd"/>
      <w:r w:rsidRPr="00A723E8">
        <w:rPr>
          <w:rStyle w:val="WP9BodyText"/>
        </w:rPr>
        <w:t xml:space="preserve">, 1989; Chou, Bender, &amp; </w:t>
      </w:r>
      <w:proofErr w:type="spellStart"/>
      <w:r w:rsidRPr="00A723E8">
        <w:rPr>
          <w:rStyle w:val="WP9BodyText"/>
        </w:rPr>
        <w:t>Pentz</w:t>
      </w:r>
      <w:proofErr w:type="spellEnd"/>
      <w:r w:rsidRPr="00A723E8">
        <w:rPr>
          <w:rStyle w:val="WP9BodyText"/>
        </w:rPr>
        <w:t xml:space="preserve">, 1998). This hierarchical data set presents flexible analysis opportunities as well as some analytic challenges. As the primary statistical tool, </w:t>
      </w:r>
      <w:r w:rsidR="002174A5" w:rsidRPr="00A723E8">
        <w:rPr>
          <w:rStyle w:val="WP9BodyText"/>
        </w:rPr>
        <w:t>the plan is</w:t>
      </w:r>
      <w:r w:rsidRPr="00A723E8">
        <w:rPr>
          <w:rStyle w:val="WP9BodyText"/>
        </w:rPr>
        <w:t xml:space="preserve"> to apply multi-level regression [e.g., SEM and HLM] models. This technique allows for the identification of individual effects, control</w:t>
      </w:r>
      <w:r w:rsidR="00292F2E" w:rsidRPr="00A723E8">
        <w:rPr>
          <w:rStyle w:val="WP9BodyText"/>
        </w:rPr>
        <w:t>s</w:t>
      </w:r>
      <w:r w:rsidRPr="00A723E8">
        <w:rPr>
          <w:rStyle w:val="WP9BodyText"/>
        </w:rPr>
        <w:t xml:space="preserve"> for co-</w:t>
      </w:r>
      <w:proofErr w:type="spellStart"/>
      <w:r w:rsidRPr="00A723E8">
        <w:rPr>
          <w:rStyle w:val="WP9BodyText"/>
        </w:rPr>
        <w:t>variates</w:t>
      </w:r>
      <w:proofErr w:type="spellEnd"/>
      <w:r w:rsidRPr="00A723E8">
        <w:rPr>
          <w:rStyle w:val="WP9BodyText"/>
        </w:rPr>
        <w:t xml:space="preserve"> (e.g., propensity scores to control for non-equivalence across intervention groups)</w:t>
      </w:r>
      <w:r w:rsidR="005B7369" w:rsidRPr="00A723E8">
        <w:rPr>
          <w:rStyle w:val="WP9BodyText"/>
        </w:rPr>
        <w:t>,</w:t>
      </w:r>
      <w:r w:rsidRPr="00A723E8">
        <w:rPr>
          <w:rStyle w:val="WP9BodyText"/>
        </w:rPr>
        <w:t xml:space="preserve"> and tests for interaction effects with the different types of interventions and youth or adult characteristics that may mediate the impact of the intervention. HLM also provides excellent capacity </w:t>
      </w:r>
      <w:r w:rsidR="00973DBD" w:rsidRPr="00A723E8">
        <w:rPr>
          <w:rStyle w:val="WP9BodyText"/>
        </w:rPr>
        <w:t>for</w:t>
      </w:r>
      <w:r w:rsidRPr="00A723E8">
        <w:rPr>
          <w:rStyle w:val="WP9BodyText"/>
        </w:rPr>
        <w:t xml:space="preserve"> analyzing longitudinal, repeated measures designs (Willett, Singer, and Martin, 1998)</w:t>
      </w:r>
      <w:r w:rsidR="005B7369" w:rsidRPr="00A723E8">
        <w:rPr>
          <w:rStyle w:val="WP9BodyText"/>
        </w:rPr>
        <w:t xml:space="preserve">, can </w:t>
      </w:r>
      <w:r w:rsidRPr="00A723E8">
        <w:rPr>
          <w:rStyle w:val="WP9BodyText"/>
        </w:rPr>
        <w:t>accommodate missing data at individual data points</w:t>
      </w:r>
      <w:r w:rsidR="005B7369" w:rsidRPr="00A723E8">
        <w:rPr>
          <w:rStyle w:val="WP9BodyText"/>
        </w:rPr>
        <w:t xml:space="preserve">, and </w:t>
      </w:r>
      <w:r w:rsidRPr="00A723E8">
        <w:rPr>
          <w:rStyle w:val="WP9BodyText"/>
        </w:rPr>
        <w:t xml:space="preserve">allow adjustments for different individual intervals between </w:t>
      </w:r>
      <w:r w:rsidR="00F947AB" w:rsidRPr="00A723E8">
        <w:rPr>
          <w:rStyle w:val="WP9BodyText"/>
        </w:rPr>
        <w:t>follow-up</w:t>
      </w:r>
      <w:r w:rsidRPr="00A723E8">
        <w:rPr>
          <w:rStyle w:val="WP9BodyText"/>
        </w:rPr>
        <w:t xml:space="preserve"> data points. Tests for attrition bias and selective attrition are conducted at each </w:t>
      </w:r>
      <w:r w:rsidR="00F947AB" w:rsidRPr="00A723E8">
        <w:rPr>
          <w:rStyle w:val="WP9BodyText"/>
        </w:rPr>
        <w:t>follow-up</w:t>
      </w:r>
      <w:r w:rsidRPr="00A723E8">
        <w:rPr>
          <w:rStyle w:val="WP9BodyText"/>
        </w:rPr>
        <w:t xml:space="preserve"> point.</w:t>
      </w:r>
    </w:p>
    <w:p w:rsidR="00932FCA" w:rsidRPr="00A723E8" w:rsidRDefault="00932FCA" w:rsidP="000719AA">
      <w:pPr>
        <w:suppressLineNumbers/>
        <w:rPr>
          <w:rStyle w:val="WP9BodyText"/>
        </w:rPr>
      </w:pPr>
    </w:p>
    <w:p w:rsidR="00932FCA" w:rsidRPr="00A723E8" w:rsidRDefault="00932FCA" w:rsidP="000719AA">
      <w:pPr>
        <w:suppressLineNumbers/>
        <w:rPr>
          <w:rStyle w:val="WP9BodyText"/>
        </w:rPr>
      </w:pPr>
      <w:r w:rsidRPr="00A723E8">
        <w:rPr>
          <w:rStyle w:val="WP9BodyText"/>
        </w:rPr>
        <w:t xml:space="preserve">A two-step analysis strategy will be used to control for attrition bias. First, baseline characteristics of all participants will be compared with baseline characteristics of participants who completed the programs. These two </w:t>
      </w:r>
      <w:r w:rsidR="004D108B" w:rsidRPr="00A723E8">
        <w:rPr>
          <w:rStyle w:val="WP9BodyText"/>
        </w:rPr>
        <w:t>sets of data records</w:t>
      </w:r>
      <w:r w:rsidRPr="00A723E8">
        <w:rPr>
          <w:rStyle w:val="WP9BodyText"/>
        </w:rPr>
        <w:t xml:space="preserve"> will be compared with respect to</w:t>
      </w:r>
      <w:r w:rsidR="004D32AE" w:rsidRPr="00A723E8">
        <w:rPr>
          <w:rStyle w:val="WP9BodyText"/>
        </w:rPr>
        <w:t xml:space="preserve"> baseline values of </w:t>
      </w:r>
      <w:r w:rsidRPr="00A723E8">
        <w:rPr>
          <w:rStyle w:val="WP9BodyText"/>
        </w:rPr>
        <w:t xml:space="preserve">demographic characteristics, </w:t>
      </w:r>
      <w:r w:rsidR="004D108B" w:rsidRPr="00A723E8">
        <w:rPr>
          <w:rStyle w:val="WP9BodyText"/>
        </w:rPr>
        <w:t xml:space="preserve">incarceration/reentry status, </w:t>
      </w:r>
      <w:r w:rsidRPr="00A723E8">
        <w:rPr>
          <w:rStyle w:val="WP9BodyText"/>
        </w:rPr>
        <w:t>levels of risk and protection</w:t>
      </w:r>
      <w:r w:rsidR="004D108B" w:rsidRPr="00A723E8">
        <w:rPr>
          <w:rStyle w:val="WP9BodyText"/>
        </w:rPr>
        <w:t>, and levels of substance use. Second, baseline factors found to differ significantly between the two sets of records will be included in all of the models and only model estimates net of these factors will be reported in the final evaluation results. This approach minimizes selectivity biases due to program attrition in reported program effects.</w:t>
      </w:r>
    </w:p>
    <w:p w:rsidR="000719AA" w:rsidRPr="00A723E8" w:rsidRDefault="000719AA" w:rsidP="000719AA">
      <w:pPr>
        <w:suppressLineNumbers/>
        <w:rPr>
          <w:rStyle w:val="WP9BodyText"/>
        </w:rPr>
      </w:pPr>
    </w:p>
    <w:p w:rsidR="000719AA" w:rsidRPr="00A723E8" w:rsidRDefault="00761645"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Pr>
          <w:rStyle w:val="WP9BodyText"/>
        </w:rPr>
        <w:t>T</w:t>
      </w:r>
      <w:r w:rsidR="000719AA" w:rsidRPr="00A723E8">
        <w:rPr>
          <w:rStyle w:val="WP9BodyText"/>
        </w:rPr>
        <w:t xml:space="preserve">he MSE dataset will provide the flexibility to conduct analyses that provide useful evidence concerning the general effectiveness of prevention in </w:t>
      </w:r>
      <w:r w:rsidR="00BB7180" w:rsidRPr="00A723E8">
        <w:rPr>
          <w:rStyle w:val="WP9BodyText"/>
        </w:rPr>
        <w:t xml:space="preserve">reducing risk factors and </w:t>
      </w:r>
      <w:r w:rsidR="000719AA" w:rsidRPr="00A723E8">
        <w:rPr>
          <w:rStyle w:val="WP9BodyText"/>
        </w:rPr>
        <w:t>promoting (developing) protective factors that could potentially affect SA or HI</w:t>
      </w:r>
      <w:r w:rsidR="00292F2E" w:rsidRPr="00A723E8">
        <w:rPr>
          <w:rStyle w:val="WP9BodyText"/>
        </w:rPr>
        <w:t>V/AIDS</w:t>
      </w:r>
      <w:r w:rsidR="000719AA" w:rsidRPr="00A723E8">
        <w:rPr>
          <w:rStyle w:val="WP9BodyText"/>
        </w:rPr>
        <w:t xml:space="preserve"> </w:t>
      </w:r>
      <w:r w:rsidR="00292F2E" w:rsidRPr="00A723E8">
        <w:rPr>
          <w:rStyle w:val="WP9BodyText"/>
        </w:rPr>
        <w:t xml:space="preserve">risk or </w:t>
      </w:r>
      <w:r w:rsidR="000719AA" w:rsidRPr="00A723E8">
        <w:rPr>
          <w:rStyle w:val="WP9BodyText"/>
        </w:rPr>
        <w:t>transmission. The dataset will also be able to assess the variation in th</w:t>
      </w:r>
      <w:r w:rsidR="00292F2E" w:rsidRPr="00A723E8">
        <w:rPr>
          <w:rStyle w:val="WP9BodyText"/>
        </w:rPr>
        <w:t>is e</w:t>
      </w:r>
      <w:r w:rsidR="000719AA" w:rsidRPr="00A723E8">
        <w:rPr>
          <w:rStyle w:val="WP9BodyText"/>
        </w:rPr>
        <w:t>ffectiveness between interventions among the project sites, and offer potential explanations of that variation (e.g., amount of contact, type of intervention approach).</w:t>
      </w:r>
    </w:p>
    <w:p w:rsidR="00BB7180" w:rsidRPr="00A723E8" w:rsidRDefault="00BB7180"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BB7180" w:rsidRPr="00A723E8" w:rsidRDefault="003748C0"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r w:rsidRPr="00A723E8">
        <w:rPr>
          <w:rStyle w:val="WP9BodyText"/>
        </w:rPr>
        <w:t xml:space="preserve">Given that target populations and community contexts vary by grant site, the multi-site dataset will contain data from a wide range of program participants in terms of their demographic, socioeconomic, and cultural characteristics. </w:t>
      </w:r>
      <w:r w:rsidR="008D1FD1" w:rsidRPr="00A723E8">
        <w:rPr>
          <w:rStyle w:val="WP9BodyText"/>
        </w:rPr>
        <w:t>A</w:t>
      </w:r>
      <w:r w:rsidRPr="00A723E8">
        <w:rPr>
          <w:rStyle w:val="WP9BodyText"/>
        </w:rPr>
        <w:t xml:space="preserve">ll multivariate models will include all of the factors that account for the differences among groups. </w:t>
      </w:r>
      <w:r w:rsidR="008D1FD1" w:rsidRPr="00A723E8">
        <w:rPr>
          <w:rStyle w:val="WP9BodyText"/>
        </w:rPr>
        <w:t xml:space="preserve">Those factors that are found to have a significant effect on outcomes will be identified and interaction terms will be constructed to represent differences in program effects due to recruitment strategy. </w:t>
      </w:r>
      <w:r w:rsidRPr="00A723E8">
        <w:rPr>
          <w:rStyle w:val="WP9BodyText"/>
        </w:rPr>
        <w:t xml:space="preserve">This </w:t>
      </w:r>
      <w:r w:rsidR="00841642" w:rsidRPr="00A723E8">
        <w:rPr>
          <w:rStyle w:val="WP9BodyText"/>
        </w:rPr>
        <w:t xml:space="preserve">analytic strategy </w:t>
      </w:r>
      <w:r w:rsidR="008D1FD1" w:rsidRPr="00A723E8">
        <w:rPr>
          <w:rStyle w:val="WP9BodyText"/>
        </w:rPr>
        <w:t xml:space="preserve">will </w:t>
      </w:r>
      <w:r w:rsidRPr="00A723E8">
        <w:rPr>
          <w:rStyle w:val="WP9BodyText"/>
        </w:rPr>
        <w:t xml:space="preserve">allow the evaluation </w:t>
      </w:r>
      <w:r w:rsidR="008D1FD1" w:rsidRPr="00A723E8">
        <w:rPr>
          <w:rStyle w:val="WP9BodyText"/>
        </w:rPr>
        <w:t xml:space="preserve">study </w:t>
      </w:r>
      <w:r w:rsidRPr="00A723E8">
        <w:rPr>
          <w:rStyle w:val="WP9BodyText"/>
        </w:rPr>
        <w:t xml:space="preserve">to </w:t>
      </w:r>
      <w:r w:rsidR="008D1FD1" w:rsidRPr="00A723E8">
        <w:rPr>
          <w:rStyle w:val="WP9BodyText"/>
        </w:rPr>
        <w:t xml:space="preserve">take into </w:t>
      </w:r>
      <w:r w:rsidRPr="00A723E8">
        <w:rPr>
          <w:rStyle w:val="WP9BodyText"/>
        </w:rPr>
        <w:t>consider</w:t>
      </w:r>
      <w:r w:rsidR="008D1FD1" w:rsidRPr="00A723E8">
        <w:rPr>
          <w:rStyle w:val="WP9BodyText"/>
        </w:rPr>
        <w:t>ation</w:t>
      </w:r>
      <w:r w:rsidRPr="00A723E8">
        <w:rPr>
          <w:rStyle w:val="WP9BodyText"/>
        </w:rPr>
        <w:t xml:space="preserve"> the mediating effects of a broad range of factors on program outcomes. </w:t>
      </w:r>
      <w:r w:rsidR="008D1FD1" w:rsidRPr="00A723E8">
        <w:rPr>
          <w:rStyle w:val="WP9BodyText"/>
        </w:rPr>
        <w:t>The inclusion of these demographic, socioeconomic, and cultural control variables</w:t>
      </w:r>
      <w:r w:rsidR="00841642" w:rsidRPr="00A723E8">
        <w:rPr>
          <w:rStyle w:val="WP9BodyText"/>
        </w:rPr>
        <w:t xml:space="preserve"> and interaction terms</w:t>
      </w:r>
      <w:r w:rsidR="008D1FD1" w:rsidRPr="00A723E8">
        <w:rPr>
          <w:rStyle w:val="WP9BodyText"/>
        </w:rPr>
        <w:t xml:space="preserve"> in the models will also ensure that final results are not biased toward the outcomes of groups with relatively large numbers of data records.</w:t>
      </w:r>
    </w:p>
    <w:p w:rsidR="000719AA" w:rsidRPr="00A723E8" w:rsidRDefault="000719AA" w:rsidP="000719A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Pr>
      </w:pPr>
    </w:p>
    <w:p w:rsidR="000719AA" w:rsidRPr="00A723E8" w:rsidRDefault="000719AA" w:rsidP="000719AA">
      <w:pPr>
        <w:suppressLineNumbers/>
        <w:rPr>
          <w:rStyle w:val="WP9BodyText"/>
        </w:rPr>
      </w:pPr>
      <w:r w:rsidRPr="00A723E8">
        <w:rPr>
          <w:rStyle w:val="WP9BodyText"/>
        </w:rPr>
        <w:t xml:space="preserve">Many of the grantees are targeting African American and Hispanic/Latino populations and populations who have just been released (re-entry) from the criminal justice system. Youth </w:t>
      </w:r>
      <w:r w:rsidRPr="00A723E8">
        <w:rPr>
          <w:rStyle w:val="WP9BodyText"/>
        </w:rPr>
        <w:lastRenderedPageBreak/>
        <w:t>between the ages of 12 and 17 and adults</w:t>
      </w:r>
      <w:r w:rsidR="00D802B0" w:rsidRPr="00A723E8">
        <w:rPr>
          <w:rStyle w:val="WP9BodyText"/>
        </w:rPr>
        <w:t xml:space="preserve"> age</w:t>
      </w:r>
      <w:r w:rsidR="002F7FE7" w:rsidRPr="00A723E8">
        <w:rPr>
          <w:rStyle w:val="WP9BodyText"/>
        </w:rPr>
        <w:t>d</w:t>
      </w:r>
      <w:r w:rsidRPr="00A723E8">
        <w:rPr>
          <w:rStyle w:val="WP9BodyText"/>
        </w:rPr>
        <w:t xml:space="preserve"> 18 and over are included in the cross-site study design. Varieties of methods are being used to recruit participants. Most sites report that participants will be identified from SA treatment programs, referrals from collaborations with criminal justice systems and other involved agencies</w:t>
      </w:r>
      <w:r w:rsidR="00292F2E" w:rsidRPr="00A723E8">
        <w:rPr>
          <w:rStyle w:val="WP9BodyText"/>
        </w:rPr>
        <w:t>,</w:t>
      </w:r>
      <w:r w:rsidRPr="00A723E8">
        <w:rPr>
          <w:rStyle w:val="WP9BodyText"/>
        </w:rPr>
        <w:t xml:space="preserve"> and/or through site-specific geographical areas that were identified through the SPF Step 1 </w:t>
      </w:r>
      <w:r w:rsidR="00D802B0" w:rsidRPr="00A723E8">
        <w:rPr>
          <w:rStyle w:val="WP9BodyText"/>
        </w:rPr>
        <w:t>n</w:t>
      </w:r>
      <w:r w:rsidRPr="00A723E8">
        <w:rPr>
          <w:rStyle w:val="WP9BodyText"/>
        </w:rPr>
        <w:t xml:space="preserve">eeds </w:t>
      </w:r>
      <w:r w:rsidR="00D802B0" w:rsidRPr="00A723E8">
        <w:rPr>
          <w:rStyle w:val="WP9BodyText"/>
        </w:rPr>
        <w:t>a</w:t>
      </w:r>
      <w:r w:rsidRPr="00A723E8">
        <w:rPr>
          <w:rStyle w:val="WP9BodyText"/>
        </w:rPr>
        <w:t xml:space="preserve">ssessment conducted during the first year of the grant. </w:t>
      </w:r>
      <w:r w:rsidR="002174A5" w:rsidRPr="00A723E8">
        <w:rPr>
          <w:rStyle w:val="WP9BodyText"/>
        </w:rPr>
        <w:t>This needs assessment will</w:t>
      </w:r>
      <w:r w:rsidR="00E050B2" w:rsidRPr="00A723E8">
        <w:rPr>
          <w:rStyle w:val="WP9BodyText"/>
        </w:rPr>
        <w:t xml:space="preserve"> identify k</w:t>
      </w:r>
      <w:r w:rsidRPr="00A723E8">
        <w:rPr>
          <w:rStyle w:val="WP9BodyText"/>
        </w:rPr>
        <w:t>ey risk factors</w:t>
      </w:r>
      <w:r w:rsidR="00292F2E" w:rsidRPr="00A723E8">
        <w:rPr>
          <w:rStyle w:val="WP9BodyText"/>
        </w:rPr>
        <w:t>, including</w:t>
      </w:r>
      <w:r w:rsidRPr="00A723E8">
        <w:rPr>
          <w:rStyle w:val="WP9BodyText"/>
        </w:rPr>
        <w:t xml:space="preserve"> risk for substance use, HIV</w:t>
      </w:r>
      <w:r w:rsidR="00292F2E" w:rsidRPr="00A723E8">
        <w:rPr>
          <w:rStyle w:val="WP9BodyText"/>
        </w:rPr>
        <w:t>/AIDS</w:t>
      </w:r>
      <w:r w:rsidRPr="00A723E8">
        <w:rPr>
          <w:rStyle w:val="WP9BodyText"/>
        </w:rPr>
        <w:t xml:space="preserve"> transmission</w:t>
      </w:r>
      <w:r w:rsidR="00292F2E" w:rsidRPr="00A723E8">
        <w:rPr>
          <w:rStyle w:val="WP9BodyText"/>
        </w:rPr>
        <w:t>, and</w:t>
      </w:r>
      <w:r w:rsidRPr="00A723E8">
        <w:rPr>
          <w:rStyle w:val="WP9BodyText"/>
        </w:rPr>
        <w:t xml:space="preserve"> economic disadvantage</w:t>
      </w:r>
      <w:r w:rsidR="003D35F1" w:rsidRPr="00A723E8">
        <w:rPr>
          <w:rStyle w:val="WP9BodyText"/>
        </w:rPr>
        <w:t xml:space="preserve">. </w:t>
      </w:r>
      <w:r w:rsidR="00E050B2" w:rsidRPr="00A723E8">
        <w:rPr>
          <w:rStyle w:val="WP9BodyText"/>
        </w:rPr>
        <w:t xml:space="preserve">Step 2 will assess capacity to provide </w:t>
      </w:r>
      <w:r w:rsidR="006423C3" w:rsidRPr="00A723E8">
        <w:rPr>
          <w:rStyle w:val="WP9BodyText"/>
        </w:rPr>
        <w:t>services</w:t>
      </w:r>
      <w:r w:rsidRPr="00A723E8">
        <w:rPr>
          <w:rStyle w:val="WP9BodyText"/>
        </w:rPr>
        <w:t>. For Steps 3 and 4</w:t>
      </w:r>
      <w:r w:rsidR="00FA1371" w:rsidRPr="00A723E8">
        <w:rPr>
          <w:rStyle w:val="WP9BodyText"/>
        </w:rPr>
        <w:t xml:space="preserve"> (</w:t>
      </w:r>
      <w:r w:rsidRPr="00A723E8">
        <w:rPr>
          <w:rStyle w:val="WP9BodyText"/>
        </w:rPr>
        <w:t>planning and implementation</w:t>
      </w:r>
      <w:r w:rsidR="00FA1371" w:rsidRPr="00A723E8">
        <w:rPr>
          <w:rStyle w:val="WP9BodyText"/>
        </w:rPr>
        <w:t>)</w:t>
      </w:r>
      <w:r w:rsidRPr="00A723E8">
        <w:rPr>
          <w:rStyle w:val="WP9BodyText"/>
        </w:rPr>
        <w:t xml:space="preserve">, grantees are allowed to select and adopt a variety of </w:t>
      </w:r>
      <w:r w:rsidR="00E050B2" w:rsidRPr="00A723E8">
        <w:rPr>
          <w:rStyle w:val="WP9BodyText"/>
        </w:rPr>
        <w:t xml:space="preserve">evidence-based prevention </w:t>
      </w:r>
      <w:r w:rsidRPr="00A723E8">
        <w:rPr>
          <w:rStyle w:val="WP9BodyText"/>
        </w:rPr>
        <w:t>intervention approaches to fit the needs of their program participants/clients.</w:t>
      </w:r>
    </w:p>
    <w:p w:rsidR="000719AA" w:rsidRPr="00A723E8" w:rsidRDefault="000719AA" w:rsidP="000719AA">
      <w:pPr>
        <w:suppressLineNumbers/>
        <w:rPr>
          <w:rStyle w:val="WP9BodyText"/>
        </w:rPr>
      </w:pPr>
    </w:p>
    <w:p w:rsidR="001D0C17" w:rsidRPr="00A723E8" w:rsidRDefault="00AE5B6D" w:rsidP="000719AA">
      <w:pPr>
        <w:suppressLineNumbers/>
        <w:rPr>
          <w:rStyle w:val="WP9BodyText"/>
        </w:rPr>
      </w:pPr>
      <w:r w:rsidRPr="00A723E8">
        <w:rPr>
          <w:rStyle w:val="WP9BodyText"/>
        </w:rPr>
        <w:t>A multi-level analysis approach</w:t>
      </w:r>
      <w:r w:rsidR="004B3D63" w:rsidRPr="00A723E8">
        <w:rPr>
          <w:rStyle w:val="WP9BodyText"/>
        </w:rPr>
        <w:t xml:space="preserve"> [e.g., SEM and HLM] </w:t>
      </w:r>
      <w:r w:rsidRPr="00A723E8">
        <w:rPr>
          <w:rStyle w:val="WP9BodyText"/>
        </w:rPr>
        <w:t xml:space="preserve">will be used to investigate the effects of program characteristics on participant outcomes. Characteristics hypothesized to have a bearing on program effects, such as choice of prevention strategy and type of grantee organization, will be included in the dataset together with participant-level </w:t>
      </w:r>
      <w:r w:rsidR="009F4AC4" w:rsidRPr="00A723E8">
        <w:rPr>
          <w:rStyle w:val="WP9BodyText"/>
        </w:rPr>
        <w:t xml:space="preserve">baseline, exit, and followup survey data. Nesting participant-level data within program-level data in this fashion will allow the construction of multi-level causal models that simultaneously test </w:t>
      </w:r>
      <w:r w:rsidR="00F00360" w:rsidRPr="00A723E8">
        <w:rPr>
          <w:rStyle w:val="WP9BodyText"/>
        </w:rPr>
        <w:t xml:space="preserve">for </w:t>
      </w:r>
      <w:r w:rsidR="009F4AC4" w:rsidRPr="00A723E8">
        <w:rPr>
          <w:rStyle w:val="WP9BodyText"/>
        </w:rPr>
        <w:t xml:space="preserve">the effects of participant and program characteristics on </w:t>
      </w:r>
      <w:r w:rsidR="00F00360" w:rsidRPr="00A723E8">
        <w:rPr>
          <w:rStyle w:val="WP9BodyText"/>
        </w:rPr>
        <w:t>program outcomes and to identify significant interactions between these two levels.</w:t>
      </w:r>
    </w:p>
    <w:p w:rsidR="000F7698" w:rsidRPr="00A723E8" w:rsidRDefault="000F7698" w:rsidP="000719AA">
      <w:pPr>
        <w:suppressLineNumbers/>
        <w:rPr>
          <w:rStyle w:val="WP9BodyText"/>
        </w:rPr>
      </w:pPr>
    </w:p>
    <w:p w:rsidR="000F7698" w:rsidRPr="00A723E8" w:rsidRDefault="000F7698" w:rsidP="000719AA">
      <w:pPr>
        <w:suppressLineNumbers/>
        <w:rPr>
          <w:rStyle w:val="WP9BodyText"/>
        </w:rPr>
      </w:pPr>
      <w:proofErr w:type="gramStart"/>
      <w:r w:rsidRPr="00A723E8">
        <w:rPr>
          <w:rStyle w:val="WP9BodyText"/>
        </w:rPr>
        <w:t>Assessment of Exit-Only Data fr</w:t>
      </w:r>
      <w:r w:rsidR="00991044" w:rsidRPr="00A723E8">
        <w:rPr>
          <w:rStyle w:val="WP9BodyText"/>
        </w:rPr>
        <w:t>om Single-Session Interventions.</w:t>
      </w:r>
      <w:proofErr w:type="gramEnd"/>
      <w:r w:rsidRPr="00A723E8">
        <w:rPr>
          <w:rStyle w:val="WP9BodyText"/>
          <w:b/>
        </w:rPr>
        <w:t xml:space="preserve"> </w:t>
      </w:r>
      <w:r w:rsidRPr="00A723E8">
        <w:rPr>
          <w:rStyle w:val="WP9BodyText"/>
        </w:rPr>
        <w:t xml:space="preserve">The single-session data collection protocol requires administration of the questionnaire only at exit. Outcome analysis of these data will compare the exit responses of each participant with a norm constructed using the baseline responses to the item provided by a comparable group of participants from the same site who were in longer interventions (and hence, took both the baseline and exit surveys).    </w:t>
      </w:r>
    </w:p>
    <w:p w:rsidR="00AE5B6D" w:rsidRPr="00A723E8" w:rsidRDefault="00AE5B6D" w:rsidP="000719AA">
      <w:pPr>
        <w:suppressLineNumbers/>
        <w:rPr>
          <w:rStyle w:val="WP9BodyText"/>
        </w:rPr>
      </w:pPr>
    </w:p>
    <w:p w:rsidR="000719AA" w:rsidRPr="00A723E8" w:rsidRDefault="000719AA" w:rsidP="007803FC">
      <w:pPr>
        <w:suppressLineNumbers/>
        <w:rPr>
          <w:rStyle w:val="WP9BodyText"/>
          <w:b/>
        </w:rPr>
      </w:pPr>
      <w:r w:rsidRPr="00A723E8">
        <w:rPr>
          <w:rStyle w:val="WP9BodyText"/>
          <w:b/>
        </w:rPr>
        <w:t>Publication Plans</w:t>
      </w:r>
    </w:p>
    <w:p w:rsidR="007803FC" w:rsidRPr="00A723E8" w:rsidRDefault="007803FC" w:rsidP="007803FC">
      <w:pPr>
        <w:suppressLineNumbers/>
        <w:rPr>
          <w:rStyle w:val="WP9BodyText"/>
          <w:b/>
        </w:rPr>
      </w:pPr>
    </w:p>
    <w:p w:rsidR="000719AA" w:rsidRPr="00A723E8" w:rsidRDefault="000719AA" w:rsidP="000719AA">
      <w:pPr>
        <w:suppressLineNumbers/>
        <w:rPr>
          <w:rStyle w:val="WP9BodyText"/>
        </w:rPr>
      </w:pPr>
      <w:r w:rsidRPr="00A723E8">
        <w:rPr>
          <w:rStyle w:val="WP9BodyText"/>
        </w:rPr>
        <w:t xml:space="preserve">The MAI cross-site study results will be made available to the public through publications and conference presentations. The following journals carry articles on SA prevention and HIV/AIDS and are expected to serve as potential vehicles for </w:t>
      </w:r>
      <w:r w:rsidR="001F1478" w:rsidRPr="00A723E8">
        <w:rPr>
          <w:rStyle w:val="WP9BodyText"/>
        </w:rPr>
        <w:t>distribution of</w:t>
      </w:r>
      <w:r w:rsidRPr="00A723E8">
        <w:rPr>
          <w:rStyle w:val="WP9BodyText"/>
        </w:rPr>
        <w:t xml:space="preserve"> study results: Journal of Substance Abuse Treatment, International Journal of Addictions, Journal of Community Psychology, Journal of Adolescent Research, Journal of Adolescent Health, Preventive Medicine, Evaluation </w:t>
      </w:r>
      <w:r w:rsidR="00292F2E" w:rsidRPr="00A723E8">
        <w:rPr>
          <w:rStyle w:val="WP9BodyText"/>
        </w:rPr>
        <w:t>R</w:t>
      </w:r>
      <w:r w:rsidRPr="00A723E8">
        <w:rPr>
          <w:rStyle w:val="WP9BodyText"/>
        </w:rPr>
        <w:t>eview, Policy Studies Revie</w:t>
      </w:r>
      <w:r w:rsidR="00F3275C" w:rsidRPr="00A723E8">
        <w:rPr>
          <w:rStyle w:val="WP9BodyText"/>
        </w:rPr>
        <w:t>w</w:t>
      </w:r>
      <w:r w:rsidR="00292F2E" w:rsidRPr="00A723E8">
        <w:rPr>
          <w:rStyle w:val="WP9BodyText"/>
        </w:rPr>
        <w:t>,</w:t>
      </w:r>
      <w:r w:rsidR="00F3275C" w:rsidRPr="00A723E8">
        <w:rPr>
          <w:rStyle w:val="WP9BodyText"/>
        </w:rPr>
        <w:t xml:space="preserve"> </w:t>
      </w:r>
      <w:r w:rsidR="00292F2E" w:rsidRPr="00A723E8">
        <w:rPr>
          <w:rStyle w:val="WP9BodyText"/>
        </w:rPr>
        <w:t xml:space="preserve">and </w:t>
      </w:r>
      <w:r w:rsidRPr="00A723E8">
        <w:rPr>
          <w:rStyle w:val="WP9BodyText"/>
        </w:rPr>
        <w:t>the American Journal of Public Health. Study results could also be published in other journals that focus on HIV/AIDS. These include The Journal of the American Sexually Transmitted Disease Association, Health Education and Behavior, AIDS</w:t>
      </w:r>
      <w:r w:rsidR="008927A5" w:rsidRPr="00A723E8">
        <w:rPr>
          <w:rStyle w:val="WP9BodyText"/>
        </w:rPr>
        <w:t>:</w:t>
      </w:r>
      <w:r w:rsidRPr="00A723E8">
        <w:rPr>
          <w:rStyle w:val="WP9BodyText"/>
        </w:rPr>
        <w:t xml:space="preserve"> Official Journal of the International AIDS Association, AIDS Education and Prevention,</w:t>
      </w:r>
      <w:r w:rsidR="00D802B0" w:rsidRPr="00A723E8">
        <w:rPr>
          <w:rStyle w:val="WP9BodyText"/>
        </w:rPr>
        <w:t xml:space="preserve"> T</w:t>
      </w:r>
      <w:r w:rsidRPr="00A723E8">
        <w:rPr>
          <w:rStyle w:val="WP9BodyText"/>
        </w:rPr>
        <w:t>he Journal of Sex Research, AIDS Care, Psychological and Socio-</w:t>
      </w:r>
      <w:r w:rsidR="00292F2E" w:rsidRPr="00A723E8">
        <w:rPr>
          <w:rStyle w:val="WP9BodyText"/>
        </w:rPr>
        <w:t>M</w:t>
      </w:r>
      <w:r w:rsidRPr="00A723E8">
        <w:rPr>
          <w:rStyle w:val="WP9BodyText"/>
        </w:rPr>
        <w:t>edical Aspects of AIDS/HIV, and Current Opinion in HIV and AIDS. Study results also are targeted for publication in journals focusing on infectious diseases</w:t>
      </w:r>
      <w:r w:rsidR="003D35F1" w:rsidRPr="00A723E8">
        <w:rPr>
          <w:rStyle w:val="WP9BodyText"/>
        </w:rPr>
        <w:t xml:space="preserve">. </w:t>
      </w:r>
      <w:r w:rsidRPr="00A723E8">
        <w:rPr>
          <w:rStyle w:val="WP9BodyText"/>
        </w:rPr>
        <w:t>These include, among others, The Journal of the American Microbiological Association and Journal of Infectious Diseases.</w:t>
      </w:r>
    </w:p>
    <w:p w:rsidR="000719AA" w:rsidRPr="00A723E8" w:rsidRDefault="000719AA" w:rsidP="000719AA">
      <w:pPr>
        <w:suppressLineNumbers/>
        <w:rPr>
          <w:rStyle w:val="WP9BodyText"/>
        </w:rPr>
      </w:pPr>
    </w:p>
    <w:p w:rsidR="000719AA" w:rsidRPr="00A723E8" w:rsidRDefault="000719AA" w:rsidP="000719AA">
      <w:pPr>
        <w:suppressLineNumbers/>
        <w:rPr>
          <w:rStyle w:val="WP9BodyText"/>
        </w:rPr>
      </w:pPr>
      <w:r w:rsidRPr="00A723E8">
        <w:rPr>
          <w:rStyle w:val="WP9BodyText"/>
        </w:rPr>
        <w:lastRenderedPageBreak/>
        <w:t>The study results will be distributed through presentations at annual conferences of national and international public health organizations</w:t>
      </w:r>
      <w:r w:rsidR="00D802B0" w:rsidRPr="00A723E8">
        <w:rPr>
          <w:rStyle w:val="WP9BodyText"/>
        </w:rPr>
        <w:t>,</w:t>
      </w:r>
      <w:r w:rsidRPr="00A723E8">
        <w:rPr>
          <w:rStyle w:val="WP9BodyText"/>
        </w:rPr>
        <w:t xml:space="preserve"> such as the Society for Prevention Research, the American Public Health Association, the National Association of Alcohol and Drug Abuse Counselors, The National Prevention Network, the American Evaluation Association, and HIV/AIDS national meetings as well as regional and State SA prevention and treatment associations. HIV/AIDS meeting</w:t>
      </w:r>
      <w:r w:rsidR="00E050B2" w:rsidRPr="00A723E8">
        <w:rPr>
          <w:rStyle w:val="WP9BodyText"/>
        </w:rPr>
        <w:t>s</w:t>
      </w:r>
      <w:r w:rsidRPr="00A723E8">
        <w:rPr>
          <w:rStyle w:val="WP9BodyText"/>
        </w:rPr>
        <w:t xml:space="preserve"> could include</w:t>
      </w:r>
      <w:r w:rsidR="00292F2E" w:rsidRPr="00A723E8">
        <w:rPr>
          <w:rStyle w:val="WP9BodyText"/>
        </w:rPr>
        <w:t>,</w:t>
      </w:r>
      <w:r w:rsidRPr="00A723E8">
        <w:rPr>
          <w:rStyle w:val="WP9BodyText"/>
        </w:rPr>
        <w:t xml:space="preserve"> among others, CDC Annual Conferences on AIDS and Conferences of the International AIDS Society. Results could also be presented at meetings focusing on infectious diseases such as annual meetings of the American Society of Microbiology.</w:t>
      </w:r>
    </w:p>
    <w:p w:rsidR="000719AA" w:rsidRPr="00A723E8" w:rsidRDefault="000719AA" w:rsidP="000719AA">
      <w:pPr>
        <w:suppressLineNumbers/>
        <w:rPr>
          <w:rStyle w:val="WP9BodyText"/>
        </w:rPr>
      </w:pPr>
    </w:p>
    <w:p w:rsidR="000719AA" w:rsidRPr="00A723E8" w:rsidRDefault="000719AA" w:rsidP="000719AA">
      <w:pPr>
        <w:suppressLineNumbers/>
        <w:rPr>
          <w:rStyle w:val="WP9BodyText"/>
        </w:rPr>
      </w:pPr>
      <w:r w:rsidRPr="00A723E8">
        <w:rPr>
          <w:rStyle w:val="WP9BodyText"/>
        </w:rPr>
        <w:t xml:space="preserve">Documents will also be prepared and published on behalf of the government (CSAP) through the Government Printing Office (GPO) for </w:t>
      </w:r>
      <w:r w:rsidR="00292F2E" w:rsidRPr="00A723E8">
        <w:rPr>
          <w:rStyle w:val="WP9BodyText"/>
        </w:rPr>
        <w:t>F</w:t>
      </w:r>
      <w:r w:rsidRPr="00A723E8">
        <w:rPr>
          <w:rStyle w:val="WP9BodyText"/>
        </w:rPr>
        <w:t xml:space="preserve">ederal agency and public use. Findings will also be available via OMB’s </w:t>
      </w:r>
      <w:r w:rsidR="00292F2E" w:rsidRPr="00A723E8">
        <w:rPr>
          <w:rStyle w:val="WP9BodyText"/>
        </w:rPr>
        <w:t>W</w:t>
      </w:r>
      <w:r w:rsidRPr="00A723E8">
        <w:rPr>
          <w:rStyle w:val="WP9BodyText"/>
        </w:rPr>
        <w:t>ebsite</w:t>
      </w:r>
      <w:r w:rsidR="00292F2E" w:rsidRPr="00A723E8">
        <w:rPr>
          <w:rStyle w:val="WP9BodyText"/>
        </w:rPr>
        <w:t>:</w:t>
      </w:r>
      <w:r w:rsidRPr="00A723E8">
        <w:rPr>
          <w:rStyle w:val="WP9BodyText"/>
        </w:rPr>
        <w:t xml:space="preserve"> www.expectmore.gov, as well as in annual </w:t>
      </w:r>
      <w:r w:rsidR="00D802B0" w:rsidRPr="00A723E8">
        <w:rPr>
          <w:rStyle w:val="WP9BodyText"/>
        </w:rPr>
        <w:t>r</w:t>
      </w:r>
      <w:r w:rsidRPr="00A723E8">
        <w:rPr>
          <w:rStyle w:val="WP9BodyText"/>
        </w:rPr>
        <w:t>eports to Congress and the performance detail sections of annual SAMHSA budgets as they become publicly available.</w:t>
      </w:r>
    </w:p>
    <w:p w:rsidR="00594067" w:rsidRPr="00A723E8" w:rsidRDefault="00594067" w:rsidP="00471C9E">
      <w:pPr>
        <w:suppressLineNumbers/>
        <w:outlineLvl w:val="0"/>
        <w:rPr>
          <w:rStyle w:val="WP9BodyText"/>
        </w:rPr>
      </w:pPr>
    </w:p>
    <w:p w:rsidR="000719AA" w:rsidRPr="00A723E8" w:rsidRDefault="000719AA" w:rsidP="00471C9E">
      <w:pPr>
        <w:suppressLineNumbers/>
        <w:outlineLvl w:val="0"/>
        <w:rPr>
          <w:rStyle w:val="WP9BodyText"/>
          <w:b/>
        </w:rPr>
      </w:pPr>
      <w:r w:rsidRPr="00A723E8">
        <w:rPr>
          <w:rStyle w:val="WP9BodyText"/>
          <w:b/>
        </w:rPr>
        <w:t>Timeline</w:t>
      </w:r>
    </w:p>
    <w:p w:rsidR="007803FC" w:rsidRPr="00A723E8" w:rsidRDefault="007803FC" w:rsidP="00471C9E">
      <w:pPr>
        <w:suppressLineNumbers/>
        <w:outlineLvl w:val="0"/>
        <w:rPr>
          <w:rStyle w:val="WP9BodyText"/>
        </w:rPr>
      </w:pPr>
    </w:p>
    <w:p w:rsidR="000719AA" w:rsidRPr="00A723E8" w:rsidRDefault="000719AA" w:rsidP="000719AA">
      <w:pPr>
        <w:suppressLineNumbers/>
        <w:rPr>
          <w:rStyle w:val="WP9BodyText"/>
        </w:rPr>
      </w:pPr>
      <w:r w:rsidRPr="00A723E8">
        <w:rPr>
          <w:rStyle w:val="WP9BodyText"/>
        </w:rPr>
        <w:t>The MAI is a five</w:t>
      </w:r>
      <w:r w:rsidR="00C07EB3" w:rsidRPr="00A723E8">
        <w:rPr>
          <w:rStyle w:val="WP9BodyText"/>
        </w:rPr>
        <w:t>-</w:t>
      </w:r>
      <w:r w:rsidRPr="00A723E8">
        <w:rPr>
          <w:rStyle w:val="WP9BodyText"/>
        </w:rPr>
        <w:t>year grant program</w:t>
      </w:r>
      <w:r w:rsidR="001F1478" w:rsidRPr="00A723E8">
        <w:rPr>
          <w:rStyle w:val="WP9BodyText"/>
        </w:rPr>
        <w:t xml:space="preserve"> (see Table </w:t>
      </w:r>
      <w:r w:rsidR="00614B8B" w:rsidRPr="00A723E8">
        <w:rPr>
          <w:rStyle w:val="WP9BodyText"/>
        </w:rPr>
        <w:t>4</w:t>
      </w:r>
      <w:r w:rsidR="001F1478" w:rsidRPr="00A723E8">
        <w:rPr>
          <w:rStyle w:val="WP9BodyText"/>
        </w:rPr>
        <w:t>)</w:t>
      </w:r>
      <w:r w:rsidRPr="00A723E8">
        <w:rPr>
          <w:rStyle w:val="WP9BodyText"/>
        </w:rPr>
        <w:t>. Years I and 2 are devoted to Steps 1, 2 and 3 of the SPF, namely conducting the needs assessment, capacity building</w:t>
      </w:r>
      <w:r w:rsidR="00D802B0" w:rsidRPr="00A723E8">
        <w:rPr>
          <w:rStyle w:val="WP9BodyText"/>
        </w:rPr>
        <w:t>,</w:t>
      </w:r>
      <w:r w:rsidRPr="00A723E8">
        <w:rPr>
          <w:rStyle w:val="WP9BodyText"/>
        </w:rPr>
        <w:t xml:space="preserve"> and </w:t>
      </w:r>
      <w:r w:rsidR="00D802B0" w:rsidRPr="00A723E8">
        <w:rPr>
          <w:rStyle w:val="WP9BodyText"/>
        </w:rPr>
        <w:t xml:space="preserve">planning, </w:t>
      </w:r>
      <w:r w:rsidRPr="00A723E8">
        <w:rPr>
          <w:rStyle w:val="WP9BodyText"/>
        </w:rPr>
        <w:t>respectively</w:t>
      </w:r>
      <w:r w:rsidR="00196361" w:rsidRPr="00A723E8">
        <w:rPr>
          <w:rStyle w:val="WP9BodyText"/>
        </w:rPr>
        <w:t xml:space="preserve">. Years 3, </w:t>
      </w:r>
      <w:r w:rsidRPr="00A723E8">
        <w:rPr>
          <w:rStyle w:val="WP9BodyText"/>
        </w:rPr>
        <w:t>4</w:t>
      </w:r>
      <w:r w:rsidR="00D802B0" w:rsidRPr="00A723E8">
        <w:rPr>
          <w:rStyle w:val="WP9BodyText"/>
        </w:rPr>
        <w:t>,</w:t>
      </w:r>
      <w:r w:rsidRPr="00A723E8">
        <w:rPr>
          <w:rStyle w:val="WP9BodyText"/>
        </w:rPr>
        <w:t xml:space="preserve"> and 5 are devoted to Steps 4 and 5, implementation and evaluation</w:t>
      </w:r>
      <w:r w:rsidR="00D802B0" w:rsidRPr="00A723E8">
        <w:rPr>
          <w:rStyle w:val="WP9BodyText"/>
        </w:rPr>
        <w:t>,</w:t>
      </w:r>
      <w:r w:rsidRPr="00A723E8">
        <w:rPr>
          <w:rStyle w:val="WP9BodyText"/>
        </w:rPr>
        <w:t xml:space="preserve"> respectively.</w:t>
      </w:r>
    </w:p>
    <w:p w:rsidR="00F353F0" w:rsidRPr="00A723E8" w:rsidRDefault="00F353F0" w:rsidP="000719AA">
      <w:pPr>
        <w:suppressLineNumbers/>
        <w:rPr>
          <w:sz w:val="23"/>
        </w:rPr>
      </w:pPr>
    </w:p>
    <w:p w:rsidR="006054B3" w:rsidRDefault="005B3871">
      <w:pPr>
        <w:suppressLineNumbers/>
        <w:outlineLvl w:val="0"/>
        <w:rPr>
          <w:rFonts w:ascii="Arial" w:hAnsi="Arial"/>
          <w:b/>
          <w:sz w:val="28"/>
        </w:rPr>
      </w:pPr>
      <w:proofErr w:type="gramStart"/>
      <w:r w:rsidRPr="005B3871">
        <w:rPr>
          <w:rFonts w:ascii="Arial" w:hAnsi="Arial"/>
          <w:b/>
          <w:sz w:val="28"/>
        </w:rPr>
        <w:t xml:space="preserve">Table </w:t>
      </w:r>
      <w:r w:rsidR="00004F09" w:rsidRPr="00004F09">
        <w:rPr>
          <w:rFonts w:ascii="Arial" w:hAnsi="Arial" w:cs="Arial"/>
          <w:b/>
          <w:sz w:val="28"/>
          <w:szCs w:val="28"/>
        </w:rPr>
        <w:t>9</w:t>
      </w:r>
      <w:r w:rsidRPr="005B3871">
        <w:rPr>
          <w:rFonts w:ascii="Arial" w:hAnsi="Arial"/>
          <w:b/>
          <w:sz w:val="28"/>
        </w:rPr>
        <w:t>.</w:t>
      </w:r>
      <w:proofErr w:type="gramEnd"/>
      <w:r w:rsidRPr="005B3871">
        <w:rPr>
          <w:rFonts w:ascii="Arial" w:hAnsi="Arial"/>
          <w:b/>
          <w:sz w:val="28"/>
        </w:rPr>
        <w:t xml:space="preserve">  Project Timeline</w:t>
      </w:r>
    </w:p>
    <w:p w:rsidR="002F0874" w:rsidRPr="00A723E8" w:rsidRDefault="002F0874" w:rsidP="00D802B0">
      <w:pPr>
        <w:suppressLineNumbers/>
        <w:outlineLvl w:val="0"/>
        <w:rPr>
          <w:b/>
          <w:sz w:val="23"/>
        </w:rPr>
      </w:pPr>
    </w:p>
    <w:tbl>
      <w:tblPr>
        <w:tblW w:w="4718"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4"/>
        <w:gridCol w:w="1733"/>
        <w:gridCol w:w="1733"/>
        <w:gridCol w:w="1733"/>
        <w:gridCol w:w="1733"/>
      </w:tblGrid>
      <w:tr w:rsidR="00D11960" w:rsidRPr="00A723E8" w:rsidTr="00091B61">
        <w:tc>
          <w:tcPr>
            <w:tcW w:w="1164" w:type="pct"/>
            <w:shd w:val="clear" w:color="auto" w:fill="auto"/>
          </w:tcPr>
          <w:p w:rsidR="00D11960" w:rsidRPr="00A723E8" w:rsidRDefault="00D11960" w:rsidP="00D11960">
            <w:pPr>
              <w:suppressLineNumbers/>
              <w:jc w:val="center"/>
              <w:rPr>
                <w:rFonts w:ascii="Arial" w:hAnsi="Arial" w:cs="Arial"/>
                <w:b/>
                <w:sz w:val="22"/>
                <w:szCs w:val="22"/>
              </w:rPr>
            </w:pPr>
            <w:r w:rsidRPr="00A723E8">
              <w:rPr>
                <w:rFonts w:ascii="Arial" w:hAnsi="Arial" w:cs="Arial"/>
                <w:b/>
                <w:sz w:val="22"/>
                <w:szCs w:val="22"/>
              </w:rPr>
              <w:t>Activity</w:t>
            </w:r>
          </w:p>
        </w:tc>
        <w:tc>
          <w:tcPr>
            <w:tcW w:w="959" w:type="pct"/>
            <w:shd w:val="clear" w:color="auto" w:fill="auto"/>
          </w:tcPr>
          <w:p w:rsidR="00D11960" w:rsidRPr="00A723E8" w:rsidRDefault="00D11960" w:rsidP="00D11960">
            <w:pPr>
              <w:suppressLineNumbers/>
              <w:jc w:val="center"/>
              <w:rPr>
                <w:rFonts w:ascii="Arial" w:hAnsi="Arial" w:cs="Arial"/>
                <w:b/>
                <w:sz w:val="22"/>
                <w:szCs w:val="22"/>
              </w:rPr>
            </w:pPr>
            <w:r w:rsidRPr="00A723E8">
              <w:rPr>
                <w:rFonts w:ascii="Arial" w:hAnsi="Arial" w:cs="Arial"/>
                <w:b/>
                <w:sz w:val="22"/>
                <w:szCs w:val="22"/>
              </w:rPr>
              <w:t xml:space="preserve">Cohorts 7 </w:t>
            </w:r>
          </w:p>
        </w:tc>
        <w:tc>
          <w:tcPr>
            <w:tcW w:w="959" w:type="pct"/>
            <w:shd w:val="clear" w:color="auto" w:fill="auto"/>
          </w:tcPr>
          <w:p w:rsidR="00D11960" w:rsidRPr="00A723E8" w:rsidRDefault="00D11960" w:rsidP="00D11960">
            <w:pPr>
              <w:suppressLineNumbers/>
              <w:jc w:val="center"/>
              <w:rPr>
                <w:rFonts w:ascii="Arial" w:hAnsi="Arial" w:cs="Arial"/>
                <w:b/>
                <w:sz w:val="22"/>
                <w:szCs w:val="22"/>
              </w:rPr>
            </w:pPr>
            <w:r w:rsidRPr="00A723E8">
              <w:rPr>
                <w:rFonts w:ascii="Arial" w:hAnsi="Arial" w:cs="Arial"/>
                <w:b/>
                <w:sz w:val="22"/>
                <w:szCs w:val="22"/>
              </w:rPr>
              <w:t>Cohort 8</w:t>
            </w:r>
          </w:p>
        </w:tc>
        <w:tc>
          <w:tcPr>
            <w:tcW w:w="959" w:type="pct"/>
            <w:shd w:val="clear" w:color="auto" w:fill="auto"/>
          </w:tcPr>
          <w:p w:rsidR="00D11960" w:rsidRPr="00A723E8" w:rsidRDefault="00D11960" w:rsidP="00D11960">
            <w:pPr>
              <w:suppressLineNumbers/>
              <w:jc w:val="center"/>
              <w:rPr>
                <w:rFonts w:ascii="Arial" w:hAnsi="Arial" w:cs="Arial"/>
                <w:b/>
                <w:sz w:val="22"/>
                <w:szCs w:val="22"/>
              </w:rPr>
            </w:pPr>
            <w:r w:rsidRPr="00A723E8">
              <w:rPr>
                <w:rFonts w:ascii="Arial" w:hAnsi="Arial" w:cs="Arial"/>
                <w:b/>
                <w:sz w:val="22"/>
                <w:szCs w:val="22"/>
              </w:rPr>
              <w:t>Cohort 9</w:t>
            </w:r>
          </w:p>
        </w:tc>
        <w:tc>
          <w:tcPr>
            <w:tcW w:w="959" w:type="pct"/>
            <w:shd w:val="clear" w:color="auto" w:fill="auto"/>
          </w:tcPr>
          <w:p w:rsidR="00D11960" w:rsidRPr="00A723E8" w:rsidRDefault="00D11960" w:rsidP="00D11960">
            <w:pPr>
              <w:suppressLineNumbers/>
              <w:jc w:val="center"/>
              <w:rPr>
                <w:rFonts w:ascii="Arial" w:hAnsi="Arial" w:cs="Arial"/>
                <w:b/>
                <w:sz w:val="22"/>
                <w:szCs w:val="22"/>
              </w:rPr>
            </w:pPr>
            <w:r w:rsidRPr="00A723E8">
              <w:rPr>
                <w:rFonts w:ascii="Arial" w:hAnsi="Arial" w:cs="Arial"/>
                <w:b/>
                <w:sz w:val="22"/>
                <w:szCs w:val="22"/>
              </w:rPr>
              <w:t>Cohort 10</w:t>
            </w:r>
          </w:p>
        </w:tc>
      </w:tr>
      <w:tr w:rsidR="00D11960" w:rsidRPr="00A723E8" w:rsidTr="00D11960">
        <w:tc>
          <w:tcPr>
            <w:tcW w:w="1164" w:type="pct"/>
            <w:vAlign w:val="center"/>
          </w:tcPr>
          <w:p w:rsidR="00D11960" w:rsidRPr="00A723E8" w:rsidRDefault="00D11960" w:rsidP="00D11960">
            <w:pPr>
              <w:suppressLineNumbers/>
              <w:rPr>
                <w:rFonts w:ascii="Arial" w:hAnsi="Arial" w:cs="Arial"/>
                <w:sz w:val="22"/>
                <w:szCs w:val="22"/>
              </w:rPr>
            </w:pPr>
            <w:r w:rsidRPr="00A723E8">
              <w:rPr>
                <w:rFonts w:ascii="Arial" w:hAnsi="Arial" w:cs="Arial"/>
                <w:sz w:val="22"/>
                <w:szCs w:val="22"/>
              </w:rPr>
              <w:t>Needs Assessment, Capacity Building, Planning</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2009</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2010</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 xml:space="preserve">FY </w:t>
            </w:r>
            <w:r w:rsidR="00C603E4" w:rsidRPr="00A723E8">
              <w:rPr>
                <w:rFonts w:ascii="Arial" w:hAnsi="Arial" w:cs="Arial"/>
                <w:sz w:val="22"/>
                <w:szCs w:val="22"/>
              </w:rPr>
              <w:t>2011</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 xml:space="preserve">FY </w:t>
            </w:r>
            <w:r w:rsidR="00C603E4" w:rsidRPr="00A723E8">
              <w:rPr>
                <w:rFonts w:ascii="Arial" w:hAnsi="Arial" w:cs="Arial"/>
                <w:sz w:val="22"/>
                <w:szCs w:val="22"/>
              </w:rPr>
              <w:t>2011</w:t>
            </w:r>
          </w:p>
        </w:tc>
      </w:tr>
      <w:tr w:rsidR="00D11960" w:rsidRPr="00A723E8" w:rsidTr="00D11960">
        <w:tc>
          <w:tcPr>
            <w:tcW w:w="1164" w:type="pct"/>
            <w:vAlign w:val="center"/>
          </w:tcPr>
          <w:p w:rsidR="00D11960" w:rsidRPr="00A723E8" w:rsidRDefault="00091B61" w:rsidP="00D11960">
            <w:pPr>
              <w:suppressLineNumbers/>
              <w:rPr>
                <w:rFonts w:ascii="Arial" w:hAnsi="Arial" w:cs="Arial"/>
                <w:sz w:val="22"/>
                <w:szCs w:val="22"/>
              </w:rPr>
            </w:pPr>
            <w:r w:rsidRPr="00A723E8">
              <w:rPr>
                <w:rFonts w:ascii="Arial" w:hAnsi="Arial" w:cs="Arial"/>
                <w:sz w:val="22"/>
                <w:szCs w:val="22"/>
              </w:rPr>
              <w:t>OMB Clearance O</w:t>
            </w:r>
            <w:r w:rsidR="00D11960" w:rsidRPr="00A723E8">
              <w:rPr>
                <w:rFonts w:ascii="Arial" w:hAnsi="Arial" w:cs="Arial"/>
                <w:sz w:val="22"/>
                <w:szCs w:val="22"/>
              </w:rPr>
              <w:t>btained,  Implementation</w:t>
            </w:r>
          </w:p>
        </w:tc>
        <w:tc>
          <w:tcPr>
            <w:tcW w:w="959" w:type="pct"/>
          </w:tcPr>
          <w:p w:rsidR="00D11960" w:rsidRPr="00A723E8" w:rsidRDefault="002F0874" w:rsidP="003033F4">
            <w:pPr>
              <w:suppressLineNumbers/>
              <w:jc w:val="center"/>
              <w:rPr>
                <w:rFonts w:ascii="Arial" w:hAnsi="Arial" w:cs="Arial"/>
                <w:sz w:val="22"/>
                <w:szCs w:val="22"/>
              </w:rPr>
            </w:pPr>
            <w:r w:rsidRPr="00A723E8">
              <w:rPr>
                <w:rFonts w:ascii="Arial" w:hAnsi="Arial" w:cs="Arial"/>
                <w:sz w:val="22"/>
                <w:szCs w:val="22"/>
              </w:rPr>
              <w:t>FY 201</w:t>
            </w:r>
            <w:r w:rsidR="003033F4">
              <w:rPr>
                <w:rFonts w:ascii="Arial" w:hAnsi="Arial" w:cs="Arial"/>
                <w:sz w:val="22"/>
                <w:szCs w:val="22"/>
              </w:rPr>
              <w:t>2</w:t>
            </w:r>
          </w:p>
        </w:tc>
        <w:tc>
          <w:tcPr>
            <w:tcW w:w="959" w:type="pct"/>
          </w:tcPr>
          <w:p w:rsidR="00D11960" w:rsidRPr="00A723E8" w:rsidRDefault="002F0874" w:rsidP="003033F4">
            <w:pPr>
              <w:suppressLineNumbers/>
              <w:jc w:val="center"/>
              <w:rPr>
                <w:rFonts w:ascii="Arial" w:hAnsi="Arial" w:cs="Arial"/>
                <w:sz w:val="22"/>
                <w:szCs w:val="22"/>
              </w:rPr>
            </w:pPr>
            <w:r w:rsidRPr="00A723E8">
              <w:rPr>
                <w:rFonts w:ascii="Arial" w:hAnsi="Arial" w:cs="Arial"/>
                <w:sz w:val="22"/>
                <w:szCs w:val="22"/>
              </w:rPr>
              <w:t>FY 201</w:t>
            </w:r>
            <w:r w:rsidR="003033F4">
              <w:rPr>
                <w:rFonts w:ascii="Arial" w:hAnsi="Arial" w:cs="Arial"/>
                <w:sz w:val="22"/>
                <w:szCs w:val="22"/>
              </w:rPr>
              <w:t>2</w:t>
            </w:r>
          </w:p>
        </w:tc>
        <w:tc>
          <w:tcPr>
            <w:tcW w:w="959" w:type="pct"/>
          </w:tcPr>
          <w:p w:rsidR="00D11960" w:rsidRPr="00A723E8" w:rsidRDefault="002F0874" w:rsidP="003033F4">
            <w:pPr>
              <w:suppressLineNumbers/>
              <w:jc w:val="center"/>
              <w:rPr>
                <w:rFonts w:ascii="Arial" w:hAnsi="Arial" w:cs="Arial"/>
                <w:sz w:val="22"/>
                <w:szCs w:val="22"/>
              </w:rPr>
            </w:pPr>
            <w:r w:rsidRPr="00A723E8">
              <w:rPr>
                <w:rFonts w:ascii="Arial" w:hAnsi="Arial" w:cs="Arial"/>
                <w:sz w:val="22"/>
                <w:szCs w:val="22"/>
              </w:rPr>
              <w:t>FY 201</w:t>
            </w:r>
            <w:r w:rsidR="003033F4">
              <w:rPr>
                <w:rFonts w:ascii="Arial" w:hAnsi="Arial" w:cs="Arial"/>
                <w:sz w:val="22"/>
                <w:szCs w:val="22"/>
              </w:rPr>
              <w:t>2</w:t>
            </w:r>
          </w:p>
        </w:tc>
        <w:tc>
          <w:tcPr>
            <w:tcW w:w="959" w:type="pct"/>
          </w:tcPr>
          <w:p w:rsidR="00D11960" w:rsidRPr="00A723E8" w:rsidRDefault="002F0874" w:rsidP="003033F4">
            <w:pPr>
              <w:suppressLineNumbers/>
              <w:jc w:val="center"/>
              <w:rPr>
                <w:rFonts w:ascii="Arial" w:hAnsi="Arial" w:cs="Arial"/>
                <w:sz w:val="22"/>
                <w:szCs w:val="22"/>
              </w:rPr>
            </w:pPr>
            <w:r w:rsidRPr="00A723E8">
              <w:rPr>
                <w:rFonts w:ascii="Arial" w:hAnsi="Arial" w:cs="Arial"/>
                <w:sz w:val="22"/>
                <w:szCs w:val="22"/>
              </w:rPr>
              <w:t>FY 201</w:t>
            </w:r>
            <w:r w:rsidR="003033F4">
              <w:rPr>
                <w:rFonts w:ascii="Arial" w:hAnsi="Arial" w:cs="Arial"/>
                <w:sz w:val="22"/>
                <w:szCs w:val="22"/>
              </w:rPr>
              <w:t>2</w:t>
            </w:r>
          </w:p>
        </w:tc>
      </w:tr>
      <w:tr w:rsidR="00D11960" w:rsidRPr="00A723E8" w:rsidTr="00D11960">
        <w:tc>
          <w:tcPr>
            <w:tcW w:w="1164" w:type="pct"/>
            <w:vAlign w:val="center"/>
          </w:tcPr>
          <w:p w:rsidR="00D11960" w:rsidRPr="00A723E8" w:rsidRDefault="00D11960" w:rsidP="00D11960">
            <w:pPr>
              <w:suppressLineNumbers/>
              <w:rPr>
                <w:rFonts w:ascii="Arial" w:hAnsi="Arial" w:cs="Arial"/>
                <w:sz w:val="22"/>
                <w:szCs w:val="22"/>
              </w:rPr>
            </w:pPr>
            <w:r w:rsidRPr="00A723E8">
              <w:rPr>
                <w:rFonts w:ascii="Arial" w:hAnsi="Arial" w:cs="Arial"/>
                <w:sz w:val="22"/>
                <w:szCs w:val="22"/>
              </w:rPr>
              <w:t>Implementation</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201</w:t>
            </w:r>
            <w:r w:rsidR="002F0874" w:rsidRPr="00A723E8">
              <w:rPr>
                <w:rFonts w:ascii="Arial" w:hAnsi="Arial" w:cs="Arial"/>
                <w:sz w:val="22"/>
                <w:szCs w:val="22"/>
              </w:rPr>
              <w:t>0</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2011</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 xml:space="preserve">FY </w:t>
            </w:r>
            <w:r w:rsidR="00C603E4" w:rsidRPr="00A723E8">
              <w:rPr>
                <w:rFonts w:ascii="Arial" w:hAnsi="Arial" w:cs="Arial"/>
                <w:sz w:val="22"/>
                <w:szCs w:val="22"/>
              </w:rPr>
              <w:t>2011</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FY 201</w:t>
            </w:r>
            <w:r w:rsidR="00492F78" w:rsidRPr="00A723E8">
              <w:rPr>
                <w:rFonts w:ascii="Arial" w:hAnsi="Arial" w:cs="Arial"/>
                <w:sz w:val="22"/>
                <w:szCs w:val="22"/>
              </w:rPr>
              <w:t>2</w:t>
            </w:r>
          </w:p>
        </w:tc>
      </w:tr>
      <w:tr w:rsidR="00D11960" w:rsidRPr="00A723E8" w:rsidTr="00D11960">
        <w:tc>
          <w:tcPr>
            <w:tcW w:w="1164" w:type="pct"/>
            <w:vAlign w:val="center"/>
          </w:tcPr>
          <w:p w:rsidR="00D11960" w:rsidRPr="00A723E8" w:rsidRDefault="00D11960" w:rsidP="00D11960">
            <w:pPr>
              <w:suppressLineNumbers/>
              <w:rPr>
                <w:rFonts w:ascii="Arial" w:hAnsi="Arial" w:cs="Arial"/>
                <w:sz w:val="22"/>
                <w:szCs w:val="22"/>
              </w:rPr>
            </w:pPr>
            <w:r w:rsidRPr="00A723E8">
              <w:rPr>
                <w:rFonts w:ascii="Arial" w:hAnsi="Arial" w:cs="Arial"/>
                <w:sz w:val="22"/>
                <w:szCs w:val="22"/>
              </w:rPr>
              <w:t>Analysis and Reporting</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2011</w:t>
            </w:r>
          </w:p>
        </w:tc>
        <w:tc>
          <w:tcPr>
            <w:tcW w:w="959" w:type="pct"/>
          </w:tcPr>
          <w:p w:rsidR="00D11960" w:rsidRPr="00A723E8" w:rsidRDefault="00D11960" w:rsidP="00E40DE5">
            <w:pPr>
              <w:suppressLineNumbers/>
              <w:jc w:val="center"/>
              <w:rPr>
                <w:rFonts w:ascii="Arial" w:hAnsi="Arial" w:cs="Arial"/>
                <w:sz w:val="22"/>
                <w:szCs w:val="22"/>
              </w:rPr>
            </w:pPr>
            <w:r w:rsidRPr="00A723E8">
              <w:rPr>
                <w:rFonts w:ascii="Arial" w:hAnsi="Arial" w:cs="Arial"/>
                <w:sz w:val="22"/>
                <w:szCs w:val="22"/>
              </w:rPr>
              <w:t>FY 2012</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 xml:space="preserve">FY </w:t>
            </w:r>
            <w:r w:rsidR="00C603E4" w:rsidRPr="00A723E8">
              <w:rPr>
                <w:rFonts w:ascii="Arial" w:hAnsi="Arial" w:cs="Arial"/>
                <w:sz w:val="22"/>
                <w:szCs w:val="22"/>
              </w:rPr>
              <w:t>2012</w:t>
            </w:r>
          </w:p>
        </w:tc>
        <w:tc>
          <w:tcPr>
            <w:tcW w:w="959" w:type="pct"/>
          </w:tcPr>
          <w:p w:rsidR="00D11960" w:rsidRPr="00A723E8" w:rsidRDefault="002F0874" w:rsidP="00E40DE5">
            <w:pPr>
              <w:suppressLineNumbers/>
              <w:jc w:val="center"/>
              <w:rPr>
                <w:rFonts w:ascii="Arial" w:hAnsi="Arial" w:cs="Arial"/>
                <w:sz w:val="22"/>
                <w:szCs w:val="22"/>
              </w:rPr>
            </w:pPr>
            <w:r w:rsidRPr="00A723E8">
              <w:rPr>
                <w:rFonts w:ascii="Arial" w:hAnsi="Arial" w:cs="Arial"/>
                <w:sz w:val="22"/>
                <w:szCs w:val="22"/>
              </w:rPr>
              <w:t>FY 201</w:t>
            </w:r>
            <w:r w:rsidR="00492F78" w:rsidRPr="00A723E8">
              <w:rPr>
                <w:rFonts w:ascii="Arial" w:hAnsi="Arial" w:cs="Arial"/>
                <w:sz w:val="22"/>
                <w:szCs w:val="22"/>
              </w:rPr>
              <w:t>3</w:t>
            </w:r>
          </w:p>
        </w:tc>
      </w:tr>
    </w:tbl>
    <w:p w:rsidR="000719AA" w:rsidRPr="00A723E8" w:rsidRDefault="000719AA" w:rsidP="000719AA">
      <w:pPr>
        <w:suppressLineNumbers/>
        <w:rPr>
          <w:b/>
          <w:sz w:val="23"/>
          <w:u w:val="single"/>
        </w:rPr>
      </w:pPr>
    </w:p>
    <w:p w:rsidR="006E34AD" w:rsidRPr="00A723E8" w:rsidRDefault="006E34AD" w:rsidP="006E34AD">
      <w:pPr>
        <w:pStyle w:val="Heading2"/>
        <w:spacing w:before="120" w:line="360" w:lineRule="auto"/>
      </w:pPr>
      <w:r w:rsidRPr="00A723E8">
        <w:t>A17.  Display of Expiration Date</w:t>
      </w:r>
    </w:p>
    <w:p w:rsidR="000719AA" w:rsidRPr="00A723E8" w:rsidRDefault="000719AA" w:rsidP="00471C9E">
      <w:pPr>
        <w:suppressLineNumbers/>
        <w:outlineLvl w:val="0"/>
        <w:rPr>
          <w:rStyle w:val="WP9BodyText"/>
        </w:rPr>
      </w:pPr>
      <w:r w:rsidRPr="00A723E8">
        <w:rPr>
          <w:rStyle w:val="WP9BodyText"/>
        </w:rPr>
        <w:t>The expiration date will be displayed</w:t>
      </w:r>
      <w:r w:rsidR="00F353F0" w:rsidRPr="00A723E8">
        <w:rPr>
          <w:rStyle w:val="WP9BodyText"/>
        </w:rPr>
        <w:t>.</w:t>
      </w:r>
    </w:p>
    <w:p w:rsidR="000719AA" w:rsidRPr="00A723E8" w:rsidRDefault="000719AA" w:rsidP="000719AA">
      <w:pPr>
        <w:suppressLineNumbers/>
        <w:rPr>
          <w:rStyle w:val="WP9BodyText"/>
        </w:rPr>
      </w:pPr>
    </w:p>
    <w:p w:rsidR="006E34AD" w:rsidRPr="00A723E8" w:rsidRDefault="006E34AD" w:rsidP="006E34AD">
      <w:pPr>
        <w:pStyle w:val="Heading2"/>
        <w:spacing w:before="120" w:line="360" w:lineRule="auto"/>
      </w:pPr>
      <w:r w:rsidRPr="00A723E8">
        <w:t>A18.  Exceptions to Certification Statement</w:t>
      </w:r>
    </w:p>
    <w:p w:rsidR="00F21B89" w:rsidRPr="00822254" w:rsidRDefault="00F353F0" w:rsidP="00822254">
      <w:pPr>
        <w:suppressLineNumbers/>
        <w:outlineLvl w:val="0"/>
      </w:pPr>
      <w:r w:rsidRPr="00A723E8">
        <w:rPr>
          <w:rStyle w:val="WP9BodyText"/>
        </w:rPr>
        <w:t>No exceptions are required.</w:t>
      </w:r>
    </w:p>
    <w:p w:rsidR="00D3593D" w:rsidRPr="00A723E8" w:rsidRDefault="004D4656" w:rsidP="00471C9E">
      <w:pPr>
        <w:outlineLvl w:val="0"/>
        <w:rPr>
          <w:b/>
        </w:rPr>
      </w:pPr>
      <w:r w:rsidRPr="00A723E8">
        <w:rPr>
          <w:b/>
          <w:sz w:val="23"/>
        </w:rPr>
        <w:br w:type="page"/>
      </w:r>
      <w:r w:rsidR="00803E7A" w:rsidRPr="00A723E8">
        <w:rPr>
          <w:b/>
        </w:rPr>
        <w:lastRenderedPageBreak/>
        <w:t>RE</w:t>
      </w:r>
      <w:r w:rsidR="00D3593D" w:rsidRPr="00A723E8">
        <w:rPr>
          <w:b/>
        </w:rPr>
        <w:t>FERENCES</w:t>
      </w:r>
    </w:p>
    <w:p w:rsidR="000647CD" w:rsidRPr="00A723E8" w:rsidRDefault="000647CD">
      <w:pPr>
        <w:rPr>
          <w:sz w:val="23"/>
        </w:rPr>
      </w:pPr>
    </w:p>
    <w:p w:rsidR="00D3593D" w:rsidRPr="00A723E8" w:rsidRDefault="00D3593D" w:rsidP="001F1478">
      <w:pPr>
        <w:ind w:left="720" w:right="216" w:hanging="720"/>
      </w:pPr>
      <w:proofErr w:type="spellStart"/>
      <w:r w:rsidRPr="00A723E8">
        <w:t>Bentler</w:t>
      </w:r>
      <w:proofErr w:type="spellEnd"/>
      <w:r w:rsidRPr="00A723E8">
        <w:t>, P.M.,</w:t>
      </w:r>
      <w:r w:rsidR="00D802B0" w:rsidRPr="00A723E8">
        <w:t xml:space="preserve"> (1995)</w:t>
      </w:r>
      <w:r w:rsidR="003D35F1" w:rsidRPr="00A723E8">
        <w:t xml:space="preserve">. </w:t>
      </w:r>
      <w:proofErr w:type="gramStart"/>
      <w:r w:rsidRPr="00A723E8">
        <w:rPr>
          <w:i/>
        </w:rPr>
        <w:t>EQS Structural Equations Program Manual.</w:t>
      </w:r>
      <w:proofErr w:type="gramEnd"/>
      <w:r w:rsidRPr="00A723E8">
        <w:rPr>
          <w:i/>
        </w:rPr>
        <w:t xml:space="preserve"> </w:t>
      </w:r>
      <w:r w:rsidRPr="00A723E8">
        <w:t>Encino: Multivariate Software, Inc.</w:t>
      </w:r>
    </w:p>
    <w:p w:rsidR="00D3593D" w:rsidRPr="00A723E8" w:rsidRDefault="00D3593D" w:rsidP="001F1478"/>
    <w:p w:rsidR="00D3593D" w:rsidRPr="00A723E8" w:rsidRDefault="00D3593D" w:rsidP="00471C9E">
      <w:pPr>
        <w:outlineLvl w:val="0"/>
      </w:pPr>
      <w:proofErr w:type="spellStart"/>
      <w:r w:rsidRPr="00A723E8">
        <w:t>Bollen</w:t>
      </w:r>
      <w:proofErr w:type="spellEnd"/>
      <w:r w:rsidRPr="00A723E8">
        <w:t>, K.A. (1989).</w:t>
      </w:r>
      <w:r w:rsidRPr="00A723E8">
        <w:rPr>
          <w:i/>
        </w:rPr>
        <w:t xml:space="preserve"> </w:t>
      </w:r>
      <w:proofErr w:type="gramStart"/>
      <w:r w:rsidRPr="00A723E8">
        <w:rPr>
          <w:i/>
        </w:rPr>
        <w:t>Structural equations with latent variables.</w:t>
      </w:r>
      <w:proofErr w:type="gramEnd"/>
      <w:r w:rsidRPr="00A723E8">
        <w:rPr>
          <w:i/>
        </w:rPr>
        <w:t xml:space="preserve"> </w:t>
      </w:r>
      <w:smartTag w:uri="urn:schemas-microsoft-com:office:smarttags" w:element="place">
        <w:smartTag w:uri="urn:schemas-microsoft-com:office:smarttags" w:element="State">
          <w:r w:rsidRPr="00A723E8">
            <w:t>New York</w:t>
          </w:r>
        </w:smartTag>
      </w:smartTag>
      <w:r w:rsidR="00803E7A" w:rsidRPr="00A723E8">
        <w:t>: Wiley</w:t>
      </w:r>
      <w:r w:rsidRPr="00A723E8">
        <w:t>.</w:t>
      </w:r>
    </w:p>
    <w:p w:rsidR="00D3593D" w:rsidRPr="00A723E8" w:rsidRDefault="00D3593D" w:rsidP="001F1478"/>
    <w:p w:rsidR="0018578A" w:rsidRDefault="0018578A" w:rsidP="0018578A">
      <w:pPr>
        <w:suppressLineNumbers/>
        <w:ind w:left="720" w:hanging="720"/>
      </w:pPr>
      <w:proofErr w:type="spellStart"/>
      <w:proofErr w:type="gramStart"/>
      <w:r>
        <w:t>Castiglioni</w:t>
      </w:r>
      <w:proofErr w:type="spellEnd"/>
      <w:r>
        <w:t xml:space="preserve">, L., </w:t>
      </w:r>
      <w:proofErr w:type="spellStart"/>
      <w:r>
        <w:t>Pforr</w:t>
      </w:r>
      <w:proofErr w:type="spellEnd"/>
      <w:r>
        <w:t>, K., and Krieger, U. (2008).</w:t>
      </w:r>
      <w:proofErr w:type="gramEnd"/>
      <w:r>
        <w:t xml:space="preserve"> The effect of incentives on response rates and panel attrition: Results of a controlled experiment. </w:t>
      </w:r>
      <w:r w:rsidRPr="005D1520">
        <w:rPr>
          <w:i/>
        </w:rPr>
        <w:t>Survey Research Methods</w:t>
      </w:r>
      <w:r>
        <w:t>; 2(3), 151-158.</w:t>
      </w:r>
    </w:p>
    <w:p w:rsidR="0018578A" w:rsidRDefault="0018578A" w:rsidP="001F1478">
      <w:pPr>
        <w:ind w:left="720" w:hanging="720"/>
        <w:rPr>
          <w:color w:val="000000"/>
        </w:rPr>
      </w:pPr>
    </w:p>
    <w:p w:rsidR="00546BBF" w:rsidRPr="00A723E8" w:rsidRDefault="00546BBF" w:rsidP="001F1478">
      <w:pPr>
        <w:ind w:left="720" w:hanging="720"/>
        <w:rPr>
          <w:color w:val="000000"/>
        </w:rPr>
      </w:pPr>
      <w:proofErr w:type="gramStart"/>
      <w:r w:rsidRPr="00A723E8">
        <w:rPr>
          <w:color w:val="000000"/>
        </w:rPr>
        <w:t>CDC 2010.</w:t>
      </w:r>
      <w:proofErr w:type="gramEnd"/>
      <w:r w:rsidRPr="00A723E8">
        <w:rPr>
          <w:color w:val="000000"/>
        </w:rPr>
        <w:t xml:space="preserve"> HIV Surveillance Report: Diagnoses of HIV infection and AIDS in the United States and Dependent Areas, 2008, v.20.</w:t>
      </w:r>
    </w:p>
    <w:p w:rsidR="00546BBF" w:rsidRPr="00A723E8" w:rsidRDefault="00546BBF" w:rsidP="001F1478">
      <w:pPr>
        <w:ind w:left="720" w:hanging="720"/>
      </w:pPr>
    </w:p>
    <w:p w:rsidR="00D3593D" w:rsidRPr="00A723E8" w:rsidRDefault="00D3593D" w:rsidP="001F1478">
      <w:pPr>
        <w:ind w:left="720" w:hanging="720"/>
        <w:rPr>
          <w:i/>
        </w:rPr>
      </w:pPr>
      <w:r w:rsidRPr="00A723E8">
        <w:t xml:space="preserve">Chou, C.P., </w:t>
      </w:r>
      <w:proofErr w:type="spellStart"/>
      <w:r w:rsidRPr="00A723E8">
        <w:t>Bentler</w:t>
      </w:r>
      <w:proofErr w:type="spellEnd"/>
      <w:r w:rsidRPr="00A723E8">
        <w:t xml:space="preserve">, P.M., </w:t>
      </w:r>
      <w:proofErr w:type="spellStart"/>
      <w:r w:rsidRPr="00A723E8">
        <w:t>Pentz</w:t>
      </w:r>
      <w:proofErr w:type="spellEnd"/>
      <w:r w:rsidRPr="00A723E8">
        <w:t>, M.A. (1998).</w:t>
      </w:r>
      <w:r w:rsidRPr="00A723E8">
        <w:rPr>
          <w:i/>
        </w:rPr>
        <w:t xml:space="preserve"> </w:t>
      </w:r>
      <w:r w:rsidRPr="00A723E8">
        <w:t xml:space="preserve">Comparison of two statistical approaches to the study of growth curves: The multilevel model and latent curve analysis. </w:t>
      </w:r>
      <w:r w:rsidRPr="00A723E8">
        <w:rPr>
          <w:i/>
        </w:rPr>
        <w:t xml:space="preserve">Structural Equation Modeling, </w:t>
      </w:r>
      <w:r w:rsidRPr="00A723E8">
        <w:t>5, 247-266.</w:t>
      </w:r>
    </w:p>
    <w:p w:rsidR="00D3593D" w:rsidRPr="00A723E8" w:rsidRDefault="00D3593D" w:rsidP="001F1478"/>
    <w:p w:rsidR="008927A5" w:rsidRPr="00A723E8" w:rsidRDefault="008927A5" w:rsidP="001F1478">
      <w:pPr>
        <w:ind w:left="720" w:right="216" w:hanging="720"/>
      </w:pPr>
      <w:proofErr w:type="spellStart"/>
      <w:proofErr w:type="gramStart"/>
      <w:r w:rsidRPr="00A723E8">
        <w:t>Koziel</w:t>
      </w:r>
      <w:proofErr w:type="spellEnd"/>
      <w:r w:rsidRPr="00A723E8">
        <w:t>, M.J., and Peters, M.C. (2007)</w:t>
      </w:r>
      <w:r w:rsidR="00D802B0" w:rsidRPr="00A723E8">
        <w:t>.</w:t>
      </w:r>
      <w:proofErr w:type="gramEnd"/>
      <w:r w:rsidRPr="00A723E8">
        <w:t xml:space="preserve"> Viral hepatitis in HIV Infection, M.D., </w:t>
      </w:r>
      <w:r w:rsidRPr="00A723E8">
        <w:rPr>
          <w:i/>
        </w:rPr>
        <w:t>NEJM</w:t>
      </w:r>
      <w:r w:rsidRPr="00A723E8">
        <w:t xml:space="preserve"> 14: 356:1445-1454</w:t>
      </w:r>
      <w:r w:rsidR="00D802B0" w:rsidRPr="00A723E8">
        <w:t>.</w:t>
      </w:r>
      <w:r w:rsidRPr="00A723E8">
        <w:t xml:space="preserve"> </w:t>
      </w:r>
    </w:p>
    <w:p w:rsidR="008927A5" w:rsidRPr="00A723E8" w:rsidRDefault="008927A5" w:rsidP="001F1478">
      <w:pPr>
        <w:ind w:left="720" w:right="432" w:hanging="720"/>
        <w:jc w:val="both"/>
      </w:pPr>
    </w:p>
    <w:p w:rsidR="0018578A" w:rsidRDefault="0018578A" w:rsidP="0018578A">
      <w:pPr>
        <w:suppressLineNumbers/>
      </w:pPr>
    </w:p>
    <w:p w:rsidR="0018578A" w:rsidRDefault="0018578A" w:rsidP="0018578A">
      <w:pPr>
        <w:suppressLineNumbers/>
        <w:ind w:left="720" w:hanging="720"/>
      </w:pPr>
      <w:proofErr w:type="gramStart"/>
      <w:r>
        <w:t>Goldenberg, K., McGrath, D., and Tan, L. (2009).</w:t>
      </w:r>
      <w:proofErr w:type="gramEnd"/>
      <w:r>
        <w:t xml:space="preserve"> </w:t>
      </w:r>
      <w:proofErr w:type="gramStart"/>
      <w:r>
        <w:t>The effects of incentives on the consumer expenditure survey.</w:t>
      </w:r>
      <w:proofErr w:type="gramEnd"/>
      <w:r>
        <w:t xml:space="preserve"> Paper presented at the annual meeting of the American Association for Public Opinion Research, May 14-17, 2009.</w:t>
      </w:r>
    </w:p>
    <w:p w:rsidR="0018578A" w:rsidRDefault="0018578A" w:rsidP="001F1478">
      <w:pPr>
        <w:ind w:left="720" w:right="432" w:hanging="720"/>
        <w:jc w:val="both"/>
      </w:pPr>
    </w:p>
    <w:p w:rsidR="0018578A" w:rsidRDefault="0018578A" w:rsidP="0018578A">
      <w:pPr>
        <w:suppressLineNumbers/>
        <w:ind w:left="720" w:hanging="720"/>
      </w:pPr>
      <w:proofErr w:type="gramStart"/>
      <w:r>
        <w:t>Laurie, H., and Lynn, P. (2009).</w:t>
      </w:r>
      <w:proofErr w:type="gramEnd"/>
      <w:r>
        <w:t xml:space="preserve"> </w:t>
      </w:r>
      <w:proofErr w:type="gramStart"/>
      <w:r>
        <w:t>The use of respondent incentives on longitudinal surveys</w:t>
      </w:r>
      <w:r w:rsidRPr="005D1520">
        <w:rPr>
          <w:i/>
        </w:rPr>
        <w:t>.</w:t>
      </w:r>
      <w:proofErr w:type="gramEnd"/>
      <w:r w:rsidRPr="005D1520">
        <w:rPr>
          <w:i/>
        </w:rPr>
        <w:t xml:space="preserve">  </w:t>
      </w:r>
      <w:proofErr w:type="gramStart"/>
      <w:r w:rsidRPr="005D1520">
        <w:rPr>
          <w:i/>
        </w:rPr>
        <w:t>Methodology of Longitudinal Surveys</w:t>
      </w:r>
      <w:r>
        <w:t>, pp.205-232.</w:t>
      </w:r>
      <w:proofErr w:type="gramEnd"/>
      <w:r>
        <w:t xml:space="preserve"> New York: John Wiley and Sons, Inc. </w:t>
      </w:r>
    </w:p>
    <w:p w:rsidR="0018578A" w:rsidRDefault="0018578A" w:rsidP="001F1478">
      <w:pPr>
        <w:ind w:left="720" w:right="432" w:hanging="720"/>
        <w:jc w:val="both"/>
      </w:pPr>
    </w:p>
    <w:p w:rsidR="0018578A" w:rsidRDefault="0018578A" w:rsidP="0018578A">
      <w:pPr>
        <w:suppressLineNumbers/>
        <w:ind w:left="720" w:hanging="720"/>
      </w:pPr>
      <w:proofErr w:type="spellStart"/>
      <w:r>
        <w:t>McGonagle</w:t>
      </w:r>
      <w:proofErr w:type="spellEnd"/>
      <w:r>
        <w:t xml:space="preserve">, K.A., </w:t>
      </w:r>
      <w:proofErr w:type="spellStart"/>
      <w:r>
        <w:t>Schoeni</w:t>
      </w:r>
      <w:proofErr w:type="spellEnd"/>
      <w:r>
        <w:t xml:space="preserve">, </w:t>
      </w:r>
      <w:proofErr w:type="spellStart"/>
      <w:r>
        <w:t>R.F.</w:t>
      </w:r>
      <w:proofErr w:type="gramStart"/>
      <w:r>
        <w:t>,Couper</w:t>
      </w:r>
      <w:proofErr w:type="spellEnd"/>
      <w:proofErr w:type="gramEnd"/>
      <w:r>
        <w:t xml:space="preserve">, M.P., </w:t>
      </w:r>
      <w:proofErr w:type="spellStart"/>
      <w:r>
        <w:t>Mushtag</w:t>
      </w:r>
      <w:proofErr w:type="spellEnd"/>
      <w:r>
        <w:t xml:space="preserve">, M. (2011). An incentive experiment designed to increase response to a between-wave contact update mailing in two panel studies. </w:t>
      </w:r>
      <w:proofErr w:type="gramStart"/>
      <w:r w:rsidRPr="005D1520">
        <w:rPr>
          <w:i/>
        </w:rPr>
        <w:t>Survey Practice</w:t>
      </w:r>
      <w:r>
        <w:t>, June.</w:t>
      </w:r>
      <w:proofErr w:type="gramEnd"/>
    </w:p>
    <w:p w:rsidR="0018578A" w:rsidRDefault="0018578A" w:rsidP="001F1478">
      <w:pPr>
        <w:ind w:left="720" w:right="432" w:hanging="720"/>
        <w:jc w:val="both"/>
      </w:pPr>
    </w:p>
    <w:p w:rsidR="0018578A" w:rsidRDefault="0018578A" w:rsidP="0018578A">
      <w:pPr>
        <w:suppressLineNumbers/>
        <w:ind w:left="720" w:hanging="720"/>
      </w:pPr>
      <w:r>
        <w:t>Rodgers, W.L. (2011). Effects of increasing the incentive size in a longitudinal study</w:t>
      </w:r>
      <w:r w:rsidRPr="005D1520">
        <w:rPr>
          <w:i/>
        </w:rPr>
        <w:t>. Journal of Official Statistics</w:t>
      </w:r>
      <w:r>
        <w:t>, 27(2), 279-299.</w:t>
      </w:r>
    </w:p>
    <w:p w:rsidR="0018578A" w:rsidRDefault="0018578A" w:rsidP="001F1478">
      <w:pPr>
        <w:ind w:left="720" w:right="432" w:hanging="720"/>
        <w:jc w:val="both"/>
      </w:pPr>
      <w:bookmarkStart w:id="9" w:name="_GoBack"/>
      <w:bookmarkEnd w:id="9"/>
    </w:p>
    <w:p w:rsidR="00D3593D" w:rsidRPr="00A723E8" w:rsidRDefault="00D3593D" w:rsidP="001F1478">
      <w:pPr>
        <w:ind w:left="720" w:right="432" w:hanging="720"/>
        <w:jc w:val="both"/>
      </w:pPr>
      <w:proofErr w:type="gramStart"/>
      <w:r w:rsidRPr="00A723E8">
        <w:t>Springer, F. (2000).</w:t>
      </w:r>
      <w:proofErr w:type="gramEnd"/>
      <w:r w:rsidRPr="00A723E8">
        <w:rPr>
          <w:i/>
        </w:rPr>
        <w:t xml:space="preserve"> "Lessons learned from multiple cross-site evaluation studies</w:t>
      </w:r>
      <w:r w:rsidR="00803E7A" w:rsidRPr="00A723E8">
        <w:rPr>
          <w:i/>
        </w:rPr>
        <w:t>.”</w:t>
      </w:r>
      <w:r w:rsidRPr="00A723E8">
        <w:rPr>
          <w:i/>
        </w:rPr>
        <w:t xml:space="preserve"> </w:t>
      </w:r>
      <w:r w:rsidRPr="00A723E8">
        <w:t xml:space="preserve">Paper presented at the American Evaluation Association Meeting, </w:t>
      </w:r>
      <w:smartTag w:uri="urn:schemas-microsoft-com:office:smarttags" w:element="place">
        <w:smartTag w:uri="urn:schemas-microsoft-com:office:smarttags" w:element="City">
          <w:r w:rsidRPr="00A723E8">
            <w:t>Honolulu</w:t>
          </w:r>
        </w:smartTag>
      </w:smartTag>
      <w:r w:rsidRPr="00A723E8">
        <w:t xml:space="preserve">, </w:t>
      </w:r>
      <w:proofErr w:type="gramStart"/>
      <w:r w:rsidRPr="00A723E8">
        <w:t>November</w:t>
      </w:r>
      <w:proofErr w:type="gramEnd"/>
      <w:r w:rsidRPr="00A723E8">
        <w:t xml:space="preserve"> 2000.</w:t>
      </w:r>
    </w:p>
    <w:p w:rsidR="00D3593D" w:rsidRPr="00A723E8" w:rsidRDefault="00D3593D" w:rsidP="001F1478"/>
    <w:p w:rsidR="00D3593D" w:rsidRPr="00A723E8" w:rsidRDefault="00D3593D" w:rsidP="001F1478">
      <w:pPr>
        <w:ind w:left="720" w:right="72" w:hanging="720"/>
      </w:pPr>
      <w:proofErr w:type="gramStart"/>
      <w:r w:rsidRPr="00A723E8">
        <w:t>Straw, R.B. &amp; Herrell, J. M. (2002).</w:t>
      </w:r>
      <w:proofErr w:type="gramEnd"/>
      <w:r w:rsidRPr="00A723E8">
        <w:rPr>
          <w:i/>
        </w:rPr>
        <w:t xml:space="preserve"> </w:t>
      </w:r>
      <w:proofErr w:type="gramStart"/>
      <w:r w:rsidRPr="00A723E8">
        <w:rPr>
          <w:i/>
        </w:rPr>
        <w:t>Conducting multiple site evaluations in real-world settings.</w:t>
      </w:r>
      <w:proofErr w:type="gramEnd"/>
      <w:r w:rsidRPr="00A723E8">
        <w:rPr>
          <w:i/>
        </w:rPr>
        <w:t xml:space="preserve"> </w:t>
      </w:r>
      <w:smartTag w:uri="urn:schemas-microsoft-com:office:smarttags" w:element="place">
        <w:smartTag w:uri="urn:schemas-microsoft-com:office:smarttags" w:element="City">
          <w:r w:rsidRPr="00A723E8">
            <w:t>San Francisco</w:t>
          </w:r>
        </w:smartTag>
        <w:r w:rsidRPr="00A723E8">
          <w:t xml:space="preserve">, </w:t>
        </w:r>
        <w:smartTag w:uri="urn:schemas-microsoft-com:office:smarttags" w:element="State">
          <w:r w:rsidRPr="00A723E8">
            <w:t>CA</w:t>
          </w:r>
        </w:smartTag>
      </w:smartTag>
      <w:r w:rsidRPr="00A723E8">
        <w:t xml:space="preserve">: </w:t>
      </w:r>
      <w:proofErr w:type="spellStart"/>
      <w:r w:rsidRPr="00A723E8">
        <w:t>Jossey</w:t>
      </w:r>
      <w:proofErr w:type="spellEnd"/>
      <w:r w:rsidRPr="00A723E8">
        <w:t>-Bass.</w:t>
      </w:r>
    </w:p>
    <w:p w:rsidR="00D3593D" w:rsidRPr="00A723E8" w:rsidRDefault="00D3593D" w:rsidP="001F1478"/>
    <w:p w:rsidR="008927A5" w:rsidRPr="00A723E8" w:rsidRDefault="008927A5" w:rsidP="001F1478">
      <w:pPr>
        <w:ind w:left="720" w:right="216" w:hanging="720"/>
      </w:pPr>
      <w:proofErr w:type="spellStart"/>
      <w:r w:rsidRPr="00A723E8">
        <w:rPr>
          <w:lang w:val="es-PR"/>
        </w:rPr>
        <w:lastRenderedPageBreak/>
        <w:t>Tedaldi</w:t>
      </w:r>
      <w:proofErr w:type="spellEnd"/>
      <w:r w:rsidRPr="00A723E8">
        <w:rPr>
          <w:lang w:val="es-PR"/>
        </w:rPr>
        <w:t>, E.M. et al., (2003)</w:t>
      </w:r>
      <w:r w:rsidR="003D35F1" w:rsidRPr="00A723E8">
        <w:rPr>
          <w:lang w:val="es-PR"/>
        </w:rPr>
        <w:t xml:space="preserve">. </w:t>
      </w:r>
      <w:r w:rsidRPr="00A723E8">
        <w:rPr>
          <w:i/>
        </w:rPr>
        <w:t xml:space="preserve">Prevalence and characteristics of Hepatitis C </w:t>
      </w:r>
      <w:proofErr w:type="spellStart"/>
      <w:r w:rsidRPr="00A723E8">
        <w:rPr>
          <w:i/>
        </w:rPr>
        <w:t>coinfection</w:t>
      </w:r>
      <w:proofErr w:type="spellEnd"/>
      <w:r w:rsidRPr="00A723E8">
        <w:rPr>
          <w:i/>
        </w:rPr>
        <w:t xml:space="preserve"> in Human Immunodeficiency Virus Clinical </w:t>
      </w:r>
      <w:proofErr w:type="spellStart"/>
      <w:r w:rsidRPr="00A723E8">
        <w:rPr>
          <w:i/>
        </w:rPr>
        <w:t>Trails</w:t>
      </w:r>
      <w:proofErr w:type="spellEnd"/>
      <w:r w:rsidRPr="00A723E8">
        <w:rPr>
          <w:i/>
        </w:rPr>
        <w:t xml:space="preserve"> Group: The Terry </w:t>
      </w:r>
      <w:proofErr w:type="spellStart"/>
      <w:r w:rsidRPr="00A723E8">
        <w:rPr>
          <w:i/>
        </w:rPr>
        <w:t>Beirn</w:t>
      </w:r>
      <w:proofErr w:type="spellEnd"/>
      <w:r w:rsidRPr="00A723E8">
        <w:rPr>
          <w:i/>
        </w:rPr>
        <w:t xml:space="preserve"> Community Programs for Clinical Research on AIDS, Clinical Infectious Diseases</w:t>
      </w:r>
      <w:r w:rsidRPr="00A723E8">
        <w:t>, 15:36(10):1313-7</w:t>
      </w:r>
    </w:p>
    <w:p w:rsidR="001F1478" w:rsidRPr="00A723E8" w:rsidRDefault="001F1478" w:rsidP="001F1478">
      <w:pPr>
        <w:ind w:left="720" w:right="144" w:hanging="720"/>
      </w:pPr>
    </w:p>
    <w:p w:rsidR="00D3593D" w:rsidRPr="00A723E8" w:rsidRDefault="00D3593D" w:rsidP="001F1478">
      <w:pPr>
        <w:ind w:left="720" w:right="144" w:hanging="720"/>
      </w:pPr>
      <w:proofErr w:type="gramStart"/>
      <w:r w:rsidRPr="00A723E8">
        <w:t>Willett, J.B., Singer, J.D., &amp; Martin, N.C. (1998)</w:t>
      </w:r>
      <w:r w:rsidRPr="00A723E8">
        <w:rPr>
          <w:i/>
        </w:rPr>
        <w:t>.</w:t>
      </w:r>
      <w:proofErr w:type="gramEnd"/>
      <w:r w:rsidRPr="00A723E8">
        <w:rPr>
          <w:i/>
        </w:rPr>
        <w:t xml:space="preserve"> </w:t>
      </w:r>
      <w:r w:rsidRPr="00A723E8">
        <w:t xml:space="preserve">The design and analysis of longitudinal studies of development and psychopathology in context: Statistical models and methodological recommendations. </w:t>
      </w:r>
      <w:r w:rsidRPr="00A723E8">
        <w:rPr>
          <w:i/>
        </w:rPr>
        <w:t xml:space="preserve">Development and Psychopathology, </w:t>
      </w:r>
      <w:r w:rsidRPr="00A723E8">
        <w:t>10, 395-426.</w:t>
      </w:r>
    </w:p>
    <w:p w:rsidR="0078688A" w:rsidRPr="00A723E8" w:rsidRDefault="0078688A" w:rsidP="001F1478">
      <w:pPr>
        <w:ind w:left="720" w:right="144" w:hanging="720"/>
        <w:rPr>
          <w:i/>
        </w:rPr>
      </w:pPr>
    </w:p>
    <w:p w:rsidR="008927A5" w:rsidRPr="00A723E8" w:rsidRDefault="008927A5" w:rsidP="001F1478">
      <w:pPr>
        <w:ind w:left="720" w:right="216" w:hanging="720"/>
      </w:pPr>
      <w:proofErr w:type="spellStart"/>
      <w:proofErr w:type="gramStart"/>
      <w:r w:rsidRPr="00A723E8">
        <w:t>Winstock</w:t>
      </w:r>
      <w:proofErr w:type="spellEnd"/>
      <w:r w:rsidRPr="00A723E8">
        <w:t>, A.R.,</w:t>
      </w:r>
      <w:r w:rsidR="00C427F5" w:rsidRPr="00A723E8">
        <w:t xml:space="preserve"> </w:t>
      </w:r>
      <w:r w:rsidRPr="00A723E8">
        <w:t>Anderson, C.M., and Sheridan, J. (2006)</w:t>
      </w:r>
      <w:r w:rsidR="00D802B0" w:rsidRPr="00A723E8">
        <w:t>.</w:t>
      </w:r>
      <w:proofErr w:type="gramEnd"/>
      <w:r w:rsidRPr="00A723E8">
        <w:t xml:space="preserve"> </w:t>
      </w:r>
      <w:proofErr w:type="gramStart"/>
      <w:r w:rsidRPr="00A723E8">
        <w:rPr>
          <w:i/>
        </w:rPr>
        <w:t>National Survey on HIV and Hepatitis Testing and Vaccination Services provided by Alcohol Agencies</w:t>
      </w:r>
      <w:r w:rsidRPr="00A723E8">
        <w:t>.</w:t>
      </w:r>
      <w:proofErr w:type="gramEnd"/>
    </w:p>
    <w:p w:rsidR="0018578A" w:rsidRDefault="0018578A" w:rsidP="0018578A">
      <w:pPr>
        <w:suppressLineNumbers/>
        <w:ind w:left="720" w:hanging="720"/>
      </w:pPr>
    </w:p>
    <w:p w:rsidR="0018578A" w:rsidRPr="005D1520" w:rsidRDefault="0018578A" w:rsidP="0018578A">
      <w:pPr>
        <w:suppressLineNumbers/>
        <w:ind w:left="720" w:hanging="720"/>
      </w:pPr>
    </w:p>
    <w:p w:rsidR="005D1520" w:rsidRDefault="004D4656" w:rsidP="00920CF3">
      <w:pPr>
        <w:pStyle w:val="Heading2"/>
      </w:pPr>
      <w:r w:rsidRPr="00A723E8">
        <w:rPr>
          <w:b w:val="0"/>
          <w:u w:val="single"/>
        </w:rPr>
        <w:br w:type="page"/>
      </w:r>
    </w:p>
    <w:sectPr w:rsidR="005D1520" w:rsidSect="006C69EB">
      <w:headerReference w:type="even" r:id="rId20"/>
      <w:headerReference w:type="default" r:id="rId21"/>
      <w:footerReference w:type="even" r:id="rId22"/>
      <w:footerReference w:type="default" r:id="rId23"/>
      <w:endnotePr>
        <w:numFmt w:val="lowerLetter"/>
      </w:endnotePr>
      <w:pgSz w:w="12240" w:h="15840" w:code="1"/>
      <w:pgMar w:top="1440" w:right="1440" w:bottom="1440" w:left="1440" w:header="864"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D59" w:rsidRDefault="00E34D59">
      <w:r>
        <w:separator/>
      </w:r>
    </w:p>
  </w:endnote>
  <w:endnote w:type="continuationSeparator" w:id="0">
    <w:p w:rsidR="00E34D59" w:rsidRDefault="00E34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51781"/>
      <w:docPartObj>
        <w:docPartGallery w:val="Page Numbers (Bottom of Page)"/>
        <w:docPartUnique/>
      </w:docPartObj>
    </w:sdtPr>
    <w:sdtEndPr>
      <w:rPr>
        <w:noProof/>
      </w:rPr>
    </w:sdtEndPr>
    <w:sdtContent>
      <w:p w:rsidR="002A48C2" w:rsidRDefault="00036A45">
        <w:pPr>
          <w:pStyle w:val="Footer"/>
          <w:jc w:val="center"/>
        </w:pPr>
        <w:r>
          <w:fldChar w:fldCharType="begin"/>
        </w:r>
        <w:r w:rsidR="002A48C2">
          <w:instrText xml:space="preserve"> PAGE   \* MERGEFORMAT </w:instrText>
        </w:r>
        <w:r>
          <w:fldChar w:fldCharType="separate"/>
        </w:r>
        <w:r w:rsidR="00920CF3">
          <w:rPr>
            <w:noProof/>
          </w:rPr>
          <w:t>3</w:t>
        </w:r>
        <w:r>
          <w:rPr>
            <w:noProof/>
          </w:rPr>
          <w:fldChar w:fldCharType="end"/>
        </w:r>
      </w:p>
    </w:sdtContent>
  </w:sdt>
  <w:p w:rsidR="002A48C2" w:rsidRDefault="002A4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91994"/>
      <w:docPartObj>
        <w:docPartGallery w:val="Page Numbers (Bottom of Page)"/>
        <w:docPartUnique/>
      </w:docPartObj>
    </w:sdtPr>
    <w:sdtEndPr>
      <w:rPr>
        <w:noProof/>
      </w:rPr>
    </w:sdtEndPr>
    <w:sdtContent>
      <w:p w:rsidR="002A48C2" w:rsidRDefault="00036A45">
        <w:pPr>
          <w:pStyle w:val="Footer"/>
          <w:jc w:val="center"/>
        </w:pPr>
        <w:r>
          <w:fldChar w:fldCharType="begin"/>
        </w:r>
        <w:r w:rsidR="002A48C2">
          <w:instrText xml:space="preserve"> PAGE   \* MERGEFORMAT </w:instrText>
        </w:r>
        <w:r>
          <w:fldChar w:fldCharType="separate"/>
        </w:r>
        <w:r w:rsidR="00920CF3">
          <w:rPr>
            <w:noProof/>
          </w:rPr>
          <w:t>1</w:t>
        </w:r>
        <w:r>
          <w:rPr>
            <w:noProof/>
          </w:rPr>
          <w:fldChar w:fldCharType="end"/>
        </w:r>
      </w:p>
    </w:sdtContent>
  </w:sdt>
  <w:p w:rsidR="002A48C2" w:rsidRDefault="002A48C2" w:rsidP="008C299A">
    <w:pPr>
      <w:pStyle w:val="DocumentFooter-Odd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036A45" w:rsidP="008C299A">
    <w:pPr>
      <w:pStyle w:val="DocumentFooter-EvenPage"/>
    </w:pPr>
    <w:r>
      <w:fldChar w:fldCharType="begin"/>
    </w:r>
    <w:r w:rsidR="002A48C2">
      <w:instrText xml:space="preserve"> PAGE   \* MERGEFORMAT </w:instrText>
    </w:r>
    <w:r>
      <w:fldChar w:fldCharType="separate"/>
    </w:r>
    <w:r w:rsidR="002A48C2">
      <w:rPr>
        <w:noProof/>
      </w:rPr>
      <w:t>56</w:t>
    </w:r>
    <w:r>
      <w:rPr>
        <w:noProof/>
      </w:rPr>
      <w:fldChar w:fldCharType="end"/>
    </w:r>
    <w:r w:rsidR="002A48C2">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rsidP="008C299A">
    <w:pPr>
      <w:pStyle w:val="Footer"/>
      <w:spacing w:before="100"/>
    </w:pPr>
  </w:p>
  <w:p w:rsidR="002A48C2" w:rsidRPr="006D4487" w:rsidRDefault="00036A45" w:rsidP="008C299A">
    <w:pPr>
      <w:pStyle w:val="DocumentFooter-OddPage"/>
    </w:pPr>
    <w:r>
      <w:fldChar w:fldCharType="begin"/>
    </w:r>
    <w:r w:rsidR="002A48C2">
      <w:instrText xml:space="preserve"> PAGE   \* MERGEFORMAT </w:instrText>
    </w:r>
    <w:r>
      <w:fldChar w:fldCharType="separate"/>
    </w:r>
    <w:r w:rsidR="00920CF3">
      <w:rPr>
        <w:noProof/>
      </w:rPr>
      <w:t>7</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036A45" w:rsidP="008C299A">
    <w:pPr>
      <w:pStyle w:val="DocumentFooter-OddPage"/>
    </w:pPr>
    <w:r>
      <w:fldChar w:fldCharType="begin"/>
    </w:r>
    <w:r w:rsidR="002A48C2">
      <w:instrText xml:space="preserve"> PAGE   \* MERGEFORMAT </w:instrText>
    </w:r>
    <w:r>
      <w:fldChar w:fldCharType="separate"/>
    </w:r>
    <w:r w:rsidR="002A48C2">
      <w:rPr>
        <w:noProof/>
      </w:rPr>
      <w:t>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734313"/>
      <w:docPartObj>
        <w:docPartGallery w:val="Page Numbers (Bottom of Page)"/>
        <w:docPartUnique/>
      </w:docPartObj>
    </w:sdtPr>
    <w:sdtEndPr>
      <w:rPr>
        <w:noProof/>
      </w:rPr>
    </w:sdtEndPr>
    <w:sdtContent>
      <w:p w:rsidR="002A48C2" w:rsidRDefault="00036A45">
        <w:pPr>
          <w:pStyle w:val="Footer"/>
          <w:jc w:val="center"/>
        </w:pPr>
        <w:r>
          <w:fldChar w:fldCharType="begin"/>
        </w:r>
        <w:r w:rsidR="002A48C2">
          <w:instrText xml:space="preserve"> PAGE   \* MERGEFORMAT </w:instrText>
        </w:r>
        <w:r>
          <w:fldChar w:fldCharType="separate"/>
        </w:r>
        <w:r w:rsidR="00920CF3">
          <w:rPr>
            <w:noProof/>
          </w:rPr>
          <w:t>28</w:t>
        </w:r>
        <w:r>
          <w:rPr>
            <w:noProof/>
          </w:rPr>
          <w:fldChar w:fldCharType="end"/>
        </w:r>
      </w:p>
    </w:sdtContent>
  </w:sdt>
  <w:p w:rsidR="002A48C2" w:rsidRDefault="002A4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D59" w:rsidRDefault="00E34D59">
      <w:r>
        <w:separator/>
      </w:r>
    </w:p>
  </w:footnote>
  <w:footnote w:type="continuationSeparator" w:id="0">
    <w:p w:rsidR="00E34D59" w:rsidRDefault="00E34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rsidP="008C299A">
    <w:pPr>
      <w:pStyle w:val="DocumentHeader-OddPage"/>
    </w:pPr>
    <w:r w:rsidRPr="00F347D7">
      <w:t>HIV Cross-Site Ev</w:t>
    </w:r>
    <w:r>
      <w:t>aluation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Pr="00DE258B" w:rsidRDefault="002A48C2" w:rsidP="008C299A">
    <w:pPr>
      <w:pStyle w:val="DocumentHeader-EvenPage"/>
    </w:pPr>
    <w:r w:rsidRPr="00F347D7">
      <w:t>H</w:t>
    </w:r>
    <w:r>
      <w:t>IV Cross-Site Evaluation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Pr="00F347D7" w:rsidRDefault="002A48C2" w:rsidP="008C299A">
    <w:pPr>
      <w:pStyle w:val="DocumentHeader-OddPage"/>
    </w:pPr>
    <w:r w:rsidRPr="00F347D7">
      <w:t>HIV Cross-Site Evaluation Report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rsidP="008C299A">
    <w:pPr>
      <w:pStyle w:val="DocumentHeader-OddPage"/>
    </w:pPr>
    <w:r w:rsidRPr="00F347D7">
      <w:t>HIV Cross-Site Ev</w:t>
    </w:r>
    <w:r>
      <w:t>aluation Report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8C2" w:rsidRDefault="002A4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240357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7">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1">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15">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4"/>
  </w:num>
  <w:num w:numId="3">
    <w:abstractNumId w:val="6"/>
  </w:num>
  <w:num w:numId="4">
    <w:abstractNumId w:val="10"/>
  </w:num>
  <w:num w:numId="5">
    <w:abstractNumId w:val="0"/>
  </w:num>
  <w:num w:numId="6">
    <w:abstractNumId w:val="13"/>
  </w:num>
  <w:num w:numId="7">
    <w:abstractNumId w:val="15"/>
  </w:num>
  <w:num w:numId="8">
    <w:abstractNumId w:val="9"/>
  </w:num>
  <w:num w:numId="9">
    <w:abstractNumId w:val="8"/>
  </w:num>
  <w:num w:numId="10">
    <w:abstractNumId w:val="3"/>
  </w:num>
  <w:num w:numId="11">
    <w:abstractNumId w:val="7"/>
  </w:num>
  <w:num w:numId="12">
    <w:abstractNumId w:val="16"/>
  </w:num>
  <w:num w:numId="13">
    <w:abstractNumId w:val="12"/>
  </w:num>
  <w:num w:numId="14">
    <w:abstractNumId w:val="4"/>
  </w:num>
  <w:num w:numId="15">
    <w:abstractNumId w:val="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46D08"/>
    <w:rsid w:val="0000344D"/>
    <w:rsid w:val="00004F09"/>
    <w:rsid w:val="00011448"/>
    <w:rsid w:val="00011E87"/>
    <w:rsid w:val="00013394"/>
    <w:rsid w:val="00016557"/>
    <w:rsid w:val="00017223"/>
    <w:rsid w:val="0002210B"/>
    <w:rsid w:val="00023CB4"/>
    <w:rsid w:val="0002401E"/>
    <w:rsid w:val="000240B5"/>
    <w:rsid w:val="0002437B"/>
    <w:rsid w:val="00031E3B"/>
    <w:rsid w:val="00032379"/>
    <w:rsid w:val="00036A45"/>
    <w:rsid w:val="00036DC6"/>
    <w:rsid w:val="00040BF2"/>
    <w:rsid w:val="00042D01"/>
    <w:rsid w:val="000434E2"/>
    <w:rsid w:val="000458BA"/>
    <w:rsid w:val="000509DF"/>
    <w:rsid w:val="0005361A"/>
    <w:rsid w:val="00053B46"/>
    <w:rsid w:val="00053BC2"/>
    <w:rsid w:val="00055F61"/>
    <w:rsid w:val="00056325"/>
    <w:rsid w:val="000569EB"/>
    <w:rsid w:val="00057D4F"/>
    <w:rsid w:val="00060C53"/>
    <w:rsid w:val="000647CD"/>
    <w:rsid w:val="00070BF2"/>
    <w:rsid w:val="000719AA"/>
    <w:rsid w:val="00072516"/>
    <w:rsid w:val="00072859"/>
    <w:rsid w:val="000728F8"/>
    <w:rsid w:val="00073E22"/>
    <w:rsid w:val="000744B8"/>
    <w:rsid w:val="000749C8"/>
    <w:rsid w:val="00080CF5"/>
    <w:rsid w:val="000810C6"/>
    <w:rsid w:val="00085279"/>
    <w:rsid w:val="00086739"/>
    <w:rsid w:val="00086B40"/>
    <w:rsid w:val="00090A67"/>
    <w:rsid w:val="000910DF"/>
    <w:rsid w:val="00091B61"/>
    <w:rsid w:val="00093E80"/>
    <w:rsid w:val="00097591"/>
    <w:rsid w:val="00097732"/>
    <w:rsid w:val="00097A85"/>
    <w:rsid w:val="000A0CAC"/>
    <w:rsid w:val="000A2897"/>
    <w:rsid w:val="000A44CC"/>
    <w:rsid w:val="000A4F2B"/>
    <w:rsid w:val="000A5302"/>
    <w:rsid w:val="000A57CE"/>
    <w:rsid w:val="000B10D8"/>
    <w:rsid w:val="000B74AC"/>
    <w:rsid w:val="000C1EBA"/>
    <w:rsid w:val="000D2822"/>
    <w:rsid w:val="000D2FB6"/>
    <w:rsid w:val="000E0F43"/>
    <w:rsid w:val="000E24E4"/>
    <w:rsid w:val="000E68EA"/>
    <w:rsid w:val="000E724B"/>
    <w:rsid w:val="000E7E1B"/>
    <w:rsid w:val="000E7F52"/>
    <w:rsid w:val="000F0245"/>
    <w:rsid w:val="000F0301"/>
    <w:rsid w:val="000F1914"/>
    <w:rsid w:val="000F5D6F"/>
    <w:rsid w:val="000F7698"/>
    <w:rsid w:val="001075EF"/>
    <w:rsid w:val="00110B0F"/>
    <w:rsid w:val="00112CBF"/>
    <w:rsid w:val="00113981"/>
    <w:rsid w:val="00115576"/>
    <w:rsid w:val="00116CFA"/>
    <w:rsid w:val="00116FC8"/>
    <w:rsid w:val="00122AF8"/>
    <w:rsid w:val="00125D9D"/>
    <w:rsid w:val="001275A4"/>
    <w:rsid w:val="001375E8"/>
    <w:rsid w:val="00137D46"/>
    <w:rsid w:val="001401C6"/>
    <w:rsid w:val="00141734"/>
    <w:rsid w:val="00144167"/>
    <w:rsid w:val="00145B4C"/>
    <w:rsid w:val="00146E0C"/>
    <w:rsid w:val="00150E30"/>
    <w:rsid w:val="00152C98"/>
    <w:rsid w:val="0015328D"/>
    <w:rsid w:val="00153EB0"/>
    <w:rsid w:val="00160476"/>
    <w:rsid w:val="00160D43"/>
    <w:rsid w:val="00161E90"/>
    <w:rsid w:val="0016207D"/>
    <w:rsid w:val="00162C23"/>
    <w:rsid w:val="00165A76"/>
    <w:rsid w:val="00165A85"/>
    <w:rsid w:val="00171160"/>
    <w:rsid w:val="00172736"/>
    <w:rsid w:val="00173F11"/>
    <w:rsid w:val="00182EF3"/>
    <w:rsid w:val="0018465B"/>
    <w:rsid w:val="00185053"/>
    <w:rsid w:val="0018578A"/>
    <w:rsid w:val="0019033B"/>
    <w:rsid w:val="001922E7"/>
    <w:rsid w:val="00194A64"/>
    <w:rsid w:val="0019541B"/>
    <w:rsid w:val="00195C64"/>
    <w:rsid w:val="00196361"/>
    <w:rsid w:val="001A1ECA"/>
    <w:rsid w:val="001A368B"/>
    <w:rsid w:val="001A3730"/>
    <w:rsid w:val="001A41A2"/>
    <w:rsid w:val="001A4E71"/>
    <w:rsid w:val="001B1801"/>
    <w:rsid w:val="001C3247"/>
    <w:rsid w:val="001C473B"/>
    <w:rsid w:val="001D0C17"/>
    <w:rsid w:val="001D17FA"/>
    <w:rsid w:val="001D2EFD"/>
    <w:rsid w:val="001D42D8"/>
    <w:rsid w:val="001D5427"/>
    <w:rsid w:val="001D6E2E"/>
    <w:rsid w:val="001F1478"/>
    <w:rsid w:val="001F7DF4"/>
    <w:rsid w:val="002022F6"/>
    <w:rsid w:val="00205056"/>
    <w:rsid w:val="00206295"/>
    <w:rsid w:val="002064CF"/>
    <w:rsid w:val="0020668F"/>
    <w:rsid w:val="00214E5C"/>
    <w:rsid w:val="00216ED6"/>
    <w:rsid w:val="00216F05"/>
    <w:rsid w:val="002174A5"/>
    <w:rsid w:val="00217D47"/>
    <w:rsid w:val="00222A02"/>
    <w:rsid w:val="002248CD"/>
    <w:rsid w:val="002266D2"/>
    <w:rsid w:val="0023333D"/>
    <w:rsid w:val="002346CF"/>
    <w:rsid w:val="00235B3C"/>
    <w:rsid w:val="00236725"/>
    <w:rsid w:val="0024000C"/>
    <w:rsid w:val="002417E0"/>
    <w:rsid w:val="002502EC"/>
    <w:rsid w:val="00252033"/>
    <w:rsid w:val="00252C97"/>
    <w:rsid w:val="002535DD"/>
    <w:rsid w:val="0025392D"/>
    <w:rsid w:val="002621F5"/>
    <w:rsid w:val="00263092"/>
    <w:rsid w:val="00266BD4"/>
    <w:rsid w:val="002671EE"/>
    <w:rsid w:val="00267ED6"/>
    <w:rsid w:val="0027520A"/>
    <w:rsid w:val="00276ABB"/>
    <w:rsid w:val="00277829"/>
    <w:rsid w:val="00280C76"/>
    <w:rsid w:val="00285476"/>
    <w:rsid w:val="00285AAC"/>
    <w:rsid w:val="002865B4"/>
    <w:rsid w:val="00286FDA"/>
    <w:rsid w:val="00292F2E"/>
    <w:rsid w:val="00293E3E"/>
    <w:rsid w:val="00293F61"/>
    <w:rsid w:val="002963A9"/>
    <w:rsid w:val="00296CA8"/>
    <w:rsid w:val="002971D9"/>
    <w:rsid w:val="002972AF"/>
    <w:rsid w:val="00297343"/>
    <w:rsid w:val="00297ACB"/>
    <w:rsid w:val="002A27DE"/>
    <w:rsid w:val="002A48C2"/>
    <w:rsid w:val="002B2D04"/>
    <w:rsid w:val="002B40FB"/>
    <w:rsid w:val="002B6192"/>
    <w:rsid w:val="002B7143"/>
    <w:rsid w:val="002B720D"/>
    <w:rsid w:val="002C06C2"/>
    <w:rsid w:val="002C1265"/>
    <w:rsid w:val="002C15D1"/>
    <w:rsid w:val="002C19F1"/>
    <w:rsid w:val="002C40BE"/>
    <w:rsid w:val="002C4848"/>
    <w:rsid w:val="002D0D5E"/>
    <w:rsid w:val="002D2C12"/>
    <w:rsid w:val="002D3E7D"/>
    <w:rsid w:val="002D3FAE"/>
    <w:rsid w:val="002D5CA6"/>
    <w:rsid w:val="002E0F33"/>
    <w:rsid w:val="002E6BC6"/>
    <w:rsid w:val="002E74FC"/>
    <w:rsid w:val="002F01A9"/>
    <w:rsid w:val="002F0874"/>
    <w:rsid w:val="002F4136"/>
    <w:rsid w:val="002F4B6C"/>
    <w:rsid w:val="002F4F16"/>
    <w:rsid w:val="002F7D3B"/>
    <w:rsid w:val="002F7FE7"/>
    <w:rsid w:val="0030087C"/>
    <w:rsid w:val="003033F4"/>
    <w:rsid w:val="00313315"/>
    <w:rsid w:val="003135BE"/>
    <w:rsid w:val="00313F8B"/>
    <w:rsid w:val="00314AFE"/>
    <w:rsid w:val="003152BE"/>
    <w:rsid w:val="00316328"/>
    <w:rsid w:val="003203FE"/>
    <w:rsid w:val="00320484"/>
    <w:rsid w:val="00320CE6"/>
    <w:rsid w:val="0032118D"/>
    <w:rsid w:val="00321312"/>
    <w:rsid w:val="00322B45"/>
    <w:rsid w:val="00323A5B"/>
    <w:rsid w:val="00324350"/>
    <w:rsid w:val="003256E4"/>
    <w:rsid w:val="0033050B"/>
    <w:rsid w:val="003314EF"/>
    <w:rsid w:val="00336DE4"/>
    <w:rsid w:val="00340D76"/>
    <w:rsid w:val="0034154A"/>
    <w:rsid w:val="003416AD"/>
    <w:rsid w:val="003425D7"/>
    <w:rsid w:val="00343A9D"/>
    <w:rsid w:val="00350AC3"/>
    <w:rsid w:val="00355D3E"/>
    <w:rsid w:val="0035700F"/>
    <w:rsid w:val="003578A3"/>
    <w:rsid w:val="003641AB"/>
    <w:rsid w:val="00364952"/>
    <w:rsid w:val="0036525E"/>
    <w:rsid w:val="00366915"/>
    <w:rsid w:val="00367B12"/>
    <w:rsid w:val="00367FA3"/>
    <w:rsid w:val="00371F0E"/>
    <w:rsid w:val="003720D1"/>
    <w:rsid w:val="003748C0"/>
    <w:rsid w:val="003752DE"/>
    <w:rsid w:val="003770F1"/>
    <w:rsid w:val="00380AFE"/>
    <w:rsid w:val="003824FE"/>
    <w:rsid w:val="00385496"/>
    <w:rsid w:val="00394645"/>
    <w:rsid w:val="003949C7"/>
    <w:rsid w:val="00394F53"/>
    <w:rsid w:val="0039617D"/>
    <w:rsid w:val="0039630E"/>
    <w:rsid w:val="00397CE1"/>
    <w:rsid w:val="003A04F3"/>
    <w:rsid w:val="003A0F6C"/>
    <w:rsid w:val="003A1302"/>
    <w:rsid w:val="003A2E19"/>
    <w:rsid w:val="003A5836"/>
    <w:rsid w:val="003A6A81"/>
    <w:rsid w:val="003B11A6"/>
    <w:rsid w:val="003B6D1E"/>
    <w:rsid w:val="003C11C8"/>
    <w:rsid w:val="003C1E07"/>
    <w:rsid w:val="003C4122"/>
    <w:rsid w:val="003D0357"/>
    <w:rsid w:val="003D0F01"/>
    <w:rsid w:val="003D16B5"/>
    <w:rsid w:val="003D28DB"/>
    <w:rsid w:val="003D35F1"/>
    <w:rsid w:val="003D614B"/>
    <w:rsid w:val="003D709F"/>
    <w:rsid w:val="003D766C"/>
    <w:rsid w:val="003E0B81"/>
    <w:rsid w:val="003E1457"/>
    <w:rsid w:val="003E3792"/>
    <w:rsid w:val="003E4464"/>
    <w:rsid w:val="003E4FEF"/>
    <w:rsid w:val="003E58C4"/>
    <w:rsid w:val="003E64FD"/>
    <w:rsid w:val="003E6C52"/>
    <w:rsid w:val="003F3137"/>
    <w:rsid w:val="003F3D87"/>
    <w:rsid w:val="003F471E"/>
    <w:rsid w:val="003F591B"/>
    <w:rsid w:val="003F78F4"/>
    <w:rsid w:val="00400715"/>
    <w:rsid w:val="00402840"/>
    <w:rsid w:val="00405735"/>
    <w:rsid w:val="00406D27"/>
    <w:rsid w:val="00411D24"/>
    <w:rsid w:val="0041377E"/>
    <w:rsid w:val="00420710"/>
    <w:rsid w:val="004212C8"/>
    <w:rsid w:val="00422597"/>
    <w:rsid w:val="004249FE"/>
    <w:rsid w:val="00424E9E"/>
    <w:rsid w:val="00425B94"/>
    <w:rsid w:val="00427C60"/>
    <w:rsid w:val="00431966"/>
    <w:rsid w:val="0043499D"/>
    <w:rsid w:val="00437A61"/>
    <w:rsid w:val="00440889"/>
    <w:rsid w:val="00443201"/>
    <w:rsid w:val="004453FD"/>
    <w:rsid w:val="004468C2"/>
    <w:rsid w:val="0045066D"/>
    <w:rsid w:val="004520ED"/>
    <w:rsid w:val="00455687"/>
    <w:rsid w:val="004575E0"/>
    <w:rsid w:val="004618A4"/>
    <w:rsid w:val="00464ADF"/>
    <w:rsid w:val="004654C5"/>
    <w:rsid w:val="0046585D"/>
    <w:rsid w:val="00465B76"/>
    <w:rsid w:val="00471C9E"/>
    <w:rsid w:val="0048455E"/>
    <w:rsid w:val="00486632"/>
    <w:rsid w:val="00490AD9"/>
    <w:rsid w:val="00491428"/>
    <w:rsid w:val="00492F78"/>
    <w:rsid w:val="004951F7"/>
    <w:rsid w:val="0049571D"/>
    <w:rsid w:val="00495FBE"/>
    <w:rsid w:val="004A31FB"/>
    <w:rsid w:val="004A3458"/>
    <w:rsid w:val="004A3CA4"/>
    <w:rsid w:val="004A4B3C"/>
    <w:rsid w:val="004B2A21"/>
    <w:rsid w:val="004B3D63"/>
    <w:rsid w:val="004B4148"/>
    <w:rsid w:val="004B520D"/>
    <w:rsid w:val="004B5866"/>
    <w:rsid w:val="004B795D"/>
    <w:rsid w:val="004B7F9A"/>
    <w:rsid w:val="004C0538"/>
    <w:rsid w:val="004C2042"/>
    <w:rsid w:val="004C292B"/>
    <w:rsid w:val="004C2D33"/>
    <w:rsid w:val="004C685B"/>
    <w:rsid w:val="004D0B15"/>
    <w:rsid w:val="004D108B"/>
    <w:rsid w:val="004D2F02"/>
    <w:rsid w:val="004D32AE"/>
    <w:rsid w:val="004D38D4"/>
    <w:rsid w:val="004D4656"/>
    <w:rsid w:val="004E0104"/>
    <w:rsid w:val="004E46D4"/>
    <w:rsid w:val="004E5E21"/>
    <w:rsid w:val="004F00B5"/>
    <w:rsid w:val="004F0488"/>
    <w:rsid w:val="00503064"/>
    <w:rsid w:val="00504366"/>
    <w:rsid w:val="00504DFE"/>
    <w:rsid w:val="00505489"/>
    <w:rsid w:val="00505FC2"/>
    <w:rsid w:val="00506CFE"/>
    <w:rsid w:val="00506E18"/>
    <w:rsid w:val="00512598"/>
    <w:rsid w:val="00513D97"/>
    <w:rsid w:val="005159F1"/>
    <w:rsid w:val="00517936"/>
    <w:rsid w:val="00530D47"/>
    <w:rsid w:val="00530F04"/>
    <w:rsid w:val="00532C61"/>
    <w:rsid w:val="005332D8"/>
    <w:rsid w:val="00546BBF"/>
    <w:rsid w:val="0055173E"/>
    <w:rsid w:val="00555811"/>
    <w:rsid w:val="00555888"/>
    <w:rsid w:val="005560EB"/>
    <w:rsid w:val="00556D2F"/>
    <w:rsid w:val="00561FD2"/>
    <w:rsid w:val="00562FA2"/>
    <w:rsid w:val="00563135"/>
    <w:rsid w:val="00563C46"/>
    <w:rsid w:val="00567F4B"/>
    <w:rsid w:val="00572EE8"/>
    <w:rsid w:val="0057586D"/>
    <w:rsid w:val="00575BCD"/>
    <w:rsid w:val="005776EC"/>
    <w:rsid w:val="00584C1E"/>
    <w:rsid w:val="00584FB1"/>
    <w:rsid w:val="00593B3C"/>
    <w:rsid w:val="00594067"/>
    <w:rsid w:val="00596CA3"/>
    <w:rsid w:val="0059759F"/>
    <w:rsid w:val="005A4086"/>
    <w:rsid w:val="005A7EA8"/>
    <w:rsid w:val="005B3871"/>
    <w:rsid w:val="005B3A4C"/>
    <w:rsid w:val="005B54B7"/>
    <w:rsid w:val="005B580B"/>
    <w:rsid w:val="005B7369"/>
    <w:rsid w:val="005B7C03"/>
    <w:rsid w:val="005C042C"/>
    <w:rsid w:val="005C6428"/>
    <w:rsid w:val="005D09D3"/>
    <w:rsid w:val="005D1520"/>
    <w:rsid w:val="005D2FA2"/>
    <w:rsid w:val="005D5660"/>
    <w:rsid w:val="005D6234"/>
    <w:rsid w:val="005D76A6"/>
    <w:rsid w:val="005E3477"/>
    <w:rsid w:val="005E6B63"/>
    <w:rsid w:val="005F4108"/>
    <w:rsid w:val="005F50F5"/>
    <w:rsid w:val="00600025"/>
    <w:rsid w:val="00601B18"/>
    <w:rsid w:val="006049C0"/>
    <w:rsid w:val="006054B3"/>
    <w:rsid w:val="006104B4"/>
    <w:rsid w:val="00610766"/>
    <w:rsid w:val="00610D40"/>
    <w:rsid w:val="00612A17"/>
    <w:rsid w:val="00613056"/>
    <w:rsid w:val="00614B8B"/>
    <w:rsid w:val="00616948"/>
    <w:rsid w:val="006207BE"/>
    <w:rsid w:val="00622DF9"/>
    <w:rsid w:val="00625815"/>
    <w:rsid w:val="00633114"/>
    <w:rsid w:val="00633573"/>
    <w:rsid w:val="006336F4"/>
    <w:rsid w:val="006344EB"/>
    <w:rsid w:val="006362C8"/>
    <w:rsid w:val="006423C3"/>
    <w:rsid w:val="0064349C"/>
    <w:rsid w:val="00644808"/>
    <w:rsid w:val="00650176"/>
    <w:rsid w:val="006505B4"/>
    <w:rsid w:val="0065096C"/>
    <w:rsid w:val="006540C2"/>
    <w:rsid w:val="006554AB"/>
    <w:rsid w:val="006602EC"/>
    <w:rsid w:val="00664FA3"/>
    <w:rsid w:val="006659B1"/>
    <w:rsid w:val="00666CC9"/>
    <w:rsid w:val="00667427"/>
    <w:rsid w:val="006700D3"/>
    <w:rsid w:val="0067036A"/>
    <w:rsid w:val="006727C3"/>
    <w:rsid w:val="006800CC"/>
    <w:rsid w:val="00682EAB"/>
    <w:rsid w:val="006837A2"/>
    <w:rsid w:val="00684195"/>
    <w:rsid w:val="0068477B"/>
    <w:rsid w:val="00686FF6"/>
    <w:rsid w:val="006900FD"/>
    <w:rsid w:val="006916C4"/>
    <w:rsid w:val="00692638"/>
    <w:rsid w:val="00694744"/>
    <w:rsid w:val="006956A9"/>
    <w:rsid w:val="00696B01"/>
    <w:rsid w:val="006A1553"/>
    <w:rsid w:val="006A26B8"/>
    <w:rsid w:val="006A30EC"/>
    <w:rsid w:val="006A6ADC"/>
    <w:rsid w:val="006A74C9"/>
    <w:rsid w:val="006A772E"/>
    <w:rsid w:val="006A793A"/>
    <w:rsid w:val="006B120D"/>
    <w:rsid w:val="006C14CD"/>
    <w:rsid w:val="006C1D74"/>
    <w:rsid w:val="006C69EB"/>
    <w:rsid w:val="006D0EF5"/>
    <w:rsid w:val="006D369D"/>
    <w:rsid w:val="006D3C07"/>
    <w:rsid w:val="006D5AA8"/>
    <w:rsid w:val="006D76D8"/>
    <w:rsid w:val="006E049E"/>
    <w:rsid w:val="006E34AD"/>
    <w:rsid w:val="006E4B6B"/>
    <w:rsid w:val="006E67FB"/>
    <w:rsid w:val="006F43DE"/>
    <w:rsid w:val="006F598D"/>
    <w:rsid w:val="006F606C"/>
    <w:rsid w:val="00700B27"/>
    <w:rsid w:val="00702088"/>
    <w:rsid w:val="00705722"/>
    <w:rsid w:val="00706CEC"/>
    <w:rsid w:val="0070744C"/>
    <w:rsid w:val="007171E4"/>
    <w:rsid w:val="00724559"/>
    <w:rsid w:val="00725A83"/>
    <w:rsid w:val="00727839"/>
    <w:rsid w:val="00731209"/>
    <w:rsid w:val="00731A57"/>
    <w:rsid w:val="007321B7"/>
    <w:rsid w:val="00732687"/>
    <w:rsid w:val="00734517"/>
    <w:rsid w:val="00740A7D"/>
    <w:rsid w:val="00741C9F"/>
    <w:rsid w:val="00744367"/>
    <w:rsid w:val="00750BE2"/>
    <w:rsid w:val="007605CE"/>
    <w:rsid w:val="00761645"/>
    <w:rsid w:val="0076411A"/>
    <w:rsid w:val="0076461E"/>
    <w:rsid w:val="00767D9A"/>
    <w:rsid w:val="007711AE"/>
    <w:rsid w:val="00772E44"/>
    <w:rsid w:val="007748A5"/>
    <w:rsid w:val="0077493C"/>
    <w:rsid w:val="00776E63"/>
    <w:rsid w:val="00777240"/>
    <w:rsid w:val="007803FC"/>
    <w:rsid w:val="00782FAB"/>
    <w:rsid w:val="00783237"/>
    <w:rsid w:val="007835F8"/>
    <w:rsid w:val="0078688A"/>
    <w:rsid w:val="00791457"/>
    <w:rsid w:val="0079360F"/>
    <w:rsid w:val="00794E00"/>
    <w:rsid w:val="00794EC3"/>
    <w:rsid w:val="007A538B"/>
    <w:rsid w:val="007A6680"/>
    <w:rsid w:val="007B3A24"/>
    <w:rsid w:val="007B3F64"/>
    <w:rsid w:val="007C4775"/>
    <w:rsid w:val="007C5AA3"/>
    <w:rsid w:val="007C625B"/>
    <w:rsid w:val="007C6A65"/>
    <w:rsid w:val="007D0FBB"/>
    <w:rsid w:val="007D30AA"/>
    <w:rsid w:val="007D33B8"/>
    <w:rsid w:val="007D5114"/>
    <w:rsid w:val="007D7EDC"/>
    <w:rsid w:val="007E396C"/>
    <w:rsid w:val="007F2E40"/>
    <w:rsid w:val="007F3ED4"/>
    <w:rsid w:val="007F53D3"/>
    <w:rsid w:val="00803E7A"/>
    <w:rsid w:val="00811DCA"/>
    <w:rsid w:val="00811E4C"/>
    <w:rsid w:val="008120F4"/>
    <w:rsid w:val="00812F3A"/>
    <w:rsid w:val="0081481B"/>
    <w:rsid w:val="0081533E"/>
    <w:rsid w:val="00816886"/>
    <w:rsid w:val="0082071C"/>
    <w:rsid w:val="00822254"/>
    <w:rsid w:val="008229B0"/>
    <w:rsid w:val="0082450F"/>
    <w:rsid w:val="00831732"/>
    <w:rsid w:val="00831914"/>
    <w:rsid w:val="00837384"/>
    <w:rsid w:val="00840A44"/>
    <w:rsid w:val="00841642"/>
    <w:rsid w:val="00842E1F"/>
    <w:rsid w:val="00843605"/>
    <w:rsid w:val="00843BD4"/>
    <w:rsid w:val="00846D08"/>
    <w:rsid w:val="008554D0"/>
    <w:rsid w:val="008640B0"/>
    <w:rsid w:val="008648E7"/>
    <w:rsid w:val="00874BD4"/>
    <w:rsid w:val="008751AC"/>
    <w:rsid w:val="0087725F"/>
    <w:rsid w:val="00877400"/>
    <w:rsid w:val="00880BF5"/>
    <w:rsid w:val="00881130"/>
    <w:rsid w:val="00887108"/>
    <w:rsid w:val="008927A5"/>
    <w:rsid w:val="00892E67"/>
    <w:rsid w:val="00895E72"/>
    <w:rsid w:val="00896D54"/>
    <w:rsid w:val="008A11EE"/>
    <w:rsid w:val="008A1CBD"/>
    <w:rsid w:val="008A3A61"/>
    <w:rsid w:val="008A4FA5"/>
    <w:rsid w:val="008B38C5"/>
    <w:rsid w:val="008C1052"/>
    <w:rsid w:val="008C1B61"/>
    <w:rsid w:val="008C299A"/>
    <w:rsid w:val="008C5A81"/>
    <w:rsid w:val="008D1FD1"/>
    <w:rsid w:val="008D2E12"/>
    <w:rsid w:val="008D42E1"/>
    <w:rsid w:val="008D6A02"/>
    <w:rsid w:val="008D7A6C"/>
    <w:rsid w:val="008E12DA"/>
    <w:rsid w:val="008E2136"/>
    <w:rsid w:val="008E2E78"/>
    <w:rsid w:val="008E3910"/>
    <w:rsid w:val="008E68C2"/>
    <w:rsid w:val="008F00BE"/>
    <w:rsid w:val="008F135A"/>
    <w:rsid w:val="008F6149"/>
    <w:rsid w:val="008F7261"/>
    <w:rsid w:val="0090411E"/>
    <w:rsid w:val="009041A8"/>
    <w:rsid w:val="00905455"/>
    <w:rsid w:val="00906A8F"/>
    <w:rsid w:val="00912C4D"/>
    <w:rsid w:val="00916EF8"/>
    <w:rsid w:val="00920044"/>
    <w:rsid w:val="00920CF3"/>
    <w:rsid w:val="0092580B"/>
    <w:rsid w:val="0092597C"/>
    <w:rsid w:val="00925DC5"/>
    <w:rsid w:val="009276A6"/>
    <w:rsid w:val="00932FCA"/>
    <w:rsid w:val="00942B51"/>
    <w:rsid w:val="009435CD"/>
    <w:rsid w:val="00944CC1"/>
    <w:rsid w:val="00946043"/>
    <w:rsid w:val="00946CF4"/>
    <w:rsid w:val="00950C8B"/>
    <w:rsid w:val="0095167B"/>
    <w:rsid w:val="0095202E"/>
    <w:rsid w:val="00956F36"/>
    <w:rsid w:val="00960E07"/>
    <w:rsid w:val="009617D9"/>
    <w:rsid w:val="00962E70"/>
    <w:rsid w:val="009665BB"/>
    <w:rsid w:val="009714E2"/>
    <w:rsid w:val="00972979"/>
    <w:rsid w:val="00973DBD"/>
    <w:rsid w:val="009757FA"/>
    <w:rsid w:val="009811F0"/>
    <w:rsid w:val="009819D5"/>
    <w:rsid w:val="00986034"/>
    <w:rsid w:val="00991044"/>
    <w:rsid w:val="00991BF3"/>
    <w:rsid w:val="00992F2E"/>
    <w:rsid w:val="00994274"/>
    <w:rsid w:val="0099711F"/>
    <w:rsid w:val="009A1C38"/>
    <w:rsid w:val="009A1F47"/>
    <w:rsid w:val="009A31A0"/>
    <w:rsid w:val="009A49B3"/>
    <w:rsid w:val="009A79E9"/>
    <w:rsid w:val="009B0485"/>
    <w:rsid w:val="009B051D"/>
    <w:rsid w:val="009B19C6"/>
    <w:rsid w:val="009B1EE9"/>
    <w:rsid w:val="009B3573"/>
    <w:rsid w:val="009B4190"/>
    <w:rsid w:val="009B6A9D"/>
    <w:rsid w:val="009B6B85"/>
    <w:rsid w:val="009B7C40"/>
    <w:rsid w:val="009C4859"/>
    <w:rsid w:val="009D65C5"/>
    <w:rsid w:val="009D7825"/>
    <w:rsid w:val="009E70BD"/>
    <w:rsid w:val="009E76B8"/>
    <w:rsid w:val="009F195B"/>
    <w:rsid w:val="009F1A2C"/>
    <w:rsid w:val="009F2C9D"/>
    <w:rsid w:val="009F47CD"/>
    <w:rsid w:val="009F4AC4"/>
    <w:rsid w:val="009F59A9"/>
    <w:rsid w:val="009F6D57"/>
    <w:rsid w:val="009F70E9"/>
    <w:rsid w:val="00A10762"/>
    <w:rsid w:val="00A10AC2"/>
    <w:rsid w:val="00A13600"/>
    <w:rsid w:val="00A165E2"/>
    <w:rsid w:val="00A20447"/>
    <w:rsid w:val="00A231CB"/>
    <w:rsid w:val="00A27D5E"/>
    <w:rsid w:val="00A33FF9"/>
    <w:rsid w:val="00A45318"/>
    <w:rsid w:val="00A4672D"/>
    <w:rsid w:val="00A478B7"/>
    <w:rsid w:val="00A50602"/>
    <w:rsid w:val="00A50CBF"/>
    <w:rsid w:val="00A51E3C"/>
    <w:rsid w:val="00A5282A"/>
    <w:rsid w:val="00A534FC"/>
    <w:rsid w:val="00A544EA"/>
    <w:rsid w:val="00A54F33"/>
    <w:rsid w:val="00A56C4C"/>
    <w:rsid w:val="00A6434C"/>
    <w:rsid w:val="00A65AA0"/>
    <w:rsid w:val="00A65ABE"/>
    <w:rsid w:val="00A7100D"/>
    <w:rsid w:val="00A713F1"/>
    <w:rsid w:val="00A723E8"/>
    <w:rsid w:val="00A72B70"/>
    <w:rsid w:val="00A73CEB"/>
    <w:rsid w:val="00A77BDD"/>
    <w:rsid w:val="00A803E9"/>
    <w:rsid w:val="00A8146C"/>
    <w:rsid w:val="00A8797B"/>
    <w:rsid w:val="00A87B38"/>
    <w:rsid w:val="00A930E2"/>
    <w:rsid w:val="00A94886"/>
    <w:rsid w:val="00A960D1"/>
    <w:rsid w:val="00A9633F"/>
    <w:rsid w:val="00A96801"/>
    <w:rsid w:val="00AA3A25"/>
    <w:rsid w:val="00AA5295"/>
    <w:rsid w:val="00AB2091"/>
    <w:rsid w:val="00AB4258"/>
    <w:rsid w:val="00AB5FB2"/>
    <w:rsid w:val="00AC39F8"/>
    <w:rsid w:val="00AC6962"/>
    <w:rsid w:val="00AD24DE"/>
    <w:rsid w:val="00AE08BB"/>
    <w:rsid w:val="00AE1498"/>
    <w:rsid w:val="00AE4A40"/>
    <w:rsid w:val="00AE569B"/>
    <w:rsid w:val="00AE5B6D"/>
    <w:rsid w:val="00AE7D6E"/>
    <w:rsid w:val="00AF527D"/>
    <w:rsid w:val="00AF7360"/>
    <w:rsid w:val="00AF7556"/>
    <w:rsid w:val="00B034CD"/>
    <w:rsid w:val="00B04728"/>
    <w:rsid w:val="00B0745D"/>
    <w:rsid w:val="00B1726D"/>
    <w:rsid w:val="00B23CE8"/>
    <w:rsid w:val="00B25EE7"/>
    <w:rsid w:val="00B27272"/>
    <w:rsid w:val="00B32623"/>
    <w:rsid w:val="00B329B0"/>
    <w:rsid w:val="00B36D48"/>
    <w:rsid w:val="00B41876"/>
    <w:rsid w:val="00B42364"/>
    <w:rsid w:val="00B42E34"/>
    <w:rsid w:val="00B44DA2"/>
    <w:rsid w:val="00B54449"/>
    <w:rsid w:val="00B56B07"/>
    <w:rsid w:val="00B64342"/>
    <w:rsid w:val="00B65DBE"/>
    <w:rsid w:val="00B70D33"/>
    <w:rsid w:val="00B71FFB"/>
    <w:rsid w:val="00B73153"/>
    <w:rsid w:val="00B74BDC"/>
    <w:rsid w:val="00B75C2D"/>
    <w:rsid w:val="00B76255"/>
    <w:rsid w:val="00B76C66"/>
    <w:rsid w:val="00B770F5"/>
    <w:rsid w:val="00B7797A"/>
    <w:rsid w:val="00B8377C"/>
    <w:rsid w:val="00B8487F"/>
    <w:rsid w:val="00B86371"/>
    <w:rsid w:val="00B94FC9"/>
    <w:rsid w:val="00B95724"/>
    <w:rsid w:val="00BA6699"/>
    <w:rsid w:val="00BB095F"/>
    <w:rsid w:val="00BB1A56"/>
    <w:rsid w:val="00BB2A8F"/>
    <w:rsid w:val="00BB7180"/>
    <w:rsid w:val="00BC79AF"/>
    <w:rsid w:val="00BD160A"/>
    <w:rsid w:val="00BD4272"/>
    <w:rsid w:val="00BD4602"/>
    <w:rsid w:val="00BE35AD"/>
    <w:rsid w:val="00BF020C"/>
    <w:rsid w:val="00BF1005"/>
    <w:rsid w:val="00C009C0"/>
    <w:rsid w:val="00C07EB3"/>
    <w:rsid w:val="00C14DDD"/>
    <w:rsid w:val="00C1682F"/>
    <w:rsid w:val="00C174FD"/>
    <w:rsid w:val="00C20EC1"/>
    <w:rsid w:val="00C2549A"/>
    <w:rsid w:val="00C26FCA"/>
    <w:rsid w:val="00C34ACE"/>
    <w:rsid w:val="00C35F84"/>
    <w:rsid w:val="00C36C72"/>
    <w:rsid w:val="00C37D87"/>
    <w:rsid w:val="00C427F5"/>
    <w:rsid w:val="00C44105"/>
    <w:rsid w:val="00C47FBF"/>
    <w:rsid w:val="00C53DEE"/>
    <w:rsid w:val="00C578D3"/>
    <w:rsid w:val="00C603E4"/>
    <w:rsid w:val="00C60403"/>
    <w:rsid w:val="00C62113"/>
    <w:rsid w:val="00C67027"/>
    <w:rsid w:val="00C740EE"/>
    <w:rsid w:val="00C74B3B"/>
    <w:rsid w:val="00C7635A"/>
    <w:rsid w:val="00C859A8"/>
    <w:rsid w:val="00C91010"/>
    <w:rsid w:val="00C93E3F"/>
    <w:rsid w:val="00C97AD3"/>
    <w:rsid w:val="00CA1A87"/>
    <w:rsid w:val="00CA357C"/>
    <w:rsid w:val="00CB0124"/>
    <w:rsid w:val="00CB148F"/>
    <w:rsid w:val="00CB5F9B"/>
    <w:rsid w:val="00CB6B2C"/>
    <w:rsid w:val="00CC0F17"/>
    <w:rsid w:val="00CC2397"/>
    <w:rsid w:val="00CC502F"/>
    <w:rsid w:val="00CC5DDA"/>
    <w:rsid w:val="00CD12AF"/>
    <w:rsid w:val="00CD1760"/>
    <w:rsid w:val="00CD1CA5"/>
    <w:rsid w:val="00CD3B6D"/>
    <w:rsid w:val="00CD5305"/>
    <w:rsid w:val="00CE2019"/>
    <w:rsid w:val="00CE52AD"/>
    <w:rsid w:val="00CE638A"/>
    <w:rsid w:val="00CE66C2"/>
    <w:rsid w:val="00CE71E8"/>
    <w:rsid w:val="00CF024A"/>
    <w:rsid w:val="00CF0598"/>
    <w:rsid w:val="00D007C2"/>
    <w:rsid w:val="00D03446"/>
    <w:rsid w:val="00D03494"/>
    <w:rsid w:val="00D04A8E"/>
    <w:rsid w:val="00D061FE"/>
    <w:rsid w:val="00D116F0"/>
    <w:rsid w:val="00D11960"/>
    <w:rsid w:val="00D15309"/>
    <w:rsid w:val="00D161A0"/>
    <w:rsid w:val="00D17C8C"/>
    <w:rsid w:val="00D2581A"/>
    <w:rsid w:val="00D3593D"/>
    <w:rsid w:val="00D4100A"/>
    <w:rsid w:val="00D43766"/>
    <w:rsid w:val="00D45F30"/>
    <w:rsid w:val="00D46187"/>
    <w:rsid w:val="00D5484D"/>
    <w:rsid w:val="00D64279"/>
    <w:rsid w:val="00D64708"/>
    <w:rsid w:val="00D64CB2"/>
    <w:rsid w:val="00D66AB3"/>
    <w:rsid w:val="00D6777C"/>
    <w:rsid w:val="00D70992"/>
    <w:rsid w:val="00D75557"/>
    <w:rsid w:val="00D802B0"/>
    <w:rsid w:val="00D84ADB"/>
    <w:rsid w:val="00D865B3"/>
    <w:rsid w:val="00D86C3D"/>
    <w:rsid w:val="00D87175"/>
    <w:rsid w:val="00D871A2"/>
    <w:rsid w:val="00D87882"/>
    <w:rsid w:val="00D87DB3"/>
    <w:rsid w:val="00D92C40"/>
    <w:rsid w:val="00D93D87"/>
    <w:rsid w:val="00D97432"/>
    <w:rsid w:val="00DA0F48"/>
    <w:rsid w:val="00DA120D"/>
    <w:rsid w:val="00DA1F55"/>
    <w:rsid w:val="00DA2224"/>
    <w:rsid w:val="00DA45C1"/>
    <w:rsid w:val="00DB01F4"/>
    <w:rsid w:val="00DB2F79"/>
    <w:rsid w:val="00DB4CAB"/>
    <w:rsid w:val="00DB7D33"/>
    <w:rsid w:val="00DC7424"/>
    <w:rsid w:val="00DC757C"/>
    <w:rsid w:val="00DC7F32"/>
    <w:rsid w:val="00DD243E"/>
    <w:rsid w:val="00DD69E8"/>
    <w:rsid w:val="00DE1193"/>
    <w:rsid w:val="00DE182F"/>
    <w:rsid w:val="00DE23A1"/>
    <w:rsid w:val="00DE3C03"/>
    <w:rsid w:val="00DE4F42"/>
    <w:rsid w:val="00DE5925"/>
    <w:rsid w:val="00DE7358"/>
    <w:rsid w:val="00DF0421"/>
    <w:rsid w:val="00DF54DB"/>
    <w:rsid w:val="00DF5F65"/>
    <w:rsid w:val="00DF6120"/>
    <w:rsid w:val="00E000D2"/>
    <w:rsid w:val="00E00826"/>
    <w:rsid w:val="00E030D5"/>
    <w:rsid w:val="00E050B2"/>
    <w:rsid w:val="00E0646C"/>
    <w:rsid w:val="00E13038"/>
    <w:rsid w:val="00E132C1"/>
    <w:rsid w:val="00E134C4"/>
    <w:rsid w:val="00E14288"/>
    <w:rsid w:val="00E146A0"/>
    <w:rsid w:val="00E1557B"/>
    <w:rsid w:val="00E174F0"/>
    <w:rsid w:val="00E20DCE"/>
    <w:rsid w:val="00E24532"/>
    <w:rsid w:val="00E25E05"/>
    <w:rsid w:val="00E26DA7"/>
    <w:rsid w:val="00E27A80"/>
    <w:rsid w:val="00E34D59"/>
    <w:rsid w:val="00E36C83"/>
    <w:rsid w:val="00E40DE5"/>
    <w:rsid w:val="00E43081"/>
    <w:rsid w:val="00E4351D"/>
    <w:rsid w:val="00E44FBE"/>
    <w:rsid w:val="00E47216"/>
    <w:rsid w:val="00E50A3E"/>
    <w:rsid w:val="00E518A8"/>
    <w:rsid w:val="00E55F6A"/>
    <w:rsid w:val="00E560FA"/>
    <w:rsid w:val="00E56F86"/>
    <w:rsid w:val="00E609BF"/>
    <w:rsid w:val="00E60DA7"/>
    <w:rsid w:val="00E6107B"/>
    <w:rsid w:val="00E6247F"/>
    <w:rsid w:val="00E62713"/>
    <w:rsid w:val="00E6490A"/>
    <w:rsid w:val="00E64BEB"/>
    <w:rsid w:val="00E65229"/>
    <w:rsid w:val="00E66151"/>
    <w:rsid w:val="00E710D5"/>
    <w:rsid w:val="00E725F3"/>
    <w:rsid w:val="00E7294E"/>
    <w:rsid w:val="00E80409"/>
    <w:rsid w:val="00E8417E"/>
    <w:rsid w:val="00E862E5"/>
    <w:rsid w:val="00E90FC2"/>
    <w:rsid w:val="00E91F93"/>
    <w:rsid w:val="00E97202"/>
    <w:rsid w:val="00E9760E"/>
    <w:rsid w:val="00EA054E"/>
    <w:rsid w:val="00EA0655"/>
    <w:rsid w:val="00EA299D"/>
    <w:rsid w:val="00EA2FFB"/>
    <w:rsid w:val="00EA6B48"/>
    <w:rsid w:val="00EA72C2"/>
    <w:rsid w:val="00EA77EC"/>
    <w:rsid w:val="00EB43D3"/>
    <w:rsid w:val="00EB57AB"/>
    <w:rsid w:val="00EB6165"/>
    <w:rsid w:val="00EC0920"/>
    <w:rsid w:val="00EC0D31"/>
    <w:rsid w:val="00EC304D"/>
    <w:rsid w:val="00EC4AE7"/>
    <w:rsid w:val="00EC6D38"/>
    <w:rsid w:val="00ED09BA"/>
    <w:rsid w:val="00ED4AC3"/>
    <w:rsid w:val="00ED6181"/>
    <w:rsid w:val="00ED725F"/>
    <w:rsid w:val="00EE1907"/>
    <w:rsid w:val="00EE2ACE"/>
    <w:rsid w:val="00EE3CF3"/>
    <w:rsid w:val="00EF0C5B"/>
    <w:rsid w:val="00EF49E7"/>
    <w:rsid w:val="00EF5947"/>
    <w:rsid w:val="00EF5F09"/>
    <w:rsid w:val="00EF60FA"/>
    <w:rsid w:val="00EF69A7"/>
    <w:rsid w:val="00EF7696"/>
    <w:rsid w:val="00F00360"/>
    <w:rsid w:val="00F018C5"/>
    <w:rsid w:val="00F029FC"/>
    <w:rsid w:val="00F02A09"/>
    <w:rsid w:val="00F04099"/>
    <w:rsid w:val="00F06A4D"/>
    <w:rsid w:val="00F07DAE"/>
    <w:rsid w:val="00F127F8"/>
    <w:rsid w:val="00F13513"/>
    <w:rsid w:val="00F13C3C"/>
    <w:rsid w:val="00F140ED"/>
    <w:rsid w:val="00F17926"/>
    <w:rsid w:val="00F179BD"/>
    <w:rsid w:val="00F17F7F"/>
    <w:rsid w:val="00F200F6"/>
    <w:rsid w:val="00F20A50"/>
    <w:rsid w:val="00F20DD7"/>
    <w:rsid w:val="00F21B89"/>
    <w:rsid w:val="00F2380C"/>
    <w:rsid w:val="00F24A62"/>
    <w:rsid w:val="00F31D40"/>
    <w:rsid w:val="00F3275C"/>
    <w:rsid w:val="00F3412E"/>
    <w:rsid w:val="00F34558"/>
    <w:rsid w:val="00F349A1"/>
    <w:rsid w:val="00F353F0"/>
    <w:rsid w:val="00F3570D"/>
    <w:rsid w:val="00F3627A"/>
    <w:rsid w:val="00F36C5C"/>
    <w:rsid w:val="00F375EF"/>
    <w:rsid w:val="00F422AA"/>
    <w:rsid w:val="00F44E8E"/>
    <w:rsid w:val="00F4520A"/>
    <w:rsid w:val="00F45F31"/>
    <w:rsid w:val="00F47108"/>
    <w:rsid w:val="00F54969"/>
    <w:rsid w:val="00F557BB"/>
    <w:rsid w:val="00F5626F"/>
    <w:rsid w:val="00F569E2"/>
    <w:rsid w:val="00F64FA0"/>
    <w:rsid w:val="00F67BF9"/>
    <w:rsid w:val="00F67F42"/>
    <w:rsid w:val="00F74EE2"/>
    <w:rsid w:val="00F75880"/>
    <w:rsid w:val="00F767BA"/>
    <w:rsid w:val="00F77C1B"/>
    <w:rsid w:val="00F77F55"/>
    <w:rsid w:val="00F80F9D"/>
    <w:rsid w:val="00F82401"/>
    <w:rsid w:val="00F83870"/>
    <w:rsid w:val="00F8389B"/>
    <w:rsid w:val="00F83BD8"/>
    <w:rsid w:val="00F85C57"/>
    <w:rsid w:val="00F85F31"/>
    <w:rsid w:val="00F87753"/>
    <w:rsid w:val="00F90101"/>
    <w:rsid w:val="00F91A17"/>
    <w:rsid w:val="00F92AB3"/>
    <w:rsid w:val="00F947AB"/>
    <w:rsid w:val="00F95A2C"/>
    <w:rsid w:val="00F97BCB"/>
    <w:rsid w:val="00FA0087"/>
    <w:rsid w:val="00FA1169"/>
    <w:rsid w:val="00FA1371"/>
    <w:rsid w:val="00FA1DA7"/>
    <w:rsid w:val="00FA2139"/>
    <w:rsid w:val="00FA675F"/>
    <w:rsid w:val="00FA6A9F"/>
    <w:rsid w:val="00FB1F00"/>
    <w:rsid w:val="00FB2578"/>
    <w:rsid w:val="00FB3341"/>
    <w:rsid w:val="00FB64D0"/>
    <w:rsid w:val="00FB7865"/>
    <w:rsid w:val="00FC0600"/>
    <w:rsid w:val="00FC1F33"/>
    <w:rsid w:val="00FC2082"/>
    <w:rsid w:val="00FC3ED7"/>
    <w:rsid w:val="00FC3F2D"/>
    <w:rsid w:val="00FC4E34"/>
    <w:rsid w:val="00FC6EFC"/>
    <w:rsid w:val="00FD24B3"/>
    <w:rsid w:val="00FE0A68"/>
    <w:rsid w:val="00FE17F8"/>
    <w:rsid w:val="00FE2558"/>
    <w:rsid w:val="00FE2DB9"/>
    <w:rsid w:val="00FE4A71"/>
    <w:rsid w:val="00FE6BEB"/>
    <w:rsid w:val="00FF0461"/>
    <w:rsid w:val="00FF13F3"/>
    <w:rsid w:val="00FF14BD"/>
    <w:rsid w:val="00FF1705"/>
    <w:rsid w:val="00FF25D8"/>
    <w:rsid w:val="00FF4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caption" w:semiHidden="1" w:unhideWhenUsed="1"/>
    <w:lsdException w:name="footnote reference" w:uiPriority="34"/>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41377E"/>
    <w:pPr>
      <w:numPr>
        <w:numId w:val="1"/>
      </w:numPr>
      <w:tabs>
        <w:tab w:val="clear" w:pos="360"/>
        <w:tab w:val="left" w:pos="720"/>
      </w:tabs>
      <w:ind w:left="720"/>
      <w:jc w:val="both"/>
    </w:pPr>
  </w:style>
  <w:style w:type="character" w:customStyle="1" w:styleId="ListBulletChar">
    <w:name w:val="List Bullet Char"/>
    <w:basedOn w:val="DefaultParagraphFont"/>
    <w:link w:val="ListBullet"/>
    <w:rsid w:val="0041377E"/>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jc w:val="left"/>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jc w:val="left"/>
    </w:pPr>
    <w:rPr>
      <w:color w:val="000000"/>
      <w:szCs w:val="20"/>
    </w:rPr>
  </w:style>
  <w:style w:type="paragraph" w:customStyle="1" w:styleId="StyleListBulletAfter855ptChar">
    <w:name w:val="Style List Bullet + After:  8.55 pt Char"/>
    <w:basedOn w:val="ListBullet"/>
    <w:rsid w:val="0041377E"/>
    <w:pPr>
      <w:numPr>
        <w:numId w:val="0"/>
      </w:numPr>
      <w:tabs>
        <w:tab w:val="clear" w:pos="720"/>
        <w:tab w:val="num" w:pos="1110"/>
      </w:tabs>
      <w:spacing w:after="240"/>
      <w:ind w:left="1110" w:hanging="1110"/>
      <w:jc w:val="left"/>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Ind w:w="0" w:type="dxa"/>
      <w:tblBorders>
        <w:top w:val="single" w:sz="8" w:space="0" w:color="808080"/>
        <w:left w:val="single" w:sz="8" w:space="0" w:color="808080"/>
        <w:bottom w:val="single" w:sz="8" w:space="0" w:color="808080"/>
        <w:right w:val="single" w:sz="8" w:space="0" w:color="808080"/>
        <w:insideH w:val="single" w:sz="8" w:space="0" w:color="808080"/>
      </w:tblBorders>
      <w:tblCellMar>
        <w:top w:w="0" w:type="dxa"/>
        <w:left w:w="0" w:type="dxa"/>
        <w:bottom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35"/>
    <w:lsdException w:name="header" w:uiPriority="99"/>
    <w:lsdException w:name="footer" w:uiPriority="99"/>
    <w:lsdException w:name="caption" w:semiHidden="1" w:unhideWhenUsed="1"/>
    <w:lsdException w:name="footnote reference" w:uiPriority="34"/>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41377E"/>
    <w:pPr>
      <w:numPr>
        <w:numId w:val="1"/>
      </w:numPr>
      <w:tabs>
        <w:tab w:val="clear" w:pos="360"/>
        <w:tab w:val="left" w:pos="720"/>
      </w:tabs>
      <w:ind w:left="720"/>
      <w:jc w:val="both"/>
    </w:pPr>
  </w:style>
  <w:style w:type="character" w:customStyle="1" w:styleId="ListBulletChar">
    <w:name w:val="List Bullet Char"/>
    <w:basedOn w:val="DefaultParagraphFont"/>
    <w:link w:val="ListBullet"/>
    <w:rsid w:val="0041377E"/>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jc w:val="left"/>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jc w:val="left"/>
    </w:pPr>
    <w:rPr>
      <w:color w:val="000000"/>
      <w:szCs w:val="20"/>
    </w:rPr>
  </w:style>
  <w:style w:type="paragraph" w:customStyle="1" w:styleId="StyleListBulletAfter855ptChar">
    <w:name w:val="Style List Bullet + After:  8.55 pt Char"/>
    <w:basedOn w:val="ListBullet"/>
    <w:rsid w:val="0041377E"/>
    <w:pPr>
      <w:numPr>
        <w:numId w:val="0"/>
      </w:numPr>
      <w:tabs>
        <w:tab w:val="clear" w:pos="720"/>
        <w:tab w:val="num" w:pos="1110"/>
      </w:tabs>
      <w:spacing w:after="240"/>
      <w:ind w:left="1110" w:hanging="1110"/>
      <w:jc w:val="left"/>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Ind w:w="0" w:type="dxa"/>
      <w:tblBorders>
        <w:top w:val="single" w:sz="8" w:space="0" w:color="808080"/>
        <w:left w:val="single" w:sz="8" w:space="0" w:color="808080"/>
        <w:bottom w:val="single" w:sz="8" w:space="0" w:color="808080"/>
        <w:right w:val="single" w:sz="8" w:space="0" w:color="808080"/>
        <w:insideH w:val="single" w:sz="8" w:space="0" w:color="808080"/>
      </w:tblBorders>
      <w:tblCellMar>
        <w:top w:w="0" w:type="dxa"/>
        <w:left w:w="0" w:type="dxa"/>
        <w:bottom w:w="0" w:type="dxa"/>
        <w:right w:w="0" w:type="dxa"/>
      </w:tblCellMar>
    </w:tblPr>
    <w:tcPr>
      <w:vAlign w:val="center"/>
    </w:tcPr>
    <w:tblStylePr w:type="firstRow">
      <w:pPr>
        <w:jc w:val="center"/>
      </w:pPr>
      <w:rPr>
        <w:rFonts w:ascii="Georgia" w:hAnsi="Georgia"/>
        <w:b/>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s>
</file>

<file path=word/webSettings.xml><?xml version="1.0" encoding="utf-8"?>
<w:webSettings xmlns:r="http://schemas.openxmlformats.org/officeDocument/2006/relationships" xmlns:w="http://schemas.openxmlformats.org/wordprocessingml/2006/main">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ls.gov/oes/current/oes_nat.htm"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www.effectiveinterventions.org/"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0062-23AB-4140-9152-6832B8B29749}">
  <ds:schemaRefs>
    <ds:schemaRef ds:uri="http://schemas.openxmlformats.org/officeDocument/2006/bibliography"/>
  </ds:schemaRefs>
</ds:datastoreItem>
</file>

<file path=customXml/itemProps2.xml><?xml version="1.0" encoding="utf-8"?>
<ds:datastoreItem xmlns:ds="http://schemas.openxmlformats.org/officeDocument/2006/customXml" ds:itemID="{D1A3F8E9-E1AB-4488-B7F1-AEAC7E33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10160</Words>
  <Characters>57818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HIV OMB Supporting Statement</vt:lpstr>
    </vt:vector>
  </TitlesOfParts>
  <Company>DHHS</Company>
  <LinksUpToDate>false</LinksUpToDate>
  <CharactersWithSpaces>67843</CharactersWithSpaces>
  <SharedDoc>false</SharedDoc>
  <HLinks>
    <vt:vector size="6" baseType="variant">
      <vt:variant>
        <vt:i4>2097211</vt:i4>
      </vt:variant>
      <vt:variant>
        <vt:i4>0</vt:i4>
      </vt:variant>
      <vt:variant>
        <vt:i4>0</vt:i4>
      </vt:variant>
      <vt:variant>
        <vt:i4>5</vt:i4>
      </vt:variant>
      <vt:variant>
        <vt:lpwstr>http://www.effectiveinterventions.org/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OMB Supporting Statement</dc:title>
  <dc:creator>proddy</dc:creator>
  <cp:lastModifiedBy>DHHS</cp:lastModifiedBy>
  <cp:revision>2</cp:revision>
  <cp:lastPrinted>2012-11-15T22:06:00Z</cp:lastPrinted>
  <dcterms:created xsi:type="dcterms:W3CDTF">2013-01-24T18:08:00Z</dcterms:created>
  <dcterms:modified xsi:type="dcterms:W3CDTF">2013-01-24T18:08:00Z</dcterms:modified>
</cp:coreProperties>
</file>