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C3523" w14:textId="77777777" w:rsidR="00CF554D" w:rsidRPr="00ED687F" w:rsidRDefault="00CF554D" w:rsidP="00CF554D">
      <w:pPr>
        <w:spacing w:after="0" w:line="240" w:lineRule="auto"/>
        <w:jc w:val="center"/>
        <w:rPr>
          <w:b/>
          <w:sz w:val="72"/>
          <w:szCs w:val="28"/>
        </w:rPr>
      </w:pPr>
      <w:proofErr w:type="spellStart"/>
      <w:r w:rsidRPr="00ED687F">
        <w:rPr>
          <w:b/>
          <w:sz w:val="72"/>
          <w:szCs w:val="28"/>
        </w:rPr>
        <w:t>BioSense</w:t>
      </w:r>
      <w:proofErr w:type="spellEnd"/>
    </w:p>
    <w:p w14:paraId="66AF6697" w14:textId="77777777" w:rsidR="00CF554D" w:rsidRPr="00ED687F" w:rsidRDefault="00CF554D" w:rsidP="00CF554D">
      <w:pPr>
        <w:spacing w:after="0" w:line="240" w:lineRule="auto"/>
        <w:jc w:val="center"/>
        <w:rPr>
          <w:b/>
          <w:sz w:val="40"/>
          <w:szCs w:val="28"/>
        </w:rPr>
      </w:pPr>
    </w:p>
    <w:p w14:paraId="71FFA623" w14:textId="77777777" w:rsidR="00CF554D" w:rsidRDefault="00CF554D" w:rsidP="00CF554D">
      <w:pPr>
        <w:spacing w:after="0" w:line="24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Supporting Statement Section B</w:t>
      </w:r>
    </w:p>
    <w:p w14:paraId="77959382" w14:textId="77777777" w:rsidR="00CF554D" w:rsidRDefault="00CF554D" w:rsidP="00CF554D">
      <w:pPr>
        <w:spacing w:after="0" w:line="240" w:lineRule="auto"/>
        <w:jc w:val="center"/>
        <w:rPr>
          <w:b/>
          <w:sz w:val="40"/>
          <w:szCs w:val="28"/>
        </w:rPr>
      </w:pPr>
      <w:r w:rsidRPr="00ED687F">
        <w:rPr>
          <w:b/>
          <w:sz w:val="40"/>
          <w:szCs w:val="28"/>
        </w:rPr>
        <w:t xml:space="preserve">OMB Control Number 0920-0824 </w:t>
      </w:r>
    </w:p>
    <w:p w14:paraId="4048D9BD" w14:textId="77777777" w:rsidR="00CF554D" w:rsidRPr="00ED687F" w:rsidRDefault="00CF554D" w:rsidP="00CF554D">
      <w:pPr>
        <w:spacing w:after="0" w:line="240" w:lineRule="auto"/>
        <w:jc w:val="center"/>
        <w:rPr>
          <w:b/>
          <w:sz w:val="40"/>
          <w:szCs w:val="28"/>
        </w:rPr>
      </w:pPr>
    </w:p>
    <w:p w14:paraId="23E0EDFB" w14:textId="1E45D2A9" w:rsidR="002A4A08" w:rsidRPr="002A4A08" w:rsidRDefault="00DC4E90" w:rsidP="002A4A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15</w:t>
      </w:r>
      <w:bookmarkStart w:id="0" w:name="_GoBack"/>
      <w:bookmarkEnd w:id="0"/>
      <w:r w:rsidR="002A4A08">
        <w:rPr>
          <w:b/>
          <w:sz w:val="28"/>
          <w:szCs w:val="28"/>
        </w:rPr>
        <w:t>, 2012</w:t>
      </w:r>
    </w:p>
    <w:p w14:paraId="3C666FCC" w14:textId="77777777" w:rsidR="00CF554D" w:rsidRPr="002A4A08" w:rsidRDefault="00CF554D" w:rsidP="00CF554D">
      <w:pPr>
        <w:spacing w:after="0" w:line="240" w:lineRule="auto"/>
        <w:jc w:val="center"/>
        <w:rPr>
          <w:b/>
          <w:sz w:val="28"/>
          <w:szCs w:val="28"/>
        </w:rPr>
      </w:pPr>
    </w:p>
    <w:p w14:paraId="40DBAA1E" w14:textId="77777777" w:rsidR="00CF554D" w:rsidRPr="00ED687F" w:rsidRDefault="00CF554D" w:rsidP="00CF554D">
      <w:pPr>
        <w:spacing w:after="0" w:line="240" w:lineRule="auto"/>
        <w:jc w:val="center"/>
        <w:rPr>
          <w:b/>
          <w:sz w:val="28"/>
          <w:szCs w:val="28"/>
        </w:rPr>
      </w:pPr>
      <w:r w:rsidRPr="00ED687F">
        <w:rPr>
          <w:b/>
          <w:sz w:val="28"/>
          <w:szCs w:val="28"/>
        </w:rPr>
        <w:t>Program Contact/Project Officer</w:t>
      </w:r>
    </w:p>
    <w:p w14:paraId="461A25E7" w14:textId="77777777" w:rsidR="00CF554D" w:rsidRPr="00ED687F" w:rsidRDefault="00CF554D" w:rsidP="00CF554D">
      <w:pPr>
        <w:spacing w:after="0" w:line="240" w:lineRule="auto"/>
        <w:jc w:val="center"/>
        <w:rPr>
          <w:b/>
          <w:sz w:val="16"/>
          <w:szCs w:val="16"/>
        </w:rPr>
      </w:pPr>
    </w:p>
    <w:p w14:paraId="742CE30F" w14:textId="77777777" w:rsidR="00CF554D" w:rsidRPr="00ED687F" w:rsidRDefault="00CF554D" w:rsidP="00CF554D">
      <w:pPr>
        <w:spacing w:after="0" w:line="240" w:lineRule="auto"/>
        <w:jc w:val="center"/>
        <w:rPr>
          <w:b/>
          <w:sz w:val="28"/>
          <w:szCs w:val="28"/>
        </w:rPr>
      </w:pPr>
      <w:r w:rsidRPr="00ED687F">
        <w:rPr>
          <w:b/>
          <w:sz w:val="28"/>
          <w:szCs w:val="28"/>
        </w:rPr>
        <w:t xml:space="preserve">Kathleen Gallagher, </w:t>
      </w:r>
    </w:p>
    <w:p w14:paraId="790FB5F9" w14:textId="77777777" w:rsidR="00CF554D" w:rsidRDefault="00CF554D" w:rsidP="00CF554D">
      <w:pPr>
        <w:spacing w:after="0" w:line="240" w:lineRule="auto"/>
        <w:jc w:val="center"/>
        <w:rPr>
          <w:b/>
          <w:sz w:val="36"/>
          <w:szCs w:val="28"/>
        </w:rPr>
      </w:pPr>
    </w:p>
    <w:p w14:paraId="6AC51780" w14:textId="77777777" w:rsidR="00CF554D" w:rsidRDefault="00CF554D" w:rsidP="00CF554D">
      <w:pPr>
        <w:jc w:val="center"/>
      </w:pPr>
      <w:r>
        <w:t xml:space="preserve">Director, Division of </w:t>
      </w:r>
      <w:proofErr w:type="spellStart"/>
      <w:r>
        <w:t>Notifiable</w:t>
      </w:r>
      <w:proofErr w:type="spellEnd"/>
      <w:r>
        <w:t xml:space="preserve"> Diseases and Healthcare Information</w:t>
      </w:r>
    </w:p>
    <w:p w14:paraId="2623880E" w14:textId="77777777" w:rsidR="00CF554D" w:rsidRDefault="00CF554D" w:rsidP="00CF554D">
      <w:pPr>
        <w:jc w:val="center"/>
      </w:pPr>
      <w:r>
        <w:t>Public Health Surveillance and Informatics Program Office</w:t>
      </w:r>
    </w:p>
    <w:p w14:paraId="3C2752FC" w14:textId="77777777" w:rsidR="00CF554D" w:rsidRDefault="00CF554D" w:rsidP="00CF554D">
      <w:pPr>
        <w:jc w:val="center"/>
      </w:pPr>
      <w:r>
        <w:t>Office of Surveillance, Epidemiology and Laboratory Services</w:t>
      </w:r>
    </w:p>
    <w:p w14:paraId="4BA7557A" w14:textId="77777777" w:rsidR="00CF554D" w:rsidRDefault="00CF554D" w:rsidP="00CF554D">
      <w:pPr>
        <w:jc w:val="center"/>
      </w:pPr>
      <w:r>
        <w:t>Centers for Disease Control and Prevention</w:t>
      </w:r>
    </w:p>
    <w:p w14:paraId="6D87118B" w14:textId="77777777" w:rsidR="00CF554D" w:rsidRDefault="00CF554D" w:rsidP="00CF554D">
      <w:pPr>
        <w:jc w:val="center"/>
      </w:pPr>
      <w:r>
        <w:t>Phone:  404-498-6631</w:t>
      </w:r>
    </w:p>
    <w:p w14:paraId="71B8F4BC" w14:textId="77777777" w:rsidR="00CF554D" w:rsidRDefault="00CF554D" w:rsidP="00CF554D">
      <w:pPr>
        <w:jc w:val="center"/>
      </w:pPr>
      <w:r>
        <w:t xml:space="preserve">E-mail:  </w:t>
      </w:r>
      <w:hyperlink r:id="rId13" w:history="1">
        <w:r w:rsidRPr="00B93A31">
          <w:rPr>
            <w:rStyle w:val="Hyperlink"/>
          </w:rPr>
          <w:t>kxg7@cdc.gov</w:t>
        </w:r>
      </w:hyperlink>
    </w:p>
    <w:p w14:paraId="5F91B812" w14:textId="77777777" w:rsidR="00CF554D" w:rsidRDefault="00CF554D" w:rsidP="00CF554D">
      <w:pPr>
        <w:jc w:val="center"/>
      </w:pPr>
    </w:p>
    <w:p w14:paraId="744F7A67" w14:textId="77777777" w:rsidR="00CF554D" w:rsidRDefault="00CF554D" w:rsidP="00CF554D">
      <w:pPr>
        <w:jc w:val="center"/>
      </w:pPr>
    </w:p>
    <w:p w14:paraId="2817C8E4" w14:textId="77777777" w:rsidR="00CF554D" w:rsidRDefault="00CF554D" w:rsidP="00CF554D">
      <w:pPr>
        <w:jc w:val="center"/>
      </w:pPr>
    </w:p>
    <w:p w14:paraId="338295E4" w14:textId="77777777" w:rsidR="00CF554D" w:rsidRDefault="00CF554D" w:rsidP="00CF554D">
      <w:pPr>
        <w:jc w:val="center"/>
      </w:pPr>
    </w:p>
    <w:p w14:paraId="33BD151C" w14:textId="77777777" w:rsidR="00CF554D" w:rsidRDefault="00CF554D" w:rsidP="00CF554D">
      <w:pPr>
        <w:jc w:val="center"/>
      </w:pPr>
    </w:p>
    <w:p w14:paraId="77DF9F5F" w14:textId="77777777" w:rsidR="00CF554D" w:rsidRDefault="00CF554D" w:rsidP="00CF554D">
      <w:pPr>
        <w:jc w:val="center"/>
      </w:pPr>
    </w:p>
    <w:p w14:paraId="58F1F54C" w14:textId="77777777" w:rsidR="00CF554D" w:rsidRDefault="00CF554D" w:rsidP="00CF554D">
      <w:pPr>
        <w:jc w:val="center"/>
      </w:pPr>
    </w:p>
    <w:p w14:paraId="555C5321" w14:textId="77777777" w:rsidR="00CF554D" w:rsidRDefault="00CF554D" w:rsidP="00CF554D">
      <w:pPr>
        <w:jc w:val="center"/>
      </w:pPr>
    </w:p>
    <w:p w14:paraId="51EDEFC1" w14:textId="77777777" w:rsidR="00CF554D" w:rsidRDefault="00CF554D" w:rsidP="00CF554D">
      <w:pPr>
        <w:jc w:val="center"/>
      </w:pPr>
    </w:p>
    <w:p w14:paraId="3013A5FE" w14:textId="77777777" w:rsidR="00CF554D" w:rsidRDefault="00CF554D" w:rsidP="00CF554D">
      <w:pPr>
        <w:jc w:val="center"/>
      </w:pPr>
    </w:p>
    <w:p w14:paraId="7CD3C3CE" w14:textId="77777777" w:rsidR="00CF554D" w:rsidRDefault="00CF554D" w:rsidP="00CF554D">
      <w:pPr>
        <w:jc w:val="center"/>
      </w:pPr>
    </w:p>
    <w:p w14:paraId="630BC16D" w14:textId="77777777" w:rsidR="00CF554D" w:rsidRDefault="00CF554D" w:rsidP="00CF554D">
      <w:pPr>
        <w:spacing w:after="0"/>
        <w:jc w:val="center"/>
        <w:rPr>
          <w:b/>
          <w:sz w:val="36"/>
          <w:szCs w:val="28"/>
        </w:rPr>
      </w:pPr>
      <w:proofErr w:type="spellStart"/>
      <w:r w:rsidRPr="000A2E41">
        <w:rPr>
          <w:b/>
          <w:sz w:val="36"/>
          <w:szCs w:val="28"/>
        </w:rPr>
        <w:lastRenderedPageBreak/>
        <w:t>BioSense</w:t>
      </w:r>
      <w:proofErr w:type="spellEnd"/>
      <w:r w:rsidRPr="000A2E41">
        <w:rPr>
          <w:b/>
          <w:sz w:val="36"/>
          <w:szCs w:val="28"/>
        </w:rPr>
        <w:t xml:space="preserve"> 2.0 Supporting Statement</w:t>
      </w:r>
    </w:p>
    <w:p w14:paraId="55085BB9" w14:textId="77777777" w:rsidR="00CF554D" w:rsidRPr="000A2E41" w:rsidRDefault="00CF554D" w:rsidP="00CF554D">
      <w:pPr>
        <w:spacing w:after="0"/>
        <w:jc w:val="center"/>
        <w:rPr>
          <w:b/>
          <w:sz w:val="36"/>
          <w:szCs w:val="28"/>
        </w:rPr>
      </w:pPr>
    </w:p>
    <w:p w14:paraId="3CB39BFA" w14:textId="77777777" w:rsidR="00CF554D" w:rsidRDefault="00CF554D" w:rsidP="00CF554D">
      <w:pPr>
        <w:spacing w:after="0"/>
        <w:rPr>
          <w:szCs w:val="28"/>
        </w:rPr>
      </w:pPr>
      <w:r>
        <w:rPr>
          <w:b/>
          <w:sz w:val="24"/>
          <w:szCs w:val="28"/>
        </w:rPr>
        <w:t>Section B</w:t>
      </w:r>
      <w:r w:rsidRPr="000A2E41">
        <w:rPr>
          <w:sz w:val="20"/>
          <w:szCs w:val="28"/>
        </w:rPr>
        <w:t xml:space="preserve"> </w:t>
      </w:r>
      <w:r w:rsidRPr="000A2E41">
        <w:rPr>
          <w:szCs w:val="28"/>
        </w:rPr>
        <w:t xml:space="preserve">– </w:t>
      </w:r>
      <w:r w:rsidRPr="00936B61">
        <w:rPr>
          <w:szCs w:val="28"/>
        </w:rPr>
        <w:t>statistical design and data collection procedures</w:t>
      </w:r>
    </w:p>
    <w:p w14:paraId="5173A282" w14:textId="77777777" w:rsidR="00CF554D" w:rsidRDefault="00CF554D" w:rsidP="00CF554D">
      <w:pPr>
        <w:spacing w:after="0"/>
        <w:rPr>
          <w:szCs w:val="28"/>
        </w:rPr>
      </w:pPr>
    </w:p>
    <w:p w14:paraId="5C2E2327" w14:textId="77777777" w:rsidR="00CF554D" w:rsidRDefault="00CF554D" w:rsidP="00CF554D">
      <w:pPr>
        <w:spacing w:after="0"/>
        <w:rPr>
          <w:szCs w:val="28"/>
        </w:rPr>
      </w:pPr>
      <w:r>
        <w:rPr>
          <w:szCs w:val="28"/>
        </w:rPr>
        <w:t>Information for data source recruitment and</w:t>
      </w:r>
      <w:r w:rsidRPr="00D457FA">
        <w:rPr>
          <w:szCs w:val="28"/>
        </w:rPr>
        <w:t xml:space="preserve"> for access to the </w:t>
      </w:r>
      <w:proofErr w:type="spellStart"/>
      <w:r w:rsidRPr="00D457FA">
        <w:rPr>
          <w:szCs w:val="28"/>
        </w:rPr>
        <w:t>BioSense</w:t>
      </w:r>
      <w:proofErr w:type="spellEnd"/>
      <w:r>
        <w:rPr>
          <w:szCs w:val="28"/>
        </w:rPr>
        <w:t xml:space="preserve"> 2.0</w:t>
      </w:r>
      <w:r w:rsidRPr="00D457FA">
        <w:rPr>
          <w:szCs w:val="28"/>
        </w:rPr>
        <w:t xml:space="preserve"> </w:t>
      </w:r>
      <w:r>
        <w:rPr>
          <w:szCs w:val="28"/>
        </w:rPr>
        <w:t>a</w:t>
      </w:r>
      <w:r w:rsidRPr="00D457FA">
        <w:rPr>
          <w:szCs w:val="28"/>
        </w:rPr>
        <w:t xml:space="preserve">pplication is used </w:t>
      </w:r>
      <w:r>
        <w:rPr>
          <w:szCs w:val="28"/>
        </w:rPr>
        <w:t xml:space="preserve">as contact information or </w:t>
      </w:r>
      <w:r w:rsidRPr="00D457FA">
        <w:rPr>
          <w:szCs w:val="28"/>
        </w:rPr>
        <w:t>to perform services and is not summar</w:t>
      </w:r>
      <w:r>
        <w:rPr>
          <w:szCs w:val="28"/>
        </w:rPr>
        <w:t>ized statistically, so these activities</w:t>
      </w:r>
      <w:r w:rsidRPr="00D457FA">
        <w:rPr>
          <w:szCs w:val="28"/>
        </w:rPr>
        <w:t xml:space="preserve"> do not involve statistical methods.</w:t>
      </w:r>
      <w:r>
        <w:rPr>
          <w:szCs w:val="28"/>
        </w:rPr>
        <w:t xml:space="preserve"> The information acquired during the process of data collection is summarized statistically, so this activity does involve statistical methods and is addressed in this Section.</w:t>
      </w:r>
    </w:p>
    <w:p w14:paraId="71076568" w14:textId="77777777" w:rsidR="00CF554D" w:rsidRPr="00936B61" w:rsidRDefault="00CF554D" w:rsidP="00CF554D">
      <w:pPr>
        <w:spacing w:after="0"/>
        <w:rPr>
          <w:b/>
          <w:szCs w:val="28"/>
        </w:rPr>
      </w:pPr>
    </w:p>
    <w:p w14:paraId="43CA499B" w14:textId="77777777" w:rsidR="00CF554D" w:rsidRDefault="00CF554D" w:rsidP="00CF554D">
      <w:pPr>
        <w:spacing w:after="0"/>
        <w:rPr>
          <w:b/>
          <w:szCs w:val="28"/>
        </w:rPr>
      </w:pPr>
      <w:r w:rsidRPr="00936B61">
        <w:rPr>
          <w:b/>
          <w:szCs w:val="28"/>
        </w:rPr>
        <w:tab/>
        <w:t xml:space="preserve">1  </w:t>
      </w:r>
      <w:r w:rsidRPr="00936B61">
        <w:rPr>
          <w:b/>
          <w:szCs w:val="28"/>
        </w:rPr>
        <w:tab/>
        <w:t>Respondent Universe and Sampling M</w:t>
      </w:r>
      <w:r>
        <w:rPr>
          <w:b/>
          <w:szCs w:val="28"/>
        </w:rPr>
        <w:t xml:space="preserve">ethods </w:t>
      </w:r>
    </w:p>
    <w:p w14:paraId="42769EB1" w14:textId="77777777" w:rsidR="00CF554D" w:rsidRDefault="00CF554D" w:rsidP="00CF554D">
      <w:pPr>
        <w:spacing w:after="0"/>
        <w:rPr>
          <w:b/>
          <w:szCs w:val="28"/>
        </w:rPr>
      </w:pPr>
    </w:p>
    <w:p w14:paraId="5BB2CEE8" w14:textId="77777777" w:rsidR="00CF554D" w:rsidRDefault="00CF554D" w:rsidP="00CF554D">
      <w:pPr>
        <w:spacing w:after="0"/>
        <w:rPr>
          <w:szCs w:val="28"/>
        </w:rPr>
      </w:pPr>
      <w:r>
        <w:rPr>
          <w:szCs w:val="28"/>
        </w:rPr>
        <w:t xml:space="preserve">The Respondent Universe is all of the state, local, and territorial public health jurisdictions capable of participating in </w:t>
      </w:r>
      <w:proofErr w:type="spellStart"/>
      <w:r>
        <w:rPr>
          <w:szCs w:val="28"/>
        </w:rPr>
        <w:t>BioSense</w:t>
      </w:r>
      <w:proofErr w:type="spellEnd"/>
      <w:r>
        <w:rPr>
          <w:szCs w:val="28"/>
        </w:rPr>
        <w:t xml:space="preserve"> 2.0, plus Veterans Affairs (VA), Department of Defense (</w:t>
      </w:r>
      <w:proofErr w:type="spellStart"/>
      <w:proofErr w:type="gramStart"/>
      <w:r>
        <w:rPr>
          <w:szCs w:val="28"/>
        </w:rPr>
        <w:t>DoD</w:t>
      </w:r>
      <w:proofErr w:type="spellEnd"/>
      <w:proofErr w:type="gramEnd"/>
      <w:r>
        <w:rPr>
          <w:szCs w:val="28"/>
        </w:rPr>
        <w:t xml:space="preserve">), two national-level private sector clinical laboratories, and a </w:t>
      </w:r>
      <w:r w:rsidRPr="0090715A">
        <w:rPr>
          <w:szCs w:val="28"/>
        </w:rPr>
        <w:t>private sector health information exchange company</w:t>
      </w:r>
      <w:r>
        <w:rPr>
          <w:szCs w:val="28"/>
        </w:rPr>
        <w:t>.</w:t>
      </w:r>
    </w:p>
    <w:p w14:paraId="75B8759E" w14:textId="77777777" w:rsidR="00CF554D" w:rsidRDefault="00CF554D" w:rsidP="00CF554D">
      <w:pPr>
        <w:spacing w:after="0"/>
        <w:rPr>
          <w:szCs w:val="28"/>
        </w:rPr>
      </w:pPr>
    </w:p>
    <w:p w14:paraId="40851859" w14:textId="77777777" w:rsidR="00CF554D" w:rsidRPr="002B7D0B" w:rsidRDefault="00CF554D" w:rsidP="00CF554D">
      <w:pPr>
        <w:spacing w:after="0"/>
        <w:rPr>
          <w:szCs w:val="28"/>
        </w:rPr>
      </w:pPr>
      <w:r w:rsidRPr="002B7D0B">
        <w:rPr>
          <w:szCs w:val="28"/>
        </w:rPr>
        <w:t xml:space="preserve">The sampling method used is convenience sampling. </w:t>
      </w:r>
      <w:proofErr w:type="spellStart"/>
      <w:r w:rsidRPr="002B7D0B">
        <w:rPr>
          <w:szCs w:val="28"/>
        </w:rPr>
        <w:t>BioSense</w:t>
      </w:r>
      <w:proofErr w:type="spellEnd"/>
      <w:r w:rsidRPr="002B7D0B">
        <w:rPr>
          <w:szCs w:val="28"/>
        </w:rPr>
        <w:t xml:space="preserve"> 2.0 has taken a user centered approach, so state, local, and territorial public health jurisdictions respond to communication outreach materials and can solicit information themselves on how to join.  Joining </w:t>
      </w:r>
      <w:proofErr w:type="spellStart"/>
      <w:r w:rsidRPr="002B7D0B">
        <w:rPr>
          <w:szCs w:val="28"/>
        </w:rPr>
        <w:t>BioSense</w:t>
      </w:r>
      <w:proofErr w:type="spellEnd"/>
      <w:r w:rsidRPr="002B7D0B">
        <w:rPr>
          <w:szCs w:val="28"/>
        </w:rPr>
        <w:t xml:space="preserve"> 2.0 is a completely voluntary activity</w:t>
      </w:r>
      <w:r>
        <w:rPr>
          <w:szCs w:val="28"/>
        </w:rPr>
        <w:t>.</w:t>
      </w:r>
    </w:p>
    <w:p w14:paraId="4D03E207" w14:textId="77777777" w:rsidR="00CF554D" w:rsidRDefault="00CF554D" w:rsidP="00CF554D">
      <w:pPr>
        <w:spacing w:after="0"/>
        <w:rPr>
          <w:szCs w:val="28"/>
          <w:u w:val="single"/>
        </w:rPr>
      </w:pPr>
    </w:p>
    <w:p w14:paraId="2902FC43" w14:textId="77777777" w:rsidR="00CF554D" w:rsidRDefault="00CF554D" w:rsidP="00CF554D">
      <w:pPr>
        <w:spacing w:after="0"/>
        <w:rPr>
          <w:b/>
          <w:szCs w:val="28"/>
        </w:rPr>
      </w:pPr>
      <w:r w:rsidRPr="00936B61">
        <w:rPr>
          <w:b/>
          <w:szCs w:val="28"/>
        </w:rPr>
        <w:tab/>
        <w:t>2</w:t>
      </w:r>
      <w:r w:rsidRPr="00936B61">
        <w:rPr>
          <w:b/>
          <w:szCs w:val="28"/>
        </w:rPr>
        <w:tab/>
        <w:t>Procedures for the Collection of Information</w:t>
      </w:r>
    </w:p>
    <w:p w14:paraId="72946862" w14:textId="77777777" w:rsidR="00CF554D" w:rsidRDefault="00CF554D" w:rsidP="00CF554D">
      <w:pPr>
        <w:spacing w:after="0"/>
        <w:rPr>
          <w:b/>
          <w:szCs w:val="28"/>
        </w:rPr>
      </w:pPr>
    </w:p>
    <w:p w14:paraId="427573D5" w14:textId="77777777" w:rsidR="00CF554D" w:rsidRDefault="00CF554D" w:rsidP="00CF554D">
      <w:pPr>
        <w:spacing w:after="120"/>
        <w:rPr>
          <w:color w:val="000000"/>
        </w:rPr>
      </w:pPr>
      <w:r>
        <w:rPr>
          <w:color w:val="000000"/>
        </w:rPr>
        <w:t>State, local, and territorial public health jurisdictions that are using the</w:t>
      </w:r>
      <w:r w:rsidRPr="00FB229C">
        <w:rPr>
          <w:color w:val="000000"/>
        </w:rPr>
        <w:t xml:space="preserve"> </w:t>
      </w:r>
      <w:proofErr w:type="spellStart"/>
      <w:r w:rsidRPr="00FB229C">
        <w:rPr>
          <w:color w:val="000000"/>
        </w:rPr>
        <w:t>BioSense</w:t>
      </w:r>
      <w:proofErr w:type="spellEnd"/>
      <w:r w:rsidRPr="00FB229C">
        <w:rPr>
          <w:color w:val="000000"/>
        </w:rPr>
        <w:t xml:space="preserve"> 2.0 application</w:t>
      </w:r>
      <w:r>
        <w:rPr>
          <w:color w:val="000000"/>
        </w:rPr>
        <w:t xml:space="preserve"> have the option to participate in the shared space. When jurisdictions choose to share data with CDC’s </w:t>
      </w:r>
      <w:proofErr w:type="spellStart"/>
      <w:r>
        <w:rPr>
          <w:color w:val="000000"/>
        </w:rPr>
        <w:t>BioSense</w:t>
      </w:r>
      <w:proofErr w:type="spellEnd"/>
      <w:r>
        <w:rPr>
          <w:color w:val="000000"/>
        </w:rPr>
        <w:t xml:space="preserve"> Program, they access</w:t>
      </w:r>
      <w:r w:rsidRPr="0025065A">
        <w:rPr>
          <w:color w:val="000000"/>
        </w:rPr>
        <w:t xml:space="preserve"> a submenu of the </w:t>
      </w:r>
      <w:proofErr w:type="spellStart"/>
      <w:r w:rsidRPr="0025065A">
        <w:rPr>
          <w:color w:val="000000"/>
        </w:rPr>
        <w:t>BioSense</w:t>
      </w:r>
      <w:proofErr w:type="spellEnd"/>
      <w:r w:rsidRPr="0025065A">
        <w:rPr>
          <w:color w:val="000000"/>
        </w:rPr>
        <w:t xml:space="preserve"> 2.0 cloud-enabled, web-based platform. The </w:t>
      </w:r>
      <w:r>
        <w:rPr>
          <w:color w:val="000000"/>
        </w:rPr>
        <w:t>submenu allows them</w:t>
      </w:r>
      <w:r w:rsidRPr="0025065A">
        <w:rPr>
          <w:color w:val="000000"/>
        </w:rPr>
        <w:t xml:space="preserve"> to choose with whom to share data and at what level of aggregation from a series of drop-down lists. </w:t>
      </w:r>
      <w:r>
        <w:rPr>
          <w:color w:val="000000"/>
        </w:rPr>
        <w:t xml:space="preserve"> After this one-time activity, the jurisdictions’ data is automatically electronically transferred from the jurisdictions exclusive, secure space to the shared space on a daily basis.</w:t>
      </w:r>
    </w:p>
    <w:p w14:paraId="2EE9925D" w14:textId="77777777" w:rsidR="00CF554D" w:rsidRPr="008D7084" w:rsidRDefault="00CF554D" w:rsidP="00CF554D">
      <w:pPr>
        <w:spacing w:after="120"/>
        <w:rPr>
          <w:color w:val="000000"/>
        </w:rPr>
      </w:pPr>
      <w:r>
        <w:rPr>
          <w:color w:val="000000"/>
        </w:rPr>
        <w:t xml:space="preserve">VA, </w:t>
      </w:r>
      <w:proofErr w:type="spellStart"/>
      <w:proofErr w:type="gramStart"/>
      <w:r>
        <w:rPr>
          <w:color w:val="000000"/>
        </w:rPr>
        <w:t>DoD</w:t>
      </w:r>
      <w:proofErr w:type="spellEnd"/>
      <w:proofErr w:type="gramEnd"/>
      <w:r>
        <w:rPr>
          <w:color w:val="000000"/>
        </w:rPr>
        <w:t xml:space="preserve">, the two </w:t>
      </w:r>
      <w:r w:rsidRPr="001309F9">
        <w:rPr>
          <w:color w:val="000000"/>
        </w:rPr>
        <w:t xml:space="preserve">national clinical </w:t>
      </w:r>
      <w:r>
        <w:rPr>
          <w:color w:val="000000"/>
        </w:rPr>
        <w:t>laboratory corporations, and the</w:t>
      </w:r>
      <w:r w:rsidRPr="001309F9">
        <w:rPr>
          <w:color w:val="000000"/>
        </w:rPr>
        <w:t xml:space="preserve"> </w:t>
      </w:r>
      <w:r w:rsidRPr="006D1025">
        <w:rPr>
          <w:color w:val="000000"/>
        </w:rPr>
        <w:t>private sector health information exchange company</w:t>
      </w:r>
      <w:r>
        <w:rPr>
          <w:color w:val="000000"/>
        </w:rPr>
        <w:t xml:space="preserve"> automatically chose to share with CDC when they were recruited to submit data to the </w:t>
      </w:r>
      <w:proofErr w:type="spellStart"/>
      <w:r>
        <w:rPr>
          <w:color w:val="000000"/>
        </w:rPr>
        <w:t>BioSense</w:t>
      </w:r>
      <w:proofErr w:type="spellEnd"/>
      <w:r>
        <w:rPr>
          <w:color w:val="000000"/>
        </w:rPr>
        <w:t xml:space="preserve"> 2.0 cloud environment. </w:t>
      </w:r>
      <w:r w:rsidRPr="0089293C">
        <w:rPr>
          <w:color w:val="000000"/>
        </w:rPr>
        <w:t>After this one-ti</w:t>
      </w:r>
      <w:r>
        <w:rPr>
          <w:color w:val="000000"/>
        </w:rPr>
        <w:t xml:space="preserve">me activity, </w:t>
      </w:r>
      <w:r w:rsidRPr="0089293C">
        <w:rPr>
          <w:color w:val="000000"/>
        </w:rPr>
        <w:t xml:space="preserve">data </w:t>
      </w:r>
      <w:r>
        <w:rPr>
          <w:color w:val="000000"/>
        </w:rPr>
        <w:t>from these organizations was</w:t>
      </w:r>
      <w:r w:rsidRPr="0089293C">
        <w:rPr>
          <w:color w:val="000000"/>
        </w:rPr>
        <w:t xml:space="preserve"> automatically electronically transferred</w:t>
      </w:r>
      <w:r>
        <w:rPr>
          <w:color w:val="000000"/>
        </w:rPr>
        <w:t xml:space="preserve"> from these organizations’</w:t>
      </w:r>
      <w:r w:rsidRPr="00002C5E">
        <w:rPr>
          <w:szCs w:val="28"/>
        </w:rPr>
        <w:t xml:space="preserve"> </w:t>
      </w:r>
      <w:r w:rsidRPr="00002C5E">
        <w:rPr>
          <w:color w:val="000000"/>
        </w:rPr>
        <w:t>existing data bases</w:t>
      </w:r>
      <w:r>
        <w:rPr>
          <w:color w:val="000000"/>
        </w:rPr>
        <w:t xml:space="preserve"> </w:t>
      </w:r>
      <w:r w:rsidRPr="0089293C">
        <w:rPr>
          <w:color w:val="000000"/>
        </w:rPr>
        <w:t xml:space="preserve">to the </w:t>
      </w:r>
      <w:r>
        <w:rPr>
          <w:color w:val="000000"/>
        </w:rPr>
        <w:t xml:space="preserve">CDC </w:t>
      </w:r>
      <w:proofErr w:type="spellStart"/>
      <w:r>
        <w:rPr>
          <w:color w:val="000000"/>
        </w:rPr>
        <w:t>BioSense</w:t>
      </w:r>
      <w:proofErr w:type="spellEnd"/>
      <w:r>
        <w:rPr>
          <w:color w:val="000000"/>
        </w:rPr>
        <w:t xml:space="preserve"> Program’s exclusive, secure space in the </w:t>
      </w:r>
      <w:proofErr w:type="spellStart"/>
      <w:r>
        <w:rPr>
          <w:color w:val="000000"/>
        </w:rPr>
        <w:t>BioSense</w:t>
      </w:r>
      <w:proofErr w:type="spellEnd"/>
      <w:r>
        <w:rPr>
          <w:color w:val="000000"/>
        </w:rPr>
        <w:t xml:space="preserve"> 2.0 cloud environment</w:t>
      </w:r>
      <w:r w:rsidRPr="0089293C">
        <w:rPr>
          <w:color w:val="000000"/>
        </w:rPr>
        <w:t xml:space="preserve"> on a daily basis</w:t>
      </w:r>
      <w:r>
        <w:rPr>
          <w:color w:val="000000"/>
        </w:rPr>
        <w:t>.</w:t>
      </w:r>
    </w:p>
    <w:p w14:paraId="51A0C769" w14:textId="77777777" w:rsidR="00CF554D" w:rsidRPr="00E55C8C" w:rsidRDefault="00CF554D" w:rsidP="00CF554D">
      <w:pPr>
        <w:spacing w:after="0"/>
        <w:rPr>
          <w:szCs w:val="28"/>
        </w:rPr>
      </w:pPr>
    </w:p>
    <w:p w14:paraId="200EE7E1" w14:textId="77777777" w:rsidR="00CF554D" w:rsidRDefault="00CF554D" w:rsidP="00CF554D">
      <w:pPr>
        <w:spacing w:after="0"/>
        <w:rPr>
          <w:b/>
          <w:szCs w:val="28"/>
        </w:rPr>
      </w:pPr>
      <w:r w:rsidRPr="00936B61">
        <w:rPr>
          <w:b/>
          <w:szCs w:val="28"/>
        </w:rPr>
        <w:tab/>
        <w:t>3</w:t>
      </w:r>
      <w:r w:rsidRPr="00936B61">
        <w:rPr>
          <w:b/>
          <w:szCs w:val="28"/>
        </w:rPr>
        <w:tab/>
        <w:t xml:space="preserve">Methods to Maximize Response Rates and Deal </w:t>
      </w:r>
      <w:r>
        <w:rPr>
          <w:b/>
          <w:szCs w:val="28"/>
        </w:rPr>
        <w:t xml:space="preserve">with No Response </w:t>
      </w:r>
    </w:p>
    <w:p w14:paraId="76E26951" w14:textId="77777777" w:rsidR="00CF554D" w:rsidRDefault="00CF554D" w:rsidP="00CF554D">
      <w:pPr>
        <w:spacing w:after="0"/>
        <w:rPr>
          <w:b/>
          <w:szCs w:val="28"/>
        </w:rPr>
      </w:pPr>
    </w:p>
    <w:p w14:paraId="66EF4CAC" w14:textId="77777777" w:rsidR="00CF554D" w:rsidRDefault="00CF554D" w:rsidP="00CF554D">
      <w:pPr>
        <w:spacing w:after="0"/>
        <w:rPr>
          <w:szCs w:val="28"/>
        </w:rPr>
      </w:pPr>
      <w:r>
        <w:rPr>
          <w:szCs w:val="28"/>
        </w:rPr>
        <w:t>Regarding methods to maximize the number of respondents to agree to share data,</w:t>
      </w:r>
      <w:r w:rsidRPr="00EB724B">
        <w:rPr>
          <w:szCs w:val="28"/>
        </w:rPr>
        <w:t xml:space="preserve"> CDC collaborates with the associations ASTHO, NACCHO, CSTE, and ISDS to reach out to the public health community</w:t>
      </w:r>
      <w:r>
        <w:rPr>
          <w:szCs w:val="28"/>
        </w:rPr>
        <w:t xml:space="preserve"> in a user centered approach</w:t>
      </w:r>
      <w:r w:rsidRPr="00EB724B">
        <w:rPr>
          <w:szCs w:val="28"/>
        </w:rPr>
        <w:t xml:space="preserve">.  </w:t>
      </w:r>
      <w:r>
        <w:rPr>
          <w:szCs w:val="28"/>
        </w:rPr>
        <w:t xml:space="preserve">Additionally, the </w:t>
      </w:r>
      <w:proofErr w:type="spellStart"/>
      <w:r w:rsidRPr="00A453B9">
        <w:rPr>
          <w:szCs w:val="28"/>
        </w:rPr>
        <w:t>BioSense</w:t>
      </w:r>
      <w:proofErr w:type="spellEnd"/>
      <w:r w:rsidRPr="00A453B9">
        <w:rPr>
          <w:szCs w:val="28"/>
        </w:rPr>
        <w:t xml:space="preserve"> 2.0</w:t>
      </w:r>
      <w:r>
        <w:rPr>
          <w:szCs w:val="28"/>
        </w:rPr>
        <w:t xml:space="preserve"> application</w:t>
      </w:r>
      <w:r w:rsidRPr="00A453B9">
        <w:rPr>
          <w:szCs w:val="28"/>
        </w:rPr>
        <w:t xml:space="preserve"> is designed to promote the contribution of public health data by all users and the appropriate sharing of aggregated data in the shared space</w:t>
      </w:r>
      <w:r>
        <w:rPr>
          <w:szCs w:val="28"/>
        </w:rPr>
        <w:t>.</w:t>
      </w:r>
      <w:r w:rsidRPr="00A453B9">
        <w:rPr>
          <w:szCs w:val="28"/>
        </w:rPr>
        <w:t xml:space="preserve"> </w:t>
      </w:r>
      <w:r>
        <w:rPr>
          <w:szCs w:val="28"/>
        </w:rPr>
        <w:t xml:space="preserve">There is no method to deal with “no response”, because sharing data with CDC’s </w:t>
      </w:r>
      <w:proofErr w:type="spellStart"/>
      <w:r>
        <w:rPr>
          <w:szCs w:val="28"/>
        </w:rPr>
        <w:t>BioSense</w:t>
      </w:r>
      <w:proofErr w:type="spellEnd"/>
      <w:r>
        <w:rPr>
          <w:szCs w:val="28"/>
        </w:rPr>
        <w:t xml:space="preserve"> Program is completely voluntary.</w:t>
      </w:r>
    </w:p>
    <w:p w14:paraId="055D5341" w14:textId="77777777" w:rsidR="00CF554D" w:rsidRDefault="00CF554D" w:rsidP="00CF554D">
      <w:pPr>
        <w:spacing w:after="0"/>
        <w:rPr>
          <w:szCs w:val="28"/>
        </w:rPr>
      </w:pPr>
    </w:p>
    <w:p w14:paraId="684FA640" w14:textId="77777777" w:rsidR="00CF554D" w:rsidRPr="007E3090" w:rsidRDefault="00CF554D" w:rsidP="00CF554D">
      <w:pPr>
        <w:spacing w:after="0"/>
        <w:rPr>
          <w:szCs w:val="28"/>
        </w:rPr>
      </w:pPr>
      <w:r>
        <w:rPr>
          <w:szCs w:val="28"/>
        </w:rPr>
        <w:lastRenderedPageBreak/>
        <w:t>Regarding the electronic data received, it is monitored on a regular basis for completeness, and data sources are contacted and IT solutions are sought should the feeds be incomplete or fail to arrive.</w:t>
      </w:r>
    </w:p>
    <w:p w14:paraId="52A9C395" w14:textId="77777777" w:rsidR="00CF554D" w:rsidRPr="00E55C8C" w:rsidRDefault="00CF554D" w:rsidP="00CF554D">
      <w:pPr>
        <w:spacing w:after="0"/>
        <w:rPr>
          <w:szCs w:val="28"/>
        </w:rPr>
      </w:pPr>
    </w:p>
    <w:p w14:paraId="55C11F44" w14:textId="77777777" w:rsidR="00CF554D" w:rsidRDefault="00CF554D" w:rsidP="00CF554D">
      <w:pPr>
        <w:spacing w:after="0"/>
        <w:rPr>
          <w:b/>
          <w:szCs w:val="28"/>
        </w:rPr>
      </w:pPr>
      <w:r w:rsidRPr="00936B61">
        <w:rPr>
          <w:b/>
          <w:szCs w:val="28"/>
        </w:rPr>
        <w:tab/>
        <w:t>4</w:t>
      </w:r>
      <w:r w:rsidRPr="00936B61">
        <w:rPr>
          <w:b/>
          <w:szCs w:val="28"/>
        </w:rPr>
        <w:tab/>
        <w:t>Tests of Procedures or Methods t</w:t>
      </w:r>
      <w:r>
        <w:rPr>
          <w:b/>
          <w:szCs w:val="28"/>
        </w:rPr>
        <w:t xml:space="preserve">o be </w:t>
      </w:r>
      <w:proofErr w:type="gramStart"/>
      <w:r>
        <w:rPr>
          <w:b/>
          <w:szCs w:val="28"/>
        </w:rPr>
        <w:t>Undertaken</w:t>
      </w:r>
      <w:proofErr w:type="gramEnd"/>
    </w:p>
    <w:p w14:paraId="6CD9625F" w14:textId="77777777" w:rsidR="00CF554D" w:rsidRDefault="00CF554D" w:rsidP="00CF554D">
      <w:pPr>
        <w:spacing w:after="0"/>
        <w:rPr>
          <w:b/>
          <w:szCs w:val="28"/>
        </w:rPr>
      </w:pPr>
    </w:p>
    <w:p w14:paraId="6A9FBB37" w14:textId="77777777" w:rsidR="00CF554D" w:rsidRPr="00B02F00" w:rsidRDefault="00CF554D" w:rsidP="00CF554D">
      <w:pPr>
        <w:spacing w:after="0"/>
        <w:rPr>
          <w:szCs w:val="28"/>
        </w:rPr>
      </w:pPr>
      <w:r>
        <w:rPr>
          <w:szCs w:val="28"/>
        </w:rPr>
        <w:t>There can be no pilot testing of a data collection instrument, because all data collection is done from already existing data bases via previously approved automated electronic transfers.</w:t>
      </w:r>
    </w:p>
    <w:p w14:paraId="0CDE0B9E" w14:textId="77777777" w:rsidR="00CF554D" w:rsidRPr="00E55C8C" w:rsidRDefault="00CF554D" w:rsidP="00CF554D">
      <w:pPr>
        <w:spacing w:after="0"/>
        <w:rPr>
          <w:szCs w:val="28"/>
        </w:rPr>
      </w:pPr>
    </w:p>
    <w:p w14:paraId="3D706FAF" w14:textId="77777777" w:rsidR="00CF554D" w:rsidRDefault="00CF554D" w:rsidP="00CF554D">
      <w:pPr>
        <w:spacing w:after="0"/>
        <w:rPr>
          <w:b/>
          <w:szCs w:val="28"/>
        </w:rPr>
      </w:pPr>
      <w:r w:rsidRPr="00936B61">
        <w:rPr>
          <w:b/>
          <w:szCs w:val="28"/>
        </w:rPr>
        <w:tab/>
        <w:t>5</w:t>
      </w:r>
      <w:r w:rsidRPr="00936B61">
        <w:rPr>
          <w:b/>
          <w:szCs w:val="28"/>
        </w:rPr>
        <w:tab/>
        <w:t xml:space="preserve">Individuals Consulted on Statistical Aspects and Individuals Collecting and/or Analyzing Data </w:t>
      </w:r>
    </w:p>
    <w:p w14:paraId="1D796AC3" w14:textId="77777777" w:rsidR="00CF554D" w:rsidRDefault="00CF554D" w:rsidP="00CF554D">
      <w:pPr>
        <w:spacing w:after="0"/>
        <w:rPr>
          <w:szCs w:val="28"/>
        </w:rPr>
      </w:pPr>
    </w:p>
    <w:p w14:paraId="11CC35C3" w14:textId="1CD6FC55" w:rsidR="00CF554D" w:rsidRDefault="00CF554D" w:rsidP="00CF554D">
      <w:pPr>
        <w:spacing w:after="0"/>
        <w:rPr>
          <w:szCs w:val="28"/>
        </w:rPr>
      </w:pPr>
      <w:r>
        <w:rPr>
          <w:szCs w:val="28"/>
        </w:rPr>
        <w:t xml:space="preserve">Dr. </w:t>
      </w:r>
      <w:proofErr w:type="spellStart"/>
      <w:r>
        <w:rPr>
          <w:szCs w:val="28"/>
        </w:rPr>
        <w:t>Taha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Kass-Hout</w:t>
      </w:r>
      <w:proofErr w:type="spellEnd"/>
      <w:r>
        <w:rPr>
          <w:szCs w:val="28"/>
        </w:rPr>
        <w:t>, D</w:t>
      </w:r>
      <w:r w:rsidR="00CA4B75">
        <w:rPr>
          <w:szCs w:val="28"/>
        </w:rPr>
        <w:t xml:space="preserve">r. David </w:t>
      </w:r>
      <w:proofErr w:type="spellStart"/>
      <w:r w:rsidR="00CA4B75">
        <w:rPr>
          <w:szCs w:val="28"/>
        </w:rPr>
        <w:t>Buckeridge</w:t>
      </w:r>
      <w:proofErr w:type="spellEnd"/>
      <w:r w:rsidR="00CA4B75">
        <w:rPr>
          <w:szCs w:val="28"/>
        </w:rPr>
        <w:t xml:space="preserve">, </w:t>
      </w:r>
      <w:proofErr w:type="spellStart"/>
      <w:proofErr w:type="gramStart"/>
      <w:r w:rsidR="00CA4B75">
        <w:rPr>
          <w:szCs w:val="28"/>
        </w:rPr>
        <w:t>Zhiheng</w:t>
      </w:r>
      <w:proofErr w:type="spellEnd"/>
      <w:proofErr w:type="gramEnd"/>
      <w:r w:rsidR="00CA4B75">
        <w:rPr>
          <w:szCs w:val="28"/>
        </w:rPr>
        <w:t xml:space="preserve"> </w:t>
      </w:r>
      <w:proofErr w:type="spellStart"/>
      <w:r w:rsidR="00CA4B75">
        <w:rPr>
          <w:szCs w:val="28"/>
        </w:rPr>
        <w:t>Xu</w:t>
      </w:r>
      <w:proofErr w:type="spellEnd"/>
      <w:r w:rsidR="00CA4B75">
        <w:rPr>
          <w:szCs w:val="28"/>
        </w:rPr>
        <w:t xml:space="preserve"> were consulted regarding the Change Point Analysis statistical algorithm. </w:t>
      </w:r>
    </w:p>
    <w:p w14:paraId="1B4B0B58" w14:textId="77777777" w:rsidR="00CA4B75" w:rsidRDefault="00CA4B75" w:rsidP="00CF554D">
      <w:pPr>
        <w:spacing w:after="0"/>
        <w:rPr>
          <w:szCs w:val="28"/>
        </w:rPr>
      </w:pPr>
    </w:p>
    <w:p w14:paraId="6237376E" w14:textId="54240CB9" w:rsidR="00CF554D" w:rsidRDefault="00CA4B75" w:rsidP="00CF554D">
      <w:pPr>
        <w:spacing w:after="0"/>
        <w:rPr>
          <w:szCs w:val="28"/>
        </w:rPr>
      </w:pPr>
      <w:r>
        <w:rPr>
          <w:szCs w:val="28"/>
        </w:rPr>
        <w:t xml:space="preserve">The CDC </w:t>
      </w:r>
      <w:proofErr w:type="spellStart"/>
      <w:r>
        <w:rPr>
          <w:szCs w:val="28"/>
        </w:rPr>
        <w:t>BioSense</w:t>
      </w:r>
      <w:proofErr w:type="spellEnd"/>
      <w:r>
        <w:rPr>
          <w:szCs w:val="28"/>
        </w:rPr>
        <w:t xml:space="preserve"> Epidemiology and Surveillance Team </w:t>
      </w:r>
      <w:proofErr w:type="gramStart"/>
      <w:r>
        <w:rPr>
          <w:szCs w:val="28"/>
        </w:rPr>
        <w:t>was</w:t>
      </w:r>
      <w:proofErr w:type="gramEnd"/>
      <w:r>
        <w:rPr>
          <w:szCs w:val="28"/>
        </w:rPr>
        <w:t xml:space="preserve"> consulted regarding the Modified C2 EARS statistical algorithm. </w:t>
      </w:r>
      <w:r w:rsidR="00CF554D">
        <w:rPr>
          <w:szCs w:val="28"/>
        </w:rPr>
        <w:t xml:space="preserve"> </w:t>
      </w:r>
    </w:p>
    <w:p w14:paraId="28FEE79E" w14:textId="77777777" w:rsidR="00CA4B75" w:rsidRDefault="00CA4B75" w:rsidP="00CF554D">
      <w:pPr>
        <w:spacing w:after="0"/>
        <w:rPr>
          <w:szCs w:val="28"/>
        </w:rPr>
      </w:pPr>
    </w:p>
    <w:p w14:paraId="1D1265AB" w14:textId="60EA65AA" w:rsidR="00CA4B75" w:rsidRDefault="00CA4B75" w:rsidP="00CA4B75">
      <w:pPr>
        <w:spacing w:after="0"/>
        <w:rPr>
          <w:szCs w:val="28"/>
        </w:rPr>
      </w:pPr>
      <w:r>
        <w:rPr>
          <w:szCs w:val="28"/>
        </w:rPr>
        <w:t xml:space="preserve">The statistical algorithm CUSUM is also used in </w:t>
      </w:r>
      <w:proofErr w:type="spellStart"/>
      <w:r>
        <w:rPr>
          <w:szCs w:val="28"/>
        </w:rPr>
        <w:t>BioSense</w:t>
      </w:r>
      <w:proofErr w:type="spellEnd"/>
      <w:r>
        <w:rPr>
          <w:szCs w:val="28"/>
        </w:rPr>
        <w:t xml:space="preserve">, but because it is simpler and commonly used in the practice of </w:t>
      </w:r>
      <w:proofErr w:type="spellStart"/>
      <w:r>
        <w:rPr>
          <w:szCs w:val="28"/>
        </w:rPr>
        <w:t>syndromic</w:t>
      </w:r>
      <w:proofErr w:type="spellEnd"/>
      <w:r>
        <w:rPr>
          <w:szCs w:val="28"/>
        </w:rPr>
        <w:t xml:space="preserve"> surveillance there was no need to consult with experts to institute its use.</w:t>
      </w:r>
    </w:p>
    <w:p w14:paraId="7B565CA3" w14:textId="77777777" w:rsidR="00CF554D" w:rsidRDefault="00CF554D" w:rsidP="00CF554D">
      <w:pPr>
        <w:spacing w:after="0"/>
        <w:rPr>
          <w:color w:val="FF0000"/>
          <w:szCs w:val="28"/>
        </w:rPr>
      </w:pPr>
    </w:p>
    <w:p w14:paraId="3B2CC5B6" w14:textId="2A023401" w:rsidR="00CF554D" w:rsidRPr="001F4DFF" w:rsidRDefault="00CF554D" w:rsidP="00CF554D">
      <w:pPr>
        <w:spacing w:after="0"/>
        <w:rPr>
          <w:szCs w:val="28"/>
        </w:rPr>
      </w:pPr>
    </w:p>
    <w:p w14:paraId="3FA9B18E" w14:textId="77777777" w:rsidR="00CF554D" w:rsidRPr="001F4DFF" w:rsidRDefault="00CF554D" w:rsidP="00CF554D">
      <w:pPr>
        <w:spacing w:after="0"/>
        <w:rPr>
          <w:szCs w:val="28"/>
        </w:rPr>
      </w:pPr>
    </w:p>
    <w:p w14:paraId="768415F3" w14:textId="77777777" w:rsidR="001F4DFF" w:rsidRPr="001F4DFF" w:rsidRDefault="001F4DFF" w:rsidP="001F4DFF">
      <w:pPr>
        <w:spacing w:after="0"/>
        <w:rPr>
          <w:szCs w:val="28"/>
        </w:rPr>
      </w:pPr>
    </w:p>
    <w:sectPr w:rsidR="001F4DFF" w:rsidRPr="001F4DFF" w:rsidSect="00BB3CF4">
      <w:footerReference w:type="default" r:id="rId14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415F6" w14:textId="77777777" w:rsidR="00EB724B" w:rsidRDefault="00EB724B" w:rsidP="001C15AA">
      <w:pPr>
        <w:spacing w:after="0" w:line="240" w:lineRule="auto"/>
      </w:pPr>
      <w:r>
        <w:separator/>
      </w:r>
    </w:p>
  </w:endnote>
  <w:endnote w:type="continuationSeparator" w:id="0">
    <w:p w14:paraId="768415F7" w14:textId="77777777" w:rsidR="00EB724B" w:rsidRDefault="00EB724B" w:rsidP="001C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93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8415F8" w14:textId="77777777" w:rsidR="00EB724B" w:rsidRDefault="00EB72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F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F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415F9" w14:textId="77777777" w:rsidR="00EB724B" w:rsidRDefault="00EB7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415F4" w14:textId="77777777" w:rsidR="00EB724B" w:rsidRDefault="00EB724B" w:rsidP="001C15AA">
      <w:pPr>
        <w:spacing w:after="0" w:line="240" w:lineRule="auto"/>
      </w:pPr>
      <w:r>
        <w:separator/>
      </w:r>
    </w:p>
  </w:footnote>
  <w:footnote w:type="continuationSeparator" w:id="0">
    <w:p w14:paraId="768415F5" w14:textId="77777777" w:rsidR="00EB724B" w:rsidRDefault="00EB724B" w:rsidP="001C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9A3"/>
    <w:multiLevelType w:val="hybridMultilevel"/>
    <w:tmpl w:val="7B780658"/>
    <w:lvl w:ilvl="0" w:tplc="DBD2BE1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07DF4"/>
    <w:multiLevelType w:val="hybridMultilevel"/>
    <w:tmpl w:val="77906A7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FD050B8"/>
    <w:multiLevelType w:val="hybridMultilevel"/>
    <w:tmpl w:val="DE32E16A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1A87B70"/>
    <w:multiLevelType w:val="hybridMultilevel"/>
    <w:tmpl w:val="D798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142614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1EE48148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D82EE2DC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751C7"/>
    <w:multiLevelType w:val="hybridMultilevel"/>
    <w:tmpl w:val="F8DE0A6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6D94559"/>
    <w:multiLevelType w:val="hybridMultilevel"/>
    <w:tmpl w:val="7ADE179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906A68"/>
    <w:multiLevelType w:val="hybridMultilevel"/>
    <w:tmpl w:val="D478C0B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F8D0A85"/>
    <w:multiLevelType w:val="hybridMultilevel"/>
    <w:tmpl w:val="88CA2E0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24AE6E45"/>
    <w:multiLevelType w:val="hybridMultilevel"/>
    <w:tmpl w:val="416AF90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27C73FF0"/>
    <w:multiLevelType w:val="hybridMultilevel"/>
    <w:tmpl w:val="5944DCF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2AFD62D5"/>
    <w:multiLevelType w:val="hybridMultilevel"/>
    <w:tmpl w:val="9A925EEA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D5C64CF"/>
    <w:multiLevelType w:val="hybridMultilevel"/>
    <w:tmpl w:val="318E59C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2EBE796E"/>
    <w:multiLevelType w:val="multilevel"/>
    <w:tmpl w:val="CCDE0D0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3">
    <w:nsid w:val="37C073B1"/>
    <w:multiLevelType w:val="hybridMultilevel"/>
    <w:tmpl w:val="513E0D0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40071BFE"/>
    <w:multiLevelType w:val="hybridMultilevel"/>
    <w:tmpl w:val="279C0BD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40C918A1"/>
    <w:multiLevelType w:val="hybridMultilevel"/>
    <w:tmpl w:val="14F07A7A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44233466"/>
    <w:multiLevelType w:val="hybridMultilevel"/>
    <w:tmpl w:val="EFB0CCA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480D5037"/>
    <w:multiLevelType w:val="multilevel"/>
    <w:tmpl w:val="940AB98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8">
    <w:nsid w:val="487334F4"/>
    <w:multiLevelType w:val="hybridMultilevel"/>
    <w:tmpl w:val="4D16938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F2C0233"/>
    <w:multiLevelType w:val="multilevel"/>
    <w:tmpl w:val="940AB98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0">
    <w:nsid w:val="5101684B"/>
    <w:multiLevelType w:val="hybridMultilevel"/>
    <w:tmpl w:val="EFB0CCA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59177E8E"/>
    <w:multiLevelType w:val="hybridMultilevel"/>
    <w:tmpl w:val="BEC2885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5DF256DA"/>
    <w:multiLevelType w:val="hybridMultilevel"/>
    <w:tmpl w:val="535A0E1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63EA555C"/>
    <w:multiLevelType w:val="multilevel"/>
    <w:tmpl w:val="2982DD2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4">
    <w:nsid w:val="655E2037"/>
    <w:multiLevelType w:val="hybridMultilevel"/>
    <w:tmpl w:val="3A9AB87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66E70A61"/>
    <w:multiLevelType w:val="hybridMultilevel"/>
    <w:tmpl w:val="D76E1DD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69720F82"/>
    <w:multiLevelType w:val="hybridMultilevel"/>
    <w:tmpl w:val="5944DCF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E684908"/>
    <w:multiLevelType w:val="hybridMultilevel"/>
    <w:tmpl w:val="0D561178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8867B46"/>
    <w:multiLevelType w:val="hybridMultilevel"/>
    <w:tmpl w:val="1272F3FA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7A4452B2"/>
    <w:multiLevelType w:val="hybridMultilevel"/>
    <w:tmpl w:val="8E5265FC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7E072F9B"/>
    <w:multiLevelType w:val="hybridMultilevel"/>
    <w:tmpl w:val="1FCC1D9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7"/>
  </w:num>
  <w:num w:numId="5">
    <w:abstractNumId w:val="19"/>
  </w:num>
  <w:num w:numId="6">
    <w:abstractNumId w:val="23"/>
  </w:num>
  <w:num w:numId="7">
    <w:abstractNumId w:val="7"/>
  </w:num>
  <w:num w:numId="8">
    <w:abstractNumId w:val="21"/>
  </w:num>
  <w:num w:numId="9">
    <w:abstractNumId w:val="10"/>
  </w:num>
  <w:num w:numId="10">
    <w:abstractNumId w:val="6"/>
  </w:num>
  <w:num w:numId="11">
    <w:abstractNumId w:val="2"/>
  </w:num>
  <w:num w:numId="12">
    <w:abstractNumId w:val="22"/>
  </w:num>
  <w:num w:numId="13">
    <w:abstractNumId w:val="14"/>
  </w:num>
  <w:num w:numId="14">
    <w:abstractNumId w:val="8"/>
  </w:num>
  <w:num w:numId="15">
    <w:abstractNumId w:val="30"/>
  </w:num>
  <w:num w:numId="16">
    <w:abstractNumId w:val="15"/>
  </w:num>
  <w:num w:numId="17">
    <w:abstractNumId w:val="9"/>
  </w:num>
  <w:num w:numId="18">
    <w:abstractNumId w:val="26"/>
  </w:num>
  <w:num w:numId="19">
    <w:abstractNumId w:val="5"/>
  </w:num>
  <w:num w:numId="20">
    <w:abstractNumId w:val="29"/>
  </w:num>
  <w:num w:numId="21">
    <w:abstractNumId w:val="11"/>
  </w:num>
  <w:num w:numId="22">
    <w:abstractNumId w:val="18"/>
  </w:num>
  <w:num w:numId="23">
    <w:abstractNumId w:val="28"/>
  </w:num>
  <w:num w:numId="24">
    <w:abstractNumId w:val="4"/>
  </w:num>
  <w:num w:numId="25">
    <w:abstractNumId w:val="24"/>
  </w:num>
  <w:num w:numId="26">
    <w:abstractNumId w:val="27"/>
  </w:num>
  <w:num w:numId="27">
    <w:abstractNumId w:val="1"/>
  </w:num>
  <w:num w:numId="28">
    <w:abstractNumId w:val="16"/>
  </w:num>
  <w:num w:numId="29">
    <w:abstractNumId w:val="20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81"/>
    <w:rsid w:val="00001C8F"/>
    <w:rsid w:val="00002C5E"/>
    <w:rsid w:val="00005561"/>
    <w:rsid w:val="000120FC"/>
    <w:rsid w:val="00012737"/>
    <w:rsid w:val="00017AFC"/>
    <w:rsid w:val="000248C3"/>
    <w:rsid w:val="00024C8E"/>
    <w:rsid w:val="0003296F"/>
    <w:rsid w:val="000359F6"/>
    <w:rsid w:val="00056952"/>
    <w:rsid w:val="00085C14"/>
    <w:rsid w:val="0009064A"/>
    <w:rsid w:val="000911B8"/>
    <w:rsid w:val="0009127E"/>
    <w:rsid w:val="000A2E41"/>
    <w:rsid w:val="000A465E"/>
    <w:rsid w:val="000D1A81"/>
    <w:rsid w:val="000D21D3"/>
    <w:rsid w:val="000D4C58"/>
    <w:rsid w:val="000E7FDD"/>
    <w:rsid w:val="000F06AD"/>
    <w:rsid w:val="000F3565"/>
    <w:rsid w:val="00112E2C"/>
    <w:rsid w:val="001309F9"/>
    <w:rsid w:val="001473BB"/>
    <w:rsid w:val="0015396F"/>
    <w:rsid w:val="00157FA8"/>
    <w:rsid w:val="0016505F"/>
    <w:rsid w:val="00187824"/>
    <w:rsid w:val="001911CC"/>
    <w:rsid w:val="00191EE7"/>
    <w:rsid w:val="00192530"/>
    <w:rsid w:val="001B5553"/>
    <w:rsid w:val="001C15AA"/>
    <w:rsid w:val="001D6DA9"/>
    <w:rsid w:val="001F4388"/>
    <w:rsid w:val="001F4DFF"/>
    <w:rsid w:val="001F6589"/>
    <w:rsid w:val="002007C9"/>
    <w:rsid w:val="002104ED"/>
    <w:rsid w:val="00235AD4"/>
    <w:rsid w:val="002448F8"/>
    <w:rsid w:val="00245597"/>
    <w:rsid w:val="0025065A"/>
    <w:rsid w:val="00254D00"/>
    <w:rsid w:val="002609D0"/>
    <w:rsid w:val="0028205D"/>
    <w:rsid w:val="0028269B"/>
    <w:rsid w:val="002865A4"/>
    <w:rsid w:val="0029529B"/>
    <w:rsid w:val="002978F3"/>
    <w:rsid w:val="002A4A08"/>
    <w:rsid w:val="002B7D0B"/>
    <w:rsid w:val="002E7393"/>
    <w:rsid w:val="002F4A41"/>
    <w:rsid w:val="00307673"/>
    <w:rsid w:val="00317E35"/>
    <w:rsid w:val="00325296"/>
    <w:rsid w:val="00337218"/>
    <w:rsid w:val="0035684F"/>
    <w:rsid w:val="00362284"/>
    <w:rsid w:val="00372FEE"/>
    <w:rsid w:val="00375459"/>
    <w:rsid w:val="00376C3B"/>
    <w:rsid w:val="003824BB"/>
    <w:rsid w:val="00383DFB"/>
    <w:rsid w:val="003B5531"/>
    <w:rsid w:val="003B57AD"/>
    <w:rsid w:val="003C1205"/>
    <w:rsid w:val="003D64E5"/>
    <w:rsid w:val="003E2AB3"/>
    <w:rsid w:val="003F0577"/>
    <w:rsid w:val="003F4DBA"/>
    <w:rsid w:val="003F66D0"/>
    <w:rsid w:val="003F735E"/>
    <w:rsid w:val="00410136"/>
    <w:rsid w:val="00425495"/>
    <w:rsid w:val="004409B6"/>
    <w:rsid w:val="004443C1"/>
    <w:rsid w:val="004638CB"/>
    <w:rsid w:val="004653FB"/>
    <w:rsid w:val="00465D3D"/>
    <w:rsid w:val="00465EA1"/>
    <w:rsid w:val="00472F87"/>
    <w:rsid w:val="004775E5"/>
    <w:rsid w:val="004822FE"/>
    <w:rsid w:val="004938EC"/>
    <w:rsid w:val="004A2B2B"/>
    <w:rsid w:val="004D6798"/>
    <w:rsid w:val="004D71A0"/>
    <w:rsid w:val="004F21C3"/>
    <w:rsid w:val="00512439"/>
    <w:rsid w:val="00512454"/>
    <w:rsid w:val="005161E6"/>
    <w:rsid w:val="00521AAE"/>
    <w:rsid w:val="00541723"/>
    <w:rsid w:val="005519A9"/>
    <w:rsid w:val="005529C2"/>
    <w:rsid w:val="00554FA6"/>
    <w:rsid w:val="00557D1F"/>
    <w:rsid w:val="00563AA8"/>
    <w:rsid w:val="005727AB"/>
    <w:rsid w:val="00575364"/>
    <w:rsid w:val="0058378F"/>
    <w:rsid w:val="005861A6"/>
    <w:rsid w:val="005A1CC8"/>
    <w:rsid w:val="005A7432"/>
    <w:rsid w:val="005B1779"/>
    <w:rsid w:val="005D5E7B"/>
    <w:rsid w:val="005E062E"/>
    <w:rsid w:val="005E6C55"/>
    <w:rsid w:val="005F5036"/>
    <w:rsid w:val="00600606"/>
    <w:rsid w:val="00602640"/>
    <w:rsid w:val="0060338F"/>
    <w:rsid w:val="006227FB"/>
    <w:rsid w:val="00634A89"/>
    <w:rsid w:val="0064370F"/>
    <w:rsid w:val="00647622"/>
    <w:rsid w:val="00650D09"/>
    <w:rsid w:val="00650E7A"/>
    <w:rsid w:val="00650FBC"/>
    <w:rsid w:val="006579E9"/>
    <w:rsid w:val="006646A3"/>
    <w:rsid w:val="00665094"/>
    <w:rsid w:val="006B1206"/>
    <w:rsid w:val="006B425D"/>
    <w:rsid w:val="006C47BB"/>
    <w:rsid w:val="006C4B3D"/>
    <w:rsid w:val="006D281A"/>
    <w:rsid w:val="006E3D32"/>
    <w:rsid w:val="006F1926"/>
    <w:rsid w:val="006F5FB5"/>
    <w:rsid w:val="00701A62"/>
    <w:rsid w:val="00715EE4"/>
    <w:rsid w:val="00723507"/>
    <w:rsid w:val="00741E0A"/>
    <w:rsid w:val="00750F3A"/>
    <w:rsid w:val="00754F82"/>
    <w:rsid w:val="007579A3"/>
    <w:rsid w:val="007858ED"/>
    <w:rsid w:val="0079678D"/>
    <w:rsid w:val="007B62CB"/>
    <w:rsid w:val="007C0D44"/>
    <w:rsid w:val="007C2062"/>
    <w:rsid w:val="007D4700"/>
    <w:rsid w:val="007D698D"/>
    <w:rsid w:val="007E28C5"/>
    <w:rsid w:val="007E3090"/>
    <w:rsid w:val="007E59FE"/>
    <w:rsid w:val="00805188"/>
    <w:rsid w:val="0081513A"/>
    <w:rsid w:val="00820A48"/>
    <w:rsid w:val="0082581B"/>
    <w:rsid w:val="008517A4"/>
    <w:rsid w:val="008537DD"/>
    <w:rsid w:val="00864A8D"/>
    <w:rsid w:val="00867C9D"/>
    <w:rsid w:val="00875BF0"/>
    <w:rsid w:val="00876634"/>
    <w:rsid w:val="008843D2"/>
    <w:rsid w:val="00890352"/>
    <w:rsid w:val="0089293C"/>
    <w:rsid w:val="008A3B3F"/>
    <w:rsid w:val="008A6A8D"/>
    <w:rsid w:val="008B11D2"/>
    <w:rsid w:val="008C152F"/>
    <w:rsid w:val="008C2221"/>
    <w:rsid w:val="008C35BE"/>
    <w:rsid w:val="008C3C9A"/>
    <w:rsid w:val="008D42C0"/>
    <w:rsid w:val="008D7084"/>
    <w:rsid w:val="008F1715"/>
    <w:rsid w:val="008F669B"/>
    <w:rsid w:val="009028D8"/>
    <w:rsid w:val="0090715A"/>
    <w:rsid w:val="00907DAE"/>
    <w:rsid w:val="00913148"/>
    <w:rsid w:val="00936B61"/>
    <w:rsid w:val="00940256"/>
    <w:rsid w:val="00956A47"/>
    <w:rsid w:val="00960571"/>
    <w:rsid w:val="00964ADC"/>
    <w:rsid w:val="009A7921"/>
    <w:rsid w:val="009B3C76"/>
    <w:rsid w:val="009B4DD7"/>
    <w:rsid w:val="009C0329"/>
    <w:rsid w:val="009C2086"/>
    <w:rsid w:val="009C4F56"/>
    <w:rsid w:val="009D0CF7"/>
    <w:rsid w:val="009E0FC6"/>
    <w:rsid w:val="009E33F8"/>
    <w:rsid w:val="009F2593"/>
    <w:rsid w:val="009F6D61"/>
    <w:rsid w:val="00A23465"/>
    <w:rsid w:val="00A32E86"/>
    <w:rsid w:val="00A41D9F"/>
    <w:rsid w:val="00A420BE"/>
    <w:rsid w:val="00A4526E"/>
    <w:rsid w:val="00A453B9"/>
    <w:rsid w:val="00A45801"/>
    <w:rsid w:val="00A569C1"/>
    <w:rsid w:val="00A570F5"/>
    <w:rsid w:val="00A57EA4"/>
    <w:rsid w:val="00A67A66"/>
    <w:rsid w:val="00A80F9C"/>
    <w:rsid w:val="00A95582"/>
    <w:rsid w:val="00A97B73"/>
    <w:rsid w:val="00AA0762"/>
    <w:rsid w:val="00AA7BB1"/>
    <w:rsid w:val="00AC203B"/>
    <w:rsid w:val="00AD1106"/>
    <w:rsid w:val="00AD144E"/>
    <w:rsid w:val="00AD2A53"/>
    <w:rsid w:val="00AE1CDD"/>
    <w:rsid w:val="00B019C4"/>
    <w:rsid w:val="00B02F00"/>
    <w:rsid w:val="00B22AFA"/>
    <w:rsid w:val="00B239AA"/>
    <w:rsid w:val="00B554A7"/>
    <w:rsid w:val="00B563BE"/>
    <w:rsid w:val="00B62A67"/>
    <w:rsid w:val="00B6748D"/>
    <w:rsid w:val="00B97779"/>
    <w:rsid w:val="00BA1A36"/>
    <w:rsid w:val="00BA6ACA"/>
    <w:rsid w:val="00BB29F8"/>
    <w:rsid w:val="00BB3CF4"/>
    <w:rsid w:val="00BC705D"/>
    <w:rsid w:val="00BD192E"/>
    <w:rsid w:val="00BD26D9"/>
    <w:rsid w:val="00BE4292"/>
    <w:rsid w:val="00BE59B3"/>
    <w:rsid w:val="00BE6304"/>
    <w:rsid w:val="00BF293A"/>
    <w:rsid w:val="00BF3092"/>
    <w:rsid w:val="00BF4F29"/>
    <w:rsid w:val="00C117BD"/>
    <w:rsid w:val="00C129C5"/>
    <w:rsid w:val="00C21BCA"/>
    <w:rsid w:val="00C23064"/>
    <w:rsid w:val="00C30C17"/>
    <w:rsid w:val="00C31452"/>
    <w:rsid w:val="00C34828"/>
    <w:rsid w:val="00C52DFB"/>
    <w:rsid w:val="00C54B56"/>
    <w:rsid w:val="00C55F94"/>
    <w:rsid w:val="00C81469"/>
    <w:rsid w:val="00C82CF3"/>
    <w:rsid w:val="00C9605D"/>
    <w:rsid w:val="00CA4B75"/>
    <w:rsid w:val="00CB76E2"/>
    <w:rsid w:val="00CC21FC"/>
    <w:rsid w:val="00CC6749"/>
    <w:rsid w:val="00CD5E51"/>
    <w:rsid w:val="00CD7F6B"/>
    <w:rsid w:val="00CE4C5E"/>
    <w:rsid w:val="00CF1485"/>
    <w:rsid w:val="00CF554D"/>
    <w:rsid w:val="00D17C37"/>
    <w:rsid w:val="00D4296F"/>
    <w:rsid w:val="00D457FA"/>
    <w:rsid w:val="00D54712"/>
    <w:rsid w:val="00D56BC3"/>
    <w:rsid w:val="00D621C9"/>
    <w:rsid w:val="00D67B2D"/>
    <w:rsid w:val="00D76380"/>
    <w:rsid w:val="00D85B9A"/>
    <w:rsid w:val="00D86A9E"/>
    <w:rsid w:val="00D87928"/>
    <w:rsid w:val="00D96B37"/>
    <w:rsid w:val="00DA21C7"/>
    <w:rsid w:val="00DA53F7"/>
    <w:rsid w:val="00DA6331"/>
    <w:rsid w:val="00DB26DF"/>
    <w:rsid w:val="00DC4E90"/>
    <w:rsid w:val="00DD4D42"/>
    <w:rsid w:val="00DE3CF4"/>
    <w:rsid w:val="00DE4061"/>
    <w:rsid w:val="00DE4E0C"/>
    <w:rsid w:val="00DF1952"/>
    <w:rsid w:val="00E15D9B"/>
    <w:rsid w:val="00E215B5"/>
    <w:rsid w:val="00E33894"/>
    <w:rsid w:val="00E4182F"/>
    <w:rsid w:val="00E50A51"/>
    <w:rsid w:val="00E55C8C"/>
    <w:rsid w:val="00E63205"/>
    <w:rsid w:val="00E63D50"/>
    <w:rsid w:val="00E64C63"/>
    <w:rsid w:val="00E75788"/>
    <w:rsid w:val="00E8050D"/>
    <w:rsid w:val="00E82BC0"/>
    <w:rsid w:val="00E8601F"/>
    <w:rsid w:val="00E9331F"/>
    <w:rsid w:val="00E93D07"/>
    <w:rsid w:val="00E96E47"/>
    <w:rsid w:val="00EA10C5"/>
    <w:rsid w:val="00EA19DF"/>
    <w:rsid w:val="00EB724B"/>
    <w:rsid w:val="00EC1867"/>
    <w:rsid w:val="00ED63D3"/>
    <w:rsid w:val="00EE4B3E"/>
    <w:rsid w:val="00EF66B3"/>
    <w:rsid w:val="00F01FB8"/>
    <w:rsid w:val="00F03B02"/>
    <w:rsid w:val="00F207C9"/>
    <w:rsid w:val="00F25349"/>
    <w:rsid w:val="00F257A3"/>
    <w:rsid w:val="00F33C9C"/>
    <w:rsid w:val="00F33EE6"/>
    <w:rsid w:val="00F5527B"/>
    <w:rsid w:val="00F64649"/>
    <w:rsid w:val="00F6531E"/>
    <w:rsid w:val="00F665D5"/>
    <w:rsid w:val="00F71A76"/>
    <w:rsid w:val="00F7237E"/>
    <w:rsid w:val="00F8315B"/>
    <w:rsid w:val="00F90059"/>
    <w:rsid w:val="00F95A38"/>
    <w:rsid w:val="00F962EF"/>
    <w:rsid w:val="00F96AAA"/>
    <w:rsid w:val="00FA1BD1"/>
    <w:rsid w:val="00FA7B14"/>
    <w:rsid w:val="00FB229C"/>
    <w:rsid w:val="00FB4111"/>
    <w:rsid w:val="00FD2D16"/>
    <w:rsid w:val="00FD41EF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1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81"/>
    <w:pPr>
      <w:ind w:left="720"/>
      <w:contextualSpacing/>
    </w:pPr>
  </w:style>
  <w:style w:type="character" w:styleId="Hyperlink">
    <w:name w:val="Hyperlink"/>
    <w:basedOn w:val="DefaultParagraphFont"/>
    <w:rsid w:val="00EA19D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01C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AA"/>
  </w:style>
  <w:style w:type="paragraph" w:styleId="Footer">
    <w:name w:val="footer"/>
    <w:basedOn w:val="Normal"/>
    <w:link w:val="FooterChar"/>
    <w:uiPriority w:val="99"/>
    <w:unhideWhenUsed/>
    <w:rsid w:val="001C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AA"/>
  </w:style>
  <w:style w:type="table" w:styleId="TableGrid">
    <w:name w:val="Table Grid"/>
    <w:basedOn w:val="TableNormal"/>
    <w:uiPriority w:val="59"/>
    <w:rsid w:val="00EC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325289983msonormal">
    <w:name w:val="yiv1325289983msonormal"/>
    <w:basedOn w:val="Normal"/>
    <w:rsid w:val="00E8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81"/>
    <w:pPr>
      <w:ind w:left="720"/>
      <w:contextualSpacing/>
    </w:pPr>
  </w:style>
  <w:style w:type="character" w:styleId="Hyperlink">
    <w:name w:val="Hyperlink"/>
    <w:basedOn w:val="DefaultParagraphFont"/>
    <w:rsid w:val="00EA19D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01C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AA"/>
  </w:style>
  <w:style w:type="paragraph" w:styleId="Footer">
    <w:name w:val="footer"/>
    <w:basedOn w:val="Normal"/>
    <w:link w:val="FooterChar"/>
    <w:uiPriority w:val="99"/>
    <w:unhideWhenUsed/>
    <w:rsid w:val="001C1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AA"/>
  </w:style>
  <w:style w:type="table" w:styleId="TableGrid">
    <w:name w:val="Table Grid"/>
    <w:basedOn w:val="TableNormal"/>
    <w:uiPriority w:val="59"/>
    <w:rsid w:val="00EC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325289983msonormal">
    <w:name w:val="yiv1325289983msonormal"/>
    <w:basedOn w:val="Normal"/>
    <w:rsid w:val="00E8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kxg7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5355036f-8ed4-4ec2-949d-7294eef79177">OMB/PRA</Document_x0020_Type>
    <Date_x0020_Received xmlns="5355036f-8ed4-4ec2-949d-7294eef79177" xsi:nil="true"/>
    <For_x0020_Budget_x0020_Formulation_x003a__x0020_Fiscal_x0020_Years xmlns="5355036f-8ed4-4ec2-949d-7294eef79177" xsi:nil="true"/>
    <Requesting_x0020_Office xmlns="5355036f-8ed4-4ec2-949d-7294eef79177" xsi:nil="true"/>
    <For_x0020_Budget_x0020_Formulation_x003a__x0020_Submission xmlns="5355036f-8ed4-4ec2-949d-7294eef79177" xsi:nil="true"/>
    <Request_x0020_Title xmlns="5355036f-8ed4-4ec2-949d-7294eef79177">BioSense ICR (0920-0824)</Request_x0020_Title>
    <Due_x0020_Date xmlns="5355036f-8ed4-4ec2-949d-7294eef79177" xsi:nil="true"/>
    <_dlc_DocId xmlns="61e0aa89-821a-4b43-b623-2509ea82b111">7DAU5SSH7P55-581-98</_dlc_DocId>
    <_dlc_DocIdUrl xmlns="61e0aa89-821a-4b43-b623-2509ea82b111">
      <Url>http://esp.cdc.gov/sites/osels/PHSIPO/PO/_layouts/DocIdRedir.aspx?ID=7DAU5SSH7P55-581-98</Url>
      <Description>7DAU5SSH7P55-581-98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020A9217BDD4E9204EC36317BFE71" ma:contentTypeVersion="10" ma:contentTypeDescription="Create a new document." ma:contentTypeScope="" ma:versionID="66242a36599f5bb6d0ac90d52fde50fa">
  <xsd:schema xmlns:xsd="http://www.w3.org/2001/XMLSchema" xmlns:xs="http://www.w3.org/2001/XMLSchema" xmlns:p="http://schemas.microsoft.com/office/2006/metadata/properties" xmlns:ns2="5355036f-8ed4-4ec2-949d-7294eef79177" xmlns:ns4="61e0aa89-821a-4b43-b623-2509ea82b111" targetNamespace="http://schemas.microsoft.com/office/2006/metadata/properties" ma:root="true" ma:fieldsID="9845e3da49011782e4689e8d10c77cdd" ns2:_="" ns4:_="">
    <xsd:import namespace="5355036f-8ed4-4ec2-949d-7294eef79177"/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Requesting_x0020_Office" minOccurs="0"/>
                <xsd:element ref="ns2:Request_x0020_Title" minOccurs="0"/>
                <xsd:element ref="ns2:Due_x0020_Date" minOccurs="0"/>
                <xsd:element ref="ns2:Date_x0020_Received" minOccurs="0"/>
                <xsd:element ref="ns2:Document_x0020_Type"/>
                <xsd:element ref="ns4:_dlc_DocId" minOccurs="0"/>
                <xsd:element ref="ns4:_dlc_DocIdUrl" minOccurs="0"/>
                <xsd:element ref="ns4:_dlc_DocIdPersistId" minOccurs="0"/>
                <xsd:element ref="ns2:For_x0020_Budget_x0020_Formulation_x003a__x0020_Fiscal_x0020_Years" minOccurs="0"/>
                <xsd:element ref="ns2:For_x0020_Budget_x0020_Formulation_x003a__x0020_Submis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5036f-8ed4-4ec2-949d-7294eef79177" elementFormDefault="qualified">
    <xsd:import namespace="http://schemas.microsoft.com/office/2006/documentManagement/types"/>
    <xsd:import namespace="http://schemas.microsoft.com/office/infopath/2007/PartnerControls"/>
    <xsd:element name="Requesting_x0020_Office" ma:index="8" nillable="true" ma:displayName="Requesting Office" ma:internalName="Requesting_x0020_Office">
      <xsd:simpleType>
        <xsd:restriction base="dms:Text">
          <xsd:maxLength value="255"/>
        </xsd:restriction>
      </xsd:simpleType>
    </xsd:element>
    <xsd:element name="Request_x0020_Title" ma:index="9" nillable="true" ma:displayName="Request Title" ma:internalName="Request_x0020_Title">
      <xsd:simpleType>
        <xsd:restriction base="dms:Text">
          <xsd:maxLength value="255"/>
        </xsd:restriction>
      </xsd:simpleType>
    </xsd:element>
    <xsd:element name="Due_x0020_Date" ma:index="10" nillable="true" ma:displayName="Due Date" ma:format="DateTime" ma:internalName="Due_x0020_Date">
      <xsd:simpleType>
        <xsd:restriction base="dms:DateTime"/>
      </xsd:simpleType>
    </xsd:element>
    <xsd:element name="Date_x0020_Received" ma:index="11" nillable="true" ma:displayName="Date Received" ma:format="DateOnly" ma:internalName="Date_x0020_Received">
      <xsd:simpleType>
        <xsd:restriction base="dms:DateTime"/>
      </xsd:simpleType>
    </xsd:element>
    <xsd:element name="Document_x0020_Type" ma:index="13" ma:displayName="Document Type" ma:format="Dropdown" ma:internalName="Document_x0020_Type">
      <xsd:simpleType>
        <xsd:restriction base="dms:Choice">
          <xsd:enumeration value="Data Requests"/>
          <xsd:enumeration value="Budget Formulation"/>
          <xsd:enumeration value="Impact Statements"/>
          <xsd:enumeration value="Fact Sheets"/>
          <xsd:enumeration value="OMB/PRA"/>
        </xsd:restriction>
      </xsd:simpleType>
    </xsd:element>
    <xsd:element name="For_x0020_Budget_x0020_Formulation_x003a__x0020_Fiscal_x0020_Years" ma:index="17" nillable="true" ma:displayName="For Budget Formulation: Fiscal Years" ma:format="Dropdown" ma:internalName="For_x0020_Budget_x0020_Formulation_x003a__x0020_Fiscal_x0020_Years">
      <xsd:simpleType>
        <xsd:restriction base="dms:Choice">
          <xsd:enumeration value="FY 2011"/>
          <xsd:enumeration value="FY 2012"/>
          <xsd:enumeration value="FY 2013"/>
          <xsd:enumeration value="FY 2014"/>
          <xsd:enumeration value="FY 2015"/>
        </xsd:restriction>
      </xsd:simpleType>
    </xsd:element>
    <xsd:element name="For_x0020_Budget_x0020_Formulation_x003a__x0020_Submission" ma:index="18" nillable="true" ma:displayName="For Budget Formulation: Submission" ma:format="Dropdown" ma:internalName="For_x0020_Budget_x0020_Formulation_x003a__x0020_Submission">
      <xsd:simpleType>
        <xsd:restriction base="dms:Choice">
          <xsd:enumeration value="HHS"/>
          <xsd:enumeration value="OMBJ"/>
          <xsd:enumeration value="CJ"/>
          <xsd:enumeration value="House Mark"/>
          <xsd:enumeration value="Senate Mark"/>
          <xsd:enumeration value="Ceiling Allo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0BEE-AF11-4EA1-BBB9-1509A1FF6F73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61e0aa89-821a-4b43-b623-2509ea82b111"/>
    <ds:schemaRef ds:uri="http://schemas.openxmlformats.org/package/2006/metadata/core-properties"/>
    <ds:schemaRef ds:uri="5355036f-8ed4-4ec2-949d-7294eef7917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50167E-402F-475A-B457-3556366C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5036f-8ed4-4ec2-949d-7294eef79177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F5D6A-028E-4CA5-A06F-1F2E273A70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28504A-A313-4A02-9AF4-8C1CF1F62C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3B43E5-D2C7-47D4-916A-9A63AB26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BioSense ICR (0920-0824)</vt:lpstr>
    </vt:vector>
  </TitlesOfParts>
  <Company>Centers for Disease Control and Prevention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BioSense ICR (0920-0824)</dc:title>
  <dc:creator>Sherry Burrer</dc:creator>
  <cp:lastModifiedBy>CDC User</cp:lastModifiedBy>
  <cp:revision>5</cp:revision>
  <cp:lastPrinted>2012-08-22T12:15:00Z</cp:lastPrinted>
  <dcterms:created xsi:type="dcterms:W3CDTF">2012-08-02T17:39:00Z</dcterms:created>
  <dcterms:modified xsi:type="dcterms:W3CDTF">2012-08-22T12:15:00Z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0x010100316020A9217BDD4E9204EC36317BFE71</vt:lpwstr>
  </property>
  <property fmtid="{D5CDD505-2E9C-101B-9397-08002B2CF9AE}" pid="3" name="_dlc_DocIdItemGuid">
    <vt:lpwstr>ffd0f051-8f0d-4ed0-bcd3-6553c4dd2011</vt:lpwstr>
  </property>
</Properties>
</file>