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98D" w:rsidRPr="00D23FFC" w:rsidRDefault="00CA098D" w:rsidP="00DF3839">
      <w:pPr>
        <w:widowControl/>
        <w:tabs>
          <w:tab w:val="left" w:pos="-1440"/>
        </w:tabs>
        <w:rPr>
          <w:rFonts w:ascii="Times New Roman" w:hAnsi="Times New Roman"/>
          <w:b/>
          <w:szCs w:val="24"/>
        </w:rPr>
      </w:pPr>
    </w:p>
    <w:p w:rsidR="005071F2" w:rsidRPr="00D23FFC" w:rsidRDefault="00386084" w:rsidP="00FE2669">
      <w:pPr>
        <w:widowControl/>
        <w:tabs>
          <w:tab w:val="left" w:pos="-1440"/>
        </w:tabs>
        <w:jc w:val="center"/>
        <w:rPr>
          <w:rFonts w:ascii="Times New Roman" w:hAnsi="Times New Roman"/>
          <w:b/>
          <w:szCs w:val="24"/>
        </w:rPr>
      </w:pPr>
      <w:r w:rsidRPr="00D23FFC">
        <w:rPr>
          <w:rFonts w:ascii="Times New Roman" w:hAnsi="Times New Roman"/>
          <w:b/>
          <w:szCs w:val="24"/>
        </w:rPr>
        <w:t>Supporting Statement for the</w:t>
      </w:r>
    </w:p>
    <w:p w:rsidR="000E1E8F" w:rsidRPr="00D23FFC" w:rsidRDefault="00ED0AB8">
      <w:pPr>
        <w:widowControl/>
        <w:tabs>
          <w:tab w:val="left" w:pos="-1440"/>
        </w:tabs>
        <w:jc w:val="center"/>
        <w:rPr>
          <w:rFonts w:ascii="Times New Roman" w:hAnsi="Times New Roman"/>
          <w:b/>
          <w:szCs w:val="24"/>
        </w:rPr>
      </w:pPr>
      <w:r w:rsidRPr="00D23FFC">
        <w:rPr>
          <w:rFonts w:ascii="Times New Roman" w:hAnsi="Times New Roman"/>
          <w:b/>
          <w:szCs w:val="24"/>
        </w:rPr>
        <w:t>Reporting</w:t>
      </w:r>
      <w:r w:rsidR="00D757AD" w:rsidRPr="00D23FFC">
        <w:rPr>
          <w:rFonts w:ascii="Times New Roman" w:hAnsi="Times New Roman"/>
          <w:b/>
          <w:szCs w:val="24"/>
        </w:rPr>
        <w:t xml:space="preserve"> </w:t>
      </w:r>
      <w:r w:rsidR="005071F2" w:rsidRPr="00D23FFC">
        <w:rPr>
          <w:rFonts w:ascii="Times New Roman" w:hAnsi="Times New Roman"/>
          <w:b/>
          <w:szCs w:val="24"/>
        </w:rPr>
        <w:t>R</w:t>
      </w:r>
      <w:r w:rsidR="00386084" w:rsidRPr="00D23FFC">
        <w:rPr>
          <w:rFonts w:ascii="Times New Roman" w:hAnsi="Times New Roman"/>
          <w:b/>
          <w:szCs w:val="24"/>
        </w:rPr>
        <w:t>equirements</w:t>
      </w:r>
      <w:r w:rsidR="00726339" w:rsidRPr="00D23FFC">
        <w:rPr>
          <w:rFonts w:ascii="Times New Roman" w:hAnsi="Times New Roman"/>
          <w:b/>
          <w:szCs w:val="24"/>
        </w:rPr>
        <w:t xml:space="preserve"> Associated with</w:t>
      </w:r>
      <w:r w:rsidR="006B29DE" w:rsidRPr="00D23FFC">
        <w:rPr>
          <w:rFonts w:ascii="Times New Roman" w:hAnsi="Times New Roman"/>
          <w:b/>
          <w:szCs w:val="24"/>
        </w:rPr>
        <w:t xml:space="preserve"> Regulation </w:t>
      </w:r>
      <w:r w:rsidR="000E1E8F" w:rsidRPr="00D23FFC">
        <w:rPr>
          <w:rFonts w:ascii="Times New Roman" w:hAnsi="Times New Roman"/>
          <w:b/>
          <w:szCs w:val="24"/>
        </w:rPr>
        <w:t>QQ</w:t>
      </w:r>
    </w:p>
    <w:p w:rsidR="003643AD" w:rsidRPr="00D23FFC" w:rsidRDefault="006B29DE">
      <w:pPr>
        <w:widowControl/>
        <w:tabs>
          <w:tab w:val="left" w:pos="-1440"/>
        </w:tabs>
        <w:jc w:val="center"/>
        <w:rPr>
          <w:rFonts w:ascii="Times New Roman" w:hAnsi="Times New Roman"/>
          <w:b/>
          <w:szCs w:val="24"/>
        </w:rPr>
      </w:pPr>
      <w:r w:rsidRPr="00D23FFC">
        <w:rPr>
          <w:rFonts w:ascii="Times New Roman" w:hAnsi="Times New Roman"/>
          <w:b/>
          <w:szCs w:val="24"/>
        </w:rPr>
        <w:t>(</w:t>
      </w:r>
      <w:r w:rsidR="000E1E8F" w:rsidRPr="00D23FFC">
        <w:rPr>
          <w:rFonts w:ascii="Times New Roman" w:eastAsia="Melior" w:hAnsi="Times New Roman"/>
          <w:b/>
          <w:snapToGrid/>
          <w:szCs w:val="24"/>
        </w:rPr>
        <w:t>Resolution Plans Required</w:t>
      </w:r>
      <w:r w:rsidRPr="00D23FFC">
        <w:rPr>
          <w:rFonts w:ascii="Times New Roman" w:hAnsi="Times New Roman"/>
          <w:b/>
          <w:szCs w:val="24"/>
        </w:rPr>
        <w:t>)</w:t>
      </w:r>
      <w:r w:rsidR="00FE2669" w:rsidRPr="00D23FFC">
        <w:rPr>
          <w:rFonts w:ascii="Times New Roman" w:hAnsi="Times New Roman"/>
          <w:b/>
          <w:szCs w:val="24"/>
        </w:rPr>
        <w:t xml:space="preserve"> (</w:t>
      </w:r>
      <w:r w:rsidR="0079691B" w:rsidRPr="00D23FFC">
        <w:rPr>
          <w:rFonts w:ascii="Times New Roman" w:hAnsi="Times New Roman"/>
          <w:b/>
          <w:szCs w:val="24"/>
        </w:rPr>
        <w:t xml:space="preserve">Reg </w:t>
      </w:r>
      <w:r w:rsidR="000E1E8F" w:rsidRPr="00D23FFC">
        <w:rPr>
          <w:rFonts w:ascii="Times New Roman" w:hAnsi="Times New Roman"/>
          <w:b/>
          <w:szCs w:val="24"/>
        </w:rPr>
        <w:t>QQ</w:t>
      </w:r>
      <w:r w:rsidR="0079691B" w:rsidRPr="00D23FFC">
        <w:rPr>
          <w:rFonts w:ascii="Times New Roman" w:hAnsi="Times New Roman"/>
          <w:b/>
          <w:szCs w:val="24"/>
        </w:rPr>
        <w:t xml:space="preserve">; </w:t>
      </w:r>
      <w:r w:rsidR="00FE2669" w:rsidRPr="00D23FFC">
        <w:rPr>
          <w:rFonts w:ascii="Times New Roman" w:hAnsi="Times New Roman"/>
          <w:b/>
          <w:szCs w:val="24"/>
        </w:rPr>
        <w:t xml:space="preserve">OMB No. </w:t>
      </w:r>
      <w:r w:rsidR="008E69DD" w:rsidRPr="00D23FFC">
        <w:rPr>
          <w:rFonts w:ascii="Times New Roman" w:hAnsi="Times New Roman"/>
          <w:b/>
          <w:szCs w:val="24"/>
        </w:rPr>
        <w:t>7100-</w:t>
      </w:r>
      <w:r w:rsidR="000E1E8F" w:rsidRPr="00D23FFC">
        <w:rPr>
          <w:rFonts w:ascii="Times New Roman" w:hAnsi="Times New Roman"/>
          <w:b/>
          <w:szCs w:val="24"/>
        </w:rPr>
        <w:t>0346</w:t>
      </w:r>
      <w:r w:rsidR="00FE2669" w:rsidRPr="00D23FFC">
        <w:rPr>
          <w:rFonts w:ascii="Times New Roman" w:hAnsi="Times New Roman"/>
          <w:b/>
          <w:szCs w:val="24"/>
        </w:rPr>
        <w:t>)</w:t>
      </w:r>
      <w:bookmarkStart w:id="0" w:name="OLE_LINK1"/>
    </w:p>
    <w:p w:rsidR="0079691B" w:rsidRPr="00D23FFC" w:rsidRDefault="0079691B" w:rsidP="00386084">
      <w:pPr>
        <w:jc w:val="center"/>
        <w:rPr>
          <w:rFonts w:ascii="Times New Roman" w:hAnsi="Times New Roman"/>
          <w:b/>
          <w:szCs w:val="24"/>
        </w:rPr>
      </w:pPr>
    </w:p>
    <w:p w:rsidR="00FE2669" w:rsidRPr="00D23FFC" w:rsidRDefault="006604E1" w:rsidP="00386084">
      <w:pPr>
        <w:jc w:val="center"/>
        <w:rPr>
          <w:rFonts w:ascii="Times New Roman" w:hAnsi="Times New Roman"/>
          <w:b/>
          <w:i/>
          <w:szCs w:val="24"/>
        </w:rPr>
      </w:pPr>
      <w:r w:rsidRPr="00D23FFC">
        <w:rPr>
          <w:rFonts w:ascii="Times New Roman" w:hAnsi="Times New Roman"/>
          <w:b/>
          <w:i/>
          <w:szCs w:val="24"/>
        </w:rPr>
        <w:t xml:space="preserve"> (Docket No. </w:t>
      </w:r>
      <w:r w:rsidR="00BD4D16" w:rsidRPr="00D23FFC">
        <w:rPr>
          <w:rFonts w:ascii="Times New Roman" w:hAnsi="Times New Roman"/>
          <w:b/>
          <w:i/>
          <w:szCs w:val="24"/>
        </w:rPr>
        <w:t>R</w:t>
      </w:r>
      <w:r w:rsidR="00B53C21" w:rsidRPr="00D23FFC">
        <w:rPr>
          <w:rFonts w:ascii="Times New Roman" w:hAnsi="Times New Roman"/>
          <w:b/>
          <w:i/>
          <w:szCs w:val="24"/>
        </w:rPr>
        <w:t>-</w:t>
      </w:r>
      <w:r w:rsidR="000E1E8F" w:rsidRPr="00D23FFC">
        <w:rPr>
          <w:rFonts w:ascii="Times New Roman" w:hAnsi="Times New Roman"/>
          <w:b/>
          <w:i/>
          <w:szCs w:val="24"/>
        </w:rPr>
        <w:t>1414</w:t>
      </w:r>
      <w:r w:rsidR="00B53C21" w:rsidRPr="00D23FFC">
        <w:rPr>
          <w:rFonts w:ascii="Times New Roman" w:hAnsi="Times New Roman"/>
          <w:b/>
          <w:i/>
          <w:szCs w:val="24"/>
        </w:rPr>
        <w:t>)</w:t>
      </w:r>
      <w:bookmarkEnd w:id="0"/>
      <w:r w:rsidR="00B53C21" w:rsidRPr="00D23FFC">
        <w:rPr>
          <w:rFonts w:ascii="Times New Roman" w:hAnsi="Times New Roman"/>
          <w:b/>
          <w:i/>
          <w:szCs w:val="24"/>
        </w:rPr>
        <w:t xml:space="preserve"> (</w:t>
      </w:r>
      <w:r w:rsidR="00BD4D16" w:rsidRPr="00D23FFC">
        <w:rPr>
          <w:rFonts w:ascii="Times New Roman" w:hAnsi="Times New Roman"/>
          <w:b/>
          <w:i/>
          <w:szCs w:val="24"/>
        </w:rPr>
        <w:t>RIN 7100-AD</w:t>
      </w:r>
      <w:r w:rsidR="003B5337" w:rsidRPr="00D23FFC">
        <w:rPr>
          <w:rFonts w:ascii="Times New Roman" w:hAnsi="Times New Roman"/>
          <w:b/>
          <w:i/>
          <w:szCs w:val="24"/>
        </w:rPr>
        <w:t>7</w:t>
      </w:r>
      <w:r w:rsidR="000E1E8F" w:rsidRPr="00D23FFC">
        <w:rPr>
          <w:rFonts w:ascii="Times New Roman" w:hAnsi="Times New Roman"/>
          <w:b/>
          <w:i/>
          <w:szCs w:val="24"/>
        </w:rPr>
        <w:t>3</w:t>
      </w:r>
      <w:r w:rsidR="00B53C21" w:rsidRPr="00D23FFC">
        <w:rPr>
          <w:rFonts w:ascii="Times New Roman" w:hAnsi="Times New Roman"/>
          <w:b/>
          <w:i/>
          <w:szCs w:val="24"/>
        </w:rPr>
        <w:t>)</w:t>
      </w:r>
    </w:p>
    <w:p w:rsidR="00FE2669" w:rsidRPr="00D23FFC" w:rsidRDefault="00FE2669" w:rsidP="00386084">
      <w:pPr>
        <w:rPr>
          <w:rFonts w:ascii="Times New Roman" w:hAnsi="Times New Roman"/>
          <w:b/>
          <w:szCs w:val="24"/>
        </w:rPr>
      </w:pPr>
    </w:p>
    <w:p w:rsidR="00D757AD" w:rsidRPr="00D23FFC" w:rsidRDefault="00D757AD">
      <w:pPr>
        <w:pStyle w:val="Heading1"/>
        <w:rPr>
          <w:rFonts w:ascii="Times New Roman" w:hAnsi="Times New Roman"/>
          <w:szCs w:val="24"/>
        </w:rPr>
      </w:pPr>
      <w:r w:rsidRPr="00D23FFC">
        <w:rPr>
          <w:rFonts w:ascii="Times New Roman" w:hAnsi="Times New Roman"/>
          <w:szCs w:val="24"/>
        </w:rPr>
        <w:t>Summary</w:t>
      </w:r>
    </w:p>
    <w:p w:rsidR="00D757AD" w:rsidRPr="00386084" w:rsidRDefault="00D757AD" w:rsidP="00386084">
      <w:pPr>
        <w:widowControl/>
        <w:rPr>
          <w:rFonts w:ascii="Times New Roman" w:hAnsi="Times New Roman"/>
          <w:szCs w:val="24"/>
        </w:rPr>
      </w:pPr>
    </w:p>
    <w:p w:rsidR="00ED46BB" w:rsidRPr="00912AC0" w:rsidRDefault="001360F6" w:rsidP="00912AC0">
      <w:pPr>
        <w:widowControl/>
        <w:autoSpaceDE w:val="0"/>
        <w:autoSpaceDN w:val="0"/>
        <w:adjustRightInd w:val="0"/>
        <w:ind w:firstLine="720"/>
        <w:rPr>
          <w:rFonts w:ascii="Times New Roman" w:hAnsi="Times New Roman"/>
          <w:szCs w:val="24"/>
        </w:rPr>
      </w:pPr>
      <w:r w:rsidRPr="00386084">
        <w:rPr>
          <w:rFonts w:ascii="Times New Roman" w:hAnsi="Times New Roman"/>
          <w:szCs w:val="24"/>
        </w:rPr>
        <w:t>The Board of Governors of the Federal Reserve System</w:t>
      </w:r>
      <w:r w:rsidR="00912AC0">
        <w:rPr>
          <w:rFonts w:ascii="Times New Roman" w:hAnsi="Times New Roman"/>
          <w:szCs w:val="24"/>
        </w:rPr>
        <w:t xml:space="preserve"> (the Board)</w:t>
      </w:r>
      <w:r w:rsidRPr="00386084">
        <w:rPr>
          <w:rFonts w:ascii="Times New Roman" w:hAnsi="Times New Roman"/>
          <w:szCs w:val="24"/>
        </w:rPr>
        <w:t xml:space="preserve">, under delegated authority from the Office </w:t>
      </w:r>
      <w:r w:rsidR="00912AC0">
        <w:rPr>
          <w:rFonts w:ascii="Times New Roman" w:hAnsi="Times New Roman"/>
          <w:szCs w:val="24"/>
        </w:rPr>
        <w:t>of Management and Budget (OMB),</w:t>
      </w:r>
      <w:r w:rsidR="009E2C6D">
        <w:rPr>
          <w:rFonts w:ascii="Times New Roman" w:hAnsi="Times New Roman"/>
          <w:szCs w:val="24"/>
        </w:rPr>
        <w:t xml:space="preserve"> </w:t>
      </w:r>
      <w:r w:rsidR="000E3397" w:rsidRPr="00386084">
        <w:rPr>
          <w:rFonts w:ascii="Times New Roman" w:hAnsi="Times New Roman"/>
          <w:szCs w:val="24"/>
        </w:rPr>
        <w:t xml:space="preserve">proposes </w:t>
      </w:r>
      <w:r w:rsidR="000E3397">
        <w:rPr>
          <w:rFonts w:ascii="Times New Roman" w:hAnsi="Times New Roman"/>
          <w:szCs w:val="24"/>
        </w:rPr>
        <w:t xml:space="preserve">to </w:t>
      </w:r>
      <w:r w:rsidR="000E3397" w:rsidRPr="00386084">
        <w:rPr>
          <w:rFonts w:ascii="Times New Roman" w:hAnsi="Times New Roman"/>
          <w:szCs w:val="24"/>
        </w:rPr>
        <w:t>implement</w:t>
      </w:r>
      <w:r w:rsidR="000E3397" w:rsidRPr="00386084">
        <w:rPr>
          <w:rFonts w:ascii="Times New Roman" w:hAnsi="Times New Roman"/>
          <w:bCs/>
          <w:szCs w:val="24"/>
        </w:rPr>
        <w:t>,</w:t>
      </w:r>
      <w:r w:rsidR="00D757AD" w:rsidRPr="00386084">
        <w:rPr>
          <w:rFonts w:ascii="Times New Roman" w:hAnsi="Times New Roman"/>
          <w:bCs/>
          <w:szCs w:val="24"/>
        </w:rPr>
        <w:t xml:space="preserve"> </w:t>
      </w:r>
      <w:r w:rsidR="00D757AD" w:rsidRPr="00386084">
        <w:rPr>
          <w:rFonts w:ascii="Times New Roman" w:hAnsi="Times New Roman"/>
          <w:szCs w:val="24"/>
        </w:rPr>
        <w:t>the</w:t>
      </w:r>
      <w:r w:rsidR="00BA34D2" w:rsidRPr="00386084">
        <w:rPr>
          <w:rFonts w:ascii="Times New Roman" w:hAnsi="Times New Roman"/>
          <w:szCs w:val="24"/>
        </w:rPr>
        <w:t xml:space="preserve"> </w:t>
      </w:r>
      <w:r w:rsidR="00BD4D16">
        <w:rPr>
          <w:rFonts w:ascii="Times New Roman" w:hAnsi="Times New Roman"/>
          <w:szCs w:val="24"/>
        </w:rPr>
        <w:t>Reporting</w:t>
      </w:r>
      <w:r w:rsidR="0084446F" w:rsidRPr="00386084">
        <w:rPr>
          <w:rFonts w:ascii="Times New Roman" w:hAnsi="Times New Roman"/>
          <w:szCs w:val="24"/>
        </w:rPr>
        <w:t xml:space="preserve"> </w:t>
      </w:r>
      <w:r w:rsidR="0084446F">
        <w:rPr>
          <w:rFonts w:ascii="Times New Roman" w:hAnsi="Times New Roman"/>
          <w:szCs w:val="24"/>
        </w:rPr>
        <w:t>R</w:t>
      </w:r>
      <w:r w:rsidR="0084446F" w:rsidRPr="00386084">
        <w:rPr>
          <w:rFonts w:ascii="Times New Roman" w:hAnsi="Times New Roman"/>
          <w:szCs w:val="24"/>
        </w:rPr>
        <w:t xml:space="preserve">equirements </w:t>
      </w:r>
      <w:r w:rsidR="0084446F">
        <w:rPr>
          <w:rFonts w:ascii="Times New Roman" w:hAnsi="Times New Roman"/>
          <w:szCs w:val="24"/>
        </w:rPr>
        <w:t>Associated with</w:t>
      </w:r>
      <w:r w:rsidR="00D757AD" w:rsidRPr="00386084">
        <w:rPr>
          <w:rFonts w:ascii="Times New Roman" w:hAnsi="Times New Roman"/>
          <w:szCs w:val="24"/>
        </w:rPr>
        <w:t xml:space="preserve"> Regulation </w:t>
      </w:r>
      <w:r w:rsidR="00AB7507">
        <w:rPr>
          <w:rFonts w:ascii="Times New Roman" w:hAnsi="Times New Roman"/>
          <w:szCs w:val="24"/>
        </w:rPr>
        <w:t>QQ</w:t>
      </w:r>
      <w:r w:rsidR="009C4001" w:rsidRPr="00386084">
        <w:rPr>
          <w:rFonts w:ascii="Times New Roman" w:hAnsi="Times New Roman"/>
          <w:szCs w:val="24"/>
        </w:rPr>
        <w:t xml:space="preserve"> (</w:t>
      </w:r>
      <w:r w:rsidR="00AB7507" w:rsidRPr="000E1E8F">
        <w:rPr>
          <w:rFonts w:ascii="Times New Roman" w:eastAsia="Melior" w:hAnsi="Times New Roman"/>
          <w:snapToGrid/>
          <w:szCs w:val="24"/>
        </w:rPr>
        <w:t>Resolution Plans Required</w:t>
      </w:r>
      <w:r w:rsidR="009C4001" w:rsidRPr="00386084">
        <w:rPr>
          <w:rFonts w:ascii="Times New Roman" w:hAnsi="Times New Roman"/>
          <w:szCs w:val="24"/>
        </w:rPr>
        <w:t>)</w:t>
      </w:r>
      <w:r w:rsidR="00BD4D16">
        <w:rPr>
          <w:rFonts w:ascii="Times New Roman" w:hAnsi="Times New Roman"/>
          <w:szCs w:val="24"/>
        </w:rPr>
        <w:t xml:space="preserve"> (Reg </w:t>
      </w:r>
      <w:r w:rsidR="00AB7507">
        <w:rPr>
          <w:rFonts w:ascii="Times New Roman" w:hAnsi="Times New Roman"/>
          <w:szCs w:val="24"/>
        </w:rPr>
        <w:t>QQ</w:t>
      </w:r>
      <w:r w:rsidR="0084446F">
        <w:rPr>
          <w:rFonts w:ascii="Times New Roman" w:hAnsi="Times New Roman"/>
          <w:szCs w:val="24"/>
        </w:rPr>
        <w:t xml:space="preserve">; OMB No. </w:t>
      </w:r>
      <w:r w:rsidR="008E69DD">
        <w:rPr>
          <w:rFonts w:ascii="Times New Roman" w:hAnsi="Times New Roman"/>
          <w:szCs w:val="24"/>
        </w:rPr>
        <w:t>7100-</w:t>
      </w:r>
      <w:r w:rsidR="00AB7507">
        <w:rPr>
          <w:rFonts w:ascii="Times New Roman" w:hAnsi="Times New Roman"/>
          <w:szCs w:val="24"/>
        </w:rPr>
        <w:t>0346</w:t>
      </w:r>
      <w:r w:rsidR="0084446F">
        <w:rPr>
          <w:rFonts w:ascii="Times New Roman" w:hAnsi="Times New Roman"/>
          <w:szCs w:val="24"/>
        </w:rPr>
        <w:t>)</w:t>
      </w:r>
      <w:r w:rsidR="009C4001" w:rsidRPr="00386084">
        <w:rPr>
          <w:rFonts w:ascii="Times New Roman" w:hAnsi="Times New Roman"/>
          <w:szCs w:val="24"/>
        </w:rPr>
        <w:t>.</w:t>
      </w:r>
      <w:r w:rsidR="00335439" w:rsidRPr="00386084">
        <w:rPr>
          <w:rFonts w:ascii="Times New Roman" w:hAnsi="Times New Roman"/>
          <w:szCs w:val="24"/>
        </w:rPr>
        <w:t xml:space="preserve">  </w:t>
      </w:r>
      <w:r w:rsidR="009E2C6D" w:rsidRPr="009E2C6D">
        <w:rPr>
          <w:rFonts w:ascii="Times New Roman" w:hAnsi="Times New Roman"/>
        </w:rPr>
        <w:t xml:space="preserve">Regulation </w:t>
      </w:r>
      <w:r w:rsidR="00AB7507">
        <w:rPr>
          <w:rFonts w:ascii="Times New Roman" w:hAnsi="Times New Roman"/>
        </w:rPr>
        <w:t>QQ</w:t>
      </w:r>
      <w:r w:rsidR="009E2C6D" w:rsidRPr="009E2C6D">
        <w:rPr>
          <w:rFonts w:ascii="Times New Roman" w:hAnsi="Times New Roman"/>
        </w:rPr>
        <w:t xml:space="preserve"> (12 CFR part </w:t>
      </w:r>
      <w:r w:rsidR="00AB7507">
        <w:rPr>
          <w:rFonts w:ascii="Times New Roman" w:hAnsi="Times New Roman"/>
        </w:rPr>
        <w:t>243</w:t>
      </w:r>
      <w:r w:rsidR="009E2C6D" w:rsidRPr="009E2C6D">
        <w:rPr>
          <w:rFonts w:ascii="Times New Roman" w:hAnsi="Times New Roman"/>
        </w:rPr>
        <w:t xml:space="preserve">) </w:t>
      </w:r>
      <w:r w:rsidR="00912AC0">
        <w:rPr>
          <w:rFonts w:ascii="Times New Roman" w:hAnsi="Times New Roman"/>
          <w:snapToGrid/>
          <w:szCs w:val="24"/>
        </w:rPr>
        <w:t>requires</w:t>
      </w:r>
      <w:r w:rsidR="006034D9">
        <w:rPr>
          <w:rFonts w:ascii="Times New Roman" w:hAnsi="Times New Roman"/>
          <w:snapToGrid/>
          <w:szCs w:val="24"/>
        </w:rPr>
        <w:t xml:space="preserve"> </w:t>
      </w:r>
      <w:r w:rsidR="006034D9" w:rsidRPr="000E3397">
        <w:rPr>
          <w:rFonts w:ascii="Times New Roman" w:eastAsia="Melior" w:hAnsi="Times New Roman"/>
          <w:snapToGrid/>
          <w:szCs w:val="24"/>
        </w:rPr>
        <w:t xml:space="preserve">each </w:t>
      </w:r>
      <w:r w:rsidR="006034D9">
        <w:rPr>
          <w:rFonts w:ascii="Times New Roman" w:eastAsia="Melior" w:hAnsi="Times New Roman"/>
          <w:snapToGrid/>
          <w:szCs w:val="24"/>
        </w:rPr>
        <w:t>bank holding company (</w:t>
      </w:r>
      <w:r w:rsidR="006034D9" w:rsidRPr="003D3386">
        <w:rPr>
          <w:rFonts w:ascii="Times New Roman" w:eastAsia="Melior" w:hAnsi="Times New Roman"/>
          <w:snapToGrid/>
          <w:szCs w:val="24"/>
        </w:rPr>
        <w:t>BHC</w:t>
      </w:r>
      <w:r w:rsidR="006034D9">
        <w:rPr>
          <w:rFonts w:ascii="Times New Roman" w:eastAsia="Melior" w:hAnsi="Times New Roman"/>
          <w:snapToGrid/>
          <w:szCs w:val="24"/>
        </w:rPr>
        <w:t>)</w:t>
      </w:r>
      <w:r w:rsidR="006034D9" w:rsidRPr="003D3386">
        <w:rPr>
          <w:rFonts w:ascii="Times New Roman" w:eastAsia="Melior" w:hAnsi="Times New Roman"/>
          <w:snapToGrid/>
          <w:szCs w:val="24"/>
        </w:rPr>
        <w:t xml:space="preserve"> with assets of $50 billion or more</w:t>
      </w:r>
      <w:r w:rsidR="00FC28AF" w:rsidRPr="00FC28AF">
        <w:rPr>
          <w:rStyle w:val="FootnoteReference"/>
          <w:snapToGrid/>
          <w:szCs w:val="24"/>
          <w:vertAlign w:val="superscript"/>
        </w:rPr>
        <w:footnoteReference w:id="1"/>
      </w:r>
      <w:r w:rsidR="00912AC0">
        <w:rPr>
          <w:rFonts w:ascii="Times New Roman" w:hAnsi="Times New Roman"/>
          <w:snapToGrid/>
          <w:szCs w:val="24"/>
        </w:rPr>
        <w:t xml:space="preserve"> and nonbank financial firms designated by the Financial Stability Oversight Council</w:t>
      </w:r>
      <w:r w:rsidR="004B2E6D">
        <w:rPr>
          <w:rFonts w:ascii="Times New Roman" w:hAnsi="Times New Roman"/>
          <w:snapToGrid/>
          <w:szCs w:val="24"/>
        </w:rPr>
        <w:t xml:space="preserve"> (the Council)</w:t>
      </w:r>
      <w:r w:rsidR="00912AC0">
        <w:rPr>
          <w:rFonts w:ascii="Times New Roman" w:hAnsi="Times New Roman"/>
          <w:snapToGrid/>
          <w:szCs w:val="24"/>
        </w:rPr>
        <w:t xml:space="preserve"> for supervision by the Board </w:t>
      </w:r>
      <w:r w:rsidR="00877FE3" w:rsidRPr="00E34ED7">
        <w:rPr>
          <w:rFonts w:ascii="Times New Roman" w:eastAsia="Melior" w:hAnsi="Times New Roman"/>
          <w:snapToGrid/>
          <w:szCs w:val="24"/>
        </w:rPr>
        <w:t>(each a ‘‘covered company’’)</w:t>
      </w:r>
      <w:r w:rsidR="00877FE3">
        <w:rPr>
          <w:rFonts w:ascii="Times New Roman" w:eastAsia="Melior" w:hAnsi="Times New Roman"/>
          <w:snapToGrid/>
          <w:szCs w:val="24"/>
        </w:rPr>
        <w:t xml:space="preserve"> </w:t>
      </w:r>
      <w:r w:rsidR="00912AC0">
        <w:rPr>
          <w:rFonts w:ascii="Times New Roman" w:hAnsi="Times New Roman"/>
          <w:snapToGrid/>
          <w:szCs w:val="24"/>
        </w:rPr>
        <w:t xml:space="preserve">to </w:t>
      </w:r>
      <w:r w:rsidR="006034D9" w:rsidRPr="003D3386">
        <w:rPr>
          <w:rFonts w:ascii="Times New Roman" w:eastAsia="Melior" w:hAnsi="Times New Roman"/>
          <w:snapToGrid/>
          <w:szCs w:val="24"/>
        </w:rPr>
        <w:t>report periodically to the Board</w:t>
      </w:r>
      <w:r w:rsidR="00877FE3">
        <w:rPr>
          <w:rFonts w:ascii="Times New Roman" w:eastAsia="Melior" w:hAnsi="Times New Roman"/>
          <w:snapToGrid/>
          <w:szCs w:val="24"/>
        </w:rPr>
        <w:t xml:space="preserve"> and</w:t>
      </w:r>
      <w:r w:rsidR="006034D9" w:rsidRPr="003D3386">
        <w:rPr>
          <w:rFonts w:ascii="Times New Roman" w:eastAsia="Melior" w:hAnsi="Times New Roman"/>
          <w:snapToGrid/>
          <w:szCs w:val="24"/>
        </w:rPr>
        <w:t xml:space="preserve"> the </w:t>
      </w:r>
      <w:r w:rsidR="006034D9">
        <w:rPr>
          <w:rFonts w:ascii="Times New Roman" w:hAnsi="Times New Roman"/>
          <w:snapToGrid/>
          <w:szCs w:val="24"/>
        </w:rPr>
        <w:t>Federal Deposit Insurance Corporation (</w:t>
      </w:r>
      <w:r w:rsidR="006034D9" w:rsidRPr="003D3386">
        <w:rPr>
          <w:rFonts w:ascii="Times New Roman" w:eastAsia="Melior" w:hAnsi="Times New Roman"/>
          <w:snapToGrid/>
          <w:szCs w:val="24"/>
        </w:rPr>
        <w:t>Corporation</w:t>
      </w:r>
      <w:r w:rsidR="006034D9">
        <w:rPr>
          <w:rFonts w:ascii="Times New Roman" w:eastAsia="Melior" w:hAnsi="Times New Roman"/>
          <w:snapToGrid/>
          <w:szCs w:val="24"/>
        </w:rPr>
        <w:t>)</w:t>
      </w:r>
      <w:r w:rsidR="006034D9" w:rsidRPr="003D3386">
        <w:rPr>
          <w:rFonts w:ascii="Times New Roman" w:eastAsia="Melior" w:hAnsi="Times New Roman"/>
          <w:snapToGrid/>
          <w:szCs w:val="24"/>
        </w:rPr>
        <w:t xml:space="preserve"> the plan of such company for rapid and orderly resolution </w:t>
      </w:r>
      <w:r w:rsidR="00AE3278">
        <w:rPr>
          <w:rFonts w:ascii="Times New Roman" w:eastAsia="Melior" w:hAnsi="Times New Roman"/>
          <w:snapToGrid/>
          <w:szCs w:val="24"/>
        </w:rPr>
        <w:t xml:space="preserve">under Title 11 of the United States Code (the Bankruptcy Code) </w:t>
      </w:r>
      <w:r w:rsidR="006034D9" w:rsidRPr="003D3386">
        <w:rPr>
          <w:rFonts w:ascii="Times New Roman" w:eastAsia="Melior" w:hAnsi="Times New Roman"/>
          <w:snapToGrid/>
          <w:szCs w:val="24"/>
        </w:rPr>
        <w:t>in the event of material financial distress or failure</w:t>
      </w:r>
      <w:r w:rsidR="006034D9">
        <w:rPr>
          <w:rFonts w:ascii="Times New Roman" w:hAnsi="Times New Roman"/>
          <w:snapToGrid/>
          <w:szCs w:val="24"/>
        </w:rPr>
        <w:t xml:space="preserve">.  </w:t>
      </w:r>
      <w:r w:rsidR="00912AC0" w:rsidRPr="00912AC0">
        <w:rPr>
          <w:rFonts w:ascii="Times New Roman" w:hAnsi="Times New Roman"/>
          <w:szCs w:val="24"/>
        </w:rPr>
        <w:t>T</w:t>
      </w:r>
      <w:r w:rsidR="00324A4C" w:rsidRPr="00912AC0">
        <w:rPr>
          <w:rFonts w:ascii="Times New Roman" w:hAnsi="Times New Roman"/>
          <w:szCs w:val="24"/>
        </w:rPr>
        <w:t xml:space="preserve">he Paperwork Reduction Act (PRA) classifies these requirements as an information collection and the </w:t>
      </w:r>
      <w:r w:rsidR="0004031D" w:rsidRPr="00912AC0">
        <w:rPr>
          <w:rFonts w:ascii="Times New Roman" w:hAnsi="Times New Roman"/>
          <w:szCs w:val="24"/>
        </w:rPr>
        <w:t xml:space="preserve">PRA </w:t>
      </w:r>
      <w:r w:rsidR="003B5337" w:rsidRPr="00912AC0">
        <w:rPr>
          <w:rFonts w:ascii="Times New Roman" w:hAnsi="Times New Roman"/>
          <w:szCs w:val="24"/>
        </w:rPr>
        <w:t>mandates</w:t>
      </w:r>
      <w:r w:rsidR="00280D0C" w:rsidRPr="00912AC0">
        <w:rPr>
          <w:rFonts w:ascii="Times New Roman" w:hAnsi="Times New Roman"/>
          <w:szCs w:val="24"/>
        </w:rPr>
        <w:t>, subsequent to implementation,</w:t>
      </w:r>
      <w:r w:rsidR="00324A4C" w:rsidRPr="00912AC0">
        <w:rPr>
          <w:rFonts w:ascii="Times New Roman" w:hAnsi="Times New Roman"/>
          <w:szCs w:val="24"/>
        </w:rPr>
        <w:t xml:space="preserve"> the Federal Reserve to renew these r</w:t>
      </w:r>
      <w:r w:rsidR="00386084" w:rsidRPr="00912AC0">
        <w:rPr>
          <w:rFonts w:ascii="Times New Roman" w:hAnsi="Times New Roman"/>
          <w:szCs w:val="24"/>
        </w:rPr>
        <w:t xml:space="preserve">equirements </w:t>
      </w:r>
      <w:r w:rsidR="003B5337" w:rsidRPr="00912AC0">
        <w:rPr>
          <w:rFonts w:ascii="Times New Roman" w:hAnsi="Times New Roman"/>
          <w:szCs w:val="24"/>
        </w:rPr>
        <w:t xml:space="preserve">once </w:t>
      </w:r>
      <w:r w:rsidR="00386084" w:rsidRPr="00912AC0">
        <w:rPr>
          <w:rFonts w:ascii="Times New Roman" w:hAnsi="Times New Roman"/>
          <w:szCs w:val="24"/>
        </w:rPr>
        <w:t>every three years.</w:t>
      </w:r>
    </w:p>
    <w:p w:rsidR="00ED46BB" w:rsidRPr="000E3397" w:rsidRDefault="00ED46BB" w:rsidP="00386084">
      <w:pPr>
        <w:widowControl/>
        <w:rPr>
          <w:rFonts w:ascii="Times New Roman" w:hAnsi="Times New Roman"/>
          <w:color w:val="000000"/>
          <w:szCs w:val="24"/>
        </w:rPr>
      </w:pPr>
    </w:p>
    <w:p w:rsidR="00D757AD" w:rsidRPr="008D1488" w:rsidRDefault="00ED46BB" w:rsidP="008D1488">
      <w:pPr>
        <w:widowControl/>
        <w:autoSpaceDE w:val="0"/>
        <w:autoSpaceDN w:val="0"/>
        <w:adjustRightInd w:val="0"/>
        <w:ind w:firstLine="720"/>
        <w:rPr>
          <w:rFonts w:ascii="Times New Roman" w:hAnsi="Times New Roman"/>
          <w:color w:val="000000"/>
          <w:szCs w:val="24"/>
        </w:rPr>
      </w:pPr>
      <w:r w:rsidRPr="000E3397">
        <w:rPr>
          <w:rFonts w:ascii="Times New Roman" w:hAnsi="Times New Roman"/>
          <w:szCs w:val="24"/>
        </w:rPr>
        <w:t xml:space="preserve">On </w:t>
      </w:r>
      <w:r w:rsidR="00912AC0" w:rsidRPr="000E3397">
        <w:rPr>
          <w:rFonts w:ascii="Times New Roman" w:hAnsi="Times New Roman"/>
          <w:szCs w:val="24"/>
        </w:rPr>
        <w:t>April 22</w:t>
      </w:r>
      <w:r w:rsidR="00B53C21" w:rsidRPr="000E3397">
        <w:rPr>
          <w:rFonts w:ascii="Times New Roman" w:hAnsi="Times New Roman"/>
          <w:szCs w:val="24"/>
        </w:rPr>
        <w:t>, 2011</w:t>
      </w:r>
      <w:r w:rsidRPr="000E3397">
        <w:rPr>
          <w:rFonts w:ascii="Times New Roman" w:hAnsi="Times New Roman"/>
          <w:szCs w:val="24"/>
        </w:rPr>
        <w:t xml:space="preserve">, </w:t>
      </w:r>
      <w:r w:rsidR="00335439" w:rsidRPr="000E3397">
        <w:rPr>
          <w:rFonts w:ascii="Times New Roman" w:hAnsi="Times New Roman"/>
          <w:szCs w:val="24"/>
        </w:rPr>
        <w:t xml:space="preserve">the </w:t>
      </w:r>
      <w:r w:rsidR="00912AC0" w:rsidRPr="000E3397">
        <w:rPr>
          <w:rFonts w:ascii="Times New Roman" w:eastAsia="Melior" w:hAnsi="Times New Roman"/>
          <w:snapToGrid/>
          <w:szCs w:val="24"/>
        </w:rPr>
        <w:t>Board and the Corporation</w:t>
      </w:r>
      <w:r w:rsidR="00B52DAC">
        <w:rPr>
          <w:rFonts w:ascii="Times New Roman" w:eastAsia="Melior" w:hAnsi="Times New Roman"/>
          <w:snapToGrid/>
          <w:szCs w:val="24"/>
        </w:rPr>
        <w:t xml:space="preserve"> (the Agencies)</w:t>
      </w:r>
      <w:r w:rsidR="00912AC0" w:rsidRPr="000E3397">
        <w:rPr>
          <w:rFonts w:ascii="Times New Roman" w:eastAsia="Melior" w:hAnsi="Times New Roman"/>
          <w:snapToGrid/>
          <w:szCs w:val="24"/>
        </w:rPr>
        <w:t xml:space="preserve"> </w:t>
      </w:r>
      <w:r w:rsidR="00335439" w:rsidRPr="000E3397">
        <w:rPr>
          <w:rFonts w:ascii="Times New Roman" w:hAnsi="Times New Roman"/>
          <w:szCs w:val="24"/>
        </w:rPr>
        <w:t xml:space="preserve">published </w:t>
      </w:r>
      <w:r w:rsidR="00912AC0" w:rsidRPr="000E3397">
        <w:rPr>
          <w:rFonts w:ascii="Times New Roman" w:hAnsi="Times New Roman"/>
          <w:szCs w:val="24"/>
        </w:rPr>
        <w:t>a joint</w:t>
      </w:r>
      <w:r w:rsidRPr="000E3397">
        <w:rPr>
          <w:rFonts w:ascii="Times New Roman" w:hAnsi="Times New Roman"/>
          <w:szCs w:val="24"/>
        </w:rPr>
        <w:t xml:space="preserve"> notice of </w:t>
      </w:r>
      <w:r w:rsidR="00912AC0" w:rsidRPr="000E3397">
        <w:rPr>
          <w:rFonts w:ascii="Times New Roman" w:hAnsi="Times New Roman"/>
          <w:szCs w:val="24"/>
        </w:rPr>
        <w:t>proposed</w:t>
      </w:r>
      <w:r w:rsidR="008D1488" w:rsidRPr="000E3397">
        <w:rPr>
          <w:rFonts w:ascii="Times New Roman" w:hAnsi="Times New Roman"/>
          <w:szCs w:val="24"/>
        </w:rPr>
        <w:t xml:space="preserve"> </w:t>
      </w:r>
      <w:r w:rsidRPr="000E3397">
        <w:rPr>
          <w:rFonts w:ascii="Times New Roman" w:hAnsi="Times New Roman"/>
          <w:szCs w:val="24"/>
        </w:rPr>
        <w:t xml:space="preserve">rulemaking </w:t>
      </w:r>
      <w:r w:rsidR="00DE5060" w:rsidRPr="000E3397">
        <w:rPr>
          <w:rFonts w:ascii="Times New Roman" w:hAnsi="Times New Roman"/>
          <w:szCs w:val="24"/>
        </w:rPr>
        <w:t>(</w:t>
      </w:r>
      <w:r w:rsidR="00912AC0" w:rsidRPr="000E3397">
        <w:rPr>
          <w:rFonts w:ascii="Times New Roman" w:hAnsi="Times New Roman"/>
          <w:szCs w:val="24"/>
        </w:rPr>
        <w:t>NRPM</w:t>
      </w:r>
      <w:r w:rsidR="00DE5060" w:rsidRPr="000E3397">
        <w:rPr>
          <w:rFonts w:ascii="Times New Roman" w:hAnsi="Times New Roman"/>
          <w:szCs w:val="24"/>
        </w:rPr>
        <w:t>)</w:t>
      </w:r>
      <w:r w:rsidR="00912AC0" w:rsidRPr="000E3397">
        <w:rPr>
          <w:rFonts w:ascii="Times New Roman" w:hAnsi="Times New Roman"/>
          <w:szCs w:val="24"/>
        </w:rPr>
        <w:t xml:space="preserve"> (</w:t>
      </w:r>
      <w:r w:rsidR="00912AC0" w:rsidRPr="000E3397">
        <w:rPr>
          <w:rFonts w:ascii="Times New Roman" w:hAnsi="Times New Roman"/>
          <w:bCs/>
          <w:snapToGrid/>
          <w:szCs w:val="24"/>
        </w:rPr>
        <w:t>Resolution Plans and Credit Exposure Reports Required)</w:t>
      </w:r>
      <w:r w:rsidR="00DE5060" w:rsidRPr="000E3397">
        <w:rPr>
          <w:rFonts w:ascii="Times New Roman" w:hAnsi="Times New Roman"/>
          <w:szCs w:val="24"/>
        </w:rPr>
        <w:t xml:space="preserve"> </w:t>
      </w:r>
      <w:r w:rsidRPr="000E3397">
        <w:rPr>
          <w:rFonts w:ascii="Times New Roman" w:hAnsi="Times New Roman"/>
          <w:szCs w:val="24"/>
        </w:rPr>
        <w:t xml:space="preserve">in the </w:t>
      </w:r>
      <w:r w:rsidR="00C11D0F" w:rsidRPr="000E3397">
        <w:rPr>
          <w:rFonts w:ascii="Times New Roman" w:hAnsi="Times New Roman"/>
          <w:i/>
          <w:szCs w:val="24"/>
        </w:rPr>
        <w:t>Federal Register</w:t>
      </w:r>
      <w:r w:rsidRPr="000E3397">
        <w:rPr>
          <w:rFonts w:ascii="Times New Roman" w:hAnsi="Times New Roman"/>
          <w:szCs w:val="24"/>
        </w:rPr>
        <w:t xml:space="preserve"> for public comment (</w:t>
      </w:r>
      <w:r w:rsidR="006604E1" w:rsidRPr="000E3397">
        <w:rPr>
          <w:rFonts w:ascii="Times New Roman" w:hAnsi="Times New Roman"/>
          <w:szCs w:val="24"/>
        </w:rPr>
        <w:t>76</w:t>
      </w:r>
      <w:r w:rsidRPr="000E3397">
        <w:rPr>
          <w:rFonts w:ascii="Times New Roman" w:hAnsi="Times New Roman"/>
          <w:szCs w:val="24"/>
        </w:rPr>
        <w:t xml:space="preserve"> FR </w:t>
      </w:r>
      <w:r w:rsidR="00912AC0" w:rsidRPr="000E3397">
        <w:rPr>
          <w:rFonts w:ascii="Times New Roman" w:hAnsi="Times New Roman"/>
          <w:szCs w:val="24"/>
        </w:rPr>
        <w:t>22648</w:t>
      </w:r>
      <w:r w:rsidRPr="000E3397">
        <w:rPr>
          <w:rFonts w:ascii="Times New Roman" w:hAnsi="Times New Roman"/>
          <w:szCs w:val="24"/>
        </w:rPr>
        <w:t xml:space="preserve">).  </w:t>
      </w:r>
      <w:r w:rsidR="000E3397">
        <w:rPr>
          <w:rFonts w:ascii="Times New Roman" w:hAnsi="Times New Roman"/>
          <w:szCs w:val="24"/>
        </w:rPr>
        <w:t xml:space="preserve">The </w:t>
      </w:r>
      <w:r w:rsidR="000E3397" w:rsidRPr="000E3397">
        <w:rPr>
          <w:rFonts w:ascii="Times New Roman" w:eastAsia="Melior" w:hAnsi="Times New Roman"/>
          <w:snapToGrid/>
          <w:szCs w:val="24"/>
        </w:rPr>
        <w:t xml:space="preserve">proposed rule </w:t>
      </w:r>
      <w:r w:rsidR="000D5DF5">
        <w:rPr>
          <w:rFonts w:ascii="Times New Roman" w:eastAsia="Melior" w:hAnsi="Times New Roman"/>
          <w:snapToGrid/>
          <w:szCs w:val="24"/>
        </w:rPr>
        <w:t xml:space="preserve">would </w:t>
      </w:r>
      <w:r w:rsidR="000E3397" w:rsidRPr="000E3397">
        <w:rPr>
          <w:rFonts w:ascii="Times New Roman" w:eastAsia="Melior" w:hAnsi="Times New Roman"/>
          <w:snapToGrid/>
          <w:szCs w:val="24"/>
        </w:rPr>
        <w:t>implement the</w:t>
      </w:r>
      <w:r w:rsidR="000E3397">
        <w:rPr>
          <w:rFonts w:ascii="Times New Roman" w:eastAsia="Melior" w:hAnsi="Times New Roman"/>
          <w:snapToGrid/>
          <w:szCs w:val="24"/>
        </w:rPr>
        <w:t xml:space="preserve"> </w:t>
      </w:r>
      <w:r w:rsidR="000E3397" w:rsidRPr="000E3397">
        <w:rPr>
          <w:rFonts w:ascii="Times New Roman" w:eastAsia="Melior" w:hAnsi="Times New Roman"/>
          <w:snapToGrid/>
          <w:szCs w:val="24"/>
        </w:rPr>
        <w:t>requirements in section 165(d) of the</w:t>
      </w:r>
      <w:r w:rsidR="000E3397">
        <w:rPr>
          <w:rFonts w:ascii="Times New Roman" w:eastAsia="Melior" w:hAnsi="Times New Roman"/>
          <w:snapToGrid/>
          <w:szCs w:val="24"/>
        </w:rPr>
        <w:t xml:space="preserve"> </w:t>
      </w:r>
      <w:r w:rsidR="000E3397" w:rsidRPr="000E3397">
        <w:rPr>
          <w:rFonts w:ascii="Times New Roman" w:eastAsia="Melior" w:hAnsi="Times New Roman"/>
          <w:snapToGrid/>
          <w:szCs w:val="24"/>
        </w:rPr>
        <w:t>Dodd-Frank Wall Street Reform and</w:t>
      </w:r>
      <w:r w:rsidR="000E3397">
        <w:rPr>
          <w:rFonts w:ascii="Times New Roman" w:eastAsia="Melior" w:hAnsi="Times New Roman"/>
          <w:snapToGrid/>
          <w:szCs w:val="24"/>
        </w:rPr>
        <w:t xml:space="preserve"> </w:t>
      </w:r>
      <w:r w:rsidR="000E3397" w:rsidRPr="000E3397">
        <w:rPr>
          <w:rFonts w:ascii="Times New Roman" w:eastAsia="Melior" w:hAnsi="Times New Roman"/>
          <w:snapToGrid/>
          <w:szCs w:val="24"/>
        </w:rPr>
        <w:t>Consumer Protection Act (the ‘‘Dodd-Frank Act’’) regarding resolution plans</w:t>
      </w:r>
      <w:r w:rsidR="006034D9">
        <w:rPr>
          <w:rFonts w:ascii="Times New Roman" w:eastAsia="Melior" w:hAnsi="Times New Roman"/>
          <w:snapToGrid/>
          <w:szCs w:val="24"/>
        </w:rPr>
        <w:t>.</w:t>
      </w:r>
      <w:r w:rsidR="000E3397">
        <w:rPr>
          <w:rFonts w:ascii="Times New Roman" w:eastAsia="Melior" w:hAnsi="Times New Roman"/>
          <w:snapToGrid/>
          <w:szCs w:val="24"/>
        </w:rPr>
        <w:t xml:space="preserve"> </w:t>
      </w:r>
      <w:r w:rsidR="006034D9">
        <w:rPr>
          <w:rFonts w:ascii="Times New Roman" w:eastAsia="Melior" w:hAnsi="Times New Roman"/>
          <w:snapToGrid/>
          <w:szCs w:val="24"/>
        </w:rPr>
        <w:t xml:space="preserve"> </w:t>
      </w:r>
      <w:r w:rsidR="00C7751D" w:rsidRPr="00E578EA">
        <w:rPr>
          <w:rFonts w:ascii="Times New Roman" w:eastAsia="Melior" w:hAnsi="Times New Roman"/>
          <w:snapToGrid/>
          <w:szCs w:val="24"/>
        </w:rPr>
        <w:t>The comment period for the NPRM e</w:t>
      </w:r>
      <w:r w:rsidR="00B52DAC" w:rsidRPr="00E578EA">
        <w:rPr>
          <w:rFonts w:ascii="Times New Roman" w:eastAsia="Melior" w:hAnsi="Times New Roman"/>
          <w:snapToGrid/>
          <w:szCs w:val="24"/>
        </w:rPr>
        <w:t xml:space="preserve">xpired June 10, 2011.  </w:t>
      </w:r>
      <w:r w:rsidR="00B52DAC" w:rsidRPr="00E578EA">
        <w:rPr>
          <w:rFonts w:ascii="Times New Roman" w:hAnsi="Times New Roman"/>
          <w:snapToGrid/>
          <w:szCs w:val="24"/>
        </w:rPr>
        <w:t xml:space="preserve">The </w:t>
      </w:r>
      <w:r w:rsidR="00B52DAC" w:rsidRPr="00E578EA">
        <w:rPr>
          <w:rFonts w:ascii="Times New Roman" w:eastAsia="Melior" w:hAnsi="Times New Roman"/>
          <w:snapToGrid/>
          <w:szCs w:val="24"/>
        </w:rPr>
        <w:t>Agencies</w:t>
      </w:r>
      <w:r w:rsidR="00B52DAC" w:rsidRPr="00E578EA">
        <w:rPr>
          <w:rFonts w:ascii="Times New Roman" w:hAnsi="Times New Roman"/>
          <w:snapToGrid/>
          <w:szCs w:val="24"/>
        </w:rPr>
        <w:t xml:space="preserve"> </w:t>
      </w:r>
      <w:r w:rsidR="003D3386" w:rsidRPr="00E578EA">
        <w:rPr>
          <w:rFonts w:ascii="Times New Roman" w:eastAsia="Melior" w:hAnsi="Times New Roman"/>
          <w:snapToGrid/>
          <w:szCs w:val="24"/>
        </w:rPr>
        <w:t>collectively received 22 comment letters from a range of individuals and banking organizations, as well as industry and trade groups representing banking, insurance, and the broader financial services industry; t</w:t>
      </w:r>
      <w:r w:rsidR="00B52DAC" w:rsidRPr="00E578EA">
        <w:rPr>
          <w:rFonts w:ascii="Times New Roman" w:hAnsi="Times New Roman"/>
          <w:snapToGrid/>
          <w:szCs w:val="24"/>
        </w:rPr>
        <w:t>hree comment</w:t>
      </w:r>
      <w:r w:rsidR="003D3386" w:rsidRPr="00E578EA">
        <w:rPr>
          <w:rFonts w:ascii="Times New Roman" w:hAnsi="Times New Roman"/>
          <w:snapToGrid/>
          <w:szCs w:val="24"/>
        </w:rPr>
        <w:t>s</w:t>
      </w:r>
      <w:r w:rsidR="00B52DAC" w:rsidRPr="00E578EA">
        <w:rPr>
          <w:rFonts w:ascii="Times New Roman" w:hAnsi="Times New Roman"/>
          <w:snapToGrid/>
          <w:szCs w:val="24"/>
        </w:rPr>
        <w:t xml:space="preserve"> specifically address</w:t>
      </w:r>
      <w:r w:rsidR="003D3386" w:rsidRPr="00E578EA">
        <w:rPr>
          <w:rFonts w:ascii="Times New Roman" w:hAnsi="Times New Roman"/>
          <w:snapToGrid/>
          <w:szCs w:val="24"/>
        </w:rPr>
        <w:t>ed</w:t>
      </w:r>
      <w:r w:rsidR="00B52DAC" w:rsidRPr="00E578EA">
        <w:rPr>
          <w:rFonts w:ascii="Times New Roman" w:hAnsi="Times New Roman"/>
          <w:snapToGrid/>
          <w:szCs w:val="24"/>
        </w:rPr>
        <w:t xml:space="preserve"> the paperwork burden.  On </w:t>
      </w:r>
      <w:r w:rsidR="00B52DAC" w:rsidRPr="00E578EA">
        <w:rPr>
          <w:rFonts w:ascii="Times New Roman" w:hAnsi="Times New Roman"/>
          <w:szCs w:val="24"/>
        </w:rPr>
        <w:t xml:space="preserve">November 1, 2011, the </w:t>
      </w:r>
      <w:r w:rsidR="00B52DAC" w:rsidRPr="00E578EA">
        <w:rPr>
          <w:rFonts w:ascii="Times New Roman" w:eastAsia="Melior" w:hAnsi="Times New Roman"/>
          <w:snapToGrid/>
          <w:szCs w:val="24"/>
        </w:rPr>
        <w:t>Agencies</w:t>
      </w:r>
      <w:r w:rsidR="00B52DAC" w:rsidRPr="00E578EA">
        <w:rPr>
          <w:rFonts w:ascii="Times New Roman" w:hAnsi="Times New Roman"/>
          <w:szCs w:val="24"/>
        </w:rPr>
        <w:t xml:space="preserve"> published </w:t>
      </w:r>
      <w:r w:rsidR="00877FE3">
        <w:rPr>
          <w:rFonts w:ascii="Times New Roman" w:hAnsi="Times New Roman"/>
          <w:szCs w:val="24"/>
        </w:rPr>
        <w:t>a f</w:t>
      </w:r>
      <w:r w:rsidR="00B52DAC" w:rsidRPr="00E578EA">
        <w:rPr>
          <w:rFonts w:ascii="Times New Roman" w:hAnsi="Times New Roman"/>
          <w:szCs w:val="24"/>
        </w:rPr>
        <w:t xml:space="preserve">inal rule in the </w:t>
      </w:r>
      <w:r w:rsidR="00B52DAC" w:rsidRPr="00E578EA">
        <w:rPr>
          <w:rFonts w:ascii="Times New Roman" w:hAnsi="Times New Roman"/>
          <w:i/>
          <w:szCs w:val="24"/>
        </w:rPr>
        <w:t>Federal Register</w:t>
      </w:r>
      <w:r w:rsidR="00B52DAC" w:rsidRPr="00E578EA">
        <w:rPr>
          <w:rFonts w:ascii="Times New Roman" w:hAnsi="Times New Roman"/>
          <w:szCs w:val="24"/>
        </w:rPr>
        <w:t xml:space="preserve"> (76 FR 67323)</w:t>
      </w:r>
      <w:r w:rsidR="0077370A">
        <w:rPr>
          <w:rFonts w:ascii="Times New Roman" w:hAnsi="Times New Roman"/>
          <w:szCs w:val="24"/>
        </w:rPr>
        <w:t xml:space="preserve">, </w:t>
      </w:r>
      <w:r w:rsidR="006C062E">
        <w:rPr>
          <w:rFonts w:ascii="Times New Roman" w:hAnsi="Times New Roman"/>
          <w:szCs w:val="24"/>
        </w:rPr>
        <w:t>addressing the comments in detail</w:t>
      </w:r>
      <w:r w:rsidR="0028349B">
        <w:rPr>
          <w:rFonts w:ascii="Times New Roman" w:hAnsi="Times New Roman"/>
          <w:szCs w:val="24"/>
        </w:rPr>
        <w:t xml:space="preserve">.  </w:t>
      </w:r>
      <w:r w:rsidR="0028349B" w:rsidRPr="00E34ED7">
        <w:rPr>
          <w:rFonts w:ascii="Times New Roman" w:eastAsia="Melior" w:hAnsi="Times New Roman"/>
          <w:snapToGrid/>
          <w:szCs w:val="24"/>
        </w:rPr>
        <w:t>This final rule implements</w:t>
      </w:r>
      <w:r w:rsidR="0028349B">
        <w:rPr>
          <w:rFonts w:ascii="Times New Roman" w:eastAsia="Melior" w:hAnsi="Times New Roman"/>
          <w:snapToGrid/>
          <w:szCs w:val="24"/>
        </w:rPr>
        <w:t xml:space="preserve"> </w:t>
      </w:r>
      <w:r w:rsidR="0028349B" w:rsidRPr="00E34ED7">
        <w:rPr>
          <w:rFonts w:ascii="Times New Roman" w:eastAsia="Melior" w:hAnsi="Times New Roman"/>
          <w:snapToGrid/>
          <w:szCs w:val="24"/>
        </w:rPr>
        <w:t>the resolution plan requirement</w:t>
      </w:r>
      <w:r w:rsidR="0028349B">
        <w:rPr>
          <w:rFonts w:ascii="Times New Roman" w:eastAsia="Melior" w:hAnsi="Times New Roman"/>
          <w:snapToGrid/>
          <w:szCs w:val="24"/>
        </w:rPr>
        <w:t xml:space="preserve"> </w:t>
      </w:r>
      <w:r w:rsidR="0028349B" w:rsidRPr="00E34ED7">
        <w:rPr>
          <w:rFonts w:ascii="Times New Roman" w:eastAsia="Melior" w:hAnsi="Times New Roman"/>
          <w:snapToGrid/>
          <w:szCs w:val="24"/>
        </w:rPr>
        <w:t>set forth</w:t>
      </w:r>
      <w:r w:rsidR="0028349B">
        <w:rPr>
          <w:rFonts w:ascii="Times New Roman" w:eastAsia="Melior" w:hAnsi="Times New Roman"/>
          <w:snapToGrid/>
          <w:szCs w:val="24"/>
        </w:rPr>
        <w:t xml:space="preserve"> </w:t>
      </w:r>
      <w:r w:rsidR="0028349B" w:rsidRPr="00E34ED7">
        <w:rPr>
          <w:rFonts w:ascii="Times New Roman" w:eastAsia="Melior" w:hAnsi="Times New Roman"/>
          <w:snapToGrid/>
          <w:szCs w:val="24"/>
        </w:rPr>
        <w:t>in section 165(d)(1) of the Dodd-Frank</w:t>
      </w:r>
      <w:r w:rsidR="0028349B">
        <w:rPr>
          <w:rFonts w:ascii="Times New Roman" w:eastAsia="Melior" w:hAnsi="Times New Roman"/>
          <w:snapToGrid/>
          <w:szCs w:val="24"/>
        </w:rPr>
        <w:t xml:space="preserve"> </w:t>
      </w:r>
      <w:r w:rsidR="0028349B" w:rsidRPr="00E34ED7">
        <w:rPr>
          <w:rFonts w:ascii="Times New Roman" w:eastAsia="Melior" w:hAnsi="Times New Roman"/>
          <w:snapToGrid/>
          <w:szCs w:val="24"/>
        </w:rPr>
        <w:t>Act.</w:t>
      </w:r>
      <w:r w:rsidR="0028349B">
        <w:rPr>
          <w:rFonts w:ascii="Times New Roman" w:eastAsia="Melior" w:hAnsi="Times New Roman"/>
          <w:snapToGrid/>
          <w:szCs w:val="24"/>
        </w:rPr>
        <w:t xml:space="preserve">  </w:t>
      </w:r>
      <w:r w:rsidR="00B52DAC" w:rsidRPr="00E578EA">
        <w:rPr>
          <w:rFonts w:ascii="Times New Roman" w:hAnsi="Times New Roman"/>
          <w:szCs w:val="24"/>
        </w:rPr>
        <w:t xml:space="preserve">The effective date for Regulation </w:t>
      </w:r>
      <w:r w:rsidR="003D3386" w:rsidRPr="00E578EA">
        <w:rPr>
          <w:rFonts w:ascii="Times New Roman" w:hAnsi="Times New Roman"/>
          <w:szCs w:val="24"/>
        </w:rPr>
        <w:t>QQ</w:t>
      </w:r>
      <w:r w:rsidR="00B52DAC" w:rsidRPr="00E578EA">
        <w:rPr>
          <w:rFonts w:ascii="Times New Roman" w:hAnsi="Times New Roman"/>
          <w:szCs w:val="24"/>
        </w:rPr>
        <w:t xml:space="preserve"> is November 30, 2011</w:t>
      </w:r>
      <w:r w:rsidR="00F569FE">
        <w:rPr>
          <w:rFonts w:ascii="Times New Roman" w:hAnsi="Times New Roman"/>
          <w:szCs w:val="24"/>
        </w:rPr>
        <w:t>; however, the first resolution plans would be submitted in July 2012</w:t>
      </w:r>
      <w:r w:rsidR="00B52DAC" w:rsidRPr="00E578EA">
        <w:rPr>
          <w:rFonts w:ascii="Times New Roman" w:hAnsi="Times New Roman"/>
          <w:szCs w:val="24"/>
        </w:rPr>
        <w:t>.</w:t>
      </w:r>
      <w:r w:rsidR="00F569FE">
        <w:rPr>
          <w:rFonts w:ascii="Times New Roman" w:hAnsi="Times New Roman"/>
          <w:szCs w:val="24"/>
        </w:rPr>
        <w:t xml:space="preserve">  </w:t>
      </w:r>
      <w:r w:rsidR="00D757AD" w:rsidRPr="00B05A51">
        <w:rPr>
          <w:rFonts w:ascii="Times New Roman" w:hAnsi="Times New Roman"/>
          <w:color w:val="000000"/>
          <w:szCs w:val="24"/>
        </w:rPr>
        <w:t xml:space="preserve">The </w:t>
      </w:r>
      <w:r w:rsidR="00B05A51">
        <w:rPr>
          <w:rFonts w:ascii="Times New Roman" w:hAnsi="Times New Roman"/>
          <w:color w:val="000000"/>
          <w:szCs w:val="24"/>
        </w:rPr>
        <w:t xml:space="preserve">total PRA </w:t>
      </w:r>
      <w:r w:rsidR="00D757AD" w:rsidRPr="00B05A51">
        <w:rPr>
          <w:rFonts w:ascii="Times New Roman" w:hAnsi="Times New Roman"/>
          <w:color w:val="000000"/>
          <w:szCs w:val="24"/>
        </w:rPr>
        <w:t xml:space="preserve">burden is </w:t>
      </w:r>
      <w:r w:rsidR="00D5624F" w:rsidRPr="00B05A51">
        <w:rPr>
          <w:rFonts w:ascii="Times New Roman" w:hAnsi="Times New Roman"/>
          <w:color w:val="000000"/>
          <w:szCs w:val="24"/>
        </w:rPr>
        <w:t xml:space="preserve">estimated to be </w:t>
      </w:r>
      <w:r w:rsidR="005F7CE0">
        <w:rPr>
          <w:rFonts w:ascii="Times New Roman" w:hAnsi="Times New Roman"/>
          <w:color w:val="000000"/>
          <w:szCs w:val="24"/>
        </w:rPr>
        <w:t>700,000 hours for implementation and 1</w:t>
      </w:r>
      <w:r w:rsidR="00B05A51">
        <w:rPr>
          <w:rFonts w:ascii="Times New Roman" w:hAnsi="Times New Roman"/>
          <w:color w:val="000000"/>
          <w:szCs w:val="24"/>
        </w:rPr>
        <w:t>55</w:t>
      </w:r>
      <w:r w:rsidR="00B32D8D" w:rsidRPr="00B05A51">
        <w:rPr>
          <w:rFonts w:ascii="Times New Roman" w:hAnsi="Times New Roman"/>
          <w:color w:val="000000"/>
          <w:szCs w:val="24"/>
        </w:rPr>
        <w:t>,</w:t>
      </w:r>
      <w:r w:rsidR="00B05A51">
        <w:rPr>
          <w:rFonts w:ascii="Times New Roman" w:hAnsi="Times New Roman"/>
          <w:color w:val="000000"/>
          <w:szCs w:val="24"/>
        </w:rPr>
        <w:t>304</w:t>
      </w:r>
      <w:r w:rsidR="00F075D3" w:rsidRPr="00B05A51">
        <w:rPr>
          <w:rFonts w:ascii="Times New Roman" w:hAnsi="Times New Roman"/>
          <w:color w:val="000000"/>
          <w:szCs w:val="24"/>
        </w:rPr>
        <w:t xml:space="preserve"> </w:t>
      </w:r>
      <w:r w:rsidR="00D757AD" w:rsidRPr="00B05A51">
        <w:rPr>
          <w:rFonts w:ascii="Times New Roman" w:hAnsi="Times New Roman"/>
          <w:color w:val="000000"/>
          <w:szCs w:val="24"/>
        </w:rPr>
        <w:t>hours</w:t>
      </w:r>
      <w:r w:rsidR="005F7CE0">
        <w:rPr>
          <w:rFonts w:ascii="Times New Roman" w:hAnsi="Times New Roman"/>
          <w:color w:val="000000"/>
          <w:szCs w:val="24"/>
        </w:rPr>
        <w:t xml:space="preserve"> annually after implementation</w:t>
      </w:r>
      <w:r w:rsidR="00D757AD" w:rsidRPr="00B05A51">
        <w:rPr>
          <w:rFonts w:ascii="Times New Roman" w:hAnsi="Times New Roman"/>
          <w:color w:val="000000"/>
          <w:szCs w:val="24"/>
        </w:rPr>
        <w:t>.</w:t>
      </w:r>
    </w:p>
    <w:p w:rsidR="008D1488" w:rsidRPr="008D1488" w:rsidRDefault="008D1488" w:rsidP="008F27ED">
      <w:pPr>
        <w:pStyle w:val="BodyTextIndent"/>
        <w:widowControl/>
        <w:spacing w:after="0"/>
        <w:rPr>
          <w:color w:val="000000"/>
          <w:szCs w:val="24"/>
        </w:rPr>
      </w:pPr>
    </w:p>
    <w:p w:rsidR="000D5DF5" w:rsidRDefault="00D757AD" w:rsidP="000D5DF5">
      <w:pPr>
        <w:widowControl/>
        <w:rPr>
          <w:rFonts w:ascii="Times New Roman" w:hAnsi="Times New Roman"/>
          <w:szCs w:val="24"/>
        </w:rPr>
      </w:pPr>
      <w:r w:rsidRPr="00386084">
        <w:rPr>
          <w:rFonts w:ascii="Times New Roman" w:hAnsi="Times New Roman"/>
          <w:b/>
          <w:szCs w:val="24"/>
        </w:rPr>
        <w:t>Background and Justification</w:t>
      </w:r>
    </w:p>
    <w:p w:rsidR="000D5DF5" w:rsidRDefault="000D5DF5" w:rsidP="000D5DF5">
      <w:pPr>
        <w:widowControl/>
        <w:rPr>
          <w:rFonts w:ascii="Times New Roman" w:hAnsi="Times New Roman"/>
          <w:szCs w:val="24"/>
        </w:rPr>
      </w:pPr>
    </w:p>
    <w:p w:rsidR="00E34ED7" w:rsidRPr="000D5DF5" w:rsidRDefault="00653AF9" w:rsidP="000D5DF5">
      <w:pPr>
        <w:widowControl/>
        <w:ind w:firstLine="720"/>
        <w:rPr>
          <w:rFonts w:ascii="Times New Roman" w:hAnsi="Times New Roman"/>
          <w:szCs w:val="24"/>
        </w:rPr>
      </w:pPr>
      <w:r>
        <w:rPr>
          <w:rFonts w:ascii="Times New Roman" w:eastAsia="Melior" w:hAnsi="Times New Roman"/>
          <w:snapToGrid/>
          <w:szCs w:val="24"/>
        </w:rPr>
        <w:t>T</w:t>
      </w:r>
      <w:r w:rsidR="00780859">
        <w:rPr>
          <w:rFonts w:ascii="Times New Roman" w:eastAsia="Melior" w:hAnsi="Times New Roman"/>
          <w:snapToGrid/>
          <w:szCs w:val="24"/>
        </w:rPr>
        <w:t>o</w:t>
      </w:r>
      <w:r w:rsidR="00E34ED7" w:rsidRPr="00E34ED7">
        <w:rPr>
          <w:rFonts w:ascii="Times New Roman" w:eastAsia="Melior" w:hAnsi="Times New Roman"/>
          <w:snapToGrid/>
          <w:szCs w:val="24"/>
        </w:rPr>
        <w:t xml:space="preserve"> promote financial stability, section</w:t>
      </w:r>
      <w:r w:rsidR="00E34ED7">
        <w:rPr>
          <w:rFonts w:ascii="Times New Roman" w:eastAsia="Melior" w:hAnsi="Times New Roman"/>
          <w:snapToGrid/>
          <w:szCs w:val="24"/>
        </w:rPr>
        <w:t xml:space="preserve"> </w:t>
      </w:r>
      <w:r w:rsidR="00E34ED7" w:rsidRPr="00E34ED7">
        <w:rPr>
          <w:rFonts w:ascii="Times New Roman" w:eastAsia="Melior" w:hAnsi="Times New Roman"/>
          <w:snapToGrid/>
          <w:szCs w:val="24"/>
        </w:rPr>
        <w:t>165(d) of the Dodd-Frank Act requires</w:t>
      </w:r>
      <w:r w:rsidR="00E34ED7">
        <w:rPr>
          <w:rFonts w:ascii="Times New Roman" w:eastAsia="Melior" w:hAnsi="Times New Roman"/>
          <w:snapToGrid/>
          <w:szCs w:val="24"/>
        </w:rPr>
        <w:t xml:space="preserve"> </w:t>
      </w:r>
      <w:r w:rsidR="00E34ED7" w:rsidRPr="00E34ED7">
        <w:rPr>
          <w:rFonts w:ascii="Times New Roman" w:eastAsia="Melior" w:hAnsi="Times New Roman"/>
          <w:snapToGrid/>
          <w:szCs w:val="24"/>
        </w:rPr>
        <w:t>each</w:t>
      </w:r>
      <w:r w:rsidR="005F7CE0">
        <w:rPr>
          <w:rFonts w:ascii="Times New Roman" w:eastAsia="Melior" w:hAnsi="Times New Roman"/>
          <w:snapToGrid/>
          <w:szCs w:val="24"/>
        </w:rPr>
        <w:t xml:space="preserve"> </w:t>
      </w:r>
      <w:r w:rsidR="00877FE3">
        <w:rPr>
          <w:rFonts w:ascii="Times New Roman" w:eastAsia="Melior" w:hAnsi="Times New Roman"/>
          <w:snapToGrid/>
          <w:szCs w:val="24"/>
        </w:rPr>
        <w:t>covered company</w:t>
      </w:r>
      <w:r w:rsidR="00E34ED7" w:rsidRPr="00E34ED7">
        <w:rPr>
          <w:rFonts w:ascii="Times New Roman" w:eastAsia="Melior" w:hAnsi="Times New Roman"/>
          <w:snapToGrid/>
          <w:szCs w:val="24"/>
        </w:rPr>
        <w:t xml:space="preserve"> to</w:t>
      </w:r>
      <w:r w:rsidR="00E34ED7">
        <w:rPr>
          <w:rFonts w:ascii="Times New Roman" w:eastAsia="Melior" w:hAnsi="Times New Roman"/>
          <w:snapToGrid/>
          <w:szCs w:val="24"/>
        </w:rPr>
        <w:t xml:space="preserve"> </w:t>
      </w:r>
      <w:r w:rsidR="00E34ED7" w:rsidRPr="00E34ED7">
        <w:rPr>
          <w:rFonts w:ascii="Times New Roman" w:eastAsia="Melior" w:hAnsi="Times New Roman"/>
          <w:snapToGrid/>
          <w:szCs w:val="24"/>
        </w:rPr>
        <w:t>periodically submit to the Board, the</w:t>
      </w:r>
      <w:r w:rsidR="00E34ED7">
        <w:rPr>
          <w:rFonts w:ascii="Times New Roman" w:eastAsia="Melior" w:hAnsi="Times New Roman"/>
          <w:snapToGrid/>
          <w:szCs w:val="24"/>
        </w:rPr>
        <w:t xml:space="preserve"> </w:t>
      </w:r>
      <w:r w:rsidR="00E34ED7" w:rsidRPr="00E34ED7">
        <w:rPr>
          <w:rFonts w:ascii="Times New Roman" w:eastAsia="Melior" w:hAnsi="Times New Roman"/>
          <w:snapToGrid/>
          <w:szCs w:val="24"/>
        </w:rPr>
        <w:t>Corporation, and the Council a plan for</w:t>
      </w:r>
      <w:r w:rsidR="00E34ED7">
        <w:rPr>
          <w:rFonts w:ascii="Times New Roman" w:eastAsia="Melior" w:hAnsi="Times New Roman"/>
          <w:snapToGrid/>
          <w:szCs w:val="24"/>
        </w:rPr>
        <w:t xml:space="preserve"> </w:t>
      </w:r>
      <w:r w:rsidR="00E34ED7" w:rsidRPr="00E34ED7">
        <w:rPr>
          <w:rFonts w:ascii="Times New Roman" w:eastAsia="Melior" w:hAnsi="Times New Roman"/>
          <w:snapToGrid/>
          <w:szCs w:val="24"/>
        </w:rPr>
        <w:t>such company’s rapid and orderly</w:t>
      </w:r>
      <w:r w:rsidR="00E34ED7">
        <w:rPr>
          <w:rFonts w:ascii="Times New Roman" w:eastAsia="Melior" w:hAnsi="Times New Roman"/>
          <w:snapToGrid/>
          <w:szCs w:val="24"/>
        </w:rPr>
        <w:t xml:space="preserve"> </w:t>
      </w:r>
      <w:r w:rsidR="00E34ED7" w:rsidRPr="00E34ED7">
        <w:rPr>
          <w:rFonts w:ascii="Times New Roman" w:eastAsia="Melior" w:hAnsi="Times New Roman"/>
          <w:snapToGrid/>
          <w:szCs w:val="24"/>
        </w:rPr>
        <w:t xml:space="preserve">resolution </w:t>
      </w:r>
      <w:r w:rsidR="00AE3278">
        <w:rPr>
          <w:rFonts w:ascii="Times New Roman" w:eastAsia="Melior" w:hAnsi="Times New Roman"/>
          <w:snapToGrid/>
          <w:szCs w:val="24"/>
        </w:rPr>
        <w:t xml:space="preserve">under the Bankruptcy Code </w:t>
      </w:r>
      <w:r w:rsidR="00E34ED7" w:rsidRPr="00E34ED7">
        <w:rPr>
          <w:rFonts w:ascii="Times New Roman" w:eastAsia="Melior" w:hAnsi="Times New Roman"/>
          <w:snapToGrid/>
          <w:szCs w:val="24"/>
        </w:rPr>
        <w:t>in the event of material</w:t>
      </w:r>
      <w:r w:rsidR="00E34ED7">
        <w:rPr>
          <w:rFonts w:ascii="Times New Roman" w:eastAsia="Melior" w:hAnsi="Times New Roman"/>
          <w:snapToGrid/>
          <w:szCs w:val="24"/>
        </w:rPr>
        <w:t xml:space="preserve"> </w:t>
      </w:r>
      <w:r w:rsidR="00E34ED7" w:rsidRPr="00E34ED7">
        <w:rPr>
          <w:rFonts w:ascii="Times New Roman" w:eastAsia="Melior" w:hAnsi="Times New Roman"/>
          <w:snapToGrid/>
          <w:szCs w:val="24"/>
        </w:rPr>
        <w:t>financial distress or failure.</w:t>
      </w:r>
      <w:r w:rsidR="000D5DF5">
        <w:rPr>
          <w:rFonts w:ascii="Times New Roman" w:eastAsia="Melior" w:hAnsi="Times New Roman"/>
          <w:snapToGrid/>
          <w:szCs w:val="24"/>
        </w:rPr>
        <w:t xml:space="preserve">  </w:t>
      </w:r>
    </w:p>
    <w:p w:rsidR="00886852" w:rsidRDefault="00886852" w:rsidP="00E34ED7">
      <w:pPr>
        <w:widowControl/>
        <w:autoSpaceDE w:val="0"/>
        <w:autoSpaceDN w:val="0"/>
        <w:adjustRightInd w:val="0"/>
        <w:rPr>
          <w:rFonts w:ascii="Times New Roman" w:eastAsia="Melior" w:hAnsi="Times New Roman"/>
          <w:snapToGrid/>
          <w:szCs w:val="24"/>
        </w:rPr>
      </w:pPr>
    </w:p>
    <w:p w:rsidR="001D7B6E" w:rsidRDefault="00E34ED7" w:rsidP="00886852">
      <w:pPr>
        <w:widowControl/>
        <w:autoSpaceDE w:val="0"/>
        <w:autoSpaceDN w:val="0"/>
        <w:adjustRightInd w:val="0"/>
        <w:ind w:firstLine="720"/>
        <w:rPr>
          <w:rFonts w:ascii="Times New Roman" w:eastAsia="Melior" w:hAnsi="Times New Roman"/>
          <w:snapToGrid/>
          <w:szCs w:val="24"/>
        </w:rPr>
      </w:pPr>
      <w:r w:rsidRPr="00E34ED7">
        <w:rPr>
          <w:rFonts w:ascii="Times New Roman" w:eastAsia="Melior" w:hAnsi="Times New Roman"/>
          <w:snapToGrid/>
          <w:szCs w:val="24"/>
        </w:rPr>
        <w:lastRenderedPageBreak/>
        <w:t>Plans filed under section 165(d)(1)</w:t>
      </w:r>
      <w:r w:rsidR="00886852">
        <w:rPr>
          <w:rFonts w:ascii="Times New Roman" w:eastAsia="Melior" w:hAnsi="Times New Roman"/>
          <w:snapToGrid/>
          <w:szCs w:val="24"/>
        </w:rPr>
        <w:t xml:space="preserve"> </w:t>
      </w:r>
      <w:r w:rsidRPr="00E34ED7">
        <w:rPr>
          <w:rFonts w:ascii="Times New Roman" w:eastAsia="Melior" w:hAnsi="Times New Roman"/>
          <w:snapToGrid/>
          <w:szCs w:val="24"/>
        </w:rPr>
        <w:t>will assist covered companies and</w:t>
      </w:r>
      <w:r w:rsidR="00886852">
        <w:rPr>
          <w:rFonts w:ascii="Times New Roman" w:eastAsia="Melior" w:hAnsi="Times New Roman"/>
          <w:snapToGrid/>
          <w:szCs w:val="24"/>
        </w:rPr>
        <w:t xml:space="preserve"> </w:t>
      </w:r>
      <w:r w:rsidRPr="00E34ED7">
        <w:rPr>
          <w:rFonts w:ascii="Times New Roman" w:eastAsia="Melior" w:hAnsi="Times New Roman"/>
          <w:snapToGrid/>
          <w:szCs w:val="24"/>
        </w:rPr>
        <w:t>regulators in conducting advance</w:t>
      </w:r>
      <w:r w:rsidR="00886852">
        <w:rPr>
          <w:rFonts w:ascii="Times New Roman" w:eastAsia="Melior" w:hAnsi="Times New Roman"/>
          <w:snapToGrid/>
          <w:szCs w:val="24"/>
        </w:rPr>
        <w:t xml:space="preserve"> </w:t>
      </w:r>
      <w:r w:rsidRPr="00E34ED7">
        <w:rPr>
          <w:rFonts w:ascii="Times New Roman" w:eastAsia="Melior" w:hAnsi="Times New Roman"/>
          <w:snapToGrid/>
          <w:szCs w:val="24"/>
        </w:rPr>
        <w:t>resolution planning for a covered</w:t>
      </w:r>
      <w:r w:rsidR="00886852">
        <w:rPr>
          <w:rFonts w:ascii="Times New Roman" w:eastAsia="Melior" w:hAnsi="Times New Roman"/>
          <w:snapToGrid/>
          <w:szCs w:val="24"/>
        </w:rPr>
        <w:t xml:space="preserve"> </w:t>
      </w:r>
      <w:r w:rsidRPr="00E34ED7">
        <w:rPr>
          <w:rFonts w:ascii="Times New Roman" w:eastAsia="Melior" w:hAnsi="Times New Roman"/>
          <w:snapToGrid/>
          <w:szCs w:val="24"/>
        </w:rPr>
        <w:t>company.</w:t>
      </w:r>
      <w:r w:rsidR="001D7B6E">
        <w:rPr>
          <w:rFonts w:ascii="Times New Roman" w:eastAsia="Melior" w:hAnsi="Times New Roman"/>
          <w:snapToGrid/>
          <w:szCs w:val="24"/>
        </w:rPr>
        <w:t xml:space="preserve">  </w:t>
      </w:r>
      <w:r w:rsidRPr="00E34ED7">
        <w:rPr>
          <w:rFonts w:ascii="Times New Roman" w:eastAsia="Melior" w:hAnsi="Times New Roman"/>
          <w:snapToGrid/>
          <w:szCs w:val="24"/>
        </w:rPr>
        <w:t>As demonstrated by the</w:t>
      </w:r>
      <w:r w:rsidR="00886852">
        <w:rPr>
          <w:rFonts w:ascii="Times New Roman" w:eastAsia="Melior" w:hAnsi="Times New Roman"/>
          <w:snapToGrid/>
          <w:szCs w:val="24"/>
        </w:rPr>
        <w:t xml:space="preserve"> </w:t>
      </w:r>
      <w:r w:rsidRPr="00E34ED7">
        <w:rPr>
          <w:rFonts w:ascii="Times New Roman" w:eastAsia="Melior" w:hAnsi="Times New Roman"/>
          <w:snapToGrid/>
          <w:szCs w:val="24"/>
        </w:rPr>
        <w:t>Corporation’s experience in failed bank</w:t>
      </w:r>
      <w:r w:rsidR="00886852">
        <w:rPr>
          <w:rFonts w:ascii="Times New Roman" w:eastAsia="Melior" w:hAnsi="Times New Roman"/>
          <w:snapToGrid/>
          <w:szCs w:val="24"/>
        </w:rPr>
        <w:t xml:space="preserve"> </w:t>
      </w:r>
      <w:r w:rsidRPr="00E34ED7">
        <w:rPr>
          <w:rFonts w:ascii="Times New Roman" w:eastAsia="Melior" w:hAnsi="Times New Roman"/>
          <w:snapToGrid/>
          <w:szCs w:val="24"/>
        </w:rPr>
        <w:t>resolutions, as well as the Board’s and</w:t>
      </w:r>
      <w:r w:rsidR="00886852">
        <w:rPr>
          <w:rFonts w:ascii="Times New Roman" w:eastAsia="Melior" w:hAnsi="Times New Roman"/>
          <w:snapToGrid/>
          <w:szCs w:val="24"/>
        </w:rPr>
        <w:t xml:space="preserve"> </w:t>
      </w:r>
      <w:r w:rsidRPr="00E34ED7">
        <w:rPr>
          <w:rFonts w:ascii="Times New Roman" w:eastAsia="Melior" w:hAnsi="Times New Roman"/>
          <w:snapToGrid/>
          <w:szCs w:val="24"/>
        </w:rPr>
        <w:t>the Corporation’s experience in the</w:t>
      </w:r>
      <w:r w:rsidR="00886852">
        <w:rPr>
          <w:rFonts w:ascii="Times New Roman" w:eastAsia="Melior" w:hAnsi="Times New Roman"/>
          <w:snapToGrid/>
          <w:szCs w:val="24"/>
        </w:rPr>
        <w:t xml:space="preserve"> </w:t>
      </w:r>
      <w:r w:rsidRPr="00E34ED7">
        <w:rPr>
          <w:rFonts w:ascii="Times New Roman" w:eastAsia="Melior" w:hAnsi="Times New Roman"/>
          <w:snapToGrid/>
          <w:szCs w:val="24"/>
        </w:rPr>
        <w:t>recent crisis, advance planning</w:t>
      </w:r>
      <w:r w:rsidR="00886852">
        <w:rPr>
          <w:rFonts w:ascii="Times New Roman" w:eastAsia="Melior" w:hAnsi="Times New Roman"/>
          <w:snapToGrid/>
          <w:szCs w:val="24"/>
        </w:rPr>
        <w:t xml:space="preserve"> </w:t>
      </w:r>
      <w:r w:rsidRPr="00E34ED7">
        <w:rPr>
          <w:rFonts w:ascii="Times New Roman" w:eastAsia="Melior" w:hAnsi="Times New Roman"/>
          <w:snapToGrid/>
          <w:szCs w:val="24"/>
        </w:rPr>
        <w:t>improves the efficient resolution of a</w:t>
      </w:r>
      <w:r w:rsidR="00886852">
        <w:rPr>
          <w:rFonts w:ascii="Times New Roman" w:eastAsia="Melior" w:hAnsi="Times New Roman"/>
          <w:snapToGrid/>
          <w:szCs w:val="24"/>
        </w:rPr>
        <w:t xml:space="preserve"> </w:t>
      </w:r>
      <w:r w:rsidRPr="00E34ED7">
        <w:rPr>
          <w:rFonts w:ascii="Times New Roman" w:eastAsia="Melior" w:hAnsi="Times New Roman"/>
          <w:snapToGrid/>
          <w:szCs w:val="24"/>
        </w:rPr>
        <w:t>covered company.</w:t>
      </w:r>
      <w:r w:rsidR="001D7B6E">
        <w:rPr>
          <w:rFonts w:ascii="Times New Roman" w:eastAsia="Melior" w:hAnsi="Times New Roman"/>
          <w:snapToGrid/>
          <w:szCs w:val="24"/>
        </w:rPr>
        <w:t xml:space="preserve">  </w:t>
      </w:r>
      <w:r w:rsidRPr="00E34ED7">
        <w:rPr>
          <w:rFonts w:ascii="Times New Roman" w:eastAsia="Melior" w:hAnsi="Times New Roman"/>
          <w:snapToGrid/>
          <w:szCs w:val="24"/>
        </w:rPr>
        <w:t>Advance planning</w:t>
      </w:r>
      <w:r w:rsidR="00886852">
        <w:rPr>
          <w:rFonts w:ascii="Times New Roman" w:eastAsia="Melior" w:hAnsi="Times New Roman"/>
          <w:snapToGrid/>
          <w:szCs w:val="24"/>
        </w:rPr>
        <w:t xml:space="preserve"> </w:t>
      </w:r>
      <w:r w:rsidRPr="00E34ED7">
        <w:rPr>
          <w:rFonts w:ascii="Times New Roman" w:eastAsia="Melior" w:hAnsi="Times New Roman"/>
          <w:snapToGrid/>
          <w:szCs w:val="24"/>
        </w:rPr>
        <w:t>has long been a component of resiliency</w:t>
      </w:r>
      <w:r w:rsidR="00886852">
        <w:rPr>
          <w:rFonts w:ascii="Times New Roman" w:eastAsia="Melior" w:hAnsi="Times New Roman"/>
          <w:snapToGrid/>
          <w:szCs w:val="24"/>
        </w:rPr>
        <w:t xml:space="preserve"> </w:t>
      </w:r>
      <w:r w:rsidRPr="00E34ED7">
        <w:rPr>
          <w:rFonts w:ascii="Times New Roman" w:eastAsia="Melior" w:hAnsi="Times New Roman"/>
          <w:snapToGrid/>
          <w:szCs w:val="24"/>
        </w:rPr>
        <w:t>and recovery planning by financial</w:t>
      </w:r>
      <w:r w:rsidR="00886852">
        <w:rPr>
          <w:rFonts w:ascii="Times New Roman" w:eastAsia="Melior" w:hAnsi="Times New Roman"/>
          <w:snapToGrid/>
          <w:szCs w:val="24"/>
        </w:rPr>
        <w:t xml:space="preserve"> </w:t>
      </w:r>
      <w:r w:rsidRPr="00E34ED7">
        <w:rPr>
          <w:rFonts w:ascii="Times New Roman" w:eastAsia="Melior" w:hAnsi="Times New Roman"/>
          <w:snapToGrid/>
          <w:szCs w:val="24"/>
        </w:rPr>
        <w:t>companies.</w:t>
      </w:r>
      <w:r w:rsidR="001D7B6E">
        <w:rPr>
          <w:rFonts w:ascii="Times New Roman" w:eastAsia="Melior" w:hAnsi="Times New Roman"/>
          <w:snapToGrid/>
          <w:szCs w:val="24"/>
        </w:rPr>
        <w:t xml:space="preserve">  </w:t>
      </w:r>
      <w:r w:rsidRPr="00E34ED7">
        <w:rPr>
          <w:rFonts w:ascii="Times New Roman" w:eastAsia="Melior" w:hAnsi="Times New Roman"/>
          <w:snapToGrid/>
          <w:szCs w:val="24"/>
        </w:rPr>
        <w:t>The resolution plan</w:t>
      </w:r>
      <w:r w:rsidR="00886852">
        <w:rPr>
          <w:rFonts w:ascii="Times New Roman" w:eastAsia="Melior" w:hAnsi="Times New Roman"/>
          <w:snapToGrid/>
          <w:szCs w:val="24"/>
        </w:rPr>
        <w:t xml:space="preserve"> </w:t>
      </w:r>
      <w:r w:rsidRPr="00E34ED7">
        <w:rPr>
          <w:rFonts w:ascii="Times New Roman" w:eastAsia="Melior" w:hAnsi="Times New Roman"/>
          <w:snapToGrid/>
          <w:szCs w:val="24"/>
        </w:rPr>
        <w:t>required of covered companies under</w:t>
      </w:r>
      <w:r w:rsidR="00886852">
        <w:rPr>
          <w:rFonts w:ascii="Times New Roman" w:eastAsia="Melior" w:hAnsi="Times New Roman"/>
          <w:snapToGrid/>
          <w:szCs w:val="24"/>
        </w:rPr>
        <w:t xml:space="preserve"> </w:t>
      </w:r>
      <w:r w:rsidR="001D7B6E">
        <w:rPr>
          <w:rFonts w:ascii="Times New Roman" w:eastAsia="Melior" w:hAnsi="Times New Roman"/>
          <w:snapToGrid/>
          <w:szCs w:val="24"/>
        </w:rPr>
        <w:t>the</w:t>
      </w:r>
      <w:r w:rsidRPr="00E34ED7">
        <w:rPr>
          <w:rFonts w:ascii="Times New Roman" w:eastAsia="Melior" w:hAnsi="Times New Roman"/>
          <w:snapToGrid/>
          <w:szCs w:val="24"/>
        </w:rPr>
        <w:t xml:space="preserve"> final rule will support the</w:t>
      </w:r>
      <w:r w:rsidR="00886852">
        <w:rPr>
          <w:rFonts w:ascii="Times New Roman" w:eastAsia="Melior" w:hAnsi="Times New Roman"/>
          <w:snapToGrid/>
          <w:szCs w:val="24"/>
        </w:rPr>
        <w:t xml:space="preserve"> </w:t>
      </w:r>
      <w:r w:rsidRPr="00E34ED7">
        <w:rPr>
          <w:rFonts w:ascii="Times New Roman" w:eastAsia="Melior" w:hAnsi="Times New Roman"/>
          <w:snapToGrid/>
          <w:szCs w:val="24"/>
        </w:rPr>
        <w:t>Corporation’s planning for the exercise</w:t>
      </w:r>
      <w:r w:rsidR="00886852">
        <w:rPr>
          <w:rFonts w:ascii="Times New Roman" w:eastAsia="Melior" w:hAnsi="Times New Roman"/>
          <w:snapToGrid/>
          <w:szCs w:val="24"/>
        </w:rPr>
        <w:t xml:space="preserve"> </w:t>
      </w:r>
      <w:r w:rsidRPr="00E34ED7">
        <w:rPr>
          <w:rFonts w:ascii="Times New Roman" w:eastAsia="Melior" w:hAnsi="Times New Roman"/>
          <w:snapToGrid/>
          <w:szCs w:val="24"/>
        </w:rPr>
        <w:t>of its resolution authority under the</w:t>
      </w:r>
      <w:r w:rsidR="00886852">
        <w:rPr>
          <w:rFonts w:ascii="Times New Roman" w:eastAsia="Melior" w:hAnsi="Times New Roman"/>
          <w:snapToGrid/>
          <w:szCs w:val="24"/>
        </w:rPr>
        <w:t xml:space="preserve"> </w:t>
      </w:r>
      <w:r w:rsidRPr="00E34ED7">
        <w:rPr>
          <w:rFonts w:ascii="Times New Roman" w:eastAsia="Melior" w:hAnsi="Times New Roman"/>
          <w:snapToGrid/>
          <w:szCs w:val="24"/>
        </w:rPr>
        <w:t>Dodd-Frank Act and the Federal Deposit</w:t>
      </w:r>
      <w:r w:rsidR="00886852">
        <w:rPr>
          <w:rFonts w:ascii="Times New Roman" w:eastAsia="Melior" w:hAnsi="Times New Roman"/>
          <w:snapToGrid/>
          <w:szCs w:val="24"/>
        </w:rPr>
        <w:t xml:space="preserve"> </w:t>
      </w:r>
      <w:r w:rsidRPr="00E34ED7">
        <w:rPr>
          <w:rFonts w:ascii="Times New Roman" w:eastAsia="Melior" w:hAnsi="Times New Roman"/>
          <w:snapToGrid/>
          <w:szCs w:val="24"/>
        </w:rPr>
        <w:t>Insurance Act by providing</w:t>
      </w:r>
      <w:r w:rsidR="00886852">
        <w:rPr>
          <w:rFonts w:ascii="Times New Roman" w:eastAsia="Melior" w:hAnsi="Times New Roman"/>
          <w:snapToGrid/>
          <w:szCs w:val="24"/>
        </w:rPr>
        <w:t xml:space="preserve"> </w:t>
      </w:r>
      <w:r w:rsidRPr="00E34ED7">
        <w:rPr>
          <w:rFonts w:ascii="Times New Roman" w:eastAsia="Melior" w:hAnsi="Times New Roman"/>
          <w:snapToGrid/>
          <w:szCs w:val="24"/>
        </w:rPr>
        <w:t>the Corporation with an understanding</w:t>
      </w:r>
      <w:r w:rsidR="00886852">
        <w:rPr>
          <w:rFonts w:ascii="Times New Roman" w:eastAsia="Melior" w:hAnsi="Times New Roman"/>
          <w:snapToGrid/>
          <w:szCs w:val="24"/>
        </w:rPr>
        <w:t xml:space="preserve"> </w:t>
      </w:r>
      <w:r w:rsidRPr="00E34ED7">
        <w:rPr>
          <w:rFonts w:ascii="Times New Roman" w:eastAsia="Melior" w:hAnsi="Times New Roman"/>
          <w:snapToGrid/>
          <w:szCs w:val="24"/>
        </w:rPr>
        <w:t>of the covered companies’ structure</w:t>
      </w:r>
      <w:r w:rsidR="00AE3278">
        <w:rPr>
          <w:rFonts w:ascii="Times New Roman" w:eastAsia="Melior" w:hAnsi="Times New Roman"/>
          <w:snapToGrid/>
          <w:szCs w:val="24"/>
        </w:rPr>
        <w:t>s</w:t>
      </w:r>
      <w:r w:rsidRPr="00E34ED7">
        <w:rPr>
          <w:rFonts w:ascii="Times New Roman" w:eastAsia="Melior" w:hAnsi="Times New Roman"/>
          <w:snapToGrid/>
          <w:szCs w:val="24"/>
        </w:rPr>
        <w:t xml:space="preserve"> and</w:t>
      </w:r>
      <w:r w:rsidR="00886852">
        <w:rPr>
          <w:rFonts w:ascii="Times New Roman" w:eastAsia="Melior" w:hAnsi="Times New Roman"/>
          <w:snapToGrid/>
          <w:szCs w:val="24"/>
        </w:rPr>
        <w:t xml:space="preserve"> </w:t>
      </w:r>
      <w:r w:rsidRPr="00E34ED7">
        <w:rPr>
          <w:rFonts w:ascii="Times New Roman" w:eastAsia="Melior" w:hAnsi="Times New Roman"/>
          <w:snapToGrid/>
          <w:szCs w:val="24"/>
        </w:rPr>
        <w:t xml:space="preserve">complexity as well as </w:t>
      </w:r>
      <w:r w:rsidR="001D7B6E" w:rsidRPr="00E34ED7">
        <w:rPr>
          <w:rFonts w:ascii="Times New Roman" w:eastAsia="Melior" w:hAnsi="Times New Roman"/>
          <w:snapToGrid/>
          <w:szCs w:val="24"/>
        </w:rPr>
        <w:t xml:space="preserve">their </w:t>
      </w:r>
      <w:r w:rsidR="001D7B6E">
        <w:rPr>
          <w:rFonts w:ascii="Times New Roman" w:eastAsia="Melior" w:hAnsi="Times New Roman"/>
          <w:snapToGrid/>
          <w:szCs w:val="24"/>
        </w:rPr>
        <w:t>resolution</w:t>
      </w:r>
      <w:r w:rsidR="00886852">
        <w:rPr>
          <w:rFonts w:ascii="Times New Roman" w:eastAsia="Melior" w:hAnsi="Times New Roman"/>
          <w:snapToGrid/>
          <w:szCs w:val="24"/>
        </w:rPr>
        <w:t xml:space="preserve"> </w:t>
      </w:r>
      <w:r w:rsidRPr="00E34ED7">
        <w:rPr>
          <w:rFonts w:ascii="Times New Roman" w:eastAsia="Melior" w:hAnsi="Times New Roman"/>
          <w:snapToGrid/>
          <w:szCs w:val="24"/>
        </w:rPr>
        <w:t>strategies and processes. The resolution</w:t>
      </w:r>
      <w:r w:rsidR="00886852">
        <w:rPr>
          <w:rFonts w:ascii="Times New Roman" w:eastAsia="Melior" w:hAnsi="Times New Roman"/>
          <w:snapToGrid/>
          <w:szCs w:val="24"/>
        </w:rPr>
        <w:t xml:space="preserve"> </w:t>
      </w:r>
      <w:r w:rsidRPr="00E34ED7">
        <w:rPr>
          <w:rFonts w:ascii="Times New Roman" w:eastAsia="Melior" w:hAnsi="Times New Roman"/>
          <w:snapToGrid/>
          <w:szCs w:val="24"/>
        </w:rPr>
        <w:t>plan required of covered companies</w:t>
      </w:r>
      <w:r w:rsidR="00886852">
        <w:rPr>
          <w:rFonts w:ascii="Times New Roman" w:eastAsia="Melior" w:hAnsi="Times New Roman"/>
          <w:snapToGrid/>
          <w:szCs w:val="24"/>
        </w:rPr>
        <w:t xml:space="preserve"> </w:t>
      </w:r>
      <w:r w:rsidRPr="00E34ED7">
        <w:rPr>
          <w:rFonts w:ascii="Times New Roman" w:eastAsia="Melior" w:hAnsi="Times New Roman"/>
          <w:snapToGrid/>
          <w:szCs w:val="24"/>
        </w:rPr>
        <w:t xml:space="preserve">under </w:t>
      </w:r>
      <w:r w:rsidR="001D7B6E">
        <w:rPr>
          <w:rFonts w:ascii="Times New Roman" w:eastAsia="Melior" w:hAnsi="Times New Roman"/>
          <w:snapToGrid/>
          <w:szCs w:val="24"/>
        </w:rPr>
        <w:t>the</w:t>
      </w:r>
      <w:r w:rsidRPr="00E34ED7">
        <w:rPr>
          <w:rFonts w:ascii="Times New Roman" w:eastAsia="Melior" w:hAnsi="Times New Roman"/>
          <w:snapToGrid/>
          <w:szCs w:val="24"/>
        </w:rPr>
        <w:t xml:space="preserve"> final rule will also assist the</w:t>
      </w:r>
      <w:r w:rsidR="00886852">
        <w:rPr>
          <w:rFonts w:ascii="Times New Roman" w:eastAsia="Melior" w:hAnsi="Times New Roman"/>
          <w:snapToGrid/>
          <w:szCs w:val="24"/>
        </w:rPr>
        <w:t xml:space="preserve"> </w:t>
      </w:r>
      <w:r w:rsidRPr="00E34ED7">
        <w:rPr>
          <w:rFonts w:ascii="Times New Roman" w:eastAsia="Melior" w:hAnsi="Times New Roman"/>
          <w:snapToGrid/>
          <w:szCs w:val="24"/>
        </w:rPr>
        <w:t>Board in its supervisory efforts to ensure</w:t>
      </w:r>
      <w:r w:rsidR="00886852">
        <w:rPr>
          <w:rFonts w:ascii="Times New Roman" w:eastAsia="Melior" w:hAnsi="Times New Roman"/>
          <w:snapToGrid/>
          <w:szCs w:val="24"/>
        </w:rPr>
        <w:t xml:space="preserve"> </w:t>
      </w:r>
      <w:r w:rsidRPr="00E34ED7">
        <w:rPr>
          <w:rFonts w:ascii="Times New Roman" w:eastAsia="Melior" w:hAnsi="Times New Roman"/>
          <w:snapToGrid/>
          <w:szCs w:val="24"/>
        </w:rPr>
        <w:t>that covered companies operate in a</w:t>
      </w:r>
      <w:r w:rsidR="00886852">
        <w:rPr>
          <w:rFonts w:ascii="Times New Roman" w:eastAsia="Melior" w:hAnsi="Times New Roman"/>
          <w:snapToGrid/>
          <w:szCs w:val="24"/>
        </w:rPr>
        <w:t xml:space="preserve"> </w:t>
      </w:r>
      <w:r w:rsidRPr="00E34ED7">
        <w:rPr>
          <w:rFonts w:ascii="Times New Roman" w:eastAsia="Melior" w:hAnsi="Times New Roman"/>
          <w:snapToGrid/>
          <w:szCs w:val="24"/>
        </w:rPr>
        <w:t>manner that is both safe and sound and</w:t>
      </w:r>
      <w:r w:rsidR="00886852">
        <w:rPr>
          <w:rFonts w:ascii="Times New Roman" w:eastAsia="Melior" w:hAnsi="Times New Roman"/>
          <w:snapToGrid/>
          <w:szCs w:val="24"/>
        </w:rPr>
        <w:t xml:space="preserve"> </w:t>
      </w:r>
      <w:r w:rsidRPr="00E34ED7">
        <w:rPr>
          <w:rFonts w:ascii="Times New Roman" w:eastAsia="Melior" w:hAnsi="Times New Roman"/>
          <w:snapToGrid/>
          <w:szCs w:val="24"/>
        </w:rPr>
        <w:t>that does not pose risks to financial</w:t>
      </w:r>
      <w:r w:rsidR="00886852">
        <w:rPr>
          <w:rFonts w:ascii="Times New Roman" w:eastAsia="Melior" w:hAnsi="Times New Roman"/>
          <w:snapToGrid/>
          <w:szCs w:val="24"/>
        </w:rPr>
        <w:t xml:space="preserve"> </w:t>
      </w:r>
      <w:r w:rsidRPr="00E34ED7">
        <w:rPr>
          <w:rFonts w:ascii="Times New Roman" w:eastAsia="Melior" w:hAnsi="Times New Roman"/>
          <w:snapToGrid/>
          <w:szCs w:val="24"/>
        </w:rPr>
        <w:t>stability generally.</w:t>
      </w:r>
      <w:r w:rsidR="001D7B6E">
        <w:rPr>
          <w:rFonts w:ascii="Times New Roman" w:eastAsia="Melior" w:hAnsi="Times New Roman"/>
          <w:snapToGrid/>
          <w:szCs w:val="24"/>
        </w:rPr>
        <w:t xml:space="preserve">  </w:t>
      </w:r>
      <w:r w:rsidRPr="00E34ED7">
        <w:rPr>
          <w:rFonts w:ascii="Times New Roman" w:eastAsia="Melior" w:hAnsi="Times New Roman"/>
          <w:snapToGrid/>
          <w:szCs w:val="24"/>
        </w:rPr>
        <w:t>In addition, these</w:t>
      </w:r>
      <w:r w:rsidR="00886852">
        <w:rPr>
          <w:rFonts w:ascii="Times New Roman" w:eastAsia="Melior" w:hAnsi="Times New Roman"/>
          <w:snapToGrid/>
          <w:szCs w:val="24"/>
        </w:rPr>
        <w:t xml:space="preserve"> </w:t>
      </w:r>
      <w:r w:rsidRPr="00E34ED7">
        <w:rPr>
          <w:rFonts w:ascii="Times New Roman" w:eastAsia="Melior" w:hAnsi="Times New Roman"/>
          <w:snapToGrid/>
          <w:szCs w:val="24"/>
        </w:rPr>
        <w:t>plans will enhance the Agencies’</w:t>
      </w:r>
      <w:r w:rsidR="00886852">
        <w:rPr>
          <w:rFonts w:ascii="Times New Roman" w:eastAsia="Melior" w:hAnsi="Times New Roman"/>
          <w:snapToGrid/>
          <w:szCs w:val="24"/>
        </w:rPr>
        <w:t xml:space="preserve"> </w:t>
      </w:r>
      <w:r w:rsidRPr="00E34ED7">
        <w:rPr>
          <w:rFonts w:ascii="Times New Roman" w:eastAsia="Melior" w:hAnsi="Times New Roman"/>
          <w:snapToGrid/>
          <w:szCs w:val="24"/>
        </w:rPr>
        <w:t>understanding of the U.S.</w:t>
      </w:r>
      <w:r w:rsidR="001D7B6E">
        <w:rPr>
          <w:rFonts w:ascii="Times New Roman" w:eastAsia="Melior" w:hAnsi="Times New Roman"/>
          <w:snapToGrid/>
          <w:szCs w:val="24"/>
        </w:rPr>
        <w:t xml:space="preserve"> </w:t>
      </w:r>
      <w:r w:rsidR="00886852">
        <w:rPr>
          <w:rFonts w:ascii="Times New Roman" w:eastAsia="Melior" w:hAnsi="Times New Roman"/>
          <w:snapToGrid/>
          <w:szCs w:val="24"/>
        </w:rPr>
        <w:t>o</w:t>
      </w:r>
      <w:r w:rsidRPr="00E34ED7">
        <w:rPr>
          <w:rFonts w:ascii="Times New Roman" w:eastAsia="Melior" w:hAnsi="Times New Roman"/>
          <w:snapToGrid/>
          <w:szCs w:val="24"/>
        </w:rPr>
        <w:t>perations of</w:t>
      </w:r>
      <w:r w:rsidR="00886852">
        <w:rPr>
          <w:rFonts w:ascii="Times New Roman" w:eastAsia="Melior" w:hAnsi="Times New Roman"/>
          <w:snapToGrid/>
          <w:szCs w:val="24"/>
        </w:rPr>
        <w:t xml:space="preserve"> </w:t>
      </w:r>
      <w:r w:rsidRPr="00E34ED7">
        <w:rPr>
          <w:rFonts w:ascii="Times New Roman" w:eastAsia="Melior" w:hAnsi="Times New Roman"/>
          <w:snapToGrid/>
          <w:szCs w:val="24"/>
        </w:rPr>
        <w:t>foreign banks and improve efforts to</w:t>
      </w:r>
      <w:r w:rsidR="00886852">
        <w:rPr>
          <w:rFonts w:ascii="Times New Roman" w:eastAsia="Melior" w:hAnsi="Times New Roman"/>
          <w:snapToGrid/>
          <w:szCs w:val="24"/>
        </w:rPr>
        <w:t xml:space="preserve"> </w:t>
      </w:r>
      <w:r w:rsidRPr="00E34ED7">
        <w:rPr>
          <w:rFonts w:ascii="Times New Roman" w:eastAsia="Melior" w:hAnsi="Times New Roman"/>
          <w:snapToGrid/>
          <w:szCs w:val="24"/>
        </w:rPr>
        <w:t>develop a comprehensive and</w:t>
      </w:r>
      <w:r w:rsidR="00886852">
        <w:rPr>
          <w:rFonts w:ascii="Times New Roman" w:eastAsia="Melior" w:hAnsi="Times New Roman"/>
          <w:snapToGrid/>
          <w:szCs w:val="24"/>
        </w:rPr>
        <w:t xml:space="preserve"> </w:t>
      </w:r>
      <w:r w:rsidRPr="00E34ED7">
        <w:rPr>
          <w:rFonts w:ascii="Times New Roman" w:eastAsia="Melior" w:hAnsi="Times New Roman"/>
          <w:snapToGrid/>
          <w:szCs w:val="24"/>
        </w:rPr>
        <w:t>coordinated resolution strategy for a</w:t>
      </w:r>
      <w:r w:rsidR="00886852">
        <w:rPr>
          <w:rFonts w:ascii="Times New Roman" w:eastAsia="Melior" w:hAnsi="Times New Roman"/>
          <w:snapToGrid/>
          <w:szCs w:val="24"/>
        </w:rPr>
        <w:t xml:space="preserve"> </w:t>
      </w:r>
      <w:r w:rsidRPr="00E34ED7">
        <w:rPr>
          <w:rFonts w:ascii="Times New Roman" w:eastAsia="Melior" w:hAnsi="Times New Roman"/>
          <w:snapToGrid/>
          <w:szCs w:val="24"/>
        </w:rPr>
        <w:t>cross-border firm.</w:t>
      </w:r>
      <w:r w:rsidR="00886852">
        <w:rPr>
          <w:rFonts w:ascii="Times New Roman" w:eastAsia="Melior" w:hAnsi="Times New Roman"/>
          <w:snapToGrid/>
          <w:szCs w:val="24"/>
        </w:rPr>
        <w:t xml:space="preserve"> </w:t>
      </w:r>
    </w:p>
    <w:p w:rsidR="001D7B6E" w:rsidRDefault="001D7B6E" w:rsidP="00886852">
      <w:pPr>
        <w:widowControl/>
        <w:autoSpaceDE w:val="0"/>
        <w:autoSpaceDN w:val="0"/>
        <w:adjustRightInd w:val="0"/>
        <w:ind w:firstLine="720"/>
        <w:rPr>
          <w:rFonts w:ascii="Times New Roman" w:eastAsia="Melior" w:hAnsi="Times New Roman"/>
          <w:snapToGrid/>
          <w:szCs w:val="24"/>
        </w:rPr>
      </w:pPr>
    </w:p>
    <w:p w:rsidR="00124D4D" w:rsidRDefault="00E34ED7" w:rsidP="00124D4D">
      <w:pPr>
        <w:widowControl/>
        <w:autoSpaceDE w:val="0"/>
        <w:autoSpaceDN w:val="0"/>
        <w:adjustRightInd w:val="0"/>
        <w:ind w:firstLine="720"/>
        <w:rPr>
          <w:rFonts w:ascii="Times New Roman" w:eastAsia="Melior" w:hAnsi="Times New Roman"/>
          <w:snapToGrid/>
          <w:szCs w:val="24"/>
        </w:rPr>
      </w:pPr>
      <w:r w:rsidRPr="00E34ED7">
        <w:rPr>
          <w:rFonts w:ascii="Times New Roman" w:eastAsia="Melior" w:hAnsi="Times New Roman"/>
          <w:snapToGrid/>
          <w:szCs w:val="24"/>
        </w:rPr>
        <w:t>The final rule requires each covered</w:t>
      </w:r>
      <w:r w:rsidR="00886852">
        <w:rPr>
          <w:rFonts w:ascii="Times New Roman" w:eastAsia="Melior" w:hAnsi="Times New Roman"/>
          <w:snapToGrid/>
          <w:szCs w:val="24"/>
        </w:rPr>
        <w:t xml:space="preserve"> </w:t>
      </w:r>
      <w:r w:rsidRPr="00E34ED7">
        <w:rPr>
          <w:rFonts w:ascii="Times New Roman" w:eastAsia="Melior" w:hAnsi="Times New Roman"/>
          <w:snapToGrid/>
          <w:szCs w:val="24"/>
        </w:rPr>
        <w:t>company to produce a resolution plan,</w:t>
      </w:r>
      <w:r w:rsidR="00886852">
        <w:rPr>
          <w:rFonts w:ascii="Times New Roman" w:eastAsia="Melior" w:hAnsi="Times New Roman"/>
          <w:snapToGrid/>
          <w:szCs w:val="24"/>
        </w:rPr>
        <w:t xml:space="preserve"> </w:t>
      </w:r>
      <w:r w:rsidRPr="00E34ED7">
        <w:rPr>
          <w:rFonts w:ascii="Times New Roman" w:eastAsia="Melior" w:hAnsi="Times New Roman"/>
          <w:snapToGrid/>
          <w:szCs w:val="24"/>
        </w:rPr>
        <w:t>or ‘‘living will,’’ that includes</w:t>
      </w:r>
      <w:r w:rsidR="00886852">
        <w:rPr>
          <w:rFonts w:ascii="Times New Roman" w:eastAsia="Melior" w:hAnsi="Times New Roman"/>
          <w:snapToGrid/>
          <w:szCs w:val="24"/>
        </w:rPr>
        <w:t xml:space="preserve"> </w:t>
      </w:r>
      <w:r w:rsidRPr="00E34ED7">
        <w:rPr>
          <w:rFonts w:ascii="Times New Roman" w:eastAsia="Melior" w:hAnsi="Times New Roman"/>
          <w:snapToGrid/>
          <w:szCs w:val="24"/>
        </w:rPr>
        <w:t>information regarding the manner and</w:t>
      </w:r>
      <w:r w:rsidR="00394224">
        <w:rPr>
          <w:rFonts w:ascii="Times New Roman" w:eastAsia="Melior" w:hAnsi="Times New Roman"/>
          <w:snapToGrid/>
          <w:szCs w:val="24"/>
        </w:rPr>
        <w:t xml:space="preserve"> </w:t>
      </w:r>
      <w:r w:rsidRPr="00E34ED7">
        <w:rPr>
          <w:rFonts w:ascii="Times New Roman" w:eastAsia="Melior" w:hAnsi="Times New Roman"/>
          <w:snapToGrid/>
          <w:szCs w:val="24"/>
        </w:rPr>
        <w:t>extent to which any insured</w:t>
      </w:r>
      <w:r w:rsidR="00394224">
        <w:rPr>
          <w:rFonts w:ascii="Times New Roman" w:eastAsia="Melior" w:hAnsi="Times New Roman"/>
          <w:snapToGrid/>
          <w:szCs w:val="24"/>
        </w:rPr>
        <w:t xml:space="preserve"> </w:t>
      </w:r>
      <w:r w:rsidRPr="00E34ED7">
        <w:rPr>
          <w:rFonts w:ascii="Times New Roman" w:eastAsia="Melior" w:hAnsi="Times New Roman"/>
          <w:snapToGrid/>
          <w:szCs w:val="24"/>
        </w:rPr>
        <w:t>depository</w:t>
      </w:r>
      <w:r w:rsidR="00886852">
        <w:rPr>
          <w:rFonts w:ascii="Times New Roman" w:eastAsia="Melior" w:hAnsi="Times New Roman"/>
          <w:snapToGrid/>
          <w:szCs w:val="24"/>
        </w:rPr>
        <w:t xml:space="preserve"> </w:t>
      </w:r>
      <w:r w:rsidRPr="00E34ED7">
        <w:rPr>
          <w:rFonts w:ascii="Times New Roman" w:eastAsia="Melior" w:hAnsi="Times New Roman"/>
          <w:snapToGrid/>
          <w:szCs w:val="24"/>
        </w:rPr>
        <w:t>institution affiliated with the company</w:t>
      </w:r>
      <w:r w:rsidR="00886852">
        <w:rPr>
          <w:rFonts w:ascii="Times New Roman" w:eastAsia="Melior" w:hAnsi="Times New Roman"/>
          <w:snapToGrid/>
          <w:szCs w:val="24"/>
        </w:rPr>
        <w:t xml:space="preserve"> </w:t>
      </w:r>
      <w:r w:rsidRPr="00E34ED7">
        <w:rPr>
          <w:rFonts w:ascii="Times New Roman" w:eastAsia="Melior" w:hAnsi="Times New Roman"/>
          <w:snapToGrid/>
          <w:szCs w:val="24"/>
        </w:rPr>
        <w:t>is adequately protected from risks</w:t>
      </w:r>
      <w:r w:rsidR="00886852">
        <w:rPr>
          <w:rFonts w:ascii="Times New Roman" w:eastAsia="Melior" w:hAnsi="Times New Roman"/>
          <w:snapToGrid/>
          <w:szCs w:val="24"/>
        </w:rPr>
        <w:t xml:space="preserve"> </w:t>
      </w:r>
      <w:r w:rsidRPr="00E34ED7">
        <w:rPr>
          <w:rFonts w:ascii="Times New Roman" w:eastAsia="Melior" w:hAnsi="Times New Roman"/>
          <w:snapToGrid/>
          <w:szCs w:val="24"/>
        </w:rPr>
        <w:t>arising from the activities of nonbank</w:t>
      </w:r>
      <w:r w:rsidR="00886852">
        <w:rPr>
          <w:rFonts w:ascii="Times New Roman" w:eastAsia="Melior" w:hAnsi="Times New Roman"/>
          <w:snapToGrid/>
          <w:szCs w:val="24"/>
        </w:rPr>
        <w:t xml:space="preserve"> </w:t>
      </w:r>
      <w:r w:rsidRPr="00E34ED7">
        <w:rPr>
          <w:rFonts w:ascii="Times New Roman" w:eastAsia="Melior" w:hAnsi="Times New Roman"/>
          <w:snapToGrid/>
          <w:szCs w:val="24"/>
        </w:rPr>
        <w:t>subsidiaries of the company;</w:t>
      </w:r>
      <w:r w:rsidR="00394224">
        <w:rPr>
          <w:rFonts w:ascii="Times New Roman" w:eastAsia="Melior" w:hAnsi="Times New Roman"/>
          <w:snapToGrid/>
          <w:szCs w:val="24"/>
        </w:rPr>
        <w:t xml:space="preserve"> </w:t>
      </w:r>
      <w:r w:rsidRPr="00E34ED7">
        <w:rPr>
          <w:rFonts w:ascii="Times New Roman" w:eastAsia="Melior" w:hAnsi="Times New Roman"/>
          <w:snapToGrid/>
          <w:szCs w:val="24"/>
        </w:rPr>
        <w:t>detailed</w:t>
      </w:r>
      <w:r w:rsidR="00394224">
        <w:rPr>
          <w:rFonts w:ascii="Times New Roman" w:eastAsia="Melior" w:hAnsi="Times New Roman"/>
          <w:snapToGrid/>
          <w:szCs w:val="24"/>
        </w:rPr>
        <w:t xml:space="preserve"> </w:t>
      </w:r>
      <w:r w:rsidRPr="00E34ED7">
        <w:rPr>
          <w:rFonts w:ascii="Times New Roman" w:eastAsia="Melior" w:hAnsi="Times New Roman"/>
          <w:snapToGrid/>
          <w:szCs w:val="24"/>
        </w:rPr>
        <w:t>descriptions of the ownership structure,</w:t>
      </w:r>
      <w:r w:rsidR="00886852">
        <w:rPr>
          <w:rFonts w:ascii="Times New Roman" w:eastAsia="Melior" w:hAnsi="Times New Roman"/>
          <w:snapToGrid/>
          <w:szCs w:val="24"/>
        </w:rPr>
        <w:t xml:space="preserve"> </w:t>
      </w:r>
      <w:r w:rsidRPr="00E34ED7">
        <w:rPr>
          <w:rFonts w:ascii="Times New Roman" w:eastAsia="Melior" w:hAnsi="Times New Roman"/>
          <w:snapToGrid/>
          <w:szCs w:val="24"/>
        </w:rPr>
        <w:t>assets, liabilities, and contractual</w:t>
      </w:r>
      <w:r w:rsidR="00886852">
        <w:rPr>
          <w:rFonts w:ascii="Times New Roman" w:eastAsia="Melior" w:hAnsi="Times New Roman"/>
          <w:snapToGrid/>
          <w:szCs w:val="24"/>
        </w:rPr>
        <w:t xml:space="preserve"> </w:t>
      </w:r>
      <w:r w:rsidRPr="00E34ED7">
        <w:rPr>
          <w:rFonts w:ascii="Times New Roman" w:eastAsia="Melior" w:hAnsi="Times New Roman"/>
          <w:snapToGrid/>
          <w:szCs w:val="24"/>
        </w:rPr>
        <w:t>obligations of the company;</w:t>
      </w:r>
      <w:r w:rsidR="00394224">
        <w:rPr>
          <w:rFonts w:ascii="Times New Roman" w:eastAsia="Melior" w:hAnsi="Times New Roman"/>
          <w:snapToGrid/>
          <w:szCs w:val="24"/>
        </w:rPr>
        <w:t xml:space="preserve"> </w:t>
      </w:r>
      <w:r w:rsidRPr="00E34ED7">
        <w:rPr>
          <w:rFonts w:ascii="Times New Roman" w:eastAsia="Melior" w:hAnsi="Times New Roman"/>
          <w:snapToGrid/>
          <w:szCs w:val="24"/>
        </w:rPr>
        <w:t>identification of the cross-guarantees</w:t>
      </w:r>
      <w:r w:rsidR="00886852">
        <w:rPr>
          <w:rFonts w:ascii="Times New Roman" w:eastAsia="Melior" w:hAnsi="Times New Roman"/>
          <w:snapToGrid/>
          <w:szCs w:val="24"/>
        </w:rPr>
        <w:t xml:space="preserve"> </w:t>
      </w:r>
      <w:r w:rsidRPr="00E34ED7">
        <w:rPr>
          <w:rFonts w:ascii="Times New Roman" w:eastAsia="Melior" w:hAnsi="Times New Roman"/>
          <w:snapToGrid/>
          <w:szCs w:val="24"/>
        </w:rPr>
        <w:t>tied to different securities; identification</w:t>
      </w:r>
      <w:r w:rsidR="00886852">
        <w:rPr>
          <w:rFonts w:ascii="Times New Roman" w:eastAsia="Melior" w:hAnsi="Times New Roman"/>
          <w:snapToGrid/>
          <w:szCs w:val="24"/>
        </w:rPr>
        <w:t xml:space="preserve"> </w:t>
      </w:r>
      <w:r w:rsidRPr="00E34ED7">
        <w:rPr>
          <w:rFonts w:ascii="Times New Roman" w:eastAsia="Melior" w:hAnsi="Times New Roman"/>
          <w:snapToGrid/>
          <w:szCs w:val="24"/>
        </w:rPr>
        <w:t>of major counterparties; a process for</w:t>
      </w:r>
      <w:r w:rsidR="00886852">
        <w:rPr>
          <w:rFonts w:ascii="Times New Roman" w:eastAsia="Melior" w:hAnsi="Times New Roman"/>
          <w:snapToGrid/>
          <w:szCs w:val="24"/>
        </w:rPr>
        <w:t xml:space="preserve"> </w:t>
      </w:r>
      <w:r w:rsidRPr="00E34ED7">
        <w:rPr>
          <w:rFonts w:ascii="Times New Roman" w:eastAsia="Melior" w:hAnsi="Times New Roman"/>
          <w:snapToGrid/>
          <w:szCs w:val="24"/>
        </w:rPr>
        <w:t>determining to whom the collateral of</w:t>
      </w:r>
      <w:r w:rsidR="00886852">
        <w:rPr>
          <w:rFonts w:ascii="Times New Roman" w:eastAsia="Melior" w:hAnsi="Times New Roman"/>
          <w:snapToGrid/>
          <w:szCs w:val="24"/>
        </w:rPr>
        <w:t xml:space="preserve"> </w:t>
      </w:r>
      <w:r w:rsidRPr="00E34ED7">
        <w:rPr>
          <w:rFonts w:ascii="Times New Roman" w:eastAsia="Melior" w:hAnsi="Times New Roman"/>
          <w:snapToGrid/>
          <w:szCs w:val="24"/>
        </w:rPr>
        <w:t>the company is pledged; and other</w:t>
      </w:r>
      <w:r w:rsidR="00886852">
        <w:rPr>
          <w:rFonts w:ascii="Times New Roman" w:eastAsia="Melior" w:hAnsi="Times New Roman"/>
          <w:snapToGrid/>
          <w:szCs w:val="24"/>
        </w:rPr>
        <w:t xml:space="preserve"> </w:t>
      </w:r>
      <w:r w:rsidRPr="00E34ED7">
        <w:rPr>
          <w:rFonts w:ascii="Times New Roman" w:eastAsia="Melior" w:hAnsi="Times New Roman"/>
          <w:snapToGrid/>
          <w:szCs w:val="24"/>
        </w:rPr>
        <w:t>information that the Board and the</w:t>
      </w:r>
      <w:r w:rsidR="00886852">
        <w:rPr>
          <w:rFonts w:ascii="Times New Roman" w:eastAsia="Melior" w:hAnsi="Times New Roman"/>
          <w:snapToGrid/>
          <w:szCs w:val="24"/>
        </w:rPr>
        <w:t xml:space="preserve"> </w:t>
      </w:r>
      <w:r w:rsidRPr="00E34ED7">
        <w:rPr>
          <w:rFonts w:ascii="Times New Roman" w:eastAsia="Melior" w:hAnsi="Times New Roman"/>
          <w:snapToGrid/>
          <w:szCs w:val="24"/>
        </w:rPr>
        <w:t>Corporation jointly require by rule or</w:t>
      </w:r>
      <w:r w:rsidR="00124D4D">
        <w:rPr>
          <w:rFonts w:ascii="Times New Roman" w:eastAsia="Melior" w:hAnsi="Times New Roman"/>
          <w:snapToGrid/>
          <w:szCs w:val="24"/>
        </w:rPr>
        <w:t xml:space="preserve"> </w:t>
      </w:r>
      <w:r w:rsidRPr="00E34ED7">
        <w:rPr>
          <w:rFonts w:ascii="Times New Roman" w:eastAsia="Melior" w:hAnsi="Times New Roman"/>
          <w:snapToGrid/>
          <w:szCs w:val="24"/>
        </w:rPr>
        <w:t>order.</w:t>
      </w:r>
    </w:p>
    <w:p w:rsidR="00124D4D" w:rsidRDefault="00124D4D" w:rsidP="00124D4D">
      <w:pPr>
        <w:widowControl/>
        <w:autoSpaceDE w:val="0"/>
        <w:autoSpaceDN w:val="0"/>
        <w:adjustRightInd w:val="0"/>
        <w:ind w:firstLine="720"/>
        <w:rPr>
          <w:rFonts w:ascii="Times New Roman" w:eastAsia="Melior" w:hAnsi="Times New Roman"/>
          <w:snapToGrid/>
          <w:szCs w:val="24"/>
        </w:rPr>
      </w:pPr>
    </w:p>
    <w:p w:rsidR="00E34ED7" w:rsidRPr="00E34ED7" w:rsidRDefault="00E34ED7" w:rsidP="00124D4D">
      <w:pPr>
        <w:widowControl/>
        <w:autoSpaceDE w:val="0"/>
        <w:autoSpaceDN w:val="0"/>
        <w:adjustRightInd w:val="0"/>
        <w:ind w:firstLine="720"/>
        <w:rPr>
          <w:rFonts w:ascii="Times New Roman" w:eastAsia="Melior" w:hAnsi="Times New Roman"/>
          <w:snapToGrid/>
          <w:szCs w:val="24"/>
        </w:rPr>
      </w:pPr>
      <w:r w:rsidRPr="00E34ED7">
        <w:rPr>
          <w:rFonts w:ascii="Times New Roman" w:eastAsia="Melior" w:hAnsi="Times New Roman"/>
          <w:snapToGrid/>
          <w:szCs w:val="24"/>
        </w:rPr>
        <w:t>The final rule requires a strategic</w:t>
      </w:r>
      <w:r w:rsidR="00886852">
        <w:rPr>
          <w:rFonts w:ascii="Times New Roman" w:eastAsia="Melior" w:hAnsi="Times New Roman"/>
          <w:snapToGrid/>
          <w:szCs w:val="24"/>
        </w:rPr>
        <w:t xml:space="preserve"> </w:t>
      </w:r>
      <w:r w:rsidRPr="00E34ED7">
        <w:rPr>
          <w:rFonts w:ascii="Times New Roman" w:eastAsia="Melior" w:hAnsi="Times New Roman"/>
          <w:snapToGrid/>
          <w:szCs w:val="24"/>
        </w:rPr>
        <w:t>analysis by the covered company of how</w:t>
      </w:r>
      <w:r w:rsidR="00886852">
        <w:rPr>
          <w:rFonts w:ascii="Times New Roman" w:eastAsia="Melior" w:hAnsi="Times New Roman"/>
          <w:snapToGrid/>
          <w:szCs w:val="24"/>
        </w:rPr>
        <w:t xml:space="preserve"> </w:t>
      </w:r>
      <w:r w:rsidRPr="00E34ED7">
        <w:rPr>
          <w:rFonts w:ascii="Times New Roman" w:eastAsia="Melior" w:hAnsi="Times New Roman"/>
          <w:snapToGrid/>
          <w:szCs w:val="24"/>
        </w:rPr>
        <w:t>it can be resolved under the Bankruptcy Code in a</w:t>
      </w:r>
      <w:r w:rsidR="00886852">
        <w:rPr>
          <w:rFonts w:ascii="Times New Roman" w:eastAsia="Melior" w:hAnsi="Times New Roman"/>
          <w:snapToGrid/>
          <w:szCs w:val="24"/>
        </w:rPr>
        <w:t xml:space="preserve"> </w:t>
      </w:r>
      <w:r w:rsidRPr="00E34ED7">
        <w:rPr>
          <w:rFonts w:ascii="Times New Roman" w:eastAsia="Melior" w:hAnsi="Times New Roman"/>
          <w:snapToGrid/>
          <w:szCs w:val="24"/>
        </w:rPr>
        <w:t>way that would not pose systemic risk</w:t>
      </w:r>
      <w:r w:rsidR="00886852">
        <w:rPr>
          <w:rFonts w:ascii="Times New Roman" w:eastAsia="Melior" w:hAnsi="Times New Roman"/>
          <w:snapToGrid/>
          <w:szCs w:val="24"/>
        </w:rPr>
        <w:t xml:space="preserve"> </w:t>
      </w:r>
      <w:r w:rsidRPr="00E34ED7">
        <w:rPr>
          <w:rFonts w:ascii="Times New Roman" w:eastAsia="Melior" w:hAnsi="Times New Roman"/>
          <w:snapToGrid/>
          <w:szCs w:val="24"/>
        </w:rPr>
        <w:t>to the financial system. In doing so, the</w:t>
      </w:r>
      <w:r w:rsidR="00886852">
        <w:rPr>
          <w:rFonts w:ascii="Times New Roman" w:eastAsia="Melior" w:hAnsi="Times New Roman"/>
          <w:snapToGrid/>
          <w:szCs w:val="24"/>
        </w:rPr>
        <w:t xml:space="preserve"> </w:t>
      </w:r>
      <w:r w:rsidRPr="00E34ED7">
        <w:rPr>
          <w:rFonts w:ascii="Times New Roman" w:eastAsia="Melior" w:hAnsi="Times New Roman"/>
          <w:snapToGrid/>
          <w:szCs w:val="24"/>
        </w:rPr>
        <w:t>company must map its core business</w:t>
      </w:r>
    </w:p>
    <w:p w:rsidR="00E34ED7" w:rsidRDefault="00E34ED7" w:rsidP="00886852">
      <w:pPr>
        <w:widowControl/>
        <w:autoSpaceDE w:val="0"/>
        <w:autoSpaceDN w:val="0"/>
        <w:adjustRightInd w:val="0"/>
        <w:rPr>
          <w:rFonts w:ascii="Times New Roman" w:eastAsia="Melior" w:hAnsi="Times New Roman"/>
          <w:snapToGrid/>
          <w:szCs w:val="24"/>
        </w:rPr>
      </w:pPr>
      <w:r w:rsidRPr="00E34ED7">
        <w:rPr>
          <w:rFonts w:ascii="Times New Roman" w:eastAsia="Melior" w:hAnsi="Times New Roman"/>
          <w:snapToGrid/>
          <w:szCs w:val="24"/>
        </w:rPr>
        <w:t>lines and critical operations to material</w:t>
      </w:r>
      <w:r w:rsidR="00886852">
        <w:rPr>
          <w:rFonts w:ascii="Times New Roman" w:eastAsia="Melior" w:hAnsi="Times New Roman"/>
          <w:snapToGrid/>
          <w:szCs w:val="24"/>
        </w:rPr>
        <w:t xml:space="preserve"> </w:t>
      </w:r>
      <w:r w:rsidRPr="00E34ED7">
        <w:rPr>
          <w:rFonts w:ascii="Times New Roman" w:eastAsia="Melior" w:hAnsi="Times New Roman"/>
          <w:snapToGrid/>
          <w:szCs w:val="24"/>
        </w:rPr>
        <w:t>legal entities and provide integrated</w:t>
      </w:r>
      <w:r w:rsidR="00886852">
        <w:rPr>
          <w:rFonts w:ascii="Times New Roman" w:eastAsia="Melior" w:hAnsi="Times New Roman"/>
          <w:snapToGrid/>
          <w:szCs w:val="24"/>
        </w:rPr>
        <w:t xml:space="preserve"> </w:t>
      </w:r>
      <w:r w:rsidRPr="00E34ED7">
        <w:rPr>
          <w:rFonts w:ascii="Times New Roman" w:eastAsia="Melior" w:hAnsi="Times New Roman"/>
          <w:snapToGrid/>
          <w:szCs w:val="24"/>
        </w:rPr>
        <w:t>analyses of its corporate structure; credit</w:t>
      </w:r>
      <w:r w:rsidR="00886852">
        <w:rPr>
          <w:rFonts w:ascii="Times New Roman" w:eastAsia="Melior" w:hAnsi="Times New Roman"/>
          <w:snapToGrid/>
          <w:szCs w:val="24"/>
        </w:rPr>
        <w:t xml:space="preserve"> </w:t>
      </w:r>
      <w:r w:rsidRPr="00E34ED7">
        <w:rPr>
          <w:rFonts w:ascii="Times New Roman" w:eastAsia="Melior" w:hAnsi="Times New Roman"/>
          <w:snapToGrid/>
          <w:szCs w:val="24"/>
        </w:rPr>
        <w:t>and other exposures; funding, capital,</w:t>
      </w:r>
      <w:r w:rsidR="00886852">
        <w:rPr>
          <w:rFonts w:ascii="Times New Roman" w:eastAsia="Melior" w:hAnsi="Times New Roman"/>
          <w:snapToGrid/>
          <w:szCs w:val="24"/>
        </w:rPr>
        <w:t xml:space="preserve"> </w:t>
      </w:r>
      <w:r w:rsidRPr="00E34ED7">
        <w:rPr>
          <w:rFonts w:ascii="Times New Roman" w:eastAsia="Melior" w:hAnsi="Times New Roman"/>
          <w:snapToGrid/>
          <w:szCs w:val="24"/>
        </w:rPr>
        <w:t>and cash flows; the domestic and</w:t>
      </w:r>
      <w:r w:rsidR="00886852">
        <w:rPr>
          <w:rFonts w:ascii="Times New Roman" w:eastAsia="Melior" w:hAnsi="Times New Roman"/>
          <w:snapToGrid/>
          <w:szCs w:val="24"/>
        </w:rPr>
        <w:t xml:space="preserve"> </w:t>
      </w:r>
      <w:r w:rsidRPr="00E34ED7">
        <w:rPr>
          <w:rFonts w:ascii="Times New Roman" w:eastAsia="Melior" w:hAnsi="Times New Roman"/>
          <w:snapToGrid/>
          <w:szCs w:val="24"/>
        </w:rPr>
        <w:t>foreign jurisdictions in which it</w:t>
      </w:r>
      <w:r w:rsidR="00886852">
        <w:rPr>
          <w:rFonts w:ascii="Times New Roman" w:eastAsia="Melior" w:hAnsi="Times New Roman"/>
          <w:snapToGrid/>
          <w:szCs w:val="24"/>
        </w:rPr>
        <w:t xml:space="preserve"> </w:t>
      </w:r>
      <w:r w:rsidRPr="00E34ED7">
        <w:rPr>
          <w:rFonts w:ascii="Times New Roman" w:eastAsia="Melior" w:hAnsi="Times New Roman"/>
          <w:snapToGrid/>
          <w:szCs w:val="24"/>
        </w:rPr>
        <w:t>operates; and its supporting information</w:t>
      </w:r>
      <w:r w:rsidR="00886852">
        <w:rPr>
          <w:rFonts w:ascii="Times New Roman" w:eastAsia="Melior" w:hAnsi="Times New Roman"/>
          <w:snapToGrid/>
          <w:szCs w:val="24"/>
        </w:rPr>
        <w:t xml:space="preserve"> </w:t>
      </w:r>
      <w:r w:rsidRPr="00E34ED7">
        <w:rPr>
          <w:rFonts w:ascii="Times New Roman" w:eastAsia="Melior" w:hAnsi="Times New Roman"/>
          <w:snapToGrid/>
          <w:szCs w:val="24"/>
        </w:rPr>
        <w:t>systems for core business lines and</w:t>
      </w:r>
      <w:r w:rsidR="00886852">
        <w:rPr>
          <w:rFonts w:ascii="Times New Roman" w:eastAsia="Melior" w:hAnsi="Times New Roman"/>
          <w:snapToGrid/>
          <w:szCs w:val="24"/>
        </w:rPr>
        <w:t xml:space="preserve"> </w:t>
      </w:r>
      <w:r w:rsidRPr="00E34ED7">
        <w:rPr>
          <w:rFonts w:ascii="Times New Roman" w:eastAsia="Melior" w:hAnsi="Times New Roman"/>
          <w:snapToGrid/>
          <w:szCs w:val="24"/>
        </w:rPr>
        <w:t>critical operations.</w:t>
      </w:r>
    </w:p>
    <w:p w:rsidR="00B90F2F" w:rsidRDefault="00B90F2F" w:rsidP="00886852">
      <w:pPr>
        <w:widowControl/>
        <w:autoSpaceDE w:val="0"/>
        <w:autoSpaceDN w:val="0"/>
        <w:adjustRightInd w:val="0"/>
        <w:rPr>
          <w:rFonts w:ascii="Times New Roman" w:eastAsia="Melior" w:hAnsi="Times New Roman"/>
          <w:snapToGrid/>
          <w:szCs w:val="24"/>
        </w:rPr>
      </w:pPr>
    </w:p>
    <w:p w:rsidR="00D757AD" w:rsidRPr="00386084" w:rsidRDefault="00D757AD">
      <w:pPr>
        <w:widowControl/>
        <w:rPr>
          <w:rFonts w:ascii="Times New Roman" w:hAnsi="Times New Roman"/>
          <w:szCs w:val="24"/>
        </w:rPr>
      </w:pPr>
      <w:r w:rsidRPr="00386084">
        <w:rPr>
          <w:rFonts w:ascii="Times New Roman" w:hAnsi="Times New Roman"/>
          <w:b/>
          <w:szCs w:val="24"/>
        </w:rPr>
        <w:t>Description of Information Collection</w:t>
      </w:r>
    </w:p>
    <w:p w:rsidR="00B73294" w:rsidRPr="00670889" w:rsidRDefault="00E01E50" w:rsidP="00E01E50">
      <w:pPr>
        <w:widowControl/>
        <w:tabs>
          <w:tab w:val="left" w:pos="1734"/>
        </w:tabs>
        <w:ind w:firstLine="720"/>
        <w:rPr>
          <w:rFonts w:ascii="Times New Roman" w:hAnsi="Times New Roman"/>
          <w:color w:val="000000"/>
          <w:szCs w:val="24"/>
        </w:rPr>
      </w:pPr>
      <w:r w:rsidRPr="00670889">
        <w:rPr>
          <w:rFonts w:ascii="Times New Roman" w:hAnsi="Times New Roman"/>
          <w:color w:val="000000"/>
          <w:szCs w:val="24"/>
        </w:rPr>
        <w:tab/>
      </w:r>
    </w:p>
    <w:p w:rsidR="00DF724F" w:rsidRPr="00DF724F" w:rsidRDefault="00670889" w:rsidP="00DF724F">
      <w:pPr>
        <w:widowControl/>
        <w:autoSpaceDE w:val="0"/>
        <w:autoSpaceDN w:val="0"/>
        <w:adjustRightInd w:val="0"/>
        <w:ind w:firstLine="720"/>
        <w:rPr>
          <w:rFonts w:ascii="Times New Roman" w:eastAsia="Melior" w:hAnsi="Times New Roman"/>
          <w:snapToGrid/>
          <w:szCs w:val="24"/>
        </w:rPr>
      </w:pPr>
      <w:r w:rsidRPr="00386084">
        <w:rPr>
          <w:rFonts w:ascii="Times New Roman" w:hAnsi="Times New Roman"/>
          <w:color w:val="000000"/>
        </w:rPr>
        <w:t xml:space="preserve">The </w:t>
      </w:r>
      <w:r>
        <w:rPr>
          <w:rFonts w:ascii="Times New Roman" w:hAnsi="Times New Roman"/>
          <w:color w:val="000000"/>
        </w:rPr>
        <w:t>reporting</w:t>
      </w:r>
      <w:r w:rsidRPr="00386084">
        <w:rPr>
          <w:rFonts w:ascii="Times New Roman" w:hAnsi="Times New Roman"/>
          <w:color w:val="000000"/>
        </w:rPr>
        <w:t xml:space="preserve"> requirements are found in </w:t>
      </w:r>
      <w:r w:rsidRPr="00670889">
        <w:rPr>
          <w:rFonts w:ascii="Times New Roman" w:eastAsia="Melior" w:hAnsi="Times New Roman"/>
          <w:snapToGrid/>
          <w:szCs w:val="24"/>
        </w:rPr>
        <w:t>sections</w:t>
      </w:r>
      <w:r w:rsidR="00DF724F">
        <w:rPr>
          <w:rFonts w:ascii="Times New Roman" w:eastAsia="Melior" w:hAnsi="Times New Roman"/>
          <w:snapToGrid/>
          <w:szCs w:val="24"/>
        </w:rPr>
        <w:t xml:space="preserve"> 243</w:t>
      </w:r>
      <w:r w:rsidRPr="00670889">
        <w:rPr>
          <w:rFonts w:ascii="Times New Roman" w:eastAsia="Melior" w:hAnsi="Times New Roman"/>
          <w:snapToGrid/>
          <w:szCs w:val="24"/>
        </w:rPr>
        <w:t xml:space="preserve">.3, </w:t>
      </w:r>
      <w:r w:rsidR="00DF724F">
        <w:rPr>
          <w:rFonts w:ascii="Times New Roman" w:eastAsia="Melior" w:hAnsi="Times New Roman"/>
          <w:snapToGrid/>
          <w:szCs w:val="24"/>
        </w:rPr>
        <w:t>243.</w:t>
      </w:r>
      <w:r w:rsidRPr="00670889">
        <w:rPr>
          <w:rFonts w:ascii="Times New Roman" w:eastAsia="Melior" w:hAnsi="Times New Roman"/>
          <w:snapToGrid/>
          <w:szCs w:val="24"/>
        </w:rPr>
        <w:t xml:space="preserve">4, and </w:t>
      </w:r>
      <w:r w:rsidR="00DF724F" w:rsidRPr="00DF724F">
        <w:rPr>
          <w:rFonts w:ascii="Times New Roman" w:eastAsia="Melior" w:hAnsi="Times New Roman"/>
          <w:snapToGrid/>
          <w:szCs w:val="24"/>
        </w:rPr>
        <w:t>243</w:t>
      </w:r>
      <w:r w:rsidRPr="00DF724F">
        <w:rPr>
          <w:rFonts w:ascii="Times New Roman" w:eastAsia="Melior" w:hAnsi="Times New Roman"/>
          <w:snapToGrid/>
          <w:szCs w:val="24"/>
        </w:rPr>
        <w:t xml:space="preserve">.5 of the </w:t>
      </w:r>
      <w:r w:rsidR="00DF724F" w:rsidRPr="00DF724F">
        <w:rPr>
          <w:rFonts w:ascii="Times New Roman" w:eastAsia="Melior" w:hAnsi="Times New Roman"/>
          <w:snapToGrid/>
          <w:szCs w:val="24"/>
        </w:rPr>
        <w:t>Regulation QQ</w:t>
      </w:r>
      <w:r w:rsidRPr="00DF724F">
        <w:rPr>
          <w:rFonts w:ascii="Times New Roman" w:eastAsia="Melior" w:hAnsi="Times New Roman"/>
          <w:snapToGrid/>
          <w:szCs w:val="24"/>
        </w:rPr>
        <w:t>.</w:t>
      </w:r>
      <w:r w:rsidR="00DF724F" w:rsidRPr="00DF724F">
        <w:rPr>
          <w:rFonts w:ascii="Times New Roman" w:eastAsia="Melior" w:hAnsi="Times New Roman"/>
          <w:snapToGrid/>
          <w:szCs w:val="24"/>
        </w:rPr>
        <w:t xml:space="preserve">  </w:t>
      </w:r>
      <w:r w:rsidR="0020177F" w:rsidRPr="00386084">
        <w:rPr>
          <w:rFonts w:ascii="Times New Roman" w:hAnsi="Times New Roman"/>
          <w:color w:val="000000"/>
        </w:rPr>
        <w:t xml:space="preserve">Compliance with the information collections </w:t>
      </w:r>
      <w:r w:rsidR="0020177F">
        <w:rPr>
          <w:rFonts w:ascii="Times New Roman" w:hAnsi="Times New Roman"/>
          <w:color w:val="000000"/>
        </w:rPr>
        <w:t>is</w:t>
      </w:r>
      <w:r w:rsidR="0020177F" w:rsidRPr="00386084">
        <w:rPr>
          <w:rFonts w:ascii="Times New Roman" w:hAnsi="Times New Roman"/>
          <w:color w:val="000000"/>
        </w:rPr>
        <w:t xml:space="preserve"> mandatory.  </w:t>
      </w:r>
      <w:r w:rsidR="0020177F" w:rsidRPr="00386084">
        <w:rPr>
          <w:rFonts w:ascii="Times New Roman" w:hAnsi="Times New Roman"/>
          <w:szCs w:val="24"/>
        </w:rPr>
        <w:t xml:space="preserve">No other federal law mandates these </w:t>
      </w:r>
      <w:r w:rsidR="0020177F">
        <w:rPr>
          <w:rFonts w:ascii="Times New Roman" w:hAnsi="Times New Roman"/>
          <w:szCs w:val="24"/>
        </w:rPr>
        <w:t xml:space="preserve">reporting </w:t>
      </w:r>
      <w:r w:rsidR="0020177F" w:rsidRPr="00386084">
        <w:rPr>
          <w:rFonts w:ascii="Times New Roman" w:hAnsi="Times New Roman"/>
          <w:szCs w:val="24"/>
        </w:rPr>
        <w:t>requirements</w:t>
      </w:r>
      <w:r w:rsidR="0020177F">
        <w:rPr>
          <w:rFonts w:ascii="Times New Roman" w:hAnsi="Times New Roman"/>
          <w:szCs w:val="24"/>
        </w:rPr>
        <w:t>.</w:t>
      </w:r>
    </w:p>
    <w:p w:rsidR="00DF724F" w:rsidRDefault="00DF724F" w:rsidP="00DF724F">
      <w:pPr>
        <w:widowControl/>
        <w:autoSpaceDE w:val="0"/>
        <w:autoSpaceDN w:val="0"/>
        <w:adjustRightInd w:val="0"/>
        <w:ind w:firstLine="720"/>
        <w:rPr>
          <w:rFonts w:ascii="Times New Roman" w:eastAsia="Melior" w:hAnsi="Times New Roman"/>
          <w:snapToGrid/>
          <w:szCs w:val="24"/>
        </w:rPr>
      </w:pPr>
    </w:p>
    <w:p w:rsidR="0020177F" w:rsidRDefault="0020177F" w:rsidP="0020177F">
      <w:pPr>
        <w:ind w:left="720"/>
        <w:rPr>
          <w:rFonts w:ascii="Times New Roman" w:hAnsi="Times New Roman"/>
          <w:b/>
        </w:rPr>
      </w:pPr>
      <w:r w:rsidRPr="00350525">
        <w:rPr>
          <w:rFonts w:ascii="Times New Roman" w:hAnsi="Times New Roman"/>
          <w:b/>
        </w:rPr>
        <w:t>General Requirements</w:t>
      </w:r>
    </w:p>
    <w:p w:rsidR="0020177F" w:rsidRPr="00DF724F" w:rsidRDefault="0020177F" w:rsidP="00DF724F">
      <w:pPr>
        <w:widowControl/>
        <w:autoSpaceDE w:val="0"/>
        <w:autoSpaceDN w:val="0"/>
        <w:adjustRightInd w:val="0"/>
        <w:ind w:firstLine="720"/>
        <w:rPr>
          <w:rFonts w:ascii="Times New Roman" w:eastAsia="Melior" w:hAnsi="Times New Roman"/>
          <w:snapToGrid/>
          <w:szCs w:val="24"/>
        </w:rPr>
      </w:pPr>
    </w:p>
    <w:p w:rsidR="00DF724F" w:rsidRPr="00DF724F" w:rsidRDefault="00DF724F" w:rsidP="00DF724F">
      <w:pPr>
        <w:widowControl/>
        <w:autoSpaceDE w:val="0"/>
        <w:autoSpaceDN w:val="0"/>
        <w:adjustRightInd w:val="0"/>
        <w:ind w:firstLine="720"/>
        <w:rPr>
          <w:rFonts w:ascii="Times New Roman" w:hAnsi="Times New Roman"/>
        </w:rPr>
      </w:pPr>
      <w:r w:rsidRPr="00DF724F">
        <w:rPr>
          <w:rFonts w:ascii="Times New Roman" w:eastAsia="Melior" w:hAnsi="Times New Roman"/>
          <w:b/>
          <w:snapToGrid/>
          <w:szCs w:val="24"/>
        </w:rPr>
        <w:t>S</w:t>
      </w:r>
      <w:r w:rsidR="00670889" w:rsidRPr="00DF724F">
        <w:rPr>
          <w:rFonts w:ascii="Times New Roman" w:eastAsia="Melior" w:hAnsi="Times New Roman"/>
          <w:b/>
          <w:snapToGrid/>
          <w:szCs w:val="24"/>
        </w:rPr>
        <w:t xml:space="preserve">ection </w:t>
      </w:r>
      <w:r w:rsidRPr="00DF724F">
        <w:rPr>
          <w:rFonts w:ascii="Times New Roman" w:eastAsia="Melior" w:hAnsi="Times New Roman"/>
          <w:b/>
          <w:snapToGrid/>
          <w:szCs w:val="24"/>
        </w:rPr>
        <w:t>243.</w:t>
      </w:r>
      <w:r w:rsidR="00670889" w:rsidRPr="00DF724F">
        <w:rPr>
          <w:rFonts w:ascii="Times New Roman" w:eastAsia="Melior" w:hAnsi="Times New Roman"/>
          <w:b/>
          <w:snapToGrid/>
          <w:szCs w:val="24"/>
        </w:rPr>
        <w:t>3</w:t>
      </w:r>
      <w:r w:rsidRPr="00DF724F">
        <w:rPr>
          <w:rFonts w:ascii="Times New Roman" w:eastAsia="Melior" w:hAnsi="Times New Roman"/>
          <w:b/>
          <w:snapToGrid/>
          <w:szCs w:val="24"/>
        </w:rPr>
        <w:t xml:space="preserve"> </w:t>
      </w:r>
      <w:bookmarkStart w:id="1" w:name="12:4.0.1.1.9.0.1.3"/>
      <w:r w:rsidRPr="00DF724F">
        <w:rPr>
          <w:rFonts w:ascii="Times New Roman" w:hAnsi="Times New Roman"/>
          <w:b/>
        </w:rPr>
        <w:t>Resolution plan required</w:t>
      </w:r>
      <w:bookmarkEnd w:id="1"/>
      <w:r w:rsidR="000711AC">
        <w:rPr>
          <w:rFonts w:ascii="Times New Roman" w:hAnsi="Times New Roman"/>
          <w:b/>
        </w:rPr>
        <w:t xml:space="preserve">, </w:t>
      </w:r>
      <w:r w:rsidR="00670889" w:rsidRPr="00DF724F">
        <w:rPr>
          <w:rFonts w:ascii="Times New Roman" w:eastAsia="Melior" w:hAnsi="Times New Roman"/>
          <w:snapToGrid/>
          <w:szCs w:val="24"/>
        </w:rPr>
        <w:t xml:space="preserve">sets forth a staggered schedule for submission of initial resolution plans by covered companies, and requires </w:t>
      </w:r>
      <w:r w:rsidRPr="00DF724F">
        <w:rPr>
          <w:rFonts w:ascii="Times New Roman" w:eastAsia="Melior" w:hAnsi="Times New Roman"/>
          <w:snapToGrid/>
          <w:szCs w:val="24"/>
        </w:rPr>
        <w:t xml:space="preserve">that </w:t>
      </w:r>
      <w:r w:rsidR="00670889" w:rsidRPr="00DF724F">
        <w:rPr>
          <w:rFonts w:ascii="Times New Roman" w:eastAsia="Melior" w:hAnsi="Times New Roman"/>
          <w:snapToGrid/>
          <w:szCs w:val="24"/>
        </w:rPr>
        <w:t xml:space="preserve">covered companies annually </w:t>
      </w:r>
      <w:r w:rsidRPr="00DF724F">
        <w:rPr>
          <w:rFonts w:ascii="Times New Roman" w:eastAsia="Melior" w:hAnsi="Times New Roman"/>
          <w:snapToGrid/>
          <w:szCs w:val="24"/>
        </w:rPr>
        <w:t>submit</w:t>
      </w:r>
      <w:r w:rsidR="00670889" w:rsidRPr="00DF724F">
        <w:rPr>
          <w:rFonts w:ascii="Times New Roman" w:eastAsia="Melior" w:hAnsi="Times New Roman"/>
          <w:snapToGrid/>
          <w:szCs w:val="24"/>
        </w:rPr>
        <w:t xml:space="preserve"> an updated resolution plan on the anniversary of the initial submission date.</w:t>
      </w:r>
      <w:r w:rsidRPr="00DF724F">
        <w:rPr>
          <w:rFonts w:ascii="Times New Roman" w:eastAsia="Melior" w:hAnsi="Times New Roman"/>
          <w:snapToGrid/>
          <w:szCs w:val="24"/>
        </w:rPr>
        <w:t xml:space="preserve">  In </w:t>
      </w:r>
      <w:r w:rsidR="000711AC" w:rsidRPr="00DF724F">
        <w:rPr>
          <w:rFonts w:ascii="Times New Roman" w:eastAsia="Melior" w:hAnsi="Times New Roman"/>
          <w:snapToGrid/>
          <w:szCs w:val="24"/>
        </w:rPr>
        <w:t>addition,</w:t>
      </w:r>
      <w:r w:rsidRPr="00DF724F">
        <w:rPr>
          <w:rFonts w:ascii="Times New Roman" w:eastAsia="Melior" w:hAnsi="Times New Roman"/>
          <w:snapToGrid/>
          <w:szCs w:val="24"/>
        </w:rPr>
        <w:t xml:space="preserve"> s</w:t>
      </w:r>
      <w:r w:rsidR="00670889" w:rsidRPr="00DF724F">
        <w:rPr>
          <w:rFonts w:ascii="Times New Roman" w:eastAsia="Melior" w:hAnsi="Times New Roman"/>
          <w:snapToGrid/>
          <w:szCs w:val="24"/>
        </w:rPr>
        <w:t xml:space="preserve">ection </w:t>
      </w:r>
      <w:r w:rsidRPr="00DF724F">
        <w:rPr>
          <w:rFonts w:ascii="Times New Roman" w:eastAsia="Melior" w:hAnsi="Times New Roman"/>
          <w:snapToGrid/>
          <w:szCs w:val="24"/>
        </w:rPr>
        <w:t>243</w:t>
      </w:r>
      <w:r w:rsidR="00670889" w:rsidRPr="00DF724F">
        <w:rPr>
          <w:rFonts w:ascii="Times New Roman" w:eastAsia="Melior" w:hAnsi="Times New Roman"/>
          <w:snapToGrid/>
          <w:szCs w:val="24"/>
        </w:rPr>
        <w:t>.3 establishes a requirement that a covered company provide notice to the Board and Corporation of material</w:t>
      </w:r>
      <w:r w:rsidRPr="00DF724F">
        <w:rPr>
          <w:rFonts w:ascii="Times New Roman" w:eastAsia="Melior" w:hAnsi="Times New Roman"/>
          <w:snapToGrid/>
          <w:szCs w:val="24"/>
        </w:rPr>
        <w:t xml:space="preserve"> </w:t>
      </w:r>
      <w:r w:rsidR="00670889" w:rsidRPr="00DF724F">
        <w:rPr>
          <w:rFonts w:ascii="Times New Roman" w:eastAsia="Melior" w:hAnsi="Times New Roman"/>
          <w:snapToGrid/>
          <w:szCs w:val="24"/>
        </w:rPr>
        <w:t xml:space="preserve">events that have the potential to </w:t>
      </w:r>
      <w:r w:rsidR="000711AC" w:rsidRPr="00DF724F">
        <w:rPr>
          <w:rFonts w:ascii="Times New Roman" w:eastAsia="Melior" w:hAnsi="Times New Roman"/>
          <w:snapToGrid/>
          <w:szCs w:val="24"/>
        </w:rPr>
        <w:t>affect</w:t>
      </w:r>
      <w:r w:rsidR="00670889" w:rsidRPr="00DF724F">
        <w:rPr>
          <w:rFonts w:ascii="Times New Roman" w:eastAsia="Melior" w:hAnsi="Times New Roman"/>
          <w:snapToGrid/>
          <w:szCs w:val="24"/>
        </w:rPr>
        <w:t xml:space="preserve"> its resolution plan. </w:t>
      </w:r>
    </w:p>
    <w:p w:rsidR="00DF724F" w:rsidRPr="00DF724F" w:rsidRDefault="00DF724F" w:rsidP="00DF724F">
      <w:pPr>
        <w:widowControl/>
        <w:autoSpaceDE w:val="0"/>
        <w:autoSpaceDN w:val="0"/>
        <w:adjustRightInd w:val="0"/>
        <w:ind w:firstLine="720"/>
        <w:rPr>
          <w:rFonts w:ascii="Times New Roman" w:eastAsia="Melior" w:hAnsi="Times New Roman"/>
          <w:snapToGrid/>
          <w:szCs w:val="24"/>
        </w:rPr>
      </w:pPr>
    </w:p>
    <w:p w:rsidR="000711AC" w:rsidRPr="000711AC" w:rsidRDefault="00670889" w:rsidP="000711AC">
      <w:pPr>
        <w:widowControl/>
        <w:autoSpaceDE w:val="0"/>
        <w:autoSpaceDN w:val="0"/>
        <w:adjustRightInd w:val="0"/>
        <w:ind w:firstLine="720"/>
        <w:rPr>
          <w:rFonts w:ascii="Times New Roman" w:eastAsia="Melior" w:hAnsi="Times New Roman"/>
          <w:snapToGrid/>
          <w:szCs w:val="24"/>
        </w:rPr>
      </w:pPr>
      <w:r w:rsidRPr="00DF724F">
        <w:rPr>
          <w:rFonts w:ascii="Times New Roman" w:eastAsia="Melior" w:hAnsi="Times New Roman"/>
          <w:b/>
          <w:snapToGrid/>
          <w:szCs w:val="24"/>
        </w:rPr>
        <w:t xml:space="preserve">Section </w:t>
      </w:r>
      <w:r w:rsidR="00DF724F" w:rsidRPr="00DF724F">
        <w:rPr>
          <w:rFonts w:ascii="Times New Roman" w:eastAsia="Melior" w:hAnsi="Times New Roman"/>
          <w:b/>
          <w:snapToGrid/>
          <w:szCs w:val="24"/>
        </w:rPr>
        <w:t>243</w:t>
      </w:r>
      <w:r w:rsidRPr="00DF724F">
        <w:rPr>
          <w:rFonts w:ascii="Times New Roman" w:eastAsia="Melior" w:hAnsi="Times New Roman"/>
          <w:b/>
          <w:snapToGrid/>
          <w:szCs w:val="24"/>
        </w:rPr>
        <w:t xml:space="preserve">.4 </w:t>
      </w:r>
      <w:bookmarkStart w:id="2" w:name="12:4.0.1.1.9.0.1.4"/>
      <w:r w:rsidR="00DF724F" w:rsidRPr="00DF724F">
        <w:rPr>
          <w:rFonts w:ascii="Times New Roman" w:hAnsi="Times New Roman"/>
          <w:b/>
        </w:rPr>
        <w:t>Informational content of a resolution plan</w:t>
      </w:r>
      <w:bookmarkEnd w:id="2"/>
      <w:r w:rsidR="000711AC">
        <w:rPr>
          <w:rFonts w:ascii="Times New Roman" w:hAnsi="Times New Roman"/>
          <w:b/>
        </w:rPr>
        <w:t xml:space="preserve">, </w:t>
      </w:r>
      <w:r w:rsidR="000711AC" w:rsidRPr="000711AC">
        <w:rPr>
          <w:rFonts w:ascii="Times New Roman" w:hAnsi="Times New Roman"/>
        </w:rPr>
        <w:t>d</w:t>
      </w:r>
      <w:r w:rsidRPr="00DF724F">
        <w:rPr>
          <w:rFonts w:ascii="Times New Roman" w:eastAsia="Melior" w:hAnsi="Times New Roman"/>
          <w:snapToGrid/>
          <w:szCs w:val="24"/>
        </w:rPr>
        <w:t>escribes the required informational content of both a full resolution plan and the tailored resolution plan available to smaller, less complex covered companies.</w:t>
      </w:r>
      <w:r w:rsidR="000711AC">
        <w:rPr>
          <w:rFonts w:ascii="Times New Roman" w:eastAsia="Melior" w:hAnsi="Times New Roman"/>
          <w:snapToGrid/>
          <w:szCs w:val="24"/>
        </w:rPr>
        <w:t xml:space="preserve">  </w:t>
      </w:r>
      <w:r w:rsidRPr="00DF724F">
        <w:rPr>
          <w:rFonts w:ascii="Times New Roman" w:eastAsia="Melior" w:hAnsi="Times New Roman"/>
          <w:snapToGrid/>
          <w:szCs w:val="24"/>
        </w:rPr>
        <w:t xml:space="preserve">In providing organizational structure information required in section </w:t>
      </w:r>
      <w:r w:rsidR="000711AC" w:rsidRPr="000711AC">
        <w:rPr>
          <w:rFonts w:ascii="Times New Roman" w:eastAsia="Melior" w:hAnsi="Times New Roman"/>
          <w:snapToGrid/>
          <w:szCs w:val="24"/>
        </w:rPr>
        <w:t>243</w:t>
      </w:r>
      <w:r w:rsidRPr="00DF724F">
        <w:rPr>
          <w:rFonts w:ascii="Times New Roman" w:eastAsia="Melior" w:hAnsi="Times New Roman"/>
          <w:snapToGrid/>
          <w:szCs w:val="24"/>
        </w:rPr>
        <w:t xml:space="preserve">.4, a covered company may rely on the information it previously reported </w:t>
      </w:r>
      <w:r w:rsidRPr="000711AC">
        <w:rPr>
          <w:rFonts w:ascii="Times New Roman" w:eastAsia="Melior" w:hAnsi="Times New Roman"/>
          <w:snapToGrid/>
          <w:szCs w:val="24"/>
        </w:rPr>
        <w:t>to the Board (FR Y–6, Annual Report of Bank Holding</w:t>
      </w:r>
      <w:r w:rsidR="000711AC" w:rsidRPr="000711AC">
        <w:rPr>
          <w:rFonts w:ascii="Times New Roman" w:eastAsia="Melior" w:hAnsi="Times New Roman"/>
          <w:snapToGrid/>
          <w:szCs w:val="24"/>
        </w:rPr>
        <w:t xml:space="preserve"> </w:t>
      </w:r>
      <w:r w:rsidRPr="000711AC">
        <w:rPr>
          <w:rFonts w:ascii="Times New Roman" w:eastAsia="Melior" w:hAnsi="Times New Roman"/>
          <w:snapToGrid/>
          <w:szCs w:val="24"/>
        </w:rPr>
        <w:t>Companies; FR Y–7, Annual Report of Foreign Banking Organizations; and FR Y–10, Report of Changes in Organizational Structure; OMB No. 7100–0297).</w:t>
      </w:r>
    </w:p>
    <w:p w:rsidR="000711AC" w:rsidRPr="000711AC" w:rsidRDefault="000711AC" w:rsidP="000711AC">
      <w:pPr>
        <w:widowControl/>
        <w:autoSpaceDE w:val="0"/>
        <w:autoSpaceDN w:val="0"/>
        <w:adjustRightInd w:val="0"/>
        <w:ind w:firstLine="720"/>
        <w:rPr>
          <w:rFonts w:ascii="Times New Roman" w:eastAsia="Melior" w:hAnsi="Times New Roman"/>
          <w:snapToGrid/>
          <w:szCs w:val="24"/>
        </w:rPr>
      </w:pPr>
    </w:p>
    <w:p w:rsidR="0020177F" w:rsidRDefault="000711AC" w:rsidP="0020177F">
      <w:pPr>
        <w:widowControl/>
        <w:autoSpaceDE w:val="0"/>
        <w:autoSpaceDN w:val="0"/>
        <w:adjustRightInd w:val="0"/>
        <w:ind w:firstLine="720"/>
        <w:rPr>
          <w:rFonts w:ascii="Times New Roman" w:eastAsia="Melior" w:hAnsi="Times New Roman"/>
          <w:snapToGrid/>
          <w:szCs w:val="24"/>
        </w:rPr>
      </w:pPr>
      <w:r w:rsidRPr="000711AC">
        <w:rPr>
          <w:rFonts w:ascii="Times New Roman" w:eastAsia="Melior" w:hAnsi="Times New Roman"/>
          <w:b/>
          <w:snapToGrid/>
          <w:szCs w:val="24"/>
        </w:rPr>
        <w:t>Section 243</w:t>
      </w:r>
      <w:r w:rsidR="00670889" w:rsidRPr="000711AC">
        <w:rPr>
          <w:rFonts w:ascii="Times New Roman" w:eastAsia="Melior" w:hAnsi="Times New Roman"/>
          <w:b/>
          <w:snapToGrid/>
          <w:szCs w:val="24"/>
        </w:rPr>
        <w:t xml:space="preserve">.5 </w:t>
      </w:r>
      <w:bookmarkStart w:id="3" w:name="12:4.0.1.1.9.0.1.5"/>
      <w:r w:rsidRPr="000711AC">
        <w:rPr>
          <w:rFonts w:ascii="Times New Roman" w:hAnsi="Times New Roman"/>
          <w:b/>
        </w:rPr>
        <w:t>Review of resolution plans; resubmission of deficient resolution plans</w:t>
      </w:r>
      <w:bookmarkEnd w:id="3"/>
      <w:r>
        <w:rPr>
          <w:rFonts w:ascii="Times New Roman" w:hAnsi="Times New Roman"/>
          <w:b/>
        </w:rPr>
        <w:t xml:space="preserve">, </w:t>
      </w:r>
      <w:r w:rsidRPr="000711AC">
        <w:rPr>
          <w:rFonts w:ascii="Times New Roman" w:hAnsi="Times New Roman"/>
        </w:rPr>
        <w:t>r</w:t>
      </w:r>
      <w:r>
        <w:rPr>
          <w:rFonts w:ascii="Times New Roman" w:hAnsi="Times New Roman"/>
        </w:rPr>
        <w:t xml:space="preserve">equires a </w:t>
      </w:r>
      <w:r w:rsidR="00670889" w:rsidRPr="000711AC">
        <w:rPr>
          <w:rFonts w:ascii="Times New Roman" w:eastAsia="Melior" w:hAnsi="Times New Roman"/>
          <w:snapToGrid/>
          <w:szCs w:val="24"/>
        </w:rPr>
        <w:t>covered company to resubmit an informationally complete resolution plan or additional information as jointly requested by the Board and Corporation to facilitative</w:t>
      </w:r>
      <w:r>
        <w:rPr>
          <w:rFonts w:ascii="Times New Roman" w:eastAsia="Melior" w:hAnsi="Times New Roman"/>
          <w:snapToGrid/>
          <w:szCs w:val="24"/>
        </w:rPr>
        <w:t xml:space="preserve"> </w:t>
      </w:r>
      <w:r w:rsidR="00670889" w:rsidRPr="000711AC">
        <w:rPr>
          <w:rFonts w:ascii="Times New Roman" w:eastAsia="Melior" w:hAnsi="Times New Roman"/>
          <w:snapToGrid/>
          <w:szCs w:val="24"/>
        </w:rPr>
        <w:t>review of the covered company’s resolution plan within 30 days of receiving notice that its resolution plan is deemed incomplete.</w:t>
      </w:r>
      <w:r w:rsidR="0020177F">
        <w:rPr>
          <w:rFonts w:ascii="Times New Roman" w:eastAsia="Melior" w:hAnsi="Times New Roman"/>
          <w:snapToGrid/>
          <w:szCs w:val="24"/>
        </w:rPr>
        <w:t xml:space="preserve"> </w:t>
      </w:r>
      <w:r w:rsidR="00670889" w:rsidRPr="000711AC">
        <w:rPr>
          <w:rFonts w:ascii="Times New Roman" w:eastAsia="Melior" w:hAnsi="Times New Roman"/>
          <w:snapToGrid/>
          <w:szCs w:val="24"/>
        </w:rPr>
        <w:t xml:space="preserve"> </w:t>
      </w:r>
    </w:p>
    <w:p w:rsidR="0020177F" w:rsidRDefault="0020177F" w:rsidP="0020177F">
      <w:pPr>
        <w:widowControl/>
        <w:autoSpaceDE w:val="0"/>
        <w:autoSpaceDN w:val="0"/>
        <w:adjustRightInd w:val="0"/>
        <w:ind w:firstLine="720"/>
        <w:rPr>
          <w:rFonts w:ascii="Times New Roman" w:eastAsia="Melior" w:hAnsi="Times New Roman"/>
          <w:snapToGrid/>
          <w:szCs w:val="24"/>
        </w:rPr>
      </w:pPr>
    </w:p>
    <w:p w:rsidR="00381E84" w:rsidRDefault="000711AC" w:rsidP="0020177F">
      <w:pPr>
        <w:widowControl/>
        <w:autoSpaceDE w:val="0"/>
        <w:autoSpaceDN w:val="0"/>
        <w:adjustRightInd w:val="0"/>
        <w:ind w:firstLine="720"/>
        <w:rPr>
          <w:rFonts w:ascii="Times New Roman" w:eastAsia="Melior" w:hAnsi="Times New Roman"/>
          <w:snapToGrid/>
          <w:szCs w:val="24"/>
        </w:rPr>
      </w:pPr>
      <w:r>
        <w:rPr>
          <w:rFonts w:ascii="Times New Roman" w:eastAsia="Melior" w:hAnsi="Times New Roman"/>
          <w:snapToGrid/>
          <w:szCs w:val="24"/>
        </w:rPr>
        <w:t>In addition, s</w:t>
      </w:r>
      <w:r w:rsidR="00670889" w:rsidRPr="000711AC">
        <w:rPr>
          <w:rFonts w:ascii="Times New Roman" w:eastAsia="Melior" w:hAnsi="Times New Roman"/>
          <w:snapToGrid/>
          <w:szCs w:val="24"/>
        </w:rPr>
        <w:t xml:space="preserve">ection </w:t>
      </w:r>
      <w:r w:rsidRPr="000711AC">
        <w:rPr>
          <w:rFonts w:ascii="Times New Roman" w:eastAsia="Melior" w:hAnsi="Times New Roman"/>
          <w:snapToGrid/>
          <w:szCs w:val="24"/>
        </w:rPr>
        <w:t>243</w:t>
      </w:r>
      <w:r w:rsidR="00670889" w:rsidRPr="000711AC">
        <w:rPr>
          <w:rFonts w:ascii="Times New Roman" w:eastAsia="Melior" w:hAnsi="Times New Roman"/>
          <w:snapToGrid/>
          <w:szCs w:val="24"/>
        </w:rPr>
        <w:t>.5 requires that, if the</w:t>
      </w:r>
      <w:r>
        <w:rPr>
          <w:rFonts w:ascii="Times New Roman" w:eastAsia="Melior" w:hAnsi="Times New Roman"/>
          <w:snapToGrid/>
          <w:szCs w:val="24"/>
        </w:rPr>
        <w:t xml:space="preserve"> </w:t>
      </w:r>
      <w:r w:rsidR="00670889" w:rsidRPr="000711AC">
        <w:rPr>
          <w:rFonts w:ascii="Times New Roman" w:eastAsia="Melior" w:hAnsi="Times New Roman"/>
          <w:snapToGrid/>
          <w:szCs w:val="24"/>
        </w:rPr>
        <w:t xml:space="preserve">Board and Corporation jointly determine that a resolution plan of a covered company is not credible, a covered company must resubmit a revised plan within 90 days of receiving notice that its resolution plan is deemed deficient. </w:t>
      </w:r>
      <w:r>
        <w:rPr>
          <w:rFonts w:ascii="Times New Roman" w:eastAsia="Melior" w:hAnsi="Times New Roman"/>
          <w:snapToGrid/>
          <w:szCs w:val="24"/>
        </w:rPr>
        <w:t xml:space="preserve"> </w:t>
      </w:r>
      <w:r w:rsidR="00670889" w:rsidRPr="000711AC">
        <w:rPr>
          <w:rFonts w:ascii="Times New Roman" w:eastAsia="Melior" w:hAnsi="Times New Roman"/>
          <w:snapToGrid/>
          <w:szCs w:val="24"/>
        </w:rPr>
        <w:t>A covered company may also submit a written request for an extension of time to resubmit</w:t>
      </w:r>
      <w:r>
        <w:rPr>
          <w:rFonts w:ascii="Times New Roman" w:eastAsia="Melior" w:hAnsi="Times New Roman"/>
          <w:snapToGrid/>
          <w:szCs w:val="24"/>
        </w:rPr>
        <w:t xml:space="preserve"> </w:t>
      </w:r>
      <w:r w:rsidR="00670889" w:rsidRPr="000711AC">
        <w:rPr>
          <w:rFonts w:ascii="Times New Roman" w:eastAsia="Melior" w:hAnsi="Times New Roman"/>
          <w:snapToGrid/>
          <w:szCs w:val="24"/>
        </w:rPr>
        <w:t>additional information or a revised resolution plan.</w:t>
      </w:r>
      <w:r>
        <w:rPr>
          <w:rFonts w:ascii="Times New Roman" w:eastAsia="Melior" w:hAnsi="Times New Roman"/>
          <w:snapToGrid/>
          <w:szCs w:val="24"/>
        </w:rPr>
        <w:t xml:space="preserve"> </w:t>
      </w:r>
      <w:r w:rsidR="00670889" w:rsidRPr="000711AC">
        <w:rPr>
          <w:rFonts w:ascii="Times New Roman" w:eastAsia="Melior" w:hAnsi="Times New Roman"/>
          <w:snapToGrid/>
          <w:szCs w:val="24"/>
        </w:rPr>
        <w:t xml:space="preserve"> </w:t>
      </w:r>
      <w:r>
        <w:rPr>
          <w:rFonts w:ascii="Times New Roman" w:eastAsia="Melior" w:hAnsi="Times New Roman"/>
          <w:snapToGrid/>
          <w:szCs w:val="24"/>
        </w:rPr>
        <w:t>T</w:t>
      </w:r>
      <w:r w:rsidR="00670889" w:rsidRPr="00670889">
        <w:rPr>
          <w:rFonts w:ascii="Times New Roman" w:eastAsia="Melior" w:hAnsi="Times New Roman"/>
          <w:snapToGrid/>
          <w:szCs w:val="24"/>
        </w:rPr>
        <w:t>he Board and the</w:t>
      </w:r>
      <w:r w:rsidR="00670889">
        <w:rPr>
          <w:rFonts w:ascii="Times New Roman" w:eastAsia="Melior" w:hAnsi="Times New Roman"/>
          <w:snapToGrid/>
          <w:szCs w:val="24"/>
        </w:rPr>
        <w:t xml:space="preserve"> </w:t>
      </w:r>
      <w:r w:rsidR="00670889" w:rsidRPr="00670889">
        <w:rPr>
          <w:rFonts w:ascii="Times New Roman" w:eastAsia="Melior" w:hAnsi="Times New Roman"/>
          <w:snapToGrid/>
          <w:szCs w:val="24"/>
        </w:rPr>
        <w:t>Corporation, in a manner consistent</w:t>
      </w:r>
      <w:r w:rsidR="00670889">
        <w:rPr>
          <w:rFonts w:ascii="Times New Roman" w:eastAsia="Melior" w:hAnsi="Times New Roman"/>
          <w:snapToGrid/>
          <w:szCs w:val="24"/>
        </w:rPr>
        <w:t xml:space="preserve"> </w:t>
      </w:r>
      <w:r w:rsidR="00670889" w:rsidRPr="00670889">
        <w:rPr>
          <w:rFonts w:ascii="Times New Roman" w:eastAsia="Melior" w:hAnsi="Times New Roman"/>
          <w:snapToGrid/>
          <w:szCs w:val="24"/>
        </w:rPr>
        <w:t xml:space="preserve">with the Dodd-Frank Act, </w:t>
      </w:r>
      <w:r w:rsidR="0020177F">
        <w:rPr>
          <w:rFonts w:ascii="Times New Roman" w:eastAsia="Melior" w:hAnsi="Times New Roman"/>
          <w:snapToGrid/>
          <w:szCs w:val="24"/>
        </w:rPr>
        <w:t xml:space="preserve">will </w:t>
      </w:r>
      <w:r w:rsidR="00670889" w:rsidRPr="00670889">
        <w:rPr>
          <w:rFonts w:ascii="Times New Roman" w:eastAsia="Melior" w:hAnsi="Times New Roman"/>
          <w:snapToGrid/>
          <w:szCs w:val="24"/>
        </w:rPr>
        <w:t>assess the</w:t>
      </w:r>
      <w:r w:rsidR="00670889">
        <w:rPr>
          <w:rFonts w:ascii="Times New Roman" w:eastAsia="Melior" w:hAnsi="Times New Roman"/>
          <w:snapToGrid/>
          <w:szCs w:val="24"/>
        </w:rPr>
        <w:t xml:space="preserve"> </w:t>
      </w:r>
      <w:r w:rsidR="00670889" w:rsidRPr="00670889">
        <w:rPr>
          <w:rFonts w:ascii="Times New Roman" w:eastAsia="Melior" w:hAnsi="Times New Roman"/>
          <w:snapToGrid/>
          <w:szCs w:val="24"/>
        </w:rPr>
        <w:t>confidentiality of resolution plans and</w:t>
      </w:r>
      <w:r w:rsidR="00670889">
        <w:rPr>
          <w:rFonts w:ascii="Times New Roman" w:eastAsia="Melior" w:hAnsi="Times New Roman"/>
          <w:snapToGrid/>
          <w:szCs w:val="24"/>
        </w:rPr>
        <w:t xml:space="preserve"> </w:t>
      </w:r>
      <w:r w:rsidR="00670889" w:rsidRPr="00670889">
        <w:rPr>
          <w:rFonts w:ascii="Times New Roman" w:eastAsia="Melior" w:hAnsi="Times New Roman"/>
          <w:snapToGrid/>
          <w:szCs w:val="24"/>
        </w:rPr>
        <w:t>related material in accordance with</w:t>
      </w:r>
      <w:r w:rsidR="00670889">
        <w:rPr>
          <w:rFonts w:ascii="Times New Roman" w:eastAsia="Melior" w:hAnsi="Times New Roman"/>
          <w:snapToGrid/>
          <w:szCs w:val="24"/>
        </w:rPr>
        <w:t xml:space="preserve"> </w:t>
      </w:r>
      <w:r w:rsidR="00913E8B">
        <w:rPr>
          <w:rFonts w:ascii="Times New Roman" w:eastAsia="Melior" w:hAnsi="Times New Roman"/>
          <w:snapToGrid/>
          <w:szCs w:val="24"/>
        </w:rPr>
        <w:t xml:space="preserve">the </w:t>
      </w:r>
      <w:r w:rsidR="00670889" w:rsidRPr="00670889">
        <w:rPr>
          <w:rFonts w:ascii="Times New Roman" w:eastAsia="Melior" w:hAnsi="Times New Roman"/>
          <w:snapToGrid/>
          <w:szCs w:val="24"/>
        </w:rPr>
        <w:t>F</w:t>
      </w:r>
      <w:r w:rsidR="00913E8B">
        <w:rPr>
          <w:rFonts w:ascii="Times New Roman" w:eastAsia="Melior" w:hAnsi="Times New Roman"/>
          <w:snapToGrid/>
          <w:szCs w:val="24"/>
        </w:rPr>
        <w:t xml:space="preserve">reedom of </w:t>
      </w:r>
      <w:r w:rsidR="00670889" w:rsidRPr="00670889">
        <w:rPr>
          <w:rFonts w:ascii="Times New Roman" w:eastAsia="Melior" w:hAnsi="Times New Roman"/>
          <w:snapToGrid/>
          <w:szCs w:val="24"/>
        </w:rPr>
        <w:t>I</w:t>
      </w:r>
      <w:r w:rsidR="00913E8B">
        <w:rPr>
          <w:rFonts w:ascii="Times New Roman" w:eastAsia="Melior" w:hAnsi="Times New Roman"/>
          <w:snapToGrid/>
          <w:szCs w:val="24"/>
        </w:rPr>
        <w:t xml:space="preserve">nformation </w:t>
      </w:r>
      <w:r w:rsidR="00670889" w:rsidRPr="00670889">
        <w:rPr>
          <w:rFonts w:ascii="Times New Roman" w:eastAsia="Melior" w:hAnsi="Times New Roman"/>
          <w:snapToGrid/>
          <w:szCs w:val="24"/>
        </w:rPr>
        <w:t>A</w:t>
      </w:r>
      <w:r w:rsidR="00913E8B">
        <w:rPr>
          <w:rFonts w:ascii="Times New Roman" w:eastAsia="Melior" w:hAnsi="Times New Roman"/>
          <w:snapToGrid/>
          <w:szCs w:val="24"/>
        </w:rPr>
        <w:t>ct</w:t>
      </w:r>
      <w:r w:rsidR="00670889" w:rsidRPr="00670889">
        <w:rPr>
          <w:rFonts w:ascii="Times New Roman" w:eastAsia="Melior" w:hAnsi="Times New Roman"/>
          <w:snapToGrid/>
          <w:szCs w:val="24"/>
        </w:rPr>
        <w:t xml:space="preserve"> </w:t>
      </w:r>
      <w:r w:rsidR="00382D50">
        <w:rPr>
          <w:rFonts w:ascii="Times New Roman" w:eastAsia="Melior" w:hAnsi="Times New Roman"/>
          <w:snapToGrid/>
          <w:szCs w:val="24"/>
        </w:rPr>
        <w:t xml:space="preserve">(FOIA) </w:t>
      </w:r>
      <w:r w:rsidR="00670889" w:rsidRPr="00670889">
        <w:rPr>
          <w:rFonts w:ascii="Times New Roman" w:eastAsia="Melior" w:hAnsi="Times New Roman"/>
          <w:snapToGrid/>
          <w:szCs w:val="24"/>
        </w:rPr>
        <w:t>and</w:t>
      </w:r>
      <w:r w:rsidR="00670889">
        <w:rPr>
          <w:rFonts w:ascii="Times New Roman" w:eastAsia="Melior" w:hAnsi="Times New Roman"/>
          <w:snapToGrid/>
          <w:szCs w:val="24"/>
        </w:rPr>
        <w:t xml:space="preserve"> </w:t>
      </w:r>
      <w:r w:rsidR="00670889" w:rsidRPr="00670889">
        <w:rPr>
          <w:rFonts w:ascii="Times New Roman" w:eastAsia="Melior" w:hAnsi="Times New Roman"/>
          <w:snapToGrid/>
          <w:szCs w:val="24"/>
        </w:rPr>
        <w:t>the Board’s and the</w:t>
      </w:r>
      <w:r w:rsidR="0020177F">
        <w:rPr>
          <w:rFonts w:ascii="Times New Roman" w:eastAsia="Melior" w:hAnsi="Times New Roman"/>
          <w:snapToGrid/>
          <w:szCs w:val="24"/>
        </w:rPr>
        <w:t xml:space="preserve"> </w:t>
      </w:r>
      <w:r w:rsidR="00670889" w:rsidRPr="00670889">
        <w:rPr>
          <w:rFonts w:ascii="Times New Roman" w:eastAsia="Melior" w:hAnsi="Times New Roman"/>
          <w:snapToGrid/>
          <w:szCs w:val="24"/>
        </w:rPr>
        <w:t>Corporation’s</w:t>
      </w:r>
      <w:r w:rsidR="0020177F">
        <w:rPr>
          <w:rFonts w:ascii="Times New Roman" w:eastAsia="Melior" w:hAnsi="Times New Roman"/>
          <w:snapToGrid/>
          <w:szCs w:val="24"/>
        </w:rPr>
        <w:t xml:space="preserve"> </w:t>
      </w:r>
      <w:r w:rsidR="00670889" w:rsidRPr="00670889">
        <w:rPr>
          <w:rFonts w:ascii="Times New Roman" w:eastAsia="Melior" w:hAnsi="Times New Roman"/>
          <w:snapToGrid/>
          <w:szCs w:val="24"/>
        </w:rPr>
        <w:t>implementing regulations (12 CFR part</w:t>
      </w:r>
      <w:r w:rsidR="00670889">
        <w:rPr>
          <w:rFonts w:ascii="Times New Roman" w:eastAsia="Melior" w:hAnsi="Times New Roman"/>
          <w:snapToGrid/>
          <w:szCs w:val="24"/>
        </w:rPr>
        <w:t xml:space="preserve"> </w:t>
      </w:r>
      <w:r w:rsidR="00670889" w:rsidRPr="00670889">
        <w:rPr>
          <w:rFonts w:ascii="Times New Roman" w:eastAsia="Melior" w:hAnsi="Times New Roman"/>
          <w:snapToGrid/>
          <w:szCs w:val="24"/>
        </w:rPr>
        <w:t>261 (Board); 12 CFR part 309</w:t>
      </w:r>
      <w:r w:rsidR="00670889">
        <w:rPr>
          <w:rFonts w:ascii="Times New Roman" w:eastAsia="Melior" w:hAnsi="Times New Roman"/>
          <w:snapToGrid/>
          <w:szCs w:val="24"/>
        </w:rPr>
        <w:t xml:space="preserve"> </w:t>
      </w:r>
      <w:r w:rsidR="00670889" w:rsidRPr="00670889">
        <w:rPr>
          <w:rFonts w:ascii="Times New Roman" w:eastAsia="Melior" w:hAnsi="Times New Roman"/>
          <w:snapToGrid/>
          <w:szCs w:val="24"/>
        </w:rPr>
        <w:t>(Corporation)).</w:t>
      </w:r>
      <w:r w:rsidR="00670889">
        <w:rPr>
          <w:rFonts w:ascii="Times New Roman" w:eastAsia="Melior" w:hAnsi="Times New Roman"/>
          <w:snapToGrid/>
          <w:szCs w:val="24"/>
        </w:rPr>
        <w:t xml:space="preserve">  </w:t>
      </w:r>
    </w:p>
    <w:p w:rsidR="00914B30" w:rsidRDefault="00914B30" w:rsidP="0020177F">
      <w:pPr>
        <w:widowControl/>
        <w:autoSpaceDE w:val="0"/>
        <w:autoSpaceDN w:val="0"/>
        <w:adjustRightInd w:val="0"/>
        <w:ind w:firstLine="720"/>
        <w:rPr>
          <w:rFonts w:ascii="Times New Roman" w:eastAsia="Melior" w:hAnsi="Times New Roman"/>
          <w:snapToGrid/>
          <w:szCs w:val="24"/>
        </w:rPr>
      </w:pPr>
    </w:p>
    <w:p w:rsidR="00670889" w:rsidRPr="00670889" w:rsidRDefault="00381E84" w:rsidP="0020177F">
      <w:pPr>
        <w:widowControl/>
        <w:autoSpaceDE w:val="0"/>
        <w:autoSpaceDN w:val="0"/>
        <w:adjustRightInd w:val="0"/>
        <w:ind w:firstLine="720"/>
        <w:rPr>
          <w:rFonts w:ascii="Times New Roman" w:hAnsi="Times New Roman"/>
          <w:color w:val="000000"/>
          <w:szCs w:val="24"/>
        </w:rPr>
      </w:pPr>
      <w:r>
        <w:rPr>
          <w:rFonts w:ascii="Times New Roman" w:eastAsia="Melior" w:hAnsi="Times New Roman"/>
          <w:snapToGrid/>
          <w:szCs w:val="24"/>
        </w:rPr>
        <w:t>All of t</w:t>
      </w:r>
      <w:r w:rsidR="00670889" w:rsidRPr="00670889">
        <w:rPr>
          <w:rFonts w:ascii="Times New Roman" w:eastAsia="Melior" w:hAnsi="Times New Roman"/>
          <w:snapToGrid/>
          <w:szCs w:val="24"/>
        </w:rPr>
        <w:t>hese requirements would implement</w:t>
      </w:r>
      <w:r w:rsidR="00670889">
        <w:rPr>
          <w:rFonts w:ascii="Times New Roman" w:eastAsia="Melior" w:hAnsi="Times New Roman"/>
          <w:snapToGrid/>
          <w:szCs w:val="24"/>
        </w:rPr>
        <w:t xml:space="preserve"> </w:t>
      </w:r>
      <w:r w:rsidR="00670889" w:rsidRPr="00670889">
        <w:rPr>
          <w:rFonts w:ascii="Times New Roman" w:eastAsia="Melior" w:hAnsi="Times New Roman"/>
          <w:snapToGrid/>
          <w:szCs w:val="24"/>
        </w:rPr>
        <w:t>the resolution plan requirement set forth</w:t>
      </w:r>
      <w:r w:rsidR="00670889">
        <w:rPr>
          <w:rFonts w:ascii="Times New Roman" w:eastAsia="Melior" w:hAnsi="Times New Roman"/>
          <w:snapToGrid/>
          <w:szCs w:val="24"/>
        </w:rPr>
        <w:t xml:space="preserve"> </w:t>
      </w:r>
      <w:r w:rsidR="00670889" w:rsidRPr="00670889">
        <w:rPr>
          <w:rFonts w:ascii="Times New Roman" w:eastAsia="Melior" w:hAnsi="Times New Roman"/>
          <w:snapToGrid/>
          <w:szCs w:val="24"/>
        </w:rPr>
        <w:t>in section 165(d)(1) of the Dodd-Frank</w:t>
      </w:r>
      <w:r w:rsidR="00670889">
        <w:rPr>
          <w:rFonts w:ascii="Times New Roman" w:eastAsia="Melior" w:hAnsi="Times New Roman"/>
          <w:snapToGrid/>
          <w:szCs w:val="24"/>
        </w:rPr>
        <w:t xml:space="preserve"> </w:t>
      </w:r>
      <w:r w:rsidR="00670889" w:rsidRPr="00670889">
        <w:rPr>
          <w:rFonts w:ascii="Times New Roman" w:eastAsia="Melior" w:hAnsi="Times New Roman"/>
          <w:snapToGrid/>
          <w:szCs w:val="24"/>
        </w:rPr>
        <w:t>Act. Since the Board supervises all of</w:t>
      </w:r>
      <w:r w:rsidR="00670889">
        <w:rPr>
          <w:rFonts w:ascii="Times New Roman" w:eastAsia="Melior" w:hAnsi="Times New Roman"/>
          <w:snapToGrid/>
          <w:szCs w:val="24"/>
        </w:rPr>
        <w:t xml:space="preserve"> </w:t>
      </w:r>
      <w:r w:rsidR="00670889" w:rsidRPr="00670889">
        <w:rPr>
          <w:rFonts w:ascii="Times New Roman" w:eastAsia="Melior" w:hAnsi="Times New Roman"/>
          <w:snapToGrid/>
          <w:szCs w:val="24"/>
        </w:rPr>
        <w:t>the respondents, the Board will take the</w:t>
      </w:r>
      <w:r w:rsidR="0020177F">
        <w:rPr>
          <w:rFonts w:ascii="Times New Roman" w:eastAsia="Melior" w:hAnsi="Times New Roman"/>
          <w:snapToGrid/>
          <w:szCs w:val="24"/>
        </w:rPr>
        <w:t xml:space="preserve"> </w:t>
      </w:r>
      <w:r w:rsidR="00670889" w:rsidRPr="00670889">
        <w:rPr>
          <w:rFonts w:ascii="Times New Roman" w:eastAsia="Melior" w:hAnsi="Times New Roman"/>
          <w:snapToGrid/>
          <w:szCs w:val="24"/>
        </w:rPr>
        <w:t>entire paperwork burden associated</w:t>
      </w:r>
      <w:r w:rsidR="00670889">
        <w:rPr>
          <w:rFonts w:ascii="Times New Roman" w:eastAsia="Melior" w:hAnsi="Times New Roman"/>
          <w:snapToGrid/>
          <w:szCs w:val="24"/>
        </w:rPr>
        <w:t xml:space="preserve"> </w:t>
      </w:r>
      <w:r w:rsidR="00670889" w:rsidRPr="00670889">
        <w:rPr>
          <w:rFonts w:ascii="Times New Roman" w:eastAsia="Melior" w:hAnsi="Times New Roman"/>
          <w:snapToGrid/>
          <w:szCs w:val="24"/>
        </w:rPr>
        <w:t>with this information collection.</w:t>
      </w:r>
      <w:r w:rsidR="00670889">
        <w:rPr>
          <w:rFonts w:ascii="Times New Roman" w:eastAsia="Melior" w:hAnsi="Times New Roman"/>
          <w:snapToGrid/>
          <w:szCs w:val="24"/>
        </w:rPr>
        <w:t xml:space="preserve"> </w:t>
      </w:r>
    </w:p>
    <w:p w:rsidR="00670889" w:rsidRDefault="00670889" w:rsidP="008A0D96">
      <w:pPr>
        <w:widowControl/>
        <w:ind w:firstLine="720"/>
        <w:rPr>
          <w:rFonts w:ascii="Times New Roman" w:hAnsi="Times New Roman"/>
          <w:color w:val="000000"/>
        </w:rPr>
      </w:pPr>
    </w:p>
    <w:p w:rsidR="000D2372" w:rsidRPr="00B52DAC" w:rsidRDefault="00D757AD" w:rsidP="000D2372">
      <w:pPr>
        <w:widowControl/>
        <w:rPr>
          <w:rFonts w:ascii="Times New Roman" w:hAnsi="Times New Roman"/>
          <w:b/>
          <w:szCs w:val="24"/>
        </w:rPr>
      </w:pPr>
      <w:r w:rsidRPr="00B52DAC">
        <w:rPr>
          <w:rFonts w:ascii="Times New Roman" w:hAnsi="Times New Roman"/>
          <w:b/>
          <w:szCs w:val="24"/>
        </w:rPr>
        <w:t>Time Schedule for Information Collection</w:t>
      </w:r>
    </w:p>
    <w:p w:rsidR="009046C0" w:rsidRDefault="009046C0" w:rsidP="009046C0">
      <w:pPr>
        <w:widowControl/>
        <w:autoSpaceDE w:val="0"/>
        <w:autoSpaceDN w:val="0"/>
        <w:adjustRightInd w:val="0"/>
        <w:rPr>
          <w:rFonts w:ascii="Times New Roman" w:hAnsi="Times New Roman"/>
          <w:snapToGrid/>
          <w:szCs w:val="24"/>
        </w:rPr>
      </w:pPr>
    </w:p>
    <w:p w:rsidR="0037480E" w:rsidRDefault="0037480E" w:rsidP="009046C0">
      <w:pPr>
        <w:widowControl/>
        <w:autoSpaceDE w:val="0"/>
        <w:autoSpaceDN w:val="0"/>
        <w:adjustRightInd w:val="0"/>
        <w:ind w:firstLine="720"/>
        <w:rPr>
          <w:rFonts w:ascii="Times New Roman" w:hAnsi="Times New Roman"/>
          <w:snapToGrid/>
          <w:szCs w:val="24"/>
        </w:rPr>
      </w:pPr>
      <w:r>
        <w:rPr>
          <w:rFonts w:ascii="Times New Roman" w:hAnsi="Times New Roman"/>
          <w:snapToGrid/>
          <w:szCs w:val="24"/>
        </w:rPr>
        <w:t xml:space="preserve">In general, respondents </w:t>
      </w:r>
      <w:r w:rsidR="009046C0" w:rsidRPr="0037480E">
        <w:rPr>
          <w:rFonts w:ascii="Times New Roman" w:hAnsi="Times New Roman"/>
          <w:snapToGrid/>
          <w:szCs w:val="24"/>
        </w:rPr>
        <w:t>will submit their initial</w:t>
      </w:r>
      <w:r w:rsidR="009046C0">
        <w:rPr>
          <w:rFonts w:ascii="Times New Roman" w:hAnsi="Times New Roman"/>
          <w:snapToGrid/>
          <w:szCs w:val="24"/>
        </w:rPr>
        <w:t xml:space="preserve"> resolution plans on a staggered basis</w:t>
      </w:r>
      <w:r>
        <w:rPr>
          <w:rFonts w:ascii="Times New Roman" w:hAnsi="Times New Roman"/>
          <w:snapToGrid/>
          <w:szCs w:val="24"/>
        </w:rPr>
        <w:t xml:space="preserve"> p</w:t>
      </w:r>
      <w:r w:rsidRPr="0037480E">
        <w:rPr>
          <w:rFonts w:ascii="Times New Roman" w:hAnsi="Times New Roman"/>
          <w:snapToGrid/>
          <w:szCs w:val="24"/>
        </w:rPr>
        <w:t xml:space="preserve">ursuant to </w:t>
      </w:r>
      <w:r>
        <w:rPr>
          <w:rFonts w:ascii="Times New Roman" w:hAnsi="Times New Roman"/>
          <w:snapToGrid/>
          <w:szCs w:val="24"/>
        </w:rPr>
        <w:t>s</w:t>
      </w:r>
      <w:r w:rsidRPr="0037480E">
        <w:rPr>
          <w:rFonts w:ascii="Times New Roman" w:eastAsia="Melior" w:hAnsi="Times New Roman"/>
          <w:snapToGrid/>
          <w:szCs w:val="24"/>
        </w:rPr>
        <w:t>ection 243.3</w:t>
      </w:r>
      <w:r>
        <w:rPr>
          <w:rFonts w:ascii="Times New Roman" w:eastAsia="Melior" w:hAnsi="Times New Roman"/>
          <w:snapToGrid/>
          <w:szCs w:val="24"/>
        </w:rPr>
        <w:t xml:space="preserve"> of </w:t>
      </w:r>
      <w:r>
        <w:rPr>
          <w:rFonts w:ascii="Times New Roman" w:hAnsi="Times New Roman"/>
          <w:snapToGrid/>
          <w:szCs w:val="24"/>
        </w:rPr>
        <w:t>Regulation QQ:</w:t>
      </w:r>
      <w:r w:rsidR="009046C0">
        <w:rPr>
          <w:rFonts w:ascii="Times New Roman" w:hAnsi="Times New Roman"/>
          <w:snapToGrid/>
          <w:szCs w:val="24"/>
        </w:rPr>
        <w:t xml:space="preserve">  </w:t>
      </w:r>
    </w:p>
    <w:p w:rsidR="0037480E" w:rsidRPr="0037480E" w:rsidRDefault="0037480E" w:rsidP="0037480E">
      <w:pPr>
        <w:pStyle w:val="ListParagraph"/>
        <w:numPr>
          <w:ilvl w:val="0"/>
          <w:numId w:val="15"/>
        </w:numPr>
        <w:autoSpaceDE w:val="0"/>
        <w:autoSpaceDN w:val="0"/>
        <w:adjustRightInd w:val="0"/>
        <w:rPr>
          <w:rFonts w:eastAsia="Melior"/>
        </w:rPr>
      </w:pPr>
      <w:r w:rsidRPr="0037480E">
        <w:t>R</w:t>
      </w:r>
      <w:r w:rsidR="008114BE" w:rsidRPr="0037480E">
        <w:t>espondents</w:t>
      </w:r>
      <w:r w:rsidRPr="0037480E">
        <w:t xml:space="preserve"> </w:t>
      </w:r>
      <w:r w:rsidR="009046C0" w:rsidRPr="0037480E">
        <w:t>with $250 billion or more in non-bank assets</w:t>
      </w:r>
      <w:r w:rsidR="00381E84">
        <w:t xml:space="preserve"> (or in the case of a foreign-based company, in total U.S. nonbank assets)</w:t>
      </w:r>
      <w:r w:rsidR="009046C0" w:rsidRPr="0037480E">
        <w:t xml:space="preserve">, must submit their initial plans on or before July 1, 2012; </w:t>
      </w:r>
    </w:p>
    <w:p w:rsidR="0037480E" w:rsidRPr="0037480E" w:rsidRDefault="0037480E" w:rsidP="0037480E">
      <w:pPr>
        <w:pStyle w:val="ListParagraph"/>
        <w:numPr>
          <w:ilvl w:val="0"/>
          <w:numId w:val="15"/>
        </w:numPr>
        <w:autoSpaceDE w:val="0"/>
        <w:autoSpaceDN w:val="0"/>
        <w:adjustRightInd w:val="0"/>
        <w:rPr>
          <w:rFonts w:eastAsia="Melior"/>
        </w:rPr>
      </w:pPr>
      <w:r>
        <w:t>R</w:t>
      </w:r>
      <w:r w:rsidR="008114BE" w:rsidRPr="0037480E">
        <w:t xml:space="preserve">espondents </w:t>
      </w:r>
      <w:r w:rsidR="009046C0" w:rsidRPr="0037480E">
        <w:t>with $100 billion or more, but less than $250 billion, in total non-bank assets</w:t>
      </w:r>
      <w:r w:rsidR="00381E84">
        <w:t xml:space="preserve"> (or in the case of a foreign-based company, in total U.S. nonbank assets)</w:t>
      </w:r>
      <w:r w:rsidR="009046C0" w:rsidRPr="0037480E">
        <w:t xml:space="preserve">, must submit their initial plans on or before July 1, 2013; and </w:t>
      </w:r>
    </w:p>
    <w:p w:rsidR="009046C0" w:rsidRPr="0037480E" w:rsidRDefault="0037480E" w:rsidP="0037480E">
      <w:pPr>
        <w:pStyle w:val="ListParagraph"/>
        <w:numPr>
          <w:ilvl w:val="0"/>
          <w:numId w:val="15"/>
        </w:numPr>
        <w:autoSpaceDE w:val="0"/>
        <w:autoSpaceDN w:val="0"/>
        <w:adjustRightInd w:val="0"/>
        <w:rPr>
          <w:rFonts w:eastAsia="Melior"/>
        </w:rPr>
      </w:pPr>
      <w:r>
        <w:t>R</w:t>
      </w:r>
      <w:r w:rsidR="008114BE" w:rsidRPr="0037480E">
        <w:t>espondents</w:t>
      </w:r>
      <w:r w:rsidR="00EC3A4C">
        <w:t xml:space="preserve"> </w:t>
      </w:r>
      <w:bookmarkStart w:id="4" w:name="_GoBack"/>
      <w:bookmarkEnd w:id="4"/>
      <w:r w:rsidR="009046C0" w:rsidRPr="0037480E">
        <w:t xml:space="preserve">with less than $100 billion in total non-bank </w:t>
      </w:r>
      <w:r w:rsidR="005F7CE0" w:rsidRPr="0037480E">
        <w:t>assets</w:t>
      </w:r>
      <w:r w:rsidR="009046C0" w:rsidRPr="0037480E">
        <w:t xml:space="preserve"> must submit their initial plans on or before December 31, 2013.</w:t>
      </w:r>
      <w:r w:rsidR="009046C0" w:rsidRPr="0037480E">
        <w:rPr>
          <w:rFonts w:eastAsia="Melior"/>
        </w:rPr>
        <w:t xml:space="preserve"> </w:t>
      </w:r>
    </w:p>
    <w:p w:rsidR="009046C0" w:rsidRDefault="009046C0" w:rsidP="009046C0">
      <w:pPr>
        <w:widowControl/>
        <w:autoSpaceDE w:val="0"/>
        <w:autoSpaceDN w:val="0"/>
        <w:adjustRightInd w:val="0"/>
        <w:rPr>
          <w:rFonts w:ascii="Times New Roman" w:eastAsia="Melior" w:hAnsi="Times New Roman"/>
          <w:snapToGrid/>
          <w:szCs w:val="24"/>
        </w:rPr>
      </w:pPr>
    </w:p>
    <w:p w:rsidR="000D2372" w:rsidRDefault="00617F9D" w:rsidP="0037480E">
      <w:pPr>
        <w:widowControl/>
        <w:autoSpaceDE w:val="0"/>
        <w:autoSpaceDN w:val="0"/>
        <w:adjustRightInd w:val="0"/>
        <w:rPr>
          <w:rFonts w:ascii="Times New Roman" w:eastAsia="Melior" w:hAnsi="Times New Roman"/>
          <w:snapToGrid/>
          <w:szCs w:val="24"/>
        </w:rPr>
      </w:pPr>
      <w:r>
        <w:rPr>
          <w:rFonts w:ascii="Times New Roman" w:eastAsia="Melior" w:hAnsi="Times New Roman"/>
          <w:snapToGrid/>
          <w:szCs w:val="24"/>
        </w:rPr>
        <w:tab/>
      </w:r>
      <w:r w:rsidR="00381E84">
        <w:rPr>
          <w:rFonts w:ascii="Times New Roman" w:eastAsia="Melior" w:hAnsi="Times New Roman"/>
          <w:snapToGrid/>
          <w:szCs w:val="24"/>
        </w:rPr>
        <w:t xml:space="preserve">The resolution plans must be submitted annually after the initial submission.  </w:t>
      </w:r>
      <w:r w:rsidR="00B52DAC" w:rsidRPr="00B52DAC">
        <w:rPr>
          <w:rFonts w:ascii="Times New Roman" w:eastAsia="Melior" w:hAnsi="Times New Roman"/>
          <w:snapToGrid/>
          <w:szCs w:val="24"/>
        </w:rPr>
        <w:t>The above phase-in schedule generally</w:t>
      </w:r>
      <w:r w:rsidR="00007D63">
        <w:rPr>
          <w:rFonts w:ascii="Times New Roman" w:eastAsia="Melior" w:hAnsi="Times New Roman"/>
          <w:snapToGrid/>
          <w:szCs w:val="24"/>
        </w:rPr>
        <w:t xml:space="preserve"> </w:t>
      </w:r>
      <w:r w:rsidR="00B52DAC" w:rsidRPr="00B52DAC">
        <w:rPr>
          <w:rFonts w:ascii="Times New Roman" w:eastAsia="Melior" w:hAnsi="Times New Roman"/>
          <w:snapToGrid/>
          <w:szCs w:val="24"/>
        </w:rPr>
        <w:t>applies to any company that is a</w:t>
      </w:r>
      <w:r w:rsidR="00540162">
        <w:rPr>
          <w:rFonts w:ascii="Times New Roman" w:eastAsia="Melior" w:hAnsi="Times New Roman"/>
          <w:snapToGrid/>
          <w:szCs w:val="24"/>
        </w:rPr>
        <w:t xml:space="preserve"> </w:t>
      </w:r>
      <w:r w:rsidR="00B52DAC" w:rsidRPr="00B52DAC">
        <w:rPr>
          <w:rFonts w:ascii="Times New Roman" w:eastAsia="Melior" w:hAnsi="Times New Roman"/>
          <w:snapToGrid/>
          <w:szCs w:val="24"/>
        </w:rPr>
        <w:t>covered company as of the effective</w:t>
      </w:r>
      <w:r w:rsidR="00540162">
        <w:rPr>
          <w:rFonts w:ascii="Times New Roman" w:eastAsia="Melior" w:hAnsi="Times New Roman"/>
          <w:snapToGrid/>
          <w:szCs w:val="24"/>
        </w:rPr>
        <w:t xml:space="preserve"> </w:t>
      </w:r>
      <w:r w:rsidR="00B52DAC" w:rsidRPr="00B52DAC">
        <w:rPr>
          <w:rFonts w:ascii="Times New Roman" w:eastAsia="Melior" w:hAnsi="Times New Roman"/>
          <w:snapToGrid/>
          <w:szCs w:val="24"/>
        </w:rPr>
        <w:t>date</w:t>
      </w:r>
      <w:r w:rsidR="00381E84">
        <w:rPr>
          <w:rFonts w:ascii="Times New Roman" w:eastAsia="Melior" w:hAnsi="Times New Roman"/>
          <w:snapToGrid/>
          <w:szCs w:val="24"/>
        </w:rPr>
        <w:t xml:space="preserve"> of the final rule</w:t>
      </w:r>
      <w:r w:rsidR="00B52DAC" w:rsidRPr="00B52DAC">
        <w:rPr>
          <w:rFonts w:ascii="Times New Roman" w:eastAsia="Melior" w:hAnsi="Times New Roman"/>
          <w:snapToGrid/>
          <w:szCs w:val="24"/>
        </w:rPr>
        <w:t>.</w:t>
      </w:r>
      <w:r w:rsidR="00540162">
        <w:rPr>
          <w:rFonts w:ascii="Times New Roman" w:eastAsia="Melior" w:hAnsi="Times New Roman"/>
          <w:snapToGrid/>
          <w:szCs w:val="24"/>
        </w:rPr>
        <w:t xml:space="preserve">  </w:t>
      </w:r>
      <w:r w:rsidR="00B52DAC" w:rsidRPr="00B52DAC">
        <w:rPr>
          <w:rFonts w:ascii="Times New Roman" w:eastAsia="Melior" w:hAnsi="Times New Roman"/>
          <w:snapToGrid/>
          <w:szCs w:val="24"/>
        </w:rPr>
        <w:t>A company that becomes a covered</w:t>
      </w:r>
      <w:r w:rsidR="00540162">
        <w:rPr>
          <w:rFonts w:ascii="Times New Roman" w:eastAsia="Melior" w:hAnsi="Times New Roman"/>
          <w:snapToGrid/>
          <w:szCs w:val="24"/>
        </w:rPr>
        <w:t xml:space="preserve"> </w:t>
      </w:r>
      <w:r w:rsidR="00B52DAC" w:rsidRPr="00B52DAC">
        <w:rPr>
          <w:rFonts w:ascii="Times New Roman" w:eastAsia="Melior" w:hAnsi="Times New Roman"/>
          <w:snapToGrid/>
          <w:szCs w:val="24"/>
        </w:rPr>
        <w:t>company after the effective date of th</w:t>
      </w:r>
      <w:r w:rsidR="00381E84">
        <w:rPr>
          <w:rFonts w:ascii="Times New Roman" w:eastAsia="Melior" w:hAnsi="Times New Roman"/>
          <w:snapToGrid/>
          <w:szCs w:val="24"/>
        </w:rPr>
        <w:t>e</w:t>
      </w:r>
      <w:r w:rsidR="00540162">
        <w:rPr>
          <w:rFonts w:ascii="Times New Roman" w:eastAsia="Melior" w:hAnsi="Times New Roman"/>
          <w:snapToGrid/>
          <w:szCs w:val="24"/>
        </w:rPr>
        <w:t xml:space="preserve"> </w:t>
      </w:r>
      <w:r w:rsidR="00B52DAC" w:rsidRPr="00B52DAC">
        <w:rPr>
          <w:rFonts w:ascii="Times New Roman" w:eastAsia="Melior" w:hAnsi="Times New Roman"/>
          <w:snapToGrid/>
          <w:szCs w:val="24"/>
        </w:rPr>
        <w:t xml:space="preserve">final rule, </w:t>
      </w:r>
      <w:r w:rsidR="00B52DAC" w:rsidRPr="00B52DAC">
        <w:rPr>
          <w:rFonts w:ascii="Times New Roman" w:eastAsia="Melior" w:hAnsi="Times New Roman"/>
          <w:i/>
          <w:iCs/>
          <w:snapToGrid/>
          <w:szCs w:val="24"/>
        </w:rPr>
        <w:t xml:space="preserve">e.g., </w:t>
      </w:r>
      <w:r w:rsidR="00B52DAC" w:rsidRPr="00B52DAC">
        <w:rPr>
          <w:rFonts w:ascii="Times New Roman" w:eastAsia="Melior" w:hAnsi="Times New Roman"/>
          <w:snapToGrid/>
          <w:szCs w:val="24"/>
        </w:rPr>
        <w:t>a company the Council</w:t>
      </w:r>
      <w:r w:rsidR="00540162">
        <w:rPr>
          <w:rFonts w:ascii="Times New Roman" w:eastAsia="Melior" w:hAnsi="Times New Roman"/>
          <w:snapToGrid/>
          <w:szCs w:val="24"/>
        </w:rPr>
        <w:t xml:space="preserve"> </w:t>
      </w:r>
      <w:r w:rsidR="00B52DAC" w:rsidRPr="00B52DAC">
        <w:rPr>
          <w:rFonts w:ascii="Times New Roman" w:eastAsia="Melior" w:hAnsi="Times New Roman"/>
          <w:snapToGrid/>
          <w:szCs w:val="24"/>
        </w:rPr>
        <w:t>has designated for supervision by the</w:t>
      </w:r>
      <w:r w:rsidR="00540162">
        <w:rPr>
          <w:rFonts w:ascii="Times New Roman" w:eastAsia="Melior" w:hAnsi="Times New Roman"/>
          <w:snapToGrid/>
          <w:szCs w:val="24"/>
        </w:rPr>
        <w:t xml:space="preserve"> </w:t>
      </w:r>
      <w:r w:rsidR="00B52DAC" w:rsidRPr="00B52DAC">
        <w:rPr>
          <w:rFonts w:ascii="Times New Roman" w:eastAsia="Melior" w:hAnsi="Times New Roman"/>
          <w:snapToGrid/>
          <w:szCs w:val="24"/>
        </w:rPr>
        <w:t xml:space="preserve">Board or a </w:t>
      </w:r>
      <w:r w:rsidR="00381E84">
        <w:rPr>
          <w:rFonts w:ascii="Times New Roman" w:eastAsia="Melior" w:hAnsi="Times New Roman"/>
          <w:snapToGrid/>
          <w:szCs w:val="24"/>
        </w:rPr>
        <w:t>BHC</w:t>
      </w:r>
      <w:r w:rsidR="00B52DAC" w:rsidRPr="00B52DAC">
        <w:rPr>
          <w:rFonts w:ascii="Times New Roman" w:eastAsia="Melior" w:hAnsi="Times New Roman"/>
          <w:snapToGrid/>
          <w:szCs w:val="24"/>
        </w:rPr>
        <w:t xml:space="preserve"> that</w:t>
      </w:r>
      <w:r w:rsidR="00540162">
        <w:rPr>
          <w:rFonts w:ascii="Times New Roman" w:eastAsia="Melior" w:hAnsi="Times New Roman"/>
          <w:snapToGrid/>
          <w:szCs w:val="24"/>
        </w:rPr>
        <w:t xml:space="preserve"> </w:t>
      </w:r>
      <w:r w:rsidR="00B52DAC" w:rsidRPr="00B52DAC">
        <w:rPr>
          <w:rFonts w:ascii="Times New Roman" w:eastAsia="Melior" w:hAnsi="Times New Roman"/>
          <w:snapToGrid/>
          <w:szCs w:val="24"/>
        </w:rPr>
        <w:lastRenderedPageBreak/>
        <w:t>grows, organically or by merger or</w:t>
      </w:r>
      <w:r w:rsidR="00540162">
        <w:rPr>
          <w:rFonts w:ascii="Times New Roman" w:eastAsia="Melior" w:hAnsi="Times New Roman"/>
          <w:snapToGrid/>
          <w:szCs w:val="24"/>
        </w:rPr>
        <w:t xml:space="preserve"> </w:t>
      </w:r>
      <w:r w:rsidR="00B52DAC" w:rsidRPr="00B52DAC">
        <w:rPr>
          <w:rFonts w:ascii="Times New Roman" w:eastAsia="Melior" w:hAnsi="Times New Roman"/>
          <w:snapToGrid/>
          <w:szCs w:val="24"/>
        </w:rPr>
        <w:t>acquisition, over the $50 billion</w:t>
      </w:r>
      <w:r w:rsidR="00540162">
        <w:rPr>
          <w:rFonts w:ascii="Times New Roman" w:eastAsia="Melior" w:hAnsi="Times New Roman"/>
          <w:snapToGrid/>
          <w:szCs w:val="24"/>
        </w:rPr>
        <w:t xml:space="preserve"> </w:t>
      </w:r>
      <w:r w:rsidR="00B52DAC" w:rsidRPr="00B52DAC">
        <w:rPr>
          <w:rFonts w:ascii="Times New Roman" w:eastAsia="Melior" w:hAnsi="Times New Roman"/>
          <w:snapToGrid/>
          <w:szCs w:val="24"/>
        </w:rPr>
        <w:t>threshold, must submit its resolution</w:t>
      </w:r>
      <w:r w:rsidR="00540162">
        <w:rPr>
          <w:rFonts w:ascii="Times New Roman" w:eastAsia="Melior" w:hAnsi="Times New Roman"/>
          <w:snapToGrid/>
          <w:szCs w:val="24"/>
        </w:rPr>
        <w:t xml:space="preserve"> </w:t>
      </w:r>
      <w:r w:rsidR="00B52DAC" w:rsidRPr="00B52DAC">
        <w:rPr>
          <w:rFonts w:ascii="Times New Roman" w:eastAsia="Melior" w:hAnsi="Times New Roman"/>
          <w:snapToGrid/>
          <w:szCs w:val="24"/>
        </w:rPr>
        <w:t>plan by the next July 1 following the</w:t>
      </w:r>
      <w:r w:rsidR="00540162">
        <w:rPr>
          <w:rFonts w:ascii="Times New Roman" w:eastAsia="Melior" w:hAnsi="Times New Roman"/>
          <w:snapToGrid/>
          <w:szCs w:val="24"/>
        </w:rPr>
        <w:t xml:space="preserve"> </w:t>
      </w:r>
      <w:r w:rsidR="00B52DAC" w:rsidRPr="00B52DAC">
        <w:rPr>
          <w:rFonts w:ascii="Times New Roman" w:eastAsia="Melior" w:hAnsi="Times New Roman"/>
          <w:snapToGrid/>
          <w:szCs w:val="24"/>
        </w:rPr>
        <w:t>date the company becomes a covered</w:t>
      </w:r>
      <w:r w:rsidR="00540162">
        <w:rPr>
          <w:rFonts w:ascii="Times New Roman" w:eastAsia="Melior" w:hAnsi="Times New Roman"/>
          <w:snapToGrid/>
          <w:szCs w:val="24"/>
        </w:rPr>
        <w:t xml:space="preserve"> </w:t>
      </w:r>
      <w:r w:rsidR="00B52DAC" w:rsidRPr="00B52DAC">
        <w:rPr>
          <w:rFonts w:ascii="Times New Roman" w:eastAsia="Melior" w:hAnsi="Times New Roman"/>
          <w:snapToGrid/>
          <w:szCs w:val="24"/>
        </w:rPr>
        <w:t>company, provided such date is at least</w:t>
      </w:r>
      <w:r w:rsidR="00540162">
        <w:rPr>
          <w:rFonts w:ascii="Times New Roman" w:eastAsia="Melior" w:hAnsi="Times New Roman"/>
          <w:snapToGrid/>
          <w:szCs w:val="24"/>
        </w:rPr>
        <w:t xml:space="preserve"> </w:t>
      </w:r>
      <w:r w:rsidR="00B52DAC" w:rsidRPr="00B52DAC">
        <w:rPr>
          <w:rFonts w:ascii="Times New Roman" w:eastAsia="Melior" w:hAnsi="Times New Roman"/>
          <w:snapToGrid/>
          <w:szCs w:val="24"/>
        </w:rPr>
        <w:t>270 days after the date the company</w:t>
      </w:r>
      <w:r w:rsidR="00540162">
        <w:rPr>
          <w:rFonts w:ascii="Times New Roman" w:eastAsia="Melior" w:hAnsi="Times New Roman"/>
          <w:snapToGrid/>
          <w:szCs w:val="24"/>
        </w:rPr>
        <w:t xml:space="preserve"> </w:t>
      </w:r>
      <w:r w:rsidR="00B52DAC" w:rsidRPr="00B52DAC">
        <w:rPr>
          <w:rFonts w:ascii="Times New Roman" w:eastAsia="Melior" w:hAnsi="Times New Roman"/>
          <w:snapToGrid/>
          <w:szCs w:val="24"/>
        </w:rPr>
        <w:t xml:space="preserve">becomes a </w:t>
      </w:r>
      <w:r w:rsidR="005F7CE0" w:rsidRPr="00B52DAC">
        <w:rPr>
          <w:rFonts w:ascii="Times New Roman" w:eastAsia="Melior" w:hAnsi="Times New Roman"/>
          <w:snapToGrid/>
          <w:szCs w:val="24"/>
        </w:rPr>
        <w:t xml:space="preserve">covered </w:t>
      </w:r>
      <w:r w:rsidR="005F7CE0">
        <w:rPr>
          <w:rFonts w:ascii="Times New Roman" w:eastAsia="Melior" w:hAnsi="Times New Roman"/>
          <w:snapToGrid/>
          <w:szCs w:val="24"/>
        </w:rPr>
        <w:t>company</w:t>
      </w:r>
      <w:r w:rsidR="00B52DAC" w:rsidRPr="00B52DAC">
        <w:rPr>
          <w:rFonts w:ascii="Times New Roman" w:eastAsia="Melior" w:hAnsi="Times New Roman"/>
          <w:snapToGrid/>
          <w:szCs w:val="24"/>
        </w:rPr>
        <w:t xml:space="preserve">. </w:t>
      </w:r>
      <w:r w:rsidR="00141204">
        <w:rPr>
          <w:rFonts w:ascii="Times New Roman" w:eastAsia="Melior" w:hAnsi="Times New Roman"/>
          <w:snapToGrid/>
          <w:szCs w:val="24"/>
        </w:rPr>
        <w:t xml:space="preserve"> </w:t>
      </w:r>
      <w:r w:rsidR="00B52DAC" w:rsidRPr="00B52DAC">
        <w:rPr>
          <w:rFonts w:ascii="Times New Roman" w:eastAsia="Melior" w:hAnsi="Times New Roman"/>
          <w:snapToGrid/>
          <w:szCs w:val="24"/>
        </w:rPr>
        <w:t>The final</w:t>
      </w:r>
      <w:r w:rsidR="00540162">
        <w:rPr>
          <w:rFonts w:ascii="Times New Roman" w:eastAsia="Melior" w:hAnsi="Times New Roman"/>
          <w:snapToGrid/>
          <w:szCs w:val="24"/>
        </w:rPr>
        <w:t xml:space="preserve"> </w:t>
      </w:r>
      <w:r w:rsidR="00B52DAC" w:rsidRPr="00B52DAC">
        <w:rPr>
          <w:rFonts w:ascii="Times New Roman" w:eastAsia="Melior" w:hAnsi="Times New Roman"/>
          <w:snapToGrid/>
          <w:szCs w:val="24"/>
        </w:rPr>
        <w:t>rule permits the Board and Corporation</w:t>
      </w:r>
      <w:r w:rsidR="00540162">
        <w:rPr>
          <w:rFonts w:ascii="Times New Roman" w:eastAsia="Melior" w:hAnsi="Times New Roman"/>
          <w:snapToGrid/>
          <w:szCs w:val="24"/>
        </w:rPr>
        <w:t xml:space="preserve"> </w:t>
      </w:r>
      <w:r w:rsidR="00B52DAC" w:rsidRPr="00B52DAC">
        <w:rPr>
          <w:rFonts w:ascii="Times New Roman" w:eastAsia="Melior" w:hAnsi="Times New Roman"/>
          <w:snapToGrid/>
          <w:szCs w:val="24"/>
        </w:rPr>
        <w:t>to jointly determine that a covered</w:t>
      </w:r>
      <w:r w:rsidR="00540162">
        <w:rPr>
          <w:rFonts w:ascii="Times New Roman" w:eastAsia="Melior" w:hAnsi="Times New Roman"/>
          <w:snapToGrid/>
          <w:szCs w:val="24"/>
        </w:rPr>
        <w:t xml:space="preserve"> </w:t>
      </w:r>
      <w:r w:rsidR="00B52DAC" w:rsidRPr="00B52DAC">
        <w:rPr>
          <w:rFonts w:ascii="Times New Roman" w:eastAsia="Melior" w:hAnsi="Times New Roman"/>
          <w:snapToGrid/>
          <w:szCs w:val="24"/>
        </w:rPr>
        <w:t>company must submit its initial</w:t>
      </w:r>
      <w:r w:rsidR="00540162">
        <w:rPr>
          <w:rFonts w:ascii="Times New Roman" w:eastAsia="Melior" w:hAnsi="Times New Roman"/>
          <w:snapToGrid/>
          <w:szCs w:val="24"/>
        </w:rPr>
        <w:t xml:space="preserve"> </w:t>
      </w:r>
      <w:r w:rsidR="00B52DAC" w:rsidRPr="00B52DAC">
        <w:rPr>
          <w:rFonts w:ascii="Times New Roman" w:eastAsia="Melior" w:hAnsi="Times New Roman"/>
          <w:snapToGrid/>
          <w:szCs w:val="24"/>
        </w:rPr>
        <w:t>resolution plan earlier or later than</w:t>
      </w:r>
      <w:r w:rsidR="00540162">
        <w:rPr>
          <w:rFonts w:ascii="Times New Roman" w:eastAsia="Melior" w:hAnsi="Times New Roman"/>
          <w:snapToGrid/>
          <w:szCs w:val="24"/>
        </w:rPr>
        <w:t xml:space="preserve"> </w:t>
      </w:r>
      <w:r w:rsidR="00B52DAC" w:rsidRPr="00B52DAC">
        <w:rPr>
          <w:rFonts w:ascii="Times New Roman" w:eastAsia="Melior" w:hAnsi="Times New Roman"/>
          <w:snapToGrid/>
          <w:szCs w:val="24"/>
        </w:rPr>
        <w:t>provided for in the final rule.</w:t>
      </w:r>
    </w:p>
    <w:p w:rsidR="00381E84" w:rsidRDefault="00381E84" w:rsidP="0037480E">
      <w:pPr>
        <w:widowControl/>
        <w:autoSpaceDE w:val="0"/>
        <w:autoSpaceDN w:val="0"/>
        <w:adjustRightInd w:val="0"/>
        <w:rPr>
          <w:rFonts w:ascii="Times New Roman" w:eastAsia="Melior" w:hAnsi="Times New Roman"/>
          <w:snapToGrid/>
          <w:szCs w:val="24"/>
        </w:rPr>
      </w:pPr>
    </w:p>
    <w:p w:rsidR="00381E84" w:rsidRPr="00B52DAC" w:rsidRDefault="00381E84" w:rsidP="0037480E">
      <w:pPr>
        <w:widowControl/>
        <w:autoSpaceDE w:val="0"/>
        <w:autoSpaceDN w:val="0"/>
        <w:adjustRightInd w:val="0"/>
        <w:rPr>
          <w:rFonts w:ascii="Times New Roman" w:hAnsi="Times New Roman"/>
          <w:szCs w:val="24"/>
        </w:rPr>
      </w:pPr>
      <w:r>
        <w:rPr>
          <w:rFonts w:ascii="Times New Roman" w:eastAsia="Melior" w:hAnsi="Times New Roman"/>
          <w:snapToGrid/>
          <w:szCs w:val="24"/>
        </w:rPr>
        <w:tab/>
      </w:r>
      <w:r w:rsidR="00617F9D">
        <w:rPr>
          <w:rFonts w:ascii="Times New Roman" w:eastAsia="Melior" w:hAnsi="Times New Roman"/>
          <w:snapToGrid/>
          <w:szCs w:val="24"/>
        </w:rPr>
        <w:t>A</w:t>
      </w:r>
      <w:r w:rsidR="00545F41">
        <w:rPr>
          <w:rFonts w:ascii="Times New Roman" w:eastAsia="Melior" w:hAnsi="Times New Roman"/>
          <w:snapToGrid/>
          <w:szCs w:val="24"/>
        </w:rPr>
        <w:t>dditional information</w:t>
      </w:r>
      <w:r w:rsidR="00617F9D">
        <w:rPr>
          <w:rFonts w:ascii="Times New Roman" w:eastAsia="Melior" w:hAnsi="Times New Roman"/>
          <w:snapToGrid/>
          <w:szCs w:val="24"/>
        </w:rPr>
        <w:t xml:space="preserve"> submitted at request of the </w:t>
      </w:r>
      <w:r w:rsidR="00D726C9">
        <w:rPr>
          <w:rFonts w:ascii="Times New Roman" w:eastAsia="Melior" w:hAnsi="Times New Roman"/>
          <w:snapToGrid/>
          <w:szCs w:val="24"/>
        </w:rPr>
        <w:t>A</w:t>
      </w:r>
      <w:r w:rsidR="00617F9D">
        <w:rPr>
          <w:rFonts w:ascii="Times New Roman" w:eastAsia="Melior" w:hAnsi="Times New Roman"/>
          <w:snapToGrid/>
          <w:szCs w:val="24"/>
        </w:rPr>
        <w:t>gencies</w:t>
      </w:r>
      <w:r w:rsidR="00545F41">
        <w:rPr>
          <w:rFonts w:ascii="Times New Roman" w:eastAsia="Melior" w:hAnsi="Times New Roman"/>
          <w:snapToGrid/>
          <w:szCs w:val="24"/>
        </w:rPr>
        <w:t>, notices of material events, and request</w:t>
      </w:r>
      <w:r w:rsidR="00617F9D">
        <w:rPr>
          <w:rFonts w:ascii="Times New Roman" w:eastAsia="Melior" w:hAnsi="Times New Roman"/>
          <w:snapToGrid/>
          <w:szCs w:val="24"/>
        </w:rPr>
        <w:t>s</w:t>
      </w:r>
      <w:r w:rsidR="00545F41">
        <w:rPr>
          <w:rFonts w:ascii="Times New Roman" w:eastAsia="Melior" w:hAnsi="Times New Roman"/>
          <w:snapToGrid/>
          <w:szCs w:val="24"/>
        </w:rPr>
        <w:t xml:space="preserve"> for extensions to resubmit resolution plans</w:t>
      </w:r>
      <w:r w:rsidR="00617F9D">
        <w:rPr>
          <w:rFonts w:ascii="Times New Roman" w:eastAsia="Melior" w:hAnsi="Times New Roman"/>
          <w:snapToGrid/>
          <w:szCs w:val="24"/>
        </w:rPr>
        <w:t xml:space="preserve"> would </w:t>
      </w:r>
      <w:r w:rsidR="00545F41">
        <w:rPr>
          <w:rFonts w:ascii="Times New Roman" w:eastAsia="Melior" w:hAnsi="Times New Roman"/>
          <w:snapToGrid/>
          <w:szCs w:val="24"/>
        </w:rPr>
        <w:t xml:space="preserve">all </w:t>
      </w:r>
      <w:r w:rsidR="00617F9D">
        <w:rPr>
          <w:rFonts w:ascii="Times New Roman" w:eastAsia="Melior" w:hAnsi="Times New Roman"/>
          <w:snapToGrid/>
          <w:szCs w:val="24"/>
        </w:rPr>
        <w:t xml:space="preserve">be </w:t>
      </w:r>
      <w:r w:rsidR="00545F41">
        <w:rPr>
          <w:rFonts w:ascii="Times New Roman" w:eastAsia="Melior" w:hAnsi="Times New Roman"/>
          <w:snapToGrid/>
          <w:szCs w:val="24"/>
        </w:rPr>
        <w:t>filed on occasion.</w:t>
      </w:r>
    </w:p>
    <w:p w:rsidR="00540162" w:rsidRDefault="00540162" w:rsidP="00CC7FFB">
      <w:pPr>
        <w:widowControl/>
        <w:ind w:firstLine="720"/>
        <w:rPr>
          <w:rFonts w:ascii="Times New Roman" w:hAnsi="Times New Roman"/>
          <w:szCs w:val="24"/>
        </w:rPr>
      </w:pPr>
    </w:p>
    <w:p w:rsidR="005071F2" w:rsidRPr="00386084" w:rsidRDefault="005071F2" w:rsidP="005071F2">
      <w:pPr>
        <w:widowControl/>
        <w:rPr>
          <w:rFonts w:ascii="Times New Roman" w:hAnsi="Times New Roman"/>
          <w:b/>
          <w:szCs w:val="24"/>
        </w:rPr>
      </w:pPr>
      <w:r w:rsidRPr="00386084">
        <w:rPr>
          <w:rFonts w:ascii="Times New Roman" w:hAnsi="Times New Roman"/>
          <w:b/>
          <w:szCs w:val="24"/>
        </w:rPr>
        <w:t>Consultation Outside of the Agency</w:t>
      </w:r>
      <w:r w:rsidR="00BB08AF">
        <w:rPr>
          <w:rFonts w:ascii="Times New Roman" w:hAnsi="Times New Roman"/>
          <w:b/>
          <w:szCs w:val="24"/>
        </w:rPr>
        <w:t xml:space="preserve"> and Discussion of Public Comments</w:t>
      </w:r>
    </w:p>
    <w:p w:rsidR="005071F2" w:rsidRPr="006219C4" w:rsidRDefault="005071F2" w:rsidP="005071F2">
      <w:pPr>
        <w:widowControl/>
        <w:rPr>
          <w:rFonts w:ascii="Times New Roman" w:hAnsi="Times New Roman"/>
          <w:szCs w:val="24"/>
        </w:rPr>
      </w:pPr>
    </w:p>
    <w:p w:rsidR="001907C0" w:rsidRDefault="00D726C9" w:rsidP="006219C4">
      <w:pPr>
        <w:widowControl/>
        <w:ind w:firstLine="720"/>
        <w:rPr>
          <w:rFonts w:ascii="Times New Roman" w:eastAsia="Melior" w:hAnsi="Times New Roman"/>
          <w:snapToGrid/>
          <w:szCs w:val="24"/>
        </w:rPr>
      </w:pPr>
      <w:r>
        <w:rPr>
          <w:rFonts w:ascii="Times New Roman" w:hAnsi="Times New Roman"/>
          <w:szCs w:val="24"/>
        </w:rPr>
        <w:t xml:space="preserve">As noted above, </w:t>
      </w:r>
      <w:r w:rsidR="0096424F">
        <w:rPr>
          <w:rFonts w:ascii="Times New Roman" w:eastAsia="Melior" w:hAnsi="Times New Roman"/>
          <w:snapToGrid/>
          <w:szCs w:val="24"/>
        </w:rPr>
        <w:t>the Agencies</w:t>
      </w:r>
      <w:r w:rsidR="0096424F" w:rsidRPr="000E3397">
        <w:rPr>
          <w:rFonts w:ascii="Times New Roman" w:eastAsia="Melior" w:hAnsi="Times New Roman"/>
          <w:snapToGrid/>
          <w:szCs w:val="24"/>
        </w:rPr>
        <w:t xml:space="preserve"> </w:t>
      </w:r>
      <w:r w:rsidR="0096424F" w:rsidRPr="000E3397">
        <w:rPr>
          <w:rFonts w:ascii="Times New Roman" w:hAnsi="Times New Roman"/>
          <w:szCs w:val="24"/>
        </w:rPr>
        <w:t>published a joint NRPM</w:t>
      </w:r>
      <w:r>
        <w:rPr>
          <w:rFonts w:ascii="Times New Roman" w:hAnsi="Times New Roman"/>
          <w:szCs w:val="24"/>
        </w:rPr>
        <w:t xml:space="preserve"> </w:t>
      </w:r>
      <w:r w:rsidR="0096424F" w:rsidRPr="000E3397">
        <w:rPr>
          <w:rFonts w:ascii="Times New Roman" w:hAnsi="Times New Roman"/>
          <w:szCs w:val="24"/>
        </w:rPr>
        <w:t>(</w:t>
      </w:r>
      <w:r w:rsidR="0096424F" w:rsidRPr="000E3397">
        <w:rPr>
          <w:rFonts w:ascii="Times New Roman" w:hAnsi="Times New Roman"/>
          <w:bCs/>
          <w:snapToGrid/>
          <w:szCs w:val="24"/>
        </w:rPr>
        <w:t>Resolution Plans and Credit Exposure Reports Required)</w:t>
      </w:r>
      <w:r w:rsidR="0096424F" w:rsidRPr="000E3397">
        <w:rPr>
          <w:rFonts w:ascii="Times New Roman" w:hAnsi="Times New Roman"/>
          <w:szCs w:val="24"/>
        </w:rPr>
        <w:t xml:space="preserve"> in the </w:t>
      </w:r>
      <w:r w:rsidR="0096424F" w:rsidRPr="000E3397">
        <w:rPr>
          <w:rFonts w:ascii="Times New Roman" w:hAnsi="Times New Roman"/>
          <w:i/>
          <w:szCs w:val="24"/>
        </w:rPr>
        <w:t>Federal Register</w:t>
      </w:r>
      <w:r w:rsidR="0096424F" w:rsidRPr="000E3397">
        <w:rPr>
          <w:rFonts w:ascii="Times New Roman" w:hAnsi="Times New Roman"/>
          <w:szCs w:val="24"/>
        </w:rPr>
        <w:t xml:space="preserve"> for public comment (76 FR 22648</w:t>
      </w:r>
      <w:r>
        <w:rPr>
          <w:rFonts w:ascii="Times New Roman" w:hAnsi="Times New Roman"/>
          <w:szCs w:val="24"/>
        </w:rPr>
        <w:t>)</w:t>
      </w:r>
      <w:r w:rsidRPr="00D726C9">
        <w:rPr>
          <w:rFonts w:ascii="Times New Roman" w:hAnsi="Times New Roman"/>
          <w:szCs w:val="24"/>
        </w:rPr>
        <w:t xml:space="preserve"> </w:t>
      </w:r>
      <w:r>
        <w:rPr>
          <w:rFonts w:ascii="Times New Roman" w:hAnsi="Times New Roman"/>
          <w:szCs w:val="24"/>
        </w:rPr>
        <w:t>on April 22, 2011</w:t>
      </w:r>
      <w:r w:rsidR="0096424F" w:rsidRPr="000E3397">
        <w:rPr>
          <w:rFonts w:ascii="Times New Roman" w:hAnsi="Times New Roman"/>
          <w:szCs w:val="24"/>
        </w:rPr>
        <w:t xml:space="preserve">.  </w:t>
      </w:r>
      <w:r w:rsidR="00ED46BB" w:rsidRPr="006219C4">
        <w:rPr>
          <w:rFonts w:ascii="Times New Roman" w:hAnsi="Times New Roman"/>
          <w:color w:val="000000"/>
          <w:szCs w:val="24"/>
        </w:rPr>
        <w:t xml:space="preserve">  </w:t>
      </w:r>
      <w:r w:rsidR="0096424F" w:rsidRPr="00E578EA">
        <w:rPr>
          <w:rFonts w:ascii="Times New Roman" w:eastAsia="Melior" w:hAnsi="Times New Roman"/>
          <w:snapToGrid/>
          <w:szCs w:val="24"/>
        </w:rPr>
        <w:t xml:space="preserve">The comment period for the NPRM expired June 10, 2011.  </w:t>
      </w:r>
      <w:r w:rsidR="001554AE" w:rsidRPr="00E578EA">
        <w:rPr>
          <w:rFonts w:ascii="Times New Roman" w:hAnsi="Times New Roman"/>
          <w:snapToGrid/>
          <w:szCs w:val="24"/>
        </w:rPr>
        <w:t xml:space="preserve">On </w:t>
      </w:r>
      <w:r w:rsidR="001554AE" w:rsidRPr="00E578EA">
        <w:rPr>
          <w:rFonts w:ascii="Times New Roman" w:hAnsi="Times New Roman"/>
          <w:szCs w:val="24"/>
        </w:rPr>
        <w:t xml:space="preserve">November 1, 2011, the </w:t>
      </w:r>
      <w:r w:rsidR="001554AE" w:rsidRPr="00E578EA">
        <w:rPr>
          <w:rFonts w:ascii="Times New Roman" w:eastAsia="Melior" w:hAnsi="Times New Roman"/>
          <w:snapToGrid/>
          <w:szCs w:val="24"/>
        </w:rPr>
        <w:t>Agencies</w:t>
      </w:r>
      <w:r w:rsidR="001554AE" w:rsidRPr="00E578EA">
        <w:rPr>
          <w:rFonts w:ascii="Times New Roman" w:hAnsi="Times New Roman"/>
          <w:szCs w:val="24"/>
        </w:rPr>
        <w:t xml:space="preserve"> published a notice of final </w:t>
      </w:r>
      <w:r w:rsidRPr="00E578EA">
        <w:rPr>
          <w:rFonts w:ascii="Times New Roman" w:hAnsi="Times New Roman"/>
          <w:szCs w:val="24"/>
        </w:rPr>
        <w:t>rule</w:t>
      </w:r>
      <w:r>
        <w:rPr>
          <w:rFonts w:ascii="Times New Roman" w:hAnsi="Times New Roman"/>
          <w:szCs w:val="24"/>
        </w:rPr>
        <w:t>-</w:t>
      </w:r>
      <w:r w:rsidRPr="00E578EA">
        <w:rPr>
          <w:rFonts w:ascii="Times New Roman" w:hAnsi="Times New Roman"/>
          <w:szCs w:val="24"/>
        </w:rPr>
        <w:t xml:space="preserve"> </w:t>
      </w:r>
      <w:r w:rsidR="001554AE" w:rsidRPr="00E578EA">
        <w:rPr>
          <w:rFonts w:ascii="Times New Roman" w:hAnsi="Times New Roman"/>
          <w:szCs w:val="24"/>
        </w:rPr>
        <w:t xml:space="preserve">in the </w:t>
      </w:r>
      <w:r w:rsidR="001554AE" w:rsidRPr="00E578EA">
        <w:rPr>
          <w:rFonts w:ascii="Times New Roman" w:hAnsi="Times New Roman"/>
          <w:i/>
          <w:szCs w:val="24"/>
        </w:rPr>
        <w:t>Federal Register</w:t>
      </w:r>
      <w:r w:rsidR="001554AE" w:rsidRPr="00E578EA">
        <w:rPr>
          <w:rFonts w:ascii="Times New Roman" w:hAnsi="Times New Roman"/>
          <w:szCs w:val="24"/>
        </w:rPr>
        <w:t xml:space="preserve"> (76 FR 67323)</w:t>
      </w:r>
      <w:r w:rsidR="001554AE">
        <w:rPr>
          <w:rFonts w:ascii="Times New Roman" w:hAnsi="Times New Roman"/>
          <w:szCs w:val="24"/>
        </w:rPr>
        <w:t xml:space="preserve">.  </w:t>
      </w:r>
    </w:p>
    <w:p w:rsidR="0096424F" w:rsidRPr="001907C0" w:rsidRDefault="0096424F" w:rsidP="006219C4">
      <w:pPr>
        <w:widowControl/>
        <w:ind w:firstLine="720"/>
        <w:rPr>
          <w:rFonts w:ascii="Times New Roman" w:hAnsi="Times New Roman"/>
          <w:color w:val="000000"/>
          <w:szCs w:val="24"/>
        </w:rPr>
      </w:pPr>
    </w:p>
    <w:p w:rsidR="00F40A85" w:rsidRDefault="0096424F" w:rsidP="00F40A85">
      <w:pPr>
        <w:widowControl/>
        <w:autoSpaceDE w:val="0"/>
        <w:autoSpaceDN w:val="0"/>
        <w:adjustRightInd w:val="0"/>
        <w:ind w:firstLine="720"/>
        <w:rPr>
          <w:rFonts w:ascii="Times New Roman" w:hAnsi="Times New Roman"/>
          <w:snapToGrid/>
          <w:szCs w:val="24"/>
        </w:rPr>
      </w:pPr>
      <w:r w:rsidRPr="00E578EA">
        <w:rPr>
          <w:rFonts w:ascii="Times New Roman" w:hAnsi="Times New Roman"/>
          <w:snapToGrid/>
          <w:szCs w:val="24"/>
        </w:rPr>
        <w:t xml:space="preserve">The </w:t>
      </w:r>
      <w:r w:rsidRPr="00E578EA">
        <w:rPr>
          <w:rFonts w:ascii="Times New Roman" w:eastAsia="Melior" w:hAnsi="Times New Roman"/>
          <w:snapToGrid/>
          <w:szCs w:val="24"/>
        </w:rPr>
        <w:t>Agencies</w:t>
      </w:r>
      <w:r w:rsidRPr="00E578EA">
        <w:rPr>
          <w:rFonts w:ascii="Times New Roman" w:hAnsi="Times New Roman"/>
          <w:snapToGrid/>
          <w:szCs w:val="24"/>
        </w:rPr>
        <w:t xml:space="preserve"> </w:t>
      </w:r>
      <w:r w:rsidRPr="00E578EA">
        <w:rPr>
          <w:rFonts w:ascii="Times New Roman" w:eastAsia="Melior" w:hAnsi="Times New Roman"/>
          <w:snapToGrid/>
          <w:szCs w:val="24"/>
        </w:rPr>
        <w:t>collectively received 22 comment letters from a range of individuals and banking organizations, as well as industry and trade groups representing banking, insurance, and the broader financial services industry; t</w:t>
      </w:r>
      <w:r w:rsidRPr="00E578EA">
        <w:rPr>
          <w:rFonts w:ascii="Times New Roman" w:hAnsi="Times New Roman"/>
          <w:snapToGrid/>
          <w:szCs w:val="24"/>
        </w:rPr>
        <w:t xml:space="preserve">hree comments specifically addressed the paperwork burden.  </w:t>
      </w:r>
    </w:p>
    <w:p w:rsidR="00F40A85" w:rsidRDefault="00F40A85" w:rsidP="00F40A85">
      <w:pPr>
        <w:widowControl/>
        <w:autoSpaceDE w:val="0"/>
        <w:autoSpaceDN w:val="0"/>
        <w:adjustRightInd w:val="0"/>
        <w:ind w:firstLine="720"/>
        <w:rPr>
          <w:rFonts w:ascii="Times New Roman" w:hAnsi="Times New Roman"/>
          <w:snapToGrid/>
          <w:szCs w:val="24"/>
        </w:rPr>
      </w:pPr>
    </w:p>
    <w:p w:rsidR="00F0171E" w:rsidRDefault="00F40A85" w:rsidP="00F40A85">
      <w:pPr>
        <w:widowControl/>
        <w:autoSpaceDE w:val="0"/>
        <w:autoSpaceDN w:val="0"/>
        <w:adjustRightInd w:val="0"/>
        <w:ind w:firstLine="720"/>
        <w:rPr>
          <w:rFonts w:ascii="Times New Roman" w:eastAsia="Melior" w:hAnsi="Times New Roman"/>
          <w:snapToGrid/>
          <w:szCs w:val="24"/>
        </w:rPr>
      </w:pPr>
      <w:r w:rsidRPr="00F40A85">
        <w:rPr>
          <w:rFonts w:ascii="Times New Roman" w:eastAsia="Melior" w:hAnsi="Times New Roman"/>
          <w:snapToGrid/>
          <w:szCs w:val="24"/>
        </w:rPr>
        <w:t>Two commenters expressed concern</w:t>
      </w:r>
      <w:r>
        <w:rPr>
          <w:rFonts w:ascii="Times New Roman" w:eastAsia="Melior" w:hAnsi="Times New Roman"/>
          <w:snapToGrid/>
          <w:szCs w:val="24"/>
        </w:rPr>
        <w:t xml:space="preserve"> </w:t>
      </w:r>
      <w:r w:rsidRPr="00F40A85">
        <w:rPr>
          <w:rFonts w:ascii="Times New Roman" w:eastAsia="Melior" w:hAnsi="Times New Roman"/>
          <w:snapToGrid/>
          <w:szCs w:val="24"/>
        </w:rPr>
        <w:t xml:space="preserve">about the </w:t>
      </w:r>
      <w:r w:rsidR="00617F9D">
        <w:rPr>
          <w:rFonts w:ascii="Times New Roman" w:eastAsia="Melior" w:hAnsi="Times New Roman"/>
          <w:snapToGrid/>
          <w:szCs w:val="24"/>
        </w:rPr>
        <w:t>PRA</w:t>
      </w:r>
      <w:r>
        <w:rPr>
          <w:rFonts w:ascii="Times New Roman" w:eastAsia="Melior" w:hAnsi="Times New Roman"/>
          <w:snapToGrid/>
          <w:szCs w:val="24"/>
        </w:rPr>
        <w:t xml:space="preserve"> </w:t>
      </w:r>
      <w:r w:rsidRPr="00F40A85">
        <w:rPr>
          <w:rFonts w:ascii="Times New Roman" w:eastAsia="Melior" w:hAnsi="Times New Roman"/>
          <w:snapToGrid/>
          <w:szCs w:val="24"/>
        </w:rPr>
        <w:t>analysis published as part of the</w:t>
      </w:r>
      <w:r>
        <w:rPr>
          <w:rFonts w:ascii="Times New Roman" w:eastAsia="Melior" w:hAnsi="Times New Roman"/>
          <w:snapToGrid/>
          <w:szCs w:val="24"/>
        </w:rPr>
        <w:t xml:space="preserve"> NPRM</w:t>
      </w:r>
      <w:r w:rsidRPr="00F40A85">
        <w:rPr>
          <w:rFonts w:ascii="Times New Roman" w:eastAsia="Melior" w:hAnsi="Times New Roman"/>
          <w:snapToGrid/>
          <w:szCs w:val="24"/>
        </w:rPr>
        <w:t>, and noted that the Board</w:t>
      </w:r>
      <w:r>
        <w:rPr>
          <w:rFonts w:ascii="Times New Roman" w:eastAsia="Melior" w:hAnsi="Times New Roman"/>
          <w:snapToGrid/>
          <w:szCs w:val="24"/>
        </w:rPr>
        <w:t xml:space="preserve"> </w:t>
      </w:r>
      <w:r w:rsidRPr="00F40A85">
        <w:rPr>
          <w:rFonts w:ascii="Times New Roman" w:eastAsia="Melior" w:hAnsi="Times New Roman"/>
          <w:snapToGrid/>
          <w:szCs w:val="24"/>
        </w:rPr>
        <w:t>and Corporation omitted nonbank</w:t>
      </w:r>
      <w:r>
        <w:rPr>
          <w:rFonts w:ascii="Times New Roman" w:eastAsia="Melior" w:hAnsi="Times New Roman"/>
          <w:snapToGrid/>
          <w:szCs w:val="24"/>
        </w:rPr>
        <w:t xml:space="preserve"> </w:t>
      </w:r>
      <w:r w:rsidRPr="00F40A85">
        <w:rPr>
          <w:rFonts w:ascii="Times New Roman" w:eastAsia="Melior" w:hAnsi="Times New Roman"/>
          <w:snapToGrid/>
          <w:szCs w:val="24"/>
        </w:rPr>
        <w:t>financial companies designated by the</w:t>
      </w:r>
      <w:r>
        <w:rPr>
          <w:rFonts w:ascii="Times New Roman" w:eastAsia="Melior" w:hAnsi="Times New Roman"/>
          <w:snapToGrid/>
          <w:szCs w:val="24"/>
        </w:rPr>
        <w:t xml:space="preserve"> </w:t>
      </w:r>
      <w:r w:rsidRPr="00F40A85">
        <w:rPr>
          <w:rFonts w:ascii="Times New Roman" w:eastAsia="Melior" w:hAnsi="Times New Roman"/>
          <w:snapToGrid/>
          <w:szCs w:val="24"/>
        </w:rPr>
        <w:t>Council</w:t>
      </w:r>
      <w:r>
        <w:rPr>
          <w:rFonts w:ascii="Times New Roman" w:eastAsia="Melior" w:hAnsi="Times New Roman"/>
          <w:snapToGrid/>
          <w:szCs w:val="24"/>
        </w:rPr>
        <w:t>,</w:t>
      </w:r>
      <w:r w:rsidRPr="00F40A85">
        <w:rPr>
          <w:rFonts w:ascii="Times New Roman" w:eastAsia="Melior" w:hAnsi="Times New Roman"/>
          <w:snapToGrid/>
          <w:szCs w:val="24"/>
        </w:rPr>
        <w:t xml:space="preserve"> for enhanced supervision by the</w:t>
      </w:r>
      <w:r>
        <w:rPr>
          <w:rFonts w:ascii="Times New Roman" w:eastAsia="Melior" w:hAnsi="Times New Roman"/>
          <w:snapToGrid/>
          <w:szCs w:val="24"/>
        </w:rPr>
        <w:t xml:space="preserve"> </w:t>
      </w:r>
      <w:r w:rsidRPr="00F40A85">
        <w:rPr>
          <w:rFonts w:ascii="Times New Roman" w:eastAsia="Melior" w:hAnsi="Times New Roman"/>
          <w:snapToGrid/>
          <w:szCs w:val="24"/>
        </w:rPr>
        <w:t>Board from that analysis.</w:t>
      </w:r>
      <w:r>
        <w:rPr>
          <w:rFonts w:ascii="Times New Roman" w:eastAsia="Melior" w:hAnsi="Times New Roman"/>
          <w:snapToGrid/>
          <w:szCs w:val="24"/>
        </w:rPr>
        <w:t xml:space="preserve">  </w:t>
      </w:r>
      <w:r w:rsidRPr="00F40A85">
        <w:rPr>
          <w:rFonts w:ascii="Times New Roman" w:eastAsia="Melior" w:hAnsi="Times New Roman"/>
          <w:snapToGrid/>
          <w:szCs w:val="24"/>
        </w:rPr>
        <w:t>While the final</w:t>
      </w:r>
      <w:r>
        <w:rPr>
          <w:rFonts w:ascii="Times New Roman" w:eastAsia="Melior" w:hAnsi="Times New Roman"/>
          <w:snapToGrid/>
          <w:szCs w:val="24"/>
        </w:rPr>
        <w:t xml:space="preserve"> </w:t>
      </w:r>
      <w:r w:rsidRPr="00F40A85">
        <w:rPr>
          <w:rFonts w:ascii="Times New Roman" w:eastAsia="Melior" w:hAnsi="Times New Roman"/>
          <w:snapToGrid/>
          <w:szCs w:val="24"/>
        </w:rPr>
        <w:t>rule applies to any nonbank financial</w:t>
      </w:r>
      <w:r>
        <w:rPr>
          <w:rFonts w:ascii="Times New Roman" w:eastAsia="Melior" w:hAnsi="Times New Roman"/>
          <w:snapToGrid/>
          <w:szCs w:val="24"/>
        </w:rPr>
        <w:t xml:space="preserve"> </w:t>
      </w:r>
      <w:r w:rsidRPr="00F40A85">
        <w:rPr>
          <w:rFonts w:ascii="Times New Roman" w:eastAsia="Melior" w:hAnsi="Times New Roman"/>
          <w:snapToGrid/>
          <w:szCs w:val="24"/>
        </w:rPr>
        <w:t>company supervised by the Board, no</w:t>
      </w:r>
      <w:r>
        <w:rPr>
          <w:rFonts w:ascii="Times New Roman" w:eastAsia="Melior" w:hAnsi="Times New Roman"/>
          <w:snapToGrid/>
          <w:szCs w:val="24"/>
        </w:rPr>
        <w:t xml:space="preserve"> </w:t>
      </w:r>
      <w:r w:rsidRPr="00F40A85">
        <w:rPr>
          <w:rFonts w:ascii="Times New Roman" w:eastAsia="Melior" w:hAnsi="Times New Roman"/>
          <w:snapToGrid/>
          <w:szCs w:val="24"/>
        </w:rPr>
        <w:t>such covered company exists because</w:t>
      </w:r>
      <w:r>
        <w:rPr>
          <w:rFonts w:ascii="Times New Roman" w:eastAsia="Melior" w:hAnsi="Times New Roman"/>
          <w:snapToGrid/>
          <w:szCs w:val="24"/>
        </w:rPr>
        <w:t xml:space="preserve"> </w:t>
      </w:r>
      <w:r w:rsidRPr="00F40A85">
        <w:rPr>
          <w:rFonts w:ascii="Times New Roman" w:eastAsia="Melior" w:hAnsi="Times New Roman"/>
          <w:snapToGrid/>
          <w:szCs w:val="24"/>
        </w:rPr>
        <w:t>the Council has, to date, not designated</w:t>
      </w:r>
      <w:r>
        <w:rPr>
          <w:rFonts w:ascii="Times New Roman" w:eastAsia="Melior" w:hAnsi="Times New Roman"/>
          <w:snapToGrid/>
          <w:szCs w:val="24"/>
        </w:rPr>
        <w:t xml:space="preserve"> </w:t>
      </w:r>
      <w:r w:rsidRPr="00F40A85">
        <w:rPr>
          <w:rFonts w:ascii="Times New Roman" w:eastAsia="Melior" w:hAnsi="Times New Roman"/>
          <w:snapToGrid/>
          <w:szCs w:val="24"/>
        </w:rPr>
        <w:t>any such company for enhanced</w:t>
      </w:r>
      <w:r>
        <w:rPr>
          <w:rFonts w:ascii="Times New Roman" w:eastAsia="Melior" w:hAnsi="Times New Roman"/>
          <w:snapToGrid/>
          <w:szCs w:val="24"/>
        </w:rPr>
        <w:t xml:space="preserve"> </w:t>
      </w:r>
      <w:r w:rsidRPr="00F40A85">
        <w:rPr>
          <w:rFonts w:ascii="Times New Roman" w:eastAsia="Melior" w:hAnsi="Times New Roman"/>
          <w:snapToGrid/>
          <w:szCs w:val="24"/>
        </w:rPr>
        <w:t>supervision by the Board.</w:t>
      </w:r>
      <w:r w:rsidR="00F0171E">
        <w:rPr>
          <w:rFonts w:ascii="Times New Roman" w:eastAsia="Melior" w:hAnsi="Times New Roman"/>
          <w:snapToGrid/>
          <w:szCs w:val="24"/>
        </w:rPr>
        <w:t xml:space="preserve">  </w:t>
      </w:r>
      <w:r w:rsidRPr="00F40A85">
        <w:rPr>
          <w:rFonts w:ascii="Times New Roman" w:eastAsia="Melior" w:hAnsi="Times New Roman"/>
          <w:snapToGrid/>
          <w:szCs w:val="24"/>
        </w:rPr>
        <w:t>However, the</w:t>
      </w:r>
      <w:r>
        <w:rPr>
          <w:rFonts w:ascii="Times New Roman" w:eastAsia="Melior" w:hAnsi="Times New Roman"/>
          <w:snapToGrid/>
          <w:szCs w:val="24"/>
        </w:rPr>
        <w:t xml:space="preserve"> </w:t>
      </w:r>
      <w:r w:rsidRPr="00F40A85">
        <w:rPr>
          <w:rFonts w:ascii="Times New Roman" w:eastAsia="Melior" w:hAnsi="Times New Roman"/>
          <w:snapToGrid/>
          <w:szCs w:val="24"/>
        </w:rPr>
        <w:t>Board expects that the amount of</w:t>
      </w:r>
      <w:r>
        <w:rPr>
          <w:rFonts w:ascii="Times New Roman" w:eastAsia="Melior" w:hAnsi="Times New Roman"/>
          <w:snapToGrid/>
          <w:szCs w:val="24"/>
        </w:rPr>
        <w:t xml:space="preserve"> </w:t>
      </w:r>
      <w:r w:rsidRPr="00F40A85">
        <w:rPr>
          <w:rFonts w:ascii="Times New Roman" w:eastAsia="Melior" w:hAnsi="Times New Roman"/>
          <w:snapToGrid/>
          <w:szCs w:val="24"/>
        </w:rPr>
        <w:t>burden the final rule would impose on</w:t>
      </w:r>
      <w:r>
        <w:rPr>
          <w:rFonts w:ascii="Times New Roman" w:eastAsia="Melior" w:hAnsi="Times New Roman"/>
          <w:snapToGrid/>
          <w:szCs w:val="24"/>
        </w:rPr>
        <w:t xml:space="preserve"> </w:t>
      </w:r>
      <w:r w:rsidRPr="00F40A85">
        <w:rPr>
          <w:rFonts w:ascii="Times New Roman" w:eastAsia="Melior" w:hAnsi="Times New Roman"/>
          <w:snapToGrid/>
          <w:szCs w:val="24"/>
        </w:rPr>
        <w:t>a nonbank financial company</w:t>
      </w:r>
      <w:r>
        <w:rPr>
          <w:rFonts w:ascii="Times New Roman" w:eastAsia="Melior" w:hAnsi="Times New Roman"/>
          <w:snapToGrid/>
          <w:szCs w:val="24"/>
        </w:rPr>
        <w:t xml:space="preserve"> </w:t>
      </w:r>
      <w:r w:rsidRPr="00F40A85">
        <w:rPr>
          <w:rFonts w:ascii="Times New Roman" w:eastAsia="Melior" w:hAnsi="Times New Roman"/>
          <w:snapToGrid/>
          <w:szCs w:val="24"/>
        </w:rPr>
        <w:t>designated by the Council to be similar</w:t>
      </w:r>
      <w:r>
        <w:rPr>
          <w:rFonts w:ascii="Times New Roman" w:eastAsia="Melior" w:hAnsi="Times New Roman"/>
          <w:snapToGrid/>
          <w:szCs w:val="24"/>
        </w:rPr>
        <w:t xml:space="preserve"> </w:t>
      </w:r>
      <w:r w:rsidRPr="00F40A85">
        <w:rPr>
          <w:rFonts w:ascii="Times New Roman" w:eastAsia="Melior" w:hAnsi="Times New Roman"/>
          <w:snapToGrid/>
          <w:szCs w:val="24"/>
        </w:rPr>
        <w:t>to the amount of burden estimated for</w:t>
      </w:r>
      <w:r>
        <w:rPr>
          <w:rFonts w:ascii="Times New Roman" w:eastAsia="Melior" w:hAnsi="Times New Roman"/>
          <w:snapToGrid/>
          <w:szCs w:val="24"/>
        </w:rPr>
        <w:t xml:space="preserve"> </w:t>
      </w:r>
      <w:r w:rsidRPr="00F40A85">
        <w:rPr>
          <w:rFonts w:ascii="Times New Roman" w:eastAsia="Melior" w:hAnsi="Times New Roman"/>
          <w:snapToGrid/>
          <w:szCs w:val="24"/>
        </w:rPr>
        <w:t>other covered companies.</w:t>
      </w:r>
      <w:r>
        <w:rPr>
          <w:rFonts w:ascii="Times New Roman" w:eastAsia="Melior" w:hAnsi="Times New Roman"/>
          <w:snapToGrid/>
          <w:szCs w:val="24"/>
        </w:rPr>
        <w:t xml:space="preserve"> </w:t>
      </w:r>
      <w:r w:rsidR="00F0171E">
        <w:rPr>
          <w:rFonts w:ascii="Times New Roman" w:eastAsia="Melior" w:hAnsi="Times New Roman"/>
          <w:snapToGrid/>
          <w:szCs w:val="24"/>
        </w:rPr>
        <w:t xml:space="preserve"> </w:t>
      </w:r>
    </w:p>
    <w:p w:rsidR="00F0171E" w:rsidRDefault="00F0171E" w:rsidP="00F40A85">
      <w:pPr>
        <w:widowControl/>
        <w:autoSpaceDE w:val="0"/>
        <w:autoSpaceDN w:val="0"/>
        <w:adjustRightInd w:val="0"/>
        <w:ind w:firstLine="720"/>
        <w:rPr>
          <w:rFonts w:ascii="Times New Roman" w:eastAsia="Melior" w:hAnsi="Times New Roman"/>
          <w:snapToGrid/>
          <w:szCs w:val="24"/>
        </w:rPr>
      </w:pPr>
    </w:p>
    <w:p w:rsidR="00F40A85" w:rsidRPr="00F40A85" w:rsidRDefault="00F40A85" w:rsidP="00F40A85">
      <w:pPr>
        <w:widowControl/>
        <w:autoSpaceDE w:val="0"/>
        <w:autoSpaceDN w:val="0"/>
        <w:adjustRightInd w:val="0"/>
        <w:ind w:firstLine="720"/>
        <w:rPr>
          <w:rFonts w:ascii="Times New Roman" w:eastAsia="Melior" w:hAnsi="Times New Roman"/>
          <w:snapToGrid/>
          <w:szCs w:val="24"/>
        </w:rPr>
      </w:pPr>
      <w:r w:rsidRPr="00F40A85">
        <w:rPr>
          <w:rFonts w:ascii="Times New Roman" w:eastAsia="Melior" w:hAnsi="Times New Roman"/>
          <w:snapToGrid/>
          <w:szCs w:val="24"/>
        </w:rPr>
        <w:t>One commenter stated that the cost</w:t>
      </w:r>
      <w:r w:rsidR="00617F9D">
        <w:rPr>
          <w:rFonts w:ascii="Times New Roman" w:eastAsia="Melior" w:hAnsi="Times New Roman"/>
          <w:snapToGrid/>
          <w:szCs w:val="24"/>
        </w:rPr>
        <w:t>-</w:t>
      </w:r>
      <w:r w:rsidRPr="00F40A85">
        <w:rPr>
          <w:rFonts w:ascii="Times New Roman" w:eastAsia="Melior" w:hAnsi="Times New Roman"/>
          <w:snapToGrid/>
          <w:szCs w:val="24"/>
        </w:rPr>
        <w:t>benefit</w:t>
      </w:r>
      <w:r>
        <w:rPr>
          <w:rFonts w:ascii="Times New Roman" w:eastAsia="Melior" w:hAnsi="Times New Roman"/>
          <w:snapToGrid/>
          <w:szCs w:val="24"/>
        </w:rPr>
        <w:t xml:space="preserve"> </w:t>
      </w:r>
      <w:r w:rsidRPr="00F40A85">
        <w:rPr>
          <w:rFonts w:ascii="Times New Roman" w:eastAsia="Melior" w:hAnsi="Times New Roman"/>
          <w:snapToGrid/>
          <w:szCs w:val="24"/>
        </w:rPr>
        <w:t>analysis of the proposed rule</w:t>
      </w:r>
      <w:r>
        <w:rPr>
          <w:rFonts w:ascii="Times New Roman" w:eastAsia="Melior" w:hAnsi="Times New Roman"/>
          <w:snapToGrid/>
          <w:szCs w:val="24"/>
        </w:rPr>
        <w:t xml:space="preserve"> </w:t>
      </w:r>
      <w:r w:rsidRPr="00F40A85">
        <w:rPr>
          <w:rFonts w:ascii="Times New Roman" w:eastAsia="Melior" w:hAnsi="Times New Roman"/>
          <w:snapToGrid/>
          <w:szCs w:val="24"/>
        </w:rPr>
        <w:t>significantly underestimated the time,</w:t>
      </w:r>
      <w:r>
        <w:rPr>
          <w:rFonts w:ascii="Times New Roman" w:eastAsia="Melior" w:hAnsi="Times New Roman"/>
          <w:snapToGrid/>
          <w:szCs w:val="24"/>
        </w:rPr>
        <w:t xml:space="preserve"> </w:t>
      </w:r>
      <w:r w:rsidRPr="00F40A85">
        <w:rPr>
          <w:rFonts w:ascii="Times New Roman" w:eastAsia="Melior" w:hAnsi="Times New Roman"/>
          <w:snapToGrid/>
          <w:szCs w:val="24"/>
        </w:rPr>
        <w:t>effort, and expense associated with</w:t>
      </w:r>
      <w:r>
        <w:rPr>
          <w:rFonts w:ascii="Times New Roman" w:eastAsia="Melior" w:hAnsi="Times New Roman"/>
          <w:snapToGrid/>
          <w:szCs w:val="24"/>
        </w:rPr>
        <w:t xml:space="preserve"> </w:t>
      </w:r>
      <w:r w:rsidRPr="00F40A85">
        <w:rPr>
          <w:rFonts w:ascii="Times New Roman" w:eastAsia="Melior" w:hAnsi="Times New Roman"/>
          <w:snapToGrid/>
          <w:szCs w:val="24"/>
        </w:rPr>
        <w:t xml:space="preserve">compliance. </w:t>
      </w:r>
      <w:r w:rsidR="00F0171E">
        <w:rPr>
          <w:rFonts w:ascii="Times New Roman" w:eastAsia="Melior" w:hAnsi="Times New Roman"/>
          <w:snapToGrid/>
          <w:szCs w:val="24"/>
        </w:rPr>
        <w:t xml:space="preserve"> </w:t>
      </w:r>
      <w:r w:rsidRPr="00F40A85">
        <w:rPr>
          <w:rFonts w:ascii="Times New Roman" w:eastAsia="Melior" w:hAnsi="Times New Roman"/>
          <w:snapToGrid/>
          <w:szCs w:val="24"/>
        </w:rPr>
        <w:t>The Board note</w:t>
      </w:r>
      <w:r w:rsidR="00F0171E">
        <w:rPr>
          <w:rFonts w:ascii="Times New Roman" w:eastAsia="Melior" w:hAnsi="Times New Roman"/>
          <w:snapToGrid/>
          <w:szCs w:val="24"/>
        </w:rPr>
        <w:t>d</w:t>
      </w:r>
      <w:r w:rsidRPr="00F40A85">
        <w:rPr>
          <w:rFonts w:ascii="Times New Roman" w:eastAsia="Melior" w:hAnsi="Times New Roman"/>
          <w:snapToGrid/>
          <w:szCs w:val="24"/>
        </w:rPr>
        <w:t xml:space="preserve"> that</w:t>
      </w:r>
      <w:r>
        <w:rPr>
          <w:rFonts w:ascii="Times New Roman" w:eastAsia="Melior" w:hAnsi="Times New Roman"/>
          <w:snapToGrid/>
          <w:szCs w:val="24"/>
        </w:rPr>
        <w:t xml:space="preserve"> </w:t>
      </w:r>
      <w:r w:rsidRPr="00F40A85">
        <w:rPr>
          <w:rFonts w:ascii="Times New Roman" w:eastAsia="Melior" w:hAnsi="Times New Roman"/>
          <w:snapToGrid/>
          <w:szCs w:val="24"/>
        </w:rPr>
        <w:t>several of the changes described in the</w:t>
      </w:r>
      <w:r>
        <w:rPr>
          <w:rFonts w:ascii="Times New Roman" w:eastAsia="Melior" w:hAnsi="Times New Roman"/>
          <w:snapToGrid/>
          <w:szCs w:val="24"/>
        </w:rPr>
        <w:t xml:space="preserve"> </w:t>
      </w:r>
      <w:r w:rsidRPr="00F40A85">
        <w:rPr>
          <w:rFonts w:ascii="Times New Roman" w:eastAsia="Melior" w:hAnsi="Times New Roman"/>
          <w:snapToGrid/>
          <w:szCs w:val="24"/>
        </w:rPr>
        <w:t xml:space="preserve">Supplementary Information </w:t>
      </w:r>
      <w:r w:rsidR="00617F9D">
        <w:rPr>
          <w:rFonts w:ascii="Times New Roman" w:eastAsia="Melior" w:hAnsi="Times New Roman"/>
          <w:snapToGrid/>
          <w:szCs w:val="24"/>
        </w:rPr>
        <w:t xml:space="preserve">section of the final rule </w:t>
      </w:r>
      <w:r w:rsidRPr="00F40A85">
        <w:rPr>
          <w:rFonts w:ascii="Times New Roman" w:eastAsia="Melior" w:hAnsi="Times New Roman"/>
          <w:snapToGrid/>
          <w:szCs w:val="24"/>
        </w:rPr>
        <w:t>reduce</w:t>
      </w:r>
      <w:r w:rsidR="00F0171E">
        <w:rPr>
          <w:rFonts w:ascii="Times New Roman" w:eastAsia="Melior" w:hAnsi="Times New Roman"/>
          <w:snapToGrid/>
          <w:szCs w:val="24"/>
        </w:rPr>
        <w:t>d</w:t>
      </w:r>
      <w:r w:rsidRPr="00F40A85">
        <w:rPr>
          <w:rFonts w:ascii="Times New Roman" w:eastAsia="Melior" w:hAnsi="Times New Roman"/>
          <w:snapToGrid/>
          <w:szCs w:val="24"/>
        </w:rPr>
        <w:t xml:space="preserve"> the</w:t>
      </w:r>
      <w:r>
        <w:rPr>
          <w:rFonts w:ascii="Times New Roman" w:eastAsia="Melior" w:hAnsi="Times New Roman"/>
          <w:snapToGrid/>
          <w:szCs w:val="24"/>
        </w:rPr>
        <w:t xml:space="preserve"> </w:t>
      </w:r>
      <w:r w:rsidRPr="00F40A85">
        <w:rPr>
          <w:rFonts w:ascii="Times New Roman" w:eastAsia="Melior" w:hAnsi="Times New Roman"/>
          <w:snapToGrid/>
          <w:szCs w:val="24"/>
        </w:rPr>
        <w:t>burden,</w:t>
      </w:r>
      <w:r>
        <w:rPr>
          <w:rFonts w:ascii="Times New Roman" w:eastAsia="Melior" w:hAnsi="Times New Roman"/>
          <w:snapToGrid/>
          <w:szCs w:val="24"/>
        </w:rPr>
        <w:t xml:space="preserve"> </w:t>
      </w:r>
      <w:r w:rsidRPr="00F40A85">
        <w:rPr>
          <w:rFonts w:ascii="Times New Roman" w:eastAsia="Melior" w:hAnsi="Times New Roman"/>
          <w:snapToGrid/>
          <w:szCs w:val="24"/>
        </w:rPr>
        <w:t>particularly for smaller, less complex</w:t>
      </w:r>
      <w:r>
        <w:rPr>
          <w:rFonts w:ascii="Times New Roman" w:eastAsia="Melior" w:hAnsi="Times New Roman"/>
          <w:snapToGrid/>
          <w:szCs w:val="24"/>
        </w:rPr>
        <w:t xml:space="preserve"> </w:t>
      </w:r>
      <w:r w:rsidRPr="00F40A85">
        <w:rPr>
          <w:rFonts w:ascii="Times New Roman" w:eastAsia="Melior" w:hAnsi="Times New Roman"/>
          <w:snapToGrid/>
          <w:szCs w:val="24"/>
        </w:rPr>
        <w:t>covered companies. Specifically, the</w:t>
      </w:r>
      <w:r>
        <w:rPr>
          <w:rFonts w:ascii="Times New Roman" w:eastAsia="Melior" w:hAnsi="Times New Roman"/>
          <w:snapToGrid/>
          <w:szCs w:val="24"/>
        </w:rPr>
        <w:t xml:space="preserve"> </w:t>
      </w:r>
      <w:r w:rsidRPr="00F40A85">
        <w:rPr>
          <w:rFonts w:ascii="Times New Roman" w:eastAsia="Melior" w:hAnsi="Times New Roman"/>
          <w:snapToGrid/>
          <w:szCs w:val="24"/>
        </w:rPr>
        <w:t>final rule streamline</w:t>
      </w:r>
      <w:r w:rsidR="00F0171E">
        <w:rPr>
          <w:rFonts w:ascii="Times New Roman" w:eastAsia="Melior" w:hAnsi="Times New Roman"/>
          <w:snapToGrid/>
          <w:szCs w:val="24"/>
        </w:rPr>
        <w:t>d</w:t>
      </w:r>
      <w:r w:rsidRPr="00F40A85">
        <w:rPr>
          <w:rFonts w:ascii="Times New Roman" w:eastAsia="Melior" w:hAnsi="Times New Roman"/>
          <w:snapToGrid/>
          <w:szCs w:val="24"/>
        </w:rPr>
        <w:t xml:space="preserve"> the resolution</w:t>
      </w:r>
      <w:r>
        <w:rPr>
          <w:rFonts w:ascii="Times New Roman" w:eastAsia="Melior" w:hAnsi="Times New Roman"/>
          <w:snapToGrid/>
          <w:szCs w:val="24"/>
        </w:rPr>
        <w:t xml:space="preserve"> </w:t>
      </w:r>
      <w:r w:rsidRPr="00F40A85">
        <w:rPr>
          <w:rFonts w:ascii="Times New Roman" w:eastAsia="Melior" w:hAnsi="Times New Roman"/>
          <w:snapToGrid/>
          <w:szCs w:val="24"/>
        </w:rPr>
        <w:t>plan requirement applicable to covered</w:t>
      </w:r>
      <w:r>
        <w:rPr>
          <w:rFonts w:ascii="Times New Roman" w:eastAsia="Melior" w:hAnsi="Times New Roman"/>
          <w:snapToGrid/>
          <w:szCs w:val="24"/>
        </w:rPr>
        <w:t xml:space="preserve"> </w:t>
      </w:r>
      <w:r w:rsidRPr="00F40A85">
        <w:rPr>
          <w:rFonts w:ascii="Times New Roman" w:eastAsia="Melior" w:hAnsi="Times New Roman"/>
          <w:snapToGrid/>
          <w:szCs w:val="24"/>
        </w:rPr>
        <w:t>companies that operate predominately</w:t>
      </w:r>
      <w:r>
        <w:rPr>
          <w:rFonts w:ascii="Times New Roman" w:eastAsia="Melior" w:hAnsi="Times New Roman"/>
          <w:snapToGrid/>
          <w:szCs w:val="24"/>
        </w:rPr>
        <w:t xml:space="preserve"> </w:t>
      </w:r>
      <w:r w:rsidRPr="00F40A85">
        <w:rPr>
          <w:rFonts w:ascii="Times New Roman" w:eastAsia="Melior" w:hAnsi="Times New Roman"/>
          <w:snapToGrid/>
          <w:szCs w:val="24"/>
        </w:rPr>
        <w:t>through one or more insured depository</w:t>
      </w:r>
      <w:r>
        <w:rPr>
          <w:rFonts w:ascii="Times New Roman" w:eastAsia="Melior" w:hAnsi="Times New Roman"/>
          <w:snapToGrid/>
          <w:szCs w:val="24"/>
        </w:rPr>
        <w:t xml:space="preserve"> </w:t>
      </w:r>
      <w:r w:rsidRPr="00F40A85">
        <w:rPr>
          <w:rFonts w:ascii="Times New Roman" w:eastAsia="Melior" w:hAnsi="Times New Roman"/>
          <w:snapToGrid/>
          <w:szCs w:val="24"/>
        </w:rPr>
        <w:t xml:space="preserve">institutions (or, in the case of </w:t>
      </w:r>
      <w:r>
        <w:rPr>
          <w:rFonts w:ascii="Times New Roman" w:eastAsia="Melior" w:hAnsi="Times New Roman"/>
          <w:snapToGrid/>
          <w:szCs w:val="24"/>
        </w:rPr>
        <w:t>f</w:t>
      </w:r>
      <w:r w:rsidRPr="00F40A85">
        <w:rPr>
          <w:rFonts w:ascii="Times New Roman" w:eastAsia="Melior" w:hAnsi="Times New Roman"/>
          <w:snapToGrid/>
          <w:szCs w:val="24"/>
        </w:rPr>
        <w:t>oreign</w:t>
      </w:r>
      <w:r>
        <w:rPr>
          <w:rFonts w:ascii="Times New Roman" w:eastAsia="Melior" w:hAnsi="Times New Roman"/>
          <w:snapToGrid/>
          <w:szCs w:val="24"/>
        </w:rPr>
        <w:t xml:space="preserve"> </w:t>
      </w:r>
      <w:r w:rsidRPr="00F40A85">
        <w:rPr>
          <w:rFonts w:ascii="Times New Roman" w:eastAsia="Melior" w:hAnsi="Times New Roman"/>
          <w:snapToGrid/>
          <w:szCs w:val="24"/>
        </w:rPr>
        <w:t>banking organizations subject to the</w:t>
      </w:r>
      <w:r>
        <w:rPr>
          <w:rFonts w:ascii="Times New Roman" w:eastAsia="Melior" w:hAnsi="Times New Roman"/>
          <w:snapToGrid/>
          <w:szCs w:val="24"/>
        </w:rPr>
        <w:t xml:space="preserve"> </w:t>
      </w:r>
      <w:r w:rsidRPr="00F40A85">
        <w:rPr>
          <w:rFonts w:ascii="Times New Roman" w:eastAsia="Melior" w:hAnsi="Times New Roman"/>
          <w:snapToGrid/>
          <w:szCs w:val="24"/>
        </w:rPr>
        <w:t>rule, U.S. insured depository</w:t>
      </w:r>
      <w:r>
        <w:rPr>
          <w:rFonts w:ascii="Times New Roman" w:eastAsia="Melior" w:hAnsi="Times New Roman"/>
          <w:snapToGrid/>
          <w:szCs w:val="24"/>
        </w:rPr>
        <w:t xml:space="preserve"> </w:t>
      </w:r>
      <w:r w:rsidRPr="00F40A85">
        <w:rPr>
          <w:rFonts w:ascii="Times New Roman" w:eastAsia="Melior" w:hAnsi="Times New Roman"/>
          <w:snapToGrid/>
          <w:szCs w:val="24"/>
        </w:rPr>
        <w:t>institutions, branches, and agencies).</w:t>
      </w:r>
      <w:r>
        <w:rPr>
          <w:rFonts w:ascii="Times New Roman" w:eastAsia="Melior" w:hAnsi="Times New Roman"/>
          <w:snapToGrid/>
          <w:szCs w:val="24"/>
        </w:rPr>
        <w:t xml:space="preserve">  </w:t>
      </w:r>
      <w:r w:rsidRPr="00F40A85">
        <w:rPr>
          <w:rFonts w:ascii="Times New Roman" w:eastAsia="Melior" w:hAnsi="Times New Roman"/>
          <w:snapToGrid/>
          <w:szCs w:val="24"/>
        </w:rPr>
        <w:t>The information required under a</w:t>
      </w:r>
      <w:r>
        <w:rPr>
          <w:rFonts w:ascii="Times New Roman" w:eastAsia="Melior" w:hAnsi="Times New Roman"/>
          <w:snapToGrid/>
          <w:szCs w:val="24"/>
        </w:rPr>
        <w:t xml:space="preserve"> </w:t>
      </w:r>
      <w:r w:rsidRPr="00F40A85">
        <w:rPr>
          <w:rFonts w:ascii="Times New Roman" w:eastAsia="Melior" w:hAnsi="Times New Roman"/>
          <w:snapToGrid/>
          <w:szCs w:val="24"/>
        </w:rPr>
        <w:t>tailored plan is generally limited to</w:t>
      </w:r>
      <w:r>
        <w:rPr>
          <w:rFonts w:ascii="Times New Roman" w:eastAsia="Melior" w:hAnsi="Times New Roman"/>
          <w:snapToGrid/>
          <w:szCs w:val="24"/>
        </w:rPr>
        <w:t xml:space="preserve"> </w:t>
      </w:r>
      <w:r w:rsidRPr="00F40A85">
        <w:rPr>
          <w:rFonts w:ascii="Times New Roman" w:eastAsia="Melior" w:hAnsi="Times New Roman"/>
          <w:snapToGrid/>
          <w:szCs w:val="24"/>
        </w:rPr>
        <w:t>information regarding the nonbanking</w:t>
      </w:r>
      <w:r>
        <w:rPr>
          <w:rFonts w:ascii="Times New Roman" w:eastAsia="Melior" w:hAnsi="Times New Roman"/>
          <w:snapToGrid/>
          <w:szCs w:val="24"/>
        </w:rPr>
        <w:t xml:space="preserve"> </w:t>
      </w:r>
      <w:r w:rsidRPr="00F40A85">
        <w:rPr>
          <w:rFonts w:ascii="Times New Roman" w:eastAsia="Melior" w:hAnsi="Times New Roman"/>
          <w:snapToGrid/>
          <w:szCs w:val="24"/>
        </w:rPr>
        <w:t>operations of the company and the</w:t>
      </w:r>
      <w:r>
        <w:rPr>
          <w:rFonts w:ascii="Times New Roman" w:eastAsia="Melior" w:hAnsi="Times New Roman"/>
          <w:snapToGrid/>
          <w:szCs w:val="24"/>
        </w:rPr>
        <w:t xml:space="preserve"> </w:t>
      </w:r>
      <w:r w:rsidRPr="00F40A85">
        <w:rPr>
          <w:rFonts w:ascii="Times New Roman" w:eastAsia="Melior" w:hAnsi="Times New Roman"/>
          <w:snapToGrid/>
          <w:szCs w:val="24"/>
        </w:rPr>
        <w:t>interconnections between the bank and</w:t>
      </w:r>
      <w:r>
        <w:rPr>
          <w:rFonts w:ascii="Times New Roman" w:eastAsia="Melior" w:hAnsi="Times New Roman"/>
          <w:snapToGrid/>
          <w:szCs w:val="24"/>
        </w:rPr>
        <w:t xml:space="preserve"> </w:t>
      </w:r>
      <w:r w:rsidRPr="00F40A85">
        <w:rPr>
          <w:rFonts w:ascii="Times New Roman" w:eastAsia="Melior" w:hAnsi="Times New Roman"/>
          <w:snapToGrid/>
          <w:szCs w:val="24"/>
        </w:rPr>
        <w:t>nonbank operations of the company,</w:t>
      </w:r>
      <w:r>
        <w:rPr>
          <w:rFonts w:ascii="Times New Roman" w:eastAsia="Melior" w:hAnsi="Times New Roman"/>
          <w:snapToGrid/>
          <w:szCs w:val="24"/>
        </w:rPr>
        <w:t xml:space="preserve"> </w:t>
      </w:r>
      <w:r w:rsidRPr="00F40A85">
        <w:rPr>
          <w:rFonts w:ascii="Times New Roman" w:eastAsia="Melior" w:hAnsi="Times New Roman"/>
          <w:snapToGrid/>
          <w:szCs w:val="24"/>
        </w:rPr>
        <w:t>rather than its entire operations.</w:t>
      </w:r>
    </w:p>
    <w:p w:rsidR="00106B80" w:rsidRPr="006219C4" w:rsidRDefault="00106B80" w:rsidP="006219C4">
      <w:pPr>
        <w:widowControl/>
        <w:rPr>
          <w:rFonts w:ascii="Times New Roman" w:hAnsi="Times New Roman"/>
          <w:szCs w:val="24"/>
        </w:rPr>
      </w:pPr>
    </w:p>
    <w:p w:rsidR="005071F2" w:rsidRPr="00386084" w:rsidRDefault="005071F2" w:rsidP="005071F2">
      <w:pPr>
        <w:widowControl/>
        <w:rPr>
          <w:rFonts w:ascii="Times New Roman" w:hAnsi="Times New Roman"/>
          <w:szCs w:val="24"/>
        </w:rPr>
      </w:pPr>
      <w:r w:rsidRPr="00386084">
        <w:rPr>
          <w:rFonts w:ascii="Times New Roman" w:hAnsi="Times New Roman"/>
          <w:b/>
          <w:szCs w:val="24"/>
        </w:rPr>
        <w:t>Sensitive Questions</w:t>
      </w:r>
    </w:p>
    <w:p w:rsidR="005071F2" w:rsidRPr="00386084" w:rsidRDefault="005071F2" w:rsidP="005071F2">
      <w:pPr>
        <w:widowControl/>
        <w:rPr>
          <w:rFonts w:ascii="Times New Roman" w:hAnsi="Times New Roman"/>
          <w:szCs w:val="24"/>
        </w:rPr>
      </w:pPr>
    </w:p>
    <w:p w:rsidR="005071F2" w:rsidRPr="00386084" w:rsidRDefault="005071F2" w:rsidP="005071F2">
      <w:pPr>
        <w:widowControl/>
        <w:ind w:firstLine="720"/>
        <w:rPr>
          <w:rFonts w:ascii="Times New Roman" w:hAnsi="Times New Roman"/>
          <w:szCs w:val="24"/>
        </w:rPr>
      </w:pPr>
      <w:r w:rsidRPr="00386084">
        <w:rPr>
          <w:rFonts w:ascii="Times New Roman" w:hAnsi="Times New Roman"/>
          <w:szCs w:val="24"/>
        </w:rPr>
        <w:t>This information collection contains no questions of a sensitive nature, as defined by OMB guidelines.</w:t>
      </w:r>
    </w:p>
    <w:p w:rsidR="003E3BFA" w:rsidRPr="00386084" w:rsidRDefault="003E3BFA">
      <w:pPr>
        <w:widowControl/>
        <w:rPr>
          <w:rFonts w:ascii="Times New Roman" w:hAnsi="Times New Roman"/>
          <w:b/>
          <w:szCs w:val="24"/>
        </w:rPr>
      </w:pPr>
    </w:p>
    <w:p w:rsidR="00D757AD" w:rsidRPr="00386084" w:rsidRDefault="00D757AD" w:rsidP="00A959A3">
      <w:pPr>
        <w:widowControl/>
        <w:rPr>
          <w:rFonts w:ascii="Times New Roman" w:hAnsi="Times New Roman"/>
          <w:szCs w:val="24"/>
        </w:rPr>
      </w:pPr>
      <w:r w:rsidRPr="00386084">
        <w:rPr>
          <w:rFonts w:ascii="Times New Roman" w:hAnsi="Times New Roman"/>
          <w:b/>
          <w:szCs w:val="24"/>
        </w:rPr>
        <w:lastRenderedPageBreak/>
        <w:t>Legal Status</w:t>
      </w:r>
    </w:p>
    <w:p w:rsidR="00D757AD" w:rsidRPr="00D679AF" w:rsidRDefault="00D757AD" w:rsidP="00A959A3">
      <w:pPr>
        <w:widowControl/>
        <w:rPr>
          <w:rFonts w:ascii="Times New Roman" w:hAnsi="Times New Roman"/>
          <w:szCs w:val="24"/>
        </w:rPr>
      </w:pPr>
    </w:p>
    <w:p w:rsidR="001554AE" w:rsidRPr="001554AE" w:rsidRDefault="001554AE" w:rsidP="001554AE">
      <w:pPr>
        <w:widowControl/>
        <w:autoSpaceDE w:val="0"/>
        <w:autoSpaceDN w:val="0"/>
        <w:adjustRightInd w:val="0"/>
        <w:rPr>
          <w:rFonts w:ascii="Times New Roman" w:eastAsia="Melior" w:hAnsi="Times New Roman"/>
          <w:snapToGrid/>
          <w:szCs w:val="24"/>
        </w:rPr>
      </w:pPr>
      <w:r>
        <w:rPr>
          <w:rFonts w:ascii="Times New Roman" w:eastAsia="Melior" w:hAnsi="Times New Roman"/>
          <w:snapToGrid/>
          <w:szCs w:val="24"/>
        </w:rPr>
        <w:tab/>
      </w:r>
      <w:r w:rsidRPr="001554AE">
        <w:rPr>
          <w:rFonts w:ascii="Times New Roman" w:eastAsia="Melior" w:hAnsi="Times New Roman"/>
          <w:snapToGrid/>
          <w:szCs w:val="24"/>
        </w:rPr>
        <w:t xml:space="preserve">This </w:t>
      </w:r>
      <w:r>
        <w:rPr>
          <w:rFonts w:ascii="Times New Roman" w:eastAsia="Melior" w:hAnsi="Times New Roman"/>
          <w:snapToGrid/>
          <w:szCs w:val="24"/>
        </w:rPr>
        <w:t xml:space="preserve">information collection is mandatory </w:t>
      </w:r>
      <w:r w:rsidRPr="001554AE">
        <w:rPr>
          <w:rFonts w:ascii="Times New Roman" w:eastAsia="Melior" w:hAnsi="Times New Roman"/>
          <w:snapToGrid/>
          <w:szCs w:val="24"/>
        </w:rPr>
        <w:t>pursuant to section 165(d)(8) of the</w:t>
      </w:r>
    </w:p>
    <w:p w:rsidR="001554AE" w:rsidRDefault="001554AE" w:rsidP="001554AE">
      <w:pPr>
        <w:widowControl/>
        <w:autoSpaceDE w:val="0"/>
        <w:autoSpaceDN w:val="0"/>
        <w:adjustRightInd w:val="0"/>
        <w:rPr>
          <w:rFonts w:ascii="Times New Roman" w:eastAsia="Melior" w:hAnsi="Times New Roman"/>
          <w:snapToGrid/>
          <w:szCs w:val="24"/>
        </w:rPr>
      </w:pPr>
      <w:r w:rsidRPr="001554AE">
        <w:rPr>
          <w:rFonts w:ascii="Times New Roman" w:eastAsia="Melior" w:hAnsi="Times New Roman"/>
          <w:iCs/>
          <w:snapToGrid/>
          <w:szCs w:val="24"/>
        </w:rPr>
        <w:t>Dodd-Frank Act</w:t>
      </w:r>
      <w:r w:rsidRPr="001554AE">
        <w:rPr>
          <w:rFonts w:ascii="Times New Roman" w:eastAsia="Melior" w:hAnsi="Times New Roman"/>
          <w:snapToGrid/>
          <w:szCs w:val="24"/>
        </w:rPr>
        <w:t xml:space="preserve"> (Pub. L. 111–203, 124 Stat.</w:t>
      </w:r>
      <w:r>
        <w:rPr>
          <w:rFonts w:ascii="Times New Roman" w:eastAsia="Melior" w:hAnsi="Times New Roman"/>
          <w:snapToGrid/>
          <w:szCs w:val="24"/>
        </w:rPr>
        <w:t xml:space="preserve"> </w:t>
      </w:r>
      <w:r w:rsidRPr="001554AE">
        <w:rPr>
          <w:rFonts w:ascii="Times New Roman" w:eastAsia="Melior" w:hAnsi="Times New Roman"/>
          <w:snapToGrid/>
          <w:szCs w:val="24"/>
        </w:rPr>
        <w:t>1376, 1426–1427), 12 U.S.C. 5365(d)(8),</w:t>
      </w:r>
      <w:r>
        <w:rPr>
          <w:rFonts w:ascii="Times New Roman" w:eastAsia="Melior" w:hAnsi="Times New Roman"/>
          <w:snapToGrid/>
          <w:szCs w:val="24"/>
        </w:rPr>
        <w:t xml:space="preserve"> </w:t>
      </w:r>
      <w:r w:rsidRPr="001554AE">
        <w:rPr>
          <w:rFonts w:ascii="Times New Roman" w:eastAsia="Melior" w:hAnsi="Times New Roman"/>
          <w:snapToGrid/>
          <w:szCs w:val="24"/>
        </w:rPr>
        <w:t>which requires the Board and the Corporation to jointly</w:t>
      </w:r>
      <w:r>
        <w:rPr>
          <w:rFonts w:ascii="Times New Roman" w:eastAsia="Melior" w:hAnsi="Times New Roman"/>
          <w:snapToGrid/>
          <w:szCs w:val="24"/>
        </w:rPr>
        <w:t xml:space="preserve"> </w:t>
      </w:r>
      <w:r w:rsidRPr="001554AE">
        <w:rPr>
          <w:rFonts w:ascii="Times New Roman" w:eastAsia="Melior" w:hAnsi="Times New Roman"/>
          <w:snapToGrid/>
          <w:szCs w:val="24"/>
        </w:rPr>
        <w:t>issue rules implementing the provisions</w:t>
      </w:r>
      <w:r>
        <w:rPr>
          <w:rFonts w:ascii="Times New Roman" w:eastAsia="Melior" w:hAnsi="Times New Roman"/>
          <w:snapToGrid/>
          <w:szCs w:val="24"/>
        </w:rPr>
        <w:t xml:space="preserve"> </w:t>
      </w:r>
      <w:r w:rsidRPr="001554AE">
        <w:rPr>
          <w:rFonts w:ascii="Times New Roman" w:eastAsia="Melior" w:hAnsi="Times New Roman"/>
          <w:snapToGrid/>
          <w:szCs w:val="24"/>
        </w:rPr>
        <w:t>of section 165(d) of the Dodd-Frank Act.</w:t>
      </w:r>
    </w:p>
    <w:p w:rsidR="001554AE" w:rsidRDefault="001554AE" w:rsidP="001554AE">
      <w:pPr>
        <w:widowControl/>
        <w:autoSpaceDE w:val="0"/>
        <w:autoSpaceDN w:val="0"/>
        <w:adjustRightInd w:val="0"/>
        <w:rPr>
          <w:rFonts w:ascii="Times New Roman" w:eastAsia="Melior" w:hAnsi="Times New Roman"/>
          <w:snapToGrid/>
          <w:szCs w:val="24"/>
        </w:rPr>
      </w:pPr>
    </w:p>
    <w:p w:rsidR="00D679AF" w:rsidRPr="00D679AF" w:rsidRDefault="001554AE" w:rsidP="001554AE">
      <w:pPr>
        <w:widowControl/>
        <w:autoSpaceDE w:val="0"/>
        <w:autoSpaceDN w:val="0"/>
        <w:adjustRightInd w:val="0"/>
        <w:rPr>
          <w:rFonts w:ascii="Times New Roman" w:eastAsia="Melior" w:hAnsi="Times New Roman"/>
          <w:snapToGrid/>
          <w:szCs w:val="24"/>
        </w:rPr>
      </w:pPr>
      <w:r>
        <w:rPr>
          <w:rFonts w:ascii="Times New Roman" w:eastAsia="Melior" w:hAnsi="Times New Roman"/>
          <w:snapToGrid/>
          <w:szCs w:val="24"/>
        </w:rPr>
        <w:tab/>
      </w:r>
      <w:r w:rsidR="00D757AD" w:rsidRPr="00D679AF">
        <w:rPr>
          <w:rFonts w:ascii="Times New Roman" w:hAnsi="Times New Roman"/>
          <w:szCs w:val="24"/>
        </w:rPr>
        <w:t xml:space="preserve">The </w:t>
      </w:r>
      <w:r w:rsidR="00586F86" w:rsidRPr="00D679AF">
        <w:rPr>
          <w:rFonts w:ascii="Times New Roman" w:hAnsi="Times New Roman"/>
          <w:szCs w:val="24"/>
        </w:rPr>
        <w:t xml:space="preserve">Board’s </w:t>
      </w:r>
      <w:r w:rsidR="00D757AD" w:rsidRPr="00D679AF">
        <w:rPr>
          <w:rFonts w:ascii="Times New Roman" w:hAnsi="Times New Roman"/>
          <w:szCs w:val="24"/>
        </w:rPr>
        <w:t xml:space="preserve">Legal Division </w:t>
      </w:r>
      <w:r w:rsidR="00D627BD" w:rsidRPr="00D679AF">
        <w:rPr>
          <w:rFonts w:ascii="Times New Roman" w:hAnsi="Times New Roman"/>
          <w:szCs w:val="24"/>
        </w:rPr>
        <w:t xml:space="preserve">has determined that </w:t>
      </w:r>
      <w:r w:rsidR="00D726C9">
        <w:rPr>
          <w:rFonts w:ascii="Times New Roman" w:eastAsia="Melior" w:hAnsi="Times New Roman"/>
          <w:snapToGrid/>
          <w:szCs w:val="24"/>
        </w:rPr>
        <w:t>u</w:t>
      </w:r>
      <w:r w:rsidR="00D679AF" w:rsidRPr="00D679AF">
        <w:rPr>
          <w:rFonts w:ascii="Times New Roman" w:eastAsia="Melior" w:hAnsi="Times New Roman"/>
          <w:snapToGrid/>
          <w:szCs w:val="24"/>
        </w:rPr>
        <w:t>nder section 112(d)(5)(A) of the</w:t>
      </w:r>
    </w:p>
    <w:p w:rsidR="008E10A1" w:rsidRDefault="00D679AF" w:rsidP="00D679AF">
      <w:pPr>
        <w:widowControl/>
        <w:autoSpaceDE w:val="0"/>
        <w:autoSpaceDN w:val="0"/>
        <w:adjustRightInd w:val="0"/>
        <w:rPr>
          <w:rFonts w:ascii="Times New Roman" w:eastAsia="Melior" w:hAnsi="Times New Roman"/>
          <w:snapToGrid/>
          <w:szCs w:val="24"/>
        </w:rPr>
      </w:pPr>
      <w:r w:rsidRPr="00D679AF">
        <w:rPr>
          <w:rFonts w:ascii="Times New Roman" w:eastAsia="Melior" w:hAnsi="Times New Roman"/>
          <w:snapToGrid/>
          <w:szCs w:val="24"/>
        </w:rPr>
        <w:t xml:space="preserve">Dodd-Frank Act, the Board and the Corporation ‘‘shall maintain the confidentiality of any data, information, and reports submitted under’’ Title I (which includes section 165(d), the authority this regulation is promulgated under) of the Dodd-Frank Act. </w:t>
      </w:r>
    </w:p>
    <w:p w:rsidR="008E10A1" w:rsidRDefault="008E10A1" w:rsidP="00D679AF">
      <w:pPr>
        <w:widowControl/>
        <w:autoSpaceDE w:val="0"/>
        <w:autoSpaceDN w:val="0"/>
        <w:adjustRightInd w:val="0"/>
        <w:rPr>
          <w:rFonts w:ascii="Times New Roman" w:eastAsia="Melior" w:hAnsi="Times New Roman"/>
          <w:snapToGrid/>
          <w:szCs w:val="24"/>
        </w:rPr>
      </w:pPr>
    </w:p>
    <w:p w:rsidR="009D3707" w:rsidRDefault="00D679AF" w:rsidP="009D3707">
      <w:pPr>
        <w:widowControl/>
        <w:autoSpaceDE w:val="0"/>
        <w:autoSpaceDN w:val="0"/>
        <w:adjustRightInd w:val="0"/>
        <w:ind w:firstLine="720"/>
        <w:rPr>
          <w:rFonts w:ascii="Times New Roman" w:eastAsia="Melior" w:hAnsi="Times New Roman"/>
          <w:snapToGrid/>
          <w:szCs w:val="24"/>
        </w:rPr>
      </w:pPr>
      <w:r w:rsidRPr="00D679AF">
        <w:rPr>
          <w:rFonts w:ascii="Times New Roman" w:eastAsia="Melior" w:hAnsi="Times New Roman"/>
          <w:snapToGrid/>
          <w:szCs w:val="24"/>
        </w:rPr>
        <w:t>The Board and the Corporation will assess the confidentiality of resolution plans and related material in accordance with FOIA and the Board’s and the Corporation’s implementing regulations (12 CFR part 261 (Board); 12 CFR part 309 (Corporation)).</w:t>
      </w:r>
      <w:r w:rsidR="008E10A1">
        <w:rPr>
          <w:rFonts w:ascii="Times New Roman" w:eastAsia="Melior" w:hAnsi="Times New Roman"/>
          <w:snapToGrid/>
          <w:szCs w:val="24"/>
        </w:rPr>
        <w:t xml:space="preserve">  </w:t>
      </w:r>
      <w:r w:rsidRPr="00D679AF">
        <w:rPr>
          <w:rFonts w:ascii="Times New Roman" w:eastAsia="Melior" w:hAnsi="Times New Roman"/>
          <w:snapToGrid/>
          <w:szCs w:val="24"/>
        </w:rPr>
        <w:t>The Board and the</w:t>
      </w:r>
      <w:r w:rsidR="008E10A1">
        <w:rPr>
          <w:rFonts w:ascii="Times New Roman" w:eastAsia="Melior" w:hAnsi="Times New Roman"/>
          <w:snapToGrid/>
          <w:szCs w:val="24"/>
        </w:rPr>
        <w:t xml:space="preserve"> </w:t>
      </w:r>
      <w:r w:rsidRPr="00D679AF">
        <w:rPr>
          <w:rFonts w:ascii="Times New Roman" w:eastAsia="Melior" w:hAnsi="Times New Roman"/>
          <w:snapToGrid/>
          <w:szCs w:val="24"/>
        </w:rPr>
        <w:t>Corporation certainly expect that large portions of the submissions will contain or consist of ‘‘trade secrets and commercial or financial information obtained from a person and privileged</w:t>
      </w:r>
      <w:r w:rsidR="008E10A1">
        <w:rPr>
          <w:rFonts w:ascii="Times New Roman" w:eastAsia="Melior" w:hAnsi="Times New Roman"/>
          <w:snapToGrid/>
          <w:szCs w:val="24"/>
        </w:rPr>
        <w:t xml:space="preserve"> </w:t>
      </w:r>
      <w:r w:rsidRPr="00D679AF">
        <w:rPr>
          <w:rFonts w:ascii="Times New Roman" w:eastAsia="Melior" w:hAnsi="Times New Roman"/>
          <w:snapToGrid/>
          <w:szCs w:val="24"/>
        </w:rPr>
        <w:t xml:space="preserve">or confidential’’ and information that is ‘‘contained in or related to examination, operating, or condition reports prepared by, on behalf of, or for the use of an agency responsible for the regulation or supervision of financial institutions.’’ </w:t>
      </w:r>
      <w:r w:rsidR="009D3707">
        <w:rPr>
          <w:rFonts w:ascii="Times New Roman" w:eastAsia="Melior" w:hAnsi="Times New Roman"/>
          <w:snapToGrid/>
          <w:szCs w:val="24"/>
        </w:rPr>
        <w:t xml:space="preserve"> </w:t>
      </w:r>
      <w:r w:rsidRPr="00D679AF">
        <w:rPr>
          <w:rFonts w:ascii="Times New Roman" w:eastAsia="Melior" w:hAnsi="Times New Roman"/>
          <w:snapToGrid/>
          <w:szCs w:val="24"/>
        </w:rPr>
        <w:t>This information is subject to</w:t>
      </w:r>
      <w:r w:rsidR="009D3707">
        <w:rPr>
          <w:rFonts w:ascii="Times New Roman" w:eastAsia="Melior" w:hAnsi="Times New Roman"/>
          <w:snapToGrid/>
          <w:szCs w:val="24"/>
        </w:rPr>
        <w:t xml:space="preserve"> </w:t>
      </w:r>
      <w:r w:rsidRPr="00D679AF">
        <w:rPr>
          <w:rFonts w:ascii="Times New Roman" w:eastAsia="Melior" w:hAnsi="Times New Roman"/>
          <w:snapToGrid/>
          <w:szCs w:val="24"/>
        </w:rPr>
        <w:t>withholding under exemptions 4 and 8 of the FOIA, 5 U.S.C. 552(b)(4) and 552(b)(8).</w:t>
      </w:r>
      <w:r w:rsidR="009D3707">
        <w:rPr>
          <w:rFonts w:ascii="Times New Roman" w:eastAsia="Melior" w:hAnsi="Times New Roman"/>
          <w:snapToGrid/>
          <w:szCs w:val="24"/>
        </w:rPr>
        <w:t xml:space="preserve">  </w:t>
      </w:r>
      <w:r w:rsidRPr="00D679AF">
        <w:rPr>
          <w:rFonts w:ascii="Times New Roman" w:eastAsia="Melior" w:hAnsi="Times New Roman"/>
          <w:snapToGrid/>
          <w:szCs w:val="24"/>
        </w:rPr>
        <w:t xml:space="preserve">The Board and the Corporation also recognize, however, that the regulation calls for the submission of details regarding covered companies that are publicly available or otherwise are not sensitive and should be made public. </w:t>
      </w:r>
      <w:r w:rsidR="009D3707">
        <w:rPr>
          <w:rFonts w:ascii="Times New Roman" w:eastAsia="Melior" w:hAnsi="Times New Roman"/>
          <w:snapToGrid/>
          <w:szCs w:val="24"/>
        </w:rPr>
        <w:t xml:space="preserve"> </w:t>
      </w:r>
      <w:r w:rsidRPr="00D679AF">
        <w:rPr>
          <w:rFonts w:ascii="Times New Roman" w:eastAsia="Melior" w:hAnsi="Times New Roman"/>
          <w:snapToGrid/>
          <w:szCs w:val="24"/>
        </w:rPr>
        <w:t xml:space="preserve">In order to address this, the regulation requires resolution plans to be divided into two portions: a public section and a confidential section. </w:t>
      </w:r>
    </w:p>
    <w:p w:rsidR="009D3707" w:rsidRDefault="009D3707" w:rsidP="009D3707">
      <w:pPr>
        <w:widowControl/>
        <w:autoSpaceDE w:val="0"/>
        <w:autoSpaceDN w:val="0"/>
        <w:adjustRightInd w:val="0"/>
        <w:ind w:firstLine="720"/>
        <w:rPr>
          <w:rFonts w:ascii="Times New Roman" w:eastAsia="Melior" w:hAnsi="Times New Roman"/>
          <w:snapToGrid/>
          <w:szCs w:val="24"/>
        </w:rPr>
      </w:pPr>
    </w:p>
    <w:p w:rsidR="00D679AF" w:rsidRPr="00D679AF" w:rsidRDefault="00D679AF" w:rsidP="009D3707">
      <w:pPr>
        <w:widowControl/>
        <w:autoSpaceDE w:val="0"/>
        <w:autoSpaceDN w:val="0"/>
        <w:adjustRightInd w:val="0"/>
        <w:ind w:firstLine="720"/>
        <w:rPr>
          <w:rFonts w:ascii="Times New Roman" w:eastAsia="Melior" w:hAnsi="Times New Roman"/>
          <w:snapToGrid/>
          <w:szCs w:val="24"/>
        </w:rPr>
      </w:pPr>
      <w:r w:rsidRPr="00D679AF">
        <w:rPr>
          <w:rFonts w:ascii="Times New Roman" w:eastAsia="Melior" w:hAnsi="Times New Roman"/>
          <w:snapToGrid/>
          <w:szCs w:val="24"/>
        </w:rPr>
        <w:t>The public section of the resolution plan should consist of an executive summary of the resolution plan that describes the business of the covered company and includes, to the extent material to an</w:t>
      </w:r>
      <w:r w:rsidR="009D3707">
        <w:rPr>
          <w:rFonts w:ascii="Times New Roman" w:eastAsia="Melior" w:hAnsi="Times New Roman"/>
          <w:snapToGrid/>
          <w:szCs w:val="24"/>
        </w:rPr>
        <w:t xml:space="preserve"> </w:t>
      </w:r>
      <w:r w:rsidRPr="00D679AF">
        <w:rPr>
          <w:rFonts w:ascii="Times New Roman" w:eastAsia="Melior" w:hAnsi="Times New Roman"/>
          <w:snapToGrid/>
          <w:szCs w:val="24"/>
        </w:rPr>
        <w:t>understanding of the covered company: (i) The names of material entities; (ii) a description of core business lines; (iii) consolidated or segment financial information regarding assets, liabilities, capital and major funding sources; (iv) a description of derivative activities and</w:t>
      </w:r>
    </w:p>
    <w:p w:rsidR="00D679AF" w:rsidRPr="00D679AF" w:rsidRDefault="00D679AF" w:rsidP="00D679AF">
      <w:pPr>
        <w:widowControl/>
        <w:autoSpaceDE w:val="0"/>
        <w:autoSpaceDN w:val="0"/>
        <w:adjustRightInd w:val="0"/>
        <w:rPr>
          <w:rFonts w:ascii="Times New Roman" w:eastAsia="Melior" w:hAnsi="Times New Roman"/>
          <w:snapToGrid/>
          <w:szCs w:val="24"/>
        </w:rPr>
      </w:pPr>
      <w:r w:rsidRPr="00D679AF">
        <w:rPr>
          <w:rFonts w:ascii="Times New Roman" w:eastAsia="Melior" w:hAnsi="Times New Roman"/>
          <w:snapToGrid/>
          <w:szCs w:val="24"/>
        </w:rPr>
        <w:t>hedging activities; (v) a list of memberships in material payment, clearing, and settlement systems; (vi) a description of foreign operations; (vii) the identities of material supervisory</w:t>
      </w:r>
    </w:p>
    <w:p w:rsidR="00D679AF" w:rsidRPr="00D679AF" w:rsidRDefault="00D679AF" w:rsidP="00D679AF">
      <w:pPr>
        <w:widowControl/>
        <w:autoSpaceDE w:val="0"/>
        <w:autoSpaceDN w:val="0"/>
        <w:adjustRightInd w:val="0"/>
        <w:rPr>
          <w:rFonts w:ascii="Times New Roman" w:eastAsia="Melior" w:hAnsi="Times New Roman"/>
          <w:snapToGrid/>
          <w:szCs w:val="24"/>
        </w:rPr>
      </w:pPr>
      <w:r w:rsidRPr="00D679AF">
        <w:rPr>
          <w:rFonts w:ascii="Times New Roman" w:eastAsia="Melior" w:hAnsi="Times New Roman"/>
          <w:snapToGrid/>
          <w:szCs w:val="24"/>
        </w:rPr>
        <w:t>authorities; (viii) the identities of the principal officers; (ix) a description of the corporate governance structure and processes related to resolution planning; (x) a description of material</w:t>
      </w:r>
    </w:p>
    <w:p w:rsidR="009D3707" w:rsidRDefault="00D679AF" w:rsidP="00D679AF">
      <w:pPr>
        <w:widowControl/>
        <w:autoSpaceDE w:val="0"/>
        <w:autoSpaceDN w:val="0"/>
        <w:adjustRightInd w:val="0"/>
        <w:rPr>
          <w:rFonts w:ascii="Times New Roman" w:eastAsia="Melior" w:hAnsi="Times New Roman"/>
          <w:snapToGrid/>
          <w:szCs w:val="24"/>
        </w:rPr>
      </w:pPr>
      <w:r w:rsidRPr="00D679AF">
        <w:rPr>
          <w:rFonts w:ascii="Times New Roman" w:eastAsia="Melior" w:hAnsi="Times New Roman"/>
          <w:snapToGrid/>
          <w:szCs w:val="24"/>
        </w:rPr>
        <w:t xml:space="preserve">management information systems; and (xi) a description, at a high level, of the covered company’s resolution strategy, covering such items as the range of potential purchasers of the covered company, its material entities and core business lines. </w:t>
      </w:r>
    </w:p>
    <w:p w:rsidR="009D3707" w:rsidRDefault="009D3707" w:rsidP="00D679AF">
      <w:pPr>
        <w:widowControl/>
        <w:autoSpaceDE w:val="0"/>
        <w:autoSpaceDN w:val="0"/>
        <w:adjustRightInd w:val="0"/>
        <w:rPr>
          <w:rFonts w:ascii="Times New Roman" w:eastAsia="Melior" w:hAnsi="Times New Roman"/>
          <w:snapToGrid/>
          <w:szCs w:val="24"/>
        </w:rPr>
      </w:pPr>
    </w:p>
    <w:p w:rsidR="00BE1388" w:rsidRPr="00D679AF" w:rsidRDefault="00D679AF" w:rsidP="009D3707">
      <w:pPr>
        <w:widowControl/>
        <w:autoSpaceDE w:val="0"/>
        <w:autoSpaceDN w:val="0"/>
        <w:adjustRightInd w:val="0"/>
        <w:ind w:firstLine="720"/>
        <w:rPr>
          <w:rFonts w:ascii="Times New Roman" w:eastAsia="Melior" w:hAnsi="Times New Roman"/>
          <w:snapToGrid/>
          <w:szCs w:val="24"/>
        </w:rPr>
      </w:pPr>
      <w:r w:rsidRPr="00D679AF">
        <w:rPr>
          <w:rFonts w:ascii="Times New Roman" w:eastAsia="Melior" w:hAnsi="Times New Roman"/>
          <w:snapToGrid/>
          <w:szCs w:val="24"/>
        </w:rPr>
        <w:t xml:space="preserve">While the information in the public section of a resolution plan should be sufficiently detailed to allow the public to understand the business of the covered company, such information can be high level in nature and based on publicly available information. The public section will be made available to the public </w:t>
      </w:r>
      <w:r w:rsidR="00D726C9">
        <w:rPr>
          <w:rFonts w:ascii="Times New Roman" w:eastAsia="Melior" w:hAnsi="Times New Roman"/>
          <w:snapToGrid/>
          <w:szCs w:val="24"/>
        </w:rPr>
        <w:t xml:space="preserve">exactly as submitted by the covered companies as soon as possible following receipt by the agencies.  </w:t>
      </w:r>
      <w:r w:rsidR="009D3707">
        <w:rPr>
          <w:rFonts w:ascii="Times New Roman" w:eastAsia="Melior" w:hAnsi="Times New Roman"/>
          <w:snapToGrid/>
          <w:szCs w:val="24"/>
        </w:rPr>
        <w:t xml:space="preserve">  </w:t>
      </w:r>
      <w:r w:rsidRPr="00D679AF">
        <w:rPr>
          <w:rFonts w:ascii="Times New Roman" w:eastAsia="Melior" w:hAnsi="Times New Roman"/>
          <w:snapToGrid/>
          <w:szCs w:val="24"/>
        </w:rPr>
        <w:t>A covered company should submit a properly substantiated request for confidential treatment of any details in the confidential section that it believes are subject to withholding under exemption 4 of the FOIA.</w:t>
      </w:r>
      <w:r w:rsidR="00D726C9">
        <w:rPr>
          <w:rFonts w:ascii="Times New Roman" w:eastAsia="Melior" w:hAnsi="Times New Roman"/>
          <w:snapToGrid/>
          <w:szCs w:val="24"/>
        </w:rPr>
        <w:t xml:space="preserve"> </w:t>
      </w:r>
      <w:r w:rsidRPr="00D679AF">
        <w:rPr>
          <w:rFonts w:ascii="Times New Roman" w:eastAsia="Melior" w:hAnsi="Times New Roman"/>
          <w:snapToGrid/>
          <w:szCs w:val="24"/>
        </w:rPr>
        <w:t xml:space="preserve"> In addition, the Board and </w:t>
      </w:r>
      <w:r w:rsidRPr="00D679AF">
        <w:rPr>
          <w:rFonts w:ascii="Times New Roman" w:eastAsia="Melior" w:hAnsi="Times New Roman"/>
          <w:snapToGrid/>
          <w:szCs w:val="24"/>
        </w:rPr>
        <w:lastRenderedPageBreak/>
        <w:t>the Corporation will make formal exemption and segregability determinations if and when a plan is requested under the FOIA.</w:t>
      </w:r>
    </w:p>
    <w:p w:rsidR="00D679AF" w:rsidRPr="00D679AF" w:rsidRDefault="00D679AF" w:rsidP="00D679AF">
      <w:pPr>
        <w:widowControl/>
        <w:autoSpaceDE w:val="0"/>
        <w:autoSpaceDN w:val="0"/>
        <w:adjustRightInd w:val="0"/>
        <w:rPr>
          <w:rFonts w:ascii="Times New Roman" w:hAnsi="Times New Roman"/>
          <w:szCs w:val="24"/>
        </w:rPr>
      </w:pPr>
    </w:p>
    <w:p w:rsidR="00D757AD" w:rsidRPr="00D679AF" w:rsidRDefault="00D757AD" w:rsidP="001761B0">
      <w:pPr>
        <w:pStyle w:val="Heading1"/>
        <w:rPr>
          <w:rFonts w:ascii="Times New Roman" w:hAnsi="Times New Roman"/>
          <w:szCs w:val="24"/>
        </w:rPr>
      </w:pPr>
      <w:r w:rsidRPr="00D679AF">
        <w:rPr>
          <w:rFonts w:ascii="Times New Roman" w:hAnsi="Times New Roman"/>
          <w:szCs w:val="24"/>
        </w:rPr>
        <w:t>Estimate of Respondent Burden</w:t>
      </w:r>
    </w:p>
    <w:p w:rsidR="00A959A3" w:rsidRPr="00386084" w:rsidRDefault="00A959A3" w:rsidP="00A959A3">
      <w:pPr>
        <w:rPr>
          <w:rFonts w:ascii="Times New Roman" w:hAnsi="Times New Roman"/>
          <w:szCs w:val="24"/>
        </w:rPr>
      </w:pPr>
    </w:p>
    <w:p w:rsidR="005435E5" w:rsidRDefault="00350525" w:rsidP="00B05A51">
      <w:pPr>
        <w:ind w:firstLine="720"/>
        <w:rPr>
          <w:rFonts w:ascii="Times New Roman" w:hAnsi="Times New Roman"/>
          <w:szCs w:val="24"/>
        </w:rPr>
      </w:pPr>
      <w:r>
        <w:rPr>
          <w:rFonts w:ascii="Times New Roman" w:hAnsi="Times New Roman"/>
          <w:szCs w:val="24"/>
        </w:rPr>
        <w:t xml:space="preserve">The estimated total annual burden for the reporting requirements of this information collection is </w:t>
      </w:r>
      <w:r w:rsidR="00B05A51">
        <w:rPr>
          <w:rFonts w:ascii="Times New Roman" w:hAnsi="Times New Roman"/>
          <w:szCs w:val="24"/>
        </w:rPr>
        <w:t>855</w:t>
      </w:r>
      <w:r w:rsidR="00B32D8D">
        <w:rPr>
          <w:rFonts w:ascii="Times New Roman" w:hAnsi="Times New Roman"/>
          <w:szCs w:val="24"/>
        </w:rPr>
        <w:t>,</w:t>
      </w:r>
      <w:r w:rsidR="00B05A51">
        <w:rPr>
          <w:rFonts w:ascii="Times New Roman" w:hAnsi="Times New Roman"/>
          <w:szCs w:val="24"/>
        </w:rPr>
        <w:t>304</w:t>
      </w:r>
      <w:r>
        <w:rPr>
          <w:rFonts w:ascii="Times New Roman" w:hAnsi="Times New Roman"/>
          <w:szCs w:val="24"/>
        </w:rPr>
        <w:t xml:space="preserve"> hours, as shown in the table below.  </w:t>
      </w:r>
    </w:p>
    <w:p w:rsidR="00B05A51" w:rsidRDefault="00B05A51" w:rsidP="00B05A51">
      <w:pPr>
        <w:ind w:firstLine="720"/>
        <w:rPr>
          <w:szCs w:val="24"/>
        </w:rPr>
      </w:pPr>
    </w:p>
    <w:p w:rsidR="00853694" w:rsidRDefault="00350525">
      <w:pPr>
        <w:ind w:firstLine="720"/>
        <w:rPr>
          <w:rFonts w:ascii="Times New Roman" w:hAnsi="Times New Roman"/>
        </w:rPr>
      </w:pPr>
      <w:r>
        <w:rPr>
          <w:rFonts w:ascii="Times New Roman" w:hAnsi="Times New Roman"/>
        </w:rPr>
        <w:t>The Fede</w:t>
      </w:r>
      <w:r w:rsidR="00851FB3">
        <w:rPr>
          <w:rFonts w:ascii="Times New Roman" w:hAnsi="Times New Roman"/>
        </w:rPr>
        <w:t>ral Reserve estimates that each tailored reporter</w:t>
      </w:r>
      <w:r>
        <w:rPr>
          <w:rFonts w:ascii="Times New Roman" w:hAnsi="Times New Roman"/>
        </w:rPr>
        <w:t xml:space="preserve"> </w:t>
      </w:r>
      <w:r w:rsidR="00187E48">
        <w:rPr>
          <w:rFonts w:ascii="Times New Roman" w:hAnsi="Times New Roman"/>
        </w:rPr>
        <w:t>will</w:t>
      </w:r>
      <w:r>
        <w:rPr>
          <w:rFonts w:ascii="Times New Roman" w:hAnsi="Times New Roman"/>
        </w:rPr>
        <w:t xml:space="preserve"> take, on average, </w:t>
      </w:r>
      <w:r w:rsidR="00851FB3">
        <w:rPr>
          <w:rFonts w:ascii="Times New Roman" w:hAnsi="Times New Roman"/>
        </w:rPr>
        <w:t>5</w:t>
      </w:r>
      <w:r>
        <w:rPr>
          <w:rFonts w:ascii="Times New Roman" w:hAnsi="Times New Roman"/>
        </w:rPr>
        <w:t>,</w:t>
      </w:r>
      <w:r w:rsidR="00851FB3">
        <w:rPr>
          <w:rFonts w:ascii="Times New Roman" w:hAnsi="Times New Roman"/>
        </w:rPr>
        <w:t>50</w:t>
      </w:r>
      <w:r>
        <w:rPr>
          <w:rFonts w:ascii="Times New Roman" w:hAnsi="Times New Roman"/>
        </w:rPr>
        <w:t xml:space="preserve">0 hours to comply with the </w:t>
      </w:r>
      <w:r w:rsidR="00A430F0">
        <w:rPr>
          <w:rFonts w:ascii="Times New Roman" w:hAnsi="Times New Roman"/>
        </w:rPr>
        <w:t xml:space="preserve">requirements in </w:t>
      </w:r>
      <w:r>
        <w:rPr>
          <w:rFonts w:ascii="Times New Roman" w:hAnsi="Times New Roman"/>
        </w:rPr>
        <w:t>section</w:t>
      </w:r>
      <w:r w:rsidR="00851FB3">
        <w:rPr>
          <w:rFonts w:ascii="Times New Roman" w:hAnsi="Times New Roman"/>
        </w:rPr>
        <w:t>s</w:t>
      </w:r>
      <w:r>
        <w:rPr>
          <w:rFonts w:ascii="Times New Roman" w:hAnsi="Times New Roman"/>
        </w:rPr>
        <w:t xml:space="preserve"> </w:t>
      </w:r>
      <w:r w:rsidR="00851FB3">
        <w:rPr>
          <w:rFonts w:ascii="Times New Roman" w:hAnsi="Times New Roman"/>
        </w:rPr>
        <w:t xml:space="preserve">243.3, </w:t>
      </w:r>
      <w:r w:rsidR="00A430F0">
        <w:rPr>
          <w:rFonts w:ascii="Times New Roman" w:hAnsi="Times New Roman"/>
        </w:rPr>
        <w:t xml:space="preserve">243.4, and 243.5.  The total annual burden for the 104 tailored reporters </w:t>
      </w:r>
      <w:r>
        <w:rPr>
          <w:rFonts w:ascii="Times New Roman" w:hAnsi="Times New Roman"/>
        </w:rPr>
        <w:t xml:space="preserve">to </w:t>
      </w:r>
      <w:r w:rsidR="00851FB3">
        <w:rPr>
          <w:rFonts w:ascii="Times New Roman" w:hAnsi="Times New Roman"/>
        </w:rPr>
        <w:t>implement</w:t>
      </w:r>
      <w:r>
        <w:rPr>
          <w:rFonts w:ascii="Times New Roman" w:hAnsi="Times New Roman"/>
        </w:rPr>
        <w:t xml:space="preserve"> and maintain </w:t>
      </w:r>
      <w:r w:rsidR="00A430F0">
        <w:rPr>
          <w:rFonts w:ascii="Times New Roman" w:hAnsi="Times New Roman"/>
        </w:rPr>
        <w:t xml:space="preserve">their </w:t>
      </w:r>
      <w:r w:rsidR="00851FB3">
        <w:rPr>
          <w:rFonts w:ascii="Times New Roman" w:hAnsi="Times New Roman"/>
        </w:rPr>
        <w:t>resolution plan</w:t>
      </w:r>
      <w:r w:rsidR="00A430F0">
        <w:rPr>
          <w:rFonts w:ascii="Times New Roman" w:hAnsi="Times New Roman"/>
        </w:rPr>
        <w:t>s is estimated to be 572,000 hours</w:t>
      </w:r>
      <w:r>
        <w:rPr>
          <w:rFonts w:ascii="Times New Roman" w:hAnsi="Times New Roman"/>
        </w:rPr>
        <w:t xml:space="preserve">. </w:t>
      </w:r>
    </w:p>
    <w:p w:rsidR="00853694" w:rsidRDefault="00853694">
      <w:pPr>
        <w:ind w:firstLine="720"/>
        <w:rPr>
          <w:rFonts w:ascii="Times New Roman" w:hAnsi="Times New Roman"/>
        </w:rPr>
      </w:pPr>
    </w:p>
    <w:p w:rsidR="00A430F0" w:rsidRDefault="00A430F0" w:rsidP="00A430F0">
      <w:pPr>
        <w:ind w:firstLine="720"/>
        <w:rPr>
          <w:rFonts w:ascii="Times New Roman" w:hAnsi="Times New Roman"/>
        </w:rPr>
      </w:pPr>
      <w:r>
        <w:rPr>
          <w:rFonts w:ascii="Times New Roman" w:hAnsi="Times New Roman"/>
        </w:rPr>
        <w:t>The Federal Reserve estimates that each full reporter will take, on average, 11,761 hours to comply with the requirements in sections 243.3, 243.4, and 243.5.  The total annual burden for the 20 full reporters to implement and maintain their resolution plans is estimated to be 23</w:t>
      </w:r>
      <w:r w:rsidR="0010382A">
        <w:rPr>
          <w:rFonts w:ascii="Times New Roman" w:hAnsi="Times New Roman"/>
        </w:rPr>
        <w:t>5</w:t>
      </w:r>
      <w:r>
        <w:rPr>
          <w:rFonts w:ascii="Times New Roman" w:hAnsi="Times New Roman"/>
        </w:rPr>
        <w:t xml:space="preserve">,220 hours. </w:t>
      </w:r>
    </w:p>
    <w:p w:rsidR="00853694" w:rsidRDefault="00853694">
      <w:pPr>
        <w:ind w:firstLine="720"/>
        <w:rPr>
          <w:rFonts w:ascii="Times New Roman" w:hAnsi="Times New Roman"/>
        </w:rPr>
      </w:pPr>
    </w:p>
    <w:p w:rsidR="00843D71" w:rsidRDefault="00843D71" w:rsidP="00843D71">
      <w:pPr>
        <w:widowControl/>
        <w:autoSpaceDE w:val="0"/>
        <w:autoSpaceDN w:val="0"/>
        <w:adjustRightInd w:val="0"/>
        <w:ind w:firstLine="720"/>
        <w:rPr>
          <w:rFonts w:ascii="Times New Roman" w:hAnsi="Times New Roman"/>
        </w:rPr>
      </w:pPr>
      <w:r>
        <w:rPr>
          <w:rFonts w:ascii="Times New Roman" w:hAnsi="Times New Roman"/>
        </w:rPr>
        <w:t>The Federal Reserve estimates that 24 respondents will take, on average, 1,001 hours to comply with the a</w:t>
      </w:r>
      <w:r w:rsidRPr="00FB6974">
        <w:rPr>
          <w:rFonts w:ascii="Times New Roman" w:eastAsia="Melior" w:hAnsi="Times New Roman"/>
          <w:snapToGrid/>
          <w:szCs w:val="24"/>
        </w:rPr>
        <w:t xml:space="preserve">dditional </w:t>
      </w:r>
      <w:r>
        <w:rPr>
          <w:rFonts w:ascii="Times New Roman" w:eastAsia="Melior" w:hAnsi="Times New Roman"/>
          <w:snapToGrid/>
          <w:szCs w:val="24"/>
        </w:rPr>
        <w:t>i</w:t>
      </w:r>
      <w:r w:rsidRPr="00FB6974">
        <w:rPr>
          <w:rFonts w:ascii="Times New Roman" w:eastAsia="Melior" w:hAnsi="Times New Roman"/>
          <w:snapToGrid/>
          <w:szCs w:val="24"/>
        </w:rPr>
        <w:t xml:space="preserve">nformation </w:t>
      </w:r>
      <w:r w:rsidR="0010382A">
        <w:rPr>
          <w:rFonts w:ascii="Times New Roman" w:eastAsia="Melior" w:hAnsi="Times New Roman"/>
          <w:snapToGrid/>
          <w:szCs w:val="24"/>
        </w:rPr>
        <w:t>and</w:t>
      </w:r>
      <w:r w:rsidRPr="00FB6974">
        <w:rPr>
          <w:rFonts w:ascii="Times New Roman" w:eastAsia="Melior" w:hAnsi="Times New Roman"/>
          <w:snapToGrid/>
          <w:szCs w:val="24"/>
        </w:rPr>
        <w:t xml:space="preserve"> </w:t>
      </w:r>
      <w:r>
        <w:rPr>
          <w:rFonts w:ascii="Times New Roman" w:eastAsia="Melior" w:hAnsi="Times New Roman"/>
          <w:snapToGrid/>
          <w:szCs w:val="24"/>
        </w:rPr>
        <w:t>e</w:t>
      </w:r>
      <w:r w:rsidRPr="00FB6974">
        <w:rPr>
          <w:rFonts w:ascii="Times New Roman" w:eastAsia="Melior" w:hAnsi="Times New Roman"/>
          <w:snapToGrid/>
          <w:szCs w:val="24"/>
        </w:rPr>
        <w:t xml:space="preserve">xtension </w:t>
      </w:r>
      <w:r>
        <w:rPr>
          <w:rFonts w:ascii="Times New Roman" w:eastAsia="Melior" w:hAnsi="Times New Roman"/>
          <w:snapToGrid/>
          <w:szCs w:val="24"/>
        </w:rPr>
        <w:t>r</w:t>
      </w:r>
      <w:r w:rsidRPr="00FB6974">
        <w:rPr>
          <w:rFonts w:ascii="Times New Roman" w:eastAsia="Melior" w:hAnsi="Times New Roman"/>
          <w:snapToGrid/>
          <w:szCs w:val="24"/>
        </w:rPr>
        <w:t>equest</w:t>
      </w:r>
      <w:r>
        <w:rPr>
          <w:rFonts w:ascii="Times New Roman" w:hAnsi="Times New Roman"/>
        </w:rPr>
        <w:t xml:space="preserve"> requirements in section 243.5.  The total annual burden a</w:t>
      </w:r>
      <w:r w:rsidRPr="00FB6974">
        <w:rPr>
          <w:rFonts w:ascii="Times New Roman" w:eastAsia="Melior" w:hAnsi="Times New Roman"/>
          <w:snapToGrid/>
          <w:szCs w:val="24"/>
        </w:rPr>
        <w:t xml:space="preserve">dditional </w:t>
      </w:r>
      <w:r>
        <w:rPr>
          <w:rFonts w:ascii="Times New Roman" w:eastAsia="Melior" w:hAnsi="Times New Roman"/>
          <w:snapToGrid/>
          <w:szCs w:val="24"/>
        </w:rPr>
        <w:t>i</w:t>
      </w:r>
      <w:r w:rsidRPr="00FB6974">
        <w:rPr>
          <w:rFonts w:ascii="Times New Roman" w:eastAsia="Melior" w:hAnsi="Times New Roman"/>
          <w:snapToGrid/>
          <w:szCs w:val="24"/>
        </w:rPr>
        <w:t xml:space="preserve">nformation &amp; </w:t>
      </w:r>
      <w:r>
        <w:rPr>
          <w:rFonts w:ascii="Times New Roman" w:eastAsia="Melior" w:hAnsi="Times New Roman"/>
          <w:snapToGrid/>
          <w:szCs w:val="24"/>
        </w:rPr>
        <w:t>e</w:t>
      </w:r>
      <w:r w:rsidRPr="00FB6974">
        <w:rPr>
          <w:rFonts w:ascii="Times New Roman" w:eastAsia="Melior" w:hAnsi="Times New Roman"/>
          <w:snapToGrid/>
          <w:szCs w:val="24"/>
        </w:rPr>
        <w:t xml:space="preserve">xtension </w:t>
      </w:r>
      <w:r>
        <w:rPr>
          <w:rFonts w:ascii="Times New Roman" w:eastAsia="Melior" w:hAnsi="Times New Roman"/>
          <w:snapToGrid/>
          <w:szCs w:val="24"/>
        </w:rPr>
        <w:t>r</w:t>
      </w:r>
      <w:r w:rsidRPr="00FB6974">
        <w:rPr>
          <w:rFonts w:ascii="Times New Roman" w:eastAsia="Melior" w:hAnsi="Times New Roman"/>
          <w:snapToGrid/>
          <w:szCs w:val="24"/>
        </w:rPr>
        <w:t>equest</w:t>
      </w:r>
      <w:r>
        <w:rPr>
          <w:rFonts w:ascii="Times New Roman" w:hAnsi="Times New Roman"/>
        </w:rPr>
        <w:t xml:space="preserve"> is estimated to be 48,024 hours. </w:t>
      </w:r>
    </w:p>
    <w:p w:rsidR="00843D71" w:rsidRDefault="00843D71" w:rsidP="00A768AB">
      <w:pPr>
        <w:ind w:firstLine="720"/>
        <w:rPr>
          <w:rFonts w:ascii="Times New Roman" w:hAnsi="Times New Roman"/>
        </w:rPr>
      </w:pPr>
    </w:p>
    <w:p w:rsidR="00A768AB" w:rsidRDefault="00A768AB" w:rsidP="00A768AB">
      <w:pPr>
        <w:ind w:firstLine="720"/>
        <w:rPr>
          <w:rFonts w:ascii="Times New Roman" w:hAnsi="Times New Roman"/>
        </w:rPr>
      </w:pPr>
      <w:r>
        <w:rPr>
          <w:rFonts w:ascii="Times New Roman" w:hAnsi="Times New Roman"/>
        </w:rPr>
        <w:t>The Federal Reserve estimates that three respondents will take, on average, 20 hours to comply with the</w:t>
      </w:r>
      <w:r w:rsidR="001A5F5E">
        <w:rPr>
          <w:rFonts w:ascii="Times New Roman" w:hAnsi="Times New Roman"/>
        </w:rPr>
        <w:t xml:space="preserve"> ongoing</w:t>
      </w:r>
      <w:r>
        <w:rPr>
          <w:rFonts w:ascii="Times New Roman" w:hAnsi="Times New Roman"/>
        </w:rPr>
        <w:t xml:space="preserve"> </w:t>
      </w:r>
      <w:r>
        <w:rPr>
          <w:rFonts w:ascii="Times New Roman" w:eastAsia="Melior" w:hAnsi="Times New Roman"/>
          <w:snapToGrid/>
          <w:szCs w:val="24"/>
        </w:rPr>
        <w:t>notice</w:t>
      </w:r>
      <w:r w:rsidRPr="00FB6974">
        <w:rPr>
          <w:rFonts w:ascii="Times New Roman" w:eastAsia="Melior" w:hAnsi="Times New Roman"/>
          <w:snapToGrid/>
          <w:szCs w:val="24"/>
        </w:rPr>
        <w:t xml:space="preserve"> of </w:t>
      </w:r>
      <w:r>
        <w:rPr>
          <w:rFonts w:ascii="Times New Roman" w:eastAsia="Melior" w:hAnsi="Times New Roman"/>
          <w:snapToGrid/>
          <w:szCs w:val="24"/>
        </w:rPr>
        <w:t>m</w:t>
      </w:r>
      <w:r w:rsidRPr="00FB6974">
        <w:rPr>
          <w:rFonts w:ascii="Times New Roman" w:eastAsia="Melior" w:hAnsi="Times New Roman"/>
          <w:snapToGrid/>
          <w:szCs w:val="24"/>
        </w:rPr>
        <w:t xml:space="preserve">aterial </w:t>
      </w:r>
      <w:r>
        <w:rPr>
          <w:rFonts w:ascii="Times New Roman" w:eastAsia="Melior" w:hAnsi="Times New Roman"/>
          <w:snapToGrid/>
          <w:szCs w:val="24"/>
        </w:rPr>
        <w:t>c</w:t>
      </w:r>
      <w:r w:rsidRPr="00FB6974">
        <w:rPr>
          <w:rFonts w:ascii="Times New Roman" w:eastAsia="Melior" w:hAnsi="Times New Roman"/>
          <w:snapToGrid/>
          <w:szCs w:val="24"/>
        </w:rPr>
        <w:t>hange</w:t>
      </w:r>
      <w:r>
        <w:rPr>
          <w:rFonts w:ascii="Times New Roman" w:hAnsi="Times New Roman"/>
        </w:rPr>
        <w:t xml:space="preserve"> requirements in section 243.3.  The total annual burden for </w:t>
      </w:r>
      <w:r>
        <w:rPr>
          <w:rFonts w:ascii="Times New Roman" w:eastAsia="Melior" w:hAnsi="Times New Roman"/>
          <w:snapToGrid/>
          <w:szCs w:val="24"/>
        </w:rPr>
        <w:t>notice</w:t>
      </w:r>
      <w:r w:rsidRPr="00FB6974">
        <w:rPr>
          <w:rFonts w:ascii="Times New Roman" w:eastAsia="Melior" w:hAnsi="Times New Roman"/>
          <w:snapToGrid/>
          <w:szCs w:val="24"/>
        </w:rPr>
        <w:t xml:space="preserve"> of </w:t>
      </w:r>
      <w:r>
        <w:rPr>
          <w:rFonts w:ascii="Times New Roman" w:eastAsia="Melior" w:hAnsi="Times New Roman"/>
          <w:snapToGrid/>
          <w:szCs w:val="24"/>
        </w:rPr>
        <w:t>m</w:t>
      </w:r>
      <w:r w:rsidRPr="00FB6974">
        <w:rPr>
          <w:rFonts w:ascii="Times New Roman" w:eastAsia="Melior" w:hAnsi="Times New Roman"/>
          <w:snapToGrid/>
          <w:szCs w:val="24"/>
        </w:rPr>
        <w:t xml:space="preserve">aterial </w:t>
      </w:r>
      <w:r>
        <w:rPr>
          <w:rFonts w:ascii="Times New Roman" w:eastAsia="Melior" w:hAnsi="Times New Roman"/>
          <w:snapToGrid/>
          <w:szCs w:val="24"/>
        </w:rPr>
        <w:t>c</w:t>
      </w:r>
      <w:r w:rsidRPr="00FB6974">
        <w:rPr>
          <w:rFonts w:ascii="Times New Roman" w:eastAsia="Melior" w:hAnsi="Times New Roman"/>
          <w:snapToGrid/>
          <w:szCs w:val="24"/>
        </w:rPr>
        <w:t>hange</w:t>
      </w:r>
      <w:r>
        <w:rPr>
          <w:rFonts w:ascii="Times New Roman" w:hAnsi="Times New Roman"/>
        </w:rPr>
        <w:t xml:space="preserve"> is estimated to be 60 hours. </w:t>
      </w:r>
    </w:p>
    <w:p w:rsidR="00853694" w:rsidRDefault="00853694">
      <w:pPr>
        <w:ind w:firstLine="720"/>
        <w:rPr>
          <w:rFonts w:ascii="Times New Roman" w:hAnsi="Times New Roman"/>
        </w:rPr>
      </w:pPr>
    </w:p>
    <w:p w:rsidR="00851FB3" w:rsidRDefault="009C4001" w:rsidP="00BE78E1">
      <w:pPr>
        <w:pStyle w:val="BodyTextIndent"/>
        <w:spacing w:after="0"/>
        <w:rPr>
          <w:szCs w:val="24"/>
        </w:rPr>
      </w:pPr>
      <w:r w:rsidRPr="00386084">
        <w:rPr>
          <w:szCs w:val="24"/>
        </w:rPr>
        <w:t>Th</w:t>
      </w:r>
      <w:r w:rsidR="00EB26A3">
        <w:rPr>
          <w:szCs w:val="24"/>
        </w:rPr>
        <w:t>e</w:t>
      </w:r>
      <w:r w:rsidRPr="00386084">
        <w:rPr>
          <w:szCs w:val="24"/>
        </w:rPr>
        <w:t xml:space="preserve"> </w:t>
      </w:r>
      <w:r w:rsidR="00C43AFE">
        <w:rPr>
          <w:szCs w:val="24"/>
        </w:rPr>
        <w:t xml:space="preserve">reporting </w:t>
      </w:r>
      <w:r w:rsidR="00043C54">
        <w:rPr>
          <w:szCs w:val="24"/>
        </w:rPr>
        <w:t>requirements</w:t>
      </w:r>
      <w:r w:rsidRPr="00386084">
        <w:rPr>
          <w:szCs w:val="24"/>
        </w:rPr>
        <w:t xml:space="preserve"> </w:t>
      </w:r>
      <w:r w:rsidR="00175972">
        <w:rPr>
          <w:szCs w:val="24"/>
        </w:rPr>
        <w:t xml:space="preserve">in Regulation QQ </w:t>
      </w:r>
      <w:r w:rsidRPr="00386084">
        <w:rPr>
          <w:szCs w:val="24"/>
        </w:rPr>
        <w:t>represent</w:t>
      </w:r>
      <w:r w:rsidR="00175972">
        <w:rPr>
          <w:szCs w:val="24"/>
        </w:rPr>
        <w:t>s</w:t>
      </w:r>
      <w:r w:rsidRPr="00386084">
        <w:rPr>
          <w:szCs w:val="24"/>
        </w:rPr>
        <w:t xml:space="preserve"> </w:t>
      </w:r>
      <w:r w:rsidR="00CA062B">
        <w:rPr>
          <w:szCs w:val="24"/>
        </w:rPr>
        <w:t>7</w:t>
      </w:r>
      <w:r w:rsidR="00E22EA1">
        <w:rPr>
          <w:szCs w:val="24"/>
        </w:rPr>
        <w:t>.</w:t>
      </w:r>
      <w:r w:rsidR="00CA062B">
        <w:rPr>
          <w:szCs w:val="24"/>
        </w:rPr>
        <w:t>14</w:t>
      </w:r>
      <w:r w:rsidRPr="00386084">
        <w:rPr>
          <w:szCs w:val="24"/>
        </w:rPr>
        <w:t xml:space="preserve"> percent of total Federal Reserve System paperwork burden.</w:t>
      </w:r>
      <w:r w:rsidR="005435E5" w:rsidRPr="00386084">
        <w:rPr>
          <w:szCs w:val="24"/>
        </w:rPr>
        <w:t xml:space="preserve">  The total cost to the public is estimated to be $</w:t>
      </w:r>
      <w:r w:rsidR="006204C0">
        <w:rPr>
          <w:szCs w:val="24"/>
        </w:rPr>
        <w:t>3</w:t>
      </w:r>
      <w:r w:rsidR="0010382A">
        <w:rPr>
          <w:szCs w:val="24"/>
        </w:rPr>
        <w:t>8</w:t>
      </w:r>
      <w:r w:rsidR="00E22EA1">
        <w:rPr>
          <w:szCs w:val="24"/>
        </w:rPr>
        <w:t>,</w:t>
      </w:r>
      <w:r w:rsidR="006204C0">
        <w:rPr>
          <w:szCs w:val="24"/>
        </w:rPr>
        <w:t>360</w:t>
      </w:r>
      <w:r w:rsidR="00EB26A3">
        <w:rPr>
          <w:szCs w:val="24"/>
        </w:rPr>
        <w:t>,</w:t>
      </w:r>
      <w:r w:rsidR="006204C0">
        <w:rPr>
          <w:szCs w:val="24"/>
        </w:rPr>
        <w:t>384</w:t>
      </w:r>
      <w:r w:rsidR="005435E5" w:rsidRPr="009C5E22">
        <w:rPr>
          <w:szCs w:val="24"/>
        </w:rPr>
        <w:t>.</w:t>
      </w:r>
      <w:r w:rsidR="006204C0" w:rsidRPr="00CA062B">
        <w:rPr>
          <w:rStyle w:val="FootnoteReference"/>
          <w:szCs w:val="24"/>
          <w:vertAlign w:val="superscript"/>
        </w:rPr>
        <w:footnoteReference w:id="2"/>
      </w:r>
    </w:p>
    <w:p w:rsidR="00914B30" w:rsidRDefault="00914B30">
      <w:pPr>
        <w:widowControl/>
        <w:rPr>
          <w:rFonts w:ascii="Times New Roman" w:hAnsi="Times New Roman"/>
          <w:szCs w:val="24"/>
        </w:rPr>
      </w:pPr>
      <w:r>
        <w:rPr>
          <w:szCs w:val="24"/>
        </w:rPr>
        <w:br w:type="page"/>
      </w:r>
    </w:p>
    <w:p w:rsidR="00843D71" w:rsidRDefault="00843D71" w:rsidP="00BE78E1">
      <w:pPr>
        <w:pStyle w:val="BodyTextIndent"/>
        <w:spacing w:after="0"/>
        <w:rPr>
          <w:szCs w:val="24"/>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tblPr>
      <w:tblGrid>
        <w:gridCol w:w="3888"/>
        <w:gridCol w:w="1489"/>
        <w:gridCol w:w="1400"/>
        <w:gridCol w:w="1399"/>
        <w:gridCol w:w="1400"/>
      </w:tblGrid>
      <w:tr w:rsidR="00FC29CD" w:rsidRPr="00386084" w:rsidTr="00FB6974">
        <w:trPr>
          <w:trHeight w:val="935"/>
        </w:trPr>
        <w:tc>
          <w:tcPr>
            <w:tcW w:w="3888" w:type="dxa"/>
            <w:vAlign w:val="center"/>
          </w:tcPr>
          <w:p w:rsidR="00FC29CD" w:rsidRPr="0085585C" w:rsidRDefault="00851FB3" w:rsidP="0085585C">
            <w:pPr>
              <w:rPr>
                <w:rFonts w:ascii="Times New Roman" w:eastAsia="Melior" w:hAnsi="Times New Roman"/>
                <w:b/>
                <w:snapToGrid/>
                <w:szCs w:val="24"/>
              </w:rPr>
            </w:pPr>
            <w:r>
              <w:rPr>
                <w:szCs w:val="24"/>
              </w:rPr>
              <w:br w:type="page"/>
            </w:r>
            <w:r w:rsidR="00E47C70">
              <w:rPr>
                <w:szCs w:val="24"/>
              </w:rPr>
              <w:br w:type="page"/>
            </w:r>
            <w:r w:rsidR="00094E90">
              <w:rPr>
                <w:szCs w:val="24"/>
              </w:rPr>
              <w:br w:type="page"/>
            </w:r>
          </w:p>
        </w:tc>
        <w:tc>
          <w:tcPr>
            <w:tcW w:w="1489" w:type="dxa"/>
            <w:vAlign w:val="center"/>
          </w:tcPr>
          <w:p w:rsidR="006B200E" w:rsidRDefault="00B53C21" w:rsidP="006B200E">
            <w:pPr>
              <w:jc w:val="center"/>
              <w:rPr>
                <w:rFonts w:ascii="Times New Roman" w:hAnsi="Times New Roman"/>
                <w:i/>
                <w:color w:val="000000"/>
              </w:rPr>
            </w:pPr>
            <w:r w:rsidRPr="00B53C21">
              <w:rPr>
                <w:rFonts w:ascii="Times New Roman" w:hAnsi="Times New Roman"/>
                <w:i/>
                <w:color w:val="000000"/>
              </w:rPr>
              <w:t xml:space="preserve">Number </w:t>
            </w:r>
          </w:p>
          <w:p w:rsidR="00FC29CD" w:rsidRPr="00043C54" w:rsidRDefault="00B53C21" w:rsidP="006B200E">
            <w:pPr>
              <w:jc w:val="center"/>
              <w:rPr>
                <w:rFonts w:ascii="Times New Roman" w:hAnsi="Times New Roman"/>
                <w:i/>
                <w:color w:val="000000"/>
              </w:rPr>
            </w:pPr>
            <w:r w:rsidRPr="00B53C21">
              <w:rPr>
                <w:rFonts w:ascii="Times New Roman" w:hAnsi="Times New Roman"/>
                <w:i/>
                <w:color w:val="000000"/>
              </w:rPr>
              <w:t xml:space="preserve">of </w:t>
            </w:r>
            <w:r w:rsidR="00043C54">
              <w:rPr>
                <w:rFonts w:ascii="Times New Roman" w:hAnsi="Times New Roman"/>
                <w:i/>
                <w:color w:val="000000"/>
              </w:rPr>
              <w:t>r</w:t>
            </w:r>
            <w:r w:rsidRPr="00B53C21">
              <w:rPr>
                <w:rFonts w:ascii="Times New Roman" w:hAnsi="Times New Roman"/>
                <w:i/>
                <w:color w:val="000000"/>
              </w:rPr>
              <w:t>espondents</w:t>
            </w:r>
            <w:r w:rsidR="0036791E" w:rsidRPr="007933B9">
              <w:rPr>
                <w:rStyle w:val="FootnoteReference"/>
                <w:i/>
                <w:color w:val="000000"/>
                <w:sz w:val="22"/>
                <w:vertAlign w:val="superscript"/>
              </w:rPr>
              <w:footnoteReference w:id="3"/>
            </w:r>
          </w:p>
        </w:tc>
        <w:tc>
          <w:tcPr>
            <w:tcW w:w="1400" w:type="dxa"/>
            <w:vAlign w:val="center"/>
          </w:tcPr>
          <w:p w:rsidR="00FC29CD" w:rsidRPr="00043C54" w:rsidRDefault="00043C54" w:rsidP="006B200E">
            <w:pPr>
              <w:jc w:val="center"/>
              <w:rPr>
                <w:rFonts w:ascii="Times New Roman" w:hAnsi="Times New Roman"/>
                <w:i/>
                <w:color w:val="000000"/>
              </w:rPr>
            </w:pPr>
            <w:r>
              <w:rPr>
                <w:rFonts w:ascii="Times New Roman" w:hAnsi="Times New Roman"/>
                <w:i/>
                <w:color w:val="000000"/>
              </w:rPr>
              <w:t>Estimated annual f</w:t>
            </w:r>
            <w:r w:rsidR="00B53C21" w:rsidRPr="00B53C21">
              <w:rPr>
                <w:rFonts w:ascii="Times New Roman" w:hAnsi="Times New Roman"/>
                <w:i/>
                <w:color w:val="000000"/>
              </w:rPr>
              <w:t>requency</w:t>
            </w:r>
          </w:p>
        </w:tc>
        <w:tc>
          <w:tcPr>
            <w:tcW w:w="1399" w:type="dxa"/>
            <w:vAlign w:val="center"/>
          </w:tcPr>
          <w:p w:rsidR="00BC126B" w:rsidRDefault="00B53C21" w:rsidP="006B200E">
            <w:pPr>
              <w:jc w:val="center"/>
              <w:rPr>
                <w:rFonts w:ascii="Times New Roman" w:hAnsi="Times New Roman"/>
                <w:i/>
                <w:color w:val="000000"/>
              </w:rPr>
            </w:pPr>
            <w:r w:rsidRPr="00B53C21">
              <w:rPr>
                <w:rFonts w:ascii="Times New Roman" w:hAnsi="Times New Roman"/>
                <w:i/>
                <w:color w:val="000000"/>
              </w:rPr>
              <w:t xml:space="preserve">Estimated </w:t>
            </w:r>
            <w:r w:rsidR="00043C54">
              <w:rPr>
                <w:rFonts w:ascii="Times New Roman" w:hAnsi="Times New Roman"/>
                <w:i/>
                <w:color w:val="000000"/>
              </w:rPr>
              <w:t>a</w:t>
            </w:r>
            <w:r w:rsidRPr="00B53C21">
              <w:rPr>
                <w:rFonts w:ascii="Times New Roman" w:hAnsi="Times New Roman"/>
                <w:i/>
                <w:color w:val="000000"/>
              </w:rPr>
              <w:t xml:space="preserve">verage </w:t>
            </w:r>
            <w:r w:rsidR="00043C54">
              <w:rPr>
                <w:rFonts w:ascii="Times New Roman" w:hAnsi="Times New Roman"/>
                <w:i/>
                <w:color w:val="000000"/>
              </w:rPr>
              <w:t>h</w:t>
            </w:r>
            <w:r w:rsidRPr="00B53C21">
              <w:rPr>
                <w:rFonts w:ascii="Times New Roman" w:hAnsi="Times New Roman"/>
                <w:i/>
                <w:color w:val="000000"/>
              </w:rPr>
              <w:t xml:space="preserve">ours </w:t>
            </w:r>
          </w:p>
          <w:p w:rsidR="00FC29CD" w:rsidRPr="00043C54" w:rsidRDefault="00B53C21" w:rsidP="006B200E">
            <w:pPr>
              <w:jc w:val="center"/>
              <w:rPr>
                <w:rFonts w:ascii="Times New Roman" w:hAnsi="Times New Roman"/>
                <w:i/>
                <w:color w:val="000000"/>
              </w:rPr>
            </w:pPr>
            <w:r w:rsidRPr="00B53C21">
              <w:rPr>
                <w:rFonts w:ascii="Times New Roman" w:hAnsi="Times New Roman"/>
                <w:i/>
                <w:color w:val="000000"/>
              </w:rPr>
              <w:t xml:space="preserve">per </w:t>
            </w:r>
            <w:r w:rsidR="00043C54">
              <w:rPr>
                <w:rFonts w:ascii="Times New Roman" w:hAnsi="Times New Roman"/>
                <w:i/>
                <w:color w:val="000000"/>
              </w:rPr>
              <w:t>r</w:t>
            </w:r>
            <w:r w:rsidRPr="00B53C21">
              <w:rPr>
                <w:rFonts w:ascii="Times New Roman" w:hAnsi="Times New Roman"/>
                <w:i/>
                <w:color w:val="000000"/>
              </w:rPr>
              <w:t>esponse</w:t>
            </w:r>
          </w:p>
        </w:tc>
        <w:tc>
          <w:tcPr>
            <w:tcW w:w="1400" w:type="dxa"/>
            <w:vAlign w:val="center"/>
          </w:tcPr>
          <w:p w:rsidR="00BC126B" w:rsidRDefault="00043C54" w:rsidP="006B200E">
            <w:pPr>
              <w:jc w:val="center"/>
              <w:rPr>
                <w:rFonts w:ascii="Times New Roman" w:hAnsi="Times New Roman"/>
                <w:i/>
                <w:color w:val="000000"/>
              </w:rPr>
            </w:pPr>
            <w:r>
              <w:rPr>
                <w:rFonts w:ascii="Times New Roman" w:hAnsi="Times New Roman"/>
                <w:i/>
                <w:color w:val="000000"/>
              </w:rPr>
              <w:t xml:space="preserve">Estimated </w:t>
            </w:r>
            <w:r w:rsidR="006B200E">
              <w:rPr>
                <w:rFonts w:ascii="Times New Roman" w:hAnsi="Times New Roman"/>
                <w:i/>
                <w:color w:val="000000"/>
              </w:rPr>
              <w:t xml:space="preserve">total </w:t>
            </w:r>
          </w:p>
          <w:p w:rsidR="00FC29CD" w:rsidRPr="00043C54" w:rsidRDefault="00043C54" w:rsidP="006B200E">
            <w:pPr>
              <w:jc w:val="center"/>
              <w:rPr>
                <w:rFonts w:ascii="Times New Roman" w:hAnsi="Times New Roman"/>
                <w:i/>
                <w:color w:val="000000"/>
              </w:rPr>
            </w:pPr>
            <w:r>
              <w:rPr>
                <w:rFonts w:ascii="Times New Roman" w:hAnsi="Times New Roman"/>
                <w:i/>
                <w:color w:val="000000"/>
              </w:rPr>
              <w:t>annual</w:t>
            </w:r>
            <w:r w:rsidR="00B53C21" w:rsidRPr="00B53C21">
              <w:rPr>
                <w:rFonts w:ascii="Times New Roman" w:hAnsi="Times New Roman"/>
                <w:i/>
                <w:color w:val="000000"/>
              </w:rPr>
              <w:t xml:space="preserve"> </w:t>
            </w:r>
            <w:r>
              <w:rPr>
                <w:rFonts w:ascii="Times New Roman" w:hAnsi="Times New Roman"/>
                <w:i/>
                <w:color w:val="000000"/>
              </w:rPr>
              <w:t>b</w:t>
            </w:r>
            <w:r w:rsidR="00B53C21" w:rsidRPr="00B53C21">
              <w:rPr>
                <w:rFonts w:ascii="Times New Roman" w:hAnsi="Times New Roman"/>
                <w:i/>
                <w:color w:val="000000"/>
              </w:rPr>
              <w:t xml:space="preserve">urden </w:t>
            </w:r>
            <w:r>
              <w:rPr>
                <w:rFonts w:ascii="Times New Roman" w:hAnsi="Times New Roman"/>
                <w:i/>
                <w:color w:val="000000"/>
              </w:rPr>
              <w:t>h</w:t>
            </w:r>
            <w:r w:rsidR="00B53C21" w:rsidRPr="00B53C21">
              <w:rPr>
                <w:rFonts w:ascii="Times New Roman" w:hAnsi="Times New Roman"/>
                <w:i/>
                <w:color w:val="000000"/>
              </w:rPr>
              <w:t>ours</w:t>
            </w:r>
          </w:p>
        </w:tc>
      </w:tr>
      <w:tr w:rsidR="0085585C" w:rsidRPr="00386084" w:rsidTr="00FB6974">
        <w:trPr>
          <w:trHeight w:val="242"/>
        </w:trPr>
        <w:tc>
          <w:tcPr>
            <w:tcW w:w="3888" w:type="dxa"/>
            <w:vAlign w:val="bottom"/>
          </w:tcPr>
          <w:p w:rsidR="0085585C" w:rsidRPr="006846FE" w:rsidRDefault="0085585C" w:rsidP="00BC126B">
            <w:pPr>
              <w:rPr>
                <w:rFonts w:ascii="Times New Roman" w:eastAsia="Melior" w:hAnsi="Times New Roman"/>
                <w:i/>
                <w:snapToGrid/>
                <w:szCs w:val="24"/>
              </w:rPr>
            </w:pPr>
          </w:p>
        </w:tc>
        <w:tc>
          <w:tcPr>
            <w:tcW w:w="1489" w:type="dxa"/>
            <w:vAlign w:val="bottom"/>
          </w:tcPr>
          <w:p w:rsidR="0085585C" w:rsidRPr="00386084" w:rsidRDefault="0085585C" w:rsidP="00BC126B">
            <w:pPr>
              <w:jc w:val="center"/>
              <w:rPr>
                <w:rFonts w:ascii="Times New Roman" w:hAnsi="Times New Roman"/>
                <w:color w:val="000000"/>
                <w:sz w:val="22"/>
                <w:szCs w:val="22"/>
              </w:rPr>
            </w:pPr>
          </w:p>
        </w:tc>
        <w:tc>
          <w:tcPr>
            <w:tcW w:w="1400" w:type="dxa"/>
            <w:vAlign w:val="bottom"/>
          </w:tcPr>
          <w:p w:rsidR="0085585C" w:rsidRPr="00386084" w:rsidRDefault="0085585C" w:rsidP="00BC126B">
            <w:pPr>
              <w:jc w:val="center"/>
              <w:rPr>
                <w:rFonts w:ascii="Times New Roman" w:hAnsi="Times New Roman"/>
                <w:color w:val="000000"/>
                <w:sz w:val="22"/>
                <w:szCs w:val="22"/>
              </w:rPr>
            </w:pPr>
          </w:p>
        </w:tc>
        <w:tc>
          <w:tcPr>
            <w:tcW w:w="1399" w:type="dxa"/>
            <w:vAlign w:val="bottom"/>
          </w:tcPr>
          <w:p w:rsidR="0085585C" w:rsidRPr="00386084" w:rsidRDefault="0085585C" w:rsidP="00BC126B">
            <w:pPr>
              <w:jc w:val="center"/>
              <w:rPr>
                <w:rFonts w:ascii="Times New Roman" w:hAnsi="Times New Roman"/>
                <w:color w:val="000000"/>
                <w:sz w:val="22"/>
                <w:szCs w:val="22"/>
              </w:rPr>
            </w:pPr>
          </w:p>
        </w:tc>
        <w:tc>
          <w:tcPr>
            <w:tcW w:w="1400" w:type="dxa"/>
            <w:vAlign w:val="bottom"/>
          </w:tcPr>
          <w:p w:rsidR="0085585C" w:rsidRPr="00386084" w:rsidRDefault="0085585C" w:rsidP="00BC126B">
            <w:pPr>
              <w:jc w:val="center"/>
              <w:rPr>
                <w:rFonts w:ascii="Times New Roman" w:hAnsi="Times New Roman"/>
                <w:color w:val="000000"/>
                <w:sz w:val="22"/>
                <w:szCs w:val="22"/>
              </w:rPr>
            </w:pPr>
          </w:p>
        </w:tc>
      </w:tr>
      <w:tr w:rsidR="00FC29CD" w:rsidRPr="00386084" w:rsidTr="00FB6974">
        <w:trPr>
          <w:trHeight w:val="242"/>
        </w:trPr>
        <w:tc>
          <w:tcPr>
            <w:tcW w:w="3888" w:type="dxa"/>
            <w:vAlign w:val="bottom"/>
          </w:tcPr>
          <w:p w:rsidR="00FC29CD" w:rsidRPr="00FB6974" w:rsidRDefault="00D23FFC" w:rsidP="00BC126B">
            <w:pPr>
              <w:rPr>
                <w:rFonts w:ascii="Times New Roman" w:eastAsia="Melior" w:hAnsi="Times New Roman"/>
                <w:b/>
                <w:i/>
                <w:snapToGrid/>
                <w:szCs w:val="24"/>
              </w:rPr>
            </w:pPr>
            <w:r w:rsidRPr="00FB6974">
              <w:rPr>
                <w:rFonts w:ascii="Times New Roman" w:eastAsia="Melior" w:hAnsi="Times New Roman"/>
                <w:b/>
                <w:i/>
                <w:snapToGrid/>
                <w:szCs w:val="24"/>
              </w:rPr>
              <w:t xml:space="preserve">Implementation </w:t>
            </w:r>
          </w:p>
        </w:tc>
        <w:tc>
          <w:tcPr>
            <w:tcW w:w="1489" w:type="dxa"/>
            <w:vAlign w:val="bottom"/>
          </w:tcPr>
          <w:p w:rsidR="0048574D" w:rsidRPr="00386084" w:rsidRDefault="0048574D" w:rsidP="00BC126B">
            <w:pPr>
              <w:jc w:val="center"/>
              <w:rPr>
                <w:rFonts w:ascii="Times New Roman" w:hAnsi="Times New Roman"/>
                <w:color w:val="000000"/>
                <w:sz w:val="22"/>
                <w:szCs w:val="22"/>
              </w:rPr>
            </w:pPr>
          </w:p>
        </w:tc>
        <w:tc>
          <w:tcPr>
            <w:tcW w:w="1400" w:type="dxa"/>
            <w:vAlign w:val="bottom"/>
          </w:tcPr>
          <w:p w:rsidR="0048574D" w:rsidRPr="00386084" w:rsidRDefault="0048574D" w:rsidP="00BC126B">
            <w:pPr>
              <w:jc w:val="center"/>
              <w:rPr>
                <w:rFonts w:ascii="Times New Roman" w:hAnsi="Times New Roman"/>
                <w:color w:val="000000"/>
                <w:sz w:val="22"/>
                <w:szCs w:val="22"/>
              </w:rPr>
            </w:pPr>
          </w:p>
        </w:tc>
        <w:tc>
          <w:tcPr>
            <w:tcW w:w="1399" w:type="dxa"/>
            <w:vAlign w:val="bottom"/>
          </w:tcPr>
          <w:p w:rsidR="00FC29CD" w:rsidRPr="00386084" w:rsidRDefault="00FC29CD" w:rsidP="00BC126B">
            <w:pPr>
              <w:jc w:val="center"/>
              <w:rPr>
                <w:rFonts w:ascii="Times New Roman" w:hAnsi="Times New Roman"/>
                <w:color w:val="000000"/>
                <w:sz w:val="22"/>
                <w:szCs w:val="22"/>
              </w:rPr>
            </w:pPr>
          </w:p>
        </w:tc>
        <w:tc>
          <w:tcPr>
            <w:tcW w:w="1400" w:type="dxa"/>
            <w:vAlign w:val="bottom"/>
          </w:tcPr>
          <w:p w:rsidR="0048574D" w:rsidRPr="00386084" w:rsidRDefault="0048574D" w:rsidP="00BC126B">
            <w:pPr>
              <w:jc w:val="center"/>
              <w:rPr>
                <w:rFonts w:ascii="Times New Roman" w:hAnsi="Times New Roman"/>
                <w:color w:val="000000"/>
                <w:sz w:val="22"/>
                <w:szCs w:val="22"/>
              </w:rPr>
            </w:pPr>
          </w:p>
        </w:tc>
      </w:tr>
      <w:tr w:rsidR="00FC29CD" w:rsidRPr="00BC126B" w:rsidTr="00FB6974">
        <w:trPr>
          <w:trHeight w:val="413"/>
        </w:trPr>
        <w:tc>
          <w:tcPr>
            <w:tcW w:w="3888" w:type="dxa"/>
            <w:vAlign w:val="bottom"/>
          </w:tcPr>
          <w:p w:rsidR="00FC29CD" w:rsidRPr="00FB6974" w:rsidRDefault="00805115" w:rsidP="00BC126B">
            <w:pPr>
              <w:rPr>
                <w:rFonts w:ascii="Times New Roman" w:hAnsi="Times New Roman"/>
                <w:color w:val="000000"/>
                <w:szCs w:val="24"/>
              </w:rPr>
            </w:pPr>
            <w:r>
              <w:rPr>
                <w:rFonts w:ascii="Times New Roman" w:eastAsia="Melior" w:hAnsi="Times New Roman"/>
                <w:snapToGrid/>
                <w:szCs w:val="24"/>
              </w:rPr>
              <w:t xml:space="preserve">Resolution Plan - </w:t>
            </w:r>
            <w:r w:rsidR="00BC126B" w:rsidRPr="00FB6974">
              <w:rPr>
                <w:rFonts w:ascii="Times New Roman" w:eastAsia="Melior" w:hAnsi="Times New Roman"/>
                <w:snapToGrid/>
                <w:szCs w:val="24"/>
              </w:rPr>
              <w:t>Tailored reporters</w:t>
            </w:r>
          </w:p>
        </w:tc>
        <w:tc>
          <w:tcPr>
            <w:tcW w:w="1489" w:type="dxa"/>
            <w:vAlign w:val="bottom"/>
          </w:tcPr>
          <w:p w:rsidR="0048574D" w:rsidRPr="00BC126B" w:rsidRDefault="00BC126B" w:rsidP="004919CA">
            <w:pPr>
              <w:jc w:val="center"/>
              <w:rPr>
                <w:rFonts w:ascii="Times New Roman" w:hAnsi="Times New Roman"/>
                <w:color w:val="000000"/>
                <w:szCs w:val="24"/>
              </w:rPr>
            </w:pPr>
            <w:r w:rsidRPr="00BC126B">
              <w:rPr>
                <w:rFonts w:ascii="Times New Roman" w:hAnsi="Times New Roman"/>
                <w:color w:val="000000"/>
                <w:szCs w:val="24"/>
              </w:rPr>
              <w:t>104</w:t>
            </w:r>
          </w:p>
        </w:tc>
        <w:tc>
          <w:tcPr>
            <w:tcW w:w="1400" w:type="dxa"/>
            <w:vAlign w:val="bottom"/>
          </w:tcPr>
          <w:p w:rsidR="0048574D" w:rsidRPr="00BC126B" w:rsidRDefault="0048574D" w:rsidP="004919CA">
            <w:pPr>
              <w:jc w:val="center"/>
              <w:rPr>
                <w:rFonts w:ascii="Times New Roman" w:hAnsi="Times New Roman"/>
                <w:color w:val="000000"/>
                <w:szCs w:val="24"/>
              </w:rPr>
            </w:pPr>
            <w:r w:rsidRPr="00BC126B">
              <w:rPr>
                <w:rFonts w:ascii="Times New Roman" w:hAnsi="Times New Roman"/>
                <w:color w:val="000000"/>
                <w:szCs w:val="24"/>
              </w:rPr>
              <w:t>1</w:t>
            </w:r>
          </w:p>
        </w:tc>
        <w:tc>
          <w:tcPr>
            <w:tcW w:w="1399" w:type="dxa"/>
            <w:vAlign w:val="bottom"/>
          </w:tcPr>
          <w:p w:rsidR="00FC29CD" w:rsidRPr="00BC126B" w:rsidRDefault="00BC126B" w:rsidP="004919CA">
            <w:pPr>
              <w:jc w:val="center"/>
              <w:rPr>
                <w:rFonts w:ascii="Times New Roman" w:hAnsi="Times New Roman"/>
                <w:color w:val="000000"/>
                <w:szCs w:val="24"/>
              </w:rPr>
            </w:pPr>
            <w:r w:rsidRPr="00BC126B">
              <w:rPr>
                <w:rFonts w:ascii="Times New Roman" w:hAnsi="Times New Roman"/>
                <w:color w:val="000000"/>
                <w:szCs w:val="24"/>
              </w:rPr>
              <w:t>4,500</w:t>
            </w:r>
          </w:p>
        </w:tc>
        <w:tc>
          <w:tcPr>
            <w:tcW w:w="1400" w:type="dxa"/>
            <w:vAlign w:val="bottom"/>
          </w:tcPr>
          <w:p w:rsidR="0048574D" w:rsidRPr="00BC126B" w:rsidRDefault="00E06767" w:rsidP="00FB6974">
            <w:pPr>
              <w:jc w:val="right"/>
              <w:rPr>
                <w:rFonts w:ascii="Times New Roman" w:hAnsi="Times New Roman"/>
                <w:color w:val="000000"/>
                <w:szCs w:val="24"/>
              </w:rPr>
            </w:pPr>
            <w:r>
              <w:rPr>
                <w:rFonts w:ascii="Times New Roman" w:hAnsi="Times New Roman"/>
                <w:color w:val="000000"/>
                <w:szCs w:val="24"/>
              </w:rPr>
              <w:t>468,000</w:t>
            </w:r>
          </w:p>
        </w:tc>
      </w:tr>
      <w:tr w:rsidR="00FC29CD" w:rsidRPr="00BC126B" w:rsidTr="00FB6974">
        <w:trPr>
          <w:trHeight w:val="332"/>
        </w:trPr>
        <w:tc>
          <w:tcPr>
            <w:tcW w:w="3888" w:type="dxa"/>
            <w:vAlign w:val="bottom"/>
          </w:tcPr>
          <w:p w:rsidR="00FC29CD" w:rsidRPr="00FB6974" w:rsidRDefault="00805115" w:rsidP="00BC126B">
            <w:pPr>
              <w:rPr>
                <w:rFonts w:ascii="Times New Roman" w:hAnsi="Times New Roman"/>
                <w:color w:val="000000"/>
                <w:szCs w:val="24"/>
              </w:rPr>
            </w:pPr>
            <w:r>
              <w:rPr>
                <w:rFonts w:ascii="Times New Roman" w:hAnsi="Times New Roman"/>
                <w:color w:val="000000"/>
                <w:szCs w:val="24"/>
              </w:rPr>
              <w:t xml:space="preserve">Resolution Plan - </w:t>
            </w:r>
            <w:r w:rsidR="00BC126B" w:rsidRPr="00FB6974">
              <w:rPr>
                <w:rFonts w:ascii="Times New Roman" w:hAnsi="Times New Roman"/>
                <w:color w:val="000000"/>
                <w:szCs w:val="24"/>
              </w:rPr>
              <w:t>Full reporters</w:t>
            </w:r>
          </w:p>
        </w:tc>
        <w:tc>
          <w:tcPr>
            <w:tcW w:w="1489" w:type="dxa"/>
            <w:vAlign w:val="bottom"/>
          </w:tcPr>
          <w:p w:rsidR="0048574D" w:rsidRPr="00BC126B" w:rsidRDefault="00BC126B" w:rsidP="004919CA">
            <w:pPr>
              <w:jc w:val="center"/>
              <w:rPr>
                <w:rFonts w:ascii="Times New Roman" w:hAnsi="Times New Roman"/>
                <w:color w:val="000000"/>
                <w:szCs w:val="24"/>
              </w:rPr>
            </w:pPr>
            <w:r w:rsidRPr="00BC126B">
              <w:rPr>
                <w:rFonts w:ascii="Times New Roman" w:hAnsi="Times New Roman"/>
                <w:color w:val="000000"/>
                <w:szCs w:val="24"/>
              </w:rPr>
              <w:t>20</w:t>
            </w:r>
          </w:p>
        </w:tc>
        <w:tc>
          <w:tcPr>
            <w:tcW w:w="1400" w:type="dxa"/>
            <w:vAlign w:val="bottom"/>
          </w:tcPr>
          <w:p w:rsidR="00BB08AF" w:rsidRPr="00BC126B" w:rsidRDefault="00BC126B" w:rsidP="004919CA">
            <w:pPr>
              <w:jc w:val="center"/>
              <w:rPr>
                <w:rFonts w:ascii="Times New Roman" w:hAnsi="Times New Roman"/>
                <w:color w:val="000000"/>
                <w:szCs w:val="24"/>
              </w:rPr>
            </w:pPr>
            <w:r w:rsidRPr="00BC126B">
              <w:rPr>
                <w:rFonts w:ascii="Times New Roman" w:hAnsi="Times New Roman"/>
                <w:color w:val="000000"/>
                <w:szCs w:val="24"/>
              </w:rPr>
              <w:t>1</w:t>
            </w:r>
          </w:p>
        </w:tc>
        <w:tc>
          <w:tcPr>
            <w:tcW w:w="1399" w:type="dxa"/>
            <w:vAlign w:val="bottom"/>
          </w:tcPr>
          <w:p w:rsidR="00FC29CD" w:rsidRPr="00BC126B" w:rsidRDefault="00BC126B" w:rsidP="004919CA">
            <w:pPr>
              <w:jc w:val="center"/>
              <w:rPr>
                <w:rFonts w:ascii="Times New Roman" w:hAnsi="Times New Roman"/>
                <w:color w:val="000000"/>
                <w:szCs w:val="24"/>
              </w:rPr>
            </w:pPr>
            <w:r w:rsidRPr="00BC126B">
              <w:rPr>
                <w:rFonts w:ascii="Times New Roman" w:hAnsi="Times New Roman"/>
                <w:color w:val="000000"/>
                <w:szCs w:val="24"/>
              </w:rPr>
              <w:t>9,200</w:t>
            </w:r>
          </w:p>
        </w:tc>
        <w:tc>
          <w:tcPr>
            <w:tcW w:w="1400" w:type="dxa"/>
            <w:vAlign w:val="bottom"/>
          </w:tcPr>
          <w:p w:rsidR="00BB08AF" w:rsidRPr="00BC126B" w:rsidRDefault="00E06767" w:rsidP="00FB6974">
            <w:pPr>
              <w:jc w:val="right"/>
              <w:rPr>
                <w:rFonts w:ascii="Times New Roman" w:hAnsi="Times New Roman"/>
                <w:color w:val="000000"/>
                <w:szCs w:val="24"/>
              </w:rPr>
            </w:pPr>
            <w:r>
              <w:rPr>
                <w:rFonts w:ascii="Times New Roman" w:hAnsi="Times New Roman"/>
                <w:color w:val="000000"/>
                <w:szCs w:val="24"/>
              </w:rPr>
              <w:t>184,000</w:t>
            </w:r>
          </w:p>
        </w:tc>
      </w:tr>
      <w:tr w:rsidR="0021158C" w:rsidRPr="00BC126B" w:rsidTr="00FB6974">
        <w:trPr>
          <w:trHeight w:val="242"/>
        </w:trPr>
        <w:tc>
          <w:tcPr>
            <w:tcW w:w="3888" w:type="dxa"/>
            <w:vAlign w:val="bottom"/>
          </w:tcPr>
          <w:p w:rsidR="008A0D96" w:rsidRPr="00FB6974" w:rsidRDefault="00BC126B" w:rsidP="00805115">
            <w:pPr>
              <w:widowControl/>
              <w:autoSpaceDE w:val="0"/>
              <w:autoSpaceDN w:val="0"/>
              <w:adjustRightInd w:val="0"/>
              <w:rPr>
                <w:rFonts w:ascii="Times New Roman" w:hAnsi="Times New Roman"/>
                <w:color w:val="000000"/>
                <w:szCs w:val="24"/>
              </w:rPr>
            </w:pPr>
            <w:r w:rsidRPr="00FB6974">
              <w:rPr>
                <w:rFonts w:ascii="Times New Roman" w:eastAsia="Melior" w:hAnsi="Times New Roman"/>
                <w:snapToGrid/>
                <w:szCs w:val="24"/>
              </w:rPr>
              <w:t xml:space="preserve">Additional </w:t>
            </w:r>
            <w:r w:rsidR="00E0029F">
              <w:rPr>
                <w:rFonts w:ascii="Times New Roman" w:eastAsia="Melior" w:hAnsi="Times New Roman"/>
                <w:snapToGrid/>
                <w:szCs w:val="24"/>
              </w:rPr>
              <w:t>i</w:t>
            </w:r>
            <w:r w:rsidRPr="00FB6974">
              <w:rPr>
                <w:rFonts w:ascii="Times New Roman" w:eastAsia="Melior" w:hAnsi="Times New Roman"/>
                <w:snapToGrid/>
                <w:szCs w:val="24"/>
              </w:rPr>
              <w:t xml:space="preserve">nformation </w:t>
            </w:r>
            <w:r w:rsidR="00E0029F">
              <w:rPr>
                <w:rFonts w:ascii="Times New Roman" w:eastAsia="Melior" w:hAnsi="Times New Roman"/>
                <w:snapToGrid/>
                <w:szCs w:val="24"/>
              </w:rPr>
              <w:t>r</w:t>
            </w:r>
            <w:r w:rsidRPr="00FB6974">
              <w:rPr>
                <w:rFonts w:ascii="Times New Roman" w:eastAsia="Melior" w:hAnsi="Times New Roman"/>
                <w:snapToGrid/>
                <w:szCs w:val="24"/>
              </w:rPr>
              <w:t>equests</w:t>
            </w:r>
          </w:p>
        </w:tc>
        <w:tc>
          <w:tcPr>
            <w:tcW w:w="1489" w:type="dxa"/>
            <w:vAlign w:val="bottom"/>
          </w:tcPr>
          <w:p w:rsidR="008A0D96" w:rsidRPr="00BC126B" w:rsidRDefault="00BC126B" w:rsidP="004919CA">
            <w:pPr>
              <w:jc w:val="center"/>
              <w:rPr>
                <w:rFonts w:ascii="Times New Roman" w:hAnsi="Times New Roman"/>
                <w:color w:val="000000"/>
                <w:szCs w:val="24"/>
              </w:rPr>
            </w:pPr>
            <w:r w:rsidRPr="00BC126B">
              <w:rPr>
                <w:rFonts w:ascii="Times New Roman" w:hAnsi="Times New Roman"/>
                <w:color w:val="000000"/>
                <w:szCs w:val="24"/>
              </w:rPr>
              <w:t>24</w:t>
            </w:r>
          </w:p>
        </w:tc>
        <w:tc>
          <w:tcPr>
            <w:tcW w:w="1400" w:type="dxa"/>
            <w:vAlign w:val="bottom"/>
          </w:tcPr>
          <w:p w:rsidR="008A0D96" w:rsidRPr="00BC126B" w:rsidRDefault="004919CA" w:rsidP="004919CA">
            <w:pPr>
              <w:jc w:val="center"/>
              <w:rPr>
                <w:rFonts w:ascii="Times New Roman" w:hAnsi="Times New Roman"/>
                <w:color w:val="000000"/>
                <w:szCs w:val="24"/>
              </w:rPr>
            </w:pPr>
            <w:r>
              <w:rPr>
                <w:rFonts w:ascii="Times New Roman" w:hAnsi="Times New Roman"/>
                <w:color w:val="000000"/>
                <w:szCs w:val="24"/>
              </w:rPr>
              <w:t>2</w:t>
            </w:r>
          </w:p>
        </w:tc>
        <w:tc>
          <w:tcPr>
            <w:tcW w:w="1399" w:type="dxa"/>
            <w:vAlign w:val="bottom"/>
          </w:tcPr>
          <w:p w:rsidR="008A0D96" w:rsidRPr="00BC126B" w:rsidRDefault="00BC126B" w:rsidP="004919CA">
            <w:pPr>
              <w:jc w:val="center"/>
              <w:rPr>
                <w:rFonts w:ascii="Times New Roman" w:hAnsi="Times New Roman"/>
                <w:color w:val="000000"/>
                <w:szCs w:val="24"/>
              </w:rPr>
            </w:pPr>
            <w:r w:rsidRPr="00BC126B">
              <w:rPr>
                <w:rFonts w:ascii="Times New Roman" w:hAnsi="Times New Roman"/>
                <w:color w:val="000000"/>
                <w:szCs w:val="24"/>
              </w:rPr>
              <w:t>1,000</w:t>
            </w:r>
          </w:p>
        </w:tc>
        <w:tc>
          <w:tcPr>
            <w:tcW w:w="1400" w:type="dxa"/>
            <w:vAlign w:val="bottom"/>
          </w:tcPr>
          <w:p w:rsidR="008A0D96" w:rsidRPr="00FB6974" w:rsidRDefault="00E06767" w:rsidP="00FB6974">
            <w:pPr>
              <w:jc w:val="right"/>
              <w:rPr>
                <w:rFonts w:ascii="Times New Roman" w:hAnsi="Times New Roman"/>
                <w:color w:val="000000"/>
                <w:szCs w:val="24"/>
                <w:u w:val="single"/>
              </w:rPr>
            </w:pPr>
            <w:r w:rsidRPr="00FB6974">
              <w:rPr>
                <w:rFonts w:ascii="Times New Roman" w:hAnsi="Times New Roman"/>
                <w:color w:val="000000"/>
                <w:szCs w:val="24"/>
                <w:u w:val="single"/>
              </w:rPr>
              <w:t>48,000</w:t>
            </w:r>
          </w:p>
        </w:tc>
      </w:tr>
      <w:tr w:rsidR="004919CA" w:rsidRPr="00386084" w:rsidTr="00FB6974">
        <w:trPr>
          <w:trHeight w:val="242"/>
        </w:trPr>
        <w:tc>
          <w:tcPr>
            <w:tcW w:w="3888" w:type="dxa"/>
            <w:vAlign w:val="bottom"/>
          </w:tcPr>
          <w:p w:rsidR="004919CA" w:rsidRPr="006846FE" w:rsidRDefault="006846FE" w:rsidP="006846FE">
            <w:pPr>
              <w:jc w:val="right"/>
              <w:rPr>
                <w:rFonts w:ascii="Times New Roman" w:eastAsia="Melior" w:hAnsi="Times New Roman"/>
                <w:snapToGrid/>
                <w:szCs w:val="24"/>
              </w:rPr>
            </w:pPr>
            <w:r w:rsidRPr="006846FE">
              <w:rPr>
                <w:rFonts w:ascii="Times New Roman" w:eastAsia="Melior" w:hAnsi="Times New Roman"/>
                <w:i/>
                <w:snapToGrid/>
                <w:szCs w:val="24"/>
              </w:rPr>
              <w:t xml:space="preserve">Implementation </w:t>
            </w:r>
            <w:r>
              <w:rPr>
                <w:rFonts w:ascii="Times New Roman" w:eastAsia="Melior" w:hAnsi="Times New Roman"/>
                <w:i/>
                <w:snapToGrid/>
                <w:szCs w:val="24"/>
              </w:rPr>
              <w:t>t</w:t>
            </w:r>
            <w:r w:rsidR="004919CA" w:rsidRPr="006846FE">
              <w:rPr>
                <w:rFonts w:ascii="Times New Roman" w:hAnsi="Times New Roman"/>
                <w:i/>
                <w:color w:val="000000"/>
                <w:szCs w:val="24"/>
              </w:rPr>
              <w:t>otal</w:t>
            </w:r>
          </w:p>
        </w:tc>
        <w:tc>
          <w:tcPr>
            <w:tcW w:w="1489" w:type="dxa"/>
            <w:vAlign w:val="bottom"/>
          </w:tcPr>
          <w:p w:rsidR="004919CA" w:rsidRPr="00386084" w:rsidRDefault="004919CA" w:rsidP="004505AC">
            <w:pPr>
              <w:jc w:val="center"/>
              <w:rPr>
                <w:rFonts w:ascii="Times New Roman" w:hAnsi="Times New Roman"/>
                <w:color w:val="000000"/>
                <w:sz w:val="22"/>
                <w:szCs w:val="22"/>
              </w:rPr>
            </w:pPr>
          </w:p>
        </w:tc>
        <w:tc>
          <w:tcPr>
            <w:tcW w:w="1400" w:type="dxa"/>
            <w:vAlign w:val="bottom"/>
          </w:tcPr>
          <w:p w:rsidR="004919CA" w:rsidRPr="00386084" w:rsidRDefault="004919CA" w:rsidP="004505AC">
            <w:pPr>
              <w:jc w:val="center"/>
              <w:rPr>
                <w:rFonts w:ascii="Times New Roman" w:hAnsi="Times New Roman"/>
                <w:color w:val="000000"/>
                <w:sz w:val="22"/>
                <w:szCs w:val="22"/>
              </w:rPr>
            </w:pPr>
          </w:p>
        </w:tc>
        <w:tc>
          <w:tcPr>
            <w:tcW w:w="1399" w:type="dxa"/>
            <w:vAlign w:val="bottom"/>
          </w:tcPr>
          <w:p w:rsidR="004919CA" w:rsidRPr="00386084" w:rsidRDefault="004919CA" w:rsidP="004505AC">
            <w:pPr>
              <w:jc w:val="center"/>
              <w:rPr>
                <w:rFonts w:ascii="Times New Roman" w:hAnsi="Times New Roman"/>
                <w:color w:val="000000"/>
                <w:sz w:val="22"/>
                <w:szCs w:val="22"/>
              </w:rPr>
            </w:pPr>
          </w:p>
        </w:tc>
        <w:tc>
          <w:tcPr>
            <w:tcW w:w="1400" w:type="dxa"/>
            <w:vAlign w:val="bottom"/>
          </w:tcPr>
          <w:p w:rsidR="004919CA" w:rsidRPr="00FB6974" w:rsidRDefault="00E06767" w:rsidP="00FB6974">
            <w:pPr>
              <w:jc w:val="right"/>
              <w:rPr>
                <w:rFonts w:ascii="Times New Roman" w:hAnsi="Times New Roman"/>
                <w:b/>
                <w:color w:val="000000"/>
                <w:sz w:val="22"/>
                <w:szCs w:val="22"/>
              </w:rPr>
            </w:pPr>
            <w:r w:rsidRPr="00FB6974">
              <w:rPr>
                <w:rFonts w:ascii="Times New Roman" w:hAnsi="Times New Roman"/>
                <w:b/>
                <w:color w:val="000000"/>
                <w:sz w:val="22"/>
                <w:szCs w:val="22"/>
              </w:rPr>
              <w:t>700,000</w:t>
            </w:r>
          </w:p>
        </w:tc>
      </w:tr>
      <w:tr w:rsidR="0085585C" w:rsidRPr="00386084" w:rsidTr="00FB6974">
        <w:trPr>
          <w:trHeight w:val="242"/>
        </w:trPr>
        <w:tc>
          <w:tcPr>
            <w:tcW w:w="3888" w:type="dxa"/>
            <w:vAlign w:val="bottom"/>
          </w:tcPr>
          <w:p w:rsidR="0085585C" w:rsidRPr="006846FE" w:rsidRDefault="0085585C" w:rsidP="004505AC">
            <w:pPr>
              <w:rPr>
                <w:rFonts w:ascii="Times New Roman" w:eastAsia="Melior" w:hAnsi="Times New Roman"/>
                <w:i/>
                <w:snapToGrid/>
                <w:szCs w:val="24"/>
              </w:rPr>
            </w:pPr>
          </w:p>
        </w:tc>
        <w:tc>
          <w:tcPr>
            <w:tcW w:w="1489" w:type="dxa"/>
            <w:vAlign w:val="bottom"/>
          </w:tcPr>
          <w:p w:rsidR="0085585C" w:rsidRPr="00386084" w:rsidRDefault="0085585C" w:rsidP="004505AC">
            <w:pPr>
              <w:jc w:val="center"/>
              <w:rPr>
                <w:rFonts w:ascii="Times New Roman" w:hAnsi="Times New Roman"/>
                <w:color w:val="000000"/>
                <w:sz w:val="22"/>
                <w:szCs w:val="22"/>
              </w:rPr>
            </w:pPr>
          </w:p>
        </w:tc>
        <w:tc>
          <w:tcPr>
            <w:tcW w:w="1400" w:type="dxa"/>
            <w:vAlign w:val="bottom"/>
          </w:tcPr>
          <w:p w:rsidR="0085585C" w:rsidRPr="00386084" w:rsidRDefault="0085585C" w:rsidP="004505AC">
            <w:pPr>
              <w:jc w:val="center"/>
              <w:rPr>
                <w:rFonts w:ascii="Times New Roman" w:hAnsi="Times New Roman"/>
                <w:color w:val="000000"/>
                <w:sz w:val="22"/>
                <w:szCs w:val="22"/>
              </w:rPr>
            </w:pPr>
          </w:p>
        </w:tc>
        <w:tc>
          <w:tcPr>
            <w:tcW w:w="1399" w:type="dxa"/>
            <w:vAlign w:val="bottom"/>
          </w:tcPr>
          <w:p w:rsidR="0085585C" w:rsidRPr="00386084" w:rsidRDefault="0085585C" w:rsidP="004505AC">
            <w:pPr>
              <w:jc w:val="center"/>
              <w:rPr>
                <w:rFonts w:ascii="Times New Roman" w:hAnsi="Times New Roman"/>
                <w:color w:val="000000"/>
                <w:sz w:val="22"/>
                <w:szCs w:val="22"/>
              </w:rPr>
            </w:pPr>
          </w:p>
        </w:tc>
        <w:tc>
          <w:tcPr>
            <w:tcW w:w="1400" w:type="dxa"/>
            <w:vAlign w:val="bottom"/>
          </w:tcPr>
          <w:p w:rsidR="0085585C" w:rsidRPr="00386084" w:rsidRDefault="0085585C" w:rsidP="00FB6974">
            <w:pPr>
              <w:jc w:val="right"/>
              <w:rPr>
                <w:rFonts w:ascii="Times New Roman" w:hAnsi="Times New Roman"/>
                <w:color w:val="000000"/>
                <w:sz w:val="22"/>
                <w:szCs w:val="22"/>
              </w:rPr>
            </w:pPr>
          </w:p>
        </w:tc>
      </w:tr>
      <w:tr w:rsidR="004919CA" w:rsidRPr="00386084" w:rsidTr="00FB6974">
        <w:trPr>
          <w:trHeight w:val="242"/>
        </w:trPr>
        <w:tc>
          <w:tcPr>
            <w:tcW w:w="3888" w:type="dxa"/>
            <w:vAlign w:val="bottom"/>
          </w:tcPr>
          <w:p w:rsidR="004919CA" w:rsidRPr="00FB6974" w:rsidRDefault="004919CA" w:rsidP="004505AC">
            <w:pPr>
              <w:rPr>
                <w:rFonts w:ascii="Times New Roman" w:eastAsia="Melior" w:hAnsi="Times New Roman"/>
                <w:b/>
                <w:i/>
                <w:snapToGrid/>
                <w:szCs w:val="24"/>
              </w:rPr>
            </w:pPr>
            <w:r w:rsidRPr="00FB6974">
              <w:rPr>
                <w:rFonts w:ascii="Times New Roman" w:eastAsia="Melior" w:hAnsi="Times New Roman"/>
                <w:b/>
                <w:i/>
                <w:snapToGrid/>
                <w:szCs w:val="24"/>
              </w:rPr>
              <w:t xml:space="preserve">Ongoing </w:t>
            </w:r>
          </w:p>
        </w:tc>
        <w:tc>
          <w:tcPr>
            <w:tcW w:w="1489" w:type="dxa"/>
            <w:vAlign w:val="bottom"/>
          </w:tcPr>
          <w:p w:rsidR="004919CA" w:rsidRPr="00386084" w:rsidRDefault="004919CA" w:rsidP="004505AC">
            <w:pPr>
              <w:jc w:val="center"/>
              <w:rPr>
                <w:rFonts w:ascii="Times New Roman" w:hAnsi="Times New Roman"/>
                <w:color w:val="000000"/>
                <w:sz w:val="22"/>
                <w:szCs w:val="22"/>
              </w:rPr>
            </w:pPr>
          </w:p>
        </w:tc>
        <w:tc>
          <w:tcPr>
            <w:tcW w:w="1400" w:type="dxa"/>
            <w:vAlign w:val="bottom"/>
          </w:tcPr>
          <w:p w:rsidR="004919CA" w:rsidRPr="00386084" w:rsidRDefault="004919CA" w:rsidP="004505AC">
            <w:pPr>
              <w:jc w:val="center"/>
              <w:rPr>
                <w:rFonts w:ascii="Times New Roman" w:hAnsi="Times New Roman"/>
                <w:color w:val="000000"/>
                <w:sz w:val="22"/>
                <w:szCs w:val="22"/>
              </w:rPr>
            </w:pPr>
          </w:p>
        </w:tc>
        <w:tc>
          <w:tcPr>
            <w:tcW w:w="1399" w:type="dxa"/>
            <w:vAlign w:val="bottom"/>
          </w:tcPr>
          <w:p w:rsidR="004919CA" w:rsidRPr="00386084" w:rsidRDefault="004919CA" w:rsidP="004505AC">
            <w:pPr>
              <w:jc w:val="center"/>
              <w:rPr>
                <w:rFonts w:ascii="Times New Roman" w:hAnsi="Times New Roman"/>
                <w:color w:val="000000"/>
                <w:sz w:val="22"/>
                <w:szCs w:val="22"/>
              </w:rPr>
            </w:pPr>
          </w:p>
        </w:tc>
        <w:tc>
          <w:tcPr>
            <w:tcW w:w="1400" w:type="dxa"/>
            <w:vAlign w:val="bottom"/>
          </w:tcPr>
          <w:p w:rsidR="004919CA" w:rsidRPr="00386084" w:rsidRDefault="004919CA" w:rsidP="00FB6974">
            <w:pPr>
              <w:jc w:val="right"/>
              <w:rPr>
                <w:rFonts w:ascii="Times New Roman" w:hAnsi="Times New Roman"/>
                <w:color w:val="000000"/>
                <w:sz w:val="22"/>
                <w:szCs w:val="22"/>
              </w:rPr>
            </w:pPr>
          </w:p>
        </w:tc>
      </w:tr>
      <w:tr w:rsidR="006846FE" w:rsidRPr="00BC126B" w:rsidTr="00FB6974">
        <w:trPr>
          <w:trHeight w:val="413"/>
        </w:trPr>
        <w:tc>
          <w:tcPr>
            <w:tcW w:w="3888" w:type="dxa"/>
            <w:vAlign w:val="bottom"/>
          </w:tcPr>
          <w:p w:rsidR="006846FE" w:rsidRPr="00FB6974" w:rsidRDefault="00805115" w:rsidP="004505AC">
            <w:pPr>
              <w:rPr>
                <w:rFonts w:ascii="Times New Roman" w:hAnsi="Times New Roman"/>
                <w:color w:val="000000"/>
                <w:szCs w:val="24"/>
              </w:rPr>
            </w:pPr>
            <w:r>
              <w:rPr>
                <w:rFonts w:ascii="Times New Roman" w:eastAsia="Melior" w:hAnsi="Times New Roman"/>
                <w:snapToGrid/>
                <w:szCs w:val="24"/>
              </w:rPr>
              <w:t xml:space="preserve">Resolution Plan - </w:t>
            </w:r>
            <w:r w:rsidR="006846FE" w:rsidRPr="00FB6974">
              <w:rPr>
                <w:rFonts w:ascii="Times New Roman" w:eastAsia="Melior" w:hAnsi="Times New Roman"/>
                <w:snapToGrid/>
                <w:szCs w:val="24"/>
              </w:rPr>
              <w:t>Tailored reporters</w:t>
            </w:r>
          </w:p>
        </w:tc>
        <w:tc>
          <w:tcPr>
            <w:tcW w:w="1489" w:type="dxa"/>
            <w:vAlign w:val="bottom"/>
          </w:tcPr>
          <w:p w:rsidR="006846FE" w:rsidRPr="00BC126B" w:rsidRDefault="006846FE" w:rsidP="004505AC">
            <w:pPr>
              <w:jc w:val="center"/>
              <w:rPr>
                <w:rFonts w:ascii="Times New Roman" w:hAnsi="Times New Roman"/>
                <w:color w:val="000000"/>
                <w:szCs w:val="24"/>
              </w:rPr>
            </w:pPr>
            <w:r w:rsidRPr="00BC126B">
              <w:rPr>
                <w:rFonts w:ascii="Times New Roman" w:hAnsi="Times New Roman"/>
                <w:color w:val="000000"/>
                <w:szCs w:val="24"/>
              </w:rPr>
              <w:t>104</w:t>
            </w:r>
          </w:p>
        </w:tc>
        <w:tc>
          <w:tcPr>
            <w:tcW w:w="1400" w:type="dxa"/>
            <w:vAlign w:val="bottom"/>
          </w:tcPr>
          <w:p w:rsidR="006846FE" w:rsidRPr="00BC126B" w:rsidRDefault="006846FE" w:rsidP="004505AC">
            <w:pPr>
              <w:jc w:val="center"/>
              <w:rPr>
                <w:rFonts w:ascii="Times New Roman" w:hAnsi="Times New Roman"/>
                <w:color w:val="000000"/>
                <w:szCs w:val="24"/>
              </w:rPr>
            </w:pPr>
            <w:r w:rsidRPr="00BC126B">
              <w:rPr>
                <w:rFonts w:ascii="Times New Roman" w:hAnsi="Times New Roman"/>
                <w:color w:val="000000"/>
                <w:szCs w:val="24"/>
              </w:rPr>
              <w:t>1</w:t>
            </w:r>
          </w:p>
        </w:tc>
        <w:tc>
          <w:tcPr>
            <w:tcW w:w="1399" w:type="dxa"/>
            <w:vAlign w:val="bottom"/>
          </w:tcPr>
          <w:p w:rsidR="006846FE" w:rsidRPr="00BC126B" w:rsidRDefault="006846FE" w:rsidP="004505AC">
            <w:pPr>
              <w:jc w:val="center"/>
              <w:rPr>
                <w:rFonts w:ascii="Times New Roman" w:hAnsi="Times New Roman"/>
                <w:color w:val="000000"/>
                <w:szCs w:val="24"/>
              </w:rPr>
            </w:pPr>
            <w:r w:rsidRPr="00BC126B">
              <w:rPr>
                <w:rFonts w:ascii="Times New Roman" w:hAnsi="Times New Roman"/>
                <w:color w:val="000000"/>
                <w:szCs w:val="24"/>
              </w:rPr>
              <w:t>1,000</w:t>
            </w:r>
          </w:p>
        </w:tc>
        <w:tc>
          <w:tcPr>
            <w:tcW w:w="1400" w:type="dxa"/>
            <w:vAlign w:val="bottom"/>
          </w:tcPr>
          <w:p w:rsidR="006846FE" w:rsidRPr="00BC126B" w:rsidRDefault="000860BC" w:rsidP="00FB6974">
            <w:pPr>
              <w:jc w:val="right"/>
              <w:rPr>
                <w:rFonts w:ascii="Times New Roman" w:hAnsi="Times New Roman"/>
                <w:color w:val="000000"/>
                <w:szCs w:val="24"/>
              </w:rPr>
            </w:pPr>
            <w:r>
              <w:rPr>
                <w:rFonts w:ascii="Times New Roman" w:hAnsi="Times New Roman"/>
                <w:color w:val="000000"/>
                <w:szCs w:val="24"/>
              </w:rPr>
              <w:t>104,000</w:t>
            </w:r>
          </w:p>
        </w:tc>
      </w:tr>
      <w:tr w:rsidR="004919CA" w:rsidRPr="00BC126B" w:rsidTr="00FB6974">
        <w:trPr>
          <w:trHeight w:val="332"/>
        </w:trPr>
        <w:tc>
          <w:tcPr>
            <w:tcW w:w="3888" w:type="dxa"/>
            <w:vAlign w:val="bottom"/>
          </w:tcPr>
          <w:p w:rsidR="004919CA" w:rsidRPr="00FB6974" w:rsidRDefault="00805115" w:rsidP="004505AC">
            <w:pPr>
              <w:rPr>
                <w:rFonts w:ascii="Times New Roman" w:hAnsi="Times New Roman"/>
                <w:color w:val="000000"/>
                <w:szCs w:val="24"/>
              </w:rPr>
            </w:pPr>
            <w:r>
              <w:rPr>
                <w:rFonts w:ascii="Times New Roman" w:hAnsi="Times New Roman"/>
                <w:color w:val="000000"/>
                <w:szCs w:val="24"/>
              </w:rPr>
              <w:t xml:space="preserve">Resolution Plan - </w:t>
            </w:r>
            <w:r w:rsidR="004919CA" w:rsidRPr="00FB6974">
              <w:rPr>
                <w:rFonts w:ascii="Times New Roman" w:hAnsi="Times New Roman"/>
                <w:color w:val="000000"/>
                <w:szCs w:val="24"/>
              </w:rPr>
              <w:t>Full reporters</w:t>
            </w:r>
          </w:p>
        </w:tc>
        <w:tc>
          <w:tcPr>
            <w:tcW w:w="1489" w:type="dxa"/>
            <w:vAlign w:val="bottom"/>
          </w:tcPr>
          <w:p w:rsidR="004919CA" w:rsidRPr="00BC126B" w:rsidRDefault="004919CA" w:rsidP="004505AC">
            <w:pPr>
              <w:jc w:val="center"/>
              <w:rPr>
                <w:rFonts w:ascii="Times New Roman" w:hAnsi="Times New Roman"/>
                <w:color w:val="000000"/>
                <w:szCs w:val="24"/>
              </w:rPr>
            </w:pPr>
            <w:r w:rsidRPr="00BC126B">
              <w:rPr>
                <w:rFonts w:ascii="Times New Roman" w:hAnsi="Times New Roman"/>
                <w:color w:val="000000"/>
                <w:szCs w:val="24"/>
              </w:rPr>
              <w:t>20</w:t>
            </w:r>
          </w:p>
        </w:tc>
        <w:tc>
          <w:tcPr>
            <w:tcW w:w="1400" w:type="dxa"/>
            <w:vAlign w:val="bottom"/>
          </w:tcPr>
          <w:p w:rsidR="004919CA" w:rsidRPr="00BC126B" w:rsidRDefault="004919CA" w:rsidP="004505AC">
            <w:pPr>
              <w:jc w:val="center"/>
              <w:rPr>
                <w:rFonts w:ascii="Times New Roman" w:hAnsi="Times New Roman"/>
                <w:color w:val="000000"/>
                <w:szCs w:val="24"/>
              </w:rPr>
            </w:pPr>
            <w:r w:rsidRPr="00BC126B">
              <w:rPr>
                <w:rFonts w:ascii="Times New Roman" w:hAnsi="Times New Roman"/>
                <w:color w:val="000000"/>
                <w:szCs w:val="24"/>
              </w:rPr>
              <w:t>1</w:t>
            </w:r>
          </w:p>
        </w:tc>
        <w:tc>
          <w:tcPr>
            <w:tcW w:w="1399" w:type="dxa"/>
            <w:vAlign w:val="bottom"/>
          </w:tcPr>
          <w:p w:rsidR="004919CA" w:rsidRPr="00BC126B" w:rsidRDefault="006846FE" w:rsidP="004505AC">
            <w:pPr>
              <w:jc w:val="center"/>
              <w:rPr>
                <w:rFonts w:ascii="Times New Roman" w:hAnsi="Times New Roman"/>
                <w:color w:val="000000"/>
                <w:szCs w:val="24"/>
              </w:rPr>
            </w:pPr>
            <w:r>
              <w:rPr>
                <w:rFonts w:ascii="Times New Roman" w:hAnsi="Times New Roman"/>
                <w:color w:val="000000"/>
                <w:szCs w:val="24"/>
              </w:rPr>
              <w:t>2,561</w:t>
            </w:r>
          </w:p>
        </w:tc>
        <w:tc>
          <w:tcPr>
            <w:tcW w:w="1400" w:type="dxa"/>
            <w:vAlign w:val="bottom"/>
          </w:tcPr>
          <w:p w:rsidR="004919CA" w:rsidRPr="00BC126B" w:rsidRDefault="000860BC" w:rsidP="00FB6974">
            <w:pPr>
              <w:jc w:val="right"/>
              <w:rPr>
                <w:rFonts w:ascii="Times New Roman" w:hAnsi="Times New Roman"/>
                <w:color w:val="000000"/>
                <w:szCs w:val="24"/>
              </w:rPr>
            </w:pPr>
            <w:r>
              <w:rPr>
                <w:rFonts w:ascii="Times New Roman" w:hAnsi="Times New Roman"/>
                <w:color w:val="000000"/>
                <w:szCs w:val="24"/>
              </w:rPr>
              <w:t>51,220</w:t>
            </w:r>
          </w:p>
        </w:tc>
      </w:tr>
      <w:tr w:rsidR="004919CA" w:rsidRPr="00BC126B" w:rsidTr="00FB6974">
        <w:trPr>
          <w:trHeight w:val="278"/>
        </w:trPr>
        <w:tc>
          <w:tcPr>
            <w:tcW w:w="3888" w:type="dxa"/>
            <w:vAlign w:val="bottom"/>
          </w:tcPr>
          <w:p w:rsidR="004919CA" w:rsidRPr="00FB6974" w:rsidRDefault="004919CA" w:rsidP="004505AC">
            <w:pPr>
              <w:rPr>
                <w:rFonts w:ascii="Times New Roman" w:hAnsi="Times New Roman"/>
                <w:color w:val="000000"/>
                <w:szCs w:val="24"/>
              </w:rPr>
            </w:pPr>
            <w:r w:rsidRPr="00FB6974">
              <w:rPr>
                <w:rFonts w:ascii="Times New Roman" w:eastAsia="Melior" w:hAnsi="Times New Roman"/>
                <w:snapToGrid/>
                <w:szCs w:val="24"/>
              </w:rPr>
              <w:t xml:space="preserve">Notice of Material </w:t>
            </w:r>
            <w:r w:rsidR="00805115">
              <w:rPr>
                <w:rFonts w:ascii="Times New Roman" w:eastAsia="Melior" w:hAnsi="Times New Roman"/>
                <w:snapToGrid/>
                <w:szCs w:val="24"/>
              </w:rPr>
              <w:t>Events</w:t>
            </w:r>
          </w:p>
        </w:tc>
        <w:tc>
          <w:tcPr>
            <w:tcW w:w="1489" w:type="dxa"/>
            <w:vAlign w:val="bottom"/>
          </w:tcPr>
          <w:p w:rsidR="004919CA" w:rsidRPr="00BC126B" w:rsidRDefault="004919CA" w:rsidP="004505AC">
            <w:pPr>
              <w:jc w:val="center"/>
              <w:rPr>
                <w:rFonts w:ascii="Times New Roman" w:hAnsi="Times New Roman"/>
                <w:color w:val="000000"/>
                <w:szCs w:val="24"/>
              </w:rPr>
            </w:pPr>
            <w:r w:rsidRPr="00BC126B">
              <w:rPr>
                <w:rFonts w:ascii="Times New Roman" w:hAnsi="Times New Roman"/>
                <w:color w:val="000000"/>
                <w:szCs w:val="24"/>
              </w:rPr>
              <w:t>3</w:t>
            </w:r>
          </w:p>
        </w:tc>
        <w:tc>
          <w:tcPr>
            <w:tcW w:w="1400" w:type="dxa"/>
            <w:vAlign w:val="bottom"/>
          </w:tcPr>
          <w:p w:rsidR="004919CA" w:rsidRPr="00BC126B" w:rsidRDefault="006846FE" w:rsidP="004505AC">
            <w:pPr>
              <w:jc w:val="center"/>
              <w:rPr>
                <w:rFonts w:ascii="Times New Roman" w:hAnsi="Times New Roman"/>
                <w:color w:val="000000"/>
                <w:szCs w:val="24"/>
              </w:rPr>
            </w:pPr>
            <w:r>
              <w:rPr>
                <w:rFonts w:ascii="Times New Roman" w:hAnsi="Times New Roman"/>
                <w:color w:val="000000"/>
                <w:szCs w:val="24"/>
              </w:rPr>
              <w:t>1</w:t>
            </w:r>
          </w:p>
        </w:tc>
        <w:tc>
          <w:tcPr>
            <w:tcW w:w="1399" w:type="dxa"/>
            <w:vAlign w:val="bottom"/>
          </w:tcPr>
          <w:p w:rsidR="004919CA" w:rsidRPr="00BC126B" w:rsidRDefault="006846FE" w:rsidP="004505AC">
            <w:pPr>
              <w:jc w:val="center"/>
              <w:rPr>
                <w:rFonts w:ascii="Times New Roman" w:hAnsi="Times New Roman"/>
                <w:color w:val="000000"/>
                <w:szCs w:val="24"/>
              </w:rPr>
            </w:pPr>
            <w:r>
              <w:rPr>
                <w:rFonts w:ascii="Times New Roman" w:hAnsi="Times New Roman"/>
                <w:color w:val="000000"/>
                <w:szCs w:val="24"/>
              </w:rPr>
              <w:t>20</w:t>
            </w:r>
          </w:p>
        </w:tc>
        <w:tc>
          <w:tcPr>
            <w:tcW w:w="1400" w:type="dxa"/>
            <w:vAlign w:val="bottom"/>
          </w:tcPr>
          <w:p w:rsidR="004919CA" w:rsidRPr="00BC126B" w:rsidRDefault="000860BC" w:rsidP="00FB6974">
            <w:pPr>
              <w:jc w:val="right"/>
              <w:rPr>
                <w:rFonts w:ascii="Times New Roman" w:hAnsi="Times New Roman"/>
                <w:color w:val="000000"/>
                <w:szCs w:val="24"/>
              </w:rPr>
            </w:pPr>
            <w:r>
              <w:rPr>
                <w:rFonts w:ascii="Times New Roman" w:hAnsi="Times New Roman"/>
                <w:color w:val="000000"/>
                <w:szCs w:val="24"/>
              </w:rPr>
              <w:t>60</w:t>
            </w:r>
          </w:p>
        </w:tc>
      </w:tr>
      <w:tr w:rsidR="00E0029F" w:rsidRPr="00BC126B" w:rsidTr="00FB6974">
        <w:trPr>
          <w:trHeight w:val="242"/>
        </w:trPr>
        <w:tc>
          <w:tcPr>
            <w:tcW w:w="3888" w:type="dxa"/>
            <w:vAlign w:val="bottom"/>
          </w:tcPr>
          <w:p w:rsidR="00E0029F" w:rsidRPr="00FB6974" w:rsidRDefault="00805115" w:rsidP="004505AC">
            <w:pPr>
              <w:widowControl/>
              <w:autoSpaceDE w:val="0"/>
              <w:autoSpaceDN w:val="0"/>
              <w:adjustRightInd w:val="0"/>
              <w:rPr>
                <w:rFonts w:ascii="Times New Roman" w:hAnsi="Times New Roman"/>
                <w:color w:val="000000"/>
                <w:szCs w:val="24"/>
              </w:rPr>
            </w:pPr>
            <w:r>
              <w:rPr>
                <w:rFonts w:ascii="Times New Roman" w:eastAsia="Melior" w:hAnsi="Times New Roman"/>
                <w:snapToGrid/>
                <w:szCs w:val="24"/>
              </w:rPr>
              <w:t>E</w:t>
            </w:r>
            <w:r w:rsidR="00E0029F" w:rsidRPr="00FB6974">
              <w:rPr>
                <w:rFonts w:ascii="Times New Roman" w:eastAsia="Melior" w:hAnsi="Times New Roman"/>
                <w:snapToGrid/>
                <w:szCs w:val="24"/>
              </w:rPr>
              <w:t xml:space="preserve">xtension </w:t>
            </w:r>
            <w:r w:rsidR="00E0029F">
              <w:rPr>
                <w:rFonts w:ascii="Times New Roman" w:eastAsia="Melior" w:hAnsi="Times New Roman"/>
                <w:snapToGrid/>
                <w:szCs w:val="24"/>
              </w:rPr>
              <w:t>r</w:t>
            </w:r>
            <w:r w:rsidR="00E0029F" w:rsidRPr="00FB6974">
              <w:rPr>
                <w:rFonts w:ascii="Times New Roman" w:eastAsia="Melior" w:hAnsi="Times New Roman"/>
                <w:snapToGrid/>
                <w:szCs w:val="24"/>
              </w:rPr>
              <w:t>equests</w:t>
            </w:r>
          </w:p>
        </w:tc>
        <w:tc>
          <w:tcPr>
            <w:tcW w:w="1489" w:type="dxa"/>
            <w:vAlign w:val="bottom"/>
          </w:tcPr>
          <w:p w:rsidR="00E0029F" w:rsidRPr="00BC126B" w:rsidRDefault="00E0029F" w:rsidP="004505AC">
            <w:pPr>
              <w:jc w:val="center"/>
              <w:rPr>
                <w:rFonts w:ascii="Times New Roman" w:hAnsi="Times New Roman"/>
                <w:color w:val="000000"/>
                <w:szCs w:val="24"/>
              </w:rPr>
            </w:pPr>
            <w:r w:rsidRPr="00BC126B">
              <w:rPr>
                <w:rFonts w:ascii="Times New Roman" w:hAnsi="Times New Roman"/>
                <w:color w:val="000000"/>
                <w:szCs w:val="24"/>
              </w:rPr>
              <w:t>24</w:t>
            </w:r>
          </w:p>
        </w:tc>
        <w:tc>
          <w:tcPr>
            <w:tcW w:w="1400" w:type="dxa"/>
            <w:vAlign w:val="bottom"/>
          </w:tcPr>
          <w:p w:rsidR="00E0029F" w:rsidRPr="00BC126B" w:rsidRDefault="00E0029F" w:rsidP="004505AC">
            <w:pPr>
              <w:jc w:val="center"/>
              <w:rPr>
                <w:rFonts w:ascii="Times New Roman" w:hAnsi="Times New Roman"/>
                <w:color w:val="000000"/>
                <w:szCs w:val="24"/>
              </w:rPr>
            </w:pPr>
            <w:r>
              <w:rPr>
                <w:rFonts w:ascii="Times New Roman" w:hAnsi="Times New Roman"/>
                <w:color w:val="000000"/>
                <w:szCs w:val="24"/>
              </w:rPr>
              <w:t>1</w:t>
            </w:r>
          </w:p>
        </w:tc>
        <w:tc>
          <w:tcPr>
            <w:tcW w:w="1399" w:type="dxa"/>
            <w:vAlign w:val="bottom"/>
          </w:tcPr>
          <w:p w:rsidR="00E0029F" w:rsidRPr="00BC126B" w:rsidRDefault="00E0029F" w:rsidP="004505AC">
            <w:pPr>
              <w:jc w:val="center"/>
              <w:rPr>
                <w:rFonts w:ascii="Times New Roman" w:hAnsi="Times New Roman"/>
                <w:color w:val="000000"/>
                <w:szCs w:val="24"/>
              </w:rPr>
            </w:pPr>
            <w:r>
              <w:rPr>
                <w:rFonts w:ascii="Times New Roman" w:hAnsi="Times New Roman"/>
                <w:color w:val="000000"/>
                <w:szCs w:val="24"/>
              </w:rPr>
              <w:t>1</w:t>
            </w:r>
          </w:p>
        </w:tc>
        <w:tc>
          <w:tcPr>
            <w:tcW w:w="1400" w:type="dxa"/>
            <w:vAlign w:val="bottom"/>
          </w:tcPr>
          <w:p w:rsidR="00E0029F" w:rsidRPr="00FB6974" w:rsidRDefault="00E0029F" w:rsidP="00FB6974">
            <w:pPr>
              <w:jc w:val="right"/>
              <w:rPr>
                <w:rFonts w:ascii="Times New Roman" w:hAnsi="Times New Roman"/>
                <w:color w:val="000000"/>
                <w:szCs w:val="24"/>
                <w:u w:val="single"/>
              </w:rPr>
            </w:pPr>
            <w:r w:rsidRPr="00FB6974">
              <w:rPr>
                <w:rFonts w:ascii="Times New Roman" w:hAnsi="Times New Roman"/>
                <w:color w:val="000000"/>
                <w:szCs w:val="24"/>
                <w:u w:val="single"/>
              </w:rPr>
              <w:t>24</w:t>
            </w:r>
          </w:p>
        </w:tc>
      </w:tr>
      <w:tr w:rsidR="00FC29CD" w:rsidRPr="00386084" w:rsidTr="00FB6974">
        <w:trPr>
          <w:trHeight w:val="278"/>
        </w:trPr>
        <w:tc>
          <w:tcPr>
            <w:tcW w:w="3888" w:type="dxa"/>
            <w:vAlign w:val="bottom"/>
          </w:tcPr>
          <w:p w:rsidR="00FC29CD" w:rsidRPr="006846FE" w:rsidRDefault="006846FE" w:rsidP="006846FE">
            <w:pPr>
              <w:jc w:val="right"/>
              <w:rPr>
                <w:rFonts w:ascii="Times New Roman" w:hAnsi="Times New Roman"/>
                <w:i/>
                <w:color w:val="000000"/>
                <w:szCs w:val="24"/>
              </w:rPr>
            </w:pPr>
            <w:r w:rsidRPr="006846FE">
              <w:rPr>
                <w:rFonts w:ascii="Times New Roman" w:eastAsia="Melior" w:hAnsi="Times New Roman"/>
                <w:i/>
                <w:snapToGrid/>
                <w:szCs w:val="24"/>
              </w:rPr>
              <w:t xml:space="preserve">Ongoing </w:t>
            </w:r>
            <w:r>
              <w:rPr>
                <w:rFonts w:ascii="Times New Roman" w:eastAsia="Melior" w:hAnsi="Times New Roman"/>
                <w:i/>
                <w:snapToGrid/>
                <w:szCs w:val="24"/>
              </w:rPr>
              <w:t>t</w:t>
            </w:r>
            <w:r w:rsidR="00727293" w:rsidRPr="006846FE">
              <w:rPr>
                <w:rFonts w:ascii="Times New Roman" w:hAnsi="Times New Roman"/>
                <w:i/>
                <w:color w:val="000000"/>
                <w:szCs w:val="24"/>
              </w:rPr>
              <w:t>otal</w:t>
            </w:r>
          </w:p>
        </w:tc>
        <w:tc>
          <w:tcPr>
            <w:tcW w:w="1489" w:type="dxa"/>
            <w:vAlign w:val="bottom"/>
          </w:tcPr>
          <w:p w:rsidR="00FC29CD" w:rsidRPr="00386084" w:rsidRDefault="00FC29CD" w:rsidP="00BC126B">
            <w:pPr>
              <w:jc w:val="center"/>
              <w:rPr>
                <w:rFonts w:ascii="Times New Roman" w:hAnsi="Times New Roman"/>
                <w:color w:val="000000"/>
                <w:sz w:val="22"/>
                <w:szCs w:val="22"/>
              </w:rPr>
            </w:pPr>
          </w:p>
        </w:tc>
        <w:tc>
          <w:tcPr>
            <w:tcW w:w="1400" w:type="dxa"/>
            <w:vAlign w:val="bottom"/>
          </w:tcPr>
          <w:p w:rsidR="00FC29CD" w:rsidRPr="00386084" w:rsidRDefault="00FC29CD" w:rsidP="00BC126B">
            <w:pPr>
              <w:jc w:val="center"/>
              <w:rPr>
                <w:rFonts w:ascii="Times New Roman" w:hAnsi="Times New Roman"/>
                <w:color w:val="000000"/>
                <w:sz w:val="22"/>
                <w:szCs w:val="22"/>
              </w:rPr>
            </w:pPr>
          </w:p>
        </w:tc>
        <w:tc>
          <w:tcPr>
            <w:tcW w:w="1399" w:type="dxa"/>
            <w:vAlign w:val="bottom"/>
          </w:tcPr>
          <w:p w:rsidR="00FC29CD" w:rsidRPr="00386084" w:rsidRDefault="00FC29CD" w:rsidP="00BC126B">
            <w:pPr>
              <w:jc w:val="center"/>
              <w:rPr>
                <w:rFonts w:ascii="Times New Roman" w:hAnsi="Times New Roman"/>
                <w:color w:val="000000"/>
                <w:sz w:val="22"/>
                <w:szCs w:val="22"/>
              </w:rPr>
            </w:pPr>
          </w:p>
        </w:tc>
        <w:tc>
          <w:tcPr>
            <w:tcW w:w="1400" w:type="dxa"/>
            <w:vAlign w:val="bottom"/>
          </w:tcPr>
          <w:p w:rsidR="00FC29CD" w:rsidRPr="00FB6974" w:rsidRDefault="000860BC" w:rsidP="00FB6974">
            <w:pPr>
              <w:jc w:val="right"/>
              <w:rPr>
                <w:rFonts w:ascii="Times New Roman" w:hAnsi="Times New Roman"/>
                <w:b/>
                <w:color w:val="000000"/>
                <w:sz w:val="22"/>
                <w:szCs w:val="22"/>
              </w:rPr>
            </w:pPr>
            <w:r w:rsidRPr="00FB6974">
              <w:rPr>
                <w:rFonts w:ascii="Times New Roman" w:hAnsi="Times New Roman"/>
                <w:b/>
                <w:color w:val="000000"/>
                <w:sz w:val="22"/>
                <w:szCs w:val="22"/>
              </w:rPr>
              <w:t>155,304</w:t>
            </w:r>
          </w:p>
        </w:tc>
      </w:tr>
      <w:tr w:rsidR="000860BC" w:rsidRPr="00386084" w:rsidTr="00FB6974">
        <w:trPr>
          <w:trHeight w:val="422"/>
        </w:trPr>
        <w:tc>
          <w:tcPr>
            <w:tcW w:w="3888" w:type="dxa"/>
            <w:vAlign w:val="bottom"/>
          </w:tcPr>
          <w:p w:rsidR="000860BC" w:rsidRPr="006846FE" w:rsidRDefault="000860BC" w:rsidP="006846FE">
            <w:pPr>
              <w:jc w:val="right"/>
              <w:rPr>
                <w:rFonts w:ascii="Times New Roman" w:eastAsia="Melior" w:hAnsi="Times New Roman"/>
                <w:i/>
                <w:snapToGrid/>
                <w:szCs w:val="24"/>
              </w:rPr>
            </w:pPr>
            <w:r>
              <w:rPr>
                <w:rFonts w:ascii="Times New Roman" w:eastAsia="Melior" w:hAnsi="Times New Roman"/>
                <w:i/>
                <w:snapToGrid/>
                <w:szCs w:val="24"/>
              </w:rPr>
              <w:t>Total</w:t>
            </w:r>
          </w:p>
        </w:tc>
        <w:tc>
          <w:tcPr>
            <w:tcW w:w="1489" w:type="dxa"/>
            <w:vAlign w:val="bottom"/>
          </w:tcPr>
          <w:p w:rsidR="000860BC" w:rsidRPr="00386084" w:rsidRDefault="000860BC" w:rsidP="00BC126B">
            <w:pPr>
              <w:jc w:val="center"/>
              <w:rPr>
                <w:rFonts w:ascii="Times New Roman" w:hAnsi="Times New Roman"/>
                <w:color w:val="000000"/>
                <w:sz w:val="22"/>
                <w:szCs w:val="22"/>
              </w:rPr>
            </w:pPr>
          </w:p>
        </w:tc>
        <w:tc>
          <w:tcPr>
            <w:tcW w:w="1400" w:type="dxa"/>
            <w:vAlign w:val="bottom"/>
          </w:tcPr>
          <w:p w:rsidR="000860BC" w:rsidRPr="00386084" w:rsidRDefault="000860BC" w:rsidP="00BC126B">
            <w:pPr>
              <w:jc w:val="center"/>
              <w:rPr>
                <w:rFonts w:ascii="Times New Roman" w:hAnsi="Times New Roman"/>
                <w:color w:val="000000"/>
                <w:sz w:val="22"/>
                <w:szCs w:val="22"/>
              </w:rPr>
            </w:pPr>
          </w:p>
        </w:tc>
        <w:tc>
          <w:tcPr>
            <w:tcW w:w="1399" w:type="dxa"/>
            <w:vAlign w:val="bottom"/>
          </w:tcPr>
          <w:p w:rsidR="000860BC" w:rsidRPr="00386084" w:rsidRDefault="000860BC" w:rsidP="00BC126B">
            <w:pPr>
              <w:jc w:val="center"/>
              <w:rPr>
                <w:rFonts w:ascii="Times New Roman" w:hAnsi="Times New Roman"/>
                <w:color w:val="000000"/>
                <w:sz w:val="22"/>
                <w:szCs w:val="22"/>
              </w:rPr>
            </w:pPr>
          </w:p>
        </w:tc>
        <w:tc>
          <w:tcPr>
            <w:tcW w:w="1400" w:type="dxa"/>
            <w:vAlign w:val="bottom"/>
          </w:tcPr>
          <w:p w:rsidR="000860BC" w:rsidRPr="00FB6974" w:rsidRDefault="000860BC" w:rsidP="00FB6974">
            <w:pPr>
              <w:jc w:val="right"/>
              <w:rPr>
                <w:rFonts w:ascii="Times New Roman" w:hAnsi="Times New Roman"/>
                <w:b/>
                <w:color w:val="000000"/>
                <w:sz w:val="22"/>
                <w:szCs w:val="22"/>
              </w:rPr>
            </w:pPr>
            <w:r w:rsidRPr="00FB6974">
              <w:rPr>
                <w:rFonts w:ascii="Times New Roman" w:hAnsi="Times New Roman"/>
                <w:b/>
                <w:color w:val="000000"/>
                <w:sz w:val="22"/>
                <w:szCs w:val="22"/>
              </w:rPr>
              <w:t>855,304</w:t>
            </w:r>
          </w:p>
        </w:tc>
      </w:tr>
    </w:tbl>
    <w:p w:rsidR="009C4001" w:rsidRPr="00386084" w:rsidRDefault="009C4001" w:rsidP="002A6CC9">
      <w:pPr>
        <w:rPr>
          <w:rFonts w:ascii="Times New Roman" w:hAnsi="Times New Roman"/>
          <w:color w:val="000000"/>
        </w:rPr>
      </w:pPr>
    </w:p>
    <w:p w:rsidR="00D757AD" w:rsidRPr="009D3707" w:rsidRDefault="00094E90">
      <w:pPr>
        <w:widowControl/>
        <w:rPr>
          <w:rFonts w:ascii="Times New Roman" w:hAnsi="Times New Roman"/>
          <w:szCs w:val="24"/>
        </w:rPr>
      </w:pPr>
      <w:r w:rsidRPr="009D3707">
        <w:rPr>
          <w:rFonts w:ascii="Times New Roman" w:hAnsi="Times New Roman"/>
          <w:b/>
          <w:szCs w:val="24"/>
        </w:rPr>
        <w:t>E</w:t>
      </w:r>
      <w:r w:rsidR="00D757AD" w:rsidRPr="009D3707">
        <w:rPr>
          <w:rFonts w:ascii="Times New Roman" w:hAnsi="Times New Roman"/>
          <w:b/>
          <w:szCs w:val="24"/>
        </w:rPr>
        <w:t xml:space="preserve">stimate of Cost to the Federal Reserve System </w:t>
      </w:r>
    </w:p>
    <w:p w:rsidR="0001410D" w:rsidRPr="009D3707" w:rsidRDefault="0001410D">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D757AD" w:rsidRPr="00FE7297" w:rsidRDefault="00235F01" w:rsidP="006219C4">
      <w:pPr>
        <w:widowControl/>
        <w:tabs>
          <w:tab w:val="left" w:pos="-1440"/>
          <w:tab w:val="left" w:pos="-720"/>
        </w:tabs>
        <w:ind w:firstLine="720"/>
        <w:rPr>
          <w:rFonts w:ascii="Times New Roman" w:hAnsi="Times New Roman"/>
          <w:szCs w:val="24"/>
        </w:rPr>
      </w:pPr>
      <w:r w:rsidRPr="009D3707">
        <w:rPr>
          <w:rFonts w:ascii="Times New Roman" w:hAnsi="Times New Roman"/>
          <w:szCs w:val="24"/>
        </w:rPr>
        <w:t xml:space="preserve">The </w:t>
      </w:r>
      <w:r w:rsidR="005F7CE0">
        <w:rPr>
          <w:rFonts w:ascii="Times New Roman" w:hAnsi="Times New Roman"/>
          <w:szCs w:val="24"/>
        </w:rPr>
        <w:t xml:space="preserve">estimate of </w:t>
      </w:r>
      <w:r w:rsidRPr="009D3707">
        <w:rPr>
          <w:rFonts w:ascii="Times New Roman" w:hAnsi="Times New Roman"/>
          <w:szCs w:val="24"/>
        </w:rPr>
        <w:t xml:space="preserve">cost </w:t>
      </w:r>
      <w:r w:rsidR="00DF25F6" w:rsidRPr="009D3707">
        <w:rPr>
          <w:rFonts w:ascii="Times New Roman" w:hAnsi="Times New Roman"/>
          <w:szCs w:val="24"/>
        </w:rPr>
        <w:t xml:space="preserve">to the Federal Reserve System </w:t>
      </w:r>
      <w:r w:rsidRPr="009D3707">
        <w:rPr>
          <w:rFonts w:ascii="Times New Roman" w:hAnsi="Times New Roman"/>
          <w:szCs w:val="24"/>
        </w:rPr>
        <w:t xml:space="preserve">for the </w:t>
      </w:r>
      <w:r w:rsidR="00DF25F6" w:rsidRPr="009D3707">
        <w:rPr>
          <w:rFonts w:ascii="Times New Roman" w:hAnsi="Times New Roman"/>
          <w:szCs w:val="24"/>
        </w:rPr>
        <w:t xml:space="preserve">reporting requirements associated with the Reg </w:t>
      </w:r>
      <w:r w:rsidR="00286921">
        <w:rPr>
          <w:rFonts w:ascii="Times New Roman" w:hAnsi="Times New Roman"/>
          <w:szCs w:val="24"/>
        </w:rPr>
        <w:t>QQ</w:t>
      </w:r>
      <w:r w:rsidR="005F7CE0">
        <w:rPr>
          <w:rFonts w:ascii="Times New Roman" w:hAnsi="Times New Roman"/>
          <w:szCs w:val="24"/>
        </w:rPr>
        <w:t xml:space="preserve"> will be provided once the Federal Reserve obtains additional information after implementing these requirements.</w:t>
      </w:r>
      <w:r w:rsidR="0010382A">
        <w:rPr>
          <w:rFonts w:ascii="Times New Roman" w:hAnsi="Times New Roman"/>
          <w:szCs w:val="24"/>
        </w:rPr>
        <w:t xml:space="preserve">  </w:t>
      </w:r>
    </w:p>
    <w:sectPr w:rsidR="00D757AD" w:rsidRPr="00FE7297" w:rsidSect="00386084">
      <w:footerReference w:type="even" r:id="rId8"/>
      <w:footerReference w:type="default" r:id="rId9"/>
      <w:endnotePr>
        <w:numFmt w:val="decimal"/>
      </w:endnotePr>
      <w:type w:val="continuous"/>
      <w:pgSz w:w="12240" w:h="15840" w:code="1"/>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5E2" w:rsidRDefault="00B555E2" w:rsidP="002C3F4E">
      <w:r>
        <w:separator/>
      </w:r>
    </w:p>
  </w:endnote>
  <w:endnote w:type="continuationSeparator" w:id="0">
    <w:p w:rsidR="00B555E2" w:rsidRDefault="00B555E2" w:rsidP="002C3F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elior">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F9D" w:rsidRDefault="0098715F" w:rsidP="001633A7">
    <w:pPr>
      <w:pStyle w:val="Footer"/>
      <w:framePr w:wrap="around" w:vAnchor="text" w:hAnchor="margin" w:xAlign="center" w:y="1"/>
      <w:rPr>
        <w:rStyle w:val="PageNumber"/>
      </w:rPr>
    </w:pPr>
    <w:r>
      <w:rPr>
        <w:rStyle w:val="PageNumber"/>
      </w:rPr>
      <w:fldChar w:fldCharType="begin"/>
    </w:r>
    <w:r w:rsidR="00617F9D">
      <w:rPr>
        <w:rStyle w:val="PageNumber"/>
      </w:rPr>
      <w:instrText xml:space="preserve">PAGE  </w:instrText>
    </w:r>
    <w:r>
      <w:rPr>
        <w:rStyle w:val="PageNumber"/>
      </w:rPr>
      <w:fldChar w:fldCharType="end"/>
    </w:r>
  </w:p>
  <w:p w:rsidR="00617F9D" w:rsidRDefault="00617F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241831391"/>
      <w:docPartObj>
        <w:docPartGallery w:val="Page Numbers (Bottom of Page)"/>
        <w:docPartUnique/>
      </w:docPartObj>
    </w:sdtPr>
    <w:sdtContent>
      <w:p w:rsidR="00617F9D" w:rsidRPr="00386084" w:rsidRDefault="0098715F" w:rsidP="00386084">
        <w:pPr>
          <w:pStyle w:val="Footer"/>
          <w:jc w:val="center"/>
          <w:rPr>
            <w:rFonts w:ascii="Times New Roman" w:hAnsi="Times New Roman"/>
          </w:rPr>
        </w:pPr>
        <w:r w:rsidRPr="00386084">
          <w:rPr>
            <w:rFonts w:ascii="Times New Roman" w:hAnsi="Times New Roman"/>
          </w:rPr>
          <w:fldChar w:fldCharType="begin"/>
        </w:r>
        <w:r w:rsidR="00617F9D" w:rsidRPr="00386084">
          <w:rPr>
            <w:rFonts w:ascii="Times New Roman" w:hAnsi="Times New Roman"/>
          </w:rPr>
          <w:instrText xml:space="preserve"> PAGE   \* MERGEFORMAT </w:instrText>
        </w:r>
        <w:r w:rsidRPr="00386084">
          <w:rPr>
            <w:rFonts w:ascii="Times New Roman" w:hAnsi="Times New Roman"/>
          </w:rPr>
          <w:fldChar w:fldCharType="separate"/>
        </w:r>
        <w:r w:rsidR="005D57BF">
          <w:rPr>
            <w:rFonts w:ascii="Times New Roman" w:hAnsi="Times New Roman"/>
            <w:noProof/>
          </w:rPr>
          <w:t>3</w:t>
        </w:r>
        <w:r w:rsidRPr="00386084">
          <w:rPr>
            <w:rFonts w:ascii="Times New Roman" w:hAnsi="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5E2" w:rsidRDefault="00B555E2" w:rsidP="002C3F4E">
      <w:r>
        <w:separator/>
      </w:r>
    </w:p>
  </w:footnote>
  <w:footnote w:type="continuationSeparator" w:id="0">
    <w:p w:rsidR="00B555E2" w:rsidRDefault="00B555E2" w:rsidP="002C3F4E">
      <w:r>
        <w:continuationSeparator/>
      </w:r>
    </w:p>
  </w:footnote>
  <w:footnote w:id="1">
    <w:p w:rsidR="00617F9D" w:rsidRDefault="00617F9D" w:rsidP="00FC28AF">
      <w:pPr>
        <w:widowControl/>
        <w:tabs>
          <w:tab w:val="left" w:pos="1020"/>
        </w:tabs>
        <w:autoSpaceDE w:val="0"/>
        <w:autoSpaceDN w:val="0"/>
        <w:adjustRightInd w:val="0"/>
      </w:pPr>
      <w:r w:rsidRPr="00FC28AF">
        <w:rPr>
          <w:rStyle w:val="FootnoteReference"/>
          <w:sz w:val="20"/>
          <w:vertAlign w:val="superscript"/>
        </w:rPr>
        <w:footnoteRef/>
      </w:r>
      <w:r w:rsidRPr="00FC28AF">
        <w:rPr>
          <w:rFonts w:ascii="Times New Roman" w:hAnsi="Times New Roman"/>
          <w:sz w:val="20"/>
        </w:rPr>
        <w:t xml:space="preserve"> </w:t>
      </w:r>
      <w:r>
        <w:rPr>
          <w:rFonts w:ascii="Times New Roman" w:hAnsi="Times New Roman"/>
          <w:sz w:val="20"/>
        </w:rPr>
        <w:t xml:space="preserve">This includes </w:t>
      </w:r>
      <w:r w:rsidRPr="00FC28AF">
        <w:rPr>
          <w:rFonts w:ascii="Times New Roman" w:eastAsia="Melior" w:hAnsi="Times New Roman"/>
          <w:snapToGrid/>
          <w:sz w:val="20"/>
        </w:rPr>
        <w:t>any foreign bank or company</w:t>
      </w:r>
      <w:r>
        <w:rPr>
          <w:rFonts w:ascii="Times New Roman" w:eastAsia="Melior" w:hAnsi="Times New Roman"/>
          <w:snapToGrid/>
          <w:sz w:val="20"/>
        </w:rPr>
        <w:t xml:space="preserve"> </w:t>
      </w:r>
      <w:r w:rsidRPr="00FC28AF">
        <w:rPr>
          <w:rFonts w:ascii="Times New Roman" w:eastAsia="Melior" w:hAnsi="Times New Roman"/>
          <w:snapToGrid/>
          <w:sz w:val="20"/>
        </w:rPr>
        <w:t>that is, or is treated as, a bank holding</w:t>
      </w:r>
      <w:r>
        <w:rPr>
          <w:rFonts w:ascii="Times New Roman" w:eastAsia="Melior" w:hAnsi="Times New Roman"/>
          <w:snapToGrid/>
          <w:sz w:val="20"/>
        </w:rPr>
        <w:t xml:space="preserve"> </w:t>
      </w:r>
      <w:r w:rsidRPr="00FC28AF">
        <w:rPr>
          <w:rFonts w:ascii="Times New Roman" w:eastAsia="Melior" w:hAnsi="Times New Roman"/>
          <w:snapToGrid/>
          <w:sz w:val="20"/>
        </w:rPr>
        <w:t>company under section 8(a) of the</w:t>
      </w:r>
      <w:r>
        <w:rPr>
          <w:rFonts w:ascii="Times New Roman" w:eastAsia="Melior" w:hAnsi="Times New Roman"/>
          <w:snapToGrid/>
          <w:sz w:val="20"/>
        </w:rPr>
        <w:t xml:space="preserve"> </w:t>
      </w:r>
      <w:r w:rsidRPr="00FC28AF">
        <w:rPr>
          <w:rFonts w:ascii="Times New Roman" w:eastAsia="Melior" w:hAnsi="Times New Roman"/>
          <w:snapToGrid/>
          <w:sz w:val="20"/>
        </w:rPr>
        <w:t>International Banking Act of 1978</w:t>
      </w:r>
      <w:r w:rsidR="00877FE3">
        <w:rPr>
          <w:rFonts w:ascii="Times New Roman" w:eastAsia="Melior" w:hAnsi="Times New Roman"/>
          <w:snapToGrid/>
          <w:sz w:val="20"/>
        </w:rPr>
        <w:t>,</w:t>
      </w:r>
      <w:r w:rsidRPr="00FC28AF">
        <w:rPr>
          <w:rFonts w:ascii="Times New Roman" w:eastAsia="Melior" w:hAnsi="Times New Roman"/>
          <w:snapToGrid/>
          <w:sz w:val="20"/>
        </w:rPr>
        <w:t xml:space="preserve"> and</w:t>
      </w:r>
      <w:r>
        <w:rPr>
          <w:rFonts w:ascii="Times New Roman" w:eastAsia="Melior" w:hAnsi="Times New Roman"/>
          <w:snapToGrid/>
          <w:sz w:val="20"/>
        </w:rPr>
        <w:t xml:space="preserve"> </w:t>
      </w:r>
      <w:r w:rsidRPr="00FC28AF">
        <w:rPr>
          <w:rFonts w:ascii="Times New Roman" w:eastAsia="Melior" w:hAnsi="Times New Roman"/>
          <w:snapToGrid/>
          <w:sz w:val="20"/>
        </w:rPr>
        <w:t>that has $50 billion or more in total</w:t>
      </w:r>
      <w:r>
        <w:rPr>
          <w:rFonts w:ascii="Times New Roman" w:eastAsia="Melior" w:hAnsi="Times New Roman"/>
          <w:snapToGrid/>
          <w:sz w:val="20"/>
        </w:rPr>
        <w:t xml:space="preserve"> </w:t>
      </w:r>
      <w:r w:rsidRPr="00FC28AF">
        <w:rPr>
          <w:rFonts w:ascii="Times New Roman" w:eastAsia="Melior" w:hAnsi="Times New Roman"/>
          <w:snapToGrid/>
          <w:sz w:val="20"/>
        </w:rPr>
        <w:t>consolidated assets</w:t>
      </w:r>
      <w:r>
        <w:rPr>
          <w:rFonts w:ascii="Times New Roman" w:eastAsia="Melior" w:hAnsi="Times New Roman"/>
          <w:snapToGrid/>
          <w:sz w:val="20"/>
        </w:rPr>
        <w:t>.</w:t>
      </w:r>
    </w:p>
  </w:footnote>
  <w:footnote w:id="2">
    <w:p w:rsidR="00617F9D" w:rsidRPr="00843D71" w:rsidRDefault="00617F9D">
      <w:pPr>
        <w:pStyle w:val="FootnoteText"/>
        <w:rPr>
          <w:rFonts w:ascii="Times New Roman" w:hAnsi="Times New Roman"/>
        </w:rPr>
      </w:pPr>
      <w:r w:rsidRPr="00843D71">
        <w:rPr>
          <w:rStyle w:val="FootnoteReference"/>
          <w:vertAlign w:val="superscript"/>
        </w:rPr>
        <w:footnoteRef/>
      </w:r>
      <w:r w:rsidRPr="00843D71">
        <w:rPr>
          <w:rFonts w:ascii="Times New Roman" w:hAnsi="Times New Roman"/>
          <w:vertAlign w:val="superscript"/>
        </w:rPr>
        <w:t xml:space="preserve"> </w:t>
      </w:r>
      <w:r w:rsidRPr="00843D71">
        <w:rPr>
          <w:rFonts w:ascii="Times New Roman" w:hAnsi="Times New Roman"/>
        </w:rPr>
        <w:t xml:space="preserve">Total cost to the public was estimated using the following formula: percent of staff time, multiplied by annual burden hours, multiplied by hourly rate (30% Office &amp; Administrative Support @ $17, 45% Financial Managers @ $52, 15% Legal Counsel @ $55, and 10% Chief Executives @ $81).  Hourly rate for each occupational group are the median hourly wages (rounded up) from the Bureau of Labor and Statistics (BLS), Occupational Employment and Wages 2011, </w:t>
      </w:r>
      <w:hyperlink r:id="rId1" w:history="1">
        <w:r w:rsidRPr="00843D71">
          <w:rPr>
            <w:rStyle w:val="Hyperlink"/>
            <w:rFonts w:ascii="Times New Roman" w:hAnsi="Times New Roman"/>
          </w:rPr>
          <w:t>www.bls.gov/news.release/ocwage.nr0.htm</w:t>
        </w:r>
      </w:hyperlink>
      <w:r w:rsidRPr="00843D71">
        <w:rPr>
          <w:rFonts w:ascii="Times New Roman" w:hAnsi="Times New Roman"/>
        </w:rPr>
        <w:t xml:space="preserve">   Occupations are defined using the BLS Occupational Classification System,  </w:t>
      </w:r>
      <w:hyperlink r:id="rId2" w:history="1">
        <w:r w:rsidRPr="00843D71">
          <w:rPr>
            <w:rStyle w:val="Hyperlink"/>
            <w:rFonts w:ascii="Times New Roman" w:hAnsi="Times New Roman"/>
          </w:rPr>
          <w:t>www.bls.gov/soc/</w:t>
        </w:r>
      </w:hyperlink>
      <w:r w:rsidRPr="00843D71">
        <w:rPr>
          <w:rFonts w:ascii="Times New Roman" w:hAnsi="Times New Roman"/>
        </w:rPr>
        <w:t xml:space="preserve"> </w:t>
      </w:r>
    </w:p>
  </w:footnote>
  <w:footnote w:id="3">
    <w:p w:rsidR="00617F9D" w:rsidRPr="00843D71" w:rsidRDefault="00617F9D" w:rsidP="00BC2D1A">
      <w:pPr>
        <w:widowControl/>
        <w:autoSpaceDE w:val="0"/>
        <w:autoSpaceDN w:val="0"/>
        <w:adjustRightInd w:val="0"/>
        <w:rPr>
          <w:rFonts w:ascii="Times New Roman" w:hAnsi="Times New Roman"/>
          <w:sz w:val="20"/>
        </w:rPr>
      </w:pPr>
      <w:r w:rsidRPr="00843D71">
        <w:rPr>
          <w:rStyle w:val="FootnoteReference"/>
          <w:sz w:val="20"/>
          <w:vertAlign w:val="superscript"/>
        </w:rPr>
        <w:footnoteRef/>
      </w:r>
      <w:r w:rsidRPr="00843D71">
        <w:rPr>
          <w:rFonts w:ascii="Times New Roman" w:hAnsi="Times New Roman"/>
          <w:sz w:val="20"/>
        </w:rPr>
        <w:t xml:space="preserve">  None of the respondents required to comply with the rule are small entities as defined by the Small Business Administration (i.e., entities with less than $175 million in total assets) </w:t>
      </w:r>
      <w:hyperlink r:id="rId3" w:history="1">
        <w:r w:rsidRPr="00843D71">
          <w:rPr>
            <w:rStyle w:val="Hyperlink"/>
            <w:rFonts w:ascii="Times New Roman" w:hAnsi="Times New Roman"/>
            <w:sz w:val="20"/>
          </w:rPr>
          <w:t>www.sba.gov/contractingopportunities/officials/size/table/index.html</w:t>
        </w:r>
      </w:hyperlink>
      <w:r w:rsidRPr="00843D71">
        <w:rPr>
          <w:rFonts w:ascii="Times New Roman" w:hAnsi="Times New Roman"/>
          <w:sz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6A4"/>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1">
    <w:nsid w:val="038B2AFB"/>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2">
    <w:nsid w:val="08456A4F"/>
    <w:multiLevelType w:val="hybridMultilevel"/>
    <w:tmpl w:val="38C0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59385A"/>
    <w:multiLevelType w:val="hybridMultilevel"/>
    <w:tmpl w:val="06E01866"/>
    <w:lvl w:ilvl="0" w:tplc="02F6CE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1D6A2DDE"/>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5">
    <w:nsid w:val="22B77ACD"/>
    <w:multiLevelType w:val="hybridMultilevel"/>
    <w:tmpl w:val="ACB4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3801BB"/>
    <w:multiLevelType w:val="hybridMultilevel"/>
    <w:tmpl w:val="12328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B8619C"/>
    <w:multiLevelType w:val="hybridMultilevel"/>
    <w:tmpl w:val="EE887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B06CFE"/>
    <w:multiLevelType w:val="hybridMultilevel"/>
    <w:tmpl w:val="382C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9205B8"/>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10">
    <w:nsid w:val="4E751B11"/>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11">
    <w:nsid w:val="554878D3"/>
    <w:multiLevelType w:val="hybridMultilevel"/>
    <w:tmpl w:val="7C122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827D68"/>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13">
    <w:nsid w:val="5B13253F"/>
    <w:multiLevelType w:val="hybridMultilevel"/>
    <w:tmpl w:val="12384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FBD3098"/>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15">
    <w:nsid w:val="7BAB2E99"/>
    <w:multiLevelType w:val="hybridMultilevel"/>
    <w:tmpl w:val="D2A6A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4"/>
  </w:num>
  <w:num w:numId="4">
    <w:abstractNumId w:val="14"/>
  </w:num>
  <w:num w:numId="5">
    <w:abstractNumId w:val="0"/>
  </w:num>
  <w:num w:numId="6">
    <w:abstractNumId w:val="10"/>
  </w:num>
  <w:num w:numId="7">
    <w:abstractNumId w:val="1"/>
  </w:num>
  <w:num w:numId="8">
    <w:abstractNumId w:val="3"/>
  </w:num>
  <w:num w:numId="9">
    <w:abstractNumId w:val="7"/>
  </w:num>
  <w:num w:numId="10">
    <w:abstractNumId w:val="11"/>
  </w:num>
  <w:num w:numId="11">
    <w:abstractNumId w:val="2"/>
  </w:num>
  <w:num w:numId="12">
    <w:abstractNumId w:val="5"/>
  </w:num>
  <w:num w:numId="13">
    <w:abstractNumId w:val="8"/>
  </w:num>
  <w:num w:numId="14">
    <w:abstractNumId w:val="13"/>
  </w:num>
  <w:num w:numId="15">
    <w:abstractNumId w:val="6"/>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C03B44"/>
    <w:rsid w:val="00007D63"/>
    <w:rsid w:val="00010ACE"/>
    <w:rsid w:val="0001410D"/>
    <w:rsid w:val="000200C6"/>
    <w:rsid w:val="00032A7B"/>
    <w:rsid w:val="00034031"/>
    <w:rsid w:val="0004031D"/>
    <w:rsid w:val="00043C54"/>
    <w:rsid w:val="00050E58"/>
    <w:rsid w:val="00051C5D"/>
    <w:rsid w:val="0005427E"/>
    <w:rsid w:val="00067978"/>
    <w:rsid w:val="000711AC"/>
    <w:rsid w:val="00074733"/>
    <w:rsid w:val="00076ACB"/>
    <w:rsid w:val="00080C38"/>
    <w:rsid w:val="000844F6"/>
    <w:rsid w:val="000860BC"/>
    <w:rsid w:val="00094E90"/>
    <w:rsid w:val="000A3897"/>
    <w:rsid w:val="000B4321"/>
    <w:rsid w:val="000C6637"/>
    <w:rsid w:val="000D2372"/>
    <w:rsid w:val="000D268A"/>
    <w:rsid w:val="000D5DF5"/>
    <w:rsid w:val="000E1E8F"/>
    <w:rsid w:val="000E3397"/>
    <w:rsid w:val="000E4F85"/>
    <w:rsid w:val="000E5BFC"/>
    <w:rsid w:val="000F0C8C"/>
    <w:rsid w:val="000F500E"/>
    <w:rsid w:val="00100B2B"/>
    <w:rsid w:val="0010382A"/>
    <w:rsid w:val="00106B80"/>
    <w:rsid w:val="00117E36"/>
    <w:rsid w:val="00117E5F"/>
    <w:rsid w:val="00124D4D"/>
    <w:rsid w:val="00134E91"/>
    <w:rsid w:val="001360F6"/>
    <w:rsid w:val="00141204"/>
    <w:rsid w:val="00147A58"/>
    <w:rsid w:val="001554AE"/>
    <w:rsid w:val="001633A7"/>
    <w:rsid w:val="00174BF6"/>
    <w:rsid w:val="00175972"/>
    <w:rsid w:val="001761B0"/>
    <w:rsid w:val="001826D5"/>
    <w:rsid w:val="001841F7"/>
    <w:rsid w:val="00184260"/>
    <w:rsid w:val="00187B79"/>
    <w:rsid w:val="00187E48"/>
    <w:rsid w:val="0019057F"/>
    <w:rsid w:val="001907C0"/>
    <w:rsid w:val="00191D12"/>
    <w:rsid w:val="00192F0C"/>
    <w:rsid w:val="00196939"/>
    <w:rsid w:val="001A316D"/>
    <w:rsid w:val="001A5F5E"/>
    <w:rsid w:val="001A679C"/>
    <w:rsid w:val="001B241F"/>
    <w:rsid w:val="001B5E2D"/>
    <w:rsid w:val="001B6B64"/>
    <w:rsid w:val="001C720E"/>
    <w:rsid w:val="001D7B6E"/>
    <w:rsid w:val="001E2239"/>
    <w:rsid w:val="001E583C"/>
    <w:rsid w:val="001E5B9B"/>
    <w:rsid w:val="001F1E10"/>
    <w:rsid w:val="001F40C8"/>
    <w:rsid w:val="0020177F"/>
    <w:rsid w:val="0020317C"/>
    <w:rsid w:val="00211311"/>
    <w:rsid w:val="0021158C"/>
    <w:rsid w:val="0021232E"/>
    <w:rsid w:val="00217066"/>
    <w:rsid w:val="00221A85"/>
    <w:rsid w:val="00222A81"/>
    <w:rsid w:val="002274E4"/>
    <w:rsid w:val="002306C1"/>
    <w:rsid w:val="00230854"/>
    <w:rsid w:val="00235F01"/>
    <w:rsid w:val="00236E95"/>
    <w:rsid w:val="0024663B"/>
    <w:rsid w:val="00255B37"/>
    <w:rsid w:val="00261E03"/>
    <w:rsid w:val="002749F6"/>
    <w:rsid w:val="00277263"/>
    <w:rsid w:val="00280D0C"/>
    <w:rsid w:val="0028153E"/>
    <w:rsid w:val="0028349B"/>
    <w:rsid w:val="00286921"/>
    <w:rsid w:val="00287838"/>
    <w:rsid w:val="002A5B76"/>
    <w:rsid w:val="002A6CC9"/>
    <w:rsid w:val="002A7273"/>
    <w:rsid w:val="002B1633"/>
    <w:rsid w:val="002C1E0E"/>
    <w:rsid w:val="002C3F4E"/>
    <w:rsid w:val="002C410F"/>
    <w:rsid w:val="002C6CA5"/>
    <w:rsid w:val="002D6C4F"/>
    <w:rsid w:val="002E0D12"/>
    <w:rsid w:val="002E0F3E"/>
    <w:rsid w:val="002E6732"/>
    <w:rsid w:val="00301B52"/>
    <w:rsid w:val="003027DC"/>
    <w:rsid w:val="00307F8D"/>
    <w:rsid w:val="003145F1"/>
    <w:rsid w:val="00324A4C"/>
    <w:rsid w:val="00327837"/>
    <w:rsid w:val="00334CA4"/>
    <w:rsid w:val="00335439"/>
    <w:rsid w:val="00342158"/>
    <w:rsid w:val="00347071"/>
    <w:rsid w:val="00350525"/>
    <w:rsid w:val="00350D82"/>
    <w:rsid w:val="00354A00"/>
    <w:rsid w:val="003643AD"/>
    <w:rsid w:val="0036791E"/>
    <w:rsid w:val="003703AE"/>
    <w:rsid w:val="00373820"/>
    <w:rsid w:val="0037480E"/>
    <w:rsid w:val="00374BB1"/>
    <w:rsid w:val="003756F7"/>
    <w:rsid w:val="003760A2"/>
    <w:rsid w:val="00381E84"/>
    <w:rsid w:val="00382D50"/>
    <w:rsid w:val="00386084"/>
    <w:rsid w:val="00394224"/>
    <w:rsid w:val="003A0A72"/>
    <w:rsid w:val="003A30B9"/>
    <w:rsid w:val="003B5337"/>
    <w:rsid w:val="003B7C40"/>
    <w:rsid w:val="003C2CF1"/>
    <w:rsid w:val="003C5ADA"/>
    <w:rsid w:val="003C6590"/>
    <w:rsid w:val="003D25BB"/>
    <w:rsid w:val="003D3386"/>
    <w:rsid w:val="003D6A30"/>
    <w:rsid w:val="003E3BFA"/>
    <w:rsid w:val="00433E26"/>
    <w:rsid w:val="00434C91"/>
    <w:rsid w:val="004417CF"/>
    <w:rsid w:val="00446428"/>
    <w:rsid w:val="004505AC"/>
    <w:rsid w:val="00453174"/>
    <w:rsid w:val="00457CE3"/>
    <w:rsid w:val="0047715F"/>
    <w:rsid w:val="00484BE0"/>
    <w:rsid w:val="0048574D"/>
    <w:rsid w:val="004919CA"/>
    <w:rsid w:val="00493E38"/>
    <w:rsid w:val="004A0EC7"/>
    <w:rsid w:val="004A15CB"/>
    <w:rsid w:val="004B2E6D"/>
    <w:rsid w:val="004C14D8"/>
    <w:rsid w:val="004C55A6"/>
    <w:rsid w:val="004C7D29"/>
    <w:rsid w:val="004E5CF1"/>
    <w:rsid w:val="004E6496"/>
    <w:rsid w:val="00501FDF"/>
    <w:rsid w:val="00506918"/>
    <w:rsid w:val="005071F2"/>
    <w:rsid w:val="00507D9C"/>
    <w:rsid w:val="00533511"/>
    <w:rsid w:val="00540162"/>
    <w:rsid w:val="00542565"/>
    <w:rsid w:val="005435E5"/>
    <w:rsid w:val="00545F41"/>
    <w:rsid w:val="00556268"/>
    <w:rsid w:val="00557BAF"/>
    <w:rsid w:val="00562CD8"/>
    <w:rsid w:val="00586F86"/>
    <w:rsid w:val="005A13EE"/>
    <w:rsid w:val="005B3F61"/>
    <w:rsid w:val="005B5DEA"/>
    <w:rsid w:val="005B7DD9"/>
    <w:rsid w:val="005D14D9"/>
    <w:rsid w:val="005D1806"/>
    <w:rsid w:val="005D2FB3"/>
    <w:rsid w:val="005D3E1F"/>
    <w:rsid w:val="005D57BF"/>
    <w:rsid w:val="005D5B25"/>
    <w:rsid w:val="005E0E03"/>
    <w:rsid w:val="005E6C9A"/>
    <w:rsid w:val="005F7CE0"/>
    <w:rsid w:val="00601C76"/>
    <w:rsid w:val="006026AC"/>
    <w:rsid w:val="006034D9"/>
    <w:rsid w:val="006160EC"/>
    <w:rsid w:val="00617F9D"/>
    <w:rsid w:val="006204C0"/>
    <w:rsid w:val="00620DC0"/>
    <w:rsid w:val="006219C4"/>
    <w:rsid w:val="00621A46"/>
    <w:rsid w:val="00621D74"/>
    <w:rsid w:val="00623CB6"/>
    <w:rsid w:val="0062586F"/>
    <w:rsid w:val="00625E67"/>
    <w:rsid w:val="006308E1"/>
    <w:rsid w:val="00632B91"/>
    <w:rsid w:val="006436DD"/>
    <w:rsid w:val="00650E65"/>
    <w:rsid w:val="00653AF9"/>
    <w:rsid w:val="00655671"/>
    <w:rsid w:val="006604E1"/>
    <w:rsid w:val="00663678"/>
    <w:rsid w:val="00665640"/>
    <w:rsid w:val="006662B3"/>
    <w:rsid w:val="00670889"/>
    <w:rsid w:val="00676443"/>
    <w:rsid w:val="00677594"/>
    <w:rsid w:val="00681090"/>
    <w:rsid w:val="00682CAB"/>
    <w:rsid w:val="006845B5"/>
    <w:rsid w:val="006846FE"/>
    <w:rsid w:val="006872C2"/>
    <w:rsid w:val="006964F6"/>
    <w:rsid w:val="006972A8"/>
    <w:rsid w:val="00697CC5"/>
    <w:rsid w:val="006A3539"/>
    <w:rsid w:val="006B0102"/>
    <w:rsid w:val="006B200E"/>
    <w:rsid w:val="006B29DE"/>
    <w:rsid w:val="006C062E"/>
    <w:rsid w:val="006C7544"/>
    <w:rsid w:val="006D23FD"/>
    <w:rsid w:val="006D2FE9"/>
    <w:rsid w:val="006D40F3"/>
    <w:rsid w:val="006D6EAB"/>
    <w:rsid w:val="006D74F6"/>
    <w:rsid w:val="00700372"/>
    <w:rsid w:val="00700731"/>
    <w:rsid w:val="00726339"/>
    <w:rsid w:val="00727293"/>
    <w:rsid w:val="00731D42"/>
    <w:rsid w:val="007340D9"/>
    <w:rsid w:val="0074011E"/>
    <w:rsid w:val="0074569A"/>
    <w:rsid w:val="00765045"/>
    <w:rsid w:val="00765EF4"/>
    <w:rsid w:val="0077370A"/>
    <w:rsid w:val="00773827"/>
    <w:rsid w:val="00774419"/>
    <w:rsid w:val="00774B86"/>
    <w:rsid w:val="00780859"/>
    <w:rsid w:val="0078482B"/>
    <w:rsid w:val="007876A6"/>
    <w:rsid w:val="007931DA"/>
    <w:rsid w:val="007933B9"/>
    <w:rsid w:val="00793415"/>
    <w:rsid w:val="0079691B"/>
    <w:rsid w:val="007A611A"/>
    <w:rsid w:val="007C1A49"/>
    <w:rsid w:val="007C48E5"/>
    <w:rsid w:val="007C70C3"/>
    <w:rsid w:val="007D57AB"/>
    <w:rsid w:val="007E3045"/>
    <w:rsid w:val="007E4FDF"/>
    <w:rsid w:val="007F0116"/>
    <w:rsid w:val="007F1B2B"/>
    <w:rsid w:val="008003AE"/>
    <w:rsid w:val="00805115"/>
    <w:rsid w:val="0080578C"/>
    <w:rsid w:val="00807C7E"/>
    <w:rsid w:val="008114BE"/>
    <w:rsid w:val="00813E94"/>
    <w:rsid w:val="00820754"/>
    <w:rsid w:val="008238A6"/>
    <w:rsid w:val="00843D71"/>
    <w:rsid w:val="0084446F"/>
    <w:rsid w:val="00851FB3"/>
    <w:rsid w:val="00853694"/>
    <w:rsid w:val="0085585C"/>
    <w:rsid w:val="00861888"/>
    <w:rsid w:val="0087404E"/>
    <w:rsid w:val="00877FE3"/>
    <w:rsid w:val="00886852"/>
    <w:rsid w:val="008A0D96"/>
    <w:rsid w:val="008B13EE"/>
    <w:rsid w:val="008C19D8"/>
    <w:rsid w:val="008C1EC1"/>
    <w:rsid w:val="008C402C"/>
    <w:rsid w:val="008C45B4"/>
    <w:rsid w:val="008D06CD"/>
    <w:rsid w:val="008D1488"/>
    <w:rsid w:val="008E10A1"/>
    <w:rsid w:val="008E4E65"/>
    <w:rsid w:val="008E69DD"/>
    <w:rsid w:val="008F27ED"/>
    <w:rsid w:val="009046C0"/>
    <w:rsid w:val="00912AC0"/>
    <w:rsid w:val="00913E8B"/>
    <w:rsid w:val="00914B30"/>
    <w:rsid w:val="00915B27"/>
    <w:rsid w:val="00921B91"/>
    <w:rsid w:val="0092572B"/>
    <w:rsid w:val="00935A6F"/>
    <w:rsid w:val="00937187"/>
    <w:rsid w:val="00953439"/>
    <w:rsid w:val="00955B9D"/>
    <w:rsid w:val="00957E7E"/>
    <w:rsid w:val="0096424F"/>
    <w:rsid w:val="00966127"/>
    <w:rsid w:val="00970F68"/>
    <w:rsid w:val="00976DDD"/>
    <w:rsid w:val="0098715F"/>
    <w:rsid w:val="009964F6"/>
    <w:rsid w:val="00996F53"/>
    <w:rsid w:val="009A055F"/>
    <w:rsid w:val="009A308E"/>
    <w:rsid w:val="009A3C9A"/>
    <w:rsid w:val="009A53D3"/>
    <w:rsid w:val="009B145C"/>
    <w:rsid w:val="009C4001"/>
    <w:rsid w:val="009C4CEF"/>
    <w:rsid w:val="009C5E22"/>
    <w:rsid w:val="009D3707"/>
    <w:rsid w:val="009D5031"/>
    <w:rsid w:val="009E2C6D"/>
    <w:rsid w:val="009F3629"/>
    <w:rsid w:val="009F455F"/>
    <w:rsid w:val="00A02B20"/>
    <w:rsid w:val="00A11C26"/>
    <w:rsid w:val="00A12699"/>
    <w:rsid w:val="00A1307C"/>
    <w:rsid w:val="00A1611E"/>
    <w:rsid w:val="00A33474"/>
    <w:rsid w:val="00A37939"/>
    <w:rsid w:val="00A40A3C"/>
    <w:rsid w:val="00A430F0"/>
    <w:rsid w:val="00A449C1"/>
    <w:rsid w:val="00A56B22"/>
    <w:rsid w:val="00A571EF"/>
    <w:rsid w:val="00A75067"/>
    <w:rsid w:val="00A768AB"/>
    <w:rsid w:val="00A803F5"/>
    <w:rsid w:val="00A833BA"/>
    <w:rsid w:val="00A877D6"/>
    <w:rsid w:val="00A90D78"/>
    <w:rsid w:val="00A94E64"/>
    <w:rsid w:val="00A94FFB"/>
    <w:rsid w:val="00A959A3"/>
    <w:rsid w:val="00AA316F"/>
    <w:rsid w:val="00AB5588"/>
    <w:rsid w:val="00AB7507"/>
    <w:rsid w:val="00AC6DA6"/>
    <w:rsid w:val="00AD0572"/>
    <w:rsid w:val="00AD5203"/>
    <w:rsid w:val="00AD793C"/>
    <w:rsid w:val="00AE1D1E"/>
    <w:rsid w:val="00AE3278"/>
    <w:rsid w:val="00AE77DB"/>
    <w:rsid w:val="00AF3F1F"/>
    <w:rsid w:val="00AF6CD8"/>
    <w:rsid w:val="00B0281B"/>
    <w:rsid w:val="00B0342D"/>
    <w:rsid w:val="00B05A51"/>
    <w:rsid w:val="00B15C37"/>
    <w:rsid w:val="00B24AC5"/>
    <w:rsid w:val="00B31614"/>
    <w:rsid w:val="00B31C00"/>
    <w:rsid w:val="00B32D8D"/>
    <w:rsid w:val="00B435BD"/>
    <w:rsid w:val="00B52DAC"/>
    <w:rsid w:val="00B53C21"/>
    <w:rsid w:val="00B555E2"/>
    <w:rsid w:val="00B60503"/>
    <w:rsid w:val="00B70CEE"/>
    <w:rsid w:val="00B73294"/>
    <w:rsid w:val="00B741A8"/>
    <w:rsid w:val="00B7484D"/>
    <w:rsid w:val="00B76264"/>
    <w:rsid w:val="00B8624A"/>
    <w:rsid w:val="00B90F2F"/>
    <w:rsid w:val="00B9264A"/>
    <w:rsid w:val="00BA34D2"/>
    <w:rsid w:val="00BB08AF"/>
    <w:rsid w:val="00BB5F46"/>
    <w:rsid w:val="00BB7B76"/>
    <w:rsid w:val="00BC126B"/>
    <w:rsid w:val="00BC2D1A"/>
    <w:rsid w:val="00BC7BD7"/>
    <w:rsid w:val="00BD4C09"/>
    <w:rsid w:val="00BD4D16"/>
    <w:rsid w:val="00BE1388"/>
    <w:rsid w:val="00BE2044"/>
    <w:rsid w:val="00BE3721"/>
    <w:rsid w:val="00BE78E1"/>
    <w:rsid w:val="00BF4C90"/>
    <w:rsid w:val="00C03B44"/>
    <w:rsid w:val="00C05A97"/>
    <w:rsid w:val="00C060FC"/>
    <w:rsid w:val="00C114FA"/>
    <w:rsid w:val="00C11D0F"/>
    <w:rsid w:val="00C13954"/>
    <w:rsid w:val="00C21427"/>
    <w:rsid w:val="00C3179C"/>
    <w:rsid w:val="00C406B7"/>
    <w:rsid w:val="00C43AFE"/>
    <w:rsid w:val="00C46861"/>
    <w:rsid w:val="00C600D7"/>
    <w:rsid w:val="00C62885"/>
    <w:rsid w:val="00C62EE5"/>
    <w:rsid w:val="00C63D78"/>
    <w:rsid w:val="00C64A28"/>
    <w:rsid w:val="00C7751D"/>
    <w:rsid w:val="00C8261D"/>
    <w:rsid w:val="00C91B51"/>
    <w:rsid w:val="00CA062B"/>
    <w:rsid w:val="00CA098D"/>
    <w:rsid w:val="00CA15F1"/>
    <w:rsid w:val="00CA2167"/>
    <w:rsid w:val="00CB225E"/>
    <w:rsid w:val="00CB3245"/>
    <w:rsid w:val="00CC7FFB"/>
    <w:rsid w:val="00CD1C10"/>
    <w:rsid w:val="00CD2AAD"/>
    <w:rsid w:val="00CE3A51"/>
    <w:rsid w:val="00CF1FE5"/>
    <w:rsid w:val="00D16EE6"/>
    <w:rsid w:val="00D23FFC"/>
    <w:rsid w:val="00D3302C"/>
    <w:rsid w:val="00D33C83"/>
    <w:rsid w:val="00D510AB"/>
    <w:rsid w:val="00D5312D"/>
    <w:rsid w:val="00D5624F"/>
    <w:rsid w:val="00D60DB8"/>
    <w:rsid w:val="00D627BD"/>
    <w:rsid w:val="00D679AF"/>
    <w:rsid w:val="00D726C9"/>
    <w:rsid w:val="00D757AD"/>
    <w:rsid w:val="00D929AD"/>
    <w:rsid w:val="00DB014F"/>
    <w:rsid w:val="00DC6A76"/>
    <w:rsid w:val="00DE05D8"/>
    <w:rsid w:val="00DE5060"/>
    <w:rsid w:val="00DE51AB"/>
    <w:rsid w:val="00DF25F6"/>
    <w:rsid w:val="00DF3839"/>
    <w:rsid w:val="00DF38D0"/>
    <w:rsid w:val="00DF3FAA"/>
    <w:rsid w:val="00DF724F"/>
    <w:rsid w:val="00E0029F"/>
    <w:rsid w:val="00E00A97"/>
    <w:rsid w:val="00E01E50"/>
    <w:rsid w:val="00E063C7"/>
    <w:rsid w:val="00E06767"/>
    <w:rsid w:val="00E16F19"/>
    <w:rsid w:val="00E22EA1"/>
    <w:rsid w:val="00E25F12"/>
    <w:rsid w:val="00E33696"/>
    <w:rsid w:val="00E34ED7"/>
    <w:rsid w:val="00E35701"/>
    <w:rsid w:val="00E37F60"/>
    <w:rsid w:val="00E42EB7"/>
    <w:rsid w:val="00E45FFC"/>
    <w:rsid w:val="00E47C70"/>
    <w:rsid w:val="00E552B4"/>
    <w:rsid w:val="00E578EA"/>
    <w:rsid w:val="00E615E5"/>
    <w:rsid w:val="00E63ED5"/>
    <w:rsid w:val="00E72DBF"/>
    <w:rsid w:val="00E779F1"/>
    <w:rsid w:val="00E80A3A"/>
    <w:rsid w:val="00E86E47"/>
    <w:rsid w:val="00E97251"/>
    <w:rsid w:val="00E97AD8"/>
    <w:rsid w:val="00EA3FD4"/>
    <w:rsid w:val="00EB036E"/>
    <w:rsid w:val="00EB26A3"/>
    <w:rsid w:val="00EB3990"/>
    <w:rsid w:val="00EB3C28"/>
    <w:rsid w:val="00EB4DF4"/>
    <w:rsid w:val="00EC3A4C"/>
    <w:rsid w:val="00ED0AB8"/>
    <w:rsid w:val="00ED187C"/>
    <w:rsid w:val="00ED46BB"/>
    <w:rsid w:val="00EE22EE"/>
    <w:rsid w:val="00EE6219"/>
    <w:rsid w:val="00EF39AE"/>
    <w:rsid w:val="00F013DB"/>
    <w:rsid w:val="00F0171E"/>
    <w:rsid w:val="00F045A1"/>
    <w:rsid w:val="00F075D3"/>
    <w:rsid w:val="00F11DC8"/>
    <w:rsid w:val="00F129DD"/>
    <w:rsid w:val="00F22C4F"/>
    <w:rsid w:val="00F23FCE"/>
    <w:rsid w:val="00F37C52"/>
    <w:rsid w:val="00F37E3F"/>
    <w:rsid w:val="00F40A85"/>
    <w:rsid w:val="00F438A5"/>
    <w:rsid w:val="00F56440"/>
    <w:rsid w:val="00F569FE"/>
    <w:rsid w:val="00F57E62"/>
    <w:rsid w:val="00F663EA"/>
    <w:rsid w:val="00F715E3"/>
    <w:rsid w:val="00F71A13"/>
    <w:rsid w:val="00F73F60"/>
    <w:rsid w:val="00F81BD8"/>
    <w:rsid w:val="00F923AC"/>
    <w:rsid w:val="00F96274"/>
    <w:rsid w:val="00F964CB"/>
    <w:rsid w:val="00FA6E8E"/>
    <w:rsid w:val="00FB3584"/>
    <w:rsid w:val="00FB677D"/>
    <w:rsid w:val="00FB6974"/>
    <w:rsid w:val="00FC28AF"/>
    <w:rsid w:val="00FC29CD"/>
    <w:rsid w:val="00FE0D08"/>
    <w:rsid w:val="00FE2669"/>
    <w:rsid w:val="00FE7297"/>
    <w:rsid w:val="00FF7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B27"/>
    <w:pPr>
      <w:widowControl w:val="0"/>
    </w:pPr>
    <w:rPr>
      <w:rFonts w:ascii="Courier" w:hAnsi="Courier"/>
      <w:snapToGrid w:val="0"/>
      <w:sz w:val="24"/>
    </w:rPr>
  </w:style>
  <w:style w:type="paragraph" w:styleId="Heading1">
    <w:name w:val="heading 1"/>
    <w:basedOn w:val="Normal"/>
    <w:next w:val="Normal"/>
    <w:qFormat/>
    <w:rsid w:val="00915B27"/>
    <w:pPr>
      <w:keepNext/>
      <w:widowControl/>
      <w:outlineLvl w:val="0"/>
    </w:pPr>
    <w:rPr>
      <w:rFonts w:ascii="Times" w:hAnsi="Times"/>
      <w:b/>
    </w:rPr>
  </w:style>
  <w:style w:type="paragraph" w:styleId="Heading2">
    <w:name w:val="heading 2"/>
    <w:basedOn w:val="Normal"/>
    <w:next w:val="Normal"/>
    <w:qFormat/>
    <w:rsid w:val="00915B27"/>
    <w:pPr>
      <w:keepNext/>
      <w:widowControl/>
      <w:ind w:firstLine="720"/>
      <w:outlineLvl w:val="1"/>
    </w:pPr>
    <w:rPr>
      <w:rFonts w:ascii="Times New Roman" w:hAnsi="Times New Roman"/>
      <w:b/>
    </w:rPr>
  </w:style>
  <w:style w:type="paragraph" w:styleId="Heading3">
    <w:name w:val="heading 3"/>
    <w:basedOn w:val="Normal"/>
    <w:next w:val="Normal"/>
    <w:qFormat/>
    <w:rsid w:val="00915B27"/>
    <w:pPr>
      <w:keepNext/>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i/>
      <w:i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fr"/>
    <w:uiPriority w:val="99"/>
    <w:rsid w:val="00915B27"/>
    <w:rPr>
      <w:rFonts w:ascii="Times New Roman" w:hAnsi="Times New Roman"/>
    </w:rPr>
  </w:style>
  <w:style w:type="paragraph" w:styleId="FootnoteText">
    <w:name w:val="footnote text"/>
    <w:aliases w:val="ft"/>
    <w:basedOn w:val="Normal"/>
    <w:link w:val="FootnoteTextChar"/>
    <w:uiPriority w:val="99"/>
    <w:rsid w:val="00915B27"/>
    <w:rPr>
      <w:sz w:val="20"/>
    </w:rPr>
  </w:style>
  <w:style w:type="paragraph" w:styleId="BodyTextIndent">
    <w:name w:val="Body Text Indent"/>
    <w:basedOn w:val="Normal"/>
    <w:rsid w:val="00915B27"/>
    <w:pPr>
      <w:spacing w:after="240"/>
      <w:ind w:firstLine="720"/>
    </w:pPr>
    <w:rPr>
      <w:rFonts w:ascii="Times New Roman" w:hAnsi="Times New Roman"/>
    </w:rPr>
  </w:style>
  <w:style w:type="paragraph" w:styleId="Header">
    <w:name w:val="header"/>
    <w:basedOn w:val="Normal"/>
    <w:rsid w:val="00915B27"/>
    <w:pPr>
      <w:tabs>
        <w:tab w:val="center" w:pos="4320"/>
        <w:tab w:val="right" w:pos="8640"/>
      </w:tabs>
    </w:pPr>
  </w:style>
  <w:style w:type="paragraph" w:styleId="Footer">
    <w:name w:val="footer"/>
    <w:basedOn w:val="Normal"/>
    <w:link w:val="FooterChar"/>
    <w:uiPriority w:val="99"/>
    <w:rsid w:val="00915B27"/>
    <w:pPr>
      <w:tabs>
        <w:tab w:val="center" w:pos="4320"/>
        <w:tab w:val="right" w:pos="8640"/>
      </w:tabs>
    </w:pPr>
  </w:style>
  <w:style w:type="character" w:styleId="PageNumber">
    <w:name w:val="page number"/>
    <w:basedOn w:val="DefaultParagraphFont"/>
    <w:rsid w:val="00915B27"/>
  </w:style>
  <w:style w:type="paragraph" w:styleId="DocumentMap">
    <w:name w:val="Document Map"/>
    <w:basedOn w:val="Normal"/>
    <w:semiHidden/>
    <w:rsid w:val="00915B27"/>
    <w:pPr>
      <w:shd w:val="clear" w:color="auto" w:fill="000080"/>
    </w:pPr>
    <w:rPr>
      <w:rFonts w:ascii="Tahoma" w:hAnsi="Tahoma"/>
    </w:rPr>
  </w:style>
  <w:style w:type="paragraph" w:styleId="BodyTextIndent3">
    <w:name w:val="Body Text Indent 3"/>
    <w:basedOn w:val="Normal"/>
    <w:rsid w:val="00915B27"/>
    <w:pPr>
      <w:autoSpaceDE w:val="0"/>
      <w:autoSpaceDN w:val="0"/>
      <w:adjustRightInd w:val="0"/>
      <w:ind w:firstLine="720"/>
      <w:jc w:val="both"/>
    </w:pPr>
    <w:rPr>
      <w:rFonts w:ascii="Times New Roman" w:hAnsi="Times New Roman"/>
      <w:snapToGrid/>
      <w:color w:val="000000"/>
      <w:szCs w:val="24"/>
    </w:rPr>
  </w:style>
  <w:style w:type="paragraph" w:styleId="BalloonText">
    <w:name w:val="Balloon Text"/>
    <w:basedOn w:val="Normal"/>
    <w:semiHidden/>
    <w:rsid w:val="00C62EE5"/>
    <w:rPr>
      <w:rFonts w:ascii="Tahoma" w:hAnsi="Tahoma" w:cs="Tahoma"/>
      <w:sz w:val="16"/>
      <w:szCs w:val="16"/>
    </w:rPr>
  </w:style>
  <w:style w:type="table" w:styleId="TableGrid">
    <w:name w:val="Table Grid"/>
    <w:basedOn w:val="TableNormal"/>
    <w:rsid w:val="00191D1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2A6CC9"/>
    <w:rPr>
      <w:sz w:val="16"/>
      <w:szCs w:val="16"/>
    </w:rPr>
  </w:style>
  <w:style w:type="paragraph" w:styleId="CommentText">
    <w:name w:val="annotation text"/>
    <w:basedOn w:val="Normal"/>
    <w:link w:val="CommentTextChar"/>
    <w:unhideWhenUsed/>
    <w:rsid w:val="002A6CC9"/>
    <w:pPr>
      <w:widowControl/>
    </w:pPr>
    <w:rPr>
      <w:rFonts w:ascii="Times New Roman" w:hAnsi="Times New Roman"/>
      <w:snapToGrid/>
      <w:sz w:val="20"/>
    </w:rPr>
  </w:style>
  <w:style w:type="character" w:customStyle="1" w:styleId="CommentTextChar">
    <w:name w:val="Comment Text Char"/>
    <w:basedOn w:val="DefaultParagraphFont"/>
    <w:link w:val="CommentText"/>
    <w:rsid w:val="002A6CC9"/>
  </w:style>
  <w:style w:type="character" w:customStyle="1" w:styleId="FootnoteTextChar">
    <w:name w:val="Footnote Text Char"/>
    <w:aliases w:val="ft Char"/>
    <w:basedOn w:val="DefaultParagraphFont"/>
    <w:link w:val="FootnoteText"/>
    <w:uiPriority w:val="99"/>
    <w:rsid w:val="002A6CC9"/>
    <w:rPr>
      <w:rFonts w:ascii="Courier" w:hAnsi="Courier"/>
      <w:snapToGrid w:val="0"/>
    </w:rPr>
  </w:style>
  <w:style w:type="paragraph" w:styleId="ListParagraph">
    <w:name w:val="List Paragraph"/>
    <w:basedOn w:val="Normal"/>
    <w:uiPriority w:val="34"/>
    <w:qFormat/>
    <w:rsid w:val="002A6CC9"/>
    <w:pPr>
      <w:widowControl/>
      <w:ind w:left="720"/>
      <w:contextualSpacing/>
    </w:pPr>
    <w:rPr>
      <w:rFonts w:ascii="Times New Roman" w:hAnsi="Times New Roman"/>
      <w:snapToGrid/>
      <w:szCs w:val="24"/>
    </w:rPr>
  </w:style>
  <w:style w:type="character" w:customStyle="1" w:styleId="FooterChar">
    <w:name w:val="Footer Char"/>
    <w:basedOn w:val="DefaultParagraphFont"/>
    <w:link w:val="Footer"/>
    <w:uiPriority w:val="99"/>
    <w:rsid w:val="00386084"/>
    <w:rPr>
      <w:rFonts w:ascii="Courier" w:hAnsi="Courier"/>
      <w:snapToGrid w:val="0"/>
      <w:sz w:val="24"/>
    </w:rPr>
  </w:style>
  <w:style w:type="paragraph" w:styleId="CommentSubject">
    <w:name w:val="annotation subject"/>
    <w:basedOn w:val="CommentText"/>
    <w:next w:val="CommentText"/>
    <w:link w:val="CommentSubjectChar"/>
    <w:uiPriority w:val="99"/>
    <w:semiHidden/>
    <w:unhideWhenUsed/>
    <w:rsid w:val="0036791E"/>
    <w:pPr>
      <w:widowControl w:val="0"/>
    </w:pPr>
    <w:rPr>
      <w:rFonts w:ascii="Courier" w:hAnsi="Courier"/>
      <w:b/>
      <w:bCs/>
      <w:snapToGrid w:val="0"/>
    </w:rPr>
  </w:style>
  <w:style w:type="character" w:customStyle="1" w:styleId="CommentSubjectChar">
    <w:name w:val="Comment Subject Char"/>
    <w:basedOn w:val="CommentTextChar"/>
    <w:link w:val="CommentSubject"/>
    <w:uiPriority w:val="99"/>
    <w:semiHidden/>
    <w:rsid w:val="0036791E"/>
    <w:rPr>
      <w:rFonts w:ascii="Courier" w:hAnsi="Courier"/>
      <w:b/>
      <w:bCs/>
      <w:snapToGrid w:val="0"/>
    </w:rPr>
  </w:style>
  <w:style w:type="character" w:styleId="Hyperlink">
    <w:name w:val="Hyperlink"/>
    <w:basedOn w:val="DefaultParagraphFont"/>
    <w:rsid w:val="0036791E"/>
    <w:rPr>
      <w:color w:val="0000FF"/>
      <w:u w:val="single"/>
    </w:rPr>
  </w:style>
  <w:style w:type="paragraph" w:styleId="Revision">
    <w:name w:val="Revision"/>
    <w:hidden/>
    <w:uiPriority w:val="99"/>
    <w:semiHidden/>
    <w:rsid w:val="008D1488"/>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B27"/>
    <w:pPr>
      <w:widowControl w:val="0"/>
    </w:pPr>
    <w:rPr>
      <w:rFonts w:ascii="Courier" w:hAnsi="Courier"/>
      <w:snapToGrid w:val="0"/>
      <w:sz w:val="24"/>
    </w:rPr>
  </w:style>
  <w:style w:type="paragraph" w:styleId="Heading1">
    <w:name w:val="heading 1"/>
    <w:basedOn w:val="Normal"/>
    <w:next w:val="Normal"/>
    <w:qFormat/>
    <w:rsid w:val="00915B27"/>
    <w:pPr>
      <w:keepNext/>
      <w:widowControl/>
      <w:outlineLvl w:val="0"/>
    </w:pPr>
    <w:rPr>
      <w:rFonts w:ascii="Times" w:hAnsi="Times"/>
      <w:b/>
    </w:rPr>
  </w:style>
  <w:style w:type="paragraph" w:styleId="Heading2">
    <w:name w:val="heading 2"/>
    <w:basedOn w:val="Normal"/>
    <w:next w:val="Normal"/>
    <w:qFormat/>
    <w:rsid w:val="00915B27"/>
    <w:pPr>
      <w:keepNext/>
      <w:widowControl/>
      <w:ind w:firstLine="720"/>
      <w:outlineLvl w:val="1"/>
    </w:pPr>
    <w:rPr>
      <w:rFonts w:ascii="Times New Roman" w:hAnsi="Times New Roman"/>
      <w:b/>
    </w:rPr>
  </w:style>
  <w:style w:type="paragraph" w:styleId="Heading3">
    <w:name w:val="heading 3"/>
    <w:basedOn w:val="Normal"/>
    <w:next w:val="Normal"/>
    <w:qFormat/>
    <w:rsid w:val="00915B27"/>
    <w:pPr>
      <w:keepNext/>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i/>
      <w:i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fr"/>
    <w:uiPriority w:val="99"/>
    <w:rsid w:val="00915B27"/>
    <w:rPr>
      <w:rFonts w:ascii="Times New Roman" w:hAnsi="Times New Roman"/>
    </w:rPr>
  </w:style>
  <w:style w:type="paragraph" w:styleId="FootnoteText">
    <w:name w:val="footnote text"/>
    <w:aliases w:val="ft"/>
    <w:basedOn w:val="Normal"/>
    <w:link w:val="FootnoteTextChar"/>
    <w:uiPriority w:val="99"/>
    <w:rsid w:val="00915B27"/>
    <w:rPr>
      <w:sz w:val="20"/>
    </w:rPr>
  </w:style>
  <w:style w:type="paragraph" w:styleId="BodyTextIndent">
    <w:name w:val="Body Text Indent"/>
    <w:basedOn w:val="Normal"/>
    <w:rsid w:val="00915B27"/>
    <w:pPr>
      <w:spacing w:after="240"/>
      <w:ind w:firstLine="720"/>
    </w:pPr>
    <w:rPr>
      <w:rFonts w:ascii="Times New Roman" w:hAnsi="Times New Roman"/>
    </w:rPr>
  </w:style>
  <w:style w:type="paragraph" w:styleId="Header">
    <w:name w:val="header"/>
    <w:basedOn w:val="Normal"/>
    <w:rsid w:val="00915B27"/>
    <w:pPr>
      <w:tabs>
        <w:tab w:val="center" w:pos="4320"/>
        <w:tab w:val="right" w:pos="8640"/>
      </w:tabs>
    </w:pPr>
  </w:style>
  <w:style w:type="paragraph" w:styleId="Footer">
    <w:name w:val="footer"/>
    <w:basedOn w:val="Normal"/>
    <w:link w:val="FooterChar"/>
    <w:uiPriority w:val="99"/>
    <w:rsid w:val="00915B27"/>
    <w:pPr>
      <w:tabs>
        <w:tab w:val="center" w:pos="4320"/>
        <w:tab w:val="right" w:pos="8640"/>
      </w:tabs>
    </w:pPr>
  </w:style>
  <w:style w:type="character" w:styleId="PageNumber">
    <w:name w:val="page number"/>
    <w:basedOn w:val="DefaultParagraphFont"/>
    <w:rsid w:val="00915B27"/>
  </w:style>
  <w:style w:type="paragraph" w:styleId="DocumentMap">
    <w:name w:val="Document Map"/>
    <w:basedOn w:val="Normal"/>
    <w:semiHidden/>
    <w:rsid w:val="00915B27"/>
    <w:pPr>
      <w:shd w:val="clear" w:color="auto" w:fill="000080"/>
    </w:pPr>
    <w:rPr>
      <w:rFonts w:ascii="Tahoma" w:hAnsi="Tahoma"/>
    </w:rPr>
  </w:style>
  <w:style w:type="paragraph" w:styleId="BodyTextIndent3">
    <w:name w:val="Body Text Indent 3"/>
    <w:basedOn w:val="Normal"/>
    <w:rsid w:val="00915B27"/>
    <w:pPr>
      <w:autoSpaceDE w:val="0"/>
      <w:autoSpaceDN w:val="0"/>
      <w:adjustRightInd w:val="0"/>
      <w:ind w:firstLine="720"/>
      <w:jc w:val="both"/>
    </w:pPr>
    <w:rPr>
      <w:rFonts w:ascii="Times New Roman" w:hAnsi="Times New Roman"/>
      <w:snapToGrid/>
      <w:color w:val="000000"/>
      <w:szCs w:val="24"/>
    </w:rPr>
  </w:style>
  <w:style w:type="paragraph" w:styleId="BalloonText">
    <w:name w:val="Balloon Text"/>
    <w:basedOn w:val="Normal"/>
    <w:semiHidden/>
    <w:rsid w:val="00C62EE5"/>
    <w:rPr>
      <w:rFonts w:ascii="Tahoma" w:hAnsi="Tahoma" w:cs="Tahoma"/>
      <w:sz w:val="16"/>
      <w:szCs w:val="16"/>
    </w:rPr>
  </w:style>
  <w:style w:type="table" w:styleId="TableGrid">
    <w:name w:val="Table Grid"/>
    <w:basedOn w:val="TableNormal"/>
    <w:rsid w:val="00191D1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2A6CC9"/>
    <w:rPr>
      <w:sz w:val="16"/>
      <w:szCs w:val="16"/>
    </w:rPr>
  </w:style>
  <w:style w:type="paragraph" w:styleId="CommentText">
    <w:name w:val="annotation text"/>
    <w:basedOn w:val="Normal"/>
    <w:link w:val="CommentTextChar"/>
    <w:unhideWhenUsed/>
    <w:rsid w:val="002A6CC9"/>
    <w:pPr>
      <w:widowControl/>
    </w:pPr>
    <w:rPr>
      <w:rFonts w:ascii="Times New Roman" w:hAnsi="Times New Roman"/>
      <w:snapToGrid/>
      <w:sz w:val="20"/>
    </w:rPr>
  </w:style>
  <w:style w:type="character" w:customStyle="1" w:styleId="CommentTextChar">
    <w:name w:val="Comment Text Char"/>
    <w:basedOn w:val="DefaultParagraphFont"/>
    <w:link w:val="CommentText"/>
    <w:rsid w:val="002A6CC9"/>
  </w:style>
  <w:style w:type="character" w:customStyle="1" w:styleId="FootnoteTextChar">
    <w:name w:val="Footnote Text Char"/>
    <w:aliases w:val="ft Char"/>
    <w:basedOn w:val="DefaultParagraphFont"/>
    <w:link w:val="FootnoteText"/>
    <w:uiPriority w:val="99"/>
    <w:rsid w:val="002A6CC9"/>
    <w:rPr>
      <w:rFonts w:ascii="Courier" w:hAnsi="Courier"/>
      <w:snapToGrid w:val="0"/>
    </w:rPr>
  </w:style>
  <w:style w:type="paragraph" w:styleId="ListParagraph">
    <w:name w:val="List Paragraph"/>
    <w:basedOn w:val="Normal"/>
    <w:uiPriority w:val="34"/>
    <w:qFormat/>
    <w:rsid w:val="002A6CC9"/>
    <w:pPr>
      <w:widowControl/>
      <w:ind w:left="720"/>
      <w:contextualSpacing/>
    </w:pPr>
    <w:rPr>
      <w:rFonts w:ascii="Times New Roman" w:hAnsi="Times New Roman"/>
      <w:snapToGrid/>
      <w:szCs w:val="24"/>
    </w:rPr>
  </w:style>
  <w:style w:type="character" w:customStyle="1" w:styleId="FooterChar">
    <w:name w:val="Footer Char"/>
    <w:basedOn w:val="DefaultParagraphFont"/>
    <w:link w:val="Footer"/>
    <w:uiPriority w:val="99"/>
    <w:rsid w:val="00386084"/>
    <w:rPr>
      <w:rFonts w:ascii="Courier" w:hAnsi="Courier"/>
      <w:snapToGrid w:val="0"/>
      <w:sz w:val="24"/>
    </w:rPr>
  </w:style>
  <w:style w:type="paragraph" w:styleId="CommentSubject">
    <w:name w:val="annotation subject"/>
    <w:basedOn w:val="CommentText"/>
    <w:next w:val="CommentText"/>
    <w:link w:val="CommentSubjectChar"/>
    <w:uiPriority w:val="99"/>
    <w:semiHidden/>
    <w:unhideWhenUsed/>
    <w:rsid w:val="0036791E"/>
    <w:pPr>
      <w:widowControl w:val="0"/>
    </w:pPr>
    <w:rPr>
      <w:rFonts w:ascii="Courier" w:hAnsi="Courier"/>
      <w:b/>
      <w:bCs/>
      <w:snapToGrid w:val="0"/>
    </w:rPr>
  </w:style>
  <w:style w:type="character" w:customStyle="1" w:styleId="CommentSubjectChar">
    <w:name w:val="Comment Subject Char"/>
    <w:basedOn w:val="CommentTextChar"/>
    <w:link w:val="CommentSubject"/>
    <w:uiPriority w:val="99"/>
    <w:semiHidden/>
    <w:rsid w:val="0036791E"/>
    <w:rPr>
      <w:rFonts w:ascii="Courier" w:hAnsi="Courier"/>
      <w:b/>
      <w:bCs/>
      <w:snapToGrid w:val="0"/>
    </w:rPr>
  </w:style>
  <w:style w:type="character" w:styleId="Hyperlink">
    <w:name w:val="Hyperlink"/>
    <w:basedOn w:val="DefaultParagraphFont"/>
    <w:rsid w:val="0036791E"/>
    <w:rPr>
      <w:color w:val="0000FF"/>
      <w:u w:val="single"/>
    </w:rPr>
  </w:style>
  <w:style w:type="paragraph" w:styleId="Revision">
    <w:name w:val="Revision"/>
    <w:hidden/>
    <w:uiPriority w:val="99"/>
    <w:semiHidden/>
    <w:rsid w:val="008D1488"/>
    <w:rPr>
      <w:rFonts w:ascii="Courier" w:hAnsi="Courie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file:///\\drslx1\fr-misc\fr_documents\proposals\Legal\FR%204025%20(Reg%20R)\www.sba.gov\contractingopportunities\officials\size\table\index.html" TargetMode="External"/><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66E1A-C9D2-41A5-89DF-F12D40858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2778</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FRB _ C&amp;CA</Company>
  <LinksUpToDate>false</LinksUpToDate>
  <CharactersWithSpaces>18465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m1met00</dc:creator>
  <cp:keywords/>
  <dc:description/>
  <cp:lastModifiedBy>frbuser</cp:lastModifiedBy>
  <cp:revision>2</cp:revision>
  <cp:lastPrinted>2011-12-28T15:38:00Z</cp:lastPrinted>
  <dcterms:created xsi:type="dcterms:W3CDTF">2012-07-02T23:52:00Z</dcterms:created>
  <dcterms:modified xsi:type="dcterms:W3CDTF">2012-07-02T23:52:00Z</dcterms:modified>
</cp:coreProperties>
</file>