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2A" w:rsidRDefault="00A62C2A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:rsidRDefault="00A62C2A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 w:firstRow="0" w:lastRow="0" w:firstColumn="0" w:lastColumn="0" w:noHBand="0" w:noVBand="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:rsidR="00A62C2A"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Agency/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Subagency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of Housing, Office of Multifamily Housing Development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C2A" w:rsidRDefault="00A62C2A">
            <w:pPr>
              <w:pStyle w:val="Heading2"/>
            </w:pPr>
            <w:r>
              <w:t xml:space="preserve">OMB Control Number 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Pr="00743DAE" w:rsidRDefault="00A62C2A" w:rsidP="00B348FF">
            <w:pPr>
              <w:jc w:val="center"/>
              <w:rPr>
                <w:rFonts w:cs="Arial"/>
                <w:szCs w:val="18"/>
              </w:rPr>
            </w:pPr>
            <w:r w:rsidRPr="00743DAE">
              <w:rPr>
                <w:rFonts w:cs="Arial"/>
                <w:szCs w:val="18"/>
              </w:rPr>
              <w:t>2502-</w:t>
            </w:r>
            <w:r w:rsidR="00B348FF" w:rsidRPr="00743DAE">
              <w:rPr>
                <w:rFonts w:cs="Arial"/>
                <w:szCs w:val="18"/>
              </w:rPr>
              <w:t>0059</w:t>
            </w:r>
          </w:p>
        </w:tc>
      </w:tr>
      <w:tr w:rsidR="00A62C2A"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:rsidR="00A62C2A" w:rsidRDefault="00A62C2A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A62C2A" w:rsidTr="00743DAE">
        <w:trPr>
          <w:trHeight w:val="548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 form number(s)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965387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478,758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965387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479,008</w:t>
            </w:r>
          </w:p>
        </w:tc>
      </w:tr>
      <w:tr w:rsidR="00A62C2A" w:rsidTr="00B2751A"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bookmarkStart w:id="0" w:name="_GoBack"/>
            <w:bookmarkEnd w:id="0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8213D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250</w:t>
            </w:r>
          </w:p>
        </w:tc>
      </w:tr>
      <w:tr w:rsidR="00A62C2A" w:rsidTr="00B2751A"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8213D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8213D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8213D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8213D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Other changes**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E27E34" w:rsidRPr="00743DAE" w:rsidRDefault="00B2751A" w:rsidP="00E27E34">
            <w:pPr>
              <w:rPr>
                <w:rFonts w:ascii="Arial Narrow" w:hAnsi="Arial Narrow" w:cs="Arial"/>
                <w:color w:val="000000"/>
              </w:rPr>
            </w:pPr>
            <w:r w:rsidRPr="00743DAE">
              <w:rPr>
                <w:rFonts w:ascii="Arial Narrow" w:hAnsi="Arial Narrow" w:cs="Arial"/>
                <w:color w:val="000000"/>
              </w:rPr>
              <w:t xml:space="preserve">In order to serve its clients better, HUD </w:t>
            </w:r>
            <w:r w:rsidR="0020017B" w:rsidRPr="00743DAE">
              <w:rPr>
                <w:rFonts w:ascii="Arial Narrow" w:hAnsi="Arial Narrow" w:cs="Arial"/>
                <w:color w:val="000000"/>
              </w:rPr>
              <w:t>has</w:t>
            </w:r>
            <w:r w:rsidR="00744919" w:rsidRPr="00743DAE">
              <w:rPr>
                <w:rFonts w:ascii="Arial Narrow" w:hAnsi="Arial Narrow" w:cs="Arial"/>
                <w:color w:val="000000"/>
              </w:rPr>
              <w:t xml:space="preserve"> made the following non material change</w:t>
            </w:r>
            <w:r w:rsidR="00B348FF" w:rsidRPr="00743DAE">
              <w:rPr>
                <w:rFonts w:ascii="Arial Narrow" w:hAnsi="Arial Narrow" w:cs="Arial"/>
                <w:color w:val="000000"/>
              </w:rPr>
              <w:t xml:space="preserve"> to its employment/unemployment documentation requirements.</w:t>
            </w:r>
          </w:p>
          <w:p w:rsidR="00E27E34" w:rsidRPr="00743DAE" w:rsidRDefault="00E27E34" w:rsidP="00E27E34">
            <w:pPr>
              <w:rPr>
                <w:rFonts w:ascii="Arial Narrow" w:hAnsi="Arial Narrow" w:cs="Arial"/>
                <w:color w:val="000000"/>
              </w:rPr>
            </w:pPr>
          </w:p>
          <w:p w:rsidR="0016168F" w:rsidRPr="00743DAE" w:rsidRDefault="00B348FF" w:rsidP="00E27E34">
            <w:pPr>
              <w:rPr>
                <w:rFonts w:ascii="Arial Narrow" w:hAnsi="Arial Narrow"/>
              </w:rPr>
            </w:pPr>
            <w:r w:rsidRPr="00743DAE">
              <w:rPr>
                <w:rFonts w:ascii="Arial Narrow" w:hAnsi="Arial Narrow" w:cs="Arial"/>
                <w:color w:val="000000"/>
              </w:rPr>
              <w:t xml:space="preserve"> </w:t>
            </w:r>
            <w:r w:rsidR="00E27E34" w:rsidRPr="00743DAE">
              <w:rPr>
                <w:rFonts w:ascii="Arial Narrow" w:hAnsi="Arial Narrow" w:cs="Arial"/>
                <w:color w:val="000000"/>
              </w:rPr>
              <w:t xml:space="preserve">Employment and unemployment verification documents are currently utilized to </w:t>
            </w:r>
            <w:r w:rsidR="00E27E34" w:rsidRPr="00743DAE">
              <w:rPr>
                <w:rFonts w:ascii="Arial Narrow" w:hAnsi="Arial Narrow"/>
              </w:rPr>
              <w:t xml:space="preserve">analyze a borrower’s income to ensure it is sufficient to repay the mortgage and other recurring debt.  </w:t>
            </w:r>
            <w:r w:rsidR="00CF0819">
              <w:rPr>
                <w:rFonts w:ascii="Arial Narrow" w:hAnsi="Arial Narrow"/>
              </w:rPr>
              <w:t>There are no program changes.  Rather, f</w:t>
            </w:r>
            <w:r w:rsidR="00E27E34" w:rsidRPr="00743DAE">
              <w:rPr>
                <w:rFonts w:ascii="Arial Narrow" w:hAnsi="Arial Narrow"/>
              </w:rPr>
              <w:t xml:space="preserve">urther analysis of employment/unemployment documentation will be performed to assess a borrower’s current </w:t>
            </w:r>
            <w:r w:rsidR="004655B8" w:rsidRPr="00743DAE">
              <w:rPr>
                <w:rFonts w:ascii="Arial Narrow" w:hAnsi="Arial Narrow"/>
              </w:rPr>
              <w:t xml:space="preserve">and prior </w:t>
            </w:r>
            <w:r w:rsidR="004B77CC" w:rsidRPr="00743DAE">
              <w:rPr>
                <w:rFonts w:ascii="Arial Narrow" w:hAnsi="Arial Narrow"/>
              </w:rPr>
              <w:t xml:space="preserve">credit </w:t>
            </w:r>
            <w:r w:rsidR="00321AE4" w:rsidRPr="00743DAE">
              <w:rPr>
                <w:rFonts w:ascii="Arial Narrow" w:hAnsi="Arial Narrow"/>
              </w:rPr>
              <w:t>performance</w:t>
            </w:r>
            <w:r w:rsidR="00AE45F8" w:rsidRPr="00743DAE">
              <w:rPr>
                <w:rFonts w:ascii="Arial Narrow" w:hAnsi="Arial Narrow"/>
              </w:rPr>
              <w:t xml:space="preserve"> as it relates</w:t>
            </w:r>
            <w:r w:rsidR="004B77CC" w:rsidRPr="00743DAE">
              <w:rPr>
                <w:rFonts w:ascii="Arial Narrow" w:hAnsi="Arial Narrow"/>
              </w:rPr>
              <w:t xml:space="preserve"> to their employment history</w:t>
            </w:r>
            <w:r w:rsidR="00E27E34" w:rsidRPr="00743DAE">
              <w:rPr>
                <w:rFonts w:ascii="Arial Narrow" w:hAnsi="Arial Narrow"/>
              </w:rPr>
              <w:t xml:space="preserve">, </w:t>
            </w:r>
            <w:r w:rsidR="00321AE4" w:rsidRPr="00743DAE">
              <w:rPr>
                <w:rFonts w:ascii="Arial Narrow" w:hAnsi="Arial Narrow"/>
              </w:rPr>
              <w:t>as well as</w:t>
            </w:r>
            <w:r w:rsidR="00E27E34" w:rsidRPr="00743DAE">
              <w:rPr>
                <w:rFonts w:ascii="Arial Narrow" w:hAnsi="Arial Narrow"/>
              </w:rPr>
              <w:t xml:space="preserve"> t</w:t>
            </w:r>
            <w:r w:rsidR="00321AE4" w:rsidRPr="00743DAE">
              <w:rPr>
                <w:rFonts w:ascii="Arial Narrow" w:hAnsi="Arial Narrow"/>
              </w:rPr>
              <w:t>heir</w:t>
            </w:r>
            <w:r w:rsidR="00E27E34" w:rsidRPr="00743DAE">
              <w:rPr>
                <w:rFonts w:ascii="Arial Narrow" w:hAnsi="Arial Narrow"/>
              </w:rPr>
              <w:t xml:space="preserve"> ability to repay mortgage and other </w:t>
            </w:r>
            <w:r w:rsidR="0016168F" w:rsidRPr="00743DAE">
              <w:rPr>
                <w:rFonts w:ascii="Arial Narrow" w:hAnsi="Arial Narrow"/>
              </w:rPr>
              <w:t xml:space="preserve">recurring </w:t>
            </w:r>
            <w:r w:rsidR="00E27E34" w:rsidRPr="00743DAE">
              <w:rPr>
                <w:rFonts w:ascii="Arial Narrow" w:hAnsi="Arial Narrow"/>
              </w:rPr>
              <w:t xml:space="preserve">debt.  </w:t>
            </w:r>
            <w:r w:rsidR="00CF0819">
              <w:rPr>
                <w:rFonts w:ascii="Arial Narrow" w:hAnsi="Arial Narrow"/>
              </w:rPr>
              <w:t xml:space="preserve">Minor burden is estimated for the analysis.  </w:t>
            </w:r>
          </w:p>
          <w:p w:rsidR="0016168F" w:rsidRPr="00743DAE" w:rsidRDefault="0016168F" w:rsidP="00E27E34">
            <w:pPr>
              <w:rPr>
                <w:rFonts w:ascii="Arial Narrow" w:hAnsi="Arial Narrow"/>
              </w:rPr>
            </w:pPr>
          </w:p>
          <w:p w:rsidR="00A62C2A" w:rsidRPr="00CF0819" w:rsidRDefault="00E27E34" w:rsidP="00321AE4">
            <w:pPr>
              <w:rPr>
                <w:rFonts w:ascii="Arial Narrow" w:hAnsi="Arial Narrow" w:cs="Arial"/>
                <w:iCs/>
              </w:rPr>
            </w:pPr>
            <w:r w:rsidRPr="00743DAE">
              <w:rPr>
                <w:rFonts w:ascii="Arial Narrow" w:hAnsi="Arial Narrow"/>
              </w:rPr>
              <w:t xml:space="preserve">The credit analysis function is currently covered under </w:t>
            </w:r>
            <w:r w:rsidR="0016168F" w:rsidRPr="00743DAE">
              <w:rPr>
                <w:rFonts w:ascii="Arial Narrow" w:hAnsi="Arial Narrow"/>
              </w:rPr>
              <w:t xml:space="preserve">OMB control number </w:t>
            </w:r>
            <w:r w:rsidRPr="00743DAE">
              <w:rPr>
                <w:rFonts w:ascii="Arial Narrow" w:hAnsi="Arial Narrow"/>
              </w:rPr>
              <w:t>2502-0059</w:t>
            </w:r>
            <w:r w:rsidR="004B77CC" w:rsidRPr="00743DAE">
              <w:rPr>
                <w:rFonts w:ascii="Arial Narrow" w:hAnsi="Arial Narrow"/>
              </w:rPr>
              <w:t>.</w:t>
            </w:r>
            <w:r w:rsidR="0016168F" w:rsidRPr="00743DAE">
              <w:rPr>
                <w:rFonts w:ascii="Arial Narrow" w:hAnsi="Arial Narrow"/>
              </w:rPr>
              <w:t xml:space="preserve"> </w:t>
            </w:r>
            <w:r w:rsidR="00743DAE" w:rsidRPr="00743DAE">
              <w:rPr>
                <w:rFonts w:ascii="Arial Narrow" w:hAnsi="Arial Narrow" w:cs="Arial"/>
                <w:iCs/>
              </w:rPr>
              <w:t>As mentioned in the currently approved collection, p</w:t>
            </w:r>
            <w:r w:rsidR="00503854" w:rsidRPr="00743DAE">
              <w:rPr>
                <w:rFonts w:ascii="Arial Narrow" w:hAnsi="Arial Narrow" w:cs="Arial"/>
                <w:iCs/>
              </w:rPr>
              <w:t xml:space="preserve">revious design and development of the data collection instruments were done in consultation with HUD staff and relevant </w:t>
            </w:r>
            <w:r w:rsidR="00743DAE" w:rsidRPr="00743DAE">
              <w:rPr>
                <w:rFonts w:ascii="Arial Narrow" w:hAnsi="Arial Narrow" w:cs="Arial"/>
                <w:iCs/>
              </w:rPr>
              <w:t>organizations outside the agency.  C</w:t>
            </w:r>
            <w:r w:rsidR="00503854" w:rsidRPr="00743DAE">
              <w:rPr>
                <w:rFonts w:ascii="Arial Narrow" w:hAnsi="Arial Narrow" w:cs="Arial"/>
                <w:iCs/>
              </w:rPr>
              <w:t>onsultations were previously conducted with respondents regarding changes under existing information co</w:t>
            </w:r>
            <w:r w:rsidR="00743DAE" w:rsidRPr="00743DAE">
              <w:rPr>
                <w:rFonts w:ascii="Arial Narrow" w:hAnsi="Arial Narrow" w:cs="Arial"/>
                <w:iCs/>
              </w:rPr>
              <w:t xml:space="preserve">llection.  Further consultations may result in future changes.  </w:t>
            </w:r>
            <w:r w:rsidR="00503854" w:rsidRPr="00743DAE">
              <w:rPr>
                <w:rFonts w:ascii="Arial Narrow" w:hAnsi="Arial Narrow" w:cs="Arial"/>
                <w:iCs/>
              </w:rPr>
              <w:t> </w:t>
            </w:r>
          </w:p>
        </w:tc>
      </w:tr>
      <w:tr w:rsidR="00A62C2A"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:rsidRDefault="00A62C2A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:rsidR="00A62C2A" w:rsidRDefault="00A62C2A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 w:rsidR="00A62C2A" w:rsidSect="00197430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0"/>
    <w:rsid w:val="000162A5"/>
    <w:rsid w:val="000564E5"/>
    <w:rsid w:val="001368CD"/>
    <w:rsid w:val="0016168F"/>
    <w:rsid w:val="00197430"/>
    <w:rsid w:val="0020017B"/>
    <w:rsid w:val="002379F1"/>
    <w:rsid w:val="00321AE4"/>
    <w:rsid w:val="003B42B9"/>
    <w:rsid w:val="004655B8"/>
    <w:rsid w:val="004B77CC"/>
    <w:rsid w:val="00503854"/>
    <w:rsid w:val="00605086"/>
    <w:rsid w:val="006D5AA0"/>
    <w:rsid w:val="00743DAE"/>
    <w:rsid w:val="00744919"/>
    <w:rsid w:val="008213DA"/>
    <w:rsid w:val="00944C1F"/>
    <w:rsid w:val="00965387"/>
    <w:rsid w:val="00A62C2A"/>
    <w:rsid w:val="00AA1124"/>
    <w:rsid w:val="00AD5620"/>
    <w:rsid w:val="00AE45F8"/>
    <w:rsid w:val="00B17DBF"/>
    <w:rsid w:val="00B2751A"/>
    <w:rsid w:val="00B348FF"/>
    <w:rsid w:val="00C3129C"/>
    <w:rsid w:val="00CD491C"/>
    <w:rsid w:val="00CF0819"/>
    <w:rsid w:val="00D80D7A"/>
    <w:rsid w:val="00E27E34"/>
    <w:rsid w:val="00E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enu v:ext="edit" strokecolor="#0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430"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rsid w:val="00197430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197430"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rsid w:val="00197430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43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rsid w:val="00197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rsid w:val="00197430"/>
    <w:pPr>
      <w:jc w:val="center"/>
    </w:pPr>
    <w:rPr>
      <w:rFonts w:cs="Arial"/>
      <w:b/>
      <w:bCs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430"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rsid w:val="00197430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197430"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rsid w:val="00197430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43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rsid w:val="00197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rsid w:val="00197430"/>
    <w:pPr>
      <w:jc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Patrick John Fuchs</cp:lastModifiedBy>
  <cp:revision>2</cp:revision>
  <cp:lastPrinted>2012-07-16T14:53:00Z</cp:lastPrinted>
  <dcterms:created xsi:type="dcterms:W3CDTF">2012-10-23T19:10:00Z</dcterms:created>
  <dcterms:modified xsi:type="dcterms:W3CDTF">2012-10-23T19:10:00Z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620856378</vt:i4>
  </property>
  <property fmtid="{D5CDD505-2E9C-101B-9397-08002B2CF9AE}" pid="3" name="_NewReviewCycle">
    <vt:lpwstr/>
  </property>
  <property fmtid="{D5CDD505-2E9C-101B-9397-08002B2CF9AE}" pid="4" name="_EmailSubject">
    <vt:lpwstr>2502-0059 - </vt:lpwstr>
  </property>
  <property fmtid="{D5CDD505-2E9C-101B-9397-08002B2CF9AE}" pid="5" name="_AuthorEmail">
    <vt:lpwstr>Lajuan.E.Gladden@hud.gov</vt:lpwstr>
  </property>
  <property fmtid="{D5CDD505-2E9C-101B-9397-08002B2CF9AE}" pid="6" name="_AuthorEmailDisplayName">
    <vt:lpwstr>Gladden, Lajuan E</vt:lpwstr>
  </property>
  <property fmtid="{D5CDD505-2E9C-101B-9397-08002B2CF9AE}" pid="7" name="_PreviousAdHocReviewCycleID">
    <vt:i4>-1143647361</vt:i4>
  </property>
  <property fmtid="{D5CDD505-2E9C-101B-9397-08002B2CF9AE}" pid="8" name="_ReviewingToolsShownOnce">
    <vt:lpwstr/>
  </property>
</Properties>
</file>