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63D" w:rsidRDefault="0029663D" w:rsidP="0029663D">
      <w:pPr>
        <w:jc w:val="center"/>
        <w:rPr>
          <w:b/>
          <w:bCs/>
        </w:rPr>
      </w:pPr>
      <w:r>
        <w:rPr>
          <w:b/>
          <w:bCs/>
        </w:rPr>
        <w:t>Supporting Statement for a Request for OMB Review under</w:t>
      </w:r>
    </w:p>
    <w:p w:rsidR="0029663D" w:rsidRDefault="0029663D" w:rsidP="0029663D">
      <w:pPr>
        <w:jc w:val="center"/>
        <w:rPr>
          <w:b/>
          <w:bCs/>
        </w:rPr>
      </w:pPr>
      <w:r>
        <w:rPr>
          <w:b/>
          <w:bCs/>
        </w:rPr>
        <w:t>The Paperwork Reduction Act</w:t>
      </w:r>
    </w:p>
    <w:p w:rsidR="0029663D" w:rsidRDefault="0029663D" w:rsidP="0029663D">
      <w:pPr>
        <w:rPr>
          <w:b/>
          <w:bCs/>
        </w:rPr>
      </w:pPr>
    </w:p>
    <w:p w:rsidR="0029663D" w:rsidRDefault="0029663D" w:rsidP="0029663D">
      <w:pPr>
        <w:rPr>
          <w:b/>
          <w:bCs/>
        </w:rPr>
      </w:pPr>
    </w:p>
    <w:p w:rsidR="0029663D" w:rsidRDefault="0029663D" w:rsidP="0029663D">
      <w:pPr>
        <w:rPr>
          <w:b/>
          <w:bCs/>
        </w:rPr>
      </w:pPr>
      <w:r>
        <w:rPr>
          <w:b/>
          <w:bCs/>
        </w:rPr>
        <w:t>1</w:t>
      </w:r>
      <w:r>
        <w:rPr>
          <w:b/>
          <w:bCs/>
        </w:rPr>
        <w:tab/>
        <w:t>IDENTIFICATION OF THE INFORMATION COLLECTION</w:t>
      </w:r>
    </w:p>
    <w:p w:rsidR="0029663D" w:rsidRDefault="0029663D" w:rsidP="0029663D">
      <w:pPr>
        <w:rPr>
          <w:b/>
          <w:bCs/>
        </w:rPr>
      </w:pPr>
    </w:p>
    <w:p w:rsidR="0029663D" w:rsidRDefault="0029663D" w:rsidP="0029663D">
      <w:pPr>
        <w:rPr>
          <w:b/>
          <w:bCs/>
        </w:rPr>
      </w:pPr>
      <w:r>
        <w:rPr>
          <w:b/>
          <w:bCs/>
        </w:rPr>
        <w:tab/>
        <w:t>1(a)</w:t>
      </w:r>
      <w:r>
        <w:rPr>
          <w:b/>
          <w:bCs/>
        </w:rPr>
        <w:tab/>
        <w:t>Title and Number of the Information Collection</w:t>
      </w:r>
    </w:p>
    <w:p w:rsidR="0029663D" w:rsidRDefault="0029663D" w:rsidP="0029663D">
      <w:pPr>
        <w:rPr>
          <w:b/>
          <w:bCs/>
        </w:rPr>
      </w:pPr>
    </w:p>
    <w:p w:rsidR="0029663D" w:rsidRDefault="0029663D" w:rsidP="0029663D">
      <w:pPr>
        <w:tabs>
          <w:tab w:val="left" w:pos="720"/>
          <w:tab w:val="left" w:pos="1440"/>
          <w:tab w:val="left" w:pos="2160"/>
        </w:tabs>
        <w:ind w:left="2160" w:hanging="2160"/>
        <w:rPr>
          <w:b/>
          <w:bCs/>
        </w:rPr>
      </w:pPr>
      <w:r>
        <w:rPr>
          <w:b/>
          <w:bCs/>
        </w:rPr>
        <w:tab/>
      </w:r>
      <w:r>
        <w:rPr>
          <w:b/>
          <w:bCs/>
        </w:rPr>
        <w:tab/>
        <w:t>Title:</w:t>
      </w:r>
      <w:r>
        <w:rPr>
          <w:b/>
          <w:bCs/>
        </w:rPr>
        <w:tab/>
        <w:t>Recordkeeping and Reporting Requirements for Allegations of Significant Adverse Reactions to Human Health or the Environment</w:t>
      </w:r>
    </w:p>
    <w:p w:rsidR="0029663D" w:rsidRDefault="0029663D" w:rsidP="0029663D">
      <w:pPr>
        <w:rPr>
          <w:b/>
          <w:bCs/>
        </w:rPr>
      </w:pPr>
    </w:p>
    <w:p w:rsidR="0029663D" w:rsidRDefault="0029663D" w:rsidP="0029663D">
      <w:pPr>
        <w:tabs>
          <w:tab w:val="left" w:pos="720"/>
          <w:tab w:val="left" w:pos="1440"/>
          <w:tab w:val="left" w:pos="2160"/>
          <w:tab w:val="left" w:pos="2880"/>
          <w:tab w:val="left" w:pos="3600"/>
          <w:tab w:val="left" w:pos="4320"/>
        </w:tabs>
        <w:ind w:left="4320" w:hanging="4320"/>
        <w:rPr>
          <w:b/>
          <w:bCs/>
        </w:rPr>
      </w:pPr>
      <w:r>
        <w:rPr>
          <w:b/>
          <w:bCs/>
        </w:rPr>
        <w:tab/>
      </w:r>
      <w:r>
        <w:rPr>
          <w:b/>
          <w:bCs/>
        </w:rPr>
        <w:tab/>
        <w:t>EPA ICR No.:  1031.10</w:t>
      </w:r>
      <w:r>
        <w:rPr>
          <w:b/>
          <w:bCs/>
        </w:rPr>
        <w:tab/>
        <w:t>OMB Control No.:  2070-0017</w:t>
      </w:r>
    </w:p>
    <w:p w:rsidR="0029663D" w:rsidRDefault="0029663D" w:rsidP="0029663D">
      <w:pPr>
        <w:rPr>
          <w:b/>
          <w:bCs/>
        </w:rPr>
      </w:pPr>
    </w:p>
    <w:p w:rsidR="0029663D" w:rsidRDefault="0029663D" w:rsidP="0029663D">
      <w:r>
        <w:rPr>
          <w:b/>
          <w:bCs/>
        </w:rPr>
        <w:tab/>
        <w:t>1(b)</w:t>
      </w:r>
      <w:r>
        <w:rPr>
          <w:b/>
          <w:bCs/>
        </w:rPr>
        <w:tab/>
        <w:t xml:space="preserve"> Short Characterization</w:t>
      </w:r>
    </w:p>
    <w:p w:rsidR="0029663D" w:rsidRDefault="0029663D" w:rsidP="0029663D">
      <w:r>
        <w:tab/>
      </w:r>
    </w:p>
    <w:p w:rsidR="0029663D" w:rsidRDefault="0029663D" w:rsidP="0029663D">
      <w:pPr>
        <w:ind w:firstLine="720"/>
      </w:pPr>
      <w:r>
        <w:t>Section 8(c) of the Toxic Substances Contro</w:t>
      </w:r>
      <w:r w:rsidR="002C7C63">
        <w:t>l Act (TSCA), 15 U.S.C. 2607(c)</w:t>
      </w:r>
      <w:r w:rsidR="009340E0">
        <w:t xml:space="preserve"> (Attachment 1)</w:t>
      </w:r>
      <w:r w:rsidR="002C7C63">
        <w:t>,</w:t>
      </w:r>
      <w:r>
        <w:t xml:space="preserve"> requires that “any person who manufactures (including imports), processes, or distributes in commerce any chemical substance or mixture” must keep “records of significant adverse reactions to health or the environment, as determined by the Administrator by rule, alleged to have been caused by the substance or mixture.”</w:t>
      </w:r>
      <w:r w:rsidR="002C7C63" w:rsidRPr="002C7C63">
        <w:t xml:space="preserve"> </w:t>
      </w:r>
      <w:r w:rsidR="002C7C63">
        <w:t>TSCA section 8(c) requires that allegations of adverse reactions to the health of employees be kept for thirty years, and all other allegations be kept for five years.</w:t>
      </w:r>
    </w:p>
    <w:p w:rsidR="0029663D" w:rsidRDefault="0029663D" w:rsidP="0029663D"/>
    <w:p w:rsidR="0029663D" w:rsidRDefault="0029663D" w:rsidP="0029663D">
      <w:r>
        <w:tab/>
        <w:t>EPA promulgated 40 CFR 717, “Allegations that Chemical Substances Cause Significant Adverse Reactions to Health or the Environment; Subpart A -- Recordkeeping and Reporting,” on August 22, 1983 (48 FR 38178)</w:t>
      </w:r>
      <w:r w:rsidR="009340E0">
        <w:t xml:space="preserve"> (Attachment 2)</w:t>
      </w:r>
      <w:r>
        <w:t>.  This rule became effective on November 21, 1983.  The rule requires manufacturers (including importers) and processors of chemical substances and mixtures to keep records of “significant adverse reactions” alleged to have been caused by such substances or mixtures.  The rule also prescribes the conditions under which a firm must submit or make the records available to a duly designated representative of the Administrator.</w:t>
      </w:r>
    </w:p>
    <w:p w:rsidR="0029663D" w:rsidRDefault="0029663D" w:rsidP="0029663D"/>
    <w:p w:rsidR="00AE18EC" w:rsidRDefault="0029663D" w:rsidP="002C7C63">
      <w:pPr>
        <w:rPr>
          <w:b/>
          <w:bCs/>
        </w:rPr>
      </w:pPr>
      <w:r>
        <w:tab/>
      </w:r>
    </w:p>
    <w:p w:rsidR="0029663D" w:rsidRDefault="0029663D" w:rsidP="00AE18EC">
      <w:pPr>
        <w:widowControl/>
        <w:autoSpaceDE/>
        <w:autoSpaceDN/>
        <w:adjustRightInd/>
        <w:spacing w:after="200" w:line="276" w:lineRule="auto"/>
      </w:pPr>
      <w:r>
        <w:rPr>
          <w:b/>
          <w:bCs/>
        </w:rPr>
        <w:t>2</w:t>
      </w:r>
      <w:r>
        <w:rPr>
          <w:b/>
          <w:bCs/>
        </w:rPr>
        <w:tab/>
        <w:t>NEED FOR AND USE OF THE COLLECTION</w:t>
      </w:r>
    </w:p>
    <w:p w:rsidR="0029663D" w:rsidRDefault="0029663D" w:rsidP="0029663D">
      <w:r>
        <w:tab/>
      </w:r>
      <w:r>
        <w:rPr>
          <w:b/>
          <w:bCs/>
        </w:rPr>
        <w:t>2(a)</w:t>
      </w:r>
      <w:r>
        <w:rPr>
          <w:b/>
          <w:bCs/>
        </w:rPr>
        <w:tab/>
        <w:t>Need/Authority for the Collection</w:t>
      </w:r>
    </w:p>
    <w:p w:rsidR="0029663D" w:rsidRDefault="0029663D" w:rsidP="0029663D"/>
    <w:p w:rsidR="0029663D" w:rsidRDefault="0029663D" w:rsidP="0029663D">
      <w:r>
        <w:tab/>
        <w:t xml:space="preserve">The recordkeeping and reporting activities associated with this collection of information are required by statute.  The TSCA section 8(c) reporting and recordkeeping requirements are of central importance in the administration of TSCA section 8 as a whole.  Without the ability to administer these paperwork requirements, EPA would not be able to meet its obligation under TSCA.  </w:t>
      </w:r>
    </w:p>
    <w:p w:rsidR="0029663D" w:rsidRDefault="0029663D" w:rsidP="0029663D"/>
    <w:p w:rsidR="0029663D" w:rsidRDefault="0029663D" w:rsidP="00AE18EC">
      <w:pPr>
        <w:widowControl/>
      </w:pPr>
      <w:r>
        <w:tab/>
        <w:t>Since the statute does not contain an automatic reporting provision, EPA must either inspect company files or require reporting of records that relate to specific substances of concern in order to obtain and use information about allegations of significant adverse reactions.  EPA’s authority to inspect and require such reporting is codified in 40 CFR 717.17.  EPA will review relevant TSCA section 8(c) records in connection with its TSCA chemical assessment activities.</w:t>
      </w:r>
    </w:p>
    <w:p w:rsidR="0029663D" w:rsidRDefault="0029663D" w:rsidP="0029663D"/>
    <w:p w:rsidR="0029663D" w:rsidRDefault="0029663D" w:rsidP="0029663D">
      <w:r>
        <w:tab/>
        <w:t xml:space="preserve">All studies submitted to EPA will be verified and the contents of the submissions recorded and inspected for the inclusion of confidential business information.  Copies of the documents will then be </w:t>
      </w:r>
      <w:r>
        <w:lastRenderedPageBreak/>
        <w:t>prepared for inclusion in EPA’s public docket and distributed, as appropriate and based on the associated chemical identity, to program offices at EPA and/or to other federal agencies for scientific analysis. A coding form will be completed to capture certain descriptive information such as identity, document control number, confidentiality indicator, document title, document date, receipt date and chemical identity. The document will be recorded on microfiche and stored for archival purposes.</w:t>
      </w:r>
    </w:p>
    <w:p w:rsidR="0029663D" w:rsidRDefault="0029663D" w:rsidP="0029663D"/>
    <w:p w:rsidR="0029663D" w:rsidRDefault="0029663D" w:rsidP="0029663D">
      <w:r>
        <w:tab/>
      </w:r>
      <w:r>
        <w:rPr>
          <w:b/>
          <w:bCs/>
        </w:rPr>
        <w:t>2(b)</w:t>
      </w:r>
      <w:r>
        <w:rPr>
          <w:b/>
          <w:bCs/>
        </w:rPr>
        <w:tab/>
        <w:t>Use/Users of the Data</w:t>
      </w:r>
    </w:p>
    <w:p w:rsidR="0029663D" w:rsidRDefault="0029663D" w:rsidP="0029663D"/>
    <w:p w:rsidR="0029663D" w:rsidRDefault="0029663D" w:rsidP="0029663D">
      <w:r>
        <w:tab/>
        <w:t>By using the TSCA section 8(c) reporting authority, EPA can examine such records whenever a chemical is discovered to present possible risks to human health or the environment. Information contained in the TSCA section 8(c) allegation records will have several uses.  The information collected will be used on a case-specific basis to evaluate suspected adverse health or environmental effects of a chemical substance or mixture already under assessment by EPA's Office of Pollution Prevention and Toxics (OPPT).  Most of these substances will be “existing” chemicals, e.g., chemicals for test rule consideration, substances that are the subjects of TSCA section 8(e) notices of substantial risk, or substances or mixtures brought to the attention of OPPT by other EPA programs, other government agencies, industry, or the public.  However, TSCA section 8(c) reports also may be required on “new” chemicals as one means of monitoring for any suspected or potential hazards identified during the premanufacture notification (PMN) review period.</w:t>
      </w:r>
    </w:p>
    <w:p w:rsidR="0029663D" w:rsidRDefault="0029663D" w:rsidP="0029663D"/>
    <w:p w:rsidR="0029663D" w:rsidRDefault="0029663D" w:rsidP="0029663D">
      <w:r>
        <w:tab/>
        <w:t>On a case-specific basis, requiring reporting of TSCA section 8(c) records will also serve as a discovery function.  It will help identify trends of adverse affects across the industry that may not be apparent to any one company.  It will also serve as a long-term trend identification function because of the 5-year and 30-year recordkeeping feature of the statute.</w:t>
      </w:r>
    </w:p>
    <w:p w:rsidR="0029663D" w:rsidRDefault="0029663D" w:rsidP="0029663D"/>
    <w:p w:rsidR="0029663D" w:rsidRDefault="0029663D" w:rsidP="0029663D"/>
    <w:p w:rsidR="0029663D" w:rsidRDefault="0029663D" w:rsidP="0029663D">
      <w:pPr>
        <w:tabs>
          <w:tab w:val="left" w:pos="720"/>
        </w:tabs>
        <w:ind w:left="720" w:hanging="720"/>
      </w:pPr>
      <w:r>
        <w:rPr>
          <w:b/>
          <w:bCs/>
        </w:rPr>
        <w:t>3</w:t>
      </w:r>
      <w:r>
        <w:rPr>
          <w:b/>
          <w:bCs/>
        </w:rPr>
        <w:tab/>
        <w:t>NON-DUPLICATION, CONSULTATIONS AND OTHER COLLECTION CRITERIA</w:t>
      </w:r>
    </w:p>
    <w:p w:rsidR="0029663D" w:rsidRDefault="0029663D" w:rsidP="0029663D"/>
    <w:p w:rsidR="0029663D" w:rsidRDefault="0029663D" w:rsidP="0029663D">
      <w:r>
        <w:tab/>
      </w:r>
      <w:r>
        <w:rPr>
          <w:b/>
          <w:bCs/>
        </w:rPr>
        <w:t>3(a)</w:t>
      </w:r>
      <w:r>
        <w:rPr>
          <w:b/>
          <w:bCs/>
        </w:rPr>
        <w:tab/>
        <w:t>Non-Duplication</w:t>
      </w:r>
    </w:p>
    <w:p w:rsidR="0029663D" w:rsidRDefault="0029663D" w:rsidP="0029663D"/>
    <w:p w:rsidR="0029663D" w:rsidRDefault="0029663D" w:rsidP="0029663D">
      <w:r>
        <w:tab/>
        <w:t xml:space="preserve">Information recorded and reported on alleged adverse effects on health or the environment is specific for compliance with the TSCA section 8(c) rule.  Records required to be maintained under this rule include records of consumer allegations of personal injury or harm to health, reports of occupational disease or injury, and reports or complaints of injury to the environment submitted to the manufacturer, processor, or distributor in commerce from any source.  Allegation means a statement, made without formal proof or regard for evidence, that a chemical substance or mixture has caused a significant adverse reaction to health or the environment. TSCA section 8(c) requires that allegations of adverse reactions to the health of employees be kept for 30 years, and all other relevant allegations be kept for 5 years.  </w:t>
      </w:r>
    </w:p>
    <w:p w:rsidR="0029663D" w:rsidRDefault="0029663D" w:rsidP="0029663D"/>
    <w:p w:rsidR="0029663D" w:rsidRDefault="0029663D" w:rsidP="0029663D">
      <w:r>
        <w:tab/>
      </w:r>
      <w:r w:rsidR="00AE18EC">
        <w:t>No</w:t>
      </w:r>
      <w:r>
        <w:t xml:space="preserve"> other EPA programs or other agencies/departments that require this specific set of information on alleged adverse effects to be recorded and maintained for this retention period nor does any other government program have direct authority to access such information.  If any records or reports relating to the allegation are required by another agency, then copies of those records or reports must be maintained in the TSCA section 8(c) allegation record.  For example, if an employee allegation results in a requirement for the firm to record the case on Occupational Safety and Health Administration (OSHA) Form 301, or equivalent form, which must be maintained by the firm for only 5 years (see 29 CFR part 1904 for recording and reporting requirements for occupational injuries and </w:t>
      </w:r>
      <w:r>
        <w:lastRenderedPageBreak/>
        <w:t>illnesses under the Occupational Safety and Health Act of 1970), then a copy of that OSHA record must be included in the allegation record.</w:t>
      </w:r>
    </w:p>
    <w:p w:rsidR="0029663D" w:rsidRDefault="0029663D" w:rsidP="0029663D"/>
    <w:p w:rsidR="0029663D" w:rsidRDefault="0029663D" w:rsidP="0029663D">
      <w:r>
        <w:tab/>
      </w:r>
      <w:r>
        <w:rPr>
          <w:b/>
          <w:bCs/>
        </w:rPr>
        <w:t>3(b)</w:t>
      </w:r>
      <w:r>
        <w:rPr>
          <w:b/>
          <w:bCs/>
        </w:rPr>
        <w:tab/>
        <w:t>Public Notice Required Prior to ICR Submission to OMB</w:t>
      </w:r>
    </w:p>
    <w:p w:rsidR="0029663D" w:rsidRDefault="0029663D" w:rsidP="0029663D"/>
    <w:p w:rsidR="0029663D" w:rsidRDefault="0029663D" w:rsidP="0029663D">
      <w:pPr>
        <w:ind w:firstLine="720"/>
      </w:pPr>
      <w:r w:rsidRPr="00622EB5">
        <w:t>In proposing to renew this ICR, EPA provided a 60-day public notice an</w:t>
      </w:r>
      <w:r>
        <w:t>d comment period that ended on December 27, 2011 (76 FR 66061, October 25, 2011</w:t>
      </w:r>
      <w:r w:rsidRPr="00622EB5">
        <w:t>).  EPA received no comm</w:t>
      </w:r>
      <w:r>
        <w:t>ents during the comment period.</w:t>
      </w:r>
    </w:p>
    <w:p w:rsidR="0029663D" w:rsidRDefault="0029663D" w:rsidP="0029663D">
      <w:r>
        <w:t xml:space="preserve"> </w:t>
      </w:r>
    </w:p>
    <w:p w:rsidR="0029663D" w:rsidRDefault="0029663D" w:rsidP="0029663D">
      <w:r>
        <w:tab/>
      </w:r>
      <w:r>
        <w:rPr>
          <w:b/>
          <w:bCs/>
        </w:rPr>
        <w:t>3(c)</w:t>
      </w:r>
      <w:r>
        <w:rPr>
          <w:b/>
          <w:bCs/>
        </w:rPr>
        <w:tab/>
        <w:t>Consultations</w:t>
      </w:r>
    </w:p>
    <w:p w:rsidR="0029663D" w:rsidRDefault="0029663D" w:rsidP="0029663D"/>
    <w:p w:rsidR="0029663D" w:rsidRDefault="0029663D" w:rsidP="002C7C63">
      <w:pPr>
        <w:pStyle w:val="ListParagraph"/>
        <w:keepNext/>
        <w:widowControl/>
        <w:ind w:left="0" w:firstLine="720"/>
      </w:pPr>
      <w:r>
        <w:tab/>
      </w:r>
      <w:bookmarkStart w:id="0" w:name="_GoBack"/>
      <w:bookmarkEnd w:id="0"/>
      <w:r>
        <w:t xml:space="preserve">, </w:t>
      </w:r>
      <w:r w:rsidR="00E025DF">
        <w:t>U</w:t>
      </w:r>
      <w:r>
        <w:t>nder 5 CFR 1320.8(d)(1), OMB requires agencies to consult with potential ICR respondents and data users about specific aspects of ICRs before submitting an ICR to OMB for review and approval.  In accordance with this regulation, EPA submitted questions to nine parties via email.  The individuals and/or organizations contacted were:</w:t>
      </w:r>
    </w:p>
    <w:p w:rsidR="0029663D" w:rsidRDefault="0029663D" w:rsidP="0029663D">
      <w:pPr>
        <w:pStyle w:val="ListParagraph"/>
        <w:ind w:left="1"/>
      </w:pPr>
    </w:p>
    <w:p w:rsidR="0029663D" w:rsidRDefault="0029663D" w:rsidP="0029663D">
      <w:pPr>
        <w:pStyle w:val="ListParagraph"/>
        <w:ind w:left="1"/>
      </w:pPr>
      <w:r>
        <w:tab/>
        <w:t>Robert K</w:t>
      </w:r>
      <w:r w:rsidRPr="00AF7BA5">
        <w:t>iefer</w:t>
      </w:r>
      <w:r>
        <w:t>, Director</w:t>
      </w:r>
    </w:p>
    <w:p w:rsidR="0029663D" w:rsidRDefault="0029663D" w:rsidP="0029663D">
      <w:pPr>
        <w:pStyle w:val="ListParagraph"/>
        <w:ind w:left="1" w:firstLine="719"/>
      </w:pPr>
      <w:r w:rsidRPr="00455A09">
        <w:t>Regulatory &amp; Technical Affairs</w:t>
      </w:r>
    </w:p>
    <w:p w:rsidR="0029663D" w:rsidRDefault="0029663D" w:rsidP="0029663D">
      <w:pPr>
        <w:pStyle w:val="ListParagraph"/>
        <w:ind w:left="1" w:firstLine="719"/>
      </w:pPr>
      <w:r w:rsidRPr="00AF7BA5">
        <w:t>robert_kiefer@americanchemistry.com</w:t>
      </w:r>
    </w:p>
    <w:p w:rsidR="0029663D" w:rsidRDefault="0029663D" w:rsidP="0029663D">
      <w:pPr>
        <w:pStyle w:val="ListParagraph"/>
        <w:ind w:left="1" w:firstLine="719"/>
      </w:pPr>
      <w:r>
        <w:t>American Chemistry Council</w:t>
      </w:r>
    </w:p>
    <w:p w:rsidR="0029663D" w:rsidRDefault="0029663D" w:rsidP="0029663D">
      <w:pPr>
        <w:pStyle w:val="ListParagraph"/>
        <w:ind w:left="1" w:firstLine="719"/>
      </w:pPr>
      <w:r>
        <w:t>Washington, D.C. 2002</w:t>
      </w:r>
    </w:p>
    <w:p w:rsidR="0029663D" w:rsidRDefault="0029663D" w:rsidP="0029663D">
      <w:pPr>
        <w:pStyle w:val="ListParagraph"/>
        <w:ind w:left="1" w:firstLine="719"/>
      </w:pPr>
    </w:p>
    <w:p w:rsidR="0029663D" w:rsidRDefault="0029663D" w:rsidP="0029663D">
      <w:pPr>
        <w:pStyle w:val="ListParagraph"/>
        <w:ind w:left="1" w:firstLine="719"/>
      </w:pPr>
      <w:r>
        <w:t>Ernie Rosenberg, President and CEO</w:t>
      </w:r>
    </w:p>
    <w:p w:rsidR="0029663D" w:rsidRDefault="0029663D" w:rsidP="0029663D">
      <w:pPr>
        <w:pStyle w:val="ListParagraph"/>
        <w:ind w:left="1" w:firstLine="719"/>
      </w:pPr>
      <w:r w:rsidRPr="00AF7BA5">
        <w:t>erosenberg@cleaninginstitute.org</w:t>
      </w:r>
    </w:p>
    <w:p w:rsidR="0029663D" w:rsidRDefault="0029663D" w:rsidP="0029663D">
      <w:pPr>
        <w:pStyle w:val="ListParagraph"/>
        <w:ind w:left="1"/>
      </w:pPr>
      <w:r>
        <w:tab/>
        <w:t>American Cleaning Institute</w:t>
      </w:r>
    </w:p>
    <w:p w:rsidR="0029663D" w:rsidRDefault="0029663D" w:rsidP="0029663D">
      <w:pPr>
        <w:pStyle w:val="ListParagraph"/>
        <w:ind w:left="1" w:firstLine="719"/>
      </w:pPr>
      <w:r>
        <w:t>Washington, D.C. 20005</w:t>
      </w:r>
    </w:p>
    <w:p w:rsidR="0029663D" w:rsidRDefault="0029663D" w:rsidP="0029663D">
      <w:pPr>
        <w:pStyle w:val="ListParagraph"/>
        <w:ind w:left="1"/>
      </w:pPr>
    </w:p>
    <w:p w:rsidR="0029663D" w:rsidRDefault="0029663D" w:rsidP="0029663D">
      <w:pPr>
        <w:pStyle w:val="ListParagraph"/>
        <w:ind w:left="1"/>
      </w:pPr>
      <w:r>
        <w:tab/>
        <w:t xml:space="preserve">Doug </w:t>
      </w:r>
      <w:proofErr w:type="spellStart"/>
      <w:r>
        <w:t>Fratz</w:t>
      </w:r>
      <w:proofErr w:type="spellEnd"/>
      <w:r>
        <w:t xml:space="preserve">, </w:t>
      </w:r>
      <w:r w:rsidRPr="00A57153">
        <w:t>Vice President of Scientific and Technical Affairs</w:t>
      </w:r>
    </w:p>
    <w:p w:rsidR="0029663D" w:rsidRDefault="0029663D" w:rsidP="0029663D">
      <w:pPr>
        <w:pStyle w:val="ListParagraph"/>
        <w:ind w:left="1"/>
      </w:pPr>
      <w:r>
        <w:tab/>
        <w:t>dfratz@cspa.org</w:t>
      </w:r>
    </w:p>
    <w:p w:rsidR="0029663D" w:rsidRDefault="0029663D" w:rsidP="0029663D">
      <w:pPr>
        <w:pStyle w:val="ListParagraph"/>
        <w:ind w:left="1"/>
      </w:pPr>
      <w:r>
        <w:tab/>
        <w:t>Consumer Specialty Products Association</w:t>
      </w:r>
    </w:p>
    <w:p w:rsidR="0029663D" w:rsidRDefault="0029663D" w:rsidP="0029663D">
      <w:pPr>
        <w:pStyle w:val="ListParagraph"/>
        <w:ind w:left="1" w:firstLine="719"/>
      </w:pPr>
      <w:r>
        <w:t>Washington, D.C. 20006</w:t>
      </w:r>
    </w:p>
    <w:p w:rsidR="0029663D" w:rsidRDefault="0029663D" w:rsidP="0029663D">
      <w:pPr>
        <w:pStyle w:val="ListParagraph"/>
        <w:ind w:left="1"/>
      </w:pPr>
      <w:r>
        <w:tab/>
      </w:r>
    </w:p>
    <w:p w:rsidR="0029663D" w:rsidRDefault="0029663D" w:rsidP="0029663D">
      <w:pPr>
        <w:pStyle w:val="ListParagraph"/>
        <w:ind w:left="1"/>
      </w:pPr>
      <w:r>
        <w:tab/>
        <w:t>Daniel Newton, Manager</w:t>
      </w:r>
    </w:p>
    <w:p w:rsidR="0029663D" w:rsidRDefault="0029663D" w:rsidP="0029663D">
      <w:pPr>
        <w:pStyle w:val="ListParagraph"/>
        <w:ind w:left="1" w:firstLine="719"/>
      </w:pPr>
      <w:r w:rsidRPr="00A57153">
        <w:t>Government Relations</w:t>
      </w:r>
    </w:p>
    <w:p w:rsidR="0029663D" w:rsidRDefault="0029663D" w:rsidP="0029663D">
      <w:pPr>
        <w:pStyle w:val="ListParagraph"/>
        <w:ind w:left="1"/>
      </w:pPr>
      <w:r>
        <w:tab/>
      </w:r>
      <w:r w:rsidRPr="00AF7BA5">
        <w:t>newtond@socma.com</w:t>
      </w:r>
    </w:p>
    <w:p w:rsidR="0029663D" w:rsidRDefault="0029663D" w:rsidP="0029663D">
      <w:pPr>
        <w:pStyle w:val="ListParagraph"/>
        <w:ind w:left="1"/>
      </w:pPr>
      <w:r>
        <w:tab/>
        <w:t>Society of Chemical Manufacturers &amp; Affiliates</w:t>
      </w:r>
    </w:p>
    <w:p w:rsidR="0029663D" w:rsidRDefault="0029663D" w:rsidP="0029663D">
      <w:pPr>
        <w:pStyle w:val="ListParagraph"/>
        <w:ind w:left="1" w:firstLine="719"/>
      </w:pPr>
      <w:r>
        <w:t>Washington, DC 20036</w:t>
      </w:r>
    </w:p>
    <w:p w:rsidR="0029663D" w:rsidRDefault="0029663D" w:rsidP="0029663D">
      <w:pPr>
        <w:pStyle w:val="ListParagraph"/>
        <w:ind w:left="1"/>
      </w:pPr>
      <w:r>
        <w:tab/>
      </w:r>
    </w:p>
    <w:p w:rsidR="0029663D" w:rsidRDefault="0029663D" w:rsidP="0029663D">
      <w:pPr>
        <w:pStyle w:val="ListParagraph"/>
        <w:ind w:left="1"/>
      </w:pPr>
      <w:r>
        <w:tab/>
        <w:t xml:space="preserve">William </w:t>
      </w:r>
      <w:proofErr w:type="spellStart"/>
      <w:r>
        <w:t>McLin</w:t>
      </w:r>
      <w:proofErr w:type="spellEnd"/>
      <w:r>
        <w:t>, President and CEO</w:t>
      </w:r>
    </w:p>
    <w:p w:rsidR="0029663D" w:rsidRDefault="0029663D" w:rsidP="0029663D">
      <w:pPr>
        <w:pStyle w:val="ListParagraph"/>
        <w:ind w:left="1"/>
      </w:pPr>
      <w:r>
        <w:tab/>
      </w:r>
      <w:r w:rsidRPr="00AF7BA5">
        <w:t>bill@aafa.org</w:t>
      </w:r>
    </w:p>
    <w:p w:rsidR="0029663D" w:rsidRDefault="0029663D" w:rsidP="0029663D">
      <w:pPr>
        <w:pStyle w:val="ListParagraph"/>
        <w:ind w:left="1"/>
      </w:pPr>
      <w:r>
        <w:tab/>
        <w:t>Asthma &amp; Allergy Foundation of America</w:t>
      </w:r>
    </w:p>
    <w:p w:rsidR="0029663D" w:rsidRDefault="0029663D" w:rsidP="0029663D">
      <w:pPr>
        <w:pStyle w:val="ListParagraph"/>
        <w:ind w:left="1" w:firstLine="719"/>
      </w:pPr>
      <w:r>
        <w:t>Landover, MD 20785</w:t>
      </w:r>
    </w:p>
    <w:p w:rsidR="0029663D" w:rsidRDefault="0029663D" w:rsidP="0029663D">
      <w:pPr>
        <w:pStyle w:val="ListParagraph"/>
        <w:ind w:left="1" w:firstLine="719"/>
      </w:pPr>
    </w:p>
    <w:p w:rsidR="0029663D" w:rsidRDefault="0029663D" w:rsidP="0029663D">
      <w:pPr>
        <w:pStyle w:val="ListParagraph"/>
        <w:ind w:left="1" w:firstLine="719"/>
      </w:pPr>
      <w:proofErr w:type="spellStart"/>
      <w:r w:rsidRPr="00A57153">
        <w:t>Nsedu</w:t>
      </w:r>
      <w:proofErr w:type="spellEnd"/>
      <w:r w:rsidRPr="00A57153">
        <w:t xml:space="preserve"> </w:t>
      </w:r>
      <w:proofErr w:type="spellStart"/>
      <w:r w:rsidRPr="00A57153">
        <w:t>Obot</w:t>
      </w:r>
      <w:proofErr w:type="spellEnd"/>
      <w:r w:rsidRPr="00A57153">
        <w:t xml:space="preserve"> Witherspoon, </w:t>
      </w:r>
      <w:r>
        <w:t>E</w:t>
      </w:r>
      <w:r w:rsidRPr="00A57153">
        <w:t>xecutive Director</w:t>
      </w:r>
    </w:p>
    <w:p w:rsidR="0029663D" w:rsidRDefault="0029663D" w:rsidP="0029663D">
      <w:pPr>
        <w:pStyle w:val="ListParagraph"/>
        <w:ind w:left="1"/>
      </w:pPr>
      <w:r>
        <w:tab/>
      </w:r>
      <w:r w:rsidRPr="00AF7BA5">
        <w:t>nobot@cehn.org</w:t>
      </w:r>
      <w:r>
        <w:tab/>
      </w:r>
    </w:p>
    <w:p w:rsidR="0029663D" w:rsidRDefault="0029663D" w:rsidP="0029663D">
      <w:pPr>
        <w:pStyle w:val="ListParagraph"/>
        <w:ind w:left="1"/>
      </w:pPr>
      <w:r>
        <w:tab/>
        <w:t>Children's Environmental Health Network</w:t>
      </w:r>
    </w:p>
    <w:p w:rsidR="0029663D" w:rsidRDefault="0029663D" w:rsidP="0029663D">
      <w:pPr>
        <w:pStyle w:val="ListParagraph"/>
        <w:ind w:left="1" w:firstLine="719"/>
      </w:pPr>
      <w:r>
        <w:t>Washington, DC 20002</w:t>
      </w:r>
    </w:p>
    <w:p w:rsidR="0029663D" w:rsidRDefault="0029663D" w:rsidP="0029663D">
      <w:pPr>
        <w:pStyle w:val="ListParagraph"/>
        <w:ind w:left="1"/>
      </w:pPr>
    </w:p>
    <w:p w:rsidR="0029663D" w:rsidRDefault="0029663D" w:rsidP="0029663D">
      <w:pPr>
        <w:pStyle w:val="ListParagraph"/>
        <w:ind w:left="1"/>
      </w:pPr>
      <w:r>
        <w:lastRenderedPageBreak/>
        <w:tab/>
        <w:t>Robert Denison, Senior Scientist</w:t>
      </w:r>
    </w:p>
    <w:p w:rsidR="0029663D" w:rsidRDefault="0029663D" w:rsidP="0029663D">
      <w:pPr>
        <w:pStyle w:val="ListParagraph"/>
        <w:ind w:left="1"/>
      </w:pPr>
      <w:r>
        <w:tab/>
      </w:r>
      <w:r w:rsidRPr="00AF7BA5">
        <w:t>rdenison@edf.org</w:t>
      </w:r>
    </w:p>
    <w:p w:rsidR="0029663D" w:rsidRDefault="0029663D" w:rsidP="0029663D">
      <w:pPr>
        <w:pStyle w:val="ListParagraph"/>
        <w:ind w:left="1"/>
      </w:pPr>
      <w:r>
        <w:tab/>
        <w:t>Environmental Defense</w:t>
      </w:r>
    </w:p>
    <w:p w:rsidR="0029663D" w:rsidRDefault="0029663D" w:rsidP="0029663D">
      <w:pPr>
        <w:pStyle w:val="ListParagraph"/>
        <w:ind w:left="1" w:firstLine="719"/>
      </w:pPr>
      <w:r>
        <w:t>Washington, D.C. 20009</w:t>
      </w:r>
    </w:p>
    <w:p w:rsidR="0029663D" w:rsidRDefault="0029663D" w:rsidP="0029663D">
      <w:pPr>
        <w:pStyle w:val="ListParagraph"/>
        <w:ind w:left="1"/>
      </w:pPr>
    </w:p>
    <w:p w:rsidR="0029663D" w:rsidRDefault="0029663D" w:rsidP="0029663D">
      <w:pPr>
        <w:pStyle w:val="ListParagraph"/>
        <w:ind w:left="1"/>
      </w:pPr>
      <w:r>
        <w:tab/>
        <w:t>Kenneth A. Cook, President</w:t>
      </w:r>
    </w:p>
    <w:p w:rsidR="0029663D" w:rsidRDefault="0029663D" w:rsidP="0029663D">
      <w:pPr>
        <w:pStyle w:val="ListParagraph"/>
        <w:ind w:left="1"/>
      </w:pPr>
      <w:r>
        <w:tab/>
        <w:t>ken@ewg.org</w:t>
      </w:r>
    </w:p>
    <w:p w:rsidR="0029663D" w:rsidRDefault="0029663D" w:rsidP="0029663D">
      <w:pPr>
        <w:pStyle w:val="ListParagraph"/>
        <w:ind w:left="1"/>
      </w:pPr>
      <w:r>
        <w:tab/>
        <w:t>Environmental Working Group</w:t>
      </w:r>
    </w:p>
    <w:p w:rsidR="0029663D" w:rsidRDefault="0029663D" w:rsidP="0029663D">
      <w:pPr>
        <w:pStyle w:val="ListParagraph"/>
        <w:ind w:left="1" w:firstLine="719"/>
      </w:pPr>
      <w:r>
        <w:t>Washington, D.C. 20009</w:t>
      </w:r>
    </w:p>
    <w:p w:rsidR="0029663D" w:rsidRDefault="0029663D" w:rsidP="0029663D">
      <w:pPr>
        <w:pStyle w:val="ListParagraph"/>
        <w:ind w:left="1"/>
      </w:pPr>
      <w:r>
        <w:tab/>
      </w:r>
    </w:p>
    <w:p w:rsidR="0029663D" w:rsidRDefault="0029663D" w:rsidP="002C7C63">
      <w:pPr>
        <w:pStyle w:val="ListParagraph"/>
        <w:keepNext/>
        <w:widowControl/>
        <w:ind w:left="0" w:firstLine="719"/>
      </w:pPr>
      <w:r>
        <w:t xml:space="preserve">Thomas </w:t>
      </w:r>
      <w:proofErr w:type="spellStart"/>
      <w:r>
        <w:t>Neltner</w:t>
      </w:r>
      <w:proofErr w:type="spellEnd"/>
      <w:r>
        <w:t>, Food Additives Project D</w:t>
      </w:r>
      <w:r w:rsidRPr="009F13F9">
        <w:t>irector</w:t>
      </w:r>
    </w:p>
    <w:p w:rsidR="0029663D" w:rsidRDefault="0029663D" w:rsidP="002C7C63">
      <w:pPr>
        <w:pStyle w:val="ListParagraph"/>
        <w:keepNext/>
        <w:widowControl/>
        <w:ind w:left="0"/>
      </w:pPr>
      <w:r>
        <w:tab/>
      </w:r>
      <w:r w:rsidRPr="00AF7BA5">
        <w:t>tneltner@pewtrusts.org</w:t>
      </w:r>
    </w:p>
    <w:p w:rsidR="0029663D" w:rsidRDefault="0029663D" w:rsidP="002C7C63">
      <w:pPr>
        <w:pStyle w:val="ListParagraph"/>
        <w:keepNext/>
        <w:widowControl/>
        <w:ind w:left="0"/>
      </w:pPr>
      <w:r>
        <w:tab/>
        <w:t xml:space="preserve">Food Additives Campaign / Pew Health Group / </w:t>
      </w:r>
      <w:proofErr w:type="gramStart"/>
      <w:r>
        <w:t>The</w:t>
      </w:r>
      <w:proofErr w:type="gramEnd"/>
      <w:r>
        <w:t xml:space="preserve"> Pew Charitable Trusts</w:t>
      </w:r>
    </w:p>
    <w:p w:rsidR="0029663D" w:rsidRDefault="0029663D" w:rsidP="002C7C63">
      <w:pPr>
        <w:pStyle w:val="ListParagraph"/>
        <w:keepNext/>
        <w:widowControl/>
        <w:ind w:left="0"/>
      </w:pPr>
      <w:r>
        <w:tab/>
        <w:t>Washington, D.C. 20004</w:t>
      </w:r>
      <w:r>
        <w:tab/>
      </w:r>
    </w:p>
    <w:p w:rsidR="0029663D" w:rsidRDefault="0029663D" w:rsidP="0029663D">
      <w:pPr>
        <w:pStyle w:val="ListParagraph"/>
        <w:ind w:left="1" w:firstLine="719"/>
      </w:pPr>
    </w:p>
    <w:p w:rsidR="0029663D" w:rsidRDefault="0029663D" w:rsidP="0029663D">
      <w:pPr>
        <w:pStyle w:val="ListParagraph"/>
        <w:ind w:left="1" w:firstLine="719"/>
      </w:pPr>
      <w:r>
        <w:t xml:space="preserve">EPA received no responses to its solicitation for consultations. A copy of EPA’s consultation e-mail to the above nine potential respondents is included in </w:t>
      </w:r>
      <w:r w:rsidRPr="008C795E">
        <w:t xml:space="preserve">Attachment </w:t>
      </w:r>
      <w:r>
        <w:t>3.</w:t>
      </w:r>
    </w:p>
    <w:p w:rsidR="0029663D" w:rsidRDefault="0029663D" w:rsidP="0029663D">
      <w:pPr>
        <w:pStyle w:val="ListParagraph"/>
        <w:ind w:left="1" w:firstLine="719"/>
      </w:pPr>
    </w:p>
    <w:p w:rsidR="0029663D" w:rsidRDefault="0029663D" w:rsidP="0029663D">
      <w:pPr>
        <w:numPr>
          <w:ilvl w:val="12"/>
          <w:numId w:val="0"/>
        </w:numPr>
      </w:pPr>
      <w:r>
        <w:tab/>
      </w:r>
      <w:r>
        <w:rPr>
          <w:b/>
          <w:bCs/>
        </w:rPr>
        <w:t xml:space="preserve">3(d) </w:t>
      </w:r>
      <w:r>
        <w:rPr>
          <w:b/>
          <w:bCs/>
        </w:rPr>
        <w:tab/>
        <w:t>Effects of Less Frequent Collection</w:t>
      </w:r>
    </w:p>
    <w:p w:rsidR="0029663D" w:rsidRDefault="0029663D" w:rsidP="0029663D">
      <w:pPr>
        <w:numPr>
          <w:ilvl w:val="12"/>
          <w:numId w:val="0"/>
        </w:numPr>
      </w:pPr>
    </w:p>
    <w:p w:rsidR="0029663D" w:rsidRDefault="0029663D" w:rsidP="0029663D">
      <w:pPr>
        <w:numPr>
          <w:ilvl w:val="12"/>
          <w:numId w:val="0"/>
        </w:numPr>
        <w:ind w:firstLine="720"/>
      </w:pPr>
      <w:r>
        <w:t>Currently, EPA uses its authority to collect information pursuant to the TSCA section 8(c) rule sparingly</w:t>
      </w:r>
      <w:r w:rsidR="00786EA5">
        <w:t xml:space="preserve">, and </w:t>
      </w:r>
      <w:r>
        <w:t xml:space="preserve">anticipates issuing infrequent </w:t>
      </w:r>
      <w:proofErr w:type="gramStart"/>
      <w:r>
        <w:t>requests .</w:t>
      </w:r>
      <w:proofErr w:type="gramEnd"/>
      <w:r>
        <w:t xml:space="preserve">  However, reporting requests may occur more frequently because individual notices or letters containing such TSCA section 8(c) requests may be clustered in the same </w:t>
      </w:r>
      <w:r w:rsidRPr="00EA6784">
        <w:t xml:space="preserve">year.  </w:t>
      </w:r>
      <w:r>
        <w:t>The information will be collected on a case-specific basis to evaluate suspected adverse health or environmental effects of a chemical substance or mixture already under assessment by OPPT or when a chemical not under assessment by OPPT is discovered to present possible risks to human health or the environment.  For example, chemical disasters are obviously unpredictable and OPPT must reserve the capability to require records submission on an as-needed basis in order to gather relevant information related to such matters.  TSCA section 8(c) allegation records are part of such related information.</w:t>
      </w:r>
    </w:p>
    <w:p w:rsidR="0029663D" w:rsidRDefault="0029663D" w:rsidP="0029663D">
      <w:pPr>
        <w:numPr>
          <w:ilvl w:val="12"/>
          <w:numId w:val="0"/>
        </w:numPr>
      </w:pPr>
    </w:p>
    <w:p w:rsidR="0029663D" w:rsidRDefault="0029663D" w:rsidP="0029663D">
      <w:pPr>
        <w:numPr>
          <w:ilvl w:val="12"/>
          <w:numId w:val="0"/>
        </w:numPr>
      </w:pPr>
      <w:r>
        <w:tab/>
      </w:r>
      <w:r>
        <w:rPr>
          <w:b/>
          <w:bCs/>
        </w:rPr>
        <w:t>3(e)</w:t>
      </w:r>
      <w:r>
        <w:rPr>
          <w:b/>
          <w:bCs/>
        </w:rPr>
        <w:tab/>
        <w:t>General Guidelines</w:t>
      </w:r>
    </w:p>
    <w:p w:rsidR="0029663D" w:rsidRDefault="0029663D" w:rsidP="0029663D">
      <w:pPr>
        <w:numPr>
          <w:ilvl w:val="12"/>
          <w:numId w:val="0"/>
        </w:numPr>
      </w:pPr>
    </w:p>
    <w:p w:rsidR="0029663D" w:rsidRDefault="0029663D" w:rsidP="0029663D">
      <w:pPr>
        <w:numPr>
          <w:ilvl w:val="12"/>
          <w:numId w:val="0"/>
        </w:numPr>
      </w:pPr>
      <w:r>
        <w:tab/>
        <w:t>The record retention provisions of TSCA section 8(c) and 40 CFR part 717 exceed the Paperwork Reduction Guidelines (5 CFR 1320.6) in that they require respondents to maintain records other than health, medical, or tax records, for more than three years.  TSCA section 8(c) authorizes EPA to require persons (i.e., manufacturers (including importers), processors, or distributors) to maintain records of adverse reactions to the health of employees for a period of 30 years from the date such reactions were first reported or known to the person maintaining the record.  Any other record of such adverse reactions (e.g., to the environment, non-employees) is required to be retained for a period of 5 years.  40 CFR part 717 incorporates these record retention provisions authorized by TSCA.</w:t>
      </w:r>
    </w:p>
    <w:p w:rsidR="0029663D" w:rsidRDefault="0029663D" w:rsidP="0029663D">
      <w:pPr>
        <w:numPr>
          <w:ilvl w:val="12"/>
          <w:numId w:val="0"/>
        </w:numPr>
      </w:pPr>
    </w:p>
    <w:p w:rsidR="0029663D" w:rsidRDefault="0029663D" w:rsidP="0029663D">
      <w:pPr>
        <w:numPr>
          <w:ilvl w:val="12"/>
          <w:numId w:val="0"/>
        </w:numPr>
      </w:pPr>
      <w:r>
        <w:tab/>
      </w:r>
      <w:r>
        <w:rPr>
          <w:b/>
          <w:bCs/>
        </w:rPr>
        <w:t>3(f)</w:t>
      </w:r>
      <w:r>
        <w:rPr>
          <w:b/>
          <w:bCs/>
        </w:rPr>
        <w:tab/>
        <w:t>Confidentiality</w:t>
      </w:r>
    </w:p>
    <w:p w:rsidR="0029663D" w:rsidRDefault="0029663D" w:rsidP="0029663D">
      <w:pPr>
        <w:numPr>
          <w:ilvl w:val="12"/>
          <w:numId w:val="0"/>
        </w:numPr>
      </w:pPr>
    </w:p>
    <w:p w:rsidR="0029663D" w:rsidRDefault="0029663D" w:rsidP="0029663D">
      <w:pPr>
        <w:numPr>
          <w:ilvl w:val="12"/>
          <w:numId w:val="0"/>
        </w:numPr>
      </w:pPr>
      <w:r>
        <w:tab/>
        <w:t>Respondents may assert a claim of business confidentiality with respect to all or part of an allegation submission.  Such submissions will be handled in accordance with the provisions at 40 CFR Part 2.</w:t>
      </w:r>
    </w:p>
    <w:p w:rsidR="0029663D" w:rsidRDefault="0029663D" w:rsidP="0029663D">
      <w:pPr>
        <w:numPr>
          <w:ilvl w:val="12"/>
          <w:numId w:val="0"/>
        </w:numPr>
      </w:pPr>
    </w:p>
    <w:p w:rsidR="0029663D" w:rsidRDefault="0029663D" w:rsidP="0029663D">
      <w:pPr>
        <w:numPr>
          <w:ilvl w:val="12"/>
          <w:numId w:val="0"/>
        </w:numPr>
      </w:pPr>
      <w:r>
        <w:lastRenderedPageBreak/>
        <w:tab/>
      </w:r>
      <w:r>
        <w:rPr>
          <w:b/>
          <w:bCs/>
        </w:rPr>
        <w:t>3(g)</w:t>
      </w:r>
      <w:r>
        <w:rPr>
          <w:b/>
          <w:bCs/>
        </w:rPr>
        <w:tab/>
        <w:t>Sensitive Questions</w:t>
      </w:r>
    </w:p>
    <w:p w:rsidR="0029663D" w:rsidRDefault="0029663D" w:rsidP="0029663D">
      <w:pPr>
        <w:numPr>
          <w:ilvl w:val="12"/>
          <w:numId w:val="0"/>
        </w:numPr>
      </w:pPr>
    </w:p>
    <w:p w:rsidR="00AE18EC" w:rsidRDefault="0029663D" w:rsidP="0029663D">
      <w:pPr>
        <w:numPr>
          <w:ilvl w:val="12"/>
          <w:numId w:val="0"/>
        </w:numPr>
      </w:pPr>
      <w:r>
        <w:tab/>
        <w:t>This section is not applicable. The information does not include responses to questions of a sensitive nature.</w:t>
      </w:r>
    </w:p>
    <w:p w:rsidR="00AE18EC" w:rsidRDefault="00AE18EC">
      <w:pPr>
        <w:widowControl/>
        <w:autoSpaceDE/>
        <w:autoSpaceDN/>
        <w:adjustRightInd/>
        <w:spacing w:after="200" w:line="276" w:lineRule="auto"/>
      </w:pPr>
    </w:p>
    <w:p w:rsidR="0029663D" w:rsidRDefault="0029663D" w:rsidP="00704B91">
      <w:pPr>
        <w:keepNext/>
        <w:widowControl/>
        <w:numPr>
          <w:ilvl w:val="12"/>
          <w:numId w:val="0"/>
        </w:numPr>
      </w:pPr>
      <w:r>
        <w:rPr>
          <w:b/>
          <w:bCs/>
        </w:rPr>
        <w:t>4</w:t>
      </w:r>
      <w:r>
        <w:rPr>
          <w:b/>
          <w:bCs/>
        </w:rPr>
        <w:tab/>
        <w:t>THE RESPONDENTS AND THE INFORMATION REQUESTED</w:t>
      </w:r>
    </w:p>
    <w:p w:rsidR="0029663D" w:rsidRDefault="0029663D" w:rsidP="00704B91">
      <w:pPr>
        <w:keepNext/>
        <w:widowControl/>
        <w:numPr>
          <w:ilvl w:val="12"/>
          <w:numId w:val="0"/>
        </w:numPr>
      </w:pPr>
    </w:p>
    <w:p w:rsidR="0029663D" w:rsidRDefault="0029663D" w:rsidP="00704B91">
      <w:pPr>
        <w:keepNext/>
        <w:widowControl/>
        <w:numPr>
          <w:ilvl w:val="12"/>
          <w:numId w:val="0"/>
        </w:numPr>
      </w:pPr>
      <w:r>
        <w:tab/>
      </w:r>
      <w:r>
        <w:rPr>
          <w:b/>
          <w:bCs/>
        </w:rPr>
        <w:t>4(a)</w:t>
      </w:r>
      <w:r>
        <w:rPr>
          <w:b/>
          <w:bCs/>
        </w:rPr>
        <w:tab/>
        <w:t>Respondent NAICS Codes</w:t>
      </w:r>
    </w:p>
    <w:p w:rsidR="0029663D" w:rsidRDefault="0029663D" w:rsidP="00704B91">
      <w:pPr>
        <w:keepNext/>
        <w:widowControl/>
        <w:numPr>
          <w:ilvl w:val="12"/>
          <w:numId w:val="0"/>
        </w:numPr>
      </w:pPr>
    </w:p>
    <w:p w:rsidR="0029663D" w:rsidRDefault="0029663D" w:rsidP="00704B91">
      <w:pPr>
        <w:keepNext/>
        <w:widowControl/>
        <w:numPr>
          <w:ilvl w:val="12"/>
          <w:numId w:val="0"/>
        </w:numPr>
      </w:pPr>
      <w:r>
        <w:tab/>
        <w:t>Respondents affected by this collection activity are mainly NAICS categories 325 and 32411 (</w:t>
      </w:r>
      <w:r>
        <w:rPr>
          <w:i/>
          <w:iCs/>
        </w:rPr>
        <w:t>Chemicals and Allied Products Manufacturers</w:t>
      </w:r>
      <w:r>
        <w:t xml:space="preserve"> and </w:t>
      </w:r>
      <w:r>
        <w:rPr>
          <w:i/>
          <w:iCs/>
        </w:rPr>
        <w:t>Petroleum Refining</w:t>
      </w:r>
      <w:r>
        <w:t>, respectively).</w:t>
      </w:r>
    </w:p>
    <w:p w:rsidR="0029663D" w:rsidRDefault="0029663D" w:rsidP="0029663D">
      <w:pPr>
        <w:numPr>
          <w:ilvl w:val="12"/>
          <w:numId w:val="0"/>
        </w:numPr>
      </w:pPr>
    </w:p>
    <w:p w:rsidR="0029663D" w:rsidRDefault="0029663D" w:rsidP="0029663D">
      <w:pPr>
        <w:numPr>
          <w:ilvl w:val="12"/>
          <w:numId w:val="0"/>
        </w:numPr>
      </w:pPr>
      <w:r>
        <w:tab/>
      </w:r>
      <w:r>
        <w:rPr>
          <w:b/>
          <w:bCs/>
        </w:rPr>
        <w:t>4(b)</w:t>
      </w:r>
      <w:r>
        <w:rPr>
          <w:b/>
          <w:bCs/>
        </w:rPr>
        <w:tab/>
        <w:t>Information Requested</w:t>
      </w:r>
    </w:p>
    <w:p w:rsidR="0029663D" w:rsidRDefault="0029663D" w:rsidP="0029663D">
      <w:pPr>
        <w:numPr>
          <w:ilvl w:val="12"/>
          <w:numId w:val="0"/>
        </w:numPr>
      </w:pPr>
    </w:p>
    <w:p w:rsidR="0029663D" w:rsidRDefault="0029663D" w:rsidP="0029663D">
      <w:pPr>
        <w:numPr>
          <w:ilvl w:val="12"/>
          <w:numId w:val="0"/>
        </w:numPr>
      </w:pPr>
      <w:r>
        <w:tab/>
        <w:t>(i) Data Items</w:t>
      </w:r>
    </w:p>
    <w:p w:rsidR="0029663D" w:rsidRDefault="0029663D" w:rsidP="0029663D">
      <w:pPr>
        <w:numPr>
          <w:ilvl w:val="12"/>
          <w:numId w:val="0"/>
        </w:numPr>
      </w:pPr>
    </w:p>
    <w:p w:rsidR="0029663D" w:rsidRDefault="0029663D" w:rsidP="0029663D">
      <w:pPr>
        <w:numPr>
          <w:ilvl w:val="12"/>
          <w:numId w:val="0"/>
        </w:numPr>
      </w:pPr>
      <w:r>
        <w:tab/>
        <w:t>Records maintained pursuant to 40 CFR Part 717 must consist of the following:</w:t>
      </w:r>
    </w:p>
    <w:p w:rsidR="0029663D" w:rsidRDefault="0029663D" w:rsidP="0029663D">
      <w:pPr>
        <w:numPr>
          <w:ilvl w:val="12"/>
          <w:numId w:val="0"/>
        </w:numPr>
      </w:pPr>
    </w:p>
    <w:p w:rsidR="0029663D" w:rsidRDefault="0029663D" w:rsidP="00704B91">
      <w:pPr>
        <w:pStyle w:val="ListParagraph"/>
        <w:numPr>
          <w:ilvl w:val="0"/>
          <w:numId w:val="4"/>
        </w:numPr>
      </w:pPr>
      <w:r>
        <w:t>The original allegation as received.</w:t>
      </w:r>
    </w:p>
    <w:p w:rsidR="0029663D" w:rsidRDefault="0029663D" w:rsidP="00704B91">
      <w:pPr>
        <w:pStyle w:val="ListParagraph"/>
        <w:numPr>
          <w:ilvl w:val="0"/>
          <w:numId w:val="4"/>
        </w:numPr>
      </w:pPr>
      <w:r>
        <w:t>An abstract of the allegation and other pertinent information as follows:</w:t>
      </w:r>
    </w:p>
    <w:p w:rsidR="0029663D" w:rsidRDefault="0029663D" w:rsidP="00704B91">
      <w:pPr>
        <w:pStyle w:val="ListParagraph"/>
        <w:numPr>
          <w:ilvl w:val="0"/>
          <w:numId w:val="6"/>
        </w:numPr>
      </w:pPr>
      <w:r>
        <w:t>The name and address of the plant site that received the allegation.</w:t>
      </w:r>
    </w:p>
    <w:p w:rsidR="0029663D" w:rsidRDefault="0029663D" w:rsidP="00704B91">
      <w:pPr>
        <w:pStyle w:val="ListParagraph"/>
        <w:numPr>
          <w:ilvl w:val="0"/>
          <w:numId w:val="6"/>
        </w:numPr>
      </w:pPr>
      <w:r>
        <w:t>The date the allegation was received at that site.</w:t>
      </w:r>
    </w:p>
    <w:p w:rsidR="0029663D" w:rsidRDefault="0029663D" w:rsidP="00704B91">
      <w:pPr>
        <w:pStyle w:val="ListParagraph"/>
        <w:numPr>
          <w:ilvl w:val="0"/>
          <w:numId w:val="6"/>
        </w:numPr>
      </w:pPr>
      <w:r>
        <w:t>The implicated substance, mixture, article, company process or operation, or</w:t>
      </w:r>
      <w:r w:rsidR="00704B91">
        <w:t xml:space="preserve"> </w:t>
      </w:r>
      <w:r>
        <w:t>site discharge.</w:t>
      </w:r>
    </w:p>
    <w:p w:rsidR="0029663D" w:rsidRDefault="0029663D" w:rsidP="00704B91">
      <w:pPr>
        <w:pStyle w:val="ListParagraph"/>
        <w:numPr>
          <w:ilvl w:val="0"/>
          <w:numId w:val="6"/>
        </w:numPr>
      </w:pPr>
      <w:r>
        <w:t>A description of the alleger (e.g., employee, neighbor), including age and sex,</w:t>
      </w:r>
      <w:r w:rsidR="00704B91">
        <w:t xml:space="preserve"> </w:t>
      </w:r>
      <w:r>
        <w:t>if ascertainable.</w:t>
      </w:r>
    </w:p>
    <w:p w:rsidR="0029663D" w:rsidRDefault="0029663D" w:rsidP="00704B91">
      <w:pPr>
        <w:pStyle w:val="ListParagraph"/>
        <w:numPr>
          <w:ilvl w:val="0"/>
          <w:numId w:val="6"/>
        </w:numPr>
        <w:tabs>
          <w:tab w:val="left" w:pos="720"/>
          <w:tab w:val="left" w:pos="1440"/>
        </w:tabs>
      </w:pPr>
      <w:r>
        <w:t>A description of the health effects, including explanation of how the effects</w:t>
      </w:r>
      <w:r w:rsidR="00704B91">
        <w:t xml:space="preserve"> </w:t>
      </w:r>
      <w:r>
        <w:t>became known and the route of exposure, if explained in the allegation.</w:t>
      </w:r>
    </w:p>
    <w:p w:rsidR="0029663D" w:rsidRDefault="0029663D" w:rsidP="00704B91">
      <w:pPr>
        <w:pStyle w:val="ListParagraph"/>
        <w:numPr>
          <w:ilvl w:val="0"/>
          <w:numId w:val="4"/>
        </w:numPr>
      </w:pPr>
      <w:r>
        <w:t>The results of any self initiated investigation with respect to an allegation.  EPA does not require such investigation under the section 8(c) rule.)</w:t>
      </w:r>
    </w:p>
    <w:p w:rsidR="0029663D" w:rsidRDefault="0029663D" w:rsidP="00704B91">
      <w:pPr>
        <w:pStyle w:val="ListParagraph"/>
        <w:numPr>
          <w:ilvl w:val="0"/>
          <w:numId w:val="4"/>
        </w:numPr>
      </w:pPr>
      <w:r>
        <w:t>Copies of any further required records relating to the allegation (e.g., records required</w:t>
      </w:r>
      <w:r w:rsidR="00704B91">
        <w:t xml:space="preserve"> </w:t>
      </w:r>
      <w:r>
        <w:t>under OSHA).</w:t>
      </w:r>
    </w:p>
    <w:p w:rsidR="0029663D" w:rsidRDefault="0029663D" w:rsidP="0029663D">
      <w:pPr>
        <w:numPr>
          <w:ilvl w:val="12"/>
          <w:numId w:val="0"/>
        </w:numPr>
      </w:pPr>
    </w:p>
    <w:p w:rsidR="0029663D" w:rsidRDefault="0029663D" w:rsidP="0029663D">
      <w:pPr>
        <w:numPr>
          <w:ilvl w:val="12"/>
          <w:numId w:val="0"/>
        </w:numPr>
      </w:pPr>
      <w:r>
        <w:tab/>
        <w:t xml:space="preserve">Each person who is required to keep records under this part must submit copies of those records to EPA as required by the Administrator or appropriate designee.  EPA will notify those responsible for reporting by letter or will announce any such requirements by notice in the </w:t>
      </w:r>
      <w:r>
        <w:rPr>
          <w:u w:val="single"/>
        </w:rPr>
        <w:t>Federal Register</w:t>
      </w:r>
      <w:r>
        <w:t>.</w:t>
      </w:r>
    </w:p>
    <w:p w:rsidR="0029663D" w:rsidRDefault="0029663D" w:rsidP="0029663D">
      <w:pPr>
        <w:numPr>
          <w:ilvl w:val="12"/>
          <w:numId w:val="0"/>
        </w:numPr>
      </w:pPr>
    </w:p>
    <w:p w:rsidR="0029663D" w:rsidRDefault="0029663D" w:rsidP="0029663D">
      <w:pPr>
        <w:numPr>
          <w:ilvl w:val="12"/>
          <w:numId w:val="0"/>
        </w:numPr>
      </w:pPr>
      <w:r>
        <w:tab/>
        <w:t>(ii) Respondent Activities</w:t>
      </w:r>
    </w:p>
    <w:p w:rsidR="0029663D" w:rsidRDefault="0029663D" w:rsidP="0029663D">
      <w:pPr>
        <w:numPr>
          <w:ilvl w:val="12"/>
          <w:numId w:val="0"/>
        </w:numPr>
      </w:pPr>
    </w:p>
    <w:p w:rsidR="0029663D" w:rsidRDefault="0029663D" w:rsidP="0029663D">
      <w:pPr>
        <w:numPr>
          <w:ilvl w:val="12"/>
          <w:numId w:val="0"/>
        </w:numPr>
      </w:pPr>
      <w:r>
        <w:tab/>
        <w:t>Respondents must do two things: (1) maintain records of allegations of significant adverse reactions, and (2) submit copies of these allegation records when required by EPA.  Entities subject to the rule must record significant reactions alleged to have been caused by substances or mixtures that they manufacture, import, or process.  These firms must establish a recordkeeping system for such allegations and monitor incoming complaints to determine if they meet the criteria for filing.  Allegations that are filed must be retained for 30 years if they are employee related and for 5 years for all other types/sources of allegations.</w:t>
      </w:r>
    </w:p>
    <w:p w:rsidR="0029663D" w:rsidRDefault="0029663D" w:rsidP="0029663D">
      <w:pPr>
        <w:numPr>
          <w:ilvl w:val="12"/>
          <w:numId w:val="0"/>
        </w:numPr>
      </w:pPr>
    </w:p>
    <w:p w:rsidR="0029663D" w:rsidRDefault="0029663D" w:rsidP="0029663D">
      <w:pPr>
        <w:numPr>
          <w:ilvl w:val="12"/>
          <w:numId w:val="0"/>
        </w:numPr>
      </w:pPr>
      <w:r>
        <w:lastRenderedPageBreak/>
        <w:tab/>
        <w:t>Firms subject to the rule must keep their TSCA section 8(c) records at company headquarters or at a site central to their chemical operations.  A multi-site company will usually require the responsible official at the individual plant site to forward potentially recordable TSCA section 8(c) allegations to a designated TSCA coordinator at their operations headquarters.  Depending on the size of the company, such allegations will be reviewed by a committee to determine if the allegations relate to the company’s product, operations, or discharges.  If so, the effects cited in the allegation are compared against the rule’s definition and examples of “significant adverse reaction.”  If the allegation meets this test, it is recorded.  The actual allegation record is to be comprised of an abstract of the allegation along with a record of any company-initiated investigation and other pertinent documents.  The rule does not require further investigation.  EPA requires that allegations be filed so that they may be readily retrievable by the alleged “cause” of the reaction.  EPA does not, however, require a specific form under this rule.</w:t>
      </w:r>
    </w:p>
    <w:p w:rsidR="0029663D" w:rsidRDefault="0029663D" w:rsidP="0029663D">
      <w:pPr>
        <w:numPr>
          <w:ilvl w:val="12"/>
          <w:numId w:val="0"/>
        </w:numPr>
      </w:pPr>
    </w:p>
    <w:p w:rsidR="0029663D" w:rsidRDefault="0029663D" w:rsidP="0029663D">
      <w:pPr>
        <w:numPr>
          <w:ilvl w:val="12"/>
          <w:numId w:val="0"/>
        </w:numPr>
      </w:pPr>
      <w:r>
        <w:tab/>
        <w:t xml:space="preserve">Firms subject to this rule must maintain an awareness of their reporting requirements.  A reporting requirement will take the form of a letter directed to selected respondents or it will be a notice in the </w:t>
      </w:r>
      <w:r>
        <w:rPr>
          <w:u w:val="single"/>
        </w:rPr>
        <w:t>Federal Register</w:t>
      </w:r>
      <w:r>
        <w:t xml:space="preserve">.  Respondents are responsible for monitoring the </w:t>
      </w:r>
      <w:r>
        <w:rPr>
          <w:u w:val="single"/>
        </w:rPr>
        <w:t>Federal Register</w:t>
      </w:r>
      <w:r>
        <w:t xml:space="preserve"> for such notices.  Whenever feasible, EPA will also notify those companies that can be identified with the production, importation or processing of a substance or mixture in question.  Respondents then must determine if they manufacture or process the chemical substance or mixture.  If so, they must conduct a search of their TSCA section 8(c) files to determine if there are any relevant records of significant adverse reactions alleged to have been caused by the substance or mixture.  If such records are present, they must make a photocopy of those records and mail it with a cover letter to EPA.  The company should note that they have submitted such records to EPA so that future duplicative reporting will not occur.</w:t>
      </w:r>
    </w:p>
    <w:p w:rsidR="0029663D" w:rsidRDefault="0029663D" w:rsidP="0029663D">
      <w:pPr>
        <w:numPr>
          <w:ilvl w:val="12"/>
          <w:numId w:val="0"/>
        </w:numPr>
      </w:pPr>
    </w:p>
    <w:p w:rsidR="0029663D" w:rsidRDefault="0029663D" w:rsidP="0029663D">
      <w:pPr>
        <w:numPr>
          <w:ilvl w:val="12"/>
          <w:numId w:val="0"/>
        </w:numPr>
      </w:pPr>
    </w:p>
    <w:p w:rsidR="0029663D" w:rsidRDefault="0029663D" w:rsidP="0029663D">
      <w:pPr>
        <w:numPr>
          <w:ilvl w:val="12"/>
          <w:numId w:val="0"/>
        </w:numPr>
        <w:tabs>
          <w:tab w:val="left" w:pos="720"/>
        </w:tabs>
        <w:ind w:left="720" w:hanging="720"/>
      </w:pPr>
      <w:r>
        <w:rPr>
          <w:b/>
          <w:bCs/>
        </w:rPr>
        <w:t>5</w:t>
      </w:r>
      <w:r>
        <w:rPr>
          <w:b/>
          <w:bCs/>
        </w:rPr>
        <w:tab/>
        <w:t>THE INFORMATION COLLECTED - AGENCY ACTIVITIES, COLLECTION METHODOLOGY, AND INFORMATION MANAGEMENT</w:t>
      </w:r>
    </w:p>
    <w:p w:rsidR="0029663D" w:rsidRDefault="0029663D" w:rsidP="0029663D">
      <w:pPr>
        <w:numPr>
          <w:ilvl w:val="12"/>
          <w:numId w:val="0"/>
        </w:numPr>
      </w:pPr>
    </w:p>
    <w:p w:rsidR="0029663D" w:rsidRDefault="0029663D" w:rsidP="0029663D">
      <w:pPr>
        <w:numPr>
          <w:ilvl w:val="12"/>
          <w:numId w:val="0"/>
        </w:numPr>
      </w:pPr>
      <w:r>
        <w:tab/>
      </w:r>
      <w:r>
        <w:rPr>
          <w:b/>
          <w:bCs/>
        </w:rPr>
        <w:t>5(a)</w:t>
      </w:r>
      <w:r>
        <w:rPr>
          <w:b/>
          <w:bCs/>
        </w:rPr>
        <w:tab/>
        <w:t>Agency Activities</w:t>
      </w:r>
    </w:p>
    <w:p w:rsidR="0029663D" w:rsidRDefault="0029663D" w:rsidP="0029663D">
      <w:pPr>
        <w:numPr>
          <w:ilvl w:val="12"/>
          <w:numId w:val="0"/>
        </w:numPr>
      </w:pPr>
    </w:p>
    <w:p w:rsidR="0029663D" w:rsidRDefault="0029663D" w:rsidP="0029663D">
      <w:pPr>
        <w:numPr>
          <w:ilvl w:val="12"/>
          <w:numId w:val="0"/>
        </w:numPr>
      </w:pPr>
      <w:r>
        <w:tab/>
        <w:t>OPPT is the primary user of the information gathered under the authority of this rule.  In addition, information may be gathered for other EPA program offices/regions, and other Federal or state health or environmental agencies.</w:t>
      </w:r>
    </w:p>
    <w:p w:rsidR="0029663D" w:rsidRDefault="0029663D" w:rsidP="0029663D">
      <w:pPr>
        <w:numPr>
          <w:ilvl w:val="12"/>
          <w:numId w:val="0"/>
        </w:numPr>
      </w:pPr>
    </w:p>
    <w:p w:rsidR="0029663D" w:rsidRPr="00BA4CF1" w:rsidRDefault="0029663D" w:rsidP="0029663D">
      <w:pPr>
        <w:numPr>
          <w:ilvl w:val="12"/>
          <w:numId w:val="0"/>
        </w:numPr>
      </w:pPr>
      <w:r>
        <w:tab/>
        <w:t xml:space="preserve">EPA personnel involved in monitoring recordkeeping, initiating reporting requests, and reviewing responses will be staff of the Chemical Information and Testing Branch (CITB) of the Chemical Control Division (CCD), the Director of CCD and the Director of the Office of Pollution Prevention and Toxics (OPPT).  (For more information about the Chemical Testing Program, go to: </w:t>
      </w:r>
      <w:r w:rsidRPr="00BA4CF1">
        <w:t>http://www.epa.gov/oppt/chemtest/index.html.)</w:t>
      </w:r>
    </w:p>
    <w:p w:rsidR="0029663D" w:rsidRDefault="0029663D" w:rsidP="0029663D">
      <w:pPr>
        <w:numPr>
          <w:ilvl w:val="12"/>
          <w:numId w:val="0"/>
        </w:numPr>
      </w:pPr>
      <w:r>
        <w:tab/>
      </w:r>
    </w:p>
    <w:p w:rsidR="0029663D" w:rsidRDefault="0029663D" w:rsidP="0029663D">
      <w:pPr>
        <w:numPr>
          <w:ilvl w:val="12"/>
          <w:numId w:val="0"/>
        </w:numPr>
      </w:pPr>
      <w:r>
        <w:tab/>
        <w:t>As OPPT receives submissions, they will be logged in and reviewed for confidentiality considerations.  Copies of submissions will be made available to offices within OPPT that are assessing the substances of concern.  Non-confidential versions of the submissions will be placed in a public docket and will be available for review by other government agencies and the public.</w:t>
      </w:r>
    </w:p>
    <w:p w:rsidR="0029663D" w:rsidRDefault="0029663D" w:rsidP="0029663D">
      <w:pPr>
        <w:numPr>
          <w:ilvl w:val="12"/>
          <w:numId w:val="0"/>
        </w:numPr>
      </w:pPr>
    </w:p>
    <w:p w:rsidR="0029663D" w:rsidRDefault="0029663D" w:rsidP="0029663D">
      <w:pPr>
        <w:numPr>
          <w:ilvl w:val="12"/>
          <w:numId w:val="0"/>
        </w:numPr>
        <w:rPr>
          <w:b/>
          <w:bCs/>
        </w:rPr>
      </w:pPr>
      <w:r>
        <w:tab/>
      </w:r>
      <w:r>
        <w:rPr>
          <w:b/>
          <w:bCs/>
        </w:rPr>
        <w:t>5(b)</w:t>
      </w:r>
      <w:r>
        <w:rPr>
          <w:b/>
          <w:bCs/>
        </w:rPr>
        <w:tab/>
        <w:t>Collection Methodology and Management</w:t>
      </w:r>
    </w:p>
    <w:p w:rsidR="0029663D" w:rsidRDefault="0029663D" w:rsidP="0029663D">
      <w:pPr>
        <w:numPr>
          <w:ilvl w:val="12"/>
          <w:numId w:val="0"/>
        </w:numPr>
      </w:pPr>
    </w:p>
    <w:p w:rsidR="0029663D" w:rsidRDefault="0029663D" w:rsidP="0029663D">
      <w:pPr>
        <w:numPr>
          <w:ilvl w:val="12"/>
          <w:numId w:val="0"/>
        </w:numPr>
      </w:pPr>
      <w:r>
        <w:tab/>
        <w:t>EPA has not identified</w:t>
      </w:r>
      <w:r w:rsidDel="00BA4CF1">
        <w:t xml:space="preserve"> </w:t>
      </w:r>
      <w:r>
        <w:t xml:space="preserve">a more efficient, less expensive or more flexible means of obtaining the </w:t>
      </w:r>
      <w:r>
        <w:lastRenderedPageBreak/>
        <w:t>required data.  At present there is no new technology applicable to the collection of this information that would minimize the collection burden.</w:t>
      </w:r>
    </w:p>
    <w:p w:rsidR="0029663D" w:rsidRDefault="0029663D" w:rsidP="0029663D">
      <w:pPr>
        <w:numPr>
          <w:ilvl w:val="12"/>
          <w:numId w:val="0"/>
        </w:numPr>
      </w:pPr>
    </w:p>
    <w:p w:rsidR="0029663D" w:rsidRDefault="0029663D" w:rsidP="0029663D">
      <w:pPr>
        <w:numPr>
          <w:ilvl w:val="12"/>
          <w:numId w:val="0"/>
        </w:numPr>
      </w:pPr>
      <w:r>
        <w:tab/>
        <w:t>Any reporting requirements will have a minimum reporting schedule of forty-five days as outlined in the regulation.  Neither the rule nor EPA requires the use of any particular methodology or technology for the retention or transmittal of TSCA section 8(c) records.</w:t>
      </w:r>
    </w:p>
    <w:p w:rsidR="0029663D" w:rsidRDefault="0029663D" w:rsidP="0029663D">
      <w:pPr>
        <w:numPr>
          <w:ilvl w:val="12"/>
          <w:numId w:val="0"/>
        </w:numPr>
      </w:pPr>
    </w:p>
    <w:p w:rsidR="0029663D" w:rsidRDefault="0029663D" w:rsidP="0029663D">
      <w:pPr>
        <w:numPr>
          <w:ilvl w:val="12"/>
          <w:numId w:val="0"/>
        </w:numPr>
      </w:pPr>
      <w:r>
        <w:tab/>
        <w:t>To aid persons subject to this information collection, OPPT has set up a TSCA Hotline that provides information regarding TSCA section 8(c) reporting as well as other regulatory information.  When Hotline staff members are unable to answer questions regarding TSCA section 8(c), the questions are referred to OPPT/CCD staff for appropriate resolution.</w:t>
      </w:r>
    </w:p>
    <w:p w:rsidR="0029663D" w:rsidRDefault="0029663D" w:rsidP="0029663D">
      <w:pPr>
        <w:numPr>
          <w:ilvl w:val="12"/>
          <w:numId w:val="0"/>
        </w:numPr>
      </w:pPr>
    </w:p>
    <w:p w:rsidR="0029663D" w:rsidRDefault="0029663D" w:rsidP="0029663D">
      <w:pPr>
        <w:numPr>
          <w:ilvl w:val="12"/>
          <w:numId w:val="0"/>
        </w:numPr>
      </w:pPr>
      <w:r>
        <w:tab/>
      </w:r>
      <w:proofErr w:type="gramStart"/>
      <w:r>
        <w:rPr>
          <w:b/>
          <w:bCs/>
        </w:rPr>
        <w:t>5(c)</w:t>
      </w:r>
      <w:r>
        <w:rPr>
          <w:b/>
          <w:bCs/>
        </w:rPr>
        <w:tab/>
        <w:t>Small Entity Flexibility</w:t>
      </w:r>
      <w:proofErr w:type="gramEnd"/>
    </w:p>
    <w:p w:rsidR="0029663D" w:rsidRDefault="0029663D" w:rsidP="0029663D">
      <w:pPr>
        <w:numPr>
          <w:ilvl w:val="12"/>
          <w:numId w:val="0"/>
        </w:numPr>
      </w:pPr>
    </w:p>
    <w:p w:rsidR="0029663D" w:rsidRDefault="0029663D" w:rsidP="0029663D">
      <w:pPr>
        <w:numPr>
          <w:ilvl w:val="12"/>
          <w:numId w:val="0"/>
        </w:numPr>
      </w:pPr>
      <w:r>
        <w:tab/>
        <w:t>Unlike section 8(a) of TSCA, Congress did not include a specific exemption of small businesses in TSCA section 8(c).  This rule does not exempt small manufacturers (including importers) or processors of chemicals from its provisions.  This is due to EPA’s belief that workers, plant neighbors and consumers may be adversely affected by products, emissions, etc., produced or created by firms of all sizes.</w:t>
      </w:r>
    </w:p>
    <w:p w:rsidR="0029663D" w:rsidRDefault="0029663D" w:rsidP="0029663D">
      <w:pPr>
        <w:numPr>
          <w:ilvl w:val="12"/>
          <w:numId w:val="0"/>
        </w:numPr>
      </w:pPr>
    </w:p>
    <w:p w:rsidR="0029663D" w:rsidRDefault="0029663D" w:rsidP="0029663D">
      <w:pPr>
        <w:numPr>
          <w:ilvl w:val="12"/>
          <w:numId w:val="0"/>
        </w:numPr>
      </w:pPr>
      <w:r>
        <w:tab/>
        <w:t>However, the TSCA section 8(c) rule was written to concentrate the recordkeeping and reporting burdens on those firms generally associated with the mainstream chemical industry.  EPA specifically eliminated most distributors and effectively limits the number of processors subject to the rule.  By doing so, EPA has eliminated a large number of small businesses from the purview of the rule without compromising its objectives.</w:t>
      </w:r>
    </w:p>
    <w:p w:rsidR="0029663D" w:rsidRDefault="0029663D" w:rsidP="0029663D">
      <w:pPr>
        <w:numPr>
          <w:ilvl w:val="12"/>
          <w:numId w:val="0"/>
        </w:numPr>
      </w:pPr>
    </w:p>
    <w:p w:rsidR="0029663D" w:rsidRDefault="0029663D" w:rsidP="0029663D">
      <w:pPr>
        <w:numPr>
          <w:ilvl w:val="12"/>
          <w:numId w:val="0"/>
        </w:numPr>
      </w:pPr>
      <w:r>
        <w:tab/>
      </w:r>
      <w:r>
        <w:rPr>
          <w:b/>
          <w:bCs/>
        </w:rPr>
        <w:t>5(d)</w:t>
      </w:r>
      <w:r>
        <w:rPr>
          <w:b/>
          <w:bCs/>
        </w:rPr>
        <w:tab/>
        <w:t>Collection Schedule</w:t>
      </w:r>
    </w:p>
    <w:p w:rsidR="0029663D" w:rsidRDefault="0029663D" w:rsidP="0029663D">
      <w:pPr>
        <w:numPr>
          <w:ilvl w:val="12"/>
          <w:numId w:val="0"/>
        </w:numPr>
      </w:pPr>
    </w:p>
    <w:p w:rsidR="0029663D" w:rsidRDefault="0029663D" w:rsidP="0029663D">
      <w:pPr>
        <w:numPr>
          <w:ilvl w:val="12"/>
          <w:numId w:val="0"/>
        </w:numPr>
      </w:pPr>
      <w:r>
        <w:tab/>
        <w:t xml:space="preserve">If EPA publishes in the </w:t>
      </w:r>
      <w:r w:rsidRPr="006C000A">
        <w:rPr>
          <w:u w:val="single"/>
        </w:rPr>
        <w:t>Federal Register</w:t>
      </w:r>
      <w:r>
        <w:t xml:space="preserve"> a reporting requirement relating to a chemical substance or mixture, or requests such reporting by letter, then manufacturers (including importers) and processors of such substance or mixture must submit a copy of relevant allegation records in their files.  TSCA section 8(c) reporting requirements will be developed on an as-needed basis and could initially require only the submission of an abstract of the allegation record, which is generally one page in length, not the full allegation file.</w:t>
      </w:r>
    </w:p>
    <w:p w:rsidR="0029663D" w:rsidRDefault="0029663D" w:rsidP="0029663D">
      <w:pPr>
        <w:numPr>
          <w:ilvl w:val="12"/>
          <w:numId w:val="0"/>
        </w:numPr>
      </w:pPr>
    </w:p>
    <w:p w:rsidR="0029663D" w:rsidRDefault="0029663D" w:rsidP="0029663D">
      <w:pPr>
        <w:numPr>
          <w:ilvl w:val="12"/>
          <w:numId w:val="0"/>
        </w:numPr>
      </w:pPr>
    </w:p>
    <w:p w:rsidR="0029663D" w:rsidRDefault="0029663D" w:rsidP="0029663D">
      <w:pPr>
        <w:numPr>
          <w:ilvl w:val="12"/>
          <w:numId w:val="0"/>
        </w:numPr>
      </w:pPr>
      <w:r>
        <w:rPr>
          <w:b/>
          <w:bCs/>
        </w:rPr>
        <w:t>6</w:t>
      </w:r>
      <w:r>
        <w:rPr>
          <w:b/>
          <w:bCs/>
        </w:rPr>
        <w:tab/>
        <w:t>ESTIMATING THE BURDEN AND COST OF THE COLLECTION</w:t>
      </w:r>
    </w:p>
    <w:p w:rsidR="0029663D" w:rsidRDefault="0029663D" w:rsidP="0029663D">
      <w:pPr>
        <w:numPr>
          <w:ilvl w:val="12"/>
          <w:numId w:val="0"/>
        </w:numPr>
      </w:pPr>
    </w:p>
    <w:p w:rsidR="0029663D" w:rsidRDefault="0029663D" w:rsidP="0029663D">
      <w:pPr>
        <w:numPr>
          <w:ilvl w:val="12"/>
          <w:numId w:val="0"/>
        </w:numPr>
      </w:pPr>
      <w:r>
        <w:tab/>
        <w:t xml:space="preserve">This section presents the estimates of the industry burden hours and costs associated with TSCA section 8(c) activities.  The specific action required to comply with a TSCA section 8(c) reporting are assumed to include review of the </w:t>
      </w:r>
      <w:r>
        <w:rPr>
          <w:u w:val="single"/>
        </w:rPr>
        <w:t>Federal Register</w:t>
      </w:r>
      <w:r>
        <w:t xml:space="preserve"> for notices regarding specific chemicals, recording pertinent information on allegations and storing such records, and reporting allegations to EPA when required.</w:t>
      </w:r>
    </w:p>
    <w:p w:rsidR="0029663D" w:rsidRDefault="0029663D" w:rsidP="0029663D">
      <w:pPr>
        <w:numPr>
          <w:ilvl w:val="12"/>
          <w:numId w:val="0"/>
        </w:numPr>
      </w:pPr>
    </w:p>
    <w:p w:rsidR="0029663D" w:rsidRDefault="0029663D" w:rsidP="0029663D">
      <w:pPr>
        <w:numPr>
          <w:ilvl w:val="12"/>
          <w:numId w:val="0"/>
        </w:numPr>
      </w:pPr>
      <w:r>
        <w:tab/>
      </w:r>
      <w:r>
        <w:rPr>
          <w:b/>
          <w:bCs/>
        </w:rPr>
        <w:t>6(a)</w:t>
      </w:r>
      <w:r>
        <w:rPr>
          <w:b/>
          <w:bCs/>
        </w:rPr>
        <w:tab/>
        <w:t>Estimating Respondent Burden and Cost</w:t>
      </w:r>
    </w:p>
    <w:p w:rsidR="0029663D" w:rsidRDefault="0029663D" w:rsidP="0029663D">
      <w:pPr>
        <w:numPr>
          <w:ilvl w:val="12"/>
          <w:numId w:val="0"/>
        </w:numPr>
      </w:pPr>
    </w:p>
    <w:p w:rsidR="0029663D" w:rsidRDefault="0029663D" w:rsidP="0029663D">
      <w:pPr>
        <w:numPr>
          <w:ilvl w:val="12"/>
          <w:numId w:val="0"/>
        </w:numPr>
      </w:pPr>
      <w:r>
        <w:tab/>
        <w:t xml:space="preserve">The steps required to estimate burden associated with the activities of (1) maintaining records of significant adverse effects, and (2) submitting copies of allegation records when required by EPA, </w:t>
      </w:r>
      <w:r>
        <w:lastRenderedPageBreak/>
        <w:t>include estimating the number of affected firms and employees, the number of allegations, and number of reports requested by EPA.  Unit estimates of burden for the various activities are also required.  These unit estimates are then coupled with the number of allegations, reports, and Federal Register notice reviews to develop total burden estimates for the industry reporting community.</w:t>
      </w:r>
    </w:p>
    <w:p w:rsidR="0029663D" w:rsidRDefault="0029663D" w:rsidP="0029663D">
      <w:pPr>
        <w:numPr>
          <w:ilvl w:val="12"/>
          <w:numId w:val="0"/>
        </w:numPr>
      </w:pPr>
    </w:p>
    <w:p w:rsidR="0029663D" w:rsidRDefault="0029663D" w:rsidP="00AE18EC">
      <w:pPr>
        <w:widowControl/>
        <w:numPr>
          <w:ilvl w:val="12"/>
          <w:numId w:val="0"/>
        </w:numPr>
      </w:pPr>
      <w:r>
        <w:tab/>
        <w:t>Estimates of costs require estimation of wage rates for personnel who are expected to participate in TSCA section 8(c) activities.  These, coupled with the burden hours associated with the various tasks, provide the bases for industry cost estimates.</w:t>
      </w:r>
    </w:p>
    <w:p w:rsidR="0029663D" w:rsidRDefault="0029663D" w:rsidP="0029663D">
      <w:pPr>
        <w:numPr>
          <w:ilvl w:val="12"/>
          <w:numId w:val="0"/>
        </w:numPr>
      </w:pPr>
    </w:p>
    <w:p w:rsidR="0029663D" w:rsidRDefault="0029663D" w:rsidP="0029663D">
      <w:pPr>
        <w:numPr>
          <w:ilvl w:val="12"/>
          <w:numId w:val="0"/>
        </w:numPr>
      </w:pPr>
      <w:r>
        <w:tab/>
      </w:r>
      <w:r>
        <w:rPr>
          <w:u w:val="single"/>
        </w:rPr>
        <w:t>Estimate of the Number of Firms</w:t>
      </w:r>
    </w:p>
    <w:p w:rsidR="0029663D" w:rsidRDefault="0029663D" w:rsidP="0029663D">
      <w:pPr>
        <w:numPr>
          <w:ilvl w:val="12"/>
          <w:numId w:val="0"/>
        </w:numPr>
      </w:pPr>
    </w:p>
    <w:p w:rsidR="0029663D" w:rsidRDefault="0029663D" w:rsidP="0029663D">
      <w:pPr>
        <w:numPr>
          <w:ilvl w:val="12"/>
          <w:numId w:val="0"/>
        </w:numPr>
      </w:pPr>
      <w:r>
        <w:tab/>
      </w:r>
      <w:r w:rsidRPr="006E3EB8">
        <w:t xml:space="preserve">As in the previous TSCA section 8(c) ICR </w:t>
      </w:r>
      <w:r>
        <w:t xml:space="preserve">burden </w:t>
      </w:r>
      <w:r w:rsidRPr="006E3EB8">
        <w:t>analys</w:t>
      </w:r>
      <w:r>
        <w:t>i</w:t>
      </w:r>
      <w:r w:rsidRPr="006E3EB8">
        <w:t xml:space="preserve">s, EPA utilizes Census’ </w:t>
      </w:r>
      <w:r w:rsidRPr="00B72F5A">
        <w:rPr>
          <w:i/>
        </w:rPr>
        <w:t>County Business Patterns</w:t>
      </w:r>
      <w:r w:rsidRPr="006E3EB8">
        <w:t xml:space="preserve"> database to determine numbers of firms/plants and their employment.</w:t>
      </w:r>
      <w:r>
        <w:t xml:space="preserve"> </w:t>
      </w:r>
      <w:r w:rsidRPr="006E3EB8">
        <w:t>The analysis entails computing the average number of employees per firm.</w:t>
      </w:r>
      <w:r>
        <w:rPr>
          <w:rStyle w:val="FootnoteReference"/>
        </w:rPr>
        <w:footnoteReference w:id="1"/>
      </w:r>
    </w:p>
    <w:p w:rsidR="0029663D" w:rsidRDefault="0029663D" w:rsidP="0029663D">
      <w:pPr>
        <w:numPr>
          <w:ilvl w:val="12"/>
          <w:numId w:val="0"/>
        </w:numPr>
      </w:pPr>
    </w:p>
    <w:p w:rsidR="0029663D" w:rsidRDefault="0029663D" w:rsidP="0029663D">
      <w:pPr>
        <w:numPr>
          <w:ilvl w:val="12"/>
          <w:numId w:val="0"/>
        </w:numPr>
      </w:pPr>
      <w:r>
        <w:tab/>
        <w:t xml:space="preserve">The first step is to gather information on the number of firms and employees from the Bureau of the Census’s </w:t>
      </w:r>
      <w:r>
        <w:rPr>
          <w:i/>
          <w:iCs/>
        </w:rPr>
        <w:t>County Business Patterns</w:t>
      </w:r>
      <w:r>
        <w:t xml:space="preserve"> for NAICS code 325 (Chemical and Allied Products) and NAICS code 32411 (Petroleum Refining and Related Industries).  EPA chose those NAICS codes to define the firms that manufacture (including import) and process chemical substances.</w:t>
      </w:r>
      <w:r w:rsidRPr="00CC43C6">
        <w:t xml:space="preserve"> </w:t>
      </w:r>
      <w:r>
        <w:t xml:space="preserve">The most recent dataset available is from 2008.  </w:t>
      </w:r>
    </w:p>
    <w:p w:rsidR="0029663D" w:rsidRDefault="0029663D" w:rsidP="0029663D">
      <w:pPr>
        <w:numPr>
          <w:ilvl w:val="12"/>
          <w:numId w:val="0"/>
        </w:numPr>
      </w:pPr>
    </w:p>
    <w:p w:rsidR="0029663D" w:rsidRDefault="0029663D" w:rsidP="0029663D">
      <w:pPr>
        <w:numPr>
          <w:ilvl w:val="12"/>
          <w:numId w:val="0"/>
        </w:numPr>
      </w:pPr>
      <w:r>
        <w:tab/>
        <w:t xml:space="preserve">The number of employees per firms is calculated using employment figures from </w:t>
      </w:r>
      <w:r>
        <w:rPr>
          <w:i/>
          <w:iCs/>
        </w:rPr>
        <w:t xml:space="preserve">County Business Patterns </w:t>
      </w:r>
      <w:r>
        <w:t xml:space="preserve">for those firms that fall under NAICS 325 or NAICS 32411.  Data from </w:t>
      </w:r>
      <w:r>
        <w:rPr>
          <w:i/>
          <w:iCs/>
        </w:rPr>
        <w:t>County Business Patterns</w:t>
      </w:r>
      <w:r>
        <w:t xml:space="preserve"> show that compared to the previous ICR renewal, the number of firms</w:t>
      </w:r>
      <w:r w:rsidR="00176F26">
        <w:t xml:space="preserve"> has increased</w:t>
      </w:r>
      <w:r>
        <w:t xml:space="preserve"> </w:t>
      </w:r>
      <w:r w:rsidR="00176F26">
        <w:t>while</w:t>
      </w:r>
      <w:r w:rsidR="00176F26" w:rsidRPr="00176F26">
        <w:t xml:space="preserve"> </w:t>
      </w:r>
      <w:r w:rsidRPr="00176F26">
        <w:t xml:space="preserve">the number of employees </w:t>
      </w:r>
      <w:r w:rsidR="00176F26">
        <w:t xml:space="preserve">per firm </w:t>
      </w:r>
      <w:r w:rsidRPr="00176F26">
        <w:t>decreased slightly, resulting in about a 2% decrease in average number of employees per firm. Current estimates using 2008 Census data are provided in Table</w:t>
      </w:r>
      <w:r>
        <w:t xml:space="preserve"> 1.</w:t>
      </w:r>
    </w:p>
    <w:p w:rsidR="0029663D" w:rsidRDefault="0029663D" w:rsidP="0029663D">
      <w:pPr>
        <w:numPr>
          <w:ilvl w:val="12"/>
          <w:numId w:val="0"/>
        </w:numPr>
      </w:pPr>
    </w:p>
    <w:p w:rsidR="0029663D" w:rsidRDefault="0029663D" w:rsidP="0029663D">
      <w:pPr>
        <w:widowControl/>
        <w:autoSpaceDE/>
        <w:autoSpaceDN/>
        <w:adjustRightInd/>
        <w:rPr>
          <w:b/>
          <w:bCs/>
        </w:rPr>
      </w:pPr>
      <w:proofErr w:type="gramStart"/>
      <w:r w:rsidRPr="005260DF">
        <w:rPr>
          <w:b/>
          <w:bCs/>
        </w:rPr>
        <w:t>Table 1.</w:t>
      </w:r>
      <w:proofErr w:type="gramEnd"/>
      <w:r w:rsidRPr="005260DF">
        <w:rPr>
          <w:b/>
          <w:bCs/>
        </w:rPr>
        <w:t xml:space="preserve">  Numbers of Firms and Em</w:t>
      </w:r>
      <w:r>
        <w:rPr>
          <w:b/>
          <w:bCs/>
        </w:rPr>
        <w:t xml:space="preserve">ployees for NAICS 325 and 32411, for </w:t>
      </w:r>
      <w:r w:rsidRPr="005260DF">
        <w:rPr>
          <w:b/>
          <w:bCs/>
        </w:rPr>
        <w:t>2008</w:t>
      </w:r>
    </w:p>
    <w:tbl>
      <w:tblPr>
        <w:tblW w:w="0" w:type="auto"/>
        <w:tblInd w:w="108" w:type="dxa"/>
        <w:tblLayout w:type="fixed"/>
        <w:tblLook w:val="0000"/>
      </w:tblPr>
      <w:tblGrid>
        <w:gridCol w:w="2952"/>
        <w:gridCol w:w="3180"/>
        <w:gridCol w:w="3120"/>
      </w:tblGrid>
      <w:tr w:rsidR="0029663D" w:rsidRPr="00426B31" w:rsidTr="00AE18EC">
        <w:tc>
          <w:tcPr>
            <w:tcW w:w="2952" w:type="dxa"/>
            <w:tcBorders>
              <w:top w:val="double" w:sz="12" w:space="0" w:color="000000"/>
              <w:left w:val="double" w:sz="12" w:space="0" w:color="000000"/>
              <w:bottom w:val="single" w:sz="4" w:space="0" w:color="auto"/>
              <w:right w:val="single" w:sz="4" w:space="0" w:color="auto"/>
            </w:tcBorders>
          </w:tcPr>
          <w:p w:rsidR="0029663D" w:rsidRPr="00426B31" w:rsidRDefault="0029663D" w:rsidP="00AE18EC">
            <w:pPr>
              <w:numPr>
                <w:ilvl w:val="12"/>
                <w:numId w:val="0"/>
              </w:numPr>
              <w:spacing w:before="81" w:after="28"/>
              <w:jc w:val="center"/>
              <w:rPr>
                <w:sz w:val="20"/>
                <w:szCs w:val="20"/>
              </w:rPr>
            </w:pPr>
            <w:r w:rsidRPr="00426B31">
              <w:rPr>
                <w:b/>
                <w:bCs/>
                <w:sz w:val="20"/>
                <w:szCs w:val="20"/>
              </w:rPr>
              <w:t>Number of Firms*</w:t>
            </w:r>
          </w:p>
        </w:tc>
        <w:tc>
          <w:tcPr>
            <w:tcW w:w="3180" w:type="dxa"/>
            <w:tcBorders>
              <w:top w:val="double" w:sz="12" w:space="0" w:color="000000"/>
              <w:left w:val="single" w:sz="4" w:space="0" w:color="auto"/>
              <w:bottom w:val="single" w:sz="4" w:space="0" w:color="auto"/>
              <w:right w:val="single" w:sz="4" w:space="0" w:color="auto"/>
            </w:tcBorders>
          </w:tcPr>
          <w:p w:rsidR="0029663D" w:rsidRPr="00426B31" w:rsidRDefault="0029663D" w:rsidP="00AE18EC">
            <w:pPr>
              <w:numPr>
                <w:ilvl w:val="12"/>
                <w:numId w:val="0"/>
              </w:numPr>
              <w:spacing w:before="81" w:after="28"/>
              <w:jc w:val="center"/>
              <w:rPr>
                <w:sz w:val="20"/>
                <w:szCs w:val="20"/>
              </w:rPr>
            </w:pPr>
            <w:r w:rsidRPr="00426B31">
              <w:rPr>
                <w:b/>
                <w:bCs/>
                <w:sz w:val="20"/>
                <w:szCs w:val="20"/>
              </w:rPr>
              <w:t>Total Number of Employees*</w:t>
            </w:r>
          </w:p>
        </w:tc>
        <w:tc>
          <w:tcPr>
            <w:tcW w:w="3120" w:type="dxa"/>
            <w:tcBorders>
              <w:top w:val="double" w:sz="12" w:space="0" w:color="000000"/>
              <w:left w:val="single" w:sz="4" w:space="0" w:color="auto"/>
              <w:bottom w:val="single" w:sz="4" w:space="0" w:color="auto"/>
              <w:right w:val="double" w:sz="12" w:space="0" w:color="000000"/>
            </w:tcBorders>
          </w:tcPr>
          <w:p w:rsidR="0029663D" w:rsidRPr="00426B31" w:rsidRDefault="0029663D" w:rsidP="00AE18EC">
            <w:pPr>
              <w:numPr>
                <w:ilvl w:val="12"/>
                <w:numId w:val="0"/>
              </w:numPr>
              <w:spacing w:before="81" w:after="28"/>
              <w:jc w:val="center"/>
              <w:rPr>
                <w:sz w:val="20"/>
                <w:szCs w:val="20"/>
              </w:rPr>
            </w:pPr>
            <w:r w:rsidRPr="00426B31">
              <w:rPr>
                <w:b/>
                <w:bCs/>
                <w:sz w:val="20"/>
                <w:szCs w:val="20"/>
              </w:rPr>
              <w:t>Average Number of Employees per Firm</w:t>
            </w:r>
          </w:p>
        </w:tc>
      </w:tr>
      <w:tr w:rsidR="0029663D" w:rsidRPr="00426B31" w:rsidTr="00AE18EC">
        <w:tc>
          <w:tcPr>
            <w:tcW w:w="2952" w:type="dxa"/>
            <w:tcBorders>
              <w:top w:val="single" w:sz="4" w:space="0" w:color="auto"/>
              <w:left w:val="double" w:sz="12" w:space="0" w:color="000000"/>
              <w:bottom w:val="single" w:sz="4" w:space="0" w:color="auto"/>
              <w:right w:val="single" w:sz="4" w:space="0" w:color="auto"/>
            </w:tcBorders>
          </w:tcPr>
          <w:p w:rsidR="0029663D" w:rsidRPr="00426B31" w:rsidRDefault="0029663D" w:rsidP="00AE18EC">
            <w:pPr>
              <w:numPr>
                <w:ilvl w:val="12"/>
                <w:numId w:val="0"/>
              </w:numPr>
              <w:spacing w:before="81" w:after="28"/>
              <w:jc w:val="center"/>
              <w:rPr>
                <w:sz w:val="20"/>
                <w:szCs w:val="20"/>
              </w:rPr>
            </w:pPr>
            <w:r w:rsidRPr="00426B31">
              <w:rPr>
                <w:sz w:val="20"/>
                <w:szCs w:val="20"/>
              </w:rPr>
              <w:t>13,951</w:t>
            </w:r>
          </w:p>
        </w:tc>
        <w:tc>
          <w:tcPr>
            <w:tcW w:w="3180" w:type="dxa"/>
            <w:tcBorders>
              <w:top w:val="single" w:sz="4" w:space="0" w:color="auto"/>
              <w:left w:val="single" w:sz="4" w:space="0" w:color="auto"/>
              <w:bottom w:val="single" w:sz="4" w:space="0" w:color="auto"/>
              <w:right w:val="single" w:sz="4" w:space="0" w:color="auto"/>
            </w:tcBorders>
          </w:tcPr>
          <w:p w:rsidR="0029663D" w:rsidRPr="00426B31" w:rsidRDefault="0029663D" w:rsidP="00AE18EC">
            <w:pPr>
              <w:numPr>
                <w:ilvl w:val="12"/>
                <w:numId w:val="0"/>
              </w:numPr>
              <w:spacing w:before="81" w:after="28"/>
              <w:jc w:val="center"/>
              <w:rPr>
                <w:sz w:val="20"/>
                <w:szCs w:val="20"/>
              </w:rPr>
            </w:pPr>
            <w:r w:rsidRPr="00426B31">
              <w:rPr>
                <w:sz w:val="20"/>
                <w:szCs w:val="20"/>
              </w:rPr>
              <w:t>876,091</w:t>
            </w:r>
          </w:p>
        </w:tc>
        <w:tc>
          <w:tcPr>
            <w:tcW w:w="3120" w:type="dxa"/>
            <w:tcBorders>
              <w:top w:val="single" w:sz="4" w:space="0" w:color="auto"/>
              <w:left w:val="single" w:sz="4" w:space="0" w:color="auto"/>
              <w:bottom w:val="single" w:sz="4" w:space="0" w:color="auto"/>
              <w:right w:val="double" w:sz="12" w:space="0" w:color="000000"/>
            </w:tcBorders>
          </w:tcPr>
          <w:p w:rsidR="0029663D" w:rsidRPr="00426B31" w:rsidRDefault="0029663D" w:rsidP="00AE18EC">
            <w:pPr>
              <w:numPr>
                <w:ilvl w:val="12"/>
                <w:numId w:val="0"/>
              </w:numPr>
              <w:spacing w:before="81" w:after="28"/>
              <w:jc w:val="center"/>
              <w:rPr>
                <w:sz w:val="20"/>
                <w:szCs w:val="20"/>
              </w:rPr>
            </w:pPr>
            <w:r w:rsidRPr="00426B31">
              <w:rPr>
                <w:sz w:val="20"/>
                <w:szCs w:val="20"/>
              </w:rPr>
              <w:t>63</w:t>
            </w:r>
          </w:p>
        </w:tc>
      </w:tr>
      <w:tr w:rsidR="0029663D" w:rsidRPr="00426B31" w:rsidTr="00AE18EC">
        <w:tc>
          <w:tcPr>
            <w:tcW w:w="9252" w:type="dxa"/>
            <w:gridSpan w:val="3"/>
            <w:tcBorders>
              <w:top w:val="single" w:sz="4" w:space="0" w:color="auto"/>
              <w:left w:val="double" w:sz="12" w:space="0" w:color="000000"/>
              <w:bottom w:val="double" w:sz="12" w:space="0" w:color="000000"/>
              <w:right w:val="double" w:sz="12" w:space="0" w:color="000000"/>
            </w:tcBorders>
          </w:tcPr>
          <w:p w:rsidR="0029663D" w:rsidRPr="00426B31" w:rsidRDefault="0029663D" w:rsidP="00AE18EC">
            <w:pPr>
              <w:numPr>
                <w:ilvl w:val="12"/>
                <w:numId w:val="0"/>
              </w:numPr>
              <w:spacing w:before="81" w:after="28"/>
              <w:rPr>
                <w:bCs/>
                <w:sz w:val="20"/>
                <w:szCs w:val="20"/>
              </w:rPr>
            </w:pPr>
            <w:r w:rsidRPr="00426B31">
              <w:rPr>
                <w:bCs/>
                <w:sz w:val="20"/>
                <w:szCs w:val="20"/>
              </w:rPr>
              <w:t>* Excludes most government employees, railroad employees, and self-employed persons.</w:t>
            </w:r>
          </w:p>
          <w:p w:rsidR="0029663D" w:rsidRPr="00426B31" w:rsidRDefault="0029663D" w:rsidP="00AE18EC">
            <w:pPr>
              <w:numPr>
                <w:ilvl w:val="12"/>
                <w:numId w:val="0"/>
              </w:numPr>
              <w:spacing w:before="81" w:after="28"/>
              <w:rPr>
                <w:sz w:val="20"/>
                <w:szCs w:val="20"/>
              </w:rPr>
            </w:pPr>
            <w:r w:rsidRPr="00426B31">
              <w:rPr>
                <w:bCs/>
                <w:sz w:val="20"/>
                <w:szCs w:val="20"/>
              </w:rPr>
              <w:t xml:space="preserve">Source: US Census Bureau. </w:t>
            </w:r>
            <w:r w:rsidRPr="00426B31">
              <w:rPr>
                <w:bCs/>
                <w:i/>
                <w:sz w:val="20"/>
                <w:szCs w:val="20"/>
              </w:rPr>
              <w:t>2008 County Business Patterns.</w:t>
            </w:r>
            <w:r w:rsidRPr="00426B31">
              <w:rPr>
                <w:bCs/>
                <w:sz w:val="20"/>
                <w:szCs w:val="20"/>
              </w:rPr>
              <w:t xml:space="preserve"> </w:t>
            </w:r>
            <w:r w:rsidRPr="00426B31">
              <w:rPr>
                <w:sz w:val="20"/>
                <w:szCs w:val="20"/>
              </w:rPr>
              <w:t>Release Date: 8/17/2010.</w:t>
            </w:r>
          </w:p>
        </w:tc>
      </w:tr>
    </w:tbl>
    <w:p w:rsidR="0029663D" w:rsidRDefault="0029663D" w:rsidP="0029663D">
      <w:pPr>
        <w:numPr>
          <w:ilvl w:val="12"/>
          <w:numId w:val="0"/>
        </w:numPr>
        <w:ind w:left="720"/>
        <w:rPr>
          <w:u w:val="single"/>
        </w:rPr>
      </w:pPr>
    </w:p>
    <w:p w:rsidR="0029663D" w:rsidRDefault="0029663D" w:rsidP="0029663D">
      <w:pPr>
        <w:numPr>
          <w:ilvl w:val="12"/>
          <w:numId w:val="0"/>
        </w:numPr>
        <w:ind w:left="720"/>
      </w:pPr>
      <w:r>
        <w:rPr>
          <w:u w:val="single"/>
        </w:rPr>
        <w:t>Estimate of the Number of Allegations of Significant Adverse Health Reactions</w:t>
      </w:r>
    </w:p>
    <w:p w:rsidR="0029663D" w:rsidRDefault="0029663D" w:rsidP="0029663D">
      <w:pPr>
        <w:numPr>
          <w:ilvl w:val="12"/>
          <w:numId w:val="0"/>
        </w:numPr>
      </w:pPr>
    </w:p>
    <w:p w:rsidR="0029663D" w:rsidRDefault="0029663D" w:rsidP="0029663D">
      <w:pPr>
        <w:numPr>
          <w:ilvl w:val="12"/>
          <w:numId w:val="0"/>
        </w:numPr>
      </w:pPr>
      <w:r>
        <w:tab/>
        <w:t xml:space="preserve">The total number of allegations is based upon the average number of employees per firm and the number of firms, multiplied by a standard annual allegation rate per firm. </w:t>
      </w:r>
    </w:p>
    <w:p w:rsidR="0029663D" w:rsidRDefault="0029663D" w:rsidP="0029663D">
      <w:pPr>
        <w:numPr>
          <w:ilvl w:val="12"/>
          <w:numId w:val="0"/>
        </w:numPr>
      </w:pPr>
    </w:p>
    <w:p w:rsidR="0029663D" w:rsidRDefault="0029663D" w:rsidP="0029663D">
      <w:pPr>
        <w:numPr>
          <w:ilvl w:val="12"/>
          <w:numId w:val="0"/>
        </w:numPr>
      </w:pPr>
      <w:r>
        <w:tab/>
        <w:t xml:space="preserve">The Agency received numerous public comments following the issuance of the initial TSCA section 8(c) proposal, including many comments about the Agency’s estimate of the number of allegations.  In response to these comments, EPA contacted a number of firms to develop a consensus estimate.  According to the 1983 ICR, the consensus opinion of the firms contacted is that recordable </w:t>
      </w:r>
      <w:r>
        <w:lastRenderedPageBreak/>
        <w:t>TSCA section 8(c) allegations are likely to be made by 0.5 percent of the employees at an average firm. Additionally, and per the 1983 ICR, EPA assumes that the rate of allegations made by the general public would be about one-third the employee allegation rate.  Based on the average number of employees per firm, the estimated annual number of allegations per firm is presented below in Table 2.  The total number of allegations is calculated by multiplying the total number of firms (13,951) by the average annual number of allegations per firm (.42), for a total of 5,841 allegations per year.</w:t>
      </w:r>
    </w:p>
    <w:p w:rsidR="0029663D" w:rsidRDefault="0029663D" w:rsidP="0029663D">
      <w:pPr>
        <w:numPr>
          <w:ilvl w:val="12"/>
          <w:numId w:val="0"/>
        </w:numPr>
      </w:pPr>
    </w:p>
    <w:p w:rsidR="0029663D" w:rsidRDefault="0029663D" w:rsidP="0029663D">
      <w:pPr>
        <w:widowControl/>
        <w:autoSpaceDE/>
        <w:autoSpaceDN/>
        <w:adjustRightInd/>
        <w:rPr>
          <w:b/>
          <w:bCs/>
        </w:rPr>
      </w:pPr>
      <w:proofErr w:type="gramStart"/>
      <w:r w:rsidRPr="00F15E7A">
        <w:rPr>
          <w:b/>
          <w:bCs/>
        </w:rPr>
        <w:t>Table 2.</w:t>
      </w:r>
      <w:proofErr w:type="gramEnd"/>
      <w:r w:rsidRPr="00F15E7A">
        <w:rPr>
          <w:b/>
          <w:bCs/>
        </w:rPr>
        <w:t xml:space="preserve">  Estimated Total Number of Allegations </w:t>
      </w:r>
      <w:r>
        <w:rPr>
          <w:b/>
          <w:bCs/>
        </w:rPr>
        <w:t xml:space="preserve">per Year </w:t>
      </w:r>
      <w:r w:rsidRPr="00F15E7A">
        <w:rPr>
          <w:b/>
          <w:bCs/>
        </w:rPr>
        <w:t>for 2012-2015</w:t>
      </w:r>
    </w:p>
    <w:tbl>
      <w:tblPr>
        <w:tblW w:w="0" w:type="auto"/>
        <w:tblInd w:w="62" w:type="dxa"/>
        <w:tblLayout w:type="fixed"/>
        <w:tblCellMar>
          <w:left w:w="62" w:type="dxa"/>
          <w:right w:w="62" w:type="dxa"/>
        </w:tblCellMar>
        <w:tblLook w:val="0000"/>
      </w:tblPr>
      <w:tblGrid>
        <w:gridCol w:w="1440"/>
        <w:gridCol w:w="1800"/>
        <w:gridCol w:w="1890"/>
        <w:gridCol w:w="900"/>
        <w:gridCol w:w="1710"/>
        <w:gridCol w:w="1620"/>
      </w:tblGrid>
      <w:tr w:rsidR="0029663D" w:rsidTr="00AE18EC">
        <w:trPr>
          <w:cantSplit/>
        </w:trPr>
        <w:tc>
          <w:tcPr>
            <w:tcW w:w="1440" w:type="dxa"/>
            <w:vMerge w:val="restart"/>
            <w:tcBorders>
              <w:top w:val="double" w:sz="8" w:space="0" w:color="000000"/>
              <w:left w:val="double" w:sz="8" w:space="0" w:color="000000"/>
              <w:bottom w:val="nil"/>
              <w:right w:val="nil"/>
            </w:tcBorders>
          </w:tcPr>
          <w:p w:rsidR="0029663D" w:rsidRPr="00426B31" w:rsidRDefault="0029663D" w:rsidP="00AE18EC">
            <w:pPr>
              <w:numPr>
                <w:ilvl w:val="12"/>
                <w:numId w:val="0"/>
              </w:numPr>
              <w:spacing w:before="74" w:after="38"/>
              <w:jc w:val="center"/>
              <w:rPr>
                <w:sz w:val="20"/>
                <w:szCs w:val="20"/>
              </w:rPr>
            </w:pPr>
            <w:r w:rsidRPr="00426B31">
              <w:rPr>
                <w:b/>
                <w:bCs/>
                <w:sz w:val="20"/>
                <w:szCs w:val="20"/>
              </w:rPr>
              <w:t>Firms</w:t>
            </w:r>
          </w:p>
        </w:tc>
        <w:tc>
          <w:tcPr>
            <w:tcW w:w="1800" w:type="dxa"/>
            <w:vMerge w:val="restart"/>
            <w:tcBorders>
              <w:top w:val="double" w:sz="8" w:space="0" w:color="000000"/>
              <w:left w:val="single" w:sz="6" w:space="0" w:color="000000"/>
              <w:bottom w:val="nil"/>
              <w:right w:val="nil"/>
            </w:tcBorders>
          </w:tcPr>
          <w:p w:rsidR="0029663D" w:rsidRPr="00426B31" w:rsidRDefault="0029663D" w:rsidP="00AE18EC">
            <w:pPr>
              <w:numPr>
                <w:ilvl w:val="12"/>
                <w:numId w:val="0"/>
              </w:numPr>
              <w:spacing w:before="74" w:after="38"/>
              <w:jc w:val="center"/>
              <w:rPr>
                <w:sz w:val="20"/>
                <w:szCs w:val="20"/>
              </w:rPr>
            </w:pPr>
            <w:r w:rsidRPr="00426B31">
              <w:rPr>
                <w:b/>
                <w:bCs/>
                <w:sz w:val="20"/>
                <w:szCs w:val="20"/>
              </w:rPr>
              <w:t>Avg. Number of Employees</w:t>
            </w:r>
          </w:p>
        </w:tc>
        <w:tc>
          <w:tcPr>
            <w:tcW w:w="4500" w:type="dxa"/>
            <w:gridSpan w:val="3"/>
            <w:tcBorders>
              <w:top w:val="double" w:sz="8" w:space="0" w:color="000000"/>
              <w:left w:val="single" w:sz="6" w:space="0" w:color="000000"/>
              <w:bottom w:val="nil"/>
              <w:right w:val="nil"/>
            </w:tcBorders>
          </w:tcPr>
          <w:p w:rsidR="0029663D" w:rsidRPr="00426B31" w:rsidRDefault="0029663D" w:rsidP="00AE18EC">
            <w:pPr>
              <w:numPr>
                <w:ilvl w:val="12"/>
                <w:numId w:val="0"/>
              </w:numPr>
              <w:spacing w:before="74" w:after="38"/>
              <w:jc w:val="center"/>
              <w:rPr>
                <w:sz w:val="20"/>
                <w:szCs w:val="20"/>
              </w:rPr>
            </w:pPr>
            <w:r w:rsidRPr="00426B31">
              <w:rPr>
                <w:b/>
                <w:bCs/>
                <w:sz w:val="20"/>
                <w:szCs w:val="20"/>
              </w:rPr>
              <w:t>Average Annual # of Allegations per Firm</w:t>
            </w:r>
          </w:p>
        </w:tc>
        <w:tc>
          <w:tcPr>
            <w:tcW w:w="1620" w:type="dxa"/>
            <w:vMerge w:val="restart"/>
            <w:tcBorders>
              <w:top w:val="double" w:sz="8" w:space="0" w:color="000000"/>
              <w:left w:val="single" w:sz="6" w:space="0" w:color="000000"/>
              <w:bottom w:val="nil"/>
              <w:right w:val="double" w:sz="8" w:space="0" w:color="000000"/>
            </w:tcBorders>
          </w:tcPr>
          <w:p w:rsidR="0029663D" w:rsidRPr="00426B31" w:rsidRDefault="0029663D" w:rsidP="00AE18EC">
            <w:pPr>
              <w:numPr>
                <w:ilvl w:val="12"/>
                <w:numId w:val="0"/>
              </w:numPr>
              <w:spacing w:before="74" w:after="38"/>
              <w:jc w:val="center"/>
              <w:rPr>
                <w:sz w:val="20"/>
                <w:szCs w:val="20"/>
              </w:rPr>
            </w:pPr>
            <w:r w:rsidRPr="00426B31">
              <w:rPr>
                <w:b/>
                <w:bCs/>
                <w:sz w:val="20"/>
                <w:szCs w:val="20"/>
              </w:rPr>
              <w:t>Total Allegations</w:t>
            </w:r>
          </w:p>
        </w:tc>
      </w:tr>
      <w:tr w:rsidR="0029663D" w:rsidTr="00AE18EC">
        <w:trPr>
          <w:cantSplit/>
        </w:trPr>
        <w:tc>
          <w:tcPr>
            <w:tcW w:w="1440" w:type="dxa"/>
            <w:vMerge/>
            <w:tcBorders>
              <w:top w:val="double" w:sz="8" w:space="0" w:color="000000"/>
              <w:left w:val="double" w:sz="8" w:space="0" w:color="000000"/>
              <w:bottom w:val="nil"/>
              <w:right w:val="nil"/>
            </w:tcBorders>
          </w:tcPr>
          <w:p w:rsidR="0029663D" w:rsidRPr="00426B31" w:rsidRDefault="0029663D" w:rsidP="00AE18EC">
            <w:pPr>
              <w:numPr>
                <w:ilvl w:val="12"/>
                <w:numId w:val="0"/>
              </w:numPr>
              <w:spacing w:before="74" w:after="38"/>
              <w:jc w:val="center"/>
              <w:rPr>
                <w:sz w:val="20"/>
                <w:szCs w:val="20"/>
              </w:rPr>
            </w:pPr>
          </w:p>
        </w:tc>
        <w:tc>
          <w:tcPr>
            <w:tcW w:w="1800" w:type="dxa"/>
            <w:vMerge/>
            <w:tcBorders>
              <w:top w:val="double" w:sz="8" w:space="0" w:color="000000"/>
              <w:left w:val="single" w:sz="6" w:space="0" w:color="000000"/>
              <w:bottom w:val="nil"/>
              <w:right w:val="nil"/>
            </w:tcBorders>
          </w:tcPr>
          <w:p w:rsidR="0029663D" w:rsidRPr="00426B31" w:rsidRDefault="0029663D" w:rsidP="00AE18EC">
            <w:pPr>
              <w:numPr>
                <w:ilvl w:val="12"/>
                <w:numId w:val="0"/>
              </w:numPr>
              <w:spacing w:before="74" w:after="38"/>
              <w:jc w:val="center"/>
              <w:rPr>
                <w:sz w:val="20"/>
                <w:szCs w:val="20"/>
              </w:rPr>
            </w:pPr>
          </w:p>
        </w:tc>
        <w:tc>
          <w:tcPr>
            <w:tcW w:w="1890" w:type="dxa"/>
            <w:tcBorders>
              <w:top w:val="single" w:sz="6" w:space="0" w:color="000000"/>
              <w:left w:val="single" w:sz="6" w:space="0" w:color="000000"/>
              <w:bottom w:val="nil"/>
              <w:right w:val="nil"/>
            </w:tcBorders>
          </w:tcPr>
          <w:p w:rsidR="0029663D" w:rsidRPr="00426B31" w:rsidRDefault="0029663D" w:rsidP="00AE18EC">
            <w:pPr>
              <w:numPr>
                <w:ilvl w:val="12"/>
                <w:numId w:val="0"/>
              </w:numPr>
              <w:spacing w:before="74" w:after="38"/>
              <w:jc w:val="center"/>
              <w:rPr>
                <w:sz w:val="20"/>
                <w:szCs w:val="20"/>
              </w:rPr>
            </w:pPr>
            <w:r w:rsidRPr="00426B31">
              <w:rPr>
                <w:b/>
                <w:bCs/>
                <w:sz w:val="20"/>
                <w:szCs w:val="20"/>
              </w:rPr>
              <w:t>Employee</w:t>
            </w:r>
          </w:p>
        </w:tc>
        <w:tc>
          <w:tcPr>
            <w:tcW w:w="900" w:type="dxa"/>
            <w:tcBorders>
              <w:top w:val="single" w:sz="6" w:space="0" w:color="000000"/>
              <w:left w:val="single" w:sz="6" w:space="0" w:color="000000"/>
              <w:bottom w:val="nil"/>
              <w:right w:val="nil"/>
            </w:tcBorders>
          </w:tcPr>
          <w:p w:rsidR="0029663D" w:rsidRPr="00426B31" w:rsidRDefault="0029663D" w:rsidP="00AE18EC">
            <w:pPr>
              <w:numPr>
                <w:ilvl w:val="12"/>
                <w:numId w:val="0"/>
              </w:numPr>
              <w:spacing w:before="74" w:after="38"/>
              <w:jc w:val="center"/>
              <w:rPr>
                <w:sz w:val="20"/>
                <w:szCs w:val="20"/>
              </w:rPr>
            </w:pPr>
            <w:r w:rsidRPr="00426B31">
              <w:rPr>
                <w:b/>
                <w:bCs/>
                <w:sz w:val="20"/>
                <w:szCs w:val="20"/>
              </w:rPr>
              <w:t>Public</w:t>
            </w:r>
          </w:p>
        </w:tc>
        <w:tc>
          <w:tcPr>
            <w:tcW w:w="1710" w:type="dxa"/>
            <w:tcBorders>
              <w:top w:val="single" w:sz="6" w:space="0" w:color="000000"/>
              <w:left w:val="single" w:sz="6" w:space="0" w:color="000000"/>
              <w:bottom w:val="nil"/>
              <w:right w:val="nil"/>
            </w:tcBorders>
          </w:tcPr>
          <w:p w:rsidR="0029663D" w:rsidRPr="00426B31" w:rsidRDefault="0029663D" w:rsidP="00AE18EC">
            <w:pPr>
              <w:numPr>
                <w:ilvl w:val="12"/>
                <w:numId w:val="0"/>
              </w:numPr>
              <w:spacing w:before="74" w:after="38"/>
              <w:jc w:val="center"/>
              <w:rPr>
                <w:sz w:val="20"/>
                <w:szCs w:val="20"/>
              </w:rPr>
            </w:pPr>
            <w:r w:rsidRPr="00426B31">
              <w:rPr>
                <w:b/>
                <w:bCs/>
                <w:sz w:val="20"/>
                <w:szCs w:val="20"/>
              </w:rPr>
              <w:t>Total</w:t>
            </w:r>
          </w:p>
        </w:tc>
        <w:tc>
          <w:tcPr>
            <w:tcW w:w="1620" w:type="dxa"/>
            <w:vMerge/>
            <w:tcBorders>
              <w:top w:val="double" w:sz="8" w:space="0" w:color="000000"/>
              <w:left w:val="single" w:sz="6" w:space="0" w:color="000000"/>
              <w:bottom w:val="nil"/>
              <w:right w:val="double" w:sz="8" w:space="0" w:color="000000"/>
            </w:tcBorders>
          </w:tcPr>
          <w:p w:rsidR="0029663D" w:rsidRPr="00426B31" w:rsidRDefault="0029663D" w:rsidP="00AE18EC">
            <w:pPr>
              <w:numPr>
                <w:ilvl w:val="12"/>
                <w:numId w:val="0"/>
              </w:numPr>
              <w:spacing w:before="74" w:after="38"/>
              <w:jc w:val="center"/>
              <w:rPr>
                <w:sz w:val="20"/>
                <w:szCs w:val="20"/>
              </w:rPr>
            </w:pPr>
          </w:p>
        </w:tc>
      </w:tr>
      <w:tr w:rsidR="0029663D" w:rsidTr="00AE18EC">
        <w:trPr>
          <w:cantSplit/>
        </w:trPr>
        <w:tc>
          <w:tcPr>
            <w:tcW w:w="1440" w:type="dxa"/>
            <w:tcBorders>
              <w:top w:val="single" w:sz="6" w:space="0" w:color="000000"/>
              <w:left w:val="double" w:sz="8" w:space="0" w:color="000000"/>
              <w:bottom w:val="double" w:sz="8" w:space="0" w:color="000000"/>
              <w:right w:val="nil"/>
            </w:tcBorders>
          </w:tcPr>
          <w:p w:rsidR="0029663D" w:rsidRPr="00426B31" w:rsidRDefault="0029663D" w:rsidP="00AE18EC">
            <w:pPr>
              <w:numPr>
                <w:ilvl w:val="12"/>
                <w:numId w:val="0"/>
              </w:numPr>
              <w:spacing w:before="74" w:after="38"/>
              <w:jc w:val="center"/>
              <w:rPr>
                <w:sz w:val="20"/>
                <w:szCs w:val="20"/>
              </w:rPr>
            </w:pPr>
            <w:r w:rsidRPr="00426B31">
              <w:rPr>
                <w:sz w:val="20"/>
                <w:szCs w:val="20"/>
              </w:rPr>
              <w:t>13,951</w:t>
            </w:r>
          </w:p>
        </w:tc>
        <w:tc>
          <w:tcPr>
            <w:tcW w:w="1800" w:type="dxa"/>
            <w:tcBorders>
              <w:top w:val="single" w:sz="6" w:space="0" w:color="000000"/>
              <w:left w:val="single" w:sz="6" w:space="0" w:color="000000"/>
              <w:bottom w:val="double" w:sz="8" w:space="0" w:color="000000"/>
              <w:right w:val="nil"/>
            </w:tcBorders>
          </w:tcPr>
          <w:p w:rsidR="0029663D" w:rsidRPr="00426B31" w:rsidRDefault="0029663D" w:rsidP="00AE18EC">
            <w:pPr>
              <w:numPr>
                <w:ilvl w:val="12"/>
                <w:numId w:val="0"/>
              </w:numPr>
              <w:spacing w:before="74" w:after="38"/>
              <w:jc w:val="center"/>
              <w:rPr>
                <w:sz w:val="20"/>
                <w:szCs w:val="20"/>
              </w:rPr>
            </w:pPr>
            <w:r w:rsidRPr="00426B31">
              <w:rPr>
                <w:sz w:val="20"/>
                <w:szCs w:val="20"/>
              </w:rPr>
              <w:t>63</w:t>
            </w:r>
          </w:p>
        </w:tc>
        <w:tc>
          <w:tcPr>
            <w:tcW w:w="1890" w:type="dxa"/>
            <w:tcBorders>
              <w:top w:val="single" w:sz="6" w:space="0" w:color="000000"/>
              <w:left w:val="single" w:sz="6" w:space="0" w:color="000000"/>
              <w:bottom w:val="double" w:sz="8" w:space="0" w:color="000000"/>
              <w:right w:val="nil"/>
            </w:tcBorders>
          </w:tcPr>
          <w:p w:rsidR="0029663D" w:rsidRPr="00426B31" w:rsidRDefault="0029663D" w:rsidP="00AE18EC">
            <w:pPr>
              <w:numPr>
                <w:ilvl w:val="12"/>
                <w:numId w:val="0"/>
              </w:numPr>
              <w:spacing w:before="74" w:after="38"/>
              <w:jc w:val="center"/>
              <w:rPr>
                <w:sz w:val="20"/>
                <w:szCs w:val="20"/>
              </w:rPr>
            </w:pPr>
            <w:r w:rsidRPr="00426B31">
              <w:rPr>
                <w:sz w:val="20"/>
                <w:szCs w:val="20"/>
              </w:rPr>
              <w:t>0.31</w:t>
            </w:r>
          </w:p>
        </w:tc>
        <w:tc>
          <w:tcPr>
            <w:tcW w:w="900" w:type="dxa"/>
            <w:tcBorders>
              <w:top w:val="single" w:sz="6" w:space="0" w:color="000000"/>
              <w:left w:val="single" w:sz="6" w:space="0" w:color="000000"/>
              <w:bottom w:val="double" w:sz="8" w:space="0" w:color="000000"/>
              <w:right w:val="nil"/>
            </w:tcBorders>
          </w:tcPr>
          <w:p w:rsidR="0029663D" w:rsidRPr="00426B31" w:rsidRDefault="0029663D" w:rsidP="00AE18EC">
            <w:pPr>
              <w:numPr>
                <w:ilvl w:val="12"/>
                <w:numId w:val="0"/>
              </w:numPr>
              <w:spacing w:before="74" w:after="38"/>
              <w:jc w:val="center"/>
              <w:rPr>
                <w:sz w:val="20"/>
                <w:szCs w:val="20"/>
              </w:rPr>
            </w:pPr>
            <w:r w:rsidRPr="00426B31">
              <w:rPr>
                <w:sz w:val="20"/>
                <w:szCs w:val="20"/>
              </w:rPr>
              <w:t>0.10</w:t>
            </w:r>
          </w:p>
        </w:tc>
        <w:tc>
          <w:tcPr>
            <w:tcW w:w="1710" w:type="dxa"/>
            <w:tcBorders>
              <w:top w:val="single" w:sz="6" w:space="0" w:color="000000"/>
              <w:left w:val="single" w:sz="6" w:space="0" w:color="000000"/>
              <w:bottom w:val="double" w:sz="8" w:space="0" w:color="000000"/>
              <w:right w:val="nil"/>
            </w:tcBorders>
          </w:tcPr>
          <w:p w:rsidR="0029663D" w:rsidRPr="00426B31" w:rsidRDefault="0029663D" w:rsidP="00AE18EC">
            <w:pPr>
              <w:numPr>
                <w:ilvl w:val="12"/>
                <w:numId w:val="0"/>
              </w:numPr>
              <w:spacing w:before="74" w:after="38"/>
              <w:jc w:val="center"/>
              <w:rPr>
                <w:sz w:val="20"/>
                <w:szCs w:val="20"/>
              </w:rPr>
            </w:pPr>
            <w:r w:rsidRPr="00426B31">
              <w:rPr>
                <w:sz w:val="20"/>
                <w:szCs w:val="20"/>
              </w:rPr>
              <w:t>0.42</w:t>
            </w:r>
          </w:p>
        </w:tc>
        <w:tc>
          <w:tcPr>
            <w:tcW w:w="1620" w:type="dxa"/>
            <w:tcBorders>
              <w:top w:val="single" w:sz="6" w:space="0" w:color="000000"/>
              <w:left w:val="single" w:sz="6" w:space="0" w:color="000000"/>
              <w:bottom w:val="double" w:sz="8" w:space="0" w:color="000000"/>
              <w:right w:val="double" w:sz="8" w:space="0" w:color="000000"/>
            </w:tcBorders>
          </w:tcPr>
          <w:p w:rsidR="0029663D" w:rsidRPr="00426B31" w:rsidRDefault="00176F26" w:rsidP="00AE18EC">
            <w:pPr>
              <w:numPr>
                <w:ilvl w:val="12"/>
                <w:numId w:val="0"/>
              </w:numPr>
              <w:spacing w:before="74" w:after="38"/>
              <w:jc w:val="center"/>
              <w:rPr>
                <w:sz w:val="20"/>
                <w:szCs w:val="20"/>
              </w:rPr>
            </w:pPr>
            <w:r>
              <w:rPr>
                <w:sz w:val="20"/>
                <w:szCs w:val="20"/>
              </w:rPr>
              <w:t>5,859</w:t>
            </w:r>
          </w:p>
        </w:tc>
      </w:tr>
    </w:tbl>
    <w:p w:rsidR="0029663D" w:rsidRDefault="0029663D" w:rsidP="0029663D">
      <w:pPr>
        <w:numPr>
          <w:ilvl w:val="12"/>
          <w:numId w:val="0"/>
        </w:numPr>
        <w:rPr>
          <w:b/>
          <w:bCs/>
        </w:rPr>
      </w:pPr>
    </w:p>
    <w:p w:rsidR="0029663D" w:rsidRDefault="0029663D" w:rsidP="0029663D">
      <w:pPr>
        <w:numPr>
          <w:ilvl w:val="12"/>
          <w:numId w:val="0"/>
        </w:numPr>
        <w:rPr>
          <w:u w:val="single"/>
        </w:rPr>
      </w:pPr>
      <w:r>
        <w:tab/>
      </w:r>
      <w:r>
        <w:rPr>
          <w:u w:val="single"/>
        </w:rPr>
        <w:t>Estimate of the Number of Reports Requested by EPA</w:t>
      </w:r>
    </w:p>
    <w:p w:rsidR="0029663D" w:rsidRDefault="0029663D" w:rsidP="0029663D">
      <w:pPr>
        <w:numPr>
          <w:ilvl w:val="12"/>
          <w:numId w:val="0"/>
        </w:numPr>
      </w:pPr>
    </w:p>
    <w:p w:rsidR="0029663D" w:rsidRDefault="0029663D" w:rsidP="0029663D">
      <w:pPr>
        <w:numPr>
          <w:ilvl w:val="12"/>
          <w:numId w:val="0"/>
        </w:numPr>
      </w:pPr>
      <w:r>
        <w:tab/>
        <w:t xml:space="preserve">EPA’s long-term experience shows that </w:t>
      </w:r>
      <w:r w:rsidRPr="006E3EB8">
        <w:t>only a very limited amount of reporting has been required under TSCA section 8(c); this is not expected to change during the period covered by this ICR. To date, only two reporting notices have been issued under TSCA section 8(c)</w:t>
      </w:r>
      <w:r>
        <w:rPr>
          <w:rStyle w:val="FootnoteReference"/>
        </w:rPr>
        <w:footnoteReference w:id="2"/>
      </w:r>
      <w:r>
        <w:t xml:space="preserve"> </w:t>
      </w:r>
      <w:r w:rsidRPr="006E3EB8">
        <w:t>and these two notices covered two chemicals and two chemical categories.  A total of 31 reports</w:t>
      </w:r>
      <w:r w:rsidR="00985651">
        <w:rPr>
          <w:rStyle w:val="FootnoteReference"/>
        </w:rPr>
        <w:footnoteReference w:id="3"/>
      </w:r>
      <w:r w:rsidR="00985651" w:rsidRPr="006E3EB8">
        <w:rPr>
          <w:vertAlign w:val="superscript"/>
        </w:rPr>
        <w:t>,</w:t>
      </w:r>
      <w:r w:rsidR="00985651">
        <w:rPr>
          <w:rStyle w:val="FootnoteReference"/>
        </w:rPr>
        <w:footnoteReference w:id="4"/>
      </w:r>
      <w:r w:rsidR="00985651">
        <w:t xml:space="preserve"> </w:t>
      </w:r>
      <w:r w:rsidRPr="006E3EB8">
        <w:t>have been r</w:t>
      </w:r>
      <w:r>
        <w:t>eceived under TSCA section 8(c)</w:t>
      </w:r>
      <w:r w:rsidR="00FC09A6">
        <w:t xml:space="preserve">, an average of approximately 16 reports per </w:t>
      </w:r>
      <w:r w:rsidR="00136FFE">
        <w:t>notice</w:t>
      </w:r>
      <w:r w:rsidR="00985651">
        <w:t>.</w:t>
      </w:r>
      <w:r>
        <w:t xml:space="preserve"> </w:t>
      </w:r>
      <w:r w:rsidRPr="006E3EB8">
        <w:t>This represents an average of only about 1.1 reports per year since the rule was promulgated in 1983.</w:t>
      </w:r>
      <w:r>
        <w:rPr>
          <w:rStyle w:val="FootnoteReference"/>
        </w:rPr>
        <w:footnoteReference w:id="5"/>
      </w:r>
      <w:r w:rsidR="00136FFE">
        <w:t xml:space="preserve"> </w:t>
      </w:r>
    </w:p>
    <w:p w:rsidR="0029663D" w:rsidRDefault="0029663D" w:rsidP="0029663D">
      <w:pPr>
        <w:numPr>
          <w:ilvl w:val="12"/>
          <w:numId w:val="0"/>
        </w:numPr>
      </w:pPr>
    </w:p>
    <w:p w:rsidR="0029663D" w:rsidRDefault="0029663D" w:rsidP="0029663D">
      <w:pPr>
        <w:numPr>
          <w:ilvl w:val="12"/>
          <w:numId w:val="0"/>
        </w:numPr>
        <w:ind w:firstLine="720"/>
      </w:pPr>
      <w:r>
        <w:rPr>
          <w:u w:val="single"/>
        </w:rPr>
        <w:t>Estimated Wage Rates</w:t>
      </w:r>
    </w:p>
    <w:p w:rsidR="0029663D" w:rsidRDefault="0029663D" w:rsidP="0029663D">
      <w:pPr>
        <w:numPr>
          <w:ilvl w:val="12"/>
          <w:numId w:val="0"/>
        </w:numPr>
      </w:pPr>
    </w:p>
    <w:p w:rsidR="0029663D" w:rsidRPr="008358D7" w:rsidRDefault="0029663D" w:rsidP="0029663D">
      <w:pPr>
        <w:numPr>
          <w:ilvl w:val="12"/>
          <w:numId w:val="0"/>
        </w:numPr>
        <w:rPr>
          <w:i/>
        </w:rPr>
      </w:pPr>
      <w:r>
        <w:tab/>
        <w:t>Loaded wage rates for technical, managerial, and clerical personnel</w:t>
      </w:r>
      <w:r w:rsidRPr="00E825FC">
        <w:t xml:space="preserve"> </w:t>
      </w:r>
      <w:r>
        <w:t xml:space="preserve">are derived using a standard methodology for the TSCA-regulated community. Wage rate data are obtained from the regularly updated Bureau of Labor Statistics (BLS) </w:t>
      </w:r>
      <w:r w:rsidRPr="008358D7">
        <w:rPr>
          <w:i/>
        </w:rPr>
        <w:t>Employer Costs for Employee Compensation Supplementary Tables.</w:t>
      </w:r>
    </w:p>
    <w:p w:rsidR="0029663D" w:rsidRDefault="0029663D" w:rsidP="0029663D">
      <w:pPr>
        <w:ind w:firstLine="720"/>
      </w:pPr>
    </w:p>
    <w:p w:rsidR="0029663D" w:rsidRDefault="0029663D" w:rsidP="0029663D">
      <w:pPr>
        <w:ind w:firstLine="720"/>
      </w:pPr>
      <w:r>
        <w:t xml:space="preserve">Wages and fringe benefits for managerial, professional/technical, and clerical labor are taken from the BLS </w:t>
      </w:r>
      <w:r>
        <w:rPr>
          <w:i/>
          <w:iCs/>
        </w:rPr>
        <w:t xml:space="preserve">Employer Costs for Employee Compensation </w:t>
      </w:r>
      <w:r>
        <w:t>(ECEC) data for March 2011, for manufacturing industries.</w:t>
      </w:r>
      <w:r>
        <w:rPr>
          <w:rStyle w:val="FootnoteReference"/>
        </w:rPr>
        <w:footnoteReference w:id="6"/>
      </w:r>
      <w:r>
        <w:t xml:space="preserve"> The cost of fringe benefits (paid leave, insurance and other items) specific to each labor category is taken from the same BLS series. </w:t>
      </w:r>
    </w:p>
    <w:p w:rsidR="0029663D" w:rsidRDefault="0029663D" w:rsidP="0029663D">
      <w:pPr>
        <w:ind w:firstLine="720"/>
      </w:pPr>
    </w:p>
    <w:p w:rsidR="0029663D" w:rsidRDefault="0029663D" w:rsidP="0029663D">
      <w:pPr>
        <w:numPr>
          <w:ilvl w:val="12"/>
          <w:numId w:val="0"/>
        </w:numPr>
        <w:ind w:firstLine="720"/>
      </w:pPr>
      <w:r>
        <w:t>An additional loading factor of 17 percent is applied to wages to account for overhead.  This approach is consistent with OPPT practice, as established in economic analyses for two major rulemakings.</w:t>
      </w:r>
      <w:r>
        <w:rPr>
          <w:rStyle w:val="FootnoteReference"/>
        </w:rPr>
        <w:footnoteReference w:id="7"/>
      </w:r>
      <w:r>
        <w:t xml:space="preserve"> See Table 3 below for calculation details.</w:t>
      </w:r>
    </w:p>
    <w:p w:rsidR="0029663D" w:rsidRPr="00182129" w:rsidRDefault="0029663D" w:rsidP="0029663D">
      <w:pPr>
        <w:numPr>
          <w:ilvl w:val="12"/>
          <w:numId w:val="0"/>
        </w:numPr>
      </w:pPr>
    </w:p>
    <w:tbl>
      <w:tblPr>
        <w:tblW w:w="9864" w:type="dxa"/>
        <w:tblInd w:w="15" w:type="dxa"/>
        <w:tblLayout w:type="fixed"/>
        <w:tblCellMar>
          <w:left w:w="0" w:type="dxa"/>
          <w:right w:w="0" w:type="dxa"/>
        </w:tblCellMar>
        <w:tblLook w:val="04A0"/>
      </w:tblPr>
      <w:tblGrid>
        <w:gridCol w:w="1429"/>
        <w:gridCol w:w="2154"/>
        <w:gridCol w:w="737"/>
        <w:gridCol w:w="720"/>
        <w:gridCol w:w="900"/>
        <w:gridCol w:w="990"/>
        <w:gridCol w:w="990"/>
        <w:gridCol w:w="1056"/>
        <w:gridCol w:w="888"/>
      </w:tblGrid>
      <w:tr w:rsidR="0029663D" w:rsidRPr="00182129" w:rsidTr="00AE18EC">
        <w:trPr>
          <w:trHeight w:val="270"/>
        </w:trPr>
        <w:tc>
          <w:tcPr>
            <w:tcW w:w="9864" w:type="dxa"/>
            <w:gridSpan w:val="9"/>
            <w:tcBorders>
              <w:top w:val="nil"/>
              <w:left w:val="nil"/>
              <w:bottom w:val="nil"/>
              <w:right w:val="nil"/>
            </w:tcBorders>
            <w:shd w:val="clear" w:color="auto" w:fill="auto"/>
            <w:noWrap/>
            <w:tcMar>
              <w:top w:w="15" w:type="dxa"/>
              <w:left w:w="15" w:type="dxa"/>
              <w:bottom w:w="0" w:type="dxa"/>
              <w:right w:w="15" w:type="dxa"/>
            </w:tcMar>
            <w:vAlign w:val="bottom"/>
            <w:hideMark/>
          </w:tcPr>
          <w:p w:rsidR="0029663D" w:rsidRPr="0007470B" w:rsidRDefault="0029663D" w:rsidP="00AE18EC">
            <w:pPr>
              <w:keepNext/>
              <w:widowControl/>
              <w:rPr>
                <w:b/>
                <w:bCs/>
              </w:rPr>
            </w:pPr>
            <w:r>
              <w:rPr>
                <w:b/>
                <w:bCs/>
              </w:rPr>
              <w:t>Table 3: Loaded Industry Wage Rates (March, 2011)</w:t>
            </w:r>
          </w:p>
        </w:tc>
      </w:tr>
      <w:tr w:rsidR="0029663D" w:rsidTr="00AE18EC">
        <w:trPr>
          <w:trHeight w:val="840"/>
        </w:trPr>
        <w:tc>
          <w:tcPr>
            <w:tcW w:w="1429" w:type="dxa"/>
            <w:vMerge w:val="restart"/>
            <w:tcBorders>
              <w:top w:val="double" w:sz="6" w:space="0" w:color="auto"/>
              <w:left w:val="double" w:sz="6" w:space="0" w:color="auto"/>
              <w:bottom w:val="double" w:sz="6" w:space="0" w:color="000000"/>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b/>
                <w:bCs/>
                <w:sz w:val="20"/>
                <w:szCs w:val="20"/>
              </w:rPr>
            </w:pPr>
            <w:r>
              <w:rPr>
                <w:b/>
                <w:bCs/>
                <w:sz w:val="20"/>
                <w:szCs w:val="20"/>
              </w:rPr>
              <w:t>EPAB Labor Category</w:t>
            </w:r>
          </w:p>
        </w:tc>
        <w:tc>
          <w:tcPr>
            <w:tcW w:w="2154" w:type="dxa"/>
            <w:vMerge w:val="restart"/>
            <w:tcBorders>
              <w:top w:val="double" w:sz="6" w:space="0" w:color="auto"/>
              <w:left w:val="single" w:sz="4" w:space="0" w:color="auto"/>
              <w:bottom w:val="double" w:sz="6" w:space="0" w:color="000000"/>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b/>
                <w:bCs/>
                <w:sz w:val="20"/>
                <w:szCs w:val="20"/>
              </w:rPr>
            </w:pPr>
            <w:r>
              <w:rPr>
                <w:b/>
                <w:bCs/>
                <w:sz w:val="20"/>
                <w:szCs w:val="20"/>
              </w:rPr>
              <w:t xml:space="preserve">Data Sources </w:t>
            </w:r>
            <w:r>
              <w:rPr>
                <w:b/>
                <w:bCs/>
                <w:sz w:val="20"/>
                <w:szCs w:val="20"/>
                <w:vertAlign w:val="superscript"/>
              </w:rPr>
              <w:t>d</w:t>
            </w:r>
          </w:p>
        </w:tc>
        <w:tc>
          <w:tcPr>
            <w:tcW w:w="737" w:type="dxa"/>
            <w:vMerge w:val="restart"/>
            <w:tcBorders>
              <w:top w:val="double" w:sz="6" w:space="0" w:color="auto"/>
              <w:left w:val="single" w:sz="4" w:space="0" w:color="auto"/>
              <w:bottom w:val="double" w:sz="6" w:space="0" w:color="000000"/>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b/>
                <w:bCs/>
                <w:color w:val="000000"/>
                <w:sz w:val="20"/>
                <w:szCs w:val="20"/>
              </w:rPr>
            </w:pPr>
            <w:r>
              <w:rPr>
                <w:b/>
                <w:bCs/>
                <w:color w:val="000000"/>
                <w:sz w:val="20"/>
                <w:szCs w:val="20"/>
              </w:rPr>
              <w:t>Date</w:t>
            </w:r>
          </w:p>
        </w:tc>
        <w:tc>
          <w:tcPr>
            <w:tcW w:w="720" w:type="dxa"/>
            <w:tcBorders>
              <w:top w:val="double" w:sz="6" w:space="0" w:color="auto"/>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b/>
                <w:bCs/>
                <w:color w:val="000000"/>
                <w:sz w:val="20"/>
                <w:szCs w:val="20"/>
              </w:rPr>
            </w:pPr>
            <w:r>
              <w:rPr>
                <w:b/>
                <w:bCs/>
                <w:color w:val="000000"/>
                <w:sz w:val="20"/>
                <w:szCs w:val="20"/>
              </w:rPr>
              <w:t>Wage</w:t>
            </w:r>
          </w:p>
        </w:tc>
        <w:tc>
          <w:tcPr>
            <w:tcW w:w="900" w:type="dxa"/>
            <w:tcBorders>
              <w:top w:val="double" w:sz="6" w:space="0" w:color="auto"/>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b/>
                <w:bCs/>
                <w:color w:val="000000"/>
                <w:sz w:val="20"/>
                <w:szCs w:val="20"/>
              </w:rPr>
            </w:pPr>
            <w:r>
              <w:rPr>
                <w:b/>
                <w:bCs/>
                <w:color w:val="000000"/>
                <w:sz w:val="20"/>
                <w:szCs w:val="20"/>
              </w:rPr>
              <w:t>Fringe Benefit</w:t>
            </w:r>
          </w:p>
        </w:tc>
        <w:tc>
          <w:tcPr>
            <w:tcW w:w="990" w:type="dxa"/>
            <w:tcBorders>
              <w:top w:val="double" w:sz="6" w:space="0" w:color="auto"/>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b/>
                <w:bCs/>
                <w:color w:val="000000"/>
                <w:sz w:val="20"/>
                <w:szCs w:val="20"/>
              </w:rPr>
            </w:pPr>
            <w:r>
              <w:rPr>
                <w:b/>
                <w:bCs/>
                <w:color w:val="000000"/>
                <w:sz w:val="20"/>
                <w:szCs w:val="20"/>
              </w:rPr>
              <w:t>Fringes as % wage</w:t>
            </w:r>
          </w:p>
        </w:tc>
        <w:tc>
          <w:tcPr>
            <w:tcW w:w="990" w:type="dxa"/>
            <w:tcBorders>
              <w:top w:val="double" w:sz="6" w:space="0" w:color="auto"/>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b/>
                <w:bCs/>
                <w:color w:val="000000"/>
                <w:sz w:val="20"/>
                <w:szCs w:val="20"/>
              </w:rPr>
            </w:pPr>
            <w:r>
              <w:rPr>
                <w:b/>
                <w:bCs/>
                <w:color w:val="000000"/>
                <w:sz w:val="20"/>
                <w:szCs w:val="20"/>
              </w:rPr>
              <w:t xml:space="preserve">Over-head % </w:t>
            </w:r>
            <w:proofErr w:type="spellStart"/>
            <w:r>
              <w:rPr>
                <w:b/>
                <w:bCs/>
                <w:color w:val="000000"/>
                <w:sz w:val="20"/>
                <w:szCs w:val="20"/>
              </w:rPr>
              <w:t>wage</w:t>
            </w:r>
            <w:r>
              <w:rPr>
                <w:b/>
                <w:bCs/>
                <w:color w:val="000000"/>
                <w:sz w:val="20"/>
                <w:szCs w:val="20"/>
                <w:vertAlign w:val="superscript"/>
              </w:rPr>
              <w:t>b</w:t>
            </w:r>
            <w:proofErr w:type="spellEnd"/>
          </w:p>
        </w:tc>
        <w:tc>
          <w:tcPr>
            <w:tcW w:w="1056" w:type="dxa"/>
            <w:tcBorders>
              <w:top w:val="double" w:sz="6" w:space="0" w:color="auto"/>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b/>
                <w:bCs/>
                <w:color w:val="000000"/>
                <w:sz w:val="20"/>
                <w:szCs w:val="20"/>
              </w:rPr>
            </w:pPr>
            <w:r>
              <w:rPr>
                <w:b/>
                <w:bCs/>
                <w:color w:val="000000"/>
                <w:sz w:val="20"/>
                <w:szCs w:val="20"/>
              </w:rPr>
              <w:t xml:space="preserve">Fringe + </w:t>
            </w:r>
            <w:r>
              <w:rPr>
                <w:b/>
                <w:bCs/>
                <w:color w:val="000000"/>
                <w:sz w:val="20"/>
                <w:szCs w:val="20"/>
              </w:rPr>
              <w:br/>
              <w:t xml:space="preserve">overhead </w:t>
            </w:r>
            <w:proofErr w:type="spellStart"/>
            <w:r>
              <w:rPr>
                <w:b/>
                <w:bCs/>
                <w:color w:val="000000"/>
                <w:sz w:val="20"/>
                <w:szCs w:val="20"/>
              </w:rPr>
              <w:t>factor</w:t>
            </w:r>
            <w:r>
              <w:rPr>
                <w:b/>
                <w:bCs/>
                <w:color w:val="000000"/>
                <w:sz w:val="20"/>
                <w:szCs w:val="20"/>
                <w:vertAlign w:val="superscript"/>
              </w:rPr>
              <w:t>c</w:t>
            </w:r>
            <w:proofErr w:type="spellEnd"/>
          </w:p>
        </w:tc>
        <w:tc>
          <w:tcPr>
            <w:tcW w:w="888" w:type="dxa"/>
            <w:tcBorders>
              <w:top w:val="double" w:sz="6" w:space="0" w:color="auto"/>
              <w:left w:val="nil"/>
              <w:bottom w:val="single" w:sz="4" w:space="0" w:color="000000"/>
              <w:right w:val="double" w:sz="6"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b/>
                <w:bCs/>
                <w:color w:val="000000"/>
                <w:sz w:val="20"/>
                <w:szCs w:val="20"/>
              </w:rPr>
            </w:pPr>
            <w:r>
              <w:rPr>
                <w:b/>
                <w:bCs/>
                <w:color w:val="000000"/>
                <w:sz w:val="20"/>
                <w:szCs w:val="20"/>
              </w:rPr>
              <w:t xml:space="preserve">Loaded </w:t>
            </w:r>
            <w:proofErr w:type="spellStart"/>
            <w:r>
              <w:rPr>
                <w:b/>
                <w:bCs/>
                <w:color w:val="000000"/>
                <w:sz w:val="20"/>
                <w:szCs w:val="20"/>
              </w:rPr>
              <w:t>Wages</w:t>
            </w:r>
            <w:r>
              <w:rPr>
                <w:b/>
                <w:bCs/>
                <w:color w:val="000000"/>
                <w:sz w:val="20"/>
                <w:szCs w:val="20"/>
                <w:vertAlign w:val="superscript"/>
              </w:rPr>
              <w:t>a</w:t>
            </w:r>
            <w:proofErr w:type="spellEnd"/>
          </w:p>
        </w:tc>
      </w:tr>
      <w:tr w:rsidR="0029663D" w:rsidTr="00AE18EC">
        <w:trPr>
          <w:trHeight w:val="525"/>
        </w:trPr>
        <w:tc>
          <w:tcPr>
            <w:tcW w:w="1429" w:type="dxa"/>
            <w:vMerge/>
            <w:tcBorders>
              <w:top w:val="double" w:sz="6" w:space="0" w:color="auto"/>
              <w:left w:val="double" w:sz="6" w:space="0" w:color="auto"/>
              <w:bottom w:val="double" w:sz="6" w:space="0" w:color="000000"/>
              <w:right w:val="single" w:sz="4" w:space="0" w:color="auto"/>
            </w:tcBorders>
            <w:vAlign w:val="center"/>
            <w:hideMark/>
          </w:tcPr>
          <w:p w:rsidR="0029663D" w:rsidRDefault="0029663D" w:rsidP="00AE18EC">
            <w:pPr>
              <w:keepNext/>
              <w:widowControl/>
              <w:rPr>
                <w:b/>
                <w:bCs/>
                <w:sz w:val="20"/>
                <w:szCs w:val="20"/>
              </w:rPr>
            </w:pPr>
          </w:p>
        </w:tc>
        <w:tc>
          <w:tcPr>
            <w:tcW w:w="2154" w:type="dxa"/>
            <w:vMerge/>
            <w:tcBorders>
              <w:top w:val="double" w:sz="6" w:space="0" w:color="auto"/>
              <w:left w:val="single" w:sz="4" w:space="0" w:color="auto"/>
              <w:bottom w:val="double" w:sz="6" w:space="0" w:color="000000"/>
              <w:right w:val="single" w:sz="4" w:space="0" w:color="auto"/>
            </w:tcBorders>
            <w:vAlign w:val="center"/>
            <w:hideMark/>
          </w:tcPr>
          <w:p w:rsidR="0029663D" w:rsidRDefault="0029663D" w:rsidP="00AE18EC">
            <w:pPr>
              <w:keepNext/>
              <w:widowControl/>
              <w:rPr>
                <w:b/>
                <w:bCs/>
                <w:sz w:val="20"/>
                <w:szCs w:val="20"/>
              </w:rPr>
            </w:pPr>
          </w:p>
        </w:tc>
        <w:tc>
          <w:tcPr>
            <w:tcW w:w="737" w:type="dxa"/>
            <w:vMerge/>
            <w:tcBorders>
              <w:top w:val="double" w:sz="6" w:space="0" w:color="auto"/>
              <w:left w:val="single" w:sz="4" w:space="0" w:color="auto"/>
              <w:bottom w:val="double" w:sz="6" w:space="0" w:color="000000"/>
              <w:right w:val="single" w:sz="4" w:space="0" w:color="auto"/>
            </w:tcBorders>
            <w:vAlign w:val="center"/>
            <w:hideMark/>
          </w:tcPr>
          <w:p w:rsidR="0029663D" w:rsidRDefault="0029663D" w:rsidP="00AE18EC">
            <w:pPr>
              <w:keepNext/>
              <w:widowControl/>
              <w:rPr>
                <w:b/>
                <w:bCs/>
                <w:color w:val="000000"/>
                <w:sz w:val="20"/>
                <w:szCs w:val="20"/>
              </w:rPr>
            </w:pPr>
          </w:p>
        </w:tc>
        <w:tc>
          <w:tcPr>
            <w:tcW w:w="720" w:type="dxa"/>
            <w:tcBorders>
              <w:top w:val="nil"/>
              <w:left w:val="nil"/>
              <w:bottom w:val="double" w:sz="6" w:space="0" w:color="auto"/>
              <w:right w:val="single" w:sz="4" w:space="0" w:color="auto"/>
            </w:tcBorders>
            <w:shd w:val="clear" w:color="auto" w:fill="auto"/>
            <w:tcMar>
              <w:top w:w="15" w:type="dxa"/>
              <w:left w:w="15" w:type="dxa"/>
              <w:bottom w:w="0" w:type="dxa"/>
              <w:right w:w="15" w:type="dxa"/>
            </w:tcMar>
            <w:hideMark/>
          </w:tcPr>
          <w:p w:rsidR="0029663D" w:rsidRDefault="0029663D" w:rsidP="00AE18EC">
            <w:pPr>
              <w:keepNext/>
              <w:widowControl/>
              <w:jc w:val="center"/>
              <w:rPr>
                <w:sz w:val="20"/>
                <w:szCs w:val="20"/>
              </w:rPr>
            </w:pPr>
            <w:r>
              <w:rPr>
                <w:sz w:val="20"/>
                <w:szCs w:val="20"/>
              </w:rPr>
              <w:t>(A)</w:t>
            </w:r>
          </w:p>
        </w:tc>
        <w:tc>
          <w:tcPr>
            <w:tcW w:w="900" w:type="dxa"/>
            <w:tcBorders>
              <w:top w:val="nil"/>
              <w:left w:val="nil"/>
              <w:bottom w:val="double" w:sz="6" w:space="0" w:color="auto"/>
              <w:right w:val="single" w:sz="4" w:space="0" w:color="auto"/>
            </w:tcBorders>
            <w:shd w:val="clear" w:color="auto" w:fill="auto"/>
            <w:tcMar>
              <w:top w:w="15" w:type="dxa"/>
              <w:left w:w="15" w:type="dxa"/>
              <w:bottom w:w="0" w:type="dxa"/>
              <w:right w:w="15" w:type="dxa"/>
            </w:tcMar>
            <w:hideMark/>
          </w:tcPr>
          <w:p w:rsidR="0029663D" w:rsidRDefault="0029663D" w:rsidP="00AE18EC">
            <w:pPr>
              <w:keepNext/>
              <w:widowControl/>
              <w:jc w:val="center"/>
              <w:rPr>
                <w:sz w:val="20"/>
                <w:szCs w:val="20"/>
              </w:rPr>
            </w:pPr>
            <w:r>
              <w:rPr>
                <w:sz w:val="20"/>
                <w:szCs w:val="20"/>
              </w:rPr>
              <w:t>(B)</w:t>
            </w:r>
          </w:p>
        </w:tc>
        <w:tc>
          <w:tcPr>
            <w:tcW w:w="990" w:type="dxa"/>
            <w:tcBorders>
              <w:top w:val="nil"/>
              <w:left w:val="nil"/>
              <w:bottom w:val="double" w:sz="6" w:space="0" w:color="auto"/>
              <w:right w:val="single" w:sz="4" w:space="0" w:color="auto"/>
            </w:tcBorders>
            <w:shd w:val="clear" w:color="auto" w:fill="auto"/>
            <w:tcMar>
              <w:top w:w="15" w:type="dxa"/>
              <w:left w:w="15" w:type="dxa"/>
              <w:bottom w:w="0" w:type="dxa"/>
              <w:right w:w="15" w:type="dxa"/>
            </w:tcMar>
            <w:hideMark/>
          </w:tcPr>
          <w:p w:rsidR="0029663D" w:rsidRDefault="0029663D" w:rsidP="00AE18EC">
            <w:pPr>
              <w:keepNext/>
              <w:widowControl/>
              <w:jc w:val="center"/>
              <w:rPr>
                <w:sz w:val="20"/>
                <w:szCs w:val="20"/>
              </w:rPr>
            </w:pPr>
            <w:r>
              <w:rPr>
                <w:sz w:val="20"/>
                <w:szCs w:val="20"/>
              </w:rPr>
              <w:t>(C) =(B)/(A)</w:t>
            </w:r>
          </w:p>
        </w:tc>
        <w:tc>
          <w:tcPr>
            <w:tcW w:w="990" w:type="dxa"/>
            <w:tcBorders>
              <w:top w:val="nil"/>
              <w:left w:val="nil"/>
              <w:bottom w:val="double" w:sz="6" w:space="0" w:color="auto"/>
              <w:right w:val="single" w:sz="4" w:space="0" w:color="auto"/>
            </w:tcBorders>
            <w:shd w:val="clear" w:color="auto" w:fill="auto"/>
            <w:tcMar>
              <w:top w:w="15" w:type="dxa"/>
              <w:left w:w="15" w:type="dxa"/>
              <w:bottom w:w="0" w:type="dxa"/>
              <w:right w:w="15" w:type="dxa"/>
            </w:tcMar>
            <w:hideMark/>
          </w:tcPr>
          <w:p w:rsidR="0029663D" w:rsidRDefault="0029663D" w:rsidP="00AE18EC">
            <w:pPr>
              <w:keepNext/>
              <w:widowControl/>
              <w:jc w:val="center"/>
              <w:rPr>
                <w:sz w:val="20"/>
                <w:szCs w:val="20"/>
              </w:rPr>
            </w:pPr>
            <w:r>
              <w:rPr>
                <w:sz w:val="20"/>
                <w:szCs w:val="20"/>
              </w:rPr>
              <w:t>(D)</w:t>
            </w:r>
          </w:p>
        </w:tc>
        <w:tc>
          <w:tcPr>
            <w:tcW w:w="1056" w:type="dxa"/>
            <w:tcBorders>
              <w:top w:val="nil"/>
              <w:left w:val="nil"/>
              <w:bottom w:val="double" w:sz="6" w:space="0" w:color="auto"/>
              <w:right w:val="single" w:sz="4" w:space="0" w:color="auto"/>
            </w:tcBorders>
            <w:shd w:val="clear" w:color="auto" w:fill="auto"/>
            <w:tcMar>
              <w:top w:w="15" w:type="dxa"/>
              <w:left w:w="15" w:type="dxa"/>
              <w:bottom w:w="0" w:type="dxa"/>
              <w:right w:w="15" w:type="dxa"/>
            </w:tcMar>
            <w:hideMark/>
          </w:tcPr>
          <w:p w:rsidR="0029663D" w:rsidRDefault="0029663D" w:rsidP="00AE18EC">
            <w:pPr>
              <w:keepNext/>
              <w:widowControl/>
              <w:jc w:val="center"/>
              <w:rPr>
                <w:sz w:val="20"/>
                <w:szCs w:val="20"/>
              </w:rPr>
            </w:pPr>
            <w:r>
              <w:rPr>
                <w:sz w:val="20"/>
                <w:szCs w:val="20"/>
              </w:rPr>
              <w:t>(E) =(C)+(D)+1</w:t>
            </w:r>
          </w:p>
        </w:tc>
        <w:tc>
          <w:tcPr>
            <w:tcW w:w="888" w:type="dxa"/>
            <w:tcBorders>
              <w:top w:val="nil"/>
              <w:left w:val="nil"/>
              <w:bottom w:val="double" w:sz="6" w:space="0" w:color="auto"/>
              <w:right w:val="double" w:sz="6" w:space="0" w:color="auto"/>
            </w:tcBorders>
            <w:shd w:val="clear" w:color="auto" w:fill="auto"/>
            <w:tcMar>
              <w:top w:w="15" w:type="dxa"/>
              <w:left w:w="15" w:type="dxa"/>
              <w:bottom w:w="0" w:type="dxa"/>
              <w:right w:w="15" w:type="dxa"/>
            </w:tcMar>
            <w:hideMark/>
          </w:tcPr>
          <w:p w:rsidR="0029663D" w:rsidRDefault="0029663D" w:rsidP="00AE18EC">
            <w:pPr>
              <w:keepNext/>
              <w:widowControl/>
              <w:jc w:val="center"/>
              <w:rPr>
                <w:sz w:val="20"/>
                <w:szCs w:val="20"/>
              </w:rPr>
            </w:pPr>
            <w:r>
              <w:rPr>
                <w:sz w:val="20"/>
                <w:szCs w:val="20"/>
              </w:rPr>
              <w:t>(F) =(A)*(E)</w:t>
            </w:r>
          </w:p>
        </w:tc>
      </w:tr>
      <w:tr w:rsidR="0029663D" w:rsidTr="00AE18EC">
        <w:trPr>
          <w:trHeight w:val="1095"/>
        </w:trPr>
        <w:tc>
          <w:tcPr>
            <w:tcW w:w="1429" w:type="dxa"/>
            <w:tcBorders>
              <w:top w:val="nil"/>
              <w:left w:val="doub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b/>
                <w:bCs/>
                <w:sz w:val="20"/>
                <w:szCs w:val="20"/>
              </w:rPr>
            </w:pPr>
            <w:r>
              <w:rPr>
                <w:b/>
                <w:bCs/>
                <w:sz w:val="20"/>
                <w:szCs w:val="20"/>
              </w:rPr>
              <w:t>Managerial</w:t>
            </w:r>
          </w:p>
        </w:tc>
        <w:tc>
          <w:tcPr>
            <w:tcW w:w="21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9663D" w:rsidRDefault="0029663D" w:rsidP="00AE18EC">
            <w:pPr>
              <w:keepNext/>
              <w:widowControl/>
              <w:rPr>
                <w:sz w:val="20"/>
                <w:szCs w:val="20"/>
              </w:rPr>
            </w:pPr>
            <w:r>
              <w:rPr>
                <w:sz w:val="20"/>
                <w:szCs w:val="20"/>
              </w:rPr>
              <w:t>BLS</w:t>
            </w:r>
            <w:r>
              <w:rPr>
                <w:i/>
                <w:iCs/>
                <w:sz w:val="20"/>
                <w:szCs w:val="20"/>
              </w:rPr>
              <w:t xml:space="preserve"> ECEC</w:t>
            </w:r>
            <w:r>
              <w:rPr>
                <w:sz w:val="20"/>
                <w:szCs w:val="20"/>
              </w:rPr>
              <w:t xml:space="preserve">, Private </w:t>
            </w:r>
            <w:r>
              <w:rPr>
                <w:b/>
                <w:bCs/>
                <w:sz w:val="20"/>
                <w:szCs w:val="20"/>
              </w:rPr>
              <w:t>Manufacturing industries</w:t>
            </w:r>
            <w:r>
              <w:rPr>
                <w:i/>
                <w:iCs/>
                <w:sz w:val="20"/>
                <w:szCs w:val="20"/>
              </w:rPr>
              <w:t>,</w:t>
            </w:r>
            <w:r>
              <w:rPr>
                <w:sz w:val="20"/>
                <w:szCs w:val="20"/>
              </w:rPr>
              <w:t xml:space="preserve"> “Mgt, Business, and Financial”</w:t>
            </w:r>
          </w:p>
        </w:tc>
        <w:tc>
          <w:tcPr>
            <w:tcW w:w="7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Mar-11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 xml:space="preserve">$43.11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 xml:space="preserve">$20.51 </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47.58%</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17%</w:t>
            </w:r>
          </w:p>
        </w:tc>
        <w:tc>
          <w:tcPr>
            <w:tcW w:w="10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1.65</w:t>
            </w:r>
          </w:p>
        </w:tc>
        <w:tc>
          <w:tcPr>
            <w:tcW w:w="888" w:type="dxa"/>
            <w:tcBorders>
              <w:top w:val="nil"/>
              <w:left w:val="nil"/>
              <w:bottom w:val="single" w:sz="4" w:space="0" w:color="auto"/>
              <w:right w:val="double" w:sz="6"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$70.95</w:t>
            </w:r>
          </w:p>
        </w:tc>
      </w:tr>
      <w:tr w:rsidR="0029663D" w:rsidTr="00AE18EC">
        <w:trPr>
          <w:trHeight w:val="840"/>
        </w:trPr>
        <w:tc>
          <w:tcPr>
            <w:tcW w:w="1429" w:type="dxa"/>
            <w:tcBorders>
              <w:top w:val="nil"/>
              <w:left w:val="doub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b/>
                <w:bCs/>
                <w:sz w:val="20"/>
                <w:szCs w:val="20"/>
              </w:rPr>
            </w:pPr>
            <w:r>
              <w:rPr>
                <w:b/>
                <w:bCs/>
                <w:sz w:val="20"/>
                <w:szCs w:val="20"/>
              </w:rPr>
              <w:t>Professional/ Technical</w:t>
            </w:r>
          </w:p>
        </w:tc>
        <w:tc>
          <w:tcPr>
            <w:tcW w:w="21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9663D" w:rsidRDefault="0029663D" w:rsidP="00AE18EC">
            <w:pPr>
              <w:keepNext/>
              <w:widowControl/>
              <w:rPr>
                <w:sz w:val="20"/>
                <w:szCs w:val="20"/>
              </w:rPr>
            </w:pPr>
            <w:r>
              <w:rPr>
                <w:sz w:val="20"/>
                <w:szCs w:val="20"/>
              </w:rPr>
              <w:t>BLS</w:t>
            </w:r>
            <w:r>
              <w:rPr>
                <w:i/>
                <w:iCs/>
                <w:sz w:val="20"/>
                <w:szCs w:val="20"/>
              </w:rPr>
              <w:t xml:space="preserve"> ECEC</w:t>
            </w:r>
            <w:r>
              <w:rPr>
                <w:sz w:val="20"/>
                <w:szCs w:val="20"/>
              </w:rPr>
              <w:t xml:space="preserve">, Private </w:t>
            </w:r>
            <w:r>
              <w:rPr>
                <w:b/>
                <w:bCs/>
                <w:sz w:val="20"/>
                <w:szCs w:val="20"/>
              </w:rPr>
              <w:t>Manufacturing industries</w:t>
            </w:r>
            <w:r>
              <w:rPr>
                <w:sz w:val="20"/>
                <w:szCs w:val="20"/>
              </w:rPr>
              <w:t>, “Professional and related“</w:t>
            </w:r>
          </w:p>
        </w:tc>
        <w:tc>
          <w:tcPr>
            <w:tcW w:w="7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Mar-11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 xml:space="preserve">$37.31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 xml:space="preserve">$16.77 </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44.95%</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17%</w:t>
            </w:r>
          </w:p>
        </w:tc>
        <w:tc>
          <w:tcPr>
            <w:tcW w:w="10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1.62</w:t>
            </w:r>
          </w:p>
        </w:tc>
        <w:tc>
          <w:tcPr>
            <w:tcW w:w="888" w:type="dxa"/>
            <w:tcBorders>
              <w:top w:val="nil"/>
              <w:left w:val="nil"/>
              <w:bottom w:val="single" w:sz="4" w:space="0" w:color="auto"/>
              <w:right w:val="double" w:sz="6"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$60.42</w:t>
            </w:r>
          </w:p>
        </w:tc>
      </w:tr>
      <w:tr w:rsidR="0029663D" w:rsidTr="00AE18EC">
        <w:trPr>
          <w:trHeight w:val="1095"/>
        </w:trPr>
        <w:tc>
          <w:tcPr>
            <w:tcW w:w="1429" w:type="dxa"/>
            <w:tcBorders>
              <w:top w:val="nil"/>
              <w:left w:val="double" w:sz="6"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b/>
                <w:bCs/>
                <w:sz w:val="20"/>
                <w:szCs w:val="20"/>
              </w:rPr>
            </w:pPr>
            <w:r>
              <w:rPr>
                <w:b/>
                <w:bCs/>
                <w:sz w:val="20"/>
                <w:szCs w:val="20"/>
              </w:rPr>
              <w:t>Clerical</w:t>
            </w:r>
          </w:p>
        </w:tc>
        <w:tc>
          <w:tcPr>
            <w:tcW w:w="21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29663D" w:rsidRDefault="0029663D" w:rsidP="00AE18EC">
            <w:pPr>
              <w:keepNext/>
              <w:widowControl/>
              <w:rPr>
                <w:sz w:val="20"/>
                <w:szCs w:val="20"/>
              </w:rPr>
            </w:pPr>
            <w:r>
              <w:rPr>
                <w:sz w:val="20"/>
                <w:szCs w:val="20"/>
              </w:rPr>
              <w:t>BLS</w:t>
            </w:r>
            <w:r>
              <w:rPr>
                <w:i/>
                <w:iCs/>
                <w:sz w:val="20"/>
                <w:szCs w:val="20"/>
              </w:rPr>
              <w:t xml:space="preserve"> ECEC</w:t>
            </w:r>
            <w:r>
              <w:rPr>
                <w:sz w:val="20"/>
                <w:szCs w:val="20"/>
              </w:rPr>
              <w:t xml:space="preserve">, Private </w:t>
            </w:r>
            <w:r>
              <w:rPr>
                <w:b/>
                <w:bCs/>
                <w:sz w:val="20"/>
                <w:szCs w:val="20"/>
              </w:rPr>
              <w:t>Manufacturing industries,</w:t>
            </w:r>
            <w:r>
              <w:rPr>
                <w:sz w:val="20"/>
                <w:szCs w:val="20"/>
              </w:rPr>
              <w:t xml:space="preserve"> “Office and Administrative Support”</w:t>
            </w:r>
          </w:p>
        </w:tc>
        <w:tc>
          <w:tcPr>
            <w:tcW w:w="7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Mar-11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 xml:space="preserve">$17.61 </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 xml:space="preserve">$10.85 </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61.61%</w:t>
            </w:r>
          </w:p>
        </w:tc>
        <w:tc>
          <w:tcPr>
            <w:tcW w:w="99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17%</w:t>
            </w:r>
          </w:p>
        </w:tc>
        <w:tc>
          <w:tcPr>
            <w:tcW w:w="10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1.79</w:t>
            </w:r>
          </w:p>
        </w:tc>
        <w:tc>
          <w:tcPr>
            <w:tcW w:w="888" w:type="dxa"/>
            <w:tcBorders>
              <w:top w:val="nil"/>
              <w:left w:val="nil"/>
              <w:bottom w:val="single" w:sz="4" w:space="0" w:color="auto"/>
              <w:right w:val="double" w:sz="6" w:space="0" w:color="auto"/>
            </w:tcBorders>
            <w:shd w:val="clear" w:color="auto" w:fill="auto"/>
            <w:tcMar>
              <w:top w:w="15" w:type="dxa"/>
              <w:left w:w="15" w:type="dxa"/>
              <w:bottom w:w="0" w:type="dxa"/>
              <w:right w:w="15" w:type="dxa"/>
            </w:tcMar>
            <w:vAlign w:val="center"/>
            <w:hideMark/>
          </w:tcPr>
          <w:p w:rsidR="0029663D" w:rsidRDefault="0029663D" w:rsidP="00AE18EC">
            <w:pPr>
              <w:keepNext/>
              <w:widowControl/>
              <w:jc w:val="center"/>
              <w:rPr>
                <w:sz w:val="20"/>
                <w:szCs w:val="20"/>
              </w:rPr>
            </w:pPr>
            <w:r>
              <w:rPr>
                <w:sz w:val="20"/>
                <w:szCs w:val="20"/>
              </w:rPr>
              <w:t>$31.45</w:t>
            </w:r>
          </w:p>
        </w:tc>
      </w:tr>
      <w:tr w:rsidR="0029663D" w:rsidTr="00AE18EC">
        <w:trPr>
          <w:trHeight w:val="240"/>
        </w:trPr>
        <w:tc>
          <w:tcPr>
            <w:tcW w:w="9864" w:type="dxa"/>
            <w:gridSpan w:val="9"/>
            <w:tcBorders>
              <w:top w:val="single" w:sz="4" w:space="0" w:color="auto"/>
              <w:left w:val="double" w:sz="6" w:space="0" w:color="auto"/>
              <w:bottom w:val="nil"/>
              <w:right w:val="double" w:sz="6" w:space="0" w:color="000000"/>
            </w:tcBorders>
            <w:shd w:val="clear" w:color="auto" w:fill="auto"/>
            <w:tcMar>
              <w:top w:w="15" w:type="dxa"/>
              <w:left w:w="15" w:type="dxa"/>
              <w:bottom w:w="0" w:type="dxa"/>
              <w:right w:w="15" w:type="dxa"/>
            </w:tcMar>
            <w:vAlign w:val="bottom"/>
            <w:hideMark/>
          </w:tcPr>
          <w:p w:rsidR="0029663D" w:rsidRDefault="0029663D" w:rsidP="00AE18EC">
            <w:pPr>
              <w:keepNext/>
              <w:widowControl/>
              <w:rPr>
                <w:b/>
                <w:bCs/>
                <w:sz w:val="18"/>
                <w:szCs w:val="18"/>
              </w:rPr>
            </w:pPr>
            <w:r>
              <w:rPr>
                <w:b/>
                <w:bCs/>
                <w:sz w:val="18"/>
                <w:szCs w:val="18"/>
              </w:rPr>
              <w:t>Notes:</w:t>
            </w:r>
          </w:p>
        </w:tc>
      </w:tr>
      <w:tr w:rsidR="0029663D" w:rsidTr="00AE18EC">
        <w:trPr>
          <w:trHeight w:val="525"/>
        </w:trPr>
        <w:tc>
          <w:tcPr>
            <w:tcW w:w="9864" w:type="dxa"/>
            <w:gridSpan w:val="9"/>
            <w:tcBorders>
              <w:top w:val="nil"/>
              <w:left w:val="double" w:sz="6" w:space="0" w:color="auto"/>
              <w:bottom w:val="nil"/>
              <w:right w:val="double" w:sz="6" w:space="0" w:color="000000"/>
            </w:tcBorders>
            <w:shd w:val="clear" w:color="auto" w:fill="auto"/>
            <w:tcMar>
              <w:top w:w="15" w:type="dxa"/>
              <w:left w:w="15" w:type="dxa"/>
              <w:bottom w:w="0" w:type="dxa"/>
              <w:right w:w="15" w:type="dxa"/>
            </w:tcMar>
            <w:vAlign w:val="bottom"/>
            <w:hideMark/>
          </w:tcPr>
          <w:p w:rsidR="0029663D" w:rsidRDefault="0029663D" w:rsidP="00AE18EC">
            <w:pPr>
              <w:keepNext/>
              <w:widowControl/>
              <w:rPr>
                <w:sz w:val="18"/>
                <w:szCs w:val="18"/>
              </w:rPr>
            </w:pPr>
            <w:proofErr w:type="gramStart"/>
            <w:r>
              <w:rPr>
                <w:sz w:val="18"/>
                <w:szCs w:val="18"/>
                <w:vertAlign w:val="superscript"/>
              </w:rPr>
              <w:t>a</w:t>
            </w:r>
            <w:proofErr w:type="gramEnd"/>
            <w:r>
              <w:rPr>
                <w:sz w:val="18"/>
                <w:szCs w:val="18"/>
                <w:vertAlign w:val="superscript"/>
              </w:rPr>
              <w:t xml:space="preserve"> </w:t>
            </w:r>
            <w:r>
              <w:rPr>
                <w:sz w:val="18"/>
                <w:szCs w:val="18"/>
              </w:rPr>
              <w:t>Wage data are rounded to the closest dollar figure in this table; however, in calculations using these numbers for this report, unrounded values were used.</w:t>
            </w:r>
          </w:p>
        </w:tc>
      </w:tr>
      <w:tr w:rsidR="0029663D" w:rsidTr="00AE18EC">
        <w:trPr>
          <w:trHeight w:val="555"/>
        </w:trPr>
        <w:tc>
          <w:tcPr>
            <w:tcW w:w="9864" w:type="dxa"/>
            <w:gridSpan w:val="9"/>
            <w:tcBorders>
              <w:top w:val="nil"/>
              <w:left w:val="double" w:sz="6" w:space="0" w:color="auto"/>
              <w:bottom w:val="nil"/>
              <w:right w:val="double" w:sz="6" w:space="0" w:color="000000"/>
            </w:tcBorders>
            <w:shd w:val="clear" w:color="auto" w:fill="auto"/>
            <w:tcMar>
              <w:top w:w="15" w:type="dxa"/>
              <w:left w:w="15" w:type="dxa"/>
              <w:bottom w:w="0" w:type="dxa"/>
              <w:right w:w="15" w:type="dxa"/>
            </w:tcMar>
            <w:vAlign w:val="bottom"/>
            <w:hideMark/>
          </w:tcPr>
          <w:p w:rsidR="0029663D" w:rsidRDefault="0029663D" w:rsidP="00AE18EC">
            <w:pPr>
              <w:keepNext/>
              <w:widowControl/>
              <w:rPr>
                <w:sz w:val="18"/>
                <w:szCs w:val="18"/>
              </w:rPr>
            </w:pPr>
            <w:r>
              <w:rPr>
                <w:sz w:val="18"/>
                <w:szCs w:val="18"/>
                <w:vertAlign w:val="superscript"/>
              </w:rPr>
              <w:t xml:space="preserve">b </w:t>
            </w:r>
            <w:r>
              <w:rPr>
                <w:sz w:val="18"/>
                <w:szCs w:val="18"/>
              </w:rPr>
              <w:t xml:space="preserve">An overhead rate of 17% was used based on assumptions in </w:t>
            </w:r>
            <w:r>
              <w:rPr>
                <w:i/>
                <w:iCs/>
                <w:sz w:val="18"/>
                <w:szCs w:val="18"/>
              </w:rPr>
              <w:t xml:space="preserve">Wage Rates for Economic Analyses of the Toxics Release Inventory Program </w:t>
            </w:r>
            <w:r>
              <w:rPr>
                <w:sz w:val="18"/>
                <w:szCs w:val="18"/>
              </w:rPr>
              <w:t xml:space="preserve">(Rice, 2002), and the </w:t>
            </w:r>
            <w:r>
              <w:rPr>
                <w:i/>
                <w:iCs/>
                <w:sz w:val="18"/>
                <w:szCs w:val="18"/>
              </w:rPr>
              <w:t xml:space="preserve">Revised Economic Analysis for the Amended Inventory Update Rule: Final Report </w:t>
            </w:r>
            <w:r>
              <w:rPr>
                <w:sz w:val="18"/>
                <w:szCs w:val="18"/>
              </w:rPr>
              <w:t>(EPAB, 2002).</w:t>
            </w:r>
          </w:p>
        </w:tc>
      </w:tr>
      <w:tr w:rsidR="0029663D" w:rsidTr="00AE18EC">
        <w:trPr>
          <w:trHeight w:val="285"/>
        </w:trPr>
        <w:tc>
          <w:tcPr>
            <w:tcW w:w="9864" w:type="dxa"/>
            <w:gridSpan w:val="9"/>
            <w:tcBorders>
              <w:top w:val="nil"/>
              <w:left w:val="double" w:sz="6" w:space="0" w:color="auto"/>
              <w:bottom w:val="nil"/>
              <w:right w:val="double" w:sz="6" w:space="0" w:color="000000"/>
            </w:tcBorders>
            <w:shd w:val="clear" w:color="auto" w:fill="auto"/>
            <w:tcMar>
              <w:top w:w="15" w:type="dxa"/>
              <w:left w:w="15" w:type="dxa"/>
              <w:bottom w:w="0" w:type="dxa"/>
              <w:right w:w="15" w:type="dxa"/>
            </w:tcMar>
            <w:vAlign w:val="bottom"/>
            <w:hideMark/>
          </w:tcPr>
          <w:p w:rsidR="0029663D" w:rsidRDefault="0029663D" w:rsidP="00AE18EC">
            <w:pPr>
              <w:keepNext/>
              <w:widowControl/>
              <w:rPr>
                <w:sz w:val="18"/>
                <w:szCs w:val="18"/>
              </w:rPr>
            </w:pPr>
            <w:proofErr w:type="gramStart"/>
            <w:r>
              <w:rPr>
                <w:sz w:val="18"/>
                <w:szCs w:val="18"/>
                <w:vertAlign w:val="superscript"/>
              </w:rPr>
              <w:t>c</w:t>
            </w:r>
            <w:proofErr w:type="gramEnd"/>
            <w:r>
              <w:rPr>
                <w:sz w:val="18"/>
                <w:szCs w:val="18"/>
                <w:vertAlign w:val="superscript"/>
              </w:rPr>
              <w:t xml:space="preserve"> </w:t>
            </w:r>
            <w:r>
              <w:rPr>
                <w:sz w:val="18"/>
                <w:szCs w:val="18"/>
              </w:rPr>
              <w:t>An inflation factor of “1” means wage data were not escalated to reflect inflation.</w:t>
            </w:r>
          </w:p>
        </w:tc>
      </w:tr>
      <w:tr w:rsidR="0029663D" w:rsidTr="00AE18EC">
        <w:trPr>
          <w:trHeight w:val="480"/>
        </w:trPr>
        <w:tc>
          <w:tcPr>
            <w:tcW w:w="9864" w:type="dxa"/>
            <w:gridSpan w:val="9"/>
            <w:tcBorders>
              <w:top w:val="nil"/>
              <w:left w:val="double" w:sz="6" w:space="0" w:color="auto"/>
              <w:bottom w:val="double" w:sz="6" w:space="0" w:color="000000"/>
              <w:right w:val="double" w:sz="6" w:space="0" w:color="000000"/>
            </w:tcBorders>
            <w:shd w:val="clear" w:color="auto" w:fill="auto"/>
            <w:tcMar>
              <w:top w:w="15" w:type="dxa"/>
              <w:left w:w="15" w:type="dxa"/>
              <w:bottom w:w="0" w:type="dxa"/>
              <w:right w:w="15" w:type="dxa"/>
            </w:tcMar>
            <w:vAlign w:val="bottom"/>
            <w:hideMark/>
          </w:tcPr>
          <w:p w:rsidR="0029663D" w:rsidRDefault="0029663D" w:rsidP="00AE18EC">
            <w:pPr>
              <w:keepNext/>
              <w:widowControl/>
              <w:autoSpaceDE/>
              <w:autoSpaceDN/>
              <w:adjustRightInd/>
              <w:rPr>
                <w:sz w:val="18"/>
                <w:szCs w:val="18"/>
              </w:rPr>
            </w:pPr>
            <w:proofErr w:type="gramStart"/>
            <w:r w:rsidRPr="0007470B">
              <w:rPr>
                <w:sz w:val="18"/>
                <w:szCs w:val="18"/>
                <w:vertAlign w:val="superscript"/>
              </w:rPr>
              <w:t>d</w:t>
            </w:r>
            <w:proofErr w:type="gramEnd"/>
            <w:r w:rsidRPr="0007470B">
              <w:rPr>
                <w:sz w:val="18"/>
                <w:szCs w:val="18"/>
                <w:vertAlign w:val="superscript"/>
              </w:rPr>
              <w:t xml:space="preserve"> </w:t>
            </w:r>
            <w:r w:rsidRPr="0007470B">
              <w:rPr>
                <w:sz w:val="18"/>
                <w:szCs w:val="18"/>
              </w:rPr>
              <w:t xml:space="preserve">Source: </w:t>
            </w:r>
            <w:r w:rsidRPr="0007470B">
              <w:rPr>
                <w:i/>
                <w:iCs/>
                <w:sz w:val="18"/>
                <w:szCs w:val="18"/>
              </w:rPr>
              <w:t xml:space="preserve">Employer Costs for Employee Compensation Supplementary Tables: December 2006-Mach 2011, </w:t>
            </w:r>
            <w:r w:rsidRPr="0007470B">
              <w:rPr>
                <w:sz w:val="18"/>
                <w:szCs w:val="18"/>
              </w:rPr>
              <w:t>US Bureau of Labor Statistics, June 8, 2011 (pp 17,18,20) (http://www.bls.gov/ncs/ect/sp/ecsuphst.pdf, accessed July 13, 2011).</w:t>
            </w:r>
          </w:p>
        </w:tc>
      </w:tr>
    </w:tbl>
    <w:p w:rsidR="0029663D" w:rsidRDefault="0029663D" w:rsidP="0029663D">
      <w:pPr>
        <w:numPr>
          <w:ilvl w:val="12"/>
          <w:numId w:val="0"/>
        </w:numPr>
        <w:rPr>
          <w:u w:val="single"/>
        </w:rPr>
      </w:pPr>
    </w:p>
    <w:p w:rsidR="0029663D" w:rsidRDefault="0029663D" w:rsidP="0029663D">
      <w:pPr>
        <w:numPr>
          <w:ilvl w:val="12"/>
          <w:numId w:val="0"/>
        </w:numPr>
      </w:pPr>
      <w:r>
        <w:rPr>
          <w:u w:val="single"/>
        </w:rPr>
        <w:t>Unit Burden Hours and Costs</w:t>
      </w:r>
    </w:p>
    <w:p w:rsidR="0029663D" w:rsidRDefault="0029663D" w:rsidP="0029663D">
      <w:pPr>
        <w:numPr>
          <w:ilvl w:val="12"/>
          <w:numId w:val="0"/>
        </w:numPr>
      </w:pPr>
    </w:p>
    <w:p w:rsidR="0029663D" w:rsidRDefault="0029663D" w:rsidP="0029663D">
      <w:pPr>
        <w:numPr>
          <w:ilvl w:val="12"/>
          <w:numId w:val="0"/>
        </w:numPr>
        <w:ind w:firstLine="720"/>
      </w:pPr>
      <w:r>
        <w:t>Unit costs for each of the burdens associated with the TSCA section 8(c) requirements are calculated in this section and summarized in Table 4 using the wage rates referred to above.</w:t>
      </w:r>
    </w:p>
    <w:p w:rsidR="004B7006" w:rsidRDefault="004B7006" w:rsidP="0029663D">
      <w:pPr>
        <w:numPr>
          <w:ilvl w:val="12"/>
          <w:numId w:val="0"/>
        </w:numPr>
        <w:ind w:firstLine="720"/>
      </w:pPr>
    </w:p>
    <w:p w:rsidR="0029663D" w:rsidRDefault="0029663D" w:rsidP="0029663D">
      <w:pPr>
        <w:numPr>
          <w:ilvl w:val="12"/>
          <w:numId w:val="0"/>
        </w:numPr>
      </w:pPr>
      <w:r>
        <w:rPr>
          <w:i/>
          <w:iCs/>
        </w:rPr>
        <w:t>i. Unit Recordkeeping Burden and Cost</w:t>
      </w:r>
      <w:r>
        <w:t xml:space="preserve"> </w:t>
      </w:r>
    </w:p>
    <w:p w:rsidR="0029663D" w:rsidRDefault="0029663D" w:rsidP="0029663D">
      <w:pPr>
        <w:numPr>
          <w:ilvl w:val="12"/>
          <w:numId w:val="0"/>
        </w:numPr>
      </w:pPr>
    </w:p>
    <w:p w:rsidR="0029663D" w:rsidRDefault="0029663D" w:rsidP="0029663D">
      <w:pPr>
        <w:numPr>
          <w:ilvl w:val="12"/>
          <w:numId w:val="0"/>
        </w:numPr>
      </w:pPr>
      <w:r>
        <w:tab/>
      </w:r>
      <w:proofErr w:type="gramStart"/>
      <w:r>
        <w:t>Based on the original TSCA section 8(c) analysis, EPA estimates that a firm’s TSCA section 8(c) coordinator will spend 2 to 3 hours to determine the status of an allegation.</w:t>
      </w:r>
      <w:proofErr w:type="gramEnd"/>
      <w:r>
        <w:rPr>
          <w:rStyle w:val="FootnoteReference"/>
        </w:rPr>
        <w:footnoteReference w:id="8"/>
      </w:r>
      <w:r>
        <w:t xml:space="preserve"> For the purposes of this analysis, it is assumed that 3 hours are needed.  This level of effort will occur for all allegations received.  If the allegation is found to be recordable, the coordinator completes a form, has it typed, and checks it for accuracy.  This requires 0.5 hours of clerical time and an additional 0.5 hours of managerial time.  Assuming that all allegations are recordable, a total of 4 hours are expended per allegation (3.5 hours managerial plus 0.5 hours clerical).  Storage costs for the allegations are believed to be negligible. The unit cost per allegation is $264.05. </w:t>
      </w:r>
    </w:p>
    <w:p w:rsidR="0029663D" w:rsidRDefault="0029663D" w:rsidP="0029663D">
      <w:pPr>
        <w:numPr>
          <w:ilvl w:val="12"/>
          <w:numId w:val="0"/>
        </w:numPr>
      </w:pPr>
    </w:p>
    <w:p w:rsidR="0029663D" w:rsidRDefault="0029663D" w:rsidP="00426B31">
      <w:pPr>
        <w:keepNext/>
        <w:widowControl/>
        <w:numPr>
          <w:ilvl w:val="12"/>
          <w:numId w:val="0"/>
        </w:numPr>
      </w:pPr>
      <w:r>
        <w:tab/>
      </w:r>
      <w:r>
        <w:rPr>
          <w:i/>
          <w:iCs/>
        </w:rPr>
        <w:t>ii. Unit Reporting Burden and Cost</w:t>
      </w:r>
    </w:p>
    <w:p w:rsidR="0029663D" w:rsidRDefault="0029663D" w:rsidP="00426B31">
      <w:pPr>
        <w:keepNext/>
        <w:widowControl/>
        <w:numPr>
          <w:ilvl w:val="12"/>
          <w:numId w:val="0"/>
        </w:numPr>
      </w:pPr>
    </w:p>
    <w:p w:rsidR="0029663D" w:rsidRDefault="0029663D" w:rsidP="00426B31">
      <w:pPr>
        <w:keepNext/>
        <w:widowControl/>
        <w:numPr>
          <w:ilvl w:val="12"/>
          <w:numId w:val="0"/>
        </w:numPr>
      </w:pPr>
      <w:r>
        <w:tab/>
        <w:t xml:space="preserve">Based on the original TSCA section 8(c) analysis, EPA estimates that a management level company official will spend one hour reviewing the </w:t>
      </w:r>
      <w:r>
        <w:rPr>
          <w:u w:val="single"/>
        </w:rPr>
        <w:t>Federal Register</w:t>
      </w:r>
      <w:r>
        <w:t xml:space="preserve"> notice or letter from EPA to determine whether the company manufactures (including imports) or processes substances subject to the reporting requirement.</w:t>
      </w:r>
    </w:p>
    <w:p w:rsidR="0029663D" w:rsidRDefault="0029663D" w:rsidP="0029663D">
      <w:pPr>
        <w:numPr>
          <w:ilvl w:val="12"/>
          <w:numId w:val="0"/>
        </w:numPr>
      </w:pPr>
    </w:p>
    <w:p w:rsidR="0029663D" w:rsidRDefault="0029663D" w:rsidP="0029663D">
      <w:pPr>
        <w:numPr>
          <w:ilvl w:val="12"/>
          <w:numId w:val="0"/>
        </w:numPr>
      </w:pPr>
      <w:r>
        <w:tab/>
        <w:t>Technical personnel would then spend an estimated two hours conducting a search of the company’s TSCA section 8(c) files for any relevant allegation records.  Once the file search is complete, EPA estimates that a managerial employee would spend two hours preparing a transmittal letter and other explanatory material to accompany the allegation records.  An upper-level management official would spend an additional two hours reviewing these materials.  One hour of clerical labor would be required to prepare and mail the response.  A total of eight hours is expended per report (five managerial hours, two technical hours and one clerical hour). The unit cost for reporting, per report, is $507.04.</w:t>
      </w:r>
    </w:p>
    <w:p w:rsidR="0029663D" w:rsidRDefault="0029663D" w:rsidP="0029663D">
      <w:pPr>
        <w:numPr>
          <w:ilvl w:val="12"/>
          <w:numId w:val="0"/>
        </w:numPr>
        <w:rPr>
          <w:u w:val="single"/>
        </w:rPr>
      </w:pPr>
    </w:p>
    <w:p w:rsidR="0029663D" w:rsidRDefault="0029663D" w:rsidP="0029663D">
      <w:pPr>
        <w:numPr>
          <w:ilvl w:val="12"/>
          <w:numId w:val="0"/>
        </w:numPr>
      </w:pPr>
      <w:r>
        <w:tab/>
      </w:r>
      <w:r>
        <w:rPr>
          <w:i/>
          <w:iCs/>
        </w:rPr>
        <w:t xml:space="preserve">iii. Unit </w:t>
      </w:r>
      <w:r w:rsidRPr="008358D7">
        <w:rPr>
          <w:i/>
          <w:iCs/>
          <w:u w:val="single"/>
        </w:rPr>
        <w:t>Federal Register</w:t>
      </w:r>
      <w:r>
        <w:rPr>
          <w:i/>
          <w:iCs/>
        </w:rPr>
        <w:t xml:space="preserve"> Notice Review Burden and Cost</w:t>
      </w:r>
    </w:p>
    <w:p w:rsidR="0029663D" w:rsidRDefault="0029663D" w:rsidP="0029663D">
      <w:pPr>
        <w:numPr>
          <w:ilvl w:val="12"/>
          <w:numId w:val="0"/>
        </w:numPr>
      </w:pPr>
    </w:p>
    <w:p w:rsidR="0029663D" w:rsidRDefault="0029663D" w:rsidP="0029663D">
      <w:pPr>
        <w:numPr>
          <w:ilvl w:val="12"/>
          <w:numId w:val="0"/>
        </w:numPr>
      </w:pPr>
      <w:r>
        <w:tab/>
        <w:t xml:space="preserve">Based on the original TSCA section 8(c) analysis, EPA estimates that 0.25 hour of managerial labor would be required to review each </w:t>
      </w:r>
      <w:r>
        <w:rPr>
          <w:u w:val="single"/>
        </w:rPr>
        <w:t>Federal Register</w:t>
      </w:r>
      <w:r w:rsidR="00254D74">
        <w:t xml:space="preserve"> notice (see Table 4).  </w:t>
      </w:r>
      <w:r>
        <w:t xml:space="preserve">The unit cost for </w:t>
      </w:r>
      <w:r w:rsidRPr="00313D9B">
        <w:rPr>
          <w:u w:val="single"/>
        </w:rPr>
        <w:t>Federal Register</w:t>
      </w:r>
      <w:r>
        <w:t xml:space="preserve"> notice review is $17.74.</w:t>
      </w:r>
    </w:p>
    <w:p w:rsidR="0029663D" w:rsidRDefault="0029663D" w:rsidP="0029663D">
      <w:pPr>
        <w:numPr>
          <w:ilvl w:val="12"/>
          <w:numId w:val="0"/>
        </w:numPr>
      </w:pPr>
    </w:p>
    <w:p w:rsidR="0029663D" w:rsidRDefault="0029663D" w:rsidP="0029663D">
      <w:pPr>
        <w:numPr>
          <w:ilvl w:val="12"/>
          <w:numId w:val="0"/>
        </w:numPr>
      </w:pPr>
      <w:proofErr w:type="gramStart"/>
      <w:r>
        <w:rPr>
          <w:b/>
          <w:bCs/>
        </w:rPr>
        <w:t>Table 4.</w:t>
      </w:r>
      <w:proofErr w:type="gramEnd"/>
      <w:r>
        <w:rPr>
          <w:b/>
          <w:bCs/>
        </w:rPr>
        <w:t xml:space="preserve">  Unit Respondent Burden and Cost Estimates</w:t>
      </w:r>
    </w:p>
    <w:tbl>
      <w:tblPr>
        <w:tblW w:w="0" w:type="auto"/>
        <w:tblInd w:w="62" w:type="dxa"/>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62" w:type="dxa"/>
          <w:right w:w="62" w:type="dxa"/>
        </w:tblCellMar>
        <w:tblLook w:val="0000"/>
      </w:tblPr>
      <w:tblGrid>
        <w:gridCol w:w="3060"/>
        <w:gridCol w:w="1260"/>
        <w:gridCol w:w="1260"/>
        <w:gridCol w:w="1260"/>
        <w:gridCol w:w="1260"/>
        <w:gridCol w:w="1260"/>
      </w:tblGrid>
      <w:tr w:rsidR="0029663D" w:rsidTr="00AE18EC">
        <w:tc>
          <w:tcPr>
            <w:tcW w:w="3060" w:type="dxa"/>
          </w:tcPr>
          <w:p w:rsidR="0029663D" w:rsidRPr="00426B31" w:rsidRDefault="0029663D" w:rsidP="00AE18EC">
            <w:pPr>
              <w:keepNext/>
              <w:keepLines/>
              <w:numPr>
                <w:ilvl w:val="12"/>
                <w:numId w:val="0"/>
              </w:numPr>
              <w:spacing w:before="92"/>
              <w:jc w:val="center"/>
              <w:rPr>
                <w:b/>
                <w:bCs/>
                <w:sz w:val="20"/>
                <w:szCs w:val="20"/>
              </w:rPr>
            </w:pPr>
            <w:r w:rsidRPr="00426B31">
              <w:rPr>
                <w:b/>
                <w:bCs/>
                <w:sz w:val="20"/>
                <w:szCs w:val="20"/>
              </w:rPr>
              <w:t>Activity</w:t>
            </w:r>
          </w:p>
          <w:p w:rsidR="0029663D" w:rsidRPr="00426B31" w:rsidRDefault="0029663D" w:rsidP="00AE18EC">
            <w:pPr>
              <w:keepNext/>
              <w:numPr>
                <w:ilvl w:val="12"/>
                <w:numId w:val="0"/>
              </w:numPr>
              <w:spacing w:after="45"/>
              <w:jc w:val="center"/>
              <w:rPr>
                <w:sz w:val="20"/>
                <w:szCs w:val="20"/>
              </w:rPr>
            </w:pPr>
          </w:p>
        </w:tc>
        <w:tc>
          <w:tcPr>
            <w:tcW w:w="1260" w:type="dxa"/>
          </w:tcPr>
          <w:p w:rsidR="0029663D" w:rsidRPr="00426B31" w:rsidRDefault="0029663D" w:rsidP="00AE18EC">
            <w:pPr>
              <w:keepNext/>
              <w:numPr>
                <w:ilvl w:val="12"/>
                <w:numId w:val="0"/>
              </w:numPr>
              <w:spacing w:before="92"/>
              <w:jc w:val="center"/>
              <w:rPr>
                <w:b/>
                <w:bCs/>
                <w:sz w:val="20"/>
                <w:szCs w:val="20"/>
              </w:rPr>
            </w:pPr>
            <w:r w:rsidRPr="00426B31">
              <w:rPr>
                <w:b/>
                <w:bCs/>
                <w:sz w:val="20"/>
                <w:szCs w:val="20"/>
              </w:rPr>
              <w:t>Clerical</w:t>
            </w:r>
          </w:p>
          <w:p w:rsidR="0029663D" w:rsidRPr="00426B31" w:rsidRDefault="0029663D" w:rsidP="00AE18EC">
            <w:pPr>
              <w:keepNext/>
              <w:numPr>
                <w:ilvl w:val="12"/>
                <w:numId w:val="0"/>
              </w:numPr>
              <w:spacing w:after="45"/>
              <w:jc w:val="center"/>
              <w:rPr>
                <w:sz w:val="20"/>
                <w:szCs w:val="20"/>
              </w:rPr>
            </w:pPr>
            <w:r w:rsidRPr="00426B31">
              <w:rPr>
                <w:b/>
                <w:bCs/>
                <w:sz w:val="20"/>
                <w:szCs w:val="20"/>
              </w:rPr>
              <w:t>Hours</w:t>
            </w:r>
          </w:p>
        </w:tc>
        <w:tc>
          <w:tcPr>
            <w:tcW w:w="1260" w:type="dxa"/>
          </w:tcPr>
          <w:p w:rsidR="0029663D" w:rsidRPr="00426B31" w:rsidRDefault="0029663D" w:rsidP="00AE18EC">
            <w:pPr>
              <w:keepNext/>
              <w:numPr>
                <w:ilvl w:val="12"/>
                <w:numId w:val="0"/>
              </w:numPr>
              <w:spacing w:before="92"/>
              <w:jc w:val="center"/>
              <w:rPr>
                <w:b/>
                <w:bCs/>
                <w:sz w:val="20"/>
                <w:szCs w:val="20"/>
              </w:rPr>
            </w:pPr>
            <w:r w:rsidRPr="00426B31">
              <w:rPr>
                <w:b/>
                <w:bCs/>
                <w:sz w:val="20"/>
                <w:szCs w:val="20"/>
              </w:rPr>
              <w:t>Technical</w:t>
            </w:r>
          </w:p>
          <w:p w:rsidR="0029663D" w:rsidRPr="00426B31" w:rsidRDefault="0029663D" w:rsidP="00AE18EC">
            <w:pPr>
              <w:keepNext/>
              <w:numPr>
                <w:ilvl w:val="12"/>
                <w:numId w:val="0"/>
              </w:numPr>
              <w:spacing w:after="45"/>
              <w:jc w:val="center"/>
              <w:rPr>
                <w:sz w:val="20"/>
                <w:szCs w:val="20"/>
              </w:rPr>
            </w:pPr>
            <w:r w:rsidRPr="00426B31">
              <w:rPr>
                <w:b/>
                <w:bCs/>
                <w:sz w:val="20"/>
                <w:szCs w:val="20"/>
              </w:rPr>
              <w:t>Hours</w:t>
            </w:r>
          </w:p>
        </w:tc>
        <w:tc>
          <w:tcPr>
            <w:tcW w:w="1260" w:type="dxa"/>
          </w:tcPr>
          <w:p w:rsidR="0029663D" w:rsidRPr="00426B31" w:rsidRDefault="0029663D" w:rsidP="00AE18EC">
            <w:pPr>
              <w:keepNext/>
              <w:numPr>
                <w:ilvl w:val="12"/>
                <w:numId w:val="0"/>
              </w:numPr>
              <w:spacing w:before="92" w:after="45"/>
              <w:jc w:val="center"/>
              <w:rPr>
                <w:sz w:val="20"/>
                <w:szCs w:val="20"/>
              </w:rPr>
            </w:pPr>
            <w:r w:rsidRPr="00426B31">
              <w:rPr>
                <w:b/>
                <w:bCs/>
                <w:sz w:val="20"/>
                <w:szCs w:val="20"/>
              </w:rPr>
              <w:t>Manager Hours</w:t>
            </w:r>
          </w:p>
        </w:tc>
        <w:tc>
          <w:tcPr>
            <w:tcW w:w="1260" w:type="dxa"/>
          </w:tcPr>
          <w:p w:rsidR="0029663D" w:rsidRPr="00426B31" w:rsidRDefault="0029663D" w:rsidP="00AE18EC">
            <w:pPr>
              <w:keepNext/>
              <w:numPr>
                <w:ilvl w:val="12"/>
                <w:numId w:val="0"/>
              </w:numPr>
              <w:spacing w:before="92"/>
              <w:jc w:val="center"/>
              <w:rPr>
                <w:b/>
                <w:bCs/>
                <w:sz w:val="20"/>
                <w:szCs w:val="20"/>
              </w:rPr>
            </w:pPr>
            <w:r w:rsidRPr="00426B31">
              <w:rPr>
                <w:b/>
                <w:bCs/>
                <w:sz w:val="20"/>
                <w:szCs w:val="20"/>
              </w:rPr>
              <w:t>Total</w:t>
            </w:r>
          </w:p>
          <w:p w:rsidR="0029663D" w:rsidRPr="00426B31" w:rsidRDefault="0029663D" w:rsidP="00AE18EC">
            <w:pPr>
              <w:keepNext/>
              <w:numPr>
                <w:ilvl w:val="12"/>
                <w:numId w:val="0"/>
              </w:numPr>
              <w:spacing w:after="45"/>
              <w:jc w:val="center"/>
              <w:rPr>
                <w:sz w:val="20"/>
                <w:szCs w:val="20"/>
              </w:rPr>
            </w:pPr>
            <w:r w:rsidRPr="00426B31">
              <w:rPr>
                <w:b/>
                <w:bCs/>
                <w:sz w:val="20"/>
                <w:szCs w:val="20"/>
              </w:rPr>
              <w:t>Hours</w:t>
            </w:r>
          </w:p>
        </w:tc>
        <w:tc>
          <w:tcPr>
            <w:tcW w:w="1260" w:type="dxa"/>
          </w:tcPr>
          <w:p w:rsidR="0029663D" w:rsidRPr="00426B31" w:rsidRDefault="0029663D" w:rsidP="00AE18EC">
            <w:pPr>
              <w:keepNext/>
              <w:numPr>
                <w:ilvl w:val="12"/>
                <w:numId w:val="0"/>
              </w:numPr>
              <w:spacing w:before="92" w:after="45"/>
              <w:jc w:val="center"/>
              <w:rPr>
                <w:sz w:val="20"/>
                <w:szCs w:val="20"/>
              </w:rPr>
            </w:pPr>
            <w:r w:rsidRPr="00426B31">
              <w:rPr>
                <w:b/>
                <w:bCs/>
                <w:sz w:val="20"/>
                <w:szCs w:val="20"/>
              </w:rPr>
              <w:t>Total Cost</w:t>
            </w:r>
          </w:p>
        </w:tc>
      </w:tr>
      <w:tr w:rsidR="0029663D" w:rsidTr="00AE18EC">
        <w:tc>
          <w:tcPr>
            <w:tcW w:w="3060" w:type="dxa"/>
          </w:tcPr>
          <w:p w:rsidR="0029663D" w:rsidRPr="00426B31" w:rsidRDefault="0029663D" w:rsidP="00AE18EC">
            <w:pPr>
              <w:keepNext/>
              <w:numPr>
                <w:ilvl w:val="12"/>
                <w:numId w:val="0"/>
              </w:numPr>
              <w:spacing w:before="92" w:after="45"/>
              <w:rPr>
                <w:sz w:val="20"/>
                <w:szCs w:val="20"/>
              </w:rPr>
            </w:pPr>
            <w:r w:rsidRPr="00426B31">
              <w:rPr>
                <w:sz w:val="20"/>
                <w:szCs w:val="20"/>
              </w:rPr>
              <w:t>Recordkeeping, per allegation</w:t>
            </w:r>
          </w:p>
        </w:tc>
        <w:tc>
          <w:tcPr>
            <w:tcW w:w="1260" w:type="dxa"/>
            <w:vAlign w:val="center"/>
          </w:tcPr>
          <w:p w:rsidR="0029663D" w:rsidRPr="00426B31" w:rsidRDefault="0029663D" w:rsidP="00AE18EC">
            <w:pPr>
              <w:jc w:val="right"/>
              <w:rPr>
                <w:sz w:val="20"/>
                <w:szCs w:val="20"/>
              </w:rPr>
            </w:pPr>
            <w:r w:rsidRPr="00426B31">
              <w:rPr>
                <w:sz w:val="20"/>
                <w:szCs w:val="20"/>
              </w:rPr>
              <w:t>0.5</w:t>
            </w:r>
          </w:p>
        </w:tc>
        <w:tc>
          <w:tcPr>
            <w:tcW w:w="1260" w:type="dxa"/>
            <w:vAlign w:val="center"/>
          </w:tcPr>
          <w:p w:rsidR="0029663D" w:rsidRPr="00426B31" w:rsidRDefault="0029663D" w:rsidP="00AE18EC">
            <w:pPr>
              <w:jc w:val="right"/>
              <w:rPr>
                <w:sz w:val="20"/>
                <w:szCs w:val="20"/>
              </w:rPr>
            </w:pPr>
            <w:r w:rsidRPr="00426B31">
              <w:rPr>
                <w:sz w:val="20"/>
                <w:szCs w:val="20"/>
              </w:rPr>
              <w:t>0</w:t>
            </w:r>
          </w:p>
        </w:tc>
        <w:tc>
          <w:tcPr>
            <w:tcW w:w="1260" w:type="dxa"/>
            <w:vAlign w:val="center"/>
          </w:tcPr>
          <w:p w:rsidR="0029663D" w:rsidRPr="00426B31" w:rsidRDefault="0029663D" w:rsidP="00AE18EC">
            <w:pPr>
              <w:jc w:val="right"/>
              <w:rPr>
                <w:sz w:val="20"/>
                <w:szCs w:val="20"/>
              </w:rPr>
            </w:pPr>
            <w:r w:rsidRPr="00426B31">
              <w:rPr>
                <w:sz w:val="20"/>
                <w:szCs w:val="20"/>
              </w:rPr>
              <w:t>3.5</w:t>
            </w:r>
          </w:p>
        </w:tc>
        <w:tc>
          <w:tcPr>
            <w:tcW w:w="1260" w:type="dxa"/>
            <w:vAlign w:val="center"/>
          </w:tcPr>
          <w:p w:rsidR="0029663D" w:rsidRPr="00426B31" w:rsidRDefault="0029663D" w:rsidP="00AE18EC">
            <w:pPr>
              <w:jc w:val="right"/>
              <w:rPr>
                <w:sz w:val="20"/>
                <w:szCs w:val="20"/>
              </w:rPr>
            </w:pPr>
            <w:r w:rsidRPr="00426B31">
              <w:rPr>
                <w:sz w:val="20"/>
                <w:szCs w:val="20"/>
              </w:rPr>
              <w:t>4</w:t>
            </w:r>
          </w:p>
        </w:tc>
        <w:tc>
          <w:tcPr>
            <w:tcW w:w="1260" w:type="dxa"/>
            <w:vAlign w:val="center"/>
          </w:tcPr>
          <w:p w:rsidR="0029663D" w:rsidRPr="00426B31" w:rsidRDefault="0029663D" w:rsidP="00AE18EC">
            <w:pPr>
              <w:jc w:val="right"/>
              <w:rPr>
                <w:sz w:val="20"/>
                <w:szCs w:val="20"/>
              </w:rPr>
            </w:pPr>
            <w:r w:rsidRPr="00426B31">
              <w:rPr>
                <w:sz w:val="20"/>
                <w:szCs w:val="20"/>
              </w:rPr>
              <w:t xml:space="preserve">$264.05 </w:t>
            </w:r>
          </w:p>
        </w:tc>
      </w:tr>
      <w:tr w:rsidR="0029663D" w:rsidTr="00AE18EC">
        <w:tblPrEx>
          <w:tblCellMar>
            <w:left w:w="108" w:type="dxa"/>
            <w:right w:w="108" w:type="dxa"/>
          </w:tblCellMar>
        </w:tblPrEx>
        <w:tc>
          <w:tcPr>
            <w:tcW w:w="3060" w:type="dxa"/>
          </w:tcPr>
          <w:p w:rsidR="0029663D" w:rsidRPr="00426B31" w:rsidRDefault="0029663D" w:rsidP="00AE18EC">
            <w:pPr>
              <w:keepNext/>
              <w:numPr>
                <w:ilvl w:val="12"/>
                <w:numId w:val="0"/>
              </w:numPr>
              <w:spacing w:before="92" w:after="45"/>
              <w:rPr>
                <w:sz w:val="20"/>
                <w:szCs w:val="20"/>
              </w:rPr>
            </w:pPr>
            <w:r w:rsidRPr="00426B31">
              <w:rPr>
                <w:sz w:val="20"/>
                <w:szCs w:val="20"/>
              </w:rPr>
              <w:t>Reporting, per report</w:t>
            </w:r>
          </w:p>
        </w:tc>
        <w:tc>
          <w:tcPr>
            <w:tcW w:w="1260" w:type="dxa"/>
            <w:vAlign w:val="center"/>
          </w:tcPr>
          <w:p w:rsidR="0029663D" w:rsidRPr="00426B31" w:rsidRDefault="0029663D" w:rsidP="00AE18EC">
            <w:pPr>
              <w:jc w:val="right"/>
              <w:rPr>
                <w:sz w:val="20"/>
                <w:szCs w:val="20"/>
              </w:rPr>
            </w:pPr>
            <w:r w:rsidRPr="00426B31">
              <w:rPr>
                <w:sz w:val="20"/>
                <w:szCs w:val="20"/>
              </w:rPr>
              <w:t>1</w:t>
            </w:r>
          </w:p>
        </w:tc>
        <w:tc>
          <w:tcPr>
            <w:tcW w:w="1260" w:type="dxa"/>
            <w:vAlign w:val="center"/>
          </w:tcPr>
          <w:p w:rsidR="0029663D" w:rsidRPr="00426B31" w:rsidRDefault="0029663D" w:rsidP="00AE18EC">
            <w:pPr>
              <w:jc w:val="right"/>
              <w:rPr>
                <w:sz w:val="20"/>
                <w:szCs w:val="20"/>
              </w:rPr>
            </w:pPr>
            <w:r w:rsidRPr="00426B31">
              <w:rPr>
                <w:sz w:val="20"/>
                <w:szCs w:val="20"/>
              </w:rPr>
              <w:t>2</w:t>
            </w:r>
          </w:p>
        </w:tc>
        <w:tc>
          <w:tcPr>
            <w:tcW w:w="1260" w:type="dxa"/>
            <w:vAlign w:val="center"/>
          </w:tcPr>
          <w:p w:rsidR="0029663D" w:rsidRPr="00426B31" w:rsidRDefault="0029663D" w:rsidP="00AE18EC">
            <w:pPr>
              <w:jc w:val="right"/>
              <w:rPr>
                <w:sz w:val="20"/>
                <w:szCs w:val="20"/>
              </w:rPr>
            </w:pPr>
            <w:r w:rsidRPr="00426B31">
              <w:rPr>
                <w:sz w:val="20"/>
                <w:szCs w:val="20"/>
              </w:rPr>
              <w:t>5</w:t>
            </w:r>
          </w:p>
        </w:tc>
        <w:tc>
          <w:tcPr>
            <w:tcW w:w="1260" w:type="dxa"/>
            <w:vAlign w:val="center"/>
          </w:tcPr>
          <w:p w:rsidR="0029663D" w:rsidRPr="00426B31" w:rsidRDefault="0029663D" w:rsidP="00AE18EC">
            <w:pPr>
              <w:jc w:val="right"/>
              <w:rPr>
                <w:sz w:val="20"/>
                <w:szCs w:val="20"/>
              </w:rPr>
            </w:pPr>
            <w:r w:rsidRPr="00426B31">
              <w:rPr>
                <w:sz w:val="20"/>
                <w:szCs w:val="20"/>
              </w:rPr>
              <w:t>8</w:t>
            </w:r>
          </w:p>
        </w:tc>
        <w:tc>
          <w:tcPr>
            <w:tcW w:w="1260" w:type="dxa"/>
            <w:vAlign w:val="center"/>
          </w:tcPr>
          <w:p w:rsidR="0029663D" w:rsidRPr="00426B31" w:rsidRDefault="0029663D" w:rsidP="00AE18EC">
            <w:pPr>
              <w:jc w:val="right"/>
              <w:rPr>
                <w:sz w:val="20"/>
                <w:szCs w:val="20"/>
              </w:rPr>
            </w:pPr>
            <w:r w:rsidRPr="00426B31">
              <w:rPr>
                <w:sz w:val="20"/>
                <w:szCs w:val="20"/>
              </w:rPr>
              <w:t xml:space="preserve">$507.04 </w:t>
            </w:r>
          </w:p>
        </w:tc>
      </w:tr>
      <w:tr w:rsidR="0029663D" w:rsidTr="00AE18EC">
        <w:tblPrEx>
          <w:tblCellMar>
            <w:left w:w="108" w:type="dxa"/>
            <w:right w:w="108" w:type="dxa"/>
          </w:tblCellMar>
        </w:tblPrEx>
        <w:tc>
          <w:tcPr>
            <w:tcW w:w="3060" w:type="dxa"/>
          </w:tcPr>
          <w:p w:rsidR="0029663D" w:rsidRPr="00426B31" w:rsidRDefault="0029663D" w:rsidP="00AE18EC">
            <w:pPr>
              <w:keepNext/>
              <w:numPr>
                <w:ilvl w:val="12"/>
                <w:numId w:val="0"/>
              </w:numPr>
              <w:spacing w:before="92" w:after="45"/>
              <w:rPr>
                <w:sz w:val="20"/>
                <w:szCs w:val="20"/>
              </w:rPr>
            </w:pPr>
            <w:r w:rsidRPr="00426B31">
              <w:rPr>
                <w:sz w:val="20"/>
                <w:szCs w:val="20"/>
                <w:u w:val="single"/>
              </w:rPr>
              <w:t>Federal Register</w:t>
            </w:r>
            <w:r w:rsidRPr="00426B31">
              <w:rPr>
                <w:sz w:val="20"/>
                <w:szCs w:val="20"/>
              </w:rPr>
              <w:t xml:space="preserve"> notice review, per notice</w:t>
            </w:r>
          </w:p>
        </w:tc>
        <w:tc>
          <w:tcPr>
            <w:tcW w:w="1260" w:type="dxa"/>
            <w:vAlign w:val="center"/>
          </w:tcPr>
          <w:p w:rsidR="0029663D" w:rsidRPr="00426B31" w:rsidRDefault="0029663D" w:rsidP="00AE18EC">
            <w:pPr>
              <w:jc w:val="right"/>
              <w:rPr>
                <w:sz w:val="20"/>
                <w:szCs w:val="20"/>
              </w:rPr>
            </w:pPr>
            <w:r w:rsidRPr="00426B31">
              <w:rPr>
                <w:sz w:val="20"/>
                <w:szCs w:val="20"/>
              </w:rPr>
              <w:t>0</w:t>
            </w:r>
          </w:p>
        </w:tc>
        <w:tc>
          <w:tcPr>
            <w:tcW w:w="1260" w:type="dxa"/>
            <w:vAlign w:val="center"/>
          </w:tcPr>
          <w:p w:rsidR="0029663D" w:rsidRPr="00426B31" w:rsidRDefault="0029663D" w:rsidP="00AE18EC">
            <w:pPr>
              <w:jc w:val="right"/>
              <w:rPr>
                <w:sz w:val="20"/>
                <w:szCs w:val="20"/>
              </w:rPr>
            </w:pPr>
            <w:r w:rsidRPr="00426B31">
              <w:rPr>
                <w:sz w:val="20"/>
                <w:szCs w:val="20"/>
              </w:rPr>
              <w:t>0</w:t>
            </w:r>
          </w:p>
        </w:tc>
        <w:tc>
          <w:tcPr>
            <w:tcW w:w="1260" w:type="dxa"/>
            <w:vAlign w:val="center"/>
          </w:tcPr>
          <w:p w:rsidR="0029663D" w:rsidRPr="00426B31" w:rsidRDefault="0029663D" w:rsidP="00AE18EC">
            <w:pPr>
              <w:jc w:val="right"/>
              <w:rPr>
                <w:sz w:val="20"/>
                <w:szCs w:val="20"/>
              </w:rPr>
            </w:pPr>
            <w:r w:rsidRPr="00426B31">
              <w:rPr>
                <w:sz w:val="20"/>
                <w:szCs w:val="20"/>
              </w:rPr>
              <w:t>0.25</w:t>
            </w:r>
          </w:p>
        </w:tc>
        <w:tc>
          <w:tcPr>
            <w:tcW w:w="1260" w:type="dxa"/>
            <w:vAlign w:val="center"/>
          </w:tcPr>
          <w:p w:rsidR="0029663D" w:rsidRPr="00426B31" w:rsidRDefault="0029663D" w:rsidP="00AE18EC">
            <w:pPr>
              <w:jc w:val="right"/>
              <w:rPr>
                <w:sz w:val="20"/>
                <w:szCs w:val="20"/>
              </w:rPr>
            </w:pPr>
            <w:r w:rsidRPr="00426B31">
              <w:rPr>
                <w:sz w:val="20"/>
                <w:szCs w:val="20"/>
              </w:rPr>
              <w:t>0.25</w:t>
            </w:r>
          </w:p>
        </w:tc>
        <w:tc>
          <w:tcPr>
            <w:tcW w:w="1260" w:type="dxa"/>
            <w:vAlign w:val="center"/>
          </w:tcPr>
          <w:p w:rsidR="0029663D" w:rsidRPr="00426B31" w:rsidRDefault="0029663D" w:rsidP="00AE18EC">
            <w:pPr>
              <w:jc w:val="right"/>
              <w:rPr>
                <w:sz w:val="20"/>
                <w:szCs w:val="20"/>
              </w:rPr>
            </w:pPr>
            <w:r w:rsidRPr="00426B31">
              <w:rPr>
                <w:sz w:val="20"/>
                <w:szCs w:val="20"/>
              </w:rPr>
              <w:t xml:space="preserve">$17.74 </w:t>
            </w:r>
          </w:p>
        </w:tc>
      </w:tr>
    </w:tbl>
    <w:p w:rsidR="0029663D" w:rsidRDefault="0029663D" w:rsidP="0029663D">
      <w:pPr>
        <w:numPr>
          <w:ilvl w:val="12"/>
          <w:numId w:val="0"/>
        </w:numPr>
      </w:pPr>
    </w:p>
    <w:p w:rsidR="0029663D" w:rsidRDefault="0029663D" w:rsidP="0029663D">
      <w:pPr>
        <w:numPr>
          <w:ilvl w:val="12"/>
          <w:numId w:val="0"/>
        </w:numPr>
        <w:rPr>
          <w:u w:val="single"/>
        </w:rPr>
      </w:pPr>
      <w:r>
        <w:tab/>
      </w:r>
      <w:r>
        <w:rPr>
          <w:u w:val="single"/>
        </w:rPr>
        <w:t>Total Industry Burden</w:t>
      </w:r>
      <w:r w:rsidRPr="00917382">
        <w:rPr>
          <w:u w:val="single"/>
        </w:rPr>
        <w:t xml:space="preserve"> </w:t>
      </w:r>
      <w:r>
        <w:rPr>
          <w:u w:val="single"/>
        </w:rPr>
        <w:t>and Cost</w:t>
      </w:r>
    </w:p>
    <w:p w:rsidR="0029663D" w:rsidRDefault="0029663D" w:rsidP="0029663D">
      <w:pPr>
        <w:numPr>
          <w:ilvl w:val="12"/>
          <w:numId w:val="0"/>
        </w:numPr>
        <w:rPr>
          <w:u w:val="single"/>
        </w:rPr>
      </w:pPr>
    </w:p>
    <w:p w:rsidR="0029663D" w:rsidRDefault="0029663D" w:rsidP="0029663D">
      <w:pPr>
        <w:numPr>
          <w:ilvl w:val="12"/>
          <w:numId w:val="0"/>
        </w:numPr>
        <w:ind w:firstLine="720"/>
        <w:rPr>
          <w:u w:val="single"/>
        </w:rPr>
      </w:pPr>
      <w:r w:rsidRPr="00182129">
        <w:t xml:space="preserve">Estimates for Burden and Cost are </w:t>
      </w:r>
      <w:r>
        <w:t>summarized</w:t>
      </w:r>
      <w:r w:rsidRPr="00182129">
        <w:t xml:space="preserve"> in Table 5 by activity, and are thereafter presented in more detail.</w:t>
      </w:r>
    </w:p>
    <w:p w:rsidR="0029663D" w:rsidRDefault="0029663D" w:rsidP="0029663D"/>
    <w:tbl>
      <w:tblPr>
        <w:tblW w:w="9681" w:type="dxa"/>
        <w:tblInd w:w="93" w:type="dxa"/>
        <w:tblLook w:val="04A0"/>
      </w:tblPr>
      <w:tblGrid>
        <w:gridCol w:w="1973"/>
        <w:gridCol w:w="990"/>
        <w:gridCol w:w="931"/>
        <w:gridCol w:w="711"/>
        <w:gridCol w:w="1980"/>
        <w:gridCol w:w="900"/>
        <w:gridCol w:w="990"/>
        <w:gridCol w:w="1206"/>
      </w:tblGrid>
      <w:tr w:rsidR="0029663D" w:rsidRPr="00A31906" w:rsidTr="00AE18EC">
        <w:trPr>
          <w:trHeight w:val="330"/>
        </w:trPr>
        <w:tc>
          <w:tcPr>
            <w:tcW w:w="6585" w:type="dxa"/>
            <w:gridSpan w:val="5"/>
            <w:tcBorders>
              <w:top w:val="nil"/>
              <w:left w:val="nil"/>
              <w:bottom w:val="double" w:sz="6" w:space="0" w:color="000000"/>
              <w:right w:val="nil"/>
            </w:tcBorders>
            <w:shd w:val="clear" w:color="auto" w:fill="auto"/>
            <w:noWrap/>
            <w:vAlign w:val="bottom"/>
            <w:hideMark/>
          </w:tcPr>
          <w:p w:rsidR="0029663D" w:rsidRPr="00A31906" w:rsidRDefault="0029663D" w:rsidP="00426B31">
            <w:pPr>
              <w:keepNext/>
              <w:widowControl/>
              <w:autoSpaceDE/>
              <w:autoSpaceDN/>
              <w:adjustRightInd/>
              <w:rPr>
                <w:b/>
                <w:bCs/>
              </w:rPr>
            </w:pPr>
            <w:r w:rsidRPr="00A31906">
              <w:rPr>
                <w:b/>
                <w:bCs/>
              </w:rPr>
              <w:lastRenderedPageBreak/>
              <w:t>Table 5. Summary of Total Industry Burden and Cost</w:t>
            </w:r>
          </w:p>
        </w:tc>
        <w:tc>
          <w:tcPr>
            <w:tcW w:w="900" w:type="dxa"/>
            <w:tcBorders>
              <w:top w:val="nil"/>
              <w:left w:val="nil"/>
              <w:bottom w:val="nil"/>
              <w:right w:val="nil"/>
            </w:tcBorders>
            <w:shd w:val="clear" w:color="auto" w:fill="auto"/>
            <w:noWrap/>
            <w:vAlign w:val="bottom"/>
            <w:hideMark/>
          </w:tcPr>
          <w:p w:rsidR="0029663D" w:rsidRPr="00A31906" w:rsidRDefault="0029663D" w:rsidP="00426B31">
            <w:pPr>
              <w:keepNext/>
              <w:widowControl/>
              <w:autoSpaceDE/>
              <w:autoSpaceDN/>
              <w:adjustRightInd/>
              <w:rPr>
                <w:rFonts w:ascii="Arial" w:hAnsi="Arial" w:cs="Arial"/>
                <w:sz w:val="20"/>
                <w:szCs w:val="20"/>
              </w:rPr>
            </w:pPr>
          </w:p>
        </w:tc>
        <w:tc>
          <w:tcPr>
            <w:tcW w:w="990" w:type="dxa"/>
            <w:tcBorders>
              <w:top w:val="nil"/>
              <w:left w:val="nil"/>
              <w:bottom w:val="nil"/>
              <w:right w:val="nil"/>
            </w:tcBorders>
            <w:shd w:val="clear" w:color="auto" w:fill="auto"/>
            <w:noWrap/>
            <w:vAlign w:val="bottom"/>
            <w:hideMark/>
          </w:tcPr>
          <w:p w:rsidR="0029663D" w:rsidRPr="00A31906" w:rsidRDefault="0029663D" w:rsidP="00426B31">
            <w:pPr>
              <w:keepNext/>
              <w:widowControl/>
              <w:autoSpaceDE/>
              <w:autoSpaceDN/>
              <w:adjustRightInd/>
              <w:rPr>
                <w:rFonts w:ascii="Arial" w:hAnsi="Arial" w:cs="Arial"/>
                <w:sz w:val="20"/>
                <w:szCs w:val="20"/>
              </w:rPr>
            </w:pPr>
          </w:p>
        </w:tc>
        <w:tc>
          <w:tcPr>
            <w:tcW w:w="1206" w:type="dxa"/>
            <w:tcBorders>
              <w:top w:val="nil"/>
              <w:left w:val="nil"/>
              <w:bottom w:val="nil"/>
              <w:right w:val="nil"/>
            </w:tcBorders>
            <w:shd w:val="clear" w:color="auto" w:fill="auto"/>
            <w:noWrap/>
            <w:vAlign w:val="bottom"/>
            <w:hideMark/>
          </w:tcPr>
          <w:p w:rsidR="0029663D" w:rsidRPr="00A31906" w:rsidRDefault="0029663D" w:rsidP="00426B31">
            <w:pPr>
              <w:keepNext/>
              <w:widowControl/>
              <w:autoSpaceDE/>
              <w:autoSpaceDN/>
              <w:adjustRightInd/>
              <w:rPr>
                <w:rFonts w:ascii="Arial" w:hAnsi="Arial" w:cs="Arial"/>
                <w:sz w:val="20"/>
                <w:szCs w:val="20"/>
              </w:rPr>
            </w:pPr>
          </w:p>
        </w:tc>
      </w:tr>
      <w:tr w:rsidR="00425340" w:rsidRPr="00A31906" w:rsidTr="00116B28">
        <w:trPr>
          <w:trHeight w:val="885"/>
        </w:trPr>
        <w:tc>
          <w:tcPr>
            <w:tcW w:w="1973" w:type="dxa"/>
            <w:tcBorders>
              <w:top w:val="nil"/>
              <w:left w:val="double" w:sz="6" w:space="0" w:color="000000"/>
              <w:bottom w:val="nil"/>
              <w:right w:val="nil"/>
            </w:tcBorders>
            <w:shd w:val="clear" w:color="auto" w:fill="auto"/>
            <w:hideMark/>
          </w:tcPr>
          <w:p w:rsidR="0029663D" w:rsidRPr="00426B31" w:rsidRDefault="0029663D" w:rsidP="00426B31">
            <w:pPr>
              <w:keepNext/>
              <w:widowControl/>
              <w:autoSpaceDE/>
              <w:autoSpaceDN/>
              <w:adjustRightInd/>
              <w:jc w:val="center"/>
              <w:rPr>
                <w:b/>
                <w:bCs/>
                <w:sz w:val="20"/>
                <w:szCs w:val="20"/>
              </w:rPr>
            </w:pPr>
            <w:r w:rsidRPr="00426B31">
              <w:rPr>
                <w:b/>
                <w:bCs/>
                <w:sz w:val="20"/>
                <w:szCs w:val="20"/>
              </w:rPr>
              <w:t>Activity</w:t>
            </w:r>
          </w:p>
        </w:tc>
        <w:tc>
          <w:tcPr>
            <w:tcW w:w="990" w:type="dxa"/>
            <w:tcBorders>
              <w:top w:val="nil"/>
              <w:left w:val="single" w:sz="8" w:space="0" w:color="000000"/>
              <w:bottom w:val="nil"/>
              <w:right w:val="nil"/>
            </w:tcBorders>
            <w:shd w:val="clear" w:color="auto" w:fill="auto"/>
            <w:hideMark/>
          </w:tcPr>
          <w:p w:rsidR="0029663D" w:rsidRPr="00426B31" w:rsidRDefault="0029663D" w:rsidP="00426B31">
            <w:pPr>
              <w:keepNext/>
              <w:widowControl/>
              <w:autoSpaceDE/>
              <w:autoSpaceDN/>
              <w:adjustRightInd/>
              <w:jc w:val="center"/>
              <w:rPr>
                <w:b/>
                <w:bCs/>
                <w:sz w:val="20"/>
                <w:szCs w:val="20"/>
              </w:rPr>
            </w:pPr>
            <w:r w:rsidRPr="00426B31">
              <w:rPr>
                <w:b/>
                <w:bCs/>
                <w:sz w:val="20"/>
                <w:szCs w:val="20"/>
              </w:rPr>
              <w:t>Unit Burden, Hours</w:t>
            </w:r>
          </w:p>
        </w:tc>
        <w:tc>
          <w:tcPr>
            <w:tcW w:w="931" w:type="dxa"/>
            <w:tcBorders>
              <w:top w:val="nil"/>
              <w:left w:val="single" w:sz="8" w:space="0" w:color="000000"/>
              <w:bottom w:val="nil"/>
              <w:right w:val="single" w:sz="8" w:space="0" w:color="000000"/>
            </w:tcBorders>
            <w:shd w:val="clear" w:color="auto" w:fill="auto"/>
            <w:hideMark/>
          </w:tcPr>
          <w:p w:rsidR="0029663D" w:rsidRPr="00426B31" w:rsidRDefault="0029663D" w:rsidP="00426B31">
            <w:pPr>
              <w:keepNext/>
              <w:widowControl/>
              <w:autoSpaceDE/>
              <w:autoSpaceDN/>
              <w:adjustRightInd/>
              <w:jc w:val="center"/>
              <w:rPr>
                <w:b/>
                <w:bCs/>
                <w:sz w:val="20"/>
                <w:szCs w:val="20"/>
              </w:rPr>
            </w:pPr>
            <w:r w:rsidRPr="00426B31">
              <w:rPr>
                <w:b/>
                <w:bCs/>
                <w:sz w:val="20"/>
                <w:szCs w:val="20"/>
              </w:rPr>
              <w:t>Unit Cost</w:t>
            </w:r>
          </w:p>
        </w:tc>
        <w:tc>
          <w:tcPr>
            <w:tcW w:w="2691" w:type="dxa"/>
            <w:gridSpan w:val="2"/>
            <w:tcBorders>
              <w:top w:val="double" w:sz="6" w:space="0" w:color="000000"/>
              <w:left w:val="single" w:sz="8" w:space="0" w:color="000000"/>
              <w:bottom w:val="single" w:sz="4" w:space="0" w:color="auto"/>
              <w:right w:val="single" w:sz="8" w:space="0" w:color="000000"/>
            </w:tcBorders>
            <w:shd w:val="clear" w:color="auto" w:fill="auto"/>
            <w:noWrap/>
            <w:vAlign w:val="bottom"/>
            <w:hideMark/>
          </w:tcPr>
          <w:p w:rsidR="0029663D" w:rsidRPr="00426B31" w:rsidRDefault="0029663D" w:rsidP="00426B31">
            <w:pPr>
              <w:keepNext/>
              <w:widowControl/>
              <w:autoSpaceDE/>
              <w:autoSpaceDN/>
              <w:adjustRightInd/>
              <w:rPr>
                <w:b/>
                <w:bCs/>
                <w:sz w:val="20"/>
                <w:szCs w:val="20"/>
              </w:rPr>
            </w:pPr>
            <w:r w:rsidRPr="00426B31">
              <w:rPr>
                <w:b/>
                <w:bCs/>
                <w:sz w:val="20"/>
                <w:szCs w:val="20"/>
              </w:rPr>
              <w:t>Applicable # and Unit</w:t>
            </w:r>
          </w:p>
        </w:tc>
        <w:tc>
          <w:tcPr>
            <w:tcW w:w="900" w:type="dxa"/>
            <w:tcBorders>
              <w:top w:val="double" w:sz="6" w:space="0" w:color="000000"/>
              <w:left w:val="nil"/>
              <w:bottom w:val="single" w:sz="4" w:space="0" w:color="auto"/>
              <w:right w:val="single" w:sz="8" w:space="0" w:color="000000"/>
            </w:tcBorders>
            <w:shd w:val="clear" w:color="auto" w:fill="auto"/>
            <w:noWrap/>
            <w:vAlign w:val="bottom"/>
            <w:hideMark/>
          </w:tcPr>
          <w:p w:rsidR="0029663D" w:rsidRPr="00426B31" w:rsidRDefault="0029663D" w:rsidP="00426B31">
            <w:pPr>
              <w:keepNext/>
              <w:widowControl/>
              <w:autoSpaceDE/>
              <w:autoSpaceDN/>
              <w:adjustRightInd/>
              <w:rPr>
                <w:b/>
                <w:bCs/>
                <w:sz w:val="20"/>
                <w:szCs w:val="20"/>
              </w:rPr>
            </w:pPr>
            <w:r w:rsidRPr="00426B31">
              <w:rPr>
                <w:b/>
                <w:bCs/>
                <w:sz w:val="20"/>
                <w:szCs w:val="20"/>
              </w:rPr>
              <w:t># Firms</w:t>
            </w:r>
          </w:p>
        </w:tc>
        <w:tc>
          <w:tcPr>
            <w:tcW w:w="990" w:type="dxa"/>
            <w:tcBorders>
              <w:top w:val="double" w:sz="6" w:space="0" w:color="000000"/>
              <w:left w:val="nil"/>
              <w:bottom w:val="single" w:sz="4" w:space="0" w:color="auto"/>
              <w:right w:val="single" w:sz="8" w:space="0" w:color="000000"/>
            </w:tcBorders>
            <w:shd w:val="clear" w:color="auto" w:fill="auto"/>
            <w:vAlign w:val="bottom"/>
            <w:hideMark/>
          </w:tcPr>
          <w:p w:rsidR="0029663D" w:rsidRPr="00426B31" w:rsidRDefault="0029663D" w:rsidP="00426B31">
            <w:pPr>
              <w:keepNext/>
              <w:widowControl/>
              <w:autoSpaceDE/>
              <w:autoSpaceDN/>
              <w:adjustRightInd/>
              <w:jc w:val="center"/>
              <w:rPr>
                <w:b/>
                <w:bCs/>
                <w:sz w:val="20"/>
                <w:szCs w:val="20"/>
              </w:rPr>
            </w:pPr>
            <w:r w:rsidRPr="00426B31">
              <w:rPr>
                <w:b/>
                <w:bCs/>
                <w:sz w:val="20"/>
                <w:szCs w:val="20"/>
              </w:rPr>
              <w:t>Burden, Hours</w:t>
            </w:r>
          </w:p>
        </w:tc>
        <w:tc>
          <w:tcPr>
            <w:tcW w:w="1206" w:type="dxa"/>
            <w:tcBorders>
              <w:top w:val="double" w:sz="6" w:space="0" w:color="000000"/>
              <w:left w:val="nil"/>
              <w:bottom w:val="single" w:sz="4" w:space="0" w:color="auto"/>
              <w:right w:val="double" w:sz="6" w:space="0" w:color="000000"/>
            </w:tcBorders>
            <w:shd w:val="clear" w:color="auto" w:fill="auto"/>
            <w:noWrap/>
            <w:vAlign w:val="bottom"/>
            <w:hideMark/>
          </w:tcPr>
          <w:p w:rsidR="0029663D" w:rsidRPr="00426B31" w:rsidRDefault="0029663D" w:rsidP="00426B31">
            <w:pPr>
              <w:keepNext/>
              <w:widowControl/>
              <w:autoSpaceDE/>
              <w:autoSpaceDN/>
              <w:adjustRightInd/>
              <w:jc w:val="center"/>
              <w:rPr>
                <w:b/>
                <w:bCs/>
                <w:sz w:val="20"/>
                <w:szCs w:val="20"/>
              </w:rPr>
            </w:pPr>
            <w:r w:rsidRPr="00426B31">
              <w:rPr>
                <w:b/>
                <w:bCs/>
                <w:sz w:val="20"/>
                <w:szCs w:val="20"/>
              </w:rPr>
              <w:t>Cost</w:t>
            </w:r>
          </w:p>
        </w:tc>
      </w:tr>
      <w:tr w:rsidR="00425340" w:rsidRPr="00A31906" w:rsidTr="00116B28">
        <w:trPr>
          <w:trHeight w:val="315"/>
        </w:trPr>
        <w:tc>
          <w:tcPr>
            <w:tcW w:w="1973" w:type="dxa"/>
            <w:tcBorders>
              <w:top w:val="single" w:sz="8" w:space="0" w:color="000000"/>
              <w:left w:val="double" w:sz="6" w:space="0" w:color="000000"/>
              <w:bottom w:val="nil"/>
              <w:right w:val="nil"/>
            </w:tcBorders>
            <w:shd w:val="clear" w:color="auto" w:fill="auto"/>
            <w:hideMark/>
          </w:tcPr>
          <w:p w:rsidR="0029663D" w:rsidRPr="00426B31" w:rsidRDefault="0029663D" w:rsidP="00426B31">
            <w:pPr>
              <w:keepNext/>
              <w:widowControl/>
              <w:autoSpaceDE/>
              <w:autoSpaceDN/>
              <w:adjustRightInd/>
              <w:rPr>
                <w:sz w:val="20"/>
                <w:szCs w:val="20"/>
              </w:rPr>
            </w:pPr>
            <w:r w:rsidRPr="00426B31">
              <w:rPr>
                <w:sz w:val="20"/>
                <w:szCs w:val="20"/>
              </w:rPr>
              <w:t>Recordkeeping, per allegation</w:t>
            </w:r>
          </w:p>
        </w:tc>
        <w:tc>
          <w:tcPr>
            <w:tcW w:w="990" w:type="dxa"/>
            <w:tcBorders>
              <w:top w:val="single" w:sz="8" w:space="0" w:color="000000"/>
              <w:left w:val="single" w:sz="8" w:space="0" w:color="000000"/>
              <w:bottom w:val="nil"/>
              <w:right w:val="nil"/>
            </w:tcBorders>
            <w:shd w:val="clear" w:color="auto" w:fill="auto"/>
            <w:vAlign w:val="center"/>
            <w:hideMark/>
          </w:tcPr>
          <w:p w:rsidR="0029663D" w:rsidRPr="00426B31" w:rsidRDefault="0029663D" w:rsidP="00426B31">
            <w:pPr>
              <w:keepNext/>
              <w:widowControl/>
              <w:autoSpaceDE/>
              <w:autoSpaceDN/>
              <w:adjustRightInd/>
              <w:jc w:val="center"/>
              <w:rPr>
                <w:sz w:val="20"/>
                <w:szCs w:val="20"/>
              </w:rPr>
            </w:pPr>
            <w:r w:rsidRPr="00426B31">
              <w:rPr>
                <w:sz w:val="20"/>
                <w:szCs w:val="20"/>
              </w:rPr>
              <w:t>4</w:t>
            </w:r>
          </w:p>
        </w:tc>
        <w:tc>
          <w:tcPr>
            <w:tcW w:w="931" w:type="dxa"/>
            <w:tcBorders>
              <w:top w:val="single" w:sz="8" w:space="0" w:color="000000"/>
              <w:left w:val="single" w:sz="8" w:space="0" w:color="000000"/>
              <w:bottom w:val="nil"/>
              <w:right w:val="single" w:sz="8" w:space="0" w:color="000000"/>
            </w:tcBorders>
            <w:shd w:val="clear" w:color="auto" w:fill="auto"/>
            <w:vAlign w:val="center"/>
            <w:hideMark/>
          </w:tcPr>
          <w:p w:rsidR="0029663D" w:rsidRPr="00426B31" w:rsidRDefault="0029663D" w:rsidP="00426B31">
            <w:pPr>
              <w:keepNext/>
              <w:jc w:val="right"/>
              <w:rPr>
                <w:sz w:val="20"/>
                <w:szCs w:val="20"/>
              </w:rPr>
            </w:pPr>
            <w:r w:rsidRPr="00426B31">
              <w:rPr>
                <w:sz w:val="20"/>
                <w:szCs w:val="20"/>
              </w:rPr>
              <w:t xml:space="preserve">$264.05 </w:t>
            </w:r>
          </w:p>
        </w:tc>
        <w:tc>
          <w:tcPr>
            <w:tcW w:w="711" w:type="dxa"/>
            <w:tcBorders>
              <w:top w:val="nil"/>
              <w:left w:val="nil"/>
              <w:bottom w:val="single" w:sz="4" w:space="0" w:color="auto"/>
              <w:right w:val="nil"/>
            </w:tcBorders>
            <w:shd w:val="clear" w:color="auto" w:fill="auto"/>
            <w:noWrap/>
            <w:vAlign w:val="center"/>
            <w:hideMark/>
          </w:tcPr>
          <w:p w:rsidR="0029663D" w:rsidRPr="00426B31" w:rsidRDefault="00176F26" w:rsidP="00426B31">
            <w:pPr>
              <w:keepNext/>
              <w:widowControl/>
              <w:autoSpaceDE/>
              <w:autoSpaceDN/>
              <w:adjustRightInd/>
              <w:jc w:val="center"/>
              <w:rPr>
                <w:sz w:val="20"/>
                <w:szCs w:val="20"/>
              </w:rPr>
            </w:pPr>
            <w:r>
              <w:rPr>
                <w:sz w:val="20"/>
                <w:szCs w:val="20"/>
              </w:rPr>
              <w:t>5,859</w:t>
            </w:r>
          </w:p>
        </w:tc>
        <w:tc>
          <w:tcPr>
            <w:tcW w:w="1980" w:type="dxa"/>
            <w:tcBorders>
              <w:top w:val="nil"/>
              <w:left w:val="nil"/>
              <w:bottom w:val="single" w:sz="4" w:space="0" w:color="auto"/>
              <w:right w:val="nil"/>
            </w:tcBorders>
            <w:shd w:val="clear" w:color="auto" w:fill="auto"/>
            <w:noWrap/>
            <w:vAlign w:val="center"/>
            <w:hideMark/>
          </w:tcPr>
          <w:p w:rsidR="0029663D" w:rsidRPr="00426B31" w:rsidRDefault="0029663D" w:rsidP="00426B31">
            <w:pPr>
              <w:keepNext/>
              <w:widowControl/>
              <w:autoSpaceDE/>
              <w:autoSpaceDN/>
              <w:adjustRightInd/>
              <w:rPr>
                <w:sz w:val="20"/>
                <w:szCs w:val="20"/>
              </w:rPr>
            </w:pPr>
            <w:r w:rsidRPr="00426B31">
              <w:rPr>
                <w:sz w:val="20"/>
                <w:szCs w:val="20"/>
              </w:rPr>
              <w:t>Allegations per year</w:t>
            </w:r>
          </w:p>
        </w:tc>
        <w:tc>
          <w:tcPr>
            <w:tcW w:w="900" w:type="dxa"/>
            <w:tcBorders>
              <w:top w:val="nil"/>
              <w:left w:val="single" w:sz="8" w:space="0" w:color="000000"/>
              <w:bottom w:val="single" w:sz="4" w:space="0" w:color="auto"/>
              <w:right w:val="single" w:sz="8" w:space="0" w:color="000000"/>
            </w:tcBorders>
            <w:shd w:val="clear" w:color="auto" w:fill="auto"/>
            <w:noWrap/>
            <w:vAlign w:val="center"/>
            <w:hideMark/>
          </w:tcPr>
          <w:p w:rsidR="0029663D" w:rsidRPr="00426B31" w:rsidRDefault="0029663D" w:rsidP="00426B31">
            <w:pPr>
              <w:keepNext/>
              <w:widowControl/>
              <w:autoSpaceDE/>
              <w:autoSpaceDN/>
              <w:adjustRightInd/>
              <w:jc w:val="center"/>
              <w:rPr>
                <w:sz w:val="20"/>
                <w:szCs w:val="20"/>
              </w:rPr>
            </w:pPr>
            <w:r w:rsidRPr="00426B31">
              <w:rPr>
                <w:sz w:val="20"/>
                <w:szCs w:val="20"/>
              </w:rPr>
              <w:t>N/A</w:t>
            </w:r>
          </w:p>
        </w:tc>
        <w:tc>
          <w:tcPr>
            <w:tcW w:w="990" w:type="dxa"/>
            <w:tcBorders>
              <w:top w:val="nil"/>
              <w:left w:val="nil"/>
              <w:bottom w:val="single" w:sz="4" w:space="0" w:color="auto"/>
              <w:right w:val="single" w:sz="8" w:space="0" w:color="000000"/>
            </w:tcBorders>
            <w:shd w:val="clear" w:color="auto" w:fill="auto"/>
            <w:noWrap/>
            <w:vAlign w:val="center"/>
            <w:hideMark/>
          </w:tcPr>
          <w:p w:rsidR="0029663D" w:rsidRPr="00426B31" w:rsidRDefault="00425340" w:rsidP="00426B31">
            <w:pPr>
              <w:keepNext/>
              <w:widowControl/>
              <w:autoSpaceDE/>
              <w:autoSpaceDN/>
              <w:adjustRightInd/>
              <w:jc w:val="right"/>
              <w:rPr>
                <w:sz w:val="20"/>
                <w:szCs w:val="20"/>
              </w:rPr>
            </w:pPr>
            <w:r>
              <w:rPr>
                <w:sz w:val="20"/>
                <w:szCs w:val="20"/>
              </w:rPr>
              <w:t>23,436</w:t>
            </w:r>
          </w:p>
        </w:tc>
        <w:tc>
          <w:tcPr>
            <w:tcW w:w="1206" w:type="dxa"/>
            <w:tcBorders>
              <w:top w:val="nil"/>
              <w:left w:val="nil"/>
              <w:bottom w:val="single" w:sz="4" w:space="0" w:color="auto"/>
              <w:right w:val="double" w:sz="6" w:space="0" w:color="000000"/>
            </w:tcBorders>
            <w:shd w:val="clear" w:color="auto" w:fill="auto"/>
            <w:noWrap/>
            <w:vAlign w:val="center"/>
            <w:hideMark/>
          </w:tcPr>
          <w:p w:rsidR="0029663D" w:rsidRPr="00426B31" w:rsidRDefault="0029663D" w:rsidP="00425340">
            <w:pPr>
              <w:keepNext/>
              <w:jc w:val="right"/>
              <w:rPr>
                <w:sz w:val="20"/>
                <w:szCs w:val="20"/>
              </w:rPr>
            </w:pPr>
            <w:r w:rsidRPr="00426B31">
              <w:rPr>
                <w:sz w:val="20"/>
                <w:szCs w:val="20"/>
              </w:rPr>
              <w:t>$</w:t>
            </w:r>
            <w:r w:rsidR="00425340">
              <w:rPr>
                <w:sz w:val="20"/>
                <w:szCs w:val="20"/>
              </w:rPr>
              <w:t>1,547,069</w:t>
            </w:r>
          </w:p>
        </w:tc>
      </w:tr>
      <w:tr w:rsidR="00425340" w:rsidRPr="00A31906" w:rsidTr="00116B28">
        <w:trPr>
          <w:trHeight w:val="315"/>
        </w:trPr>
        <w:tc>
          <w:tcPr>
            <w:tcW w:w="1973" w:type="dxa"/>
            <w:tcBorders>
              <w:top w:val="single" w:sz="8" w:space="0" w:color="000000"/>
              <w:left w:val="double" w:sz="6" w:space="0" w:color="000000"/>
              <w:bottom w:val="nil"/>
              <w:right w:val="nil"/>
            </w:tcBorders>
            <w:shd w:val="clear" w:color="auto" w:fill="auto"/>
            <w:hideMark/>
          </w:tcPr>
          <w:p w:rsidR="0029663D" w:rsidRPr="00426B31" w:rsidRDefault="0029663D" w:rsidP="00426B31">
            <w:pPr>
              <w:keepNext/>
              <w:widowControl/>
              <w:autoSpaceDE/>
              <w:autoSpaceDN/>
              <w:adjustRightInd/>
              <w:rPr>
                <w:sz w:val="20"/>
                <w:szCs w:val="20"/>
              </w:rPr>
            </w:pPr>
            <w:r w:rsidRPr="00426B31">
              <w:rPr>
                <w:sz w:val="20"/>
                <w:szCs w:val="20"/>
              </w:rPr>
              <w:t>Reporting, per report</w:t>
            </w:r>
          </w:p>
        </w:tc>
        <w:tc>
          <w:tcPr>
            <w:tcW w:w="990" w:type="dxa"/>
            <w:tcBorders>
              <w:top w:val="single" w:sz="8" w:space="0" w:color="000000"/>
              <w:left w:val="single" w:sz="8" w:space="0" w:color="000000"/>
              <w:bottom w:val="nil"/>
              <w:right w:val="nil"/>
            </w:tcBorders>
            <w:shd w:val="clear" w:color="auto" w:fill="auto"/>
            <w:vAlign w:val="center"/>
            <w:hideMark/>
          </w:tcPr>
          <w:p w:rsidR="0029663D" w:rsidRPr="00426B31" w:rsidRDefault="0029663D" w:rsidP="00426B31">
            <w:pPr>
              <w:keepNext/>
              <w:widowControl/>
              <w:autoSpaceDE/>
              <w:autoSpaceDN/>
              <w:adjustRightInd/>
              <w:jc w:val="center"/>
              <w:rPr>
                <w:sz w:val="20"/>
                <w:szCs w:val="20"/>
              </w:rPr>
            </w:pPr>
            <w:r w:rsidRPr="00426B31">
              <w:rPr>
                <w:sz w:val="20"/>
                <w:szCs w:val="20"/>
              </w:rPr>
              <w:t>8</w:t>
            </w:r>
          </w:p>
        </w:tc>
        <w:tc>
          <w:tcPr>
            <w:tcW w:w="931" w:type="dxa"/>
            <w:tcBorders>
              <w:top w:val="single" w:sz="8" w:space="0" w:color="000000"/>
              <w:left w:val="single" w:sz="8" w:space="0" w:color="000000"/>
              <w:bottom w:val="nil"/>
              <w:right w:val="single" w:sz="8" w:space="0" w:color="000000"/>
            </w:tcBorders>
            <w:shd w:val="clear" w:color="auto" w:fill="auto"/>
            <w:vAlign w:val="center"/>
            <w:hideMark/>
          </w:tcPr>
          <w:p w:rsidR="0029663D" w:rsidRPr="00426B31" w:rsidRDefault="0029663D" w:rsidP="00426B31">
            <w:pPr>
              <w:keepNext/>
              <w:jc w:val="right"/>
              <w:rPr>
                <w:sz w:val="20"/>
                <w:szCs w:val="20"/>
              </w:rPr>
            </w:pPr>
            <w:r w:rsidRPr="00426B31">
              <w:rPr>
                <w:sz w:val="20"/>
                <w:szCs w:val="20"/>
              </w:rPr>
              <w:t xml:space="preserve">$507.04 </w:t>
            </w:r>
          </w:p>
        </w:tc>
        <w:tc>
          <w:tcPr>
            <w:tcW w:w="711" w:type="dxa"/>
            <w:tcBorders>
              <w:top w:val="single" w:sz="4" w:space="0" w:color="auto"/>
              <w:left w:val="nil"/>
              <w:bottom w:val="single" w:sz="4" w:space="0" w:color="auto"/>
              <w:right w:val="nil"/>
            </w:tcBorders>
            <w:shd w:val="clear" w:color="auto" w:fill="auto"/>
            <w:noWrap/>
            <w:vAlign w:val="center"/>
            <w:hideMark/>
          </w:tcPr>
          <w:p w:rsidR="0029663D" w:rsidRPr="00426B31" w:rsidRDefault="00BD2797" w:rsidP="00116B28">
            <w:pPr>
              <w:keepNext/>
              <w:widowControl/>
              <w:autoSpaceDE/>
              <w:autoSpaceDN/>
              <w:adjustRightInd/>
              <w:jc w:val="center"/>
              <w:rPr>
                <w:sz w:val="20"/>
                <w:szCs w:val="20"/>
              </w:rPr>
            </w:pPr>
            <w:r>
              <w:rPr>
                <w:sz w:val="20"/>
                <w:szCs w:val="20"/>
              </w:rPr>
              <w:t>1</w:t>
            </w:r>
          </w:p>
        </w:tc>
        <w:tc>
          <w:tcPr>
            <w:tcW w:w="1980" w:type="dxa"/>
            <w:tcBorders>
              <w:top w:val="single" w:sz="4" w:space="0" w:color="auto"/>
              <w:left w:val="nil"/>
              <w:bottom w:val="single" w:sz="4" w:space="0" w:color="auto"/>
              <w:right w:val="nil"/>
            </w:tcBorders>
            <w:shd w:val="clear" w:color="auto" w:fill="auto"/>
            <w:noWrap/>
            <w:vAlign w:val="center"/>
            <w:hideMark/>
          </w:tcPr>
          <w:p w:rsidR="0029663D" w:rsidRPr="00426B31" w:rsidRDefault="0029663D" w:rsidP="00426B31">
            <w:pPr>
              <w:keepNext/>
              <w:widowControl/>
              <w:autoSpaceDE/>
              <w:autoSpaceDN/>
              <w:adjustRightInd/>
              <w:rPr>
                <w:sz w:val="20"/>
                <w:szCs w:val="20"/>
              </w:rPr>
            </w:pPr>
            <w:r w:rsidRPr="00426B31">
              <w:rPr>
                <w:sz w:val="20"/>
                <w:szCs w:val="20"/>
              </w:rPr>
              <w:t>Reports per year</w:t>
            </w:r>
          </w:p>
        </w:tc>
        <w:tc>
          <w:tcPr>
            <w:tcW w:w="900" w:type="dxa"/>
            <w:tcBorders>
              <w:top w:val="single" w:sz="4" w:space="0" w:color="auto"/>
              <w:left w:val="single" w:sz="8" w:space="0" w:color="000000"/>
              <w:bottom w:val="single" w:sz="4" w:space="0" w:color="auto"/>
              <w:right w:val="single" w:sz="8" w:space="0" w:color="000000"/>
            </w:tcBorders>
            <w:shd w:val="clear" w:color="auto" w:fill="auto"/>
            <w:noWrap/>
            <w:vAlign w:val="center"/>
            <w:hideMark/>
          </w:tcPr>
          <w:p w:rsidR="0029663D" w:rsidRPr="00426B31" w:rsidRDefault="0029663D" w:rsidP="00426B31">
            <w:pPr>
              <w:keepNext/>
              <w:widowControl/>
              <w:autoSpaceDE/>
              <w:autoSpaceDN/>
              <w:adjustRightInd/>
              <w:jc w:val="center"/>
              <w:rPr>
                <w:sz w:val="20"/>
                <w:szCs w:val="20"/>
              </w:rPr>
            </w:pPr>
            <w:r w:rsidRPr="00426B31">
              <w:rPr>
                <w:sz w:val="20"/>
                <w:szCs w:val="20"/>
              </w:rPr>
              <w:t>N/A</w:t>
            </w:r>
          </w:p>
        </w:tc>
        <w:tc>
          <w:tcPr>
            <w:tcW w:w="990" w:type="dxa"/>
            <w:tcBorders>
              <w:top w:val="single" w:sz="4" w:space="0" w:color="auto"/>
              <w:left w:val="nil"/>
              <w:bottom w:val="single" w:sz="4" w:space="0" w:color="auto"/>
              <w:right w:val="single" w:sz="8" w:space="0" w:color="000000"/>
            </w:tcBorders>
            <w:shd w:val="clear" w:color="auto" w:fill="auto"/>
            <w:noWrap/>
            <w:vAlign w:val="center"/>
            <w:hideMark/>
          </w:tcPr>
          <w:p w:rsidR="0029663D" w:rsidRPr="00426B31" w:rsidRDefault="004B7006" w:rsidP="00426B31">
            <w:pPr>
              <w:keepNext/>
              <w:widowControl/>
              <w:autoSpaceDE/>
              <w:autoSpaceDN/>
              <w:adjustRightInd/>
              <w:jc w:val="right"/>
              <w:rPr>
                <w:sz w:val="20"/>
                <w:szCs w:val="20"/>
              </w:rPr>
            </w:pPr>
            <w:r>
              <w:rPr>
                <w:sz w:val="20"/>
                <w:szCs w:val="20"/>
              </w:rPr>
              <w:t>8</w:t>
            </w:r>
          </w:p>
        </w:tc>
        <w:tc>
          <w:tcPr>
            <w:tcW w:w="1206" w:type="dxa"/>
            <w:tcBorders>
              <w:top w:val="single" w:sz="4" w:space="0" w:color="auto"/>
              <w:left w:val="nil"/>
              <w:bottom w:val="single" w:sz="4" w:space="0" w:color="auto"/>
              <w:right w:val="double" w:sz="6" w:space="0" w:color="000000"/>
            </w:tcBorders>
            <w:shd w:val="clear" w:color="auto" w:fill="auto"/>
            <w:noWrap/>
            <w:vAlign w:val="center"/>
            <w:hideMark/>
          </w:tcPr>
          <w:p w:rsidR="0029663D" w:rsidRPr="00426B31" w:rsidRDefault="0029663D" w:rsidP="00BD2797">
            <w:pPr>
              <w:keepNext/>
              <w:jc w:val="right"/>
              <w:rPr>
                <w:sz w:val="20"/>
                <w:szCs w:val="20"/>
              </w:rPr>
            </w:pPr>
            <w:r w:rsidRPr="00426B31">
              <w:rPr>
                <w:sz w:val="20"/>
                <w:szCs w:val="20"/>
              </w:rPr>
              <w:t>$</w:t>
            </w:r>
            <w:r w:rsidR="00BD2797">
              <w:rPr>
                <w:sz w:val="20"/>
                <w:szCs w:val="20"/>
              </w:rPr>
              <w:t>507</w:t>
            </w:r>
          </w:p>
        </w:tc>
      </w:tr>
      <w:tr w:rsidR="00425340" w:rsidRPr="00A31906" w:rsidTr="00116B28">
        <w:trPr>
          <w:trHeight w:val="615"/>
        </w:trPr>
        <w:tc>
          <w:tcPr>
            <w:tcW w:w="1973" w:type="dxa"/>
            <w:tcBorders>
              <w:top w:val="single" w:sz="8" w:space="0" w:color="000000"/>
              <w:left w:val="double" w:sz="6" w:space="0" w:color="000000"/>
              <w:bottom w:val="nil"/>
              <w:right w:val="nil"/>
            </w:tcBorders>
            <w:shd w:val="clear" w:color="auto" w:fill="auto"/>
            <w:hideMark/>
          </w:tcPr>
          <w:p w:rsidR="0029663D" w:rsidRPr="00426B31" w:rsidRDefault="0029663D" w:rsidP="00426B31">
            <w:pPr>
              <w:keepNext/>
              <w:widowControl/>
              <w:autoSpaceDE/>
              <w:autoSpaceDN/>
              <w:adjustRightInd/>
              <w:rPr>
                <w:sz w:val="20"/>
                <w:szCs w:val="20"/>
                <w:u w:val="single"/>
              </w:rPr>
            </w:pPr>
            <w:r w:rsidRPr="00426B31">
              <w:rPr>
                <w:sz w:val="20"/>
                <w:szCs w:val="20"/>
                <w:u w:val="single"/>
              </w:rPr>
              <w:t>Federal Register</w:t>
            </w:r>
            <w:r w:rsidRPr="00426B31">
              <w:rPr>
                <w:sz w:val="20"/>
                <w:szCs w:val="20"/>
              </w:rPr>
              <w:t xml:space="preserve"> Notice review, per Notice</w:t>
            </w:r>
          </w:p>
        </w:tc>
        <w:tc>
          <w:tcPr>
            <w:tcW w:w="990" w:type="dxa"/>
            <w:tcBorders>
              <w:top w:val="single" w:sz="8" w:space="0" w:color="000000"/>
              <w:left w:val="single" w:sz="8" w:space="0" w:color="000000"/>
              <w:bottom w:val="nil"/>
              <w:right w:val="nil"/>
            </w:tcBorders>
            <w:shd w:val="clear" w:color="auto" w:fill="auto"/>
            <w:vAlign w:val="center"/>
            <w:hideMark/>
          </w:tcPr>
          <w:p w:rsidR="0029663D" w:rsidRPr="00426B31" w:rsidRDefault="0029663D" w:rsidP="00426B31">
            <w:pPr>
              <w:keepNext/>
              <w:widowControl/>
              <w:autoSpaceDE/>
              <w:autoSpaceDN/>
              <w:adjustRightInd/>
              <w:jc w:val="center"/>
              <w:rPr>
                <w:sz w:val="20"/>
                <w:szCs w:val="20"/>
              </w:rPr>
            </w:pPr>
            <w:r w:rsidRPr="00426B31">
              <w:rPr>
                <w:sz w:val="20"/>
                <w:szCs w:val="20"/>
              </w:rPr>
              <w:t>0.25</w:t>
            </w:r>
          </w:p>
        </w:tc>
        <w:tc>
          <w:tcPr>
            <w:tcW w:w="931" w:type="dxa"/>
            <w:tcBorders>
              <w:top w:val="single" w:sz="8" w:space="0" w:color="000000"/>
              <w:left w:val="single" w:sz="8" w:space="0" w:color="000000"/>
              <w:bottom w:val="nil"/>
              <w:right w:val="single" w:sz="8" w:space="0" w:color="000000"/>
            </w:tcBorders>
            <w:shd w:val="clear" w:color="auto" w:fill="auto"/>
            <w:vAlign w:val="center"/>
            <w:hideMark/>
          </w:tcPr>
          <w:p w:rsidR="0029663D" w:rsidRPr="00426B31" w:rsidRDefault="0029663D" w:rsidP="00426B31">
            <w:pPr>
              <w:keepNext/>
              <w:jc w:val="right"/>
              <w:rPr>
                <w:sz w:val="20"/>
                <w:szCs w:val="20"/>
              </w:rPr>
            </w:pPr>
            <w:r w:rsidRPr="00426B31">
              <w:rPr>
                <w:sz w:val="20"/>
                <w:szCs w:val="20"/>
              </w:rPr>
              <w:t xml:space="preserve">$17.74 </w:t>
            </w:r>
          </w:p>
        </w:tc>
        <w:tc>
          <w:tcPr>
            <w:tcW w:w="711" w:type="dxa"/>
            <w:tcBorders>
              <w:top w:val="single" w:sz="4" w:space="0" w:color="auto"/>
              <w:left w:val="nil"/>
              <w:bottom w:val="nil"/>
              <w:right w:val="nil"/>
            </w:tcBorders>
            <w:shd w:val="clear" w:color="auto" w:fill="auto"/>
            <w:noWrap/>
            <w:vAlign w:val="center"/>
            <w:hideMark/>
          </w:tcPr>
          <w:p w:rsidR="0029663D" w:rsidRPr="00426B31" w:rsidRDefault="004B7006" w:rsidP="00426B31">
            <w:pPr>
              <w:keepNext/>
              <w:widowControl/>
              <w:autoSpaceDE/>
              <w:autoSpaceDN/>
              <w:adjustRightInd/>
              <w:jc w:val="center"/>
              <w:rPr>
                <w:sz w:val="20"/>
                <w:szCs w:val="20"/>
              </w:rPr>
            </w:pPr>
            <w:r>
              <w:rPr>
                <w:sz w:val="20"/>
                <w:szCs w:val="20"/>
              </w:rPr>
              <w:t>1</w:t>
            </w:r>
          </w:p>
        </w:tc>
        <w:tc>
          <w:tcPr>
            <w:tcW w:w="1980" w:type="dxa"/>
            <w:tcBorders>
              <w:top w:val="single" w:sz="4" w:space="0" w:color="auto"/>
              <w:left w:val="nil"/>
              <w:bottom w:val="nil"/>
              <w:right w:val="nil"/>
            </w:tcBorders>
            <w:shd w:val="clear" w:color="auto" w:fill="auto"/>
            <w:noWrap/>
            <w:vAlign w:val="center"/>
            <w:hideMark/>
          </w:tcPr>
          <w:p w:rsidR="0029663D" w:rsidRPr="00426B31" w:rsidRDefault="0029663D" w:rsidP="00426B31">
            <w:pPr>
              <w:keepNext/>
              <w:widowControl/>
              <w:autoSpaceDE/>
              <w:autoSpaceDN/>
              <w:adjustRightInd/>
              <w:rPr>
                <w:sz w:val="20"/>
                <w:szCs w:val="20"/>
              </w:rPr>
            </w:pPr>
            <w:r w:rsidRPr="00426B31">
              <w:rPr>
                <w:sz w:val="20"/>
                <w:szCs w:val="20"/>
              </w:rPr>
              <w:t>Notices per year per firm</w:t>
            </w:r>
          </w:p>
        </w:tc>
        <w:tc>
          <w:tcPr>
            <w:tcW w:w="900" w:type="dxa"/>
            <w:tcBorders>
              <w:top w:val="single" w:sz="4" w:space="0" w:color="auto"/>
              <w:left w:val="single" w:sz="8" w:space="0" w:color="000000"/>
              <w:bottom w:val="nil"/>
              <w:right w:val="single" w:sz="8" w:space="0" w:color="000000"/>
            </w:tcBorders>
            <w:shd w:val="clear" w:color="auto" w:fill="auto"/>
            <w:noWrap/>
            <w:vAlign w:val="center"/>
            <w:hideMark/>
          </w:tcPr>
          <w:p w:rsidR="0029663D" w:rsidRPr="00426B31" w:rsidRDefault="0029663D" w:rsidP="00426B31">
            <w:pPr>
              <w:keepNext/>
              <w:widowControl/>
              <w:autoSpaceDE/>
              <w:autoSpaceDN/>
              <w:adjustRightInd/>
              <w:jc w:val="right"/>
              <w:rPr>
                <w:sz w:val="20"/>
                <w:szCs w:val="20"/>
              </w:rPr>
            </w:pPr>
            <w:r w:rsidRPr="00426B31">
              <w:rPr>
                <w:sz w:val="20"/>
                <w:szCs w:val="20"/>
              </w:rPr>
              <w:t>13,951</w:t>
            </w:r>
          </w:p>
        </w:tc>
        <w:tc>
          <w:tcPr>
            <w:tcW w:w="990" w:type="dxa"/>
            <w:tcBorders>
              <w:top w:val="single" w:sz="4" w:space="0" w:color="auto"/>
              <w:left w:val="nil"/>
              <w:bottom w:val="nil"/>
              <w:right w:val="single" w:sz="8" w:space="0" w:color="000000"/>
            </w:tcBorders>
            <w:shd w:val="clear" w:color="auto" w:fill="auto"/>
            <w:noWrap/>
            <w:vAlign w:val="center"/>
            <w:hideMark/>
          </w:tcPr>
          <w:p w:rsidR="0029663D" w:rsidRPr="00426B31" w:rsidRDefault="004B7006" w:rsidP="004B7006">
            <w:pPr>
              <w:keepNext/>
              <w:widowControl/>
              <w:autoSpaceDE/>
              <w:autoSpaceDN/>
              <w:adjustRightInd/>
              <w:jc w:val="right"/>
              <w:rPr>
                <w:sz w:val="20"/>
                <w:szCs w:val="20"/>
              </w:rPr>
            </w:pPr>
            <w:r w:rsidRPr="004B7006">
              <w:rPr>
                <w:sz w:val="20"/>
                <w:szCs w:val="20"/>
              </w:rPr>
              <w:t>3</w:t>
            </w:r>
            <w:r>
              <w:rPr>
                <w:sz w:val="20"/>
                <w:szCs w:val="20"/>
              </w:rPr>
              <w:t>,</w:t>
            </w:r>
            <w:r w:rsidRPr="004B7006">
              <w:rPr>
                <w:sz w:val="20"/>
                <w:szCs w:val="20"/>
              </w:rPr>
              <w:t>48</w:t>
            </w:r>
            <w:r>
              <w:rPr>
                <w:sz w:val="20"/>
                <w:szCs w:val="20"/>
              </w:rPr>
              <w:t>8</w:t>
            </w:r>
          </w:p>
        </w:tc>
        <w:tc>
          <w:tcPr>
            <w:tcW w:w="1206" w:type="dxa"/>
            <w:tcBorders>
              <w:top w:val="single" w:sz="4" w:space="0" w:color="auto"/>
              <w:left w:val="nil"/>
              <w:bottom w:val="nil"/>
              <w:right w:val="double" w:sz="6" w:space="0" w:color="000000"/>
            </w:tcBorders>
            <w:shd w:val="clear" w:color="auto" w:fill="auto"/>
            <w:noWrap/>
            <w:vAlign w:val="center"/>
            <w:hideMark/>
          </w:tcPr>
          <w:p w:rsidR="0029663D" w:rsidRPr="00426B31" w:rsidRDefault="0029663D" w:rsidP="00BF2EF4">
            <w:pPr>
              <w:keepNext/>
              <w:jc w:val="right"/>
              <w:rPr>
                <w:sz w:val="20"/>
                <w:szCs w:val="20"/>
              </w:rPr>
            </w:pPr>
            <w:r w:rsidRPr="00426B31">
              <w:rPr>
                <w:sz w:val="20"/>
                <w:szCs w:val="20"/>
              </w:rPr>
              <w:t>$</w:t>
            </w:r>
            <w:r w:rsidR="004B7006" w:rsidRPr="004B7006">
              <w:rPr>
                <w:sz w:val="20"/>
                <w:szCs w:val="20"/>
              </w:rPr>
              <w:t>247</w:t>
            </w:r>
            <w:r w:rsidR="00BF2EF4">
              <w:rPr>
                <w:sz w:val="20"/>
                <w:szCs w:val="20"/>
              </w:rPr>
              <w:t>,</w:t>
            </w:r>
            <w:r w:rsidR="004B7006" w:rsidRPr="004B7006">
              <w:rPr>
                <w:sz w:val="20"/>
                <w:szCs w:val="20"/>
              </w:rPr>
              <w:t>49</w:t>
            </w:r>
            <w:r w:rsidR="00BF2EF4">
              <w:rPr>
                <w:sz w:val="20"/>
                <w:szCs w:val="20"/>
              </w:rPr>
              <w:t>1</w:t>
            </w:r>
          </w:p>
        </w:tc>
      </w:tr>
      <w:tr w:rsidR="00425340" w:rsidRPr="00A31906" w:rsidTr="00AE18EC">
        <w:trPr>
          <w:trHeight w:val="315"/>
        </w:trPr>
        <w:tc>
          <w:tcPr>
            <w:tcW w:w="1973" w:type="dxa"/>
            <w:tcBorders>
              <w:top w:val="single" w:sz="8" w:space="0" w:color="000000"/>
              <w:left w:val="double" w:sz="6" w:space="0" w:color="000000"/>
              <w:bottom w:val="double" w:sz="6" w:space="0" w:color="000000"/>
              <w:right w:val="nil"/>
            </w:tcBorders>
            <w:shd w:val="clear" w:color="auto" w:fill="auto"/>
            <w:hideMark/>
          </w:tcPr>
          <w:p w:rsidR="0029663D" w:rsidRPr="00426B31" w:rsidRDefault="0029663D" w:rsidP="00426B31">
            <w:pPr>
              <w:keepNext/>
              <w:widowControl/>
              <w:autoSpaceDE/>
              <w:autoSpaceDN/>
              <w:adjustRightInd/>
              <w:rPr>
                <w:b/>
                <w:bCs/>
                <w:sz w:val="20"/>
                <w:szCs w:val="20"/>
              </w:rPr>
            </w:pPr>
            <w:r w:rsidRPr="00426B31">
              <w:rPr>
                <w:b/>
                <w:bCs/>
                <w:sz w:val="20"/>
                <w:szCs w:val="20"/>
              </w:rPr>
              <w:t>Total Burden/Cost</w:t>
            </w:r>
          </w:p>
        </w:tc>
        <w:tc>
          <w:tcPr>
            <w:tcW w:w="990" w:type="dxa"/>
            <w:tcBorders>
              <w:top w:val="single" w:sz="8" w:space="0" w:color="000000"/>
              <w:left w:val="nil"/>
              <w:bottom w:val="double" w:sz="6" w:space="0" w:color="000000"/>
              <w:right w:val="nil"/>
            </w:tcBorders>
            <w:shd w:val="clear" w:color="auto" w:fill="auto"/>
            <w:hideMark/>
          </w:tcPr>
          <w:p w:rsidR="0029663D" w:rsidRPr="00426B31" w:rsidRDefault="0029663D" w:rsidP="00426B31">
            <w:pPr>
              <w:keepNext/>
              <w:widowControl/>
              <w:autoSpaceDE/>
              <w:autoSpaceDN/>
              <w:adjustRightInd/>
              <w:jc w:val="right"/>
              <w:rPr>
                <w:b/>
                <w:bCs/>
                <w:sz w:val="20"/>
                <w:szCs w:val="20"/>
              </w:rPr>
            </w:pPr>
            <w:r w:rsidRPr="00426B31">
              <w:rPr>
                <w:b/>
                <w:bCs/>
                <w:sz w:val="20"/>
                <w:szCs w:val="20"/>
              </w:rPr>
              <w:t> </w:t>
            </w:r>
          </w:p>
        </w:tc>
        <w:tc>
          <w:tcPr>
            <w:tcW w:w="931" w:type="dxa"/>
            <w:tcBorders>
              <w:top w:val="single" w:sz="8" w:space="0" w:color="000000"/>
              <w:left w:val="nil"/>
              <w:bottom w:val="double" w:sz="6" w:space="0" w:color="000000"/>
              <w:right w:val="nil"/>
            </w:tcBorders>
            <w:shd w:val="clear" w:color="auto" w:fill="auto"/>
            <w:hideMark/>
          </w:tcPr>
          <w:p w:rsidR="0029663D" w:rsidRPr="00426B31" w:rsidRDefault="0029663D" w:rsidP="00426B31">
            <w:pPr>
              <w:keepNext/>
              <w:widowControl/>
              <w:autoSpaceDE/>
              <w:autoSpaceDN/>
              <w:adjustRightInd/>
              <w:jc w:val="right"/>
              <w:rPr>
                <w:b/>
                <w:bCs/>
                <w:sz w:val="20"/>
                <w:szCs w:val="20"/>
              </w:rPr>
            </w:pPr>
            <w:r w:rsidRPr="00426B31">
              <w:rPr>
                <w:b/>
                <w:bCs/>
                <w:sz w:val="20"/>
                <w:szCs w:val="20"/>
              </w:rPr>
              <w:t> </w:t>
            </w:r>
          </w:p>
        </w:tc>
        <w:tc>
          <w:tcPr>
            <w:tcW w:w="711" w:type="dxa"/>
            <w:tcBorders>
              <w:top w:val="single" w:sz="8" w:space="0" w:color="000000"/>
              <w:left w:val="nil"/>
              <w:bottom w:val="double" w:sz="6" w:space="0" w:color="000000"/>
              <w:right w:val="nil"/>
            </w:tcBorders>
            <w:shd w:val="clear" w:color="auto" w:fill="auto"/>
            <w:noWrap/>
            <w:vAlign w:val="bottom"/>
            <w:hideMark/>
          </w:tcPr>
          <w:p w:rsidR="0029663D" w:rsidRPr="00426B31" w:rsidRDefault="0029663D" w:rsidP="00426B31">
            <w:pPr>
              <w:keepNext/>
              <w:widowControl/>
              <w:autoSpaceDE/>
              <w:autoSpaceDN/>
              <w:adjustRightInd/>
              <w:rPr>
                <w:sz w:val="20"/>
                <w:szCs w:val="20"/>
              </w:rPr>
            </w:pPr>
            <w:r w:rsidRPr="00426B31">
              <w:rPr>
                <w:sz w:val="20"/>
                <w:szCs w:val="20"/>
              </w:rPr>
              <w:t> </w:t>
            </w:r>
          </w:p>
        </w:tc>
        <w:tc>
          <w:tcPr>
            <w:tcW w:w="1980" w:type="dxa"/>
            <w:tcBorders>
              <w:top w:val="single" w:sz="8" w:space="0" w:color="000000"/>
              <w:left w:val="nil"/>
              <w:bottom w:val="double" w:sz="6" w:space="0" w:color="000000"/>
              <w:right w:val="nil"/>
            </w:tcBorders>
            <w:shd w:val="clear" w:color="auto" w:fill="auto"/>
            <w:noWrap/>
            <w:vAlign w:val="bottom"/>
            <w:hideMark/>
          </w:tcPr>
          <w:p w:rsidR="0029663D" w:rsidRPr="00426B31" w:rsidRDefault="0029663D" w:rsidP="00426B31">
            <w:pPr>
              <w:keepNext/>
              <w:widowControl/>
              <w:autoSpaceDE/>
              <w:autoSpaceDN/>
              <w:adjustRightInd/>
              <w:rPr>
                <w:sz w:val="20"/>
                <w:szCs w:val="20"/>
              </w:rPr>
            </w:pPr>
            <w:r w:rsidRPr="00426B31">
              <w:rPr>
                <w:sz w:val="20"/>
                <w:szCs w:val="20"/>
              </w:rPr>
              <w:t> </w:t>
            </w:r>
          </w:p>
        </w:tc>
        <w:tc>
          <w:tcPr>
            <w:tcW w:w="900" w:type="dxa"/>
            <w:tcBorders>
              <w:top w:val="single" w:sz="8" w:space="0" w:color="000000"/>
              <w:left w:val="nil"/>
              <w:bottom w:val="double" w:sz="6" w:space="0" w:color="000000"/>
              <w:right w:val="nil"/>
            </w:tcBorders>
            <w:shd w:val="clear" w:color="auto" w:fill="auto"/>
            <w:noWrap/>
            <w:vAlign w:val="bottom"/>
            <w:hideMark/>
          </w:tcPr>
          <w:p w:rsidR="0029663D" w:rsidRPr="00426B31" w:rsidRDefault="0029663D" w:rsidP="00426B31">
            <w:pPr>
              <w:keepNext/>
              <w:widowControl/>
              <w:autoSpaceDE/>
              <w:autoSpaceDN/>
              <w:adjustRightInd/>
              <w:rPr>
                <w:sz w:val="20"/>
                <w:szCs w:val="20"/>
              </w:rPr>
            </w:pPr>
            <w:r w:rsidRPr="00426B31">
              <w:rPr>
                <w:sz w:val="20"/>
                <w:szCs w:val="20"/>
              </w:rPr>
              <w:t> </w:t>
            </w:r>
          </w:p>
        </w:tc>
        <w:tc>
          <w:tcPr>
            <w:tcW w:w="990" w:type="dxa"/>
            <w:tcBorders>
              <w:top w:val="single" w:sz="8" w:space="0" w:color="000000"/>
              <w:left w:val="single" w:sz="8" w:space="0" w:color="000000"/>
              <w:bottom w:val="double" w:sz="6" w:space="0" w:color="000000"/>
              <w:right w:val="single" w:sz="8" w:space="0" w:color="000000"/>
            </w:tcBorders>
            <w:shd w:val="clear" w:color="auto" w:fill="auto"/>
            <w:noWrap/>
            <w:vAlign w:val="bottom"/>
            <w:hideMark/>
          </w:tcPr>
          <w:p w:rsidR="0029663D" w:rsidRPr="00426B31" w:rsidRDefault="00BD2797" w:rsidP="00BD2797">
            <w:pPr>
              <w:keepNext/>
              <w:widowControl/>
              <w:autoSpaceDE/>
              <w:autoSpaceDN/>
              <w:adjustRightInd/>
              <w:jc w:val="right"/>
              <w:rPr>
                <w:b/>
                <w:sz w:val="20"/>
                <w:szCs w:val="20"/>
              </w:rPr>
            </w:pPr>
            <w:r>
              <w:t xml:space="preserve"> </w:t>
            </w:r>
            <w:r w:rsidRPr="00BD2797">
              <w:rPr>
                <w:b/>
                <w:sz w:val="20"/>
                <w:szCs w:val="20"/>
              </w:rPr>
              <w:t>26</w:t>
            </w:r>
            <w:r w:rsidR="004C4E64">
              <w:rPr>
                <w:b/>
                <w:sz w:val="20"/>
                <w:szCs w:val="20"/>
              </w:rPr>
              <w:t>,</w:t>
            </w:r>
            <w:r w:rsidRPr="00BD2797">
              <w:rPr>
                <w:b/>
                <w:sz w:val="20"/>
                <w:szCs w:val="20"/>
              </w:rPr>
              <w:t>932</w:t>
            </w:r>
          </w:p>
        </w:tc>
        <w:tc>
          <w:tcPr>
            <w:tcW w:w="1206" w:type="dxa"/>
            <w:tcBorders>
              <w:top w:val="single" w:sz="8" w:space="0" w:color="000000"/>
              <w:left w:val="nil"/>
              <w:bottom w:val="double" w:sz="6" w:space="0" w:color="000000"/>
              <w:right w:val="double" w:sz="6" w:space="0" w:color="000000"/>
            </w:tcBorders>
            <w:shd w:val="clear" w:color="auto" w:fill="auto"/>
            <w:noWrap/>
            <w:vAlign w:val="bottom"/>
            <w:hideMark/>
          </w:tcPr>
          <w:p w:rsidR="0029663D" w:rsidRPr="00426B31" w:rsidRDefault="004C4E64" w:rsidP="00425340">
            <w:pPr>
              <w:keepNext/>
              <w:jc w:val="right"/>
              <w:rPr>
                <w:b/>
                <w:sz w:val="20"/>
                <w:szCs w:val="20"/>
              </w:rPr>
            </w:pPr>
            <w:r w:rsidRPr="004C4E64">
              <w:rPr>
                <w:b/>
                <w:sz w:val="20"/>
                <w:szCs w:val="20"/>
              </w:rPr>
              <w:t>1</w:t>
            </w:r>
            <w:r>
              <w:rPr>
                <w:b/>
                <w:sz w:val="20"/>
                <w:szCs w:val="20"/>
              </w:rPr>
              <w:t>,</w:t>
            </w:r>
            <w:r w:rsidRPr="004C4E64">
              <w:rPr>
                <w:b/>
                <w:sz w:val="20"/>
                <w:szCs w:val="20"/>
              </w:rPr>
              <w:t>795</w:t>
            </w:r>
            <w:r>
              <w:rPr>
                <w:b/>
                <w:sz w:val="20"/>
                <w:szCs w:val="20"/>
              </w:rPr>
              <w:t>,</w:t>
            </w:r>
            <w:r w:rsidRPr="004C4E64">
              <w:rPr>
                <w:b/>
                <w:sz w:val="20"/>
                <w:szCs w:val="20"/>
              </w:rPr>
              <w:t>067</w:t>
            </w:r>
            <w:r w:rsidRPr="004C4E64" w:rsidDel="004C4E64">
              <w:rPr>
                <w:b/>
                <w:sz w:val="20"/>
                <w:szCs w:val="20"/>
              </w:rPr>
              <w:t xml:space="preserve"> </w:t>
            </w:r>
          </w:p>
        </w:tc>
      </w:tr>
    </w:tbl>
    <w:p w:rsidR="0029663D" w:rsidRDefault="0029663D" w:rsidP="0029663D">
      <w:pPr>
        <w:numPr>
          <w:ilvl w:val="12"/>
          <w:numId w:val="0"/>
        </w:numPr>
      </w:pPr>
    </w:p>
    <w:p w:rsidR="0029663D" w:rsidRDefault="0029663D" w:rsidP="0029663D">
      <w:pPr>
        <w:numPr>
          <w:ilvl w:val="12"/>
          <w:numId w:val="0"/>
        </w:numPr>
      </w:pPr>
      <w:r>
        <w:tab/>
      </w:r>
      <w:proofErr w:type="gramStart"/>
      <w:r>
        <w:rPr>
          <w:i/>
          <w:iCs/>
        </w:rPr>
        <w:t>i  Total</w:t>
      </w:r>
      <w:proofErr w:type="gramEnd"/>
      <w:r>
        <w:rPr>
          <w:i/>
          <w:iCs/>
        </w:rPr>
        <w:t xml:space="preserve"> Recordkeeping Burden</w:t>
      </w:r>
      <w:r w:rsidRPr="00917382">
        <w:rPr>
          <w:i/>
          <w:iCs/>
        </w:rPr>
        <w:t xml:space="preserve"> </w:t>
      </w:r>
      <w:r>
        <w:rPr>
          <w:i/>
          <w:iCs/>
        </w:rPr>
        <w:t>and Cost</w:t>
      </w:r>
    </w:p>
    <w:p w:rsidR="0029663D" w:rsidRDefault="0029663D" w:rsidP="0029663D">
      <w:pPr>
        <w:numPr>
          <w:ilvl w:val="12"/>
          <w:numId w:val="0"/>
        </w:numPr>
      </w:pPr>
    </w:p>
    <w:p w:rsidR="0029663D" w:rsidRPr="0029059C" w:rsidRDefault="0029663D" w:rsidP="0029663D">
      <w:pPr>
        <w:numPr>
          <w:ilvl w:val="12"/>
          <w:numId w:val="0"/>
        </w:numPr>
        <w:ind w:firstLine="720"/>
      </w:pPr>
      <w:r w:rsidRPr="0029059C">
        <w:t>The unit burden for recordkeeping is multiplied by the total number of allegations.  Total annual recordkeeping burden is 23,</w:t>
      </w:r>
      <w:r w:rsidR="005F610B">
        <w:t>436</w:t>
      </w:r>
      <w:r w:rsidR="005F610B" w:rsidRPr="0029059C">
        <w:t xml:space="preserve"> </w:t>
      </w:r>
      <w:r w:rsidRPr="0029059C">
        <w:t>hours. The unit cost for recordkeeping of $264.05 is multiplied by the average annual number of allegations per firm.  This figure is then multiplied by the number of firms.  Total annual recordkeeping cost is $1,</w:t>
      </w:r>
      <w:r w:rsidR="005F610B">
        <w:t>547,069</w:t>
      </w:r>
      <w:r w:rsidRPr="0029059C">
        <w:t xml:space="preserve">.  </w:t>
      </w:r>
    </w:p>
    <w:p w:rsidR="0029663D" w:rsidRDefault="0029663D" w:rsidP="0029663D">
      <w:pPr>
        <w:numPr>
          <w:ilvl w:val="12"/>
          <w:numId w:val="0"/>
        </w:numPr>
        <w:ind w:firstLine="720"/>
      </w:pPr>
    </w:p>
    <w:p w:rsidR="0029663D" w:rsidRDefault="0029663D" w:rsidP="0029663D">
      <w:pPr>
        <w:numPr>
          <w:ilvl w:val="12"/>
          <w:numId w:val="0"/>
        </w:numPr>
      </w:pPr>
      <w:r>
        <w:tab/>
      </w:r>
      <w:r>
        <w:rPr>
          <w:i/>
          <w:iCs/>
        </w:rPr>
        <w:t>ii. Total Reporting Burden and Cost</w:t>
      </w:r>
    </w:p>
    <w:p w:rsidR="0029663D" w:rsidRDefault="0029663D" w:rsidP="0029663D">
      <w:pPr>
        <w:numPr>
          <w:ilvl w:val="12"/>
          <w:numId w:val="0"/>
        </w:numPr>
      </w:pPr>
    </w:p>
    <w:p w:rsidR="0029663D" w:rsidRDefault="0029663D" w:rsidP="0029663D">
      <w:pPr>
        <w:numPr>
          <w:ilvl w:val="12"/>
          <w:numId w:val="0"/>
        </w:numPr>
        <w:ind w:firstLine="720"/>
      </w:pPr>
      <w:r>
        <w:t xml:space="preserve">EPA assumes that </w:t>
      </w:r>
      <w:r w:rsidR="00254D74">
        <w:t>1</w:t>
      </w:r>
      <w:r>
        <w:t xml:space="preserve"> TSCA section 8(c) report will be </w:t>
      </w:r>
      <w:r w:rsidR="00254D74">
        <w:t>submitted</w:t>
      </w:r>
      <w:r>
        <w:t xml:space="preserve"> annually, </w:t>
      </w:r>
      <w:r w:rsidR="00254D74">
        <w:t xml:space="preserve">in response to the publication of a single, assumed TSCA section 8(c) notice per year </w:t>
      </w:r>
      <w:r>
        <w:t xml:space="preserve">based on the 31 reports received in </w:t>
      </w:r>
      <w:r w:rsidR="00254D74">
        <w:t xml:space="preserve">response to the 2 TSCA section 8(c) notices published in </w:t>
      </w:r>
      <w:r>
        <w:t xml:space="preserve">the </w:t>
      </w:r>
      <w:r w:rsidR="00254D74">
        <w:t>27–year history of the rule</w:t>
      </w:r>
      <w:r>
        <w:t>.  T</w:t>
      </w:r>
      <w:r w:rsidR="00116B28">
        <w:t>he estimated annual</w:t>
      </w:r>
      <w:r>
        <w:t xml:space="preserve"> reporting burden hour is </w:t>
      </w:r>
      <w:r w:rsidR="00254D74">
        <w:t>1</w:t>
      </w:r>
      <w:r>
        <w:t xml:space="preserve"> report x 8 hours per report (from Unit Reporting Burden and Costs), or </w:t>
      </w:r>
      <w:r w:rsidR="00116B28">
        <w:t>8</w:t>
      </w:r>
      <w:r>
        <w:t xml:space="preserve"> hours. The cost of submitting these reports is determined by multiplying the annual number of reports by the unit reporting cost of $507.04. </w:t>
      </w:r>
      <w:r w:rsidR="00BF2EF4">
        <w:t>The estimated</w:t>
      </w:r>
      <w:r>
        <w:t xml:space="preserve"> annual reporting cost is $</w:t>
      </w:r>
      <w:r w:rsidR="004C4E64">
        <w:t>507.04</w:t>
      </w:r>
      <w:r>
        <w:t>.</w:t>
      </w:r>
    </w:p>
    <w:p w:rsidR="0029663D" w:rsidRDefault="0029663D" w:rsidP="0029663D">
      <w:pPr>
        <w:numPr>
          <w:ilvl w:val="12"/>
          <w:numId w:val="0"/>
        </w:numPr>
      </w:pPr>
    </w:p>
    <w:p w:rsidR="0029663D" w:rsidRDefault="0029663D" w:rsidP="0029663D">
      <w:pPr>
        <w:numPr>
          <w:ilvl w:val="12"/>
          <w:numId w:val="0"/>
        </w:numPr>
      </w:pPr>
      <w:r>
        <w:tab/>
      </w:r>
      <w:r>
        <w:rPr>
          <w:i/>
          <w:iCs/>
        </w:rPr>
        <w:t xml:space="preserve">iii. Total </w:t>
      </w:r>
      <w:r>
        <w:rPr>
          <w:i/>
          <w:iCs/>
          <w:u w:val="single"/>
        </w:rPr>
        <w:t>Federal Register</w:t>
      </w:r>
      <w:r>
        <w:rPr>
          <w:i/>
          <w:iCs/>
        </w:rPr>
        <w:t xml:space="preserve"> Notice Review Burden and Cost</w:t>
      </w:r>
    </w:p>
    <w:p w:rsidR="0029663D" w:rsidRDefault="0029663D" w:rsidP="0029663D">
      <w:pPr>
        <w:numPr>
          <w:ilvl w:val="12"/>
          <w:numId w:val="0"/>
        </w:numPr>
      </w:pPr>
    </w:p>
    <w:p w:rsidR="0029663D" w:rsidRDefault="0029663D" w:rsidP="0029663D">
      <w:pPr>
        <w:numPr>
          <w:ilvl w:val="12"/>
          <w:numId w:val="0"/>
        </w:numPr>
        <w:rPr>
          <w:sz w:val="20"/>
          <w:szCs w:val="20"/>
        </w:rPr>
      </w:pPr>
      <w:r>
        <w:tab/>
        <w:t xml:space="preserve">Historically, the Agency has published an average of only 0.08 notices each year since 1983, as EPA has published only two notices to date.  </w:t>
      </w:r>
      <w:r w:rsidR="00BF2EF4">
        <w:t>In light of that history, EPA conservatively assumes that it will publish a</w:t>
      </w:r>
      <w:r w:rsidR="00BF2EF4" w:rsidRPr="00BF2EF4">
        <w:t xml:space="preserve"> </w:t>
      </w:r>
      <w:r w:rsidR="00BF2EF4">
        <w:t xml:space="preserve">single, TSCA section 8(c) notice each year. </w:t>
      </w:r>
      <w:r>
        <w:t xml:space="preserve">Given this </w:t>
      </w:r>
      <w:r w:rsidR="00BF2EF4">
        <w:t>assumption</w:t>
      </w:r>
      <w:r>
        <w:t>, an</w:t>
      </w:r>
      <w:r w:rsidR="00BF2EF4">
        <w:t xml:space="preserve"> estimated</w:t>
      </w:r>
      <w:r>
        <w:t xml:space="preserve"> unit burden of </w:t>
      </w:r>
      <w:r w:rsidR="000B5459">
        <w:t>0</w:t>
      </w:r>
      <w:r>
        <w:t>.25 hours per notice</w:t>
      </w:r>
      <w:r w:rsidR="00BF2EF4">
        <w:t xml:space="preserve">, and an estimated 13,951 firms that will read the </w:t>
      </w:r>
      <w:r w:rsidR="00BF2EF4">
        <w:rPr>
          <w:u w:val="single"/>
        </w:rPr>
        <w:t>Federal Register</w:t>
      </w:r>
      <w:r w:rsidR="00BF2EF4">
        <w:t xml:space="preserve"> notice to determine compliance obligations</w:t>
      </w:r>
      <w:r>
        <w:t xml:space="preserve">, the </w:t>
      </w:r>
      <w:r w:rsidR="00BF2EF4">
        <w:t>estimated annual</w:t>
      </w:r>
      <w:r>
        <w:t xml:space="preserve"> industry burden is </w:t>
      </w:r>
      <w:r w:rsidR="00BF2EF4" w:rsidRPr="00BF2EF4">
        <w:t>3,488</w:t>
      </w:r>
      <w:r>
        <w:t xml:space="preserve"> hours. </w:t>
      </w:r>
      <w:r w:rsidRPr="00190385">
        <w:t xml:space="preserve"> </w:t>
      </w:r>
      <w:r>
        <w:t xml:space="preserve">The </w:t>
      </w:r>
      <w:r w:rsidR="00BF2EF4">
        <w:t>estimated annual</w:t>
      </w:r>
      <w:r>
        <w:t xml:space="preserve"> cost to industry of reviewing the </w:t>
      </w:r>
      <w:r>
        <w:rPr>
          <w:u w:val="single"/>
        </w:rPr>
        <w:t>Federal Register</w:t>
      </w:r>
      <w:r>
        <w:t xml:space="preserve"> notices is estimated using the unit cost for </w:t>
      </w:r>
      <w:r w:rsidRPr="008C07BA">
        <w:rPr>
          <w:u w:val="single"/>
        </w:rPr>
        <w:t>Federal Register</w:t>
      </w:r>
      <w:r>
        <w:t xml:space="preserve"> review at $17.74 and multiplying by </w:t>
      </w:r>
      <w:r w:rsidR="00BF2EF4">
        <w:t>13,951 firms reading 1 notice</w:t>
      </w:r>
      <w:r>
        <w:t xml:space="preserve"> per year to obtain $</w:t>
      </w:r>
      <w:r w:rsidR="00BF2EF4" w:rsidRPr="00BF2EF4">
        <w:t>247,491</w:t>
      </w:r>
      <w:r w:rsidR="00BF2EF4">
        <w:t>.</w:t>
      </w:r>
    </w:p>
    <w:p w:rsidR="0029663D" w:rsidRDefault="0029663D" w:rsidP="0029663D">
      <w:pPr>
        <w:numPr>
          <w:ilvl w:val="12"/>
          <w:numId w:val="0"/>
        </w:numPr>
      </w:pPr>
    </w:p>
    <w:p w:rsidR="0029663D" w:rsidRDefault="0029663D" w:rsidP="0029663D">
      <w:pPr>
        <w:numPr>
          <w:ilvl w:val="12"/>
          <w:numId w:val="0"/>
        </w:numPr>
      </w:pPr>
      <w:r>
        <w:tab/>
      </w:r>
      <w:r>
        <w:rPr>
          <w:i/>
          <w:iCs/>
        </w:rPr>
        <w:t xml:space="preserve">iv. Total Industry Burden and Costs </w:t>
      </w:r>
    </w:p>
    <w:p w:rsidR="0029663D" w:rsidRDefault="0029663D" w:rsidP="0029663D">
      <w:pPr>
        <w:numPr>
          <w:ilvl w:val="12"/>
          <w:numId w:val="0"/>
        </w:numPr>
      </w:pPr>
    </w:p>
    <w:p w:rsidR="0029663D" w:rsidRDefault="0029663D" w:rsidP="0029663D">
      <w:pPr>
        <w:numPr>
          <w:ilvl w:val="12"/>
          <w:numId w:val="0"/>
        </w:numPr>
      </w:pPr>
      <w:r>
        <w:tab/>
        <w:t xml:space="preserve">The total economic burden on the regulated community imposed by TSCA section 8(c) is the sum of the three components identified above (recordkeeping, reporting, and </w:t>
      </w:r>
      <w:r>
        <w:rPr>
          <w:u w:val="single"/>
        </w:rPr>
        <w:t>Federal Register</w:t>
      </w:r>
      <w:r>
        <w:t xml:space="preserve"> notice review) and estimated at </w:t>
      </w:r>
      <w:r w:rsidR="00BF2EF4" w:rsidRPr="00BF2EF4">
        <w:t>26,</w:t>
      </w:r>
      <w:r w:rsidR="005F610B" w:rsidRPr="00BF2EF4">
        <w:t>9</w:t>
      </w:r>
      <w:r w:rsidR="005F610B">
        <w:t xml:space="preserve">32 </w:t>
      </w:r>
      <w:r>
        <w:t xml:space="preserve">hours </w:t>
      </w:r>
      <w:r w:rsidR="00BF2EF4">
        <w:t xml:space="preserve">annually </w:t>
      </w:r>
      <w:r>
        <w:t xml:space="preserve">with an associated </w:t>
      </w:r>
      <w:r w:rsidR="00BF2EF4">
        <w:t xml:space="preserve">annual </w:t>
      </w:r>
      <w:r>
        <w:t>cost of $</w:t>
      </w:r>
      <w:r w:rsidR="00BF2EF4" w:rsidRPr="00BF2EF4">
        <w:t>1,</w:t>
      </w:r>
      <w:r w:rsidR="005F610B" w:rsidRPr="00BF2EF4">
        <w:t>79</w:t>
      </w:r>
      <w:r w:rsidR="005F610B">
        <w:t>5</w:t>
      </w:r>
      <w:r w:rsidR="00BF2EF4" w:rsidRPr="00BF2EF4">
        <w:t>,</w:t>
      </w:r>
      <w:r w:rsidR="005F610B">
        <w:t>067</w:t>
      </w:r>
      <w:r>
        <w:t xml:space="preserve">.  These costs, shown in </w:t>
      </w:r>
      <w:r w:rsidR="001C1299">
        <w:t>T</w:t>
      </w:r>
      <w:r>
        <w:t xml:space="preserve">able </w:t>
      </w:r>
      <w:r w:rsidR="001C1299">
        <w:t>6</w:t>
      </w:r>
      <w:r>
        <w:t>, would be incurred in each of the three years covered by this ICR.</w:t>
      </w:r>
    </w:p>
    <w:p w:rsidR="0029663D" w:rsidRDefault="0029663D" w:rsidP="0029663D"/>
    <w:tbl>
      <w:tblPr>
        <w:tblW w:w="9270" w:type="dxa"/>
        <w:tblInd w:w="108" w:type="dxa"/>
        <w:tblLook w:val="0000"/>
      </w:tblPr>
      <w:tblGrid>
        <w:gridCol w:w="2970"/>
        <w:gridCol w:w="2250"/>
        <w:gridCol w:w="1980"/>
        <w:gridCol w:w="2070"/>
      </w:tblGrid>
      <w:tr w:rsidR="0029663D" w:rsidRPr="00033A91" w:rsidTr="00AE18EC">
        <w:trPr>
          <w:trHeight w:val="330"/>
        </w:trPr>
        <w:tc>
          <w:tcPr>
            <w:tcW w:w="5220" w:type="dxa"/>
            <w:gridSpan w:val="2"/>
            <w:tcBorders>
              <w:top w:val="nil"/>
              <w:left w:val="nil"/>
              <w:bottom w:val="nil"/>
              <w:right w:val="nil"/>
            </w:tcBorders>
            <w:noWrap/>
            <w:vAlign w:val="bottom"/>
          </w:tcPr>
          <w:p w:rsidR="0029663D" w:rsidRPr="00033A91" w:rsidRDefault="0029663D" w:rsidP="00426B31">
            <w:pPr>
              <w:keepNext/>
              <w:widowControl/>
              <w:autoSpaceDE/>
              <w:autoSpaceDN/>
              <w:adjustRightInd/>
              <w:rPr>
                <w:b/>
                <w:bCs/>
              </w:rPr>
            </w:pPr>
            <w:r w:rsidRPr="00033A91">
              <w:rPr>
                <w:b/>
                <w:bCs/>
              </w:rPr>
              <w:lastRenderedPageBreak/>
              <w:t>Table 6. Total Industry Burden</w:t>
            </w:r>
            <w:r>
              <w:rPr>
                <w:b/>
                <w:bCs/>
              </w:rPr>
              <w:t xml:space="preserve"> and Cost</w:t>
            </w:r>
          </w:p>
        </w:tc>
        <w:tc>
          <w:tcPr>
            <w:tcW w:w="1980" w:type="dxa"/>
            <w:tcBorders>
              <w:top w:val="nil"/>
              <w:left w:val="nil"/>
              <w:bottom w:val="nil"/>
              <w:right w:val="nil"/>
            </w:tcBorders>
            <w:noWrap/>
            <w:vAlign w:val="bottom"/>
          </w:tcPr>
          <w:p w:rsidR="0029663D" w:rsidRPr="00033A91" w:rsidRDefault="0029663D" w:rsidP="00426B31">
            <w:pPr>
              <w:keepNext/>
              <w:widowControl/>
              <w:autoSpaceDE/>
              <w:autoSpaceDN/>
              <w:adjustRightInd/>
              <w:rPr>
                <w:rFonts w:ascii="Arial" w:hAnsi="Arial" w:cs="Arial"/>
                <w:sz w:val="20"/>
                <w:szCs w:val="20"/>
              </w:rPr>
            </w:pPr>
          </w:p>
        </w:tc>
        <w:tc>
          <w:tcPr>
            <w:tcW w:w="2070" w:type="dxa"/>
            <w:tcBorders>
              <w:top w:val="nil"/>
              <w:left w:val="nil"/>
              <w:bottom w:val="nil"/>
              <w:right w:val="nil"/>
            </w:tcBorders>
            <w:noWrap/>
            <w:vAlign w:val="bottom"/>
          </w:tcPr>
          <w:p w:rsidR="0029663D" w:rsidRPr="00033A91" w:rsidRDefault="0029663D" w:rsidP="00426B31">
            <w:pPr>
              <w:keepNext/>
              <w:widowControl/>
              <w:autoSpaceDE/>
              <w:autoSpaceDN/>
              <w:adjustRightInd/>
              <w:rPr>
                <w:rFonts w:ascii="Arial" w:hAnsi="Arial" w:cs="Arial"/>
                <w:sz w:val="20"/>
                <w:szCs w:val="20"/>
              </w:rPr>
            </w:pPr>
          </w:p>
        </w:tc>
      </w:tr>
      <w:tr w:rsidR="0029663D" w:rsidRPr="00033A91" w:rsidTr="00AE18EC">
        <w:trPr>
          <w:cantSplit/>
          <w:trHeight w:val="657"/>
        </w:trPr>
        <w:tc>
          <w:tcPr>
            <w:tcW w:w="2970" w:type="dxa"/>
            <w:tcBorders>
              <w:top w:val="double" w:sz="6" w:space="0" w:color="000000"/>
              <w:left w:val="double" w:sz="6" w:space="0" w:color="000000"/>
              <w:bottom w:val="single" w:sz="8" w:space="0" w:color="000000"/>
              <w:right w:val="single" w:sz="8" w:space="0" w:color="000000"/>
            </w:tcBorders>
          </w:tcPr>
          <w:p w:rsidR="0029663D" w:rsidRPr="00426B31" w:rsidRDefault="0029663D" w:rsidP="00426B31">
            <w:pPr>
              <w:keepNext/>
              <w:widowControl/>
              <w:autoSpaceDE/>
              <w:autoSpaceDN/>
              <w:adjustRightInd/>
              <w:jc w:val="center"/>
              <w:rPr>
                <w:b/>
                <w:bCs/>
                <w:sz w:val="20"/>
                <w:szCs w:val="20"/>
              </w:rPr>
            </w:pPr>
            <w:r w:rsidRPr="00426B31">
              <w:rPr>
                <w:b/>
                <w:bCs/>
                <w:sz w:val="20"/>
                <w:szCs w:val="20"/>
              </w:rPr>
              <w:t>Collection Activity</w:t>
            </w:r>
          </w:p>
        </w:tc>
        <w:tc>
          <w:tcPr>
            <w:tcW w:w="2250" w:type="dxa"/>
            <w:tcBorders>
              <w:top w:val="double" w:sz="6" w:space="0" w:color="000000"/>
              <w:left w:val="nil"/>
              <w:bottom w:val="single" w:sz="8" w:space="0" w:color="000000"/>
              <w:right w:val="single" w:sz="8" w:space="0" w:color="000000"/>
            </w:tcBorders>
          </w:tcPr>
          <w:p w:rsidR="0029663D" w:rsidRPr="00426B31" w:rsidRDefault="0029663D" w:rsidP="00426B31">
            <w:pPr>
              <w:keepNext/>
              <w:widowControl/>
              <w:autoSpaceDE/>
              <w:autoSpaceDN/>
              <w:adjustRightInd/>
              <w:jc w:val="center"/>
              <w:rPr>
                <w:b/>
                <w:bCs/>
                <w:sz w:val="20"/>
                <w:szCs w:val="20"/>
              </w:rPr>
            </w:pPr>
            <w:r w:rsidRPr="00426B31">
              <w:rPr>
                <w:b/>
                <w:bCs/>
                <w:sz w:val="20"/>
                <w:szCs w:val="20"/>
              </w:rPr>
              <w:t>Number of Respondents</w:t>
            </w:r>
          </w:p>
        </w:tc>
        <w:tc>
          <w:tcPr>
            <w:tcW w:w="1980" w:type="dxa"/>
            <w:tcBorders>
              <w:top w:val="double" w:sz="6" w:space="0" w:color="000000"/>
              <w:left w:val="nil"/>
              <w:bottom w:val="single" w:sz="8" w:space="0" w:color="000000"/>
              <w:right w:val="double" w:sz="6" w:space="0" w:color="000000"/>
            </w:tcBorders>
          </w:tcPr>
          <w:p w:rsidR="0029663D" w:rsidRPr="00426B31" w:rsidRDefault="0029663D" w:rsidP="00426B31">
            <w:pPr>
              <w:keepNext/>
              <w:widowControl/>
              <w:autoSpaceDE/>
              <w:autoSpaceDN/>
              <w:adjustRightInd/>
              <w:jc w:val="center"/>
              <w:rPr>
                <w:b/>
                <w:bCs/>
                <w:sz w:val="20"/>
                <w:szCs w:val="20"/>
              </w:rPr>
            </w:pPr>
            <w:r w:rsidRPr="00426B31">
              <w:rPr>
                <w:b/>
                <w:bCs/>
                <w:sz w:val="20"/>
                <w:szCs w:val="20"/>
              </w:rPr>
              <w:t>Total Annual Burden, Hours</w:t>
            </w:r>
          </w:p>
        </w:tc>
        <w:tc>
          <w:tcPr>
            <w:tcW w:w="2070" w:type="dxa"/>
            <w:tcBorders>
              <w:top w:val="double" w:sz="6" w:space="0" w:color="000000"/>
              <w:left w:val="single" w:sz="8" w:space="0" w:color="000000"/>
              <w:bottom w:val="single" w:sz="8" w:space="0" w:color="000000"/>
              <w:right w:val="double" w:sz="6" w:space="0" w:color="000000"/>
            </w:tcBorders>
          </w:tcPr>
          <w:p w:rsidR="0029663D" w:rsidRPr="00426B31" w:rsidRDefault="0029663D" w:rsidP="00426B31">
            <w:pPr>
              <w:keepNext/>
              <w:widowControl/>
              <w:autoSpaceDE/>
              <w:autoSpaceDN/>
              <w:adjustRightInd/>
              <w:jc w:val="center"/>
              <w:rPr>
                <w:b/>
                <w:bCs/>
                <w:sz w:val="20"/>
                <w:szCs w:val="20"/>
              </w:rPr>
            </w:pPr>
            <w:r w:rsidRPr="00426B31">
              <w:rPr>
                <w:b/>
                <w:bCs/>
                <w:sz w:val="20"/>
                <w:szCs w:val="20"/>
              </w:rPr>
              <w:t>Total Annual Cost</w:t>
            </w:r>
          </w:p>
        </w:tc>
      </w:tr>
      <w:tr w:rsidR="0029663D" w:rsidRPr="00033A91" w:rsidTr="00AE18EC">
        <w:trPr>
          <w:cantSplit/>
          <w:trHeight w:val="330"/>
        </w:trPr>
        <w:tc>
          <w:tcPr>
            <w:tcW w:w="2970" w:type="dxa"/>
            <w:tcBorders>
              <w:top w:val="nil"/>
              <w:left w:val="double" w:sz="6" w:space="0" w:color="000000"/>
              <w:bottom w:val="single" w:sz="8" w:space="0" w:color="000000"/>
              <w:right w:val="single" w:sz="8" w:space="0" w:color="000000"/>
            </w:tcBorders>
          </w:tcPr>
          <w:p w:rsidR="0029663D" w:rsidRPr="00426B31" w:rsidRDefault="0029663D" w:rsidP="00426B31">
            <w:pPr>
              <w:keepNext/>
              <w:widowControl/>
              <w:autoSpaceDE/>
              <w:autoSpaceDN/>
              <w:adjustRightInd/>
              <w:rPr>
                <w:sz w:val="20"/>
                <w:szCs w:val="20"/>
              </w:rPr>
            </w:pPr>
            <w:r w:rsidRPr="00426B31">
              <w:rPr>
                <w:sz w:val="20"/>
                <w:szCs w:val="20"/>
              </w:rPr>
              <w:t>Recordkeeping</w:t>
            </w:r>
          </w:p>
        </w:tc>
        <w:tc>
          <w:tcPr>
            <w:tcW w:w="2250" w:type="dxa"/>
            <w:tcBorders>
              <w:top w:val="nil"/>
              <w:left w:val="nil"/>
              <w:bottom w:val="single" w:sz="8" w:space="0" w:color="000000"/>
              <w:right w:val="single" w:sz="8" w:space="0" w:color="000000"/>
            </w:tcBorders>
          </w:tcPr>
          <w:p w:rsidR="0029663D" w:rsidRPr="00426B31" w:rsidRDefault="005A7CAE" w:rsidP="00426B31">
            <w:pPr>
              <w:keepNext/>
              <w:widowControl/>
              <w:autoSpaceDE/>
              <w:autoSpaceDN/>
              <w:adjustRightInd/>
              <w:jc w:val="right"/>
              <w:rPr>
                <w:sz w:val="20"/>
                <w:szCs w:val="20"/>
              </w:rPr>
            </w:pPr>
            <w:r>
              <w:rPr>
                <w:sz w:val="20"/>
                <w:szCs w:val="20"/>
              </w:rPr>
              <w:t>5,859</w:t>
            </w:r>
          </w:p>
        </w:tc>
        <w:tc>
          <w:tcPr>
            <w:tcW w:w="1980" w:type="dxa"/>
            <w:tcBorders>
              <w:top w:val="nil"/>
              <w:left w:val="nil"/>
              <w:bottom w:val="single" w:sz="8" w:space="0" w:color="000000"/>
              <w:right w:val="single" w:sz="8" w:space="0" w:color="000000"/>
            </w:tcBorders>
          </w:tcPr>
          <w:p w:rsidR="0029663D" w:rsidRPr="00426B31" w:rsidRDefault="00B1530B" w:rsidP="00426B31">
            <w:pPr>
              <w:keepNext/>
              <w:widowControl/>
              <w:autoSpaceDE/>
              <w:autoSpaceDN/>
              <w:adjustRightInd/>
              <w:jc w:val="right"/>
              <w:rPr>
                <w:sz w:val="20"/>
                <w:szCs w:val="20"/>
              </w:rPr>
            </w:pPr>
            <w:r>
              <w:rPr>
                <w:sz w:val="20"/>
                <w:szCs w:val="20"/>
              </w:rPr>
              <w:t>23,436</w:t>
            </w:r>
            <w:r w:rsidR="0029663D" w:rsidRPr="00426B31">
              <w:rPr>
                <w:sz w:val="20"/>
                <w:szCs w:val="20"/>
              </w:rPr>
              <w:t xml:space="preserve"> </w:t>
            </w:r>
          </w:p>
        </w:tc>
        <w:tc>
          <w:tcPr>
            <w:tcW w:w="2070" w:type="dxa"/>
            <w:tcBorders>
              <w:top w:val="nil"/>
              <w:left w:val="nil"/>
              <w:bottom w:val="single" w:sz="8" w:space="0" w:color="000000"/>
              <w:right w:val="double" w:sz="6" w:space="0" w:color="000000"/>
            </w:tcBorders>
          </w:tcPr>
          <w:p w:rsidR="0029663D" w:rsidRPr="00426B31" w:rsidRDefault="0029663D" w:rsidP="00B1530B">
            <w:pPr>
              <w:keepNext/>
              <w:jc w:val="right"/>
              <w:rPr>
                <w:sz w:val="20"/>
                <w:szCs w:val="20"/>
              </w:rPr>
            </w:pPr>
            <w:r w:rsidRPr="00426B31">
              <w:rPr>
                <w:sz w:val="20"/>
                <w:szCs w:val="20"/>
              </w:rPr>
              <w:t>$</w:t>
            </w:r>
            <w:r w:rsidR="00B1530B">
              <w:rPr>
                <w:sz w:val="20"/>
                <w:szCs w:val="20"/>
              </w:rPr>
              <w:t>1,547,069</w:t>
            </w:r>
          </w:p>
        </w:tc>
      </w:tr>
      <w:tr w:rsidR="0029663D" w:rsidRPr="00033A91" w:rsidTr="00AE18EC">
        <w:trPr>
          <w:cantSplit/>
          <w:trHeight w:val="330"/>
        </w:trPr>
        <w:tc>
          <w:tcPr>
            <w:tcW w:w="2970" w:type="dxa"/>
            <w:tcBorders>
              <w:top w:val="nil"/>
              <w:left w:val="double" w:sz="6" w:space="0" w:color="000000"/>
              <w:bottom w:val="single" w:sz="8" w:space="0" w:color="000000"/>
              <w:right w:val="single" w:sz="8" w:space="0" w:color="000000"/>
            </w:tcBorders>
          </w:tcPr>
          <w:p w:rsidR="0029663D" w:rsidRPr="00426B31" w:rsidRDefault="0029663D" w:rsidP="00426B31">
            <w:pPr>
              <w:keepNext/>
              <w:widowControl/>
              <w:autoSpaceDE/>
              <w:autoSpaceDN/>
              <w:adjustRightInd/>
              <w:rPr>
                <w:sz w:val="20"/>
                <w:szCs w:val="20"/>
              </w:rPr>
            </w:pPr>
            <w:r w:rsidRPr="00426B31">
              <w:rPr>
                <w:sz w:val="20"/>
                <w:szCs w:val="20"/>
              </w:rPr>
              <w:t>Reporting</w:t>
            </w:r>
          </w:p>
        </w:tc>
        <w:tc>
          <w:tcPr>
            <w:tcW w:w="2250" w:type="dxa"/>
            <w:tcBorders>
              <w:top w:val="nil"/>
              <w:left w:val="nil"/>
              <w:bottom w:val="single" w:sz="8" w:space="0" w:color="000000"/>
              <w:right w:val="single" w:sz="8" w:space="0" w:color="000000"/>
            </w:tcBorders>
          </w:tcPr>
          <w:p w:rsidR="0029663D" w:rsidRPr="00426B31" w:rsidRDefault="004C4E64" w:rsidP="00426B31">
            <w:pPr>
              <w:keepNext/>
              <w:widowControl/>
              <w:autoSpaceDE/>
              <w:autoSpaceDN/>
              <w:adjustRightInd/>
              <w:jc w:val="right"/>
              <w:rPr>
                <w:sz w:val="20"/>
                <w:szCs w:val="20"/>
              </w:rPr>
            </w:pPr>
            <w:r>
              <w:rPr>
                <w:sz w:val="20"/>
                <w:szCs w:val="20"/>
              </w:rPr>
              <w:t>1</w:t>
            </w:r>
          </w:p>
        </w:tc>
        <w:tc>
          <w:tcPr>
            <w:tcW w:w="1980" w:type="dxa"/>
            <w:tcBorders>
              <w:top w:val="nil"/>
              <w:left w:val="nil"/>
              <w:bottom w:val="single" w:sz="8" w:space="0" w:color="000000"/>
              <w:right w:val="single" w:sz="8" w:space="0" w:color="000000"/>
            </w:tcBorders>
          </w:tcPr>
          <w:p w:rsidR="0029663D" w:rsidRPr="00426B31" w:rsidRDefault="00BF2EF4" w:rsidP="00BF2EF4">
            <w:pPr>
              <w:keepNext/>
              <w:widowControl/>
              <w:autoSpaceDE/>
              <w:autoSpaceDN/>
              <w:adjustRightInd/>
              <w:jc w:val="right"/>
              <w:rPr>
                <w:sz w:val="20"/>
                <w:szCs w:val="20"/>
              </w:rPr>
            </w:pPr>
            <w:r>
              <w:rPr>
                <w:sz w:val="20"/>
                <w:szCs w:val="20"/>
              </w:rPr>
              <w:t>8</w:t>
            </w:r>
            <w:r w:rsidR="0029663D" w:rsidRPr="00426B31">
              <w:rPr>
                <w:sz w:val="20"/>
                <w:szCs w:val="20"/>
              </w:rPr>
              <w:t xml:space="preserve"> </w:t>
            </w:r>
          </w:p>
        </w:tc>
        <w:tc>
          <w:tcPr>
            <w:tcW w:w="2070" w:type="dxa"/>
            <w:tcBorders>
              <w:top w:val="nil"/>
              <w:left w:val="nil"/>
              <w:bottom w:val="single" w:sz="8" w:space="0" w:color="000000"/>
              <w:right w:val="double" w:sz="6" w:space="0" w:color="000000"/>
            </w:tcBorders>
          </w:tcPr>
          <w:p w:rsidR="0029663D" w:rsidRPr="00426B31" w:rsidRDefault="0029663D" w:rsidP="004C4E64">
            <w:pPr>
              <w:keepNext/>
              <w:jc w:val="right"/>
              <w:rPr>
                <w:sz w:val="20"/>
                <w:szCs w:val="20"/>
              </w:rPr>
            </w:pPr>
            <w:r w:rsidRPr="00426B31">
              <w:rPr>
                <w:sz w:val="20"/>
                <w:szCs w:val="20"/>
              </w:rPr>
              <w:t>$</w:t>
            </w:r>
            <w:r w:rsidR="004C4E64">
              <w:rPr>
                <w:sz w:val="20"/>
                <w:szCs w:val="20"/>
              </w:rPr>
              <w:t>507</w:t>
            </w:r>
          </w:p>
        </w:tc>
      </w:tr>
      <w:tr w:rsidR="0029663D" w:rsidRPr="00033A91" w:rsidTr="00AE18EC">
        <w:trPr>
          <w:cantSplit/>
          <w:trHeight w:val="360"/>
        </w:trPr>
        <w:tc>
          <w:tcPr>
            <w:tcW w:w="2970" w:type="dxa"/>
            <w:tcBorders>
              <w:top w:val="nil"/>
              <w:left w:val="double" w:sz="6" w:space="0" w:color="000000"/>
              <w:bottom w:val="single" w:sz="8" w:space="0" w:color="000000"/>
              <w:right w:val="single" w:sz="8" w:space="0" w:color="000000"/>
            </w:tcBorders>
          </w:tcPr>
          <w:p w:rsidR="0029663D" w:rsidRPr="00426B31" w:rsidRDefault="0029663D" w:rsidP="00426B31">
            <w:pPr>
              <w:keepNext/>
              <w:widowControl/>
              <w:autoSpaceDE/>
              <w:autoSpaceDN/>
              <w:adjustRightInd/>
              <w:rPr>
                <w:sz w:val="20"/>
                <w:szCs w:val="20"/>
                <w:u w:val="single"/>
              </w:rPr>
            </w:pPr>
            <w:r w:rsidRPr="00426B31">
              <w:rPr>
                <w:sz w:val="20"/>
                <w:szCs w:val="20"/>
                <w:u w:val="single"/>
              </w:rPr>
              <w:t>Federal Register</w:t>
            </w:r>
            <w:r w:rsidRPr="00426B31">
              <w:rPr>
                <w:sz w:val="20"/>
                <w:szCs w:val="20"/>
              </w:rPr>
              <w:t xml:space="preserve"> Review</w:t>
            </w:r>
          </w:p>
        </w:tc>
        <w:tc>
          <w:tcPr>
            <w:tcW w:w="2250" w:type="dxa"/>
            <w:tcBorders>
              <w:top w:val="nil"/>
              <w:left w:val="nil"/>
              <w:bottom w:val="single" w:sz="8" w:space="0" w:color="000000"/>
              <w:right w:val="single" w:sz="8" w:space="0" w:color="000000"/>
            </w:tcBorders>
          </w:tcPr>
          <w:p w:rsidR="0029663D" w:rsidRPr="00426B31" w:rsidRDefault="0029663D" w:rsidP="00426B31">
            <w:pPr>
              <w:keepNext/>
              <w:widowControl/>
              <w:autoSpaceDE/>
              <w:autoSpaceDN/>
              <w:adjustRightInd/>
              <w:jc w:val="right"/>
              <w:rPr>
                <w:sz w:val="20"/>
                <w:szCs w:val="20"/>
              </w:rPr>
            </w:pPr>
            <w:r w:rsidRPr="00426B31">
              <w:rPr>
                <w:sz w:val="20"/>
                <w:szCs w:val="20"/>
              </w:rPr>
              <w:t>13,951</w:t>
            </w:r>
          </w:p>
        </w:tc>
        <w:tc>
          <w:tcPr>
            <w:tcW w:w="1980" w:type="dxa"/>
            <w:tcBorders>
              <w:top w:val="nil"/>
              <w:left w:val="nil"/>
              <w:bottom w:val="single" w:sz="8" w:space="0" w:color="000000"/>
              <w:right w:val="single" w:sz="8" w:space="0" w:color="000000"/>
            </w:tcBorders>
          </w:tcPr>
          <w:p w:rsidR="0029663D" w:rsidRPr="00426B31" w:rsidRDefault="00BF2EF4" w:rsidP="00426B31">
            <w:pPr>
              <w:keepNext/>
              <w:widowControl/>
              <w:autoSpaceDE/>
              <w:autoSpaceDN/>
              <w:adjustRightInd/>
              <w:jc w:val="right"/>
              <w:rPr>
                <w:sz w:val="20"/>
                <w:szCs w:val="20"/>
              </w:rPr>
            </w:pPr>
            <w:r w:rsidRPr="00BF2EF4">
              <w:rPr>
                <w:sz w:val="20"/>
                <w:szCs w:val="20"/>
              </w:rPr>
              <w:t>3,488</w:t>
            </w:r>
          </w:p>
        </w:tc>
        <w:tc>
          <w:tcPr>
            <w:tcW w:w="2070" w:type="dxa"/>
            <w:tcBorders>
              <w:top w:val="nil"/>
              <w:left w:val="nil"/>
              <w:bottom w:val="single" w:sz="8" w:space="0" w:color="000000"/>
              <w:right w:val="double" w:sz="6" w:space="0" w:color="000000"/>
            </w:tcBorders>
          </w:tcPr>
          <w:p w:rsidR="0029663D" w:rsidRPr="00426B31" w:rsidRDefault="0029663D" w:rsidP="00426B31">
            <w:pPr>
              <w:keepNext/>
              <w:jc w:val="right"/>
              <w:rPr>
                <w:sz w:val="20"/>
                <w:szCs w:val="20"/>
              </w:rPr>
            </w:pPr>
            <w:r w:rsidRPr="00426B31">
              <w:rPr>
                <w:sz w:val="20"/>
                <w:szCs w:val="20"/>
              </w:rPr>
              <w:t>$</w:t>
            </w:r>
            <w:r w:rsidR="00BF2EF4" w:rsidRPr="004B7006">
              <w:rPr>
                <w:sz w:val="20"/>
                <w:szCs w:val="20"/>
              </w:rPr>
              <w:t>247</w:t>
            </w:r>
            <w:r w:rsidR="00BF2EF4">
              <w:rPr>
                <w:sz w:val="20"/>
                <w:szCs w:val="20"/>
              </w:rPr>
              <w:t>,</w:t>
            </w:r>
            <w:r w:rsidR="00BF2EF4" w:rsidRPr="004B7006">
              <w:rPr>
                <w:sz w:val="20"/>
                <w:szCs w:val="20"/>
              </w:rPr>
              <w:t>49</w:t>
            </w:r>
            <w:r w:rsidR="00BF2EF4">
              <w:rPr>
                <w:sz w:val="20"/>
                <w:szCs w:val="20"/>
              </w:rPr>
              <w:t>1</w:t>
            </w:r>
          </w:p>
        </w:tc>
      </w:tr>
      <w:tr w:rsidR="0029663D" w:rsidRPr="00033A91" w:rsidTr="00AE18EC">
        <w:trPr>
          <w:cantSplit/>
          <w:trHeight w:val="330"/>
        </w:trPr>
        <w:tc>
          <w:tcPr>
            <w:tcW w:w="2970" w:type="dxa"/>
            <w:tcBorders>
              <w:top w:val="nil"/>
              <w:left w:val="double" w:sz="6" w:space="0" w:color="000000"/>
              <w:bottom w:val="double" w:sz="6" w:space="0" w:color="000000"/>
              <w:right w:val="single" w:sz="8" w:space="0" w:color="000000"/>
            </w:tcBorders>
          </w:tcPr>
          <w:p w:rsidR="0029663D" w:rsidRPr="00426B31" w:rsidRDefault="0029663D" w:rsidP="00426B31">
            <w:pPr>
              <w:keepNext/>
              <w:widowControl/>
              <w:autoSpaceDE/>
              <w:autoSpaceDN/>
              <w:adjustRightInd/>
              <w:rPr>
                <w:b/>
                <w:bCs/>
                <w:sz w:val="20"/>
                <w:szCs w:val="20"/>
              </w:rPr>
            </w:pPr>
            <w:r w:rsidRPr="00426B31">
              <w:rPr>
                <w:b/>
                <w:bCs/>
                <w:sz w:val="20"/>
                <w:szCs w:val="20"/>
              </w:rPr>
              <w:t>Total/Overall</w:t>
            </w:r>
          </w:p>
        </w:tc>
        <w:tc>
          <w:tcPr>
            <w:tcW w:w="2250" w:type="dxa"/>
            <w:tcBorders>
              <w:top w:val="nil"/>
              <w:left w:val="nil"/>
              <w:bottom w:val="double" w:sz="6" w:space="0" w:color="000000"/>
              <w:right w:val="single" w:sz="8" w:space="0" w:color="000000"/>
            </w:tcBorders>
          </w:tcPr>
          <w:p w:rsidR="0029663D" w:rsidRPr="00426B31" w:rsidRDefault="0029663D" w:rsidP="00426B31">
            <w:pPr>
              <w:keepNext/>
              <w:widowControl/>
              <w:autoSpaceDE/>
              <w:autoSpaceDN/>
              <w:adjustRightInd/>
              <w:jc w:val="right"/>
              <w:rPr>
                <w:b/>
                <w:bCs/>
                <w:sz w:val="20"/>
                <w:szCs w:val="20"/>
              </w:rPr>
            </w:pPr>
            <w:r w:rsidRPr="00426B31">
              <w:rPr>
                <w:b/>
                <w:bCs/>
                <w:sz w:val="20"/>
                <w:szCs w:val="20"/>
              </w:rPr>
              <w:t>13,951</w:t>
            </w:r>
          </w:p>
        </w:tc>
        <w:tc>
          <w:tcPr>
            <w:tcW w:w="1980" w:type="dxa"/>
            <w:tcBorders>
              <w:top w:val="nil"/>
              <w:left w:val="nil"/>
              <w:bottom w:val="double" w:sz="6" w:space="0" w:color="000000"/>
              <w:right w:val="single" w:sz="8" w:space="0" w:color="000000"/>
            </w:tcBorders>
          </w:tcPr>
          <w:p w:rsidR="0029663D" w:rsidRPr="00426B31" w:rsidRDefault="005F610B" w:rsidP="00426B31">
            <w:pPr>
              <w:keepNext/>
              <w:widowControl/>
              <w:autoSpaceDE/>
              <w:autoSpaceDN/>
              <w:adjustRightInd/>
              <w:jc w:val="right"/>
              <w:rPr>
                <w:b/>
                <w:bCs/>
                <w:sz w:val="20"/>
                <w:szCs w:val="20"/>
              </w:rPr>
            </w:pPr>
            <w:r w:rsidRPr="00BD2797">
              <w:rPr>
                <w:b/>
                <w:sz w:val="20"/>
                <w:szCs w:val="20"/>
              </w:rPr>
              <w:t>26</w:t>
            </w:r>
            <w:r>
              <w:rPr>
                <w:b/>
                <w:sz w:val="20"/>
                <w:szCs w:val="20"/>
              </w:rPr>
              <w:t>,</w:t>
            </w:r>
            <w:r w:rsidRPr="00BD2797">
              <w:rPr>
                <w:b/>
                <w:sz w:val="20"/>
                <w:szCs w:val="20"/>
              </w:rPr>
              <w:t>932</w:t>
            </w:r>
          </w:p>
        </w:tc>
        <w:tc>
          <w:tcPr>
            <w:tcW w:w="2070" w:type="dxa"/>
            <w:tcBorders>
              <w:top w:val="nil"/>
              <w:left w:val="nil"/>
              <w:bottom w:val="double" w:sz="6" w:space="0" w:color="000000"/>
              <w:right w:val="double" w:sz="6" w:space="0" w:color="000000"/>
            </w:tcBorders>
          </w:tcPr>
          <w:p w:rsidR="0029663D" w:rsidRPr="00426B31" w:rsidRDefault="005F610B" w:rsidP="00BF2EF4">
            <w:pPr>
              <w:keepNext/>
              <w:jc w:val="right"/>
              <w:rPr>
                <w:b/>
                <w:bCs/>
                <w:sz w:val="20"/>
                <w:szCs w:val="20"/>
              </w:rPr>
            </w:pPr>
            <w:r>
              <w:rPr>
                <w:b/>
                <w:sz w:val="20"/>
                <w:szCs w:val="20"/>
              </w:rPr>
              <w:t>$</w:t>
            </w:r>
            <w:r w:rsidRPr="004C4E64">
              <w:rPr>
                <w:b/>
                <w:sz w:val="20"/>
                <w:szCs w:val="20"/>
              </w:rPr>
              <w:t>1</w:t>
            </w:r>
            <w:r>
              <w:rPr>
                <w:b/>
                <w:sz w:val="20"/>
                <w:szCs w:val="20"/>
              </w:rPr>
              <w:t>,</w:t>
            </w:r>
            <w:r w:rsidRPr="004C4E64">
              <w:rPr>
                <w:b/>
                <w:sz w:val="20"/>
                <w:szCs w:val="20"/>
              </w:rPr>
              <w:t>795</w:t>
            </w:r>
            <w:r>
              <w:rPr>
                <w:b/>
                <w:sz w:val="20"/>
                <w:szCs w:val="20"/>
              </w:rPr>
              <w:t>,</w:t>
            </w:r>
            <w:r w:rsidRPr="004C4E64">
              <w:rPr>
                <w:b/>
                <w:sz w:val="20"/>
                <w:szCs w:val="20"/>
              </w:rPr>
              <w:t>067</w:t>
            </w:r>
            <w:r w:rsidRPr="004C4E64" w:rsidDel="004C4E64">
              <w:rPr>
                <w:b/>
                <w:sz w:val="20"/>
                <w:szCs w:val="20"/>
              </w:rPr>
              <w:t xml:space="preserve"> </w:t>
            </w:r>
          </w:p>
        </w:tc>
      </w:tr>
    </w:tbl>
    <w:p w:rsidR="0029663D" w:rsidRDefault="0029663D" w:rsidP="0029663D">
      <w:pPr>
        <w:numPr>
          <w:ilvl w:val="12"/>
          <w:numId w:val="0"/>
        </w:numPr>
      </w:pPr>
    </w:p>
    <w:p w:rsidR="0029663D" w:rsidRDefault="0029663D" w:rsidP="002C7C63">
      <w:pPr>
        <w:keepNext/>
        <w:numPr>
          <w:ilvl w:val="12"/>
          <w:numId w:val="0"/>
        </w:numPr>
      </w:pPr>
      <w:r>
        <w:tab/>
      </w:r>
      <w:r>
        <w:rPr>
          <w:b/>
          <w:bCs/>
        </w:rPr>
        <w:t>6(c)</w:t>
      </w:r>
      <w:r>
        <w:rPr>
          <w:b/>
          <w:bCs/>
        </w:rPr>
        <w:tab/>
        <w:t>Estimating Agency Burden and Cost</w:t>
      </w:r>
    </w:p>
    <w:p w:rsidR="0029663D" w:rsidRDefault="0029663D" w:rsidP="002C7C63">
      <w:pPr>
        <w:keepNext/>
        <w:numPr>
          <w:ilvl w:val="12"/>
          <w:numId w:val="0"/>
        </w:numPr>
      </w:pPr>
    </w:p>
    <w:p w:rsidR="0029663D" w:rsidRDefault="0029663D" w:rsidP="002C7C63">
      <w:pPr>
        <w:keepNext/>
        <w:numPr>
          <w:ilvl w:val="12"/>
          <w:numId w:val="0"/>
        </w:numPr>
      </w:pPr>
      <w:r>
        <w:tab/>
        <w:t xml:space="preserve">The total annual cost to EPA for TSCA section 8(c) for each of the three years covered by this ICR is estimated to </w:t>
      </w:r>
      <w:r w:rsidRPr="005B4279">
        <w:t xml:space="preserve">be </w:t>
      </w:r>
      <w:r w:rsidRPr="007D7C9F">
        <w:t>$5</w:t>
      </w:r>
      <w:r w:rsidRPr="008358D7">
        <w:t>8</w:t>
      </w:r>
      <w:r w:rsidRPr="007D7C9F">
        <w:t>,</w:t>
      </w:r>
      <w:r w:rsidR="00886A66">
        <w:t>889</w:t>
      </w:r>
      <w:r>
        <w:t>.  This figure is based on activities identified in the 1986 and 1989 ICRs.  Costs are estimated based on wages and salaries in 2011 GS-schedule.</w:t>
      </w:r>
    </w:p>
    <w:p w:rsidR="0029663D" w:rsidRDefault="0029663D" w:rsidP="0029663D">
      <w:pPr>
        <w:numPr>
          <w:ilvl w:val="12"/>
          <w:numId w:val="0"/>
        </w:numPr>
      </w:pPr>
    </w:p>
    <w:p w:rsidR="0029663D" w:rsidRDefault="0029663D" w:rsidP="0029663D">
      <w:pPr>
        <w:numPr>
          <w:ilvl w:val="12"/>
          <w:numId w:val="0"/>
        </w:numPr>
      </w:pPr>
      <w:r>
        <w:tab/>
        <w:t xml:space="preserve">Annual costs to EPA associated with the recordkeeping portion of the rule include general administration of the rule, education and outreach activities, and compliance monitoring.  Costs associated with reporting involve preparation of reporting notices, </w:t>
      </w:r>
      <w:r>
        <w:rPr>
          <w:u w:val="single"/>
        </w:rPr>
        <w:t>Federal Register</w:t>
      </w:r>
      <w:r>
        <w:t xml:space="preserve"> printing costs, document control, and document review.  Annual costs to EPA are derived based on an analysis of the cost of performing these various activities.  The various factors that contribute to EPA costs include:</w:t>
      </w:r>
    </w:p>
    <w:p w:rsidR="0029663D" w:rsidRDefault="0029663D" w:rsidP="00471E9D">
      <w:pPr>
        <w:pStyle w:val="Level1"/>
        <w:numPr>
          <w:ilvl w:val="0"/>
          <w:numId w:val="3"/>
        </w:numPr>
        <w:tabs>
          <w:tab w:val="left" w:pos="720"/>
        </w:tabs>
        <w:jc w:val="left"/>
      </w:pPr>
      <w:r>
        <w:t>Each year, general administration of the rule involves approximately one-tenth of a staff specialist’s time plus approximately one week’s time each for two management personnel at the branch, division and OPPT Office Director’s level.</w:t>
      </w:r>
    </w:p>
    <w:p w:rsidR="0029663D" w:rsidRDefault="0029663D" w:rsidP="00471E9D"/>
    <w:p w:rsidR="0029663D" w:rsidRDefault="0029663D" w:rsidP="00471E9D">
      <w:pPr>
        <w:pStyle w:val="Level1"/>
        <w:numPr>
          <w:ilvl w:val="0"/>
          <w:numId w:val="3"/>
        </w:numPr>
        <w:tabs>
          <w:tab w:val="left" w:pos="720"/>
        </w:tabs>
        <w:jc w:val="left"/>
      </w:pPr>
      <w:r>
        <w:t>Education and outreach activities will include ongoing rule support by the Environmental Assistance Division (EAD) in OPPT.</w:t>
      </w:r>
    </w:p>
    <w:p w:rsidR="0029663D" w:rsidRDefault="0029663D" w:rsidP="00471E9D"/>
    <w:p w:rsidR="0029663D" w:rsidRDefault="0029663D" w:rsidP="00471E9D">
      <w:pPr>
        <w:pStyle w:val="Level1"/>
        <w:numPr>
          <w:ilvl w:val="0"/>
          <w:numId w:val="3"/>
        </w:numPr>
        <w:tabs>
          <w:tab w:val="left" w:pos="720"/>
        </w:tabs>
        <w:jc w:val="left"/>
      </w:pPr>
      <w:r>
        <w:t>Compliance monitoring costs primarily involve the costs of the TSCA section 8(c) portion of inspection carried out by regional personnel and other administrative costs for headquarters personnel to target and review results of such inspections.</w:t>
      </w:r>
    </w:p>
    <w:p w:rsidR="0029663D" w:rsidRDefault="0029663D" w:rsidP="00471E9D"/>
    <w:p w:rsidR="0029663D" w:rsidRDefault="0029663D" w:rsidP="00471E9D">
      <w:pPr>
        <w:pStyle w:val="Level1"/>
        <w:numPr>
          <w:ilvl w:val="0"/>
          <w:numId w:val="3"/>
        </w:numPr>
        <w:tabs>
          <w:tab w:val="left" w:pos="720"/>
        </w:tabs>
        <w:jc w:val="left"/>
      </w:pPr>
      <w:r>
        <w:t>To date</w:t>
      </w:r>
      <w:r w:rsidR="00471E9D">
        <w:t xml:space="preserve">, </w:t>
      </w:r>
      <w:r>
        <w:t>a total of only 31 reports have been received.  Based on historical data, over the life of the rule an average of only 0.08 notices have been issued per year and an average of only 1.3 reports received.  EPA expects that reporting activity under TSCA section 8(c) will remain at low level</w:t>
      </w:r>
      <w:r w:rsidR="00471E9D">
        <w:t>s</w:t>
      </w:r>
      <w:r>
        <w:t xml:space="preserve"> during the period covered by this ICR renewal</w:t>
      </w:r>
      <w:r w:rsidR="00886A66">
        <w:t xml:space="preserve"> (i.e., 1 assumed report submitted per year)</w:t>
      </w:r>
      <w:r>
        <w:t xml:space="preserve">.  EPA costs associated with reporting have been adjusted to reflect this large decrease in the level of expected activity.  Labor involved in developing the reporting notices will require decision meetings and either the development of letters, separate </w:t>
      </w:r>
      <w:r>
        <w:rPr>
          <w:u w:val="single"/>
        </w:rPr>
        <w:t>Federal Register</w:t>
      </w:r>
      <w:r>
        <w:t xml:space="preserve"> notices, or the insertion of boilerplate segments in other rule preambles.</w:t>
      </w:r>
    </w:p>
    <w:p w:rsidR="0029663D" w:rsidRDefault="0029663D" w:rsidP="00471E9D"/>
    <w:p w:rsidR="0029663D" w:rsidRDefault="0029663D" w:rsidP="00471E9D">
      <w:pPr>
        <w:pStyle w:val="Level1"/>
        <w:numPr>
          <w:ilvl w:val="0"/>
          <w:numId w:val="3"/>
        </w:numPr>
        <w:tabs>
          <w:tab w:val="left" w:pos="720"/>
        </w:tabs>
        <w:jc w:val="left"/>
      </w:pPr>
      <w:r>
        <w:t>Time will be required to process submissions based upon reporting requirements and to review them for confidentiality considerations.</w:t>
      </w:r>
    </w:p>
    <w:p w:rsidR="0029663D" w:rsidRDefault="0029663D" w:rsidP="00471E9D"/>
    <w:p w:rsidR="0029663D" w:rsidRDefault="0029663D" w:rsidP="00471E9D">
      <w:pPr>
        <w:pStyle w:val="Level1"/>
        <w:numPr>
          <w:ilvl w:val="0"/>
          <w:numId w:val="3"/>
        </w:numPr>
        <w:tabs>
          <w:tab w:val="left" w:pos="720"/>
        </w:tabs>
        <w:jc w:val="left"/>
      </w:pPr>
      <w:r>
        <w:t xml:space="preserve">The </w:t>
      </w:r>
      <w:r>
        <w:rPr>
          <w:u w:val="single"/>
        </w:rPr>
        <w:t>Federal Register</w:t>
      </w:r>
      <w:r>
        <w:t xml:space="preserve"> notices will be reviewed by the office directly requesting the information as well as by the Chemical Information and Testing Branch (CITB) of the Chemical Control Division (CCD).</w:t>
      </w:r>
    </w:p>
    <w:p w:rsidR="001F598C" w:rsidRDefault="001F598C">
      <w:pPr>
        <w:pStyle w:val="ListParagraph"/>
      </w:pPr>
    </w:p>
    <w:p w:rsidR="00672A53" w:rsidRDefault="00672A53" w:rsidP="001C1299">
      <w:pPr>
        <w:pStyle w:val="Level1"/>
        <w:tabs>
          <w:tab w:val="left" w:pos="720"/>
        </w:tabs>
        <w:ind w:left="360"/>
        <w:jc w:val="left"/>
      </w:pPr>
    </w:p>
    <w:tbl>
      <w:tblPr>
        <w:tblW w:w="0" w:type="auto"/>
        <w:tblInd w:w="81" w:type="dxa"/>
        <w:tblLayout w:type="fixed"/>
        <w:tblCellMar>
          <w:left w:w="81" w:type="dxa"/>
          <w:right w:w="81" w:type="dxa"/>
        </w:tblCellMar>
        <w:tblLook w:val="0000"/>
      </w:tblPr>
      <w:tblGrid>
        <w:gridCol w:w="3960"/>
        <w:gridCol w:w="1890"/>
        <w:gridCol w:w="1800"/>
        <w:gridCol w:w="1710"/>
      </w:tblGrid>
      <w:tr w:rsidR="001C1299" w:rsidTr="001C1299">
        <w:trPr>
          <w:cantSplit/>
        </w:trPr>
        <w:tc>
          <w:tcPr>
            <w:tcW w:w="9360" w:type="dxa"/>
            <w:gridSpan w:val="4"/>
            <w:tcBorders>
              <w:bottom w:val="nil"/>
            </w:tcBorders>
          </w:tcPr>
          <w:p w:rsidR="001C1299" w:rsidRPr="001C1299" w:rsidRDefault="001C1299" w:rsidP="001C1299">
            <w:pPr>
              <w:pStyle w:val="ListParagraph"/>
              <w:ind w:left="9"/>
              <w:rPr>
                <w:b/>
              </w:rPr>
            </w:pPr>
            <w:r w:rsidRPr="001C1299">
              <w:rPr>
                <w:b/>
              </w:rPr>
              <w:t>Table 7.  Annual Burden and Cost to the Federal Government</w:t>
            </w:r>
          </w:p>
        </w:tc>
      </w:tr>
      <w:tr w:rsidR="00672A53" w:rsidTr="001F598C">
        <w:trPr>
          <w:cantSplit/>
        </w:trPr>
        <w:tc>
          <w:tcPr>
            <w:tcW w:w="3960" w:type="dxa"/>
            <w:tcBorders>
              <w:top w:val="double" w:sz="8" w:space="0" w:color="000000"/>
              <w:left w:val="double" w:sz="8" w:space="0" w:color="000000"/>
              <w:bottom w:val="nil"/>
              <w:right w:val="nil"/>
            </w:tcBorders>
          </w:tcPr>
          <w:p w:rsidR="00672A53" w:rsidRDefault="00672A53" w:rsidP="001F598C">
            <w:pPr>
              <w:numPr>
                <w:ilvl w:val="12"/>
                <w:numId w:val="0"/>
              </w:numPr>
              <w:spacing w:before="96" w:after="50"/>
            </w:pPr>
            <w:r>
              <w:rPr>
                <w:b/>
                <w:bCs/>
              </w:rPr>
              <w:t>Activity</w:t>
            </w:r>
          </w:p>
        </w:tc>
        <w:tc>
          <w:tcPr>
            <w:tcW w:w="1890" w:type="dxa"/>
            <w:tcBorders>
              <w:top w:val="double" w:sz="8" w:space="0" w:color="000000"/>
              <w:left w:val="single" w:sz="6" w:space="0" w:color="000000"/>
              <w:bottom w:val="nil"/>
              <w:right w:val="nil"/>
            </w:tcBorders>
          </w:tcPr>
          <w:p w:rsidR="00672A53" w:rsidRDefault="00672A53" w:rsidP="001F598C">
            <w:pPr>
              <w:numPr>
                <w:ilvl w:val="12"/>
                <w:numId w:val="0"/>
              </w:numPr>
              <w:spacing w:before="96" w:after="50"/>
            </w:pPr>
            <w:r>
              <w:rPr>
                <w:b/>
                <w:bCs/>
              </w:rPr>
              <w:t>Hourly Wage</w:t>
            </w:r>
          </w:p>
        </w:tc>
        <w:tc>
          <w:tcPr>
            <w:tcW w:w="1800" w:type="dxa"/>
            <w:tcBorders>
              <w:top w:val="double" w:sz="8" w:space="0" w:color="000000"/>
              <w:left w:val="single" w:sz="6" w:space="0" w:color="000000"/>
              <w:bottom w:val="nil"/>
              <w:right w:val="nil"/>
            </w:tcBorders>
          </w:tcPr>
          <w:p w:rsidR="00672A53" w:rsidRDefault="00672A53" w:rsidP="001F598C">
            <w:pPr>
              <w:numPr>
                <w:ilvl w:val="12"/>
                <w:numId w:val="0"/>
              </w:numPr>
              <w:spacing w:before="96" w:after="50"/>
            </w:pPr>
            <w:r>
              <w:rPr>
                <w:b/>
                <w:bCs/>
              </w:rPr>
              <w:t>Burden Hours</w:t>
            </w:r>
          </w:p>
        </w:tc>
        <w:tc>
          <w:tcPr>
            <w:tcW w:w="1710" w:type="dxa"/>
            <w:tcBorders>
              <w:top w:val="double" w:sz="8" w:space="0" w:color="000000"/>
              <w:left w:val="single" w:sz="6" w:space="0" w:color="000000"/>
              <w:bottom w:val="nil"/>
              <w:right w:val="double" w:sz="8" w:space="0" w:color="000000"/>
            </w:tcBorders>
          </w:tcPr>
          <w:p w:rsidR="00672A53" w:rsidRDefault="00672A53" w:rsidP="001F598C">
            <w:pPr>
              <w:numPr>
                <w:ilvl w:val="12"/>
                <w:numId w:val="0"/>
              </w:numPr>
              <w:spacing w:before="96" w:after="50"/>
            </w:pPr>
            <w:r>
              <w:rPr>
                <w:b/>
                <w:bCs/>
              </w:rPr>
              <w:t>Annual Cost</w:t>
            </w:r>
          </w:p>
        </w:tc>
      </w:tr>
      <w:tr w:rsidR="00672A53" w:rsidTr="001F598C">
        <w:trPr>
          <w:cantSplit/>
        </w:trPr>
        <w:tc>
          <w:tcPr>
            <w:tcW w:w="3960" w:type="dxa"/>
            <w:tcBorders>
              <w:top w:val="single" w:sz="6" w:space="0" w:color="000000"/>
              <w:left w:val="double" w:sz="8" w:space="0" w:color="000000"/>
              <w:bottom w:val="nil"/>
              <w:right w:val="nil"/>
            </w:tcBorders>
          </w:tcPr>
          <w:p w:rsidR="00672A53" w:rsidRDefault="00672A53" w:rsidP="001F598C">
            <w:pPr>
              <w:numPr>
                <w:ilvl w:val="12"/>
                <w:numId w:val="0"/>
              </w:numPr>
              <w:spacing w:before="96" w:after="50"/>
            </w:pPr>
            <w:r>
              <w:t>Administrative maintenance</w:t>
            </w:r>
          </w:p>
        </w:tc>
        <w:tc>
          <w:tcPr>
            <w:tcW w:w="1890" w:type="dxa"/>
            <w:tcBorders>
              <w:top w:val="single" w:sz="6" w:space="0" w:color="000000"/>
              <w:left w:val="single" w:sz="6" w:space="0" w:color="000000"/>
              <w:bottom w:val="nil"/>
              <w:right w:val="nil"/>
            </w:tcBorders>
          </w:tcPr>
          <w:p w:rsidR="00672A53" w:rsidRDefault="00672A53" w:rsidP="001F598C">
            <w:pPr>
              <w:numPr>
                <w:ilvl w:val="12"/>
                <w:numId w:val="0"/>
              </w:numPr>
              <w:spacing w:before="96" w:after="50"/>
            </w:pPr>
            <w:r>
              <w:t>$</w:t>
            </w:r>
            <w:r w:rsidR="001F598C">
              <w:t>68.49</w:t>
            </w:r>
            <w:r>
              <w:t>/</w:t>
            </w:r>
            <w:r w:rsidR="001F598C">
              <w:t>$95.20</w:t>
            </w:r>
            <w:r>
              <w:rPr>
                <w:vertAlign w:val="superscript"/>
              </w:rPr>
              <w:t xml:space="preserve"> (1)</w:t>
            </w:r>
          </w:p>
        </w:tc>
        <w:tc>
          <w:tcPr>
            <w:tcW w:w="1800" w:type="dxa"/>
            <w:tcBorders>
              <w:top w:val="single" w:sz="6" w:space="0" w:color="000000"/>
              <w:left w:val="single" w:sz="6" w:space="0" w:color="000000"/>
              <w:bottom w:val="nil"/>
              <w:right w:val="nil"/>
            </w:tcBorders>
          </w:tcPr>
          <w:p w:rsidR="00672A53" w:rsidRDefault="00672A53" w:rsidP="001F598C">
            <w:pPr>
              <w:numPr>
                <w:ilvl w:val="12"/>
                <w:numId w:val="0"/>
              </w:numPr>
              <w:spacing w:before="96" w:after="50"/>
            </w:pPr>
            <w:r>
              <w:t xml:space="preserve">288 </w:t>
            </w:r>
          </w:p>
        </w:tc>
        <w:tc>
          <w:tcPr>
            <w:tcW w:w="1710" w:type="dxa"/>
            <w:tcBorders>
              <w:top w:val="single" w:sz="6" w:space="0" w:color="000000"/>
              <w:left w:val="single" w:sz="6" w:space="0" w:color="000000"/>
              <w:bottom w:val="nil"/>
              <w:right w:val="double" w:sz="8" w:space="0" w:color="000000"/>
            </w:tcBorders>
          </w:tcPr>
          <w:p w:rsidR="00672A53" w:rsidRDefault="00672A53" w:rsidP="001F598C">
            <w:pPr>
              <w:numPr>
                <w:ilvl w:val="12"/>
                <w:numId w:val="0"/>
              </w:numPr>
              <w:spacing w:before="96" w:after="50"/>
            </w:pPr>
            <w:r>
              <w:t>$</w:t>
            </w:r>
            <w:r w:rsidR="00886A66" w:rsidRPr="00886A66">
              <w:t>21</w:t>
            </w:r>
            <w:r w:rsidR="00886A66">
              <w:t>,</w:t>
            </w:r>
            <w:r w:rsidR="00886A66" w:rsidRPr="00886A66">
              <w:t>862</w:t>
            </w:r>
          </w:p>
        </w:tc>
      </w:tr>
      <w:tr w:rsidR="00672A53" w:rsidTr="001F598C">
        <w:trPr>
          <w:cantSplit/>
        </w:trPr>
        <w:tc>
          <w:tcPr>
            <w:tcW w:w="3960" w:type="dxa"/>
            <w:tcBorders>
              <w:top w:val="single" w:sz="6" w:space="0" w:color="000000"/>
              <w:left w:val="double" w:sz="8" w:space="0" w:color="000000"/>
              <w:bottom w:val="nil"/>
              <w:right w:val="nil"/>
            </w:tcBorders>
          </w:tcPr>
          <w:p w:rsidR="00672A53" w:rsidRDefault="00672A53" w:rsidP="001F598C">
            <w:pPr>
              <w:numPr>
                <w:ilvl w:val="12"/>
                <w:numId w:val="0"/>
              </w:numPr>
              <w:spacing w:before="96" w:after="50"/>
            </w:pPr>
            <w:r>
              <w:t>Education/Outreach</w:t>
            </w:r>
          </w:p>
        </w:tc>
        <w:tc>
          <w:tcPr>
            <w:tcW w:w="1890" w:type="dxa"/>
            <w:tcBorders>
              <w:top w:val="single" w:sz="6" w:space="0" w:color="000000"/>
              <w:left w:val="single" w:sz="6" w:space="0" w:color="000000"/>
              <w:bottom w:val="nil"/>
              <w:right w:val="nil"/>
            </w:tcBorders>
          </w:tcPr>
          <w:p w:rsidR="00672A53" w:rsidRDefault="00672A53" w:rsidP="001F598C">
            <w:pPr>
              <w:numPr>
                <w:ilvl w:val="12"/>
                <w:numId w:val="0"/>
              </w:numPr>
              <w:spacing w:before="96" w:after="50"/>
            </w:pPr>
            <w:r>
              <w:t>$</w:t>
            </w:r>
            <w:r w:rsidR="001F598C" w:rsidRPr="001F598C">
              <w:t xml:space="preserve">57.59 </w:t>
            </w:r>
            <w:r>
              <w:rPr>
                <w:vertAlign w:val="superscript"/>
              </w:rPr>
              <w:t>(2)</w:t>
            </w:r>
          </w:p>
        </w:tc>
        <w:tc>
          <w:tcPr>
            <w:tcW w:w="1800" w:type="dxa"/>
            <w:tcBorders>
              <w:top w:val="single" w:sz="6" w:space="0" w:color="000000"/>
              <w:left w:val="single" w:sz="6" w:space="0" w:color="000000"/>
              <w:bottom w:val="nil"/>
              <w:right w:val="nil"/>
            </w:tcBorders>
          </w:tcPr>
          <w:p w:rsidR="00672A53" w:rsidRDefault="00672A53" w:rsidP="001F598C">
            <w:pPr>
              <w:numPr>
                <w:ilvl w:val="12"/>
                <w:numId w:val="0"/>
              </w:numPr>
              <w:spacing w:before="96" w:after="50"/>
            </w:pPr>
            <w:r>
              <w:t xml:space="preserve">240 </w:t>
            </w:r>
          </w:p>
        </w:tc>
        <w:tc>
          <w:tcPr>
            <w:tcW w:w="1710" w:type="dxa"/>
            <w:tcBorders>
              <w:top w:val="single" w:sz="6" w:space="0" w:color="000000"/>
              <w:left w:val="single" w:sz="6" w:space="0" w:color="000000"/>
              <w:bottom w:val="nil"/>
              <w:right w:val="double" w:sz="8" w:space="0" w:color="000000"/>
            </w:tcBorders>
          </w:tcPr>
          <w:p w:rsidR="00672A53" w:rsidRDefault="00672A53" w:rsidP="00886A66">
            <w:pPr>
              <w:numPr>
                <w:ilvl w:val="12"/>
                <w:numId w:val="0"/>
              </w:numPr>
              <w:spacing w:before="96" w:after="50"/>
            </w:pPr>
            <w:r>
              <w:t>$</w:t>
            </w:r>
            <w:r w:rsidR="00886A66">
              <w:t>13,822</w:t>
            </w:r>
          </w:p>
        </w:tc>
      </w:tr>
      <w:tr w:rsidR="00672A53" w:rsidTr="001F598C">
        <w:trPr>
          <w:cantSplit/>
        </w:trPr>
        <w:tc>
          <w:tcPr>
            <w:tcW w:w="3960" w:type="dxa"/>
            <w:tcBorders>
              <w:top w:val="single" w:sz="6" w:space="0" w:color="000000"/>
              <w:left w:val="double" w:sz="8" w:space="0" w:color="000000"/>
              <w:bottom w:val="nil"/>
              <w:right w:val="nil"/>
            </w:tcBorders>
          </w:tcPr>
          <w:p w:rsidR="00672A53" w:rsidRDefault="00672A53" w:rsidP="001F598C">
            <w:pPr>
              <w:numPr>
                <w:ilvl w:val="12"/>
                <w:numId w:val="0"/>
              </w:numPr>
              <w:spacing w:before="96" w:after="50"/>
            </w:pPr>
            <w:r>
              <w:t>Compliance monitoring</w:t>
            </w:r>
          </w:p>
        </w:tc>
        <w:tc>
          <w:tcPr>
            <w:tcW w:w="1890" w:type="dxa"/>
            <w:tcBorders>
              <w:top w:val="single" w:sz="6" w:space="0" w:color="000000"/>
              <w:left w:val="single" w:sz="6" w:space="0" w:color="000000"/>
              <w:bottom w:val="nil"/>
              <w:right w:val="nil"/>
            </w:tcBorders>
          </w:tcPr>
          <w:p w:rsidR="00672A53" w:rsidRDefault="00672A53" w:rsidP="001F598C">
            <w:pPr>
              <w:numPr>
                <w:ilvl w:val="12"/>
                <w:numId w:val="0"/>
              </w:numPr>
              <w:spacing w:before="96" w:after="50"/>
            </w:pPr>
            <w:r>
              <w:t>$</w:t>
            </w:r>
            <w:r w:rsidR="001F598C" w:rsidRPr="001F598C">
              <w:t xml:space="preserve">57.59 </w:t>
            </w:r>
            <w:r>
              <w:rPr>
                <w:vertAlign w:val="superscript"/>
              </w:rPr>
              <w:t>(2)</w:t>
            </w:r>
          </w:p>
        </w:tc>
        <w:tc>
          <w:tcPr>
            <w:tcW w:w="1800" w:type="dxa"/>
            <w:tcBorders>
              <w:top w:val="single" w:sz="6" w:space="0" w:color="000000"/>
              <w:left w:val="single" w:sz="6" w:space="0" w:color="000000"/>
              <w:bottom w:val="nil"/>
              <w:right w:val="nil"/>
            </w:tcBorders>
          </w:tcPr>
          <w:p w:rsidR="00672A53" w:rsidRDefault="00672A53" w:rsidP="001F598C">
            <w:pPr>
              <w:numPr>
                <w:ilvl w:val="12"/>
                <w:numId w:val="0"/>
              </w:numPr>
              <w:spacing w:before="96" w:after="50"/>
            </w:pPr>
            <w:r>
              <w:t xml:space="preserve">400 </w:t>
            </w:r>
          </w:p>
        </w:tc>
        <w:tc>
          <w:tcPr>
            <w:tcW w:w="1710" w:type="dxa"/>
            <w:tcBorders>
              <w:top w:val="single" w:sz="6" w:space="0" w:color="000000"/>
              <w:left w:val="single" w:sz="6" w:space="0" w:color="000000"/>
              <w:bottom w:val="nil"/>
              <w:right w:val="double" w:sz="8" w:space="0" w:color="000000"/>
            </w:tcBorders>
          </w:tcPr>
          <w:p w:rsidR="00672A53" w:rsidRDefault="00672A53" w:rsidP="00886A66">
            <w:pPr>
              <w:numPr>
                <w:ilvl w:val="12"/>
                <w:numId w:val="0"/>
              </w:numPr>
              <w:spacing w:before="96" w:after="50"/>
            </w:pPr>
            <w:r>
              <w:t>$</w:t>
            </w:r>
            <w:r w:rsidR="00886A66">
              <w:t>23,036</w:t>
            </w:r>
          </w:p>
        </w:tc>
      </w:tr>
      <w:tr w:rsidR="00672A53" w:rsidTr="001F598C">
        <w:trPr>
          <w:cantSplit/>
        </w:trPr>
        <w:tc>
          <w:tcPr>
            <w:tcW w:w="3960" w:type="dxa"/>
            <w:tcBorders>
              <w:top w:val="single" w:sz="6" w:space="0" w:color="000000"/>
              <w:left w:val="double" w:sz="8" w:space="0" w:color="000000"/>
              <w:bottom w:val="nil"/>
              <w:right w:val="nil"/>
            </w:tcBorders>
          </w:tcPr>
          <w:p w:rsidR="00672A53" w:rsidRDefault="00672A53" w:rsidP="001F598C">
            <w:pPr>
              <w:numPr>
                <w:ilvl w:val="12"/>
                <w:numId w:val="0"/>
              </w:numPr>
              <w:spacing w:before="96" w:after="50"/>
            </w:pPr>
            <w:r>
              <w:t>Develop reporting notices</w:t>
            </w:r>
          </w:p>
        </w:tc>
        <w:tc>
          <w:tcPr>
            <w:tcW w:w="1890" w:type="dxa"/>
            <w:tcBorders>
              <w:top w:val="single" w:sz="6" w:space="0" w:color="000000"/>
              <w:left w:val="single" w:sz="6" w:space="0" w:color="000000"/>
              <w:bottom w:val="nil"/>
              <w:right w:val="nil"/>
            </w:tcBorders>
          </w:tcPr>
          <w:p w:rsidR="00672A53" w:rsidRDefault="001F598C" w:rsidP="001F598C">
            <w:pPr>
              <w:numPr>
                <w:ilvl w:val="12"/>
                <w:numId w:val="0"/>
              </w:numPr>
              <w:spacing w:before="96" w:after="50"/>
            </w:pPr>
            <w:r>
              <w:t>$</w:t>
            </w:r>
            <w:r w:rsidRPr="001F598C">
              <w:t xml:space="preserve">57.59 </w:t>
            </w:r>
            <w:r>
              <w:rPr>
                <w:vertAlign w:val="superscript"/>
              </w:rPr>
              <w:t>(2)</w:t>
            </w:r>
          </w:p>
        </w:tc>
        <w:tc>
          <w:tcPr>
            <w:tcW w:w="1800" w:type="dxa"/>
            <w:tcBorders>
              <w:top w:val="single" w:sz="6" w:space="0" w:color="000000"/>
              <w:left w:val="single" w:sz="6" w:space="0" w:color="000000"/>
              <w:bottom w:val="nil"/>
              <w:right w:val="nil"/>
            </w:tcBorders>
          </w:tcPr>
          <w:p w:rsidR="00672A53" w:rsidRDefault="00672A53" w:rsidP="001F598C">
            <w:pPr>
              <w:numPr>
                <w:ilvl w:val="12"/>
                <w:numId w:val="0"/>
              </w:numPr>
              <w:spacing w:before="96" w:after="50"/>
            </w:pPr>
            <w:r>
              <w:t xml:space="preserve">1.1 </w:t>
            </w:r>
          </w:p>
        </w:tc>
        <w:tc>
          <w:tcPr>
            <w:tcW w:w="1710" w:type="dxa"/>
            <w:tcBorders>
              <w:top w:val="single" w:sz="6" w:space="0" w:color="000000"/>
              <w:left w:val="single" w:sz="6" w:space="0" w:color="000000"/>
              <w:bottom w:val="nil"/>
              <w:right w:val="double" w:sz="8" w:space="0" w:color="000000"/>
            </w:tcBorders>
          </w:tcPr>
          <w:p w:rsidR="00672A53" w:rsidRDefault="00672A53" w:rsidP="00886A66">
            <w:pPr>
              <w:numPr>
                <w:ilvl w:val="12"/>
                <w:numId w:val="0"/>
              </w:numPr>
              <w:spacing w:before="96" w:after="50"/>
            </w:pPr>
            <w:r>
              <w:t>$</w:t>
            </w:r>
            <w:r w:rsidR="00886A66">
              <w:t>63</w:t>
            </w:r>
          </w:p>
        </w:tc>
      </w:tr>
      <w:tr w:rsidR="00672A53" w:rsidTr="001F598C">
        <w:trPr>
          <w:cantSplit/>
        </w:trPr>
        <w:tc>
          <w:tcPr>
            <w:tcW w:w="3960" w:type="dxa"/>
            <w:tcBorders>
              <w:top w:val="single" w:sz="6" w:space="0" w:color="000000"/>
              <w:left w:val="double" w:sz="8" w:space="0" w:color="000000"/>
              <w:bottom w:val="nil"/>
              <w:right w:val="nil"/>
            </w:tcBorders>
          </w:tcPr>
          <w:p w:rsidR="00672A53" w:rsidRDefault="00672A53" w:rsidP="001F598C">
            <w:pPr>
              <w:numPr>
                <w:ilvl w:val="12"/>
                <w:numId w:val="0"/>
              </w:numPr>
              <w:spacing w:before="96" w:after="50"/>
            </w:pPr>
            <w:r>
              <w:t>Document control functions</w:t>
            </w:r>
          </w:p>
        </w:tc>
        <w:tc>
          <w:tcPr>
            <w:tcW w:w="1890" w:type="dxa"/>
            <w:tcBorders>
              <w:top w:val="single" w:sz="6" w:space="0" w:color="000000"/>
              <w:left w:val="single" w:sz="6" w:space="0" w:color="000000"/>
              <w:bottom w:val="nil"/>
              <w:right w:val="nil"/>
            </w:tcBorders>
          </w:tcPr>
          <w:p w:rsidR="00672A53" w:rsidRDefault="001F598C" w:rsidP="001F598C">
            <w:pPr>
              <w:numPr>
                <w:ilvl w:val="12"/>
                <w:numId w:val="0"/>
              </w:numPr>
              <w:spacing w:before="96" w:after="50"/>
            </w:pPr>
            <w:r>
              <w:t>$</w:t>
            </w:r>
            <w:r w:rsidRPr="001F598C">
              <w:t xml:space="preserve">57.59 </w:t>
            </w:r>
            <w:r>
              <w:rPr>
                <w:vertAlign w:val="superscript"/>
              </w:rPr>
              <w:t>(2)</w:t>
            </w:r>
          </w:p>
        </w:tc>
        <w:tc>
          <w:tcPr>
            <w:tcW w:w="1800" w:type="dxa"/>
            <w:tcBorders>
              <w:top w:val="single" w:sz="6" w:space="0" w:color="000000"/>
              <w:left w:val="single" w:sz="6" w:space="0" w:color="000000"/>
              <w:bottom w:val="nil"/>
              <w:right w:val="nil"/>
            </w:tcBorders>
          </w:tcPr>
          <w:p w:rsidR="00672A53" w:rsidRDefault="00672A53" w:rsidP="001F598C">
            <w:pPr>
              <w:numPr>
                <w:ilvl w:val="12"/>
                <w:numId w:val="0"/>
              </w:numPr>
              <w:spacing w:before="96" w:after="50"/>
            </w:pPr>
            <w:r>
              <w:t xml:space="preserve">0.75 </w:t>
            </w:r>
          </w:p>
        </w:tc>
        <w:tc>
          <w:tcPr>
            <w:tcW w:w="1710" w:type="dxa"/>
            <w:tcBorders>
              <w:top w:val="single" w:sz="6" w:space="0" w:color="000000"/>
              <w:left w:val="single" w:sz="6" w:space="0" w:color="000000"/>
              <w:bottom w:val="nil"/>
              <w:right w:val="double" w:sz="8" w:space="0" w:color="000000"/>
            </w:tcBorders>
          </w:tcPr>
          <w:p w:rsidR="00672A53" w:rsidRDefault="00672A53" w:rsidP="00886A66">
            <w:pPr>
              <w:numPr>
                <w:ilvl w:val="12"/>
                <w:numId w:val="0"/>
              </w:numPr>
              <w:spacing w:before="96" w:after="50"/>
            </w:pPr>
            <w:r>
              <w:t>$4</w:t>
            </w:r>
            <w:r w:rsidR="00886A66">
              <w:t>3</w:t>
            </w:r>
          </w:p>
        </w:tc>
      </w:tr>
      <w:tr w:rsidR="00672A53" w:rsidTr="001F598C">
        <w:trPr>
          <w:cantSplit/>
        </w:trPr>
        <w:tc>
          <w:tcPr>
            <w:tcW w:w="3960" w:type="dxa"/>
            <w:tcBorders>
              <w:top w:val="single" w:sz="6" w:space="0" w:color="000000"/>
              <w:left w:val="double" w:sz="8" w:space="0" w:color="000000"/>
              <w:bottom w:val="nil"/>
              <w:right w:val="nil"/>
            </w:tcBorders>
          </w:tcPr>
          <w:p w:rsidR="00672A53" w:rsidRDefault="00672A53" w:rsidP="001F598C">
            <w:pPr>
              <w:numPr>
                <w:ilvl w:val="12"/>
                <w:numId w:val="0"/>
              </w:numPr>
              <w:spacing w:before="96" w:after="50"/>
            </w:pPr>
            <w:r>
              <w:t>Notice review, referral and data entry</w:t>
            </w:r>
          </w:p>
        </w:tc>
        <w:tc>
          <w:tcPr>
            <w:tcW w:w="1890" w:type="dxa"/>
            <w:tcBorders>
              <w:top w:val="single" w:sz="6" w:space="0" w:color="000000"/>
              <w:left w:val="single" w:sz="6" w:space="0" w:color="000000"/>
              <w:bottom w:val="nil"/>
              <w:right w:val="nil"/>
            </w:tcBorders>
          </w:tcPr>
          <w:p w:rsidR="00672A53" w:rsidRDefault="001F598C" w:rsidP="001F598C">
            <w:pPr>
              <w:numPr>
                <w:ilvl w:val="12"/>
                <w:numId w:val="0"/>
              </w:numPr>
              <w:spacing w:before="96" w:after="50"/>
            </w:pPr>
            <w:r>
              <w:t>$</w:t>
            </w:r>
            <w:r w:rsidRPr="001F598C">
              <w:t xml:space="preserve">57.59 </w:t>
            </w:r>
            <w:r>
              <w:rPr>
                <w:vertAlign w:val="superscript"/>
              </w:rPr>
              <w:t>(2)</w:t>
            </w:r>
          </w:p>
        </w:tc>
        <w:tc>
          <w:tcPr>
            <w:tcW w:w="1800" w:type="dxa"/>
            <w:tcBorders>
              <w:top w:val="single" w:sz="6" w:space="0" w:color="000000"/>
              <w:left w:val="single" w:sz="6" w:space="0" w:color="000000"/>
              <w:bottom w:val="nil"/>
              <w:right w:val="nil"/>
            </w:tcBorders>
          </w:tcPr>
          <w:p w:rsidR="00672A53" w:rsidRDefault="00672A53" w:rsidP="001F598C">
            <w:pPr>
              <w:numPr>
                <w:ilvl w:val="12"/>
                <w:numId w:val="0"/>
              </w:numPr>
              <w:spacing w:before="96" w:after="50"/>
            </w:pPr>
            <w:r>
              <w:t>1.1</w:t>
            </w:r>
          </w:p>
        </w:tc>
        <w:tc>
          <w:tcPr>
            <w:tcW w:w="1710" w:type="dxa"/>
            <w:tcBorders>
              <w:top w:val="single" w:sz="6" w:space="0" w:color="000000"/>
              <w:left w:val="single" w:sz="6" w:space="0" w:color="000000"/>
              <w:bottom w:val="nil"/>
              <w:right w:val="double" w:sz="8" w:space="0" w:color="000000"/>
            </w:tcBorders>
          </w:tcPr>
          <w:p w:rsidR="00672A53" w:rsidRDefault="00672A53" w:rsidP="00886A66">
            <w:pPr>
              <w:numPr>
                <w:ilvl w:val="12"/>
                <w:numId w:val="0"/>
              </w:numPr>
              <w:spacing w:before="96" w:after="50"/>
            </w:pPr>
            <w:r>
              <w:t>$</w:t>
            </w:r>
            <w:r w:rsidR="00886A66">
              <w:t>63</w:t>
            </w:r>
          </w:p>
        </w:tc>
      </w:tr>
      <w:tr w:rsidR="00672A53" w:rsidTr="001F598C">
        <w:trPr>
          <w:cantSplit/>
        </w:trPr>
        <w:tc>
          <w:tcPr>
            <w:tcW w:w="3960" w:type="dxa"/>
            <w:tcBorders>
              <w:top w:val="single" w:sz="6" w:space="0" w:color="000000"/>
              <w:left w:val="double" w:sz="8" w:space="0" w:color="000000"/>
              <w:bottom w:val="double" w:sz="8" w:space="0" w:color="000000"/>
              <w:right w:val="nil"/>
            </w:tcBorders>
          </w:tcPr>
          <w:p w:rsidR="00672A53" w:rsidRPr="00567700" w:rsidRDefault="00672A53" w:rsidP="001F598C">
            <w:pPr>
              <w:numPr>
                <w:ilvl w:val="12"/>
                <w:numId w:val="0"/>
              </w:numPr>
              <w:spacing w:before="96" w:after="50"/>
              <w:rPr>
                <w:b/>
              </w:rPr>
            </w:pPr>
            <w:r w:rsidRPr="00567700">
              <w:rPr>
                <w:b/>
              </w:rPr>
              <w:t>Totals</w:t>
            </w:r>
          </w:p>
        </w:tc>
        <w:tc>
          <w:tcPr>
            <w:tcW w:w="1890" w:type="dxa"/>
            <w:tcBorders>
              <w:top w:val="single" w:sz="6" w:space="0" w:color="000000"/>
              <w:left w:val="single" w:sz="6" w:space="0" w:color="000000"/>
              <w:bottom w:val="double" w:sz="8" w:space="0" w:color="000000"/>
              <w:right w:val="nil"/>
            </w:tcBorders>
          </w:tcPr>
          <w:p w:rsidR="00672A53" w:rsidRDefault="00672A53" w:rsidP="001F598C">
            <w:pPr>
              <w:numPr>
                <w:ilvl w:val="12"/>
                <w:numId w:val="0"/>
              </w:numPr>
              <w:spacing w:before="96" w:after="50"/>
            </w:pPr>
          </w:p>
        </w:tc>
        <w:tc>
          <w:tcPr>
            <w:tcW w:w="1800" w:type="dxa"/>
            <w:tcBorders>
              <w:top w:val="single" w:sz="6" w:space="0" w:color="000000"/>
              <w:left w:val="single" w:sz="6" w:space="0" w:color="000000"/>
              <w:bottom w:val="double" w:sz="8" w:space="0" w:color="000000"/>
              <w:right w:val="nil"/>
            </w:tcBorders>
          </w:tcPr>
          <w:p w:rsidR="00672A53" w:rsidRDefault="00672A53" w:rsidP="001F598C">
            <w:pPr>
              <w:numPr>
                <w:ilvl w:val="12"/>
                <w:numId w:val="0"/>
              </w:numPr>
              <w:spacing w:before="96" w:after="50"/>
            </w:pPr>
            <w:r>
              <w:t xml:space="preserve">931 </w:t>
            </w:r>
          </w:p>
        </w:tc>
        <w:tc>
          <w:tcPr>
            <w:tcW w:w="1710" w:type="dxa"/>
            <w:tcBorders>
              <w:top w:val="single" w:sz="6" w:space="0" w:color="000000"/>
              <w:left w:val="single" w:sz="6" w:space="0" w:color="000000"/>
              <w:bottom w:val="double" w:sz="8" w:space="0" w:color="000000"/>
              <w:right w:val="double" w:sz="8" w:space="0" w:color="000000"/>
            </w:tcBorders>
          </w:tcPr>
          <w:p w:rsidR="00672A53" w:rsidRDefault="00672A53" w:rsidP="00886A66">
            <w:pPr>
              <w:numPr>
                <w:ilvl w:val="12"/>
                <w:numId w:val="0"/>
              </w:numPr>
              <w:spacing w:before="96" w:after="50"/>
            </w:pPr>
            <w:r>
              <w:t>$</w:t>
            </w:r>
            <w:r w:rsidR="005E75B0">
              <w:fldChar w:fldCharType="begin"/>
            </w:r>
            <w:r>
              <w:instrText xml:space="preserve"> =SUM(ABOVE) \# "0.00" </w:instrText>
            </w:r>
            <w:r w:rsidR="005E75B0">
              <w:fldChar w:fldCharType="separate"/>
            </w:r>
            <w:r w:rsidR="00886A66">
              <w:rPr>
                <w:noProof/>
              </w:rPr>
              <w:t>58,889</w:t>
            </w:r>
            <w:r w:rsidR="005E75B0">
              <w:fldChar w:fldCharType="end"/>
            </w:r>
          </w:p>
        </w:tc>
      </w:tr>
    </w:tbl>
    <w:p w:rsidR="001F598C" w:rsidRDefault="005E6E4B">
      <w:pPr>
        <w:numPr>
          <w:ilvl w:val="12"/>
          <w:numId w:val="0"/>
        </w:numPr>
        <w:rPr>
          <w:sz w:val="20"/>
          <w:szCs w:val="20"/>
        </w:rPr>
      </w:pPr>
      <w:r w:rsidRPr="005E6E4B">
        <w:rPr>
          <w:sz w:val="20"/>
          <w:szCs w:val="20"/>
        </w:rPr>
        <w:t>(1) This activity is estimated to require 208 hours at the GS-13 level and 80 hours at the GS-15 level. The 20</w:t>
      </w:r>
      <w:r w:rsidR="001F598C">
        <w:rPr>
          <w:sz w:val="20"/>
          <w:szCs w:val="20"/>
        </w:rPr>
        <w:t>11</w:t>
      </w:r>
      <w:r w:rsidRPr="005E6E4B">
        <w:rPr>
          <w:sz w:val="20"/>
          <w:szCs w:val="20"/>
        </w:rPr>
        <w:t xml:space="preserve"> base wage for a GS-13, Step 1 is $</w:t>
      </w:r>
      <w:r w:rsidR="001F598C" w:rsidRPr="001F598C">
        <w:rPr>
          <w:sz w:val="20"/>
          <w:szCs w:val="20"/>
        </w:rPr>
        <w:t>89</w:t>
      </w:r>
      <w:r w:rsidR="001F598C">
        <w:rPr>
          <w:sz w:val="20"/>
          <w:szCs w:val="20"/>
        </w:rPr>
        <w:t>,</w:t>
      </w:r>
      <w:r w:rsidR="001F598C" w:rsidRPr="001F598C">
        <w:rPr>
          <w:sz w:val="20"/>
          <w:szCs w:val="20"/>
        </w:rPr>
        <w:t>033</w:t>
      </w:r>
      <w:r w:rsidRPr="005E6E4B">
        <w:rPr>
          <w:sz w:val="20"/>
          <w:szCs w:val="20"/>
        </w:rPr>
        <w:t>, plus 60 percent overhead and benefits of $</w:t>
      </w:r>
      <w:r w:rsidR="001F598C" w:rsidRPr="001F598C">
        <w:rPr>
          <w:sz w:val="20"/>
          <w:szCs w:val="20"/>
        </w:rPr>
        <w:t>53</w:t>
      </w:r>
      <w:r w:rsidR="001F598C">
        <w:rPr>
          <w:sz w:val="20"/>
          <w:szCs w:val="20"/>
        </w:rPr>
        <w:t>,</w:t>
      </w:r>
      <w:r w:rsidR="001F598C" w:rsidRPr="001F598C">
        <w:rPr>
          <w:sz w:val="20"/>
          <w:szCs w:val="20"/>
        </w:rPr>
        <w:t>4</w:t>
      </w:r>
      <w:r w:rsidR="001F598C">
        <w:rPr>
          <w:sz w:val="20"/>
          <w:szCs w:val="20"/>
        </w:rPr>
        <w:t>20</w:t>
      </w:r>
      <w:r w:rsidRPr="005E6E4B">
        <w:rPr>
          <w:sz w:val="20"/>
          <w:szCs w:val="20"/>
        </w:rPr>
        <w:t>, for a total of $</w:t>
      </w:r>
      <w:r w:rsidR="001F598C" w:rsidRPr="001F598C">
        <w:rPr>
          <w:sz w:val="20"/>
          <w:szCs w:val="20"/>
        </w:rPr>
        <w:t>142</w:t>
      </w:r>
      <w:r w:rsidR="001F598C">
        <w:rPr>
          <w:sz w:val="20"/>
          <w:szCs w:val="20"/>
        </w:rPr>
        <w:t>,</w:t>
      </w:r>
      <w:r w:rsidR="001F598C" w:rsidRPr="001F598C">
        <w:rPr>
          <w:sz w:val="20"/>
          <w:szCs w:val="20"/>
        </w:rPr>
        <w:t>45</w:t>
      </w:r>
      <w:r w:rsidR="001F598C">
        <w:rPr>
          <w:sz w:val="20"/>
          <w:szCs w:val="20"/>
        </w:rPr>
        <w:t>3</w:t>
      </w:r>
      <w:r w:rsidRPr="005E6E4B">
        <w:rPr>
          <w:sz w:val="20"/>
          <w:szCs w:val="20"/>
        </w:rPr>
        <w:t>.  Dividing this by the 2,080 hours in a work year yields an hourly wage rate of $</w:t>
      </w:r>
      <w:r w:rsidR="001F598C">
        <w:rPr>
          <w:sz w:val="20"/>
          <w:szCs w:val="20"/>
        </w:rPr>
        <w:t>68.49</w:t>
      </w:r>
      <w:r w:rsidRPr="005E6E4B">
        <w:rPr>
          <w:sz w:val="20"/>
          <w:szCs w:val="20"/>
        </w:rPr>
        <w:t>. The base wage for a GS-15, Step 1 is $</w:t>
      </w:r>
      <w:r w:rsidR="001F598C" w:rsidRPr="001F598C">
        <w:rPr>
          <w:sz w:val="20"/>
          <w:szCs w:val="20"/>
        </w:rPr>
        <w:t>123</w:t>
      </w:r>
      <w:r w:rsidR="001F598C">
        <w:rPr>
          <w:sz w:val="20"/>
          <w:szCs w:val="20"/>
        </w:rPr>
        <w:t>,</w:t>
      </w:r>
      <w:r w:rsidR="001F598C" w:rsidRPr="001F598C">
        <w:rPr>
          <w:sz w:val="20"/>
          <w:szCs w:val="20"/>
        </w:rPr>
        <w:t>758</w:t>
      </w:r>
      <w:r w:rsidRPr="005E6E4B">
        <w:rPr>
          <w:sz w:val="20"/>
          <w:szCs w:val="20"/>
        </w:rPr>
        <w:t>, plus overhead and benefits of $</w:t>
      </w:r>
      <w:r w:rsidR="001F598C" w:rsidRPr="001F598C">
        <w:rPr>
          <w:sz w:val="20"/>
          <w:szCs w:val="20"/>
        </w:rPr>
        <w:t>74</w:t>
      </w:r>
      <w:r w:rsidR="001F598C">
        <w:rPr>
          <w:sz w:val="20"/>
          <w:szCs w:val="20"/>
        </w:rPr>
        <w:t>,</w:t>
      </w:r>
      <w:r w:rsidR="001F598C" w:rsidRPr="001F598C">
        <w:rPr>
          <w:sz w:val="20"/>
          <w:szCs w:val="20"/>
        </w:rPr>
        <w:t>255</w:t>
      </w:r>
      <w:r w:rsidRPr="005E6E4B">
        <w:rPr>
          <w:sz w:val="20"/>
          <w:szCs w:val="20"/>
        </w:rPr>
        <w:t>, for a total of $</w:t>
      </w:r>
      <w:r w:rsidR="001F598C">
        <w:rPr>
          <w:sz w:val="20"/>
          <w:szCs w:val="20"/>
        </w:rPr>
        <w:t>198,013</w:t>
      </w:r>
      <w:r w:rsidRPr="005E6E4B">
        <w:rPr>
          <w:sz w:val="20"/>
          <w:szCs w:val="20"/>
        </w:rPr>
        <w:t>. Dividing this by the 2,080 hours in a work year yields an hourly wage rate of $</w:t>
      </w:r>
      <w:r w:rsidR="001F598C">
        <w:rPr>
          <w:sz w:val="20"/>
          <w:szCs w:val="20"/>
        </w:rPr>
        <w:t>95.20</w:t>
      </w:r>
      <w:r w:rsidRPr="005E6E4B">
        <w:rPr>
          <w:sz w:val="20"/>
          <w:szCs w:val="20"/>
        </w:rPr>
        <w:t>.</w:t>
      </w:r>
    </w:p>
    <w:p w:rsidR="00672A53" w:rsidRDefault="00672A53" w:rsidP="004078D2">
      <w:pPr>
        <w:numPr>
          <w:ilvl w:val="12"/>
          <w:numId w:val="0"/>
        </w:numPr>
      </w:pPr>
      <w:r>
        <w:rPr>
          <w:sz w:val="20"/>
          <w:szCs w:val="20"/>
        </w:rPr>
        <w:t>(2) The estimated total cost to the EPA of a full time employee (FTE) at a GS 12, Step 1 level for 20</w:t>
      </w:r>
      <w:r w:rsidR="001F598C">
        <w:rPr>
          <w:sz w:val="20"/>
          <w:szCs w:val="20"/>
        </w:rPr>
        <w:t>11</w:t>
      </w:r>
      <w:r>
        <w:rPr>
          <w:sz w:val="20"/>
          <w:szCs w:val="20"/>
        </w:rPr>
        <w:t xml:space="preserve"> is $11</w:t>
      </w:r>
      <w:r w:rsidR="001F598C">
        <w:rPr>
          <w:sz w:val="20"/>
          <w:szCs w:val="20"/>
        </w:rPr>
        <w:t>9</w:t>
      </w:r>
      <w:r>
        <w:rPr>
          <w:sz w:val="20"/>
          <w:szCs w:val="20"/>
        </w:rPr>
        <w:t>,</w:t>
      </w:r>
      <w:r w:rsidR="001F598C">
        <w:rPr>
          <w:sz w:val="20"/>
          <w:szCs w:val="20"/>
        </w:rPr>
        <w:t>795</w:t>
      </w:r>
      <w:r>
        <w:rPr>
          <w:sz w:val="20"/>
          <w:szCs w:val="20"/>
        </w:rPr>
        <w:t>.  This includes a base wage of $</w:t>
      </w:r>
      <w:r w:rsidR="001F598C" w:rsidRPr="001F598C">
        <w:rPr>
          <w:sz w:val="20"/>
          <w:szCs w:val="20"/>
        </w:rPr>
        <w:t>74</w:t>
      </w:r>
      <w:r w:rsidR="001F598C">
        <w:rPr>
          <w:sz w:val="20"/>
          <w:szCs w:val="20"/>
        </w:rPr>
        <w:t>,</w:t>
      </w:r>
      <w:r w:rsidR="001F598C" w:rsidRPr="001F598C">
        <w:rPr>
          <w:sz w:val="20"/>
          <w:szCs w:val="20"/>
        </w:rPr>
        <w:t>872</w:t>
      </w:r>
      <w:r>
        <w:rPr>
          <w:sz w:val="20"/>
          <w:szCs w:val="20"/>
        </w:rPr>
        <w:t>, and 60 percent for overhead and benefits, or $</w:t>
      </w:r>
      <w:r w:rsidR="001F598C">
        <w:rPr>
          <w:sz w:val="20"/>
          <w:szCs w:val="20"/>
        </w:rPr>
        <w:t>44,923</w:t>
      </w:r>
      <w:r>
        <w:rPr>
          <w:sz w:val="20"/>
          <w:szCs w:val="20"/>
        </w:rPr>
        <w:t>. Dividing this by the 2,080 hours in a work year yields an hourly wage rate of $</w:t>
      </w:r>
      <w:r w:rsidR="001F598C">
        <w:rPr>
          <w:sz w:val="20"/>
          <w:szCs w:val="20"/>
        </w:rPr>
        <w:t>57.59</w:t>
      </w:r>
      <w:r>
        <w:rPr>
          <w:sz w:val="20"/>
          <w:szCs w:val="20"/>
        </w:rPr>
        <w:t>.</w:t>
      </w:r>
    </w:p>
    <w:p w:rsidR="0029663D" w:rsidRDefault="0029663D" w:rsidP="0029663D">
      <w:pPr>
        <w:numPr>
          <w:ilvl w:val="12"/>
          <w:numId w:val="0"/>
        </w:numPr>
      </w:pPr>
    </w:p>
    <w:p w:rsidR="0029663D" w:rsidRDefault="0029663D" w:rsidP="0029663D">
      <w:pPr>
        <w:numPr>
          <w:ilvl w:val="12"/>
          <w:numId w:val="0"/>
        </w:numPr>
      </w:pPr>
      <w:r>
        <w:tab/>
      </w:r>
      <w:r>
        <w:rPr>
          <w:b/>
          <w:bCs/>
        </w:rPr>
        <w:t>6(e)</w:t>
      </w:r>
      <w:r>
        <w:rPr>
          <w:b/>
          <w:bCs/>
        </w:rPr>
        <w:tab/>
        <w:t>Reasons for Change in Burden</w:t>
      </w:r>
    </w:p>
    <w:p w:rsidR="0029663D" w:rsidRDefault="0029663D" w:rsidP="0029663D">
      <w:pPr>
        <w:numPr>
          <w:ilvl w:val="12"/>
          <w:numId w:val="0"/>
        </w:numPr>
      </w:pPr>
    </w:p>
    <w:p w:rsidR="0029663D" w:rsidRPr="009E3B9A" w:rsidRDefault="0029663D" w:rsidP="0029663D">
      <w:pPr>
        <w:numPr>
          <w:ilvl w:val="12"/>
          <w:numId w:val="0"/>
        </w:numPr>
      </w:pPr>
      <w:r>
        <w:tab/>
      </w:r>
      <w:r w:rsidRPr="009E3B9A">
        <w:rPr>
          <w:rFonts w:eastAsiaTheme="minorHAnsi"/>
          <w:color w:val="000000"/>
        </w:rPr>
        <w:t xml:space="preserve">There is an increase of </w:t>
      </w:r>
      <w:r w:rsidR="0029059C" w:rsidRPr="0029059C">
        <w:rPr>
          <w:rFonts w:eastAsiaTheme="minorHAnsi"/>
          <w:color w:val="000000"/>
        </w:rPr>
        <w:t>3</w:t>
      </w:r>
      <w:r w:rsidR="0029059C">
        <w:rPr>
          <w:rFonts w:eastAsiaTheme="minorHAnsi"/>
          <w:color w:val="000000"/>
        </w:rPr>
        <w:t>,</w:t>
      </w:r>
      <w:r w:rsidR="005F610B">
        <w:rPr>
          <w:rFonts w:eastAsiaTheme="minorHAnsi"/>
          <w:color w:val="000000"/>
        </w:rPr>
        <w:t xml:space="preserve">396 </w:t>
      </w:r>
      <w:r w:rsidRPr="009E3B9A">
        <w:rPr>
          <w:rFonts w:eastAsiaTheme="minorHAnsi"/>
          <w:color w:val="000000"/>
        </w:rPr>
        <w:t xml:space="preserve">hours (from 23,536 hours to </w:t>
      </w:r>
      <w:r w:rsidR="0029059C" w:rsidRPr="0029059C">
        <w:rPr>
          <w:rFonts w:eastAsiaTheme="minorHAnsi"/>
          <w:color w:val="000000"/>
        </w:rPr>
        <w:t>26,</w:t>
      </w:r>
      <w:r w:rsidR="005F610B" w:rsidRPr="00BF2EF4">
        <w:t>9</w:t>
      </w:r>
      <w:r w:rsidR="005F610B">
        <w:t>32</w:t>
      </w:r>
      <w:r w:rsidR="0029059C">
        <w:rPr>
          <w:rFonts w:eastAsiaTheme="minorHAnsi"/>
          <w:color w:val="000000"/>
        </w:rPr>
        <w:t xml:space="preserve"> </w:t>
      </w:r>
      <w:r w:rsidRPr="009E3B9A">
        <w:rPr>
          <w:rFonts w:eastAsiaTheme="minorHAnsi"/>
          <w:color w:val="000000"/>
        </w:rPr>
        <w:t xml:space="preserve">hours) in the total estimated respondent burden compared with that identified in the ICR currently approved by OMB. This increase reflects EPA's estimate of a greater number of potential respondents affected by the reporting requirement. </w:t>
      </w:r>
      <w:r w:rsidRPr="009E3B9A">
        <w:t>The total estimated respondent burden has increased slightly (</w:t>
      </w:r>
      <w:r>
        <w:t>0</w:t>
      </w:r>
      <w:r w:rsidRPr="009E3B9A">
        <w:t xml:space="preserve">.5%) as a reflection of the higher number of firms at 13,951 compared to 13,521 in the ICR most recently approved by OMB.  As shown in Table 5, </w:t>
      </w:r>
      <w:r w:rsidR="0029059C">
        <w:t>nearly</w:t>
      </w:r>
      <w:r w:rsidRPr="009E3B9A">
        <w:t xml:space="preserve"> 87% of the burden hours are attributed to recordkeeping for allegations. The number of allegations follows directly from the number of firms, in accord with the allegation rate of .42 allegations per firm (see Table 2 for details on allegations rate).</w:t>
      </w:r>
      <w:r w:rsidRPr="009E3B9A">
        <w:rPr>
          <w:rFonts w:eastAsiaTheme="minorHAnsi"/>
          <w:color w:val="000000"/>
        </w:rPr>
        <w:t xml:space="preserve"> Th</w:t>
      </w:r>
      <w:r w:rsidR="0029059C">
        <w:rPr>
          <w:rFonts w:eastAsiaTheme="minorHAnsi"/>
          <w:color w:val="000000"/>
        </w:rPr>
        <w:t>ese</w:t>
      </w:r>
      <w:r w:rsidRPr="009E3B9A">
        <w:rPr>
          <w:rFonts w:eastAsiaTheme="minorHAnsi"/>
          <w:color w:val="000000"/>
        </w:rPr>
        <w:t xml:space="preserve"> change</w:t>
      </w:r>
      <w:r w:rsidR="0029059C">
        <w:rPr>
          <w:rFonts w:eastAsiaTheme="minorHAnsi"/>
          <w:color w:val="000000"/>
        </w:rPr>
        <w:t>s</w:t>
      </w:r>
      <w:r w:rsidRPr="009E3B9A">
        <w:rPr>
          <w:rFonts w:eastAsiaTheme="minorHAnsi"/>
          <w:color w:val="000000"/>
        </w:rPr>
        <w:t xml:space="preserve"> </w:t>
      </w:r>
      <w:r w:rsidR="0029059C">
        <w:rPr>
          <w:rFonts w:eastAsiaTheme="minorHAnsi"/>
          <w:color w:val="000000"/>
        </w:rPr>
        <w:t>are</w:t>
      </w:r>
      <w:r w:rsidRPr="009E3B9A">
        <w:rPr>
          <w:rFonts w:eastAsiaTheme="minorHAnsi"/>
          <w:color w:val="000000"/>
        </w:rPr>
        <w:t xml:space="preserve"> adjustment</w:t>
      </w:r>
      <w:r w:rsidR="0029059C">
        <w:rPr>
          <w:rFonts w:eastAsiaTheme="minorHAnsi"/>
          <w:color w:val="000000"/>
        </w:rPr>
        <w:t>s</w:t>
      </w:r>
      <w:r w:rsidRPr="009E3B9A">
        <w:rPr>
          <w:rFonts w:eastAsiaTheme="minorHAnsi"/>
          <w:color w:val="000000"/>
        </w:rPr>
        <w:t>.</w:t>
      </w:r>
    </w:p>
    <w:p w:rsidR="0029663D" w:rsidRDefault="0029663D" w:rsidP="0029663D">
      <w:pPr>
        <w:numPr>
          <w:ilvl w:val="12"/>
          <w:numId w:val="0"/>
        </w:numPr>
      </w:pPr>
    </w:p>
    <w:p w:rsidR="0029663D" w:rsidRDefault="0029663D" w:rsidP="0029663D">
      <w:pPr>
        <w:numPr>
          <w:ilvl w:val="12"/>
          <w:numId w:val="0"/>
        </w:numPr>
      </w:pPr>
      <w:r>
        <w:tab/>
      </w:r>
      <w:r>
        <w:rPr>
          <w:b/>
          <w:bCs/>
        </w:rPr>
        <w:t>6(f)</w:t>
      </w:r>
      <w:r>
        <w:rPr>
          <w:b/>
          <w:bCs/>
        </w:rPr>
        <w:tab/>
        <w:t>Burden Statement</w:t>
      </w:r>
    </w:p>
    <w:p w:rsidR="0029663D" w:rsidRDefault="0029663D" w:rsidP="0029663D">
      <w:pPr>
        <w:numPr>
          <w:ilvl w:val="12"/>
          <w:numId w:val="0"/>
        </w:numPr>
      </w:pPr>
    </w:p>
    <w:p w:rsidR="0029663D" w:rsidRPr="00AB4E3E" w:rsidRDefault="0029663D" w:rsidP="0029663D">
      <w:pPr>
        <w:ind w:firstLine="720"/>
      </w:pPr>
      <w:r w:rsidRPr="00AB4E3E">
        <w:t xml:space="preserve">The annual public burden for this collection of information, which is approved under OMB Control No. </w:t>
      </w:r>
      <w:r w:rsidRPr="00E616B4">
        <w:t>2070-00</w:t>
      </w:r>
      <w:r>
        <w:t>17</w:t>
      </w:r>
      <w:r w:rsidRPr="00AB4E3E">
        <w:t xml:space="preserve">, is estimated to </w:t>
      </w:r>
      <w:r>
        <w:t>range</w:t>
      </w:r>
      <w:r w:rsidRPr="00AB4E3E">
        <w:t xml:space="preserve"> </w:t>
      </w:r>
      <w:r w:rsidRPr="00E616B4">
        <w:t>between approximately 1 minute and 8 hours per response</w:t>
      </w:r>
      <w:r>
        <w:t>,</w:t>
      </w:r>
      <w:r w:rsidRPr="00E616B4">
        <w:t xml:space="preserve"> depending upon the type(s) of activity that a respondent must complete.</w:t>
      </w:r>
      <w:r w:rsidRPr="00AB4E3E">
        <w:t xml:space="preserve"> </w:t>
      </w:r>
      <w:r w:rsidRPr="003A43F2">
        <w:t>Burden is defined in 5 CFR 1320.3(b).</w:t>
      </w:r>
      <w:r w:rsidRPr="00DA409E">
        <w:t xml:space="preserve">  </w:t>
      </w:r>
      <w:r w:rsidRPr="00AB4E3E">
        <w:t>An agency may not conduct or sponsor, and a person is not required to respond to a collection of information unless it displays a current and valid OMB control number.</w:t>
      </w:r>
      <w:r>
        <w:t xml:space="preserve"> </w:t>
      </w:r>
      <w:r w:rsidRPr="00AB4E3E">
        <w:t xml:space="preserve">The OMB control numbers for EPA’s regulations in title 40 of the CFR, after appearing in the Federal Register, are listed in 40 CFR </w:t>
      </w:r>
      <w:proofErr w:type="gramStart"/>
      <w:r w:rsidRPr="00AB4E3E">
        <w:t>part</w:t>
      </w:r>
      <w:proofErr w:type="gramEnd"/>
      <w:r w:rsidRPr="00AB4E3E">
        <w:t xml:space="preserve"> 9 and included on the related collection instrument or form, if applicable.</w:t>
      </w:r>
    </w:p>
    <w:p w:rsidR="001E11FE" w:rsidRDefault="001E11FE"/>
    <w:p w:rsidR="006871B9" w:rsidRDefault="006871B9" w:rsidP="009340E0">
      <w:pPr>
        <w:ind w:firstLine="720"/>
      </w:pPr>
      <w:r>
        <w:t>The Agency has established a public docket for this ICR under Docket ID No. EPA-HQ-OPPT-2011</w:t>
      </w:r>
      <w:r w:rsidRPr="003C1C69">
        <w:t>-</w:t>
      </w:r>
      <w:r>
        <w:t>0699</w:t>
      </w:r>
      <w:r w:rsidRPr="0061014F">
        <w:t>,</w:t>
      </w:r>
      <w:r>
        <w:t xml:space="preserve"> which is available for online viewing at www.regulations.gov, or in person viewing at the</w:t>
      </w:r>
      <w:r w:rsidRPr="006871B9">
        <w:t xml:space="preserve"> </w:t>
      </w:r>
      <w:r w:rsidRPr="003C1C69">
        <w:t xml:space="preserve">Pollution Prevention and Toxics Docket in the EPA Docket </w:t>
      </w:r>
      <w:smartTag w:uri="urn:schemas-microsoft-com:office:smarttags" w:element="PlaceType">
        <w:r w:rsidRPr="003C1C69">
          <w:t>Center</w:t>
        </w:r>
      </w:smartTag>
      <w:r w:rsidRPr="003C1C69">
        <w:t xml:space="preserve"> (EPA/DC).  The EPA/DC Public Reading Room is located in the EPA </w:t>
      </w:r>
      <w:smartTag w:uri="urn:schemas-microsoft-com:office:smarttags" w:element="PlaceName">
        <w:r w:rsidRPr="003C1C69">
          <w:t>West</w:t>
        </w:r>
      </w:smartTag>
      <w:r w:rsidRPr="003C1C69">
        <w:t xml:space="preserve"> Building, Room 3334, </w:t>
      </w:r>
      <w:smartTag w:uri="urn:schemas-microsoft-com:office:smarttags" w:element="Street">
        <w:smartTag w:uri="urn:schemas-microsoft-com:office:smarttags" w:element="address">
          <w:r w:rsidRPr="003C1C69">
            <w:t>1301 Constitution Ave.</w:t>
          </w:r>
        </w:smartTag>
      </w:smartTag>
      <w:r w:rsidRPr="003C1C69">
        <w:t xml:space="preserve">, </w:t>
      </w:r>
      <w:proofErr w:type="gramStart"/>
      <w:r w:rsidRPr="003C1C69">
        <w:t>NW.,</w:t>
      </w:r>
      <w:proofErr w:type="gramEnd"/>
      <w:r w:rsidRPr="003C1C69">
        <w:t xml:space="preserve"> </w:t>
      </w:r>
      <w:smartTag w:uri="urn:schemas-microsoft-com:office:smarttags" w:element="place">
        <w:smartTag w:uri="urn:schemas-microsoft-com:office:smarttags" w:element="City">
          <w:r w:rsidRPr="003C1C69">
            <w:t>Washington</w:t>
          </w:r>
        </w:smartTag>
        <w:r w:rsidRPr="003C1C69">
          <w:t xml:space="preserve">, </w:t>
        </w:r>
        <w:smartTag w:uri="urn:schemas-microsoft-com:office:smarttags" w:element="State">
          <w:r w:rsidRPr="003C1C69">
            <w:t>DC</w:t>
          </w:r>
        </w:smartTag>
      </w:smartTag>
      <w:r w:rsidRPr="003C1C69">
        <w:t xml:space="preserve">.  The EPA/DC Public Reading Room is open from 8:30 a.m. to 4:30 p.m., Monday </w:t>
      </w:r>
      <w:r w:rsidRPr="003C1C69">
        <w:lastRenderedPageBreak/>
        <w:t>through Friday, excluding legal holidays.  The telephone number for the EPA/DC Public Reading Room is (202) 566-1744, and the telephone number for the Pollution Prevention and Toxics Docket is (202) 566-0280.</w:t>
      </w:r>
    </w:p>
    <w:p w:rsidR="006871B9" w:rsidRDefault="006871B9" w:rsidP="009340E0">
      <w:pPr>
        <w:ind w:firstLine="720"/>
      </w:pPr>
    </w:p>
    <w:p w:rsidR="006871B9" w:rsidRPr="006871B9" w:rsidRDefault="006068EA" w:rsidP="006068EA">
      <w:pPr>
        <w:pStyle w:val="PlainText"/>
        <w:ind w:firstLine="720"/>
        <w:rPr>
          <w:rFonts w:ascii="Times New Roman" w:hAnsi="Times New Roman"/>
          <w:sz w:val="24"/>
          <w:szCs w:val="24"/>
        </w:rPr>
      </w:pPr>
      <w:r w:rsidRPr="006068EA">
        <w:rPr>
          <w:rFonts w:ascii="Times New Roman" w:hAnsi="Times New Roman" w:cs="Times New Roman"/>
          <w:sz w:val="24"/>
          <w:szCs w:val="24"/>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 OPPT-2011-0699 and OMB Control No. 2070-0017, to (1) EPA online using www.regulations.gov (our preferred method), or by mail to: Document Control Office (DCO), Office of Pollution Prevention and Toxics (OPPT), Environmental Protection Agency, Mail Code: 7407T, 1200 Pennsylvania Ave., NW,  Washington, D.C. 20460, and (2) OMB by mail to: Office of Information and Regulatory Affairs, Office of Management and Budget (OMB), Attention: Desk Officer for EPA, 725 17th Street, NW, Washington, DC 20503.</w:t>
      </w:r>
    </w:p>
    <w:sectPr w:rsidR="006871B9" w:rsidRPr="006871B9" w:rsidSect="00AE18EC">
      <w:headerReference w:type="default" r:id="rId7"/>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A1F" w:rsidRDefault="00576A1F" w:rsidP="0029663D">
      <w:r>
        <w:separator/>
      </w:r>
    </w:p>
  </w:endnote>
  <w:endnote w:type="continuationSeparator" w:id="0">
    <w:p w:rsidR="00576A1F" w:rsidRDefault="00576A1F" w:rsidP="00296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29283"/>
      <w:docPartObj>
        <w:docPartGallery w:val="Page Numbers (Bottom of Page)"/>
        <w:docPartUnique/>
      </w:docPartObj>
    </w:sdtPr>
    <w:sdtContent>
      <w:sdt>
        <w:sdtPr>
          <w:id w:val="565050477"/>
          <w:docPartObj>
            <w:docPartGallery w:val="Page Numbers (Top of Page)"/>
            <w:docPartUnique/>
          </w:docPartObj>
        </w:sdtPr>
        <w:sdtContent>
          <w:p w:rsidR="001F598C" w:rsidRDefault="001F598C">
            <w:pPr>
              <w:pStyle w:val="Footer"/>
              <w:jc w:val="center"/>
            </w:pPr>
            <w:r w:rsidRPr="001857F5">
              <w:t xml:space="preserve">Page </w:t>
            </w:r>
            <w:fldSimple w:instr=" PAGE ">
              <w:r w:rsidR="00E25519">
                <w:rPr>
                  <w:noProof/>
                </w:rPr>
                <w:t>14</w:t>
              </w:r>
            </w:fldSimple>
            <w:r w:rsidRPr="001857F5">
              <w:t xml:space="preserve"> of </w:t>
            </w:r>
            <w:fldSimple w:instr=" NUMPAGES  ">
              <w:r w:rsidR="00E25519">
                <w:rPr>
                  <w:noProof/>
                </w:rPr>
                <w:t>15</w:t>
              </w:r>
            </w:fldSimple>
          </w:p>
        </w:sdtContent>
      </w:sdt>
    </w:sdtContent>
  </w:sdt>
  <w:p w:rsidR="001F598C" w:rsidRDefault="001F59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A1F" w:rsidRDefault="00576A1F" w:rsidP="0029663D">
      <w:r>
        <w:separator/>
      </w:r>
    </w:p>
  </w:footnote>
  <w:footnote w:type="continuationSeparator" w:id="0">
    <w:p w:rsidR="00576A1F" w:rsidRDefault="00576A1F" w:rsidP="0029663D">
      <w:r>
        <w:continuationSeparator/>
      </w:r>
    </w:p>
  </w:footnote>
  <w:footnote w:id="1">
    <w:p w:rsidR="001F598C" w:rsidRDefault="001F598C" w:rsidP="0029663D">
      <w:pPr>
        <w:pStyle w:val="FootnoteText"/>
      </w:pPr>
      <w:r>
        <w:rPr>
          <w:rStyle w:val="FootnoteReference"/>
        </w:rPr>
        <w:footnoteRef/>
      </w:r>
      <w:r>
        <w:t xml:space="preserve"> </w:t>
      </w:r>
      <w:r w:rsidRPr="006E3EB8">
        <w:t>EPA has used this methodology from 2006 forward because the data source is publically available, making the analysis more transparent. In the program’s initial ICR burden analysis, EPA used Dun’s Market Identifiers (DMI) from a Dun and Bradstreet database (se</w:t>
      </w:r>
      <w:r>
        <w:t>e</w:t>
      </w:r>
      <w:r w:rsidRPr="006E3EB8">
        <w:t xml:space="preserve"> U.S. EPA, “Comparison of Data Sources for Characterizing Manufacturers and Processors,” Draft Report, Prepared by Centaur Associates, Inc under EPA contract No. 68-02-3980, Washington, DC; November 6, 1986)</w:t>
      </w:r>
      <w:r>
        <w:t>.</w:t>
      </w:r>
    </w:p>
  </w:footnote>
  <w:footnote w:id="2">
    <w:p w:rsidR="001F598C" w:rsidRDefault="001F598C" w:rsidP="0029663D">
      <w:pPr>
        <w:pStyle w:val="FootnoteText"/>
      </w:pPr>
      <w:r>
        <w:rPr>
          <w:rStyle w:val="FootnoteReference"/>
        </w:rPr>
        <w:footnoteRef/>
      </w:r>
      <w:r>
        <w:t xml:space="preserve"> </w:t>
      </w:r>
      <w:r w:rsidRPr="006E3EB8">
        <w:t>U.S.EPA. “Chemical on Reporting Rules Database (CORR),” CCD and CSB, June 1990; and U.S.EPA. “Chemical on Reporting Rules Database (CORR): Update,” CCD and CSB; October 31, 1992.</w:t>
      </w:r>
    </w:p>
  </w:footnote>
  <w:footnote w:id="3">
    <w:p w:rsidR="001F598C" w:rsidRDefault="001F598C" w:rsidP="00985651">
      <w:pPr>
        <w:pStyle w:val="FootnoteText"/>
      </w:pPr>
      <w:r>
        <w:rPr>
          <w:rStyle w:val="FootnoteReference"/>
        </w:rPr>
        <w:footnoteRef/>
      </w:r>
      <w:r>
        <w:t xml:space="preserve"> </w:t>
      </w:r>
      <w:r w:rsidRPr="006E3EB8">
        <w:t>U.S.EPA. [Untitled Computer Printout], IMD; June 3, 1992.</w:t>
      </w:r>
    </w:p>
  </w:footnote>
  <w:footnote w:id="4">
    <w:p w:rsidR="001F598C" w:rsidRDefault="001F598C" w:rsidP="00985651">
      <w:pPr>
        <w:pStyle w:val="FootnoteText"/>
      </w:pPr>
      <w:r>
        <w:rPr>
          <w:rStyle w:val="FootnoteReference"/>
        </w:rPr>
        <w:footnoteRef/>
      </w:r>
      <w:r>
        <w:t xml:space="preserve"> </w:t>
      </w:r>
      <w:r w:rsidRPr="006E3EB8">
        <w:t>Sherlock, Scott, Information Management Division.  Phone conversation with Wendy Hoffman based upon “TSCA Reports to Congress for EPA Fiscal Years 1992-93;” August 1994.</w:t>
      </w:r>
    </w:p>
  </w:footnote>
  <w:footnote w:id="5">
    <w:p w:rsidR="001F598C" w:rsidRDefault="001F598C" w:rsidP="0029663D">
      <w:pPr>
        <w:pStyle w:val="FootnoteText"/>
      </w:pPr>
      <w:r>
        <w:rPr>
          <w:rStyle w:val="FootnoteReference"/>
        </w:rPr>
        <w:footnoteRef/>
      </w:r>
      <w:r>
        <w:t xml:space="preserve"> </w:t>
      </w:r>
      <w:r w:rsidRPr="006E3EB8">
        <w:t xml:space="preserve">In comparison to the estimate of over 5800 allegations, it appears that the allegations </w:t>
      </w:r>
      <w:r>
        <w:t xml:space="preserve">rate used to estimate total allegations in Table 2 is </w:t>
      </w:r>
      <w:r w:rsidRPr="006E3EB8">
        <w:t xml:space="preserve">overstated. However, given potentials for </w:t>
      </w:r>
      <w:r>
        <w:t xml:space="preserve">higher counts of </w:t>
      </w:r>
      <w:r w:rsidRPr="006E3EB8">
        <w:t>allegations, EPA retain</w:t>
      </w:r>
      <w:r>
        <w:t>s</w:t>
      </w:r>
      <w:r w:rsidRPr="006E3EB8">
        <w:t xml:space="preserve"> the existing methodology, which provides for a large contingency in additional burden</w:t>
      </w:r>
      <w:r>
        <w:t xml:space="preserve">. Moreover, </w:t>
      </w:r>
      <w:r w:rsidRPr="006E3EB8">
        <w:t>the total burden for this information collection is relatively small</w:t>
      </w:r>
      <w:r>
        <w:t xml:space="preserve"> despite the use of an overstated estimate for total allegations.</w:t>
      </w:r>
    </w:p>
  </w:footnote>
  <w:footnote w:id="6">
    <w:p w:rsidR="001F598C" w:rsidRDefault="001F598C" w:rsidP="0029663D">
      <w:r>
        <w:rPr>
          <w:rStyle w:val="FootnoteReference"/>
        </w:rPr>
        <w:footnoteRef/>
      </w:r>
      <w:r w:rsidRPr="0007470B">
        <w:rPr>
          <w:i/>
          <w:sz w:val="20"/>
          <w:szCs w:val="20"/>
        </w:rPr>
        <w:t>Employer Costs for Employee Compensation Supplementary Tables: December 2006-Mach 2011</w:t>
      </w:r>
      <w:r w:rsidRPr="0007470B">
        <w:rPr>
          <w:sz w:val="20"/>
          <w:szCs w:val="20"/>
        </w:rPr>
        <w:t>, US Bureau of Labor Statistics, June 8, 2011 (pp 17</w:t>
      </w:r>
      <w:proofErr w:type="gramStart"/>
      <w:r w:rsidRPr="0007470B">
        <w:rPr>
          <w:sz w:val="20"/>
          <w:szCs w:val="20"/>
        </w:rPr>
        <w:t>,18,20</w:t>
      </w:r>
      <w:proofErr w:type="gramEnd"/>
      <w:r w:rsidRPr="0007470B">
        <w:rPr>
          <w:sz w:val="20"/>
          <w:szCs w:val="20"/>
        </w:rPr>
        <w:t>) (http://www.bls.gov/ncs/ect/sp/ecsuphst.pdf, accessed July 13, 2011)</w:t>
      </w:r>
      <w:r w:rsidRPr="008358D7">
        <w:rPr>
          <w:i/>
          <w:iCs/>
          <w:sz w:val="20"/>
          <w:szCs w:val="20"/>
        </w:rPr>
        <w:t>.</w:t>
      </w:r>
    </w:p>
  </w:footnote>
  <w:footnote w:id="7">
    <w:p w:rsidR="001F598C" w:rsidRDefault="001F598C" w:rsidP="0029663D">
      <w:pPr>
        <w:pStyle w:val="FootnoteText"/>
      </w:pPr>
      <w:r>
        <w:rPr>
          <w:rStyle w:val="FootnoteReference"/>
        </w:rPr>
        <w:footnoteRef/>
      </w:r>
      <w:r>
        <w:t xml:space="preserve"> For methodology, s</w:t>
      </w:r>
      <w:r w:rsidRPr="00FF0557">
        <w:t>ee: Wage Rates for Economic Analyses of the Toxics Release Inventory Program (U.S.EPA/OEI/EAD/ASB, June 10, 2002) and the Revised Economic Analysis for the Amended Inventory Update Rule: Final Report (U.S. EPA/OPPT/EETD/EPAB. August 2002.</w:t>
      </w:r>
    </w:p>
  </w:footnote>
  <w:footnote w:id="8">
    <w:p w:rsidR="001F598C" w:rsidRPr="002F5A78" w:rsidRDefault="001F598C" w:rsidP="0029663D">
      <w:pPr>
        <w:rPr>
          <w:color w:val="000000"/>
        </w:rPr>
      </w:pPr>
      <w:r>
        <w:rPr>
          <w:rStyle w:val="FootnoteReference"/>
        </w:rPr>
        <w:footnoteRef/>
      </w:r>
      <w:r>
        <w:t xml:space="preserve"> </w:t>
      </w:r>
      <w:r w:rsidRPr="008358D7">
        <w:rPr>
          <w:color w:val="000000"/>
          <w:sz w:val="20"/>
          <w:szCs w:val="20"/>
        </w:rPr>
        <w:t>U.S.EPA</w:t>
      </w:r>
      <w:proofErr w:type="gramStart"/>
      <w:r w:rsidRPr="008358D7">
        <w:rPr>
          <w:color w:val="000000"/>
          <w:sz w:val="20"/>
          <w:szCs w:val="20"/>
        </w:rPr>
        <w:t>.  “</w:t>
      </w:r>
      <w:proofErr w:type="gramEnd"/>
      <w:r w:rsidRPr="008358D7">
        <w:rPr>
          <w:color w:val="000000"/>
          <w:sz w:val="20"/>
          <w:szCs w:val="20"/>
        </w:rPr>
        <w:t>Economic Analysis of TSCA Section 8(c) Significant Adverse Reaction Recordkeeping Rule, OTS/ETD/RIB.” January 1983.</w:t>
      </w:r>
    </w:p>
    <w:p w:rsidR="001F598C" w:rsidRDefault="001F598C" w:rsidP="0029663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98C" w:rsidRDefault="001F598C" w:rsidP="001857F5">
    <w:pPr>
      <w:pStyle w:val="Header"/>
      <w:jc w:val="right"/>
    </w:pPr>
    <w:r>
      <w:t>June 27,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024F512"/>
    <w:lvl w:ilvl="0">
      <w:numFmt w:val="bullet"/>
      <w:lvlText w:val="*"/>
      <w:lvlJc w:val="left"/>
    </w:lvl>
  </w:abstractNum>
  <w:abstractNum w:abstractNumId="1">
    <w:nsid w:val="16A72C99"/>
    <w:multiLevelType w:val="hybridMultilevel"/>
    <w:tmpl w:val="F5EAC5A0"/>
    <w:lvl w:ilvl="0" w:tplc="0409000F">
      <w:start w:val="1"/>
      <w:numFmt w:val="decimal"/>
      <w:lvlText w:val="%1."/>
      <w:lvlJc w:val="left"/>
      <w:pPr>
        <w:ind w:left="1440" w:hanging="360"/>
      </w:pPr>
    </w:lvl>
    <w:lvl w:ilvl="1" w:tplc="01CA103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DC13C6"/>
    <w:multiLevelType w:val="hybridMultilevel"/>
    <w:tmpl w:val="90C6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25D11"/>
    <w:multiLevelType w:val="hybridMultilevel"/>
    <w:tmpl w:val="19AC63B0"/>
    <w:lvl w:ilvl="0" w:tplc="495CCB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1C33E9"/>
    <w:multiLevelType w:val="hybridMultilevel"/>
    <w:tmpl w:val="754414AE"/>
    <w:lvl w:ilvl="0" w:tplc="FB86029C">
      <w:start w:val="1"/>
      <w:numFmt w:val="lowerLetter"/>
      <w:lvlText w:val="%1."/>
      <w:lvlJc w:val="left"/>
      <w:pPr>
        <w:ind w:left="1080" w:hanging="360"/>
      </w:pPr>
    </w:lvl>
    <w:lvl w:ilvl="1" w:tplc="01CA103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53477B"/>
    <w:multiLevelType w:val="hybridMultilevel"/>
    <w:tmpl w:val="19DE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DD6A7E"/>
    <w:multiLevelType w:val="hybridMultilevel"/>
    <w:tmpl w:val="87D6AE46"/>
    <w:lvl w:ilvl="0" w:tplc="04090019">
      <w:start w:val="1"/>
      <w:numFmt w:val="lowerLetter"/>
      <w:lvlText w:val="%1."/>
      <w:lvlJc w:val="left"/>
      <w:pPr>
        <w:ind w:left="1440" w:hanging="360"/>
      </w:pPr>
    </w:lvl>
    <w:lvl w:ilvl="1" w:tplc="01CA103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663D"/>
    <w:rsid w:val="00050A51"/>
    <w:rsid w:val="00082A45"/>
    <w:rsid w:val="000B5459"/>
    <w:rsid w:val="000E0BF7"/>
    <w:rsid w:val="000E3699"/>
    <w:rsid w:val="00116B28"/>
    <w:rsid w:val="001245A3"/>
    <w:rsid w:val="00136FFE"/>
    <w:rsid w:val="00176F26"/>
    <w:rsid w:val="001857F5"/>
    <w:rsid w:val="001C1299"/>
    <w:rsid w:val="001E11FE"/>
    <w:rsid w:val="001F598C"/>
    <w:rsid w:val="00254D74"/>
    <w:rsid w:val="002843D3"/>
    <w:rsid w:val="0029059C"/>
    <w:rsid w:val="0029663D"/>
    <w:rsid w:val="002C7C63"/>
    <w:rsid w:val="002E6820"/>
    <w:rsid w:val="00307625"/>
    <w:rsid w:val="003C12BA"/>
    <w:rsid w:val="004078D2"/>
    <w:rsid w:val="00425340"/>
    <w:rsid w:val="00426B31"/>
    <w:rsid w:val="00471E9D"/>
    <w:rsid w:val="004B7006"/>
    <w:rsid w:val="004C146E"/>
    <w:rsid w:val="004C4E64"/>
    <w:rsid w:val="005203C4"/>
    <w:rsid w:val="00576A1F"/>
    <w:rsid w:val="005A7CAE"/>
    <w:rsid w:val="005E6E4B"/>
    <w:rsid w:val="005E75B0"/>
    <w:rsid w:val="005F610B"/>
    <w:rsid w:val="006068EA"/>
    <w:rsid w:val="00672A53"/>
    <w:rsid w:val="006871B9"/>
    <w:rsid w:val="00704B91"/>
    <w:rsid w:val="00723883"/>
    <w:rsid w:val="00786EA5"/>
    <w:rsid w:val="00886A66"/>
    <w:rsid w:val="008C79F5"/>
    <w:rsid w:val="00926FC9"/>
    <w:rsid w:val="009340E0"/>
    <w:rsid w:val="00941E47"/>
    <w:rsid w:val="00985651"/>
    <w:rsid w:val="00996819"/>
    <w:rsid w:val="00A601EF"/>
    <w:rsid w:val="00AA41BE"/>
    <w:rsid w:val="00AE18EC"/>
    <w:rsid w:val="00B1530B"/>
    <w:rsid w:val="00BB6FE9"/>
    <w:rsid w:val="00BD2797"/>
    <w:rsid w:val="00BD65A9"/>
    <w:rsid w:val="00BF2EF4"/>
    <w:rsid w:val="00C04D40"/>
    <w:rsid w:val="00D14E19"/>
    <w:rsid w:val="00D4040A"/>
    <w:rsid w:val="00D46DB9"/>
    <w:rsid w:val="00DA1D65"/>
    <w:rsid w:val="00DF733F"/>
    <w:rsid w:val="00E025DF"/>
    <w:rsid w:val="00E25519"/>
    <w:rsid w:val="00EC7A5F"/>
    <w:rsid w:val="00EF54DC"/>
    <w:rsid w:val="00F60E31"/>
    <w:rsid w:val="00FC0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3D"/>
    <w:pPr>
      <w:widowControl w:val="0"/>
      <w:autoSpaceDE w:val="0"/>
      <w:autoSpaceDN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9663D"/>
    <w:pPr>
      <w:widowControl w:val="0"/>
      <w:autoSpaceDE w:val="0"/>
      <w:autoSpaceDN w:val="0"/>
      <w:adjustRightInd w:val="0"/>
      <w:spacing w:after="0" w:line="240" w:lineRule="auto"/>
      <w:ind w:left="720"/>
      <w:jc w:val="both"/>
    </w:pPr>
    <w:rPr>
      <w:rFonts w:eastAsia="Times New Roman" w:cs="Times New Roman"/>
      <w:szCs w:val="24"/>
    </w:rPr>
  </w:style>
  <w:style w:type="paragraph" w:styleId="ListParagraph">
    <w:name w:val="List Paragraph"/>
    <w:basedOn w:val="Normal"/>
    <w:uiPriority w:val="34"/>
    <w:qFormat/>
    <w:rsid w:val="0029663D"/>
    <w:pPr>
      <w:ind w:left="720"/>
      <w:contextualSpacing/>
    </w:pPr>
  </w:style>
  <w:style w:type="character" w:styleId="FootnoteReference">
    <w:name w:val="footnote reference"/>
    <w:uiPriority w:val="99"/>
    <w:semiHidden/>
    <w:rsid w:val="0029663D"/>
    <w:rPr>
      <w:rFonts w:cs="Times New Roman"/>
      <w:vertAlign w:val="superscript"/>
    </w:rPr>
  </w:style>
  <w:style w:type="paragraph" w:styleId="FootnoteText">
    <w:name w:val="footnote text"/>
    <w:basedOn w:val="Normal"/>
    <w:link w:val="FootnoteTextChar"/>
    <w:autoRedefine/>
    <w:uiPriority w:val="99"/>
    <w:semiHidden/>
    <w:rsid w:val="0029663D"/>
    <w:rPr>
      <w:sz w:val="20"/>
      <w:szCs w:val="20"/>
    </w:rPr>
  </w:style>
  <w:style w:type="character" w:customStyle="1" w:styleId="FootnoteTextChar">
    <w:name w:val="Footnote Text Char"/>
    <w:basedOn w:val="DefaultParagraphFont"/>
    <w:link w:val="FootnoteText"/>
    <w:uiPriority w:val="99"/>
    <w:semiHidden/>
    <w:rsid w:val="0029663D"/>
    <w:rPr>
      <w:rFonts w:eastAsia="Times New Roman" w:cs="Times New Roman"/>
      <w:sz w:val="20"/>
      <w:szCs w:val="20"/>
    </w:rPr>
  </w:style>
  <w:style w:type="character" w:styleId="Hyperlink">
    <w:name w:val="Hyperlink"/>
    <w:basedOn w:val="DefaultParagraphFont"/>
    <w:uiPriority w:val="99"/>
    <w:unhideWhenUsed/>
    <w:rsid w:val="0029663D"/>
    <w:rPr>
      <w:color w:val="0000FF" w:themeColor="hyperlink"/>
      <w:u w:val="single"/>
    </w:rPr>
  </w:style>
  <w:style w:type="paragraph" w:styleId="Header">
    <w:name w:val="header"/>
    <w:basedOn w:val="Normal"/>
    <w:link w:val="HeaderChar"/>
    <w:uiPriority w:val="99"/>
    <w:semiHidden/>
    <w:unhideWhenUsed/>
    <w:rsid w:val="0029663D"/>
    <w:pPr>
      <w:tabs>
        <w:tab w:val="center" w:pos="4680"/>
        <w:tab w:val="right" w:pos="9360"/>
      </w:tabs>
    </w:pPr>
  </w:style>
  <w:style w:type="character" w:customStyle="1" w:styleId="HeaderChar">
    <w:name w:val="Header Char"/>
    <w:basedOn w:val="DefaultParagraphFont"/>
    <w:link w:val="Header"/>
    <w:uiPriority w:val="99"/>
    <w:semiHidden/>
    <w:rsid w:val="0029663D"/>
    <w:rPr>
      <w:rFonts w:eastAsia="Times New Roman" w:cs="Times New Roman"/>
      <w:szCs w:val="24"/>
    </w:rPr>
  </w:style>
  <w:style w:type="paragraph" w:styleId="Footer">
    <w:name w:val="footer"/>
    <w:basedOn w:val="Normal"/>
    <w:link w:val="FooterChar"/>
    <w:uiPriority w:val="99"/>
    <w:unhideWhenUsed/>
    <w:rsid w:val="0029663D"/>
    <w:pPr>
      <w:tabs>
        <w:tab w:val="center" w:pos="4680"/>
        <w:tab w:val="right" w:pos="9360"/>
      </w:tabs>
    </w:pPr>
  </w:style>
  <w:style w:type="character" w:customStyle="1" w:styleId="FooterChar">
    <w:name w:val="Footer Char"/>
    <w:basedOn w:val="DefaultParagraphFont"/>
    <w:link w:val="Footer"/>
    <w:uiPriority w:val="99"/>
    <w:rsid w:val="0029663D"/>
    <w:rPr>
      <w:rFonts w:eastAsia="Times New Roman" w:cs="Times New Roman"/>
      <w:szCs w:val="24"/>
    </w:rPr>
  </w:style>
  <w:style w:type="character" w:customStyle="1" w:styleId="Hypertext">
    <w:name w:val="Hypertext"/>
    <w:rsid w:val="009340E0"/>
    <w:rPr>
      <w:color w:val="0000FF"/>
      <w:u w:val="single"/>
    </w:rPr>
  </w:style>
  <w:style w:type="paragraph" w:styleId="PlainText">
    <w:name w:val="Plain Text"/>
    <w:basedOn w:val="Normal"/>
    <w:link w:val="PlainTextChar"/>
    <w:rsid w:val="006871B9"/>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6871B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E025DF"/>
    <w:rPr>
      <w:sz w:val="16"/>
      <w:szCs w:val="16"/>
    </w:rPr>
  </w:style>
  <w:style w:type="paragraph" w:styleId="CommentText">
    <w:name w:val="annotation text"/>
    <w:basedOn w:val="Normal"/>
    <w:link w:val="CommentTextChar"/>
    <w:uiPriority w:val="99"/>
    <w:semiHidden/>
    <w:unhideWhenUsed/>
    <w:rsid w:val="00E025DF"/>
    <w:rPr>
      <w:sz w:val="20"/>
      <w:szCs w:val="20"/>
    </w:rPr>
  </w:style>
  <w:style w:type="character" w:customStyle="1" w:styleId="CommentTextChar">
    <w:name w:val="Comment Text Char"/>
    <w:basedOn w:val="DefaultParagraphFont"/>
    <w:link w:val="CommentText"/>
    <w:uiPriority w:val="99"/>
    <w:semiHidden/>
    <w:rsid w:val="00E025D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25DF"/>
    <w:rPr>
      <w:b/>
      <w:bCs/>
    </w:rPr>
  </w:style>
  <w:style w:type="character" w:customStyle="1" w:styleId="CommentSubjectChar">
    <w:name w:val="Comment Subject Char"/>
    <w:basedOn w:val="CommentTextChar"/>
    <w:link w:val="CommentSubject"/>
    <w:uiPriority w:val="99"/>
    <w:semiHidden/>
    <w:rsid w:val="00E025DF"/>
    <w:rPr>
      <w:rFonts w:eastAsia="Times New Roman" w:cs="Times New Roman"/>
      <w:b/>
      <w:bCs/>
      <w:sz w:val="20"/>
      <w:szCs w:val="20"/>
    </w:rPr>
  </w:style>
  <w:style w:type="paragraph" w:styleId="BalloonText">
    <w:name w:val="Balloon Text"/>
    <w:basedOn w:val="Normal"/>
    <w:link w:val="BalloonTextChar"/>
    <w:uiPriority w:val="99"/>
    <w:semiHidden/>
    <w:unhideWhenUsed/>
    <w:rsid w:val="00E025DF"/>
    <w:rPr>
      <w:rFonts w:ascii="Tahoma" w:hAnsi="Tahoma" w:cs="Tahoma"/>
      <w:sz w:val="16"/>
      <w:szCs w:val="16"/>
    </w:rPr>
  </w:style>
  <w:style w:type="character" w:customStyle="1" w:styleId="BalloonTextChar">
    <w:name w:val="Balloon Text Char"/>
    <w:basedOn w:val="DefaultParagraphFont"/>
    <w:link w:val="BalloonText"/>
    <w:uiPriority w:val="99"/>
    <w:semiHidden/>
    <w:rsid w:val="00E025D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3D"/>
    <w:pPr>
      <w:widowControl w:val="0"/>
      <w:autoSpaceDE w:val="0"/>
      <w:autoSpaceDN w:val="0"/>
      <w:adjustRightInd w:val="0"/>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9663D"/>
    <w:pPr>
      <w:widowControl w:val="0"/>
      <w:autoSpaceDE w:val="0"/>
      <w:autoSpaceDN w:val="0"/>
      <w:adjustRightInd w:val="0"/>
      <w:spacing w:after="0" w:line="240" w:lineRule="auto"/>
      <w:ind w:left="720"/>
      <w:jc w:val="both"/>
    </w:pPr>
    <w:rPr>
      <w:rFonts w:eastAsia="Times New Roman" w:cs="Times New Roman"/>
      <w:szCs w:val="24"/>
    </w:rPr>
  </w:style>
  <w:style w:type="paragraph" w:styleId="ListParagraph">
    <w:name w:val="List Paragraph"/>
    <w:basedOn w:val="Normal"/>
    <w:uiPriority w:val="34"/>
    <w:qFormat/>
    <w:rsid w:val="0029663D"/>
    <w:pPr>
      <w:ind w:left="720"/>
      <w:contextualSpacing/>
    </w:pPr>
  </w:style>
  <w:style w:type="character" w:styleId="FootnoteReference">
    <w:name w:val="footnote reference"/>
    <w:uiPriority w:val="99"/>
    <w:semiHidden/>
    <w:rsid w:val="0029663D"/>
    <w:rPr>
      <w:rFonts w:cs="Times New Roman"/>
      <w:vertAlign w:val="superscript"/>
    </w:rPr>
  </w:style>
  <w:style w:type="paragraph" w:styleId="FootnoteText">
    <w:name w:val="footnote text"/>
    <w:basedOn w:val="Normal"/>
    <w:link w:val="FootnoteTextChar"/>
    <w:autoRedefine/>
    <w:uiPriority w:val="99"/>
    <w:semiHidden/>
    <w:rsid w:val="0029663D"/>
    <w:rPr>
      <w:sz w:val="20"/>
      <w:szCs w:val="20"/>
    </w:rPr>
  </w:style>
  <w:style w:type="character" w:customStyle="1" w:styleId="FootnoteTextChar">
    <w:name w:val="Footnote Text Char"/>
    <w:basedOn w:val="DefaultParagraphFont"/>
    <w:link w:val="FootnoteText"/>
    <w:uiPriority w:val="99"/>
    <w:semiHidden/>
    <w:rsid w:val="0029663D"/>
    <w:rPr>
      <w:rFonts w:eastAsia="Times New Roman" w:cs="Times New Roman"/>
      <w:sz w:val="20"/>
      <w:szCs w:val="20"/>
    </w:rPr>
  </w:style>
  <w:style w:type="character" w:styleId="Hyperlink">
    <w:name w:val="Hyperlink"/>
    <w:basedOn w:val="DefaultParagraphFont"/>
    <w:uiPriority w:val="99"/>
    <w:unhideWhenUsed/>
    <w:rsid w:val="0029663D"/>
    <w:rPr>
      <w:color w:val="0000FF" w:themeColor="hyperlink"/>
      <w:u w:val="single"/>
    </w:rPr>
  </w:style>
  <w:style w:type="paragraph" w:styleId="Header">
    <w:name w:val="header"/>
    <w:basedOn w:val="Normal"/>
    <w:link w:val="HeaderChar"/>
    <w:uiPriority w:val="99"/>
    <w:semiHidden/>
    <w:unhideWhenUsed/>
    <w:rsid w:val="0029663D"/>
    <w:pPr>
      <w:tabs>
        <w:tab w:val="center" w:pos="4680"/>
        <w:tab w:val="right" w:pos="9360"/>
      </w:tabs>
    </w:pPr>
  </w:style>
  <w:style w:type="character" w:customStyle="1" w:styleId="HeaderChar">
    <w:name w:val="Header Char"/>
    <w:basedOn w:val="DefaultParagraphFont"/>
    <w:link w:val="Header"/>
    <w:uiPriority w:val="99"/>
    <w:semiHidden/>
    <w:rsid w:val="0029663D"/>
    <w:rPr>
      <w:rFonts w:eastAsia="Times New Roman" w:cs="Times New Roman"/>
      <w:szCs w:val="24"/>
    </w:rPr>
  </w:style>
  <w:style w:type="paragraph" w:styleId="Footer">
    <w:name w:val="footer"/>
    <w:basedOn w:val="Normal"/>
    <w:link w:val="FooterChar"/>
    <w:uiPriority w:val="99"/>
    <w:unhideWhenUsed/>
    <w:rsid w:val="0029663D"/>
    <w:pPr>
      <w:tabs>
        <w:tab w:val="center" w:pos="4680"/>
        <w:tab w:val="right" w:pos="9360"/>
      </w:tabs>
    </w:pPr>
  </w:style>
  <w:style w:type="character" w:customStyle="1" w:styleId="FooterChar">
    <w:name w:val="Footer Char"/>
    <w:basedOn w:val="DefaultParagraphFont"/>
    <w:link w:val="Footer"/>
    <w:uiPriority w:val="99"/>
    <w:rsid w:val="0029663D"/>
    <w:rPr>
      <w:rFonts w:eastAsia="Times New Roman" w:cs="Times New Roman"/>
      <w:szCs w:val="24"/>
    </w:rPr>
  </w:style>
  <w:style w:type="character" w:customStyle="1" w:styleId="Hypertext">
    <w:name w:val="Hypertext"/>
    <w:rsid w:val="009340E0"/>
    <w:rPr>
      <w:color w:val="0000FF"/>
      <w:u w:val="single"/>
    </w:rPr>
  </w:style>
  <w:style w:type="paragraph" w:styleId="PlainText">
    <w:name w:val="Plain Text"/>
    <w:basedOn w:val="Normal"/>
    <w:link w:val="PlainTextChar"/>
    <w:rsid w:val="006871B9"/>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6871B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E025DF"/>
    <w:rPr>
      <w:sz w:val="16"/>
      <w:szCs w:val="16"/>
    </w:rPr>
  </w:style>
  <w:style w:type="paragraph" w:styleId="CommentText">
    <w:name w:val="annotation text"/>
    <w:basedOn w:val="Normal"/>
    <w:link w:val="CommentTextChar"/>
    <w:uiPriority w:val="99"/>
    <w:semiHidden/>
    <w:unhideWhenUsed/>
    <w:rsid w:val="00E025DF"/>
    <w:rPr>
      <w:sz w:val="20"/>
      <w:szCs w:val="20"/>
    </w:rPr>
  </w:style>
  <w:style w:type="character" w:customStyle="1" w:styleId="CommentTextChar">
    <w:name w:val="Comment Text Char"/>
    <w:basedOn w:val="DefaultParagraphFont"/>
    <w:link w:val="CommentText"/>
    <w:uiPriority w:val="99"/>
    <w:semiHidden/>
    <w:rsid w:val="00E025D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25DF"/>
    <w:rPr>
      <w:b/>
      <w:bCs/>
    </w:rPr>
  </w:style>
  <w:style w:type="character" w:customStyle="1" w:styleId="CommentSubjectChar">
    <w:name w:val="Comment Subject Char"/>
    <w:basedOn w:val="CommentTextChar"/>
    <w:link w:val="CommentSubject"/>
    <w:uiPriority w:val="99"/>
    <w:semiHidden/>
    <w:rsid w:val="00E025DF"/>
    <w:rPr>
      <w:rFonts w:eastAsia="Times New Roman" w:cs="Times New Roman"/>
      <w:b/>
      <w:bCs/>
      <w:sz w:val="20"/>
      <w:szCs w:val="20"/>
    </w:rPr>
  </w:style>
  <w:style w:type="paragraph" w:styleId="BalloonText">
    <w:name w:val="Balloon Text"/>
    <w:basedOn w:val="Normal"/>
    <w:link w:val="BalloonTextChar"/>
    <w:uiPriority w:val="99"/>
    <w:semiHidden/>
    <w:unhideWhenUsed/>
    <w:rsid w:val="00E025DF"/>
    <w:rPr>
      <w:rFonts w:ascii="Tahoma" w:hAnsi="Tahoma" w:cs="Tahoma"/>
      <w:sz w:val="16"/>
      <w:szCs w:val="16"/>
    </w:rPr>
  </w:style>
  <w:style w:type="character" w:customStyle="1" w:styleId="BalloonTextChar">
    <w:name w:val="Balloon Text Char"/>
    <w:basedOn w:val="DefaultParagraphFont"/>
    <w:link w:val="BalloonText"/>
    <w:uiPriority w:val="99"/>
    <w:semiHidden/>
    <w:rsid w:val="00E025D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5719</Words>
  <Characters>32603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RCarlson</dc:creator>
  <cp:lastModifiedBy>EPA</cp:lastModifiedBy>
  <cp:revision>2</cp:revision>
  <dcterms:created xsi:type="dcterms:W3CDTF">2013-09-03T17:43:00Z</dcterms:created>
  <dcterms:modified xsi:type="dcterms:W3CDTF">2013-09-03T17:43:00Z</dcterms:modified>
</cp:coreProperties>
</file>