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4A" w:rsidRPr="00B61FE7" w:rsidRDefault="007615F9" w:rsidP="00B61FE7">
      <w:pPr>
        <w:pStyle w:val="CM1"/>
        <w:spacing w:line="240" w:lineRule="auto"/>
        <w:ind w:left="-1350" w:right="-150"/>
        <w:jc w:val="center"/>
        <w:rPr>
          <w:rFonts w:ascii="Times New Roman" w:hAnsi="Times New Roman" w:cs="Times New Roman"/>
          <w:sz w:val="22"/>
          <w:szCs w:val="22"/>
        </w:rPr>
      </w:pPr>
      <w:r w:rsidRPr="00B61FE7">
        <w:rPr>
          <w:rFonts w:ascii="Times New Roman" w:hAnsi="Times New Roman" w:cs="Times New Roman"/>
          <w:sz w:val="22"/>
          <w:szCs w:val="22"/>
        </w:rPr>
        <w:t xml:space="preserve">                  </w:t>
      </w:r>
    </w:p>
    <w:p w:rsidR="00B17D40" w:rsidRDefault="00B17D40" w:rsidP="00B17D40">
      <w:pPr>
        <w:tabs>
          <w:tab w:val="center" w:pos="4320"/>
        </w:tabs>
        <w:jc w:val="center"/>
        <w:rPr>
          <w:rFonts w:ascii="Times New Roman" w:hAnsi="Times New Roman" w:cs="Times New Roman"/>
          <w:b/>
          <w:sz w:val="22"/>
          <w:szCs w:val="22"/>
        </w:rPr>
      </w:pPr>
    </w:p>
    <w:p w:rsidR="00184643" w:rsidRDefault="008063F7">
      <w:pPr>
        <w:rPr>
          <w:rFonts w:ascii="Times New Roman" w:hAnsi="Times New Roman" w:cs="Times New Roman"/>
          <w:sz w:val="22"/>
          <w:szCs w:val="22"/>
        </w:rPr>
      </w:pPr>
      <w:r w:rsidRPr="00516A64">
        <w:rPr>
          <w:rFonts w:ascii="Times New Roman Bold" w:hAnsi="Times New Roman Bold" w:cs="Times New Roman"/>
          <w:b/>
          <w:smallCaps/>
          <w:sz w:val="28"/>
          <w:szCs w:val="28"/>
        </w:rPr>
        <w:t>ICR Worksheet Change</w:t>
      </w:r>
      <w:r>
        <w:rPr>
          <w:rFonts w:ascii="Times New Roman" w:hAnsi="Times New Roman" w:cs="Times New Roman"/>
          <w:b/>
          <w:sz w:val="22"/>
          <w:szCs w:val="22"/>
        </w:rPr>
        <w:br/>
      </w:r>
      <w:r w:rsidRPr="006C6D97">
        <w:rPr>
          <w:rFonts w:ascii="Times New Roman" w:hAnsi="Times New Roman"/>
        </w:rPr>
        <w:t xml:space="preserve">2012 Technical Corrections, Clarifying and Other Amendments to the Greenhouse Gases </w:t>
      </w:r>
      <w:r>
        <w:rPr>
          <w:rFonts w:ascii="Times New Roman" w:hAnsi="Times New Roman"/>
        </w:rPr>
        <w:t xml:space="preserve">Reporting </w:t>
      </w:r>
      <w:r w:rsidRPr="006C6D97">
        <w:rPr>
          <w:rFonts w:ascii="Times New Roman" w:hAnsi="Times New Roman"/>
        </w:rPr>
        <w:t>Rule</w:t>
      </w:r>
      <w:r w:rsidRPr="00B61FE7">
        <w:rPr>
          <w:rFonts w:ascii="Times New Roman" w:hAnsi="Times New Roman" w:cs="Times New Roman"/>
          <w:sz w:val="22"/>
          <w:szCs w:val="22"/>
        </w:rPr>
        <w:t xml:space="preserve">: Changes to the Data Reporting Requirements </w:t>
      </w:r>
    </w:p>
    <w:p w:rsidR="008063F7" w:rsidRDefault="008063F7" w:rsidP="008063F7">
      <w:pPr>
        <w:ind w:left="1440" w:hanging="1440"/>
        <w:rPr>
          <w:rFonts w:ascii="Times New Roman" w:hAnsi="Times New Roman" w:cs="Times New Roman"/>
          <w:sz w:val="22"/>
          <w:szCs w:val="22"/>
        </w:rPr>
      </w:pPr>
    </w:p>
    <w:p w:rsidR="008063F7" w:rsidRPr="0022051A" w:rsidRDefault="008063F7" w:rsidP="008063F7">
      <w:pPr>
        <w:ind w:left="1440" w:hanging="1440"/>
        <w:rPr>
          <w:rFonts w:ascii="Times New Roman Bold" w:hAnsi="Times New Roman Bold" w:cs="Times New Roman"/>
          <w:b/>
          <w:smallCaps/>
          <w:sz w:val="28"/>
          <w:szCs w:val="28"/>
        </w:rPr>
      </w:pPr>
      <w:r w:rsidRPr="0022051A">
        <w:rPr>
          <w:rFonts w:ascii="Times New Roman Bold" w:hAnsi="Times New Roman Bold" w:cs="Times New Roman"/>
          <w:b/>
          <w:smallCaps/>
          <w:sz w:val="28"/>
          <w:szCs w:val="28"/>
        </w:rPr>
        <w:t>Overview</w:t>
      </w:r>
    </w:p>
    <w:p w:rsidR="008063F7" w:rsidRPr="00B61FE7" w:rsidRDefault="008063F7" w:rsidP="008063F7">
      <w:pPr>
        <w:ind w:left="1440" w:hanging="144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In October 2009, EPA finalized the </w:t>
      </w:r>
      <w:r w:rsidRPr="004F1ADA">
        <w:rPr>
          <w:rFonts w:ascii="Times New Roman" w:hAnsi="Times New Roman" w:cs="Times New Roman"/>
          <w:sz w:val="22"/>
          <w:szCs w:val="22"/>
        </w:rPr>
        <w:t>Mandatory Repo</w:t>
      </w:r>
      <w:r>
        <w:rPr>
          <w:rFonts w:ascii="Times New Roman" w:hAnsi="Times New Roman" w:cs="Times New Roman"/>
          <w:sz w:val="22"/>
          <w:szCs w:val="22"/>
        </w:rPr>
        <w:t>rting of Greenhouse Gases Rule (the GHG R</w:t>
      </w:r>
      <w:r w:rsidRPr="004F1ADA">
        <w:rPr>
          <w:rFonts w:ascii="Times New Roman" w:hAnsi="Times New Roman" w:cs="Times New Roman"/>
          <w:sz w:val="22"/>
          <w:szCs w:val="22"/>
        </w:rPr>
        <w:t>eporting</w:t>
      </w:r>
      <w:r>
        <w:rPr>
          <w:rFonts w:ascii="Times New Roman" w:hAnsi="Times New Roman" w:cs="Times New Roman"/>
          <w:sz w:val="22"/>
          <w:szCs w:val="22"/>
        </w:rPr>
        <w:t xml:space="preserve"> Rule</w:t>
      </w:r>
      <w:r w:rsidRPr="004F1ADA">
        <w:rPr>
          <w:rFonts w:ascii="Times New Roman" w:hAnsi="Times New Roman" w:cs="Times New Roman"/>
          <w:sz w:val="22"/>
          <w:szCs w:val="22"/>
        </w:rPr>
        <w:t>)</w:t>
      </w:r>
      <w:r>
        <w:rPr>
          <w:rFonts w:ascii="Times New Roman" w:hAnsi="Times New Roman" w:cs="Times New Roman"/>
          <w:sz w:val="22"/>
          <w:szCs w:val="22"/>
        </w:rPr>
        <w:t xml:space="preserve"> (74 FR 56260;</w:t>
      </w:r>
      <w:r w:rsidRPr="004F1ADA">
        <w:rPr>
          <w:rFonts w:ascii="Times New Roman" w:hAnsi="Times New Roman" w:cs="Times New Roman"/>
          <w:sz w:val="22"/>
          <w:szCs w:val="22"/>
        </w:rPr>
        <w:t xml:space="preserve"> October 30, 2009).  The 2009 final rule, which became effective on December 29, 2009, i</w:t>
      </w:r>
      <w:r>
        <w:rPr>
          <w:rFonts w:ascii="Times New Roman" w:hAnsi="Times New Roman" w:cs="Times New Roman"/>
          <w:sz w:val="22"/>
          <w:szCs w:val="22"/>
        </w:rPr>
        <w:t>ncludes reporting of GHGs from certain</w:t>
      </w:r>
      <w:r w:rsidRPr="004F1ADA">
        <w:rPr>
          <w:rFonts w:ascii="Times New Roman" w:hAnsi="Times New Roman" w:cs="Times New Roman"/>
          <w:sz w:val="22"/>
          <w:szCs w:val="22"/>
        </w:rPr>
        <w:t xml:space="preserve"> facilities and suppliers</w:t>
      </w:r>
      <w:r>
        <w:rPr>
          <w:rFonts w:ascii="Times New Roman" w:hAnsi="Times New Roman" w:cs="Times New Roman"/>
          <w:sz w:val="22"/>
          <w:szCs w:val="22"/>
        </w:rPr>
        <w:t xml:space="preserve">.  </w:t>
      </w:r>
      <w:r w:rsidRPr="004F1ADA">
        <w:rPr>
          <w:rFonts w:ascii="Times New Roman" w:hAnsi="Times New Roman" w:cs="Times New Roman"/>
          <w:sz w:val="22"/>
          <w:szCs w:val="22"/>
        </w:rPr>
        <w:t xml:space="preserve">Subsequent </w:t>
      </w:r>
      <w:r>
        <w:rPr>
          <w:rFonts w:ascii="Times New Roman" w:hAnsi="Times New Roman" w:cs="Times New Roman"/>
          <w:sz w:val="22"/>
          <w:szCs w:val="22"/>
        </w:rPr>
        <w:t xml:space="preserve">rules included requirements for additional facilities and suppliers.   Specifically, in 2010, EPA promulgated </w:t>
      </w:r>
      <w:r w:rsidRPr="004F1ADA">
        <w:rPr>
          <w:rFonts w:ascii="Times New Roman" w:hAnsi="Times New Roman" w:cs="Times New Roman"/>
          <w:sz w:val="22"/>
          <w:szCs w:val="22"/>
        </w:rPr>
        <w:t xml:space="preserve">requirements for </w:t>
      </w:r>
      <w:r w:rsidRPr="006C2869">
        <w:rPr>
          <w:rFonts w:ascii="Times New Roman" w:hAnsi="Times New Roman" w:cs="Times New Roman"/>
          <w:sz w:val="22"/>
          <w:szCs w:val="22"/>
        </w:rPr>
        <w:t>subpart W (</w:t>
      </w:r>
      <w:r w:rsidR="00F83408" w:rsidRPr="00F83408">
        <w:rPr>
          <w:rFonts w:ascii="Times New Roman" w:hAnsi="Times New Roman" w:cs="Times New Roman"/>
          <w:color w:val="000000"/>
          <w:sz w:val="22"/>
          <w:szCs w:val="22"/>
        </w:rPr>
        <w:t>75 FR 74458; November</w:t>
      </w:r>
      <w:r>
        <w:rPr>
          <w:rFonts w:ascii="Verdana" w:hAnsi="Verdana"/>
          <w:color w:val="000000"/>
          <w:sz w:val="18"/>
          <w:szCs w:val="18"/>
        </w:rPr>
        <w:t xml:space="preserve"> 30, 2010</w:t>
      </w:r>
      <w:r>
        <w:rPr>
          <w:rFonts w:ascii="Times New Roman" w:hAnsi="Times New Roman" w:cs="Times New Roman"/>
          <w:sz w:val="22"/>
          <w:szCs w:val="22"/>
        </w:rPr>
        <w:t>) and subpart</w:t>
      </w:r>
      <w:r w:rsidRPr="004F1ADA">
        <w:rPr>
          <w:rFonts w:ascii="Times New Roman" w:hAnsi="Times New Roman" w:cs="Times New Roman"/>
          <w:sz w:val="22"/>
          <w:szCs w:val="22"/>
        </w:rPr>
        <w:t xml:space="preserve">s </w:t>
      </w:r>
      <w:proofErr w:type="gramStart"/>
      <w:r>
        <w:rPr>
          <w:rFonts w:ascii="Times New Roman" w:hAnsi="Times New Roman" w:cs="Times New Roman"/>
          <w:sz w:val="22"/>
          <w:szCs w:val="22"/>
        </w:rPr>
        <w:t>I</w:t>
      </w:r>
      <w:proofErr w:type="gramEnd"/>
      <w:r>
        <w:rPr>
          <w:rFonts w:ascii="Times New Roman" w:hAnsi="Times New Roman" w:cs="Times New Roman"/>
          <w:sz w:val="22"/>
          <w:szCs w:val="22"/>
        </w:rPr>
        <w:t xml:space="preserve">, L, </w:t>
      </w:r>
      <w:r w:rsidRPr="004F1ADA">
        <w:rPr>
          <w:rFonts w:ascii="Times New Roman" w:hAnsi="Times New Roman" w:cs="Times New Roman"/>
          <w:sz w:val="22"/>
          <w:szCs w:val="22"/>
        </w:rPr>
        <w:t>DD</w:t>
      </w:r>
      <w:r>
        <w:rPr>
          <w:rFonts w:ascii="Times New Roman" w:hAnsi="Times New Roman" w:cs="Times New Roman"/>
          <w:sz w:val="22"/>
          <w:szCs w:val="22"/>
        </w:rPr>
        <w:t>, QQ, and SS (75 FR 74774;</w:t>
      </w:r>
      <w:r w:rsidRPr="004F1ADA">
        <w:rPr>
          <w:rFonts w:ascii="Times New Roman" w:hAnsi="Times New Roman" w:cs="Times New Roman"/>
          <w:sz w:val="22"/>
          <w:szCs w:val="22"/>
        </w:rPr>
        <w:t xml:space="preserve"> December 1, 2010</w:t>
      </w:r>
      <w:r>
        <w:rPr>
          <w:rFonts w:ascii="Times New Roman" w:hAnsi="Times New Roman" w:cs="Times New Roman"/>
          <w:sz w:val="22"/>
          <w:szCs w:val="22"/>
        </w:rPr>
        <w:t xml:space="preserve">).  This ICR change worksheet affects facilities subject to </w:t>
      </w:r>
      <w:r w:rsidR="004A0D6B">
        <w:rPr>
          <w:rFonts w:ascii="Times New Roman" w:hAnsi="Times New Roman" w:cs="Times New Roman"/>
          <w:sz w:val="22"/>
          <w:szCs w:val="22"/>
        </w:rPr>
        <w:t>subparts I</w:t>
      </w:r>
      <w:r>
        <w:rPr>
          <w:rFonts w:ascii="Times New Roman" w:hAnsi="Times New Roman" w:cs="Times New Roman"/>
          <w:sz w:val="22"/>
          <w:szCs w:val="22"/>
        </w:rPr>
        <w:t xml:space="preserve"> (through a change made to the General Provisions in subpart A), L and W. </w:t>
      </w:r>
    </w:p>
    <w:p w:rsidR="008063F7" w:rsidRDefault="008063F7" w:rsidP="008063F7">
      <w:pPr>
        <w:ind w:firstLine="72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EPA addressed the cost and burden for the recordkeeping and reporting requirements associated with these rules in the following Information Collection Requests (ICRs):  </w:t>
      </w:r>
    </w:p>
    <w:p w:rsidR="008063F7" w:rsidRDefault="008063F7" w:rsidP="008063F7">
      <w:pPr>
        <w:ind w:left="1440" w:hanging="720"/>
        <w:rPr>
          <w:rFonts w:ascii="Times New Roman" w:hAnsi="Times New Roman" w:cs="Times New Roman"/>
          <w:sz w:val="22"/>
          <w:szCs w:val="22"/>
        </w:rPr>
      </w:pPr>
    </w:p>
    <w:p w:rsidR="008063F7" w:rsidRDefault="008063F7" w:rsidP="008063F7">
      <w:pPr>
        <w:numPr>
          <w:ilvl w:val="0"/>
          <w:numId w:val="7"/>
        </w:numPr>
        <w:ind w:left="1440" w:hanging="720"/>
        <w:rPr>
          <w:rFonts w:ascii="Times New Roman" w:hAnsi="Times New Roman" w:cs="Times New Roman"/>
          <w:sz w:val="22"/>
          <w:szCs w:val="22"/>
        </w:rPr>
      </w:pPr>
      <w:r w:rsidRPr="00766A19">
        <w:rPr>
          <w:rFonts w:ascii="Times New Roman" w:hAnsi="Times New Roman" w:cs="Times New Roman"/>
          <w:sz w:val="22"/>
          <w:szCs w:val="22"/>
        </w:rPr>
        <w:t>Information Collection Request</w:t>
      </w:r>
      <w:r>
        <w:rPr>
          <w:rFonts w:ascii="Times New Roman" w:hAnsi="Times New Roman" w:cs="Times New Roman"/>
          <w:sz w:val="22"/>
          <w:szCs w:val="22"/>
        </w:rPr>
        <w:t xml:space="preserve"> </w:t>
      </w:r>
      <w:r w:rsidRPr="00766A19">
        <w:rPr>
          <w:rFonts w:ascii="Times New Roman" w:hAnsi="Times New Roman" w:cs="Times New Roman"/>
          <w:sz w:val="22"/>
          <w:szCs w:val="22"/>
        </w:rPr>
        <w:t>for the Mandatory Reporting of Greenhouse Gases, Additional Sources of Fluorinated GHGs – Final Rule</w:t>
      </w:r>
      <w:r>
        <w:rPr>
          <w:rFonts w:ascii="Times New Roman" w:hAnsi="Times New Roman" w:cs="Times New Roman"/>
          <w:sz w:val="22"/>
          <w:szCs w:val="22"/>
        </w:rPr>
        <w:t xml:space="preserve"> (EPA ICR number 2373.04; OMB control number 2060-0650)</w:t>
      </w:r>
    </w:p>
    <w:p w:rsidR="008063F7" w:rsidRDefault="008063F7" w:rsidP="008063F7">
      <w:pPr>
        <w:ind w:left="1440" w:hanging="720"/>
        <w:rPr>
          <w:rFonts w:ascii="Times New Roman" w:hAnsi="Times New Roman" w:cs="Times New Roman"/>
          <w:sz w:val="22"/>
          <w:szCs w:val="22"/>
        </w:rPr>
      </w:pPr>
    </w:p>
    <w:p w:rsidR="008063F7" w:rsidRDefault="008063F7" w:rsidP="008063F7">
      <w:pPr>
        <w:numPr>
          <w:ilvl w:val="0"/>
          <w:numId w:val="7"/>
        </w:numPr>
        <w:ind w:left="1440" w:hanging="720"/>
        <w:rPr>
          <w:rFonts w:ascii="Times New Roman" w:hAnsi="Times New Roman" w:cs="Times New Roman"/>
          <w:sz w:val="22"/>
          <w:szCs w:val="22"/>
        </w:rPr>
      </w:pPr>
      <w:r w:rsidRPr="00B61FE7">
        <w:rPr>
          <w:rFonts w:ascii="Times New Roman" w:hAnsi="Times New Roman" w:cs="Times New Roman"/>
          <w:sz w:val="22"/>
          <w:szCs w:val="22"/>
        </w:rPr>
        <w:t xml:space="preserve">Mandatory Reporting of Greenhouse Gases (GHG Reporting Rule), </w:t>
      </w:r>
      <w:r>
        <w:rPr>
          <w:rFonts w:ascii="Times New Roman" w:hAnsi="Times New Roman" w:cs="Times New Roman"/>
          <w:sz w:val="22"/>
          <w:szCs w:val="22"/>
        </w:rPr>
        <w:t>Petroleum and Natural Gas Systems</w:t>
      </w:r>
      <w:r w:rsidRPr="00B61FE7">
        <w:rPr>
          <w:rFonts w:ascii="Times New Roman" w:hAnsi="Times New Roman" w:cs="Times New Roman"/>
          <w:sz w:val="22"/>
          <w:szCs w:val="22"/>
        </w:rPr>
        <w:t>- Final Rule (EPA ICR number: 237</w:t>
      </w:r>
      <w:r>
        <w:rPr>
          <w:rFonts w:ascii="Times New Roman" w:hAnsi="Times New Roman" w:cs="Times New Roman"/>
          <w:sz w:val="22"/>
          <w:szCs w:val="22"/>
        </w:rPr>
        <w:t>6</w:t>
      </w:r>
      <w:r w:rsidRPr="00B61FE7">
        <w:rPr>
          <w:rFonts w:ascii="Times New Roman" w:hAnsi="Times New Roman" w:cs="Times New Roman"/>
          <w:sz w:val="22"/>
          <w:szCs w:val="22"/>
        </w:rPr>
        <w:t>.0</w:t>
      </w:r>
      <w:r>
        <w:rPr>
          <w:rFonts w:ascii="Times New Roman" w:hAnsi="Times New Roman" w:cs="Times New Roman"/>
          <w:sz w:val="22"/>
          <w:szCs w:val="22"/>
        </w:rPr>
        <w:t>5</w:t>
      </w:r>
      <w:r w:rsidRPr="00B61FE7">
        <w:rPr>
          <w:rFonts w:ascii="Times New Roman" w:hAnsi="Times New Roman" w:cs="Times New Roman"/>
          <w:sz w:val="22"/>
          <w:szCs w:val="22"/>
        </w:rPr>
        <w:t>; OMB control numb</w:t>
      </w:r>
      <w:r>
        <w:rPr>
          <w:rFonts w:ascii="Times New Roman" w:hAnsi="Times New Roman" w:cs="Times New Roman"/>
          <w:sz w:val="22"/>
          <w:szCs w:val="22"/>
        </w:rPr>
        <w:t>er: 2060-0651)</w:t>
      </w:r>
    </w:p>
    <w:p w:rsidR="008063F7" w:rsidRPr="00766A19" w:rsidRDefault="008063F7" w:rsidP="008063F7">
      <w:pPr>
        <w:rPr>
          <w:rFonts w:ascii="Times New Roman" w:hAnsi="Times New Roman" w:cs="Times New Roman"/>
          <w:sz w:val="22"/>
          <w:szCs w:val="22"/>
        </w:rPr>
      </w:pPr>
    </w:p>
    <w:p w:rsidR="00572981" w:rsidRDefault="00F83408" w:rsidP="004A0D6B">
      <w:pPr>
        <w:ind w:firstLine="720"/>
        <w:rPr>
          <w:rFonts w:ascii="Times New Roman" w:hAnsi="Times New Roman" w:cs="Times New Roman"/>
          <w:sz w:val="22"/>
          <w:szCs w:val="22"/>
        </w:rPr>
      </w:pPr>
      <w:r w:rsidRPr="00F83408">
        <w:rPr>
          <w:rFonts w:ascii="Times New Roman" w:hAnsi="Times New Roman" w:cs="Times New Roman"/>
          <w:sz w:val="22"/>
          <w:szCs w:val="22"/>
        </w:rPr>
        <w:t xml:space="preserve">EPA is </w:t>
      </w:r>
      <w:r w:rsidR="00572981">
        <w:rPr>
          <w:rFonts w:ascii="Times New Roman" w:hAnsi="Times New Roman" w:cs="Times New Roman"/>
          <w:sz w:val="22"/>
          <w:szCs w:val="22"/>
        </w:rPr>
        <w:t>finalizing</w:t>
      </w:r>
      <w:r w:rsidR="0051785C">
        <w:rPr>
          <w:rFonts w:ascii="Times New Roman" w:hAnsi="Times New Roman" w:cs="Times New Roman"/>
          <w:sz w:val="22"/>
          <w:szCs w:val="22"/>
        </w:rPr>
        <w:t xml:space="preserve"> </w:t>
      </w:r>
      <w:r w:rsidRPr="00F83408">
        <w:rPr>
          <w:rFonts w:ascii="Times New Roman" w:hAnsi="Times New Roman" w:cs="Times New Roman"/>
          <w:sz w:val="22"/>
          <w:szCs w:val="22"/>
        </w:rPr>
        <w:t xml:space="preserve">specific provisions of the Greenhouse Gas Reporting Rule to provide greater clarity and flexibility to facilities subject to reporting emissions from certain source categories. </w:t>
      </w:r>
      <w:r w:rsidR="008063F7" w:rsidRPr="00E9739E">
        <w:rPr>
          <w:rFonts w:ascii="Times New Roman" w:hAnsi="Times New Roman" w:cs="Times New Roman"/>
          <w:sz w:val="22"/>
          <w:szCs w:val="22"/>
        </w:rPr>
        <w:t xml:space="preserve"> The </w:t>
      </w:r>
      <w:r w:rsidR="00572981">
        <w:rPr>
          <w:rFonts w:ascii="Times New Roman" w:hAnsi="Times New Roman" w:cs="Times New Roman"/>
          <w:sz w:val="22"/>
          <w:szCs w:val="22"/>
        </w:rPr>
        <w:t xml:space="preserve">final </w:t>
      </w:r>
      <w:r w:rsidR="008063F7" w:rsidRPr="00E9739E">
        <w:rPr>
          <w:rFonts w:ascii="Times New Roman" w:hAnsi="Times New Roman" w:cs="Times New Roman"/>
          <w:sz w:val="22"/>
          <w:szCs w:val="22"/>
        </w:rPr>
        <w:t xml:space="preserve">rule includes technical corrections and clarifying amendments to subparts A, L, W and TT, but only the amendments to subparts A, L and W affect the data reporting requirements.  For subpart TT, </w:t>
      </w:r>
      <w:r w:rsidRPr="00F83408">
        <w:rPr>
          <w:rFonts w:ascii="Times New Roman" w:hAnsi="Times New Roman" w:cs="Times New Roman"/>
          <w:sz w:val="22"/>
          <w:szCs w:val="22"/>
        </w:rPr>
        <w:t xml:space="preserve">EPA is </w:t>
      </w:r>
      <w:proofErr w:type="gramStart"/>
      <w:r w:rsidR="00572981">
        <w:rPr>
          <w:rFonts w:ascii="Times New Roman" w:hAnsi="Times New Roman" w:cs="Times New Roman"/>
          <w:sz w:val="22"/>
          <w:szCs w:val="22"/>
        </w:rPr>
        <w:t>finalizing</w:t>
      </w:r>
      <w:proofErr w:type="gramEnd"/>
      <w:r w:rsidR="00572981">
        <w:rPr>
          <w:rFonts w:ascii="Times New Roman" w:hAnsi="Times New Roman" w:cs="Times New Roman"/>
          <w:sz w:val="22"/>
          <w:szCs w:val="22"/>
        </w:rPr>
        <w:t xml:space="preserve"> </w:t>
      </w:r>
      <w:r w:rsidRPr="00F83408">
        <w:rPr>
          <w:rFonts w:ascii="Times New Roman" w:hAnsi="Times New Roman" w:cs="Times New Roman"/>
          <w:sz w:val="22"/>
          <w:szCs w:val="22"/>
        </w:rPr>
        <w:t>a minor amendment to clarify the provision in Part 98 that exempts industrial waste landfills that receive only inert materials from reporting under that subpart. The amendment does not affect any calculation, monitoring, reporting or recordkeeping requirements</w:t>
      </w:r>
      <w:r w:rsidR="008063F7">
        <w:rPr>
          <w:rFonts w:ascii="Times New Roman" w:hAnsi="Times New Roman" w:cs="Times New Roman"/>
          <w:sz w:val="22"/>
          <w:szCs w:val="22"/>
        </w:rPr>
        <w:t xml:space="preserve"> and, in fact, merely clarifies who is not subject to the rule</w:t>
      </w:r>
      <w:r w:rsidRPr="00F83408">
        <w:rPr>
          <w:rFonts w:ascii="Times New Roman" w:hAnsi="Times New Roman" w:cs="Times New Roman"/>
          <w:sz w:val="22"/>
          <w:szCs w:val="22"/>
        </w:rPr>
        <w:t xml:space="preserve">. </w:t>
      </w:r>
    </w:p>
    <w:p w:rsidR="00184643" w:rsidRDefault="00F83408" w:rsidP="004A0D6B">
      <w:pPr>
        <w:ind w:firstLine="720"/>
        <w:rPr>
          <w:rFonts w:ascii="Times New Roman" w:hAnsi="Times New Roman" w:cs="Times New Roman"/>
          <w:sz w:val="22"/>
          <w:szCs w:val="22"/>
        </w:rPr>
      </w:pPr>
      <w:r w:rsidRPr="00F83408">
        <w:rPr>
          <w:rFonts w:ascii="Times New Roman" w:hAnsi="Times New Roman" w:cs="Times New Roman"/>
          <w:sz w:val="22"/>
          <w:szCs w:val="22"/>
        </w:rPr>
        <w:t xml:space="preserve">The changes are </w:t>
      </w:r>
      <w:r w:rsidR="008063F7" w:rsidRPr="00E9739E">
        <w:rPr>
          <w:rFonts w:ascii="Times New Roman" w:hAnsi="Times New Roman" w:cs="Times New Roman"/>
          <w:sz w:val="22"/>
          <w:szCs w:val="22"/>
        </w:rPr>
        <w:t xml:space="preserve">designed to ensure consistency across the calculation, monitoring and reporting requirements </w:t>
      </w:r>
      <w:r w:rsidRPr="00F83408">
        <w:rPr>
          <w:rFonts w:ascii="Times New Roman" w:hAnsi="Times New Roman" w:cs="Times New Roman"/>
          <w:sz w:val="22"/>
          <w:szCs w:val="22"/>
        </w:rPr>
        <w:t xml:space="preserve">of the Greenhouse Gas Reporting Rule </w:t>
      </w:r>
      <w:r w:rsidR="008063F7" w:rsidRPr="00E9739E">
        <w:rPr>
          <w:rFonts w:ascii="Times New Roman" w:hAnsi="Times New Roman" w:cs="Times New Roman"/>
          <w:sz w:val="22"/>
          <w:szCs w:val="22"/>
        </w:rPr>
        <w:t xml:space="preserve">and do not </w:t>
      </w:r>
      <w:r w:rsidRPr="00F83408">
        <w:rPr>
          <w:rFonts w:ascii="Times New Roman" w:hAnsi="Times New Roman" w:cs="Times New Roman"/>
          <w:sz w:val="22"/>
          <w:szCs w:val="22"/>
        </w:rPr>
        <w:t>add additional requirements for reporters</w:t>
      </w:r>
      <w:r w:rsidR="008063F7" w:rsidRPr="00E9739E">
        <w:rPr>
          <w:rFonts w:ascii="Times New Roman" w:hAnsi="Times New Roman" w:cs="Times New Roman"/>
          <w:sz w:val="22"/>
          <w:szCs w:val="22"/>
        </w:rPr>
        <w:t>.  The amendments are</w:t>
      </w:r>
      <w:r w:rsidRPr="00F83408">
        <w:rPr>
          <w:rFonts w:ascii="Times New Roman" w:hAnsi="Times New Roman" w:cs="Times New Roman"/>
          <w:sz w:val="22"/>
          <w:szCs w:val="22"/>
        </w:rPr>
        <w:t xml:space="preserve"> expected to correct errors</w:t>
      </w:r>
      <w:r w:rsidR="003B3469">
        <w:rPr>
          <w:rFonts w:ascii="Times New Roman" w:hAnsi="Times New Roman" w:cs="Times New Roman"/>
          <w:sz w:val="22"/>
          <w:szCs w:val="22"/>
        </w:rPr>
        <w:t>, add flexibility,</w:t>
      </w:r>
      <w:r w:rsidRPr="00F83408">
        <w:rPr>
          <w:rFonts w:ascii="Times New Roman" w:hAnsi="Times New Roman" w:cs="Times New Roman"/>
          <w:sz w:val="22"/>
          <w:szCs w:val="22"/>
        </w:rPr>
        <w:t xml:space="preserve"> and clarify existing requirements in order to facilitate accurate and timely reporting. </w:t>
      </w:r>
    </w:p>
    <w:p w:rsidR="008063F7" w:rsidRDefault="008063F7" w:rsidP="008063F7">
      <w:pPr>
        <w:ind w:firstLine="360"/>
        <w:rPr>
          <w:rFonts w:ascii="Times New Roman" w:hAnsi="Times New Roman" w:cs="Times New Roman"/>
          <w:sz w:val="22"/>
          <w:szCs w:val="22"/>
        </w:rPr>
      </w:pPr>
    </w:p>
    <w:p w:rsidR="008063F7" w:rsidRDefault="008063F7" w:rsidP="008063F7">
      <w:pPr>
        <w:ind w:firstLine="720"/>
        <w:rPr>
          <w:rFonts w:ascii="Times New Roman" w:hAnsi="Times New Roman" w:cs="Times New Roman"/>
          <w:sz w:val="22"/>
          <w:szCs w:val="22"/>
        </w:rPr>
      </w:pPr>
      <w:r>
        <w:rPr>
          <w:rFonts w:ascii="Times New Roman" w:hAnsi="Times New Roman" w:cs="Times New Roman"/>
          <w:sz w:val="22"/>
          <w:szCs w:val="22"/>
        </w:rPr>
        <w:t xml:space="preserve">Section 1 of this </w:t>
      </w:r>
      <w:r w:rsidRPr="00B61FE7">
        <w:rPr>
          <w:rFonts w:ascii="Times New Roman" w:hAnsi="Times New Roman" w:cs="Times New Roman"/>
          <w:sz w:val="22"/>
          <w:szCs w:val="22"/>
        </w:rPr>
        <w:t>memo</w:t>
      </w:r>
      <w:r>
        <w:rPr>
          <w:rFonts w:ascii="Times New Roman" w:hAnsi="Times New Roman" w:cs="Times New Roman"/>
          <w:sz w:val="22"/>
          <w:szCs w:val="22"/>
        </w:rPr>
        <w:t>randum</w:t>
      </w:r>
      <w:r w:rsidRPr="00B61FE7">
        <w:rPr>
          <w:rFonts w:ascii="Times New Roman" w:hAnsi="Times New Roman" w:cs="Times New Roman"/>
          <w:sz w:val="22"/>
          <w:szCs w:val="22"/>
        </w:rPr>
        <w:t xml:space="preserve"> </w:t>
      </w:r>
      <w:r>
        <w:rPr>
          <w:rFonts w:ascii="Times New Roman" w:hAnsi="Times New Roman" w:cs="Times New Roman"/>
          <w:sz w:val="22"/>
          <w:szCs w:val="22"/>
        </w:rPr>
        <w:t>describes the clarifications, corrections, and modifications to the</w:t>
      </w:r>
      <w:r w:rsidRPr="00B61FE7">
        <w:rPr>
          <w:rFonts w:ascii="Times New Roman" w:hAnsi="Times New Roman" w:cs="Times New Roman"/>
          <w:sz w:val="22"/>
          <w:szCs w:val="22"/>
        </w:rPr>
        <w:t xml:space="preserve"> reporting requirements </w:t>
      </w:r>
      <w:r>
        <w:rPr>
          <w:rFonts w:ascii="Times New Roman" w:hAnsi="Times New Roman" w:cs="Times New Roman"/>
          <w:sz w:val="22"/>
          <w:szCs w:val="22"/>
        </w:rPr>
        <w:t xml:space="preserve">associated with the ICRs for the subparts affected by the </w:t>
      </w:r>
      <w:r w:rsidR="00572981">
        <w:rPr>
          <w:rFonts w:ascii="Times New Roman" w:hAnsi="Times New Roman" w:cs="Times New Roman"/>
          <w:sz w:val="22"/>
          <w:szCs w:val="22"/>
        </w:rPr>
        <w:t xml:space="preserve">final </w:t>
      </w:r>
      <w:r w:rsidRPr="00B61FE7">
        <w:rPr>
          <w:rFonts w:ascii="Times New Roman" w:hAnsi="Times New Roman" w:cs="Times New Roman"/>
          <w:sz w:val="22"/>
          <w:szCs w:val="22"/>
        </w:rPr>
        <w:t>201</w:t>
      </w:r>
      <w:r>
        <w:rPr>
          <w:rFonts w:ascii="Times New Roman" w:hAnsi="Times New Roman" w:cs="Times New Roman"/>
          <w:sz w:val="22"/>
          <w:szCs w:val="22"/>
        </w:rPr>
        <w:t>2</w:t>
      </w:r>
      <w:r w:rsidRPr="00B61FE7">
        <w:rPr>
          <w:rFonts w:ascii="Times New Roman" w:hAnsi="Times New Roman" w:cs="Times New Roman"/>
          <w:sz w:val="22"/>
          <w:szCs w:val="22"/>
        </w:rPr>
        <w:t xml:space="preserve"> </w:t>
      </w:r>
      <w:r w:rsidRPr="006C6D97">
        <w:rPr>
          <w:rFonts w:ascii="Times New Roman" w:hAnsi="Times New Roman"/>
        </w:rPr>
        <w:t xml:space="preserve">Technical Corrections, Clarifying and Other Amendments to the Greenhouse Gases </w:t>
      </w:r>
      <w:r>
        <w:rPr>
          <w:rFonts w:ascii="Times New Roman" w:hAnsi="Times New Roman"/>
        </w:rPr>
        <w:t xml:space="preserve">Reporting </w:t>
      </w:r>
      <w:r w:rsidRPr="006C6D97">
        <w:rPr>
          <w:rFonts w:ascii="Times New Roman" w:hAnsi="Times New Roman"/>
        </w:rPr>
        <w:t>Rule</w:t>
      </w:r>
      <w:r>
        <w:rPr>
          <w:rFonts w:ascii="Times New Roman" w:hAnsi="Times New Roman" w:cs="Times New Roman"/>
          <w:sz w:val="22"/>
          <w:szCs w:val="22"/>
        </w:rPr>
        <w:t xml:space="preserve">.  Section 2 of this memorandum concludes that these changes would not impact the cost and burden estimated in the respective ICRs. </w:t>
      </w:r>
    </w:p>
    <w:p w:rsidR="008063F7" w:rsidRDefault="008063F7" w:rsidP="008063F7">
      <w:pPr>
        <w:ind w:firstLine="720"/>
        <w:rPr>
          <w:rFonts w:ascii="Times New Roman" w:hAnsi="Times New Roman" w:cs="Times New Roman"/>
          <w:sz w:val="22"/>
          <w:szCs w:val="22"/>
        </w:rPr>
      </w:pPr>
    </w:p>
    <w:p w:rsidR="00CE7851" w:rsidRPr="009A225B" w:rsidRDefault="00CE7851" w:rsidP="00E822C7">
      <w:pPr>
        <w:ind w:firstLine="720"/>
        <w:rPr>
          <w:rFonts w:ascii="Times New Roman" w:hAnsi="Times New Roman" w:cs="Times New Roman"/>
          <w:sz w:val="22"/>
          <w:szCs w:val="22"/>
        </w:rPr>
      </w:pPr>
    </w:p>
    <w:p w:rsidR="00E822C7" w:rsidRPr="00FA0365" w:rsidRDefault="00E822C7" w:rsidP="00E822C7">
      <w:pPr>
        <w:ind w:firstLine="720"/>
        <w:rPr>
          <w:rFonts w:ascii="Times New Roman" w:hAnsi="Times New Roman" w:cs="Times New Roman"/>
          <w:sz w:val="22"/>
          <w:szCs w:val="22"/>
          <w:highlight w:val="yellow"/>
        </w:rPr>
      </w:pPr>
    </w:p>
    <w:p w:rsidR="00E822C7" w:rsidRPr="00FA0365" w:rsidRDefault="00E822C7" w:rsidP="00E822C7">
      <w:pPr>
        <w:ind w:firstLine="720"/>
        <w:rPr>
          <w:rFonts w:ascii="Times New Roman" w:hAnsi="Times New Roman" w:cs="Times New Roman"/>
          <w:sz w:val="22"/>
          <w:szCs w:val="22"/>
          <w:highlight w:val="yellow"/>
        </w:rPr>
      </w:pPr>
    </w:p>
    <w:p w:rsidR="008063F7" w:rsidRPr="00B61FE7" w:rsidRDefault="00E822C7" w:rsidP="008063F7">
      <w:pPr>
        <w:ind w:left="720" w:hanging="720"/>
        <w:rPr>
          <w:rFonts w:ascii="Times New Roman" w:hAnsi="Times New Roman" w:cs="Times New Roman"/>
          <w:sz w:val="22"/>
          <w:szCs w:val="22"/>
        </w:rPr>
      </w:pPr>
      <w:r w:rsidRPr="00B17D40">
        <w:rPr>
          <w:rFonts w:ascii="Times New Roman" w:hAnsi="Times New Roman" w:cs="Times New Roman"/>
          <w:b/>
          <w:sz w:val="22"/>
          <w:szCs w:val="22"/>
        </w:rPr>
        <w:lastRenderedPageBreak/>
        <w:t>1.</w:t>
      </w:r>
      <w:r w:rsidRPr="00B17D40">
        <w:rPr>
          <w:rFonts w:ascii="Times New Roman" w:hAnsi="Times New Roman" w:cs="Times New Roman"/>
          <w:sz w:val="22"/>
          <w:szCs w:val="22"/>
        </w:rPr>
        <w:tab/>
      </w:r>
      <w:r w:rsidR="008063F7" w:rsidRPr="00007C65">
        <w:rPr>
          <w:rFonts w:ascii="Times New Roman" w:hAnsi="Times New Roman" w:cs="Times New Roman"/>
          <w:b/>
          <w:bCs/>
          <w:smallCaps/>
          <w:sz w:val="28"/>
          <w:szCs w:val="28"/>
        </w:rPr>
        <w:t>Technical Corrections, Clarifying, and Other Amendments Affecting Prior ICRs for the GHG Reporting Rule</w:t>
      </w:r>
    </w:p>
    <w:p w:rsidR="00E822C7" w:rsidRPr="00B17D40" w:rsidRDefault="00E822C7" w:rsidP="00007C65">
      <w:pPr>
        <w:ind w:left="720" w:hanging="720"/>
        <w:rPr>
          <w:rFonts w:ascii="Times New Roman" w:hAnsi="Times New Roman" w:cs="Times New Roman"/>
          <w:sz w:val="22"/>
          <w:szCs w:val="22"/>
        </w:rPr>
      </w:pPr>
    </w:p>
    <w:p w:rsidR="00CE7851" w:rsidRPr="00B17D40" w:rsidRDefault="00CE7851" w:rsidP="00B61FE7">
      <w:pPr>
        <w:rPr>
          <w:rFonts w:ascii="Times New Roman" w:hAnsi="Times New Roman" w:cs="Times New Roman"/>
          <w:sz w:val="22"/>
          <w:szCs w:val="22"/>
        </w:rPr>
      </w:pPr>
    </w:p>
    <w:p w:rsidR="00CE7851" w:rsidRPr="00B17D40" w:rsidRDefault="00007C65" w:rsidP="00007C65">
      <w:pPr>
        <w:ind w:left="720" w:hanging="720"/>
        <w:rPr>
          <w:rFonts w:ascii="Times New Roman" w:hAnsi="Times New Roman" w:cs="Times New Roman"/>
          <w:b/>
          <w:sz w:val="22"/>
          <w:szCs w:val="22"/>
        </w:rPr>
      </w:pPr>
      <w:r w:rsidRPr="00B17D40">
        <w:rPr>
          <w:rFonts w:ascii="Times New Roman" w:hAnsi="Times New Roman" w:cs="Times New Roman"/>
          <w:b/>
          <w:sz w:val="22"/>
          <w:szCs w:val="22"/>
        </w:rPr>
        <w:t>1.1</w:t>
      </w:r>
      <w:r w:rsidRPr="00B17D40">
        <w:rPr>
          <w:rFonts w:ascii="Times New Roman" w:hAnsi="Times New Roman" w:cs="Times New Roman"/>
          <w:b/>
          <w:sz w:val="22"/>
          <w:szCs w:val="22"/>
        </w:rPr>
        <w:tab/>
      </w:r>
      <w:r w:rsidRPr="004A0D6B">
        <w:rPr>
          <w:rFonts w:ascii="Times New Roman" w:hAnsi="Times New Roman" w:cs="Times New Roman"/>
          <w:b/>
          <w:sz w:val="22"/>
          <w:szCs w:val="22"/>
        </w:rPr>
        <w:t>Mandatory Reporting of</w:t>
      </w:r>
      <w:r w:rsidR="000617E7" w:rsidRPr="004A0D6B">
        <w:rPr>
          <w:rFonts w:ascii="Times New Roman" w:hAnsi="Times New Roman" w:cs="Times New Roman"/>
          <w:b/>
          <w:sz w:val="22"/>
          <w:szCs w:val="22"/>
        </w:rPr>
        <w:t xml:space="preserve"> Greenhouse Gases</w:t>
      </w:r>
      <w:r w:rsidR="002564EF" w:rsidRPr="004A0D6B">
        <w:rPr>
          <w:rFonts w:ascii="Times New Roman" w:hAnsi="Times New Roman" w:cs="Times New Roman"/>
          <w:b/>
          <w:sz w:val="22"/>
          <w:szCs w:val="22"/>
        </w:rPr>
        <w:t>: Petroleum and Natural Gas Systems;</w:t>
      </w:r>
      <w:r w:rsidR="000617E7" w:rsidRPr="004A0D6B">
        <w:rPr>
          <w:rFonts w:ascii="Times New Roman" w:hAnsi="Times New Roman" w:cs="Times New Roman"/>
          <w:b/>
          <w:sz w:val="22"/>
          <w:szCs w:val="22"/>
        </w:rPr>
        <w:t xml:space="preserve"> - Final Rule </w:t>
      </w:r>
      <w:r w:rsidR="003D5512" w:rsidRPr="004A0D6B">
        <w:rPr>
          <w:rFonts w:ascii="Times New Roman" w:hAnsi="Times New Roman" w:cs="Times New Roman"/>
          <w:b/>
          <w:sz w:val="22"/>
          <w:szCs w:val="22"/>
        </w:rPr>
        <w:t xml:space="preserve">(EPA ICR number </w:t>
      </w:r>
      <w:r w:rsidR="002564EF" w:rsidRPr="004A0D6B">
        <w:rPr>
          <w:rFonts w:ascii="Times New Roman" w:hAnsi="Times New Roman" w:cs="Times New Roman"/>
          <w:b/>
          <w:sz w:val="22"/>
          <w:szCs w:val="22"/>
        </w:rPr>
        <w:t>2376</w:t>
      </w:r>
      <w:r w:rsidR="003D5512" w:rsidRPr="004A0D6B">
        <w:rPr>
          <w:rFonts w:ascii="Times New Roman" w:hAnsi="Times New Roman" w:cs="Times New Roman"/>
          <w:b/>
          <w:sz w:val="22"/>
          <w:szCs w:val="22"/>
        </w:rPr>
        <w:t>.</w:t>
      </w:r>
      <w:r w:rsidR="002564EF" w:rsidRPr="004A0D6B">
        <w:rPr>
          <w:rFonts w:ascii="Times New Roman" w:hAnsi="Times New Roman" w:cs="Times New Roman"/>
          <w:b/>
          <w:sz w:val="22"/>
          <w:szCs w:val="22"/>
        </w:rPr>
        <w:t>05</w:t>
      </w:r>
      <w:r w:rsidR="003D5512" w:rsidRPr="004A0D6B">
        <w:rPr>
          <w:rFonts w:ascii="Times New Roman" w:hAnsi="Times New Roman" w:cs="Times New Roman"/>
          <w:b/>
          <w:sz w:val="22"/>
          <w:szCs w:val="22"/>
        </w:rPr>
        <w:t>; OMB control number 2060-</w:t>
      </w:r>
      <w:r w:rsidR="002564EF" w:rsidRPr="004A0D6B">
        <w:rPr>
          <w:rFonts w:ascii="Times New Roman" w:hAnsi="Times New Roman" w:cs="Times New Roman"/>
          <w:b/>
          <w:sz w:val="22"/>
          <w:szCs w:val="22"/>
        </w:rPr>
        <w:t>0651</w:t>
      </w:r>
      <w:r w:rsidR="003D5512" w:rsidRPr="004A0D6B">
        <w:rPr>
          <w:rFonts w:ascii="Times New Roman" w:hAnsi="Times New Roman" w:cs="Times New Roman"/>
          <w:b/>
          <w:sz w:val="22"/>
          <w:szCs w:val="22"/>
        </w:rPr>
        <w:t>)</w:t>
      </w:r>
    </w:p>
    <w:p w:rsidR="00CE7851" w:rsidRPr="00FA0365" w:rsidRDefault="00CE7851" w:rsidP="00B61FE7">
      <w:pPr>
        <w:rPr>
          <w:rFonts w:ascii="Times New Roman" w:hAnsi="Times New Roman" w:cs="Times New Roman"/>
          <w:sz w:val="22"/>
          <w:szCs w:val="22"/>
          <w:highlight w:val="yellow"/>
        </w:rPr>
      </w:pPr>
    </w:p>
    <w:p w:rsidR="004C4B69" w:rsidRDefault="004C4B69" w:rsidP="00B61FE7">
      <w:pPr>
        <w:pStyle w:val="GHGPARAGRAPH"/>
        <w:spacing w:line="240" w:lineRule="auto"/>
        <w:rPr>
          <w:rFonts w:ascii="Times New Roman" w:hAnsi="Times New Roman" w:cs="Times New Roman"/>
          <w:sz w:val="22"/>
          <w:szCs w:val="22"/>
        </w:rPr>
      </w:pPr>
    </w:p>
    <w:p w:rsidR="00184643" w:rsidRDefault="000B6A40">
      <w:pPr>
        <w:pStyle w:val="GHGPARAGRAPH"/>
        <w:spacing w:line="240" w:lineRule="auto"/>
        <w:rPr>
          <w:rFonts w:ascii="Times New Roman" w:hAnsi="Times New Roman" w:cs="Times New Roman"/>
          <w:sz w:val="22"/>
          <w:szCs w:val="22"/>
        </w:rPr>
      </w:pPr>
      <w:r w:rsidRPr="000B6A40">
        <w:rPr>
          <w:rFonts w:ascii="Times New Roman" w:hAnsi="Times New Roman" w:cs="Times New Roman"/>
          <w:sz w:val="22"/>
          <w:szCs w:val="22"/>
        </w:rPr>
        <w:t xml:space="preserve">EPA is </w:t>
      </w:r>
      <w:r w:rsidR="00572981">
        <w:rPr>
          <w:rFonts w:ascii="Times New Roman" w:hAnsi="Times New Roman" w:cs="Times New Roman"/>
          <w:sz w:val="22"/>
          <w:szCs w:val="22"/>
        </w:rPr>
        <w:t xml:space="preserve">finalizing </w:t>
      </w:r>
      <w:r w:rsidRPr="000B6A40">
        <w:rPr>
          <w:rFonts w:ascii="Times New Roman" w:hAnsi="Times New Roman" w:cs="Times New Roman"/>
          <w:sz w:val="22"/>
          <w:szCs w:val="22"/>
        </w:rPr>
        <w:t xml:space="preserve">a small number of </w:t>
      </w:r>
      <w:r w:rsidR="008063F7">
        <w:rPr>
          <w:rFonts w:ascii="Times New Roman" w:hAnsi="Times New Roman" w:cs="Times New Roman"/>
          <w:sz w:val="22"/>
          <w:szCs w:val="22"/>
        </w:rPr>
        <w:t>technical corrections</w:t>
      </w:r>
      <w:r w:rsidRPr="000B6A40">
        <w:rPr>
          <w:rFonts w:ascii="Times New Roman" w:hAnsi="Times New Roman" w:cs="Times New Roman"/>
          <w:sz w:val="22"/>
          <w:szCs w:val="22"/>
        </w:rPr>
        <w:t xml:space="preserve"> to the data reporting requirements affecting subpart W reporters</w:t>
      </w:r>
      <w:r w:rsidR="00C57817">
        <w:rPr>
          <w:rFonts w:ascii="Times New Roman" w:hAnsi="Times New Roman" w:cs="Times New Roman"/>
          <w:sz w:val="22"/>
          <w:szCs w:val="22"/>
        </w:rPr>
        <w:t xml:space="preserve"> by </w:t>
      </w:r>
      <w:r w:rsidR="00572981">
        <w:rPr>
          <w:rFonts w:ascii="Times New Roman" w:hAnsi="Times New Roman" w:cs="Times New Roman"/>
          <w:sz w:val="22"/>
          <w:szCs w:val="22"/>
        </w:rPr>
        <w:t xml:space="preserve">making </w:t>
      </w:r>
      <w:r w:rsidR="00C57817">
        <w:rPr>
          <w:rFonts w:ascii="Times New Roman" w:hAnsi="Times New Roman" w:cs="Times New Roman"/>
          <w:sz w:val="22"/>
          <w:szCs w:val="22"/>
        </w:rPr>
        <w:t>the following</w:t>
      </w:r>
      <w:r w:rsidRPr="000B6A40">
        <w:rPr>
          <w:rFonts w:ascii="Times New Roman" w:hAnsi="Times New Roman" w:cs="Times New Roman"/>
          <w:sz w:val="22"/>
          <w:szCs w:val="22"/>
        </w:rPr>
        <w:t xml:space="preserve"> amendments: </w:t>
      </w:r>
    </w:p>
    <w:p w:rsidR="00184643" w:rsidRDefault="00184643">
      <w:pPr>
        <w:pStyle w:val="GHGPARAGRAPH"/>
        <w:spacing w:line="240" w:lineRule="auto"/>
        <w:rPr>
          <w:rFonts w:ascii="Times New Roman" w:hAnsi="Times New Roman" w:cs="Times New Roman"/>
          <w:sz w:val="22"/>
          <w:szCs w:val="22"/>
        </w:rPr>
      </w:pP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(c)(5)(ii)(D) to clarify that the average internal casing diameter must be reported for all</w:t>
      </w:r>
      <w:r w:rsidR="004F6E1B">
        <w:rPr>
          <w:rFonts w:ascii="Times New Roman" w:hAnsi="Times New Roman" w:cs="Times New Roman"/>
          <w:sz w:val="22"/>
          <w:szCs w:val="22"/>
        </w:rPr>
        <w:t xml:space="preserve"> wells, as opposed to each well;</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98.236(c)(9) to align the reporting requirements with the corresponding calculation methodologies in 40 CFR 98.23</w:t>
      </w:r>
      <w:r w:rsidR="004F6E1B">
        <w:rPr>
          <w:rFonts w:ascii="Times New Roman" w:hAnsi="Times New Roman" w:cs="Times New Roman"/>
          <w:sz w:val="22"/>
          <w:szCs w:val="22"/>
        </w:rPr>
        <w:t>3(k) by removing erroneous text;</w:t>
      </w:r>
    </w:p>
    <w:p w:rsidR="00F609EC" w:rsidRDefault="00F609EC">
      <w:pPr>
        <w:pStyle w:val="GHGPARAGRAPH"/>
        <w:numPr>
          <w:ilvl w:val="0"/>
          <w:numId w:val="11"/>
        </w:numPr>
        <w:spacing w:line="240" w:lineRule="auto"/>
        <w:ind w:left="720" w:hanging="720"/>
        <w:rPr>
          <w:rFonts w:ascii="Times New Roman" w:hAnsi="Times New Roman" w:cs="Times New Roman"/>
          <w:sz w:val="22"/>
          <w:szCs w:val="22"/>
        </w:rPr>
      </w:pPr>
      <w:r>
        <w:rPr>
          <w:rFonts w:ascii="Times New Roman" w:hAnsi="Times New Roman" w:cs="Times New Roman"/>
          <w:sz w:val="22"/>
          <w:szCs w:val="22"/>
        </w:rPr>
        <w:t>40 CFR 98.236(c)(13)(</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)(G)</w:t>
      </w:r>
      <w:r w:rsidR="00BA5E53">
        <w:rPr>
          <w:rFonts w:ascii="Times New Roman" w:hAnsi="Times New Roman" w:cs="Times New Roman"/>
          <w:sz w:val="22"/>
          <w:szCs w:val="22"/>
        </w:rPr>
        <w:t>,</w:t>
      </w:r>
      <w:r w:rsidR="00BA5E53" w:rsidRPr="00BA5E53">
        <w:rPr>
          <w:rFonts w:ascii="Times New Roman" w:hAnsi="Times New Roman" w:cs="Times New Roman"/>
          <w:sz w:val="22"/>
          <w:szCs w:val="22"/>
        </w:rPr>
        <w:t xml:space="preserve"> </w:t>
      </w:r>
      <w:r w:rsidR="00BA5E53">
        <w:rPr>
          <w:rFonts w:ascii="Times New Roman" w:hAnsi="Times New Roman" w:cs="Times New Roman"/>
          <w:sz w:val="22"/>
          <w:szCs w:val="22"/>
        </w:rPr>
        <w:t xml:space="preserve">(ii)(C), (iv), (v)(B) </w:t>
      </w:r>
      <w:r>
        <w:rPr>
          <w:rFonts w:ascii="Times New Roman" w:hAnsi="Times New Roman" w:cs="Times New Roman"/>
          <w:sz w:val="22"/>
          <w:szCs w:val="22"/>
        </w:rPr>
        <w:t xml:space="preserve"> to </w:t>
      </w:r>
      <w:r w:rsidR="005D5CA9">
        <w:rPr>
          <w:rFonts w:ascii="Times New Roman" w:hAnsi="Times New Roman" w:cs="Times New Roman"/>
          <w:sz w:val="22"/>
          <w:szCs w:val="22"/>
        </w:rPr>
        <w:t>clarify</w:t>
      </w:r>
      <w:r>
        <w:rPr>
          <w:rFonts w:ascii="Times New Roman" w:hAnsi="Times New Roman" w:cs="Times New Roman"/>
          <w:sz w:val="22"/>
          <w:szCs w:val="22"/>
        </w:rPr>
        <w:t xml:space="preserve"> the units of the reporting requirements.</w:t>
      </w:r>
    </w:p>
    <w:p w:rsidR="00DB1209" w:rsidRDefault="00DB1209">
      <w:pPr>
        <w:pStyle w:val="GHGPARAGRAPH"/>
        <w:numPr>
          <w:ilvl w:val="0"/>
          <w:numId w:val="11"/>
        </w:numPr>
        <w:spacing w:line="240" w:lineRule="auto"/>
        <w:ind w:left="720" w:hanging="720"/>
        <w:rPr>
          <w:rFonts w:ascii="Times New Roman" w:hAnsi="Times New Roman" w:cs="Times New Roman"/>
          <w:sz w:val="22"/>
          <w:szCs w:val="22"/>
        </w:rPr>
      </w:pPr>
      <w:r>
        <w:rPr>
          <w:rFonts w:ascii="Times New Roman" w:hAnsi="Times New Roman" w:cs="Times New Roman"/>
          <w:sz w:val="22"/>
          <w:szCs w:val="22"/>
        </w:rPr>
        <w:t>40CFR 98.236(c</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13)(iii)(C) to correct the units of the reporting requirements</w:t>
      </w:r>
      <w:r w:rsidR="001D27C2">
        <w:rPr>
          <w:rFonts w:ascii="Times New Roman" w:hAnsi="Times New Roman" w:cs="Times New Roman"/>
          <w:sz w:val="22"/>
          <w:szCs w:val="22"/>
        </w:rPr>
        <w:t xml:space="preserve"> and </w:t>
      </w:r>
      <w:r w:rsidR="00B200E4">
        <w:rPr>
          <w:rFonts w:ascii="Times New Roman" w:hAnsi="Times New Roman" w:cs="Times New Roman"/>
          <w:sz w:val="22"/>
          <w:szCs w:val="22"/>
        </w:rPr>
        <w:t>removing</w:t>
      </w:r>
      <w:r w:rsidR="001D27C2">
        <w:rPr>
          <w:rFonts w:ascii="Times New Roman" w:hAnsi="Times New Roman" w:cs="Times New Roman"/>
          <w:sz w:val="22"/>
          <w:szCs w:val="22"/>
        </w:rPr>
        <w:t xml:space="preserve"> an incorrect reference</w:t>
      </w:r>
      <w:r w:rsidR="00B200E4">
        <w:rPr>
          <w:rFonts w:ascii="Times New Roman" w:hAnsi="Times New Roman" w:cs="Times New Roman"/>
          <w:sz w:val="22"/>
          <w:szCs w:val="22"/>
        </w:rPr>
        <w:t xml:space="preserve"> and citation</w:t>
      </w:r>
      <w:r>
        <w:rPr>
          <w:rFonts w:ascii="Times New Roman" w:hAnsi="Times New Roman" w:cs="Times New Roman"/>
          <w:sz w:val="22"/>
          <w:szCs w:val="22"/>
        </w:rPr>
        <w:t xml:space="preserve">. </w:t>
      </w:r>
    </w:p>
    <w:p w:rsidR="00F609EC" w:rsidRDefault="00F609EC" w:rsidP="00F609EC">
      <w:pPr>
        <w:pStyle w:val="GHGPARAGRAPH"/>
        <w:numPr>
          <w:ilvl w:val="0"/>
          <w:numId w:val="11"/>
        </w:numPr>
        <w:spacing w:line="240" w:lineRule="auto"/>
        <w:ind w:left="720" w:hanging="720"/>
        <w:rPr>
          <w:rFonts w:ascii="Times New Roman" w:hAnsi="Times New Roman" w:cs="Times New Roman"/>
          <w:sz w:val="22"/>
          <w:szCs w:val="22"/>
        </w:rPr>
      </w:pPr>
      <w:r>
        <w:rPr>
          <w:rFonts w:ascii="Times New Roman" w:hAnsi="Times New Roman" w:cs="Times New Roman"/>
          <w:sz w:val="22"/>
          <w:szCs w:val="22"/>
        </w:rPr>
        <w:t>40 CFR 98.236(c)(14)(</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)(C)</w:t>
      </w:r>
      <w:r w:rsidR="00BA5E53">
        <w:rPr>
          <w:rFonts w:ascii="Times New Roman" w:hAnsi="Times New Roman" w:cs="Times New Roman"/>
          <w:sz w:val="22"/>
          <w:szCs w:val="22"/>
        </w:rPr>
        <w:t>,</w:t>
      </w:r>
      <w:r w:rsidR="00BA5E53" w:rsidRPr="00BA5E53">
        <w:rPr>
          <w:rFonts w:ascii="Times New Roman" w:hAnsi="Times New Roman" w:cs="Times New Roman"/>
          <w:sz w:val="22"/>
          <w:szCs w:val="22"/>
        </w:rPr>
        <w:t xml:space="preserve"> </w:t>
      </w:r>
      <w:r w:rsidR="00BA5E53">
        <w:rPr>
          <w:rFonts w:ascii="Times New Roman" w:hAnsi="Times New Roman" w:cs="Times New Roman"/>
          <w:sz w:val="22"/>
          <w:szCs w:val="22"/>
        </w:rPr>
        <w:t xml:space="preserve">(ii)(C), (iii)(C), (iv), (v)(B) </w:t>
      </w:r>
      <w:r>
        <w:rPr>
          <w:rFonts w:ascii="Times New Roman" w:hAnsi="Times New Roman" w:cs="Times New Roman"/>
          <w:sz w:val="22"/>
          <w:szCs w:val="22"/>
        </w:rPr>
        <w:t xml:space="preserve"> to </w:t>
      </w:r>
      <w:r w:rsidR="005D5CA9">
        <w:rPr>
          <w:rFonts w:ascii="Times New Roman" w:hAnsi="Times New Roman" w:cs="Times New Roman"/>
          <w:sz w:val="22"/>
          <w:szCs w:val="22"/>
        </w:rPr>
        <w:t xml:space="preserve">clarify </w:t>
      </w:r>
      <w:r>
        <w:rPr>
          <w:rFonts w:ascii="Times New Roman" w:hAnsi="Times New Roman" w:cs="Times New Roman"/>
          <w:sz w:val="22"/>
          <w:szCs w:val="22"/>
        </w:rPr>
        <w:t>the units of the reporting requirements</w:t>
      </w:r>
      <w:r w:rsidR="001D27C2">
        <w:rPr>
          <w:rFonts w:ascii="Times New Roman" w:hAnsi="Times New Roman" w:cs="Times New Roman"/>
          <w:sz w:val="22"/>
          <w:szCs w:val="22"/>
        </w:rPr>
        <w:t xml:space="preserve"> and </w:t>
      </w:r>
      <w:r w:rsidR="00B200E4">
        <w:rPr>
          <w:rFonts w:ascii="Times New Roman" w:hAnsi="Times New Roman" w:cs="Times New Roman"/>
          <w:sz w:val="22"/>
          <w:szCs w:val="22"/>
        </w:rPr>
        <w:t>removing</w:t>
      </w:r>
      <w:r w:rsidR="001D27C2">
        <w:rPr>
          <w:rFonts w:ascii="Times New Roman" w:hAnsi="Times New Roman" w:cs="Times New Roman"/>
          <w:sz w:val="22"/>
          <w:szCs w:val="22"/>
        </w:rPr>
        <w:t xml:space="preserve"> an incorrect reference</w:t>
      </w:r>
      <w:r w:rsidR="00B200E4">
        <w:rPr>
          <w:rFonts w:ascii="Times New Roman" w:hAnsi="Times New Roman" w:cs="Times New Roman"/>
          <w:sz w:val="22"/>
          <w:szCs w:val="22"/>
        </w:rPr>
        <w:t xml:space="preserve"> and citation</w:t>
      </w:r>
      <w:r>
        <w:rPr>
          <w:rFonts w:ascii="Times New Roman" w:hAnsi="Times New Roman" w:cs="Times New Roman"/>
          <w:sz w:val="22"/>
          <w:szCs w:val="22"/>
        </w:rPr>
        <w:t>.</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98.236(c)(15)(</w:t>
      </w:r>
      <w:proofErr w:type="spellStart"/>
      <w:r w:rsidRPr="000B6A40">
        <w:rPr>
          <w:rFonts w:ascii="Times New Roman" w:hAnsi="Times New Roman" w:cs="Times New Roman"/>
          <w:sz w:val="22"/>
          <w:szCs w:val="22"/>
        </w:rPr>
        <w:t>i</w:t>
      </w:r>
      <w:proofErr w:type="spellEnd"/>
      <w:r w:rsidRPr="000B6A40">
        <w:rPr>
          <w:rFonts w:ascii="Times New Roman" w:hAnsi="Times New Roman" w:cs="Times New Roman"/>
          <w:sz w:val="22"/>
          <w:szCs w:val="22"/>
        </w:rPr>
        <w:t>)(B) and (C) to remove inc</w:t>
      </w:r>
      <w:r w:rsidR="004F6E1B">
        <w:rPr>
          <w:rFonts w:ascii="Times New Roman" w:hAnsi="Times New Roman" w:cs="Times New Roman"/>
          <w:sz w:val="22"/>
          <w:szCs w:val="22"/>
        </w:rPr>
        <w:t>orrect references and citations;</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98.236(c)(15)(ii)(A) to remove unnecessary text which if not removed resu</w:t>
      </w:r>
      <w:r w:rsidR="004F6E1B">
        <w:rPr>
          <w:rFonts w:ascii="Times New Roman" w:hAnsi="Times New Roman" w:cs="Times New Roman"/>
          <w:sz w:val="22"/>
          <w:szCs w:val="22"/>
        </w:rPr>
        <w:t>lts in redundancy for reporters;</w:t>
      </w:r>
    </w:p>
    <w:p w:rsidR="00184643" w:rsidRDefault="000B6A40">
      <w:pPr>
        <w:pStyle w:val="GHGPARAGRAPH"/>
        <w:numPr>
          <w:ilvl w:val="0"/>
          <w:numId w:val="11"/>
        </w:numPr>
        <w:spacing w:line="240" w:lineRule="auto"/>
        <w:ind w:left="720" w:hanging="720"/>
        <w:rPr>
          <w:rFonts w:ascii="Times New Roman" w:hAnsi="Times New Roman" w:cs="Times New Roman"/>
          <w:sz w:val="22"/>
          <w:szCs w:val="22"/>
        </w:rPr>
      </w:pPr>
      <w:r w:rsidRPr="000B6A40">
        <w:rPr>
          <w:rFonts w:ascii="Times New Roman" w:hAnsi="Times New Roman" w:cs="Times New Roman"/>
          <w:sz w:val="22"/>
          <w:szCs w:val="22"/>
        </w:rPr>
        <w:t>40 CFR 98.236(c</w:t>
      </w:r>
      <w:proofErr w:type="gramStart"/>
      <w:r w:rsidRPr="000B6A40">
        <w:rPr>
          <w:rFonts w:ascii="Times New Roman" w:hAnsi="Times New Roman" w:cs="Times New Roman"/>
          <w:sz w:val="22"/>
          <w:szCs w:val="22"/>
        </w:rPr>
        <w:t>)(</w:t>
      </w:r>
      <w:proofErr w:type="gramEnd"/>
      <w:r w:rsidRPr="000B6A40">
        <w:rPr>
          <w:rFonts w:ascii="Times New Roman" w:hAnsi="Times New Roman" w:cs="Times New Roman"/>
          <w:sz w:val="22"/>
          <w:szCs w:val="22"/>
        </w:rPr>
        <w:t>17)(v) to remove reporting of CH</w:t>
      </w:r>
      <w:r w:rsidRPr="004A0D6B">
        <w:rPr>
          <w:rFonts w:ascii="Times New Roman" w:hAnsi="Times New Roman" w:cs="Times New Roman"/>
          <w:sz w:val="22"/>
          <w:szCs w:val="22"/>
          <w:vertAlign w:val="subscript"/>
        </w:rPr>
        <w:t>4</w:t>
      </w:r>
      <w:r w:rsidRPr="000B6A40">
        <w:rPr>
          <w:rFonts w:ascii="Times New Roman" w:hAnsi="Times New Roman" w:cs="Times New Roman"/>
          <w:sz w:val="22"/>
          <w:szCs w:val="22"/>
        </w:rPr>
        <w:t xml:space="preserve"> to make the reporting requirements consistent with the calculation procedures.</w:t>
      </w:r>
    </w:p>
    <w:p w:rsidR="002564EF" w:rsidRDefault="002564EF" w:rsidP="00B61FE7">
      <w:pPr>
        <w:pStyle w:val="GHGPARAGRAPH"/>
        <w:spacing w:line="240" w:lineRule="auto"/>
        <w:rPr>
          <w:rFonts w:ascii="Times New Roman" w:hAnsi="Times New Roman" w:cs="Times New Roman"/>
          <w:sz w:val="22"/>
          <w:szCs w:val="22"/>
        </w:rPr>
      </w:pPr>
    </w:p>
    <w:p w:rsidR="00704254" w:rsidRDefault="00704254" w:rsidP="00B61FE7">
      <w:pPr>
        <w:pStyle w:val="GHGPARAGRAPH"/>
        <w:spacing w:line="240" w:lineRule="auto"/>
        <w:rPr>
          <w:rFonts w:ascii="Times New Roman" w:hAnsi="Times New Roman" w:cs="Times New Roman"/>
          <w:sz w:val="22"/>
          <w:szCs w:val="22"/>
        </w:rPr>
      </w:pPr>
    </w:p>
    <w:p w:rsidR="00B17D40" w:rsidRDefault="004C49BB" w:rsidP="008063F7">
      <w:pPr>
        <w:ind w:left="720" w:hanging="720"/>
        <w:rPr>
          <w:rFonts w:ascii="Times New Roman" w:hAnsi="Times New Roman" w:cs="Times New Roman"/>
          <w:b/>
          <w:sz w:val="22"/>
          <w:szCs w:val="22"/>
        </w:rPr>
      </w:pPr>
      <w:r w:rsidRPr="008063F7">
        <w:rPr>
          <w:rFonts w:ascii="Times New Roman" w:hAnsi="Times New Roman" w:cs="Times New Roman"/>
          <w:b/>
          <w:sz w:val="22"/>
          <w:szCs w:val="22"/>
        </w:rPr>
        <w:t xml:space="preserve">1.2.  </w:t>
      </w:r>
      <w:r w:rsidR="008063F7">
        <w:rPr>
          <w:rFonts w:ascii="Times New Roman" w:hAnsi="Times New Roman" w:cs="Times New Roman"/>
          <w:b/>
          <w:sz w:val="22"/>
          <w:szCs w:val="22"/>
        </w:rPr>
        <w:tab/>
      </w:r>
      <w:r w:rsidRPr="008063F7">
        <w:rPr>
          <w:rFonts w:ascii="Times New Roman" w:hAnsi="Times New Roman" w:cs="Times New Roman"/>
          <w:b/>
          <w:sz w:val="22"/>
          <w:szCs w:val="22"/>
        </w:rPr>
        <w:t>Mandatory Reporting of Greenhouse Gases, Additional Sources of Fluorinated GHGs</w:t>
      </w:r>
      <w:r w:rsidRPr="008063F7" w:rsidDel="00A83771">
        <w:rPr>
          <w:rFonts w:ascii="Times New Roman" w:hAnsi="Times New Roman" w:cs="Times New Roman"/>
          <w:b/>
          <w:sz w:val="22"/>
          <w:szCs w:val="22"/>
        </w:rPr>
        <w:t xml:space="preserve"> </w:t>
      </w:r>
      <w:r w:rsidRPr="008063F7">
        <w:rPr>
          <w:rFonts w:ascii="Times New Roman" w:hAnsi="Times New Roman" w:cs="Times New Roman"/>
          <w:b/>
          <w:sz w:val="22"/>
          <w:szCs w:val="22"/>
        </w:rPr>
        <w:t xml:space="preserve">– Final Rule </w:t>
      </w:r>
      <w:r w:rsidR="00B17D40" w:rsidRPr="008063F7">
        <w:rPr>
          <w:rFonts w:ascii="Times New Roman" w:hAnsi="Times New Roman" w:cs="Times New Roman"/>
          <w:b/>
          <w:sz w:val="22"/>
          <w:szCs w:val="22"/>
        </w:rPr>
        <w:t>(EPA ICR number 2373.04; OMB control number 2060-0650)</w:t>
      </w:r>
    </w:p>
    <w:p w:rsidR="008063F7" w:rsidRPr="008063F7" w:rsidRDefault="008063F7" w:rsidP="008063F7">
      <w:pPr>
        <w:ind w:left="720" w:hanging="720"/>
        <w:rPr>
          <w:rFonts w:ascii="Times New Roman" w:hAnsi="Times New Roman" w:cs="Times New Roman"/>
          <w:b/>
          <w:sz w:val="22"/>
          <w:szCs w:val="22"/>
          <w:highlight w:val="yellow"/>
        </w:rPr>
      </w:pPr>
    </w:p>
    <w:p w:rsidR="004C49BB" w:rsidRPr="00EE66B3" w:rsidRDefault="008063F7" w:rsidP="004A0D6B">
      <w:pPr>
        <w:keepNext/>
        <w:keepLines/>
        <w:ind w:firstLine="720"/>
        <w:rPr>
          <w:b/>
        </w:rPr>
      </w:pPr>
      <w:r w:rsidRPr="00B61FE7">
        <w:rPr>
          <w:rFonts w:ascii="Times New Roman" w:hAnsi="Times New Roman" w:cs="Times New Roman"/>
          <w:sz w:val="22"/>
          <w:szCs w:val="22"/>
        </w:rPr>
        <w:t>The amendment</w:t>
      </w:r>
      <w:r>
        <w:rPr>
          <w:rFonts w:ascii="Times New Roman" w:hAnsi="Times New Roman" w:cs="Times New Roman"/>
          <w:sz w:val="22"/>
          <w:szCs w:val="22"/>
        </w:rPr>
        <w:t>s</w:t>
      </w:r>
      <w:r w:rsidRPr="00B61FE7">
        <w:rPr>
          <w:rFonts w:ascii="Times New Roman" w:hAnsi="Times New Roman" w:cs="Times New Roman"/>
          <w:sz w:val="22"/>
          <w:szCs w:val="22"/>
        </w:rPr>
        <w:t xml:space="preserve"> to </w:t>
      </w:r>
      <w:r>
        <w:rPr>
          <w:rFonts w:ascii="Times New Roman" w:hAnsi="Times New Roman" w:cs="Times New Roman"/>
          <w:sz w:val="22"/>
          <w:szCs w:val="22"/>
        </w:rPr>
        <w:t xml:space="preserve">the General Provisions (subpart A) and the reporting requirements in subpart L </w:t>
      </w:r>
      <w:r w:rsidRPr="00B61FE7">
        <w:rPr>
          <w:rFonts w:ascii="Times New Roman" w:hAnsi="Times New Roman" w:cs="Times New Roman"/>
          <w:sz w:val="22"/>
          <w:szCs w:val="22"/>
        </w:rPr>
        <w:t xml:space="preserve">affect the information collection request of the Mandatory Reporting of Greenhouse Gases, Additional Sources of Fluorinated GHGs – Final Rule </w:t>
      </w:r>
      <w:r w:rsidRPr="004C4B69">
        <w:rPr>
          <w:rFonts w:ascii="Times New Roman" w:hAnsi="Times New Roman" w:cs="Times New Roman"/>
          <w:sz w:val="22"/>
          <w:szCs w:val="22"/>
        </w:rPr>
        <w:t>(EPA ICR number 2373.0</w:t>
      </w:r>
      <w:r>
        <w:rPr>
          <w:rFonts w:ascii="Times New Roman" w:hAnsi="Times New Roman" w:cs="Times New Roman"/>
          <w:sz w:val="22"/>
          <w:szCs w:val="22"/>
        </w:rPr>
        <w:t>4</w:t>
      </w:r>
      <w:r w:rsidRPr="004C4B69">
        <w:rPr>
          <w:rFonts w:ascii="Times New Roman" w:hAnsi="Times New Roman" w:cs="Times New Roman"/>
          <w:sz w:val="22"/>
          <w:szCs w:val="22"/>
        </w:rPr>
        <w:t>; OMB control number 2060-0650</w:t>
      </w:r>
      <w:r w:rsidRPr="00B61FE7">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4C49BB" w:rsidRDefault="004C49BB" w:rsidP="001F1606">
      <w:pPr>
        <w:keepNext/>
        <w:keepLines/>
        <w:ind w:left="720" w:hanging="720"/>
        <w:rPr>
          <w:rFonts w:ascii="Times New Roman" w:hAnsi="Times New Roman" w:cs="Times New Roman"/>
          <w:b/>
          <w:sz w:val="22"/>
          <w:szCs w:val="22"/>
        </w:rPr>
      </w:pPr>
    </w:p>
    <w:p w:rsidR="008063F7" w:rsidRDefault="008063F7" w:rsidP="008063F7">
      <w:pPr>
        <w:keepNext/>
        <w:keepLines/>
        <w:rPr>
          <w:rFonts w:ascii="Times New Roman" w:hAnsi="Times New Roman" w:cs="Times New Roman"/>
          <w:b/>
          <w:sz w:val="22"/>
          <w:szCs w:val="22"/>
        </w:rPr>
      </w:pPr>
      <w:r w:rsidRPr="00B61FE7">
        <w:rPr>
          <w:rFonts w:ascii="Times New Roman" w:hAnsi="Times New Roman" w:cs="Times New Roman"/>
          <w:b/>
          <w:sz w:val="22"/>
          <w:szCs w:val="22"/>
        </w:rPr>
        <w:t xml:space="preserve">Subpart </w:t>
      </w:r>
      <w:r>
        <w:rPr>
          <w:rFonts w:ascii="Times New Roman" w:hAnsi="Times New Roman" w:cs="Times New Roman"/>
          <w:b/>
          <w:sz w:val="22"/>
          <w:szCs w:val="22"/>
        </w:rPr>
        <w:t>A</w:t>
      </w:r>
      <w:r w:rsidRPr="00B61FE7">
        <w:rPr>
          <w:rFonts w:ascii="Times New Roman" w:hAnsi="Times New Roman" w:cs="Times New Roman"/>
          <w:b/>
          <w:sz w:val="22"/>
          <w:szCs w:val="22"/>
        </w:rPr>
        <w:t xml:space="preserve"> </w:t>
      </w:r>
      <w:r>
        <w:rPr>
          <w:rFonts w:ascii="Times New Roman" w:hAnsi="Times New Roman" w:cs="Times New Roman"/>
          <w:b/>
          <w:sz w:val="22"/>
          <w:szCs w:val="22"/>
        </w:rPr>
        <w:t>–</w:t>
      </w:r>
      <w:r w:rsidRPr="00B61FE7">
        <w:rPr>
          <w:rFonts w:ascii="Times New Roman" w:hAnsi="Times New Roman" w:cs="Times New Roman"/>
          <w:b/>
          <w:sz w:val="22"/>
          <w:szCs w:val="22"/>
        </w:rPr>
        <w:t xml:space="preserve"> </w:t>
      </w:r>
      <w:r>
        <w:rPr>
          <w:rFonts w:ascii="Times New Roman" w:hAnsi="Times New Roman" w:cs="Times New Roman"/>
          <w:b/>
          <w:sz w:val="22"/>
          <w:szCs w:val="22"/>
        </w:rPr>
        <w:t>General Provisions</w:t>
      </w:r>
    </w:p>
    <w:p w:rsidR="008063F7" w:rsidRDefault="008063F7" w:rsidP="008063F7">
      <w:pPr>
        <w:keepNext/>
        <w:keepLines/>
        <w:rPr>
          <w:rFonts w:ascii="Times New Roman" w:hAnsi="Times New Roman" w:cs="Times New Roman"/>
          <w:b/>
          <w:sz w:val="22"/>
          <w:szCs w:val="22"/>
        </w:rPr>
      </w:pPr>
    </w:p>
    <w:p w:rsidR="00184643" w:rsidRDefault="008063F7">
      <w:pPr>
        <w:pStyle w:val="GHGPARAGRAPH"/>
        <w:spacing w:line="240" w:lineRule="auto"/>
        <w:rPr>
          <w:rFonts w:ascii="Times New Roman" w:hAnsi="Times New Roman" w:cs="Times New Roman"/>
          <w:sz w:val="22"/>
          <w:szCs w:val="22"/>
        </w:rPr>
      </w:pPr>
      <w:r>
        <w:rPr>
          <w:rFonts w:ascii="Times New Roman" w:hAnsi="Times New Roman" w:cs="Times New Roman"/>
          <w:sz w:val="22"/>
          <w:szCs w:val="22"/>
        </w:rPr>
        <w:t>EPA is amend</w:t>
      </w:r>
      <w:r w:rsidR="00572981">
        <w:rPr>
          <w:rFonts w:ascii="Times New Roman" w:hAnsi="Times New Roman" w:cs="Times New Roman"/>
          <w:sz w:val="22"/>
          <w:szCs w:val="22"/>
        </w:rPr>
        <w:t xml:space="preserve">ing </w:t>
      </w:r>
      <w:r w:rsidR="00F83408" w:rsidRPr="00F83408">
        <w:rPr>
          <w:rFonts w:ascii="Times New Roman" w:hAnsi="Times New Roman" w:cs="Times New Roman"/>
          <w:sz w:val="22"/>
          <w:szCs w:val="22"/>
        </w:rPr>
        <w:t xml:space="preserve">Section 98.3(c)(4) of subpart A </w:t>
      </w:r>
      <w:r>
        <w:rPr>
          <w:rFonts w:ascii="Times New Roman" w:hAnsi="Times New Roman" w:cs="Times New Roman"/>
          <w:sz w:val="22"/>
          <w:szCs w:val="22"/>
        </w:rPr>
        <w:t>to specify</w:t>
      </w:r>
      <w:r w:rsidR="00F83408" w:rsidRPr="00F83408">
        <w:rPr>
          <w:rFonts w:ascii="Times New Roman" w:hAnsi="Times New Roman" w:cs="Times New Roman"/>
          <w:sz w:val="22"/>
          <w:szCs w:val="22"/>
        </w:rPr>
        <w:t xml:space="preserve"> </w:t>
      </w:r>
      <w:r>
        <w:rPr>
          <w:rFonts w:ascii="Times New Roman" w:hAnsi="Times New Roman" w:cs="Times New Roman"/>
          <w:sz w:val="22"/>
          <w:szCs w:val="22"/>
        </w:rPr>
        <w:t xml:space="preserve">for facilities subject to subpart I (Electronics Manufacturing), </w:t>
      </w:r>
      <w:r w:rsidR="00F83408" w:rsidRPr="00F83408">
        <w:rPr>
          <w:rFonts w:ascii="Times New Roman" w:hAnsi="Times New Roman" w:cs="Times New Roman"/>
          <w:sz w:val="22"/>
          <w:szCs w:val="22"/>
        </w:rPr>
        <w:t xml:space="preserve">the types of data and format for reporting emissions in the annual GHG reports. The </w:t>
      </w:r>
      <w:r w:rsidR="00572981">
        <w:rPr>
          <w:rFonts w:ascii="Times New Roman" w:hAnsi="Times New Roman" w:cs="Times New Roman"/>
          <w:sz w:val="22"/>
          <w:szCs w:val="22"/>
        </w:rPr>
        <w:t xml:space="preserve">final </w:t>
      </w:r>
      <w:r w:rsidR="00F83408" w:rsidRPr="00F83408">
        <w:rPr>
          <w:rFonts w:ascii="Times New Roman" w:hAnsi="Times New Roman" w:cs="Times New Roman"/>
          <w:sz w:val="22"/>
          <w:szCs w:val="22"/>
        </w:rPr>
        <w:t>amendment specifies that facilities subject to subpart I must include all fluorinated HTFs in the computation of CO</w:t>
      </w:r>
      <w:r w:rsidR="00F83408" w:rsidRPr="00F83408">
        <w:rPr>
          <w:rFonts w:ascii="Times New Roman" w:hAnsi="Times New Roman" w:cs="Times New Roman"/>
          <w:sz w:val="22"/>
          <w:szCs w:val="22"/>
          <w:vertAlign w:val="subscript"/>
        </w:rPr>
        <w:t>2</w:t>
      </w:r>
      <w:r w:rsidR="00F83408" w:rsidRPr="00F83408">
        <w:rPr>
          <w:rFonts w:ascii="Times New Roman" w:hAnsi="Times New Roman" w:cs="Times New Roman"/>
          <w:sz w:val="22"/>
          <w:szCs w:val="22"/>
        </w:rPr>
        <w:t>e that is required by 40 CFR 98.3(c</w:t>
      </w:r>
      <w:proofErr w:type="gramStart"/>
      <w:r w:rsidR="00F83408" w:rsidRPr="00F83408">
        <w:rPr>
          <w:rFonts w:ascii="Times New Roman" w:hAnsi="Times New Roman" w:cs="Times New Roman"/>
          <w:sz w:val="22"/>
          <w:szCs w:val="22"/>
        </w:rPr>
        <w:t>)(</w:t>
      </w:r>
      <w:proofErr w:type="gramEnd"/>
      <w:r w:rsidR="00F83408" w:rsidRPr="00F83408">
        <w:rPr>
          <w:rFonts w:ascii="Times New Roman" w:hAnsi="Times New Roman" w:cs="Times New Roman"/>
          <w:sz w:val="22"/>
          <w:szCs w:val="22"/>
        </w:rPr>
        <w:t>4)(</w:t>
      </w:r>
      <w:proofErr w:type="spellStart"/>
      <w:r w:rsidR="00F83408" w:rsidRPr="00F83408">
        <w:rPr>
          <w:rFonts w:ascii="Times New Roman" w:hAnsi="Times New Roman" w:cs="Times New Roman"/>
          <w:sz w:val="22"/>
          <w:szCs w:val="22"/>
        </w:rPr>
        <w:t>i</w:t>
      </w:r>
      <w:proofErr w:type="spellEnd"/>
      <w:r w:rsidR="00F83408" w:rsidRPr="00F83408">
        <w:rPr>
          <w:rFonts w:ascii="Times New Roman" w:hAnsi="Times New Roman" w:cs="Times New Roman"/>
          <w:sz w:val="22"/>
          <w:szCs w:val="22"/>
        </w:rPr>
        <w:t xml:space="preserve">) and must report these substances separately from each fluorinated GHG reported under 40 CFR 98.3(c)(4)(iii)(E). </w:t>
      </w:r>
      <w:r>
        <w:rPr>
          <w:rFonts w:ascii="Times New Roman" w:hAnsi="Times New Roman" w:cs="Times New Roman"/>
          <w:sz w:val="22"/>
          <w:szCs w:val="22"/>
        </w:rPr>
        <w:t xml:space="preserve">This </w:t>
      </w:r>
      <w:r w:rsidR="00F83408" w:rsidRPr="00F83408">
        <w:rPr>
          <w:rFonts w:ascii="Times New Roman" w:hAnsi="Times New Roman" w:cs="Times New Roman"/>
          <w:sz w:val="22"/>
          <w:szCs w:val="22"/>
        </w:rPr>
        <w:t xml:space="preserve">change is not a new reporting requirement but a harmonizing change to clarify how facilities subject to subpart I would report the emissions from fluorinated heat transfer fluids, as required by the </w:t>
      </w:r>
      <w:r>
        <w:rPr>
          <w:rFonts w:ascii="Times New Roman" w:hAnsi="Times New Roman" w:cs="Times New Roman"/>
          <w:sz w:val="22"/>
          <w:szCs w:val="22"/>
        </w:rPr>
        <w:t>recent</w:t>
      </w:r>
      <w:r w:rsidR="00F83408" w:rsidRPr="00F83408">
        <w:rPr>
          <w:rFonts w:ascii="Times New Roman" w:hAnsi="Times New Roman" w:cs="Times New Roman"/>
          <w:sz w:val="22"/>
          <w:szCs w:val="22"/>
        </w:rPr>
        <w:t xml:space="preserve"> amendments to subpart I</w:t>
      </w:r>
      <w:r>
        <w:rPr>
          <w:rFonts w:ascii="Times New Roman" w:hAnsi="Times New Roman" w:cs="Times New Roman"/>
          <w:sz w:val="22"/>
          <w:szCs w:val="22"/>
        </w:rPr>
        <w:t xml:space="preserve"> (see 77 FR 10434)</w:t>
      </w:r>
      <w:r w:rsidR="00F83408" w:rsidRPr="00F83408">
        <w:rPr>
          <w:rFonts w:ascii="Times New Roman" w:hAnsi="Times New Roman" w:cs="Times New Roman"/>
          <w:sz w:val="22"/>
          <w:szCs w:val="22"/>
        </w:rPr>
        <w:t xml:space="preserve">. The EPA determined that this change would simplify reporting for facilities and reduce burden by amending subpart A to be consistent with the requirements in subpart I. </w:t>
      </w:r>
    </w:p>
    <w:p w:rsidR="008063F7" w:rsidRDefault="008063F7" w:rsidP="008063F7">
      <w:pPr>
        <w:keepNext/>
        <w:keepLines/>
        <w:ind w:firstLine="720"/>
        <w:rPr>
          <w:rFonts w:ascii="Times New Roman" w:hAnsi="Times New Roman" w:cs="Times New Roman"/>
          <w:b/>
          <w:sz w:val="22"/>
          <w:szCs w:val="22"/>
        </w:rPr>
      </w:pPr>
    </w:p>
    <w:p w:rsidR="00184643" w:rsidRDefault="008063F7">
      <w:pPr>
        <w:keepNext/>
        <w:keepLines/>
        <w:ind w:firstLine="720"/>
        <w:rPr>
          <w:rFonts w:ascii="Times New Roman" w:hAnsi="Times New Roman" w:cs="Times New Roman"/>
          <w:sz w:val="22"/>
          <w:szCs w:val="22"/>
        </w:rPr>
      </w:pPr>
      <w:r w:rsidRPr="00AC2716">
        <w:rPr>
          <w:rFonts w:ascii="Times New Roman" w:hAnsi="Times New Roman" w:cs="Times New Roman"/>
          <w:sz w:val="22"/>
          <w:szCs w:val="22"/>
        </w:rPr>
        <w:t>To accomplish these changes, the EPA is amend</w:t>
      </w:r>
      <w:r w:rsidR="00572981">
        <w:rPr>
          <w:rFonts w:ascii="Times New Roman" w:hAnsi="Times New Roman" w:cs="Times New Roman"/>
          <w:sz w:val="22"/>
          <w:szCs w:val="22"/>
        </w:rPr>
        <w:t>ing</w:t>
      </w:r>
      <w:r w:rsidRPr="00AC2716">
        <w:rPr>
          <w:rFonts w:ascii="Times New Roman" w:hAnsi="Times New Roman" w:cs="Times New Roman"/>
          <w:sz w:val="22"/>
          <w:szCs w:val="22"/>
        </w:rPr>
        <w:t xml:space="preserve"> 40 CFR 98.3(c</w:t>
      </w:r>
      <w:proofErr w:type="gramStart"/>
      <w:r w:rsidRPr="00AC2716">
        <w:rPr>
          <w:rFonts w:ascii="Times New Roman" w:hAnsi="Times New Roman" w:cs="Times New Roman"/>
          <w:sz w:val="22"/>
          <w:szCs w:val="22"/>
        </w:rPr>
        <w:t>)(</w:t>
      </w:r>
      <w:proofErr w:type="gramEnd"/>
      <w:r w:rsidRPr="00AC2716">
        <w:rPr>
          <w:rFonts w:ascii="Times New Roman" w:hAnsi="Times New Roman" w:cs="Times New Roman"/>
          <w:sz w:val="22"/>
          <w:szCs w:val="22"/>
        </w:rPr>
        <w:t>4)(</w:t>
      </w:r>
      <w:proofErr w:type="spellStart"/>
      <w:r w:rsidRPr="00AC2716">
        <w:rPr>
          <w:rFonts w:ascii="Times New Roman" w:hAnsi="Times New Roman" w:cs="Times New Roman"/>
          <w:sz w:val="22"/>
          <w:szCs w:val="22"/>
        </w:rPr>
        <w:t>i</w:t>
      </w:r>
      <w:proofErr w:type="spellEnd"/>
      <w:r w:rsidRPr="00AC2716">
        <w:rPr>
          <w:rFonts w:ascii="Times New Roman" w:hAnsi="Times New Roman" w:cs="Times New Roman"/>
          <w:sz w:val="22"/>
          <w:szCs w:val="22"/>
        </w:rPr>
        <w:t>) to add “</w:t>
      </w:r>
      <w:r w:rsidR="00F83408" w:rsidRPr="00F83408">
        <w:rPr>
          <w:rFonts w:ascii="Times New Roman" w:hAnsi="Times New Roman" w:cs="Times New Roman"/>
          <w:sz w:val="22"/>
          <w:szCs w:val="22"/>
        </w:rPr>
        <w:t>For electronics manufacturing (as defined in §98.90), starting in reporting year 2012 the CO</w:t>
      </w:r>
      <w:r w:rsidR="00F83408" w:rsidRPr="00F83408">
        <w:rPr>
          <w:rFonts w:ascii="Times New Roman" w:hAnsi="Times New Roman" w:cs="Times New Roman"/>
          <w:sz w:val="22"/>
          <w:szCs w:val="22"/>
          <w:vertAlign w:val="subscript"/>
        </w:rPr>
        <w:t>2</w:t>
      </w:r>
      <w:r w:rsidR="00F83408" w:rsidRPr="00F83408">
        <w:rPr>
          <w:rFonts w:ascii="Times New Roman" w:hAnsi="Times New Roman" w:cs="Times New Roman"/>
          <w:sz w:val="22"/>
          <w:szCs w:val="22"/>
        </w:rPr>
        <w:t>e calculation must include each fluorinated heat transfer fluid (as defined in §98.98) whether or not it is also a fluorinated GHG.”</w:t>
      </w:r>
    </w:p>
    <w:p w:rsidR="00184643" w:rsidRDefault="00184643">
      <w:pPr>
        <w:keepNext/>
        <w:keepLines/>
        <w:ind w:firstLine="720"/>
        <w:rPr>
          <w:rFonts w:ascii="Times New Roman" w:hAnsi="Times New Roman" w:cs="Times New Roman"/>
          <w:sz w:val="22"/>
          <w:szCs w:val="22"/>
        </w:rPr>
      </w:pPr>
    </w:p>
    <w:p w:rsidR="00184643" w:rsidRDefault="00F83408">
      <w:pPr>
        <w:keepNext/>
        <w:keepLines/>
        <w:ind w:firstLine="720"/>
        <w:rPr>
          <w:rFonts w:ascii="Times New Roman" w:hAnsi="Times New Roman" w:cs="Times New Roman"/>
          <w:sz w:val="22"/>
          <w:szCs w:val="22"/>
        </w:rPr>
      </w:pPr>
      <w:r w:rsidRPr="00F83408">
        <w:rPr>
          <w:rFonts w:ascii="Times New Roman" w:hAnsi="Times New Roman" w:cs="Times New Roman"/>
          <w:sz w:val="22"/>
          <w:szCs w:val="22"/>
        </w:rPr>
        <w:t xml:space="preserve">In </w:t>
      </w:r>
      <w:r w:rsidR="008063F7" w:rsidRPr="00AC2716">
        <w:rPr>
          <w:rFonts w:ascii="Times New Roman" w:hAnsi="Times New Roman" w:cs="Times New Roman"/>
          <w:sz w:val="22"/>
          <w:szCs w:val="22"/>
        </w:rPr>
        <w:t>40 CFR 98.3(c</w:t>
      </w:r>
      <w:proofErr w:type="gramStart"/>
      <w:r w:rsidR="008063F7" w:rsidRPr="00AC2716">
        <w:rPr>
          <w:rFonts w:ascii="Times New Roman" w:hAnsi="Times New Roman" w:cs="Times New Roman"/>
          <w:sz w:val="22"/>
          <w:szCs w:val="22"/>
        </w:rPr>
        <w:t>)(</w:t>
      </w:r>
      <w:proofErr w:type="gramEnd"/>
      <w:r w:rsidR="008063F7" w:rsidRPr="00AC2716">
        <w:rPr>
          <w:rFonts w:ascii="Times New Roman" w:hAnsi="Times New Roman" w:cs="Times New Roman"/>
          <w:sz w:val="22"/>
          <w:szCs w:val="22"/>
        </w:rPr>
        <w:t xml:space="preserve">4)(iii)(E), </w:t>
      </w:r>
      <w:r w:rsidRPr="00F83408">
        <w:rPr>
          <w:rFonts w:ascii="Times New Roman" w:hAnsi="Times New Roman" w:cs="Times New Roman"/>
          <w:sz w:val="22"/>
          <w:szCs w:val="22"/>
        </w:rPr>
        <w:t>EPA is also add</w:t>
      </w:r>
      <w:r w:rsidR="00572981">
        <w:rPr>
          <w:rFonts w:ascii="Times New Roman" w:hAnsi="Times New Roman" w:cs="Times New Roman"/>
          <w:sz w:val="22"/>
          <w:szCs w:val="22"/>
        </w:rPr>
        <w:t>ing</w:t>
      </w:r>
      <w:r w:rsidRPr="00F83408">
        <w:rPr>
          <w:rFonts w:ascii="Times New Roman" w:hAnsi="Times New Roman" w:cs="Times New Roman"/>
          <w:sz w:val="22"/>
          <w:szCs w:val="22"/>
        </w:rPr>
        <w:t xml:space="preserve"> “(as defined in §98.6)” so the provision reads as, “ Each fluorinated GHG (as defined in §98.6), including those not listed in Table A–1 of this subpart.”  EPA is further add</w:t>
      </w:r>
      <w:r w:rsidR="00572981">
        <w:rPr>
          <w:rFonts w:ascii="Times New Roman" w:hAnsi="Times New Roman" w:cs="Times New Roman"/>
          <w:sz w:val="22"/>
          <w:szCs w:val="22"/>
        </w:rPr>
        <w:t>ing</w:t>
      </w:r>
      <w:r w:rsidRPr="00F83408">
        <w:rPr>
          <w:rFonts w:ascii="Times New Roman" w:hAnsi="Times New Roman" w:cs="Times New Roman"/>
          <w:sz w:val="22"/>
          <w:szCs w:val="22"/>
        </w:rPr>
        <w:t xml:space="preserve"> </w:t>
      </w:r>
      <w:r w:rsidR="008063F7" w:rsidRPr="00AC2716">
        <w:rPr>
          <w:rFonts w:ascii="Times New Roman" w:hAnsi="Times New Roman" w:cs="Times New Roman"/>
          <w:sz w:val="22"/>
          <w:szCs w:val="22"/>
        </w:rPr>
        <w:t>40 CFR 98.3(c</w:t>
      </w:r>
      <w:proofErr w:type="gramStart"/>
      <w:r w:rsidR="008063F7" w:rsidRPr="00AC2716">
        <w:rPr>
          <w:rFonts w:ascii="Times New Roman" w:hAnsi="Times New Roman" w:cs="Times New Roman"/>
          <w:sz w:val="22"/>
          <w:szCs w:val="22"/>
        </w:rPr>
        <w:t>)(</w:t>
      </w:r>
      <w:proofErr w:type="gramEnd"/>
      <w:r w:rsidR="008063F7" w:rsidRPr="00AC2716">
        <w:rPr>
          <w:rFonts w:ascii="Times New Roman" w:hAnsi="Times New Roman" w:cs="Times New Roman"/>
          <w:sz w:val="22"/>
          <w:szCs w:val="22"/>
        </w:rPr>
        <w:t>4)(iii)(F) to read, “</w:t>
      </w:r>
      <w:r w:rsidRPr="00F83408">
        <w:rPr>
          <w:rFonts w:ascii="Times New Roman" w:hAnsi="Times New Roman" w:cs="Times New Roman"/>
          <w:sz w:val="22"/>
          <w:szCs w:val="22"/>
        </w:rPr>
        <w:t>For electronics manufacturing (as defined in §98.90), each fluorinated heat transfer fluid (as defined in §98.98) that is not also a fluorinated GHG as specified under (c)(4)(iii)(E). This requirement applies beginning in reporting year 2012.”</w:t>
      </w:r>
    </w:p>
    <w:p w:rsidR="00184643" w:rsidRDefault="00184643">
      <w:pPr>
        <w:keepNext/>
        <w:keepLines/>
        <w:ind w:firstLine="720"/>
        <w:rPr>
          <w:rFonts w:ascii="Times New Roman" w:hAnsi="Times New Roman" w:cs="Times New Roman"/>
          <w:sz w:val="22"/>
          <w:szCs w:val="22"/>
        </w:rPr>
      </w:pPr>
    </w:p>
    <w:p w:rsidR="00184643" w:rsidRDefault="00F83408">
      <w:pPr>
        <w:keepNext/>
        <w:keepLines/>
        <w:ind w:firstLine="720"/>
        <w:rPr>
          <w:rFonts w:ascii="Times New Roman" w:hAnsi="Times New Roman" w:cs="Times New Roman"/>
          <w:sz w:val="22"/>
          <w:szCs w:val="22"/>
        </w:rPr>
      </w:pPr>
      <w:r w:rsidRPr="00F83408">
        <w:rPr>
          <w:rFonts w:ascii="Times New Roman" w:hAnsi="Times New Roman" w:cs="Times New Roman"/>
          <w:sz w:val="22"/>
          <w:szCs w:val="22"/>
        </w:rPr>
        <w:t>Finally, EPA is amend</w:t>
      </w:r>
      <w:r w:rsidR="00572981">
        <w:rPr>
          <w:rFonts w:ascii="Times New Roman" w:hAnsi="Times New Roman" w:cs="Times New Roman"/>
          <w:sz w:val="22"/>
          <w:szCs w:val="22"/>
        </w:rPr>
        <w:t>ing</w:t>
      </w:r>
      <w:r w:rsidRPr="00F83408">
        <w:rPr>
          <w:rFonts w:ascii="Times New Roman" w:hAnsi="Times New Roman" w:cs="Times New Roman"/>
          <w:sz w:val="22"/>
          <w:szCs w:val="22"/>
        </w:rPr>
        <w:t xml:space="preserve"> </w:t>
      </w:r>
      <w:r w:rsidR="008063F7" w:rsidRPr="00AC2716">
        <w:rPr>
          <w:rFonts w:ascii="Times New Roman" w:hAnsi="Times New Roman" w:cs="Times New Roman"/>
          <w:sz w:val="22"/>
          <w:szCs w:val="22"/>
        </w:rPr>
        <w:t>40 CFR 98.3(c)(4)(iv) to read, “</w:t>
      </w:r>
      <w:r w:rsidRPr="00F83408">
        <w:rPr>
          <w:rFonts w:ascii="Times New Roman" w:hAnsi="Times New Roman" w:cs="Times New Roman"/>
          <w:sz w:val="22"/>
          <w:szCs w:val="22"/>
        </w:rPr>
        <w:t>When applying paragraph (c)(4)(</w:t>
      </w:r>
      <w:proofErr w:type="spellStart"/>
      <w:r w:rsidRPr="00F83408">
        <w:rPr>
          <w:rFonts w:ascii="Times New Roman" w:hAnsi="Times New Roman" w:cs="Times New Roman"/>
          <w:sz w:val="22"/>
          <w:szCs w:val="22"/>
        </w:rPr>
        <w:t>i</w:t>
      </w:r>
      <w:proofErr w:type="spellEnd"/>
      <w:r w:rsidRPr="00F83408">
        <w:rPr>
          <w:rFonts w:ascii="Times New Roman" w:hAnsi="Times New Roman" w:cs="Times New Roman"/>
          <w:sz w:val="22"/>
          <w:szCs w:val="22"/>
        </w:rPr>
        <w:t>) of this section to fluorinated GHGs and fluorinated heat transfer fluids, calculate and report CO</w:t>
      </w:r>
      <w:r w:rsidRPr="00F83408">
        <w:rPr>
          <w:rFonts w:ascii="Times New Roman" w:hAnsi="Times New Roman" w:cs="Times New Roman"/>
          <w:sz w:val="22"/>
          <w:szCs w:val="22"/>
          <w:vertAlign w:val="subscript"/>
        </w:rPr>
        <w:t>2</w:t>
      </w:r>
      <w:r w:rsidRPr="00F83408">
        <w:rPr>
          <w:rFonts w:ascii="Times New Roman" w:hAnsi="Times New Roman" w:cs="Times New Roman"/>
          <w:sz w:val="22"/>
          <w:szCs w:val="22"/>
        </w:rPr>
        <w:t>e for only those fluorinated GHGs and fluorinated heat transfer fluids listed in Table A–1 of this subpart.”</w:t>
      </w:r>
    </w:p>
    <w:p w:rsidR="004C49BB" w:rsidRDefault="004C49BB" w:rsidP="004C49BB">
      <w:pPr>
        <w:rPr>
          <w:rFonts w:ascii="Times New Roman" w:hAnsi="Times New Roman" w:cs="Times New Roman"/>
          <w:b/>
          <w:sz w:val="22"/>
          <w:szCs w:val="22"/>
        </w:rPr>
      </w:pPr>
    </w:p>
    <w:p w:rsidR="004C49BB" w:rsidRPr="00B61FE7" w:rsidRDefault="004C49BB" w:rsidP="004C49BB">
      <w:pPr>
        <w:rPr>
          <w:rFonts w:ascii="Times New Roman" w:hAnsi="Times New Roman" w:cs="Times New Roman"/>
          <w:b/>
          <w:sz w:val="22"/>
          <w:szCs w:val="22"/>
        </w:rPr>
      </w:pPr>
      <w:r w:rsidRPr="00B61FE7">
        <w:rPr>
          <w:rFonts w:ascii="Times New Roman" w:hAnsi="Times New Roman" w:cs="Times New Roman"/>
          <w:b/>
          <w:sz w:val="22"/>
          <w:szCs w:val="22"/>
        </w:rPr>
        <w:t xml:space="preserve">Subpart </w:t>
      </w:r>
      <w:r>
        <w:rPr>
          <w:rFonts w:ascii="Times New Roman" w:hAnsi="Times New Roman" w:cs="Times New Roman"/>
          <w:b/>
          <w:sz w:val="22"/>
          <w:szCs w:val="22"/>
        </w:rPr>
        <w:t>L</w:t>
      </w:r>
      <w:r w:rsidRPr="00B61FE7">
        <w:rPr>
          <w:rFonts w:ascii="Times New Roman" w:hAnsi="Times New Roman" w:cs="Times New Roman"/>
          <w:b/>
          <w:sz w:val="22"/>
          <w:szCs w:val="22"/>
        </w:rPr>
        <w:t xml:space="preserve">- </w:t>
      </w:r>
      <w:r>
        <w:rPr>
          <w:rFonts w:ascii="Times New Roman" w:hAnsi="Times New Roman" w:cs="Times New Roman"/>
          <w:b/>
          <w:sz w:val="22"/>
          <w:szCs w:val="22"/>
        </w:rPr>
        <w:t>Fluorinated Gas Production</w:t>
      </w:r>
    </w:p>
    <w:p w:rsidR="004C49BB" w:rsidRDefault="004C49BB" w:rsidP="004C49BB">
      <w:pPr>
        <w:rPr>
          <w:rFonts w:ascii="Times New Roman" w:hAnsi="Times New Roman" w:cs="Times New Roman"/>
          <w:sz w:val="22"/>
          <w:szCs w:val="22"/>
        </w:rPr>
      </w:pPr>
    </w:p>
    <w:p w:rsidR="004C49BB" w:rsidRPr="00704254" w:rsidRDefault="004C49BB" w:rsidP="004C49BB">
      <w:pPr>
        <w:pStyle w:val="bullet-lastGHG"/>
        <w:numPr>
          <w:ilvl w:val="0"/>
          <w:numId w:val="0"/>
        </w:numPr>
        <w:rPr>
          <w:rFonts w:ascii="Times New Roman" w:hAnsi="Times New Roman" w:cs="Times New Roman"/>
          <w:sz w:val="22"/>
          <w:szCs w:val="22"/>
        </w:rPr>
      </w:pPr>
      <w:r w:rsidRPr="00704254">
        <w:rPr>
          <w:rFonts w:ascii="Times New Roman" w:hAnsi="Times New Roman" w:cs="Times New Roman"/>
          <w:sz w:val="22"/>
          <w:szCs w:val="22"/>
        </w:rPr>
        <w:t>EPA is requir</w:t>
      </w:r>
      <w:r w:rsidR="00572981">
        <w:rPr>
          <w:rFonts w:ascii="Times New Roman" w:hAnsi="Times New Roman" w:cs="Times New Roman"/>
          <w:sz w:val="22"/>
          <w:szCs w:val="22"/>
        </w:rPr>
        <w:t>ing</w:t>
      </w:r>
      <w:r w:rsidRPr="00704254">
        <w:rPr>
          <w:rFonts w:ascii="Times New Roman" w:hAnsi="Times New Roman" w:cs="Times New Roman"/>
          <w:sz w:val="22"/>
          <w:szCs w:val="22"/>
        </w:rPr>
        <w:t xml:space="preserve"> that owners and operators of facilities producing fluorinated gases would not be required to submit the</w:t>
      </w:r>
      <w:r w:rsidR="00572981">
        <w:rPr>
          <w:rFonts w:ascii="Times New Roman" w:hAnsi="Times New Roman" w:cs="Times New Roman"/>
          <w:sz w:val="22"/>
          <w:szCs w:val="22"/>
        </w:rPr>
        <w:t xml:space="preserve"> following</w:t>
      </w:r>
      <w:r w:rsidRPr="00704254">
        <w:rPr>
          <w:rFonts w:ascii="Times New Roman" w:hAnsi="Times New Roman" w:cs="Times New Roman"/>
          <w:sz w:val="22"/>
          <w:szCs w:val="22"/>
        </w:rPr>
        <w:t xml:space="preserve"> information until March 31, 2014</w:t>
      </w:r>
      <w:r w:rsidRPr="00704254">
        <w:rPr>
          <w:rStyle w:val="FootnoteReference"/>
          <w:rFonts w:ascii="Times New Roman" w:hAnsi="Times New Roman" w:cs="Times New Roman"/>
          <w:sz w:val="22"/>
          <w:szCs w:val="22"/>
        </w:rPr>
        <w:footnoteReference w:id="1"/>
      </w:r>
      <w:r w:rsidRPr="00704254">
        <w:rPr>
          <w:rFonts w:ascii="Times New Roman" w:hAnsi="Times New Roman" w:cs="Times New Roman"/>
          <w:sz w:val="22"/>
          <w:szCs w:val="22"/>
        </w:rPr>
        <w:t>:</w:t>
      </w:r>
    </w:p>
    <w:p w:rsidR="004C49BB" w:rsidRPr="00704254" w:rsidRDefault="004C49BB" w:rsidP="004C49BB">
      <w:pPr>
        <w:pStyle w:val="bullet-lastGHG"/>
        <w:rPr>
          <w:rFonts w:ascii="Times New Roman" w:hAnsi="Times New Roman" w:cs="Times New Roman"/>
          <w:sz w:val="22"/>
          <w:szCs w:val="22"/>
        </w:rPr>
      </w:pPr>
      <w:r w:rsidRPr="00704254">
        <w:rPr>
          <w:rFonts w:ascii="Times New Roman" w:hAnsi="Times New Roman" w:cs="Times New Roman"/>
          <w:sz w:val="22"/>
          <w:szCs w:val="22"/>
        </w:rPr>
        <w:t xml:space="preserve">40 CFR 98.3(c)(4(iii) (for Subpart L only) </w:t>
      </w:r>
    </w:p>
    <w:p w:rsidR="004C49BB" w:rsidRPr="00704254" w:rsidRDefault="004C49BB" w:rsidP="004C49BB">
      <w:pPr>
        <w:pStyle w:val="bullet-lastGHG"/>
        <w:rPr>
          <w:rFonts w:ascii="Times New Roman" w:hAnsi="Times New Roman" w:cs="Times New Roman"/>
          <w:sz w:val="22"/>
          <w:szCs w:val="22"/>
        </w:rPr>
      </w:pPr>
      <w:r w:rsidRPr="00704254">
        <w:rPr>
          <w:rFonts w:ascii="Times New Roman" w:hAnsi="Times New Roman" w:cs="Times New Roman"/>
          <w:sz w:val="22"/>
          <w:szCs w:val="22"/>
        </w:rPr>
        <w:t xml:space="preserve">40 CF40 CFR 98.126 (a)(2), (a)(3), (a)(4), (a)(6),(b), (c), (d), (e), (f), (g), and (h). </w:t>
      </w:r>
    </w:p>
    <w:p w:rsidR="00A23444" w:rsidRPr="00B61FE7" w:rsidRDefault="00DF420A" w:rsidP="008063F7">
      <w:pPr>
        <w:pStyle w:val="GHGPARAGRAPH"/>
        <w:spacing w:line="240" w:lineRule="auto"/>
        <w:rPr>
          <w:rFonts w:ascii="Times New Roman" w:hAnsi="Times New Roman" w:cs="Times New Roman"/>
          <w:b/>
          <w:sz w:val="22"/>
          <w:szCs w:val="22"/>
          <w:u w:val="single"/>
        </w:rPr>
      </w:pPr>
      <w:r>
        <w:rPr>
          <w:rFonts w:ascii="Times New Roman" w:hAnsi="Times New Roman" w:cs="Times New Roman"/>
          <w:sz w:val="22"/>
          <w:szCs w:val="22"/>
        </w:rPr>
        <w:t xml:space="preserve">With </w:t>
      </w:r>
      <w:r w:rsidR="004C49BB" w:rsidRPr="00704254">
        <w:rPr>
          <w:rFonts w:ascii="Times New Roman" w:hAnsi="Times New Roman" w:cs="Times New Roman"/>
          <w:sz w:val="22"/>
          <w:szCs w:val="22"/>
        </w:rPr>
        <w:t xml:space="preserve">these changes, </w:t>
      </w:r>
      <w:r w:rsidR="003B3469">
        <w:rPr>
          <w:rFonts w:ascii="Times New Roman" w:hAnsi="Times New Roman" w:cs="Times New Roman"/>
          <w:sz w:val="22"/>
          <w:szCs w:val="22"/>
        </w:rPr>
        <w:t>reporters will report emissions in a more aggregated manner for reporting year 2011 and reporting year 2012.  F</w:t>
      </w:r>
      <w:r w:rsidR="004C49BB" w:rsidRPr="00704254">
        <w:rPr>
          <w:rFonts w:ascii="Times New Roman" w:hAnsi="Times New Roman" w:cs="Times New Roman"/>
          <w:sz w:val="22"/>
          <w:szCs w:val="22"/>
        </w:rPr>
        <w:t>luorinated gas producers w</w:t>
      </w:r>
      <w:r w:rsidR="003B3469">
        <w:rPr>
          <w:rFonts w:ascii="Times New Roman" w:hAnsi="Times New Roman" w:cs="Times New Roman"/>
          <w:sz w:val="22"/>
          <w:szCs w:val="22"/>
        </w:rPr>
        <w:t>ill</w:t>
      </w:r>
      <w:r w:rsidR="004C49BB" w:rsidRPr="00704254">
        <w:rPr>
          <w:rFonts w:ascii="Times New Roman" w:hAnsi="Times New Roman" w:cs="Times New Roman"/>
          <w:sz w:val="22"/>
          <w:szCs w:val="22"/>
        </w:rPr>
        <w:t xml:space="preserve"> report, under subpart L, only the </w:t>
      </w:r>
      <w:r w:rsidR="00572981">
        <w:rPr>
          <w:rFonts w:ascii="Times New Roman" w:hAnsi="Times New Roman" w:cs="Times New Roman"/>
          <w:sz w:val="22"/>
          <w:szCs w:val="22"/>
        </w:rPr>
        <w:t xml:space="preserve">existing </w:t>
      </w:r>
      <w:r w:rsidR="004C49BB" w:rsidRPr="00704254">
        <w:rPr>
          <w:rFonts w:ascii="Times New Roman" w:hAnsi="Times New Roman" w:cs="Times New Roman"/>
          <w:sz w:val="22"/>
          <w:szCs w:val="22"/>
        </w:rPr>
        <w:t>data elements in 40 CFR 98.126(a)(5) (the methods used) a</w:t>
      </w:r>
      <w:r w:rsidR="00572981">
        <w:rPr>
          <w:rFonts w:ascii="Times New Roman" w:hAnsi="Times New Roman" w:cs="Times New Roman"/>
          <w:sz w:val="22"/>
          <w:szCs w:val="22"/>
        </w:rPr>
        <w:t xml:space="preserve">s well as three new data elements in </w:t>
      </w:r>
      <w:r w:rsidR="004C49BB" w:rsidRPr="00704254">
        <w:rPr>
          <w:rFonts w:ascii="Times New Roman" w:hAnsi="Times New Roman" w:cs="Times New Roman"/>
          <w:sz w:val="22"/>
          <w:szCs w:val="22"/>
        </w:rPr>
        <w:t>40 CFR 98.126(j) (for facility-level CO</w:t>
      </w:r>
      <w:r w:rsidR="004C49BB" w:rsidRPr="00704254">
        <w:rPr>
          <w:rFonts w:ascii="Times New Roman" w:hAnsi="Times New Roman" w:cs="Times New Roman"/>
          <w:sz w:val="22"/>
          <w:szCs w:val="22"/>
          <w:vertAlign w:val="subscript"/>
        </w:rPr>
        <w:t>2</w:t>
      </w:r>
      <w:r w:rsidR="004C49BB" w:rsidRPr="00704254">
        <w:rPr>
          <w:rFonts w:ascii="Times New Roman" w:hAnsi="Times New Roman" w:cs="Times New Roman"/>
          <w:sz w:val="22"/>
          <w:szCs w:val="22"/>
        </w:rPr>
        <w:t xml:space="preserve">e emissions) for reporting year 2011 and reporting year 2012.  </w:t>
      </w:r>
      <w:r w:rsidR="00572981">
        <w:rPr>
          <w:rFonts w:ascii="Times New Roman" w:hAnsi="Times New Roman" w:cs="Times New Roman"/>
          <w:sz w:val="22"/>
          <w:szCs w:val="22"/>
        </w:rPr>
        <w:t xml:space="preserve">The three new data elements require a facility, if </w:t>
      </w:r>
      <w:proofErr w:type="gramStart"/>
      <w:r w:rsidR="00572981">
        <w:rPr>
          <w:rFonts w:ascii="Times New Roman" w:hAnsi="Times New Roman" w:cs="Times New Roman"/>
          <w:sz w:val="22"/>
          <w:szCs w:val="22"/>
        </w:rPr>
        <w:t xml:space="preserve">it </w:t>
      </w:r>
      <w:r w:rsidR="004C49BB" w:rsidRPr="00704254">
        <w:rPr>
          <w:rFonts w:ascii="Times New Roman" w:hAnsi="Times New Roman" w:cs="Times New Roman"/>
          <w:sz w:val="22"/>
          <w:szCs w:val="22"/>
        </w:rPr>
        <w:t xml:space="preserve"> used</w:t>
      </w:r>
      <w:proofErr w:type="gramEnd"/>
      <w:r w:rsidR="004C49BB" w:rsidRPr="00704254">
        <w:rPr>
          <w:rFonts w:ascii="Times New Roman" w:hAnsi="Times New Roman" w:cs="Times New Roman"/>
          <w:sz w:val="22"/>
          <w:szCs w:val="22"/>
        </w:rPr>
        <w:t xml:space="preserve"> one or more default or best-estimate GWPs,  to report the share of its CO</w:t>
      </w:r>
      <w:r w:rsidR="004C49BB" w:rsidRPr="00704254">
        <w:rPr>
          <w:rFonts w:ascii="Times New Roman" w:hAnsi="Times New Roman" w:cs="Times New Roman"/>
          <w:sz w:val="22"/>
          <w:szCs w:val="22"/>
          <w:vertAlign w:val="subscript"/>
        </w:rPr>
        <w:t>2</w:t>
      </w:r>
      <w:r w:rsidR="004C49BB" w:rsidRPr="00704254">
        <w:rPr>
          <w:rFonts w:ascii="Times New Roman" w:hAnsi="Times New Roman" w:cs="Times New Roman"/>
          <w:sz w:val="22"/>
          <w:szCs w:val="22"/>
        </w:rPr>
        <w:t>e emissions that were respectively based on the default and/or best estimate GWPs.</w:t>
      </w:r>
      <w:r w:rsidR="008063F7">
        <w:rPr>
          <w:rFonts w:ascii="Times New Roman" w:hAnsi="Times New Roman" w:cs="Times New Roman"/>
          <w:sz w:val="22"/>
          <w:szCs w:val="22"/>
        </w:rPr>
        <w:t xml:space="preserve"> </w:t>
      </w:r>
      <w:r w:rsidR="0058228D">
        <w:rPr>
          <w:rFonts w:ascii="Times New Roman" w:hAnsi="Times New Roman" w:cs="Times New Roman"/>
          <w:sz w:val="22"/>
          <w:szCs w:val="22"/>
        </w:rPr>
        <w:t xml:space="preserve">We are also adding a minor recordkeeping requirement that would require retention of additional </w:t>
      </w:r>
      <w:r w:rsidR="003B3469">
        <w:rPr>
          <w:rFonts w:ascii="Times New Roman" w:hAnsi="Times New Roman" w:cs="Times New Roman"/>
          <w:sz w:val="22"/>
          <w:szCs w:val="22"/>
        </w:rPr>
        <w:t>information related to a certain</w:t>
      </w:r>
      <w:r w:rsidR="0058228D">
        <w:rPr>
          <w:rFonts w:ascii="Times New Roman" w:hAnsi="Times New Roman" w:cs="Times New Roman"/>
          <w:sz w:val="22"/>
          <w:szCs w:val="22"/>
        </w:rPr>
        <w:t xml:space="preserve"> method </w:t>
      </w:r>
      <w:r w:rsidR="003B3469">
        <w:rPr>
          <w:rFonts w:ascii="Times New Roman" w:hAnsi="Times New Roman" w:cs="Times New Roman"/>
          <w:sz w:val="22"/>
          <w:szCs w:val="22"/>
        </w:rPr>
        <w:t xml:space="preserve">that may be </w:t>
      </w:r>
      <w:r w:rsidR="0058228D">
        <w:rPr>
          <w:rFonts w:ascii="Times New Roman" w:hAnsi="Times New Roman" w:cs="Times New Roman"/>
          <w:sz w:val="22"/>
          <w:szCs w:val="22"/>
        </w:rPr>
        <w:t xml:space="preserve">used to determine the </w:t>
      </w:r>
      <w:r>
        <w:rPr>
          <w:rFonts w:ascii="Times New Roman" w:hAnsi="Times New Roman" w:cs="Times New Roman"/>
          <w:sz w:val="22"/>
          <w:szCs w:val="22"/>
        </w:rPr>
        <w:t xml:space="preserve">GWP </w:t>
      </w:r>
      <w:r w:rsidR="0058228D">
        <w:rPr>
          <w:rFonts w:ascii="Times New Roman" w:hAnsi="Times New Roman" w:cs="Times New Roman"/>
          <w:sz w:val="22"/>
          <w:szCs w:val="22"/>
        </w:rPr>
        <w:t xml:space="preserve">during these two </w:t>
      </w:r>
      <w:r w:rsidR="009C6D1A">
        <w:rPr>
          <w:rFonts w:ascii="Times New Roman" w:hAnsi="Times New Roman" w:cs="Times New Roman"/>
          <w:sz w:val="22"/>
          <w:szCs w:val="22"/>
        </w:rPr>
        <w:t xml:space="preserve">reporting </w:t>
      </w:r>
      <w:r w:rsidR="0058228D">
        <w:rPr>
          <w:rFonts w:ascii="Times New Roman" w:hAnsi="Times New Roman" w:cs="Times New Roman"/>
          <w:sz w:val="22"/>
          <w:szCs w:val="22"/>
        </w:rPr>
        <w:t xml:space="preserve">years.  </w:t>
      </w:r>
    </w:p>
    <w:p w:rsidR="00766A19" w:rsidRPr="00B61FE7" w:rsidRDefault="00766A19" w:rsidP="00B61FE7">
      <w:pPr>
        <w:keepNext/>
        <w:keepLines/>
        <w:rPr>
          <w:rFonts w:ascii="Times New Roman" w:hAnsi="Times New Roman" w:cs="Times New Roman"/>
          <w:sz w:val="22"/>
          <w:szCs w:val="22"/>
        </w:rPr>
      </w:pPr>
    </w:p>
    <w:p w:rsidR="000617E7" w:rsidRDefault="000617E7" w:rsidP="00B61FE7">
      <w:pPr>
        <w:rPr>
          <w:rFonts w:ascii="Times New Roman" w:hAnsi="Times New Roman" w:cs="Times New Roman"/>
          <w:b/>
          <w:sz w:val="22"/>
          <w:szCs w:val="22"/>
          <w:u w:val="single"/>
        </w:rPr>
      </w:pPr>
    </w:p>
    <w:p w:rsidR="007C312B" w:rsidRPr="000617E7" w:rsidRDefault="000617E7" w:rsidP="00B61FE7">
      <w:pPr>
        <w:rPr>
          <w:rFonts w:ascii="Times New Roman Bold" w:hAnsi="Times New Roman Bold" w:cs="Times New Roman"/>
          <w:b/>
          <w:bCs/>
          <w:caps/>
        </w:rPr>
      </w:pPr>
      <w:r w:rsidRPr="000617E7">
        <w:rPr>
          <w:rFonts w:ascii="Times New Roman Bold" w:hAnsi="Times New Roman Bold" w:cs="Times New Roman"/>
          <w:b/>
          <w:bCs/>
          <w:caps/>
        </w:rPr>
        <w:t>2.</w:t>
      </w:r>
      <w:r w:rsidRPr="000617E7">
        <w:rPr>
          <w:rFonts w:ascii="Times New Roman Bold" w:hAnsi="Times New Roman Bold" w:cs="Times New Roman"/>
          <w:b/>
          <w:bCs/>
          <w:caps/>
        </w:rPr>
        <w:tab/>
      </w:r>
      <w:r w:rsidR="00A23444" w:rsidRPr="000617E7">
        <w:rPr>
          <w:rFonts w:ascii="Times New Roman Bold" w:hAnsi="Times New Roman Bold" w:cs="Times New Roman"/>
          <w:b/>
          <w:bCs/>
          <w:caps/>
        </w:rPr>
        <w:t>Conclusions</w:t>
      </w:r>
    </w:p>
    <w:p w:rsidR="007C312B" w:rsidRPr="00B61FE7" w:rsidRDefault="007C312B" w:rsidP="00B61FE7">
      <w:pPr>
        <w:rPr>
          <w:rFonts w:ascii="Times New Roman" w:hAnsi="Times New Roman" w:cs="Times New Roman"/>
          <w:sz w:val="22"/>
          <w:szCs w:val="22"/>
        </w:rPr>
      </w:pPr>
    </w:p>
    <w:p w:rsidR="007C312B" w:rsidRPr="00B61FE7" w:rsidRDefault="0002278C" w:rsidP="0002278C">
      <w:pPr>
        <w:tabs>
          <w:tab w:val="num" w:pos="0"/>
        </w:tabs>
        <w:rPr>
          <w:rFonts w:ascii="Times New Roman" w:hAnsi="Times New Roman" w:cs="Times New Roman"/>
          <w:sz w:val="22"/>
          <w:szCs w:val="22"/>
        </w:rPr>
      </w:pPr>
      <w:r>
        <w:rPr>
          <w:rFonts w:ascii="Times New Roman" w:hAnsi="Times New Roman" w:cs="Times New Roman"/>
          <w:sz w:val="22"/>
          <w:szCs w:val="22"/>
        </w:rPr>
        <w:tab/>
      </w:r>
      <w:r w:rsidR="00DC0AD9">
        <w:rPr>
          <w:rFonts w:ascii="Times New Roman" w:hAnsi="Times New Roman" w:cs="Times New Roman"/>
          <w:sz w:val="22"/>
          <w:szCs w:val="22"/>
        </w:rPr>
        <w:t>EPA h</w:t>
      </w:r>
      <w:r w:rsidRPr="0002278C">
        <w:rPr>
          <w:rFonts w:ascii="Times New Roman" w:hAnsi="Times New Roman" w:cs="Times New Roman"/>
          <w:sz w:val="22"/>
          <w:szCs w:val="22"/>
        </w:rPr>
        <w:t xml:space="preserve">as reviewed the amendments and determined that these </w:t>
      </w:r>
      <w:r w:rsidR="00094A9C">
        <w:rPr>
          <w:rFonts w:ascii="Times New Roman" w:hAnsi="Times New Roman" w:cs="Times New Roman"/>
          <w:sz w:val="22"/>
          <w:szCs w:val="22"/>
        </w:rPr>
        <w:t>technical corrections, clarifying and other amendments</w:t>
      </w:r>
      <w:r w:rsidR="00094A9C" w:rsidRPr="0002278C">
        <w:rPr>
          <w:rFonts w:ascii="Times New Roman" w:hAnsi="Times New Roman" w:cs="Times New Roman"/>
          <w:sz w:val="22"/>
          <w:szCs w:val="22"/>
        </w:rPr>
        <w:t xml:space="preserve"> </w:t>
      </w:r>
      <w:r w:rsidRPr="0002278C">
        <w:rPr>
          <w:rFonts w:ascii="Times New Roman" w:hAnsi="Times New Roman" w:cs="Times New Roman"/>
          <w:sz w:val="22"/>
          <w:szCs w:val="22"/>
        </w:rPr>
        <w:t xml:space="preserve">provide </w:t>
      </w:r>
      <w:r w:rsidR="00B17D40">
        <w:rPr>
          <w:rFonts w:ascii="Times New Roman" w:hAnsi="Times New Roman" w:cs="Times New Roman"/>
          <w:sz w:val="22"/>
          <w:szCs w:val="22"/>
        </w:rPr>
        <w:t xml:space="preserve">either </w:t>
      </w:r>
      <w:r w:rsidRPr="0002278C">
        <w:rPr>
          <w:rFonts w:ascii="Times New Roman" w:hAnsi="Times New Roman" w:cs="Times New Roman"/>
          <w:sz w:val="22"/>
          <w:szCs w:val="22"/>
        </w:rPr>
        <w:t>additional clarification regarding the existing regulatory requirements, minor revisions to the reporting</w:t>
      </w:r>
      <w:r w:rsidR="00B17D40">
        <w:rPr>
          <w:rFonts w:ascii="Times New Roman" w:hAnsi="Times New Roman" w:cs="Times New Roman"/>
          <w:sz w:val="22"/>
          <w:szCs w:val="22"/>
        </w:rPr>
        <w:t xml:space="preserve"> requirement</w:t>
      </w:r>
      <w:r w:rsidR="00094A9C">
        <w:rPr>
          <w:rFonts w:ascii="Times New Roman" w:hAnsi="Times New Roman" w:cs="Times New Roman"/>
          <w:sz w:val="22"/>
          <w:szCs w:val="22"/>
        </w:rPr>
        <w:t>s</w:t>
      </w:r>
      <w:r w:rsidR="00B17D40">
        <w:rPr>
          <w:rFonts w:ascii="Times New Roman" w:hAnsi="Times New Roman" w:cs="Times New Roman"/>
          <w:sz w:val="22"/>
          <w:szCs w:val="22"/>
        </w:rPr>
        <w:t>, or a temporary reduction in reporting requirements for two years.</w:t>
      </w:r>
      <w:r w:rsidRPr="0002278C">
        <w:rPr>
          <w:rFonts w:ascii="Times New Roman" w:hAnsi="Times New Roman" w:cs="Times New Roman"/>
          <w:sz w:val="22"/>
          <w:szCs w:val="22"/>
        </w:rPr>
        <w:t xml:space="preserve">  These amendments do not change the type of in</w:t>
      </w:r>
      <w:r w:rsidR="00B17D40">
        <w:rPr>
          <w:rFonts w:ascii="Times New Roman" w:hAnsi="Times New Roman" w:cs="Times New Roman"/>
          <w:sz w:val="22"/>
          <w:szCs w:val="22"/>
        </w:rPr>
        <w:t>formation that must be collected at the facility</w:t>
      </w:r>
      <w:r w:rsidRPr="0002278C">
        <w:rPr>
          <w:rFonts w:ascii="Times New Roman" w:hAnsi="Times New Roman" w:cs="Times New Roman"/>
          <w:sz w:val="22"/>
          <w:szCs w:val="22"/>
        </w:rPr>
        <w:t>, nor do</w:t>
      </w:r>
      <w:r w:rsidR="00DC0AD9">
        <w:rPr>
          <w:rFonts w:ascii="Times New Roman" w:hAnsi="Times New Roman" w:cs="Times New Roman"/>
          <w:sz w:val="22"/>
          <w:szCs w:val="22"/>
        </w:rPr>
        <w:t xml:space="preserve"> they </w:t>
      </w:r>
      <w:r w:rsidR="006738FE">
        <w:rPr>
          <w:rFonts w:ascii="Times New Roman" w:hAnsi="Times New Roman" w:cs="Times New Roman"/>
          <w:sz w:val="22"/>
          <w:szCs w:val="22"/>
        </w:rPr>
        <w:t xml:space="preserve">impact the number of respondents.  In addition, the changes do not </w:t>
      </w:r>
      <w:r w:rsidRPr="0002278C">
        <w:rPr>
          <w:rFonts w:ascii="Times New Roman" w:hAnsi="Times New Roman" w:cs="Times New Roman"/>
          <w:sz w:val="22"/>
          <w:szCs w:val="22"/>
        </w:rPr>
        <w:t>affect how GHG emissions or quantities are calculated. These changes do not require any additional monitoring</w:t>
      </w:r>
      <w:r w:rsidR="00B17D40">
        <w:rPr>
          <w:rFonts w:ascii="Times New Roman" w:hAnsi="Times New Roman" w:cs="Times New Roman"/>
          <w:sz w:val="22"/>
          <w:szCs w:val="22"/>
        </w:rPr>
        <w:t>, calculation,</w:t>
      </w:r>
      <w:r w:rsidRPr="0002278C">
        <w:rPr>
          <w:rFonts w:ascii="Times New Roman" w:hAnsi="Times New Roman" w:cs="Times New Roman"/>
          <w:sz w:val="22"/>
          <w:szCs w:val="22"/>
        </w:rPr>
        <w:t xml:space="preserve"> or data collection above what was already included in 40 CFR </w:t>
      </w:r>
      <w:proofErr w:type="gramStart"/>
      <w:r w:rsidRPr="0002278C">
        <w:rPr>
          <w:rFonts w:ascii="Times New Roman" w:hAnsi="Times New Roman" w:cs="Times New Roman"/>
          <w:sz w:val="22"/>
          <w:szCs w:val="22"/>
        </w:rPr>
        <w:t>part</w:t>
      </w:r>
      <w:proofErr w:type="gramEnd"/>
      <w:r w:rsidRPr="0002278C">
        <w:rPr>
          <w:rFonts w:ascii="Times New Roman" w:hAnsi="Times New Roman" w:cs="Times New Roman"/>
          <w:sz w:val="22"/>
          <w:szCs w:val="22"/>
        </w:rPr>
        <w:t xml:space="preserve"> 98 and</w:t>
      </w:r>
      <w:r w:rsidR="006738FE">
        <w:rPr>
          <w:rFonts w:ascii="Times New Roman" w:hAnsi="Times New Roman" w:cs="Times New Roman"/>
          <w:sz w:val="22"/>
          <w:szCs w:val="22"/>
        </w:rPr>
        <w:t>,</w:t>
      </w:r>
      <w:r w:rsidRPr="0002278C">
        <w:rPr>
          <w:rFonts w:ascii="Times New Roman" w:hAnsi="Times New Roman" w:cs="Times New Roman"/>
          <w:sz w:val="22"/>
          <w:szCs w:val="22"/>
        </w:rPr>
        <w:t xml:space="preserve"> therefore, impose no add</w:t>
      </w:r>
      <w:r w:rsidR="00B17D40">
        <w:rPr>
          <w:rFonts w:ascii="Times New Roman" w:hAnsi="Times New Roman" w:cs="Times New Roman"/>
          <w:sz w:val="22"/>
          <w:szCs w:val="22"/>
        </w:rPr>
        <w:t>itional burden for facilities. If finalized, r</w:t>
      </w:r>
      <w:r w:rsidRPr="0002278C">
        <w:rPr>
          <w:rFonts w:ascii="Times New Roman" w:hAnsi="Times New Roman" w:cs="Times New Roman"/>
          <w:sz w:val="22"/>
          <w:szCs w:val="22"/>
        </w:rPr>
        <w:t xml:space="preserve">eporters </w:t>
      </w:r>
      <w:r w:rsidR="00B17D40">
        <w:rPr>
          <w:rFonts w:ascii="Times New Roman" w:hAnsi="Times New Roman" w:cs="Times New Roman"/>
          <w:sz w:val="22"/>
          <w:szCs w:val="22"/>
        </w:rPr>
        <w:t>would be required to</w:t>
      </w:r>
      <w:r w:rsidRPr="0002278C">
        <w:rPr>
          <w:rFonts w:ascii="Times New Roman" w:hAnsi="Times New Roman" w:cs="Times New Roman"/>
          <w:sz w:val="22"/>
          <w:szCs w:val="22"/>
        </w:rPr>
        <w:t xml:space="preserve"> submit reports in 2012 under the amended subparts. </w:t>
      </w:r>
    </w:p>
    <w:sectPr w:rsidR="007C312B" w:rsidRPr="00B61FE7" w:rsidSect="00815E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528" w:rsidRDefault="00203528" w:rsidP="004A5436">
      <w:r>
        <w:separator/>
      </w:r>
    </w:p>
  </w:endnote>
  <w:endnote w:type="continuationSeparator" w:id="0">
    <w:p w:rsidR="00203528" w:rsidRDefault="00203528" w:rsidP="004A54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Ext Condensed Bold">
    <w:panose1 w:val="020B09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Humanst521 BT">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E4" w:rsidRDefault="00B200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9922"/>
      <w:docPartObj>
        <w:docPartGallery w:val="Page Numbers (Bottom of Page)"/>
        <w:docPartUnique/>
      </w:docPartObj>
    </w:sdtPr>
    <w:sdtContent>
      <w:p w:rsidR="00B200E4" w:rsidRDefault="006E457D">
        <w:pPr>
          <w:pStyle w:val="Footer"/>
        </w:pPr>
        <w:r w:rsidRPr="004A0D6B">
          <w:rPr>
            <w:sz w:val="18"/>
          </w:rPr>
          <w:fldChar w:fldCharType="begin"/>
        </w:r>
        <w:r w:rsidR="00B200E4" w:rsidRPr="004A0D6B">
          <w:rPr>
            <w:sz w:val="18"/>
          </w:rPr>
          <w:instrText xml:space="preserve"> PAGE   \* MERGEFORMAT </w:instrText>
        </w:r>
        <w:r w:rsidRPr="004A0D6B">
          <w:rPr>
            <w:sz w:val="18"/>
          </w:rPr>
          <w:fldChar w:fldCharType="separate"/>
        </w:r>
        <w:r w:rsidR="00B06902">
          <w:rPr>
            <w:noProof/>
            <w:sz w:val="18"/>
          </w:rPr>
          <w:t>1</w:t>
        </w:r>
        <w:r w:rsidRPr="004A0D6B">
          <w:rPr>
            <w:sz w:val="18"/>
          </w:rPr>
          <w:fldChar w:fldCharType="end"/>
        </w:r>
      </w:p>
    </w:sdtContent>
  </w:sdt>
  <w:p w:rsidR="00B200E4" w:rsidRDefault="00B200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E4" w:rsidRDefault="00B20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528" w:rsidRDefault="00203528" w:rsidP="004A5436">
      <w:r>
        <w:separator/>
      </w:r>
    </w:p>
  </w:footnote>
  <w:footnote w:type="continuationSeparator" w:id="0">
    <w:p w:rsidR="00203528" w:rsidRDefault="00203528" w:rsidP="004A5436">
      <w:r>
        <w:continuationSeparator/>
      </w:r>
    </w:p>
  </w:footnote>
  <w:footnote w:id="1">
    <w:p w:rsidR="00B200E4" w:rsidRPr="00FA0365" w:rsidRDefault="00B200E4" w:rsidP="004C49BB">
      <w:pPr>
        <w:pStyle w:val="FootnoteText"/>
      </w:pPr>
      <w:r>
        <w:rPr>
          <w:rStyle w:val="FootnoteReference"/>
        </w:rPr>
        <w:footnoteRef/>
      </w:r>
      <w:r>
        <w:t xml:space="preserve"> The information in these provisions would not be required to be reported until March 31, 2014 </w:t>
      </w:r>
      <w:r w:rsidRPr="00286AA3">
        <w:t xml:space="preserve">unless the deferral of inputs action </w:t>
      </w:r>
      <w:r>
        <w:t>(</w:t>
      </w:r>
      <w:r>
        <w:rPr>
          <w:rFonts w:ascii="Verdana" w:hAnsi="Verdana"/>
          <w:color w:val="000000"/>
          <w:sz w:val="18"/>
          <w:szCs w:val="18"/>
        </w:rPr>
        <w:t>76 FR 53057</w:t>
      </w:r>
      <w:r>
        <w:t xml:space="preserve">) </w:t>
      </w:r>
      <w:r w:rsidRPr="00286AA3">
        <w:t xml:space="preserve">has already set forth a </w:t>
      </w:r>
      <w:r>
        <w:t xml:space="preserve">deferred </w:t>
      </w:r>
      <w:r w:rsidRPr="00286AA3">
        <w:t xml:space="preserve">reporting </w:t>
      </w:r>
      <w:r>
        <w:t>deadline</w:t>
      </w:r>
      <w:r w:rsidRPr="00286AA3">
        <w:t xml:space="preserve"> of March 31, 2015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E4" w:rsidRDefault="00B200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E4" w:rsidRDefault="00B200E4">
    <w:pPr>
      <w:pStyle w:val="Header"/>
      <w:jc w:val="center"/>
      <w:rPr>
        <w:sz w:val="20"/>
        <w:szCs w:val="20"/>
      </w:rPr>
    </w:pPr>
    <w:r>
      <w:rPr>
        <w:sz w:val="20"/>
        <w:szCs w:val="20"/>
      </w:rPr>
      <w:t xml:space="preserve">Information Collection Request Memo for the:  </w:t>
    </w:r>
  </w:p>
  <w:p w:rsidR="00B200E4" w:rsidRDefault="00B200E4">
    <w:pPr>
      <w:pStyle w:val="Header"/>
      <w:jc w:val="center"/>
      <w:rPr>
        <w:sz w:val="20"/>
        <w:szCs w:val="20"/>
      </w:rPr>
    </w:pPr>
    <w:r>
      <w:rPr>
        <w:sz w:val="20"/>
        <w:szCs w:val="20"/>
      </w:rPr>
      <w:t xml:space="preserve">Fluorinated Greenhouse Gases Source Category and the </w:t>
    </w:r>
  </w:p>
  <w:p w:rsidR="00B200E4" w:rsidRDefault="00B200E4">
    <w:pPr>
      <w:pStyle w:val="Header"/>
      <w:jc w:val="center"/>
      <w:rPr>
        <w:sz w:val="20"/>
        <w:szCs w:val="20"/>
      </w:rPr>
    </w:pPr>
    <w:r>
      <w:rPr>
        <w:sz w:val="20"/>
        <w:szCs w:val="20"/>
      </w:rPr>
      <w:t>Petroleum and Natural Gas Systems</w:t>
    </w:r>
    <w:r w:rsidRPr="00F83408">
      <w:rPr>
        <w:sz w:val="20"/>
        <w:szCs w:val="20"/>
      </w:rPr>
      <w:t xml:space="preserve"> </w:t>
    </w:r>
    <w:r>
      <w:rPr>
        <w:sz w:val="20"/>
        <w:szCs w:val="20"/>
      </w:rPr>
      <w:t>Source Category of the</w:t>
    </w:r>
  </w:p>
  <w:p w:rsidR="00B200E4" w:rsidRDefault="00B200E4">
    <w:pPr>
      <w:pStyle w:val="Header"/>
      <w:jc w:val="center"/>
      <w:rPr>
        <w:sz w:val="20"/>
        <w:szCs w:val="20"/>
      </w:rPr>
    </w:pPr>
    <w:r>
      <w:rPr>
        <w:sz w:val="20"/>
        <w:szCs w:val="20"/>
      </w:rPr>
      <w:t xml:space="preserve"> Greenhouse Gas Reporting Rule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E4" w:rsidRDefault="00B200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D003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62B57"/>
    <w:multiLevelType w:val="hybridMultilevel"/>
    <w:tmpl w:val="C0C6241E"/>
    <w:lvl w:ilvl="0" w:tplc="9DD6B1AC">
      <w:start w:val="1"/>
      <w:numFmt w:val="bullet"/>
      <w:pStyle w:val="Bullet-GHGPreamble"/>
      <w:lvlText w:val=""/>
      <w:lvlJc w:val="left"/>
      <w:pPr>
        <w:tabs>
          <w:tab w:val="num" w:pos="720"/>
        </w:tabs>
        <w:ind w:left="720" w:hanging="720"/>
      </w:pPr>
      <w:rPr>
        <w:rFonts w:ascii="Symbol" w:hAnsi="Symbol" w:cs="Symbol" w:hint="default"/>
        <w:color w:val="auto"/>
        <w:sz w:val="24"/>
        <w:szCs w:val="24"/>
      </w:rPr>
    </w:lvl>
    <w:lvl w:ilvl="1" w:tplc="FFFFFFFF">
      <w:start w:val="1"/>
      <w:numFmt w:val="lowerLetter"/>
      <w:lvlText w:val="%2."/>
      <w:lvlJc w:val="left"/>
      <w:pPr>
        <w:tabs>
          <w:tab w:val="num" w:pos="2340"/>
        </w:tabs>
        <w:ind w:left="2340" w:hanging="360"/>
      </w:pPr>
    </w:lvl>
    <w:lvl w:ilvl="2" w:tplc="FFFFFFFF">
      <w:start w:val="1"/>
      <w:numFmt w:val="bullet"/>
      <w:lvlText w:val=""/>
      <w:lvlJc w:val="left"/>
      <w:pPr>
        <w:tabs>
          <w:tab w:val="num" w:pos="1800"/>
        </w:tabs>
        <w:ind w:left="1800" w:hanging="360"/>
      </w:pPr>
      <w:rPr>
        <w:rFonts w:ascii="Symbol" w:hAnsi="Symbol" w:cs="Symbol" w:hint="default"/>
      </w:r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
    <w:nsid w:val="12335E70"/>
    <w:multiLevelType w:val="hybridMultilevel"/>
    <w:tmpl w:val="F2F8BAE6"/>
    <w:lvl w:ilvl="0" w:tplc="69CAF8FE">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0153F6B"/>
    <w:multiLevelType w:val="hybridMultilevel"/>
    <w:tmpl w:val="7E16A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3F74290"/>
    <w:multiLevelType w:val="hybridMultilevel"/>
    <w:tmpl w:val="7AD0F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AA1D46"/>
    <w:multiLevelType w:val="hybridMultilevel"/>
    <w:tmpl w:val="83C6C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F003DA"/>
    <w:multiLevelType w:val="hybridMultilevel"/>
    <w:tmpl w:val="7A64DA8E"/>
    <w:lvl w:ilvl="0" w:tplc="04090019">
      <w:start w:val="257"/>
      <w:numFmt w:val="bullet"/>
      <w:pStyle w:val="Dash-GHGPreamble"/>
      <w:lvlText w:val="–"/>
      <w:lvlJc w:val="left"/>
      <w:pPr>
        <w:tabs>
          <w:tab w:val="num" w:pos="1080"/>
        </w:tabs>
        <w:ind w:left="1080" w:hanging="360"/>
      </w:pPr>
      <w:rPr>
        <w:rFonts w:ascii="Gill Sans MT Ext Condensed Bold" w:hAnsi="Gill Sans MT Ext Condensed Bold" w:cs="Gill Sans MT Ext Condensed Bold" w:hint="default"/>
      </w:rPr>
    </w:lvl>
    <w:lvl w:ilvl="1" w:tplc="04090019">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bullet"/>
      <w:lvlText w:val=""/>
      <w:lvlJc w:val="left"/>
      <w:pPr>
        <w:tabs>
          <w:tab w:val="num" w:pos="5040"/>
        </w:tabs>
        <w:ind w:left="5040" w:hanging="360"/>
      </w:pPr>
      <w:rPr>
        <w:rFonts w:ascii="Symbol" w:hAnsi="Symbol" w:cs="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F530C1"/>
    <w:multiLevelType w:val="hybridMultilevel"/>
    <w:tmpl w:val="C4A22970"/>
    <w:lvl w:ilvl="0" w:tplc="60B0965C">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E47856"/>
    <w:multiLevelType w:val="hybridMultilevel"/>
    <w:tmpl w:val="DF14C4CC"/>
    <w:lvl w:ilvl="0" w:tplc="5B347674">
      <w:start w:val="1"/>
      <w:numFmt w:val="bullet"/>
      <w:pStyle w:val="bullet-lastGHG"/>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E54AED"/>
    <w:multiLevelType w:val="hybridMultilevel"/>
    <w:tmpl w:val="6B46F8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0E417E"/>
    <w:multiLevelType w:val="hybridMultilevel"/>
    <w:tmpl w:val="5F5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5"/>
  </w:num>
  <w:num w:numId="5">
    <w:abstractNumId w:val="6"/>
  </w:num>
  <w:num w:numId="6">
    <w:abstractNumId w:val="1"/>
  </w:num>
  <w:num w:numId="7">
    <w:abstractNumId w:val="10"/>
  </w:num>
  <w:num w:numId="8">
    <w:abstractNumId w:val="3"/>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B12E58"/>
    <w:rsid w:val="00007C65"/>
    <w:rsid w:val="0002278C"/>
    <w:rsid w:val="000617E7"/>
    <w:rsid w:val="000634D2"/>
    <w:rsid w:val="00085244"/>
    <w:rsid w:val="0008534B"/>
    <w:rsid w:val="000865DB"/>
    <w:rsid w:val="00094A9C"/>
    <w:rsid w:val="000A05E2"/>
    <w:rsid w:val="000B6A40"/>
    <w:rsid w:val="00124FA6"/>
    <w:rsid w:val="0012649B"/>
    <w:rsid w:val="00130EF6"/>
    <w:rsid w:val="00131B9E"/>
    <w:rsid w:val="00165D19"/>
    <w:rsid w:val="00184643"/>
    <w:rsid w:val="0018685A"/>
    <w:rsid w:val="001A08C2"/>
    <w:rsid w:val="001A1646"/>
    <w:rsid w:val="001D27C2"/>
    <w:rsid w:val="001E09AF"/>
    <w:rsid w:val="001F1606"/>
    <w:rsid w:val="00203528"/>
    <w:rsid w:val="00203F4C"/>
    <w:rsid w:val="00217058"/>
    <w:rsid w:val="0022051A"/>
    <w:rsid w:val="00236264"/>
    <w:rsid w:val="00243D03"/>
    <w:rsid w:val="002564EF"/>
    <w:rsid w:val="002736D4"/>
    <w:rsid w:val="00275FE0"/>
    <w:rsid w:val="00285F51"/>
    <w:rsid w:val="002915A4"/>
    <w:rsid w:val="002A0DF1"/>
    <w:rsid w:val="002A12FC"/>
    <w:rsid w:val="002B6FBF"/>
    <w:rsid w:val="002C2E87"/>
    <w:rsid w:val="0030391F"/>
    <w:rsid w:val="00306ABF"/>
    <w:rsid w:val="003231DB"/>
    <w:rsid w:val="00352D7B"/>
    <w:rsid w:val="00374547"/>
    <w:rsid w:val="003A5381"/>
    <w:rsid w:val="003B3469"/>
    <w:rsid w:val="003C7E1F"/>
    <w:rsid w:val="003D0363"/>
    <w:rsid w:val="003D5512"/>
    <w:rsid w:val="003E172B"/>
    <w:rsid w:val="00404927"/>
    <w:rsid w:val="004156C5"/>
    <w:rsid w:val="00436C32"/>
    <w:rsid w:val="00461779"/>
    <w:rsid w:val="00491188"/>
    <w:rsid w:val="0049786A"/>
    <w:rsid w:val="004A0D6B"/>
    <w:rsid w:val="004A5436"/>
    <w:rsid w:val="004C49BB"/>
    <w:rsid w:val="004C4B69"/>
    <w:rsid w:val="004D24E2"/>
    <w:rsid w:val="004F1ADA"/>
    <w:rsid w:val="004F6E1B"/>
    <w:rsid w:val="00515656"/>
    <w:rsid w:val="00516A64"/>
    <w:rsid w:val="0051785C"/>
    <w:rsid w:val="0051785D"/>
    <w:rsid w:val="00534141"/>
    <w:rsid w:val="005647BF"/>
    <w:rsid w:val="0056797D"/>
    <w:rsid w:val="00570FEC"/>
    <w:rsid w:val="00572828"/>
    <w:rsid w:val="00572981"/>
    <w:rsid w:val="0057526E"/>
    <w:rsid w:val="0058228D"/>
    <w:rsid w:val="00585AA2"/>
    <w:rsid w:val="0058610F"/>
    <w:rsid w:val="005C7CDA"/>
    <w:rsid w:val="005D5CA9"/>
    <w:rsid w:val="005F5B4A"/>
    <w:rsid w:val="00636C02"/>
    <w:rsid w:val="00641512"/>
    <w:rsid w:val="00643D0E"/>
    <w:rsid w:val="00652D0F"/>
    <w:rsid w:val="006738FE"/>
    <w:rsid w:val="00673D12"/>
    <w:rsid w:val="00686D0E"/>
    <w:rsid w:val="006E457D"/>
    <w:rsid w:val="006E51BE"/>
    <w:rsid w:val="006F6EF7"/>
    <w:rsid w:val="00704254"/>
    <w:rsid w:val="00730CCE"/>
    <w:rsid w:val="007340F9"/>
    <w:rsid w:val="00751199"/>
    <w:rsid w:val="00751F87"/>
    <w:rsid w:val="007615F9"/>
    <w:rsid w:val="00766A19"/>
    <w:rsid w:val="0077148D"/>
    <w:rsid w:val="0078019D"/>
    <w:rsid w:val="00796630"/>
    <w:rsid w:val="007C312B"/>
    <w:rsid w:val="007D256E"/>
    <w:rsid w:val="007D6158"/>
    <w:rsid w:val="007F05C3"/>
    <w:rsid w:val="008063F7"/>
    <w:rsid w:val="00812341"/>
    <w:rsid w:val="00815E51"/>
    <w:rsid w:val="008171F2"/>
    <w:rsid w:val="0082034A"/>
    <w:rsid w:val="0082761F"/>
    <w:rsid w:val="008555B5"/>
    <w:rsid w:val="0085780D"/>
    <w:rsid w:val="00864D4A"/>
    <w:rsid w:val="00890FD0"/>
    <w:rsid w:val="008C34F6"/>
    <w:rsid w:val="008D0DDD"/>
    <w:rsid w:val="008E340B"/>
    <w:rsid w:val="008F6256"/>
    <w:rsid w:val="00912359"/>
    <w:rsid w:val="0091298A"/>
    <w:rsid w:val="009A225B"/>
    <w:rsid w:val="009B0444"/>
    <w:rsid w:val="009B0A4E"/>
    <w:rsid w:val="009C54D6"/>
    <w:rsid w:val="009C6D1A"/>
    <w:rsid w:val="009D2B69"/>
    <w:rsid w:val="009E432D"/>
    <w:rsid w:val="00A17449"/>
    <w:rsid w:val="00A22D53"/>
    <w:rsid w:val="00A23444"/>
    <w:rsid w:val="00A25CC5"/>
    <w:rsid w:val="00A31AE2"/>
    <w:rsid w:val="00A85351"/>
    <w:rsid w:val="00A8618D"/>
    <w:rsid w:val="00AB5459"/>
    <w:rsid w:val="00AC10E9"/>
    <w:rsid w:val="00AD0F9A"/>
    <w:rsid w:val="00AD2082"/>
    <w:rsid w:val="00AE7F14"/>
    <w:rsid w:val="00B0621E"/>
    <w:rsid w:val="00B06902"/>
    <w:rsid w:val="00B10B3F"/>
    <w:rsid w:val="00B12E58"/>
    <w:rsid w:val="00B1793A"/>
    <w:rsid w:val="00B17D40"/>
    <w:rsid w:val="00B200E4"/>
    <w:rsid w:val="00B24626"/>
    <w:rsid w:val="00B313AC"/>
    <w:rsid w:val="00B316A0"/>
    <w:rsid w:val="00B41F0F"/>
    <w:rsid w:val="00B4577E"/>
    <w:rsid w:val="00B45D4F"/>
    <w:rsid w:val="00B61FE7"/>
    <w:rsid w:val="00B70D0B"/>
    <w:rsid w:val="00B851EC"/>
    <w:rsid w:val="00BA06D1"/>
    <w:rsid w:val="00BA5E53"/>
    <w:rsid w:val="00BC365B"/>
    <w:rsid w:val="00C320B7"/>
    <w:rsid w:val="00C3541A"/>
    <w:rsid w:val="00C47DC0"/>
    <w:rsid w:val="00C57817"/>
    <w:rsid w:val="00C66E59"/>
    <w:rsid w:val="00C75AF9"/>
    <w:rsid w:val="00CA635A"/>
    <w:rsid w:val="00CD31B9"/>
    <w:rsid w:val="00CD6B03"/>
    <w:rsid w:val="00CE7851"/>
    <w:rsid w:val="00CF4BD6"/>
    <w:rsid w:val="00D30229"/>
    <w:rsid w:val="00D4428B"/>
    <w:rsid w:val="00D55404"/>
    <w:rsid w:val="00D6540C"/>
    <w:rsid w:val="00D917D3"/>
    <w:rsid w:val="00D96A52"/>
    <w:rsid w:val="00DA314F"/>
    <w:rsid w:val="00DA4918"/>
    <w:rsid w:val="00DB1209"/>
    <w:rsid w:val="00DC0AD9"/>
    <w:rsid w:val="00DC0D37"/>
    <w:rsid w:val="00DD7B97"/>
    <w:rsid w:val="00DE0405"/>
    <w:rsid w:val="00DE1913"/>
    <w:rsid w:val="00DF420A"/>
    <w:rsid w:val="00DF7423"/>
    <w:rsid w:val="00E17010"/>
    <w:rsid w:val="00E41208"/>
    <w:rsid w:val="00E54B8F"/>
    <w:rsid w:val="00E822C7"/>
    <w:rsid w:val="00ED1CDB"/>
    <w:rsid w:val="00EE270E"/>
    <w:rsid w:val="00EE6F35"/>
    <w:rsid w:val="00F04420"/>
    <w:rsid w:val="00F07A26"/>
    <w:rsid w:val="00F11B05"/>
    <w:rsid w:val="00F609EC"/>
    <w:rsid w:val="00F611E1"/>
    <w:rsid w:val="00F83408"/>
    <w:rsid w:val="00F91A8F"/>
    <w:rsid w:val="00F97133"/>
    <w:rsid w:val="00F97F86"/>
    <w:rsid w:val="00FA0365"/>
    <w:rsid w:val="00FA1529"/>
    <w:rsid w:val="00FB745F"/>
    <w:rsid w:val="00FC2ABD"/>
    <w:rsid w:val="00FD1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444"/>
    <w:rPr>
      <w:rFonts w:ascii="Arial" w:hAnsi="Arial" w:cs="Arial"/>
      <w:sz w:val="24"/>
      <w:szCs w:val="24"/>
    </w:rPr>
  </w:style>
  <w:style w:type="paragraph" w:styleId="Heading1">
    <w:name w:val="heading 1"/>
    <w:basedOn w:val="Normal"/>
    <w:next w:val="Normal"/>
    <w:qFormat/>
    <w:rsid w:val="00B316A0"/>
    <w:pPr>
      <w:keepNext/>
      <w:overflowPunct w:val="0"/>
      <w:autoSpaceDE w:val="0"/>
      <w:autoSpaceDN w:val="0"/>
      <w:adjustRightInd w:val="0"/>
      <w:jc w:val="both"/>
      <w:textAlignment w:val="baseline"/>
      <w:outlineLvl w:val="0"/>
    </w:pPr>
    <w:rPr>
      <w:rFonts w:ascii="Book Antiqua" w:hAnsi="Book Antiqua"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CC5"/>
    <w:pPr>
      <w:widowControl w:val="0"/>
      <w:autoSpaceDE w:val="0"/>
      <w:autoSpaceDN w:val="0"/>
      <w:adjustRightInd w:val="0"/>
    </w:pPr>
    <w:rPr>
      <w:rFonts w:ascii="Humanst521 BT" w:hAnsi="Humanst521 BT" w:cs="Humanst521 BT"/>
      <w:color w:val="000000"/>
      <w:sz w:val="24"/>
      <w:szCs w:val="24"/>
    </w:rPr>
  </w:style>
  <w:style w:type="paragraph" w:customStyle="1" w:styleId="CM1">
    <w:name w:val="CM1"/>
    <w:basedOn w:val="Default"/>
    <w:next w:val="Default"/>
    <w:rsid w:val="00A25CC5"/>
    <w:pPr>
      <w:spacing w:line="253" w:lineRule="atLeast"/>
    </w:pPr>
    <w:rPr>
      <w:color w:val="auto"/>
    </w:rPr>
  </w:style>
  <w:style w:type="paragraph" w:styleId="NormalWeb">
    <w:name w:val="Normal (Web)"/>
    <w:basedOn w:val="Normal"/>
    <w:uiPriority w:val="99"/>
    <w:rsid w:val="006E51BE"/>
    <w:pPr>
      <w:spacing w:before="100" w:beforeAutospacing="1" w:after="100" w:afterAutospacing="1"/>
    </w:pPr>
    <w:rPr>
      <w:rFonts w:ascii="Times New Roman" w:hAnsi="Times New Roman" w:cs="Times New Roman"/>
    </w:rPr>
  </w:style>
  <w:style w:type="character" w:styleId="Hyperlink">
    <w:name w:val="Hyperlink"/>
    <w:rsid w:val="00FB745F"/>
    <w:rPr>
      <w:color w:val="0000FF"/>
      <w:u w:val="single"/>
    </w:rPr>
  </w:style>
  <w:style w:type="paragraph" w:customStyle="1" w:styleId="pbodyalt">
    <w:name w:val="pbodyalt"/>
    <w:basedOn w:val="Normal"/>
    <w:rsid w:val="00C66E59"/>
    <w:pPr>
      <w:spacing w:before="240" w:after="240" w:line="288" w:lineRule="auto"/>
      <w:ind w:left="240" w:right="240" w:firstLine="240"/>
    </w:pPr>
    <w:rPr>
      <w:color w:val="000000"/>
      <w:sz w:val="15"/>
      <w:szCs w:val="15"/>
    </w:rPr>
  </w:style>
  <w:style w:type="paragraph" w:customStyle="1" w:styleId="pbodyaltlist1">
    <w:name w:val="pbodyaltlist1"/>
    <w:basedOn w:val="Normal"/>
    <w:rsid w:val="00C66E59"/>
    <w:pPr>
      <w:spacing w:line="288" w:lineRule="auto"/>
      <w:ind w:left="240" w:right="240" w:firstLine="240"/>
    </w:pPr>
    <w:rPr>
      <w:color w:val="000000"/>
      <w:sz w:val="15"/>
      <w:szCs w:val="15"/>
    </w:rPr>
  </w:style>
  <w:style w:type="paragraph" w:customStyle="1" w:styleId="pbodyctrsmcaps">
    <w:name w:val="pbodyctrsmcaps"/>
    <w:basedOn w:val="Normal"/>
    <w:rsid w:val="00C66E59"/>
    <w:pPr>
      <w:spacing w:before="240" w:after="240" w:line="288" w:lineRule="auto"/>
      <w:jc w:val="center"/>
    </w:pPr>
    <w:rPr>
      <w:smallCaps/>
      <w:color w:val="000000"/>
      <w:sz w:val="20"/>
      <w:szCs w:val="20"/>
    </w:rPr>
  </w:style>
  <w:style w:type="paragraph" w:styleId="BodyText">
    <w:name w:val="Body Text"/>
    <w:basedOn w:val="Normal"/>
    <w:rsid w:val="001A08C2"/>
    <w:pPr>
      <w:spacing w:after="220" w:line="220" w:lineRule="atLeast"/>
      <w:jc w:val="both"/>
    </w:pPr>
    <w:rPr>
      <w:rFonts w:cs="Times New Roman"/>
      <w:spacing w:val="-5"/>
      <w:szCs w:val="20"/>
    </w:rPr>
  </w:style>
  <w:style w:type="character" w:styleId="CommentReference">
    <w:name w:val="annotation reference"/>
    <w:uiPriority w:val="99"/>
    <w:rsid w:val="00636C02"/>
    <w:rPr>
      <w:sz w:val="16"/>
      <w:szCs w:val="16"/>
    </w:rPr>
  </w:style>
  <w:style w:type="paragraph" w:styleId="CommentText">
    <w:name w:val="annotation text"/>
    <w:basedOn w:val="Normal"/>
    <w:link w:val="CommentTextChar1"/>
    <w:uiPriority w:val="99"/>
    <w:rsid w:val="00636C02"/>
    <w:rPr>
      <w:rFonts w:ascii="Courier New" w:hAnsi="Courier New" w:cs="Times New Roman"/>
      <w:sz w:val="20"/>
      <w:szCs w:val="20"/>
    </w:rPr>
  </w:style>
  <w:style w:type="character" w:customStyle="1" w:styleId="CommentTextChar">
    <w:name w:val="Comment Text Char"/>
    <w:rsid w:val="00636C02"/>
    <w:rPr>
      <w:rFonts w:ascii="Arial" w:hAnsi="Arial" w:cs="Arial"/>
    </w:rPr>
  </w:style>
  <w:style w:type="paragraph" w:customStyle="1" w:styleId="Level2-GHGPreamble">
    <w:name w:val="_Level 2-GHG Preamble"/>
    <w:link w:val="Level2-GHGPreambleCharChar"/>
    <w:rsid w:val="00636C02"/>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link w:val="Level2-GHGPreamble"/>
    <w:rsid w:val="00636C02"/>
    <w:rPr>
      <w:rFonts w:ascii="Courier New" w:hAnsi="Courier New" w:cs="Courier New"/>
      <w:sz w:val="24"/>
      <w:szCs w:val="24"/>
      <w:u w:val="single"/>
      <w:lang w:val="en-US" w:eastAsia="en-US" w:bidi="ar-SA"/>
    </w:rPr>
  </w:style>
  <w:style w:type="character" w:customStyle="1" w:styleId="CommentTextChar1">
    <w:name w:val="Comment Text Char1"/>
    <w:link w:val="CommentText"/>
    <w:uiPriority w:val="99"/>
    <w:rsid w:val="00636C02"/>
    <w:rPr>
      <w:rFonts w:ascii="Courier New" w:hAnsi="Courier New" w:cs="Courier New"/>
    </w:rPr>
  </w:style>
  <w:style w:type="paragraph" w:customStyle="1" w:styleId="GHGPARAGRAPH">
    <w:name w:val="___GHG PARAGRAPH"/>
    <w:link w:val="GHGPARAGRAPHCharChar"/>
    <w:uiPriority w:val="99"/>
    <w:rsid w:val="00636C02"/>
    <w:pPr>
      <w:spacing w:line="480" w:lineRule="auto"/>
      <w:ind w:firstLine="720"/>
    </w:pPr>
    <w:rPr>
      <w:rFonts w:ascii="Courier New" w:hAnsi="Courier New" w:cs="Courier New"/>
      <w:sz w:val="24"/>
      <w:szCs w:val="24"/>
    </w:rPr>
  </w:style>
  <w:style w:type="character" w:customStyle="1" w:styleId="GHGPARAGRAPHCharChar">
    <w:name w:val="___GHG PARAGRAPH Char Char"/>
    <w:link w:val="GHGPARAGRAPH"/>
    <w:uiPriority w:val="99"/>
    <w:rsid w:val="00636C02"/>
    <w:rPr>
      <w:rFonts w:ascii="Courier New" w:hAnsi="Courier New" w:cs="Courier New"/>
      <w:sz w:val="24"/>
      <w:szCs w:val="24"/>
      <w:lang w:val="en-US" w:eastAsia="en-US" w:bidi="ar-SA"/>
    </w:rPr>
  </w:style>
  <w:style w:type="paragraph" w:styleId="BalloonText">
    <w:name w:val="Balloon Text"/>
    <w:basedOn w:val="Normal"/>
    <w:link w:val="BalloonTextChar"/>
    <w:rsid w:val="00636C02"/>
    <w:rPr>
      <w:rFonts w:ascii="Tahoma" w:hAnsi="Tahoma" w:cs="Times New Roman"/>
      <w:sz w:val="16"/>
      <w:szCs w:val="16"/>
    </w:rPr>
  </w:style>
  <w:style w:type="character" w:customStyle="1" w:styleId="BalloonTextChar">
    <w:name w:val="Balloon Text Char"/>
    <w:link w:val="BalloonText"/>
    <w:rsid w:val="00636C02"/>
    <w:rPr>
      <w:rFonts w:ascii="Tahoma" w:hAnsi="Tahoma" w:cs="Tahoma"/>
      <w:sz w:val="16"/>
      <w:szCs w:val="16"/>
    </w:rPr>
  </w:style>
  <w:style w:type="paragraph" w:customStyle="1" w:styleId="Level3-GHGPreamble">
    <w:name w:val="_Level 3-GHG Preamble"/>
    <w:link w:val="Level3-GHGPreambleCharChar"/>
    <w:rsid w:val="002915A4"/>
    <w:pPr>
      <w:keepLines/>
      <w:numPr>
        <w:ilvl w:val="2"/>
      </w:numPr>
      <w:spacing w:line="480" w:lineRule="auto"/>
    </w:pPr>
    <w:rPr>
      <w:rFonts w:ascii="Courier New" w:hAnsi="Courier New" w:cs="Courier New"/>
      <w:sz w:val="24"/>
      <w:szCs w:val="24"/>
    </w:rPr>
  </w:style>
  <w:style w:type="character" w:customStyle="1" w:styleId="Level3-GHGPreambleCharChar">
    <w:name w:val="_Level 3-GHG Preamble Char Char"/>
    <w:link w:val="Level3-GHGPreamble"/>
    <w:rsid w:val="002915A4"/>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2915A4"/>
    <w:pPr>
      <w:numPr>
        <w:numId w:val="6"/>
      </w:numPr>
      <w:spacing w:before="100" w:after="100"/>
    </w:pPr>
    <w:rPr>
      <w:rFonts w:ascii="Courier New" w:hAnsi="Courier New" w:cs="Courier New"/>
      <w:sz w:val="24"/>
      <w:szCs w:val="24"/>
    </w:rPr>
  </w:style>
  <w:style w:type="paragraph" w:customStyle="1" w:styleId="Dash-GHGPreamble">
    <w:name w:val="_Dash-GHG Preamble"/>
    <w:link w:val="Dash-GHGPreambleCharChar"/>
    <w:uiPriority w:val="99"/>
    <w:rsid w:val="002915A4"/>
    <w:pPr>
      <w:numPr>
        <w:numId w:val="5"/>
      </w:numPr>
      <w:spacing w:before="80" w:after="80"/>
    </w:pPr>
    <w:rPr>
      <w:rFonts w:ascii="Courier New" w:hAnsi="Courier New" w:cs="Courier New"/>
      <w:color w:val="000000"/>
      <w:sz w:val="24"/>
      <w:szCs w:val="24"/>
    </w:rPr>
  </w:style>
  <w:style w:type="character" w:customStyle="1" w:styleId="Dash-GHGPreambleCharChar">
    <w:name w:val="_Dash-GHG Preamble Char Char"/>
    <w:link w:val="Dash-GHGPreamble"/>
    <w:uiPriority w:val="99"/>
    <w:rsid w:val="002915A4"/>
    <w:rPr>
      <w:rFonts w:ascii="Courier New" w:hAnsi="Courier New" w:cs="Courier New"/>
      <w:color w:val="000000"/>
      <w:sz w:val="24"/>
      <w:szCs w:val="24"/>
      <w:lang w:val="en-US" w:eastAsia="en-US" w:bidi="ar-SA"/>
    </w:rPr>
  </w:style>
  <w:style w:type="character" w:customStyle="1" w:styleId="Bullet-GHGPreambleCharChar">
    <w:name w:val="_Bullet-GHG Preamble Char Char"/>
    <w:link w:val="Bullet-GHGPreamble"/>
    <w:rsid w:val="002915A4"/>
    <w:rPr>
      <w:rFonts w:ascii="Courier New" w:hAnsi="Courier New" w:cs="Courier New"/>
      <w:sz w:val="24"/>
      <w:szCs w:val="24"/>
      <w:lang w:val="en-US" w:eastAsia="en-US" w:bidi="ar-SA"/>
    </w:rPr>
  </w:style>
  <w:style w:type="paragraph" w:customStyle="1" w:styleId="STARS">
    <w:name w:val="__STARS"/>
    <w:basedOn w:val="Normal"/>
    <w:link w:val="STARSChar"/>
    <w:rsid w:val="008C34F6"/>
    <w:pPr>
      <w:tabs>
        <w:tab w:val="left" w:pos="720"/>
        <w:tab w:val="left" w:pos="1440"/>
        <w:tab w:val="left" w:pos="2160"/>
        <w:tab w:val="left" w:pos="2880"/>
        <w:tab w:val="left" w:pos="3600"/>
        <w:tab w:val="left" w:pos="4320"/>
        <w:tab w:val="left" w:pos="5040"/>
      </w:tabs>
      <w:spacing w:line="480" w:lineRule="auto"/>
      <w:outlineLvl w:val="0"/>
    </w:pPr>
    <w:rPr>
      <w:rFonts w:ascii="Courier New" w:hAnsi="Courier New" w:cs="Times New Roman"/>
      <w:color w:val="000000"/>
    </w:rPr>
  </w:style>
  <w:style w:type="character" w:customStyle="1" w:styleId="STARSChar">
    <w:name w:val="__STARS Char"/>
    <w:link w:val="STARS"/>
    <w:rsid w:val="008C34F6"/>
    <w:rPr>
      <w:rFonts w:ascii="Courier New" w:hAnsi="Courier New" w:cs="Courier New"/>
      <w:color w:val="000000"/>
      <w:sz w:val="24"/>
      <w:szCs w:val="24"/>
    </w:rPr>
  </w:style>
  <w:style w:type="paragraph" w:customStyle="1" w:styleId="GHGPARAGRAPH0">
    <w:name w:val="__GHG PARAGRAPH"/>
    <w:link w:val="GHGPARAGRAPHCharChar0"/>
    <w:rsid w:val="008C34F6"/>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8C34F6"/>
    <w:rPr>
      <w:rFonts w:ascii="Courier New" w:hAnsi="Courier New" w:cs="Courier New"/>
      <w:bCs/>
      <w:noProof/>
      <w:sz w:val="24"/>
      <w:szCs w:val="24"/>
      <w:lang w:val="en-US" w:eastAsia="en-US" w:bidi="ar-SA"/>
    </w:rPr>
  </w:style>
  <w:style w:type="paragraph" w:styleId="Header">
    <w:name w:val="header"/>
    <w:basedOn w:val="Normal"/>
    <w:link w:val="HeaderChar"/>
    <w:uiPriority w:val="99"/>
    <w:rsid w:val="004A5436"/>
    <w:pPr>
      <w:tabs>
        <w:tab w:val="center" w:pos="4680"/>
        <w:tab w:val="right" w:pos="9360"/>
      </w:tabs>
    </w:pPr>
    <w:rPr>
      <w:rFonts w:cs="Times New Roman"/>
    </w:rPr>
  </w:style>
  <w:style w:type="character" w:customStyle="1" w:styleId="HeaderChar">
    <w:name w:val="Header Char"/>
    <w:link w:val="Header"/>
    <w:uiPriority w:val="99"/>
    <w:rsid w:val="004A5436"/>
    <w:rPr>
      <w:rFonts w:ascii="Arial" w:hAnsi="Arial" w:cs="Arial"/>
      <w:sz w:val="24"/>
      <w:szCs w:val="24"/>
    </w:rPr>
  </w:style>
  <w:style w:type="paragraph" w:styleId="Footer">
    <w:name w:val="footer"/>
    <w:basedOn w:val="Normal"/>
    <w:link w:val="FooterChar"/>
    <w:uiPriority w:val="99"/>
    <w:rsid w:val="004A5436"/>
    <w:pPr>
      <w:tabs>
        <w:tab w:val="center" w:pos="4680"/>
        <w:tab w:val="right" w:pos="9360"/>
      </w:tabs>
    </w:pPr>
    <w:rPr>
      <w:rFonts w:cs="Times New Roman"/>
    </w:rPr>
  </w:style>
  <w:style w:type="character" w:customStyle="1" w:styleId="FooterChar">
    <w:name w:val="Footer Char"/>
    <w:link w:val="Footer"/>
    <w:uiPriority w:val="99"/>
    <w:rsid w:val="004A5436"/>
    <w:rPr>
      <w:rFonts w:ascii="Arial" w:hAnsi="Arial" w:cs="Arial"/>
      <w:sz w:val="24"/>
      <w:szCs w:val="24"/>
    </w:rPr>
  </w:style>
  <w:style w:type="paragraph" w:styleId="EndnoteText">
    <w:name w:val="endnote text"/>
    <w:basedOn w:val="Normal"/>
    <w:link w:val="EndnoteTextChar"/>
    <w:rsid w:val="004A5436"/>
    <w:rPr>
      <w:rFonts w:cs="Times New Roman"/>
      <w:sz w:val="20"/>
      <w:szCs w:val="20"/>
    </w:rPr>
  </w:style>
  <w:style w:type="character" w:customStyle="1" w:styleId="EndnoteTextChar">
    <w:name w:val="Endnote Text Char"/>
    <w:link w:val="EndnoteText"/>
    <w:rsid w:val="004A5436"/>
    <w:rPr>
      <w:rFonts w:ascii="Arial" w:hAnsi="Arial" w:cs="Arial"/>
    </w:rPr>
  </w:style>
  <w:style w:type="character" w:styleId="EndnoteReference">
    <w:name w:val="endnote reference"/>
    <w:rsid w:val="004A5436"/>
    <w:rPr>
      <w:vertAlign w:val="superscript"/>
    </w:rPr>
  </w:style>
  <w:style w:type="paragraph" w:styleId="FootnoteText">
    <w:name w:val="footnote text"/>
    <w:aliases w:val="Char,Char4,ALTS FOOTNOTE,fn,Footnote Text - Preamble,Footnote Text Char1,Footnote Text Char Char,Footnote Text Char1 Char Char,Footnote Text Char Char Char Char,Footnote Text Char Char1,Footnote Text Char1 Char Char1, Char, Char4,Char2,Cha"/>
    <w:basedOn w:val="Normal"/>
    <w:link w:val="FootnoteTextChar"/>
    <w:rsid w:val="004A5436"/>
    <w:rPr>
      <w:rFonts w:cs="Times New Roman"/>
      <w:sz w:val="20"/>
      <w:szCs w:val="20"/>
    </w:rPr>
  </w:style>
  <w:style w:type="character" w:customStyle="1" w:styleId="FootnoteTextChar">
    <w:name w:val="Footnote Text Char"/>
    <w:aliases w:val="Char Char,Char4 Char1,ALTS FOOTNOTE Char,fn Char,Footnote Text - Preamble Char1,Footnote Text Char1 Char,Footnote Text Char Char Char,Footnote Text Char1 Char Char Char,Footnote Text Char Char Char Char Char, Char Char, Char4 Char"/>
    <w:link w:val="FootnoteText"/>
    <w:rsid w:val="004A5436"/>
    <w:rPr>
      <w:rFonts w:ascii="Arial" w:hAnsi="Arial" w:cs="Arial"/>
    </w:rPr>
  </w:style>
  <w:style w:type="character" w:styleId="FootnoteReference">
    <w:name w:val="footnote reference"/>
    <w:uiPriority w:val="99"/>
    <w:rsid w:val="004A5436"/>
    <w:rPr>
      <w:vertAlign w:val="superscript"/>
    </w:rPr>
  </w:style>
  <w:style w:type="paragraph" w:styleId="CommentSubject">
    <w:name w:val="annotation subject"/>
    <w:basedOn w:val="CommentText"/>
    <w:next w:val="CommentText"/>
    <w:link w:val="CommentSubjectChar"/>
    <w:rsid w:val="00DC0AD9"/>
    <w:rPr>
      <w:rFonts w:ascii="Arial" w:hAnsi="Arial" w:cs="Arial"/>
      <w:b/>
      <w:bCs/>
    </w:rPr>
  </w:style>
  <w:style w:type="character" w:customStyle="1" w:styleId="CommentSubjectChar">
    <w:name w:val="Comment Subject Char"/>
    <w:basedOn w:val="CommentTextChar1"/>
    <w:link w:val="CommentSubject"/>
    <w:rsid w:val="00DC0AD9"/>
    <w:rPr>
      <w:rFonts w:ascii="Arial" w:hAnsi="Arial" w:cs="Arial"/>
      <w:b/>
      <w:bCs/>
    </w:rPr>
  </w:style>
  <w:style w:type="paragraph" w:customStyle="1" w:styleId="bullet-lastGHG">
    <w:name w:val="_bullet-last_GHG"/>
    <w:uiPriority w:val="99"/>
    <w:qFormat/>
    <w:rsid w:val="00FA0365"/>
    <w:pPr>
      <w:numPr>
        <w:numId w:val="9"/>
      </w:numPr>
      <w:spacing w:before="80" w:after="240"/>
      <w:ind w:hanging="720"/>
    </w:pPr>
    <w:rPr>
      <w:rFonts w:ascii="Courier New" w:hAnsi="Courier New" w:cs="Courier New"/>
      <w:sz w:val="24"/>
      <w:szCs w:val="24"/>
    </w:rPr>
  </w:style>
  <w:style w:type="character" w:customStyle="1" w:styleId="FootnoteTextChar3">
    <w:name w:val="Footnote Text Char3"/>
    <w:aliases w:val="Char Char2,Char4 Char,ALTS FOOTNOTE Char1,fn Char1,Footnote Text - Preamble Char,Footnote Text Char1 Char1,Footnote Text Char Char Char1,Footnote Text Char1 Char Char Char1,Footnote Text Char Char Char Char Char1, Char Char1,Cha Char"/>
    <w:basedOn w:val="DefaultParagraphFont"/>
    <w:uiPriority w:val="99"/>
    <w:rsid w:val="003231DB"/>
    <w:rPr>
      <w:rFonts w:ascii="Courier New" w:hAnsi="Courier New" w:cs="Courier New"/>
      <w:lang w:val="en-US" w:eastAsia="en-US"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77279642">
      <w:bodyDiv w:val="1"/>
      <w:marLeft w:val="0"/>
      <w:marRight w:val="0"/>
      <w:marTop w:val="0"/>
      <w:marBottom w:val="0"/>
      <w:divBdr>
        <w:top w:val="none" w:sz="0" w:space="0" w:color="auto"/>
        <w:left w:val="none" w:sz="0" w:space="0" w:color="auto"/>
        <w:bottom w:val="none" w:sz="0" w:space="0" w:color="auto"/>
        <w:right w:val="none" w:sz="0" w:space="0" w:color="auto"/>
      </w:divBdr>
    </w:div>
    <w:div w:id="196284449">
      <w:bodyDiv w:val="1"/>
      <w:marLeft w:val="0"/>
      <w:marRight w:val="0"/>
      <w:marTop w:val="0"/>
      <w:marBottom w:val="0"/>
      <w:divBdr>
        <w:top w:val="none" w:sz="0" w:space="0" w:color="auto"/>
        <w:left w:val="none" w:sz="0" w:space="0" w:color="auto"/>
        <w:bottom w:val="none" w:sz="0" w:space="0" w:color="auto"/>
        <w:right w:val="none" w:sz="0" w:space="0" w:color="auto"/>
      </w:divBdr>
    </w:div>
    <w:div w:id="281114954">
      <w:bodyDiv w:val="1"/>
      <w:marLeft w:val="0"/>
      <w:marRight w:val="0"/>
      <w:marTop w:val="0"/>
      <w:marBottom w:val="0"/>
      <w:divBdr>
        <w:top w:val="none" w:sz="0" w:space="0" w:color="auto"/>
        <w:left w:val="none" w:sz="0" w:space="0" w:color="auto"/>
        <w:bottom w:val="none" w:sz="0" w:space="0" w:color="auto"/>
        <w:right w:val="none" w:sz="0" w:space="0" w:color="auto"/>
      </w:divBdr>
    </w:div>
    <w:div w:id="1105808697">
      <w:bodyDiv w:val="1"/>
      <w:marLeft w:val="0"/>
      <w:marRight w:val="0"/>
      <w:marTop w:val="0"/>
      <w:marBottom w:val="0"/>
      <w:divBdr>
        <w:top w:val="none" w:sz="0" w:space="0" w:color="auto"/>
        <w:left w:val="none" w:sz="0" w:space="0" w:color="auto"/>
        <w:bottom w:val="none" w:sz="0" w:space="0" w:color="auto"/>
        <w:right w:val="none" w:sz="0" w:space="0" w:color="auto"/>
      </w:divBdr>
      <w:divsChild>
        <w:div w:id="1923298853">
          <w:marLeft w:val="0"/>
          <w:marRight w:val="0"/>
          <w:marTop w:val="0"/>
          <w:marBottom w:val="0"/>
          <w:divBdr>
            <w:top w:val="none" w:sz="0" w:space="0" w:color="auto"/>
            <w:left w:val="none" w:sz="0" w:space="0" w:color="auto"/>
            <w:bottom w:val="none" w:sz="0" w:space="0" w:color="auto"/>
            <w:right w:val="none" w:sz="0" w:space="0" w:color="auto"/>
          </w:divBdr>
          <w:divsChild>
            <w:div w:id="75790337">
              <w:marLeft w:val="0"/>
              <w:marRight w:val="0"/>
              <w:marTop w:val="0"/>
              <w:marBottom w:val="0"/>
              <w:divBdr>
                <w:top w:val="none" w:sz="0" w:space="0" w:color="auto"/>
                <w:left w:val="none" w:sz="0" w:space="0" w:color="auto"/>
                <w:bottom w:val="none" w:sz="0" w:space="0" w:color="auto"/>
                <w:right w:val="none" w:sz="0" w:space="0" w:color="auto"/>
              </w:divBdr>
              <w:divsChild>
                <w:div w:id="1150246121">
                  <w:marLeft w:val="0"/>
                  <w:marRight w:val="0"/>
                  <w:marTop w:val="0"/>
                  <w:marBottom w:val="0"/>
                  <w:divBdr>
                    <w:top w:val="none" w:sz="0" w:space="0" w:color="auto"/>
                    <w:left w:val="none" w:sz="0" w:space="0" w:color="auto"/>
                    <w:bottom w:val="none" w:sz="0" w:space="0" w:color="auto"/>
                    <w:right w:val="none" w:sz="0" w:space="0" w:color="auto"/>
                  </w:divBdr>
                  <w:divsChild>
                    <w:div w:id="1164934505">
                      <w:marLeft w:val="1382"/>
                      <w:marRight w:val="0"/>
                      <w:marTop w:val="0"/>
                      <w:marBottom w:val="0"/>
                      <w:divBdr>
                        <w:top w:val="none" w:sz="0" w:space="0" w:color="auto"/>
                        <w:left w:val="none" w:sz="0" w:space="0" w:color="auto"/>
                        <w:bottom w:val="none" w:sz="0" w:space="0" w:color="auto"/>
                        <w:right w:val="none" w:sz="0" w:space="0" w:color="auto"/>
                      </w:divBdr>
                      <w:divsChild>
                        <w:div w:id="1813054736">
                          <w:marLeft w:val="0"/>
                          <w:marRight w:val="0"/>
                          <w:marTop w:val="0"/>
                          <w:marBottom w:val="0"/>
                          <w:divBdr>
                            <w:top w:val="single" w:sz="2" w:space="0" w:color="CECECE"/>
                            <w:left w:val="single" w:sz="4" w:space="0" w:color="CECECE"/>
                            <w:bottom w:val="single" w:sz="4" w:space="0" w:color="CECECE"/>
                            <w:right w:val="single" w:sz="4" w:space="0" w:color="CECECE"/>
                          </w:divBdr>
                          <w:divsChild>
                            <w:div w:id="1790196239">
                              <w:marLeft w:val="0"/>
                              <w:marRight w:val="0"/>
                              <w:marTop w:val="0"/>
                              <w:marBottom w:val="0"/>
                              <w:divBdr>
                                <w:top w:val="none" w:sz="0" w:space="0" w:color="auto"/>
                                <w:left w:val="none" w:sz="0" w:space="0" w:color="auto"/>
                                <w:bottom w:val="none" w:sz="0" w:space="0" w:color="auto"/>
                                <w:right w:val="none" w:sz="0" w:space="0" w:color="auto"/>
                              </w:divBdr>
                              <w:divsChild>
                                <w:div w:id="473373263">
                                  <w:marLeft w:val="0"/>
                                  <w:marRight w:val="0"/>
                                  <w:marTop w:val="0"/>
                                  <w:marBottom w:val="0"/>
                                  <w:divBdr>
                                    <w:top w:val="none" w:sz="0" w:space="0" w:color="auto"/>
                                    <w:left w:val="none" w:sz="0" w:space="0" w:color="auto"/>
                                    <w:bottom w:val="none" w:sz="0" w:space="0" w:color="auto"/>
                                    <w:right w:val="none" w:sz="0" w:space="0" w:color="auto"/>
                                  </w:divBdr>
                                  <w:divsChild>
                                    <w:div w:id="5346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5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BAF0-6673-4245-8189-81189F07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business card</vt:lpstr>
    </vt:vector>
  </TitlesOfParts>
  <Company>The Cadmus Group, Inc.</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card</dc:title>
  <dc:subject>business card</dc:subject>
  <dc:creator>Manu</dc:creator>
  <cp:keywords/>
  <dc:description/>
  <cp:lastModifiedBy>Courtney Kerwin</cp:lastModifiedBy>
  <cp:revision>2</cp:revision>
  <cp:lastPrinted>2012-03-16T22:10:00Z</cp:lastPrinted>
  <dcterms:created xsi:type="dcterms:W3CDTF">2012-08-30T18:45:00Z</dcterms:created>
  <dcterms:modified xsi:type="dcterms:W3CDTF">2012-08-30T18:45:00Z</dcterms:modified>
</cp:coreProperties>
</file>