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9A4339" w:rsidP="00A7661C">
      <w:pPr>
        <w:tabs>
          <w:tab w:val="center" w:pos="4680"/>
        </w:tabs>
        <w:jc w:val="center"/>
        <w:rPr>
          <w:b/>
          <w:bCs/>
        </w:rPr>
      </w:pPr>
      <w:r>
        <w:rPr>
          <w:b/>
          <w:bCs/>
        </w:rPr>
        <w:t xml:space="preserve"> </w:t>
      </w:r>
      <w:r w:rsidR="00756E69">
        <w:rPr>
          <w:b/>
          <w:bCs/>
        </w:rPr>
        <w:fldChar w:fldCharType="begin"/>
      </w:r>
      <w:r w:rsidR="00CA4CD6">
        <w:rPr>
          <w:b/>
          <w:bCs/>
        </w:rPr>
        <w:instrText>tc \l2 "SF</w:instrText>
      </w:r>
      <w:r w:rsidR="00756E69">
        <w:rPr>
          <w:b/>
          <w:bCs/>
        </w:rPr>
        <w:fldChar w:fldCharType="end"/>
      </w:r>
      <w:r w:rsidR="00CA4CD6">
        <w:rPr>
          <w:b/>
          <w:bCs/>
        </w:rPr>
        <w:t>SUPPORTING STATEMENT</w:t>
      </w:r>
    </w:p>
    <w:p w:rsidR="00CA4CD6" w:rsidRDefault="00CA4CD6" w:rsidP="00751DE3">
      <w:pPr>
        <w:tabs>
          <w:tab w:val="center" w:pos="4680"/>
        </w:tabs>
        <w:outlineLvl w:val="0"/>
      </w:pPr>
      <w:r>
        <w:rPr>
          <w:b/>
          <w:bCs/>
        </w:rPr>
        <w:tab/>
        <w:t>ENVIRONMENTAL PROTECTION AGENCY</w:t>
      </w:r>
    </w:p>
    <w:p w:rsidR="00CA4CD6" w:rsidRDefault="00CA4CD6">
      <w:pPr>
        <w:tabs>
          <w:tab w:val="center" w:pos="4680"/>
        </w:tabs>
      </w:pPr>
      <w:r>
        <w:tab/>
      </w:r>
    </w:p>
    <w:p w:rsidR="00CA4CD6" w:rsidRDefault="00AB1149">
      <w:pPr>
        <w:rPr>
          <w:color w:val="000000"/>
        </w:rPr>
      </w:pPr>
      <w:r>
        <w:rPr>
          <w:b/>
          <w:bCs/>
        </w:rPr>
        <w:t xml:space="preserve">NSPS for Stationary </w:t>
      </w:r>
      <w:r w:rsidR="00FF3DA9">
        <w:rPr>
          <w:b/>
          <w:bCs/>
        </w:rPr>
        <w:t xml:space="preserve">Source </w:t>
      </w:r>
      <w:r>
        <w:rPr>
          <w:b/>
          <w:bCs/>
        </w:rPr>
        <w:t>Compression Ignition Internal Combustion Engines (40 CFR Part 60, Subpart IIII) (Renewal)</w:t>
      </w:r>
    </w:p>
    <w:p w:rsidR="00CA4CD6" w:rsidRDefault="00CA4CD6">
      <w:pPr>
        <w:rPr>
          <w:color w:val="000000"/>
        </w:rPr>
      </w:pPr>
    </w:p>
    <w:p w:rsidR="00CA4CD6" w:rsidRDefault="00CA4CD6" w:rsidP="00751DE3">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AB1149" w:rsidP="002B29A5">
      <w:pPr>
        <w:rPr>
          <w:bCs/>
          <w:color w:val="000000"/>
        </w:rPr>
      </w:pPr>
      <w:r>
        <w:rPr>
          <w:bCs/>
        </w:rPr>
        <w:t xml:space="preserve">NSPS for Stationary </w:t>
      </w:r>
      <w:r w:rsidR="00FF3DA9">
        <w:rPr>
          <w:bCs/>
        </w:rPr>
        <w:t xml:space="preserve">Source </w:t>
      </w:r>
      <w:r>
        <w:rPr>
          <w:bCs/>
        </w:rPr>
        <w:t>Compression Ignition Internal Combustion Engines (40 CFR Part 60, Subpart IIII) (Renewal), EPA ICR Number 2196.04, OMB Control Number 2060-0590</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Pr="00AB1149">
        <w:t>New Source Performance Standards (NSPS</w:t>
      </w:r>
      <w:r w:rsidRPr="00097B4E">
        <w:t xml:space="preserve">) </w:t>
      </w:r>
      <w:r w:rsidR="008F4AF6" w:rsidRPr="00097B4E">
        <w:t>for</w:t>
      </w:r>
      <w:r w:rsidR="008F4AF6">
        <w:rPr>
          <w:color w:val="FF0000"/>
        </w:rPr>
        <w:t xml:space="preserve"> </w:t>
      </w:r>
      <w:r w:rsidR="00AB1149">
        <w:rPr>
          <w:bCs/>
        </w:rPr>
        <w:t xml:space="preserve">Stationary </w:t>
      </w:r>
      <w:r w:rsidR="008F4AF6">
        <w:rPr>
          <w:bCs/>
        </w:rPr>
        <w:t xml:space="preserve">Source </w:t>
      </w:r>
      <w:r w:rsidR="00AB1149">
        <w:rPr>
          <w:bCs/>
        </w:rPr>
        <w:t>Compression Ignition Internal Combustion Engines (40 CFR Part 60, Subpart IIII)</w:t>
      </w:r>
      <w:r>
        <w:rPr>
          <w:color w:val="000000"/>
        </w:rPr>
        <w:t xml:space="preserve"> were proposed on </w:t>
      </w:r>
      <w:r w:rsidR="00AB1149">
        <w:rPr>
          <w:color w:val="000000"/>
        </w:rPr>
        <w:t>July 11, 2005</w:t>
      </w:r>
      <w:r>
        <w:rPr>
          <w:color w:val="000000"/>
        </w:rPr>
        <w:t xml:space="preserve">, promulgated on </w:t>
      </w:r>
      <w:r w:rsidR="00AB1149">
        <w:rPr>
          <w:color w:val="000000"/>
        </w:rPr>
        <w:t>July 11, 2006</w:t>
      </w:r>
      <w:r w:rsidR="008F4AF6">
        <w:rPr>
          <w:color w:val="000000"/>
        </w:rPr>
        <w:t>, and amended on June, 8, 2011</w:t>
      </w:r>
      <w:r>
        <w:rPr>
          <w:color w:val="000000"/>
        </w:rPr>
        <w:t xml:space="preserve">.  These regulations apply to </w:t>
      </w:r>
      <w:r w:rsidR="00AB1149">
        <w:t>stationary compression ignition (CI) internal combustion engines (ICE).  The standards apply to stationary sources whose construction, reconstruction, or modification begins after a standard for those sources is proposed.</w:t>
      </w:r>
      <w:r>
        <w:rPr>
          <w:color w:val="000000"/>
        </w:rPr>
        <w:t xml:space="preserve">  This information is being collected to assure compliance with 40 CFR part 60, subpart </w:t>
      </w:r>
      <w:r w:rsidR="00AB1149">
        <w:rPr>
          <w:color w:val="000000"/>
        </w:rPr>
        <w:t>III</w:t>
      </w:r>
      <w:r>
        <w:rPr>
          <w:color w:val="000000"/>
        </w:rPr>
        <w:t>.</w:t>
      </w:r>
      <w:r w:rsidR="00486E6D">
        <w:rPr>
          <w:color w:val="000000"/>
        </w:rPr>
        <w:t xml:space="preserve"> </w:t>
      </w:r>
    </w:p>
    <w:p w:rsidR="00CA4CD6" w:rsidRDefault="00CA4CD6">
      <w:pPr>
        <w:rPr>
          <w:color w:val="000000"/>
        </w:rPr>
      </w:pPr>
    </w:p>
    <w:p w:rsidR="00CA4CD6" w:rsidRDefault="00CA4CD6">
      <w:pPr>
        <w:ind w:firstLine="720"/>
        <w:rPr>
          <w:color w:val="000000"/>
        </w:rPr>
      </w:pPr>
      <w:r>
        <w:rPr>
          <w:color w:val="000000"/>
        </w:rPr>
        <w:t xml:space="preserve">In general, all </w:t>
      </w:r>
      <w:r w:rsidRPr="00AB1149">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AB1149">
        <w:t>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AB1149">
        <w:t>two</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AB1149">
        <w:rPr>
          <w:color w:val="000000"/>
        </w:rPr>
        <w:t xml:space="preserve">is </w:t>
      </w:r>
      <w:r>
        <w:rPr>
          <w:color w:val="000000"/>
        </w:rPr>
        <w:t xml:space="preserve">an average of </w:t>
      </w:r>
      <w:r w:rsidR="00AB1149">
        <w:t>one</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AB1149">
        <w:t>206,</w:t>
      </w:r>
      <w:r w:rsidR="00682380">
        <w:t>370</w:t>
      </w:r>
      <w:r w:rsidR="00CA4CD6">
        <w:rPr>
          <w:color w:val="000000"/>
        </w:rPr>
        <w:t xml:space="preserve"> respondents </w:t>
      </w:r>
      <w:r>
        <w:rPr>
          <w:color w:val="000000"/>
        </w:rPr>
        <w:t>per year will be subject to the standard</w:t>
      </w:r>
      <w:r w:rsidR="00CA4CD6">
        <w:rPr>
          <w:color w:val="000000"/>
        </w:rPr>
        <w:t xml:space="preserve">, and </w:t>
      </w:r>
      <w:r w:rsidR="00AF3F88">
        <w:t>40</w:t>
      </w:r>
      <w:r w:rsidR="008F4AF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AB1149" w:rsidRDefault="00AB1149" w:rsidP="00AB1149">
      <w:pPr>
        <w:ind w:firstLine="720"/>
      </w:pPr>
      <w:r>
        <w:t>The Office of Management and Budget (OMB) approved the currently active Information Collection Request (ICR) with the following “Terms of Clearance</w:t>
      </w:r>
      <w:r w:rsidR="00387905">
        <w:t xml:space="preserve"> (TOC)”:</w:t>
      </w:r>
    </w:p>
    <w:p w:rsidR="00AB1149" w:rsidRDefault="00AB1149" w:rsidP="00AB1149">
      <w:pPr>
        <w:ind w:firstLine="720"/>
      </w:pPr>
    </w:p>
    <w:p w:rsidR="009A4339" w:rsidRDefault="009A4339" w:rsidP="00AB1149">
      <w:pPr>
        <w:pBdr>
          <w:top w:val="single" w:sz="6" w:space="0" w:color="FFFFFF"/>
          <w:left w:val="single" w:sz="6" w:space="0" w:color="FFFFFF"/>
          <w:bottom w:val="single" w:sz="6" w:space="0" w:color="FFFFFF"/>
          <w:right w:val="single" w:sz="6" w:space="0" w:color="FFFFFF"/>
        </w:pBdr>
        <w:ind w:firstLine="720"/>
        <w:rPr>
          <w:color w:val="FF0000"/>
        </w:rPr>
      </w:pPr>
    </w:p>
    <w:p w:rsidR="009A4339" w:rsidRDefault="009A4339" w:rsidP="00AB1149">
      <w:pPr>
        <w:pBdr>
          <w:top w:val="single" w:sz="6" w:space="0" w:color="FFFFFF"/>
          <w:left w:val="single" w:sz="6" w:space="0" w:color="FFFFFF"/>
          <w:bottom w:val="single" w:sz="6" w:space="0" w:color="FFFFFF"/>
          <w:right w:val="single" w:sz="6" w:space="0" w:color="FFFFFF"/>
        </w:pBdr>
        <w:ind w:firstLine="720"/>
      </w:pPr>
      <w:r>
        <w:rPr>
          <w:color w:val="FF0000"/>
        </w:rPr>
        <w:lastRenderedPageBreak/>
        <w:tab/>
      </w:r>
      <w:r>
        <w:t>Prior to resubmission of this information collection for renewal</w:t>
      </w:r>
      <w:r w:rsidR="00CE131F">
        <w:t xml:space="preserve">, </w:t>
      </w:r>
      <w:r>
        <w:t>the</w:t>
      </w:r>
    </w:p>
    <w:p w:rsidR="009A4339" w:rsidRDefault="009A4339" w:rsidP="00AB1149">
      <w:pPr>
        <w:pBdr>
          <w:top w:val="single" w:sz="6" w:space="0" w:color="FFFFFF"/>
          <w:left w:val="single" w:sz="6" w:space="0" w:color="FFFFFF"/>
          <w:bottom w:val="single" w:sz="6" w:space="0" w:color="FFFFFF"/>
          <w:right w:val="single" w:sz="6" w:space="0" w:color="FFFFFF"/>
        </w:pBdr>
        <w:ind w:firstLine="720"/>
      </w:pPr>
      <w:r>
        <w:tab/>
        <w:t xml:space="preserve">Agency should reassess estimates of burden taking into account recent </w:t>
      </w:r>
    </w:p>
    <w:p w:rsidR="009A4339" w:rsidRDefault="009A4339" w:rsidP="00AB1149">
      <w:pPr>
        <w:pBdr>
          <w:top w:val="single" w:sz="6" w:space="0" w:color="FFFFFF"/>
          <w:left w:val="single" w:sz="6" w:space="0" w:color="FFFFFF"/>
          <w:bottom w:val="single" w:sz="6" w:space="0" w:color="FFFFFF"/>
          <w:right w:val="single" w:sz="6" w:space="0" w:color="FFFFFF"/>
        </w:pBdr>
        <w:ind w:firstLine="720"/>
      </w:pPr>
      <w:r>
        <w:tab/>
      </w:r>
      <w:r w:rsidR="00CE131F">
        <w:t>e</w:t>
      </w:r>
      <w:r>
        <w:t xml:space="preserve">xperience with the fully implemented program.  </w:t>
      </w:r>
    </w:p>
    <w:p w:rsidR="009A4339" w:rsidRDefault="009A4339" w:rsidP="00AB1149">
      <w:pPr>
        <w:pBdr>
          <w:top w:val="single" w:sz="6" w:space="0" w:color="FFFFFF"/>
          <w:left w:val="single" w:sz="6" w:space="0" w:color="FFFFFF"/>
          <w:bottom w:val="single" w:sz="6" w:space="0" w:color="FFFFFF"/>
          <w:right w:val="single" w:sz="6" w:space="0" w:color="FFFFFF"/>
        </w:pBdr>
        <w:ind w:firstLine="720"/>
      </w:pPr>
    </w:p>
    <w:p w:rsidR="00A87152" w:rsidRDefault="00A87152" w:rsidP="00AB1149">
      <w:pPr>
        <w:pBdr>
          <w:top w:val="single" w:sz="6" w:space="0" w:color="FFFFFF"/>
          <w:left w:val="single" w:sz="6" w:space="0" w:color="FFFFFF"/>
          <w:bottom w:val="single" w:sz="6" w:space="0" w:color="FFFFFF"/>
          <w:right w:val="single" w:sz="6" w:space="0" w:color="FFFFFF"/>
        </w:pBdr>
        <w:ind w:firstLine="720"/>
      </w:pPr>
      <w:r>
        <w:t xml:space="preserve">To address these terms of clearance, EPA consulted with industry experts on the </w:t>
      </w:r>
    </w:p>
    <w:p w:rsidR="00756E69" w:rsidRDefault="00A87152">
      <w:pPr>
        <w:pBdr>
          <w:top w:val="single" w:sz="6" w:space="0" w:color="FFFFFF"/>
          <w:left w:val="single" w:sz="6" w:space="0" w:color="FFFFFF"/>
          <w:bottom w:val="single" w:sz="6" w:space="0" w:color="FFFFFF"/>
          <w:right w:val="single" w:sz="6" w:space="0" w:color="FFFFFF"/>
        </w:pBdr>
      </w:pPr>
      <w:r>
        <w:t>burden estimates presented in the current ICR and incorporated any comments received.</w:t>
      </w:r>
      <w:r w:rsidR="009A4339">
        <w:t xml:space="preserve"> </w:t>
      </w:r>
    </w:p>
    <w:p w:rsidR="00A87152" w:rsidRDefault="00A87152" w:rsidP="002B29A5"/>
    <w:p w:rsidR="00CA4CD6" w:rsidRDefault="009D6567" w:rsidP="002B29A5">
      <w:pPr>
        <w:rPr>
          <w:color w:val="FF0000"/>
        </w:rPr>
      </w:pPr>
      <w:r>
        <w:tab/>
      </w:r>
      <w:r w:rsidR="00AB1149">
        <w:t xml:space="preserve">All of the CI ICE units in the United States are owned and operated by the CI ICE industry (the “Affected Public”).  These facilities in the United States are owned by either industry, state, local, tribal government.  The burden to the “Affected Public” is listed below </w:t>
      </w:r>
      <w:r w:rsidR="00457D10">
        <w:t xml:space="preserve">    </w:t>
      </w:r>
      <w:r w:rsidR="00AB1149">
        <w:t xml:space="preserve">in Table 1: Annual Respondent Burden and Cost – </w:t>
      </w:r>
      <w:r w:rsidR="00AB1149">
        <w:rPr>
          <w:bCs/>
        </w:rPr>
        <w:t xml:space="preserve">NSPS for Stationary </w:t>
      </w:r>
      <w:r w:rsidR="008F4AF6">
        <w:rPr>
          <w:bCs/>
        </w:rPr>
        <w:t xml:space="preserve">Source </w:t>
      </w:r>
      <w:r w:rsidR="00AB1149">
        <w:rPr>
          <w:bCs/>
        </w:rPr>
        <w:t xml:space="preserve">Compression Ignition Internal Combustion Engines (40 CFR Part 60, Subpart IIII) (Renewal).  </w:t>
      </w:r>
      <w:r w:rsidR="00AB1149" w:rsidRPr="00F7101C">
        <w:t xml:space="preserve">The burden </w:t>
      </w:r>
      <w:r w:rsidR="00457D10">
        <w:t xml:space="preserve">   </w:t>
      </w:r>
      <w:r w:rsidR="00AB1149" w:rsidRPr="00F7101C">
        <w:t>to the “Federal Government” is attributed entirely to work performed by</w:t>
      </w:r>
      <w:r w:rsidR="00457D10">
        <w:t xml:space="preserve"> either F</w:t>
      </w:r>
      <w:r w:rsidR="00AB1149" w:rsidRPr="00F7101C">
        <w:t>ederal employees</w:t>
      </w:r>
      <w:r w:rsidR="00457D10">
        <w:t xml:space="preserve"> </w:t>
      </w:r>
      <w:r w:rsidR="00AB1149" w:rsidRPr="00F7101C">
        <w:t>or government contractors; this burden may be found</w:t>
      </w:r>
      <w:r w:rsidR="00457D10">
        <w:t xml:space="preserve"> below</w:t>
      </w:r>
      <w:r w:rsidR="00AB1149" w:rsidRPr="00F7101C">
        <w:t xml:space="preserve"> in Table 2: Average Annual EPA Burden</w:t>
      </w:r>
      <w:r w:rsidR="00AB1149">
        <w:t xml:space="preserve"> and Cost – </w:t>
      </w:r>
      <w:r w:rsidR="00AB1149">
        <w:rPr>
          <w:bCs/>
        </w:rPr>
        <w:t xml:space="preserve">NSPS for Stationary </w:t>
      </w:r>
      <w:r w:rsidR="008F4AF6">
        <w:rPr>
          <w:bCs/>
        </w:rPr>
        <w:t xml:space="preserve">Source </w:t>
      </w:r>
      <w:r w:rsidR="00AB1149">
        <w:rPr>
          <w:bCs/>
        </w:rPr>
        <w:t>Compression Ignition Internal Combustion Engines (40 CFR Part 60, Subpart IIII) (Renewal).</w:t>
      </w:r>
    </w:p>
    <w:p w:rsidR="002B29A5" w:rsidRPr="009D6567" w:rsidRDefault="002B29A5" w:rsidP="002B29A5">
      <w:pPr>
        <w:rPr>
          <w:color w:val="FF0000"/>
        </w:rPr>
      </w:pPr>
    </w:p>
    <w:p w:rsidR="00CA4CD6" w:rsidRDefault="00CA4CD6" w:rsidP="00751DE3">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1149" w:rsidRDefault="00CA4CD6">
      <w:pPr>
        <w:pBdr>
          <w:top w:val="single" w:sz="6" w:space="0" w:color="FFFFFF"/>
          <w:left w:val="single" w:sz="6" w:space="0" w:color="FFFFFF"/>
          <w:bottom w:val="single" w:sz="6" w:space="0" w:color="FFFFFF"/>
          <w:right w:val="single" w:sz="6" w:space="0" w:color="FFFFFF"/>
        </w:pBdr>
        <w:ind w:firstLine="720"/>
      </w:pPr>
      <w:r w:rsidRPr="00AB1149">
        <w:t xml:space="preserve">The EPA is charged under Section 111 of the Clean Air Act (CAA), as amended, to establish standards of performance for new stationary sources that reflect: </w:t>
      </w:r>
    </w:p>
    <w:p w:rsidR="00CA4CD6" w:rsidRPr="00AB1149" w:rsidRDefault="00CA4CD6">
      <w:pPr>
        <w:pBdr>
          <w:top w:val="single" w:sz="6" w:space="0" w:color="FFFFFF"/>
          <w:left w:val="single" w:sz="6" w:space="0" w:color="FFFFFF"/>
          <w:bottom w:val="single" w:sz="6" w:space="0" w:color="FFFFFF"/>
          <w:right w:val="single" w:sz="6" w:space="0" w:color="FFFFFF"/>
        </w:pBdr>
      </w:pPr>
    </w:p>
    <w:p w:rsidR="00CA4CD6" w:rsidRPr="00AB1149" w:rsidRDefault="00CA4CD6">
      <w:pPr>
        <w:pBdr>
          <w:top w:val="single" w:sz="6" w:space="0" w:color="FFFFFF"/>
          <w:left w:val="single" w:sz="6" w:space="0" w:color="FFFFFF"/>
          <w:bottom w:val="single" w:sz="6" w:space="0" w:color="FFFFFF"/>
          <w:right w:val="single" w:sz="6" w:space="0" w:color="FFFFFF"/>
        </w:pBdr>
        <w:ind w:left="1440" w:right="1440"/>
      </w:pPr>
      <w:r w:rsidRPr="00AB1149">
        <w:rPr>
          <w:b/>
          <w:bCs/>
        </w:rPr>
        <w:t>. . .</w:t>
      </w:r>
      <w:r w:rsidRPr="00AB114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AB114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color w:val="FF0000"/>
        </w:rPr>
      </w:pPr>
      <w:r w:rsidRPr="00AB1149">
        <w:t>The Agency refers to this charge as selecting the best demonstrated technology (BDT).  Section 111 also requires that the Administrator review and, if appropriate, revise such standards every four years.</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Pr>
          <w:color w:val="000000"/>
        </w:rPr>
        <w:t xml:space="preserve">emissions from </w:t>
      </w:r>
      <w:r w:rsidR="00AB1149">
        <w:t>CI ICE engines</w:t>
      </w:r>
      <w:r>
        <w:rPr>
          <w:color w:val="000000"/>
        </w:rPr>
        <w:t xml:space="preserve"> cause or contribute to air pollution that may reasonably be anticipated to endanger public health or welfare.  Therefore, the </w:t>
      </w:r>
      <w:r w:rsidRPr="00AB1149">
        <w:t>NSPS</w:t>
      </w:r>
      <w:r>
        <w:rPr>
          <w:color w:val="000000"/>
        </w:rPr>
        <w:t xml:space="preserve"> were promulgated for this source category at 40 CFR part 60,</w:t>
      </w:r>
      <w:r>
        <w:rPr>
          <w:b/>
          <w:bCs/>
          <w:i/>
          <w:iCs/>
          <w:color w:val="000000"/>
        </w:rPr>
        <w:t xml:space="preserve"> </w:t>
      </w:r>
      <w:r>
        <w:rPr>
          <w:color w:val="000000"/>
        </w:rPr>
        <w:t xml:space="preserve">subpart </w:t>
      </w:r>
      <w:r w:rsidR="00AB1149">
        <w:t>III</w:t>
      </w:r>
      <w:r w:rsidR="008F4AF6">
        <w:t>I</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457D10">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8F4AF6">
        <w:rPr>
          <w:color w:val="000000"/>
        </w:rPr>
        <w:t>’</w:t>
      </w:r>
      <w:r>
        <w:rPr>
          <w:color w:val="000000"/>
        </w:rPr>
        <w:t xml:space="preserve">s initial capability to comply with the emission standard. Continuous emission monitors are used to ensure compliance with the standard at all times. </w:t>
      </w:r>
      <w:r w:rsidRPr="00AB1149">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006568F1" w:rsidRPr="006568F1">
        <w:t>pollution control devices are properly installed and operated</w:t>
      </w:r>
      <w:r w:rsidR="008F4AF6">
        <w:t xml:space="preserve">, </w:t>
      </w:r>
      <w:r w:rsidR="006568F1" w:rsidRPr="006568F1">
        <w:t>and</w:t>
      </w:r>
      <w:r w:rsidR="008F4AF6">
        <w:t xml:space="preserve"> </w:t>
      </w:r>
      <w:r w:rsidR="006568F1" w:rsidRPr="006568F1">
        <w:t>leaks are being detected and repaired and</w:t>
      </w:r>
      <w:r>
        <w:rPr>
          <w:color w:val="000000"/>
        </w:rPr>
        <w:t xml:space="preserve"> the standard</w:t>
      </w:r>
      <w:r w:rsidR="008F4AF6">
        <w:rPr>
          <w:color w:val="000000"/>
        </w:rPr>
        <w:t xml:space="preserve"> </w:t>
      </w:r>
      <w:r w:rsidR="00CA2CEC">
        <w:rPr>
          <w:color w:val="000000"/>
        </w:rPr>
        <w:t xml:space="preserve">is </w:t>
      </w:r>
      <w:r>
        <w:rPr>
          <w:color w:val="000000"/>
        </w:rPr>
        <w:t>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CA2CEC">
        <w:rPr>
          <w:color w:val="FF0000"/>
        </w:rPr>
        <w:t xml:space="preserve"> </w:t>
      </w:r>
      <w:r w:rsidR="006568F1" w:rsidRPr="006568F1">
        <w:t>annual reports</w:t>
      </w:r>
      <w:r>
        <w:rPr>
          <w:color w:val="000000"/>
        </w:rPr>
        <w:t xml:space="preserve">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57D10">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CA2CEC">
        <w:rPr>
          <w:color w:val="000000"/>
        </w:rPr>
        <w:t xml:space="preserve"> III</w:t>
      </w:r>
      <w:r w:rsidR="00057E96">
        <w:rPr>
          <w:color w:val="000000"/>
        </w:rPr>
        <w:t>I</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457D10">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457D10">
        <w:rPr>
          <w:color w:val="000000"/>
        </w:rPr>
        <w:t xml:space="preserve">does not </w:t>
      </w:r>
      <w:r>
        <w:rPr>
          <w:color w:val="000000"/>
        </w:rPr>
        <w:t>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A2CEC">
        <w:t>76</w:t>
      </w:r>
      <w:r w:rsidR="00CA2CEC" w:rsidRPr="00CA2CEC">
        <w:t xml:space="preserve"> </w:t>
      </w:r>
      <w:r w:rsidRPr="00CA2CEC">
        <w:rPr>
          <w:u w:val="single"/>
        </w:rPr>
        <w:t>FR</w:t>
      </w:r>
      <w:r w:rsidRPr="00CA2CEC">
        <w:t xml:space="preserve"> </w:t>
      </w:r>
      <w:r w:rsidR="00CA2CEC">
        <w:t>26900</w:t>
      </w:r>
      <w:r>
        <w:rPr>
          <w:color w:val="000000"/>
        </w:rPr>
        <w:t xml:space="preserve">) on </w:t>
      </w:r>
      <w:r w:rsidR="00CA2CEC">
        <w:t>May 9, 2011</w:t>
      </w:r>
      <w:r>
        <w:rPr>
          <w:color w:val="000000"/>
        </w:rPr>
        <w:t>.</w:t>
      </w:r>
      <w:r>
        <w:rPr>
          <w:color w:val="FF0000"/>
        </w:rPr>
        <w:t xml:space="preserve">  </w:t>
      </w:r>
      <w:r w:rsidR="00056908" w:rsidRPr="00056908">
        <w:t xml:space="preserve">No comments were received on the burden published in the </w:t>
      </w:r>
      <w:r w:rsidR="00056908" w:rsidRPr="00056908">
        <w:rPr>
          <w:u w:val="single"/>
        </w:rPr>
        <w:t>Federal Register</w:t>
      </w:r>
      <w:r w:rsidR="00056908" w:rsidRPr="00056908">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Pr="00601CDB" w:rsidRDefault="00123889" w:rsidP="00123889">
      <w:pPr>
        <w:pBdr>
          <w:top w:val="single" w:sz="6" w:space="0" w:color="FFFFFF"/>
          <w:left w:val="single" w:sz="6" w:space="0" w:color="FFFFFF"/>
          <w:bottom w:val="single" w:sz="6" w:space="0" w:color="FFFFFF"/>
          <w:right w:val="single" w:sz="6" w:space="0" w:color="FFFFFF"/>
        </w:pBdr>
        <w:ind w:firstLine="720"/>
        <w:rPr>
          <w:color w:val="FF0000"/>
        </w:rPr>
      </w:pPr>
    </w:p>
    <w:p w:rsidR="00F05128" w:rsidRDefault="002B6993">
      <w:pPr>
        <w:widowControl/>
        <w:ind w:firstLine="720"/>
      </w:pPr>
      <w:r w:rsidRPr="00CA2CEC">
        <w:t>The Agency has consulted i</w:t>
      </w:r>
      <w:r w:rsidR="00E25DB6" w:rsidRPr="00CA2CEC">
        <w:rPr>
          <w:bCs/>
        </w:rPr>
        <w:t xml:space="preserve">ndustry experts and internal data sources </w:t>
      </w:r>
      <w:r w:rsidRPr="00CA2CEC">
        <w:rPr>
          <w:bCs/>
        </w:rPr>
        <w:t xml:space="preserve">to </w:t>
      </w:r>
      <w:r w:rsidR="00E25DB6" w:rsidRPr="00CA2CEC">
        <w:rPr>
          <w:bCs/>
        </w:rPr>
        <w:t>project</w:t>
      </w:r>
      <w:r w:rsidRPr="00CA2CEC">
        <w:rPr>
          <w:bCs/>
        </w:rPr>
        <w:t xml:space="preserve"> the number of affected facilities and </w:t>
      </w:r>
      <w:r w:rsidR="00E25DB6" w:rsidRPr="00CA2CEC">
        <w:rPr>
          <w:bCs/>
        </w:rPr>
        <w:t>industry growth over the next three years.</w:t>
      </w:r>
      <w:r w:rsidR="00E25DB6" w:rsidRPr="00CA2CEC">
        <w:rPr>
          <w:b/>
          <w:bCs/>
        </w:rPr>
        <w:t xml:space="preserve">  </w:t>
      </w:r>
      <w:r w:rsidR="00277F42" w:rsidRPr="00CA2CEC">
        <w:t xml:space="preserve">The primary source of information as reported by industry, in compliance with the recordkeeping and reporting provisions in the standard, is the </w:t>
      </w:r>
      <w:r w:rsidR="00560AD2" w:rsidRPr="00CA2CEC">
        <w:t>Online Tracking Information System</w:t>
      </w:r>
      <w:r w:rsidR="00057E96">
        <w:t xml:space="preserve"> (OTIS</w:t>
      </w:r>
      <w:r w:rsidR="00277F42" w:rsidRPr="00CA2CEC">
        <w:t xml:space="preserve">) which is operated and maintained by EPA's Office of Compliance.  </w:t>
      </w:r>
      <w:r w:rsidR="00560AD2" w:rsidRPr="00CA2CEC">
        <w:t>OTIS</w:t>
      </w:r>
      <w:r w:rsidR="00277F42" w:rsidRPr="00CA2CEC">
        <w:t xml:space="preserve"> is EPA</w:t>
      </w:r>
      <w:r w:rsidR="00560AD2" w:rsidRPr="00CA2CEC">
        <w:t>’</w:t>
      </w:r>
      <w:r w:rsidR="00277F42" w:rsidRPr="00CA2CEC">
        <w:t xml:space="preserve">s database for the collection, maintenance, and retrieval of all compliance data.  The growth rate for the industry is based on </w:t>
      </w:r>
      <w:r w:rsidR="00277F42" w:rsidRPr="00CA2CEC">
        <w:lastRenderedPageBreak/>
        <w:t xml:space="preserve">our consultations with the Agency’s internal industry experts. Approximately </w:t>
      </w:r>
      <w:r w:rsidR="00057E96">
        <w:t>206,410</w:t>
      </w:r>
      <w:r w:rsidR="00277F42" w:rsidRPr="00CA2CEC">
        <w:t xml:space="preserve"> respondents will be subject to the standard over the three year period covered by this ICR.</w:t>
      </w:r>
    </w:p>
    <w:p w:rsidR="00277F42" w:rsidRPr="00CA2CEC" w:rsidRDefault="00277F42" w:rsidP="00277F42"/>
    <w:p w:rsidR="00123889" w:rsidRPr="00CA2CEC" w:rsidRDefault="0029006A" w:rsidP="00CA2CEC">
      <w:pPr>
        <w:ind w:firstLine="720"/>
      </w:pPr>
      <w:r w:rsidRPr="00CA2CEC">
        <w:t>I</w:t>
      </w:r>
      <w:r w:rsidR="00123889" w:rsidRPr="00CA2CEC">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CA2CEC">
        <w:t xml:space="preserve"> During the development of the current ICR,</w:t>
      </w:r>
      <w:r w:rsidR="00057E96">
        <w:t xml:space="preserve"> </w:t>
      </w:r>
      <w:r w:rsidR="00CA2CEC">
        <w:t>we contacted</w:t>
      </w:r>
      <w:r w:rsidR="00457D10">
        <w:t>: 1)</w:t>
      </w:r>
      <w:r w:rsidR="00CA2CEC">
        <w:t xml:space="preserve"> the Engine Manufacturers Association (EMA)</w:t>
      </w:r>
      <w:r w:rsidR="00457D10">
        <w:t>,</w:t>
      </w:r>
      <w:r w:rsidR="00CA2CEC">
        <w:t xml:space="preserve"> at (312) 929-1970</w:t>
      </w:r>
      <w:r w:rsidR="00457D10">
        <w:t>;</w:t>
      </w:r>
      <w:r w:rsidR="00CA2CEC">
        <w:t xml:space="preserve"> and </w:t>
      </w:r>
      <w:r w:rsidR="00457D10">
        <w:t xml:space="preserve">2) </w:t>
      </w:r>
      <w:r w:rsidR="00CA2CEC">
        <w:t>Cummins</w:t>
      </w:r>
      <w:r w:rsidR="00457D10">
        <w:t xml:space="preserve"> </w:t>
      </w:r>
      <w:r w:rsidR="00A87152">
        <w:t xml:space="preserve">Incorporated, </w:t>
      </w:r>
      <w:r w:rsidR="00CA2CEC">
        <w:t xml:space="preserve">at </w:t>
      </w:r>
      <w:r w:rsidR="00057E96">
        <w:t>(</w:t>
      </w:r>
      <w:r w:rsidR="00CA2CEC" w:rsidRPr="00E61D20">
        <w:t>800</w:t>
      </w:r>
      <w:r w:rsidR="00057E96">
        <w:t xml:space="preserve">) </w:t>
      </w:r>
      <w:r w:rsidR="00CA2CEC" w:rsidRPr="00E61D20">
        <w:t>343-7357</w:t>
      </w:r>
      <w:r w:rsidR="00CA2CEC">
        <w:t>.</w:t>
      </w:r>
    </w:p>
    <w:p w:rsidR="00277F42" w:rsidRPr="00CA2CEC" w:rsidRDefault="00277F42" w:rsidP="00123889"/>
    <w:p w:rsidR="0029006A" w:rsidRDefault="00D42D52" w:rsidP="00CA2CEC">
      <w:pPr>
        <w:widowControl/>
        <w:ind w:firstLine="720"/>
        <w:rPr>
          <w:color w:val="FF0000"/>
        </w:rPr>
      </w:pPr>
      <w:r w:rsidRPr="00CA2CEC">
        <w:rPr>
          <w:bCs/>
        </w:rPr>
        <w:t xml:space="preserve">It is our policy to respond after a thorough review of comments received since the last ICR renewal as well as those submitted in response to the </w:t>
      </w:r>
      <w:r w:rsidR="005253D4" w:rsidRPr="00CA2CEC">
        <w:rPr>
          <w:bCs/>
        </w:rPr>
        <w:t>f</w:t>
      </w:r>
      <w:r w:rsidRPr="00CA2CEC">
        <w:rPr>
          <w:bCs/>
        </w:rPr>
        <w:t xml:space="preserve">irst </w:t>
      </w:r>
      <w:r w:rsidRPr="00CA2CEC">
        <w:rPr>
          <w:bCs/>
          <w:u w:val="single"/>
        </w:rPr>
        <w:t>Federal Register</w:t>
      </w:r>
      <w:r w:rsidRPr="00CA2CEC">
        <w:rPr>
          <w:bCs/>
        </w:rPr>
        <w:t xml:space="preserve"> </w:t>
      </w:r>
      <w:r w:rsidR="005253D4" w:rsidRPr="00CA2CEC">
        <w:rPr>
          <w:bCs/>
        </w:rPr>
        <w:t>n</w:t>
      </w:r>
      <w:r w:rsidRPr="00CA2CEC">
        <w:rPr>
          <w:bCs/>
        </w:rPr>
        <w:t xml:space="preserve">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57D1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CA2CEC">
        <w:t xml:space="preserve">stationary </w:t>
      </w:r>
      <w:r w:rsidR="00057E96">
        <w:t xml:space="preserve">source </w:t>
      </w:r>
      <w:r w:rsidR="00CA2CEC">
        <w:lastRenderedPageBreak/>
        <w:t>compression ignition internal combustion engines</w:t>
      </w:r>
      <w:r>
        <w:rPr>
          <w:color w:val="000000"/>
        </w:rPr>
        <w:t xml:space="preserve">.  </w:t>
      </w:r>
      <w:r w:rsidR="00CA2CEC">
        <w:t xml:space="preserve">The Standard Industrial Classification (SIC) codes for the respondents affected by the standard and </w:t>
      </w:r>
      <w:r w:rsidR="00057E96">
        <w:t xml:space="preserve">the </w:t>
      </w:r>
      <w:r w:rsidR="00CA2CEC">
        <w:t>corr</w:t>
      </w:r>
      <w:r w:rsidR="00057E96">
        <w:t>e</w:t>
      </w:r>
      <w:r w:rsidR="00CA2CEC">
        <w:t xml:space="preserve">sponding North American Industry Classification System (NAICS) codes are listed below for stationary </w:t>
      </w:r>
      <w:r w:rsidR="00057E96">
        <w:t xml:space="preserve">source </w:t>
      </w:r>
      <w:r w:rsidR="00CA2CEC">
        <w:t>compression ignition internal combustion engines.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94" w:type="dxa"/>
        <w:jc w:val="center"/>
        <w:tblInd w:w="1226" w:type="dxa"/>
        <w:tblLayout w:type="fixed"/>
        <w:tblCellMar>
          <w:left w:w="112" w:type="dxa"/>
          <w:right w:w="112" w:type="dxa"/>
        </w:tblCellMar>
        <w:tblLook w:val="0000"/>
      </w:tblPr>
      <w:tblGrid>
        <w:gridCol w:w="5670"/>
        <w:gridCol w:w="2024"/>
        <w:gridCol w:w="1800"/>
      </w:tblGrid>
      <w:tr w:rsidR="00CA2CEC" w:rsidTr="00B20395">
        <w:trPr>
          <w:cantSplit/>
          <w:tblHeader/>
          <w:jc w:val="center"/>
        </w:trPr>
        <w:tc>
          <w:tcPr>
            <w:tcW w:w="5670" w:type="dxa"/>
            <w:tcBorders>
              <w:top w:val="single" w:sz="7" w:space="0" w:color="000000"/>
              <w:left w:val="single" w:sz="7" w:space="0" w:color="000000"/>
              <w:bottom w:val="single" w:sz="6" w:space="0" w:color="FFFFFF"/>
              <w:right w:val="single" w:sz="6" w:space="0" w:color="FFFFFF"/>
            </w:tcBorders>
            <w:vAlign w:val="center"/>
          </w:tcPr>
          <w:p w:rsidR="00CA2CEC" w:rsidRDefault="00CA2CEC" w:rsidP="00057E96">
            <w:pPr>
              <w:spacing w:after="54"/>
              <w:jc w:val="center"/>
              <w:rPr>
                <w:b/>
                <w:bCs/>
              </w:rPr>
            </w:pPr>
            <w:r>
              <w:rPr>
                <w:b/>
                <w:bCs/>
              </w:rPr>
              <w:t>Standard (40 CFR, Part 60, Subpart IIII)</w:t>
            </w:r>
          </w:p>
        </w:tc>
        <w:tc>
          <w:tcPr>
            <w:tcW w:w="2024"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54"/>
              <w:jc w:val="center"/>
              <w:rPr>
                <w:b/>
                <w:bCs/>
              </w:rPr>
            </w:pPr>
            <w:r>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54"/>
              <w:jc w:val="center"/>
              <w:rPr>
                <w:b/>
                <w:bCs/>
              </w:rPr>
            </w:pPr>
            <w:r>
              <w:rPr>
                <w:b/>
                <w:bCs/>
              </w:rPr>
              <w:t>NAICS Codes</w:t>
            </w:r>
          </w:p>
        </w:tc>
      </w:tr>
      <w:tr w:rsidR="00CA2CEC" w:rsidTr="00B20395">
        <w:trPr>
          <w:cantSplit/>
          <w:jc w:val="center"/>
        </w:trPr>
        <w:tc>
          <w:tcPr>
            <w:tcW w:w="5670" w:type="dxa"/>
            <w:tcBorders>
              <w:top w:val="single" w:sz="7" w:space="0" w:color="000000"/>
              <w:left w:val="single" w:sz="7" w:space="0" w:color="000000"/>
              <w:bottom w:val="single" w:sz="6" w:space="0" w:color="FFFFFF"/>
              <w:right w:val="single" w:sz="6" w:space="0" w:color="FFFFFF"/>
            </w:tcBorders>
          </w:tcPr>
          <w:p w:rsidR="00CA2CEC" w:rsidRDefault="00CA2CEC" w:rsidP="00057E96">
            <w:pPr>
              <w:spacing w:after="54"/>
            </w:pPr>
            <w:r>
              <w:t>Electric Power Generation, Transmission, or Distribution</w:t>
            </w:r>
          </w:p>
        </w:tc>
        <w:tc>
          <w:tcPr>
            <w:tcW w:w="2024"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54"/>
              <w:jc w:val="center"/>
            </w:pPr>
            <w:r>
              <w:t>4911, 4931, 4939</w:t>
            </w:r>
          </w:p>
        </w:tc>
        <w:tc>
          <w:tcPr>
            <w:tcW w:w="1800"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54"/>
              <w:jc w:val="center"/>
            </w:pPr>
            <w:r>
              <w:t>2211</w:t>
            </w:r>
          </w:p>
        </w:tc>
      </w:tr>
      <w:tr w:rsidR="00CA2CEC" w:rsidTr="00B20395">
        <w:trPr>
          <w:cantSplit/>
          <w:jc w:val="center"/>
        </w:trPr>
        <w:tc>
          <w:tcPr>
            <w:tcW w:w="5670" w:type="dxa"/>
            <w:tcBorders>
              <w:top w:val="single" w:sz="7" w:space="0" w:color="000000"/>
              <w:left w:val="single" w:sz="7" w:space="0" w:color="000000"/>
              <w:bottom w:val="single" w:sz="6" w:space="0" w:color="FFFFFF"/>
              <w:right w:val="single" w:sz="6" w:space="0" w:color="FFFFFF"/>
            </w:tcBorders>
          </w:tcPr>
          <w:p w:rsidR="00CA2CEC" w:rsidRDefault="00CA2CEC" w:rsidP="00057E96">
            <w:pPr>
              <w:spacing w:after="54"/>
            </w:pPr>
            <w:r>
              <w:t>Medical and Surgical Hospitals</w:t>
            </w:r>
          </w:p>
        </w:tc>
        <w:tc>
          <w:tcPr>
            <w:tcW w:w="2024"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54"/>
              <w:jc w:val="center"/>
            </w:pPr>
            <w:r>
              <w:t>8062, 8069</w:t>
            </w:r>
          </w:p>
        </w:tc>
        <w:tc>
          <w:tcPr>
            <w:tcW w:w="1800" w:type="dxa"/>
            <w:tcBorders>
              <w:top w:val="single" w:sz="7" w:space="0" w:color="000000"/>
              <w:left w:val="single" w:sz="7" w:space="0" w:color="000000"/>
              <w:bottom w:val="single" w:sz="6" w:space="0" w:color="FFFFFF"/>
              <w:right w:val="single" w:sz="7" w:space="0" w:color="000000"/>
            </w:tcBorders>
            <w:vAlign w:val="center"/>
          </w:tcPr>
          <w:p w:rsidR="00CA2CEC" w:rsidRDefault="00CA2CEC" w:rsidP="00057E96">
            <w:pPr>
              <w:spacing w:after="54"/>
              <w:jc w:val="center"/>
            </w:pPr>
            <w:r>
              <w:t>622110</w:t>
            </w:r>
          </w:p>
        </w:tc>
      </w:tr>
      <w:tr w:rsidR="00CA2CEC" w:rsidTr="00B20395">
        <w:trPr>
          <w:cantSplit/>
          <w:jc w:val="center"/>
        </w:trPr>
        <w:tc>
          <w:tcPr>
            <w:tcW w:w="5670" w:type="dxa"/>
            <w:tcBorders>
              <w:top w:val="single" w:sz="7" w:space="0" w:color="000000"/>
              <w:left w:val="single" w:sz="7" w:space="0" w:color="000000"/>
              <w:bottom w:val="single" w:sz="6" w:space="0" w:color="FFFFFF"/>
              <w:right w:val="single" w:sz="6" w:space="0" w:color="FFFFFF"/>
            </w:tcBorders>
          </w:tcPr>
          <w:p w:rsidR="00CA2CEC" w:rsidRDefault="00CA2CEC" w:rsidP="00057E96">
            <w:pPr>
              <w:spacing w:after="73"/>
            </w:pPr>
            <w:r>
              <w:t>Motor and Generator Manufacturing</w:t>
            </w:r>
          </w:p>
        </w:tc>
        <w:tc>
          <w:tcPr>
            <w:tcW w:w="2024"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73"/>
              <w:jc w:val="center"/>
            </w:pPr>
            <w:r>
              <w:t>3621, 7694</w:t>
            </w:r>
          </w:p>
        </w:tc>
        <w:tc>
          <w:tcPr>
            <w:tcW w:w="1800"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73"/>
              <w:jc w:val="center"/>
            </w:pPr>
            <w:r>
              <w:t>335312</w:t>
            </w:r>
          </w:p>
        </w:tc>
      </w:tr>
      <w:tr w:rsidR="00CA2CEC" w:rsidTr="00B20395">
        <w:trPr>
          <w:cantSplit/>
          <w:jc w:val="center"/>
        </w:trPr>
        <w:tc>
          <w:tcPr>
            <w:tcW w:w="5670" w:type="dxa"/>
            <w:tcBorders>
              <w:top w:val="single" w:sz="7" w:space="0" w:color="000000"/>
              <w:left w:val="single" w:sz="7" w:space="0" w:color="000000"/>
              <w:bottom w:val="single" w:sz="6" w:space="0" w:color="FFFFFF"/>
              <w:right w:val="single" w:sz="6" w:space="0" w:color="FFFFFF"/>
            </w:tcBorders>
          </w:tcPr>
          <w:p w:rsidR="00CA2CEC" w:rsidRDefault="00CA2CEC" w:rsidP="00057E96">
            <w:pPr>
              <w:spacing w:after="54"/>
            </w:pPr>
            <w:r>
              <w:t>Pump and Compressor Manufacturing</w:t>
            </w:r>
          </w:p>
        </w:tc>
        <w:tc>
          <w:tcPr>
            <w:tcW w:w="2024"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54"/>
              <w:jc w:val="center"/>
            </w:pPr>
            <w:r>
              <w:t>3561, 3743</w:t>
            </w:r>
          </w:p>
        </w:tc>
        <w:tc>
          <w:tcPr>
            <w:tcW w:w="1800" w:type="dxa"/>
            <w:tcBorders>
              <w:top w:val="single" w:sz="7" w:space="0" w:color="000000"/>
              <w:left w:val="single" w:sz="7" w:space="0" w:color="000000"/>
              <w:bottom w:val="single" w:sz="6" w:space="0" w:color="FFFFFF"/>
              <w:right w:val="single" w:sz="7" w:space="0" w:color="000000"/>
            </w:tcBorders>
          </w:tcPr>
          <w:p w:rsidR="00CA2CEC" w:rsidRDefault="00CA2CEC" w:rsidP="00057E96">
            <w:pPr>
              <w:spacing w:after="54"/>
              <w:jc w:val="center"/>
            </w:pPr>
            <w:r>
              <w:t>33391</w:t>
            </w:r>
          </w:p>
        </w:tc>
      </w:tr>
      <w:tr w:rsidR="00CA2CEC" w:rsidTr="00B20395">
        <w:trPr>
          <w:cantSplit/>
          <w:jc w:val="center"/>
        </w:trPr>
        <w:tc>
          <w:tcPr>
            <w:tcW w:w="5670" w:type="dxa"/>
            <w:tcBorders>
              <w:top w:val="single" w:sz="8" w:space="0" w:color="000000"/>
              <w:left w:val="single" w:sz="8" w:space="0" w:color="000000"/>
              <w:bottom w:val="single" w:sz="8" w:space="0" w:color="000000"/>
              <w:right w:val="single" w:sz="8" w:space="0" w:color="000000"/>
            </w:tcBorders>
          </w:tcPr>
          <w:p w:rsidR="00CA2CEC" w:rsidRDefault="00CA2CEC" w:rsidP="00057E96">
            <w:pPr>
              <w:spacing w:after="54"/>
            </w:pPr>
            <w:r>
              <w:t>Welding and Soldering Equipment Manufacturing</w:t>
            </w:r>
          </w:p>
        </w:tc>
        <w:tc>
          <w:tcPr>
            <w:tcW w:w="2024" w:type="dxa"/>
            <w:tcBorders>
              <w:top w:val="single" w:sz="8" w:space="0" w:color="000000"/>
              <w:left w:val="single" w:sz="8" w:space="0" w:color="000000"/>
              <w:bottom w:val="single" w:sz="8" w:space="0" w:color="000000"/>
              <w:right w:val="single" w:sz="8" w:space="0" w:color="000000"/>
            </w:tcBorders>
          </w:tcPr>
          <w:p w:rsidR="00CA2CEC" w:rsidRDefault="00CA2CEC" w:rsidP="00057E96">
            <w:pPr>
              <w:spacing w:after="54"/>
              <w:jc w:val="center"/>
            </w:pPr>
            <w:r>
              <w:t>3548, 3699</w:t>
            </w:r>
          </w:p>
        </w:tc>
        <w:tc>
          <w:tcPr>
            <w:tcW w:w="1800" w:type="dxa"/>
            <w:tcBorders>
              <w:top w:val="single" w:sz="8" w:space="0" w:color="000000"/>
              <w:left w:val="single" w:sz="8" w:space="0" w:color="000000"/>
              <w:bottom w:val="single" w:sz="8" w:space="0" w:color="000000"/>
              <w:right w:val="single" w:sz="8" w:space="0" w:color="000000"/>
            </w:tcBorders>
          </w:tcPr>
          <w:p w:rsidR="00CA2CEC" w:rsidRDefault="00CA2CEC" w:rsidP="00057E96">
            <w:pPr>
              <w:spacing w:after="54"/>
              <w:jc w:val="center"/>
            </w:pPr>
            <w:r>
              <w:t>333992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CA2CEC">
        <w:t xml:space="preserve">NSPS for </w:t>
      </w:r>
      <w:r w:rsidR="00CA2CEC">
        <w:rPr>
          <w:bCs/>
        </w:rPr>
        <w:t>Stationary Compression Ignition Internal Combustion Engines (40 CFR Part 60, Subpart IIII).</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660"/>
        <w:gridCol w:w="2700"/>
      </w:tblGrid>
      <w:tr w:rsidR="00CA2CEC" w:rsidTr="00057E96">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CA2CEC" w:rsidRDefault="00CA2CEC" w:rsidP="00057E96">
            <w:pPr>
              <w:spacing w:after="58"/>
              <w:jc w:val="center"/>
              <w:rPr>
                <w:b/>
              </w:rPr>
            </w:pPr>
            <w:r>
              <w:rPr>
                <w:b/>
              </w:rPr>
              <w:t>Notifications</w:t>
            </w:r>
          </w:p>
        </w:tc>
      </w:tr>
      <w:tr w:rsidR="00CA2CEC" w:rsidTr="00057E96">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CA2CEC" w:rsidRDefault="00CA2CEC" w:rsidP="00057E96">
            <w:pPr>
              <w:spacing w:after="58"/>
            </w:pPr>
            <w:r>
              <w:t>Initial notification requirements for owners/operators of non-emergency stationary CI ICE greater than 3,000 HP; non-emergency stationary CI ICE with a displacement of greater than 10 liters per cylinder; and non-emergency pre 2007 model year stationary CI ICE greater than 175 HP that are not certified</w:t>
            </w:r>
          </w:p>
        </w:tc>
        <w:tc>
          <w:tcPr>
            <w:tcW w:w="2700" w:type="dxa"/>
            <w:tcBorders>
              <w:top w:val="single" w:sz="7" w:space="0" w:color="000000"/>
              <w:left w:val="single" w:sz="7" w:space="0" w:color="000000"/>
              <w:bottom w:val="single" w:sz="7" w:space="0" w:color="000000"/>
              <w:right w:val="single" w:sz="7" w:space="0" w:color="000000"/>
            </w:tcBorders>
          </w:tcPr>
          <w:p w:rsidR="00CA2CEC" w:rsidRDefault="00CA2CEC" w:rsidP="00057E96">
            <w:pPr>
              <w:spacing w:after="58"/>
            </w:pPr>
            <w:r>
              <w:t>60.7(a)(1), 60.4214(a)(1)</w:t>
            </w:r>
          </w:p>
        </w:tc>
      </w:tr>
    </w:tbl>
    <w:p w:rsidR="00CA2CEC" w:rsidRDefault="00CA2CE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660"/>
        <w:gridCol w:w="2700"/>
      </w:tblGrid>
      <w:tr w:rsidR="00CA2CEC" w:rsidTr="00057E96">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CA2CEC" w:rsidRDefault="00CA2CEC" w:rsidP="00057E96">
            <w:pPr>
              <w:spacing w:after="58"/>
              <w:jc w:val="center"/>
              <w:rPr>
                <w:b/>
              </w:rPr>
            </w:pPr>
            <w:r>
              <w:rPr>
                <w:b/>
              </w:rPr>
              <w:t xml:space="preserve">Recordkeeping </w:t>
            </w:r>
          </w:p>
        </w:tc>
      </w:tr>
      <w:tr w:rsidR="00CA2CEC" w:rsidTr="00057E96">
        <w:trPr>
          <w:cantSplit/>
          <w:jc w:val="center"/>
        </w:trPr>
        <w:tc>
          <w:tcPr>
            <w:tcW w:w="6660" w:type="dxa"/>
            <w:tcBorders>
              <w:top w:val="single" w:sz="7" w:space="0" w:color="000000"/>
              <w:left w:val="single" w:sz="7" w:space="0" w:color="000000"/>
              <w:bottom w:val="single" w:sz="7" w:space="0" w:color="000000"/>
              <w:right w:val="single" w:sz="7" w:space="0" w:color="000000"/>
            </w:tcBorders>
            <w:vAlign w:val="center"/>
          </w:tcPr>
          <w:p w:rsidR="00CA2CEC" w:rsidRDefault="00CA2CEC" w:rsidP="00057E96">
            <w:pPr>
              <w:spacing w:after="58"/>
            </w:pPr>
            <w:r>
              <w:t>Maintain records of notifications and maintenance conducted on the engine for owners/operators of non-emergency stationary CI ICE greater than 3,000 HP; non-emergency stationary CI ICE with a displacement of greater than 10 liters per cylinder; and non-emergency pre-2007 model year stationary CI ICE greater than 175 HP that are not certified.</w:t>
            </w:r>
          </w:p>
        </w:tc>
        <w:tc>
          <w:tcPr>
            <w:tcW w:w="2700" w:type="dxa"/>
            <w:tcBorders>
              <w:top w:val="single" w:sz="7" w:space="0" w:color="000000"/>
              <w:left w:val="single" w:sz="7" w:space="0" w:color="000000"/>
              <w:bottom w:val="single" w:sz="7" w:space="0" w:color="000000"/>
              <w:right w:val="single" w:sz="7" w:space="0" w:color="000000"/>
            </w:tcBorders>
            <w:vAlign w:val="center"/>
          </w:tcPr>
          <w:p w:rsidR="00CA2CEC" w:rsidRDefault="00CA2CEC" w:rsidP="00057E96">
            <w:pPr>
              <w:spacing w:after="58"/>
            </w:pPr>
            <w:r>
              <w:t>60.4214(a)(2)</w:t>
            </w:r>
          </w:p>
        </w:tc>
      </w:tr>
      <w:tr w:rsidR="00CA2CEC" w:rsidTr="00057E96">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CA2CEC" w:rsidRDefault="00CA2CEC" w:rsidP="00057E96">
            <w:pPr>
              <w:spacing w:after="58"/>
            </w:pPr>
            <w:r>
              <w:t>Maintain records of the hours of operation spent for emergency stationary CI ICE and the reason the engine was in operation during that time.</w:t>
            </w:r>
          </w:p>
        </w:tc>
        <w:tc>
          <w:tcPr>
            <w:tcW w:w="2700" w:type="dxa"/>
            <w:tcBorders>
              <w:top w:val="single" w:sz="7" w:space="0" w:color="000000"/>
              <w:left w:val="single" w:sz="7" w:space="0" w:color="000000"/>
              <w:bottom w:val="single" w:sz="7" w:space="0" w:color="000000"/>
              <w:right w:val="single" w:sz="7" w:space="0" w:color="000000"/>
            </w:tcBorders>
            <w:vAlign w:val="center"/>
          </w:tcPr>
          <w:p w:rsidR="00CA2CEC" w:rsidRDefault="00CA2CEC" w:rsidP="00057E96">
            <w:pPr>
              <w:spacing w:after="58"/>
            </w:pPr>
            <w:r>
              <w:t>60.4214(b)</w:t>
            </w:r>
          </w:p>
        </w:tc>
      </w:tr>
      <w:tr w:rsidR="00CA2CEC" w:rsidTr="00057E96">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CA2CEC" w:rsidRDefault="00CA2CEC" w:rsidP="00057E96">
            <w:pPr>
              <w:spacing w:after="58"/>
            </w:pPr>
            <w:r>
              <w:lastRenderedPageBreak/>
              <w:t>Maintain records of any corrective action taken after the backpressure monitor has notified the owner operator that the high backpressure limit of the engine is approached for stationary CI ICE equipped with DPF (no burden is estimated for this requirement since DPF is not required until the year 2011).</w:t>
            </w:r>
          </w:p>
        </w:tc>
        <w:tc>
          <w:tcPr>
            <w:tcW w:w="2700" w:type="dxa"/>
            <w:tcBorders>
              <w:top w:val="single" w:sz="7" w:space="0" w:color="000000"/>
              <w:left w:val="single" w:sz="7" w:space="0" w:color="000000"/>
              <w:bottom w:val="single" w:sz="7" w:space="0" w:color="000000"/>
              <w:right w:val="single" w:sz="7" w:space="0" w:color="000000"/>
            </w:tcBorders>
            <w:vAlign w:val="center"/>
          </w:tcPr>
          <w:p w:rsidR="00CA2CEC" w:rsidRDefault="00CA2CEC" w:rsidP="00057E96">
            <w:pPr>
              <w:spacing w:after="58"/>
            </w:pPr>
            <w:r>
              <w:t>60.4214(c)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E65047" w:rsidTr="00057E96">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E65047" w:rsidRDefault="00E65047" w:rsidP="00057E96">
            <w:pPr>
              <w:spacing w:after="55"/>
              <w:jc w:val="center"/>
              <w:rPr>
                <w:b/>
                <w:bCs/>
              </w:rPr>
            </w:pPr>
            <w:r>
              <w:rPr>
                <w:b/>
                <w:bCs/>
              </w:rPr>
              <w:t>Respondent Activities</w:t>
            </w:r>
          </w:p>
        </w:tc>
      </w:tr>
      <w:tr w:rsidR="00E65047" w:rsidTr="00057E9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E65047" w:rsidRDefault="00E65047" w:rsidP="00057E96">
            <w:pPr>
              <w:spacing w:after="55"/>
              <w:rPr>
                <w:color w:val="000000"/>
              </w:rPr>
            </w:pPr>
            <w:r>
              <w:rPr>
                <w:color w:val="000000"/>
              </w:rPr>
              <w:t>Read instructions.</w:t>
            </w:r>
          </w:p>
        </w:tc>
      </w:tr>
      <w:tr w:rsidR="00E65047" w:rsidTr="00057E9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E65047" w:rsidRDefault="00E65047" w:rsidP="00057E96">
            <w:pPr>
              <w:spacing w:after="55"/>
              <w:rPr>
                <w:color w:val="000000"/>
              </w:rPr>
            </w:pPr>
            <w:r>
              <w:rPr>
                <w:color w:val="000000"/>
              </w:rPr>
              <w:t>Perform initial performance test, Reference Methods, 1, 1A, 3, 3A, 3B, 4, 5, 7E tests, and repeat performance tests if necessary.</w:t>
            </w:r>
          </w:p>
        </w:tc>
      </w:tr>
      <w:tr w:rsidR="00E65047" w:rsidTr="00057E96">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E65047" w:rsidRDefault="00E65047" w:rsidP="00057E96">
            <w:pPr>
              <w:spacing w:after="55"/>
              <w:rPr>
                <w:color w:val="000000"/>
              </w:rPr>
            </w:pPr>
            <w:r>
              <w:rPr>
                <w:color w:val="000000"/>
              </w:rPr>
              <w:t>Write the notifications and reports listed above.</w:t>
            </w:r>
          </w:p>
        </w:tc>
      </w:tr>
      <w:tr w:rsidR="00E65047" w:rsidTr="00057E96">
        <w:trPr>
          <w:cantSplit/>
          <w:jc w:val="center"/>
        </w:trPr>
        <w:tc>
          <w:tcPr>
            <w:tcW w:w="9360" w:type="dxa"/>
            <w:tcBorders>
              <w:top w:val="single" w:sz="4" w:space="0" w:color="auto"/>
              <w:left w:val="single" w:sz="4" w:space="0" w:color="auto"/>
              <w:bottom w:val="single" w:sz="4" w:space="0" w:color="auto"/>
              <w:right w:val="single" w:sz="4" w:space="0" w:color="auto"/>
            </w:tcBorders>
          </w:tcPr>
          <w:p w:rsidR="00E65047" w:rsidRDefault="00E65047" w:rsidP="00057E96">
            <w:pPr>
              <w:spacing w:after="55"/>
              <w:rPr>
                <w:color w:val="000000"/>
              </w:rPr>
            </w:pPr>
            <w:r>
              <w:rPr>
                <w:color w:val="000000"/>
              </w:rPr>
              <w:t>Enter information required to be recorded above.</w:t>
            </w:r>
          </w:p>
        </w:tc>
      </w:tr>
      <w:tr w:rsidR="00E65047" w:rsidTr="00057E9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65047" w:rsidRDefault="00E65047" w:rsidP="00057E96">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E65047" w:rsidTr="00057E9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65047" w:rsidRDefault="00E65047" w:rsidP="00057E96">
            <w:pPr>
              <w:spacing w:after="55"/>
              <w:rPr>
                <w:color w:val="000000"/>
              </w:rPr>
            </w:pPr>
            <w:r>
              <w:rPr>
                <w:color w:val="000000"/>
              </w:rPr>
              <w:t>Develop, acquire, install, and utilize technology and systems for the purpose of processing and maintaining information.</w:t>
            </w:r>
          </w:p>
        </w:tc>
      </w:tr>
      <w:tr w:rsidR="00E65047" w:rsidTr="00057E9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65047" w:rsidRDefault="00E65047" w:rsidP="00057E96">
            <w:pPr>
              <w:spacing w:after="55"/>
              <w:rPr>
                <w:color w:val="000000"/>
              </w:rPr>
            </w:pPr>
            <w:r>
              <w:rPr>
                <w:color w:val="000000"/>
              </w:rPr>
              <w:t>Develop, acquire, install, and utilize technology and systems for the purpose of disclosing and providing information.</w:t>
            </w:r>
          </w:p>
        </w:tc>
      </w:tr>
      <w:tr w:rsidR="00E65047" w:rsidTr="00057E9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65047" w:rsidRDefault="00E65047" w:rsidP="00057E96">
            <w:pPr>
              <w:spacing w:after="55"/>
              <w:rPr>
                <w:color w:val="000000"/>
              </w:rPr>
            </w:pPr>
            <w:r>
              <w:rPr>
                <w:color w:val="000000"/>
              </w:rPr>
              <w:t>Adjust the existing ways to comply with any previously applicable instructions and requirements.</w:t>
            </w:r>
          </w:p>
        </w:tc>
      </w:tr>
      <w:tr w:rsidR="00E65047" w:rsidTr="00057E9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65047" w:rsidRDefault="00E65047" w:rsidP="00057E96">
            <w:pPr>
              <w:spacing w:after="55"/>
              <w:rPr>
                <w:color w:val="000000"/>
              </w:rPr>
            </w:pPr>
            <w:r>
              <w:rPr>
                <w:color w:val="000000"/>
              </w:rPr>
              <w:t>Train personnel to be able to respond to a collection of information.</w:t>
            </w:r>
          </w:p>
        </w:tc>
      </w:tr>
      <w:tr w:rsidR="00E65047" w:rsidTr="00057E96">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E65047" w:rsidRDefault="00E65047" w:rsidP="00057E96">
            <w:pPr>
              <w:spacing w:after="55"/>
            </w:pPr>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E65047" w:rsidP="00E65047">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w:t>
      </w:r>
      <w:r w:rsidRPr="00FE2B0F">
        <w:lastRenderedPageBreak/>
        <w:t>reduced the burden associated with monitoring and recordkeeping.</w:t>
      </w:r>
    </w:p>
    <w:p w:rsidR="00E65047" w:rsidRDefault="00E6504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751DE3">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65047" w:rsidRDefault="00CA4CD6">
      <w:pPr>
        <w:pBdr>
          <w:top w:val="single" w:sz="6" w:space="0" w:color="FFFFFF"/>
          <w:left w:val="single" w:sz="6" w:space="0" w:color="FFFFFF"/>
          <w:bottom w:val="single" w:sz="6" w:space="0" w:color="FFFFFF"/>
          <w:right w:val="single" w:sz="6" w:space="0" w:color="FFFFFF"/>
        </w:pBdr>
        <w:ind w:firstLine="720"/>
      </w:pPr>
      <w:r w:rsidRPr="00E65047">
        <w:t xml:space="preserve">Following notification of startup, the reviewing authority </w:t>
      </w:r>
      <w:r w:rsidR="002B29A7" w:rsidRPr="00E65047">
        <w:t xml:space="preserve">could </w:t>
      </w:r>
      <w:r w:rsidRPr="00E65047">
        <w:t xml:space="preserve">inspect the source to determine whether the pollution control devices are properly installed and operated. </w:t>
      </w:r>
      <w:r w:rsidR="00057E96">
        <w:t xml:space="preserve"> </w:t>
      </w:r>
      <w:r w:rsidRPr="00E65047">
        <w:t>Performance test reports are used by the Agency to discern a source</w:t>
      </w:r>
      <w:r w:rsidR="004C701D" w:rsidRPr="00E65047">
        <w:t>’</w:t>
      </w:r>
      <w:r w:rsidRPr="00E65047">
        <w:t>s initial capability to comply with the emission standard</w:t>
      </w:r>
      <w:r w:rsidR="00057E96">
        <w:t xml:space="preserve">, and </w:t>
      </w:r>
      <w:r w:rsidRPr="00E65047">
        <w:t xml:space="preserve">note the operating conditions under which compliance was achieved.  Data and records maintained by the respondents are tabulated and published for use in compliance and enforcement programs.  The </w:t>
      </w:r>
      <w:r w:rsidR="00E65047" w:rsidRPr="00E65047">
        <w:t xml:space="preserve">annual </w:t>
      </w:r>
      <w:r w:rsidRPr="00E65047">
        <w:t>reports are used for problem identification, as a check on source operation and maintenance, and for compliance determinations.</w:t>
      </w:r>
      <w:r w:rsidR="00057E96">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65047">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F0512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the impact on small entities (i.e., small businesses) was taken into consideration during the development of the regulation. </w:t>
      </w:r>
      <w:r w:rsidR="00057E96">
        <w:rPr>
          <w:color w:val="000000"/>
        </w:rPr>
        <w:t xml:space="preserve"> </w:t>
      </w:r>
      <w:r>
        <w:rPr>
          <w:color w:val="000000"/>
        </w:rPr>
        <w:t xml:space="preserve">Due to technical considerations involving the process operations </w:t>
      </w:r>
      <w:r>
        <w:rPr>
          <w:color w:val="000000"/>
        </w:rPr>
        <w:lastRenderedPageBreak/>
        <w:t xml:space="preserve">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E65047">
        <w:t xml:space="preserve">Annual Respondent Burden and Cost - NSPS for </w:t>
      </w:r>
      <w:r w:rsidR="00E65047">
        <w:rPr>
          <w:bCs/>
        </w:rPr>
        <w:t>Stationary</w:t>
      </w:r>
      <w:r w:rsidR="00057E96">
        <w:rPr>
          <w:bCs/>
        </w:rPr>
        <w:t xml:space="preserve"> Source</w:t>
      </w:r>
      <w:r w:rsidR="00E65047">
        <w:rPr>
          <w:bCs/>
        </w:rPr>
        <w:t xml:space="preserve"> Compression Ignition Internal Combustion Engines (40 CFR Part 60, Subpart IIII)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751DE3">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w:t>
      </w:r>
      <w:r w:rsidR="00457D10">
        <w:rPr>
          <w:color w:val="000000"/>
        </w:rPr>
        <w:t xml:space="preserve">below </w:t>
      </w:r>
      <w:r>
        <w:rPr>
          <w:color w:val="000000"/>
        </w:rPr>
        <w:t>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2D78CE">
        <w:rPr>
          <w:color w:val="000000"/>
        </w:rPr>
        <w:t xml:space="preserve">ver </w:t>
      </w:r>
      <w:r>
        <w:rPr>
          <w:color w:val="000000"/>
        </w:rPr>
        <w:t>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457D10">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457D10">
        <w:rPr>
          <w:color w:val="000000"/>
        </w:rPr>
        <w:t>-</w:t>
      </w:r>
      <w:r>
        <w:rPr>
          <w:color w:val="000000"/>
        </w:rPr>
        <w:t>keeping and reporting requirement</w:t>
      </w:r>
      <w:r w:rsidR="004C701D">
        <w:rPr>
          <w:color w:val="000000"/>
        </w:rPr>
        <w:t>s is estimated to be</w:t>
      </w:r>
      <w:r w:rsidR="00B20395">
        <w:rPr>
          <w:color w:val="000000"/>
        </w:rPr>
        <w:t xml:space="preserve"> </w:t>
      </w:r>
      <w:r w:rsidR="00E65047">
        <w:rPr>
          <w:color w:val="000000"/>
        </w:rPr>
        <w:t>193,70</w:t>
      </w:r>
      <w:r w:rsidR="00486E6D">
        <w:rPr>
          <w:color w:val="000000"/>
        </w:rPr>
        <w:t>7</w:t>
      </w:r>
      <w:r w:rsidR="004C701D">
        <w:rPr>
          <w:color w:val="000000"/>
        </w:rPr>
        <w:t xml:space="preserve"> (</w:t>
      </w:r>
      <w:r>
        <w:rPr>
          <w:color w:val="000000"/>
        </w:rPr>
        <w:t xml:space="preserve">Total Labor Hours from </w:t>
      </w:r>
      <w:r w:rsidR="00457D10">
        <w:rPr>
          <w:color w:val="000000"/>
        </w:rPr>
        <w:t xml:space="preserve">      </w:t>
      </w:r>
      <w:r>
        <w:rPr>
          <w:color w:val="000000"/>
        </w:rPr>
        <w:t>Table 1</w:t>
      </w:r>
      <w:r w:rsidR="00457D10">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w:t>
      </w:r>
      <w:r w:rsidR="00457D10">
        <w:rPr>
          <w:color w:val="000000"/>
        </w:rPr>
        <w:t xml:space="preserve">   </w:t>
      </w:r>
      <w:r w:rsidR="00EC3BDF">
        <w:rPr>
          <w:color w:val="000000"/>
        </w:rPr>
        <w:t xml:space="preserve"> </w:t>
      </w:r>
      <w:r w:rsidR="004C701D">
        <w:rPr>
          <w:color w:val="000000"/>
        </w:rPr>
        <w:t xml:space="preserve">the development of the </w:t>
      </w:r>
      <w:r>
        <w:rPr>
          <w:color w:val="000000"/>
        </w:rPr>
        <w:t xml:space="preserve">regulation, Agency knowledge and experience with the </w:t>
      </w:r>
      <w:r w:rsidRPr="00E65047">
        <w:t>NSPS</w:t>
      </w:r>
      <w:r>
        <w:rPr>
          <w:color w:val="000000"/>
        </w:rPr>
        <w:t xml:space="preserve"> program, </w:t>
      </w:r>
      <w:r w:rsidR="00457D10">
        <w:rPr>
          <w:color w:val="000000"/>
        </w:rPr>
        <w:t xml:space="preserve">    </w:t>
      </w:r>
      <w:r>
        <w:rPr>
          <w:color w:val="000000"/>
        </w:rPr>
        <w:t>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751DE3">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42</w:t>
      </w:r>
      <w:r>
        <w:rPr>
          <w:color w:val="000000"/>
        </w:rPr>
        <w:t xml:space="preserve"> ($5</w:t>
      </w:r>
      <w:r w:rsidR="00861489">
        <w:rPr>
          <w:color w:val="000000"/>
        </w:rPr>
        <w:t>7</w:t>
      </w:r>
      <w:r w:rsidR="004F6FCD">
        <w:rPr>
          <w:color w:val="000000"/>
        </w:rPr>
        <w:t>.</w:t>
      </w:r>
      <w:r w:rsidR="00861489">
        <w:rPr>
          <w:color w:val="000000"/>
        </w:rPr>
        <w:t>82</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61489">
        <w:rPr>
          <w:color w:val="000000"/>
        </w:rPr>
        <w:t>99.14</w:t>
      </w:r>
      <w:r>
        <w:rPr>
          <w:color w:val="000000"/>
        </w:rPr>
        <w:t xml:space="preserve"> ($4</w:t>
      </w:r>
      <w:r w:rsidR="00861489">
        <w:rPr>
          <w:color w:val="000000"/>
        </w:rPr>
        <w:t>7</w:t>
      </w:r>
      <w:r>
        <w:rPr>
          <w:color w:val="000000"/>
        </w:rPr>
        <w:t>.</w:t>
      </w:r>
      <w:r w:rsidR="00861489">
        <w:rPr>
          <w:color w:val="000000"/>
        </w:rPr>
        <w:t>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w:t>
      </w:r>
      <w:r w:rsidR="00861489">
        <w:rPr>
          <w:color w:val="000000"/>
        </w:rPr>
        <w:t>9</w:t>
      </w:r>
      <w:r>
        <w:rPr>
          <w:color w:val="000000"/>
        </w:rPr>
        <w:t>.</w:t>
      </w:r>
      <w:r w:rsidR="00861489">
        <w:rPr>
          <w:color w:val="000000"/>
        </w:rPr>
        <w:t>81</w:t>
      </w:r>
      <w:r>
        <w:rPr>
          <w:color w:val="000000"/>
        </w:rPr>
        <w:t xml:space="preserve"> ($2</w:t>
      </w:r>
      <w:r w:rsidR="00E32EDA">
        <w:rPr>
          <w:color w:val="000000"/>
        </w:rPr>
        <w:t>3</w:t>
      </w:r>
      <w:r>
        <w:rPr>
          <w:color w:val="000000"/>
        </w:rPr>
        <w:t>.</w:t>
      </w:r>
      <w:r w:rsidR="00861489">
        <w:rPr>
          <w:color w:val="000000"/>
        </w:rPr>
        <w:t>7</w:t>
      </w:r>
      <w:r w:rsidR="008F4564">
        <w:rPr>
          <w:color w:val="000000"/>
        </w:rPr>
        <w:t>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61489">
        <w:rPr>
          <w:color w:val="000000"/>
        </w:rPr>
        <w:t>September 2011</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rsidP="00751D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Estimating Capital/Startup and Operation and Maintenance Costs</w:t>
      </w:r>
    </w:p>
    <w:p w:rsidR="00E65047" w:rsidRDefault="00E6504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CE131F">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tblPr>
      <w:tblGrid>
        <w:gridCol w:w="1890"/>
        <w:gridCol w:w="1260"/>
        <w:gridCol w:w="1260"/>
        <w:gridCol w:w="1260"/>
        <w:gridCol w:w="1350"/>
        <w:gridCol w:w="1260"/>
        <w:gridCol w:w="1080"/>
      </w:tblGrid>
      <w:tr w:rsidR="00E65047" w:rsidTr="00057E96">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E65047" w:rsidRDefault="00E65047" w:rsidP="00057E96">
            <w:pPr>
              <w:spacing w:after="52" w:line="248" w:lineRule="auto"/>
              <w:jc w:val="center"/>
              <w:rPr>
                <w:b/>
                <w:bCs/>
              </w:rPr>
            </w:pPr>
            <w:r>
              <w:rPr>
                <w:b/>
                <w:bCs/>
              </w:rPr>
              <w:t>Capital/Startup vs. Operation and Maintenance (O&amp;M) Costs</w:t>
            </w:r>
          </w:p>
        </w:tc>
      </w:tr>
      <w:tr w:rsidR="00E65047" w:rsidTr="00057E96">
        <w:trPr>
          <w:cantSplit/>
          <w:tblHeader/>
          <w:jc w:val="center"/>
        </w:trPr>
        <w:tc>
          <w:tcPr>
            <w:tcW w:w="189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line="247" w:lineRule="auto"/>
              <w:jc w:val="center"/>
              <w:rPr>
                <w:sz w:val="20"/>
                <w:szCs w:val="20"/>
              </w:rPr>
            </w:pPr>
            <w:r>
              <w:rPr>
                <w:sz w:val="20"/>
                <w:szCs w:val="20"/>
              </w:rPr>
              <w:t>(A)</w:t>
            </w:r>
          </w:p>
          <w:p w:rsidR="00E65047" w:rsidRDefault="00E65047" w:rsidP="00057E96">
            <w:pPr>
              <w:spacing w:after="52" w:line="247" w:lineRule="auto"/>
              <w:jc w:val="center"/>
              <w:rPr>
                <w:sz w:val="20"/>
                <w:szCs w:val="20"/>
              </w:rPr>
            </w:pPr>
            <w:r>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line="247" w:lineRule="auto"/>
              <w:jc w:val="center"/>
              <w:rPr>
                <w:sz w:val="20"/>
                <w:szCs w:val="20"/>
              </w:rPr>
            </w:pPr>
            <w:r>
              <w:rPr>
                <w:sz w:val="20"/>
                <w:szCs w:val="20"/>
              </w:rPr>
              <w:t>(B)</w:t>
            </w:r>
          </w:p>
          <w:p w:rsidR="00E65047" w:rsidRDefault="00E65047" w:rsidP="00057E96">
            <w:pPr>
              <w:spacing w:after="52" w:line="247" w:lineRule="auto"/>
              <w:jc w:val="center"/>
              <w:rPr>
                <w:sz w:val="20"/>
                <w:szCs w:val="20"/>
              </w:rPr>
            </w:pPr>
            <w:r>
              <w:rPr>
                <w:sz w:val="20"/>
                <w:szCs w:val="20"/>
              </w:rPr>
              <w:t>Capital/</w:t>
            </w:r>
          </w:p>
          <w:p w:rsidR="00E65047" w:rsidRDefault="00E65047" w:rsidP="00057E96">
            <w:pPr>
              <w:spacing w:after="52" w:line="247" w:lineRule="auto"/>
              <w:jc w:val="center"/>
              <w:rPr>
                <w:sz w:val="20"/>
                <w:szCs w:val="20"/>
              </w:rPr>
            </w:pPr>
            <w:r>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line="247" w:lineRule="auto"/>
              <w:jc w:val="center"/>
              <w:rPr>
                <w:sz w:val="20"/>
                <w:szCs w:val="20"/>
              </w:rPr>
            </w:pPr>
            <w:r>
              <w:rPr>
                <w:sz w:val="20"/>
                <w:szCs w:val="20"/>
              </w:rPr>
              <w:t>(C)</w:t>
            </w:r>
          </w:p>
          <w:p w:rsidR="00E65047" w:rsidRDefault="00E65047" w:rsidP="00057E96">
            <w:pPr>
              <w:spacing w:after="52" w:line="247" w:lineRule="auto"/>
              <w:jc w:val="center"/>
              <w:rPr>
                <w:sz w:val="20"/>
                <w:szCs w:val="20"/>
              </w:rPr>
            </w:pPr>
            <w:r>
              <w:rPr>
                <w:sz w:val="20"/>
                <w:szCs w:val="20"/>
              </w:rPr>
              <w:t xml:space="preserve">Number of New Respondents </w:t>
            </w:r>
          </w:p>
        </w:tc>
        <w:tc>
          <w:tcPr>
            <w:tcW w:w="126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line="247" w:lineRule="auto"/>
              <w:jc w:val="center"/>
              <w:rPr>
                <w:sz w:val="20"/>
                <w:szCs w:val="20"/>
              </w:rPr>
            </w:pPr>
            <w:r>
              <w:rPr>
                <w:sz w:val="20"/>
                <w:szCs w:val="20"/>
              </w:rPr>
              <w:t>(D)</w:t>
            </w:r>
          </w:p>
          <w:p w:rsidR="00E65047" w:rsidRDefault="00E65047" w:rsidP="00057E96">
            <w:pPr>
              <w:spacing w:line="247" w:lineRule="auto"/>
              <w:jc w:val="center"/>
              <w:rPr>
                <w:sz w:val="20"/>
                <w:szCs w:val="20"/>
              </w:rPr>
            </w:pPr>
            <w:r>
              <w:rPr>
                <w:sz w:val="20"/>
                <w:szCs w:val="20"/>
              </w:rPr>
              <w:t xml:space="preserve">Total </w:t>
            </w:r>
          </w:p>
          <w:p w:rsidR="00E65047" w:rsidRDefault="00E65047" w:rsidP="00057E96">
            <w:pPr>
              <w:spacing w:line="247" w:lineRule="auto"/>
              <w:jc w:val="center"/>
              <w:rPr>
                <w:sz w:val="20"/>
                <w:szCs w:val="20"/>
              </w:rPr>
            </w:pPr>
            <w:r>
              <w:rPr>
                <w:sz w:val="20"/>
                <w:szCs w:val="20"/>
              </w:rPr>
              <w:t>Capital/</w:t>
            </w:r>
          </w:p>
          <w:p w:rsidR="00E65047" w:rsidRDefault="00E65047" w:rsidP="00057E96">
            <w:pPr>
              <w:spacing w:line="247" w:lineRule="auto"/>
              <w:jc w:val="center"/>
              <w:rPr>
                <w:sz w:val="20"/>
                <w:szCs w:val="20"/>
              </w:rPr>
            </w:pPr>
            <w:r>
              <w:rPr>
                <w:sz w:val="20"/>
                <w:szCs w:val="20"/>
              </w:rPr>
              <w:t xml:space="preserve">Startup Cost </w:t>
            </w:r>
          </w:p>
          <w:p w:rsidR="00E65047" w:rsidRDefault="00E65047" w:rsidP="00057E96">
            <w:pPr>
              <w:spacing w:line="247" w:lineRule="auto"/>
              <w:jc w:val="center"/>
              <w:rPr>
                <w:sz w:val="20"/>
                <w:szCs w:val="20"/>
              </w:rPr>
            </w:pPr>
            <w:r>
              <w:rPr>
                <w:sz w:val="20"/>
                <w:szCs w:val="20"/>
              </w:rPr>
              <w:t>(B X C)</w:t>
            </w:r>
            <w:r w:rsidR="00486E6D" w:rsidRPr="00486E6D">
              <w:rPr>
                <w:sz w:val="20"/>
                <w:szCs w:val="20"/>
                <w:vertAlign w:val="superscript"/>
              </w:rPr>
              <w:t>1</w:t>
            </w:r>
          </w:p>
        </w:tc>
        <w:tc>
          <w:tcPr>
            <w:tcW w:w="135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line="247" w:lineRule="auto"/>
              <w:jc w:val="center"/>
              <w:rPr>
                <w:sz w:val="20"/>
                <w:szCs w:val="20"/>
              </w:rPr>
            </w:pPr>
            <w:r>
              <w:rPr>
                <w:sz w:val="20"/>
                <w:szCs w:val="20"/>
              </w:rPr>
              <w:t>(E)</w:t>
            </w:r>
          </w:p>
          <w:p w:rsidR="00E65047" w:rsidRDefault="00E65047" w:rsidP="00057E96">
            <w:pPr>
              <w:spacing w:after="52" w:line="247" w:lineRule="auto"/>
              <w:jc w:val="center"/>
              <w:rPr>
                <w:sz w:val="20"/>
                <w:szCs w:val="20"/>
              </w:rPr>
            </w:pPr>
            <w:r>
              <w:rPr>
                <w:sz w:val="20"/>
                <w:szCs w:val="20"/>
              </w:rPr>
              <w:t>Annual O&amp;M Costs for One Respondent</w:t>
            </w:r>
            <w:r w:rsidR="00486E6D" w:rsidRPr="00486E6D">
              <w:rPr>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line="247" w:lineRule="auto"/>
              <w:jc w:val="center"/>
              <w:rPr>
                <w:sz w:val="20"/>
                <w:szCs w:val="20"/>
              </w:rPr>
            </w:pPr>
            <w:r>
              <w:rPr>
                <w:sz w:val="20"/>
                <w:szCs w:val="20"/>
              </w:rPr>
              <w:t>(F)</w:t>
            </w:r>
          </w:p>
          <w:p w:rsidR="00E65047" w:rsidRDefault="00E65047" w:rsidP="00057E96">
            <w:pPr>
              <w:spacing w:after="52" w:line="247" w:lineRule="auto"/>
              <w:jc w:val="center"/>
              <w:rPr>
                <w:sz w:val="20"/>
                <w:szCs w:val="20"/>
              </w:rPr>
            </w:pPr>
            <w:r>
              <w:rPr>
                <w:sz w:val="20"/>
                <w:szCs w:val="20"/>
              </w:rPr>
              <w:t xml:space="preserve">Number of Respondents with O&amp;M </w:t>
            </w:r>
          </w:p>
        </w:tc>
        <w:tc>
          <w:tcPr>
            <w:tcW w:w="1080" w:type="dxa"/>
            <w:tcBorders>
              <w:top w:val="single" w:sz="7" w:space="0" w:color="000000"/>
              <w:left w:val="single" w:sz="7" w:space="0" w:color="000000"/>
              <w:bottom w:val="single" w:sz="6" w:space="0" w:color="FFFFFF"/>
              <w:right w:val="single" w:sz="7" w:space="0" w:color="000000"/>
            </w:tcBorders>
          </w:tcPr>
          <w:p w:rsidR="00E65047" w:rsidRDefault="00E65047" w:rsidP="00057E96">
            <w:pPr>
              <w:spacing w:line="247" w:lineRule="auto"/>
              <w:jc w:val="center"/>
              <w:rPr>
                <w:sz w:val="20"/>
                <w:szCs w:val="20"/>
              </w:rPr>
            </w:pPr>
            <w:r>
              <w:rPr>
                <w:sz w:val="20"/>
                <w:szCs w:val="20"/>
              </w:rPr>
              <w:t>(G)</w:t>
            </w:r>
          </w:p>
          <w:p w:rsidR="00E65047" w:rsidRDefault="00E65047" w:rsidP="00057E96">
            <w:pPr>
              <w:spacing w:line="247" w:lineRule="auto"/>
              <w:jc w:val="center"/>
              <w:rPr>
                <w:sz w:val="20"/>
                <w:szCs w:val="20"/>
              </w:rPr>
            </w:pPr>
            <w:r>
              <w:rPr>
                <w:sz w:val="20"/>
                <w:szCs w:val="20"/>
              </w:rPr>
              <w:t>Total O&amp;M,</w:t>
            </w:r>
          </w:p>
          <w:p w:rsidR="00E65047" w:rsidRDefault="00E65047" w:rsidP="00057E96">
            <w:pPr>
              <w:spacing w:after="52" w:line="247" w:lineRule="auto"/>
              <w:jc w:val="center"/>
              <w:rPr>
                <w:sz w:val="20"/>
                <w:szCs w:val="20"/>
              </w:rPr>
            </w:pPr>
            <w:r>
              <w:rPr>
                <w:sz w:val="20"/>
                <w:szCs w:val="20"/>
              </w:rPr>
              <w:t>(E X F)</w:t>
            </w:r>
          </w:p>
        </w:tc>
      </w:tr>
      <w:tr w:rsidR="00E65047" w:rsidTr="00057E96">
        <w:trPr>
          <w:cantSplit/>
          <w:jc w:val="center"/>
        </w:trPr>
        <w:tc>
          <w:tcPr>
            <w:tcW w:w="189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after="52" w:line="247" w:lineRule="auto"/>
              <w:rPr>
                <w:sz w:val="20"/>
                <w:szCs w:val="20"/>
              </w:rPr>
            </w:pPr>
            <w:r>
              <w:rPr>
                <w:sz w:val="20"/>
                <w:szCs w:val="20"/>
              </w:rPr>
              <w:t>Certification/</w:t>
            </w:r>
          </w:p>
          <w:p w:rsidR="00E65047" w:rsidRDefault="00E65047" w:rsidP="00057E96">
            <w:pPr>
              <w:spacing w:after="52" w:line="247" w:lineRule="auto"/>
              <w:rPr>
                <w:sz w:val="20"/>
                <w:szCs w:val="20"/>
              </w:rPr>
            </w:pPr>
            <w:r>
              <w:rPr>
                <w:sz w:val="20"/>
                <w:szCs w:val="20"/>
              </w:rPr>
              <w:t>Durability Testing</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$28.40</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Pr="00C11ED3" w:rsidRDefault="00E65047" w:rsidP="00057E96">
            <w:pPr>
              <w:spacing w:after="52" w:line="247" w:lineRule="auto"/>
              <w:jc w:val="center"/>
              <w:rPr>
                <w:sz w:val="20"/>
                <w:szCs w:val="20"/>
              </w:rPr>
            </w:pPr>
            <w:r w:rsidRPr="00C11ED3">
              <w:rPr>
                <w:sz w:val="20"/>
                <w:szCs w:val="20"/>
              </w:rPr>
              <w:t>5,880</w:t>
            </w:r>
          </w:p>
        </w:tc>
        <w:tc>
          <w:tcPr>
            <w:tcW w:w="1080" w:type="dxa"/>
            <w:tcBorders>
              <w:top w:val="single" w:sz="7" w:space="0" w:color="000000"/>
              <w:left w:val="single" w:sz="7" w:space="0" w:color="000000"/>
              <w:bottom w:val="single" w:sz="6" w:space="0" w:color="FFFFFF"/>
              <w:right w:val="single" w:sz="7" w:space="0" w:color="000000"/>
            </w:tcBorders>
            <w:vAlign w:val="center"/>
          </w:tcPr>
          <w:p w:rsidR="00E65047" w:rsidRPr="00C11ED3" w:rsidRDefault="00E65047" w:rsidP="00057E96">
            <w:pPr>
              <w:spacing w:after="52" w:line="247" w:lineRule="auto"/>
              <w:jc w:val="center"/>
              <w:rPr>
                <w:sz w:val="20"/>
                <w:szCs w:val="20"/>
              </w:rPr>
            </w:pPr>
            <w:r w:rsidRPr="00C11ED3">
              <w:rPr>
                <w:sz w:val="20"/>
                <w:szCs w:val="20"/>
              </w:rPr>
              <w:t>$166,992</w:t>
            </w:r>
          </w:p>
        </w:tc>
      </w:tr>
      <w:tr w:rsidR="00E65047" w:rsidTr="00057E96">
        <w:trPr>
          <w:cantSplit/>
          <w:jc w:val="center"/>
        </w:trPr>
        <w:tc>
          <w:tcPr>
            <w:tcW w:w="1890" w:type="dxa"/>
            <w:tcBorders>
              <w:top w:val="single" w:sz="7" w:space="0" w:color="000000"/>
              <w:left w:val="single" w:sz="7" w:space="0" w:color="000000"/>
              <w:bottom w:val="single" w:sz="6" w:space="0" w:color="FFFFFF"/>
              <w:right w:val="single" w:sz="6" w:space="0" w:color="FFFFFF"/>
            </w:tcBorders>
          </w:tcPr>
          <w:p w:rsidR="00E65047" w:rsidRDefault="00E65047" w:rsidP="00057E96">
            <w:pPr>
              <w:spacing w:after="52" w:line="247" w:lineRule="auto"/>
              <w:rPr>
                <w:sz w:val="20"/>
                <w:szCs w:val="20"/>
              </w:rPr>
            </w:pPr>
            <w:r>
              <w:rPr>
                <w:sz w:val="20"/>
                <w:szCs w:val="20"/>
              </w:rPr>
              <w:t>Selective Enforcement Audits</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E65047" w:rsidRDefault="00E65047" w:rsidP="00057E96">
            <w:pPr>
              <w:spacing w:after="52" w:line="247" w:lineRule="auto"/>
              <w:jc w:val="center"/>
              <w:rPr>
                <w:sz w:val="20"/>
                <w:szCs w:val="20"/>
              </w:rPr>
            </w:pPr>
            <w:r>
              <w:rPr>
                <w:sz w:val="20"/>
                <w:szCs w:val="20"/>
              </w:rPr>
              <w:t>$375.50</w:t>
            </w:r>
          </w:p>
        </w:tc>
        <w:tc>
          <w:tcPr>
            <w:tcW w:w="1260" w:type="dxa"/>
            <w:tcBorders>
              <w:top w:val="single" w:sz="7" w:space="0" w:color="000000"/>
              <w:left w:val="single" w:sz="7" w:space="0" w:color="000000"/>
              <w:bottom w:val="single" w:sz="6" w:space="0" w:color="FFFFFF"/>
              <w:right w:val="single" w:sz="6" w:space="0" w:color="FFFFFF"/>
            </w:tcBorders>
            <w:vAlign w:val="center"/>
          </w:tcPr>
          <w:p w:rsidR="00E65047" w:rsidRPr="00C11ED3" w:rsidRDefault="00E65047" w:rsidP="00057E96">
            <w:pPr>
              <w:spacing w:after="52" w:line="247" w:lineRule="auto"/>
              <w:jc w:val="center"/>
              <w:rPr>
                <w:sz w:val="20"/>
                <w:szCs w:val="20"/>
              </w:rPr>
            </w:pPr>
            <w:r w:rsidRPr="00C11ED3">
              <w:rPr>
                <w:sz w:val="20"/>
                <w:szCs w:val="20"/>
              </w:rPr>
              <w:t>200</w:t>
            </w:r>
          </w:p>
        </w:tc>
        <w:tc>
          <w:tcPr>
            <w:tcW w:w="1080" w:type="dxa"/>
            <w:tcBorders>
              <w:top w:val="single" w:sz="7" w:space="0" w:color="000000"/>
              <w:left w:val="single" w:sz="7" w:space="0" w:color="000000"/>
              <w:bottom w:val="single" w:sz="6" w:space="0" w:color="FFFFFF"/>
              <w:right w:val="single" w:sz="7" w:space="0" w:color="000000"/>
            </w:tcBorders>
            <w:vAlign w:val="center"/>
          </w:tcPr>
          <w:p w:rsidR="00E65047" w:rsidRPr="00C11ED3" w:rsidRDefault="00E65047" w:rsidP="00057E96">
            <w:pPr>
              <w:spacing w:after="52" w:line="247" w:lineRule="auto"/>
              <w:jc w:val="center"/>
              <w:rPr>
                <w:sz w:val="20"/>
                <w:szCs w:val="20"/>
              </w:rPr>
            </w:pPr>
            <w:r w:rsidRPr="00C11ED3">
              <w:rPr>
                <w:sz w:val="20"/>
                <w:szCs w:val="20"/>
              </w:rPr>
              <w:t>$75,100</w:t>
            </w:r>
          </w:p>
        </w:tc>
      </w:tr>
      <w:tr w:rsidR="00E65047" w:rsidTr="00057E96">
        <w:trPr>
          <w:cantSplit/>
          <w:jc w:val="center"/>
        </w:trPr>
        <w:tc>
          <w:tcPr>
            <w:tcW w:w="1890" w:type="dxa"/>
            <w:tcBorders>
              <w:top w:val="single" w:sz="7" w:space="0" w:color="000000"/>
              <w:left w:val="single" w:sz="7" w:space="0" w:color="000000"/>
              <w:bottom w:val="single" w:sz="7" w:space="0" w:color="000000"/>
              <w:right w:val="single" w:sz="6" w:space="0" w:color="FFFFFF"/>
            </w:tcBorders>
          </w:tcPr>
          <w:p w:rsidR="00E65047" w:rsidRDefault="00E65047" w:rsidP="00057E9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E65047" w:rsidRDefault="00E65047" w:rsidP="00057E9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E65047" w:rsidRDefault="00E65047" w:rsidP="00057E9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E65047" w:rsidRDefault="00E65047" w:rsidP="00057E96">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E65047" w:rsidRDefault="00E65047" w:rsidP="00057E9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E65047" w:rsidRPr="00C11ED3" w:rsidRDefault="00E65047" w:rsidP="00057E96">
            <w:pPr>
              <w:spacing w:after="52" w:line="247" w:lineRule="auto"/>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65047" w:rsidRPr="00C11ED3" w:rsidRDefault="00E65047" w:rsidP="00057E96">
            <w:pPr>
              <w:spacing w:after="52" w:line="247" w:lineRule="auto"/>
              <w:jc w:val="center"/>
              <w:rPr>
                <w:sz w:val="20"/>
                <w:szCs w:val="20"/>
              </w:rPr>
            </w:pPr>
            <w:r w:rsidRPr="00C11ED3">
              <w:rPr>
                <w:sz w:val="20"/>
                <w:szCs w:val="20"/>
              </w:rPr>
              <w:t>$242,092</w:t>
            </w:r>
          </w:p>
        </w:tc>
      </w:tr>
    </w:tbl>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sidR="00486E6D" w:rsidRPr="00486E6D">
        <w:rPr>
          <w:color w:val="000000"/>
          <w:sz w:val="20"/>
          <w:szCs w:val="20"/>
          <w:vertAlign w:val="superscript"/>
        </w:rPr>
        <w:t>1</w:t>
      </w:r>
      <w:r w:rsidR="00486E6D" w:rsidRPr="00486E6D">
        <w:rPr>
          <w:color w:val="000000"/>
          <w:sz w:val="20"/>
          <w:szCs w:val="20"/>
        </w:rPr>
        <w:t xml:space="preserve">Capital costs </w:t>
      </w:r>
      <w:r w:rsidR="00486E6D">
        <w:rPr>
          <w:color w:val="000000"/>
          <w:sz w:val="20"/>
          <w:szCs w:val="20"/>
        </w:rPr>
        <w:t xml:space="preserve">and additional O&amp;M costs </w:t>
      </w:r>
      <w:r w:rsidR="00486E6D" w:rsidRPr="00486E6D">
        <w:rPr>
          <w:color w:val="000000"/>
          <w:sz w:val="20"/>
          <w:szCs w:val="20"/>
        </w:rPr>
        <w:t xml:space="preserve">will be incurred as a result of the </w:t>
      </w:r>
      <w:r w:rsidR="003163F7">
        <w:rPr>
          <w:color w:val="000000"/>
          <w:sz w:val="20"/>
          <w:szCs w:val="20"/>
        </w:rPr>
        <w:t xml:space="preserve">June 2011 </w:t>
      </w:r>
      <w:r w:rsidR="00486E6D" w:rsidRPr="00486E6D">
        <w:rPr>
          <w:color w:val="000000"/>
          <w:sz w:val="20"/>
          <w:szCs w:val="20"/>
        </w:rPr>
        <w:t xml:space="preserve">amendment. However, these costs are not expected to be incurred until the amendment </w:t>
      </w:r>
      <w:r w:rsidR="009C512F">
        <w:rPr>
          <w:color w:val="000000"/>
          <w:sz w:val="20"/>
          <w:szCs w:val="20"/>
        </w:rPr>
        <w:t>is</w:t>
      </w:r>
      <w:r w:rsidR="00486E6D" w:rsidRPr="00486E6D">
        <w:rPr>
          <w:color w:val="000000"/>
          <w:sz w:val="20"/>
          <w:szCs w:val="20"/>
        </w:rPr>
        <w:t xml:space="preserve"> fully implemented in 2018.</w:t>
      </w:r>
    </w:p>
    <w:p w:rsidR="00486E6D" w:rsidRPr="00486E6D" w:rsidRDefault="00486E6D">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E65047">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E65047">
        <w:rPr>
          <w:color w:val="000000"/>
        </w:rPr>
        <w:t xml:space="preserve">$242,092.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E65047">
        <w:rPr>
          <w:color w:val="000000"/>
        </w:rPr>
        <w:t>$242,092</w:t>
      </w:r>
      <w:r w:rsidR="00CA4CD6">
        <w:rPr>
          <w:color w:val="000000"/>
        </w:rPr>
        <w:t xml:space="preserve">. </w:t>
      </w:r>
      <w:r w:rsidR="001C5991">
        <w:rPr>
          <w:color w:val="000000"/>
        </w:rPr>
        <w:t xml:space="preserve">  These are recordkeeping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E65047">
        <w:rPr>
          <w:color w:val="000000"/>
        </w:rPr>
        <w:t>$18,139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E65047">
        <w:rPr>
          <w:color w:val="000000"/>
        </w:rPr>
        <w:t xml:space="preserve">- </w:t>
      </w:r>
      <w:r w:rsidR="00E65047">
        <w:t xml:space="preserve">NSPS for </w:t>
      </w:r>
      <w:r w:rsidR="00E65047">
        <w:rPr>
          <w:bCs/>
        </w:rPr>
        <w:t xml:space="preserve">Stationary </w:t>
      </w:r>
      <w:r w:rsidR="003E2EAA">
        <w:rPr>
          <w:bCs/>
        </w:rPr>
        <w:t xml:space="preserve">Source </w:t>
      </w:r>
      <w:r w:rsidR="00E65047">
        <w:rPr>
          <w:bCs/>
        </w:rPr>
        <w:t>Compression Ignition Internal Combustion Engines (40 CFR Part 60, Subpart IIII) (Renewal).</w:t>
      </w:r>
    </w:p>
    <w:p w:rsidR="003E2EAA" w:rsidRDefault="003E2EA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3E2EAA" w:rsidRDefault="006568F1">
      <w:pPr>
        <w:pBdr>
          <w:top w:val="single" w:sz="6" w:space="0" w:color="FFFFFF"/>
          <w:left w:val="single" w:sz="6" w:space="0" w:color="FFFFFF"/>
          <w:bottom w:val="single" w:sz="6" w:space="0" w:color="FFFFFF"/>
          <w:right w:val="single" w:sz="6" w:space="0" w:color="FFFFFF"/>
        </w:pBdr>
        <w:ind w:firstLine="720"/>
      </w:pPr>
      <w:r w:rsidRPr="006568F1">
        <w:t xml:space="preserve">Based on our research for this ICR, on average over the next three years, approximately 206,370 existing respondents will be subject to the standard.  It is estimated that an additional 40 respondents per year will become subject.  The overall average number of respondents, as shown in the table below, is 206,410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E65047" w:rsidTr="00057E96">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E65047" w:rsidTr="00057E96">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E65047" w:rsidRDefault="00E65047" w:rsidP="00057E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E65047" w:rsidRDefault="00E65047" w:rsidP="00057E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E65047" w:rsidRDefault="00E65047" w:rsidP="00057E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E65047" w:rsidRDefault="00E65047" w:rsidP="00057E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E65047" w:rsidRDefault="00E65047" w:rsidP="00057E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E65047" w:rsidRDefault="00E65047" w:rsidP="00057E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E65047" w:rsidTr="00057E96">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40</w:t>
            </w:r>
          </w:p>
        </w:tc>
        <w:tc>
          <w:tcPr>
            <w:tcW w:w="1260"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235</w:t>
            </w:r>
          </w:p>
        </w:tc>
        <w:tc>
          <w:tcPr>
            <w:tcW w:w="1980"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206,095</w:t>
            </w:r>
          </w:p>
        </w:tc>
        <w:tc>
          <w:tcPr>
            <w:tcW w:w="1890"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206,370</w:t>
            </w:r>
          </w:p>
        </w:tc>
      </w:tr>
      <w:tr w:rsidR="00E65047" w:rsidTr="00057E9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40</w:t>
            </w:r>
          </w:p>
        </w:tc>
        <w:tc>
          <w:tcPr>
            <w:tcW w:w="1260" w:type="dxa"/>
            <w:tcBorders>
              <w:top w:val="single" w:sz="4" w:space="0" w:color="auto"/>
              <w:left w:val="single" w:sz="7"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235</w:t>
            </w:r>
          </w:p>
        </w:tc>
        <w:tc>
          <w:tcPr>
            <w:tcW w:w="1980" w:type="dxa"/>
            <w:tcBorders>
              <w:top w:val="single" w:sz="4" w:space="0" w:color="auto"/>
              <w:left w:val="single" w:sz="7"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206,135</w:t>
            </w:r>
          </w:p>
        </w:tc>
        <w:tc>
          <w:tcPr>
            <w:tcW w:w="1890" w:type="dxa"/>
            <w:tcBorders>
              <w:top w:val="single" w:sz="4" w:space="0" w:color="auto"/>
              <w:left w:val="single" w:sz="7" w:space="0" w:color="000000"/>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206,410</w:t>
            </w:r>
          </w:p>
        </w:tc>
      </w:tr>
      <w:tr w:rsidR="00E65047" w:rsidTr="00057E9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40</w:t>
            </w:r>
          </w:p>
        </w:tc>
        <w:tc>
          <w:tcPr>
            <w:tcW w:w="1260" w:type="dxa"/>
            <w:tcBorders>
              <w:top w:val="single" w:sz="4" w:space="0" w:color="auto"/>
              <w:left w:val="single" w:sz="7"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235</w:t>
            </w:r>
          </w:p>
        </w:tc>
        <w:tc>
          <w:tcPr>
            <w:tcW w:w="1980" w:type="dxa"/>
            <w:tcBorders>
              <w:top w:val="single" w:sz="4" w:space="0" w:color="auto"/>
              <w:left w:val="single" w:sz="7" w:space="0" w:color="000000"/>
              <w:bottom w:val="single" w:sz="4" w:space="0" w:color="auto"/>
              <w:right w:val="single" w:sz="6" w:space="0" w:color="FFFFFF"/>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206,175</w:t>
            </w:r>
          </w:p>
        </w:tc>
        <w:tc>
          <w:tcPr>
            <w:tcW w:w="1890" w:type="dxa"/>
            <w:tcBorders>
              <w:top w:val="single" w:sz="4" w:space="0" w:color="auto"/>
              <w:left w:val="single" w:sz="7" w:space="0" w:color="000000"/>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206,450</w:t>
            </w:r>
          </w:p>
        </w:tc>
      </w:tr>
      <w:tr w:rsidR="00E65047" w:rsidTr="00057E96">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40</w:t>
            </w:r>
          </w:p>
        </w:tc>
        <w:tc>
          <w:tcPr>
            <w:tcW w:w="1260" w:type="dxa"/>
            <w:tcBorders>
              <w:top w:val="single" w:sz="4" w:space="0" w:color="auto"/>
              <w:left w:val="single" w:sz="6" w:space="0" w:color="000000"/>
              <w:bottom w:val="single" w:sz="4" w:space="0" w:color="auto"/>
              <w:right w:val="single" w:sz="6" w:space="0" w:color="000000"/>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235</w:t>
            </w:r>
          </w:p>
        </w:tc>
        <w:tc>
          <w:tcPr>
            <w:tcW w:w="1980" w:type="dxa"/>
            <w:tcBorders>
              <w:top w:val="single" w:sz="4" w:space="0" w:color="auto"/>
              <w:left w:val="single" w:sz="6" w:space="0" w:color="000000"/>
              <w:bottom w:val="single" w:sz="4" w:space="0" w:color="auto"/>
              <w:right w:val="single" w:sz="6" w:space="0" w:color="000000"/>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206,135</w:t>
            </w:r>
          </w:p>
        </w:tc>
        <w:tc>
          <w:tcPr>
            <w:tcW w:w="1890" w:type="dxa"/>
            <w:tcBorders>
              <w:top w:val="single" w:sz="4" w:space="0" w:color="auto"/>
              <w:left w:val="single" w:sz="6" w:space="0" w:color="000000"/>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206,410</w:t>
            </w:r>
          </w:p>
        </w:tc>
      </w:tr>
    </w:tbl>
    <w:p w:rsidR="00CA4CD6" w:rsidRDefault="00CA4CD6" w:rsidP="00E65047">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E65047">
        <w:rPr>
          <w:color w:val="000000"/>
          <w:sz w:val="20"/>
          <w:szCs w:val="20"/>
        </w:rPr>
        <w:t>.</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6568F1" w:rsidRPr="006568F1">
        <w:t>206,410.</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rsidR="0019142C" w:rsidRDefault="0019142C">
      <w:pPr>
        <w:pBdr>
          <w:top w:val="single" w:sz="6" w:space="0" w:color="FFFFFF"/>
          <w:left w:val="single" w:sz="6" w:space="0" w:color="FFFFFF"/>
          <w:bottom w:val="single" w:sz="6" w:space="0" w:color="FFFFFF"/>
          <w:right w:val="single" w:sz="6" w:space="0" w:color="FFFFFF"/>
        </w:pBdr>
        <w:jc w:val="center"/>
        <w:rPr>
          <w:color w:val="000000"/>
        </w:rPr>
      </w:pPr>
    </w:p>
    <w:p w:rsidR="0019142C" w:rsidRDefault="0019142C">
      <w:pPr>
        <w:pBdr>
          <w:top w:val="single" w:sz="6" w:space="0" w:color="FFFFFF"/>
          <w:left w:val="single" w:sz="6" w:space="0" w:color="FFFFFF"/>
          <w:bottom w:val="single" w:sz="6" w:space="0" w:color="FFFFFF"/>
          <w:right w:val="single" w:sz="6" w:space="0" w:color="FFFFFF"/>
        </w:pBdr>
        <w:jc w:val="center"/>
        <w:rPr>
          <w:color w:val="000000"/>
        </w:rPr>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4050"/>
        <w:gridCol w:w="1260"/>
        <w:gridCol w:w="1080"/>
        <w:gridCol w:w="1710"/>
        <w:gridCol w:w="1260"/>
      </w:tblGrid>
      <w:tr w:rsidR="00E65047" w:rsidTr="00057E96">
        <w:trPr>
          <w:cantSplit/>
          <w:tblHeader/>
          <w:jc w:val="center"/>
        </w:trPr>
        <w:tc>
          <w:tcPr>
            <w:tcW w:w="9360" w:type="dxa"/>
            <w:gridSpan w:val="5"/>
          </w:tcPr>
          <w:p w:rsidR="00E65047" w:rsidRDefault="006C75FA" w:rsidP="00057E9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w:t>
            </w:r>
            <w:r w:rsidR="00E65047">
              <w:rPr>
                <w:b/>
                <w:bCs/>
                <w:color w:val="000000"/>
              </w:rPr>
              <w:t>otal Annual Responses</w:t>
            </w:r>
          </w:p>
        </w:tc>
      </w:tr>
      <w:tr w:rsidR="00E65047" w:rsidTr="00057E96">
        <w:trPr>
          <w:cantSplit/>
          <w:tblHeader/>
          <w:jc w:val="center"/>
        </w:trPr>
        <w:tc>
          <w:tcPr>
            <w:tcW w:w="4050" w:type="dxa"/>
          </w:tcPr>
          <w:p w:rsidR="00E65047" w:rsidRDefault="00E65047" w:rsidP="00057E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lastRenderedPageBreak/>
              <w:t>(A)</w:t>
            </w:r>
          </w:p>
          <w:p w:rsidR="00E65047" w:rsidRDefault="00E65047" w:rsidP="00057E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E65047" w:rsidRDefault="00E65047" w:rsidP="00057E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080" w:type="dxa"/>
          </w:tcPr>
          <w:p w:rsidR="00E65047" w:rsidRDefault="00E65047" w:rsidP="00057E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710" w:type="dxa"/>
          </w:tcPr>
          <w:p w:rsidR="00E65047" w:rsidRDefault="00E65047" w:rsidP="00057E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E65047" w:rsidRDefault="00E65047" w:rsidP="00057E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E65047" w:rsidRDefault="00E65047" w:rsidP="00057E9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E65047" w:rsidTr="00057E96">
        <w:trPr>
          <w:cantSplit/>
          <w:jc w:val="center"/>
        </w:trPr>
        <w:tc>
          <w:tcPr>
            <w:tcW w:w="405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for non-emergency stationary CI ICE &gt;3,000 hp, prime</w:t>
            </w: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32</w:t>
            </w:r>
          </w:p>
        </w:tc>
        <w:tc>
          <w:tcPr>
            <w:tcW w:w="108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32</w:t>
            </w:r>
          </w:p>
        </w:tc>
      </w:tr>
      <w:tr w:rsidR="00E65047" w:rsidTr="00057E96">
        <w:trPr>
          <w:cantSplit/>
          <w:jc w:val="center"/>
        </w:trPr>
        <w:tc>
          <w:tcPr>
            <w:tcW w:w="405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for non-emergency stationary CI ICE with a displacement &gt;10 l/cyl, prime</w:t>
            </w: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p>
        </w:tc>
        <w:tc>
          <w:tcPr>
            <w:tcW w:w="108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p>
        </w:tc>
      </w:tr>
      <w:tr w:rsidR="00E65047" w:rsidTr="00057E96">
        <w:trPr>
          <w:cantSplit/>
          <w:jc w:val="center"/>
        </w:trPr>
        <w:tc>
          <w:tcPr>
            <w:tcW w:w="405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Non-emergency operation</w:t>
            </w: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206,410</w:t>
            </w:r>
          </w:p>
        </w:tc>
        <w:tc>
          <w:tcPr>
            <w:tcW w:w="108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206,410</w:t>
            </w:r>
          </w:p>
        </w:tc>
      </w:tr>
      <w:tr w:rsidR="00E65047" w:rsidTr="00057E96">
        <w:trPr>
          <w:cantSplit/>
          <w:jc w:val="center"/>
        </w:trPr>
        <w:tc>
          <w:tcPr>
            <w:tcW w:w="405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71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E65047" w:rsidRDefault="00E65047" w:rsidP="00057E9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206,450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006568F1" w:rsidRPr="006568F1">
        <w:t>is 206,450.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400C8">
        <w:rPr>
          <w:color w:val="000000"/>
        </w:rPr>
        <w:t>$</w:t>
      </w:r>
      <w:r w:rsidR="00F05128" w:rsidRPr="00486E6D">
        <w:rPr>
          <w:color w:val="000000"/>
        </w:rPr>
        <w:t>18,560,917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441619">
        <w:rPr>
          <w:color w:val="000000"/>
        </w:rPr>
        <w:t>:</w:t>
      </w:r>
      <w:r>
        <w:rPr>
          <w:color w:val="000000"/>
        </w:rPr>
        <w:t xml:space="preserve"> Annual Respondent Burden and Cost </w:t>
      </w:r>
      <w:r w:rsidR="00F400C8">
        <w:t xml:space="preserve">– NSPS for </w:t>
      </w:r>
      <w:r w:rsidR="00F400C8">
        <w:rPr>
          <w:bCs/>
        </w:rPr>
        <w:t xml:space="preserve">Stationary </w:t>
      </w:r>
      <w:r w:rsidR="003E2EAA">
        <w:rPr>
          <w:bCs/>
        </w:rPr>
        <w:t xml:space="preserve">Source </w:t>
      </w:r>
      <w:r w:rsidR="00F400C8">
        <w:rPr>
          <w:bCs/>
        </w:rPr>
        <w:t>Compression Ignition Internal Combustion Engines (40 CFR Part 60, Subpart IIII) (Renewal)</w:t>
      </w:r>
      <w:r w:rsidR="00F400C8">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86E6D">
        <w:rPr>
          <w:color w:val="000000"/>
        </w:rPr>
        <w:t>193,707</w:t>
      </w:r>
      <w:r w:rsidR="00441619">
        <w:rPr>
          <w:color w:val="000000"/>
        </w:rPr>
        <w:t>, at a cost of $18,560,917</w:t>
      </w:r>
      <w:r>
        <w:rPr>
          <w:color w:val="000000"/>
        </w:rPr>
        <w:t>.</w:t>
      </w:r>
      <w:r w:rsidR="00507EC5">
        <w:rPr>
          <w:color w:val="000000"/>
        </w:rPr>
        <w:t xml:space="preserve">  </w:t>
      </w:r>
      <w:r>
        <w:rPr>
          <w:color w:val="000000"/>
        </w:rPr>
        <w:t>Details regarding these estimates may be found in Table 1</w:t>
      </w:r>
      <w:proofErr w:type="gramStart"/>
      <w:r w:rsidR="00441619">
        <w:rPr>
          <w:color w:val="000000"/>
        </w:rPr>
        <w:t>:</w:t>
      </w:r>
      <w:r>
        <w:rPr>
          <w:color w:val="000000"/>
        </w:rPr>
        <w:t>Annual</w:t>
      </w:r>
      <w:proofErr w:type="gramEnd"/>
      <w:r>
        <w:rPr>
          <w:color w:val="000000"/>
        </w:rPr>
        <w:t xml:space="preserve"> Respondent Burden and Cost </w:t>
      </w:r>
      <w:r w:rsidR="00F400C8">
        <w:rPr>
          <w:color w:val="000000"/>
        </w:rPr>
        <w:t xml:space="preserve">- </w:t>
      </w:r>
      <w:r w:rsidR="00F400C8">
        <w:t xml:space="preserve">NSPS for </w:t>
      </w:r>
      <w:r w:rsidR="00F400C8">
        <w:rPr>
          <w:bCs/>
        </w:rPr>
        <w:t xml:space="preserve">Stationary </w:t>
      </w:r>
      <w:r w:rsidR="003E2EAA">
        <w:rPr>
          <w:bCs/>
        </w:rPr>
        <w:t xml:space="preserve">Source </w:t>
      </w:r>
      <w:r w:rsidR="00F400C8">
        <w:rPr>
          <w:bCs/>
        </w:rPr>
        <w:t>Compression Ignition Internal Combustion Engines (40 CFR Part 60, Subpart IIII) (Renewal).</w:t>
      </w:r>
      <w:r w:rsidR="00F400C8">
        <w:t xml:space="preserve"> </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400C8">
        <w:rPr>
          <w:color w:val="000000"/>
        </w:rPr>
        <w:t xml:space="preserve">one </w:t>
      </w:r>
      <w:r>
        <w:rPr>
          <w:color w:val="000000"/>
        </w:rPr>
        <w:t>hour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400C8">
        <w:rPr>
          <w:color w:val="000000"/>
        </w:rPr>
        <w:t>$242,092</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751D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6568F1" w:rsidRPr="006568F1">
        <w:t>Agency burden and cost over next three years is estimated to be 403 labor hours at a cost of $18,139.</w:t>
      </w:r>
      <w:r w:rsidR="00144F35">
        <w:rPr>
          <w:color w:val="000000"/>
        </w:rPr>
        <w:t xml:space="preserve">  See </w:t>
      </w:r>
      <w:r w:rsidR="00441619">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144F35">
        <w:rPr>
          <w:color w:val="000000"/>
        </w:rPr>
        <w:t xml:space="preserve"> </w:t>
      </w:r>
      <w:r w:rsidR="00F400C8">
        <w:t xml:space="preserve">- NSPS for </w:t>
      </w:r>
      <w:r w:rsidR="00F400C8">
        <w:rPr>
          <w:bCs/>
        </w:rPr>
        <w:t xml:space="preserve">Stationary </w:t>
      </w:r>
      <w:r w:rsidR="003E2EAA">
        <w:rPr>
          <w:bCs/>
        </w:rPr>
        <w:t xml:space="preserve">Source </w:t>
      </w:r>
      <w:r w:rsidR="00F400C8">
        <w:rPr>
          <w:bCs/>
        </w:rPr>
        <w:t xml:space="preserve">Compression Ignition Internal Combustion Engines (40 CFR </w:t>
      </w:r>
      <w:proofErr w:type="gramStart"/>
      <w:r w:rsidR="00F400C8">
        <w:rPr>
          <w:bCs/>
        </w:rPr>
        <w:t>Part</w:t>
      </w:r>
      <w:proofErr w:type="gramEnd"/>
      <w:r w:rsidR="00F400C8">
        <w:rPr>
          <w:bCs/>
        </w:rPr>
        <w:t xml:space="preserve"> 60, Subpart IIII) (Renewal)</w:t>
      </w:r>
      <w:r w:rsidR="00F400C8">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05128" w:rsidRDefault="00F400C8">
      <w:pPr>
        <w:pBdr>
          <w:top w:val="single" w:sz="6" w:space="0" w:color="FFFFFF"/>
          <w:left w:val="single" w:sz="6" w:space="0" w:color="FFFFFF"/>
          <w:bottom w:val="single" w:sz="6" w:space="0" w:color="FFFFFF"/>
          <w:right w:val="single" w:sz="6" w:space="0" w:color="FFFFFF"/>
        </w:pBdr>
        <w:ind w:firstLine="720"/>
        <w:rPr>
          <w:color w:val="FF0000"/>
        </w:rPr>
      </w:pPr>
      <w:r w:rsidRPr="00310550">
        <w:t xml:space="preserve">There is an adjustment increase in the total estimated burden hours </w:t>
      </w:r>
      <w:r w:rsidR="007826B1">
        <w:t xml:space="preserve">and a decrease in the total estimated cost </w:t>
      </w:r>
      <w:r w:rsidRPr="00310550">
        <w:t>for the respondents as currently identified in the OMB Inventory of Approved Burdens.</w:t>
      </w:r>
      <w:r>
        <w:rPr>
          <w:color w:val="FF0000"/>
        </w:rPr>
        <w:t xml:space="preserve">  </w:t>
      </w:r>
      <w:r w:rsidR="007826B1">
        <w:t>Th</w:t>
      </w:r>
      <w:r w:rsidR="003163F7">
        <w:t xml:space="preserve">is </w:t>
      </w:r>
      <w:r w:rsidRPr="00310550">
        <w:t xml:space="preserve">is not due to any program changes.  The increase in burden </w:t>
      </w:r>
      <w:r w:rsidR="003163F7">
        <w:t xml:space="preserve">hours </w:t>
      </w:r>
      <w:r w:rsidR="007826B1">
        <w:t xml:space="preserve">reflects a growth in the respondent universe since the last ICR renewal. The decrease in cost is due to a mathematical error that has been corrected since the last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82B64" w:rsidRDefault="00C82B64" w:rsidP="009C512F">
      <w:pPr>
        <w:pBdr>
          <w:top w:val="single" w:sz="6" w:space="0" w:color="FFFFFF"/>
          <w:left w:val="single" w:sz="6" w:space="0" w:color="FFFFFF"/>
          <w:bottom w:val="single" w:sz="6" w:space="0" w:color="FFFFFF"/>
          <w:right w:val="single" w:sz="6" w:space="0" w:color="FFFFFF"/>
        </w:pBdr>
        <w:rPr>
          <w:color w:val="000000"/>
        </w:rPr>
      </w:pPr>
      <w:r>
        <w:rPr>
          <w:color w:val="000000"/>
        </w:rPr>
        <w:tab/>
        <w:t>There is an adjustment increase in the total estimated burden hours and cost</w:t>
      </w:r>
      <w:r w:rsidR="003163F7">
        <w:rPr>
          <w:color w:val="000000"/>
        </w:rPr>
        <w:t>s</w:t>
      </w:r>
      <w:r>
        <w:rPr>
          <w:color w:val="000000"/>
        </w:rPr>
        <w:t xml:space="preserve"> for the Agency as currently identified in the OMB Inventory of Approved Burdens.</w:t>
      </w:r>
      <w:r w:rsidR="009C512F">
        <w:rPr>
          <w:color w:val="000000"/>
        </w:rPr>
        <w:t xml:space="preserve"> </w:t>
      </w:r>
      <w:r>
        <w:rPr>
          <w:color w:val="000000"/>
        </w:rPr>
        <w:t xml:space="preserve"> The increase </w:t>
      </w:r>
      <w:r w:rsidR="003163F7">
        <w:rPr>
          <w:color w:val="000000"/>
        </w:rPr>
        <w:t xml:space="preserve">reflects a </w:t>
      </w:r>
      <w:r w:rsidR="009C512F">
        <w:rPr>
          <w:color w:val="000000"/>
        </w:rPr>
        <w:t xml:space="preserve">mathematical </w:t>
      </w:r>
      <w:r w:rsidR="003163F7">
        <w:rPr>
          <w:color w:val="000000"/>
        </w:rPr>
        <w:t>correc</w:t>
      </w:r>
      <w:r w:rsidR="009C512F">
        <w:rPr>
          <w:color w:val="000000"/>
        </w:rPr>
        <w:t xml:space="preserve">tion in the burden hour calculation and an adjustment in labor rates.  </w:t>
      </w:r>
      <w:r>
        <w:rPr>
          <w:color w:val="000000"/>
        </w:rPr>
        <w:t>This ICR uses updated labor rates in estimat</w:t>
      </w:r>
      <w:r w:rsidR="009C512F">
        <w:rPr>
          <w:color w:val="000000"/>
        </w:rPr>
        <w:t>ing</w:t>
      </w:r>
      <w:r>
        <w:rPr>
          <w:color w:val="000000"/>
        </w:rPr>
        <w:t xml:space="preserve"> the </w:t>
      </w:r>
      <w:r w:rsidR="009C512F">
        <w:rPr>
          <w:color w:val="000000"/>
        </w:rPr>
        <w:t xml:space="preserve">burden </w:t>
      </w:r>
      <w:r>
        <w:rPr>
          <w:color w:val="000000"/>
        </w:rPr>
        <w:t>costs for all labor categories.</w:t>
      </w:r>
    </w:p>
    <w:p w:rsidR="00C82B64" w:rsidRDefault="00C82B6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006568F1" w:rsidRPr="006568F1">
        <w:t>average one hour</w:t>
      </w:r>
      <w:r>
        <w:rPr>
          <w:color w:val="000000"/>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400C8">
        <w:t>EPA-HQ-OECA-2011-0264</w:t>
      </w:r>
      <w:r w:rsidR="00354C15">
        <w:rPr>
          <w:color w:val="FF0000"/>
        </w:rPr>
        <w:t xml:space="preserve">.  </w:t>
      </w:r>
      <w:r w:rsidR="00354C15" w:rsidRPr="00354C15">
        <w:t xml:space="preserve">An electronic version of the public docket is available at </w:t>
      </w:r>
      <w:r w:rsidR="00354C15" w:rsidRPr="00BC2B5A">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BC2B5A">
        <w:t>52</w:t>
      </w:r>
      <w:r w:rsidR="00354C15">
        <w:t xml:space="preserve">.  </w:t>
      </w:r>
      <w:r w:rsidR="00CA4CD6">
        <w:t xml:space="preserve">Also, you can send comments to the Office of Information and Regulatory Affairs, Office of Management and Budget, 725 17th Street, NW, </w:t>
      </w:r>
      <w:r w:rsidR="00CA4CD6">
        <w:lastRenderedPageBreak/>
        <w:t xml:space="preserve">Washington, DC 20503, Attention: Desk Officer for EPA.  Please include the EPA Docket ID Number </w:t>
      </w:r>
      <w:r w:rsidR="00F400C8">
        <w:t>EPA-HQ-OECA-2011-0264</w:t>
      </w:r>
      <w:r w:rsidR="00CA4CD6">
        <w:t xml:space="preserve"> and OMB Control Number </w:t>
      </w:r>
      <w:r w:rsidR="00F400C8" w:rsidRPr="00AF3F88">
        <w:t>2060-0590</w:t>
      </w:r>
      <w:r w:rsidR="00F400C8">
        <w:rPr>
          <w:color w:val="FF0000"/>
        </w:rPr>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751DE3">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F400C8" w:rsidRDefault="00F400C8" w:rsidP="00F400C8">
      <w:pPr>
        <w:tabs>
          <w:tab w:val="left" w:pos="1350"/>
        </w:tabs>
        <w:jc w:val="center"/>
        <w:rPr>
          <w:b/>
          <w:bCs/>
        </w:rPr>
      </w:pPr>
      <w:r>
        <w:rPr>
          <w:b/>
          <w:bCs/>
        </w:rPr>
        <w:lastRenderedPageBreak/>
        <w:t xml:space="preserve">Table 1:  Annual Respondent Burden and Cost – </w:t>
      </w:r>
      <w:r w:rsidRPr="00EE2A4E">
        <w:rPr>
          <w:b/>
          <w:bCs/>
        </w:rPr>
        <w:t xml:space="preserve">NSPS </w:t>
      </w:r>
      <w:r w:rsidRPr="00EE2A4E">
        <w:rPr>
          <w:b/>
        </w:rPr>
        <w:t xml:space="preserve">for </w:t>
      </w:r>
      <w:r w:rsidRPr="00EE2A4E">
        <w:rPr>
          <w:b/>
          <w:bCs/>
        </w:rPr>
        <w:t xml:space="preserve">Stationary </w:t>
      </w:r>
      <w:r w:rsidR="003E2EAA">
        <w:rPr>
          <w:b/>
          <w:bCs/>
        </w:rPr>
        <w:t xml:space="preserve">Source </w:t>
      </w:r>
      <w:r w:rsidRPr="00EE2A4E">
        <w:rPr>
          <w:b/>
          <w:bCs/>
        </w:rPr>
        <w:t>Compression Ignition Internal Combustion Engines</w:t>
      </w:r>
      <w:r>
        <w:rPr>
          <w:b/>
          <w:bCs/>
        </w:rPr>
        <w:t xml:space="preserve"> (40 CFR Part 60, Subpart IIII) (Renewal)</w:t>
      </w:r>
    </w:p>
    <w:p w:rsidR="00F400C8" w:rsidRPr="00EE2A4E" w:rsidRDefault="00F400C8" w:rsidP="00F400C8">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990"/>
        <w:gridCol w:w="1560"/>
      </w:tblGrid>
      <w:tr w:rsidR="00F400C8" w:rsidTr="00057E96">
        <w:trPr>
          <w:tblHeader/>
          <w:jc w:val="center"/>
        </w:trPr>
        <w:tc>
          <w:tcPr>
            <w:tcW w:w="4350" w:type="dxa"/>
            <w:tcBorders>
              <w:top w:val="single" w:sz="6" w:space="0" w:color="000000"/>
              <w:bottom w:val="single" w:sz="6" w:space="0" w:color="000000"/>
              <w:right w:val="single" w:sz="6" w:space="0" w:color="000000"/>
            </w:tcBorders>
            <w:vAlign w:val="center"/>
          </w:tcPr>
          <w:p w:rsidR="00F400C8" w:rsidRDefault="00F400C8" w:rsidP="00057E96">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F400C8" w:rsidRDefault="00F400C8" w:rsidP="00057E96">
            <w:pPr>
              <w:tabs>
                <w:tab w:val="center" w:pos="541"/>
              </w:tabs>
              <w:jc w:val="center"/>
              <w:rPr>
                <w:b/>
                <w:bCs/>
                <w:sz w:val="20"/>
                <w:szCs w:val="20"/>
              </w:rPr>
            </w:pPr>
            <w:r>
              <w:rPr>
                <w:b/>
                <w:bCs/>
                <w:sz w:val="20"/>
                <w:szCs w:val="20"/>
              </w:rPr>
              <w:t>(A)</w:t>
            </w:r>
          </w:p>
          <w:p w:rsidR="00F400C8" w:rsidRDefault="00F400C8" w:rsidP="00057E96">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F400C8" w:rsidRDefault="00F400C8" w:rsidP="00057E96">
            <w:pPr>
              <w:tabs>
                <w:tab w:val="center" w:pos="541"/>
              </w:tabs>
              <w:jc w:val="center"/>
              <w:rPr>
                <w:b/>
                <w:bCs/>
                <w:sz w:val="20"/>
                <w:szCs w:val="20"/>
              </w:rPr>
            </w:pPr>
            <w:r>
              <w:rPr>
                <w:b/>
                <w:bCs/>
                <w:sz w:val="20"/>
                <w:szCs w:val="20"/>
              </w:rPr>
              <w:t>(B)</w:t>
            </w:r>
          </w:p>
          <w:p w:rsidR="00F400C8" w:rsidRDefault="00F400C8" w:rsidP="00057E96">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F400C8" w:rsidRDefault="00F400C8" w:rsidP="00057E96">
            <w:pPr>
              <w:tabs>
                <w:tab w:val="center" w:pos="541"/>
              </w:tabs>
              <w:jc w:val="center"/>
              <w:rPr>
                <w:b/>
                <w:bCs/>
                <w:sz w:val="20"/>
                <w:szCs w:val="20"/>
              </w:rPr>
            </w:pPr>
            <w:r>
              <w:rPr>
                <w:b/>
                <w:bCs/>
                <w:sz w:val="20"/>
                <w:szCs w:val="20"/>
              </w:rPr>
              <w:t>(C)</w:t>
            </w:r>
          </w:p>
          <w:p w:rsidR="00F400C8" w:rsidRDefault="00F400C8" w:rsidP="00057E96">
            <w:pPr>
              <w:tabs>
                <w:tab w:val="center" w:pos="541"/>
              </w:tabs>
              <w:jc w:val="center"/>
              <w:rPr>
                <w:b/>
                <w:bCs/>
                <w:sz w:val="20"/>
                <w:szCs w:val="20"/>
              </w:rPr>
            </w:pPr>
            <w:r>
              <w:rPr>
                <w:b/>
                <w:bCs/>
                <w:sz w:val="20"/>
                <w:szCs w:val="20"/>
              </w:rPr>
              <w:t>Person hours per respondent per year</w:t>
            </w:r>
          </w:p>
          <w:p w:rsidR="00F400C8" w:rsidRDefault="00F400C8" w:rsidP="00057E96">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F400C8" w:rsidRDefault="00F400C8" w:rsidP="00057E96">
            <w:pPr>
              <w:tabs>
                <w:tab w:val="center" w:pos="541"/>
              </w:tabs>
              <w:jc w:val="center"/>
              <w:rPr>
                <w:b/>
                <w:bCs/>
                <w:sz w:val="20"/>
                <w:szCs w:val="20"/>
              </w:rPr>
            </w:pPr>
            <w:r>
              <w:rPr>
                <w:b/>
                <w:bCs/>
                <w:sz w:val="20"/>
                <w:szCs w:val="20"/>
              </w:rPr>
              <w:t>(D)</w:t>
            </w:r>
          </w:p>
          <w:p w:rsidR="00F400C8" w:rsidRDefault="00F400C8" w:rsidP="00057E96">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F400C8" w:rsidRDefault="00F400C8" w:rsidP="00057E96">
            <w:pPr>
              <w:tabs>
                <w:tab w:val="center" w:pos="451"/>
              </w:tabs>
              <w:jc w:val="center"/>
              <w:rPr>
                <w:b/>
                <w:bCs/>
                <w:sz w:val="20"/>
                <w:szCs w:val="20"/>
              </w:rPr>
            </w:pPr>
            <w:r>
              <w:rPr>
                <w:b/>
                <w:bCs/>
                <w:sz w:val="20"/>
                <w:szCs w:val="20"/>
              </w:rPr>
              <w:t>(E)</w:t>
            </w:r>
          </w:p>
          <w:p w:rsidR="00F400C8" w:rsidRDefault="00F400C8" w:rsidP="00057E96">
            <w:pPr>
              <w:tabs>
                <w:tab w:val="center" w:pos="451"/>
              </w:tabs>
              <w:jc w:val="center"/>
              <w:rPr>
                <w:b/>
                <w:bCs/>
                <w:sz w:val="20"/>
                <w:szCs w:val="20"/>
              </w:rPr>
            </w:pPr>
            <w:r>
              <w:rPr>
                <w:b/>
                <w:bCs/>
                <w:sz w:val="20"/>
                <w:szCs w:val="20"/>
              </w:rPr>
              <w:t>Technical person- hours per year</w:t>
            </w:r>
          </w:p>
          <w:p w:rsidR="00F400C8" w:rsidRDefault="00F400C8" w:rsidP="00057E96">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F400C8" w:rsidRDefault="00F400C8" w:rsidP="00057E96">
            <w:pPr>
              <w:tabs>
                <w:tab w:val="center" w:pos="586"/>
              </w:tabs>
              <w:jc w:val="center"/>
              <w:rPr>
                <w:b/>
                <w:bCs/>
                <w:sz w:val="20"/>
                <w:szCs w:val="20"/>
              </w:rPr>
            </w:pPr>
            <w:r>
              <w:rPr>
                <w:b/>
                <w:bCs/>
                <w:sz w:val="20"/>
                <w:szCs w:val="20"/>
              </w:rPr>
              <w:t>(F)</w:t>
            </w:r>
          </w:p>
          <w:p w:rsidR="00F400C8" w:rsidRDefault="00F400C8" w:rsidP="00057E96">
            <w:pPr>
              <w:tabs>
                <w:tab w:val="center" w:pos="586"/>
              </w:tabs>
              <w:jc w:val="center"/>
              <w:rPr>
                <w:b/>
                <w:bCs/>
                <w:sz w:val="20"/>
                <w:szCs w:val="20"/>
              </w:rPr>
            </w:pPr>
            <w:r>
              <w:rPr>
                <w:b/>
                <w:bCs/>
                <w:sz w:val="20"/>
                <w:szCs w:val="20"/>
              </w:rPr>
              <w:t>Management person hours per year</w:t>
            </w:r>
          </w:p>
          <w:p w:rsidR="00F400C8" w:rsidRDefault="00F400C8" w:rsidP="00057E96">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F400C8" w:rsidRDefault="00F400C8" w:rsidP="00057E96">
            <w:pPr>
              <w:tabs>
                <w:tab w:val="center" w:pos="406"/>
              </w:tabs>
              <w:jc w:val="center"/>
              <w:rPr>
                <w:b/>
                <w:bCs/>
                <w:sz w:val="20"/>
                <w:szCs w:val="20"/>
              </w:rPr>
            </w:pPr>
            <w:r>
              <w:rPr>
                <w:b/>
                <w:bCs/>
                <w:sz w:val="20"/>
                <w:szCs w:val="20"/>
              </w:rPr>
              <w:t>(G)</w:t>
            </w:r>
          </w:p>
          <w:p w:rsidR="00F400C8" w:rsidRDefault="00F400C8" w:rsidP="00057E96">
            <w:pPr>
              <w:tabs>
                <w:tab w:val="center" w:pos="406"/>
              </w:tabs>
              <w:jc w:val="center"/>
              <w:rPr>
                <w:b/>
                <w:bCs/>
                <w:sz w:val="20"/>
                <w:szCs w:val="20"/>
              </w:rPr>
            </w:pPr>
            <w:r>
              <w:rPr>
                <w:b/>
                <w:bCs/>
                <w:sz w:val="20"/>
                <w:szCs w:val="20"/>
              </w:rPr>
              <w:t>Clerical person hours per year</w:t>
            </w:r>
          </w:p>
          <w:p w:rsidR="00F400C8" w:rsidRDefault="00F400C8" w:rsidP="00057E96">
            <w:pPr>
              <w:tabs>
                <w:tab w:val="center" w:pos="406"/>
              </w:tabs>
              <w:spacing w:after="58"/>
              <w:rPr>
                <w:b/>
                <w:bCs/>
                <w:sz w:val="20"/>
                <w:szCs w:val="20"/>
              </w:rPr>
            </w:pPr>
            <w:r>
              <w:rPr>
                <w:b/>
                <w:bCs/>
                <w:sz w:val="20"/>
                <w:szCs w:val="20"/>
              </w:rPr>
              <w:t>(Ex0.1)</w:t>
            </w:r>
          </w:p>
        </w:tc>
        <w:tc>
          <w:tcPr>
            <w:tcW w:w="1560" w:type="dxa"/>
            <w:tcBorders>
              <w:top w:val="single" w:sz="6" w:space="0" w:color="000000"/>
              <w:left w:val="single" w:sz="6" w:space="0" w:color="000000"/>
              <w:bottom w:val="single" w:sz="6" w:space="0" w:color="000000"/>
            </w:tcBorders>
          </w:tcPr>
          <w:p w:rsidR="00F400C8" w:rsidRDefault="00F400C8" w:rsidP="00057E96">
            <w:pPr>
              <w:tabs>
                <w:tab w:val="center" w:pos="631"/>
              </w:tabs>
              <w:jc w:val="center"/>
              <w:rPr>
                <w:b/>
                <w:bCs/>
                <w:sz w:val="20"/>
                <w:szCs w:val="20"/>
              </w:rPr>
            </w:pPr>
            <w:r>
              <w:rPr>
                <w:b/>
                <w:bCs/>
                <w:sz w:val="20"/>
                <w:szCs w:val="20"/>
              </w:rPr>
              <w:t>(H)</w:t>
            </w:r>
          </w:p>
          <w:p w:rsidR="00F400C8" w:rsidRDefault="00F400C8" w:rsidP="00057E96">
            <w:pPr>
              <w:tabs>
                <w:tab w:val="center" w:pos="631"/>
              </w:tabs>
              <w:spacing w:after="58"/>
              <w:jc w:val="center"/>
              <w:rPr>
                <w:b/>
                <w:bCs/>
                <w:sz w:val="20"/>
                <w:szCs w:val="20"/>
              </w:rPr>
            </w:pPr>
            <w:r>
              <w:rPr>
                <w:b/>
                <w:bCs/>
                <w:sz w:val="20"/>
                <w:szCs w:val="20"/>
              </w:rPr>
              <w:t xml:space="preserve">Total Cost </w:t>
            </w:r>
          </w:p>
          <w:p w:rsidR="00F400C8" w:rsidRDefault="00F400C8" w:rsidP="00057E96">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F400C8" w:rsidRDefault="00F400C8" w:rsidP="00057E96">
            <w:pPr>
              <w:tabs>
                <w:tab w:val="center" w:pos="631"/>
              </w:tabs>
              <w:spacing w:after="58"/>
              <w:rPr>
                <w:b/>
                <w:bCs/>
                <w:sz w:val="20"/>
                <w:szCs w:val="20"/>
              </w:rPr>
            </w:pP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A.  Certification for stationary use</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  Certification application </w:t>
            </w:r>
            <w:r w:rsidRPr="00F1302C">
              <w:rPr>
                <w:sz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44</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44</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35</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1,540</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77</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154</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$169,695.68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  Recordkeeping</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4.4</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4.4</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154</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67</w:t>
            </w:r>
            <w:r w:rsidR="003D38E6">
              <w:rPr>
                <w:color w:val="000000"/>
                <w:sz w:val="20"/>
                <w:szCs w:val="20"/>
              </w:rPr>
              <w:t>7.6</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33.88</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67.76</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$74,666.10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  Certificate/durability testing </w:t>
            </w:r>
            <w:r w:rsidRPr="00F1302C">
              <w:rPr>
                <w:sz w:val="20"/>
                <w:vertAlign w:val="superscript"/>
              </w:rPr>
              <w:t>d</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168</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168</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35</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5,880</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294</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588</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$647,928.96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  Selective enforcement audits</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115</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115</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115</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5.75</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11.5</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$12,672.08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  Defect reporting </w:t>
            </w:r>
            <w:r w:rsidRPr="00F1302C">
              <w:rPr>
                <w:sz w:val="20"/>
                <w:vertAlign w:val="superscript"/>
              </w:rPr>
              <w:t>e</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125</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125</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4</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500</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25</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50</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$55,096.00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B.  Certification for stationary/non-road use</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200</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200</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10</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20</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$22,038.40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2.  Surveys and studies</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A.  Read instructions </w:t>
            </w:r>
            <w:r w:rsidRPr="00F1302C">
              <w:rPr>
                <w:sz w:val="20"/>
                <w:vertAlign w:val="superscript"/>
              </w:rPr>
              <w:t>f</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40</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4</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$4,407.68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See 3D</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C.   Gather existing information</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See 3D</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D.  Write report </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Initial notification</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&gt;3,000 hp, prime </w:t>
            </w:r>
            <w:r w:rsidRPr="00F1302C">
              <w:rPr>
                <w:sz w:val="20"/>
                <w:vertAlign w:val="superscript"/>
              </w:rPr>
              <w:t>g</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32</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64</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3.2</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6.4</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$7,052.29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&gt;10 l/cyl, prime </w:t>
            </w:r>
            <w:r w:rsidRPr="00F1302C">
              <w:rPr>
                <w:sz w:val="20"/>
                <w:vertAlign w:val="superscript"/>
              </w:rPr>
              <w:t>h</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8</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16</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0.8</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1.6</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$1,763.07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Pre-2007, not certified, prime, &gt;175 hp</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RPr="009C512F" w:rsidTr="00057E96">
        <w:trPr>
          <w:jc w:val="center"/>
        </w:trPr>
        <w:tc>
          <w:tcPr>
            <w:tcW w:w="4350" w:type="dxa"/>
            <w:tcBorders>
              <w:top w:val="nil"/>
              <w:bottom w:val="single" w:sz="6" w:space="0" w:color="000000"/>
              <w:right w:val="single" w:sz="6" w:space="0" w:color="000000"/>
            </w:tcBorders>
          </w:tcPr>
          <w:p w:rsidR="00F400C8" w:rsidRPr="009C512F" w:rsidRDefault="00F400C8" w:rsidP="00057E96">
            <w:pPr>
              <w:rPr>
                <w:b/>
                <w:i/>
                <w:sz w:val="20"/>
              </w:rPr>
            </w:pPr>
            <w:r w:rsidRPr="009C512F">
              <w:rPr>
                <w:b/>
                <w:i/>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F400C8" w:rsidRPr="009C512F" w:rsidRDefault="00F400C8" w:rsidP="00057E96">
            <w:pPr>
              <w:jc w:val="center"/>
              <w:rPr>
                <w:b/>
                <w:sz w:val="20"/>
              </w:rPr>
            </w:pPr>
          </w:p>
        </w:tc>
        <w:tc>
          <w:tcPr>
            <w:tcW w:w="1350" w:type="dxa"/>
            <w:tcBorders>
              <w:top w:val="nil"/>
              <w:left w:val="single" w:sz="6" w:space="0" w:color="000000"/>
              <w:bottom w:val="single" w:sz="6" w:space="0" w:color="000000"/>
              <w:right w:val="single" w:sz="6" w:space="0" w:color="000000"/>
            </w:tcBorders>
          </w:tcPr>
          <w:p w:rsidR="00F400C8" w:rsidRPr="009C512F" w:rsidRDefault="00F400C8" w:rsidP="00057E96">
            <w:pPr>
              <w:jc w:val="center"/>
              <w:rPr>
                <w:b/>
                <w:sz w:val="20"/>
              </w:rPr>
            </w:pPr>
          </w:p>
        </w:tc>
        <w:tc>
          <w:tcPr>
            <w:tcW w:w="1260" w:type="dxa"/>
            <w:tcBorders>
              <w:top w:val="nil"/>
              <w:left w:val="single" w:sz="6" w:space="0" w:color="000000"/>
              <w:bottom w:val="single" w:sz="6" w:space="0" w:color="000000"/>
              <w:right w:val="single" w:sz="6" w:space="0" w:color="000000"/>
            </w:tcBorders>
          </w:tcPr>
          <w:p w:rsidR="00F400C8" w:rsidRPr="009C512F" w:rsidRDefault="00F400C8" w:rsidP="00057E96">
            <w:pPr>
              <w:jc w:val="center"/>
              <w:rPr>
                <w:b/>
                <w:sz w:val="20"/>
              </w:rPr>
            </w:pPr>
          </w:p>
        </w:tc>
        <w:tc>
          <w:tcPr>
            <w:tcW w:w="1440" w:type="dxa"/>
            <w:tcBorders>
              <w:top w:val="nil"/>
              <w:left w:val="single" w:sz="6" w:space="0" w:color="000000"/>
              <w:bottom w:val="single" w:sz="6" w:space="0" w:color="000000"/>
              <w:right w:val="single" w:sz="6" w:space="0" w:color="000000"/>
            </w:tcBorders>
          </w:tcPr>
          <w:p w:rsidR="00F400C8" w:rsidRPr="009C512F" w:rsidRDefault="00F400C8" w:rsidP="00057E96">
            <w:pPr>
              <w:jc w:val="center"/>
              <w:rPr>
                <w:b/>
                <w:sz w:val="20"/>
              </w:rPr>
            </w:pPr>
          </w:p>
        </w:tc>
        <w:tc>
          <w:tcPr>
            <w:tcW w:w="3600" w:type="dxa"/>
            <w:gridSpan w:val="3"/>
            <w:tcBorders>
              <w:top w:val="nil"/>
              <w:left w:val="single" w:sz="6" w:space="0" w:color="000000"/>
              <w:bottom w:val="single" w:sz="6" w:space="0" w:color="000000"/>
              <w:right w:val="single" w:sz="6" w:space="0" w:color="000000"/>
            </w:tcBorders>
          </w:tcPr>
          <w:p w:rsidR="00F400C8" w:rsidRPr="009C512F" w:rsidRDefault="00F400C8" w:rsidP="00057E96">
            <w:pPr>
              <w:jc w:val="center"/>
              <w:rPr>
                <w:b/>
                <w:color w:val="000000"/>
                <w:sz w:val="20"/>
                <w:szCs w:val="20"/>
              </w:rPr>
            </w:pPr>
            <w:r w:rsidRPr="009C512F">
              <w:rPr>
                <w:b/>
                <w:color w:val="000000"/>
                <w:sz w:val="20"/>
                <w:szCs w:val="20"/>
              </w:rPr>
              <w:t>10,387</w:t>
            </w:r>
          </w:p>
        </w:tc>
        <w:tc>
          <w:tcPr>
            <w:tcW w:w="1560" w:type="dxa"/>
            <w:tcBorders>
              <w:top w:val="nil"/>
              <w:left w:val="single" w:sz="6" w:space="0" w:color="000000"/>
              <w:bottom w:val="single" w:sz="6" w:space="0" w:color="000000"/>
            </w:tcBorders>
          </w:tcPr>
          <w:p w:rsidR="00F400C8" w:rsidRPr="009C512F" w:rsidRDefault="00F400C8" w:rsidP="00CE131F">
            <w:pPr>
              <w:jc w:val="right"/>
              <w:rPr>
                <w:b/>
                <w:color w:val="000000"/>
                <w:sz w:val="20"/>
                <w:szCs w:val="20"/>
              </w:rPr>
            </w:pPr>
            <w:r w:rsidRPr="009C512F">
              <w:rPr>
                <w:b/>
                <w:color w:val="000000"/>
                <w:sz w:val="20"/>
                <w:szCs w:val="20"/>
              </w:rPr>
              <w:t xml:space="preserve">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4.  Recordkeeping requirements</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A.  Read instructions</w:t>
            </w:r>
            <w:r w:rsidR="00AD53AE">
              <w:rPr>
                <w:sz w:val="20"/>
              </w:rPr>
              <w:t xml:space="preserve"> </w:t>
            </w:r>
            <w:r w:rsidR="00AD53AE" w:rsidRPr="00F1302C">
              <w:rPr>
                <w:sz w:val="20"/>
                <w:vertAlign w:val="superscript"/>
              </w:rPr>
              <w:t>i</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56,204</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56,204</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CE131F">
            <w:pPr>
              <w:jc w:val="center"/>
              <w:rPr>
                <w:color w:val="000000"/>
                <w:sz w:val="20"/>
                <w:szCs w:val="20"/>
              </w:rPr>
            </w:pPr>
            <w:r>
              <w:rPr>
                <w:color w:val="000000"/>
                <w:sz w:val="20"/>
                <w:szCs w:val="20"/>
              </w:rPr>
              <w:t>2,810.2</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5,620.4</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$6,193,231.17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B.  Train personnel</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C.  Recording CDPF corrective action</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w:t>
            </w:r>
          </w:p>
        </w:tc>
      </w:tr>
      <w:tr w:rsidR="00F400C8" w:rsidTr="00057E96">
        <w:trPr>
          <w:jc w:val="center"/>
        </w:trPr>
        <w:tc>
          <w:tcPr>
            <w:tcW w:w="4350" w:type="dxa"/>
            <w:tcBorders>
              <w:top w:val="nil"/>
              <w:bottom w:val="single" w:sz="6" w:space="0" w:color="000000"/>
              <w:right w:val="single" w:sz="6" w:space="0" w:color="000000"/>
            </w:tcBorders>
          </w:tcPr>
          <w:p w:rsidR="00F400C8" w:rsidRDefault="00F400C8" w:rsidP="00057E96">
            <w:pPr>
              <w:rPr>
                <w:sz w:val="20"/>
              </w:rPr>
            </w:pPr>
            <w:r>
              <w:rPr>
                <w:sz w:val="20"/>
              </w:rPr>
              <w:t xml:space="preserve">     D.  Recording hours in non-emergency operation </w:t>
            </w:r>
            <w:r w:rsidR="00AD53AE">
              <w:rPr>
                <w:sz w:val="20"/>
                <w:vertAlign w:val="superscript"/>
              </w:rPr>
              <w:t>j</w:t>
            </w:r>
          </w:p>
        </w:tc>
        <w:tc>
          <w:tcPr>
            <w:tcW w:w="1260" w:type="dxa"/>
            <w:tcBorders>
              <w:top w:val="nil"/>
              <w:left w:val="single" w:sz="6" w:space="0" w:color="000000"/>
              <w:bottom w:val="single" w:sz="4" w:space="0" w:color="auto"/>
              <w:right w:val="single" w:sz="6" w:space="0" w:color="000000"/>
            </w:tcBorders>
            <w:vAlign w:val="center"/>
          </w:tcPr>
          <w:p w:rsidR="00F400C8" w:rsidRDefault="00F400C8" w:rsidP="00057E96">
            <w:pPr>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0.5</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206,410</w:t>
            </w:r>
          </w:p>
        </w:tc>
        <w:tc>
          <w:tcPr>
            <w:tcW w:w="117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103,205</w:t>
            </w:r>
          </w:p>
        </w:tc>
        <w:tc>
          <w:tcPr>
            <w:tcW w:w="144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5,160.25</w:t>
            </w:r>
          </w:p>
        </w:tc>
        <w:tc>
          <w:tcPr>
            <w:tcW w:w="990" w:type="dxa"/>
            <w:tcBorders>
              <w:top w:val="nil"/>
              <w:left w:val="single" w:sz="6" w:space="0" w:color="000000"/>
              <w:bottom w:val="single" w:sz="6" w:space="0" w:color="000000"/>
              <w:right w:val="single" w:sz="6" w:space="0" w:color="000000"/>
            </w:tcBorders>
            <w:vAlign w:val="center"/>
          </w:tcPr>
          <w:p w:rsidR="00F400C8" w:rsidRDefault="00F400C8" w:rsidP="00057E96">
            <w:pPr>
              <w:jc w:val="center"/>
              <w:rPr>
                <w:color w:val="000000"/>
                <w:sz w:val="20"/>
                <w:szCs w:val="20"/>
              </w:rPr>
            </w:pPr>
            <w:r>
              <w:rPr>
                <w:color w:val="000000"/>
                <w:sz w:val="20"/>
                <w:szCs w:val="20"/>
              </w:rPr>
              <w:t>10,320.5</w:t>
            </w:r>
          </w:p>
        </w:tc>
        <w:tc>
          <w:tcPr>
            <w:tcW w:w="1560" w:type="dxa"/>
            <w:tcBorders>
              <w:top w:val="nil"/>
              <w:left w:val="single" w:sz="6" w:space="0" w:color="000000"/>
              <w:bottom w:val="single" w:sz="6" w:space="0" w:color="000000"/>
            </w:tcBorders>
            <w:vAlign w:val="center"/>
          </w:tcPr>
          <w:p w:rsidR="00F400C8" w:rsidRDefault="00F400C8" w:rsidP="00057E96">
            <w:pPr>
              <w:jc w:val="right"/>
              <w:rPr>
                <w:color w:val="000000"/>
                <w:sz w:val="20"/>
                <w:szCs w:val="20"/>
              </w:rPr>
            </w:pPr>
            <w:r>
              <w:rPr>
                <w:color w:val="000000"/>
                <w:sz w:val="20"/>
                <w:szCs w:val="20"/>
              </w:rPr>
              <w:t xml:space="preserve">$11,372,365.36 </w:t>
            </w:r>
          </w:p>
        </w:tc>
      </w:tr>
      <w:tr w:rsidR="00F400C8" w:rsidRPr="009C512F" w:rsidTr="00057E96">
        <w:trPr>
          <w:jc w:val="center"/>
        </w:trPr>
        <w:tc>
          <w:tcPr>
            <w:tcW w:w="4350" w:type="dxa"/>
            <w:tcBorders>
              <w:top w:val="single" w:sz="6" w:space="0" w:color="000000"/>
              <w:bottom w:val="single" w:sz="6" w:space="0" w:color="000000"/>
              <w:right w:val="single" w:sz="6" w:space="0" w:color="000000"/>
            </w:tcBorders>
          </w:tcPr>
          <w:p w:rsidR="00F400C8" w:rsidRPr="009C512F" w:rsidRDefault="00F400C8" w:rsidP="00057E96">
            <w:pPr>
              <w:rPr>
                <w:b/>
                <w:i/>
                <w:sz w:val="20"/>
              </w:rPr>
            </w:pPr>
            <w:r w:rsidRPr="009C512F">
              <w:rPr>
                <w:b/>
                <w:i/>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F400C8" w:rsidRPr="009C512F" w:rsidRDefault="00F400C8" w:rsidP="00057E96">
            <w:pPr>
              <w:jc w:val="cente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F400C8" w:rsidRPr="009C512F" w:rsidRDefault="00F400C8" w:rsidP="00057E96">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F400C8" w:rsidRPr="009C512F" w:rsidRDefault="00F400C8" w:rsidP="00057E96">
            <w:pPr>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F400C8" w:rsidRPr="009C512F" w:rsidRDefault="00F400C8" w:rsidP="00057E96">
            <w:pPr>
              <w:jc w:val="center"/>
              <w:rPr>
                <w:b/>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F400C8" w:rsidRPr="009C512F" w:rsidRDefault="00F400C8" w:rsidP="00057E96">
            <w:pPr>
              <w:jc w:val="center"/>
              <w:rPr>
                <w:b/>
                <w:sz w:val="20"/>
              </w:rPr>
            </w:pPr>
            <w:r w:rsidRPr="009C512F">
              <w:rPr>
                <w:b/>
                <w:color w:val="000000"/>
                <w:sz w:val="20"/>
                <w:szCs w:val="20"/>
              </w:rPr>
              <w:t>183,320</w:t>
            </w:r>
          </w:p>
        </w:tc>
        <w:tc>
          <w:tcPr>
            <w:tcW w:w="1560" w:type="dxa"/>
            <w:tcBorders>
              <w:top w:val="single" w:sz="6" w:space="0" w:color="000000"/>
              <w:left w:val="single" w:sz="6" w:space="0" w:color="000000"/>
              <w:bottom w:val="single" w:sz="6" w:space="0" w:color="000000"/>
            </w:tcBorders>
          </w:tcPr>
          <w:p w:rsidR="00F400C8" w:rsidRPr="009C512F" w:rsidRDefault="00F400C8" w:rsidP="00CE131F">
            <w:pPr>
              <w:jc w:val="right"/>
              <w:rPr>
                <w:b/>
                <w:color w:val="000000"/>
                <w:sz w:val="20"/>
                <w:szCs w:val="20"/>
              </w:rPr>
            </w:pPr>
          </w:p>
        </w:tc>
      </w:tr>
      <w:tr w:rsidR="00F400C8" w:rsidTr="00057E96">
        <w:trPr>
          <w:jc w:val="center"/>
        </w:trPr>
        <w:tc>
          <w:tcPr>
            <w:tcW w:w="4350" w:type="dxa"/>
            <w:tcBorders>
              <w:top w:val="single" w:sz="6" w:space="0" w:color="000000"/>
              <w:bottom w:val="single" w:sz="6" w:space="0" w:color="000000"/>
              <w:right w:val="single" w:sz="6" w:space="0" w:color="000000"/>
            </w:tcBorders>
          </w:tcPr>
          <w:p w:rsidR="00F400C8" w:rsidRDefault="00F400C8" w:rsidP="00057E96">
            <w:pPr>
              <w:rPr>
                <w:sz w:val="20"/>
              </w:rPr>
            </w:pPr>
            <w:r>
              <w:rPr>
                <w:b/>
                <w:sz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F400C8" w:rsidRDefault="00F400C8" w:rsidP="00057E96">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F400C8" w:rsidRDefault="00F400C8" w:rsidP="00057E96">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F400C8" w:rsidRDefault="00F400C8" w:rsidP="00057E96">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F400C8" w:rsidRDefault="00F400C8" w:rsidP="00057E96">
            <w:pPr>
              <w:rPr>
                <w:sz w:val="20"/>
              </w:rPr>
            </w:pP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F400C8" w:rsidRPr="00B95384" w:rsidRDefault="00F400C8" w:rsidP="00057E96">
            <w:pPr>
              <w:jc w:val="center"/>
              <w:rPr>
                <w:b/>
                <w:color w:val="000000"/>
                <w:sz w:val="20"/>
                <w:szCs w:val="20"/>
              </w:rPr>
            </w:pPr>
            <w:r w:rsidRPr="00B95384">
              <w:rPr>
                <w:b/>
                <w:color w:val="000000"/>
                <w:sz w:val="20"/>
                <w:szCs w:val="20"/>
              </w:rPr>
              <w:t>193,70</w:t>
            </w:r>
            <w:r w:rsidR="00A904E4">
              <w:rPr>
                <w:b/>
                <w:color w:val="000000"/>
                <w:sz w:val="20"/>
                <w:szCs w:val="20"/>
              </w:rPr>
              <w:t>7</w:t>
            </w:r>
          </w:p>
        </w:tc>
        <w:tc>
          <w:tcPr>
            <w:tcW w:w="1560" w:type="dxa"/>
            <w:tcBorders>
              <w:top w:val="single" w:sz="6" w:space="0" w:color="000000"/>
              <w:left w:val="single" w:sz="6" w:space="0" w:color="000000"/>
              <w:bottom w:val="single" w:sz="6" w:space="0" w:color="000000"/>
            </w:tcBorders>
            <w:vAlign w:val="center"/>
          </w:tcPr>
          <w:p w:rsidR="00F400C8" w:rsidRPr="00B95384" w:rsidRDefault="00F400C8" w:rsidP="00057E96">
            <w:pPr>
              <w:jc w:val="right"/>
              <w:rPr>
                <w:b/>
                <w:color w:val="000000"/>
                <w:sz w:val="20"/>
                <w:szCs w:val="20"/>
              </w:rPr>
            </w:pPr>
            <w:r w:rsidRPr="00B95384">
              <w:rPr>
                <w:b/>
                <w:color w:val="000000"/>
                <w:sz w:val="20"/>
                <w:szCs w:val="20"/>
              </w:rPr>
              <w:t xml:space="preserve">$18,560,917 </w:t>
            </w:r>
          </w:p>
        </w:tc>
      </w:tr>
    </w:tbl>
    <w:p w:rsidR="00F400C8" w:rsidRDefault="00F400C8" w:rsidP="00F400C8">
      <w:pPr>
        <w:ind w:right="-270"/>
        <w:rPr>
          <w:b/>
          <w:bCs/>
          <w:sz w:val="20"/>
          <w:szCs w:val="20"/>
        </w:rPr>
      </w:pPr>
    </w:p>
    <w:p w:rsidR="00F400C8" w:rsidRDefault="00F400C8" w:rsidP="0019142C">
      <w:pPr>
        <w:ind w:left="-900" w:right="-270"/>
        <w:outlineLvl w:val="0"/>
        <w:rPr>
          <w:sz w:val="20"/>
          <w:szCs w:val="20"/>
        </w:rPr>
      </w:pPr>
      <w:r>
        <w:rPr>
          <w:b/>
          <w:bCs/>
          <w:sz w:val="20"/>
          <w:szCs w:val="20"/>
        </w:rPr>
        <w:lastRenderedPageBreak/>
        <w:t>Assumptions:</w:t>
      </w:r>
    </w:p>
    <w:p w:rsidR="00F400C8" w:rsidRDefault="00F400C8" w:rsidP="0019142C">
      <w:pPr>
        <w:ind w:left="-900" w:right="-270"/>
        <w:rPr>
          <w:sz w:val="20"/>
          <w:szCs w:val="20"/>
        </w:rPr>
      </w:pPr>
      <w:r>
        <w:rPr>
          <w:vertAlign w:val="superscript"/>
        </w:rPr>
        <w:t>a</w:t>
      </w:r>
      <w:r>
        <w:rPr>
          <w:sz w:val="20"/>
          <w:szCs w:val="20"/>
        </w:rPr>
        <w:t xml:space="preserve">  We have assumed that there are 206,410 sources currently subject to the regulations, and it is estimated that 40 new sources are expected each year over the next three years.</w:t>
      </w:r>
    </w:p>
    <w:p w:rsidR="00F400C8" w:rsidRDefault="00F400C8" w:rsidP="0019142C">
      <w:pPr>
        <w:ind w:left="-900" w:right="-270"/>
        <w:rPr>
          <w:sz w:val="20"/>
          <w:szCs w:val="20"/>
        </w:rPr>
      </w:pPr>
      <w:r>
        <w:rPr>
          <w:vertAlign w:val="superscript"/>
        </w:rPr>
        <w:t>b</w:t>
      </w:r>
      <w:r>
        <w:rPr>
          <w:sz w:val="20"/>
          <w:szCs w:val="20"/>
        </w:rPr>
        <w:t xml:space="preserve">  This ICR uses the following labor rates:  $121.42 per hour for Executive, Administrative, and Managerial labor; $99.14 per hour for Technical labor, and $49.81 per hour for Clerical labor.  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F400C8" w:rsidRDefault="00F400C8" w:rsidP="0019142C">
      <w:pPr>
        <w:ind w:left="-900" w:right="-270"/>
        <w:rPr>
          <w:sz w:val="20"/>
          <w:szCs w:val="20"/>
        </w:rPr>
      </w:pPr>
      <w:r>
        <w:rPr>
          <w:vertAlign w:val="superscript"/>
        </w:rPr>
        <w:t>c</w:t>
      </w:r>
      <w:r>
        <w:rPr>
          <w:sz w:val="20"/>
          <w:szCs w:val="20"/>
        </w:rPr>
        <w:t xml:space="preserve">  We have assumed that it will take 44 hours for all affected facilities to complete the certification application.</w:t>
      </w:r>
    </w:p>
    <w:p w:rsidR="00F400C8" w:rsidRDefault="00F400C8" w:rsidP="0019142C">
      <w:pPr>
        <w:ind w:left="-900" w:right="-270"/>
        <w:rPr>
          <w:sz w:val="20"/>
          <w:szCs w:val="20"/>
        </w:rPr>
      </w:pPr>
      <w:r>
        <w:rPr>
          <w:vertAlign w:val="superscript"/>
        </w:rPr>
        <w:t>d</w:t>
      </w:r>
      <w:r>
        <w:rPr>
          <w:sz w:val="20"/>
          <w:szCs w:val="20"/>
        </w:rPr>
        <w:t xml:space="preserve">  We have assumed that it will take 168 hours for all affected facilities to complete the certificate/durability testing.</w:t>
      </w:r>
    </w:p>
    <w:p w:rsidR="00F400C8" w:rsidRDefault="00F400C8" w:rsidP="0019142C">
      <w:pPr>
        <w:ind w:left="-900" w:right="-270"/>
        <w:rPr>
          <w:sz w:val="20"/>
          <w:szCs w:val="20"/>
        </w:rPr>
      </w:pPr>
      <w:r>
        <w:rPr>
          <w:vertAlign w:val="superscript"/>
        </w:rPr>
        <w:t xml:space="preserve">e </w:t>
      </w:r>
      <w:r>
        <w:rPr>
          <w:sz w:val="20"/>
          <w:szCs w:val="20"/>
        </w:rPr>
        <w:t xml:space="preserve"> We have assumed that it will take 125 hours for all affected facilities to complete the defect report.</w:t>
      </w:r>
    </w:p>
    <w:p w:rsidR="00F400C8" w:rsidRDefault="00F400C8" w:rsidP="0019142C">
      <w:pPr>
        <w:ind w:left="-900" w:right="-270"/>
        <w:rPr>
          <w:sz w:val="20"/>
          <w:szCs w:val="20"/>
        </w:rPr>
      </w:pPr>
      <w:r w:rsidRPr="00B73314">
        <w:rPr>
          <w:sz w:val="20"/>
          <w:szCs w:val="20"/>
          <w:vertAlign w:val="superscript"/>
        </w:rPr>
        <w:t>f</w:t>
      </w:r>
      <w:r>
        <w:rPr>
          <w:sz w:val="20"/>
          <w:szCs w:val="20"/>
        </w:rPr>
        <w:t xml:space="preserve">  We have assumed that each of the 40 respondents will take one hour to read instructions.</w:t>
      </w:r>
    </w:p>
    <w:p w:rsidR="00F400C8" w:rsidRDefault="00F400C8" w:rsidP="0019142C">
      <w:pPr>
        <w:ind w:left="-900" w:right="-270"/>
        <w:rPr>
          <w:sz w:val="20"/>
          <w:szCs w:val="20"/>
        </w:rPr>
      </w:pPr>
      <w:r w:rsidRPr="00B73314">
        <w:rPr>
          <w:sz w:val="20"/>
          <w:szCs w:val="20"/>
          <w:vertAlign w:val="superscript"/>
        </w:rPr>
        <w:t>g</w:t>
      </w:r>
      <w:r>
        <w:rPr>
          <w:sz w:val="20"/>
          <w:szCs w:val="20"/>
        </w:rPr>
        <w:t xml:space="preserve">  We have assumed that 80 percent of the 40 affected facilities are required to write the &gt;3,000 hp, prime report.</w:t>
      </w:r>
    </w:p>
    <w:p w:rsidR="00F400C8" w:rsidRDefault="00F400C8" w:rsidP="0019142C">
      <w:pPr>
        <w:ind w:left="-900" w:right="-270"/>
        <w:rPr>
          <w:sz w:val="20"/>
          <w:szCs w:val="20"/>
        </w:rPr>
      </w:pPr>
      <w:r w:rsidRPr="00B73314">
        <w:rPr>
          <w:sz w:val="20"/>
          <w:szCs w:val="20"/>
          <w:vertAlign w:val="superscript"/>
        </w:rPr>
        <w:t>h</w:t>
      </w:r>
      <w:r>
        <w:rPr>
          <w:sz w:val="20"/>
          <w:szCs w:val="20"/>
        </w:rPr>
        <w:t xml:space="preserve">  We have assumed that 20 percent of the 40 affected facilities will write the 10 l/cyl prime report.</w:t>
      </w:r>
    </w:p>
    <w:p w:rsidR="00F400C8" w:rsidRDefault="00F400C8" w:rsidP="0019142C">
      <w:pPr>
        <w:ind w:left="-900" w:right="-270"/>
        <w:rPr>
          <w:sz w:val="20"/>
          <w:szCs w:val="20"/>
        </w:rPr>
      </w:pPr>
      <w:r w:rsidRPr="00B73314">
        <w:rPr>
          <w:sz w:val="20"/>
          <w:szCs w:val="20"/>
          <w:vertAlign w:val="superscript"/>
        </w:rPr>
        <w:t>i</w:t>
      </w:r>
      <w:r>
        <w:rPr>
          <w:sz w:val="20"/>
          <w:szCs w:val="20"/>
        </w:rPr>
        <w:t xml:space="preserve">  We have assumed that </w:t>
      </w:r>
      <w:r w:rsidR="00AD53AE">
        <w:rPr>
          <w:sz w:val="20"/>
          <w:szCs w:val="20"/>
        </w:rPr>
        <w:t>on average 56,204 of the 206,410 respondents will read rule instructions each year</w:t>
      </w:r>
      <w:r>
        <w:rPr>
          <w:sz w:val="20"/>
          <w:szCs w:val="20"/>
        </w:rPr>
        <w:t>.</w:t>
      </w:r>
    </w:p>
    <w:p w:rsidR="00AD53AE" w:rsidRDefault="00AD53AE" w:rsidP="00AD53AE">
      <w:pPr>
        <w:ind w:left="-900" w:right="-270"/>
        <w:rPr>
          <w:sz w:val="20"/>
          <w:szCs w:val="20"/>
          <w:vertAlign w:val="superscript"/>
        </w:rPr>
      </w:pPr>
      <w:r>
        <w:rPr>
          <w:sz w:val="20"/>
          <w:szCs w:val="20"/>
          <w:vertAlign w:val="superscript"/>
        </w:rPr>
        <w:t>j</w:t>
      </w:r>
      <w:r>
        <w:rPr>
          <w:sz w:val="20"/>
          <w:szCs w:val="20"/>
        </w:rPr>
        <w:t xml:space="preserve">  We have assumed that respondents are required to keep the records for the recording hours in non-emergency operation.</w:t>
      </w:r>
    </w:p>
    <w:p w:rsidR="00AD53AE" w:rsidRDefault="00AD53AE" w:rsidP="0019142C">
      <w:pPr>
        <w:ind w:left="-900" w:right="-270"/>
        <w:rPr>
          <w:sz w:val="20"/>
          <w:szCs w:val="20"/>
          <w:vertAlign w:val="superscript"/>
        </w:rPr>
      </w:pPr>
    </w:p>
    <w:p w:rsidR="00F400C8" w:rsidRDefault="00F400C8" w:rsidP="00F400C8">
      <w:pPr>
        <w:ind w:left="-180" w:right="-270"/>
        <w:rPr>
          <w:sz w:val="20"/>
          <w:szCs w:val="20"/>
          <w:vertAlign w:val="superscript"/>
        </w:rPr>
      </w:pPr>
    </w:p>
    <w:p w:rsidR="00F400C8" w:rsidRDefault="00F400C8" w:rsidP="00F400C8">
      <w:pPr>
        <w:ind w:left="-180" w:right="-270"/>
        <w:rPr>
          <w:sz w:val="20"/>
          <w:szCs w:val="20"/>
          <w:vertAlign w:val="superscript"/>
        </w:rPr>
      </w:pPr>
    </w:p>
    <w:p w:rsidR="00F400C8" w:rsidRDefault="00F400C8" w:rsidP="00F400C8">
      <w:pPr>
        <w:ind w:left="-180" w:right="-270"/>
        <w:rPr>
          <w:sz w:val="20"/>
          <w:szCs w:val="20"/>
          <w:vertAlign w:val="superscript"/>
        </w:rPr>
      </w:pPr>
    </w:p>
    <w:p w:rsidR="00F400C8" w:rsidRDefault="00F400C8" w:rsidP="00F400C8">
      <w:pPr>
        <w:ind w:right="-270"/>
        <w:rPr>
          <w:sz w:val="20"/>
          <w:szCs w:val="20"/>
          <w:vertAlign w:val="superscript"/>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both"/>
        <w:rPr>
          <w:b/>
          <w:bCs/>
        </w:rPr>
      </w:pPr>
    </w:p>
    <w:p w:rsidR="00F400C8" w:rsidRDefault="00F400C8" w:rsidP="00F400C8">
      <w:pPr>
        <w:tabs>
          <w:tab w:val="left" w:pos="1350"/>
        </w:tabs>
        <w:jc w:val="center"/>
        <w:rPr>
          <w:b/>
          <w:bCs/>
        </w:rPr>
      </w:pPr>
      <w:r>
        <w:rPr>
          <w:b/>
          <w:bCs/>
        </w:rPr>
        <w:t xml:space="preserve">Table 2:  Average Annual </w:t>
      </w:r>
      <w:r w:rsidR="003E2EAA">
        <w:rPr>
          <w:b/>
          <w:bCs/>
        </w:rPr>
        <w:t xml:space="preserve">EPA </w:t>
      </w:r>
      <w:r>
        <w:rPr>
          <w:b/>
          <w:bCs/>
        </w:rPr>
        <w:t xml:space="preserve">Burden </w:t>
      </w:r>
      <w:r w:rsidR="003E2EAA">
        <w:rPr>
          <w:b/>
          <w:bCs/>
        </w:rPr>
        <w:t xml:space="preserve">and Cost </w:t>
      </w:r>
      <w:r>
        <w:rPr>
          <w:b/>
          <w:bCs/>
        </w:rPr>
        <w:t xml:space="preserve">– </w:t>
      </w:r>
      <w:r w:rsidRPr="00EE2A4E">
        <w:rPr>
          <w:b/>
          <w:bCs/>
        </w:rPr>
        <w:t xml:space="preserve">NSPS </w:t>
      </w:r>
      <w:r w:rsidRPr="00EE2A4E">
        <w:rPr>
          <w:b/>
        </w:rPr>
        <w:t xml:space="preserve">for </w:t>
      </w:r>
      <w:r w:rsidRPr="00EE2A4E">
        <w:rPr>
          <w:b/>
          <w:bCs/>
        </w:rPr>
        <w:t xml:space="preserve">Stationary </w:t>
      </w:r>
      <w:r w:rsidR="003E2EAA">
        <w:rPr>
          <w:b/>
          <w:bCs/>
        </w:rPr>
        <w:t xml:space="preserve">Source </w:t>
      </w:r>
      <w:r w:rsidRPr="00EE2A4E">
        <w:rPr>
          <w:b/>
          <w:bCs/>
        </w:rPr>
        <w:t>Compression Ignition Internal Combustion Engines (40 CFR Part 60, Subpart IIII)</w:t>
      </w:r>
      <w:r>
        <w:rPr>
          <w:b/>
          <w:bCs/>
        </w:rPr>
        <w:t xml:space="preserve"> (Renewal)</w:t>
      </w:r>
    </w:p>
    <w:p w:rsidR="00F400C8" w:rsidRPr="00EE2A4E" w:rsidRDefault="00F400C8" w:rsidP="00F400C8">
      <w:pPr>
        <w:tabs>
          <w:tab w:val="left" w:pos="1350"/>
        </w:tabs>
        <w:jc w:val="both"/>
        <w:rPr>
          <w:b/>
          <w:bCs/>
          <w:sz w:val="20"/>
          <w:szCs w:val="20"/>
        </w:rPr>
      </w:pPr>
      <w:r w:rsidRPr="00EE2A4E">
        <w:rPr>
          <w:b/>
          <w:bCs/>
          <w:sz w:val="20"/>
          <w:szCs w:val="20"/>
        </w:rPr>
        <w:t xml:space="preserve"> </w:t>
      </w:r>
    </w:p>
    <w:tbl>
      <w:tblPr>
        <w:tblW w:w="13731" w:type="dxa"/>
        <w:jc w:val="center"/>
        <w:tblLayout w:type="fixed"/>
        <w:tblCellMar>
          <w:left w:w="134" w:type="dxa"/>
          <w:right w:w="134" w:type="dxa"/>
        </w:tblCellMar>
        <w:tblLook w:val="0000"/>
      </w:tblPr>
      <w:tblGrid>
        <w:gridCol w:w="4166"/>
        <w:gridCol w:w="1260"/>
        <w:gridCol w:w="1350"/>
        <w:gridCol w:w="1170"/>
        <w:gridCol w:w="900"/>
        <w:gridCol w:w="1170"/>
        <w:gridCol w:w="1440"/>
        <w:gridCol w:w="1080"/>
        <w:gridCol w:w="1195"/>
      </w:tblGrid>
      <w:tr w:rsidR="00F400C8" w:rsidTr="006A23A1">
        <w:trPr>
          <w:tblHeader/>
          <w:jc w:val="center"/>
        </w:trPr>
        <w:tc>
          <w:tcPr>
            <w:tcW w:w="4166" w:type="dxa"/>
            <w:tcBorders>
              <w:top w:val="single" w:sz="8" w:space="0" w:color="000000"/>
              <w:left w:val="single" w:sz="4" w:space="0" w:color="auto"/>
              <w:bottom w:val="single" w:sz="4" w:space="0" w:color="auto"/>
              <w:right w:val="single" w:sz="6" w:space="0" w:color="FFFFFF"/>
            </w:tcBorders>
            <w:vAlign w:val="center"/>
          </w:tcPr>
          <w:p w:rsidR="00F400C8" w:rsidRDefault="00F400C8" w:rsidP="00057E96">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F400C8" w:rsidRDefault="00F400C8" w:rsidP="00057E96">
            <w:pPr>
              <w:tabs>
                <w:tab w:val="center" w:pos="496"/>
              </w:tabs>
              <w:jc w:val="center"/>
              <w:rPr>
                <w:b/>
                <w:bCs/>
                <w:sz w:val="20"/>
                <w:szCs w:val="20"/>
              </w:rPr>
            </w:pPr>
            <w:r>
              <w:rPr>
                <w:b/>
                <w:bCs/>
                <w:sz w:val="20"/>
                <w:szCs w:val="20"/>
              </w:rPr>
              <w:t>(A)</w:t>
            </w:r>
          </w:p>
          <w:p w:rsidR="00F400C8" w:rsidRDefault="00F400C8" w:rsidP="00057E96">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F400C8" w:rsidRDefault="00F400C8" w:rsidP="00057E96">
            <w:pPr>
              <w:tabs>
                <w:tab w:val="center" w:pos="541"/>
              </w:tabs>
              <w:jc w:val="center"/>
              <w:rPr>
                <w:b/>
                <w:bCs/>
                <w:sz w:val="20"/>
                <w:szCs w:val="20"/>
              </w:rPr>
            </w:pPr>
            <w:r>
              <w:rPr>
                <w:b/>
                <w:bCs/>
                <w:sz w:val="20"/>
                <w:szCs w:val="20"/>
              </w:rPr>
              <w:t>(B)</w:t>
            </w:r>
          </w:p>
          <w:p w:rsidR="00F400C8" w:rsidRDefault="00F400C8" w:rsidP="00057E96">
            <w:pPr>
              <w:tabs>
                <w:tab w:val="center" w:pos="541"/>
              </w:tabs>
              <w:jc w:val="center"/>
              <w:rPr>
                <w:b/>
                <w:bCs/>
                <w:sz w:val="20"/>
                <w:szCs w:val="20"/>
              </w:rPr>
            </w:pPr>
            <w:r>
              <w:rPr>
                <w:b/>
                <w:bCs/>
                <w:sz w:val="20"/>
                <w:szCs w:val="20"/>
              </w:rPr>
              <w:t>No. of occurrences per plant per year</w:t>
            </w:r>
          </w:p>
        </w:tc>
        <w:tc>
          <w:tcPr>
            <w:tcW w:w="1170" w:type="dxa"/>
            <w:tcBorders>
              <w:top w:val="single" w:sz="8" w:space="0" w:color="000000"/>
              <w:left w:val="single" w:sz="7" w:space="0" w:color="000000"/>
              <w:bottom w:val="single" w:sz="4" w:space="0" w:color="auto"/>
              <w:right w:val="single" w:sz="6" w:space="0" w:color="FFFFFF"/>
            </w:tcBorders>
          </w:tcPr>
          <w:p w:rsidR="00F400C8" w:rsidRDefault="00F400C8" w:rsidP="00057E96">
            <w:pPr>
              <w:tabs>
                <w:tab w:val="center" w:pos="541"/>
              </w:tabs>
              <w:jc w:val="center"/>
              <w:rPr>
                <w:b/>
                <w:bCs/>
                <w:sz w:val="20"/>
                <w:szCs w:val="20"/>
              </w:rPr>
            </w:pPr>
            <w:r>
              <w:rPr>
                <w:b/>
                <w:bCs/>
                <w:sz w:val="20"/>
                <w:szCs w:val="20"/>
              </w:rPr>
              <w:t>(C)</w:t>
            </w:r>
          </w:p>
          <w:p w:rsidR="00F400C8" w:rsidRDefault="00F400C8" w:rsidP="00057E96">
            <w:pPr>
              <w:tabs>
                <w:tab w:val="center" w:pos="541"/>
              </w:tabs>
              <w:jc w:val="center"/>
              <w:rPr>
                <w:b/>
                <w:bCs/>
                <w:sz w:val="20"/>
                <w:szCs w:val="20"/>
              </w:rPr>
            </w:pPr>
            <w:r>
              <w:rPr>
                <w:b/>
                <w:bCs/>
                <w:sz w:val="20"/>
                <w:szCs w:val="20"/>
              </w:rPr>
              <w:t>EPA person- hours per plant per year</w:t>
            </w:r>
          </w:p>
          <w:p w:rsidR="00F400C8" w:rsidRDefault="00F400C8" w:rsidP="00057E96">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7" w:space="0" w:color="000000"/>
              <w:bottom w:val="single" w:sz="4" w:space="0" w:color="auto"/>
              <w:right w:val="single" w:sz="6" w:space="0" w:color="FFFFFF"/>
            </w:tcBorders>
          </w:tcPr>
          <w:p w:rsidR="00F400C8" w:rsidRDefault="00F400C8" w:rsidP="00057E96">
            <w:pPr>
              <w:tabs>
                <w:tab w:val="center" w:pos="451"/>
              </w:tabs>
              <w:jc w:val="center"/>
              <w:rPr>
                <w:b/>
                <w:bCs/>
                <w:sz w:val="20"/>
                <w:szCs w:val="20"/>
              </w:rPr>
            </w:pPr>
            <w:r>
              <w:rPr>
                <w:b/>
                <w:bCs/>
                <w:sz w:val="20"/>
                <w:szCs w:val="20"/>
              </w:rPr>
              <w:t>(D)</w:t>
            </w:r>
          </w:p>
          <w:p w:rsidR="00F400C8" w:rsidRDefault="00F400C8" w:rsidP="00057E96">
            <w:pPr>
              <w:tabs>
                <w:tab w:val="center" w:pos="451"/>
              </w:tabs>
              <w:jc w:val="center"/>
              <w:rPr>
                <w:b/>
                <w:bCs/>
                <w:sz w:val="20"/>
                <w:szCs w:val="20"/>
              </w:rPr>
            </w:pPr>
            <w:r>
              <w:rPr>
                <w:b/>
                <w:bCs/>
                <w:sz w:val="20"/>
                <w:szCs w:val="20"/>
              </w:rPr>
              <w:t xml:space="preserve">Plants per year  </w:t>
            </w:r>
            <w:r w:rsidRPr="006A23A1">
              <w:rPr>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F400C8" w:rsidRDefault="00F400C8" w:rsidP="00057E96">
            <w:pPr>
              <w:tabs>
                <w:tab w:val="center" w:pos="451"/>
              </w:tabs>
              <w:jc w:val="center"/>
              <w:rPr>
                <w:b/>
                <w:bCs/>
                <w:sz w:val="20"/>
                <w:szCs w:val="20"/>
              </w:rPr>
            </w:pPr>
            <w:r>
              <w:rPr>
                <w:b/>
                <w:bCs/>
                <w:sz w:val="20"/>
                <w:szCs w:val="20"/>
              </w:rPr>
              <w:t>(E)</w:t>
            </w:r>
          </w:p>
          <w:p w:rsidR="00F400C8" w:rsidRDefault="00F400C8" w:rsidP="00057E96">
            <w:pPr>
              <w:tabs>
                <w:tab w:val="center" w:pos="451"/>
              </w:tabs>
              <w:jc w:val="center"/>
              <w:rPr>
                <w:b/>
                <w:bCs/>
                <w:sz w:val="20"/>
                <w:szCs w:val="20"/>
              </w:rPr>
            </w:pPr>
            <w:r>
              <w:rPr>
                <w:b/>
                <w:bCs/>
                <w:sz w:val="20"/>
                <w:szCs w:val="20"/>
              </w:rPr>
              <w:t>Technical person- hours per year</w:t>
            </w:r>
          </w:p>
          <w:p w:rsidR="00F400C8" w:rsidRDefault="00F400C8" w:rsidP="00057E96">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F400C8" w:rsidRDefault="00F400C8" w:rsidP="00057E96">
            <w:pPr>
              <w:tabs>
                <w:tab w:val="center" w:pos="676"/>
              </w:tabs>
              <w:jc w:val="center"/>
              <w:rPr>
                <w:b/>
                <w:bCs/>
                <w:sz w:val="20"/>
                <w:szCs w:val="20"/>
              </w:rPr>
            </w:pPr>
            <w:r>
              <w:rPr>
                <w:b/>
                <w:bCs/>
                <w:sz w:val="20"/>
                <w:szCs w:val="20"/>
              </w:rPr>
              <w:t>(F)</w:t>
            </w:r>
          </w:p>
          <w:p w:rsidR="00F400C8" w:rsidRDefault="00F400C8" w:rsidP="00057E96">
            <w:pPr>
              <w:tabs>
                <w:tab w:val="center" w:pos="676"/>
              </w:tabs>
              <w:jc w:val="center"/>
              <w:rPr>
                <w:b/>
                <w:bCs/>
                <w:sz w:val="20"/>
                <w:szCs w:val="20"/>
              </w:rPr>
            </w:pPr>
            <w:r>
              <w:rPr>
                <w:b/>
                <w:bCs/>
                <w:sz w:val="20"/>
                <w:szCs w:val="20"/>
              </w:rPr>
              <w:t>Management person-hours per year</w:t>
            </w:r>
          </w:p>
          <w:p w:rsidR="00F400C8" w:rsidRDefault="00F400C8" w:rsidP="00057E96">
            <w:pPr>
              <w:tabs>
                <w:tab w:val="center" w:pos="676"/>
              </w:tabs>
              <w:jc w:val="center"/>
              <w:rPr>
                <w:b/>
                <w:bCs/>
                <w:sz w:val="20"/>
                <w:szCs w:val="20"/>
              </w:rPr>
            </w:pPr>
            <w:r>
              <w:rPr>
                <w:b/>
                <w:bCs/>
                <w:sz w:val="20"/>
                <w:szCs w:val="20"/>
              </w:rPr>
              <w:t>(Ex0.05)</w:t>
            </w:r>
          </w:p>
          <w:p w:rsidR="00F400C8" w:rsidRDefault="00F400C8" w:rsidP="00057E96">
            <w:pPr>
              <w:spacing w:after="58"/>
              <w:jc w:val="center"/>
              <w:rPr>
                <w:b/>
                <w:bCs/>
                <w:sz w:val="20"/>
                <w:szCs w:val="20"/>
              </w:rPr>
            </w:pPr>
          </w:p>
        </w:tc>
        <w:tc>
          <w:tcPr>
            <w:tcW w:w="1080" w:type="dxa"/>
            <w:tcBorders>
              <w:top w:val="single" w:sz="8" w:space="0" w:color="000000"/>
              <w:left w:val="single" w:sz="7" w:space="0" w:color="000000"/>
              <w:bottom w:val="single" w:sz="4" w:space="0" w:color="auto"/>
              <w:right w:val="single" w:sz="8" w:space="0" w:color="000000"/>
            </w:tcBorders>
          </w:tcPr>
          <w:p w:rsidR="00F400C8" w:rsidRDefault="00F400C8" w:rsidP="00057E96">
            <w:pPr>
              <w:tabs>
                <w:tab w:val="center" w:pos="451"/>
              </w:tabs>
              <w:jc w:val="center"/>
              <w:rPr>
                <w:b/>
                <w:bCs/>
                <w:sz w:val="20"/>
                <w:szCs w:val="20"/>
              </w:rPr>
            </w:pPr>
            <w:r>
              <w:rPr>
                <w:b/>
                <w:bCs/>
                <w:sz w:val="20"/>
                <w:szCs w:val="20"/>
              </w:rPr>
              <w:t>(G)</w:t>
            </w:r>
          </w:p>
          <w:p w:rsidR="00F400C8" w:rsidRDefault="00F400C8" w:rsidP="00057E96">
            <w:pPr>
              <w:tabs>
                <w:tab w:val="center" w:pos="451"/>
              </w:tabs>
              <w:jc w:val="center"/>
              <w:rPr>
                <w:b/>
                <w:bCs/>
                <w:sz w:val="20"/>
                <w:szCs w:val="20"/>
              </w:rPr>
            </w:pPr>
            <w:r>
              <w:rPr>
                <w:b/>
                <w:bCs/>
                <w:sz w:val="20"/>
                <w:szCs w:val="20"/>
              </w:rPr>
              <w:t>Clerical person-hours per year</w:t>
            </w:r>
          </w:p>
          <w:p w:rsidR="00F400C8" w:rsidRDefault="00F400C8" w:rsidP="00057E96">
            <w:pPr>
              <w:tabs>
                <w:tab w:val="center" w:pos="451"/>
              </w:tabs>
              <w:jc w:val="center"/>
              <w:rPr>
                <w:b/>
                <w:bCs/>
                <w:sz w:val="20"/>
                <w:szCs w:val="20"/>
              </w:rPr>
            </w:pPr>
            <w:r>
              <w:rPr>
                <w:b/>
                <w:bCs/>
                <w:sz w:val="20"/>
                <w:szCs w:val="20"/>
              </w:rPr>
              <w:t>(Ex0.1)</w:t>
            </w:r>
          </w:p>
        </w:tc>
        <w:tc>
          <w:tcPr>
            <w:tcW w:w="1195" w:type="dxa"/>
            <w:tcBorders>
              <w:top w:val="single" w:sz="8" w:space="0" w:color="000000"/>
              <w:left w:val="single" w:sz="8" w:space="0" w:color="000000"/>
              <w:bottom w:val="single" w:sz="4" w:space="0" w:color="auto"/>
              <w:right w:val="single" w:sz="4" w:space="0" w:color="auto"/>
            </w:tcBorders>
          </w:tcPr>
          <w:p w:rsidR="00F400C8" w:rsidRDefault="00F400C8" w:rsidP="00057E96">
            <w:pPr>
              <w:tabs>
                <w:tab w:val="center" w:pos="541"/>
              </w:tabs>
              <w:jc w:val="center"/>
              <w:rPr>
                <w:b/>
                <w:bCs/>
                <w:sz w:val="20"/>
                <w:szCs w:val="20"/>
              </w:rPr>
            </w:pPr>
            <w:r>
              <w:rPr>
                <w:b/>
                <w:bCs/>
                <w:sz w:val="20"/>
                <w:szCs w:val="20"/>
              </w:rPr>
              <w:t>(H)</w:t>
            </w:r>
          </w:p>
          <w:p w:rsidR="00F400C8" w:rsidRDefault="00F400C8" w:rsidP="00057E96">
            <w:pPr>
              <w:tabs>
                <w:tab w:val="center" w:pos="541"/>
              </w:tabs>
              <w:spacing w:after="58"/>
              <w:jc w:val="center"/>
              <w:rPr>
                <w:b/>
                <w:bCs/>
                <w:sz w:val="20"/>
                <w:szCs w:val="20"/>
              </w:rPr>
            </w:pPr>
            <w:r>
              <w:rPr>
                <w:b/>
                <w:bCs/>
                <w:sz w:val="20"/>
                <w:szCs w:val="20"/>
              </w:rPr>
              <w:t xml:space="preserve">Cost, $ </w:t>
            </w:r>
            <w:r>
              <w:rPr>
                <w:b/>
                <w:bCs/>
                <w:vertAlign w:val="superscript"/>
              </w:rPr>
              <w:t>b</w:t>
            </w:r>
          </w:p>
        </w:tc>
      </w:tr>
      <w:tr w:rsidR="00F400C8" w:rsidTr="006A23A1">
        <w:trPr>
          <w:jc w:val="center"/>
        </w:trPr>
        <w:tc>
          <w:tcPr>
            <w:tcW w:w="4166" w:type="dxa"/>
            <w:tcBorders>
              <w:top w:val="single" w:sz="4" w:space="0" w:color="auto"/>
              <w:left w:val="single" w:sz="4" w:space="0" w:color="auto"/>
              <w:bottom w:val="single" w:sz="4" w:space="0" w:color="auto"/>
              <w:right w:val="single" w:sz="4" w:space="0" w:color="auto"/>
            </w:tcBorders>
          </w:tcPr>
          <w:p w:rsidR="00F400C8" w:rsidRDefault="00F400C8" w:rsidP="00057E96">
            <w:pPr>
              <w:rPr>
                <w:sz w:val="20"/>
              </w:rPr>
            </w:pPr>
            <w:r>
              <w:rPr>
                <w:sz w:val="20"/>
              </w:rPr>
              <w:t>Report Review</w:t>
            </w:r>
          </w:p>
        </w:tc>
        <w:tc>
          <w:tcPr>
            <w:tcW w:w="126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195"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right"/>
              <w:rPr>
                <w:color w:val="000000"/>
                <w:sz w:val="20"/>
                <w:szCs w:val="20"/>
              </w:rPr>
            </w:pPr>
            <w:r>
              <w:rPr>
                <w:color w:val="000000"/>
                <w:sz w:val="20"/>
                <w:szCs w:val="20"/>
              </w:rPr>
              <w:t> </w:t>
            </w:r>
          </w:p>
        </w:tc>
      </w:tr>
      <w:tr w:rsidR="00F400C8" w:rsidTr="006A23A1">
        <w:trPr>
          <w:jc w:val="center"/>
        </w:trPr>
        <w:tc>
          <w:tcPr>
            <w:tcW w:w="4166" w:type="dxa"/>
            <w:tcBorders>
              <w:top w:val="single" w:sz="4" w:space="0" w:color="auto"/>
              <w:left w:val="single" w:sz="4" w:space="0" w:color="auto"/>
              <w:bottom w:val="single" w:sz="4" w:space="0" w:color="auto"/>
              <w:right w:val="single" w:sz="4" w:space="0" w:color="auto"/>
            </w:tcBorders>
          </w:tcPr>
          <w:p w:rsidR="00F400C8" w:rsidRDefault="00F400C8" w:rsidP="00057E96">
            <w:pPr>
              <w:rPr>
                <w:sz w:val="20"/>
              </w:rPr>
            </w:pPr>
            <w:r>
              <w:rPr>
                <w:sz w:val="20"/>
              </w:rPr>
              <w:t xml:space="preserve">1.  Initial notification of compliance </w:t>
            </w:r>
            <w:r w:rsidRPr="00E506D3">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40</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80</w:t>
            </w:r>
          </w:p>
        </w:tc>
        <w:tc>
          <w:tcPr>
            <w:tcW w:w="144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8</w:t>
            </w:r>
          </w:p>
        </w:tc>
        <w:tc>
          <w:tcPr>
            <w:tcW w:w="1195"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right"/>
              <w:rPr>
                <w:color w:val="000000"/>
                <w:sz w:val="20"/>
                <w:szCs w:val="20"/>
              </w:rPr>
            </w:pPr>
            <w:r>
              <w:rPr>
                <w:color w:val="000000"/>
                <w:sz w:val="20"/>
                <w:szCs w:val="20"/>
              </w:rPr>
              <w:t xml:space="preserve">$4,145.96 </w:t>
            </w:r>
          </w:p>
        </w:tc>
      </w:tr>
      <w:tr w:rsidR="00F400C8" w:rsidTr="006A23A1">
        <w:trPr>
          <w:jc w:val="center"/>
        </w:trPr>
        <w:tc>
          <w:tcPr>
            <w:tcW w:w="4166" w:type="dxa"/>
            <w:tcBorders>
              <w:top w:val="single" w:sz="4" w:space="0" w:color="auto"/>
              <w:left w:val="single" w:sz="4" w:space="0" w:color="auto"/>
              <w:bottom w:val="single" w:sz="4" w:space="0" w:color="auto"/>
              <w:right w:val="single" w:sz="4" w:space="0" w:color="auto"/>
            </w:tcBorders>
          </w:tcPr>
          <w:p w:rsidR="00F400C8" w:rsidRDefault="00F400C8" w:rsidP="00057E96">
            <w:pPr>
              <w:rPr>
                <w:sz w:val="20"/>
              </w:rPr>
            </w:pPr>
            <w:r>
              <w:rPr>
                <w:sz w:val="20"/>
              </w:rPr>
              <w:t>2.  Certification application</w:t>
            </w:r>
          </w:p>
        </w:tc>
        <w:tc>
          <w:tcPr>
            <w:tcW w:w="126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 </w:t>
            </w:r>
          </w:p>
        </w:tc>
        <w:tc>
          <w:tcPr>
            <w:tcW w:w="1195"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right"/>
              <w:rPr>
                <w:color w:val="000000"/>
                <w:sz w:val="20"/>
                <w:szCs w:val="20"/>
              </w:rPr>
            </w:pPr>
            <w:r>
              <w:rPr>
                <w:color w:val="000000"/>
                <w:sz w:val="20"/>
                <w:szCs w:val="20"/>
              </w:rPr>
              <w:t> </w:t>
            </w:r>
          </w:p>
        </w:tc>
      </w:tr>
      <w:tr w:rsidR="00F400C8" w:rsidTr="006A23A1">
        <w:trPr>
          <w:jc w:val="center"/>
        </w:trPr>
        <w:tc>
          <w:tcPr>
            <w:tcW w:w="4166" w:type="dxa"/>
            <w:tcBorders>
              <w:top w:val="single" w:sz="4" w:space="0" w:color="auto"/>
              <w:left w:val="single" w:sz="4" w:space="0" w:color="auto"/>
              <w:bottom w:val="single" w:sz="4" w:space="0" w:color="auto"/>
              <w:right w:val="single" w:sz="4" w:space="0" w:color="auto"/>
            </w:tcBorders>
          </w:tcPr>
          <w:p w:rsidR="00F400C8" w:rsidRDefault="00F400C8" w:rsidP="00057E96">
            <w:pPr>
              <w:rPr>
                <w:sz w:val="20"/>
              </w:rPr>
            </w:pPr>
            <w:r>
              <w:rPr>
                <w:sz w:val="20"/>
              </w:rPr>
              <w:t xml:space="preserve">     A.  Certification for stationary use </w:t>
            </w:r>
            <w:r w:rsidRPr="00E506D3">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70</w:t>
            </w:r>
          </w:p>
        </w:tc>
        <w:tc>
          <w:tcPr>
            <w:tcW w:w="144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3.5</w:t>
            </w:r>
          </w:p>
        </w:tc>
        <w:tc>
          <w:tcPr>
            <w:tcW w:w="108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7</w:t>
            </w:r>
          </w:p>
        </w:tc>
        <w:tc>
          <w:tcPr>
            <w:tcW w:w="1195"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right"/>
              <w:rPr>
                <w:color w:val="000000"/>
                <w:sz w:val="20"/>
                <w:szCs w:val="20"/>
              </w:rPr>
            </w:pPr>
            <w:r>
              <w:rPr>
                <w:color w:val="000000"/>
                <w:sz w:val="20"/>
                <w:szCs w:val="20"/>
              </w:rPr>
              <w:t xml:space="preserve">$3,627.72 </w:t>
            </w:r>
          </w:p>
        </w:tc>
      </w:tr>
      <w:tr w:rsidR="00F400C8" w:rsidTr="006A23A1">
        <w:trPr>
          <w:jc w:val="center"/>
        </w:trPr>
        <w:tc>
          <w:tcPr>
            <w:tcW w:w="4166" w:type="dxa"/>
            <w:tcBorders>
              <w:top w:val="single" w:sz="4" w:space="0" w:color="auto"/>
              <w:left w:val="single" w:sz="4" w:space="0" w:color="auto"/>
              <w:bottom w:val="single" w:sz="4" w:space="0" w:color="auto"/>
              <w:right w:val="single" w:sz="4" w:space="0" w:color="auto"/>
            </w:tcBorders>
          </w:tcPr>
          <w:p w:rsidR="00F400C8" w:rsidRDefault="00F400C8" w:rsidP="00057E96">
            <w:pPr>
              <w:rPr>
                <w:sz w:val="20"/>
              </w:rPr>
            </w:pPr>
            <w:r>
              <w:rPr>
                <w:sz w:val="20"/>
              </w:rPr>
              <w:t xml:space="preserve">     B.  Certification for stationary/non-road use </w:t>
            </w:r>
            <w:r w:rsidRPr="0099074F">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200</w:t>
            </w:r>
          </w:p>
        </w:tc>
        <w:tc>
          <w:tcPr>
            <w:tcW w:w="144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center"/>
              <w:rPr>
                <w:color w:val="000000"/>
                <w:sz w:val="20"/>
                <w:szCs w:val="20"/>
              </w:rPr>
            </w:pPr>
            <w:r>
              <w:rPr>
                <w:color w:val="000000"/>
                <w:sz w:val="20"/>
                <w:szCs w:val="20"/>
              </w:rPr>
              <w:t>20</w:t>
            </w:r>
          </w:p>
        </w:tc>
        <w:tc>
          <w:tcPr>
            <w:tcW w:w="1195" w:type="dxa"/>
            <w:tcBorders>
              <w:top w:val="single" w:sz="4" w:space="0" w:color="auto"/>
              <w:left w:val="single" w:sz="4" w:space="0" w:color="auto"/>
              <w:bottom w:val="single" w:sz="4" w:space="0" w:color="auto"/>
              <w:right w:val="single" w:sz="4" w:space="0" w:color="auto"/>
            </w:tcBorders>
            <w:vAlign w:val="center"/>
          </w:tcPr>
          <w:p w:rsidR="00F400C8" w:rsidRDefault="00F400C8" w:rsidP="00057E96">
            <w:pPr>
              <w:jc w:val="right"/>
              <w:rPr>
                <w:color w:val="000000"/>
                <w:sz w:val="20"/>
                <w:szCs w:val="20"/>
              </w:rPr>
            </w:pPr>
            <w:r>
              <w:rPr>
                <w:color w:val="000000"/>
                <w:sz w:val="20"/>
                <w:szCs w:val="20"/>
              </w:rPr>
              <w:t xml:space="preserve">$10,364.90 </w:t>
            </w:r>
          </w:p>
        </w:tc>
      </w:tr>
      <w:tr w:rsidR="00F400C8" w:rsidTr="006A23A1">
        <w:trPr>
          <w:jc w:val="center"/>
        </w:trPr>
        <w:tc>
          <w:tcPr>
            <w:tcW w:w="4166" w:type="dxa"/>
            <w:tcBorders>
              <w:top w:val="single" w:sz="4" w:space="0" w:color="auto"/>
              <w:left w:val="single" w:sz="4" w:space="0" w:color="auto"/>
              <w:bottom w:val="single" w:sz="4" w:space="0" w:color="auto"/>
              <w:right w:val="single" w:sz="4" w:space="0" w:color="auto"/>
            </w:tcBorders>
          </w:tcPr>
          <w:p w:rsidR="00F400C8" w:rsidRDefault="00F400C8" w:rsidP="00057E96">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tcPr>
          <w:p w:rsidR="00F400C8" w:rsidRDefault="00F400C8" w:rsidP="00057E96">
            <w:pPr>
              <w:jc w:val="center"/>
              <w:rPr>
                <w:sz w:val="20"/>
              </w:rPr>
            </w:pPr>
          </w:p>
          <w:p w:rsidR="00F400C8" w:rsidRDefault="00F400C8" w:rsidP="00057E9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F400C8" w:rsidRDefault="00F400C8" w:rsidP="00057E96">
            <w:pPr>
              <w:jc w:val="center"/>
              <w:rPr>
                <w:sz w:val="20"/>
              </w:rPr>
            </w:pPr>
          </w:p>
          <w:p w:rsidR="00F400C8" w:rsidRDefault="00F400C8" w:rsidP="00057E9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F400C8" w:rsidRDefault="00F400C8" w:rsidP="00057E96">
            <w:pPr>
              <w:jc w:val="center"/>
              <w:rPr>
                <w:sz w:val="20"/>
              </w:rPr>
            </w:pPr>
          </w:p>
          <w:p w:rsidR="00F400C8" w:rsidRDefault="00F400C8" w:rsidP="00057E96">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F400C8" w:rsidRDefault="00F400C8" w:rsidP="00057E96">
            <w:pPr>
              <w:jc w:val="center"/>
              <w:rPr>
                <w:sz w:val="20"/>
              </w:rPr>
            </w:pPr>
          </w:p>
          <w:p w:rsidR="00F400C8" w:rsidRDefault="00F400C8" w:rsidP="00057E96">
            <w:pPr>
              <w:jc w:val="center"/>
              <w:rPr>
                <w:sz w:val="20"/>
              </w:rPr>
            </w:pP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F400C8" w:rsidRPr="00B95384" w:rsidRDefault="00F400C8" w:rsidP="00057E96">
            <w:pPr>
              <w:jc w:val="center"/>
              <w:rPr>
                <w:b/>
                <w:color w:val="000000"/>
                <w:sz w:val="20"/>
                <w:szCs w:val="20"/>
              </w:rPr>
            </w:pPr>
            <w:r w:rsidRPr="00B95384">
              <w:rPr>
                <w:b/>
                <w:color w:val="000000"/>
                <w:sz w:val="20"/>
                <w:szCs w:val="20"/>
              </w:rPr>
              <w:t>403</w:t>
            </w:r>
          </w:p>
        </w:tc>
        <w:tc>
          <w:tcPr>
            <w:tcW w:w="1195" w:type="dxa"/>
            <w:tcBorders>
              <w:top w:val="single" w:sz="4" w:space="0" w:color="auto"/>
              <w:left w:val="single" w:sz="4" w:space="0" w:color="auto"/>
              <w:bottom w:val="single" w:sz="4" w:space="0" w:color="auto"/>
              <w:right w:val="single" w:sz="4" w:space="0" w:color="auto"/>
            </w:tcBorders>
            <w:vAlign w:val="center"/>
          </w:tcPr>
          <w:p w:rsidR="00F400C8" w:rsidRPr="00B95384" w:rsidRDefault="00F400C8" w:rsidP="00057E96">
            <w:pPr>
              <w:jc w:val="right"/>
              <w:rPr>
                <w:b/>
                <w:color w:val="000000"/>
                <w:sz w:val="20"/>
                <w:szCs w:val="20"/>
              </w:rPr>
            </w:pPr>
            <w:r w:rsidRPr="00B95384">
              <w:rPr>
                <w:b/>
                <w:color w:val="000000"/>
                <w:sz w:val="20"/>
                <w:szCs w:val="20"/>
              </w:rPr>
              <w:t xml:space="preserve">$18,139 </w:t>
            </w:r>
          </w:p>
        </w:tc>
      </w:tr>
    </w:tbl>
    <w:p w:rsidR="00F400C8" w:rsidRDefault="00F400C8" w:rsidP="00F400C8">
      <w:pPr>
        <w:rPr>
          <w:b/>
          <w:bCs/>
          <w:sz w:val="20"/>
          <w:szCs w:val="20"/>
        </w:rPr>
      </w:pPr>
    </w:p>
    <w:p w:rsidR="00F400C8" w:rsidRDefault="00F400C8" w:rsidP="0019142C">
      <w:pPr>
        <w:pBdr>
          <w:between w:val="single" w:sz="4" w:space="1" w:color="auto"/>
        </w:pBdr>
        <w:ind w:left="-270"/>
        <w:outlineLvl w:val="0"/>
        <w:rPr>
          <w:sz w:val="20"/>
          <w:szCs w:val="20"/>
        </w:rPr>
      </w:pPr>
      <w:r>
        <w:rPr>
          <w:b/>
          <w:bCs/>
          <w:sz w:val="20"/>
          <w:szCs w:val="20"/>
        </w:rPr>
        <w:t xml:space="preserve"> Assumptions:</w:t>
      </w:r>
    </w:p>
    <w:p w:rsidR="00F400C8" w:rsidRDefault="00F400C8" w:rsidP="0019142C">
      <w:pPr>
        <w:ind w:left="-270" w:right="-270"/>
        <w:rPr>
          <w:sz w:val="20"/>
          <w:szCs w:val="20"/>
        </w:rPr>
      </w:pPr>
      <w:r>
        <w:rPr>
          <w:vertAlign w:val="superscript"/>
        </w:rPr>
        <w:t xml:space="preserve">  a</w:t>
      </w:r>
      <w:r>
        <w:rPr>
          <w:sz w:val="20"/>
          <w:szCs w:val="20"/>
        </w:rPr>
        <w:t xml:space="preserve">  We have assumed that there are 206,410sources currently subject to the regulations, and it is estimated that 40 new sources are expected each year over the next three years.</w:t>
      </w:r>
    </w:p>
    <w:p w:rsidR="00F400C8" w:rsidRDefault="00F400C8" w:rsidP="0019142C">
      <w:pPr>
        <w:ind w:left="-270"/>
        <w:rPr>
          <w:sz w:val="20"/>
          <w:szCs w:val="20"/>
        </w:rPr>
      </w:pPr>
      <w:r>
        <w:rPr>
          <w:sz w:val="20"/>
          <w:szCs w:val="20"/>
          <w:vertAlign w:val="superscript"/>
        </w:rPr>
        <w:t>b</w:t>
      </w:r>
      <w:r>
        <w:rPr>
          <w:sz w:val="20"/>
          <w:szCs w:val="20"/>
        </w:rPr>
        <w:t xml:space="preserve">  This cost is based on the following hourly labor rates times a 1.6 benefits multiplication factor to account for government overhead expenses: $62.27 for Managerial (GS-13, Step 5, $38.92 x 1.6), $46.21 for Technical (GS-12, Step 1, $28.88 x 1.6) and $25.01Clerical (GS-6, Step 3, $15.63 x 1.6).  These rates are from the Office of Personnel Management (OPM) “20</w:t>
      </w:r>
      <w:r w:rsidR="00A904E4">
        <w:rPr>
          <w:sz w:val="20"/>
          <w:szCs w:val="20"/>
        </w:rPr>
        <w:t>11</w:t>
      </w:r>
      <w:r>
        <w:rPr>
          <w:sz w:val="20"/>
          <w:szCs w:val="20"/>
        </w:rPr>
        <w:t xml:space="preserve"> General Schedule” which excludes locality rates of pay.</w:t>
      </w:r>
    </w:p>
    <w:p w:rsidR="00F400C8" w:rsidRDefault="00F400C8" w:rsidP="0019142C">
      <w:pPr>
        <w:tabs>
          <w:tab w:val="left" w:pos="1350"/>
        </w:tabs>
        <w:ind w:left="-270"/>
        <w:jc w:val="both"/>
        <w:rPr>
          <w:sz w:val="20"/>
          <w:szCs w:val="20"/>
        </w:rPr>
      </w:pPr>
      <w:r>
        <w:rPr>
          <w:vertAlign w:val="superscript"/>
        </w:rPr>
        <w:t>c</w:t>
      </w:r>
      <w:r>
        <w:rPr>
          <w:sz w:val="20"/>
          <w:szCs w:val="20"/>
        </w:rPr>
        <w:t xml:space="preserve">  We have assumed that each of the 40 affected facilities would have to review the initial notification of compliance report.</w:t>
      </w:r>
    </w:p>
    <w:p w:rsidR="00F400C8" w:rsidRDefault="00F400C8" w:rsidP="0019142C">
      <w:pPr>
        <w:tabs>
          <w:tab w:val="left" w:pos="1350"/>
        </w:tabs>
        <w:ind w:left="-270"/>
        <w:jc w:val="both"/>
        <w:rPr>
          <w:sz w:val="20"/>
          <w:szCs w:val="20"/>
        </w:rPr>
      </w:pPr>
      <w:r>
        <w:rPr>
          <w:vertAlign w:val="superscript"/>
        </w:rPr>
        <w:t>d</w:t>
      </w:r>
      <w:r>
        <w:t xml:space="preserve">  </w:t>
      </w:r>
      <w:r>
        <w:rPr>
          <w:sz w:val="20"/>
          <w:szCs w:val="20"/>
        </w:rPr>
        <w:t>We have assumed that it will take 2 hours for each respondent to review the certification for stationary use report.</w:t>
      </w:r>
    </w:p>
    <w:p w:rsidR="00F400C8" w:rsidRDefault="00F400C8" w:rsidP="0019142C">
      <w:pPr>
        <w:tabs>
          <w:tab w:val="left" w:pos="1350"/>
        </w:tabs>
        <w:ind w:left="-270"/>
        <w:jc w:val="both"/>
        <w:rPr>
          <w:sz w:val="20"/>
          <w:szCs w:val="20"/>
        </w:rPr>
      </w:pPr>
      <w:r>
        <w:rPr>
          <w:sz w:val="20"/>
          <w:szCs w:val="20"/>
        </w:rPr>
        <w:t>e  We have assumed that it will take each of the respondent one hour one time per year to review the certification for stationary/non-road use.</w:t>
      </w:r>
    </w:p>
    <w:p w:rsidR="00144F35" w:rsidRDefault="00144F35" w:rsidP="00F400C8">
      <w:pPr>
        <w:outlineLvl w:val="0"/>
        <w:rPr>
          <w:color w:val="000000"/>
        </w:rPr>
      </w:pPr>
    </w:p>
    <w:sectPr w:rsidR="00144F35" w:rsidSect="00057E96">
      <w:pgSz w:w="15840" w:h="12240" w:orient="landscape" w:code="1"/>
      <w:pgMar w:top="1440" w:right="1440" w:bottom="1440" w:left="1440" w:header="1008"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D0" w:rsidRDefault="002C79D0">
      <w:r>
        <w:separator/>
      </w:r>
    </w:p>
  </w:endnote>
  <w:endnote w:type="continuationSeparator" w:id="0">
    <w:p w:rsidR="002C79D0" w:rsidRDefault="002C79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D0" w:rsidRDefault="002C79D0">
      <w:r>
        <w:separator/>
      </w:r>
    </w:p>
  </w:footnote>
  <w:footnote w:type="continuationSeparator" w:id="0">
    <w:p w:rsidR="002C79D0" w:rsidRDefault="002C7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1891"/>
      <w:docPartObj>
        <w:docPartGallery w:val="Page Numbers (Top of Page)"/>
        <w:docPartUnique/>
      </w:docPartObj>
    </w:sdtPr>
    <w:sdtContent>
      <w:p w:rsidR="00A87152" w:rsidRDefault="00756E69">
        <w:pPr>
          <w:pStyle w:val="Header"/>
          <w:jc w:val="center"/>
        </w:pPr>
        <w:fldSimple w:instr=" PAGE   \* MERGEFORMAT ">
          <w:r w:rsidR="00EC3BDF">
            <w:rPr>
              <w:noProof/>
            </w:rPr>
            <w:t>13</w:t>
          </w:r>
        </w:fldSimple>
      </w:p>
    </w:sdtContent>
  </w:sdt>
  <w:p w:rsidR="00A87152" w:rsidRDefault="00A8715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5361"/>
  </w:hdrShapeDefaults>
  <w:footnotePr>
    <w:footnote w:id="-1"/>
    <w:footnote w:id="0"/>
  </w:footnotePr>
  <w:endnotePr>
    <w:endnote w:id="-1"/>
    <w:endnote w:id="0"/>
  </w:endnotePr>
  <w:compat/>
  <w:rsids>
    <w:rsidRoot w:val="00CA4CD6"/>
    <w:rsid w:val="0000687D"/>
    <w:rsid w:val="0003619B"/>
    <w:rsid w:val="00055BDF"/>
    <w:rsid w:val="00055DC5"/>
    <w:rsid w:val="00056908"/>
    <w:rsid w:val="00057E96"/>
    <w:rsid w:val="00097B4E"/>
    <w:rsid w:val="000A1FBB"/>
    <w:rsid w:val="000A687C"/>
    <w:rsid w:val="000C027B"/>
    <w:rsid w:val="000D2272"/>
    <w:rsid w:val="000F772C"/>
    <w:rsid w:val="00101B40"/>
    <w:rsid w:val="0010697C"/>
    <w:rsid w:val="00123889"/>
    <w:rsid w:val="00126A7C"/>
    <w:rsid w:val="0014079D"/>
    <w:rsid w:val="00144978"/>
    <w:rsid w:val="00144A82"/>
    <w:rsid w:val="00144F35"/>
    <w:rsid w:val="0015433E"/>
    <w:rsid w:val="00186DA3"/>
    <w:rsid w:val="0019142C"/>
    <w:rsid w:val="00195753"/>
    <w:rsid w:val="00196C9D"/>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638A0"/>
    <w:rsid w:val="002712EB"/>
    <w:rsid w:val="002715E9"/>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C79D0"/>
    <w:rsid w:val="002D7683"/>
    <w:rsid w:val="002D78CE"/>
    <w:rsid w:val="002F674B"/>
    <w:rsid w:val="002F6DB3"/>
    <w:rsid w:val="003139FC"/>
    <w:rsid w:val="003163F7"/>
    <w:rsid w:val="00341540"/>
    <w:rsid w:val="003511C6"/>
    <w:rsid w:val="00354C15"/>
    <w:rsid w:val="003763EA"/>
    <w:rsid w:val="00387905"/>
    <w:rsid w:val="00397ED5"/>
    <w:rsid w:val="003C4B46"/>
    <w:rsid w:val="003C5023"/>
    <w:rsid w:val="003D38E6"/>
    <w:rsid w:val="003E2EAA"/>
    <w:rsid w:val="003E30B5"/>
    <w:rsid w:val="003E4C18"/>
    <w:rsid w:val="0040391F"/>
    <w:rsid w:val="00415CF8"/>
    <w:rsid w:val="0044133C"/>
    <w:rsid w:val="00441619"/>
    <w:rsid w:val="00455557"/>
    <w:rsid w:val="00457D10"/>
    <w:rsid w:val="00484A45"/>
    <w:rsid w:val="00485364"/>
    <w:rsid w:val="00486E6D"/>
    <w:rsid w:val="004A47ED"/>
    <w:rsid w:val="004A4B25"/>
    <w:rsid w:val="004C5E95"/>
    <w:rsid w:val="004C701D"/>
    <w:rsid w:val="004F1469"/>
    <w:rsid w:val="004F6FCD"/>
    <w:rsid w:val="00506126"/>
    <w:rsid w:val="00507EC5"/>
    <w:rsid w:val="00516952"/>
    <w:rsid w:val="005253D4"/>
    <w:rsid w:val="00551815"/>
    <w:rsid w:val="00560AD2"/>
    <w:rsid w:val="00565A51"/>
    <w:rsid w:val="00571260"/>
    <w:rsid w:val="00583626"/>
    <w:rsid w:val="005A1986"/>
    <w:rsid w:val="005B5DE8"/>
    <w:rsid w:val="005C3665"/>
    <w:rsid w:val="005D385C"/>
    <w:rsid w:val="005D723D"/>
    <w:rsid w:val="005E194B"/>
    <w:rsid w:val="005F42F8"/>
    <w:rsid w:val="00601205"/>
    <w:rsid w:val="00606DEF"/>
    <w:rsid w:val="00610F6F"/>
    <w:rsid w:val="00631517"/>
    <w:rsid w:val="00635DBD"/>
    <w:rsid w:val="006568F1"/>
    <w:rsid w:val="006741F7"/>
    <w:rsid w:val="00682380"/>
    <w:rsid w:val="00694B55"/>
    <w:rsid w:val="006A23A1"/>
    <w:rsid w:val="006C75FA"/>
    <w:rsid w:val="006E4A6E"/>
    <w:rsid w:val="006E642B"/>
    <w:rsid w:val="006F35CC"/>
    <w:rsid w:val="00751DE3"/>
    <w:rsid w:val="00756E69"/>
    <w:rsid w:val="00763160"/>
    <w:rsid w:val="00780612"/>
    <w:rsid w:val="007826B1"/>
    <w:rsid w:val="00786A20"/>
    <w:rsid w:val="007A0634"/>
    <w:rsid w:val="007A16F4"/>
    <w:rsid w:val="007A458D"/>
    <w:rsid w:val="007B43E0"/>
    <w:rsid w:val="007C0FAA"/>
    <w:rsid w:val="007D1F6C"/>
    <w:rsid w:val="007F07FB"/>
    <w:rsid w:val="00810507"/>
    <w:rsid w:val="00813E69"/>
    <w:rsid w:val="00817E8B"/>
    <w:rsid w:val="008338D4"/>
    <w:rsid w:val="0084255D"/>
    <w:rsid w:val="00850ACF"/>
    <w:rsid w:val="00852038"/>
    <w:rsid w:val="00861489"/>
    <w:rsid w:val="0088639E"/>
    <w:rsid w:val="008B407C"/>
    <w:rsid w:val="008E65E6"/>
    <w:rsid w:val="008F285B"/>
    <w:rsid w:val="008F4564"/>
    <w:rsid w:val="008F4AF6"/>
    <w:rsid w:val="009018EC"/>
    <w:rsid w:val="00906EDB"/>
    <w:rsid w:val="00912E00"/>
    <w:rsid w:val="00923C46"/>
    <w:rsid w:val="00962CA4"/>
    <w:rsid w:val="009711DB"/>
    <w:rsid w:val="009A0F50"/>
    <w:rsid w:val="009A16CD"/>
    <w:rsid w:val="009A4339"/>
    <w:rsid w:val="009C06F5"/>
    <w:rsid w:val="009C512F"/>
    <w:rsid w:val="009D6567"/>
    <w:rsid w:val="009E0F31"/>
    <w:rsid w:val="00A007F5"/>
    <w:rsid w:val="00A038EC"/>
    <w:rsid w:val="00A145B0"/>
    <w:rsid w:val="00A15172"/>
    <w:rsid w:val="00A26EF7"/>
    <w:rsid w:val="00A277D6"/>
    <w:rsid w:val="00A379F8"/>
    <w:rsid w:val="00A54A8D"/>
    <w:rsid w:val="00A54EEA"/>
    <w:rsid w:val="00A56BFF"/>
    <w:rsid w:val="00A73600"/>
    <w:rsid w:val="00A74C1E"/>
    <w:rsid w:val="00A7661C"/>
    <w:rsid w:val="00A87152"/>
    <w:rsid w:val="00A904E4"/>
    <w:rsid w:val="00A95BC7"/>
    <w:rsid w:val="00A962DF"/>
    <w:rsid w:val="00AA0AB8"/>
    <w:rsid w:val="00AB1149"/>
    <w:rsid w:val="00AD53AE"/>
    <w:rsid w:val="00AF3F88"/>
    <w:rsid w:val="00B07F79"/>
    <w:rsid w:val="00B16C07"/>
    <w:rsid w:val="00B20395"/>
    <w:rsid w:val="00B46A57"/>
    <w:rsid w:val="00B55B31"/>
    <w:rsid w:val="00B56054"/>
    <w:rsid w:val="00B65754"/>
    <w:rsid w:val="00B66231"/>
    <w:rsid w:val="00B769F1"/>
    <w:rsid w:val="00B82025"/>
    <w:rsid w:val="00BA0A91"/>
    <w:rsid w:val="00BA4887"/>
    <w:rsid w:val="00BB3390"/>
    <w:rsid w:val="00BB3C1A"/>
    <w:rsid w:val="00BC2B5A"/>
    <w:rsid w:val="00BC6DEF"/>
    <w:rsid w:val="00BE2989"/>
    <w:rsid w:val="00BE7A11"/>
    <w:rsid w:val="00BF659D"/>
    <w:rsid w:val="00BF722F"/>
    <w:rsid w:val="00C13FE8"/>
    <w:rsid w:val="00C30A60"/>
    <w:rsid w:val="00C31C95"/>
    <w:rsid w:val="00C33ABA"/>
    <w:rsid w:val="00C37BB6"/>
    <w:rsid w:val="00C52EFD"/>
    <w:rsid w:val="00C64378"/>
    <w:rsid w:val="00C75CF0"/>
    <w:rsid w:val="00C808B5"/>
    <w:rsid w:val="00C82B64"/>
    <w:rsid w:val="00C82DB6"/>
    <w:rsid w:val="00CA2CEC"/>
    <w:rsid w:val="00CA4CD6"/>
    <w:rsid w:val="00CC48AB"/>
    <w:rsid w:val="00CC58F6"/>
    <w:rsid w:val="00CD2069"/>
    <w:rsid w:val="00CD280D"/>
    <w:rsid w:val="00CE131F"/>
    <w:rsid w:val="00CE44C0"/>
    <w:rsid w:val="00D13D9A"/>
    <w:rsid w:val="00D14A8D"/>
    <w:rsid w:val="00D21198"/>
    <w:rsid w:val="00D2273E"/>
    <w:rsid w:val="00D3273D"/>
    <w:rsid w:val="00D42D52"/>
    <w:rsid w:val="00D4456B"/>
    <w:rsid w:val="00D46FA2"/>
    <w:rsid w:val="00D5080D"/>
    <w:rsid w:val="00D56F5F"/>
    <w:rsid w:val="00D61B37"/>
    <w:rsid w:val="00D63B96"/>
    <w:rsid w:val="00D92F66"/>
    <w:rsid w:val="00D94DF4"/>
    <w:rsid w:val="00D95819"/>
    <w:rsid w:val="00DA7285"/>
    <w:rsid w:val="00DB59E1"/>
    <w:rsid w:val="00DD1AC1"/>
    <w:rsid w:val="00DD7D49"/>
    <w:rsid w:val="00DF5C4E"/>
    <w:rsid w:val="00E10DA7"/>
    <w:rsid w:val="00E1538C"/>
    <w:rsid w:val="00E25DB6"/>
    <w:rsid w:val="00E276CD"/>
    <w:rsid w:val="00E32EDA"/>
    <w:rsid w:val="00E53137"/>
    <w:rsid w:val="00E65047"/>
    <w:rsid w:val="00E702F6"/>
    <w:rsid w:val="00E77D5E"/>
    <w:rsid w:val="00E868BB"/>
    <w:rsid w:val="00EA37A9"/>
    <w:rsid w:val="00EA7026"/>
    <w:rsid w:val="00EC3BDF"/>
    <w:rsid w:val="00EC4074"/>
    <w:rsid w:val="00EC42CD"/>
    <w:rsid w:val="00EE0FF5"/>
    <w:rsid w:val="00EF113F"/>
    <w:rsid w:val="00F03803"/>
    <w:rsid w:val="00F05128"/>
    <w:rsid w:val="00F066C9"/>
    <w:rsid w:val="00F20822"/>
    <w:rsid w:val="00F340DF"/>
    <w:rsid w:val="00F400C8"/>
    <w:rsid w:val="00F538BC"/>
    <w:rsid w:val="00F67D42"/>
    <w:rsid w:val="00F9092B"/>
    <w:rsid w:val="00F92D22"/>
    <w:rsid w:val="00F963A7"/>
    <w:rsid w:val="00FB0650"/>
    <w:rsid w:val="00FB4D98"/>
    <w:rsid w:val="00FB6378"/>
    <w:rsid w:val="00FB7BCE"/>
    <w:rsid w:val="00FC4E09"/>
    <w:rsid w:val="00FE2099"/>
    <w:rsid w:val="00FF3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DocumentMap">
    <w:name w:val="Document Map"/>
    <w:basedOn w:val="Normal"/>
    <w:link w:val="DocumentMapChar"/>
    <w:rsid w:val="00751DE3"/>
    <w:rPr>
      <w:rFonts w:ascii="Tahoma" w:hAnsi="Tahoma" w:cs="Tahoma"/>
      <w:sz w:val="16"/>
      <w:szCs w:val="16"/>
    </w:rPr>
  </w:style>
  <w:style w:type="character" w:customStyle="1" w:styleId="DocumentMapChar">
    <w:name w:val="Document Map Char"/>
    <w:basedOn w:val="DefaultParagraphFont"/>
    <w:link w:val="DocumentMap"/>
    <w:rsid w:val="00751DE3"/>
    <w:rPr>
      <w:rFonts w:ascii="Tahoma" w:hAnsi="Tahoma" w:cs="Tahoma"/>
      <w:sz w:val="16"/>
      <w:szCs w:val="16"/>
    </w:rPr>
  </w:style>
  <w:style w:type="paragraph" w:styleId="Revision">
    <w:name w:val="Revision"/>
    <w:hidden/>
    <w:uiPriority w:val="99"/>
    <w:semiHidden/>
    <w:rsid w:val="003763EA"/>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F99C7-372B-413A-B00F-AFA535EF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5050</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2012-06-29T16:11:00Z</dcterms:created>
  <dcterms:modified xsi:type="dcterms:W3CDTF">2012-06-29T16:11:00Z</dcterms:modified>
</cp:coreProperties>
</file>