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A6C" w:rsidRDefault="00146A6C" w:rsidP="008E3A96">
      <w:pPr>
        <w:widowControl/>
        <w:ind w:left="446"/>
        <w:jc w:val="center"/>
        <w:rPr>
          <w:b/>
          <w:bCs/>
          <w:sz w:val="28"/>
          <w:szCs w:val="28"/>
        </w:rPr>
      </w:pPr>
    </w:p>
    <w:p w:rsidR="00146A6C" w:rsidRDefault="00146A6C" w:rsidP="008E3A96">
      <w:pPr>
        <w:ind w:left="446"/>
        <w:jc w:val="center"/>
        <w:rPr>
          <w:b/>
          <w:bCs/>
          <w:sz w:val="28"/>
          <w:szCs w:val="28"/>
        </w:rPr>
      </w:pPr>
    </w:p>
    <w:p w:rsidR="00146A6C" w:rsidRDefault="00146A6C">
      <w:pPr>
        <w:widowControl/>
        <w:ind w:left="446"/>
        <w:jc w:val="center"/>
        <w:rPr>
          <w:b/>
          <w:bCs/>
          <w:sz w:val="28"/>
          <w:szCs w:val="28"/>
        </w:rPr>
      </w:pPr>
    </w:p>
    <w:p w:rsidR="00146A6C" w:rsidRDefault="00146A6C">
      <w:pPr>
        <w:widowControl/>
        <w:ind w:left="446"/>
        <w:jc w:val="center"/>
        <w:rPr>
          <w:b/>
          <w:bCs/>
          <w:sz w:val="28"/>
          <w:szCs w:val="28"/>
        </w:rPr>
      </w:pPr>
    </w:p>
    <w:p w:rsidR="00146A6C" w:rsidRDefault="00146A6C">
      <w:pPr>
        <w:widowControl/>
        <w:ind w:left="446"/>
        <w:jc w:val="center"/>
        <w:rPr>
          <w:b/>
          <w:bCs/>
          <w:sz w:val="28"/>
          <w:szCs w:val="28"/>
        </w:rPr>
      </w:pPr>
    </w:p>
    <w:p w:rsidR="00146A6C" w:rsidRDefault="00146A6C">
      <w:pPr>
        <w:widowControl/>
        <w:ind w:left="446"/>
        <w:jc w:val="center"/>
        <w:rPr>
          <w:b/>
          <w:bCs/>
          <w:sz w:val="28"/>
          <w:szCs w:val="28"/>
        </w:rPr>
      </w:pPr>
    </w:p>
    <w:p w:rsidR="00146A6C" w:rsidRDefault="00146A6C">
      <w:pPr>
        <w:widowControl/>
        <w:ind w:left="446"/>
        <w:jc w:val="center"/>
        <w:rPr>
          <w:b/>
          <w:bCs/>
          <w:sz w:val="28"/>
          <w:szCs w:val="28"/>
        </w:rPr>
      </w:pPr>
    </w:p>
    <w:p w:rsidR="00146A6C" w:rsidRDefault="00146A6C">
      <w:pPr>
        <w:widowControl/>
        <w:ind w:left="446"/>
        <w:jc w:val="center"/>
        <w:rPr>
          <w:b/>
          <w:bCs/>
          <w:sz w:val="28"/>
          <w:szCs w:val="28"/>
        </w:rPr>
      </w:pPr>
    </w:p>
    <w:p w:rsidR="00146A6C" w:rsidRDefault="00146A6C">
      <w:pPr>
        <w:widowControl/>
        <w:ind w:left="446"/>
        <w:jc w:val="center"/>
        <w:rPr>
          <w:b/>
          <w:bCs/>
          <w:sz w:val="28"/>
          <w:szCs w:val="28"/>
        </w:rPr>
      </w:pPr>
    </w:p>
    <w:p w:rsidR="00146A6C" w:rsidRDefault="00146A6C">
      <w:pPr>
        <w:widowControl/>
        <w:ind w:left="446"/>
        <w:jc w:val="center"/>
        <w:rPr>
          <w:b/>
          <w:bCs/>
          <w:sz w:val="28"/>
          <w:szCs w:val="28"/>
        </w:rPr>
      </w:pPr>
    </w:p>
    <w:p w:rsidR="00146A6C" w:rsidRDefault="00146A6C">
      <w:pPr>
        <w:widowControl/>
        <w:ind w:left="446"/>
        <w:jc w:val="center"/>
        <w:rPr>
          <w:b/>
          <w:bCs/>
          <w:sz w:val="28"/>
          <w:szCs w:val="28"/>
        </w:rPr>
      </w:pPr>
    </w:p>
    <w:p w:rsidR="00146A6C" w:rsidRDefault="00146A6C">
      <w:pPr>
        <w:widowControl/>
        <w:ind w:left="446"/>
        <w:jc w:val="center"/>
        <w:rPr>
          <w:b/>
          <w:bCs/>
          <w:sz w:val="28"/>
          <w:szCs w:val="28"/>
        </w:rPr>
      </w:pPr>
    </w:p>
    <w:p w:rsidR="00146A6C" w:rsidRPr="00270DB5" w:rsidRDefault="00146A6C">
      <w:pPr>
        <w:widowControl/>
        <w:jc w:val="center"/>
        <w:rPr>
          <w:b/>
          <w:bCs/>
          <w:color w:val="000000"/>
          <w:sz w:val="28"/>
          <w:szCs w:val="28"/>
        </w:rPr>
      </w:pPr>
      <w:r>
        <w:rPr>
          <w:b/>
          <w:bCs/>
          <w:sz w:val="28"/>
          <w:szCs w:val="28"/>
        </w:rPr>
        <w:t>﻿</w:t>
      </w:r>
      <w:r w:rsidRPr="00270DB5">
        <w:rPr>
          <w:b/>
          <w:bCs/>
          <w:color w:val="000000"/>
          <w:sz w:val="28"/>
          <w:szCs w:val="28"/>
        </w:rPr>
        <w:t xml:space="preserve">SUPPORTING STATEMENT FOR </w:t>
      </w:r>
    </w:p>
    <w:p w:rsidR="00146A6C" w:rsidRPr="00270DB5" w:rsidRDefault="00146A6C">
      <w:pPr>
        <w:widowControl/>
        <w:jc w:val="center"/>
        <w:rPr>
          <w:b/>
          <w:bCs/>
          <w:color w:val="000000"/>
          <w:sz w:val="28"/>
          <w:szCs w:val="28"/>
        </w:rPr>
      </w:pPr>
      <w:r w:rsidRPr="00270DB5">
        <w:rPr>
          <w:b/>
          <w:bCs/>
          <w:color w:val="000000"/>
          <w:sz w:val="28"/>
          <w:szCs w:val="28"/>
        </w:rPr>
        <w:t>INFORMATION COLLECTION REQUEST NUMBER 2317.0</w:t>
      </w:r>
      <w:r w:rsidR="0078321E" w:rsidRPr="00270DB5">
        <w:rPr>
          <w:b/>
          <w:bCs/>
          <w:color w:val="000000"/>
          <w:sz w:val="28"/>
          <w:szCs w:val="28"/>
        </w:rPr>
        <w:t>2</w:t>
      </w:r>
    </w:p>
    <w:p w:rsidR="00146A6C" w:rsidRPr="00270DB5" w:rsidRDefault="00146A6C">
      <w:pPr>
        <w:widowControl/>
        <w:jc w:val="center"/>
        <w:rPr>
          <w:b/>
          <w:bCs/>
          <w:color w:val="000000"/>
          <w:sz w:val="28"/>
          <w:szCs w:val="28"/>
        </w:rPr>
      </w:pPr>
      <w:r w:rsidRPr="00270DB5">
        <w:rPr>
          <w:b/>
          <w:bCs/>
          <w:color w:val="000000"/>
          <w:sz w:val="28"/>
          <w:szCs w:val="28"/>
        </w:rPr>
        <w:t>“</w:t>
      </w:r>
      <w:bookmarkStart w:id="0" w:name="OLE_LINK3"/>
      <w:r w:rsidRPr="00270DB5">
        <w:rPr>
          <w:b/>
          <w:bCs/>
          <w:color w:val="000000"/>
          <w:sz w:val="28"/>
          <w:szCs w:val="28"/>
        </w:rPr>
        <w:t>GENERATOR STANDARDS APPLICABLE TO LABORATORIES OWNED BY ELIGIBLE ACADEMIC ENTITIES</w:t>
      </w:r>
      <w:bookmarkEnd w:id="0"/>
      <w:r w:rsidRPr="00270DB5">
        <w:rPr>
          <w:b/>
          <w:bCs/>
          <w:color w:val="000000"/>
          <w:sz w:val="28"/>
          <w:szCs w:val="28"/>
        </w:rPr>
        <w:t>”</w:t>
      </w:r>
    </w:p>
    <w:p w:rsidR="00E9616C" w:rsidRPr="00270DB5" w:rsidRDefault="00E9616C" w:rsidP="00E9616C">
      <w:pPr>
        <w:widowControl/>
        <w:jc w:val="center"/>
        <w:rPr>
          <w:b/>
          <w:bCs/>
          <w:color w:val="000000"/>
          <w:sz w:val="28"/>
          <w:szCs w:val="28"/>
        </w:rPr>
      </w:pPr>
      <w:r w:rsidRPr="00270DB5">
        <w:rPr>
          <w:b/>
          <w:bCs/>
          <w:color w:val="000000"/>
          <w:sz w:val="28"/>
          <w:szCs w:val="28"/>
        </w:rPr>
        <w:t>(RENEWAL)</w:t>
      </w:r>
    </w:p>
    <w:p w:rsidR="00E9616C" w:rsidRPr="00270DB5" w:rsidRDefault="00E9616C" w:rsidP="00E9616C">
      <w:pPr>
        <w:widowControl/>
        <w:jc w:val="center"/>
        <w:rPr>
          <w:b/>
          <w:bCs/>
          <w:color w:val="000000"/>
          <w:sz w:val="28"/>
          <w:szCs w:val="28"/>
        </w:rPr>
      </w:pPr>
    </w:p>
    <w:p w:rsidR="00E9616C" w:rsidRPr="00270DB5" w:rsidRDefault="00E9616C" w:rsidP="00E9616C">
      <w:pPr>
        <w:widowControl/>
        <w:jc w:val="center"/>
        <w:rPr>
          <w:b/>
          <w:bCs/>
          <w:color w:val="000000"/>
          <w:sz w:val="28"/>
          <w:szCs w:val="28"/>
        </w:rPr>
      </w:pPr>
    </w:p>
    <w:p w:rsidR="00146A6C" w:rsidRPr="00270DB5" w:rsidRDefault="00B6771F" w:rsidP="00E9616C">
      <w:pPr>
        <w:widowControl/>
        <w:jc w:val="center"/>
        <w:rPr>
          <w:rFonts w:ascii="Times New Roman Bold" w:hAnsi="Times New Roman Bold"/>
          <w:strike/>
          <w:color w:val="000000"/>
          <w:sz w:val="28"/>
          <w:szCs w:val="28"/>
        </w:rPr>
      </w:pPr>
      <w:r w:rsidRPr="00270DB5">
        <w:rPr>
          <w:b/>
          <w:bCs/>
          <w:color w:val="000000"/>
          <w:sz w:val="28"/>
          <w:szCs w:val="28"/>
        </w:rPr>
        <w:t xml:space="preserve">June </w:t>
      </w:r>
      <w:r w:rsidR="00146A6C" w:rsidRPr="00270DB5">
        <w:rPr>
          <w:b/>
          <w:bCs/>
          <w:color w:val="000000"/>
          <w:sz w:val="28"/>
          <w:szCs w:val="28"/>
        </w:rPr>
        <w:t>20</w:t>
      </w:r>
      <w:r w:rsidR="00293684" w:rsidRPr="00270DB5">
        <w:rPr>
          <w:b/>
          <w:bCs/>
          <w:color w:val="000000"/>
          <w:sz w:val="28"/>
          <w:szCs w:val="28"/>
        </w:rPr>
        <w:t>12</w:t>
      </w:r>
    </w:p>
    <w:p w:rsidR="00146A6C" w:rsidRPr="00270DB5" w:rsidRDefault="00146A6C">
      <w:pPr>
        <w:widowControl/>
        <w:rPr>
          <w:color w:val="000000"/>
          <w:sz w:val="24"/>
        </w:rPr>
      </w:pPr>
    </w:p>
    <w:p w:rsidR="00146A6C" w:rsidRPr="00270DB5" w:rsidRDefault="00146A6C">
      <w:pPr>
        <w:widowControl/>
        <w:jc w:val="center"/>
        <w:rPr>
          <w:color w:val="000000"/>
          <w:sz w:val="24"/>
        </w:rPr>
      </w:pPr>
    </w:p>
    <w:p w:rsidR="00146A6C" w:rsidRPr="00270DB5" w:rsidRDefault="00146A6C">
      <w:pPr>
        <w:widowControl/>
        <w:jc w:val="center"/>
        <w:rPr>
          <w:color w:val="000000"/>
          <w:sz w:val="24"/>
        </w:rPr>
      </w:pPr>
    </w:p>
    <w:p w:rsidR="00146A6C" w:rsidRPr="00270DB5" w:rsidRDefault="00146A6C">
      <w:pPr>
        <w:widowControl/>
        <w:jc w:val="center"/>
        <w:rPr>
          <w:color w:val="000000"/>
          <w:sz w:val="24"/>
        </w:rPr>
      </w:pPr>
    </w:p>
    <w:p w:rsidR="00146A6C" w:rsidRPr="00270DB5" w:rsidRDefault="00146A6C">
      <w:pPr>
        <w:widowControl/>
        <w:jc w:val="center"/>
        <w:rPr>
          <w:b/>
          <w:color w:val="000000"/>
          <w:sz w:val="24"/>
        </w:rPr>
      </w:pPr>
    </w:p>
    <w:p w:rsidR="00146A6C" w:rsidRPr="00270DB5" w:rsidRDefault="00146A6C">
      <w:pPr>
        <w:widowControl/>
        <w:jc w:val="center"/>
        <w:rPr>
          <w:b/>
          <w:color w:val="000000"/>
          <w:sz w:val="24"/>
        </w:rPr>
      </w:pPr>
    </w:p>
    <w:p w:rsidR="00146A6C" w:rsidRPr="00270DB5" w:rsidRDefault="00146A6C">
      <w:pPr>
        <w:widowControl/>
        <w:jc w:val="center"/>
        <w:rPr>
          <w:b/>
          <w:color w:val="000000"/>
          <w:sz w:val="24"/>
        </w:rPr>
      </w:pPr>
    </w:p>
    <w:p w:rsidR="00146A6C" w:rsidRPr="00270DB5" w:rsidRDefault="00146A6C">
      <w:pPr>
        <w:widowControl/>
        <w:jc w:val="center"/>
        <w:rPr>
          <w:b/>
          <w:color w:val="000000"/>
          <w:sz w:val="24"/>
        </w:rPr>
      </w:pPr>
    </w:p>
    <w:p w:rsidR="00146A6C" w:rsidRPr="00270DB5" w:rsidRDefault="00146A6C">
      <w:pPr>
        <w:widowControl/>
        <w:jc w:val="center"/>
        <w:rPr>
          <w:b/>
          <w:color w:val="000000"/>
          <w:sz w:val="24"/>
        </w:rPr>
      </w:pPr>
    </w:p>
    <w:p w:rsidR="00146A6C" w:rsidRPr="00270DB5" w:rsidRDefault="00146A6C">
      <w:pPr>
        <w:widowControl/>
        <w:jc w:val="center"/>
        <w:rPr>
          <w:b/>
          <w:color w:val="000000"/>
          <w:sz w:val="24"/>
        </w:rPr>
      </w:pPr>
    </w:p>
    <w:p w:rsidR="00146A6C" w:rsidRPr="00270DB5" w:rsidRDefault="00146A6C">
      <w:pPr>
        <w:widowControl/>
        <w:jc w:val="center"/>
        <w:rPr>
          <w:b/>
          <w:color w:val="000000"/>
          <w:sz w:val="24"/>
        </w:rPr>
      </w:pPr>
    </w:p>
    <w:p w:rsidR="00146A6C" w:rsidRPr="00270DB5" w:rsidRDefault="00146A6C">
      <w:pPr>
        <w:widowControl/>
        <w:jc w:val="center"/>
        <w:rPr>
          <w:b/>
          <w:color w:val="000000"/>
          <w:sz w:val="24"/>
        </w:rPr>
      </w:pPr>
    </w:p>
    <w:p w:rsidR="00146A6C" w:rsidRPr="00270DB5" w:rsidRDefault="00146A6C">
      <w:pPr>
        <w:widowControl/>
        <w:tabs>
          <w:tab w:val="center" w:pos="4680"/>
        </w:tabs>
        <w:jc w:val="center"/>
        <w:rPr>
          <w:color w:val="000000"/>
          <w:sz w:val="24"/>
        </w:rPr>
      </w:pPr>
      <w:r w:rsidRPr="00270DB5">
        <w:rPr>
          <w:color w:val="000000"/>
          <w:sz w:val="24"/>
        </w:rPr>
        <w:t xml:space="preserve">Office of </w:t>
      </w:r>
      <w:r w:rsidR="00D67C8E" w:rsidRPr="00270DB5">
        <w:rPr>
          <w:color w:val="000000"/>
          <w:sz w:val="24"/>
        </w:rPr>
        <w:t>Resource Conservation and Recovery</w:t>
      </w:r>
    </w:p>
    <w:p w:rsidR="00146A6C" w:rsidRPr="00270DB5" w:rsidRDefault="00146A6C">
      <w:pPr>
        <w:widowControl/>
        <w:tabs>
          <w:tab w:val="center" w:pos="4680"/>
        </w:tabs>
        <w:jc w:val="center"/>
        <w:rPr>
          <w:color w:val="000000"/>
          <w:sz w:val="24"/>
        </w:rPr>
      </w:pPr>
      <w:r w:rsidRPr="00270DB5">
        <w:rPr>
          <w:color w:val="000000"/>
          <w:sz w:val="24"/>
        </w:rPr>
        <w:t>United States Environmental Protection Agency</w:t>
      </w:r>
    </w:p>
    <w:p w:rsidR="00146A6C" w:rsidRPr="00270DB5" w:rsidRDefault="00146A6C">
      <w:pPr>
        <w:widowControl/>
        <w:tabs>
          <w:tab w:val="center" w:pos="4680"/>
        </w:tabs>
        <w:jc w:val="center"/>
        <w:rPr>
          <w:color w:val="000000"/>
          <w:sz w:val="24"/>
        </w:rPr>
      </w:pPr>
      <w:r w:rsidRPr="00270DB5">
        <w:rPr>
          <w:color w:val="000000"/>
          <w:sz w:val="24"/>
        </w:rPr>
        <w:t>Washington, D.C. 20460</w:t>
      </w:r>
    </w:p>
    <w:p w:rsidR="00146A6C" w:rsidRPr="00270DB5" w:rsidRDefault="00146A6C">
      <w:pPr>
        <w:widowControl/>
        <w:tabs>
          <w:tab w:val="center" w:pos="4680"/>
        </w:tabs>
        <w:rPr>
          <w:color w:val="000000"/>
          <w:sz w:val="24"/>
        </w:rPr>
      </w:pPr>
    </w:p>
    <w:p w:rsidR="00146A6C" w:rsidRPr="00270DB5" w:rsidRDefault="00146A6C">
      <w:pPr>
        <w:widowControl/>
        <w:jc w:val="center"/>
        <w:rPr>
          <w:b/>
          <w:bCs/>
          <w:color w:val="000000"/>
          <w:sz w:val="28"/>
          <w:szCs w:val="28"/>
        </w:rPr>
        <w:sectPr w:rsidR="00146A6C" w:rsidRPr="00270DB5">
          <w:footerReference w:type="default" r:id="rId8"/>
          <w:type w:val="continuous"/>
          <w:pgSz w:w="12240" w:h="15840"/>
          <w:pgMar w:top="1440" w:right="1440" w:bottom="1440" w:left="1440" w:header="1440" w:footer="1440" w:gutter="0"/>
          <w:pgNumType w:start="1"/>
          <w:cols w:space="720"/>
          <w:noEndnote/>
        </w:sectPr>
      </w:pPr>
    </w:p>
    <w:p w:rsidR="00146A6C" w:rsidRPr="00270DB5" w:rsidRDefault="00146A6C">
      <w:pPr>
        <w:widowControl/>
        <w:jc w:val="center"/>
        <w:rPr>
          <w:color w:val="000000"/>
          <w:sz w:val="24"/>
        </w:rPr>
      </w:pPr>
      <w:r w:rsidRPr="00270DB5">
        <w:rPr>
          <w:b/>
          <w:bCs/>
          <w:color w:val="000000"/>
          <w:sz w:val="28"/>
          <w:szCs w:val="28"/>
        </w:rPr>
        <w:lastRenderedPageBreak/>
        <w:t>TABLE OF CONTENTS</w:t>
      </w:r>
    </w:p>
    <w:p w:rsidR="00146A6C" w:rsidRPr="00270DB5" w:rsidRDefault="00146A6C">
      <w:pPr>
        <w:rPr>
          <w:color w:val="000000"/>
          <w:sz w:val="24"/>
        </w:rPr>
      </w:pPr>
    </w:p>
    <w:p w:rsidR="002F53EC" w:rsidRPr="00270DB5" w:rsidRDefault="00146A6C">
      <w:pPr>
        <w:pStyle w:val="TOC1"/>
        <w:rPr>
          <w:rFonts w:ascii="Calibri" w:hAnsi="Calibri"/>
          <w:color w:val="000000"/>
          <w:sz w:val="22"/>
          <w:szCs w:val="22"/>
        </w:rPr>
      </w:pPr>
      <w:r w:rsidRPr="00270DB5">
        <w:rPr>
          <w:color w:val="000000"/>
          <w:sz w:val="24"/>
        </w:rPr>
        <w:fldChar w:fldCharType="begin"/>
      </w:r>
      <w:r w:rsidRPr="00270DB5">
        <w:rPr>
          <w:color w:val="000000"/>
          <w:sz w:val="24"/>
        </w:rPr>
        <w:instrText xml:space="preserve"> TOC \o "1-3" \h \z </w:instrText>
      </w:r>
      <w:r w:rsidRPr="00270DB5">
        <w:rPr>
          <w:color w:val="000000"/>
          <w:sz w:val="24"/>
        </w:rPr>
        <w:fldChar w:fldCharType="separate"/>
      </w:r>
      <w:hyperlink w:anchor="_Toc327953050" w:history="1">
        <w:r w:rsidR="002F53EC" w:rsidRPr="00270DB5">
          <w:rPr>
            <w:rStyle w:val="Hyperlink"/>
            <w:color w:val="000000"/>
          </w:rPr>
          <w:t>1.</w:t>
        </w:r>
        <w:r w:rsidR="002F53EC" w:rsidRPr="00270DB5">
          <w:rPr>
            <w:rFonts w:ascii="Calibri" w:hAnsi="Calibri"/>
            <w:color w:val="000000"/>
            <w:sz w:val="22"/>
            <w:szCs w:val="22"/>
          </w:rPr>
          <w:tab/>
        </w:r>
        <w:r w:rsidR="002F53EC" w:rsidRPr="00270DB5">
          <w:rPr>
            <w:rStyle w:val="Hyperlink"/>
            <w:color w:val="000000"/>
          </w:rPr>
          <w:t>IDENTIFICATION OF THE INFORMATION COLLECTION</w:t>
        </w:r>
        <w:r w:rsidR="002F53EC" w:rsidRPr="00270DB5">
          <w:rPr>
            <w:webHidden/>
            <w:color w:val="000000"/>
          </w:rPr>
          <w:tab/>
        </w:r>
        <w:r w:rsidR="002F53EC" w:rsidRPr="00270DB5">
          <w:rPr>
            <w:webHidden/>
            <w:color w:val="000000"/>
          </w:rPr>
          <w:fldChar w:fldCharType="begin"/>
        </w:r>
        <w:r w:rsidR="002F53EC" w:rsidRPr="00270DB5">
          <w:rPr>
            <w:webHidden/>
            <w:color w:val="000000"/>
          </w:rPr>
          <w:instrText xml:space="preserve"> PAGEREF _Toc327953050 \h </w:instrText>
        </w:r>
        <w:r w:rsidR="002F53EC" w:rsidRPr="00270DB5">
          <w:rPr>
            <w:webHidden/>
            <w:color w:val="000000"/>
          </w:rPr>
        </w:r>
        <w:r w:rsidR="002F53EC" w:rsidRPr="00270DB5">
          <w:rPr>
            <w:webHidden/>
            <w:color w:val="000000"/>
          </w:rPr>
          <w:fldChar w:fldCharType="separate"/>
        </w:r>
        <w:r w:rsidR="009258B4" w:rsidRPr="00270DB5">
          <w:rPr>
            <w:webHidden/>
            <w:color w:val="000000"/>
          </w:rPr>
          <w:t>1</w:t>
        </w:r>
        <w:r w:rsidR="002F53EC" w:rsidRPr="00270DB5">
          <w:rPr>
            <w:webHidden/>
            <w:color w:val="000000"/>
          </w:rPr>
          <w:fldChar w:fldCharType="end"/>
        </w:r>
      </w:hyperlink>
    </w:p>
    <w:p w:rsidR="002F53EC" w:rsidRPr="00270DB5" w:rsidRDefault="002F53EC">
      <w:pPr>
        <w:pStyle w:val="TOC2"/>
        <w:rPr>
          <w:rFonts w:ascii="Calibri" w:hAnsi="Calibri"/>
          <w:color w:val="000000"/>
          <w:sz w:val="22"/>
          <w:szCs w:val="22"/>
        </w:rPr>
      </w:pPr>
      <w:hyperlink w:anchor="_Toc327953051" w:history="1">
        <w:r w:rsidRPr="00270DB5">
          <w:rPr>
            <w:rStyle w:val="Hyperlink"/>
            <w:color w:val="000000"/>
          </w:rPr>
          <w:t>1(a)</w:t>
        </w:r>
        <w:r w:rsidRPr="00270DB5">
          <w:rPr>
            <w:rFonts w:ascii="Calibri" w:hAnsi="Calibri"/>
            <w:color w:val="000000"/>
            <w:sz w:val="22"/>
            <w:szCs w:val="22"/>
          </w:rPr>
          <w:tab/>
        </w:r>
        <w:r w:rsidRPr="00270DB5">
          <w:rPr>
            <w:rStyle w:val="Hyperlink"/>
            <w:color w:val="000000"/>
          </w:rPr>
          <w:t>Title and Number of the Information Collection</w:t>
        </w:r>
        <w:r w:rsidRPr="00270DB5">
          <w:rPr>
            <w:webHidden/>
            <w:color w:val="000000"/>
          </w:rPr>
          <w:tab/>
        </w:r>
        <w:r w:rsidRPr="00270DB5">
          <w:rPr>
            <w:webHidden/>
            <w:color w:val="000000"/>
          </w:rPr>
          <w:fldChar w:fldCharType="begin"/>
        </w:r>
        <w:r w:rsidRPr="00270DB5">
          <w:rPr>
            <w:webHidden/>
            <w:color w:val="000000"/>
          </w:rPr>
          <w:instrText xml:space="preserve"> PAGEREF _Toc327953051 \h </w:instrText>
        </w:r>
        <w:r w:rsidRPr="00270DB5">
          <w:rPr>
            <w:webHidden/>
            <w:color w:val="000000"/>
          </w:rPr>
        </w:r>
        <w:r w:rsidRPr="00270DB5">
          <w:rPr>
            <w:webHidden/>
            <w:color w:val="000000"/>
          </w:rPr>
          <w:fldChar w:fldCharType="separate"/>
        </w:r>
        <w:r w:rsidR="009258B4" w:rsidRPr="00270DB5">
          <w:rPr>
            <w:webHidden/>
            <w:color w:val="000000"/>
          </w:rPr>
          <w:t>1</w:t>
        </w:r>
        <w:r w:rsidRPr="00270DB5">
          <w:rPr>
            <w:webHidden/>
            <w:color w:val="000000"/>
          </w:rPr>
          <w:fldChar w:fldCharType="end"/>
        </w:r>
      </w:hyperlink>
    </w:p>
    <w:p w:rsidR="002F53EC" w:rsidRPr="00270DB5" w:rsidRDefault="002F53EC">
      <w:pPr>
        <w:pStyle w:val="TOC2"/>
        <w:rPr>
          <w:rFonts w:ascii="Calibri" w:hAnsi="Calibri"/>
          <w:color w:val="000000"/>
          <w:sz w:val="22"/>
          <w:szCs w:val="22"/>
        </w:rPr>
      </w:pPr>
      <w:hyperlink w:anchor="_Toc327953052" w:history="1">
        <w:r w:rsidRPr="00270DB5">
          <w:rPr>
            <w:rStyle w:val="Hyperlink"/>
            <w:color w:val="000000"/>
          </w:rPr>
          <w:t>1(b)</w:t>
        </w:r>
        <w:r w:rsidRPr="00270DB5">
          <w:rPr>
            <w:rFonts w:ascii="Calibri" w:hAnsi="Calibri"/>
            <w:color w:val="000000"/>
            <w:sz w:val="22"/>
            <w:szCs w:val="22"/>
          </w:rPr>
          <w:tab/>
        </w:r>
        <w:r w:rsidRPr="00270DB5">
          <w:rPr>
            <w:rStyle w:val="Hyperlink"/>
            <w:color w:val="000000"/>
          </w:rPr>
          <w:t>Short Characterization</w:t>
        </w:r>
        <w:r w:rsidRPr="00270DB5">
          <w:rPr>
            <w:webHidden/>
            <w:color w:val="000000"/>
          </w:rPr>
          <w:tab/>
        </w:r>
        <w:r w:rsidRPr="00270DB5">
          <w:rPr>
            <w:webHidden/>
            <w:color w:val="000000"/>
          </w:rPr>
          <w:fldChar w:fldCharType="begin"/>
        </w:r>
        <w:r w:rsidRPr="00270DB5">
          <w:rPr>
            <w:webHidden/>
            <w:color w:val="000000"/>
          </w:rPr>
          <w:instrText xml:space="preserve"> PAGEREF _Toc327953052 \h </w:instrText>
        </w:r>
        <w:r w:rsidRPr="00270DB5">
          <w:rPr>
            <w:webHidden/>
            <w:color w:val="000000"/>
          </w:rPr>
        </w:r>
        <w:r w:rsidRPr="00270DB5">
          <w:rPr>
            <w:webHidden/>
            <w:color w:val="000000"/>
          </w:rPr>
          <w:fldChar w:fldCharType="separate"/>
        </w:r>
        <w:r w:rsidR="009258B4" w:rsidRPr="00270DB5">
          <w:rPr>
            <w:webHidden/>
            <w:color w:val="000000"/>
          </w:rPr>
          <w:t>1</w:t>
        </w:r>
        <w:r w:rsidRPr="00270DB5">
          <w:rPr>
            <w:webHidden/>
            <w:color w:val="000000"/>
          </w:rPr>
          <w:fldChar w:fldCharType="end"/>
        </w:r>
      </w:hyperlink>
    </w:p>
    <w:p w:rsidR="002F53EC" w:rsidRPr="00270DB5" w:rsidRDefault="002F53EC">
      <w:pPr>
        <w:pStyle w:val="TOC1"/>
        <w:rPr>
          <w:rFonts w:ascii="Calibri" w:hAnsi="Calibri"/>
          <w:color w:val="000000"/>
          <w:sz w:val="22"/>
          <w:szCs w:val="22"/>
        </w:rPr>
      </w:pPr>
      <w:hyperlink w:anchor="_Toc327953053" w:history="1">
        <w:r w:rsidRPr="00270DB5">
          <w:rPr>
            <w:rStyle w:val="Hyperlink"/>
            <w:color w:val="000000"/>
          </w:rPr>
          <w:t>2.</w:t>
        </w:r>
        <w:r w:rsidRPr="00270DB5">
          <w:rPr>
            <w:rFonts w:ascii="Calibri" w:hAnsi="Calibri"/>
            <w:color w:val="000000"/>
            <w:sz w:val="22"/>
            <w:szCs w:val="22"/>
          </w:rPr>
          <w:tab/>
        </w:r>
        <w:r w:rsidRPr="00270DB5">
          <w:rPr>
            <w:rStyle w:val="Hyperlink"/>
            <w:color w:val="000000"/>
          </w:rPr>
          <w:t>NEED FOR AND USE OF THE COLLECTION</w:t>
        </w:r>
        <w:r w:rsidRPr="00270DB5">
          <w:rPr>
            <w:webHidden/>
            <w:color w:val="000000"/>
          </w:rPr>
          <w:tab/>
        </w:r>
        <w:r w:rsidRPr="00270DB5">
          <w:rPr>
            <w:webHidden/>
            <w:color w:val="000000"/>
          </w:rPr>
          <w:fldChar w:fldCharType="begin"/>
        </w:r>
        <w:r w:rsidRPr="00270DB5">
          <w:rPr>
            <w:webHidden/>
            <w:color w:val="000000"/>
          </w:rPr>
          <w:instrText xml:space="preserve"> PAGEREF _Toc327953053 \h </w:instrText>
        </w:r>
        <w:r w:rsidRPr="00270DB5">
          <w:rPr>
            <w:webHidden/>
            <w:color w:val="000000"/>
          </w:rPr>
        </w:r>
        <w:r w:rsidRPr="00270DB5">
          <w:rPr>
            <w:webHidden/>
            <w:color w:val="000000"/>
          </w:rPr>
          <w:fldChar w:fldCharType="separate"/>
        </w:r>
        <w:r w:rsidR="009258B4" w:rsidRPr="00270DB5">
          <w:rPr>
            <w:webHidden/>
            <w:color w:val="000000"/>
          </w:rPr>
          <w:t>8</w:t>
        </w:r>
        <w:r w:rsidRPr="00270DB5">
          <w:rPr>
            <w:webHidden/>
            <w:color w:val="000000"/>
          </w:rPr>
          <w:fldChar w:fldCharType="end"/>
        </w:r>
      </w:hyperlink>
    </w:p>
    <w:p w:rsidR="002F53EC" w:rsidRPr="00270DB5" w:rsidRDefault="002F53EC">
      <w:pPr>
        <w:pStyle w:val="TOC2"/>
        <w:rPr>
          <w:rFonts w:ascii="Calibri" w:hAnsi="Calibri"/>
          <w:color w:val="000000"/>
          <w:sz w:val="22"/>
          <w:szCs w:val="22"/>
        </w:rPr>
      </w:pPr>
      <w:hyperlink w:anchor="_Toc327953054" w:history="1">
        <w:r w:rsidRPr="00270DB5">
          <w:rPr>
            <w:rStyle w:val="Hyperlink"/>
            <w:color w:val="000000"/>
          </w:rPr>
          <w:t>2(a)</w:t>
        </w:r>
        <w:r w:rsidRPr="00270DB5">
          <w:rPr>
            <w:rFonts w:ascii="Calibri" w:hAnsi="Calibri"/>
            <w:color w:val="000000"/>
            <w:sz w:val="22"/>
            <w:szCs w:val="22"/>
          </w:rPr>
          <w:tab/>
        </w:r>
        <w:r w:rsidRPr="00270DB5">
          <w:rPr>
            <w:rStyle w:val="Hyperlink"/>
            <w:color w:val="000000"/>
          </w:rPr>
          <w:t>Need and Authority for the Collection</w:t>
        </w:r>
        <w:r w:rsidRPr="00270DB5">
          <w:rPr>
            <w:webHidden/>
            <w:color w:val="000000"/>
          </w:rPr>
          <w:tab/>
        </w:r>
        <w:r w:rsidRPr="00270DB5">
          <w:rPr>
            <w:webHidden/>
            <w:color w:val="000000"/>
          </w:rPr>
          <w:fldChar w:fldCharType="begin"/>
        </w:r>
        <w:r w:rsidRPr="00270DB5">
          <w:rPr>
            <w:webHidden/>
            <w:color w:val="000000"/>
          </w:rPr>
          <w:instrText xml:space="preserve"> PAGEREF _Toc327953054 \h </w:instrText>
        </w:r>
        <w:r w:rsidRPr="00270DB5">
          <w:rPr>
            <w:webHidden/>
            <w:color w:val="000000"/>
          </w:rPr>
        </w:r>
        <w:r w:rsidRPr="00270DB5">
          <w:rPr>
            <w:webHidden/>
            <w:color w:val="000000"/>
          </w:rPr>
          <w:fldChar w:fldCharType="separate"/>
        </w:r>
        <w:r w:rsidR="009258B4" w:rsidRPr="00270DB5">
          <w:rPr>
            <w:webHidden/>
            <w:color w:val="000000"/>
          </w:rPr>
          <w:t>8</w:t>
        </w:r>
        <w:r w:rsidRPr="00270DB5">
          <w:rPr>
            <w:webHidden/>
            <w:color w:val="000000"/>
          </w:rPr>
          <w:fldChar w:fldCharType="end"/>
        </w:r>
      </w:hyperlink>
    </w:p>
    <w:p w:rsidR="002F53EC" w:rsidRPr="00270DB5" w:rsidRDefault="002F53EC">
      <w:pPr>
        <w:pStyle w:val="TOC2"/>
        <w:rPr>
          <w:rFonts w:ascii="Calibri" w:hAnsi="Calibri"/>
          <w:color w:val="000000"/>
          <w:sz w:val="22"/>
          <w:szCs w:val="22"/>
        </w:rPr>
      </w:pPr>
      <w:hyperlink w:anchor="_Toc327953055" w:history="1">
        <w:r w:rsidRPr="00270DB5">
          <w:rPr>
            <w:rStyle w:val="Hyperlink"/>
            <w:color w:val="000000"/>
          </w:rPr>
          <w:t>2(b)</w:t>
        </w:r>
        <w:r w:rsidRPr="00270DB5">
          <w:rPr>
            <w:rFonts w:ascii="Calibri" w:hAnsi="Calibri"/>
            <w:color w:val="000000"/>
            <w:sz w:val="22"/>
            <w:szCs w:val="22"/>
          </w:rPr>
          <w:tab/>
        </w:r>
        <w:r w:rsidRPr="00270DB5">
          <w:rPr>
            <w:rStyle w:val="Hyperlink"/>
            <w:color w:val="000000"/>
          </w:rPr>
          <w:t>Practical Utility and Users of the Data</w:t>
        </w:r>
        <w:r w:rsidRPr="00270DB5">
          <w:rPr>
            <w:webHidden/>
            <w:color w:val="000000"/>
          </w:rPr>
          <w:tab/>
        </w:r>
        <w:r w:rsidRPr="00270DB5">
          <w:rPr>
            <w:webHidden/>
            <w:color w:val="000000"/>
          </w:rPr>
          <w:fldChar w:fldCharType="begin"/>
        </w:r>
        <w:r w:rsidRPr="00270DB5">
          <w:rPr>
            <w:webHidden/>
            <w:color w:val="000000"/>
          </w:rPr>
          <w:instrText xml:space="preserve"> PAGEREF _Toc327953055 \h </w:instrText>
        </w:r>
        <w:r w:rsidRPr="00270DB5">
          <w:rPr>
            <w:webHidden/>
            <w:color w:val="000000"/>
          </w:rPr>
        </w:r>
        <w:r w:rsidRPr="00270DB5">
          <w:rPr>
            <w:webHidden/>
            <w:color w:val="000000"/>
          </w:rPr>
          <w:fldChar w:fldCharType="separate"/>
        </w:r>
        <w:r w:rsidR="009258B4" w:rsidRPr="00270DB5">
          <w:rPr>
            <w:webHidden/>
            <w:color w:val="000000"/>
          </w:rPr>
          <w:t>11</w:t>
        </w:r>
        <w:r w:rsidRPr="00270DB5">
          <w:rPr>
            <w:webHidden/>
            <w:color w:val="000000"/>
          </w:rPr>
          <w:fldChar w:fldCharType="end"/>
        </w:r>
      </w:hyperlink>
    </w:p>
    <w:p w:rsidR="002F53EC" w:rsidRPr="00270DB5" w:rsidRDefault="002F53EC">
      <w:pPr>
        <w:pStyle w:val="TOC1"/>
        <w:rPr>
          <w:rFonts w:ascii="Calibri" w:hAnsi="Calibri"/>
          <w:color w:val="000000"/>
          <w:sz w:val="22"/>
          <w:szCs w:val="22"/>
        </w:rPr>
      </w:pPr>
      <w:hyperlink w:anchor="_Toc327953056" w:history="1">
        <w:r w:rsidRPr="00270DB5">
          <w:rPr>
            <w:rStyle w:val="Hyperlink"/>
            <w:color w:val="000000"/>
          </w:rPr>
          <w:t>3.</w:t>
        </w:r>
        <w:r w:rsidRPr="00270DB5">
          <w:rPr>
            <w:rFonts w:ascii="Calibri" w:hAnsi="Calibri"/>
            <w:color w:val="000000"/>
            <w:sz w:val="22"/>
            <w:szCs w:val="22"/>
          </w:rPr>
          <w:tab/>
        </w:r>
        <w:r w:rsidRPr="00270DB5">
          <w:rPr>
            <w:rStyle w:val="Hyperlink"/>
            <w:color w:val="000000"/>
          </w:rPr>
          <w:t>NONDUPLICATION, CONSULTATIONS, AND OTHER COLLECTION CRITERIA</w:t>
        </w:r>
        <w:r w:rsidRPr="00270DB5">
          <w:rPr>
            <w:webHidden/>
            <w:color w:val="000000"/>
          </w:rPr>
          <w:tab/>
        </w:r>
        <w:r w:rsidRPr="00270DB5">
          <w:rPr>
            <w:webHidden/>
            <w:color w:val="000000"/>
          </w:rPr>
          <w:fldChar w:fldCharType="begin"/>
        </w:r>
        <w:r w:rsidRPr="00270DB5">
          <w:rPr>
            <w:webHidden/>
            <w:color w:val="000000"/>
          </w:rPr>
          <w:instrText xml:space="preserve"> PAGEREF _Toc327953056 \h </w:instrText>
        </w:r>
        <w:r w:rsidRPr="00270DB5">
          <w:rPr>
            <w:webHidden/>
            <w:color w:val="000000"/>
          </w:rPr>
        </w:r>
        <w:r w:rsidRPr="00270DB5">
          <w:rPr>
            <w:webHidden/>
            <w:color w:val="000000"/>
          </w:rPr>
          <w:fldChar w:fldCharType="separate"/>
        </w:r>
        <w:r w:rsidR="009258B4" w:rsidRPr="00270DB5">
          <w:rPr>
            <w:webHidden/>
            <w:color w:val="000000"/>
          </w:rPr>
          <w:t>14</w:t>
        </w:r>
        <w:r w:rsidRPr="00270DB5">
          <w:rPr>
            <w:webHidden/>
            <w:color w:val="000000"/>
          </w:rPr>
          <w:fldChar w:fldCharType="end"/>
        </w:r>
      </w:hyperlink>
    </w:p>
    <w:p w:rsidR="002F53EC" w:rsidRPr="00270DB5" w:rsidRDefault="002F53EC">
      <w:pPr>
        <w:pStyle w:val="TOC2"/>
        <w:rPr>
          <w:rFonts w:ascii="Calibri" w:hAnsi="Calibri"/>
          <w:color w:val="000000"/>
          <w:sz w:val="22"/>
          <w:szCs w:val="22"/>
        </w:rPr>
      </w:pPr>
      <w:hyperlink w:anchor="_Toc327953057" w:history="1">
        <w:r w:rsidRPr="00270DB5">
          <w:rPr>
            <w:rStyle w:val="Hyperlink"/>
            <w:color w:val="000000"/>
          </w:rPr>
          <w:t>3(a)</w:t>
        </w:r>
        <w:r w:rsidRPr="00270DB5">
          <w:rPr>
            <w:rFonts w:ascii="Calibri" w:hAnsi="Calibri"/>
            <w:color w:val="000000"/>
            <w:sz w:val="22"/>
            <w:szCs w:val="22"/>
          </w:rPr>
          <w:tab/>
        </w:r>
        <w:r w:rsidRPr="00270DB5">
          <w:rPr>
            <w:rStyle w:val="Hyperlink"/>
            <w:color w:val="000000"/>
          </w:rPr>
          <w:t>Nonduplication</w:t>
        </w:r>
        <w:r w:rsidRPr="00270DB5">
          <w:rPr>
            <w:webHidden/>
            <w:color w:val="000000"/>
          </w:rPr>
          <w:tab/>
        </w:r>
        <w:r w:rsidRPr="00270DB5">
          <w:rPr>
            <w:webHidden/>
            <w:color w:val="000000"/>
          </w:rPr>
          <w:fldChar w:fldCharType="begin"/>
        </w:r>
        <w:r w:rsidRPr="00270DB5">
          <w:rPr>
            <w:webHidden/>
            <w:color w:val="000000"/>
          </w:rPr>
          <w:instrText xml:space="preserve"> PAGEREF _Toc327953057 \h </w:instrText>
        </w:r>
        <w:r w:rsidRPr="00270DB5">
          <w:rPr>
            <w:webHidden/>
            <w:color w:val="000000"/>
          </w:rPr>
        </w:r>
        <w:r w:rsidRPr="00270DB5">
          <w:rPr>
            <w:webHidden/>
            <w:color w:val="000000"/>
          </w:rPr>
          <w:fldChar w:fldCharType="separate"/>
        </w:r>
        <w:r w:rsidR="009258B4" w:rsidRPr="00270DB5">
          <w:rPr>
            <w:webHidden/>
            <w:color w:val="000000"/>
          </w:rPr>
          <w:t>14</w:t>
        </w:r>
        <w:r w:rsidRPr="00270DB5">
          <w:rPr>
            <w:webHidden/>
            <w:color w:val="000000"/>
          </w:rPr>
          <w:fldChar w:fldCharType="end"/>
        </w:r>
      </w:hyperlink>
    </w:p>
    <w:p w:rsidR="002F53EC" w:rsidRPr="00270DB5" w:rsidRDefault="002F53EC">
      <w:pPr>
        <w:pStyle w:val="TOC2"/>
        <w:rPr>
          <w:rFonts w:ascii="Calibri" w:hAnsi="Calibri"/>
          <w:color w:val="000000"/>
          <w:sz w:val="22"/>
          <w:szCs w:val="22"/>
        </w:rPr>
      </w:pPr>
      <w:hyperlink w:anchor="_Toc327953058" w:history="1">
        <w:r w:rsidRPr="00270DB5">
          <w:rPr>
            <w:rStyle w:val="Hyperlink"/>
            <w:color w:val="000000"/>
          </w:rPr>
          <w:t>3(b)</w:t>
        </w:r>
        <w:r w:rsidRPr="00270DB5">
          <w:rPr>
            <w:rFonts w:ascii="Calibri" w:hAnsi="Calibri"/>
            <w:color w:val="000000"/>
            <w:sz w:val="22"/>
            <w:szCs w:val="22"/>
          </w:rPr>
          <w:tab/>
        </w:r>
        <w:r w:rsidRPr="00270DB5">
          <w:rPr>
            <w:rStyle w:val="Hyperlink"/>
            <w:color w:val="000000"/>
          </w:rPr>
          <w:t>Public Notice</w:t>
        </w:r>
        <w:r w:rsidRPr="00270DB5">
          <w:rPr>
            <w:webHidden/>
            <w:color w:val="000000"/>
          </w:rPr>
          <w:tab/>
        </w:r>
        <w:r w:rsidRPr="00270DB5">
          <w:rPr>
            <w:webHidden/>
            <w:color w:val="000000"/>
          </w:rPr>
          <w:fldChar w:fldCharType="begin"/>
        </w:r>
        <w:r w:rsidRPr="00270DB5">
          <w:rPr>
            <w:webHidden/>
            <w:color w:val="000000"/>
          </w:rPr>
          <w:instrText xml:space="preserve"> PAGEREF _Toc327953058 \h </w:instrText>
        </w:r>
        <w:r w:rsidRPr="00270DB5">
          <w:rPr>
            <w:webHidden/>
            <w:color w:val="000000"/>
          </w:rPr>
        </w:r>
        <w:r w:rsidRPr="00270DB5">
          <w:rPr>
            <w:webHidden/>
            <w:color w:val="000000"/>
          </w:rPr>
          <w:fldChar w:fldCharType="separate"/>
        </w:r>
        <w:r w:rsidR="009258B4" w:rsidRPr="00270DB5">
          <w:rPr>
            <w:webHidden/>
            <w:color w:val="000000"/>
          </w:rPr>
          <w:t>14</w:t>
        </w:r>
        <w:r w:rsidRPr="00270DB5">
          <w:rPr>
            <w:webHidden/>
            <w:color w:val="000000"/>
          </w:rPr>
          <w:fldChar w:fldCharType="end"/>
        </w:r>
      </w:hyperlink>
    </w:p>
    <w:p w:rsidR="002F53EC" w:rsidRPr="00270DB5" w:rsidRDefault="002F53EC">
      <w:pPr>
        <w:pStyle w:val="TOC2"/>
        <w:rPr>
          <w:rFonts w:ascii="Calibri" w:hAnsi="Calibri"/>
          <w:color w:val="000000"/>
          <w:sz w:val="22"/>
          <w:szCs w:val="22"/>
        </w:rPr>
      </w:pPr>
      <w:hyperlink w:anchor="_Toc327953059" w:history="1">
        <w:r w:rsidRPr="00270DB5">
          <w:rPr>
            <w:rStyle w:val="Hyperlink"/>
            <w:color w:val="000000"/>
          </w:rPr>
          <w:t>3(c)</w:t>
        </w:r>
        <w:r w:rsidRPr="00270DB5">
          <w:rPr>
            <w:rFonts w:ascii="Calibri" w:hAnsi="Calibri"/>
            <w:color w:val="000000"/>
            <w:sz w:val="22"/>
            <w:szCs w:val="22"/>
          </w:rPr>
          <w:tab/>
        </w:r>
        <w:r w:rsidRPr="00270DB5">
          <w:rPr>
            <w:rStyle w:val="Hyperlink"/>
            <w:color w:val="000000"/>
          </w:rPr>
          <w:t>Consultations</w:t>
        </w:r>
        <w:r w:rsidRPr="00270DB5">
          <w:rPr>
            <w:webHidden/>
            <w:color w:val="000000"/>
          </w:rPr>
          <w:tab/>
        </w:r>
        <w:r w:rsidRPr="00270DB5">
          <w:rPr>
            <w:webHidden/>
            <w:color w:val="000000"/>
          </w:rPr>
          <w:fldChar w:fldCharType="begin"/>
        </w:r>
        <w:r w:rsidRPr="00270DB5">
          <w:rPr>
            <w:webHidden/>
            <w:color w:val="000000"/>
          </w:rPr>
          <w:instrText xml:space="preserve"> PAGEREF _Toc327953059 \h </w:instrText>
        </w:r>
        <w:r w:rsidRPr="00270DB5">
          <w:rPr>
            <w:webHidden/>
            <w:color w:val="000000"/>
          </w:rPr>
        </w:r>
        <w:r w:rsidRPr="00270DB5">
          <w:rPr>
            <w:webHidden/>
            <w:color w:val="000000"/>
          </w:rPr>
          <w:fldChar w:fldCharType="separate"/>
        </w:r>
        <w:r w:rsidR="009258B4" w:rsidRPr="00270DB5">
          <w:rPr>
            <w:webHidden/>
            <w:color w:val="000000"/>
          </w:rPr>
          <w:t>14</w:t>
        </w:r>
        <w:r w:rsidRPr="00270DB5">
          <w:rPr>
            <w:webHidden/>
            <w:color w:val="000000"/>
          </w:rPr>
          <w:fldChar w:fldCharType="end"/>
        </w:r>
      </w:hyperlink>
    </w:p>
    <w:p w:rsidR="002F53EC" w:rsidRPr="00270DB5" w:rsidRDefault="002F53EC">
      <w:pPr>
        <w:pStyle w:val="TOC2"/>
        <w:rPr>
          <w:rFonts w:ascii="Calibri" w:hAnsi="Calibri"/>
          <w:color w:val="000000"/>
          <w:sz w:val="22"/>
          <w:szCs w:val="22"/>
        </w:rPr>
      </w:pPr>
      <w:hyperlink w:anchor="_Toc327953060" w:history="1">
        <w:r w:rsidRPr="00270DB5">
          <w:rPr>
            <w:rStyle w:val="Hyperlink"/>
            <w:color w:val="000000"/>
          </w:rPr>
          <w:t>3(d)</w:t>
        </w:r>
        <w:r w:rsidRPr="00270DB5">
          <w:rPr>
            <w:rFonts w:ascii="Calibri" w:hAnsi="Calibri"/>
            <w:color w:val="000000"/>
            <w:sz w:val="22"/>
            <w:szCs w:val="22"/>
          </w:rPr>
          <w:tab/>
        </w:r>
        <w:r w:rsidRPr="00270DB5">
          <w:rPr>
            <w:rStyle w:val="Hyperlink"/>
            <w:color w:val="000000"/>
          </w:rPr>
          <w:t>Effects of Less Frequent Collection</w:t>
        </w:r>
        <w:r w:rsidRPr="00270DB5">
          <w:rPr>
            <w:webHidden/>
            <w:color w:val="000000"/>
          </w:rPr>
          <w:tab/>
        </w:r>
        <w:r w:rsidRPr="00270DB5">
          <w:rPr>
            <w:webHidden/>
            <w:color w:val="000000"/>
          </w:rPr>
          <w:fldChar w:fldCharType="begin"/>
        </w:r>
        <w:r w:rsidRPr="00270DB5">
          <w:rPr>
            <w:webHidden/>
            <w:color w:val="000000"/>
          </w:rPr>
          <w:instrText xml:space="preserve"> PAGEREF _Toc327953060 \h </w:instrText>
        </w:r>
        <w:r w:rsidRPr="00270DB5">
          <w:rPr>
            <w:webHidden/>
            <w:color w:val="000000"/>
          </w:rPr>
        </w:r>
        <w:r w:rsidRPr="00270DB5">
          <w:rPr>
            <w:webHidden/>
            <w:color w:val="000000"/>
          </w:rPr>
          <w:fldChar w:fldCharType="separate"/>
        </w:r>
        <w:r w:rsidR="009258B4" w:rsidRPr="00270DB5">
          <w:rPr>
            <w:webHidden/>
            <w:color w:val="000000"/>
          </w:rPr>
          <w:t>14</w:t>
        </w:r>
        <w:r w:rsidRPr="00270DB5">
          <w:rPr>
            <w:webHidden/>
            <w:color w:val="000000"/>
          </w:rPr>
          <w:fldChar w:fldCharType="end"/>
        </w:r>
      </w:hyperlink>
    </w:p>
    <w:p w:rsidR="002F53EC" w:rsidRPr="00270DB5" w:rsidRDefault="002F53EC">
      <w:pPr>
        <w:pStyle w:val="TOC2"/>
        <w:rPr>
          <w:rFonts w:ascii="Calibri" w:hAnsi="Calibri"/>
          <w:color w:val="000000"/>
          <w:sz w:val="22"/>
          <w:szCs w:val="22"/>
        </w:rPr>
      </w:pPr>
      <w:hyperlink w:anchor="_Toc327953061" w:history="1">
        <w:r w:rsidRPr="00270DB5">
          <w:rPr>
            <w:rStyle w:val="Hyperlink"/>
            <w:color w:val="000000"/>
          </w:rPr>
          <w:t>3(e)</w:t>
        </w:r>
        <w:r w:rsidRPr="00270DB5">
          <w:rPr>
            <w:rFonts w:ascii="Calibri" w:hAnsi="Calibri"/>
            <w:color w:val="000000"/>
            <w:sz w:val="22"/>
            <w:szCs w:val="22"/>
          </w:rPr>
          <w:tab/>
        </w:r>
        <w:r w:rsidRPr="00270DB5">
          <w:rPr>
            <w:rStyle w:val="Hyperlink"/>
            <w:color w:val="000000"/>
          </w:rPr>
          <w:t>General Guidelines</w:t>
        </w:r>
        <w:r w:rsidRPr="00270DB5">
          <w:rPr>
            <w:webHidden/>
            <w:color w:val="000000"/>
          </w:rPr>
          <w:tab/>
        </w:r>
        <w:r w:rsidRPr="00270DB5">
          <w:rPr>
            <w:webHidden/>
            <w:color w:val="000000"/>
          </w:rPr>
          <w:fldChar w:fldCharType="begin"/>
        </w:r>
        <w:r w:rsidRPr="00270DB5">
          <w:rPr>
            <w:webHidden/>
            <w:color w:val="000000"/>
          </w:rPr>
          <w:instrText xml:space="preserve"> PAGEREF _Toc327953061 \h </w:instrText>
        </w:r>
        <w:r w:rsidRPr="00270DB5">
          <w:rPr>
            <w:webHidden/>
            <w:color w:val="000000"/>
          </w:rPr>
        </w:r>
        <w:r w:rsidRPr="00270DB5">
          <w:rPr>
            <w:webHidden/>
            <w:color w:val="000000"/>
          </w:rPr>
          <w:fldChar w:fldCharType="separate"/>
        </w:r>
        <w:r w:rsidR="009258B4" w:rsidRPr="00270DB5">
          <w:rPr>
            <w:webHidden/>
            <w:color w:val="000000"/>
          </w:rPr>
          <w:t>15</w:t>
        </w:r>
        <w:r w:rsidRPr="00270DB5">
          <w:rPr>
            <w:webHidden/>
            <w:color w:val="000000"/>
          </w:rPr>
          <w:fldChar w:fldCharType="end"/>
        </w:r>
      </w:hyperlink>
    </w:p>
    <w:p w:rsidR="002F53EC" w:rsidRPr="00270DB5" w:rsidRDefault="002F53EC">
      <w:pPr>
        <w:pStyle w:val="TOC2"/>
        <w:rPr>
          <w:rFonts w:ascii="Calibri" w:hAnsi="Calibri"/>
          <w:color w:val="000000"/>
          <w:sz w:val="22"/>
          <w:szCs w:val="22"/>
        </w:rPr>
      </w:pPr>
      <w:hyperlink w:anchor="_Toc327953062" w:history="1">
        <w:r w:rsidRPr="00270DB5">
          <w:rPr>
            <w:rStyle w:val="Hyperlink"/>
            <w:color w:val="000000"/>
          </w:rPr>
          <w:t>3(f)</w:t>
        </w:r>
        <w:r w:rsidRPr="00270DB5">
          <w:rPr>
            <w:rFonts w:ascii="Calibri" w:hAnsi="Calibri"/>
            <w:color w:val="000000"/>
            <w:sz w:val="22"/>
            <w:szCs w:val="22"/>
          </w:rPr>
          <w:tab/>
        </w:r>
        <w:r w:rsidRPr="00270DB5">
          <w:rPr>
            <w:rStyle w:val="Hyperlink"/>
            <w:color w:val="000000"/>
          </w:rPr>
          <w:t>Confidentiality</w:t>
        </w:r>
        <w:r w:rsidRPr="00270DB5">
          <w:rPr>
            <w:webHidden/>
            <w:color w:val="000000"/>
          </w:rPr>
          <w:tab/>
        </w:r>
        <w:r w:rsidRPr="00270DB5">
          <w:rPr>
            <w:webHidden/>
            <w:color w:val="000000"/>
          </w:rPr>
          <w:fldChar w:fldCharType="begin"/>
        </w:r>
        <w:r w:rsidRPr="00270DB5">
          <w:rPr>
            <w:webHidden/>
            <w:color w:val="000000"/>
          </w:rPr>
          <w:instrText xml:space="preserve"> PAGEREF _Toc327953062 \h </w:instrText>
        </w:r>
        <w:r w:rsidRPr="00270DB5">
          <w:rPr>
            <w:webHidden/>
            <w:color w:val="000000"/>
          </w:rPr>
        </w:r>
        <w:r w:rsidRPr="00270DB5">
          <w:rPr>
            <w:webHidden/>
            <w:color w:val="000000"/>
          </w:rPr>
          <w:fldChar w:fldCharType="separate"/>
        </w:r>
        <w:r w:rsidR="009258B4" w:rsidRPr="00270DB5">
          <w:rPr>
            <w:webHidden/>
            <w:color w:val="000000"/>
          </w:rPr>
          <w:t>15</w:t>
        </w:r>
        <w:r w:rsidRPr="00270DB5">
          <w:rPr>
            <w:webHidden/>
            <w:color w:val="000000"/>
          </w:rPr>
          <w:fldChar w:fldCharType="end"/>
        </w:r>
      </w:hyperlink>
    </w:p>
    <w:p w:rsidR="002F53EC" w:rsidRPr="00270DB5" w:rsidRDefault="002F53EC">
      <w:pPr>
        <w:pStyle w:val="TOC2"/>
        <w:rPr>
          <w:rFonts w:ascii="Calibri" w:hAnsi="Calibri"/>
          <w:color w:val="000000"/>
          <w:sz w:val="22"/>
          <w:szCs w:val="22"/>
        </w:rPr>
      </w:pPr>
      <w:hyperlink w:anchor="_Toc327953063" w:history="1">
        <w:r w:rsidRPr="00270DB5">
          <w:rPr>
            <w:rStyle w:val="Hyperlink"/>
            <w:color w:val="000000"/>
          </w:rPr>
          <w:t>3(g)</w:t>
        </w:r>
        <w:r w:rsidRPr="00270DB5">
          <w:rPr>
            <w:rFonts w:ascii="Calibri" w:hAnsi="Calibri"/>
            <w:color w:val="000000"/>
            <w:sz w:val="22"/>
            <w:szCs w:val="22"/>
          </w:rPr>
          <w:tab/>
        </w:r>
        <w:r w:rsidRPr="00270DB5">
          <w:rPr>
            <w:rStyle w:val="Hyperlink"/>
            <w:color w:val="000000"/>
          </w:rPr>
          <w:t>Sensitive Questions</w:t>
        </w:r>
        <w:r w:rsidRPr="00270DB5">
          <w:rPr>
            <w:webHidden/>
            <w:color w:val="000000"/>
          </w:rPr>
          <w:tab/>
        </w:r>
        <w:r w:rsidRPr="00270DB5">
          <w:rPr>
            <w:webHidden/>
            <w:color w:val="000000"/>
          </w:rPr>
          <w:fldChar w:fldCharType="begin"/>
        </w:r>
        <w:r w:rsidRPr="00270DB5">
          <w:rPr>
            <w:webHidden/>
            <w:color w:val="000000"/>
          </w:rPr>
          <w:instrText xml:space="preserve"> PAGEREF _Toc327953063 \h </w:instrText>
        </w:r>
        <w:r w:rsidRPr="00270DB5">
          <w:rPr>
            <w:webHidden/>
            <w:color w:val="000000"/>
          </w:rPr>
        </w:r>
        <w:r w:rsidRPr="00270DB5">
          <w:rPr>
            <w:webHidden/>
            <w:color w:val="000000"/>
          </w:rPr>
          <w:fldChar w:fldCharType="separate"/>
        </w:r>
        <w:r w:rsidR="009258B4" w:rsidRPr="00270DB5">
          <w:rPr>
            <w:webHidden/>
            <w:color w:val="000000"/>
          </w:rPr>
          <w:t>15</w:t>
        </w:r>
        <w:r w:rsidRPr="00270DB5">
          <w:rPr>
            <w:webHidden/>
            <w:color w:val="000000"/>
          </w:rPr>
          <w:fldChar w:fldCharType="end"/>
        </w:r>
      </w:hyperlink>
    </w:p>
    <w:p w:rsidR="002F53EC" w:rsidRPr="00270DB5" w:rsidRDefault="002F53EC">
      <w:pPr>
        <w:pStyle w:val="TOC1"/>
        <w:rPr>
          <w:rFonts w:ascii="Calibri" w:hAnsi="Calibri"/>
          <w:color w:val="000000"/>
          <w:sz w:val="22"/>
          <w:szCs w:val="22"/>
        </w:rPr>
      </w:pPr>
      <w:hyperlink w:anchor="_Toc327953064" w:history="1">
        <w:r w:rsidRPr="00270DB5">
          <w:rPr>
            <w:rStyle w:val="Hyperlink"/>
            <w:color w:val="000000"/>
          </w:rPr>
          <w:t>4.</w:t>
        </w:r>
        <w:r w:rsidRPr="00270DB5">
          <w:rPr>
            <w:rFonts w:ascii="Calibri" w:hAnsi="Calibri"/>
            <w:color w:val="000000"/>
            <w:sz w:val="22"/>
            <w:szCs w:val="22"/>
          </w:rPr>
          <w:tab/>
        </w:r>
        <w:r w:rsidRPr="00270DB5">
          <w:rPr>
            <w:rStyle w:val="Hyperlink"/>
            <w:color w:val="000000"/>
          </w:rPr>
          <w:t>THE RESPONDENTS AND THE INFORMATION REQUESTED</w:t>
        </w:r>
        <w:r w:rsidRPr="00270DB5">
          <w:rPr>
            <w:webHidden/>
            <w:color w:val="000000"/>
          </w:rPr>
          <w:tab/>
        </w:r>
        <w:r w:rsidRPr="00270DB5">
          <w:rPr>
            <w:webHidden/>
            <w:color w:val="000000"/>
          </w:rPr>
          <w:fldChar w:fldCharType="begin"/>
        </w:r>
        <w:r w:rsidRPr="00270DB5">
          <w:rPr>
            <w:webHidden/>
            <w:color w:val="000000"/>
          </w:rPr>
          <w:instrText xml:space="preserve"> PAGEREF _Toc327953064 \h </w:instrText>
        </w:r>
        <w:r w:rsidRPr="00270DB5">
          <w:rPr>
            <w:webHidden/>
            <w:color w:val="000000"/>
          </w:rPr>
        </w:r>
        <w:r w:rsidRPr="00270DB5">
          <w:rPr>
            <w:webHidden/>
            <w:color w:val="000000"/>
          </w:rPr>
          <w:fldChar w:fldCharType="separate"/>
        </w:r>
        <w:r w:rsidR="009258B4" w:rsidRPr="00270DB5">
          <w:rPr>
            <w:webHidden/>
            <w:color w:val="000000"/>
          </w:rPr>
          <w:t>16</w:t>
        </w:r>
        <w:r w:rsidRPr="00270DB5">
          <w:rPr>
            <w:webHidden/>
            <w:color w:val="000000"/>
          </w:rPr>
          <w:fldChar w:fldCharType="end"/>
        </w:r>
      </w:hyperlink>
    </w:p>
    <w:p w:rsidR="002F53EC" w:rsidRPr="00270DB5" w:rsidRDefault="002F53EC">
      <w:pPr>
        <w:pStyle w:val="TOC2"/>
        <w:rPr>
          <w:rFonts w:ascii="Calibri" w:hAnsi="Calibri"/>
          <w:color w:val="000000"/>
          <w:sz w:val="22"/>
          <w:szCs w:val="22"/>
        </w:rPr>
      </w:pPr>
      <w:hyperlink w:anchor="_Toc327953065" w:history="1">
        <w:r w:rsidRPr="00270DB5">
          <w:rPr>
            <w:rStyle w:val="Hyperlink"/>
            <w:color w:val="000000"/>
          </w:rPr>
          <w:t>4(a)</w:t>
        </w:r>
        <w:r w:rsidRPr="00270DB5">
          <w:rPr>
            <w:rFonts w:ascii="Calibri" w:hAnsi="Calibri"/>
            <w:color w:val="000000"/>
            <w:sz w:val="22"/>
            <w:szCs w:val="22"/>
          </w:rPr>
          <w:tab/>
        </w:r>
        <w:r w:rsidRPr="00270DB5">
          <w:rPr>
            <w:rStyle w:val="Hyperlink"/>
            <w:color w:val="000000"/>
          </w:rPr>
          <w:t>Respondents and NAICS Codes</w:t>
        </w:r>
        <w:r w:rsidRPr="00270DB5">
          <w:rPr>
            <w:webHidden/>
            <w:color w:val="000000"/>
          </w:rPr>
          <w:tab/>
        </w:r>
        <w:r w:rsidRPr="00270DB5">
          <w:rPr>
            <w:webHidden/>
            <w:color w:val="000000"/>
          </w:rPr>
          <w:fldChar w:fldCharType="begin"/>
        </w:r>
        <w:r w:rsidRPr="00270DB5">
          <w:rPr>
            <w:webHidden/>
            <w:color w:val="000000"/>
          </w:rPr>
          <w:instrText xml:space="preserve"> PAGEREF _Toc327953065 \h </w:instrText>
        </w:r>
        <w:r w:rsidRPr="00270DB5">
          <w:rPr>
            <w:webHidden/>
            <w:color w:val="000000"/>
          </w:rPr>
        </w:r>
        <w:r w:rsidRPr="00270DB5">
          <w:rPr>
            <w:webHidden/>
            <w:color w:val="000000"/>
          </w:rPr>
          <w:fldChar w:fldCharType="separate"/>
        </w:r>
        <w:r w:rsidR="009258B4" w:rsidRPr="00270DB5">
          <w:rPr>
            <w:webHidden/>
            <w:color w:val="000000"/>
          </w:rPr>
          <w:t>16</w:t>
        </w:r>
        <w:r w:rsidRPr="00270DB5">
          <w:rPr>
            <w:webHidden/>
            <w:color w:val="000000"/>
          </w:rPr>
          <w:fldChar w:fldCharType="end"/>
        </w:r>
      </w:hyperlink>
    </w:p>
    <w:p w:rsidR="002F53EC" w:rsidRPr="00270DB5" w:rsidRDefault="002F53EC">
      <w:pPr>
        <w:pStyle w:val="TOC2"/>
        <w:rPr>
          <w:rFonts w:ascii="Calibri" w:hAnsi="Calibri"/>
          <w:color w:val="000000"/>
          <w:sz w:val="22"/>
          <w:szCs w:val="22"/>
        </w:rPr>
      </w:pPr>
      <w:hyperlink w:anchor="_Toc327953066" w:history="1">
        <w:r w:rsidRPr="00270DB5">
          <w:rPr>
            <w:rStyle w:val="Hyperlink"/>
            <w:color w:val="000000"/>
          </w:rPr>
          <w:t>4(b)</w:t>
        </w:r>
        <w:r w:rsidRPr="00270DB5">
          <w:rPr>
            <w:rFonts w:ascii="Calibri" w:hAnsi="Calibri"/>
            <w:color w:val="000000"/>
            <w:sz w:val="22"/>
            <w:szCs w:val="22"/>
          </w:rPr>
          <w:tab/>
        </w:r>
        <w:r w:rsidRPr="00270DB5">
          <w:rPr>
            <w:rStyle w:val="Hyperlink"/>
            <w:color w:val="000000"/>
          </w:rPr>
          <w:t>Information Requested</w:t>
        </w:r>
        <w:r w:rsidRPr="00270DB5">
          <w:rPr>
            <w:webHidden/>
            <w:color w:val="000000"/>
          </w:rPr>
          <w:tab/>
        </w:r>
        <w:r w:rsidRPr="00270DB5">
          <w:rPr>
            <w:webHidden/>
            <w:color w:val="000000"/>
          </w:rPr>
          <w:fldChar w:fldCharType="begin"/>
        </w:r>
        <w:r w:rsidRPr="00270DB5">
          <w:rPr>
            <w:webHidden/>
            <w:color w:val="000000"/>
          </w:rPr>
          <w:instrText xml:space="preserve"> PAGEREF _Toc327953066 \h </w:instrText>
        </w:r>
        <w:r w:rsidRPr="00270DB5">
          <w:rPr>
            <w:webHidden/>
            <w:color w:val="000000"/>
          </w:rPr>
        </w:r>
        <w:r w:rsidRPr="00270DB5">
          <w:rPr>
            <w:webHidden/>
            <w:color w:val="000000"/>
          </w:rPr>
          <w:fldChar w:fldCharType="separate"/>
        </w:r>
        <w:r w:rsidR="009258B4" w:rsidRPr="00270DB5">
          <w:rPr>
            <w:webHidden/>
            <w:color w:val="000000"/>
          </w:rPr>
          <w:t>16</w:t>
        </w:r>
        <w:r w:rsidRPr="00270DB5">
          <w:rPr>
            <w:webHidden/>
            <w:color w:val="000000"/>
          </w:rPr>
          <w:fldChar w:fldCharType="end"/>
        </w:r>
      </w:hyperlink>
    </w:p>
    <w:p w:rsidR="002F53EC" w:rsidRPr="00270DB5" w:rsidRDefault="002F53EC">
      <w:pPr>
        <w:pStyle w:val="TOC1"/>
        <w:rPr>
          <w:rFonts w:ascii="Calibri" w:hAnsi="Calibri"/>
          <w:color w:val="000000"/>
          <w:sz w:val="22"/>
          <w:szCs w:val="22"/>
        </w:rPr>
      </w:pPr>
      <w:hyperlink w:anchor="_Toc327953067" w:history="1">
        <w:r w:rsidRPr="00270DB5">
          <w:rPr>
            <w:rStyle w:val="Hyperlink"/>
            <w:color w:val="000000"/>
          </w:rPr>
          <w:t>5.</w:t>
        </w:r>
        <w:r w:rsidRPr="00270DB5">
          <w:rPr>
            <w:rFonts w:ascii="Calibri" w:hAnsi="Calibri"/>
            <w:color w:val="000000"/>
            <w:sz w:val="22"/>
            <w:szCs w:val="22"/>
          </w:rPr>
          <w:tab/>
        </w:r>
        <w:r w:rsidRPr="00270DB5">
          <w:rPr>
            <w:rStyle w:val="Hyperlink"/>
            <w:color w:val="000000"/>
          </w:rPr>
          <w:t>THE INFORMATION COLLECTED:  AGENCY ACTIVITIES, COLLECTION METHODOLOGY, AND INFORMATION MANAGEMENT</w:t>
        </w:r>
        <w:r w:rsidRPr="00270DB5">
          <w:rPr>
            <w:webHidden/>
            <w:color w:val="000000"/>
          </w:rPr>
          <w:tab/>
        </w:r>
        <w:r w:rsidRPr="00270DB5">
          <w:rPr>
            <w:webHidden/>
            <w:color w:val="000000"/>
          </w:rPr>
          <w:fldChar w:fldCharType="begin"/>
        </w:r>
        <w:r w:rsidRPr="00270DB5">
          <w:rPr>
            <w:webHidden/>
            <w:color w:val="000000"/>
          </w:rPr>
          <w:instrText xml:space="preserve"> PAGEREF _Toc327953067 \h </w:instrText>
        </w:r>
        <w:r w:rsidRPr="00270DB5">
          <w:rPr>
            <w:webHidden/>
            <w:color w:val="000000"/>
          </w:rPr>
        </w:r>
        <w:r w:rsidRPr="00270DB5">
          <w:rPr>
            <w:webHidden/>
            <w:color w:val="000000"/>
          </w:rPr>
          <w:fldChar w:fldCharType="separate"/>
        </w:r>
        <w:r w:rsidR="009258B4" w:rsidRPr="00270DB5">
          <w:rPr>
            <w:webHidden/>
            <w:color w:val="000000"/>
          </w:rPr>
          <w:t>28</w:t>
        </w:r>
        <w:r w:rsidRPr="00270DB5">
          <w:rPr>
            <w:webHidden/>
            <w:color w:val="000000"/>
          </w:rPr>
          <w:fldChar w:fldCharType="end"/>
        </w:r>
      </w:hyperlink>
    </w:p>
    <w:p w:rsidR="002F53EC" w:rsidRPr="00270DB5" w:rsidRDefault="002F53EC">
      <w:pPr>
        <w:pStyle w:val="TOC2"/>
        <w:rPr>
          <w:rFonts w:ascii="Calibri" w:hAnsi="Calibri"/>
          <w:color w:val="000000"/>
          <w:sz w:val="22"/>
          <w:szCs w:val="22"/>
        </w:rPr>
      </w:pPr>
      <w:hyperlink w:anchor="_Toc327953068" w:history="1">
        <w:r w:rsidRPr="00270DB5">
          <w:rPr>
            <w:rStyle w:val="Hyperlink"/>
            <w:color w:val="000000"/>
          </w:rPr>
          <w:t>5(a)</w:t>
        </w:r>
        <w:r w:rsidRPr="00270DB5">
          <w:rPr>
            <w:rFonts w:ascii="Calibri" w:hAnsi="Calibri"/>
            <w:color w:val="000000"/>
            <w:sz w:val="22"/>
            <w:szCs w:val="22"/>
          </w:rPr>
          <w:tab/>
        </w:r>
        <w:r w:rsidRPr="00270DB5">
          <w:rPr>
            <w:rStyle w:val="Hyperlink"/>
            <w:color w:val="000000"/>
          </w:rPr>
          <w:t>Agency Activities</w:t>
        </w:r>
        <w:r w:rsidRPr="00270DB5">
          <w:rPr>
            <w:webHidden/>
            <w:color w:val="000000"/>
          </w:rPr>
          <w:tab/>
        </w:r>
        <w:r w:rsidRPr="00270DB5">
          <w:rPr>
            <w:webHidden/>
            <w:color w:val="000000"/>
          </w:rPr>
          <w:fldChar w:fldCharType="begin"/>
        </w:r>
        <w:r w:rsidRPr="00270DB5">
          <w:rPr>
            <w:webHidden/>
            <w:color w:val="000000"/>
          </w:rPr>
          <w:instrText xml:space="preserve"> PAGEREF _Toc327953068 \h </w:instrText>
        </w:r>
        <w:r w:rsidRPr="00270DB5">
          <w:rPr>
            <w:webHidden/>
            <w:color w:val="000000"/>
          </w:rPr>
        </w:r>
        <w:r w:rsidRPr="00270DB5">
          <w:rPr>
            <w:webHidden/>
            <w:color w:val="000000"/>
          </w:rPr>
          <w:fldChar w:fldCharType="separate"/>
        </w:r>
        <w:r w:rsidR="009258B4" w:rsidRPr="00270DB5">
          <w:rPr>
            <w:webHidden/>
            <w:color w:val="000000"/>
          </w:rPr>
          <w:t>28</w:t>
        </w:r>
        <w:r w:rsidRPr="00270DB5">
          <w:rPr>
            <w:webHidden/>
            <w:color w:val="000000"/>
          </w:rPr>
          <w:fldChar w:fldCharType="end"/>
        </w:r>
      </w:hyperlink>
    </w:p>
    <w:p w:rsidR="002F53EC" w:rsidRPr="00270DB5" w:rsidRDefault="002F53EC">
      <w:pPr>
        <w:pStyle w:val="TOC2"/>
        <w:rPr>
          <w:rFonts w:ascii="Calibri" w:hAnsi="Calibri"/>
          <w:color w:val="000000"/>
          <w:sz w:val="22"/>
          <w:szCs w:val="22"/>
        </w:rPr>
      </w:pPr>
      <w:hyperlink w:anchor="_Toc327953069" w:history="1">
        <w:r w:rsidRPr="00270DB5">
          <w:rPr>
            <w:rStyle w:val="Hyperlink"/>
            <w:color w:val="000000"/>
          </w:rPr>
          <w:t>5(b)</w:t>
        </w:r>
        <w:r w:rsidRPr="00270DB5">
          <w:rPr>
            <w:rFonts w:ascii="Calibri" w:hAnsi="Calibri"/>
            <w:color w:val="000000"/>
            <w:sz w:val="22"/>
            <w:szCs w:val="22"/>
          </w:rPr>
          <w:tab/>
        </w:r>
        <w:r w:rsidRPr="00270DB5">
          <w:rPr>
            <w:rStyle w:val="Hyperlink"/>
            <w:color w:val="000000"/>
          </w:rPr>
          <w:t>Collection Methodology and Management</w:t>
        </w:r>
        <w:r w:rsidRPr="00270DB5">
          <w:rPr>
            <w:webHidden/>
            <w:color w:val="000000"/>
          </w:rPr>
          <w:tab/>
        </w:r>
        <w:r w:rsidRPr="00270DB5">
          <w:rPr>
            <w:webHidden/>
            <w:color w:val="000000"/>
          </w:rPr>
          <w:fldChar w:fldCharType="begin"/>
        </w:r>
        <w:r w:rsidRPr="00270DB5">
          <w:rPr>
            <w:webHidden/>
            <w:color w:val="000000"/>
          </w:rPr>
          <w:instrText xml:space="preserve"> PAGEREF _Toc327953069 \h </w:instrText>
        </w:r>
        <w:r w:rsidRPr="00270DB5">
          <w:rPr>
            <w:webHidden/>
            <w:color w:val="000000"/>
          </w:rPr>
        </w:r>
        <w:r w:rsidRPr="00270DB5">
          <w:rPr>
            <w:webHidden/>
            <w:color w:val="000000"/>
          </w:rPr>
          <w:fldChar w:fldCharType="separate"/>
        </w:r>
        <w:r w:rsidR="009258B4" w:rsidRPr="00270DB5">
          <w:rPr>
            <w:webHidden/>
            <w:color w:val="000000"/>
          </w:rPr>
          <w:t>29</w:t>
        </w:r>
        <w:r w:rsidRPr="00270DB5">
          <w:rPr>
            <w:webHidden/>
            <w:color w:val="000000"/>
          </w:rPr>
          <w:fldChar w:fldCharType="end"/>
        </w:r>
      </w:hyperlink>
    </w:p>
    <w:p w:rsidR="002F53EC" w:rsidRPr="00270DB5" w:rsidRDefault="002F53EC">
      <w:pPr>
        <w:pStyle w:val="TOC2"/>
        <w:rPr>
          <w:rFonts w:ascii="Calibri" w:hAnsi="Calibri"/>
          <w:color w:val="000000"/>
          <w:sz w:val="22"/>
          <w:szCs w:val="22"/>
        </w:rPr>
      </w:pPr>
      <w:hyperlink w:anchor="_Toc327953070" w:history="1">
        <w:r w:rsidRPr="00270DB5">
          <w:rPr>
            <w:rStyle w:val="Hyperlink"/>
            <w:color w:val="000000"/>
          </w:rPr>
          <w:t>5(c)</w:t>
        </w:r>
        <w:r w:rsidRPr="00270DB5">
          <w:rPr>
            <w:rFonts w:ascii="Calibri" w:hAnsi="Calibri"/>
            <w:color w:val="000000"/>
            <w:sz w:val="22"/>
            <w:szCs w:val="22"/>
          </w:rPr>
          <w:tab/>
        </w:r>
        <w:r w:rsidRPr="00270DB5">
          <w:rPr>
            <w:rStyle w:val="Hyperlink"/>
            <w:color w:val="000000"/>
          </w:rPr>
          <w:t>Small Entity Flexibility</w:t>
        </w:r>
        <w:r w:rsidRPr="00270DB5">
          <w:rPr>
            <w:webHidden/>
            <w:color w:val="000000"/>
          </w:rPr>
          <w:tab/>
        </w:r>
        <w:r w:rsidRPr="00270DB5">
          <w:rPr>
            <w:webHidden/>
            <w:color w:val="000000"/>
          </w:rPr>
          <w:fldChar w:fldCharType="begin"/>
        </w:r>
        <w:r w:rsidRPr="00270DB5">
          <w:rPr>
            <w:webHidden/>
            <w:color w:val="000000"/>
          </w:rPr>
          <w:instrText xml:space="preserve"> PAGEREF _Toc327953070 \h </w:instrText>
        </w:r>
        <w:r w:rsidRPr="00270DB5">
          <w:rPr>
            <w:webHidden/>
            <w:color w:val="000000"/>
          </w:rPr>
        </w:r>
        <w:r w:rsidRPr="00270DB5">
          <w:rPr>
            <w:webHidden/>
            <w:color w:val="000000"/>
          </w:rPr>
          <w:fldChar w:fldCharType="separate"/>
        </w:r>
        <w:r w:rsidR="009258B4" w:rsidRPr="00270DB5">
          <w:rPr>
            <w:webHidden/>
            <w:color w:val="000000"/>
          </w:rPr>
          <w:t>29</w:t>
        </w:r>
        <w:r w:rsidRPr="00270DB5">
          <w:rPr>
            <w:webHidden/>
            <w:color w:val="000000"/>
          </w:rPr>
          <w:fldChar w:fldCharType="end"/>
        </w:r>
      </w:hyperlink>
    </w:p>
    <w:p w:rsidR="002F53EC" w:rsidRPr="00270DB5" w:rsidRDefault="002F53EC">
      <w:pPr>
        <w:pStyle w:val="TOC2"/>
        <w:rPr>
          <w:rFonts w:ascii="Calibri" w:hAnsi="Calibri"/>
          <w:color w:val="000000"/>
          <w:sz w:val="22"/>
          <w:szCs w:val="22"/>
        </w:rPr>
      </w:pPr>
      <w:hyperlink w:anchor="_Toc327953071" w:history="1">
        <w:r w:rsidRPr="00270DB5">
          <w:rPr>
            <w:rStyle w:val="Hyperlink"/>
            <w:color w:val="000000"/>
          </w:rPr>
          <w:t>5(d)</w:t>
        </w:r>
        <w:r w:rsidRPr="00270DB5">
          <w:rPr>
            <w:rFonts w:ascii="Calibri" w:hAnsi="Calibri"/>
            <w:color w:val="000000"/>
            <w:sz w:val="22"/>
            <w:szCs w:val="22"/>
          </w:rPr>
          <w:tab/>
        </w:r>
        <w:r w:rsidRPr="00270DB5">
          <w:rPr>
            <w:rStyle w:val="Hyperlink"/>
            <w:color w:val="000000"/>
          </w:rPr>
          <w:t>Collection Schedule</w:t>
        </w:r>
        <w:r w:rsidRPr="00270DB5">
          <w:rPr>
            <w:webHidden/>
            <w:color w:val="000000"/>
          </w:rPr>
          <w:tab/>
        </w:r>
        <w:r w:rsidRPr="00270DB5">
          <w:rPr>
            <w:webHidden/>
            <w:color w:val="000000"/>
          </w:rPr>
          <w:fldChar w:fldCharType="begin"/>
        </w:r>
        <w:r w:rsidRPr="00270DB5">
          <w:rPr>
            <w:webHidden/>
            <w:color w:val="000000"/>
          </w:rPr>
          <w:instrText xml:space="preserve"> PAGEREF _Toc327953071 \h </w:instrText>
        </w:r>
        <w:r w:rsidRPr="00270DB5">
          <w:rPr>
            <w:webHidden/>
            <w:color w:val="000000"/>
          </w:rPr>
        </w:r>
        <w:r w:rsidRPr="00270DB5">
          <w:rPr>
            <w:webHidden/>
            <w:color w:val="000000"/>
          </w:rPr>
          <w:fldChar w:fldCharType="separate"/>
        </w:r>
        <w:r w:rsidR="009258B4" w:rsidRPr="00270DB5">
          <w:rPr>
            <w:webHidden/>
            <w:color w:val="000000"/>
          </w:rPr>
          <w:t>29</w:t>
        </w:r>
        <w:r w:rsidRPr="00270DB5">
          <w:rPr>
            <w:webHidden/>
            <w:color w:val="000000"/>
          </w:rPr>
          <w:fldChar w:fldCharType="end"/>
        </w:r>
      </w:hyperlink>
    </w:p>
    <w:p w:rsidR="002F53EC" w:rsidRPr="00270DB5" w:rsidRDefault="002F53EC">
      <w:pPr>
        <w:pStyle w:val="TOC1"/>
        <w:rPr>
          <w:rFonts w:ascii="Calibri" w:hAnsi="Calibri"/>
          <w:color w:val="000000"/>
          <w:sz w:val="22"/>
          <w:szCs w:val="22"/>
        </w:rPr>
      </w:pPr>
      <w:hyperlink w:anchor="_Toc327953072" w:history="1">
        <w:r w:rsidRPr="00270DB5">
          <w:rPr>
            <w:rStyle w:val="Hyperlink"/>
            <w:color w:val="000000"/>
          </w:rPr>
          <w:t>6.</w:t>
        </w:r>
        <w:r w:rsidRPr="00270DB5">
          <w:rPr>
            <w:rFonts w:ascii="Calibri" w:hAnsi="Calibri"/>
            <w:color w:val="000000"/>
            <w:sz w:val="22"/>
            <w:szCs w:val="22"/>
          </w:rPr>
          <w:tab/>
        </w:r>
        <w:r w:rsidRPr="00270DB5">
          <w:rPr>
            <w:rStyle w:val="Hyperlink"/>
            <w:color w:val="000000"/>
          </w:rPr>
          <w:t>ESTIMATING THE HOUR AND COST BURDEN OF THE COLLECTION</w:t>
        </w:r>
        <w:r w:rsidRPr="00270DB5">
          <w:rPr>
            <w:webHidden/>
            <w:color w:val="000000"/>
          </w:rPr>
          <w:tab/>
        </w:r>
        <w:r w:rsidRPr="00270DB5">
          <w:rPr>
            <w:webHidden/>
            <w:color w:val="000000"/>
          </w:rPr>
          <w:fldChar w:fldCharType="begin"/>
        </w:r>
        <w:r w:rsidRPr="00270DB5">
          <w:rPr>
            <w:webHidden/>
            <w:color w:val="000000"/>
          </w:rPr>
          <w:instrText xml:space="preserve"> PAGEREF _Toc327953072 \h </w:instrText>
        </w:r>
        <w:r w:rsidRPr="00270DB5">
          <w:rPr>
            <w:webHidden/>
            <w:color w:val="000000"/>
          </w:rPr>
        </w:r>
        <w:r w:rsidRPr="00270DB5">
          <w:rPr>
            <w:webHidden/>
            <w:color w:val="000000"/>
          </w:rPr>
          <w:fldChar w:fldCharType="separate"/>
        </w:r>
        <w:r w:rsidR="009258B4" w:rsidRPr="00270DB5">
          <w:rPr>
            <w:webHidden/>
            <w:color w:val="000000"/>
          </w:rPr>
          <w:t>34</w:t>
        </w:r>
        <w:r w:rsidRPr="00270DB5">
          <w:rPr>
            <w:webHidden/>
            <w:color w:val="000000"/>
          </w:rPr>
          <w:fldChar w:fldCharType="end"/>
        </w:r>
      </w:hyperlink>
    </w:p>
    <w:p w:rsidR="002F53EC" w:rsidRPr="00270DB5" w:rsidRDefault="002F53EC">
      <w:pPr>
        <w:pStyle w:val="TOC2"/>
        <w:rPr>
          <w:rFonts w:ascii="Calibri" w:hAnsi="Calibri"/>
          <w:color w:val="000000"/>
          <w:sz w:val="22"/>
          <w:szCs w:val="22"/>
        </w:rPr>
      </w:pPr>
      <w:hyperlink w:anchor="_Toc327953073" w:history="1">
        <w:r w:rsidRPr="00270DB5">
          <w:rPr>
            <w:rStyle w:val="Hyperlink"/>
            <w:color w:val="000000"/>
          </w:rPr>
          <w:t>6(a)</w:t>
        </w:r>
        <w:r w:rsidRPr="00270DB5">
          <w:rPr>
            <w:rFonts w:ascii="Calibri" w:hAnsi="Calibri"/>
            <w:color w:val="000000"/>
            <w:sz w:val="22"/>
            <w:szCs w:val="22"/>
          </w:rPr>
          <w:tab/>
        </w:r>
        <w:r w:rsidRPr="00270DB5">
          <w:rPr>
            <w:rStyle w:val="Hyperlink"/>
            <w:color w:val="000000"/>
          </w:rPr>
          <w:t>Estimating Respondent Burden Hours</w:t>
        </w:r>
        <w:r w:rsidRPr="00270DB5">
          <w:rPr>
            <w:webHidden/>
            <w:color w:val="000000"/>
          </w:rPr>
          <w:tab/>
        </w:r>
        <w:r w:rsidRPr="00270DB5">
          <w:rPr>
            <w:webHidden/>
            <w:color w:val="000000"/>
          </w:rPr>
          <w:fldChar w:fldCharType="begin"/>
        </w:r>
        <w:r w:rsidRPr="00270DB5">
          <w:rPr>
            <w:webHidden/>
            <w:color w:val="000000"/>
          </w:rPr>
          <w:instrText xml:space="preserve"> PAGEREF _Toc327953073 \h </w:instrText>
        </w:r>
        <w:r w:rsidRPr="00270DB5">
          <w:rPr>
            <w:webHidden/>
            <w:color w:val="000000"/>
          </w:rPr>
        </w:r>
        <w:r w:rsidRPr="00270DB5">
          <w:rPr>
            <w:webHidden/>
            <w:color w:val="000000"/>
          </w:rPr>
          <w:fldChar w:fldCharType="separate"/>
        </w:r>
        <w:r w:rsidR="009258B4" w:rsidRPr="00270DB5">
          <w:rPr>
            <w:webHidden/>
            <w:color w:val="000000"/>
          </w:rPr>
          <w:t>34</w:t>
        </w:r>
        <w:r w:rsidRPr="00270DB5">
          <w:rPr>
            <w:webHidden/>
            <w:color w:val="000000"/>
          </w:rPr>
          <w:fldChar w:fldCharType="end"/>
        </w:r>
      </w:hyperlink>
    </w:p>
    <w:p w:rsidR="002F53EC" w:rsidRPr="00270DB5" w:rsidRDefault="002F53EC">
      <w:pPr>
        <w:pStyle w:val="TOC2"/>
        <w:rPr>
          <w:rFonts w:ascii="Calibri" w:hAnsi="Calibri"/>
          <w:color w:val="000000"/>
          <w:sz w:val="22"/>
          <w:szCs w:val="22"/>
        </w:rPr>
      </w:pPr>
      <w:hyperlink w:anchor="_Toc327953074" w:history="1">
        <w:r w:rsidRPr="00270DB5">
          <w:rPr>
            <w:rStyle w:val="Hyperlink"/>
            <w:color w:val="000000"/>
          </w:rPr>
          <w:t>6(b)</w:t>
        </w:r>
        <w:r w:rsidRPr="00270DB5">
          <w:rPr>
            <w:rFonts w:ascii="Calibri" w:hAnsi="Calibri"/>
            <w:color w:val="000000"/>
            <w:sz w:val="22"/>
            <w:szCs w:val="22"/>
          </w:rPr>
          <w:tab/>
        </w:r>
        <w:r w:rsidRPr="00270DB5">
          <w:rPr>
            <w:rStyle w:val="Hyperlink"/>
            <w:color w:val="000000"/>
          </w:rPr>
          <w:t>Estimating Respondent Costs</w:t>
        </w:r>
        <w:r w:rsidRPr="00270DB5">
          <w:rPr>
            <w:webHidden/>
            <w:color w:val="000000"/>
          </w:rPr>
          <w:tab/>
        </w:r>
        <w:r w:rsidRPr="00270DB5">
          <w:rPr>
            <w:webHidden/>
            <w:color w:val="000000"/>
          </w:rPr>
          <w:fldChar w:fldCharType="begin"/>
        </w:r>
        <w:r w:rsidRPr="00270DB5">
          <w:rPr>
            <w:webHidden/>
            <w:color w:val="000000"/>
          </w:rPr>
          <w:instrText xml:space="preserve"> PAGEREF _Toc327953074 \h </w:instrText>
        </w:r>
        <w:r w:rsidRPr="00270DB5">
          <w:rPr>
            <w:webHidden/>
            <w:color w:val="000000"/>
          </w:rPr>
        </w:r>
        <w:r w:rsidRPr="00270DB5">
          <w:rPr>
            <w:webHidden/>
            <w:color w:val="000000"/>
          </w:rPr>
          <w:fldChar w:fldCharType="separate"/>
        </w:r>
        <w:r w:rsidR="009258B4" w:rsidRPr="00270DB5">
          <w:rPr>
            <w:webHidden/>
            <w:color w:val="000000"/>
          </w:rPr>
          <w:t>34</w:t>
        </w:r>
        <w:r w:rsidRPr="00270DB5">
          <w:rPr>
            <w:webHidden/>
            <w:color w:val="000000"/>
          </w:rPr>
          <w:fldChar w:fldCharType="end"/>
        </w:r>
      </w:hyperlink>
    </w:p>
    <w:p w:rsidR="002F53EC" w:rsidRPr="00270DB5" w:rsidRDefault="002F53EC">
      <w:pPr>
        <w:pStyle w:val="TOC2"/>
        <w:rPr>
          <w:rFonts w:ascii="Calibri" w:hAnsi="Calibri"/>
          <w:color w:val="000000"/>
          <w:sz w:val="22"/>
          <w:szCs w:val="22"/>
        </w:rPr>
      </w:pPr>
      <w:hyperlink w:anchor="_Toc327953075" w:history="1">
        <w:r w:rsidRPr="00270DB5">
          <w:rPr>
            <w:rStyle w:val="Hyperlink"/>
            <w:color w:val="000000"/>
          </w:rPr>
          <w:t>6(c)</w:t>
        </w:r>
        <w:r w:rsidRPr="00270DB5">
          <w:rPr>
            <w:rFonts w:ascii="Calibri" w:hAnsi="Calibri"/>
            <w:color w:val="000000"/>
            <w:sz w:val="22"/>
            <w:szCs w:val="22"/>
          </w:rPr>
          <w:tab/>
        </w:r>
        <w:r w:rsidRPr="00270DB5">
          <w:rPr>
            <w:rStyle w:val="Hyperlink"/>
            <w:color w:val="000000"/>
          </w:rPr>
          <w:t>Estimating Agency Hour and Cost Burden</w:t>
        </w:r>
        <w:r w:rsidRPr="00270DB5">
          <w:rPr>
            <w:webHidden/>
            <w:color w:val="000000"/>
          </w:rPr>
          <w:tab/>
        </w:r>
        <w:r w:rsidRPr="00270DB5">
          <w:rPr>
            <w:webHidden/>
            <w:color w:val="000000"/>
          </w:rPr>
          <w:fldChar w:fldCharType="begin"/>
        </w:r>
        <w:r w:rsidRPr="00270DB5">
          <w:rPr>
            <w:webHidden/>
            <w:color w:val="000000"/>
          </w:rPr>
          <w:instrText xml:space="preserve"> PAGEREF _Toc327953075 \h </w:instrText>
        </w:r>
        <w:r w:rsidRPr="00270DB5">
          <w:rPr>
            <w:webHidden/>
            <w:color w:val="000000"/>
          </w:rPr>
        </w:r>
        <w:r w:rsidRPr="00270DB5">
          <w:rPr>
            <w:webHidden/>
            <w:color w:val="000000"/>
          </w:rPr>
          <w:fldChar w:fldCharType="separate"/>
        </w:r>
        <w:r w:rsidR="009258B4" w:rsidRPr="00270DB5">
          <w:rPr>
            <w:webHidden/>
            <w:color w:val="000000"/>
          </w:rPr>
          <w:t>35</w:t>
        </w:r>
        <w:r w:rsidRPr="00270DB5">
          <w:rPr>
            <w:webHidden/>
            <w:color w:val="000000"/>
          </w:rPr>
          <w:fldChar w:fldCharType="end"/>
        </w:r>
      </w:hyperlink>
    </w:p>
    <w:p w:rsidR="002F53EC" w:rsidRPr="00270DB5" w:rsidRDefault="002F53EC">
      <w:pPr>
        <w:pStyle w:val="TOC2"/>
        <w:rPr>
          <w:rFonts w:ascii="Calibri" w:hAnsi="Calibri"/>
          <w:color w:val="000000"/>
          <w:sz w:val="22"/>
          <w:szCs w:val="22"/>
        </w:rPr>
      </w:pPr>
      <w:hyperlink w:anchor="_Toc327953076" w:history="1">
        <w:r w:rsidRPr="00270DB5">
          <w:rPr>
            <w:rStyle w:val="Hyperlink"/>
            <w:color w:val="000000"/>
          </w:rPr>
          <w:t>6(d)</w:t>
        </w:r>
        <w:r w:rsidRPr="00270DB5">
          <w:rPr>
            <w:rFonts w:ascii="Calibri" w:hAnsi="Calibri"/>
            <w:color w:val="000000"/>
            <w:sz w:val="22"/>
            <w:szCs w:val="22"/>
          </w:rPr>
          <w:tab/>
        </w:r>
        <w:r w:rsidRPr="00270DB5">
          <w:rPr>
            <w:rStyle w:val="Hyperlink"/>
            <w:color w:val="000000"/>
          </w:rPr>
          <w:t>Estimating the Annual Respondent Universe and Total Hour and Cost Burden</w:t>
        </w:r>
        <w:r w:rsidRPr="00270DB5">
          <w:rPr>
            <w:webHidden/>
            <w:color w:val="000000"/>
          </w:rPr>
          <w:tab/>
        </w:r>
        <w:r w:rsidRPr="00270DB5">
          <w:rPr>
            <w:webHidden/>
            <w:color w:val="000000"/>
          </w:rPr>
          <w:fldChar w:fldCharType="begin"/>
        </w:r>
        <w:r w:rsidRPr="00270DB5">
          <w:rPr>
            <w:webHidden/>
            <w:color w:val="000000"/>
          </w:rPr>
          <w:instrText xml:space="preserve"> PAGEREF _Toc327953076 \h </w:instrText>
        </w:r>
        <w:r w:rsidRPr="00270DB5">
          <w:rPr>
            <w:webHidden/>
            <w:color w:val="000000"/>
          </w:rPr>
        </w:r>
        <w:r w:rsidRPr="00270DB5">
          <w:rPr>
            <w:webHidden/>
            <w:color w:val="000000"/>
          </w:rPr>
          <w:fldChar w:fldCharType="separate"/>
        </w:r>
        <w:r w:rsidR="009258B4" w:rsidRPr="00270DB5">
          <w:rPr>
            <w:webHidden/>
            <w:color w:val="000000"/>
          </w:rPr>
          <w:t>35</w:t>
        </w:r>
        <w:r w:rsidRPr="00270DB5">
          <w:rPr>
            <w:webHidden/>
            <w:color w:val="000000"/>
          </w:rPr>
          <w:fldChar w:fldCharType="end"/>
        </w:r>
      </w:hyperlink>
    </w:p>
    <w:p w:rsidR="002F53EC" w:rsidRPr="00270DB5" w:rsidRDefault="002F53EC">
      <w:pPr>
        <w:pStyle w:val="TOC2"/>
        <w:rPr>
          <w:rFonts w:ascii="Calibri" w:hAnsi="Calibri"/>
          <w:color w:val="000000"/>
          <w:sz w:val="22"/>
          <w:szCs w:val="22"/>
        </w:rPr>
      </w:pPr>
      <w:hyperlink w:anchor="_Toc327953077" w:history="1">
        <w:r w:rsidRPr="00270DB5">
          <w:rPr>
            <w:rStyle w:val="Hyperlink"/>
            <w:color w:val="000000"/>
          </w:rPr>
          <w:t>6(e)</w:t>
        </w:r>
        <w:r w:rsidRPr="00270DB5">
          <w:rPr>
            <w:rFonts w:ascii="Calibri" w:hAnsi="Calibri"/>
            <w:color w:val="000000"/>
            <w:sz w:val="22"/>
            <w:szCs w:val="22"/>
          </w:rPr>
          <w:tab/>
        </w:r>
        <w:r w:rsidRPr="00270DB5">
          <w:rPr>
            <w:rStyle w:val="Hyperlink"/>
            <w:color w:val="000000"/>
          </w:rPr>
          <w:t>Bottom Line Hour and Cost Burden</w:t>
        </w:r>
        <w:r w:rsidRPr="00270DB5">
          <w:rPr>
            <w:webHidden/>
            <w:color w:val="000000"/>
          </w:rPr>
          <w:tab/>
        </w:r>
        <w:r w:rsidRPr="00270DB5">
          <w:rPr>
            <w:webHidden/>
            <w:color w:val="000000"/>
          </w:rPr>
          <w:fldChar w:fldCharType="begin"/>
        </w:r>
        <w:r w:rsidRPr="00270DB5">
          <w:rPr>
            <w:webHidden/>
            <w:color w:val="000000"/>
          </w:rPr>
          <w:instrText xml:space="preserve"> PAGEREF _Toc327953077 \h </w:instrText>
        </w:r>
        <w:r w:rsidRPr="00270DB5">
          <w:rPr>
            <w:webHidden/>
            <w:color w:val="000000"/>
          </w:rPr>
        </w:r>
        <w:r w:rsidRPr="00270DB5">
          <w:rPr>
            <w:webHidden/>
            <w:color w:val="000000"/>
          </w:rPr>
          <w:fldChar w:fldCharType="separate"/>
        </w:r>
        <w:r w:rsidR="009258B4" w:rsidRPr="00270DB5">
          <w:rPr>
            <w:webHidden/>
            <w:color w:val="000000"/>
          </w:rPr>
          <w:t>45</w:t>
        </w:r>
        <w:r w:rsidRPr="00270DB5">
          <w:rPr>
            <w:webHidden/>
            <w:color w:val="000000"/>
          </w:rPr>
          <w:fldChar w:fldCharType="end"/>
        </w:r>
      </w:hyperlink>
    </w:p>
    <w:p w:rsidR="002F53EC" w:rsidRPr="00270DB5" w:rsidRDefault="002F53EC">
      <w:pPr>
        <w:pStyle w:val="TOC2"/>
        <w:rPr>
          <w:rFonts w:ascii="Calibri" w:hAnsi="Calibri"/>
          <w:color w:val="000000"/>
          <w:sz w:val="22"/>
          <w:szCs w:val="22"/>
        </w:rPr>
      </w:pPr>
      <w:hyperlink w:anchor="_Toc327953078" w:history="1">
        <w:r w:rsidRPr="00270DB5">
          <w:rPr>
            <w:rStyle w:val="Hyperlink"/>
            <w:color w:val="000000"/>
          </w:rPr>
          <w:t>6(f)</w:t>
        </w:r>
        <w:r w:rsidRPr="00270DB5">
          <w:rPr>
            <w:rFonts w:ascii="Calibri" w:hAnsi="Calibri"/>
            <w:color w:val="000000"/>
            <w:sz w:val="22"/>
            <w:szCs w:val="22"/>
          </w:rPr>
          <w:tab/>
        </w:r>
        <w:r w:rsidRPr="00270DB5">
          <w:rPr>
            <w:rStyle w:val="Hyperlink"/>
            <w:color w:val="000000"/>
          </w:rPr>
          <w:t>Reasons for Change In Burden</w:t>
        </w:r>
        <w:r w:rsidRPr="00270DB5">
          <w:rPr>
            <w:webHidden/>
            <w:color w:val="000000"/>
          </w:rPr>
          <w:tab/>
        </w:r>
        <w:r w:rsidRPr="00270DB5">
          <w:rPr>
            <w:webHidden/>
            <w:color w:val="000000"/>
          </w:rPr>
          <w:fldChar w:fldCharType="begin"/>
        </w:r>
        <w:r w:rsidRPr="00270DB5">
          <w:rPr>
            <w:webHidden/>
            <w:color w:val="000000"/>
          </w:rPr>
          <w:instrText xml:space="preserve"> PAGEREF _Toc327953078 \h </w:instrText>
        </w:r>
        <w:r w:rsidRPr="00270DB5">
          <w:rPr>
            <w:webHidden/>
            <w:color w:val="000000"/>
          </w:rPr>
        </w:r>
        <w:r w:rsidRPr="00270DB5">
          <w:rPr>
            <w:webHidden/>
            <w:color w:val="000000"/>
          </w:rPr>
          <w:fldChar w:fldCharType="separate"/>
        </w:r>
        <w:r w:rsidR="009258B4" w:rsidRPr="00270DB5">
          <w:rPr>
            <w:webHidden/>
            <w:color w:val="000000"/>
          </w:rPr>
          <w:t>46</w:t>
        </w:r>
        <w:r w:rsidRPr="00270DB5">
          <w:rPr>
            <w:webHidden/>
            <w:color w:val="000000"/>
          </w:rPr>
          <w:fldChar w:fldCharType="end"/>
        </w:r>
      </w:hyperlink>
    </w:p>
    <w:p w:rsidR="002F53EC" w:rsidRPr="00270DB5" w:rsidRDefault="002F53EC">
      <w:pPr>
        <w:pStyle w:val="TOC2"/>
        <w:rPr>
          <w:rFonts w:ascii="Calibri" w:hAnsi="Calibri"/>
          <w:color w:val="000000"/>
          <w:sz w:val="22"/>
          <w:szCs w:val="22"/>
        </w:rPr>
      </w:pPr>
      <w:hyperlink w:anchor="_Toc327953079" w:history="1">
        <w:r w:rsidRPr="00270DB5">
          <w:rPr>
            <w:rStyle w:val="Hyperlink"/>
            <w:color w:val="000000"/>
          </w:rPr>
          <w:t>6(g)</w:t>
        </w:r>
        <w:r w:rsidRPr="00270DB5">
          <w:rPr>
            <w:rFonts w:ascii="Calibri" w:hAnsi="Calibri"/>
            <w:color w:val="000000"/>
            <w:sz w:val="22"/>
            <w:szCs w:val="22"/>
          </w:rPr>
          <w:tab/>
        </w:r>
        <w:r w:rsidRPr="00270DB5">
          <w:rPr>
            <w:rStyle w:val="Hyperlink"/>
            <w:color w:val="000000"/>
          </w:rPr>
          <w:t>Public Burden Statement</w:t>
        </w:r>
        <w:r w:rsidRPr="00270DB5">
          <w:rPr>
            <w:webHidden/>
            <w:color w:val="000000"/>
          </w:rPr>
          <w:tab/>
        </w:r>
        <w:r w:rsidRPr="00270DB5">
          <w:rPr>
            <w:webHidden/>
            <w:color w:val="000000"/>
          </w:rPr>
          <w:fldChar w:fldCharType="begin"/>
        </w:r>
        <w:r w:rsidRPr="00270DB5">
          <w:rPr>
            <w:webHidden/>
            <w:color w:val="000000"/>
          </w:rPr>
          <w:instrText xml:space="preserve"> PAGEREF _Toc327953079 \h </w:instrText>
        </w:r>
        <w:r w:rsidRPr="00270DB5">
          <w:rPr>
            <w:webHidden/>
            <w:color w:val="000000"/>
          </w:rPr>
        </w:r>
        <w:r w:rsidRPr="00270DB5">
          <w:rPr>
            <w:webHidden/>
            <w:color w:val="000000"/>
          </w:rPr>
          <w:fldChar w:fldCharType="separate"/>
        </w:r>
        <w:r w:rsidR="009258B4" w:rsidRPr="00270DB5">
          <w:rPr>
            <w:webHidden/>
            <w:color w:val="000000"/>
          </w:rPr>
          <w:t>46</w:t>
        </w:r>
        <w:r w:rsidRPr="00270DB5">
          <w:rPr>
            <w:webHidden/>
            <w:color w:val="000000"/>
          </w:rPr>
          <w:fldChar w:fldCharType="end"/>
        </w:r>
      </w:hyperlink>
    </w:p>
    <w:p w:rsidR="00F20002" w:rsidRPr="00270DB5" w:rsidRDefault="00146A6C" w:rsidP="00F20002">
      <w:pPr>
        <w:rPr>
          <w:color w:val="000000"/>
          <w:szCs w:val="20"/>
        </w:rPr>
      </w:pPr>
      <w:r w:rsidRPr="00270DB5">
        <w:rPr>
          <w:color w:val="000000"/>
          <w:sz w:val="24"/>
        </w:rPr>
        <w:fldChar w:fldCharType="end"/>
      </w:r>
      <w:r w:rsidR="00F20002" w:rsidRPr="00270DB5">
        <w:rPr>
          <w:color w:val="000000"/>
          <w:szCs w:val="20"/>
        </w:rPr>
        <w:t xml:space="preserve"> </w:t>
      </w:r>
    </w:p>
    <w:p w:rsidR="00F20002" w:rsidRPr="00270DB5" w:rsidRDefault="00F20002" w:rsidP="00F20002">
      <w:pPr>
        <w:rPr>
          <w:color w:val="000000"/>
          <w:szCs w:val="20"/>
        </w:rPr>
      </w:pPr>
      <w:r w:rsidRPr="00270DB5">
        <w:rPr>
          <w:color w:val="000000"/>
          <w:szCs w:val="20"/>
        </w:rPr>
        <w:t>ATTACHMENT 1 - BURDEN ESTIMATE METHODOLOGY</w:t>
      </w:r>
      <w:r w:rsidRPr="00270DB5">
        <w:rPr>
          <w:color w:val="000000"/>
          <w:spacing w:val="20"/>
          <w:sz w:val="24"/>
        </w:rPr>
        <w:t>…………………...…………………</w:t>
      </w:r>
      <w:r w:rsidR="002F53EC" w:rsidRPr="00270DB5">
        <w:rPr>
          <w:color w:val="000000"/>
          <w:spacing w:val="20"/>
          <w:szCs w:val="20"/>
        </w:rPr>
        <w:t>52</w:t>
      </w:r>
    </w:p>
    <w:p w:rsidR="00F20002" w:rsidRPr="00270DB5" w:rsidRDefault="00F20002" w:rsidP="00F20002">
      <w:pPr>
        <w:rPr>
          <w:color w:val="000000"/>
          <w:szCs w:val="20"/>
        </w:rPr>
      </w:pPr>
      <w:r w:rsidRPr="00270DB5">
        <w:rPr>
          <w:color w:val="000000"/>
          <w:szCs w:val="20"/>
        </w:rPr>
        <w:t xml:space="preserve">ATTACHMENT 2 - SUMMARY OF UNIVERSE CALCULATIONS </w:t>
      </w:r>
      <w:r w:rsidRPr="00270DB5">
        <w:rPr>
          <w:color w:val="000000"/>
          <w:spacing w:val="20"/>
          <w:sz w:val="24"/>
        </w:rPr>
        <w:t>…………………...……………</w:t>
      </w:r>
      <w:r w:rsidR="002F53EC" w:rsidRPr="00270DB5">
        <w:rPr>
          <w:color w:val="000000"/>
          <w:szCs w:val="20"/>
        </w:rPr>
        <w:t>56</w:t>
      </w:r>
    </w:p>
    <w:p w:rsidR="00146A6C" w:rsidRPr="00270DB5" w:rsidRDefault="00146A6C">
      <w:pPr>
        <w:pStyle w:val="Heading1"/>
        <w:rPr>
          <w:rFonts w:ascii="Times New Roman" w:hAnsi="Times New Roman" w:cs="Times New Roman"/>
          <w:color w:val="000000"/>
          <w:sz w:val="24"/>
        </w:rPr>
      </w:pPr>
    </w:p>
    <w:p w:rsidR="00146A6C" w:rsidRPr="00270DB5" w:rsidRDefault="00146A6C">
      <w:pPr>
        <w:rPr>
          <w:color w:val="000000"/>
        </w:rPr>
      </w:pPr>
    </w:p>
    <w:p w:rsidR="00146A6C" w:rsidRPr="00270DB5" w:rsidRDefault="00146A6C">
      <w:pPr>
        <w:rPr>
          <w:color w:val="000000"/>
        </w:rPr>
        <w:sectPr w:rsidR="00146A6C" w:rsidRPr="00270DB5">
          <w:footerReference w:type="default" r:id="rId9"/>
          <w:pgSz w:w="12240" w:h="15840"/>
          <w:pgMar w:top="1440" w:right="1440" w:bottom="1440" w:left="1440" w:header="1440" w:footer="1440" w:gutter="0"/>
          <w:pgNumType w:fmt="lowerRoman" w:start="1"/>
          <w:cols w:space="720"/>
          <w:noEndnote/>
        </w:sectPr>
      </w:pPr>
    </w:p>
    <w:p w:rsidR="00146A6C" w:rsidRPr="00270DB5" w:rsidRDefault="00146A6C">
      <w:pPr>
        <w:pStyle w:val="Heading1"/>
        <w:rPr>
          <w:rFonts w:ascii="Times New Roman" w:hAnsi="Times New Roman" w:cs="Times New Roman"/>
          <w:color w:val="000000"/>
          <w:sz w:val="24"/>
        </w:rPr>
        <w:sectPr w:rsidR="00146A6C" w:rsidRPr="00270DB5">
          <w:footerReference w:type="even" r:id="rId10"/>
          <w:footerReference w:type="default" r:id="rId11"/>
          <w:type w:val="continuous"/>
          <w:pgSz w:w="12240" w:h="15840"/>
          <w:pgMar w:top="1440" w:right="1800" w:bottom="1440" w:left="1800" w:header="720" w:footer="720" w:gutter="0"/>
          <w:pgNumType w:start="1"/>
          <w:cols w:space="720"/>
          <w:docGrid w:linePitch="360"/>
        </w:sectPr>
      </w:pPr>
      <w:bookmarkStart w:id="1" w:name="_Toc146594771"/>
      <w:bookmarkStart w:id="2" w:name="_Toc194233031"/>
      <w:bookmarkStart w:id="3" w:name="_Toc194321354"/>
      <w:bookmarkStart w:id="4" w:name="_Toc194321567"/>
      <w:bookmarkStart w:id="5" w:name="_Toc194395921"/>
      <w:bookmarkStart w:id="6" w:name="_Toc195523807"/>
      <w:bookmarkStart w:id="7" w:name="_Toc195524018"/>
      <w:bookmarkStart w:id="8" w:name="_Toc198053441"/>
    </w:p>
    <w:p w:rsidR="00146A6C" w:rsidRPr="00270DB5" w:rsidRDefault="00146A6C">
      <w:pPr>
        <w:pStyle w:val="Heading1"/>
        <w:rPr>
          <w:rFonts w:ascii="Times New Roman" w:hAnsi="Times New Roman" w:cs="Times New Roman"/>
          <w:color w:val="000000"/>
          <w:sz w:val="24"/>
        </w:rPr>
      </w:pPr>
      <w:bookmarkStart w:id="9" w:name="_Toc199176344"/>
      <w:bookmarkStart w:id="10" w:name="_Toc201152803"/>
      <w:bookmarkStart w:id="11" w:name="_Toc201153916"/>
      <w:bookmarkStart w:id="12" w:name="_Toc203626021"/>
      <w:bookmarkStart w:id="13" w:name="_Toc203626128"/>
      <w:bookmarkStart w:id="14" w:name="_Toc203711622"/>
      <w:bookmarkStart w:id="15" w:name="_Toc203715769"/>
      <w:bookmarkStart w:id="16" w:name="_Toc327953050"/>
      <w:r w:rsidRPr="00270DB5">
        <w:rPr>
          <w:rFonts w:ascii="Times New Roman" w:hAnsi="Times New Roman" w:cs="Times New Roman"/>
          <w:color w:val="000000"/>
          <w:sz w:val="24"/>
        </w:rPr>
        <w:lastRenderedPageBreak/>
        <w:t>1.</w:t>
      </w:r>
      <w:r w:rsidRPr="00270DB5">
        <w:rPr>
          <w:rFonts w:ascii="Times New Roman" w:hAnsi="Times New Roman" w:cs="Times New Roman"/>
          <w:color w:val="000000"/>
          <w:sz w:val="24"/>
        </w:rPr>
        <w:tab/>
        <w:t>IDENTIFICATION OF THE INFORMATION COLLECTION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146A6C" w:rsidRPr="00270DB5" w:rsidRDefault="00146A6C">
      <w:pPr>
        <w:pStyle w:val="Heading2"/>
        <w:ind w:firstLine="720"/>
        <w:rPr>
          <w:rFonts w:ascii="Times New Roman" w:hAnsi="Times New Roman" w:cs="Times New Roman"/>
          <w:i w:val="0"/>
          <w:iCs w:val="0"/>
          <w:color w:val="000000"/>
          <w:sz w:val="24"/>
        </w:rPr>
      </w:pPr>
      <w:bookmarkStart w:id="17" w:name="_Toc146594772"/>
      <w:bookmarkStart w:id="18" w:name="_Toc194233032"/>
      <w:bookmarkStart w:id="19" w:name="_Toc194321355"/>
      <w:bookmarkStart w:id="20" w:name="_Toc194321568"/>
      <w:bookmarkStart w:id="21" w:name="_Toc194395922"/>
      <w:bookmarkStart w:id="22" w:name="_Toc195523808"/>
      <w:bookmarkStart w:id="23" w:name="_Toc195524019"/>
      <w:bookmarkStart w:id="24" w:name="_Toc198053442"/>
      <w:bookmarkStart w:id="25" w:name="_Toc199176345"/>
      <w:bookmarkStart w:id="26" w:name="_Toc201152804"/>
      <w:bookmarkStart w:id="27" w:name="_Toc201153917"/>
      <w:bookmarkStart w:id="28" w:name="_Toc203626022"/>
      <w:bookmarkStart w:id="29" w:name="_Toc203626129"/>
      <w:bookmarkStart w:id="30" w:name="_Toc203711623"/>
      <w:bookmarkStart w:id="31" w:name="_Toc203715770"/>
      <w:bookmarkStart w:id="32" w:name="_Toc327953051"/>
      <w:r w:rsidRPr="00270DB5">
        <w:rPr>
          <w:rFonts w:ascii="Times New Roman" w:hAnsi="Times New Roman" w:cs="Times New Roman"/>
          <w:i w:val="0"/>
          <w:iCs w:val="0"/>
          <w:color w:val="000000"/>
          <w:sz w:val="24"/>
        </w:rPr>
        <w:t>1(a)</w:t>
      </w:r>
      <w:r w:rsidRPr="00270DB5">
        <w:rPr>
          <w:rFonts w:ascii="Times New Roman" w:hAnsi="Times New Roman" w:cs="Times New Roman"/>
          <w:i w:val="0"/>
          <w:iCs w:val="0"/>
          <w:color w:val="000000"/>
          <w:sz w:val="24"/>
        </w:rPr>
        <w:tab/>
        <w:t>Title and Number of the Information Collection</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146A6C" w:rsidRPr="00270DB5" w:rsidRDefault="00146A6C">
      <w:pPr>
        <w:rPr>
          <w:b/>
          <w:bCs/>
          <w:color w:val="000000"/>
          <w:sz w:val="24"/>
        </w:rPr>
      </w:pPr>
      <w:bookmarkStart w:id="33" w:name="_Toc146594773"/>
      <w:bookmarkStart w:id="34" w:name="_Toc194233033"/>
      <w:bookmarkStart w:id="35" w:name="_Toc194321356"/>
      <w:bookmarkStart w:id="36" w:name="_Toc194321569"/>
      <w:bookmarkStart w:id="37" w:name="_Toc194395923"/>
      <w:bookmarkStart w:id="38" w:name="_Toc195523809"/>
      <w:bookmarkStart w:id="39" w:name="_Toc195524020"/>
      <w:bookmarkStart w:id="40" w:name="_Toc198053443"/>
      <w:bookmarkStart w:id="41" w:name="_Toc199176346"/>
    </w:p>
    <w:p w:rsidR="00146A6C" w:rsidRPr="00270DB5" w:rsidRDefault="00146A6C">
      <w:pPr>
        <w:ind w:firstLine="720"/>
        <w:rPr>
          <w:color w:val="000000"/>
          <w:sz w:val="24"/>
        </w:rPr>
      </w:pPr>
      <w:r w:rsidRPr="00270DB5">
        <w:rPr>
          <w:b/>
          <w:bCs/>
          <w:color w:val="000000"/>
          <w:sz w:val="24"/>
        </w:rPr>
        <w:t>﻿</w:t>
      </w:r>
      <w:r w:rsidRPr="00270DB5">
        <w:rPr>
          <w:color w:val="000000"/>
          <w:sz w:val="24"/>
        </w:rPr>
        <w:t>This Information Collection Request (ICR) is entitled “Generator Standards Applicable to Laboratories Owned by Eligible Academic Entities</w:t>
      </w:r>
      <w:r w:rsidR="000875F9" w:rsidRPr="00270DB5">
        <w:rPr>
          <w:color w:val="000000"/>
          <w:sz w:val="24"/>
        </w:rPr>
        <w:t xml:space="preserve"> (</w:t>
      </w:r>
      <w:r w:rsidR="008B1E33" w:rsidRPr="00270DB5">
        <w:rPr>
          <w:color w:val="000000"/>
          <w:sz w:val="24"/>
        </w:rPr>
        <w:t>Renewal</w:t>
      </w:r>
      <w:r w:rsidR="000875F9" w:rsidRPr="00270DB5">
        <w:rPr>
          <w:color w:val="000000"/>
          <w:sz w:val="24"/>
        </w:rPr>
        <w:t>)</w:t>
      </w:r>
      <w:r w:rsidRPr="00270DB5">
        <w:rPr>
          <w:color w:val="000000"/>
          <w:sz w:val="24"/>
        </w:rPr>
        <w:t>,” EPA ICR Number 2317.0</w:t>
      </w:r>
      <w:r w:rsidR="0078321E" w:rsidRPr="00270DB5">
        <w:rPr>
          <w:color w:val="000000"/>
          <w:sz w:val="24"/>
        </w:rPr>
        <w:t>2</w:t>
      </w:r>
      <w:r w:rsidRPr="00270DB5">
        <w:rPr>
          <w:color w:val="000000"/>
          <w:sz w:val="24"/>
        </w:rPr>
        <w:t>.</w:t>
      </w:r>
    </w:p>
    <w:p w:rsidR="00146A6C" w:rsidRPr="00270DB5" w:rsidRDefault="00146A6C">
      <w:pPr>
        <w:pStyle w:val="Heading2"/>
        <w:ind w:firstLine="720"/>
        <w:rPr>
          <w:rFonts w:ascii="Times New Roman" w:hAnsi="Times New Roman" w:cs="Times New Roman"/>
          <w:i w:val="0"/>
          <w:iCs w:val="0"/>
          <w:color w:val="000000"/>
          <w:sz w:val="24"/>
        </w:rPr>
      </w:pPr>
      <w:bookmarkStart w:id="42" w:name="_Toc201152805"/>
      <w:bookmarkStart w:id="43" w:name="_Toc201153918"/>
      <w:bookmarkStart w:id="44" w:name="_Toc203626023"/>
      <w:bookmarkStart w:id="45" w:name="_Toc203626130"/>
      <w:bookmarkStart w:id="46" w:name="_Toc203711624"/>
      <w:bookmarkStart w:id="47" w:name="_Toc203715771"/>
      <w:bookmarkStart w:id="48" w:name="_Toc327953052"/>
      <w:r w:rsidRPr="00270DB5">
        <w:rPr>
          <w:rFonts w:ascii="Times New Roman" w:hAnsi="Times New Roman" w:cs="Times New Roman"/>
          <w:i w:val="0"/>
          <w:iCs w:val="0"/>
          <w:color w:val="000000"/>
          <w:sz w:val="24"/>
        </w:rPr>
        <w:t>1(b)</w:t>
      </w:r>
      <w:r w:rsidRPr="00270DB5">
        <w:rPr>
          <w:rFonts w:ascii="Times New Roman" w:hAnsi="Times New Roman" w:cs="Times New Roman"/>
          <w:i w:val="0"/>
          <w:iCs w:val="0"/>
          <w:color w:val="000000"/>
          <w:sz w:val="24"/>
        </w:rPr>
        <w:tab/>
        <w:t>Short Characterization</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146A6C" w:rsidRPr="00270DB5" w:rsidRDefault="00146A6C">
      <w:pPr>
        <w:widowControl/>
        <w:rPr>
          <w:color w:val="000000"/>
          <w:sz w:val="24"/>
        </w:rPr>
      </w:pPr>
    </w:p>
    <w:p w:rsidR="00146A6C" w:rsidRPr="00270DB5" w:rsidRDefault="00146A6C">
      <w:pPr>
        <w:ind w:firstLine="720"/>
        <w:rPr>
          <w:color w:val="000000"/>
          <w:sz w:val="24"/>
        </w:rPr>
      </w:pPr>
      <w:r w:rsidRPr="00270DB5">
        <w:rPr>
          <w:color w:val="000000"/>
          <w:sz w:val="24"/>
        </w:rPr>
        <w:t xml:space="preserve">The U.S. Environmental Protection Agency (EPA) has </w:t>
      </w:r>
      <w:r w:rsidR="00735B22" w:rsidRPr="00270DB5">
        <w:rPr>
          <w:color w:val="000000"/>
          <w:sz w:val="24"/>
        </w:rPr>
        <w:t>promulgated</w:t>
      </w:r>
      <w:r w:rsidR="008B1E33" w:rsidRPr="00270DB5">
        <w:rPr>
          <w:color w:val="000000"/>
          <w:sz w:val="24"/>
        </w:rPr>
        <w:t xml:space="preserve"> </w:t>
      </w:r>
      <w:r w:rsidRPr="00270DB5">
        <w:rPr>
          <w:color w:val="000000"/>
          <w:sz w:val="24"/>
        </w:rPr>
        <w:t>an alternative set of generator requirements applicable to laboratories owned by eligible academic entities, as defined in the final rule</w:t>
      </w:r>
      <w:r w:rsidR="008B1E33" w:rsidRPr="00270DB5">
        <w:rPr>
          <w:color w:val="000000"/>
          <w:sz w:val="24"/>
        </w:rPr>
        <w:t xml:space="preserve"> published at 73 FR 72912, December 1, 2008</w:t>
      </w:r>
      <w:r w:rsidRPr="00270DB5">
        <w:rPr>
          <w:color w:val="000000"/>
          <w:sz w:val="24"/>
        </w:rPr>
        <w:t xml:space="preserve">.  The rule, which establishes a new Subpart K within 40 </w:t>
      </w:r>
      <w:r w:rsidRPr="00270DB5">
        <w:rPr>
          <w:i/>
          <w:iCs/>
          <w:color w:val="000000"/>
          <w:sz w:val="24"/>
        </w:rPr>
        <w:t>CFR</w:t>
      </w:r>
      <w:r w:rsidRPr="00270DB5">
        <w:rPr>
          <w:color w:val="000000"/>
          <w:sz w:val="24"/>
        </w:rPr>
        <w:t xml:space="preserve"> Part 262, provides a flexible and protective set of regulations that address the specific nature of hazardous waste generation and accumulation in laboratories owned by colleges and universities, and teaching hospitals and non-profit research institutes that are either owned by or formally affiliated with a college or university.  In addition, the final rule allows colleges and universities and these other eligible academic entities formally affiliated with a college or university the discretion to determine the most appropriate and effective method of compliance with these requirements by allowing them the choice of managing their hazardous wastes in accordance with the new alternative regulations as set forth in Subpart K or remaining subject to the existing generator regulations.</w:t>
      </w:r>
    </w:p>
    <w:p w:rsidR="00146A6C" w:rsidRPr="00270DB5" w:rsidRDefault="00146A6C">
      <w:pPr>
        <w:widowControl/>
        <w:rPr>
          <w:color w:val="000000"/>
          <w:sz w:val="24"/>
        </w:rPr>
      </w:pPr>
    </w:p>
    <w:p w:rsidR="00146A6C" w:rsidRPr="00270DB5" w:rsidRDefault="00146A6C">
      <w:pPr>
        <w:widowControl/>
        <w:ind w:firstLine="720"/>
        <w:rPr>
          <w:color w:val="000000"/>
          <w:sz w:val="24"/>
        </w:rPr>
      </w:pPr>
      <w:r w:rsidRPr="00270DB5">
        <w:rPr>
          <w:color w:val="000000"/>
          <w:sz w:val="24"/>
        </w:rPr>
        <w:t xml:space="preserve">In Sections 1 through 5 of this document, EPA presents a comprehensive description of the information collection requirements in </w:t>
      </w:r>
      <w:r w:rsidR="00BF0296" w:rsidRPr="00270DB5">
        <w:rPr>
          <w:color w:val="000000"/>
          <w:sz w:val="24"/>
        </w:rPr>
        <w:t>Subpart K</w:t>
      </w:r>
      <w:r w:rsidRPr="00270DB5">
        <w:rPr>
          <w:color w:val="000000"/>
          <w:sz w:val="24"/>
        </w:rPr>
        <w:t>.  In Section 6, EPA estimates the total annual hour and cost burden to respondents associated with these new paperwork requirements.  In addition, EPA estimates the total annual burden impacts to respondents for being relieved of some existing requirements.</w:t>
      </w:r>
    </w:p>
    <w:p w:rsidR="00146A6C" w:rsidRPr="00270DB5" w:rsidRDefault="00146A6C">
      <w:pPr>
        <w:widowControl/>
        <w:rPr>
          <w:color w:val="000000"/>
          <w:sz w:val="24"/>
        </w:rPr>
      </w:pPr>
    </w:p>
    <w:p w:rsidR="00146A6C" w:rsidRPr="00270DB5" w:rsidRDefault="00146A6C">
      <w:pPr>
        <w:widowControl/>
        <w:ind w:firstLine="720"/>
        <w:rPr>
          <w:color w:val="000000"/>
          <w:sz w:val="24"/>
        </w:rPr>
      </w:pPr>
      <w:r w:rsidRPr="00270DB5">
        <w:rPr>
          <w:color w:val="000000"/>
          <w:sz w:val="24"/>
        </w:rPr>
        <w:t>In the following paragraphs, EPA describes the information collec</w:t>
      </w:r>
      <w:r w:rsidR="00367C30" w:rsidRPr="00270DB5">
        <w:rPr>
          <w:color w:val="000000"/>
          <w:sz w:val="24"/>
        </w:rPr>
        <w:t>tion requirements in Subpart K</w:t>
      </w:r>
      <w:r w:rsidRPr="00270DB5">
        <w:rPr>
          <w:color w:val="000000"/>
          <w:sz w:val="24"/>
        </w:rPr>
        <w:t>.</w:t>
      </w:r>
    </w:p>
    <w:p w:rsidR="00146A6C" w:rsidRPr="00270DB5" w:rsidRDefault="00146A6C">
      <w:pPr>
        <w:widowControl/>
        <w:ind w:firstLine="720"/>
        <w:rPr>
          <w:color w:val="000000"/>
          <w:sz w:val="24"/>
        </w:rPr>
      </w:pP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rPr>
          <w:rFonts w:ascii="Times New Roman" w:hAnsi="Times New Roman" w:cs="Times New Roman"/>
          <w:b/>
          <w:bCs/>
          <w:color w:val="000000"/>
          <w:sz w:val="24"/>
          <w:szCs w:val="24"/>
        </w:rPr>
      </w:pPr>
      <w:bookmarkStart w:id="49" w:name="_Toc146594774"/>
      <w:bookmarkStart w:id="50" w:name="_Toc194233034"/>
      <w:bookmarkStart w:id="51" w:name="_Toc194321357"/>
      <w:bookmarkStart w:id="52" w:name="_Toc194321570"/>
      <w:bookmarkStart w:id="53" w:name="_Toc194395924"/>
      <w:r w:rsidRPr="00270DB5">
        <w:rPr>
          <w:rFonts w:ascii="Times New Roman" w:hAnsi="Times New Roman" w:cs="Times New Roman"/>
          <w:b/>
          <w:bCs/>
          <w:color w:val="000000"/>
          <w:sz w:val="24"/>
          <w:szCs w:val="24"/>
        </w:rPr>
        <w:t>(1)</w:t>
      </w:r>
      <w:r w:rsidRPr="00270DB5">
        <w:rPr>
          <w:rFonts w:ascii="Times New Roman" w:hAnsi="Times New Roman" w:cs="Times New Roman"/>
          <w:b/>
          <w:bCs/>
          <w:color w:val="000000"/>
          <w:sz w:val="24"/>
          <w:szCs w:val="24"/>
        </w:rPr>
        <w:tab/>
        <w:t>Notification of Intent to Comply with Subpart K and Recordkeeping of Agreements</w:t>
      </w: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r w:rsidRPr="00270DB5">
        <w:rPr>
          <w:rFonts w:ascii="Times New Roman" w:hAnsi="Times New Roman" w:cs="Times New Roman"/>
          <w:color w:val="000000"/>
          <w:sz w:val="24"/>
          <w:szCs w:val="24"/>
        </w:rPr>
        <w:tab/>
        <w:t xml:space="preserve">40 </w:t>
      </w:r>
      <w:r w:rsidRPr="00270DB5">
        <w:rPr>
          <w:rFonts w:ascii="Times New Roman" w:hAnsi="Times New Roman" w:cs="Times New Roman"/>
          <w:i/>
          <w:color w:val="000000"/>
          <w:sz w:val="24"/>
          <w:szCs w:val="24"/>
        </w:rPr>
        <w:t>CFR</w:t>
      </w:r>
      <w:r w:rsidRPr="00270DB5">
        <w:rPr>
          <w:rFonts w:ascii="Times New Roman" w:hAnsi="Times New Roman" w:cs="Times New Roman"/>
          <w:color w:val="000000"/>
          <w:sz w:val="24"/>
          <w:szCs w:val="24"/>
        </w:rPr>
        <w:t xml:space="preserve"> 262.203(a) provides that an eligible academic entity must notify the appropriate EPA Regional Administrator in writing, using the RCRA Subtitle C Site Identification Form (EPA Form 8700-12), that it is electing to be subject to the requirements of Subpart K for all the laboratories owned by the eligible academic entity under the same EPA Identification Number.  An eligible academic entity that is a conditionally exempt small quantity generator and does not have an EPA Identification Number must notify that it is electing to be subject to the requirements of Subpart K for all the laboratories owned by the eligible academic entity that are on-site.  An eligible academic entity must submit a separate notification (Site Identification Form) for each </w:t>
      </w:r>
      <w:r w:rsidRPr="00270DB5">
        <w:rPr>
          <w:rFonts w:ascii="Times New Roman" w:hAnsi="Times New Roman" w:cs="Times New Roman"/>
          <w:color w:val="000000"/>
          <w:sz w:val="24"/>
          <w:szCs w:val="24"/>
        </w:rPr>
        <w:lastRenderedPageBreak/>
        <w:t>EPA Identification Number (or site, for conditionally exempt small quantity generators) that is electing to be subject to the requirements of Subpart K.</w:t>
      </w: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r w:rsidRPr="00270DB5">
        <w:rPr>
          <w:rFonts w:ascii="Times New Roman" w:hAnsi="Times New Roman" w:cs="Times New Roman"/>
          <w:color w:val="000000"/>
          <w:sz w:val="24"/>
          <w:szCs w:val="24"/>
        </w:rPr>
        <w:t>When submitting the Site Identification Form, the eligible academic entity must, at a minimum, fill out the fields on the form that are specified at section 262.203(b)(1)-(11).</w:t>
      </w: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r w:rsidRPr="00270DB5">
        <w:rPr>
          <w:rFonts w:ascii="Times New Roman" w:hAnsi="Times New Roman" w:cs="Times New Roman"/>
          <w:color w:val="000000"/>
          <w:sz w:val="24"/>
          <w:szCs w:val="24"/>
        </w:rPr>
        <w:t>Section 262.203(c) provides that an eligible academic entity must keep a copy of the notification on file at the eligible academic entity for as long as its laboratories are subject to Subpart K.</w:t>
      </w: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r w:rsidRPr="00270DB5">
        <w:rPr>
          <w:rFonts w:ascii="Times New Roman" w:hAnsi="Times New Roman" w:cs="Times New Roman"/>
          <w:color w:val="000000"/>
          <w:sz w:val="24"/>
          <w:szCs w:val="24"/>
        </w:rPr>
        <w:t>Section 262.203(d) provides that a teaching hospital that is not owned by a college or university must keep a copy of its formal written affiliation agreement with a college or university on file at the teaching hospital for as long as its laboratories are subject to Subpart K.</w:t>
      </w: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r w:rsidRPr="00270DB5">
        <w:rPr>
          <w:rFonts w:ascii="Times New Roman" w:hAnsi="Times New Roman" w:cs="Times New Roman"/>
          <w:color w:val="000000"/>
          <w:sz w:val="24"/>
          <w:szCs w:val="24"/>
        </w:rPr>
        <w:tab/>
        <w:t>Section 262.203(e) provides that a non-profit research institute that is not owned by a college or university must keep a copy of its formal written affiliation agreement with a college or university on file at the non-profit research institute for as long as its laboratories are subject to Subpart K.</w:t>
      </w: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color w:val="000000"/>
          <w:sz w:val="24"/>
          <w:szCs w:val="24"/>
        </w:rPr>
      </w:pP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r w:rsidRPr="00270DB5">
        <w:rPr>
          <w:rFonts w:ascii="Times New Roman" w:hAnsi="Times New Roman" w:cs="Times New Roman"/>
          <w:b/>
          <w:bCs/>
          <w:color w:val="000000"/>
          <w:sz w:val="24"/>
          <w:szCs w:val="24"/>
        </w:rPr>
        <w:t>(2)</w:t>
      </w:r>
      <w:r w:rsidRPr="00270DB5">
        <w:rPr>
          <w:rFonts w:ascii="Times New Roman" w:hAnsi="Times New Roman" w:cs="Times New Roman"/>
          <w:b/>
          <w:bCs/>
          <w:color w:val="000000"/>
          <w:sz w:val="24"/>
          <w:szCs w:val="24"/>
        </w:rPr>
        <w:tab/>
        <w:t>Notification of Withdrawal from Subpart K</w:t>
      </w: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rsidR="00146A6C" w:rsidRPr="00270DB5" w:rsidRDefault="00146A6C">
      <w:pPr>
        <w:rPr>
          <w:color w:val="000000"/>
          <w:sz w:val="24"/>
        </w:rPr>
      </w:pPr>
      <w:r w:rsidRPr="00270DB5">
        <w:rPr>
          <w:color w:val="000000"/>
          <w:sz w:val="24"/>
        </w:rPr>
        <w:tab/>
        <w:t xml:space="preserve">40 </w:t>
      </w:r>
      <w:r w:rsidRPr="00270DB5">
        <w:rPr>
          <w:i/>
          <w:color w:val="000000"/>
          <w:sz w:val="24"/>
        </w:rPr>
        <w:t>CFR</w:t>
      </w:r>
      <w:r w:rsidRPr="00270DB5">
        <w:rPr>
          <w:color w:val="000000"/>
          <w:sz w:val="24"/>
        </w:rPr>
        <w:t xml:space="preserve"> 262.204(a) provides that an eligible academic entity must notify the appropriate EPA Regional Administrator in writing, using the RCRA Subtitle C Site Identification Form (EPA Form 8700-12), that it is electing to no longer be subject to the requirements of Subpart K for all the laboratories owned by the eligible academic entity under the same EPA Identification Number.  An eligible academic entity that is a conditionally exempt small quantity generator and does not have an EPA Identification Number must notify that it is withdrawing from the requirements of Subpart K for all the laboratories owned by the eligible academic entity that are on-site.  An eligible academic entity must submit a separate notification (Site Identification Form) for each EPA Identification Number (or site, for conditionally exempt small quantity generators) that is withdrawing from the requirements of Subpart K.</w:t>
      </w:r>
    </w:p>
    <w:p w:rsidR="00146A6C" w:rsidRPr="00270DB5" w:rsidRDefault="00146A6C">
      <w:pPr>
        <w:rPr>
          <w:color w:val="000000"/>
          <w:sz w:val="24"/>
        </w:rPr>
      </w:pPr>
    </w:p>
    <w:p w:rsidR="00146A6C" w:rsidRPr="00270DB5" w:rsidRDefault="00146A6C">
      <w:pPr>
        <w:ind w:firstLine="720"/>
        <w:rPr>
          <w:color w:val="000000"/>
          <w:sz w:val="24"/>
        </w:rPr>
      </w:pPr>
      <w:r w:rsidRPr="00270DB5">
        <w:rPr>
          <w:color w:val="000000"/>
          <w:sz w:val="24"/>
        </w:rPr>
        <w:t>When submitting the Site Identification Form, the eligible academic entity must, at a minimum, fill out the fields on the form that are specified at section 262.204(b)(1)-(11).</w:t>
      </w: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r w:rsidRPr="00270DB5">
        <w:rPr>
          <w:rFonts w:ascii="Times New Roman" w:hAnsi="Times New Roman" w:cs="Times New Roman"/>
          <w:color w:val="000000"/>
          <w:sz w:val="24"/>
          <w:szCs w:val="24"/>
        </w:rPr>
        <w:tab/>
        <w:t>Section 262.204(c) provides that an eligible academic entity must keep a copy of the withdrawal notice on file at the eligible academic entity for three years from the date of the notification.</w:t>
      </w: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color w:val="000000"/>
          <w:sz w:val="24"/>
          <w:szCs w:val="24"/>
        </w:rPr>
      </w:pPr>
    </w:p>
    <w:p w:rsidR="00146A6C" w:rsidRPr="00270DB5"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color w:val="000000"/>
          <w:sz w:val="24"/>
          <w:szCs w:val="24"/>
        </w:rPr>
      </w:pPr>
      <w:r w:rsidRPr="00270DB5">
        <w:rPr>
          <w:rFonts w:ascii="Times New Roman" w:hAnsi="Times New Roman" w:cs="Times New Roman"/>
          <w:b/>
          <w:bCs/>
          <w:color w:val="000000"/>
          <w:sz w:val="24"/>
          <w:szCs w:val="24"/>
        </w:rPr>
        <w:t>(3)</w:t>
      </w:r>
      <w:r w:rsidRPr="00270DB5">
        <w:rPr>
          <w:rFonts w:ascii="Times New Roman" w:hAnsi="Times New Roman" w:cs="Times New Roman"/>
          <w:b/>
          <w:bCs/>
          <w:color w:val="000000"/>
          <w:sz w:val="24"/>
          <w:szCs w:val="24"/>
        </w:rPr>
        <w:tab/>
        <w:t>Labeling of Containers of Unwanted Material in the Laboratory</w:t>
      </w:r>
    </w:p>
    <w:p w:rsidR="00146A6C" w:rsidRPr="00270DB5"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rsidR="00146A6C" w:rsidRPr="00270DB5" w:rsidRDefault="00146A6C">
      <w:pPr>
        <w:keepNext/>
        <w:ind w:firstLine="720"/>
        <w:rPr>
          <w:color w:val="000000"/>
          <w:sz w:val="24"/>
        </w:rPr>
      </w:pPr>
      <w:r w:rsidRPr="00270DB5">
        <w:rPr>
          <w:color w:val="000000"/>
          <w:sz w:val="24"/>
        </w:rPr>
        <w:t xml:space="preserve">40 </w:t>
      </w:r>
      <w:r w:rsidRPr="00270DB5">
        <w:rPr>
          <w:i/>
          <w:color w:val="000000"/>
          <w:sz w:val="24"/>
        </w:rPr>
        <w:t>CFR</w:t>
      </w:r>
      <w:r w:rsidRPr="00270DB5">
        <w:rPr>
          <w:color w:val="000000"/>
          <w:sz w:val="24"/>
        </w:rPr>
        <w:t xml:space="preserve"> 262.206 provides that an eligible academic entity must label and manage </w:t>
      </w:r>
      <w:r w:rsidRPr="00270DB5">
        <w:rPr>
          <w:color w:val="000000"/>
          <w:sz w:val="24"/>
        </w:rPr>
        <w:lastRenderedPageBreak/>
        <w:t xml:space="preserve">containers of unwanted material while in the laboratory in accordance with the requirements in section 262.206.  </w:t>
      </w:r>
    </w:p>
    <w:p w:rsidR="00146A6C" w:rsidRPr="00270DB5" w:rsidRDefault="00146A6C">
      <w:pPr>
        <w:ind w:firstLine="720"/>
        <w:rPr>
          <w:color w:val="000000"/>
          <w:sz w:val="24"/>
        </w:rPr>
      </w:pPr>
    </w:p>
    <w:p w:rsidR="00146A6C" w:rsidRPr="00270DB5" w:rsidRDefault="00146A6C">
      <w:pPr>
        <w:ind w:firstLine="720"/>
        <w:rPr>
          <w:color w:val="000000"/>
          <w:sz w:val="24"/>
        </w:rPr>
      </w:pPr>
      <w:r w:rsidRPr="00270DB5">
        <w:rPr>
          <w:color w:val="000000"/>
          <w:sz w:val="24"/>
        </w:rPr>
        <w:t>Section 262.206(a)(1) requires that the following information must be affixed or attached to the container: the words ”unwanted material” or another equally effective term that is to be used consistently by the eligible academic entity and that is identified in Part I of the Laboratory Management Plan (262.206(a)(1)(i)), and sufficient information to alert emergency responders to the contents of the container (262.206(a)(1)(ii)).</w:t>
      </w:r>
    </w:p>
    <w:p w:rsidR="00146A6C" w:rsidRPr="00270DB5" w:rsidRDefault="00146A6C">
      <w:pPr>
        <w:ind w:firstLine="720"/>
        <w:rPr>
          <w:color w:val="000000"/>
          <w:sz w:val="24"/>
        </w:rPr>
      </w:pPr>
    </w:p>
    <w:p w:rsidR="00146A6C" w:rsidRPr="00270DB5" w:rsidRDefault="00146A6C">
      <w:pPr>
        <w:ind w:firstLine="720"/>
        <w:rPr>
          <w:color w:val="000000"/>
          <w:sz w:val="24"/>
        </w:rPr>
      </w:pPr>
      <w:r w:rsidRPr="00270DB5">
        <w:rPr>
          <w:color w:val="000000"/>
          <w:sz w:val="24"/>
        </w:rPr>
        <w:t xml:space="preserve">Section 262.206(a)(2) provides that the following information may be affixed or attached to the container, but must at a minimum associated with the container: the date that the unwanted material first began accumulating in the container (262.206(a)(2)(i)) and information sufficient to allow a trained professional to properly identify whether an unwanted material is a solid and hazardous waste and to assign the proper hazardous waste code(s), pursuant to section 262.11 (262.206(a)(2)(ii)). </w:t>
      </w:r>
    </w:p>
    <w:p w:rsidR="00146A6C" w:rsidRPr="00270DB5" w:rsidRDefault="00146A6C">
      <w:pPr>
        <w:rPr>
          <w:b/>
          <w:bCs/>
          <w:color w:val="000000"/>
          <w:sz w:val="24"/>
        </w:rPr>
      </w:pPr>
    </w:p>
    <w:p w:rsidR="00146A6C" w:rsidRPr="00270DB5" w:rsidRDefault="00146A6C">
      <w:pPr>
        <w:rPr>
          <w:color w:val="000000"/>
          <w:sz w:val="24"/>
        </w:rPr>
      </w:pPr>
      <w:r w:rsidRPr="00270DB5">
        <w:rPr>
          <w:b/>
          <w:bCs/>
          <w:color w:val="000000"/>
          <w:sz w:val="24"/>
        </w:rPr>
        <w:t>(4)</w:t>
      </w:r>
      <w:r w:rsidRPr="00270DB5">
        <w:rPr>
          <w:b/>
          <w:bCs/>
          <w:color w:val="000000"/>
          <w:sz w:val="24"/>
        </w:rPr>
        <w:tab/>
        <w:t>Training</w:t>
      </w:r>
    </w:p>
    <w:p w:rsidR="00146A6C" w:rsidRPr="00270DB5" w:rsidRDefault="00146A6C">
      <w:pPr>
        <w:rPr>
          <w:color w:val="000000"/>
          <w:sz w:val="24"/>
        </w:rPr>
      </w:pPr>
    </w:p>
    <w:p w:rsidR="00146A6C" w:rsidRPr="00270DB5" w:rsidRDefault="00146A6C">
      <w:pPr>
        <w:ind w:firstLine="720"/>
        <w:rPr>
          <w:color w:val="000000"/>
          <w:sz w:val="24"/>
        </w:rPr>
      </w:pPr>
      <w:r w:rsidRPr="00270DB5">
        <w:rPr>
          <w:color w:val="000000"/>
          <w:sz w:val="24"/>
        </w:rPr>
        <w:t xml:space="preserve">40 </w:t>
      </w:r>
      <w:r w:rsidRPr="00270DB5">
        <w:rPr>
          <w:i/>
          <w:color w:val="000000"/>
          <w:sz w:val="24"/>
        </w:rPr>
        <w:t>CFR</w:t>
      </w:r>
      <w:r w:rsidRPr="00270DB5">
        <w:rPr>
          <w:color w:val="000000"/>
          <w:sz w:val="24"/>
        </w:rPr>
        <w:t xml:space="preserve"> 262.207 provides that an eligible academic entity must provide training to all individuals working in a laboratory at that eligible academic entity, as specified.  </w:t>
      </w:r>
    </w:p>
    <w:p w:rsidR="00146A6C" w:rsidRPr="00270DB5" w:rsidRDefault="00146A6C">
      <w:pPr>
        <w:ind w:firstLine="720"/>
        <w:rPr>
          <w:color w:val="000000"/>
          <w:sz w:val="24"/>
        </w:rPr>
      </w:pPr>
    </w:p>
    <w:p w:rsidR="00146A6C" w:rsidRPr="00270DB5" w:rsidRDefault="00146A6C">
      <w:pPr>
        <w:ind w:firstLine="720"/>
        <w:rPr>
          <w:color w:val="000000"/>
          <w:sz w:val="24"/>
        </w:rPr>
      </w:pPr>
      <w:r w:rsidRPr="00270DB5">
        <w:rPr>
          <w:color w:val="000000"/>
          <w:sz w:val="24"/>
        </w:rPr>
        <w:t xml:space="preserve">Section 262.207(a) requires that training for laboratory workers and students must be commensurate with their duties so they understand the requirements in Subpart K and can implement them.  </w:t>
      </w:r>
    </w:p>
    <w:p w:rsidR="00146A6C" w:rsidRPr="00270DB5" w:rsidRDefault="00146A6C">
      <w:pPr>
        <w:ind w:firstLine="720"/>
        <w:rPr>
          <w:color w:val="000000"/>
          <w:sz w:val="24"/>
        </w:rPr>
      </w:pPr>
    </w:p>
    <w:p w:rsidR="00146A6C" w:rsidRPr="00270DB5" w:rsidRDefault="00146A6C">
      <w:pPr>
        <w:ind w:firstLine="720"/>
        <w:rPr>
          <w:color w:val="000000"/>
          <w:sz w:val="24"/>
        </w:rPr>
      </w:pPr>
      <w:r w:rsidRPr="00270DB5">
        <w:rPr>
          <w:color w:val="000000"/>
          <w:sz w:val="24"/>
        </w:rPr>
        <w:t>Section 262.207(b) provides that an eligible academic entity can provide training for laboratory workers and students in a variety of ways (e.g., instruction by the professor or laboratory manager before or during an experiment, formal classroom training, electronic/written training).</w:t>
      </w:r>
    </w:p>
    <w:p w:rsidR="00146A6C" w:rsidRPr="00270DB5" w:rsidRDefault="00146A6C">
      <w:pPr>
        <w:ind w:firstLine="720"/>
        <w:rPr>
          <w:color w:val="000000"/>
          <w:sz w:val="24"/>
        </w:rPr>
      </w:pPr>
    </w:p>
    <w:p w:rsidR="00146A6C" w:rsidRPr="00270DB5" w:rsidRDefault="00146A6C">
      <w:pPr>
        <w:ind w:firstLine="720"/>
        <w:rPr>
          <w:color w:val="000000"/>
          <w:sz w:val="24"/>
        </w:rPr>
      </w:pPr>
      <w:r w:rsidRPr="00270DB5">
        <w:rPr>
          <w:color w:val="000000"/>
          <w:sz w:val="24"/>
        </w:rPr>
        <w:t xml:space="preserve">Section 262.207(c) provides that an eligible academic entity that is a large quantity generator must maintain documentation demonstrating training for all laboratory workers.  Section 262.207(c) requires that the information must be sufficient to determine whether laboratory workers have been trained and must be retained for the durations specified in section 265.16(e).  Sections 262.207(c)(1)-(4) provides examples of documentation demonstrating training. </w:t>
      </w:r>
    </w:p>
    <w:p w:rsidR="00146A6C" w:rsidRPr="00270DB5" w:rsidRDefault="00146A6C">
      <w:pPr>
        <w:rPr>
          <w:color w:val="000000"/>
        </w:rPr>
      </w:pPr>
    </w:p>
    <w:p w:rsidR="00146A6C" w:rsidRPr="00270DB5" w:rsidRDefault="00146A6C">
      <w:pPr>
        <w:rPr>
          <w:b/>
          <w:bCs/>
          <w:color w:val="000000"/>
          <w:sz w:val="24"/>
        </w:rPr>
      </w:pPr>
      <w:r w:rsidRPr="00270DB5">
        <w:rPr>
          <w:b/>
          <w:bCs/>
          <w:color w:val="000000"/>
          <w:sz w:val="24"/>
        </w:rPr>
        <w:t>(5)</w:t>
      </w:r>
      <w:r w:rsidRPr="00270DB5">
        <w:rPr>
          <w:b/>
          <w:bCs/>
          <w:color w:val="000000"/>
          <w:sz w:val="24"/>
        </w:rPr>
        <w:tab/>
        <w:t>Removing Containers of Unwanted Material from the Laboratory</w:t>
      </w:r>
    </w:p>
    <w:p w:rsidR="00146A6C" w:rsidRPr="00270DB5" w:rsidRDefault="00146A6C">
      <w:pPr>
        <w:rPr>
          <w:color w:val="000000"/>
          <w:sz w:val="24"/>
        </w:rPr>
      </w:pPr>
    </w:p>
    <w:p w:rsidR="00146A6C" w:rsidRPr="00270DB5" w:rsidRDefault="00146A6C">
      <w:pPr>
        <w:ind w:firstLine="720"/>
        <w:rPr>
          <w:color w:val="000000"/>
          <w:sz w:val="24"/>
        </w:rPr>
      </w:pPr>
      <w:r w:rsidRPr="00270DB5">
        <w:rPr>
          <w:color w:val="000000"/>
          <w:sz w:val="24"/>
        </w:rPr>
        <w:t xml:space="preserve">40 </w:t>
      </w:r>
      <w:r w:rsidRPr="00270DB5">
        <w:rPr>
          <w:i/>
          <w:color w:val="000000"/>
          <w:sz w:val="24"/>
        </w:rPr>
        <w:t>CFR</w:t>
      </w:r>
      <w:r w:rsidRPr="00270DB5">
        <w:rPr>
          <w:color w:val="000000"/>
          <w:sz w:val="24"/>
        </w:rPr>
        <w:t xml:space="preserve"> 262.208(a) establishes standards for removing containers of unwanted material on a regular schedule.  An eligible academic entity must either:  remove all containers of unwanted material from each laboratory on a regular interval, not to exceed 6 months (262.208(a)(1)); or remove containers of unwanted material from each laboratory within 6 months of each container’s accumulation start date (262.208(a)(2)). </w:t>
      </w:r>
    </w:p>
    <w:p w:rsidR="00146A6C" w:rsidRPr="00270DB5" w:rsidRDefault="00146A6C">
      <w:pPr>
        <w:rPr>
          <w:color w:val="000000"/>
          <w:sz w:val="24"/>
        </w:rPr>
      </w:pPr>
    </w:p>
    <w:p w:rsidR="00146A6C" w:rsidRPr="00270DB5" w:rsidRDefault="00146A6C">
      <w:pPr>
        <w:rPr>
          <w:color w:val="000000"/>
          <w:sz w:val="24"/>
        </w:rPr>
      </w:pPr>
      <w:r w:rsidRPr="00270DB5">
        <w:rPr>
          <w:color w:val="000000"/>
          <w:sz w:val="24"/>
        </w:rPr>
        <w:tab/>
        <w:t xml:space="preserve">Section 262.208(b) requires that the eligible academic entity must specify in Part I of its Laboratory Management Plan whether it will comply with section 262.208(a)(1) or </w:t>
      </w:r>
      <w:r w:rsidRPr="00270DB5">
        <w:rPr>
          <w:color w:val="000000"/>
          <w:sz w:val="24"/>
        </w:rPr>
        <w:lastRenderedPageBreak/>
        <w:t xml:space="preserve">(a)(2) for the regular removal of unwanted material from its laboratories.  </w:t>
      </w:r>
    </w:p>
    <w:p w:rsidR="00146A6C" w:rsidRPr="00270DB5" w:rsidRDefault="00146A6C">
      <w:pPr>
        <w:rPr>
          <w:color w:val="000000"/>
          <w:sz w:val="24"/>
        </w:rPr>
      </w:pPr>
    </w:p>
    <w:p w:rsidR="00146A6C" w:rsidRPr="00270DB5" w:rsidRDefault="00146A6C">
      <w:pPr>
        <w:ind w:firstLine="720"/>
        <w:rPr>
          <w:color w:val="000000"/>
          <w:sz w:val="24"/>
        </w:rPr>
      </w:pPr>
      <w:r w:rsidRPr="00270DB5">
        <w:rPr>
          <w:color w:val="000000"/>
          <w:sz w:val="24"/>
        </w:rPr>
        <w:t xml:space="preserve">Section 262.208(c) requires that the eligible academic entity must specify in Part II of its Laboratory Management Plan how it will comply with section 262.208(a)(1) or (a)(2) and develop a schedule for regular removals of unwanted material from its laboratories.  </w:t>
      </w:r>
    </w:p>
    <w:p w:rsidR="00146A6C" w:rsidRPr="00270DB5" w:rsidRDefault="00146A6C">
      <w:pPr>
        <w:rPr>
          <w:color w:val="000000"/>
          <w:sz w:val="24"/>
        </w:rPr>
      </w:pPr>
    </w:p>
    <w:p w:rsidR="00146A6C" w:rsidRPr="00270DB5" w:rsidRDefault="00146A6C">
      <w:pPr>
        <w:rPr>
          <w:color w:val="000000"/>
          <w:sz w:val="24"/>
        </w:rPr>
      </w:pPr>
      <w:r w:rsidRPr="00270DB5">
        <w:rPr>
          <w:color w:val="000000"/>
          <w:sz w:val="24"/>
        </w:rPr>
        <w:tab/>
        <w:t>Section 262.208(d) establishes standards for removing containers of unwanted material when maximum volumes are exceeded.  Section 262.208(d)(1) provides that, if a laboratory accumulates more than 55 gallons of unwanted material (including reactive acutely hazardous unwanted material) before the regularly scheduled removal, the eligible academic entity must ensure that all containers of unwanted material (including reactive acutely hazardous unwanted material): must have the date that 55 gallons is exceeded on the label that is associated with the container (262.208(d)(1)(i)); and are removed from the laboratory within 10 calendar days of the date that 55 gallons was exceeded, or at the next regularly scheduled removal, whichever comes first (262.208(d)(1)(ii)).</w:t>
      </w:r>
    </w:p>
    <w:p w:rsidR="00146A6C" w:rsidRPr="00270DB5" w:rsidRDefault="00146A6C">
      <w:pPr>
        <w:rPr>
          <w:color w:val="000000"/>
          <w:sz w:val="24"/>
        </w:rPr>
      </w:pPr>
    </w:p>
    <w:p w:rsidR="00146A6C" w:rsidRPr="00270DB5" w:rsidRDefault="00146A6C">
      <w:pPr>
        <w:rPr>
          <w:color w:val="000000"/>
          <w:sz w:val="24"/>
        </w:rPr>
      </w:pPr>
      <w:r w:rsidRPr="00270DB5">
        <w:rPr>
          <w:color w:val="000000"/>
          <w:sz w:val="24"/>
        </w:rPr>
        <w:tab/>
        <w:t>Section 262.208(d)(2) provides that, if a laboratory accumulates more than 1 quart of reactive acutely hazardous unwanted material before the regularly scheduled removal, then the eligible academic entity must ensure that all containers of reactive acutely hazardous unwanted material: must have the date that 1 quart is exceeded on the label that is associated with the container (262.208(d)(2)(i)); and are removed from the laboratory within 10 calendar days of the date that 1 quart was exceeded, or at the next regularly scheduled removal, whichever comes first (262.208(d)(2)(ii)).</w:t>
      </w:r>
    </w:p>
    <w:p w:rsidR="00146A6C" w:rsidRPr="00270DB5" w:rsidRDefault="00146A6C">
      <w:pPr>
        <w:rPr>
          <w:color w:val="000000"/>
          <w:sz w:val="24"/>
        </w:rPr>
      </w:pPr>
    </w:p>
    <w:p w:rsidR="00146A6C" w:rsidRPr="00270DB5" w:rsidRDefault="00146A6C">
      <w:pPr>
        <w:ind w:left="720" w:hanging="720"/>
        <w:rPr>
          <w:b/>
          <w:bCs/>
          <w:color w:val="000000"/>
          <w:sz w:val="24"/>
        </w:rPr>
      </w:pPr>
      <w:r w:rsidRPr="00270DB5">
        <w:rPr>
          <w:b/>
          <w:bCs/>
          <w:color w:val="000000"/>
          <w:sz w:val="24"/>
        </w:rPr>
        <w:t>(6)</w:t>
      </w:r>
      <w:r w:rsidRPr="00270DB5">
        <w:rPr>
          <w:b/>
          <w:bCs/>
          <w:color w:val="000000"/>
          <w:sz w:val="24"/>
        </w:rPr>
        <w:tab/>
        <w:t>Where and When to Make the Hazardous Waste Determination and Where to Send Containers of Unwanted Material</w:t>
      </w:r>
    </w:p>
    <w:p w:rsidR="00146A6C" w:rsidRPr="00270DB5" w:rsidRDefault="00146A6C">
      <w:pPr>
        <w:rPr>
          <w:color w:val="000000"/>
          <w:sz w:val="24"/>
        </w:rPr>
      </w:pPr>
    </w:p>
    <w:p w:rsidR="00146A6C" w:rsidRPr="00270DB5" w:rsidRDefault="00146A6C">
      <w:pPr>
        <w:ind w:firstLine="720"/>
        <w:rPr>
          <w:color w:val="000000"/>
          <w:sz w:val="24"/>
        </w:rPr>
      </w:pPr>
      <w:r w:rsidRPr="00270DB5">
        <w:rPr>
          <w:color w:val="000000"/>
          <w:sz w:val="24"/>
        </w:rPr>
        <w:t xml:space="preserve">40 </w:t>
      </w:r>
      <w:r w:rsidRPr="00270DB5">
        <w:rPr>
          <w:i/>
          <w:color w:val="000000"/>
          <w:sz w:val="24"/>
        </w:rPr>
        <w:t>CFR</w:t>
      </w:r>
      <w:r w:rsidRPr="00270DB5">
        <w:rPr>
          <w:color w:val="000000"/>
          <w:sz w:val="24"/>
        </w:rPr>
        <w:t xml:space="preserve"> 262.209(a) establishes standards for when and where large quantity generators and small quantity generators may make the hazardous waste determination.  An eligible academic entity must ensure that a trained professional makes a hazardous waste determination, pursuant to section 262.11, for unwanted material in any of the following areas:</w:t>
      </w:r>
    </w:p>
    <w:p w:rsidR="00146A6C" w:rsidRPr="00270DB5" w:rsidRDefault="00146A6C">
      <w:pPr>
        <w:rPr>
          <w:color w:val="000000"/>
          <w:sz w:val="24"/>
        </w:rPr>
      </w:pPr>
    </w:p>
    <w:p w:rsidR="00146A6C" w:rsidRPr="00270DB5" w:rsidRDefault="00146A6C">
      <w:pPr>
        <w:numPr>
          <w:ilvl w:val="0"/>
          <w:numId w:val="3"/>
        </w:numPr>
        <w:tabs>
          <w:tab w:val="clear" w:pos="2160"/>
        </w:tabs>
        <w:ind w:left="1440"/>
        <w:rPr>
          <w:color w:val="000000"/>
          <w:sz w:val="24"/>
        </w:rPr>
      </w:pPr>
      <w:r w:rsidRPr="00270DB5">
        <w:rPr>
          <w:color w:val="000000"/>
          <w:sz w:val="24"/>
        </w:rPr>
        <w:t xml:space="preserve">In the laboratory before the unwanted material is removed from the laboratory, in accordance with section 262.210. </w:t>
      </w:r>
    </w:p>
    <w:p w:rsidR="00146A6C" w:rsidRPr="00270DB5" w:rsidRDefault="00146A6C">
      <w:pPr>
        <w:ind w:left="1440" w:hanging="720"/>
        <w:rPr>
          <w:color w:val="000000"/>
          <w:sz w:val="24"/>
        </w:rPr>
      </w:pPr>
    </w:p>
    <w:p w:rsidR="00146A6C" w:rsidRPr="00270DB5" w:rsidRDefault="00146A6C">
      <w:pPr>
        <w:numPr>
          <w:ilvl w:val="0"/>
          <w:numId w:val="3"/>
        </w:numPr>
        <w:tabs>
          <w:tab w:val="clear" w:pos="2160"/>
        </w:tabs>
        <w:ind w:left="1440"/>
        <w:rPr>
          <w:color w:val="000000"/>
          <w:sz w:val="24"/>
        </w:rPr>
      </w:pPr>
      <w:r w:rsidRPr="00270DB5">
        <w:rPr>
          <w:color w:val="000000"/>
          <w:sz w:val="24"/>
        </w:rPr>
        <w:t xml:space="preserve">Within 4 calendar days of arriving at an on-site central accumulation area, in accordance with section 262.211. </w:t>
      </w:r>
    </w:p>
    <w:p w:rsidR="00146A6C" w:rsidRPr="00270DB5" w:rsidRDefault="00146A6C">
      <w:pPr>
        <w:ind w:left="1440" w:hanging="720"/>
        <w:rPr>
          <w:color w:val="000000"/>
          <w:sz w:val="24"/>
        </w:rPr>
      </w:pPr>
    </w:p>
    <w:p w:rsidR="00146A6C" w:rsidRPr="00270DB5" w:rsidRDefault="00146A6C">
      <w:pPr>
        <w:numPr>
          <w:ilvl w:val="0"/>
          <w:numId w:val="3"/>
        </w:numPr>
        <w:tabs>
          <w:tab w:val="clear" w:pos="2160"/>
        </w:tabs>
        <w:ind w:left="1440"/>
        <w:rPr>
          <w:color w:val="000000"/>
          <w:sz w:val="24"/>
        </w:rPr>
      </w:pPr>
      <w:r w:rsidRPr="00270DB5">
        <w:rPr>
          <w:color w:val="000000"/>
          <w:sz w:val="24"/>
        </w:rPr>
        <w:t>Within 4 calendar days of arriving at an on-site treatment, storage or disposal facility, in accordance with section 262.212.</w:t>
      </w:r>
    </w:p>
    <w:p w:rsidR="00146A6C" w:rsidRPr="00270DB5" w:rsidRDefault="00146A6C">
      <w:pPr>
        <w:rPr>
          <w:color w:val="000000"/>
          <w:sz w:val="24"/>
        </w:rPr>
      </w:pPr>
      <w:r w:rsidRPr="00270DB5">
        <w:rPr>
          <w:color w:val="000000"/>
          <w:sz w:val="24"/>
        </w:rPr>
        <w:t xml:space="preserve"> </w:t>
      </w:r>
    </w:p>
    <w:p w:rsidR="00146A6C" w:rsidRPr="00270DB5" w:rsidRDefault="00146A6C">
      <w:pPr>
        <w:ind w:firstLine="720"/>
        <w:rPr>
          <w:color w:val="000000"/>
          <w:sz w:val="24"/>
        </w:rPr>
      </w:pPr>
      <w:r w:rsidRPr="00270DB5">
        <w:rPr>
          <w:color w:val="000000"/>
          <w:sz w:val="24"/>
        </w:rPr>
        <w:t xml:space="preserve">Section 262.209(b) establishes standards for when and where conditionally exempt small quantity generators may make hazardous waste determinations.  An eligible </w:t>
      </w:r>
      <w:r w:rsidRPr="00270DB5">
        <w:rPr>
          <w:color w:val="000000"/>
          <w:sz w:val="24"/>
        </w:rPr>
        <w:lastRenderedPageBreak/>
        <w:t xml:space="preserve">academic entity must ensure that a trained professional makes a hazardous waste determination, pursuant to section 262.11, for unwanted material in the laboratory before the unwanted material is removed from the laboratory, in accordance with 262.210. </w:t>
      </w:r>
    </w:p>
    <w:p w:rsidR="00146A6C" w:rsidRPr="00270DB5" w:rsidRDefault="00146A6C">
      <w:pPr>
        <w:rPr>
          <w:color w:val="000000"/>
          <w:sz w:val="24"/>
        </w:rPr>
      </w:pPr>
    </w:p>
    <w:p w:rsidR="00146A6C" w:rsidRPr="00270DB5" w:rsidRDefault="00146A6C">
      <w:pPr>
        <w:keepNext/>
        <w:rPr>
          <w:b/>
          <w:bCs/>
          <w:color w:val="000000"/>
          <w:sz w:val="24"/>
        </w:rPr>
      </w:pPr>
      <w:r w:rsidRPr="00270DB5">
        <w:rPr>
          <w:b/>
          <w:bCs/>
          <w:color w:val="000000"/>
          <w:sz w:val="24"/>
        </w:rPr>
        <w:t>(7)</w:t>
      </w:r>
      <w:r w:rsidRPr="00270DB5">
        <w:rPr>
          <w:b/>
          <w:bCs/>
          <w:color w:val="000000"/>
          <w:sz w:val="24"/>
        </w:rPr>
        <w:tab/>
        <w:t>Making the Hazardous Waste Determination in the Laboratory</w:t>
      </w:r>
    </w:p>
    <w:p w:rsidR="00146A6C" w:rsidRPr="00270DB5" w:rsidRDefault="00146A6C">
      <w:pPr>
        <w:keepNext/>
        <w:rPr>
          <w:color w:val="000000"/>
          <w:sz w:val="24"/>
        </w:rPr>
      </w:pPr>
    </w:p>
    <w:p w:rsidR="00146A6C" w:rsidRPr="00270DB5" w:rsidRDefault="00146A6C">
      <w:pPr>
        <w:keepNext/>
        <w:ind w:firstLine="720"/>
        <w:rPr>
          <w:color w:val="000000"/>
          <w:sz w:val="24"/>
        </w:rPr>
      </w:pPr>
      <w:r w:rsidRPr="00270DB5">
        <w:rPr>
          <w:color w:val="000000"/>
          <w:sz w:val="24"/>
        </w:rPr>
        <w:t xml:space="preserve">40 CFR 262.210 provides that, if an eligible academic entity makes the hazardous waste determination, pursuant to section 262.11, for unwanted material in the laboratory before the unwanted material is removed from the laboratory, it must comply with the specified requirements. </w:t>
      </w:r>
    </w:p>
    <w:p w:rsidR="00146A6C" w:rsidRPr="00270DB5" w:rsidRDefault="00146A6C">
      <w:pPr>
        <w:rPr>
          <w:color w:val="000000"/>
          <w:sz w:val="24"/>
        </w:rPr>
      </w:pPr>
    </w:p>
    <w:p w:rsidR="00146A6C" w:rsidRPr="00270DB5" w:rsidRDefault="00146A6C">
      <w:pPr>
        <w:rPr>
          <w:color w:val="000000"/>
          <w:sz w:val="24"/>
        </w:rPr>
      </w:pPr>
      <w:r w:rsidRPr="00270DB5">
        <w:rPr>
          <w:color w:val="000000"/>
          <w:sz w:val="24"/>
        </w:rPr>
        <w:tab/>
        <w:t>Section 262.210(a) requires that a trained professional must make the hazardous waste determination, pursuant to section 262.11, before the unwanted material is removed from the laboratory.</w:t>
      </w:r>
    </w:p>
    <w:p w:rsidR="00146A6C" w:rsidRPr="00270DB5" w:rsidRDefault="00146A6C">
      <w:pPr>
        <w:rPr>
          <w:color w:val="000000"/>
          <w:sz w:val="24"/>
        </w:rPr>
      </w:pPr>
    </w:p>
    <w:p w:rsidR="00146A6C" w:rsidRPr="00270DB5" w:rsidRDefault="00146A6C">
      <w:pPr>
        <w:rPr>
          <w:color w:val="000000"/>
          <w:sz w:val="24"/>
        </w:rPr>
      </w:pPr>
      <w:r w:rsidRPr="00270DB5">
        <w:rPr>
          <w:color w:val="000000"/>
          <w:sz w:val="24"/>
        </w:rPr>
        <w:tab/>
        <w:t xml:space="preserve">Section 262.210(b) provides that, if an unwanted material is a hazardous waste, the eligible academic entity must write: the words “hazardous waste” on the container label that is affixed or attached to the container, before the hazardous waste may be removed from the laboratory (262.210(b)(1)) and the appropriate hazardous waste codes(s) on the label that is associated with the container (or on the label that is affixed or attached to the container, if that is preferred) before the hazardous waste may be transported off-site (262.210(b)(2)).  ﻿[Note:  OMB guidance indicates that, if a person is requested or directed to post a label disclosing information completely defined by a Federal agency, the information collection is exempted from OMB review and approval.  For this reason, in this ICR, the addition of the words “hazardous waste” to the container label is not considered an information collection and thus is not examined in the remainder of this document.]  </w:t>
      </w: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color w:val="000000"/>
          <w:sz w:val="24"/>
          <w:szCs w:val="24"/>
        </w:rPr>
      </w:pPr>
    </w:p>
    <w:p w:rsidR="00146A6C" w:rsidRPr="00270DB5" w:rsidRDefault="00146A6C">
      <w:pPr>
        <w:ind w:left="720" w:hanging="720"/>
        <w:rPr>
          <w:b/>
          <w:bCs/>
          <w:color w:val="000000"/>
          <w:sz w:val="24"/>
        </w:rPr>
      </w:pPr>
      <w:r w:rsidRPr="00270DB5">
        <w:rPr>
          <w:b/>
          <w:bCs/>
          <w:color w:val="000000"/>
          <w:sz w:val="24"/>
        </w:rPr>
        <w:t>(8)</w:t>
      </w:r>
      <w:r w:rsidRPr="00270DB5">
        <w:rPr>
          <w:b/>
          <w:bCs/>
          <w:color w:val="000000"/>
          <w:sz w:val="24"/>
        </w:rPr>
        <w:tab/>
        <w:t>Making the Hazardous Waste Determination in an On-site Central Accumulation Area</w:t>
      </w:r>
    </w:p>
    <w:p w:rsidR="00146A6C" w:rsidRPr="00270DB5" w:rsidRDefault="00146A6C">
      <w:pPr>
        <w:rPr>
          <w:color w:val="000000"/>
          <w:sz w:val="24"/>
        </w:rPr>
      </w:pPr>
    </w:p>
    <w:p w:rsidR="00146A6C" w:rsidRPr="00270DB5" w:rsidRDefault="00146A6C">
      <w:pPr>
        <w:rPr>
          <w:color w:val="000000"/>
          <w:sz w:val="24"/>
        </w:rPr>
      </w:pPr>
      <w:r w:rsidRPr="00270DB5">
        <w:rPr>
          <w:color w:val="000000"/>
          <w:sz w:val="24"/>
        </w:rPr>
        <w:tab/>
        <w:t>40 CFR 262.211 provides that, if an eligible academic entity makes the hazardous waste determination, pursuant to section 262.11, for unwanted material at an on-site central accumulation area, it must comply with requirements in 262.211:</w:t>
      </w:r>
    </w:p>
    <w:p w:rsidR="00146A6C" w:rsidRPr="00270DB5" w:rsidRDefault="00146A6C">
      <w:pPr>
        <w:rPr>
          <w:color w:val="000000"/>
          <w:sz w:val="24"/>
        </w:rPr>
      </w:pPr>
    </w:p>
    <w:p w:rsidR="00146A6C" w:rsidRPr="00270DB5" w:rsidRDefault="00146A6C">
      <w:pPr>
        <w:rPr>
          <w:color w:val="000000"/>
          <w:sz w:val="24"/>
        </w:rPr>
      </w:pPr>
      <w:r w:rsidRPr="00270DB5">
        <w:rPr>
          <w:color w:val="000000"/>
          <w:sz w:val="24"/>
        </w:rPr>
        <w:tab/>
        <w:t>Section 262.211(d) requires that a trained professional must determine, pursuant to §262.11, if the unwanted material is a hazardous waste within 4 calendar days of the unwanted materials’ arrival at the on-site central accumulation area.</w:t>
      </w:r>
    </w:p>
    <w:p w:rsidR="00146A6C" w:rsidRPr="00270DB5" w:rsidRDefault="00146A6C">
      <w:pPr>
        <w:rPr>
          <w:color w:val="000000"/>
          <w:sz w:val="24"/>
        </w:rPr>
      </w:pPr>
    </w:p>
    <w:p w:rsidR="00146A6C" w:rsidRPr="00270DB5" w:rsidRDefault="00146A6C">
      <w:pPr>
        <w:rPr>
          <w:color w:val="000000"/>
          <w:sz w:val="24"/>
        </w:rPr>
      </w:pPr>
      <w:r w:rsidRPr="00270DB5">
        <w:rPr>
          <w:color w:val="000000"/>
          <w:sz w:val="24"/>
        </w:rPr>
        <w:tab/>
        <w:t xml:space="preserve">Section 262.211(e) provides that, if the unwanted material is a hazardous waste, the eligible academic entity must write the words ”hazardous waste” on the container label that is affixed or attached to the container, within 4 calendar days of arriving at the on-site central accumulation area and before the hazardous waste may be removed from the on-site central accumulation area (262.211(e)(1)) and write the appropriate hazardous waste code(s) on the container label that is associated with the container (or on the label that is affixed or attached to the container, if that is preferred) before the hazardous waste </w:t>
      </w:r>
      <w:r w:rsidRPr="00270DB5">
        <w:rPr>
          <w:color w:val="000000"/>
          <w:sz w:val="24"/>
        </w:rPr>
        <w:lastRenderedPageBreak/>
        <w:t xml:space="preserve">may be treated or disposed on-site or transported off-site (262.211(e)(2)).  ﻿[Note:  OMB guidance indicates that, if a person is requested or directed to post a label disclosing information completely defined by a Federal agency, the information collection is exempted from OMB review and approval.  For this reason, in this ICR, the addition of the words “hazardous waste” to the container label is not considered an information collection and thus is not examined in the remainder of this document.]  </w:t>
      </w:r>
    </w:p>
    <w:p w:rsidR="00146A6C" w:rsidRPr="00270DB5" w:rsidRDefault="00146A6C">
      <w:pPr>
        <w:rPr>
          <w:color w:val="000000"/>
          <w:sz w:val="24"/>
        </w:rPr>
      </w:pPr>
    </w:p>
    <w:p w:rsidR="00146A6C" w:rsidRPr="00270DB5" w:rsidRDefault="00146A6C">
      <w:pPr>
        <w:ind w:left="720" w:hanging="720"/>
        <w:rPr>
          <w:b/>
          <w:bCs/>
          <w:color w:val="000000"/>
          <w:sz w:val="24"/>
        </w:rPr>
      </w:pPr>
      <w:r w:rsidRPr="00270DB5">
        <w:rPr>
          <w:b/>
          <w:bCs/>
          <w:color w:val="000000"/>
          <w:sz w:val="24"/>
        </w:rPr>
        <w:t>(9)</w:t>
      </w:r>
      <w:r w:rsidRPr="00270DB5">
        <w:rPr>
          <w:b/>
          <w:bCs/>
          <w:color w:val="000000"/>
          <w:sz w:val="24"/>
        </w:rPr>
        <w:tab/>
        <w:t>Making the Hazardous Waste Determination at an On-site Interim Status or Permitted Treatment, Storage, or Disposal Facility</w:t>
      </w:r>
    </w:p>
    <w:p w:rsidR="00146A6C" w:rsidRPr="00270DB5" w:rsidRDefault="00146A6C">
      <w:pPr>
        <w:rPr>
          <w:color w:val="000000"/>
          <w:sz w:val="24"/>
        </w:rPr>
      </w:pPr>
    </w:p>
    <w:p w:rsidR="00146A6C" w:rsidRPr="00270DB5" w:rsidRDefault="00146A6C">
      <w:pPr>
        <w:ind w:firstLine="720"/>
        <w:rPr>
          <w:color w:val="000000"/>
          <w:sz w:val="24"/>
        </w:rPr>
      </w:pPr>
      <w:r w:rsidRPr="00270DB5">
        <w:rPr>
          <w:color w:val="000000"/>
          <w:sz w:val="24"/>
        </w:rPr>
        <w:t>40 CFR 262.212 provides that, if an eligible academic entity makes the hazardous waste determination, pursuant to section 262.11, for unwanted material at an on-site interim status or permitted treatment, storage or disposal facility, it must comply with the requirements in section 262.212.</w:t>
      </w:r>
    </w:p>
    <w:p w:rsidR="00146A6C" w:rsidRPr="00270DB5" w:rsidRDefault="00146A6C">
      <w:pPr>
        <w:rPr>
          <w:color w:val="000000"/>
          <w:sz w:val="24"/>
        </w:rPr>
      </w:pPr>
    </w:p>
    <w:p w:rsidR="00146A6C" w:rsidRPr="00270DB5" w:rsidRDefault="00146A6C">
      <w:pPr>
        <w:rPr>
          <w:color w:val="000000"/>
          <w:sz w:val="24"/>
        </w:rPr>
      </w:pPr>
      <w:r w:rsidRPr="00270DB5">
        <w:rPr>
          <w:color w:val="000000"/>
          <w:sz w:val="24"/>
        </w:rPr>
        <w:tab/>
        <w:t>Section 262.212(d) requires that a trained professional must determine, pursuant to section 262.11, if the unwanted material is a hazardous waste within 4 calendar days of the unwanted materials’ arrival at an on-site interim status/permitted treatment, storage or disposal facility.</w:t>
      </w:r>
    </w:p>
    <w:p w:rsidR="00146A6C" w:rsidRPr="00270DB5" w:rsidRDefault="00146A6C">
      <w:pPr>
        <w:rPr>
          <w:color w:val="000000"/>
          <w:sz w:val="24"/>
        </w:rPr>
      </w:pPr>
    </w:p>
    <w:p w:rsidR="00146A6C" w:rsidRPr="00270DB5" w:rsidRDefault="00146A6C">
      <w:pPr>
        <w:rPr>
          <w:color w:val="000000"/>
          <w:sz w:val="24"/>
        </w:rPr>
      </w:pPr>
      <w:r w:rsidRPr="00270DB5">
        <w:rPr>
          <w:color w:val="000000"/>
          <w:sz w:val="24"/>
        </w:rPr>
        <w:tab/>
        <w:t xml:space="preserve">Section 262.212(e) provides that, if the unwanted material is a hazardous waste, the eligible academic entity must write the words ”hazardous waste” on the container label that is affixed or attached to the container within 4 calendar days of arriving at the on-site interim status or permitted treatment, storage or disposal facility and before the hazardous waste may be removed from the on-site interim status or permitted treatment, storage or disposal facility (262.212(e)(1)) and write the appropriate hazardous waste code(s) on the container label that is associated with the container (or on the label that is affixed or attached to the container, if that is preferred) before the hazardous waste may be treated or disposed on-site or transported off-site (262.212(e)(2)).  ﻿[Note:  OMB guidance indicates that, if a person is requested or directed to post a label disclosing information completely defined by a Federal agency, the information collection is exempted from OMB review and approval.  For this reason, in this ICR, the addition of the words “hazardous waste” to the container label is not considered an information collection and thus is not examined in the remainder of this document.]  </w:t>
      </w:r>
    </w:p>
    <w:p w:rsidR="00146A6C" w:rsidRPr="00270DB5" w:rsidRDefault="00146A6C">
      <w:pPr>
        <w:rPr>
          <w:color w:val="000000"/>
          <w:sz w:val="24"/>
        </w:rPr>
      </w:pPr>
    </w:p>
    <w:p w:rsidR="00146A6C" w:rsidRPr="00270DB5" w:rsidRDefault="00146A6C">
      <w:pPr>
        <w:rPr>
          <w:color w:val="000000"/>
          <w:sz w:val="24"/>
        </w:rPr>
      </w:pPr>
      <w:r w:rsidRPr="00270DB5">
        <w:rPr>
          <w:b/>
          <w:bCs/>
          <w:color w:val="000000"/>
          <w:sz w:val="24"/>
        </w:rPr>
        <w:t>(10)</w:t>
      </w:r>
      <w:r w:rsidRPr="00270DB5">
        <w:rPr>
          <w:b/>
          <w:bCs/>
          <w:color w:val="000000"/>
          <w:sz w:val="24"/>
        </w:rPr>
        <w:tab/>
        <w:t>Laboratory Clean-outs</w:t>
      </w:r>
    </w:p>
    <w:p w:rsidR="00146A6C" w:rsidRPr="00270DB5" w:rsidRDefault="00146A6C">
      <w:pPr>
        <w:rPr>
          <w:color w:val="000000"/>
          <w:sz w:val="24"/>
        </w:rPr>
      </w:pPr>
    </w:p>
    <w:p w:rsidR="00146A6C" w:rsidRPr="00270DB5" w:rsidRDefault="00146A6C">
      <w:pPr>
        <w:rPr>
          <w:color w:val="000000"/>
          <w:sz w:val="24"/>
        </w:rPr>
      </w:pPr>
      <w:r w:rsidRPr="00270DB5">
        <w:rPr>
          <w:color w:val="000000"/>
          <w:sz w:val="24"/>
        </w:rPr>
        <w:tab/>
        <w:t xml:space="preserve">40 </w:t>
      </w:r>
      <w:r w:rsidRPr="00270DB5">
        <w:rPr>
          <w:i/>
          <w:color w:val="000000"/>
          <w:sz w:val="24"/>
        </w:rPr>
        <w:t>CFR</w:t>
      </w:r>
      <w:r w:rsidRPr="00270DB5">
        <w:rPr>
          <w:color w:val="000000"/>
          <w:sz w:val="24"/>
        </w:rPr>
        <w:t xml:space="preserve"> 262.213(a) provides that one time per 12 month period per laboratory, an eligible academic entity may opt to conduct a laboratory clean-out that is subject to all the applicable requirements of Subpart K, except as specified otherwise in section 262.213(a). </w:t>
      </w:r>
    </w:p>
    <w:p w:rsidR="00146A6C" w:rsidRPr="00270DB5" w:rsidRDefault="00146A6C">
      <w:pPr>
        <w:rPr>
          <w:color w:val="000000"/>
          <w:sz w:val="24"/>
        </w:rPr>
      </w:pPr>
    </w:p>
    <w:p w:rsidR="00146A6C" w:rsidRPr="00270DB5" w:rsidRDefault="00146A6C">
      <w:pPr>
        <w:rPr>
          <w:color w:val="000000"/>
          <w:sz w:val="24"/>
        </w:rPr>
      </w:pPr>
      <w:r w:rsidRPr="00270DB5">
        <w:rPr>
          <w:color w:val="000000"/>
          <w:sz w:val="24"/>
        </w:rPr>
        <w:tab/>
        <w:t>Section 262.213(a)(4) requires that an eligible academic entity must document the activities of the laboratory clean-out, as specified.  The eligible academic entity must maintain the records for a period of three years from the date the clean-out ends.</w:t>
      </w:r>
    </w:p>
    <w:p w:rsidR="00146A6C" w:rsidRPr="00270DB5" w:rsidRDefault="00146A6C">
      <w:pPr>
        <w:rPr>
          <w:color w:val="000000"/>
          <w:sz w:val="24"/>
        </w:rPr>
      </w:pPr>
    </w:p>
    <w:p w:rsidR="00146A6C" w:rsidRPr="00270DB5" w:rsidRDefault="00146A6C">
      <w:pPr>
        <w:keepNext/>
        <w:rPr>
          <w:color w:val="000000"/>
          <w:sz w:val="24"/>
        </w:rPr>
      </w:pPr>
      <w:r w:rsidRPr="00270DB5">
        <w:rPr>
          <w:b/>
          <w:bCs/>
          <w:color w:val="000000"/>
          <w:sz w:val="24"/>
        </w:rPr>
        <w:lastRenderedPageBreak/>
        <w:t>(11)</w:t>
      </w:r>
      <w:r w:rsidRPr="00270DB5">
        <w:rPr>
          <w:b/>
          <w:bCs/>
          <w:color w:val="000000"/>
          <w:sz w:val="24"/>
        </w:rPr>
        <w:tab/>
        <w:t>Laboratory Management Plan</w:t>
      </w:r>
    </w:p>
    <w:p w:rsidR="00146A6C" w:rsidRPr="00270DB5" w:rsidRDefault="00146A6C">
      <w:pPr>
        <w:keepNext/>
        <w:rPr>
          <w:color w:val="000000"/>
          <w:sz w:val="24"/>
        </w:rPr>
      </w:pPr>
    </w:p>
    <w:p w:rsidR="00146A6C" w:rsidRPr="00270DB5" w:rsidRDefault="00146A6C">
      <w:pPr>
        <w:keepNext/>
        <w:rPr>
          <w:color w:val="000000"/>
          <w:sz w:val="24"/>
        </w:rPr>
      </w:pPr>
      <w:r w:rsidRPr="00270DB5">
        <w:rPr>
          <w:color w:val="000000"/>
          <w:sz w:val="24"/>
        </w:rPr>
        <w:tab/>
        <w:t xml:space="preserve">40 </w:t>
      </w:r>
      <w:r w:rsidRPr="00270DB5">
        <w:rPr>
          <w:i/>
          <w:color w:val="000000"/>
          <w:sz w:val="24"/>
        </w:rPr>
        <w:t>CFR</w:t>
      </w:r>
      <w:r w:rsidRPr="00270DB5">
        <w:rPr>
          <w:color w:val="000000"/>
          <w:sz w:val="24"/>
        </w:rPr>
        <w:t xml:space="preserve"> 262.214 provides that an eligible academic entity must develop and retain a written Laboratory Management Plan, or revise an existing written plan.  The Laboratory Management Plan is a site-specific document that describes how the eligible academic entity will comply with Subpart K.  An eligible academic entity may write one Laboratory Management Plan for all the laboratories owned by the eligible academic entity that have opted into Subpart K, even if the laboratories are located at sites with different EPA Identification Numbers.</w:t>
      </w:r>
    </w:p>
    <w:p w:rsidR="00146A6C" w:rsidRPr="00270DB5" w:rsidRDefault="00146A6C">
      <w:pPr>
        <w:rPr>
          <w:color w:val="000000"/>
          <w:sz w:val="24"/>
        </w:rPr>
      </w:pPr>
    </w:p>
    <w:p w:rsidR="00146A6C" w:rsidRPr="00270DB5" w:rsidRDefault="00146A6C">
      <w:pPr>
        <w:ind w:firstLine="720"/>
        <w:rPr>
          <w:color w:val="000000"/>
          <w:sz w:val="24"/>
        </w:rPr>
      </w:pPr>
      <w:r w:rsidRPr="00270DB5">
        <w:rPr>
          <w:color w:val="000000"/>
          <w:sz w:val="24"/>
        </w:rPr>
        <w:t>The Laboratory Management Plan must contain two parts with a total of nine elements identified in section 262.214(a) and (b).  In Part I of its Laboratory Management Plan, an eligible academic entity must describe its procedures for each of the elements listed in section 262.214(a).  An eligible academic entity must implement and comply with the specific provisions that it develops to address the elements in Part I of the Laboratory Management Plan.</w:t>
      </w:r>
    </w:p>
    <w:p w:rsidR="00146A6C" w:rsidRPr="00270DB5" w:rsidRDefault="00146A6C">
      <w:pPr>
        <w:ind w:firstLine="720"/>
        <w:rPr>
          <w:color w:val="000000"/>
          <w:sz w:val="24"/>
        </w:rPr>
      </w:pPr>
    </w:p>
    <w:p w:rsidR="00146A6C" w:rsidRPr="00270DB5" w:rsidRDefault="00146A6C">
      <w:pPr>
        <w:ind w:firstLine="720"/>
        <w:rPr>
          <w:color w:val="000000"/>
          <w:sz w:val="24"/>
        </w:rPr>
      </w:pPr>
      <w:r w:rsidRPr="00270DB5">
        <w:rPr>
          <w:color w:val="000000"/>
          <w:sz w:val="24"/>
        </w:rPr>
        <w:t>In Part II of its Laboratory Management Plan, an eligible academic entity must describe its best management practices for each of the elements listed in section 262.214(b).  The specific actions taken by an eligible academic entity to implement each element in Part II of its Laboratory Management Plan may vary from the procedures described in the eligible academic entity’s Laboratory Management Plan, without constituting a violation of Subpart K.  An eligible academic entity may include additional elements and best management practices in Part II of its Laboratory Management Plan if it chooses.</w:t>
      </w:r>
    </w:p>
    <w:p w:rsidR="00146A6C" w:rsidRPr="00270DB5" w:rsidRDefault="00146A6C">
      <w:pPr>
        <w:rPr>
          <w:color w:val="000000"/>
          <w:sz w:val="24"/>
        </w:rPr>
      </w:pPr>
    </w:p>
    <w:p w:rsidR="00146A6C" w:rsidRPr="00270DB5" w:rsidRDefault="00146A6C">
      <w:pPr>
        <w:rPr>
          <w:color w:val="000000"/>
          <w:sz w:val="24"/>
        </w:rPr>
      </w:pPr>
      <w:r w:rsidRPr="00270DB5">
        <w:rPr>
          <w:color w:val="000000"/>
          <w:sz w:val="24"/>
        </w:rPr>
        <w:tab/>
        <w:t>Section 262.214(c) provides that an eligible academic entity must make its Laboratory Management Plan available to laboratory workers, students, or any others at the eligible academic entity who request it.</w:t>
      </w:r>
    </w:p>
    <w:p w:rsidR="00146A6C" w:rsidRPr="00270DB5" w:rsidRDefault="00146A6C">
      <w:pPr>
        <w:rPr>
          <w:color w:val="000000"/>
          <w:sz w:val="24"/>
        </w:rPr>
      </w:pPr>
    </w:p>
    <w:p w:rsidR="00146A6C" w:rsidRPr="00270DB5" w:rsidRDefault="00146A6C">
      <w:pPr>
        <w:rPr>
          <w:color w:val="000000"/>
          <w:sz w:val="24"/>
        </w:rPr>
      </w:pPr>
      <w:r w:rsidRPr="00270DB5">
        <w:rPr>
          <w:color w:val="000000"/>
          <w:sz w:val="24"/>
        </w:rPr>
        <w:tab/>
        <w:t>Section 262.214(d) requires that an eligible academic entity must review and revise its Laboratory Management Plan, as needed.</w:t>
      </w:r>
    </w:p>
    <w:p w:rsidR="00146A6C" w:rsidRPr="00270DB5" w:rsidRDefault="00146A6C">
      <w:pPr>
        <w:rPr>
          <w:color w:val="000000"/>
          <w:sz w:val="24"/>
        </w:rPr>
      </w:pPr>
    </w:p>
    <w:p w:rsidR="00146A6C" w:rsidRPr="00270DB5" w:rsidRDefault="00146A6C">
      <w:pPr>
        <w:ind w:left="720"/>
        <w:rPr>
          <w:color w:val="000000"/>
          <w:sz w:val="24"/>
        </w:rPr>
      </w:pPr>
    </w:p>
    <w:p w:rsidR="00146A6C" w:rsidRPr="00270DB5" w:rsidRDefault="00146A6C">
      <w:pPr>
        <w:pStyle w:val="Heading1"/>
        <w:rPr>
          <w:rFonts w:ascii="Times New Roman" w:hAnsi="Times New Roman" w:cs="Times New Roman"/>
          <w:color w:val="000000"/>
          <w:sz w:val="24"/>
        </w:rPr>
      </w:pPr>
      <w:r w:rsidRPr="00270DB5">
        <w:rPr>
          <w:rFonts w:ascii="Times New Roman" w:hAnsi="Times New Roman" w:cs="Times New Roman"/>
          <w:color w:val="000000"/>
          <w:sz w:val="24"/>
        </w:rPr>
        <w:br w:type="page"/>
      </w:r>
      <w:bookmarkStart w:id="54" w:name="_Toc195523810"/>
      <w:bookmarkStart w:id="55" w:name="_Toc195524021"/>
      <w:bookmarkStart w:id="56" w:name="_Toc198053444"/>
      <w:bookmarkStart w:id="57" w:name="_Toc199176347"/>
      <w:bookmarkStart w:id="58" w:name="_Toc201152806"/>
      <w:bookmarkStart w:id="59" w:name="_Toc201153919"/>
      <w:bookmarkStart w:id="60" w:name="_Toc203626024"/>
      <w:bookmarkStart w:id="61" w:name="_Toc203626131"/>
      <w:bookmarkStart w:id="62" w:name="_Toc203711625"/>
      <w:bookmarkStart w:id="63" w:name="_Toc203715772"/>
      <w:bookmarkStart w:id="64" w:name="_Toc327953053"/>
      <w:r w:rsidRPr="00270DB5">
        <w:rPr>
          <w:rFonts w:ascii="Times New Roman" w:hAnsi="Times New Roman" w:cs="Times New Roman"/>
          <w:color w:val="000000"/>
          <w:sz w:val="24"/>
        </w:rPr>
        <w:lastRenderedPageBreak/>
        <w:t>2.</w:t>
      </w:r>
      <w:r w:rsidRPr="00270DB5">
        <w:rPr>
          <w:rFonts w:ascii="Times New Roman" w:hAnsi="Times New Roman" w:cs="Times New Roman"/>
          <w:color w:val="000000"/>
          <w:sz w:val="24"/>
        </w:rPr>
        <w:tab/>
        <w:t>NEED FOR AND USE OF THE COLLECTION</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146A6C" w:rsidRPr="00270DB5" w:rsidRDefault="00146A6C">
      <w:pPr>
        <w:pStyle w:val="Heading2"/>
        <w:ind w:firstLine="720"/>
        <w:rPr>
          <w:i w:val="0"/>
          <w:iCs w:val="0"/>
          <w:color w:val="000000"/>
        </w:rPr>
      </w:pPr>
      <w:bookmarkStart w:id="65" w:name="_Toc146594775"/>
      <w:bookmarkStart w:id="66" w:name="_Toc194233035"/>
      <w:bookmarkStart w:id="67" w:name="_Toc194321358"/>
      <w:bookmarkStart w:id="68" w:name="_Toc194321571"/>
      <w:bookmarkStart w:id="69" w:name="_Toc194395925"/>
      <w:bookmarkStart w:id="70" w:name="_Toc195523811"/>
      <w:bookmarkStart w:id="71" w:name="_Toc195524022"/>
      <w:bookmarkStart w:id="72" w:name="_Toc198053445"/>
      <w:bookmarkStart w:id="73" w:name="_Toc199176348"/>
      <w:bookmarkStart w:id="74" w:name="_Toc201152807"/>
      <w:bookmarkStart w:id="75" w:name="_Toc201153920"/>
      <w:bookmarkStart w:id="76" w:name="_Toc203626025"/>
      <w:bookmarkStart w:id="77" w:name="_Toc203626132"/>
      <w:bookmarkStart w:id="78" w:name="_Toc203711626"/>
      <w:bookmarkStart w:id="79" w:name="_Toc203715773"/>
      <w:bookmarkStart w:id="80" w:name="_Toc327953054"/>
      <w:r w:rsidRPr="00270DB5">
        <w:rPr>
          <w:rFonts w:ascii="Times New Roman" w:hAnsi="Times New Roman" w:cs="Times New Roman"/>
          <w:i w:val="0"/>
          <w:iCs w:val="0"/>
          <w:color w:val="000000"/>
          <w:sz w:val="24"/>
        </w:rPr>
        <w:t>2(a)</w:t>
      </w:r>
      <w:r w:rsidRPr="00270DB5">
        <w:rPr>
          <w:rFonts w:ascii="Times New Roman" w:hAnsi="Times New Roman" w:cs="Times New Roman"/>
          <w:i w:val="0"/>
          <w:iCs w:val="0"/>
          <w:color w:val="000000"/>
          <w:sz w:val="24"/>
        </w:rPr>
        <w:tab/>
        <w:t>Need and Authority for the Collection</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146A6C" w:rsidRPr="00270DB5" w:rsidRDefault="00146A6C">
      <w:pPr>
        <w:rPr>
          <w:color w:val="000000"/>
          <w:sz w:val="24"/>
        </w:rPr>
      </w:pPr>
      <w:bookmarkStart w:id="81" w:name="_Toc146594776"/>
      <w:bookmarkStart w:id="82" w:name="_Toc194233036"/>
      <w:bookmarkStart w:id="83" w:name="_Toc194321359"/>
      <w:bookmarkStart w:id="84" w:name="_Toc194321572"/>
      <w:bookmarkStart w:id="85" w:name="_Toc194395926"/>
      <w:bookmarkStart w:id="86" w:name="_Toc195523812"/>
      <w:bookmarkStart w:id="87" w:name="_Toc195524023"/>
    </w:p>
    <w:p w:rsidR="00146A6C" w:rsidRPr="00270DB5" w:rsidRDefault="00146A6C">
      <w:pPr>
        <w:ind w:firstLine="720"/>
        <w:rPr>
          <w:color w:val="000000"/>
          <w:sz w:val="24"/>
        </w:rPr>
      </w:pPr>
      <w:r w:rsidRPr="00270DB5">
        <w:rPr>
          <w:color w:val="000000"/>
          <w:sz w:val="24"/>
        </w:rPr>
        <w:t xml:space="preserve">The </w:t>
      </w:r>
      <w:r w:rsidR="00E3715B" w:rsidRPr="00270DB5">
        <w:rPr>
          <w:color w:val="000000"/>
          <w:sz w:val="24"/>
        </w:rPr>
        <w:t xml:space="preserve">Subpart K </w:t>
      </w:r>
      <w:r w:rsidRPr="00270DB5">
        <w:rPr>
          <w:color w:val="000000"/>
          <w:sz w:val="24"/>
        </w:rPr>
        <w:t xml:space="preserve">regulations </w:t>
      </w:r>
      <w:r w:rsidR="00E3715B" w:rsidRPr="00270DB5">
        <w:rPr>
          <w:color w:val="000000"/>
          <w:sz w:val="24"/>
        </w:rPr>
        <w:t xml:space="preserve">within 40 </w:t>
      </w:r>
      <w:r w:rsidR="00E3715B" w:rsidRPr="00270DB5">
        <w:rPr>
          <w:i/>
          <w:iCs/>
          <w:color w:val="000000"/>
          <w:sz w:val="24"/>
        </w:rPr>
        <w:t>CFR</w:t>
      </w:r>
      <w:r w:rsidR="00E3715B" w:rsidRPr="00270DB5">
        <w:rPr>
          <w:color w:val="000000"/>
          <w:sz w:val="24"/>
        </w:rPr>
        <w:t xml:space="preserve"> Part 262 </w:t>
      </w:r>
      <w:r w:rsidRPr="00270DB5">
        <w:rPr>
          <w:color w:val="000000"/>
          <w:sz w:val="24"/>
        </w:rPr>
        <w:t>are promulgated under the authority of Sections 2002, 3001, 3002, and 3004 of the Solid Waste Disposal Act (SWDA) of 1970, as amended by the Resource Conservation and Recovery Act (RCRA) of 1976, as amended by the Hazardous and Solid Waste Amendments of 1984 (HSWA).</w:t>
      </w:r>
    </w:p>
    <w:p w:rsidR="00146A6C" w:rsidRPr="00270DB5" w:rsidRDefault="00146A6C">
      <w:pPr>
        <w:rPr>
          <w:color w:val="000000"/>
          <w:sz w:val="24"/>
        </w:rPr>
      </w:pPr>
    </w:p>
    <w:p w:rsidR="00146A6C" w:rsidRPr="00270DB5" w:rsidRDefault="00146A6C">
      <w:pPr>
        <w:ind w:firstLine="720"/>
        <w:rPr>
          <w:color w:val="000000"/>
          <w:sz w:val="24"/>
        </w:rPr>
      </w:pPr>
      <w:r w:rsidRPr="00270DB5">
        <w:rPr>
          <w:color w:val="000000"/>
          <w:sz w:val="24"/>
        </w:rPr>
        <w:t xml:space="preserve">EPA believes there is a clear need for </w:t>
      </w:r>
      <w:r w:rsidR="0076605C" w:rsidRPr="00270DB5">
        <w:rPr>
          <w:color w:val="000000"/>
          <w:sz w:val="24"/>
        </w:rPr>
        <w:t>the Subpart K regulations</w:t>
      </w:r>
      <w:r w:rsidRPr="00270DB5">
        <w:rPr>
          <w:color w:val="000000"/>
          <w:sz w:val="24"/>
        </w:rPr>
        <w:t>.  The Agency has identified four primary differences between laboratory operations at colleges, universities, and other eligible academic entities and typical industrial production facilities.  These differences provide the rationale for the rule</w:t>
      </w:r>
      <w:r w:rsidR="007E6A36" w:rsidRPr="00270DB5">
        <w:rPr>
          <w:color w:val="000000"/>
          <w:sz w:val="24"/>
        </w:rPr>
        <w:t xml:space="preserve"> </w:t>
      </w:r>
      <w:r w:rsidR="005D0848" w:rsidRPr="00270DB5">
        <w:rPr>
          <w:color w:val="000000"/>
          <w:sz w:val="24"/>
        </w:rPr>
        <w:t>at</w:t>
      </w:r>
      <w:r w:rsidR="007E6A36" w:rsidRPr="00270DB5">
        <w:rPr>
          <w:color w:val="000000"/>
          <w:sz w:val="24"/>
        </w:rPr>
        <w:t>73 FR 72912</w:t>
      </w:r>
      <w:r w:rsidRPr="00270DB5">
        <w:rPr>
          <w:color w:val="000000"/>
          <w:sz w:val="24"/>
        </w:rPr>
        <w:t>.  First, laboratories owned by colleges, universities and, teaching hospitals and non-profit research institutes that are either owned by or formally affiliated with a college or university have a large number of points of generation (i.e., points where waste is originally generated) such as multiple laboratory benchtops within a single laboratory and laboratories located at several areas on a single campus.  Second, these laboratories tend to generate relatively small volumes of each hazardous waste at each of these points of generation.  Third, the hazardous wastes generated in these laboratories tend to vary over time, as areas of research change.  In contrast, industrial generators tend to generate a relatively smaller number of predictable wastestreams in large quantities at relatively few generation points.  Fourth, and of particular note, is that most individuals involved in hazardous waste generation activities at eligible academic entity laboratories are students.  Students are inherently transient, which makes it more difficult to train them.  This fourth difference sets eligible academic entity laboratories apart not only from typical production facilities, but also from non-academic, commercial laboratories.  At industrial production facilities and non-academic, commercial laboratories, employees who generate hazardous waste are professionally trained in managing hazardous wastes and are held accountable due to their employee status.</w:t>
      </w:r>
    </w:p>
    <w:p w:rsidR="00146A6C" w:rsidRPr="00270DB5" w:rsidRDefault="00146A6C">
      <w:pPr>
        <w:rPr>
          <w:color w:val="000000"/>
          <w:sz w:val="24"/>
        </w:rPr>
      </w:pPr>
      <w:r w:rsidRPr="00270DB5">
        <w:rPr>
          <w:color w:val="000000"/>
          <w:sz w:val="24"/>
        </w:rPr>
        <w:tab/>
      </w:r>
    </w:p>
    <w:p w:rsidR="00146A6C" w:rsidRPr="00270DB5" w:rsidRDefault="00146A6C">
      <w:pPr>
        <w:ind w:left="720" w:hanging="720"/>
        <w:rPr>
          <w:b/>
          <w:bCs/>
          <w:color w:val="000000"/>
          <w:sz w:val="24"/>
        </w:rPr>
      </w:pPr>
      <w:r w:rsidRPr="00270DB5">
        <w:rPr>
          <w:b/>
          <w:bCs/>
          <w:color w:val="000000"/>
          <w:sz w:val="24"/>
        </w:rPr>
        <w:t>(1)</w:t>
      </w:r>
      <w:r w:rsidRPr="00270DB5">
        <w:rPr>
          <w:b/>
          <w:bCs/>
          <w:color w:val="000000"/>
          <w:sz w:val="24"/>
        </w:rPr>
        <w:tab/>
        <w:t>Notification of Intent to Comply with Subpart K and Recordkeeping of Agreements</w:t>
      </w:r>
    </w:p>
    <w:p w:rsidR="00146A6C" w:rsidRPr="00270DB5" w:rsidRDefault="00146A6C">
      <w:pPr>
        <w:rPr>
          <w:color w:val="000000"/>
          <w:sz w:val="24"/>
        </w:rPr>
      </w:pPr>
    </w:p>
    <w:p w:rsidR="00146A6C" w:rsidRPr="00270DB5" w:rsidRDefault="00146A6C">
      <w:pPr>
        <w:rPr>
          <w:color w:val="000000"/>
          <w:sz w:val="24"/>
        </w:rPr>
      </w:pPr>
      <w:r w:rsidRPr="00270DB5">
        <w:rPr>
          <w:color w:val="000000"/>
          <w:sz w:val="24"/>
        </w:rPr>
        <w:tab/>
        <w:t>Because the rule provides eligible academic entities the option to manage their hazardous wastes from laboratories under the existing hazardous waste generator regulations or their laboratories’ unwanted materials under Subpart K, it is important that EPA, or the authorized State, know which set of regulations apply to an eligible academic entity’s laboratories.  Therefore, the rule requires that an eligible academic entity choosing to manage its unwanted materials in compliance with the alternative set of generator requirements of Subpart K to submit a Site Identification Form on a one-time basis to the appropriate EPA Regional Administrator or, when appropriate, State Director in authorized States that have adopted the final rule.   Should an eligible academic entity decide not to opt into Subpart K, it will continue to operate under existing regulations and it does not need to notify.</w:t>
      </w:r>
    </w:p>
    <w:p w:rsidR="00146A6C" w:rsidRPr="00270DB5" w:rsidRDefault="00146A6C">
      <w:pPr>
        <w:rPr>
          <w:color w:val="000000"/>
          <w:sz w:val="24"/>
        </w:rPr>
      </w:pPr>
    </w:p>
    <w:p w:rsidR="00146A6C" w:rsidRPr="00270DB5" w:rsidRDefault="00146A6C">
      <w:pPr>
        <w:rPr>
          <w:color w:val="000000"/>
          <w:sz w:val="24"/>
        </w:rPr>
      </w:pPr>
      <w:r w:rsidRPr="00270DB5">
        <w:rPr>
          <w:color w:val="000000"/>
          <w:sz w:val="24"/>
        </w:rPr>
        <w:lastRenderedPageBreak/>
        <w:tab/>
        <w:t>EPA believes the Site Identification Form will simplify this notification process in comparison with other types of notification methods.  Regulated entities and authorized States are already familiar with the form because it must be submitted under other RCRA provisions (e.g., RCRA 3010 Notifications, Hazardous Waste Report).  Further, some eligible academic entities may have retained a copy that they had completed and submitted under another provision.  A pre-populated form will greatly ease the process of completing the form to opt into Subpart K.</w:t>
      </w:r>
    </w:p>
    <w:p w:rsidR="00146A6C" w:rsidRPr="00270DB5" w:rsidRDefault="00146A6C">
      <w:pPr>
        <w:rPr>
          <w:color w:val="000000"/>
          <w:sz w:val="24"/>
        </w:rPr>
      </w:pP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r w:rsidRPr="00270DB5">
        <w:rPr>
          <w:rFonts w:ascii="Times New Roman" w:hAnsi="Times New Roman" w:cs="Times New Roman"/>
          <w:b/>
          <w:bCs/>
          <w:color w:val="000000"/>
          <w:sz w:val="24"/>
          <w:szCs w:val="24"/>
        </w:rPr>
        <w:t>(2)</w:t>
      </w:r>
      <w:r w:rsidRPr="00270DB5">
        <w:rPr>
          <w:rFonts w:ascii="Times New Roman" w:hAnsi="Times New Roman" w:cs="Times New Roman"/>
          <w:b/>
          <w:bCs/>
          <w:color w:val="000000"/>
          <w:sz w:val="24"/>
          <w:szCs w:val="24"/>
        </w:rPr>
        <w:tab/>
        <w:t>Notification of Withdrawal from Subpart K</w:t>
      </w: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rsidR="00146A6C" w:rsidRPr="00270DB5" w:rsidRDefault="00146A6C">
      <w:pPr>
        <w:rPr>
          <w:color w:val="000000"/>
        </w:rPr>
      </w:pPr>
      <w:r w:rsidRPr="00270DB5">
        <w:rPr>
          <w:color w:val="000000"/>
          <w:sz w:val="24"/>
        </w:rPr>
        <w:tab/>
        <w:t xml:space="preserve">It is possible that after an eligible academic entity has chosen to manage its unwanted materials under the Subpart K regulations and has gained some experience with the program, it may decide that this approach is not meeting its needs, and that it would prefer to return to regulation under the standard 40 </w:t>
      </w:r>
      <w:r w:rsidRPr="00270DB5">
        <w:rPr>
          <w:i/>
          <w:color w:val="000000"/>
          <w:sz w:val="24"/>
        </w:rPr>
        <w:t>CFR</w:t>
      </w:r>
      <w:r w:rsidRPr="00270DB5">
        <w:rPr>
          <w:color w:val="000000"/>
          <w:sz w:val="24"/>
        </w:rPr>
        <w:t xml:space="preserve"> Part 262 applicable generator regulations.  Under the final rule, an eligible academic entity that chooses to end its participation in the Subpart K program will be required to submit another Site Identification Form to the EPA Regional Administrator or State Director in authorized States checking the box for withdrawing from 40 </w:t>
      </w:r>
      <w:r w:rsidRPr="00270DB5">
        <w:rPr>
          <w:i/>
          <w:color w:val="000000"/>
          <w:sz w:val="24"/>
        </w:rPr>
        <w:t>CFR</w:t>
      </w:r>
      <w:r w:rsidRPr="00270DB5">
        <w:rPr>
          <w:color w:val="000000"/>
          <w:sz w:val="24"/>
        </w:rPr>
        <w:t xml:space="preserve"> Part 262, Subpart K.  Then, the eligible academic entity’s laboratories will no longer be subject to Subpart K and would be subject to the existing applicable generator regulations.</w:t>
      </w: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color w:val="000000"/>
          <w:sz w:val="24"/>
          <w:szCs w:val="24"/>
        </w:rPr>
      </w:pPr>
      <w:r w:rsidRPr="00270DB5">
        <w:rPr>
          <w:rFonts w:ascii="Times New Roman" w:hAnsi="Times New Roman" w:cs="Times New Roman"/>
          <w:b/>
          <w:bCs/>
          <w:color w:val="000000"/>
          <w:sz w:val="24"/>
          <w:szCs w:val="24"/>
        </w:rPr>
        <w:t>(3)</w:t>
      </w:r>
      <w:r w:rsidRPr="00270DB5">
        <w:rPr>
          <w:rFonts w:ascii="Times New Roman" w:hAnsi="Times New Roman" w:cs="Times New Roman"/>
          <w:b/>
          <w:bCs/>
          <w:color w:val="000000"/>
          <w:sz w:val="24"/>
          <w:szCs w:val="24"/>
        </w:rPr>
        <w:tab/>
        <w:t>Labeling of Containers of Unwanted Material in the Laboratory</w:t>
      </w: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r w:rsidRPr="00270DB5">
        <w:rPr>
          <w:rFonts w:ascii="Times New Roman" w:hAnsi="Times New Roman" w:cs="Times New Roman"/>
          <w:color w:val="000000"/>
          <w:sz w:val="24"/>
          <w:szCs w:val="24"/>
        </w:rPr>
        <w:t>Eligible academic entities must label containers of unwanted materials managed in a laboratory, as specified.  These labeling requirements are necessary to demonstrate compliance with the rule and alert anyone handling the containers of unwanted materials of what is enclosed in the container so that proper handling may occur.  The labeling requirements also would assist trained professionals in properly identifying whether an unwanted material is a hazardous waste and to assign the appropriate hazardous waste code(s).</w:t>
      </w:r>
    </w:p>
    <w:p w:rsidR="00146A6C" w:rsidRPr="00270DB5" w:rsidRDefault="00146A6C">
      <w:pPr>
        <w:rPr>
          <w:b/>
          <w:bCs/>
          <w:color w:val="000000"/>
          <w:sz w:val="24"/>
        </w:rPr>
      </w:pPr>
    </w:p>
    <w:p w:rsidR="00146A6C" w:rsidRPr="00270DB5" w:rsidRDefault="00146A6C">
      <w:pPr>
        <w:rPr>
          <w:color w:val="000000"/>
          <w:sz w:val="24"/>
        </w:rPr>
      </w:pPr>
      <w:r w:rsidRPr="00270DB5">
        <w:rPr>
          <w:b/>
          <w:bCs/>
          <w:color w:val="000000"/>
          <w:sz w:val="24"/>
        </w:rPr>
        <w:t>(4)</w:t>
      </w:r>
      <w:r w:rsidRPr="00270DB5">
        <w:rPr>
          <w:b/>
          <w:bCs/>
          <w:color w:val="000000"/>
          <w:sz w:val="24"/>
        </w:rPr>
        <w:tab/>
        <w:t>Training</w:t>
      </w:r>
    </w:p>
    <w:p w:rsidR="00146A6C" w:rsidRPr="00270DB5" w:rsidRDefault="00146A6C">
      <w:pPr>
        <w:rPr>
          <w:color w:val="000000"/>
          <w:sz w:val="24"/>
        </w:rPr>
      </w:pPr>
    </w:p>
    <w:p w:rsidR="00146A6C" w:rsidRPr="00270DB5" w:rsidRDefault="00146A6C">
      <w:pPr>
        <w:ind w:firstLine="720"/>
        <w:rPr>
          <w:color w:val="000000"/>
          <w:sz w:val="24"/>
        </w:rPr>
      </w:pPr>
      <w:r w:rsidRPr="00270DB5">
        <w:rPr>
          <w:color w:val="000000"/>
          <w:sz w:val="24"/>
        </w:rPr>
        <w:t>Eligible academic entities must train all individuals working in a laboratory commensurate with their duties.  This training is necessary to ensure that individuals perform their duties in a way that ensures compliance with the Subpart K requirements.  It also will enable individuals to manage unwanted materials safely and in an environmentally sound manner, while in the laboratory.</w:t>
      </w:r>
    </w:p>
    <w:p w:rsidR="00146A6C" w:rsidRPr="00270DB5" w:rsidRDefault="00146A6C">
      <w:pPr>
        <w:rPr>
          <w:color w:val="000000"/>
          <w:sz w:val="24"/>
        </w:rPr>
      </w:pPr>
    </w:p>
    <w:p w:rsidR="00146A6C" w:rsidRPr="00270DB5" w:rsidRDefault="00146A6C">
      <w:pPr>
        <w:rPr>
          <w:color w:val="000000"/>
          <w:sz w:val="24"/>
        </w:rPr>
      </w:pPr>
      <w:r w:rsidRPr="00270DB5">
        <w:rPr>
          <w:color w:val="000000"/>
          <w:sz w:val="24"/>
        </w:rPr>
        <w:tab/>
        <w:t>In addition, eligible academic entities that are large quantity generators (LQGs) must maintain training records for laboratory workers.  These records are necessary to ensure compliance with the Subpart K training requirements.</w:t>
      </w:r>
    </w:p>
    <w:p w:rsidR="00146A6C" w:rsidRPr="00270DB5" w:rsidRDefault="00146A6C">
      <w:pPr>
        <w:rPr>
          <w:color w:val="000000"/>
          <w:sz w:val="24"/>
        </w:rPr>
      </w:pPr>
    </w:p>
    <w:p w:rsidR="00146A6C" w:rsidRPr="00270DB5" w:rsidRDefault="00146A6C">
      <w:pPr>
        <w:keepNext/>
        <w:rPr>
          <w:b/>
          <w:bCs/>
          <w:color w:val="000000"/>
          <w:sz w:val="24"/>
        </w:rPr>
      </w:pPr>
      <w:r w:rsidRPr="00270DB5">
        <w:rPr>
          <w:b/>
          <w:bCs/>
          <w:color w:val="000000"/>
          <w:sz w:val="24"/>
        </w:rPr>
        <w:t xml:space="preserve"> (5)</w:t>
      </w:r>
      <w:r w:rsidRPr="00270DB5">
        <w:rPr>
          <w:b/>
          <w:bCs/>
          <w:color w:val="000000"/>
          <w:sz w:val="24"/>
        </w:rPr>
        <w:tab/>
        <w:t>Removing Containers of Unwanted Material from the Laboratory</w:t>
      </w:r>
    </w:p>
    <w:p w:rsidR="00146A6C" w:rsidRPr="00270DB5" w:rsidRDefault="00146A6C">
      <w:pPr>
        <w:keepNext/>
        <w:rPr>
          <w:color w:val="000000"/>
          <w:sz w:val="24"/>
        </w:rPr>
      </w:pPr>
    </w:p>
    <w:p w:rsidR="00146A6C" w:rsidRPr="00270DB5" w:rsidRDefault="00146A6C">
      <w:pPr>
        <w:keepNext/>
        <w:ind w:firstLine="720"/>
        <w:rPr>
          <w:color w:val="000000"/>
          <w:sz w:val="24"/>
        </w:rPr>
      </w:pPr>
      <w:r w:rsidRPr="00270DB5">
        <w:rPr>
          <w:color w:val="000000"/>
          <w:sz w:val="24"/>
        </w:rPr>
        <w:t xml:space="preserve">Eligible academic entities must label containers with the date the 55 gallons of </w:t>
      </w:r>
      <w:r w:rsidRPr="00270DB5">
        <w:rPr>
          <w:color w:val="000000"/>
          <w:sz w:val="24"/>
        </w:rPr>
        <w:lastRenderedPageBreak/>
        <w:t>unwanted material, or the 1 quart of acutely reactive unwanted material, is exceeded.  This information is needed for enforcement and monitoring purposes.</w:t>
      </w:r>
    </w:p>
    <w:p w:rsidR="00146A6C" w:rsidRPr="00270DB5" w:rsidRDefault="00146A6C">
      <w:pPr>
        <w:rPr>
          <w:color w:val="000000"/>
          <w:sz w:val="24"/>
        </w:rPr>
      </w:pPr>
    </w:p>
    <w:p w:rsidR="00146A6C" w:rsidRPr="00270DB5" w:rsidRDefault="00146A6C">
      <w:pPr>
        <w:keepNext/>
        <w:ind w:left="720" w:hanging="720"/>
        <w:rPr>
          <w:b/>
          <w:bCs/>
          <w:color w:val="000000"/>
          <w:sz w:val="24"/>
        </w:rPr>
      </w:pPr>
      <w:r w:rsidRPr="00270DB5">
        <w:rPr>
          <w:b/>
          <w:bCs/>
          <w:color w:val="000000"/>
          <w:sz w:val="24"/>
        </w:rPr>
        <w:t>(6)</w:t>
      </w:r>
      <w:r w:rsidRPr="00270DB5">
        <w:rPr>
          <w:b/>
          <w:bCs/>
          <w:color w:val="000000"/>
          <w:sz w:val="24"/>
        </w:rPr>
        <w:tab/>
        <w:t>Where and When to Make the Hazardous Waste Determination and Where to Send Containers of Unwanted Material</w:t>
      </w:r>
    </w:p>
    <w:p w:rsidR="00146A6C" w:rsidRPr="00270DB5" w:rsidRDefault="00146A6C">
      <w:pPr>
        <w:keepNext/>
        <w:ind w:firstLine="720"/>
        <w:rPr>
          <w:color w:val="000000"/>
          <w:sz w:val="24"/>
        </w:rPr>
      </w:pPr>
    </w:p>
    <w:p w:rsidR="00146A6C" w:rsidRPr="00270DB5" w:rsidRDefault="00146A6C">
      <w:pPr>
        <w:keepNext/>
        <w:ind w:firstLine="720"/>
        <w:rPr>
          <w:color w:val="000000"/>
          <w:sz w:val="24"/>
        </w:rPr>
      </w:pPr>
      <w:r w:rsidRPr="00270DB5">
        <w:rPr>
          <w:color w:val="000000"/>
          <w:sz w:val="24"/>
        </w:rPr>
        <w:t xml:space="preserve">The rule specifies three on-site locations at which a hazardous waste determination can be made: </w:t>
      </w:r>
    </w:p>
    <w:p w:rsidR="00146A6C" w:rsidRPr="00270DB5" w:rsidRDefault="00146A6C">
      <w:pPr>
        <w:rPr>
          <w:color w:val="000000"/>
          <w:sz w:val="24"/>
        </w:rPr>
      </w:pPr>
    </w:p>
    <w:p w:rsidR="00146A6C" w:rsidRPr="00270DB5" w:rsidRDefault="00146A6C">
      <w:pPr>
        <w:numPr>
          <w:ilvl w:val="0"/>
          <w:numId w:val="3"/>
        </w:numPr>
        <w:tabs>
          <w:tab w:val="clear" w:pos="2160"/>
        </w:tabs>
        <w:ind w:left="1440"/>
        <w:rPr>
          <w:color w:val="000000"/>
          <w:sz w:val="24"/>
        </w:rPr>
      </w:pPr>
      <w:r w:rsidRPr="00270DB5">
        <w:rPr>
          <w:color w:val="000000"/>
          <w:sz w:val="24"/>
        </w:rPr>
        <w:t xml:space="preserve">In the laboratory before the unwanted material is removed from the laboratory, in accordance with section 262.210. </w:t>
      </w:r>
    </w:p>
    <w:p w:rsidR="00146A6C" w:rsidRPr="00270DB5" w:rsidRDefault="00146A6C">
      <w:pPr>
        <w:ind w:left="1440" w:hanging="720"/>
        <w:rPr>
          <w:color w:val="000000"/>
          <w:sz w:val="24"/>
        </w:rPr>
      </w:pPr>
    </w:p>
    <w:p w:rsidR="00146A6C" w:rsidRPr="00270DB5" w:rsidRDefault="00146A6C">
      <w:pPr>
        <w:numPr>
          <w:ilvl w:val="0"/>
          <w:numId w:val="3"/>
        </w:numPr>
        <w:tabs>
          <w:tab w:val="clear" w:pos="2160"/>
        </w:tabs>
        <w:ind w:left="1440"/>
        <w:rPr>
          <w:color w:val="000000"/>
          <w:sz w:val="24"/>
        </w:rPr>
      </w:pPr>
      <w:r w:rsidRPr="00270DB5">
        <w:rPr>
          <w:color w:val="000000"/>
          <w:sz w:val="24"/>
        </w:rPr>
        <w:t xml:space="preserve">Within 4 calendar days of arriving at an on-site central accumulation area, in accordance with section 262.211. </w:t>
      </w:r>
    </w:p>
    <w:p w:rsidR="00146A6C" w:rsidRPr="00270DB5" w:rsidRDefault="00146A6C">
      <w:pPr>
        <w:ind w:left="1440" w:hanging="720"/>
        <w:rPr>
          <w:color w:val="000000"/>
          <w:sz w:val="24"/>
        </w:rPr>
      </w:pPr>
    </w:p>
    <w:p w:rsidR="00146A6C" w:rsidRPr="00270DB5" w:rsidRDefault="00146A6C">
      <w:pPr>
        <w:numPr>
          <w:ilvl w:val="0"/>
          <w:numId w:val="3"/>
        </w:numPr>
        <w:tabs>
          <w:tab w:val="clear" w:pos="2160"/>
        </w:tabs>
        <w:ind w:left="1440"/>
        <w:rPr>
          <w:color w:val="000000"/>
          <w:sz w:val="24"/>
        </w:rPr>
      </w:pPr>
      <w:r w:rsidRPr="00270DB5">
        <w:rPr>
          <w:color w:val="000000"/>
          <w:sz w:val="24"/>
        </w:rPr>
        <w:t>Within 4 calendar days of arriving at an on-site interim status or permitted treatment, storage or disposal facility, in accordance with section 262.212.</w:t>
      </w:r>
    </w:p>
    <w:p w:rsidR="00146A6C" w:rsidRPr="00270DB5" w:rsidRDefault="00146A6C">
      <w:pPr>
        <w:rPr>
          <w:color w:val="000000"/>
          <w:sz w:val="24"/>
        </w:rPr>
      </w:pPr>
    </w:p>
    <w:p w:rsidR="00146A6C" w:rsidRPr="00270DB5" w:rsidRDefault="00146A6C">
      <w:pPr>
        <w:rPr>
          <w:color w:val="000000"/>
          <w:sz w:val="24"/>
        </w:rPr>
      </w:pPr>
      <w:r w:rsidRPr="00270DB5">
        <w:rPr>
          <w:color w:val="000000"/>
          <w:sz w:val="24"/>
        </w:rPr>
        <w:t xml:space="preserve"> </w:t>
      </w:r>
      <w:r w:rsidRPr="00270DB5">
        <w:rPr>
          <w:color w:val="000000"/>
          <w:sz w:val="24"/>
        </w:rPr>
        <w:tab/>
        <w:t xml:space="preserve">This provision is needed to clarify where and when the hazardous waste determination must be made.  Without time limits, EPA would not be able to ensure that eligible academic entities were making their determinations in a timely manner and managing their hazardous waste in accordance with the hazardous waste regulations. </w:t>
      </w:r>
    </w:p>
    <w:p w:rsidR="00146A6C" w:rsidRPr="00270DB5" w:rsidRDefault="00146A6C">
      <w:pPr>
        <w:rPr>
          <w:color w:val="000000"/>
          <w:sz w:val="24"/>
        </w:rPr>
      </w:pPr>
    </w:p>
    <w:p w:rsidR="00146A6C" w:rsidRPr="00270DB5" w:rsidRDefault="00146A6C">
      <w:pPr>
        <w:rPr>
          <w:b/>
          <w:bCs/>
          <w:color w:val="000000"/>
          <w:sz w:val="24"/>
        </w:rPr>
      </w:pPr>
      <w:r w:rsidRPr="00270DB5">
        <w:rPr>
          <w:b/>
          <w:bCs/>
          <w:color w:val="000000"/>
          <w:sz w:val="24"/>
        </w:rPr>
        <w:t>(7)</w:t>
      </w:r>
      <w:r w:rsidRPr="00270DB5">
        <w:rPr>
          <w:b/>
          <w:bCs/>
          <w:color w:val="000000"/>
          <w:sz w:val="24"/>
        </w:rPr>
        <w:tab/>
        <w:t>Making the Hazardous Waste Determination in the Laboratory</w:t>
      </w:r>
    </w:p>
    <w:p w:rsidR="00146A6C" w:rsidRPr="00270DB5" w:rsidRDefault="00146A6C">
      <w:pPr>
        <w:rPr>
          <w:color w:val="000000"/>
          <w:sz w:val="24"/>
        </w:rPr>
      </w:pPr>
    </w:p>
    <w:p w:rsidR="00146A6C" w:rsidRPr="00270DB5" w:rsidRDefault="00146A6C">
      <w:pPr>
        <w:ind w:firstLine="720"/>
        <w:rPr>
          <w:color w:val="000000"/>
          <w:sz w:val="24"/>
        </w:rPr>
      </w:pPr>
      <w:r w:rsidRPr="00270DB5">
        <w:rPr>
          <w:color w:val="000000"/>
          <w:sz w:val="24"/>
        </w:rPr>
        <w:t xml:space="preserve">As provided at section 262.210, if an unwanted material meets the definition of hazardous waste per 40 </w:t>
      </w:r>
      <w:r w:rsidRPr="00270DB5">
        <w:rPr>
          <w:i/>
          <w:iCs/>
          <w:color w:val="000000"/>
          <w:sz w:val="24"/>
        </w:rPr>
        <w:t>CFR</w:t>
      </w:r>
      <w:r w:rsidRPr="00270DB5">
        <w:rPr>
          <w:color w:val="000000"/>
          <w:sz w:val="24"/>
        </w:rPr>
        <w:t xml:space="preserve"> 261.3, the appropriate hazardous waste code(s) must be placed on the container label that is associated with the container.  This information is needed to alert anyone handling the container that hazardous waste is enclosed in the container so that proper handling may occur.</w:t>
      </w:r>
    </w:p>
    <w:p w:rsidR="00146A6C" w:rsidRPr="00270DB5" w:rsidRDefault="00146A6C">
      <w:pPr>
        <w:rPr>
          <w:color w:val="000000"/>
          <w:sz w:val="24"/>
        </w:rPr>
      </w:pPr>
    </w:p>
    <w:p w:rsidR="00146A6C" w:rsidRPr="00270DB5" w:rsidRDefault="00146A6C">
      <w:pPr>
        <w:ind w:left="720" w:hanging="720"/>
        <w:rPr>
          <w:b/>
          <w:bCs/>
          <w:color w:val="000000"/>
          <w:sz w:val="24"/>
        </w:rPr>
      </w:pPr>
      <w:r w:rsidRPr="00270DB5">
        <w:rPr>
          <w:b/>
          <w:bCs/>
          <w:color w:val="000000"/>
          <w:sz w:val="24"/>
        </w:rPr>
        <w:t>(8)</w:t>
      </w:r>
      <w:r w:rsidRPr="00270DB5">
        <w:rPr>
          <w:b/>
          <w:bCs/>
          <w:color w:val="000000"/>
          <w:sz w:val="24"/>
        </w:rPr>
        <w:tab/>
        <w:t>Making the Hazardous Waste Determination in an On-site Central Accumulation Area</w:t>
      </w:r>
    </w:p>
    <w:p w:rsidR="00146A6C" w:rsidRPr="00270DB5" w:rsidRDefault="00146A6C">
      <w:pPr>
        <w:ind w:left="2160" w:hanging="720"/>
        <w:rPr>
          <w:color w:val="000000"/>
          <w:sz w:val="24"/>
        </w:rPr>
      </w:pPr>
    </w:p>
    <w:p w:rsidR="00146A6C" w:rsidRPr="00270DB5" w:rsidRDefault="00146A6C">
      <w:pPr>
        <w:ind w:firstLine="720"/>
        <w:rPr>
          <w:color w:val="000000"/>
          <w:sz w:val="24"/>
        </w:rPr>
      </w:pPr>
      <w:r w:rsidRPr="00270DB5">
        <w:rPr>
          <w:color w:val="000000"/>
          <w:sz w:val="24"/>
        </w:rPr>
        <w:t xml:space="preserve">As provided at section 262.211, if an unwanted material meets the definition of hazardous waste per 40 </w:t>
      </w:r>
      <w:r w:rsidRPr="00270DB5">
        <w:rPr>
          <w:i/>
          <w:iCs/>
          <w:color w:val="000000"/>
          <w:sz w:val="24"/>
        </w:rPr>
        <w:t>CFR</w:t>
      </w:r>
      <w:r w:rsidRPr="00270DB5">
        <w:rPr>
          <w:color w:val="000000"/>
          <w:sz w:val="24"/>
        </w:rPr>
        <w:t xml:space="preserve"> 261.3, the appropriate hazardous waste code(s) must be placed on the container label that is associated with the container.  This information is needed to alert anyone handling the container that hazardous waste is enclosed in the container so that proper handling may occur.</w:t>
      </w:r>
    </w:p>
    <w:p w:rsidR="00146A6C" w:rsidRPr="00270DB5" w:rsidRDefault="00146A6C">
      <w:pPr>
        <w:rPr>
          <w:color w:val="000000"/>
          <w:sz w:val="24"/>
        </w:rPr>
      </w:pPr>
    </w:p>
    <w:p w:rsidR="00146A6C" w:rsidRPr="00270DB5" w:rsidRDefault="00146A6C">
      <w:pPr>
        <w:keepNext/>
        <w:ind w:left="720" w:hanging="720"/>
        <w:rPr>
          <w:b/>
          <w:bCs/>
          <w:color w:val="000000"/>
          <w:sz w:val="24"/>
        </w:rPr>
      </w:pPr>
      <w:r w:rsidRPr="00270DB5">
        <w:rPr>
          <w:b/>
          <w:bCs/>
          <w:color w:val="000000"/>
          <w:sz w:val="24"/>
        </w:rPr>
        <w:t>(9)</w:t>
      </w:r>
      <w:r w:rsidRPr="00270DB5">
        <w:rPr>
          <w:b/>
          <w:bCs/>
          <w:color w:val="000000"/>
          <w:sz w:val="24"/>
        </w:rPr>
        <w:tab/>
        <w:t>Making the Hazardous Waste Determination at an On-site Interim Status or Permitted Treatment, Storage, or Disposal Facility</w:t>
      </w:r>
    </w:p>
    <w:p w:rsidR="00146A6C" w:rsidRPr="00270DB5" w:rsidRDefault="00146A6C">
      <w:pPr>
        <w:keepNext/>
        <w:ind w:firstLine="720"/>
        <w:rPr>
          <w:color w:val="000000"/>
          <w:sz w:val="24"/>
        </w:rPr>
      </w:pPr>
    </w:p>
    <w:p w:rsidR="00146A6C" w:rsidRPr="00270DB5" w:rsidRDefault="00146A6C">
      <w:pPr>
        <w:keepNext/>
        <w:ind w:firstLine="720"/>
        <w:rPr>
          <w:color w:val="000000"/>
          <w:sz w:val="24"/>
        </w:rPr>
      </w:pPr>
      <w:r w:rsidRPr="00270DB5">
        <w:rPr>
          <w:color w:val="000000"/>
          <w:sz w:val="24"/>
        </w:rPr>
        <w:t xml:space="preserve">As provided at section 262.212, if an unwanted material meets the definition of hazardous waste per 40 </w:t>
      </w:r>
      <w:r w:rsidRPr="00270DB5">
        <w:rPr>
          <w:i/>
          <w:iCs/>
          <w:color w:val="000000"/>
          <w:sz w:val="24"/>
        </w:rPr>
        <w:t>CFR</w:t>
      </w:r>
      <w:r w:rsidRPr="00270DB5">
        <w:rPr>
          <w:color w:val="000000"/>
          <w:sz w:val="24"/>
        </w:rPr>
        <w:t xml:space="preserve"> 261.3, the appropriate hazardous waste code(s) must be placed on the container label that is associated with the container.  This information</w:t>
      </w:r>
      <w:r>
        <w:rPr>
          <w:sz w:val="24"/>
        </w:rPr>
        <w:t xml:space="preserve"> is </w:t>
      </w:r>
      <w:r w:rsidRPr="00270DB5">
        <w:rPr>
          <w:color w:val="000000"/>
          <w:sz w:val="24"/>
        </w:rPr>
        <w:lastRenderedPageBreak/>
        <w:t>needed to alert anyone handling the container that hazardous waste is enclosed in the container so that proper handling may occur.</w:t>
      </w:r>
    </w:p>
    <w:p w:rsidR="00146A6C" w:rsidRPr="00270DB5" w:rsidRDefault="00146A6C">
      <w:pPr>
        <w:rPr>
          <w:color w:val="000000"/>
          <w:sz w:val="24"/>
        </w:rPr>
      </w:pPr>
    </w:p>
    <w:p w:rsidR="00146A6C" w:rsidRPr="00270DB5" w:rsidRDefault="00146A6C">
      <w:pPr>
        <w:keepNext/>
        <w:rPr>
          <w:color w:val="000000"/>
          <w:sz w:val="24"/>
        </w:rPr>
      </w:pPr>
      <w:r w:rsidRPr="00270DB5">
        <w:rPr>
          <w:b/>
          <w:bCs/>
          <w:color w:val="000000"/>
          <w:sz w:val="24"/>
        </w:rPr>
        <w:t>(10)</w:t>
      </w:r>
      <w:r w:rsidRPr="00270DB5">
        <w:rPr>
          <w:b/>
          <w:bCs/>
          <w:color w:val="000000"/>
          <w:sz w:val="24"/>
        </w:rPr>
        <w:tab/>
        <w:t>Laboratory Clean-outs</w:t>
      </w:r>
    </w:p>
    <w:p w:rsidR="00146A6C" w:rsidRPr="00270DB5" w:rsidRDefault="00146A6C">
      <w:pPr>
        <w:keepNext/>
        <w:rPr>
          <w:color w:val="000000"/>
          <w:sz w:val="24"/>
        </w:rPr>
      </w:pPr>
    </w:p>
    <w:p w:rsidR="00146A6C" w:rsidRPr="00270DB5" w:rsidRDefault="00146A6C">
      <w:pPr>
        <w:keepNext/>
        <w:ind w:firstLine="720"/>
        <w:rPr>
          <w:color w:val="000000"/>
          <w:sz w:val="24"/>
        </w:rPr>
      </w:pPr>
      <w:r w:rsidRPr="00270DB5">
        <w:rPr>
          <w:color w:val="000000"/>
          <w:sz w:val="24"/>
        </w:rPr>
        <w:t>Eligible academic entities must develop and maintain documentation on laboratory clean-outs.  This information is needed to ensure compliance with the laboratory clean-out requirements.  For example, the documentation must show the dates when the clean-out began and ended.  This information will hold the eligible academic entity accountable for adhering to the 30-day clean-out time limit, as well as other stipulations in the final rule.</w:t>
      </w:r>
    </w:p>
    <w:p w:rsidR="00146A6C" w:rsidRPr="00270DB5" w:rsidRDefault="00146A6C">
      <w:pPr>
        <w:rPr>
          <w:color w:val="000000"/>
          <w:sz w:val="24"/>
        </w:rPr>
      </w:pPr>
    </w:p>
    <w:p w:rsidR="00146A6C" w:rsidRPr="00270DB5" w:rsidRDefault="00146A6C">
      <w:pPr>
        <w:rPr>
          <w:color w:val="000000"/>
          <w:sz w:val="24"/>
        </w:rPr>
      </w:pPr>
      <w:r w:rsidRPr="00270DB5">
        <w:rPr>
          <w:b/>
          <w:bCs/>
          <w:color w:val="000000"/>
          <w:sz w:val="24"/>
        </w:rPr>
        <w:t>(11)</w:t>
      </w:r>
      <w:r w:rsidRPr="00270DB5">
        <w:rPr>
          <w:b/>
          <w:bCs/>
          <w:color w:val="000000"/>
          <w:sz w:val="24"/>
        </w:rPr>
        <w:tab/>
        <w:t>Laboratory Management Plan</w:t>
      </w:r>
    </w:p>
    <w:p w:rsidR="00146A6C" w:rsidRPr="00270DB5" w:rsidRDefault="00146A6C">
      <w:pPr>
        <w:rPr>
          <w:color w:val="000000"/>
          <w:sz w:val="24"/>
        </w:rPr>
      </w:pPr>
    </w:p>
    <w:p w:rsidR="00146A6C" w:rsidRPr="00270DB5" w:rsidRDefault="00146A6C">
      <w:pPr>
        <w:ind w:firstLine="720"/>
        <w:rPr>
          <w:color w:val="000000"/>
          <w:sz w:val="24"/>
        </w:rPr>
      </w:pPr>
      <w:r w:rsidRPr="00270DB5">
        <w:rPr>
          <w:color w:val="000000"/>
          <w:sz w:val="24"/>
        </w:rPr>
        <w:t xml:space="preserve">Performance-based standards set the framework for managing unwanted materials generated in laboratories owned by eligible academic entities.  The Laboratory Management Plan required under 40 </w:t>
      </w:r>
      <w:r w:rsidRPr="00270DB5">
        <w:rPr>
          <w:i/>
          <w:iCs/>
          <w:color w:val="000000"/>
          <w:sz w:val="24"/>
        </w:rPr>
        <w:t>CFR</w:t>
      </w:r>
      <w:r w:rsidRPr="00270DB5">
        <w:rPr>
          <w:color w:val="000000"/>
          <w:sz w:val="24"/>
        </w:rPr>
        <w:t xml:space="preserve"> 262.214 is the mechanism for implementing the alternative program.  This plan is needed to ensure that eligible academic entities seeking flexibility in managing the unwanted materials from their laboratories will do so in a thoughtful manner by documenting their practices.</w:t>
      </w:r>
    </w:p>
    <w:p w:rsidR="00146A6C" w:rsidRPr="00270DB5" w:rsidRDefault="00146A6C">
      <w:pPr>
        <w:pStyle w:val="Heading2"/>
        <w:ind w:firstLine="720"/>
        <w:rPr>
          <w:rFonts w:ascii="Times New Roman" w:hAnsi="Times New Roman" w:cs="Times New Roman"/>
          <w:i w:val="0"/>
          <w:iCs w:val="0"/>
          <w:color w:val="000000"/>
          <w:sz w:val="24"/>
        </w:rPr>
      </w:pPr>
      <w:bookmarkStart w:id="88" w:name="_Toc198053446"/>
      <w:bookmarkStart w:id="89" w:name="_Toc199176349"/>
      <w:bookmarkStart w:id="90" w:name="_Toc201152808"/>
      <w:bookmarkStart w:id="91" w:name="_Toc201153921"/>
      <w:bookmarkStart w:id="92" w:name="_Toc203626026"/>
      <w:bookmarkStart w:id="93" w:name="_Toc203626133"/>
      <w:bookmarkStart w:id="94" w:name="_Toc203711627"/>
      <w:bookmarkStart w:id="95" w:name="_Toc203715774"/>
      <w:bookmarkStart w:id="96" w:name="_Toc327953055"/>
      <w:r w:rsidRPr="00270DB5">
        <w:rPr>
          <w:rFonts w:ascii="Times New Roman" w:hAnsi="Times New Roman" w:cs="Times New Roman"/>
          <w:i w:val="0"/>
          <w:iCs w:val="0"/>
          <w:color w:val="000000"/>
          <w:sz w:val="24"/>
        </w:rPr>
        <w:t>2(b)</w:t>
      </w:r>
      <w:r w:rsidRPr="00270DB5">
        <w:rPr>
          <w:rFonts w:ascii="Times New Roman" w:hAnsi="Times New Roman" w:cs="Times New Roman"/>
          <w:i w:val="0"/>
          <w:iCs w:val="0"/>
          <w:color w:val="000000"/>
          <w:sz w:val="24"/>
        </w:rPr>
        <w:tab/>
        <w:t>Practical Utility and Users of the Data</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146A6C" w:rsidRPr="00270DB5" w:rsidRDefault="00146A6C">
      <w:pPr>
        <w:rPr>
          <w:color w:val="000000"/>
        </w:rPr>
      </w:pPr>
      <w:bookmarkStart w:id="97" w:name="_Toc146594777"/>
      <w:bookmarkStart w:id="98" w:name="_Toc194233037"/>
      <w:bookmarkStart w:id="99" w:name="_Toc194321360"/>
      <w:bookmarkStart w:id="100" w:name="_Toc194321573"/>
      <w:bookmarkStart w:id="101" w:name="_Toc194395927"/>
      <w:bookmarkStart w:id="102" w:name="_Toc195523813"/>
      <w:bookmarkStart w:id="103" w:name="_Toc195524024"/>
      <w:bookmarkStart w:id="104" w:name="_Toc198053447"/>
      <w:bookmarkStart w:id="105" w:name="_Toc199176350"/>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rPr>
          <w:rFonts w:ascii="Times New Roman" w:hAnsi="Times New Roman" w:cs="Times New Roman"/>
          <w:b/>
          <w:bCs/>
          <w:color w:val="000000"/>
          <w:sz w:val="24"/>
          <w:szCs w:val="24"/>
        </w:rPr>
      </w:pPr>
      <w:r w:rsidRPr="00270DB5">
        <w:rPr>
          <w:rFonts w:ascii="Times New Roman" w:hAnsi="Times New Roman" w:cs="Times New Roman"/>
          <w:b/>
          <w:bCs/>
          <w:color w:val="000000"/>
          <w:sz w:val="24"/>
          <w:szCs w:val="24"/>
        </w:rPr>
        <w:t>(1)</w:t>
      </w:r>
      <w:r w:rsidRPr="00270DB5">
        <w:rPr>
          <w:rFonts w:ascii="Times New Roman" w:hAnsi="Times New Roman" w:cs="Times New Roman"/>
          <w:b/>
          <w:bCs/>
          <w:color w:val="000000"/>
          <w:sz w:val="24"/>
          <w:szCs w:val="24"/>
        </w:rPr>
        <w:tab/>
        <w:t>Notification of Intent to Comply with Subpart K and Recordkeeping of Agreements</w:t>
      </w: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rsidR="00146A6C" w:rsidRPr="00270DB5" w:rsidRDefault="00146A6C">
      <w:pPr>
        <w:rPr>
          <w:color w:val="000000"/>
          <w:sz w:val="24"/>
        </w:rPr>
      </w:pPr>
      <w:r w:rsidRPr="00270DB5">
        <w:rPr>
          <w:color w:val="000000"/>
          <w:sz w:val="24"/>
        </w:rPr>
        <w:tab/>
        <w:t>Because the rule establishes an alternative set of generator requirements that is self</w:t>
      </w:r>
      <w:r w:rsidRPr="00270DB5">
        <w:rPr>
          <w:color w:val="000000"/>
          <w:sz w:val="24"/>
        </w:rPr>
        <w:noBreakHyphen/>
        <w:t>implementing, EPA has determined that it is necessary to require eligible academic entities to submit a one-time notification to the appropriate EPA Regional Administrator or State Director indicating that they are electing to be subject to the Subpart K requirements as specified.  EPA and States will use this information to identify the entities and sites subject to the Subpart K requirements and ensure that all of these sites are managing their unwanted materials in a manner that is protective of human health and the environment.</w:t>
      </w: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r w:rsidRPr="00270DB5">
        <w:rPr>
          <w:rFonts w:ascii="Times New Roman" w:hAnsi="Times New Roman" w:cs="Times New Roman"/>
          <w:b/>
          <w:bCs/>
          <w:color w:val="000000"/>
          <w:sz w:val="24"/>
          <w:szCs w:val="24"/>
        </w:rPr>
        <w:t>(2)</w:t>
      </w:r>
      <w:r w:rsidRPr="00270DB5">
        <w:rPr>
          <w:rFonts w:ascii="Times New Roman" w:hAnsi="Times New Roman" w:cs="Times New Roman"/>
          <w:b/>
          <w:bCs/>
          <w:color w:val="000000"/>
          <w:sz w:val="24"/>
          <w:szCs w:val="24"/>
        </w:rPr>
        <w:tab/>
        <w:t>Notification of Withdrawal from Subpart K</w:t>
      </w: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rsidR="00146A6C" w:rsidRPr="00270DB5" w:rsidRDefault="00146A6C">
      <w:pPr>
        <w:rPr>
          <w:color w:val="000000"/>
          <w:sz w:val="24"/>
        </w:rPr>
      </w:pPr>
      <w:r w:rsidRPr="00270DB5">
        <w:rPr>
          <w:color w:val="000000"/>
          <w:sz w:val="24"/>
        </w:rPr>
        <w:tab/>
        <w:t>Eligible academic entities that elected to comply with the Subpart K requirements may elect, at any time, to withdraw from the Subpart K program.  Because a site’s withdrawal would be self-implementing (i.e., done at its own discretion), EPA has determined that it is necessary to require entities to submit a one-time withdrawal notification to the appropriate EPA Regional Administrator indicating that they will again begin to manage their hazardous waste pursuant to section 262.34(c) (or section 261.5 for conditionally exempt small quantity generators).  EPA and States will use this information to identify the sites subject to the Subpart K requirements and ensure that all of these sites are managing their unwanted materials in a manner that is protective of human health and the environment.</w:t>
      </w: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color w:val="000000"/>
          <w:sz w:val="24"/>
          <w:szCs w:val="24"/>
        </w:rPr>
      </w:pPr>
    </w:p>
    <w:p w:rsidR="00146A6C" w:rsidRPr="00270DB5" w:rsidRDefault="00146A6C">
      <w:pPr>
        <w:keepNext/>
        <w:rPr>
          <w:b/>
          <w:bCs/>
          <w:color w:val="000000"/>
          <w:sz w:val="24"/>
        </w:rPr>
      </w:pPr>
      <w:r w:rsidRPr="00270DB5">
        <w:rPr>
          <w:b/>
          <w:bCs/>
          <w:color w:val="000000"/>
          <w:sz w:val="24"/>
        </w:rPr>
        <w:t>(3)</w:t>
      </w:r>
      <w:r w:rsidRPr="00270DB5">
        <w:rPr>
          <w:b/>
          <w:bCs/>
          <w:color w:val="000000"/>
          <w:sz w:val="24"/>
        </w:rPr>
        <w:tab/>
        <w:t>Labeling of Containers of Unwanted Material in the Laboratory</w:t>
      </w:r>
    </w:p>
    <w:p w:rsidR="00146A6C" w:rsidRPr="00270DB5" w:rsidRDefault="00146A6C">
      <w:pPr>
        <w:keepNext/>
        <w:rPr>
          <w:color w:val="000000"/>
          <w:sz w:val="24"/>
        </w:rPr>
      </w:pPr>
    </w:p>
    <w:p w:rsidR="00146A6C" w:rsidRPr="00270DB5" w:rsidRDefault="00146A6C">
      <w:pPr>
        <w:keepNext/>
        <w:ind w:firstLine="720"/>
        <w:rPr>
          <w:color w:val="000000"/>
          <w:sz w:val="24"/>
        </w:rPr>
      </w:pPr>
      <w:r w:rsidRPr="00270DB5">
        <w:rPr>
          <w:color w:val="000000"/>
          <w:sz w:val="24"/>
        </w:rPr>
        <w:t>The labeling requirements are necessary to alert anyone handling the containers of unwanted materials of what is enclosed in the containers so that proper handling or inspection may occur.  The labeling requirements also assist RCRA-trained individuals in properly identifying whether an unwanted material is a hazardous waste and to assign the appropriate hazardous waste code(s).</w:t>
      </w:r>
    </w:p>
    <w:p w:rsidR="00146A6C" w:rsidRPr="00270DB5" w:rsidRDefault="00146A6C">
      <w:pPr>
        <w:rPr>
          <w:b/>
          <w:bCs/>
          <w:color w:val="000000"/>
          <w:sz w:val="24"/>
        </w:rPr>
      </w:pPr>
    </w:p>
    <w:p w:rsidR="00146A6C" w:rsidRPr="00270DB5" w:rsidRDefault="00146A6C">
      <w:pPr>
        <w:rPr>
          <w:color w:val="000000"/>
          <w:sz w:val="24"/>
        </w:rPr>
      </w:pPr>
      <w:r w:rsidRPr="00270DB5">
        <w:rPr>
          <w:b/>
          <w:bCs/>
          <w:color w:val="000000"/>
          <w:sz w:val="24"/>
        </w:rPr>
        <w:t>(4)</w:t>
      </w:r>
      <w:r w:rsidRPr="00270DB5">
        <w:rPr>
          <w:b/>
          <w:bCs/>
          <w:color w:val="000000"/>
          <w:sz w:val="24"/>
        </w:rPr>
        <w:tab/>
        <w:t>Training</w:t>
      </w:r>
    </w:p>
    <w:p w:rsidR="00146A6C" w:rsidRPr="00270DB5" w:rsidRDefault="00146A6C">
      <w:pPr>
        <w:rPr>
          <w:color w:val="000000"/>
          <w:sz w:val="24"/>
        </w:rPr>
      </w:pPr>
    </w:p>
    <w:p w:rsidR="00146A6C" w:rsidRPr="00270DB5" w:rsidRDefault="00146A6C">
      <w:pPr>
        <w:rPr>
          <w:color w:val="000000"/>
          <w:sz w:val="24"/>
        </w:rPr>
      </w:pPr>
      <w:r w:rsidRPr="00270DB5">
        <w:rPr>
          <w:color w:val="000000"/>
          <w:sz w:val="24"/>
        </w:rPr>
        <w:tab/>
        <w:t>Eligible academic entities must train all individuals working in a laboratory commensurate with their duties.  This training will enable individuals to manage unwanted materials safely and in an environmentally sound manner, while in the laboratory.</w:t>
      </w:r>
    </w:p>
    <w:p w:rsidR="00146A6C" w:rsidRPr="00270DB5" w:rsidRDefault="00146A6C">
      <w:pPr>
        <w:rPr>
          <w:color w:val="000000"/>
          <w:sz w:val="24"/>
        </w:rPr>
      </w:pPr>
    </w:p>
    <w:p w:rsidR="00146A6C" w:rsidRPr="00270DB5" w:rsidRDefault="00146A6C">
      <w:pPr>
        <w:rPr>
          <w:color w:val="000000"/>
          <w:sz w:val="24"/>
        </w:rPr>
      </w:pPr>
      <w:r w:rsidRPr="00270DB5">
        <w:rPr>
          <w:color w:val="000000"/>
          <w:sz w:val="24"/>
        </w:rPr>
        <w:tab/>
        <w:t>In addition, LQGs must maintain training records for laboratory workers.  Entities will use this information to demonstrate compliance with the Subpart K requirements.  EPA will use the information during inspections and for enforcement purposes.</w:t>
      </w:r>
    </w:p>
    <w:p w:rsidR="00146A6C" w:rsidRPr="00270DB5" w:rsidRDefault="00146A6C">
      <w:pPr>
        <w:rPr>
          <w:color w:val="000000"/>
          <w:sz w:val="24"/>
        </w:rPr>
      </w:pPr>
    </w:p>
    <w:p w:rsidR="00146A6C" w:rsidRPr="00270DB5" w:rsidRDefault="00146A6C">
      <w:pPr>
        <w:rPr>
          <w:b/>
          <w:bCs/>
          <w:color w:val="000000"/>
          <w:sz w:val="24"/>
        </w:rPr>
      </w:pPr>
      <w:r w:rsidRPr="00270DB5">
        <w:rPr>
          <w:b/>
          <w:bCs/>
          <w:color w:val="000000"/>
          <w:sz w:val="24"/>
        </w:rPr>
        <w:t xml:space="preserve"> (5)</w:t>
      </w:r>
      <w:r w:rsidRPr="00270DB5">
        <w:rPr>
          <w:b/>
          <w:bCs/>
          <w:color w:val="000000"/>
          <w:sz w:val="24"/>
        </w:rPr>
        <w:tab/>
        <w:t>Removing Containers of Unwanted Material from the Laboratory</w:t>
      </w:r>
    </w:p>
    <w:p w:rsidR="00146A6C" w:rsidRPr="00270DB5" w:rsidRDefault="00146A6C">
      <w:pPr>
        <w:rPr>
          <w:color w:val="000000"/>
          <w:sz w:val="24"/>
        </w:rPr>
      </w:pPr>
    </w:p>
    <w:p w:rsidR="00146A6C" w:rsidRPr="00270DB5" w:rsidRDefault="00146A6C">
      <w:pPr>
        <w:rPr>
          <w:color w:val="000000"/>
          <w:sz w:val="24"/>
        </w:rPr>
      </w:pPr>
      <w:r w:rsidRPr="00270DB5">
        <w:rPr>
          <w:color w:val="000000"/>
          <w:sz w:val="24"/>
        </w:rPr>
        <w:tab/>
        <w:t>Eligible academic entities will use the information on the date the 55 gallons of unwanted material, or the 1 quart of acutely reactive unwanted material, was exceeded to maintain compliance with Subpart K.  EPA will use the information during inspections and for enforcement purposes.</w:t>
      </w:r>
    </w:p>
    <w:p w:rsidR="00146A6C" w:rsidRPr="00270DB5" w:rsidRDefault="00146A6C">
      <w:pPr>
        <w:rPr>
          <w:color w:val="000000"/>
          <w:sz w:val="24"/>
        </w:rPr>
      </w:pPr>
    </w:p>
    <w:p w:rsidR="00146A6C" w:rsidRPr="00270DB5" w:rsidRDefault="00146A6C">
      <w:pPr>
        <w:ind w:left="720" w:hanging="720"/>
        <w:rPr>
          <w:b/>
          <w:bCs/>
          <w:color w:val="000000"/>
          <w:sz w:val="24"/>
        </w:rPr>
      </w:pPr>
      <w:r w:rsidRPr="00270DB5">
        <w:rPr>
          <w:b/>
          <w:bCs/>
          <w:color w:val="000000"/>
          <w:sz w:val="24"/>
        </w:rPr>
        <w:t>(6)</w:t>
      </w:r>
      <w:r w:rsidRPr="00270DB5">
        <w:rPr>
          <w:b/>
          <w:bCs/>
          <w:color w:val="000000"/>
          <w:sz w:val="24"/>
        </w:rPr>
        <w:tab/>
        <w:t>Where and When to Make the Hazardous Waste Determination and Where to Send Containers of Unwanted Material</w:t>
      </w:r>
    </w:p>
    <w:p w:rsidR="00146A6C" w:rsidRPr="00270DB5" w:rsidRDefault="00146A6C">
      <w:pPr>
        <w:ind w:firstLine="720"/>
        <w:rPr>
          <w:color w:val="000000"/>
          <w:sz w:val="24"/>
        </w:rPr>
      </w:pPr>
    </w:p>
    <w:p w:rsidR="00146A6C" w:rsidRPr="00270DB5" w:rsidRDefault="00146A6C">
      <w:pPr>
        <w:rPr>
          <w:color w:val="000000"/>
          <w:sz w:val="24"/>
        </w:rPr>
      </w:pPr>
      <w:r w:rsidRPr="00270DB5">
        <w:rPr>
          <w:color w:val="000000"/>
          <w:sz w:val="24"/>
        </w:rPr>
        <w:tab/>
        <w:t xml:space="preserve">The rule clarifies where the hazardous waste determinations can be made, as well as the timing of them.  Eligible academic entities will follow these procedures to ensure that they are making their determinations in a timely manner and managing their hazardous wastes in accordance with the hazardous waste regulations.  </w:t>
      </w:r>
    </w:p>
    <w:p w:rsidR="00146A6C" w:rsidRPr="00270DB5" w:rsidRDefault="00146A6C">
      <w:pPr>
        <w:rPr>
          <w:color w:val="000000"/>
          <w:sz w:val="24"/>
        </w:rPr>
      </w:pPr>
    </w:p>
    <w:p w:rsidR="00146A6C" w:rsidRPr="00270DB5" w:rsidRDefault="00146A6C">
      <w:pPr>
        <w:rPr>
          <w:b/>
          <w:bCs/>
          <w:color w:val="000000"/>
          <w:sz w:val="24"/>
        </w:rPr>
      </w:pPr>
      <w:r w:rsidRPr="00270DB5">
        <w:rPr>
          <w:b/>
          <w:bCs/>
          <w:color w:val="000000"/>
          <w:sz w:val="24"/>
        </w:rPr>
        <w:t>(7)</w:t>
      </w:r>
      <w:r w:rsidRPr="00270DB5">
        <w:rPr>
          <w:b/>
          <w:bCs/>
          <w:color w:val="000000"/>
          <w:sz w:val="24"/>
        </w:rPr>
        <w:tab/>
        <w:t>Making the Hazardous Waste Determination in the Laboratory</w:t>
      </w:r>
    </w:p>
    <w:p w:rsidR="00146A6C" w:rsidRPr="00270DB5" w:rsidRDefault="00146A6C">
      <w:pPr>
        <w:rPr>
          <w:color w:val="000000"/>
          <w:sz w:val="24"/>
        </w:rPr>
      </w:pPr>
    </w:p>
    <w:p w:rsidR="00146A6C" w:rsidRPr="00270DB5" w:rsidRDefault="00146A6C">
      <w:pPr>
        <w:ind w:firstLine="720"/>
        <w:rPr>
          <w:color w:val="000000"/>
          <w:sz w:val="24"/>
        </w:rPr>
      </w:pPr>
      <w:r w:rsidRPr="00270DB5">
        <w:rPr>
          <w:color w:val="000000"/>
          <w:sz w:val="24"/>
        </w:rPr>
        <w:t>Eligible academic entities will use the hazardous waste code information to ensure that the hazardous waste is managed in a manner that is protective of human health and the environment.</w:t>
      </w:r>
    </w:p>
    <w:p w:rsidR="00146A6C" w:rsidRPr="00270DB5" w:rsidRDefault="00146A6C">
      <w:pPr>
        <w:rPr>
          <w:color w:val="000000"/>
          <w:sz w:val="24"/>
        </w:rPr>
      </w:pPr>
    </w:p>
    <w:p w:rsidR="00146A6C" w:rsidRPr="00270DB5" w:rsidRDefault="00146A6C">
      <w:pPr>
        <w:keepNext/>
        <w:ind w:left="720" w:hanging="720"/>
        <w:rPr>
          <w:b/>
          <w:bCs/>
          <w:color w:val="000000"/>
          <w:sz w:val="24"/>
        </w:rPr>
      </w:pPr>
      <w:r w:rsidRPr="00270DB5">
        <w:rPr>
          <w:b/>
          <w:bCs/>
          <w:color w:val="000000"/>
          <w:sz w:val="24"/>
        </w:rPr>
        <w:t>(8)</w:t>
      </w:r>
      <w:r w:rsidRPr="00270DB5">
        <w:rPr>
          <w:b/>
          <w:bCs/>
          <w:color w:val="000000"/>
          <w:sz w:val="24"/>
        </w:rPr>
        <w:tab/>
        <w:t>Making the Hazardous Waste Determination in an On-site Central Accumulation Area</w:t>
      </w:r>
    </w:p>
    <w:p w:rsidR="00146A6C" w:rsidRPr="00270DB5" w:rsidRDefault="00146A6C">
      <w:pPr>
        <w:keepNext/>
        <w:ind w:firstLine="720"/>
        <w:rPr>
          <w:color w:val="000000"/>
          <w:sz w:val="24"/>
        </w:rPr>
      </w:pPr>
    </w:p>
    <w:p w:rsidR="00146A6C" w:rsidRPr="00270DB5" w:rsidRDefault="00146A6C">
      <w:pPr>
        <w:keepNext/>
        <w:ind w:firstLine="720"/>
        <w:rPr>
          <w:color w:val="000000"/>
          <w:sz w:val="24"/>
        </w:rPr>
      </w:pPr>
      <w:r w:rsidRPr="00270DB5">
        <w:rPr>
          <w:color w:val="000000"/>
          <w:sz w:val="24"/>
        </w:rPr>
        <w:t xml:space="preserve">Eligible academic entities will use the hazardous waste code information to ensure that the hazardous waste is managed in a manner that is protective of human </w:t>
      </w:r>
      <w:r w:rsidRPr="00270DB5">
        <w:rPr>
          <w:color w:val="000000"/>
          <w:sz w:val="24"/>
        </w:rPr>
        <w:lastRenderedPageBreak/>
        <w:t>health and the environment.</w:t>
      </w:r>
    </w:p>
    <w:p w:rsidR="00146A6C" w:rsidRPr="00270DB5" w:rsidRDefault="00146A6C">
      <w:pPr>
        <w:ind w:left="2160" w:hanging="720"/>
        <w:rPr>
          <w:color w:val="000000"/>
          <w:sz w:val="24"/>
        </w:rPr>
      </w:pPr>
    </w:p>
    <w:p w:rsidR="00146A6C" w:rsidRPr="00270DB5" w:rsidRDefault="00146A6C">
      <w:pPr>
        <w:keepNext/>
        <w:ind w:left="720" w:hanging="720"/>
        <w:rPr>
          <w:b/>
          <w:bCs/>
          <w:color w:val="000000"/>
          <w:sz w:val="24"/>
        </w:rPr>
      </w:pPr>
      <w:r w:rsidRPr="00270DB5">
        <w:rPr>
          <w:b/>
          <w:bCs/>
          <w:color w:val="000000"/>
          <w:sz w:val="24"/>
        </w:rPr>
        <w:t>(9)</w:t>
      </w:r>
      <w:r w:rsidRPr="00270DB5">
        <w:rPr>
          <w:b/>
          <w:bCs/>
          <w:color w:val="000000"/>
          <w:sz w:val="24"/>
        </w:rPr>
        <w:tab/>
        <w:t>Making the Hazardous Waste Determination at an On-site Interim Status or Permitted Treatment, Storage, or Disposal Facility</w:t>
      </w:r>
    </w:p>
    <w:p w:rsidR="00146A6C" w:rsidRPr="00270DB5" w:rsidRDefault="00146A6C">
      <w:pPr>
        <w:keepNext/>
        <w:ind w:firstLine="720"/>
        <w:rPr>
          <w:color w:val="000000"/>
          <w:sz w:val="24"/>
        </w:rPr>
      </w:pPr>
    </w:p>
    <w:p w:rsidR="00146A6C" w:rsidRPr="00270DB5" w:rsidRDefault="00146A6C">
      <w:pPr>
        <w:keepNext/>
        <w:ind w:firstLine="720"/>
        <w:rPr>
          <w:color w:val="000000"/>
          <w:sz w:val="24"/>
        </w:rPr>
      </w:pPr>
      <w:r w:rsidRPr="00270DB5">
        <w:rPr>
          <w:color w:val="000000"/>
          <w:sz w:val="24"/>
        </w:rPr>
        <w:t>Eligible academic entities will use the hazardous waste code information to ensure that the hazardous waste is managed in a manner that is protective of human health and the environment.</w:t>
      </w:r>
    </w:p>
    <w:p w:rsidR="00146A6C" w:rsidRPr="00270DB5" w:rsidRDefault="00146A6C">
      <w:pPr>
        <w:rPr>
          <w:color w:val="000000"/>
          <w:sz w:val="24"/>
        </w:rPr>
      </w:pPr>
    </w:p>
    <w:p w:rsidR="00146A6C" w:rsidRPr="00270DB5" w:rsidRDefault="00146A6C">
      <w:pPr>
        <w:rPr>
          <w:color w:val="000000"/>
          <w:sz w:val="24"/>
        </w:rPr>
      </w:pPr>
      <w:r w:rsidRPr="00270DB5">
        <w:rPr>
          <w:b/>
          <w:bCs/>
          <w:color w:val="000000"/>
          <w:sz w:val="24"/>
        </w:rPr>
        <w:t>(10)</w:t>
      </w:r>
      <w:r w:rsidRPr="00270DB5">
        <w:rPr>
          <w:b/>
          <w:bCs/>
          <w:color w:val="000000"/>
          <w:sz w:val="24"/>
        </w:rPr>
        <w:tab/>
        <w:t>Laboratory Clean-outs</w:t>
      </w:r>
    </w:p>
    <w:p w:rsidR="00146A6C" w:rsidRPr="00270DB5" w:rsidRDefault="00146A6C">
      <w:pPr>
        <w:rPr>
          <w:color w:val="000000"/>
          <w:sz w:val="24"/>
        </w:rPr>
      </w:pPr>
    </w:p>
    <w:p w:rsidR="00146A6C" w:rsidRPr="00270DB5" w:rsidRDefault="00146A6C">
      <w:pPr>
        <w:ind w:firstLine="720"/>
        <w:rPr>
          <w:color w:val="000000"/>
          <w:sz w:val="24"/>
        </w:rPr>
      </w:pPr>
      <w:r w:rsidRPr="00270DB5">
        <w:rPr>
          <w:color w:val="000000"/>
          <w:sz w:val="24"/>
        </w:rPr>
        <w:t>Eligible academic entities must develop and maintain documentation on laboratory clean-outs.  They will use this information to demonstrate compliance with the Subpart K requirements.  EPA will use the information during inspections and for enforcement purposes</w:t>
      </w:r>
      <w:r w:rsidRPr="00270DB5">
        <w:rPr>
          <w:color w:val="000000"/>
        </w:rPr>
        <w:t>.</w:t>
      </w:r>
    </w:p>
    <w:p w:rsidR="00146A6C" w:rsidRPr="00270DB5" w:rsidRDefault="00146A6C">
      <w:pPr>
        <w:rPr>
          <w:color w:val="000000"/>
          <w:sz w:val="24"/>
        </w:rPr>
      </w:pPr>
    </w:p>
    <w:p w:rsidR="00146A6C" w:rsidRPr="00270DB5" w:rsidRDefault="00146A6C">
      <w:pPr>
        <w:rPr>
          <w:color w:val="000000"/>
          <w:sz w:val="24"/>
        </w:rPr>
      </w:pPr>
      <w:r w:rsidRPr="00270DB5">
        <w:rPr>
          <w:b/>
          <w:bCs/>
          <w:color w:val="000000"/>
          <w:sz w:val="24"/>
        </w:rPr>
        <w:t>(11)</w:t>
      </w:r>
      <w:r w:rsidRPr="00270DB5">
        <w:rPr>
          <w:b/>
          <w:bCs/>
          <w:color w:val="000000"/>
          <w:sz w:val="24"/>
        </w:rPr>
        <w:tab/>
        <w:t>Laboratory Management Plan</w:t>
      </w:r>
    </w:p>
    <w:p w:rsidR="00146A6C" w:rsidRPr="00270DB5" w:rsidRDefault="00146A6C">
      <w:pPr>
        <w:rPr>
          <w:color w:val="000000"/>
          <w:sz w:val="24"/>
        </w:rPr>
      </w:pPr>
    </w:p>
    <w:p w:rsidR="00146A6C" w:rsidRPr="00270DB5" w:rsidRDefault="00146A6C">
      <w:pPr>
        <w:rPr>
          <w:color w:val="000000"/>
          <w:sz w:val="24"/>
        </w:rPr>
      </w:pPr>
      <w:r w:rsidRPr="00270DB5">
        <w:rPr>
          <w:color w:val="000000"/>
          <w:sz w:val="24"/>
        </w:rPr>
        <w:tab/>
        <w:t>Eligible academic entities must develop, implement, and retain a Laboratory Management Plan.  They will use the Laboratory Management Plan to document their practices for complying with the performance-based requirements of Subpart K.</w:t>
      </w:r>
    </w:p>
    <w:p w:rsidR="00146A6C" w:rsidRDefault="00146A6C">
      <w:pPr>
        <w:pStyle w:val="Heading1"/>
        <w:ind w:left="720" w:hanging="720"/>
        <w:rPr>
          <w:rFonts w:ascii="Times New Roman" w:hAnsi="Times New Roman" w:cs="Times New Roman"/>
          <w:sz w:val="24"/>
        </w:rPr>
      </w:pPr>
      <w:r w:rsidRPr="00270DB5">
        <w:rPr>
          <w:rFonts w:ascii="Times New Roman" w:hAnsi="Times New Roman" w:cs="Times New Roman"/>
          <w:color w:val="000000"/>
          <w:sz w:val="24"/>
        </w:rPr>
        <w:br w:type="page"/>
      </w:r>
      <w:bookmarkStart w:id="106" w:name="_Toc201152809"/>
      <w:bookmarkStart w:id="107" w:name="_Toc201153922"/>
      <w:bookmarkStart w:id="108" w:name="_Toc203626027"/>
      <w:bookmarkStart w:id="109" w:name="_Toc203626134"/>
      <w:bookmarkStart w:id="110" w:name="_Toc203711628"/>
      <w:bookmarkStart w:id="111" w:name="_Toc203715775"/>
      <w:bookmarkStart w:id="112" w:name="_Toc327953056"/>
      <w:r>
        <w:rPr>
          <w:rFonts w:ascii="Times New Roman" w:hAnsi="Times New Roman" w:cs="Times New Roman"/>
          <w:sz w:val="24"/>
        </w:rPr>
        <w:lastRenderedPageBreak/>
        <w:t>3.</w:t>
      </w:r>
      <w:r>
        <w:rPr>
          <w:rFonts w:ascii="Times New Roman" w:hAnsi="Times New Roman" w:cs="Times New Roman"/>
          <w:sz w:val="24"/>
        </w:rPr>
        <w:tab/>
        <w:t>NONDUPLICATION, CONSULTATIONS, AND OTHER COLLECTION CRITERIA</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hAnsi="Times New Roman" w:cs="Times New Roman"/>
          <w:sz w:val="24"/>
        </w:rPr>
        <w:tab/>
      </w:r>
    </w:p>
    <w:p w:rsidR="00146A6C" w:rsidRDefault="00146A6C">
      <w:pPr>
        <w:pStyle w:val="Heading2"/>
        <w:ind w:firstLine="720"/>
        <w:rPr>
          <w:rFonts w:ascii="Times New Roman" w:hAnsi="Times New Roman" w:cs="Times New Roman"/>
          <w:i w:val="0"/>
          <w:iCs w:val="0"/>
          <w:sz w:val="24"/>
          <w:u w:val="single"/>
        </w:rPr>
      </w:pPr>
      <w:bookmarkStart w:id="113" w:name="_Toc146594778"/>
      <w:bookmarkStart w:id="114" w:name="_Toc194233038"/>
      <w:bookmarkStart w:id="115" w:name="_Toc194321361"/>
      <w:bookmarkStart w:id="116" w:name="_Toc194321574"/>
      <w:bookmarkStart w:id="117" w:name="_Toc194395928"/>
      <w:bookmarkStart w:id="118" w:name="_Toc195523814"/>
      <w:bookmarkStart w:id="119" w:name="_Toc195524025"/>
      <w:bookmarkStart w:id="120" w:name="_Toc198053448"/>
      <w:bookmarkStart w:id="121" w:name="_Toc199176351"/>
      <w:bookmarkStart w:id="122" w:name="_Toc201152810"/>
      <w:bookmarkStart w:id="123" w:name="_Toc201153923"/>
      <w:bookmarkStart w:id="124" w:name="_Toc203626028"/>
      <w:bookmarkStart w:id="125" w:name="_Toc203626135"/>
      <w:bookmarkStart w:id="126" w:name="_Toc203711629"/>
      <w:bookmarkStart w:id="127" w:name="_Toc203715776"/>
      <w:bookmarkStart w:id="128" w:name="_Toc327953057"/>
      <w:r>
        <w:rPr>
          <w:rFonts w:ascii="Times New Roman" w:hAnsi="Times New Roman" w:cs="Times New Roman"/>
          <w:i w:val="0"/>
          <w:iCs w:val="0"/>
          <w:sz w:val="24"/>
        </w:rPr>
        <w:t>3(a)</w:t>
      </w:r>
      <w:r>
        <w:rPr>
          <w:rFonts w:ascii="Times New Roman" w:hAnsi="Times New Roman" w:cs="Times New Roman"/>
          <w:i w:val="0"/>
          <w:iCs w:val="0"/>
          <w:sz w:val="24"/>
        </w:rPr>
        <w:tab/>
        <w:t>Nonduplication</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146A6C" w:rsidRPr="00B022C0" w:rsidRDefault="00146A6C">
      <w:pPr>
        <w:widowControl/>
        <w:rPr>
          <w:color w:val="000000"/>
          <w:sz w:val="24"/>
        </w:rPr>
      </w:pPr>
    </w:p>
    <w:p w:rsidR="00146A6C" w:rsidRPr="00B022C0" w:rsidRDefault="00146A6C">
      <w:pPr>
        <w:widowControl/>
        <w:ind w:firstLine="720"/>
        <w:rPr>
          <w:color w:val="000000"/>
          <w:sz w:val="24"/>
        </w:rPr>
      </w:pPr>
      <w:r w:rsidRPr="00B022C0">
        <w:rPr>
          <w:color w:val="000000"/>
          <w:sz w:val="24"/>
        </w:rPr>
        <w:t xml:space="preserve">None of the information required by the </w:t>
      </w:r>
      <w:r w:rsidR="00ED7EA5" w:rsidRPr="00B022C0">
        <w:rPr>
          <w:color w:val="000000"/>
          <w:sz w:val="24"/>
        </w:rPr>
        <w:t xml:space="preserve">Subpart K </w:t>
      </w:r>
      <w:r w:rsidR="00367C30" w:rsidRPr="00B022C0">
        <w:rPr>
          <w:color w:val="000000"/>
          <w:sz w:val="24"/>
        </w:rPr>
        <w:t xml:space="preserve">regulations </w:t>
      </w:r>
      <w:r w:rsidRPr="00B022C0">
        <w:rPr>
          <w:color w:val="000000"/>
          <w:sz w:val="24"/>
        </w:rPr>
        <w:t>is duplicative with any information required by the existing Federal regulations.</w:t>
      </w:r>
    </w:p>
    <w:p w:rsidR="00146A6C" w:rsidRPr="00B022C0" w:rsidRDefault="00146A6C">
      <w:pPr>
        <w:pStyle w:val="Heading2"/>
        <w:ind w:firstLine="720"/>
        <w:rPr>
          <w:rFonts w:ascii="Times New Roman" w:hAnsi="Times New Roman" w:cs="Times New Roman"/>
          <w:i w:val="0"/>
          <w:iCs w:val="0"/>
          <w:color w:val="000000"/>
          <w:sz w:val="24"/>
        </w:rPr>
      </w:pPr>
      <w:bookmarkStart w:id="129" w:name="_Toc146594779"/>
      <w:bookmarkStart w:id="130" w:name="_Toc194233039"/>
      <w:bookmarkStart w:id="131" w:name="_Toc194321362"/>
      <w:bookmarkStart w:id="132" w:name="_Toc194321575"/>
      <w:bookmarkStart w:id="133" w:name="_Toc194395929"/>
      <w:bookmarkStart w:id="134" w:name="_Toc195523815"/>
      <w:bookmarkStart w:id="135" w:name="_Toc195524026"/>
      <w:bookmarkStart w:id="136" w:name="_Toc198053449"/>
      <w:bookmarkStart w:id="137" w:name="_Toc199176352"/>
      <w:bookmarkStart w:id="138" w:name="_Toc201152811"/>
      <w:bookmarkStart w:id="139" w:name="_Toc201153924"/>
      <w:bookmarkStart w:id="140" w:name="_Toc203626029"/>
      <w:bookmarkStart w:id="141" w:name="_Toc203626136"/>
      <w:bookmarkStart w:id="142" w:name="_Toc203711630"/>
      <w:bookmarkStart w:id="143" w:name="_Toc203715777"/>
      <w:bookmarkStart w:id="144" w:name="_Toc327953058"/>
      <w:r w:rsidRPr="00B022C0">
        <w:rPr>
          <w:rFonts w:ascii="Times New Roman" w:hAnsi="Times New Roman" w:cs="Times New Roman"/>
          <w:i w:val="0"/>
          <w:iCs w:val="0"/>
          <w:color w:val="000000"/>
          <w:sz w:val="24"/>
        </w:rPr>
        <w:t>3(b)</w:t>
      </w:r>
      <w:r w:rsidRPr="00B022C0">
        <w:rPr>
          <w:rFonts w:ascii="Times New Roman" w:hAnsi="Times New Roman" w:cs="Times New Roman"/>
          <w:i w:val="0"/>
          <w:iCs w:val="0"/>
          <w:color w:val="000000"/>
          <w:sz w:val="24"/>
        </w:rPr>
        <w:tab/>
        <w:t>Public Notice</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146A6C" w:rsidRPr="00B022C0" w:rsidRDefault="00146A6C">
      <w:pPr>
        <w:widowControl/>
        <w:rPr>
          <w:color w:val="000000"/>
        </w:rPr>
      </w:pPr>
    </w:p>
    <w:p w:rsidR="00146A6C" w:rsidRPr="00B022C0" w:rsidRDefault="0091516C" w:rsidP="00D92D00">
      <w:pPr>
        <w:widowControl/>
        <w:ind w:firstLine="720"/>
        <w:rPr>
          <w:color w:val="000000"/>
          <w:sz w:val="24"/>
        </w:rPr>
      </w:pPr>
      <w:r w:rsidRPr="00B022C0">
        <w:rPr>
          <w:color w:val="000000"/>
          <w:sz w:val="24"/>
        </w:rPr>
        <w:t>In compliance with the Paperwork Reduction Act (44 U.S.C. 3501 et seq.), the Agency issued a notice in the Federal Register on March 20, 2012</w:t>
      </w:r>
      <w:r w:rsidR="00D316BC" w:rsidRPr="00B022C0">
        <w:rPr>
          <w:color w:val="000000"/>
          <w:sz w:val="24"/>
        </w:rPr>
        <w:t xml:space="preserve"> (77 FR 16222)</w:t>
      </w:r>
      <w:r w:rsidRPr="00B022C0">
        <w:rPr>
          <w:color w:val="000000"/>
          <w:sz w:val="24"/>
        </w:rPr>
        <w:t xml:space="preserve">, soliciting public comments on the accuracy of the burden estimates in this supporting statement. </w:t>
      </w:r>
      <w:r w:rsidR="00367C30" w:rsidRPr="00B022C0">
        <w:rPr>
          <w:color w:val="000000"/>
          <w:sz w:val="24"/>
        </w:rPr>
        <w:t xml:space="preserve"> </w:t>
      </w:r>
      <w:r w:rsidRPr="00B022C0">
        <w:rPr>
          <w:color w:val="000000"/>
          <w:sz w:val="24"/>
        </w:rPr>
        <w:t>No comments were received.</w:t>
      </w:r>
    </w:p>
    <w:p w:rsidR="00146A6C" w:rsidRPr="00B022C0" w:rsidRDefault="00146A6C">
      <w:pPr>
        <w:pStyle w:val="Heading2"/>
        <w:ind w:firstLine="720"/>
        <w:rPr>
          <w:rFonts w:ascii="Times New Roman" w:hAnsi="Times New Roman" w:cs="Times New Roman"/>
          <w:i w:val="0"/>
          <w:iCs w:val="0"/>
          <w:color w:val="000000"/>
          <w:sz w:val="24"/>
        </w:rPr>
      </w:pPr>
      <w:bookmarkStart w:id="145" w:name="_Toc146594780"/>
      <w:bookmarkStart w:id="146" w:name="_Toc194233040"/>
      <w:bookmarkStart w:id="147" w:name="_Toc194321363"/>
      <w:bookmarkStart w:id="148" w:name="_Toc194321576"/>
      <w:bookmarkStart w:id="149" w:name="_Toc194395930"/>
      <w:bookmarkStart w:id="150" w:name="_Toc195523816"/>
      <w:bookmarkStart w:id="151" w:name="_Toc195524027"/>
      <w:bookmarkStart w:id="152" w:name="_Toc198053450"/>
      <w:bookmarkStart w:id="153" w:name="_Toc199176353"/>
      <w:bookmarkStart w:id="154" w:name="_Toc201152812"/>
      <w:bookmarkStart w:id="155" w:name="_Toc201153925"/>
      <w:bookmarkStart w:id="156" w:name="_Toc203626030"/>
      <w:bookmarkStart w:id="157" w:name="_Toc203626137"/>
      <w:bookmarkStart w:id="158" w:name="_Toc203711631"/>
      <w:bookmarkStart w:id="159" w:name="_Toc203715778"/>
      <w:bookmarkStart w:id="160" w:name="_Toc327953059"/>
      <w:r w:rsidRPr="00B022C0">
        <w:rPr>
          <w:rFonts w:ascii="Times New Roman" w:hAnsi="Times New Roman" w:cs="Times New Roman"/>
          <w:i w:val="0"/>
          <w:iCs w:val="0"/>
          <w:color w:val="000000"/>
          <w:sz w:val="24"/>
        </w:rPr>
        <w:t>3(c)</w:t>
      </w:r>
      <w:r w:rsidRPr="00B022C0">
        <w:rPr>
          <w:rFonts w:ascii="Times New Roman" w:hAnsi="Times New Roman" w:cs="Times New Roman"/>
          <w:i w:val="0"/>
          <w:iCs w:val="0"/>
          <w:color w:val="000000"/>
          <w:sz w:val="24"/>
        </w:rPr>
        <w:tab/>
        <w:t>Consultations</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rsidR="00146A6C" w:rsidRPr="00B022C0" w:rsidRDefault="00146A6C">
      <w:pPr>
        <w:widowControl/>
        <w:ind w:firstLine="720"/>
        <w:rPr>
          <w:color w:val="000000"/>
          <w:sz w:val="24"/>
        </w:rPr>
      </w:pPr>
    </w:p>
    <w:p w:rsidR="0091516C" w:rsidRPr="00B022C0" w:rsidRDefault="0091516C" w:rsidP="00367C30">
      <w:pPr>
        <w:widowControl/>
        <w:ind w:firstLine="720"/>
        <w:rPr>
          <w:color w:val="000000"/>
          <w:sz w:val="24"/>
        </w:rPr>
      </w:pPr>
      <w:r w:rsidRPr="00B022C0">
        <w:rPr>
          <w:color w:val="000000"/>
          <w:sz w:val="24"/>
        </w:rPr>
        <w:t>The regulations covered by this ICR were promulgated using proper rulemaking</w:t>
      </w:r>
      <w:r w:rsidR="00367C30" w:rsidRPr="00B022C0">
        <w:rPr>
          <w:color w:val="000000"/>
          <w:sz w:val="24"/>
        </w:rPr>
        <w:t xml:space="preserve"> </w:t>
      </w:r>
      <w:r w:rsidRPr="00B022C0">
        <w:rPr>
          <w:color w:val="000000"/>
          <w:sz w:val="24"/>
        </w:rPr>
        <w:t xml:space="preserve">procedures.  In updating this ICR, EPA spoke with a number of industry representatives. Their feedback is reflected in this ICR.  EPA’s Burden Estimate Methodology, which is </w:t>
      </w:r>
      <w:r w:rsidR="002D36F9" w:rsidRPr="00B022C0">
        <w:rPr>
          <w:color w:val="000000"/>
          <w:sz w:val="24"/>
        </w:rPr>
        <w:t xml:space="preserve">appended </w:t>
      </w:r>
      <w:r w:rsidR="001D59C9" w:rsidRPr="00B022C0">
        <w:rPr>
          <w:color w:val="000000"/>
          <w:sz w:val="24"/>
        </w:rPr>
        <w:t>as Attachment</w:t>
      </w:r>
      <w:r w:rsidR="005449EB" w:rsidRPr="00B022C0">
        <w:rPr>
          <w:color w:val="000000"/>
          <w:sz w:val="24"/>
        </w:rPr>
        <w:t xml:space="preserve"> </w:t>
      </w:r>
      <w:r w:rsidR="00AC7014" w:rsidRPr="00B022C0">
        <w:rPr>
          <w:color w:val="000000"/>
          <w:sz w:val="24"/>
        </w:rPr>
        <w:t>1</w:t>
      </w:r>
      <w:r w:rsidR="001D59C9" w:rsidRPr="00B022C0">
        <w:rPr>
          <w:color w:val="000000"/>
          <w:sz w:val="24"/>
        </w:rPr>
        <w:t xml:space="preserve">, </w:t>
      </w:r>
      <w:r w:rsidRPr="00B022C0">
        <w:rPr>
          <w:color w:val="000000"/>
          <w:sz w:val="24"/>
        </w:rPr>
        <w:t xml:space="preserve">provides information on the consultations. </w:t>
      </w:r>
      <w:r w:rsidR="002D36F9" w:rsidRPr="00B022C0">
        <w:rPr>
          <w:color w:val="000000"/>
          <w:sz w:val="24"/>
        </w:rPr>
        <w:t xml:space="preserve"> </w:t>
      </w:r>
      <w:r w:rsidRPr="00B022C0">
        <w:rPr>
          <w:color w:val="000000"/>
          <w:sz w:val="24"/>
        </w:rPr>
        <w:t>The following members of the regulated community were contacted:</w:t>
      </w:r>
    </w:p>
    <w:p w:rsidR="00F516AD" w:rsidRPr="00B022C0" w:rsidRDefault="00F516AD" w:rsidP="00E44601">
      <w:pPr>
        <w:rPr>
          <w:color w:val="000000"/>
          <w:sz w:val="24"/>
        </w:rPr>
      </w:pPr>
    </w:p>
    <w:p w:rsidR="00E44601" w:rsidRPr="00B022C0" w:rsidRDefault="0091516C" w:rsidP="00E44601">
      <w:pPr>
        <w:rPr>
          <w:color w:val="000000"/>
          <w:sz w:val="24"/>
        </w:rPr>
      </w:pPr>
      <w:r w:rsidRPr="00B022C0">
        <w:rPr>
          <w:color w:val="000000"/>
          <w:sz w:val="24"/>
        </w:rPr>
        <w:tab/>
        <w:t xml:space="preserve">– </w:t>
      </w:r>
      <w:r w:rsidR="00E44601" w:rsidRPr="00B022C0">
        <w:rPr>
          <w:color w:val="000000"/>
          <w:sz w:val="24"/>
        </w:rPr>
        <w:t>Jeremy Kuhar, Gettysburg College (717-337-6261)</w:t>
      </w:r>
    </w:p>
    <w:p w:rsidR="00E44601" w:rsidRPr="00B022C0" w:rsidRDefault="0091516C" w:rsidP="00E44601">
      <w:pPr>
        <w:ind w:firstLine="720"/>
        <w:rPr>
          <w:color w:val="000000"/>
          <w:sz w:val="24"/>
        </w:rPr>
      </w:pPr>
      <w:r w:rsidRPr="00B022C0">
        <w:rPr>
          <w:color w:val="000000"/>
          <w:sz w:val="24"/>
        </w:rPr>
        <w:t xml:space="preserve">– </w:t>
      </w:r>
      <w:r w:rsidR="00E44601" w:rsidRPr="00B022C0">
        <w:rPr>
          <w:color w:val="000000"/>
          <w:sz w:val="24"/>
        </w:rPr>
        <w:t>Aisha Holloman, Gateway University Research Park (336-375-9232)</w:t>
      </w:r>
    </w:p>
    <w:p w:rsidR="00E44601" w:rsidRPr="00B022C0" w:rsidRDefault="0091516C" w:rsidP="00E44601">
      <w:pPr>
        <w:ind w:firstLine="720"/>
        <w:rPr>
          <w:color w:val="000000"/>
          <w:sz w:val="24"/>
        </w:rPr>
      </w:pPr>
      <w:r w:rsidRPr="00B022C0">
        <w:rPr>
          <w:color w:val="000000"/>
          <w:sz w:val="24"/>
        </w:rPr>
        <w:t xml:space="preserve">– </w:t>
      </w:r>
      <w:r w:rsidR="00E44601" w:rsidRPr="00B022C0">
        <w:rPr>
          <w:color w:val="000000"/>
          <w:sz w:val="24"/>
        </w:rPr>
        <w:t>Eric Engelberger, Southern Arkansas University (870-235-4196)</w:t>
      </w:r>
    </w:p>
    <w:p w:rsidR="00E44601" w:rsidRPr="00B022C0" w:rsidRDefault="0039376E" w:rsidP="00E44601">
      <w:pPr>
        <w:ind w:firstLine="720"/>
        <w:rPr>
          <w:color w:val="000000"/>
          <w:sz w:val="24"/>
        </w:rPr>
      </w:pPr>
      <w:r w:rsidRPr="00B022C0">
        <w:rPr>
          <w:color w:val="000000"/>
          <w:sz w:val="24"/>
        </w:rPr>
        <w:t xml:space="preserve">– </w:t>
      </w:r>
      <w:r w:rsidR="00E44601" w:rsidRPr="00B022C0">
        <w:rPr>
          <w:color w:val="000000"/>
          <w:sz w:val="24"/>
        </w:rPr>
        <w:t>Jen Stones, University of Utah (801-581-6590)</w:t>
      </w:r>
    </w:p>
    <w:p w:rsidR="0039376E" w:rsidRPr="00B022C0" w:rsidRDefault="0039376E" w:rsidP="00E44601">
      <w:pPr>
        <w:ind w:firstLine="720"/>
        <w:rPr>
          <w:color w:val="000000"/>
          <w:sz w:val="24"/>
        </w:rPr>
      </w:pPr>
      <w:r w:rsidRPr="00B022C0">
        <w:rPr>
          <w:color w:val="000000"/>
          <w:sz w:val="24"/>
        </w:rPr>
        <w:t xml:space="preserve">– </w:t>
      </w:r>
      <w:r w:rsidR="00E44601" w:rsidRPr="00B022C0">
        <w:rPr>
          <w:color w:val="000000"/>
          <w:sz w:val="24"/>
        </w:rPr>
        <w:t>Craig Barnhart, Butler University (</w:t>
      </w:r>
      <w:hyperlink r:id="rId12" w:history="1">
        <w:r w:rsidR="00E44601" w:rsidRPr="00B022C0">
          <w:rPr>
            <w:rStyle w:val="Hyperlink"/>
            <w:color w:val="000000"/>
            <w:sz w:val="24"/>
          </w:rPr>
          <w:t>cbarnhar@butler.edu</w:t>
        </w:r>
      </w:hyperlink>
      <w:r w:rsidR="00E44601" w:rsidRPr="00B022C0">
        <w:rPr>
          <w:color w:val="000000"/>
          <w:sz w:val="24"/>
        </w:rPr>
        <w:t>)</w:t>
      </w:r>
    </w:p>
    <w:p w:rsidR="00E44601" w:rsidRPr="00B022C0" w:rsidRDefault="0039376E" w:rsidP="00C55DB8">
      <w:pPr>
        <w:ind w:left="900" w:hanging="180"/>
        <w:rPr>
          <w:color w:val="000000"/>
          <w:sz w:val="24"/>
        </w:rPr>
      </w:pPr>
      <w:r w:rsidRPr="00B022C0">
        <w:rPr>
          <w:color w:val="000000"/>
          <w:sz w:val="24"/>
        </w:rPr>
        <w:t xml:space="preserve">– </w:t>
      </w:r>
      <w:r w:rsidR="00E44601" w:rsidRPr="00B022C0">
        <w:rPr>
          <w:color w:val="000000"/>
          <w:sz w:val="24"/>
        </w:rPr>
        <w:t xml:space="preserve">Victoria Justus, WasteStrategies (717-418-3342; </w:t>
      </w:r>
      <w:hyperlink r:id="rId13" w:history="1">
        <w:r w:rsidR="00E44601" w:rsidRPr="00B022C0">
          <w:rPr>
            <w:color w:val="000000"/>
            <w:sz w:val="24"/>
            <w:u w:val="single"/>
          </w:rPr>
          <w:t>vjustus@wastestrategies.com</w:t>
        </w:r>
      </w:hyperlink>
      <w:r w:rsidR="00E44601" w:rsidRPr="00B022C0">
        <w:rPr>
          <w:color w:val="000000"/>
          <w:sz w:val="24"/>
        </w:rPr>
        <w:t>)</w:t>
      </w:r>
      <w:r w:rsidR="00C55DB8" w:rsidRPr="00B022C0">
        <w:rPr>
          <w:color w:val="000000"/>
          <w:sz w:val="24"/>
        </w:rPr>
        <w:t xml:space="preserve">, a consultant to Milwaukee School of Engineering, Lakewood </w:t>
      </w:r>
      <w:r w:rsidR="00DE19B4" w:rsidRPr="00B022C0">
        <w:rPr>
          <w:color w:val="000000"/>
          <w:sz w:val="24"/>
        </w:rPr>
        <w:t>College</w:t>
      </w:r>
      <w:r w:rsidR="00C55DB8" w:rsidRPr="00B022C0">
        <w:rPr>
          <w:color w:val="000000"/>
          <w:sz w:val="24"/>
        </w:rPr>
        <w:t xml:space="preserve"> and Philadelphia University</w:t>
      </w:r>
    </w:p>
    <w:p w:rsidR="00146A6C" w:rsidRPr="00B022C0" w:rsidRDefault="00146A6C">
      <w:pPr>
        <w:pStyle w:val="Heading2"/>
        <w:ind w:firstLine="720"/>
        <w:rPr>
          <w:rFonts w:ascii="Times New Roman" w:hAnsi="Times New Roman" w:cs="Times New Roman"/>
          <w:i w:val="0"/>
          <w:iCs w:val="0"/>
          <w:color w:val="000000"/>
          <w:sz w:val="24"/>
        </w:rPr>
      </w:pPr>
      <w:bookmarkStart w:id="161" w:name="_Toc146594781"/>
      <w:bookmarkStart w:id="162" w:name="_Toc194233041"/>
      <w:bookmarkStart w:id="163" w:name="_Toc194321364"/>
      <w:bookmarkStart w:id="164" w:name="_Toc194321577"/>
      <w:bookmarkStart w:id="165" w:name="_Toc194395931"/>
      <w:bookmarkStart w:id="166" w:name="_Toc195523817"/>
      <w:bookmarkStart w:id="167" w:name="_Toc195524028"/>
      <w:bookmarkStart w:id="168" w:name="_Toc198053451"/>
      <w:bookmarkStart w:id="169" w:name="_Toc199176354"/>
      <w:bookmarkStart w:id="170" w:name="_Toc201152813"/>
      <w:bookmarkStart w:id="171" w:name="_Toc201153926"/>
      <w:bookmarkStart w:id="172" w:name="_Toc203626031"/>
      <w:bookmarkStart w:id="173" w:name="_Toc203626138"/>
      <w:bookmarkStart w:id="174" w:name="_Toc203711632"/>
      <w:bookmarkStart w:id="175" w:name="_Toc203715779"/>
      <w:bookmarkStart w:id="176" w:name="_Toc327953060"/>
      <w:r w:rsidRPr="00B022C0">
        <w:rPr>
          <w:rFonts w:ascii="Times New Roman" w:hAnsi="Times New Roman" w:cs="Times New Roman"/>
          <w:i w:val="0"/>
          <w:iCs w:val="0"/>
          <w:color w:val="000000"/>
          <w:sz w:val="24"/>
        </w:rPr>
        <w:t>3(d)</w:t>
      </w:r>
      <w:r w:rsidRPr="00B022C0">
        <w:rPr>
          <w:rFonts w:ascii="Times New Roman" w:hAnsi="Times New Roman" w:cs="Times New Roman"/>
          <w:i w:val="0"/>
          <w:iCs w:val="0"/>
          <w:color w:val="000000"/>
          <w:sz w:val="24"/>
        </w:rPr>
        <w:tab/>
        <w:t>Effects of Less Frequent Collection</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146A6C" w:rsidRPr="00B022C0" w:rsidRDefault="00146A6C">
      <w:pPr>
        <w:widowControl/>
        <w:rPr>
          <w:color w:val="000000"/>
          <w:sz w:val="24"/>
        </w:rPr>
      </w:pPr>
    </w:p>
    <w:p w:rsidR="00146A6C" w:rsidRDefault="00146A6C">
      <w:pPr>
        <w:widowControl/>
        <w:ind w:firstLine="720"/>
        <w:rPr>
          <w:sz w:val="24"/>
        </w:rPr>
      </w:pPr>
      <w:r w:rsidRPr="00B022C0">
        <w:rPr>
          <w:color w:val="000000"/>
          <w:sz w:val="24"/>
        </w:rPr>
        <w:t>EPA has carefully considered the information collection burden imposed by the final rule</w:t>
      </w:r>
      <w:r w:rsidR="001111FB" w:rsidRPr="00B022C0">
        <w:rPr>
          <w:color w:val="000000"/>
          <w:sz w:val="24"/>
        </w:rPr>
        <w:t xml:space="preserve"> promulgating the Subpart K regulations</w:t>
      </w:r>
      <w:r w:rsidRPr="00B022C0">
        <w:rPr>
          <w:color w:val="000000"/>
          <w:sz w:val="24"/>
        </w:rPr>
        <w:t>.  EPA is confident that those activities required of respondents are necessary, and to the extent possible, the Agency has attempted to minimize the burden imposed.  A number of the required activities, for example, will be performed once (e.g., one-time notifications).  EPA believes strongly that, if the minimum information collection requirements of the rule are not met, EPA will not be able to ensure that the unwanted material generated in laboratories is being properly managed and do not pose a threat to human health and the environment</w:t>
      </w:r>
      <w:r>
        <w:rPr>
          <w:sz w:val="24"/>
        </w:rPr>
        <w:t>.</w:t>
      </w:r>
    </w:p>
    <w:p w:rsidR="00146A6C" w:rsidRDefault="00146A6C">
      <w:pPr>
        <w:pStyle w:val="Heading2"/>
        <w:ind w:firstLine="720"/>
        <w:rPr>
          <w:rFonts w:ascii="Times New Roman" w:hAnsi="Times New Roman" w:cs="Times New Roman"/>
          <w:i w:val="0"/>
          <w:iCs w:val="0"/>
          <w:sz w:val="24"/>
        </w:rPr>
      </w:pPr>
      <w:bookmarkStart w:id="177" w:name="_Toc146594782"/>
      <w:bookmarkStart w:id="178" w:name="_Toc194233042"/>
      <w:bookmarkStart w:id="179" w:name="_Toc194321365"/>
      <w:bookmarkStart w:id="180" w:name="_Toc194321578"/>
      <w:bookmarkStart w:id="181" w:name="_Toc194395932"/>
      <w:bookmarkStart w:id="182" w:name="_Toc195523818"/>
      <w:bookmarkStart w:id="183" w:name="_Toc195524029"/>
      <w:bookmarkStart w:id="184" w:name="_Toc198053452"/>
      <w:bookmarkStart w:id="185" w:name="_Toc199176355"/>
      <w:bookmarkStart w:id="186" w:name="_Toc201152814"/>
      <w:bookmarkStart w:id="187" w:name="_Toc201153927"/>
      <w:bookmarkStart w:id="188" w:name="_Toc203626032"/>
      <w:bookmarkStart w:id="189" w:name="_Toc203626139"/>
      <w:bookmarkStart w:id="190" w:name="_Toc203711633"/>
      <w:bookmarkStart w:id="191" w:name="_Toc203715780"/>
      <w:bookmarkStart w:id="192" w:name="_Toc327953061"/>
      <w:r>
        <w:rPr>
          <w:rFonts w:ascii="Times New Roman" w:hAnsi="Times New Roman" w:cs="Times New Roman"/>
          <w:i w:val="0"/>
          <w:iCs w:val="0"/>
          <w:sz w:val="24"/>
        </w:rPr>
        <w:lastRenderedPageBreak/>
        <w:t>3(e)</w:t>
      </w:r>
      <w:r>
        <w:rPr>
          <w:rFonts w:ascii="Times New Roman" w:hAnsi="Times New Roman" w:cs="Times New Roman"/>
          <w:i w:val="0"/>
          <w:iCs w:val="0"/>
          <w:sz w:val="24"/>
        </w:rPr>
        <w:tab/>
        <w:t>General Guidelines</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146A6C" w:rsidRDefault="00146A6C">
      <w:pPr>
        <w:keepNext/>
        <w:widowControl/>
        <w:rPr>
          <w:sz w:val="24"/>
        </w:rPr>
      </w:pPr>
    </w:p>
    <w:p w:rsidR="00146A6C" w:rsidRDefault="00146A6C">
      <w:pPr>
        <w:keepNext/>
        <w:widowControl/>
        <w:ind w:firstLine="720"/>
        <w:rPr>
          <w:sz w:val="24"/>
        </w:rPr>
      </w:pPr>
      <w:r>
        <w:rPr>
          <w:sz w:val="24"/>
        </w:rPr>
        <w:t>This ICR adheres to the guidelines stated in the Paperwork Reduction Act of 1995, OMB’s implementing regulations, EPA’s ICR Handbook, and other applicable OMB guidance.</w:t>
      </w:r>
    </w:p>
    <w:p w:rsidR="00146A6C" w:rsidRDefault="00146A6C">
      <w:pPr>
        <w:pStyle w:val="Heading2"/>
        <w:ind w:firstLine="720"/>
        <w:rPr>
          <w:rFonts w:ascii="Times New Roman" w:hAnsi="Times New Roman" w:cs="Times New Roman"/>
          <w:i w:val="0"/>
          <w:iCs w:val="0"/>
          <w:sz w:val="24"/>
        </w:rPr>
      </w:pPr>
      <w:bookmarkStart w:id="193" w:name="_Toc146594783"/>
      <w:bookmarkStart w:id="194" w:name="_Toc194233043"/>
      <w:bookmarkStart w:id="195" w:name="_Toc194321366"/>
      <w:bookmarkStart w:id="196" w:name="_Toc194321579"/>
      <w:bookmarkStart w:id="197" w:name="_Toc194395933"/>
      <w:bookmarkStart w:id="198" w:name="_Toc195523819"/>
      <w:bookmarkStart w:id="199" w:name="_Toc195524030"/>
      <w:bookmarkStart w:id="200" w:name="_Toc198053453"/>
      <w:bookmarkStart w:id="201" w:name="_Toc199176356"/>
      <w:bookmarkStart w:id="202" w:name="_Toc201152815"/>
      <w:bookmarkStart w:id="203" w:name="_Toc201153928"/>
      <w:bookmarkStart w:id="204" w:name="_Toc203626033"/>
      <w:bookmarkStart w:id="205" w:name="_Toc203626140"/>
      <w:bookmarkStart w:id="206" w:name="_Toc203711634"/>
      <w:bookmarkStart w:id="207" w:name="_Toc203715781"/>
      <w:bookmarkStart w:id="208" w:name="_Toc327953062"/>
      <w:r>
        <w:rPr>
          <w:rFonts w:ascii="Times New Roman" w:hAnsi="Times New Roman" w:cs="Times New Roman"/>
          <w:i w:val="0"/>
          <w:iCs w:val="0"/>
          <w:sz w:val="24"/>
        </w:rPr>
        <w:t>3(f)</w:t>
      </w:r>
      <w:r>
        <w:rPr>
          <w:rFonts w:ascii="Times New Roman" w:hAnsi="Times New Roman" w:cs="Times New Roman"/>
          <w:i w:val="0"/>
          <w:iCs w:val="0"/>
          <w:sz w:val="24"/>
        </w:rPr>
        <w:tab/>
        <w:t>Confidentiality</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rsidR="00146A6C" w:rsidRDefault="00146A6C">
      <w:pPr>
        <w:widowControl/>
        <w:ind w:firstLine="720"/>
        <w:rPr>
          <w:sz w:val="24"/>
        </w:rPr>
      </w:pPr>
    </w:p>
    <w:p w:rsidR="00146A6C" w:rsidRDefault="00146A6C">
      <w:pPr>
        <w:widowControl/>
        <w:ind w:firstLine="720"/>
        <w:rPr>
          <w:sz w:val="24"/>
        </w:rPr>
      </w:pPr>
      <w:r>
        <w:rPr>
          <w:sz w:val="24"/>
        </w:rPr>
        <w:t xml:space="preserve">EPA does not expect to deem any information collected under the rule to be CBI (Confidential Business Information).  If such a claim were asserted, EPA must and will treat the information in accordance with the applicable regulations (e.g., 40 </w:t>
      </w:r>
      <w:r>
        <w:rPr>
          <w:i/>
          <w:sz w:val="24"/>
        </w:rPr>
        <w:t>CFR</w:t>
      </w:r>
      <w:r>
        <w:rPr>
          <w:sz w:val="24"/>
        </w:rPr>
        <w:t xml:space="preserve"> Part 2, Subpart B).  EPA also will assure that this information collection complies with the Privacy Act of 1974 and OMB Circular 108.</w:t>
      </w:r>
    </w:p>
    <w:p w:rsidR="00146A6C" w:rsidRDefault="00146A6C">
      <w:pPr>
        <w:pStyle w:val="Heading2"/>
        <w:ind w:firstLine="720"/>
        <w:rPr>
          <w:rFonts w:ascii="Times New Roman" w:hAnsi="Times New Roman" w:cs="Times New Roman"/>
          <w:i w:val="0"/>
          <w:iCs w:val="0"/>
          <w:sz w:val="24"/>
        </w:rPr>
      </w:pPr>
      <w:bookmarkStart w:id="209" w:name="_Toc146594784"/>
      <w:bookmarkStart w:id="210" w:name="_Toc194233044"/>
      <w:bookmarkStart w:id="211" w:name="_Toc194321367"/>
      <w:bookmarkStart w:id="212" w:name="_Toc194321580"/>
      <w:bookmarkStart w:id="213" w:name="_Toc194395934"/>
      <w:bookmarkStart w:id="214" w:name="_Toc195523820"/>
      <w:bookmarkStart w:id="215" w:name="_Toc195524031"/>
      <w:bookmarkStart w:id="216" w:name="_Toc198053454"/>
      <w:bookmarkStart w:id="217" w:name="_Toc199176357"/>
      <w:bookmarkStart w:id="218" w:name="_Toc201152816"/>
      <w:bookmarkStart w:id="219" w:name="_Toc201153929"/>
      <w:bookmarkStart w:id="220" w:name="_Toc203626034"/>
      <w:bookmarkStart w:id="221" w:name="_Toc203626141"/>
      <w:bookmarkStart w:id="222" w:name="_Toc203711635"/>
      <w:bookmarkStart w:id="223" w:name="_Toc203715782"/>
      <w:bookmarkStart w:id="224" w:name="_Toc327953063"/>
      <w:r>
        <w:rPr>
          <w:rFonts w:ascii="Times New Roman" w:hAnsi="Times New Roman" w:cs="Times New Roman"/>
          <w:i w:val="0"/>
          <w:iCs w:val="0"/>
          <w:sz w:val="24"/>
        </w:rPr>
        <w:t>3(g)</w:t>
      </w:r>
      <w:r>
        <w:rPr>
          <w:rFonts w:ascii="Times New Roman" w:hAnsi="Times New Roman" w:cs="Times New Roman"/>
          <w:i w:val="0"/>
          <w:iCs w:val="0"/>
          <w:sz w:val="24"/>
        </w:rPr>
        <w:tab/>
        <w:t>Sensitive Questions</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146A6C" w:rsidRDefault="00146A6C">
      <w:pPr>
        <w:widowControl/>
        <w:rPr>
          <w:sz w:val="24"/>
        </w:rPr>
      </w:pPr>
    </w:p>
    <w:p w:rsidR="00146A6C" w:rsidRDefault="00146A6C">
      <w:pPr>
        <w:widowControl/>
        <w:ind w:firstLine="720"/>
        <w:rPr>
          <w:sz w:val="24"/>
        </w:rPr>
      </w:pPr>
      <w:r>
        <w:rPr>
          <w:sz w:val="24"/>
        </w:rPr>
        <w:t>No questions of a sensitive nature are included in the information collection requirements associated with the rule.</w:t>
      </w:r>
    </w:p>
    <w:p w:rsidR="00146A6C" w:rsidRDefault="00146A6C">
      <w:pPr>
        <w:pStyle w:val="Heading1"/>
        <w:rPr>
          <w:rFonts w:ascii="Times New Roman" w:hAnsi="Times New Roman" w:cs="Times New Roman"/>
          <w:sz w:val="24"/>
        </w:rPr>
      </w:pPr>
      <w:bookmarkStart w:id="225" w:name="_Toc146594785"/>
      <w:r>
        <w:rPr>
          <w:rFonts w:ascii="Times New Roman" w:hAnsi="Times New Roman" w:cs="Times New Roman"/>
          <w:sz w:val="24"/>
        </w:rPr>
        <w:br w:type="page"/>
      </w:r>
      <w:bookmarkStart w:id="226" w:name="_Toc194233045"/>
      <w:bookmarkStart w:id="227" w:name="_Toc194321368"/>
      <w:bookmarkStart w:id="228" w:name="_Toc194321581"/>
      <w:bookmarkStart w:id="229" w:name="_Toc194395935"/>
      <w:bookmarkStart w:id="230" w:name="_Toc195523821"/>
      <w:bookmarkStart w:id="231" w:name="_Toc195524032"/>
      <w:bookmarkStart w:id="232" w:name="_Toc198053455"/>
      <w:bookmarkStart w:id="233" w:name="_Toc199176358"/>
      <w:bookmarkStart w:id="234" w:name="_Toc201152817"/>
      <w:bookmarkStart w:id="235" w:name="_Toc201153930"/>
      <w:bookmarkStart w:id="236" w:name="_Toc203626035"/>
      <w:bookmarkStart w:id="237" w:name="_Toc203626142"/>
      <w:bookmarkStart w:id="238" w:name="_Toc203711636"/>
      <w:bookmarkStart w:id="239" w:name="_Toc203715783"/>
      <w:bookmarkStart w:id="240" w:name="_Toc327953064"/>
      <w:r>
        <w:rPr>
          <w:rFonts w:ascii="Times New Roman" w:hAnsi="Times New Roman" w:cs="Times New Roman"/>
          <w:sz w:val="24"/>
        </w:rPr>
        <w:lastRenderedPageBreak/>
        <w:t>4.</w:t>
      </w:r>
      <w:r>
        <w:rPr>
          <w:rFonts w:ascii="Times New Roman" w:hAnsi="Times New Roman" w:cs="Times New Roman"/>
          <w:sz w:val="24"/>
        </w:rPr>
        <w:tab/>
        <w:t>THE RESPONDENTS AND THE INFORMATION REQUESTED</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146A6C" w:rsidRDefault="00146A6C">
      <w:pPr>
        <w:pStyle w:val="Heading2"/>
        <w:ind w:firstLine="720"/>
        <w:rPr>
          <w:i w:val="0"/>
          <w:iCs w:val="0"/>
        </w:rPr>
      </w:pPr>
      <w:bookmarkStart w:id="241" w:name="_Toc146594786"/>
      <w:bookmarkStart w:id="242" w:name="_Toc194233046"/>
      <w:bookmarkStart w:id="243" w:name="_Toc194321369"/>
      <w:bookmarkStart w:id="244" w:name="_Toc194321582"/>
      <w:bookmarkStart w:id="245" w:name="_Toc194395936"/>
      <w:bookmarkStart w:id="246" w:name="_Toc195523822"/>
      <w:bookmarkStart w:id="247" w:name="_Toc195524033"/>
      <w:bookmarkStart w:id="248" w:name="_Toc198053456"/>
      <w:bookmarkStart w:id="249" w:name="_Toc199176359"/>
      <w:bookmarkStart w:id="250" w:name="_Toc201152818"/>
      <w:bookmarkStart w:id="251" w:name="_Toc201153931"/>
      <w:bookmarkStart w:id="252" w:name="_Toc203626036"/>
      <w:bookmarkStart w:id="253" w:name="_Toc203626143"/>
      <w:bookmarkStart w:id="254" w:name="_Toc203711637"/>
      <w:bookmarkStart w:id="255" w:name="_Toc203715784"/>
      <w:bookmarkStart w:id="256" w:name="_Toc327953065"/>
      <w:r>
        <w:rPr>
          <w:rFonts w:ascii="Times New Roman" w:hAnsi="Times New Roman" w:cs="Times New Roman"/>
          <w:i w:val="0"/>
          <w:iCs w:val="0"/>
          <w:sz w:val="24"/>
        </w:rPr>
        <w:t>4(a)</w:t>
      </w:r>
      <w:r>
        <w:rPr>
          <w:rFonts w:ascii="Times New Roman" w:hAnsi="Times New Roman" w:cs="Times New Roman"/>
          <w:i w:val="0"/>
          <w:iCs w:val="0"/>
          <w:sz w:val="24"/>
        </w:rPr>
        <w:tab/>
        <w:t>Respondents and NAICS Codes</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sidR="00146A6C" w:rsidRDefault="00146A6C">
      <w:pPr>
        <w:widowControl/>
        <w:ind w:firstLine="8640"/>
        <w:rPr>
          <w:sz w:val="24"/>
        </w:rPr>
      </w:pPr>
    </w:p>
    <w:p w:rsidR="00146A6C" w:rsidRDefault="00146A6C">
      <w:pPr>
        <w:widowControl/>
        <w:ind w:firstLine="720"/>
        <w:rPr>
          <w:sz w:val="24"/>
        </w:rPr>
      </w:pPr>
      <w:r>
        <w:rPr>
          <w:sz w:val="24"/>
        </w:rPr>
        <w:t>The following is a list of North American Industry Classification System (NAICS) codes associated with industries most likely affected by the information collection requirements covered in this ICR.</w:t>
      </w:r>
    </w:p>
    <w:p w:rsidR="00146A6C" w:rsidRDefault="00146A6C">
      <w:pPr>
        <w:widowControl/>
        <w:rPr>
          <w:sz w:val="24"/>
        </w:rPr>
      </w:pPr>
    </w:p>
    <w:p w:rsidR="00146A6C" w:rsidRDefault="00146A6C" w:rsidP="001111FB">
      <w:pPr>
        <w:ind w:firstLine="720"/>
        <w:jc w:val="center"/>
        <w:rPr>
          <w:rFonts w:ascii="Times New Roman Bold" w:hAnsi="Times New Roman Bold"/>
          <w:b/>
          <w:bCs/>
          <w:color w:val="3333FF"/>
          <w:sz w:val="24"/>
        </w:rPr>
      </w:pPr>
      <w:r>
        <w:rPr>
          <w:b/>
          <w:bCs/>
          <w:sz w:val="24"/>
        </w:rPr>
        <w:t xml:space="preserve">NAICS Codes of Entities Potentially </w:t>
      </w:r>
      <w:r w:rsidRPr="00270DB5">
        <w:rPr>
          <w:b/>
          <w:bCs/>
          <w:color w:val="000000"/>
          <w:sz w:val="24"/>
        </w:rPr>
        <w:t xml:space="preserve">Affected by </w:t>
      </w:r>
      <w:r w:rsidR="001111FB" w:rsidRPr="00270DB5">
        <w:rPr>
          <w:rFonts w:ascii="Times New Roman Bold" w:hAnsi="Times New Roman Bold"/>
          <w:b/>
          <w:bCs/>
          <w:color w:val="000000"/>
          <w:sz w:val="24"/>
        </w:rPr>
        <w:t>the Subpart K Regulations</w:t>
      </w:r>
    </w:p>
    <w:p w:rsidR="001111FB" w:rsidRPr="001111FB" w:rsidRDefault="001111FB" w:rsidP="001111FB">
      <w:pPr>
        <w:rPr>
          <w:b/>
          <w:bCs/>
          <w:color w:val="3333FF"/>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17"/>
        <w:gridCol w:w="4439"/>
      </w:tblGrid>
      <w:tr w:rsidR="00146A6C">
        <w:trPr>
          <w:cantSplit/>
          <w:tblHeader/>
        </w:trPr>
        <w:tc>
          <w:tcPr>
            <w:tcW w:w="4417" w:type="dxa"/>
            <w:vAlign w:val="bottom"/>
          </w:tcPr>
          <w:p w:rsidR="00146A6C" w:rsidRDefault="00146A6C">
            <w:pPr>
              <w:jc w:val="center"/>
              <w:rPr>
                <w:b/>
                <w:bCs/>
                <w:sz w:val="22"/>
              </w:rPr>
            </w:pPr>
            <w:r>
              <w:rPr>
                <w:b/>
                <w:bCs/>
                <w:sz w:val="22"/>
              </w:rPr>
              <w:t>Description of NAICS Code</w:t>
            </w:r>
          </w:p>
        </w:tc>
        <w:tc>
          <w:tcPr>
            <w:tcW w:w="4439" w:type="dxa"/>
            <w:vAlign w:val="bottom"/>
          </w:tcPr>
          <w:p w:rsidR="00146A6C" w:rsidRDefault="00146A6C">
            <w:pPr>
              <w:jc w:val="center"/>
              <w:rPr>
                <w:b/>
                <w:bCs/>
                <w:sz w:val="22"/>
              </w:rPr>
            </w:pPr>
            <w:r>
              <w:rPr>
                <w:b/>
                <w:bCs/>
                <w:sz w:val="22"/>
              </w:rPr>
              <w:t>NAICS Codes</w:t>
            </w:r>
          </w:p>
        </w:tc>
      </w:tr>
      <w:tr w:rsidR="00146A6C">
        <w:tc>
          <w:tcPr>
            <w:tcW w:w="8856" w:type="dxa"/>
            <w:gridSpan w:val="2"/>
          </w:tcPr>
          <w:p w:rsidR="00146A6C" w:rsidRDefault="00146A6C">
            <w:pPr>
              <w:rPr>
                <w:b/>
                <w:bCs/>
                <w:sz w:val="22"/>
              </w:rPr>
            </w:pPr>
            <w:r>
              <w:rPr>
                <w:b/>
                <w:bCs/>
                <w:sz w:val="22"/>
              </w:rPr>
              <w:t>Colleges and Universities</w:t>
            </w:r>
          </w:p>
        </w:tc>
      </w:tr>
      <w:tr w:rsidR="00146A6C">
        <w:tc>
          <w:tcPr>
            <w:tcW w:w="4417" w:type="dxa"/>
          </w:tcPr>
          <w:p w:rsidR="00146A6C" w:rsidRDefault="00146A6C">
            <w:pPr>
              <w:keepNext/>
              <w:keepLines/>
              <w:rPr>
                <w:sz w:val="22"/>
              </w:rPr>
            </w:pPr>
            <w:r>
              <w:rPr>
                <w:sz w:val="22"/>
              </w:rPr>
              <w:t>Junior Colleges</w:t>
            </w:r>
          </w:p>
        </w:tc>
        <w:tc>
          <w:tcPr>
            <w:tcW w:w="4439" w:type="dxa"/>
          </w:tcPr>
          <w:p w:rsidR="00146A6C" w:rsidRDefault="00146A6C">
            <w:pPr>
              <w:keepNext/>
              <w:keepLines/>
              <w:rPr>
                <w:sz w:val="22"/>
              </w:rPr>
            </w:pPr>
            <w:r>
              <w:rPr>
                <w:sz w:val="22"/>
              </w:rPr>
              <w:t>6112, 61121, 611210</w:t>
            </w:r>
          </w:p>
        </w:tc>
      </w:tr>
      <w:tr w:rsidR="00146A6C">
        <w:tc>
          <w:tcPr>
            <w:tcW w:w="4417" w:type="dxa"/>
          </w:tcPr>
          <w:p w:rsidR="00146A6C" w:rsidRDefault="00146A6C">
            <w:pPr>
              <w:keepNext/>
              <w:keepLines/>
              <w:rPr>
                <w:sz w:val="22"/>
              </w:rPr>
            </w:pPr>
            <w:r>
              <w:rPr>
                <w:sz w:val="22"/>
              </w:rPr>
              <w:t xml:space="preserve">Colleges, Universities, and Professional Schools </w:t>
            </w:r>
          </w:p>
        </w:tc>
        <w:tc>
          <w:tcPr>
            <w:tcW w:w="4439" w:type="dxa"/>
          </w:tcPr>
          <w:p w:rsidR="00146A6C" w:rsidRDefault="00146A6C">
            <w:pPr>
              <w:keepNext/>
              <w:keepLines/>
              <w:rPr>
                <w:sz w:val="22"/>
              </w:rPr>
            </w:pPr>
            <w:r>
              <w:rPr>
                <w:sz w:val="22"/>
              </w:rPr>
              <w:t>6113, 61131, 611310</w:t>
            </w:r>
          </w:p>
        </w:tc>
      </w:tr>
      <w:tr w:rsidR="00146A6C">
        <w:tc>
          <w:tcPr>
            <w:tcW w:w="4417" w:type="dxa"/>
          </w:tcPr>
          <w:p w:rsidR="00146A6C" w:rsidRDefault="00146A6C">
            <w:pPr>
              <w:keepNext/>
              <w:keepLines/>
              <w:rPr>
                <w:sz w:val="22"/>
              </w:rPr>
            </w:pPr>
            <w:r>
              <w:rPr>
                <w:sz w:val="22"/>
              </w:rPr>
              <w:t xml:space="preserve">Technical and Trade Schools </w:t>
            </w:r>
          </w:p>
        </w:tc>
        <w:tc>
          <w:tcPr>
            <w:tcW w:w="4439" w:type="dxa"/>
          </w:tcPr>
          <w:p w:rsidR="00146A6C" w:rsidRDefault="00146A6C">
            <w:pPr>
              <w:keepNext/>
              <w:keepLines/>
              <w:rPr>
                <w:sz w:val="22"/>
              </w:rPr>
            </w:pPr>
            <w:r>
              <w:rPr>
                <w:sz w:val="22"/>
              </w:rPr>
              <w:t>6115, 61151</w:t>
            </w:r>
          </w:p>
        </w:tc>
      </w:tr>
      <w:tr w:rsidR="00146A6C">
        <w:tc>
          <w:tcPr>
            <w:tcW w:w="4417" w:type="dxa"/>
          </w:tcPr>
          <w:p w:rsidR="00146A6C" w:rsidRDefault="00146A6C">
            <w:pPr>
              <w:keepNext/>
              <w:keepLines/>
              <w:rPr>
                <w:sz w:val="22"/>
              </w:rPr>
            </w:pPr>
            <w:r>
              <w:rPr>
                <w:sz w:val="22"/>
              </w:rPr>
              <w:t xml:space="preserve">Other Technical and Trade Schools </w:t>
            </w:r>
          </w:p>
        </w:tc>
        <w:tc>
          <w:tcPr>
            <w:tcW w:w="4439" w:type="dxa"/>
          </w:tcPr>
          <w:p w:rsidR="00146A6C" w:rsidRDefault="00146A6C">
            <w:pPr>
              <w:keepNext/>
              <w:keepLines/>
              <w:rPr>
                <w:sz w:val="22"/>
              </w:rPr>
            </w:pPr>
            <w:r>
              <w:rPr>
                <w:sz w:val="22"/>
              </w:rPr>
              <w:t>611519</w:t>
            </w:r>
          </w:p>
        </w:tc>
      </w:tr>
      <w:tr w:rsidR="00146A6C">
        <w:tc>
          <w:tcPr>
            <w:tcW w:w="4417" w:type="dxa"/>
          </w:tcPr>
          <w:p w:rsidR="00146A6C" w:rsidRDefault="00146A6C">
            <w:pPr>
              <w:keepNext/>
              <w:keepLines/>
              <w:rPr>
                <w:sz w:val="22"/>
              </w:rPr>
            </w:pPr>
            <w:r>
              <w:rPr>
                <w:sz w:val="22"/>
              </w:rPr>
              <w:t>Fine Arts Schools</w:t>
            </w:r>
          </w:p>
        </w:tc>
        <w:tc>
          <w:tcPr>
            <w:tcW w:w="4439" w:type="dxa"/>
          </w:tcPr>
          <w:p w:rsidR="00146A6C" w:rsidRDefault="00146A6C">
            <w:pPr>
              <w:keepNext/>
              <w:keepLines/>
              <w:rPr>
                <w:sz w:val="22"/>
              </w:rPr>
            </w:pPr>
            <w:r>
              <w:rPr>
                <w:sz w:val="22"/>
              </w:rPr>
              <w:t>61161, 611610</w:t>
            </w:r>
          </w:p>
        </w:tc>
      </w:tr>
      <w:tr w:rsidR="00146A6C">
        <w:tc>
          <w:tcPr>
            <w:tcW w:w="8856" w:type="dxa"/>
            <w:gridSpan w:val="2"/>
          </w:tcPr>
          <w:p w:rsidR="00146A6C" w:rsidRDefault="00146A6C">
            <w:pPr>
              <w:rPr>
                <w:b/>
                <w:bCs/>
                <w:sz w:val="22"/>
              </w:rPr>
            </w:pPr>
            <w:r>
              <w:rPr>
                <w:b/>
                <w:bCs/>
                <w:sz w:val="22"/>
              </w:rPr>
              <w:t>Teaching Hospitals</w:t>
            </w:r>
          </w:p>
        </w:tc>
      </w:tr>
      <w:tr w:rsidR="00146A6C">
        <w:tc>
          <w:tcPr>
            <w:tcW w:w="4417" w:type="dxa"/>
            <w:vAlign w:val="center"/>
          </w:tcPr>
          <w:p w:rsidR="00146A6C" w:rsidRDefault="00146A6C">
            <w:pPr>
              <w:rPr>
                <w:bCs/>
                <w:sz w:val="22"/>
              </w:rPr>
            </w:pPr>
            <w:r>
              <w:rPr>
                <w:bCs/>
                <w:sz w:val="22"/>
              </w:rPr>
              <w:t>Veterinary Services (Animal Hospitals)</w:t>
            </w:r>
          </w:p>
        </w:tc>
        <w:tc>
          <w:tcPr>
            <w:tcW w:w="4439" w:type="dxa"/>
            <w:vAlign w:val="center"/>
          </w:tcPr>
          <w:p w:rsidR="00146A6C" w:rsidRDefault="00146A6C">
            <w:pPr>
              <w:rPr>
                <w:bCs/>
                <w:sz w:val="22"/>
              </w:rPr>
            </w:pPr>
            <w:r>
              <w:rPr>
                <w:bCs/>
                <w:sz w:val="22"/>
              </w:rPr>
              <w:t>54194, 541940</w:t>
            </w:r>
          </w:p>
        </w:tc>
      </w:tr>
      <w:tr w:rsidR="00146A6C">
        <w:tc>
          <w:tcPr>
            <w:tcW w:w="4417" w:type="dxa"/>
            <w:vAlign w:val="center"/>
          </w:tcPr>
          <w:p w:rsidR="00146A6C" w:rsidRDefault="00146A6C">
            <w:pPr>
              <w:rPr>
                <w:bCs/>
                <w:sz w:val="22"/>
              </w:rPr>
            </w:pPr>
            <w:r>
              <w:rPr>
                <w:bCs/>
                <w:sz w:val="22"/>
              </w:rPr>
              <w:t>Hospitals</w:t>
            </w:r>
          </w:p>
        </w:tc>
        <w:tc>
          <w:tcPr>
            <w:tcW w:w="4439" w:type="dxa"/>
            <w:vAlign w:val="center"/>
          </w:tcPr>
          <w:p w:rsidR="00146A6C" w:rsidRDefault="00146A6C">
            <w:pPr>
              <w:rPr>
                <w:bCs/>
                <w:sz w:val="22"/>
              </w:rPr>
            </w:pPr>
            <w:r>
              <w:rPr>
                <w:bCs/>
                <w:sz w:val="22"/>
              </w:rPr>
              <w:t>622</w:t>
            </w:r>
          </w:p>
        </w:tc>
      </w:tr>
      <w:tr w:rsidR="00146A6C">
        <w:tc>
          <w:tcPr>
            <w:tcW w:w="4417" w:type="dxa"/>
            <w:vAlign w:val="center"/>
          </w:tcPr>
          <w:p w:rsidR="00146A6C" w:rsidRDefault="00146A6C">
            <w:pPr>
              <w:rPr>
                <w:bCs/>
                <w:sz w:val="22"/>
              </w:rPr>
            </w:pPr>
            <w:r>
              <w:rPr>
                <w:bCs/>
                <w:sz w:val="22"/>
              </w:rPr>
              <w:t>General Medical and Surgical Hospitals</w:t>
            </w:r>
          </w:p>
        </w:tc>
        <w:tc>
          <w:tcPr>
            <w:tcW w:w="4439" w:type="dxa"/>
            <w:vAlign w:val="center"/>
          </w:tcPr>
          <w:p w:rsidR="00146A6C" w:rsidRDefault="00146A6C">
            <w:pPr>
              <w:rPr>
                <w:bCs/>
                <w:sz w:val="22"/>
              </w:rPr>
            </w:pPr>
            <w:r>
              <w:rPr>
                <w:bCs/>
                <w:sz w:val="22"/>
              </w:rPr>
              <w:t>6221, 62211, 622110</w:t>
            </w:r>
          </w:p>
        </w:tc>
      </w:tr>
      <w:tr w:rsidR="00146A6C">
        <w:tc>
          <w:tcPr>
            <w:tcW w:w="4417" w:type="dxa"/>
            <w:vAlign w:val="center"/>
          </w:tcPr>
          <w:p w:rsidR="00146A6C" w:rsidRDefault="00146A6C">
            <w:pPr>
              <w:rPr>
                <w:bCs/>
                <w:sz w:val="22"/>
              </w:rPr>
            </w:pPr>
            <w:r>
              <w:rPr>
                <w:bCs/>
                <w:sz w:val="22"/>
              </w:rPr>
              <w:t>Psychiatric and Substance Abuse Hospitals</w:t>
            </w:r>
          </w:p>
        </w:tc>
        <w:tc>
          <w:tcPr>
            <w:tcW w:w="4439" w:type="dxa"/>
            <w:vAlign w:val="center"/>
          </w:tcPr>
          <w:p w:rsidR="00146A6C" w:rsidRDefault="00146A6C">
            <w:pPr>
              <w:rPr>
                <w:bCs/>
                <w:sz w:val="22"/>
              </w:rPr>
            </w:pPr>
            <w:r>
              <w:rPr>
                <w:bCs/>
                <w:sz w:val="22"/>
              </w:rPr>
              <w:t>6222, 62221, 622210</w:t>
            </w:r>
          </w:p>
        </w:tc>
      </w:tr>
      <w:tr w:rsidR="00146A6C">
        <w:tc>
          <w:tcPr>
            <w:tcW w:w="4417" w:type="dxa"/>
            <w:vAlign w:val="center"/>
          </w:tcPr>
          <w:p w:rsidR="00146A6C" w:rsidRDefault="00146A6C">
            <w:pPr>
              <w:rPr>
                <w:bCs/>
                <w:sz w:val="22"/>
              </w:rPr>
            </w:pPr>
            <w:r>
              <w:rPr>
                <w:bCs/>
                <w:sz w:val="22"/>
              </w:rPr>
              <w:t>Specialty (except Psychiatric and Substance Abuse) Hospitals</w:t>
            </w:r>
          </w:p>
        </w:tc>
        <w:tc>
          <w:tcPr>
            <w:tcW w:w="4439" w:type="dxa"/>
            <w:vAlign w:val="center"/>
          </w:tcPr>
          <w:p w:rsidR="00146A6C" w:rsidRDefault="00146A6C">
            <w:pPr>
              <w:rPr>
                <w:bCs/>
                <w:sz w:val="22"/>
              </w:rPr>
            </w:pPr>
            <w:r>
              <w:rPr>
                <w:bCs/>
                <w:sz w:val="22"/>
              </w:rPr>
              <w:t>6223, 62231, 622310</w:t>
            </w:r>
          </w:p>
        </w:tc>
      </w:tr>
      <w:tr w:rsidR="00146A6C">
        <w:tc>
          <w:tcPr>
            <w:tcW w:w="8856" w:type="dxa"/>
            <w:gridSpan w:val="2"/>
          </w:tcPr>
          <w:p w:rsidR="00146A6C" w:rsidRDefault="00146A6C">
            <w:pPr>
              <w:rPr>
                <w:b/>
                <w:bCs/>
                <w:sz w:val="22"/>
              </w:rPr>
            </w:pPr>
            <w:r>
              <w:rPr>
                <w:b/>
                <w:bCs/>
                <w:sz w:val="22"/>
              </w:rPr>
              <w:t>Non-Profit Research Institutes</w:t>
            </w:r>
          </w:p>
        </w:tc>
      </w:tr>
      <w:tr w:rsidR="00146A6C">
        <w:tc>
          <w:tcPr>
            <w:tcW w:w="4417" w:type="dxa"/>
          </w:tcPr>
          <w:p w:rsidR="00146A6C" w:rsidRDefault="00146A6C">
            <w:pPr>
              <w:rPr>
                <w:bCs/>
                <w:sz w:val="22"/>
              </w:rPr>
            </w:pPr>
            <w:r>
              <w:rPr>
                <w:bCs/>
                <w:sz w:val="22"/>
              </w:rPr>
              <w:t>Research and Development in the Physical, Engineering, and Life Sciences</w:t>
            </w:r>
          </w:p>
        </w:tc>
        <w:tc>
          <w:tcPr>
            <w:tcW w:w="4439" w:type="dxa"/>
          </w:tcPr>
          <w:p w:rsidR="00146A6C" w:rsidRDefault="00146A6C">
            <w:pPr>
              <w:rPr>
                <w:bCs/>
                <w:sz w:val="22"/>
              </w:rPr>
            </w:pPr>
            <w:r>
              <w:rPr>
                <w:bCs/>
                <w:sz w:val="22"/>
              </w:rPr>
              <w:t>5417, 54171, 541710</w:t>
            </w:r>
          </w:p>
        </w:tc>
      </w:tr>
      <w:tr w:rsidR="00146A6C">
        <w:tc>
          <w:tcPr>
            <w:tcW w:w="4417" w:type="dxa"/>
          </w:tcPr>
          <w:p w:rsidR="00146A6C" w:rsidRDefault="00146A6C">
            <w:pPr>
              <w:rPr>
                <w:bCs/>
                <w:sz w:val="22"/>
              </w:rPr>
            </w:pPr>
            <w:r>
              <w:rPr>
                <w:bCs/>
                <w:sz w:val="22"/>
              </w:rPr>
              <w:t>Research and Development in the Social Sciences and Humanities</w:t>
            </w:r>
          </w:p>
        </w:tc>
        <w:tc>
          <w:tcPr>
            <w:tcW w:w="4439" w:type="dxa"/>
          </w:tcPr>
          <w:p w:rsidR="00146A6C" w:rsidRDefault="00146A6C">
            <w:pPr>
              <w:rPr>
                <w:bCs/>
                <w:sz w:val="22"/>
              </w:rPr>
            </w:pPr>
            <w:r>
              <w:rPr>
                <w:bCs/>
                <w:sz w:val="22"/>
              </w:rPr>
              <w:t>54172, 541720</w:t>
            </w:r>
          </w:p>
        </w:tc>
      </w:tr>
    </w:tbl>
    <w:p w:rsidR="00146A6C" w:rsidRDefault="00146A6C">
      <w:pPr>
        <w:pStyle w:val="Heading2"/>
        <w:ind w:firstLine="720"/>
        <w:rPr>
          <w:rFonts w:ascii="Times New Roman" w:hAnsi="Times New Roman" w:cs="Times New Roman"/>
          <w:i w:val="0"/>
          <w:iCs w:val="0"/>
          <w:sz w:val="24"/>
        </w:rPr>
      </w:pPr>
      <w:bookmarkStart w:id="257" w:name="_Toc146594787"/>
      <w:bookmarkStart w:id="258" w:name="_Toc194233047"/>
      <w:bookmarkStart w:id="259" w:name="_Toc194321370"/>
      <w:bookmarkStart w:id="260" w:name="_Toc194321583"/>
      <w:bookmarkStart w:id="261" w:name="_Toc194395937"/>
      <w:bookmarkStart w:id="262" w:name="_Toc195523823"/>
      <w:bookmarkStart w:id="263" w:name="_Toc195524034"/>
      <w:bookmarkStart w:id="264" w:name="_Toc198053457"/>
      <w:bookmarkStart w:id="265" w:name="_Toc199176360"/>
      <w:bookmarkStart w:id="266" w:name="_Toc201152819"/>
      <w:bookmarkStart w:id="267" w:name="_Toc201153932"/>
      <w:bookmarkStart w:id="268" w:name="_Toc203626037"/>
      <w:bookmarkStart w:id="269" w:name="_Toc203626144"/>
      <w:bookmarkStart w:id="270" w:name="_Toc203711638"/>
      <w:bookmarkStart w:id="271" w:name="_Toc203715785"/>
      <w:bookmarkStart w:id="272" w:name="_Toc327953066"/>
      <w:r>
        <w:rPr>
          <w:rFonts w:ascii="Times New Roman" w:hAnsi="Times New Roman" w:cs="Times New Roman"/>
          <w:i w:val="0"/>
          <w:iCs w:val="0"/>
          <w:sz w:val="24"/>
        </w:rPr>
        <w:t>4(b)</w:t>
      </w:r>
      <w:r>
        <w:rPr>
          <w:rFonts w:ascii="Times New Roman" w:hAnsi="Times New Roman" w:cs="Times New Roman"/>
          <w:i w:val="0"/>
          <w:iCs w:val="0"/>
          <w:sz w:val="24"/>
        </w:rPr>
        <w:tab/>
        <w:t>Information Requested</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146A6C" w:rsidRDefault="00146A6C"/>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t>Notification of Intent to Comply with Subpart K and Recordkeeping of Agreements</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ab/>
        <w:t xml:space="preserve">40 </w:t>
      </w:r>
      <w:r>
        <w:rPr>
          <w:rFonts w:ascii="Times New Roman" w:hAnsi="Times New Roman" w:cs="Times New Roman"/>
          <w:i/>
          <w:sz w:val="24"/>
          <w:szCs w:val="24"/>
        </w:rPr>
        <w:t>CFR</w:t>
      </w:r>
      <w:r>
        <w:rPr>
          <w:rFonts w:ascii="Times New Roman" w:hAnsi="Times New Roman" w:cs="Times New Roman"/>
          <w:sz w:val="24"/>
          <w:szCs w:val="24"/>
        </w:rPr>
        <w:t xml:space="preserve"> 262.203(a) provides that an eligible academic entity must notify the appropriate EPA Regional Administrator in writing, using the RCRA Subtitle C Site Identification Form (EPA Form 8700-12), that it is electing to be subject to the requirements of Subpart K for all the laboratories owned by the eligible academic entity under the same EPA Identification Number.  An eligible academic entity that is a conditionally exempt small quantity generator and does not have an EPA Identification Number must notify that it is electing to be subject to the requirements of Subpart K for all the laboratories owned by the eligible academic entity that are on-site.  An eligible academic entity must submit a separate notification (Site Identification Form) for each EPA Identification Number (or site, for conditionally exempt small quantity generators) that is electing to be subject to the requirements of Subpart K.</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When submitting the Site Identification Form, the eligible academic entity must, at a minimum, fill out the fields on the form that are specified at section 262.203(b)(1)-(11).</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Section 262.203(c) provides that an eligible academic entity must keep a copy of the notification on file at the eligible academic entity while its laboratories are subject to Subpart K.</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Section 262.203(d) provides that a teaching hospital that is not owned by a college or university must keep a copy of its formal written affiliation agreement with a college or university on file at the teaching hospital while its laboratories are subject to Subpart K.</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ab/>
        <w:t>Section 262.203(e) provides that a non-profit research institute that is not owned by a college or university must keep a copy of its formal written affiliation agreement with a college or university on file at the non-profit research institute while its laboratories are subject to Subpart K.</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r>
      <w:r>
        <w:rPr>
          <w:rFonts w:ascii="Times New Roman" w:hAnsi="Times New Roman" w:cs="Times New Roman"/>
          <w:sz w:val="24"/>
          <w:szCs w:val="24"/>
          <w:u w:val="single"/>
        </w:rPr>
        <w:t>Data Items:</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146A6C" w:rsidRDefault="00146A6C">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440"/>
        </w:tabs>
        <w:ind w:left="1440"/>
        <w:rPr>
          <w:rFonts w:ascii="Times New Roman" w:hAnsi="Times New Roman" w:cs="Times New Roman"/>
          <w:sz w:val="24"/>
          <w:szCs w:val="24"/>
        </w:rPr>
      </w:pPr>
      <w:r>
        <w:rPr>
          <w:rFonts w:ascii="Times New Roman" w:hAnsi="Times New Roman" w:cs="Times New Roman"/>
          <w:sz w:val="24"/>
          <w:szCs w:val="24"/>
        </w:rPr>
        <w:t>A Site Identification Form with the following fields filled out, at a minimum:</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Reason for Submittal;</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EPA Identification Number (except for conditionally exempt small quantity generators);</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Name;</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Location Information;</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smartTag w:uri="urn:schemas-microsoft-com:office:smarttags" w:element="place">
        <w:smartTag w:uri="urn:schemas-microsoft-com:office:smarttags" w:element="PlaceName">
          <w:r>
            <w:rPr>
              <w:rFonts w:ascii="Times New Roman" w:hAnsi="Times New Roman" w:cs="Times New Roman"/>
              <w:sz w:val="24"/>
              <w:szCs w:val="24"/>
            </w:rPr>
            <w:t>Site</w:t>
          </w:r>
        </w:smartTag>
        <w:r>
          <w:rPr>
            <w:rFonts w:ascii="Times New Roman" w:hAnsi="Times New Roman" w:cs="Times New Roman"/>
            <w:sz w:val="24"/>
            <w:szCs w:val="24"/>
          </w:rPr>
          <w:t xml:space="preserve"> </w:t>
        </w:r>
        <w:smartTag w:uri="urn:schemas-microsoft-com:office:smarttags" w:element="PlaceType">
          <w:r>
            <w:rPr>
              <w:rFonts w:ascii="Times New Roman" w:hAnsi="Times New Roman" w:cs="Times New Roman"/>
              <w:sz w:val="24"/>
              <w:szCs w:val="24"/>
            </w:rPr>
            <w:t>Land</w:t>
          </w:r>
        </w:smartTag>
      </w:smartTag>
      <w:r>
        <w:rPr>
          <w:rFonts w:ascii="Times New Roman" w:hAnsi="Times New Roman" w:cs="Times New Roman"/>
          <w:sz w:val="24"/>
          <w:szCs w:val="24"/>
        </w:rPr>
        <w:t xml:space="preserve"> Type;</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North American Industry Classification System (NAICS) Code(s) for the Site;</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Mailing Address;</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Contact Person;</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Operator and Legal Owner of the Site;</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Type of Regulated Waste Activity; and</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firstLine="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Certification.</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146A6C" w:rsidRDefault="00146A6C">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440"/>
        </w:tabs>
        <w:ind w:left="1440"/>
        <w:rPr>
          <w:rFonts w:ascii="Times New Roman" w:hAnsi="Times New Roman" w:cs="Times New Roman"/>
          <w:sz w:val="24"/>
          <w:szCs w:val="24"/>
        </w:rPr>
      </w:pPr>
      <w:r>
        <w:rPr>
          <w:rFonts w:ascii="Times New Roman" w:hAnsi="Times New Roman" w:cs="Times New Roman"/>
          <w:sz w:val="24"/>
          <w:szCs w:val="24"/>
        </w:rPr>
        <w:t xml:space="preserve">A copy of the formal written affiliation agreement with a college or university , as specified under section 262.203(d). </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rsidR="00146A6C" w:rsidRDefault="00146A6C">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440"/>
        </w:tabs>
        <w:ind w:left="1440"/>
        <w:rPr>
          <w:rFonts w:ascii="Times New Roman" w:hAnsi="Times New Roman" w:cs="Times New Roman"/>
          <w:sz w:val="24"/>
          <w:szCs w:val="24"/>
        </w:rPr>
      </w:pPr>
      <w:r>
        <w:rPr>
          <w:rFonts w:ascii="Times New Roman" w:hAnsi="Times New Roman" w:cs="Times New Roman"/>
          <w:sz w:val="24"/>
          <w:szCs w:val="24"/>
        </w:rPr>
        <w:t xml:space="preserve">A copy of the formal written affiliation agreement with a college or university, as specified under section 262.203(e). </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r>
        <w:rPr>
          <w:rFonts w:ascii="Times New Roman" w:hAnsi="Times New Roman" w:cs="Times New Roman"/>
          <w:sz w:val="24"/>
          <w:szCs w:val="24"/>
        </w:rPr>
        <w:lastRenderedPageBreak/>
        <w:tab/>
        <w:t>(ii)</w:t>
      </w:r>
      <w:r>
        <w:rPr>
          <w:rFonts w:ascii="Times New Roman" w:hAnsi="Times New Roman" w:cs="Times New Roman"/>
          <w:sz w:val="24"/>
          <w:szCs w:val="24"/>
        </w:rPr>
        <w:tab/>
      </w:r>
      <w:r>
        <w:rPr>
          <w:rFonts w:ascii="Times New Roman" w:hAnsi="Times New Roman" w:cs="Times New Roman"/>
          <w:sz w:val="24"/>
          <w:szCs w:val="24"/>
          <w:u w:val="single"/>
        </w:rPr>
        <w:t>Respondent Activities:</w:t>
      </w:r>
    </w:p>
    <w:p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146A6C" w:rsidRDefault="00146A6C">
      <w:pPr>
        <w:pStyle w:val="HTMLPreformatted"/>
        <w:keepNext/>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440"/>
        </w:tabs>
        <w:ind w:left="1440"/>
        <w:rPr>
          <w:rFonts w:ascii="Times New Roman" w:hAnsi="Times New Roman" w:cs="Times New Roman"/>
          <w:sz w:val="24"/>
          <w:szCs w:val="24"/>
        </w:rPr>
      </w:pPr>
      <w:r>
        <w:rPr>
          <w:rFonts w:ascii="Times New Roman" w:hAnsi="Times New Roman" w:cs="Times New Roman"/>
          <w:sz w:val="24"/>
          <w:szCs w:val="24"/>
        </w:rPr>
        <w:t>Eligible academic entities electing to be subject to the requirements of Subpart K must perform the following:</w:t>
      </w:r>
    </w:p>
    <w:p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Prepare and submit Site Identification Form; and</w:t>
      </w:r>
    </w:p>
    <w:p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Keep a copy of the notification on file.</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146A6C" w:rsidRDefault="00146A6C">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440"/>
        </w:tabs>
        <w:ind w:left="1440"/>
        <w:rPr>
          <w:rFonts w:ascii="Times New Roman" w:hAnsi="Times New Roman" w:cs="Times New Roman"/>
          <w:sz w:val="24"/>
          <w:szCs w:val="24"/>
        </w:rPr>
      </w:pPr>
      <w:r>
        <w:rPr>
          <w:rFonts w:ascii="Times New Roman" w:hAnsi="Times New Roman" w:cs="Times New Roman"/>
          <w:sz w:val="24"/>
          <w:szCs w:val="24"/>
        </w:rPr>
        <w:t xml:space="preserve">Teaching hospitals that are not owned by a college or university must keep a copy of their formal written affiliation agreement with college or university on file while its laboratories are subject to Subpart K. </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rsidR="00146A6C" w:rsidRDefault="00146A6C">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440"/>
        </w:tabs>
        <w:ind w:left="1440"/>
        <w:rPr>
          <w:rFonts w:ascii="Times New Roman" w:hAnsi="Times New Roman" w:cs="Times New Roman"/>
          <w:sz w:val="24"/>
          <w:szCs w:val="24"/>
        </w:rPr>
      </w:pPr>
      <w:r>
        <w:rPr>
          <w:rFonts w:ascii="Times New Roman" w:hAnsi="Times New Roman" w:cs="Times New Roman"/>
          <w:sz w:val="24"/>
          <w:szCs w:val="24"/>
        </w:rPr>
        <w:t>Non-profit research institutes that are not owned by a college or university must keep a copy of the formal written affiliation agreement with a college or university on file at the non-profit research institute while its laboratories are subject to Subpart K.</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b/>
          <w:bCs/>
          <w:sz w:val="24"/>
          <w:szCs w:val="24"/>
        </w:rPr>
        <w:tab/>
        <w:t>Notification of Withdrawal from Subpart K</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146A6C" w:rsidRDefault="00146A6C">
      <w:pPr>
        <w:rPr>
          <w:sz w:val="24"/>
        </w:rPr>
      </w:pPr>
      <w:r>
        <w:rPr>
          <w:sz w:val="24"/>
        </w:rPr>
        <w:tab/>
        <w:t xml:space="preserve">40 </w:t>
      </w:r>
      <w:r>
        <w:rPr>
          <w:i/>
          <w:sz w:val="24"/>
        </w:rPr>
        <w:t>CFR</w:t>
      </w:r>
      <w:r>
        <w:rPr>
          <w:sz w:val="24"/>
        </w:rPr>
        <w:t xml:space="preserve"> 262.204(a) provides that an eligible academic entity must notify the appropriate EPA Regional Administrator in writing, using the RCRA Subtitle C Site Identification Form (EPA Form 8700-12), that it is electing to no longer be subject to the requirements of Subpart K for all the laboratories owned by the eligible academic entity under the same EPA Identification Number.  An eligible academic entity that is a conditionally exempt small quantity generator and does not have an EPA Identification Number must notify that it is withdrawing from the requirements of Subpart K for all the laboratories owned by the eligible academic entity that are on-site.  An eligible academic entity must submit a separate notification (Site Identification Form) for each EPA Identification Number (or site, for conditionally exempt small quantity generators) that is withdrawing from the requirements of Subpart K.</w:t>
      </w:r>
    </w:p>
    <w:p w:rsidR="00146A6C" w:rsidRDefault="00146A6C">
      <w:pPr>
        <w:rPr>
          <w:sz w:val="24"/>
        </w:rPr>
      </w:pPr>
    </w:p>
    <w:p w:rsidR="00146A6C" w:rsidRDefault="00146A6C">
      <w:pPr>
        <w:ind w:firstLine="720"/>
        <w:rPr>
          <w:sz w:val="24"/>
        </w:rPr>
      </w:pPr>
      <w:r>
        <w:rPr>
          <w:sz w:val="24"/>
        </w:rPr>
        <w:t>When submitting the Site Identification Form, the eligible academic entity must, at a minimum, fill out the fields on the form that are specified at section 262.204(b)(1)-(11).</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ab/>
        <w:t>Section 262.204(c) provides that an eligible academic entity must keep a copy of the withdrawal notice on file at the eligible academic entity for three years from the date of the notification.</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r>
      <w:r>
        <w:rPr>
          <w:rFonts w:ascii="Times New Roman" w:hAnsi="Times New Roman" w:cs="Times New Roman"/>
          <w:sz w:val="24"/>
          <w:szCs w:val="24"/>
          <w:u w:val="single"/>
        </w:rPr>
        <w:t>Data Items:</w:t>
      </w:r>
    </w:p>
    <w:p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146A6C" w:rsidRDefault="00146A6C">
      <w:pPr>
        <w:pStyle w:val="HTMLPreformatted"/>
        <w:keepNext/>
        <w:numPr>
          <w:ilvl w:val="0"/>
          <w:numId w:val="2"/>
        </w:numPr>
        <w:tabs>
          <w:tab w:val="clear" w:pos="916"/>
          <w:tab w:val="clear" w:pos="1832"/>
          <w:tab w:val="clear"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r>
        <w:rPr>
          <w:rFonts w:ascii="Times New Roman" w:hAnsi="Times New Roman" w:cs="Times New Roman"/>
          <w:sz w:val="24"/>
          <w:szCs w:val="24"/>
        </w:rPr>
        <w:t>A Site Identification Form with the following fields filled out, at a minimum:</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Reason for Submittal;</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EPA Identification Number (except for conditionally exempt small quantity generators);</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Site Name;</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Location Information;</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smartTag w:uri="urn:schemas-microsoft-com:office:smarttags" w:element="place">
        <w:smartTag w:uri="urn:schemas-microsoft-com:office:smarttags" w:element="PlaceName">
          <w:r>
            <w:rPr>
              <w:rFonts w:ascii="Times New Roman" w:hAnsi="Times New Roman" w:cs="Times New Roman"/>
              <w:sz w:val="24"/>
              <w:szCs w:val="24"/>
            </w:rPr>
            <w:t>Site</w:t>
          </w:r>
        </w:smartTag>
        <w:r>
          <w:rPr>
            <w:rFonts w:ascii="Times New Roman" w:hAnsi="Times New Roman" w:cs="Times New Roman"/>
            <w:sz w:val="24"/>
            <w:szCs w:val="24"/>
          </w:rPr>
          <w:t xml:space="preserve"> </w:t>
        </w:r>
        <w:smartTag w:uri="urn:schemas-microsoft-com:office:smarttags" w:element="PlaceType">
          <w:r>
            <w:rPr>
              <w:rFonts w:ascii="Times New Roman" w:hAnsi="Times New Roman" w:cs="Times New Roman"/>
              <w:sz w:val="24"/>
              <w:szCs w:val="24"/>
            </w:rPr>
            <w:t>Land</w:t>
          </w:r>
        </w:smartTag>
      </w:smartTag>
      <w:r>
        <w:rPr>
          <w:rFonts w:ascii="Times New Roman" w:hAnsi="Times New Roman" w:cs="Times New Roman"/>
          <w:sz w:val="24"/>
          <w:szCs w:val="24"/>
        </w:rPr>
        <w:t xml:space="preserve"> Type;</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North American Industry Classification System (NAICS) Code(s) for the Site;</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Mailing Address;</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Contact Person;</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Operator and Legal Owner of the Site;</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Type of Regulated Waste Activity; and</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firstLine="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Certification.</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FF0000"/>
          <w:sz w:val="24"/>
          <w:szCs w:val="24"/>
        </w:rPr>
      </w:pPr>
    </w:p>
    <w:p w:rsidR="00146A6C" w:rsidRDefault="00146A6C">
      <w:pPr>
        <w:ind w:firstLine="720"/>
        <w:rPr>
          <w:sz w:val="24"/>
          <w:u w:val="single"/>
        </w:rPr>
      </w:pPr>
      <w:r>
        <w:rPr>
          <w:sz w:val="24"/>
        </w:rPr>
        <w:t>(ii)</w:t>
      </w:r>
      <w:r>
        <w:rPr>
          <w:sz w:val="24"/>
        </w:rPr>
        <w:tab/>
      </w:r>
      <w:r>
        <w:rPr>
          <w:sz w:val="24"/>
          <w:u w:val="single"/>
        </w:rPr>
        <w:t>Respondent Activities:</w:t>
      </w:r>
    </w:p>
    <w:p w:rsidR="00146A6C" w:rsidRDefault="00146A6C">
      <w:pPr>
        <w:ind w:firstLine="720"/>
        <w:rPr>
          <w:u w:val="single"/>
        </w:rPr>
      </w:pPr>
    </w:p>
    <w:p w:rsidR="00146A6C" w:rsidRDefault="00146A6C">
      <w:pPr>
        <w:pStyle w:val="HTMLPreformatted"/>
        <w:numPr>
          <w:ilvl w:val="0"/>
          <w:numId w:val="2"/>
        </w:numPr>
        <w:tabs>
          <w:tab w:val="clear" w:pos="916"/>
          <w:tab w:val="clear" w:pos="1832"/>
          <w:tab w:val="clear"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r>
        <w:rPr>
          <w:rFonts w:ascii="Times New Roman" w:hAnsi="Times New Roman" w:cs="Times New Roman"/>
          <w:sz w:val="24"/>
          <w:szCs w:val="24"/>
        </w:rPr>
        <w:t>Prepare and submit Site Identification Form; and</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rsidR="00146A6C" w:rsidRDefault="00146A6C">
      <w:pPr>
        <w:pStyle w:val="HTMLPreformatted"/>
        <w:numPr>
          <w:ilvl w:val="0"/>
          <w:numId w:val="2"/>
        </w:numPr>
        <w:tabs>
          <w:tab w:val="clear" w:pos="916"/>
          <w:tab w:val="clear" w:pos="1832"/>
          <w:tab w:val="clear"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r>
        <w:rPr>
          <w:rFonts w:ascii="Times New Roman" w:hAnsi="Times New Roman" w:cs="Times New Roman"/>
          <w:sz w:val="24"/>
          <w:szCs w:val="24"/>
        </w:rPr>
        <w:t>Keep a copy of the withdrawal notice on file.</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t>Labeling of Containers of Unwanted Material in the Laboratory</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146A6C" w:rsidRDefault="00146A6C">
      <w:pPr>
        <w:ind w:firstLine="720"/>
        <w:rPr>
          <w:sz w:val="24"/>
        </w:rPr>
      </w:pPr>
      <w:r>
        <w:rPr>
          <w:sz w:val="24"/>
        </w:rPr>
        <w:t xml:space="preserve">40 </w:t>
      </w:r>
      <w:r>
        <w:rPr>
          <w:i/>
          <w:sz w:val="24"/>
        </w:rPr>
        <w:t>CFR</w:t>
      </w:r>
      <w:r>
        <w:rPr>
          <w:sz w:val="24"/>
        </w:rPr>
        <w:t xml:space="preserve"> 262.206 provides that an eligible academic entity must label and manage containers of unwanted material while in the laboratory in accordance with the requirements in section 262.206.  </w:t>
      </w:r>
    </w:p>
    <w:p w:rsidR="00146A6C" w:rsidRDefault="00146A6C">
      <w:pPr>
        <w:ind w:firstLine="720"/>
        <w:rPr>
          <w:sz w:val="24"/>
        </w:rPr>
      </w:pPr>
    </w:p>
    <w:p w:rsidR="00146A6C" w:rsidRDefault="00146A6C">
      <w:pPr>
        <w:ind w:firstLine="720"/>
        <w:rPr>
          <w:sz w:val="24"/>
        </w:rPr>
      </w:pPr>
      <w:r>
        <w:rPr>
          <w:sz w:val="24"/>
        </w:rPr>
        <w:t>Section 262.206(a)(1) requires that the following information must be affixed or attached to the container: the words ”unwanted material” or another equally effective term that is to be used consistently by the eligible academic entity and that is identified in Part I of the Laboratory Management Plan (262.206(a)(1)(i)), and sufficient information to alert emergency responders to the contents of the container (262.206(a)(1)(ii)).</w:t>
      </w:r>
    </w:p>
    <w:p w:rsidR="00146A6C" w:rsidRDefault="00146A6C">
      <w:pPr>
        <w:ind w:firstLine="720"/>
        <w:rPr>
          <w:sz w:val="24"/>
        </w:rPr>
      </w:pPr>
    </w:p>
    <w:p w:rsidR="00146A6C" w:rsidRDefault="00146A6C">
      <w:pPr>
        <w:ind w:firstLine="720"/>
        <w:rPr>
          <w:sz w:val="24"/>
        </w:rPr>
      </w:pPr>
      <w:r>
        <w:rPr>
          <w:sz w:val="24"/>
        </w:rPr>
        <w:t xml:space="preserve">Section 262.206(a)(2) provides that the following information may be affixed or attached to the container, but must at least be associated with the container: the date that the unwanted material first began accumulating in the container (262.206(a)(2)(i)) and information sufficient to allow a trained professional to properly identify whether an unwanted material is a solid and hazardous waste and to assign the proper hazardous waste code(s), pursuant to section 262.11 (262.206(a)(2)(ii)). </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r>
      <w:r>
        <w:rPr>
          <w:rFonts w:ascii="Times New Roman" w:hAnsi="Times New Roman" w:cs="Times New Roman"/>
          <w:sz w:val="24"/>
          <w:szCs w:val="24"/>
          <w:u w:val="single"/>
        </w:rPr>
        <w:t>Data Items:</w:t>
      </w:r>
    </w:p>
    <w:p w:rsidR="00146A6C" w:rsidRDefault="00146A6C">
      <w:pPr>
        <w:ind w:firstLine="720"/>
        <w:rPr>
          <w:sz w:val="24"/>
        </w:rPr>
      </w:pPr>
    </w:p>
    <w:p w:rsidR="00146A6C" w:rsidRDefault="00146A6C">
      <w:pPr>
        <w:numPr>
          <w:ilvl w:val="0"/>
          <w:numId w:val="2"/>
        </w:numPr>
        <w:tabs>
          <w:tab w:val="clear" w:pos="2160"/>
        </w:tabs>
        <w:ind w:left="1440"/>
        <w:rPr>
          <w:sz w:val="24"/>
        </w:rPr>
      </w:pPr>
      <w:r>
        <w:rPr>
          <w:sz w:val="24"/>
        </w:rPr>
        <w:t xml:space="preserve">Information that is affixed or attached to the container, including: </w:t>
      </w:r>
    </w:p>
    <w:p w:rsidR="00146A6C" w:rsidRDefault="00146A6C">
      <w:pPr>
        <w:ind w:left="2160" w:hanging="720"/>
        <w:rPr>
          <w:sz w:val="24"/>
        </w:rPr>
      </w:pPr>
      <w:r>
        <w:rPr>
          <w:sz w:val="24"/>
        </w:rPr>
        <w:t xml:space="preserve">--  </w:t>
      </w:r>
      <w:r>
        <w:rPr>
          <w:sz w:val="24"/>
        </w:rPr>
        <w:tab/>
        <w:t xml:space="preserve">Words ”unwanted material” or another equally effective term that is to be used consistently by the eligible academic entity and that is identified in Part I of the Laboratory Management Plan; and </w:t>
      </w:r>
    </w:p>
    <w:p w:rsidR="00146A6C" w:rsidRDefault="00146A6C">
      <w:pPr>
        <w:ind w:left="2160" w:hanging="720"/>
        <w:rPr>
          <w:sz w:val="24"/>
        </w:rPr>
      </w:pPr>
      <w:r>
        <w:rPr>
          <w:sz w:val="24"/>
        </w:rPr>
        <w:t xml:space="preserve">-- </w:t>
      </w:r>
      <w:r>
        <w:rPr>
          <w:sz w:val="24"/>
        </w:rPr>
        <w:tab/>
        <w:t>Sufficient information to alert emergency responders to the contents of the container.  Examples of information that would be sufficient to alert emergency responders to the contents of the container include, but are not limited to, the following:</w:t>
      </w:r>
    </w:p>
    <w:p w:rsidR="00146A6C" w:rsidRDefault="00146A6C">
      <w:pPr>
        <w:ind w:left="2880" w:hanging="720"/>
        <w:rPr>
          <w:sz w:val="24"/>
        </w:rPr>
      </w:pPr>
      <w:r>
        <w:rPr>
          <w:sz w:val="24"/>
        </w:rPr>
        <w:lastRenderedPageBreak/>
        <w:t>-</w:t>
      </w:r>
      <w:r>
        <w:rPr>
          <w:sz w:val="24"/>
        </w:rPr>
        <w:tab/>
        <w:t>Name of the chemical(s).</w:t>
      </w:r>
    </w:p>
    <w:p w:rsidR="00146A6C" w:rsidRDefault="00146A6C">
      <w:pPr>
        <w:ind w:left="2880" w:hanging="720"/>
        <w:rPr>
          <w:sz w:val="24"/>
        </w:rPr>
      </w:pPr>
      <w:r>
        <w:rPr>
          <w:sz w:val="24"/>
        </w:rPr>
        <w:t>-</w:t>
      </w:r>
      <w:r>
        <w:rPr>
          <w:sz w:val="24"/>
        </w:rPr>
        <w:tab/>
        <w:t>Type or class of chemical, such as organic solvents or halogenated organic solvents.</w:t>
      </w:r>
    </w:p>
    <w:p w:rsidR="00146A6C" w:rsidRDefault="00146A6C">
      <w:pPr>
        <w:ind w:firstLine="720"/>
        <w:rPr>
          <w:sz w:val="24"/>
        </w:rPr>
      </w:pPr>
    </w:p>
    <w:p w:rsidR="00146A6C" w:rsidRDefault="00146A6C">
      <w:pPr>
        <w:numPr>
          <w:ilvl w:val="0"/>
          <w:numId w:val="2"/>
        </w:numPr>
        <w:tabs>
          <w:tab w:val="clear" w:pos="2160"/>
        </w:tabs>
        <w:ind w:left="1440"/>
        <w:rPr>
          <w:sz w:val="24"/>
        </w:rPr>
      </w:pPr>
      <w:r>
        <w:rPr>
          <w:sz w:val="24"/>
        </w:rPr>
        <w:t xml:space="preserve">Information that may be affixed or attached to the container, but that must at least be associated with the container, including: </w:t>
      </w:r>
    </w:p>
    <w:p w:rsidR="00146A6C" w:rsidRDefault="00146A6C">
      <w:pPr>
        <w:ind w:left="2160" w:hanging="720"/>
        <w:rPr>
          <w:sz w:val="24"/>
        </w:rPr>
      </w:pPr>
      <w:r>
        <w:rPr>
          <w:sz w:val="24"/>
        </w:rPr>
        <w:t>--</w:t>
      </w:r>
      <w:r>
        <w:rPr>
          <w:sz w:val="24"/>
        </w:rPr>
        <w:tab/>
        <w:t>Date that the unwanted material first began accumulating in the container; and</w:t>
      </w:r>
    </w:p>
    <w:p w:rsidR="00146A6C" w:rsidRDefault="00146A6C">
      <w:pPr>
        <w:ind w:left="2160" w:hanging="720"/>
        <w:rPr>
          <w:sz w:val="24"/>
        </w:rPr>
      </w:pPr>
      <w:r>
        <w:rPr>
          <w:sz w:val="24"/>
        </w:rPr>
        <w:t>--</w:t>
      </w:r>
      <w:r>
        <w:rPr>
          <w:sz w:val="24"/>
        </w:rPr>
        <w:tab/>
        <w:t>Information sufficient to allow a trained professional to properly identify whether an unwanted material is a solid and hazardous waste and to assign the proper hazardous waste code(s), pursuant to section 262.11.  For example, the following information may be associated with the container:</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The name and/or description of the chemical contents or composition of the unwanted material, or, if known, the product of the chemical reaction;</w:t>
      </w:r>
    </w:p>
    <w:p w:rsidR="00146A6C" w:rsidRDefault="00146A6C">
      <w:pPr>
        <w:ind w:left="2880" w:hanging="720"/>
        <w:rPr>
          <w:sz w:val="24"/>
        </w:rPr>
      </w:pPr>
      <w:r>
        <w:rPr>
          <w:sz w:val="24"/>
        </w:rPr>
        <w:t>-</w:t>
      </w:r>
      <w:r>
        <w:rPr>
          <w:sz w:val="24"/>
        </w:rPr>
        <w:tab/>
        <w:t>Whether the unwanted material has been used or is unused;</w:t>
      </w:r>
    </w:p>
    <w:p w:rsidR="00146A6C" w:rsidRDefault="00146A6C">
      <w:pPr>
        <w:ind w:left="2880" w:hanging="720"/>
        <w:rPr>
          <w:sz w:val="24"/>
        </w:rPr>
      </w:pPr>
      <w:r>
        <w:rPr>
          <w:sz w:val="24"/>
        </w:rPr>
        <w:t xml:space="preserve">- </w:t>
      </w:r>
      <w:r>
        <w:rPr>
          <w:sz w:val="24"/>
        </w:rPr>
        <w:tab/>
        <w:t>A description of the manner in which the chemical was processed, if applicable.</w:t>
      </w:r>
    </w:p>
    <w:p w:rsidR="00146A6C" w:rsidRDefault="00146A6C">
      <w:pPr>
        <w:ind w:left="2160" w:hanging="720"/>
        <w:rPr>
          <w:sz w:val="24"/>
        </w:rPr>
      </w:pPr>
    </w:p>
    <w:p w:rsidR="00146A6C" w:rsidRDefault="00146A6C">
      <w:pPr>
        <w:ind w:firstLine="720"/>
        <w:rPr>
          <w:sz w:val="24"/>
          <w:u w:val="single"/>
        </w:rPr>
      </w:pPr>
      <w:r>
        <w:rPr>
          <w:sz w:val="24"/>
        </w:rPr>
        <w:t>(ii)</w:t>
      </w:r>
      <w:r>
        <w:rPr>
          <w:sz w:val="24"/>
        </w:rPr>
        <w:tab/>
      </w:r>
      <w:r>
        <w:rPr>
          <w:sz w:val="24"/>
          <w:u w:val="single"/>
        </w:rPr>
        <w:t>Respondent Activities:</w:t>
      </w:r>
    </w:p>
    <w:p w:rsidR="00146A6C" w:rsidRDefault="00146A6C">
      <w:pPr>
        <w:ind w:firstLine="720"/>
        <w:rPr>
          <w:sz w:val="24"/>
          <w:u w:val="single"/>
        </w:rPr>
      </w:pPr>
    </w:p>
    <w:p w:rsidR="00146A6C" w:rsidRDefault="00146A6C">
      <w:pPr>
        <w:pStyle w:val="HTMLPreformatted"/>
        <w:numPr>
          <w:ilvl w:val="0"/>
          <w:numId w:val="2"/>
        </w:numPr>
        <w:tabs>
          <w:tab w:val="clear" w:pos="916"/>
          <w:tab w:val="clear" w:pos="1832"/>
          <w:tab w:val="clear"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r>
        <w:rPr>
          <w:rFonts w:ascii="Times New Roman" w:hAnsi="Times New Roman" w:cs="Times New Roman"/>
          <w:sz w:val="24"/>
          <w:szCs w:val="24"/>
        </w:rPr>
        <w:t>Label the containers as specified.</w:t>
      </w:r>
    </w:p>
    <w:p w:rsidR="00146A6C" w:rsidRDefault="00146A6C">
      <w:pPr>
        <w:rPr>
          <w:b/>
          <w:bCs/>
        </w:rPr>
      </w:pPr>
    </w:p>
    <w:p w:rsidR="00146A6C" w:rsidRDefault="00146A6C">
      <w:pPr>
        <w:keepNext/>
        <w:rPr>
          <w:sz w:val="24"/>
        </w:rPr>
      </w:pPr>
      <w:r>
        <w:rPr>
          <w:b/>
          <w:bCs/>
          <w:sz w:val="24"/>
        </w:rPr>
        <w:t>(4)</w:t>
      </w:r>
      <w:r>
        <w:rPr>
          <w:b/>
          <w:bCs/>
          <w:sz w:val="24"/>
        </w:rPr>
        <w:tab/>
        <w:t>Training</w:t>
      </w:r>
    </w:p>
    <w:p w:rsidR="00146A6C" w:rsidRDefault="00146A6C">
      <w:pPr>
        <w:keepNext/>
        <w:rPr>
          <w:sz w:val="24"/>
        </w:rPr>
      </w:pPr>
    </w:p>
    <w:p w:rsidR="00146A6C" w:rsidRDefault="00146A6C">
      <w:pPr>
        <w:keepNext/>
        <w:ind w:firstLine="720"/>
        <w:rPr>
          <w:sz w:val="24"/>
        </w:rPr>
      </w:pPr>
      <w:r>
        <w:rPr>
          <w:sz w:val="24"/>
        </w:rPr>
        <w:t xml:space="preserve">40 </w:t>
      </w:r>
      <w:r>
        <w:rPr>
          <w:i/>
          <w:sz w:val="24"/>
        </w:rPr>
        <w:t>CFR</w:t>
      </w:r>
      <w:r>
        <w:rPr>
          <w:sz w:val="24"/>
        </w:rPr>
        <w:t xml:space="preserve"> 262.207 provides that an eligible academic entity must provide training to all individuals working in a laboratory at that eligible academic entity, as specified.  </w:t>
      </w:r>
    </w:p>
    <w:p w:rsidR="00146A6C" w:rsidRDefault="00146A6C">
      <w:pPr>
        <w:ind w:firstLine="720"/>
        <w:rPr>
          <w:sz w:val="24"/>
        </w:rPr>
      </w:pPr>
    </w:p>
    <w:p w:rsidR="00146A6C" w:rsidRDefault="00146A6C">
      <w:pPr>
        <w:ind w:firstLine="720"/>
        <w:rPr>
          <w:sz w:val="24"/>
        </w:rPr>
      </w:pPr>
      <w:r>
        <w:rPr>
          <w:sz w:val="24"/>
        </w:rPr>
        <w:t xml:space="preserve">Section 262.207(a) requires that training for laboratory workers and students must be commensurate with their duties so they understand the requirements in Subpart K and can implement them.  </w:t>
      </w:r>
    </w:p>
    <w:p w:rsidR="00146A6C" w:rsidRDefault="00146A6C">
      <w:pPr>
        <w:ind w:firstLine="720"/>
        <w:rPr>
          <w:sz w:val="24"/>
        </w:rPr>
      </w:pPr>
    </w:p>
    <w:p w:rsidR="00146A6C" w:rsidRDefault="00146A6C">
      <w:pPr>
        <w:ind w:firstLine="720"/>
        <w:rPr>
          <w:sz w:val="24"/>
        </w:rPr>
      </w:pPr>
      <w:r>
        <w:rPr>
          <w:sz w:val="24"/>
        </w:rPr>
        <w:t>Section 262.207(b) provides that an eligible academic entity can provide training for laboratory workers and students in a variety of ways (e.g., instruction by the professor or laboratory manager before or during an experiment, formal classroom training, electronic/written training).</w:t>
      </w:r>
    </w:p>
    <w:p w:rsidR="00146A6C" w:rsidRDefault="00146A6C">
      <w:pPr>
        <w:ind w:firstLine="720"/>
        <w:rPr>
          <w:sz w:val="24"/>
        </w:rPr>
      </w:pPr>
    </w:p>
    <w:p w:rsidR="00146A6C" w:rsidRDefault="00146A6C">
      <w:pPr>
        <w:ind w:firstLine="720"/>
        <w:rPr>
          <w:sz w:val="24"/>
        </w:rPr>
      </w:pPr>
      <w:r>
        <w:rPr>
          <w:sz w:val="24"/>
        </w:rPr>
        <w:t xml:space="preserve">Section 262.207(c) provides that an eligible academic entity that is a large quantity generator must maintain documentation demonstrating training for all laboratory workers.  Section 262.207(c) requires that the information must be sufficient to determine whether laboratory workers have been trained and for the durations specified in section 265.16(e).  Sections 262.207(c)(1)-(4) provides examples of documentation demonstrating training. </w:t>
      </w:r>
    </w:p>
    <w:p w:rsidR="00146A6C" w:rsidRDefault="00146A6C">
      <w:pPr>
        <w:ind w:firstLine="720"/>
        <w:rPr>
          <w:sz w:val="24"/>
        </w:rPr>
      </w:pPr>
    </w:p>
    <w:p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lastRenderedPageBreak/>
        <w:t>(i)</w:t>
      </w:r>
      <w:r>
        <w:rPr>
          <w:rFonts w:ascii="Times New Roman" w:hAnsi="Times New Roman" w:cs="Times New Roman"/>
          <w:sz w:val="24"/>
          <w:szCs w:val="24"/>
        </w:rPr>
        <w:tab/>
      </w:r>
      <w:r>
        <w:rPr>
          <w:rFonts w:ascii="Times New Roman" w:hAnsi="Times New Roman" w:cs="Times New Roman"/>
          <w:sz w:val="24"/>
          <w:szCs w:val="24"/>
          <w:u w:val="single"/>
        </w:rPr>
        <w:t>Data Items:</w:t>
      </w:r>
    </w:p>
    <w:p w:rsidR="00146A6C" w:rsidRDefault="00146A6C">
      <w:pPr>
        <w:keepNext/>
        <w:ind w:firstLine="720"/>
        <w:rPr>
          <w:sz w:val="24"/>
        </w:rPr>
      </w:pPr>
    </w:p>
    <w:p w:rsidR="00146A6C" w:rsidRDefault="00146A6C">
      <w:pPr>
        <w:keepNext/>
        <w:numPr>
          <w:ilvl w:val="0"/>
          <w:numId w:val="2"/>
        </w:numPr>
        <w:tabs>
          <w:tab w:val="clear" w:pos="2160"/>
        </w:tabs>
        <w:ind w:left="1440"/>
        <w:rPr>
          <w:sz w:val="24"/>
        </w:rPr>
      </w:pPr>
      <w:r>
        <w:rPr>
          <w:sz w:val="24"/>
        </w:rPr>
        <w:t>Documentation demonstrating training for all laboratory workers.  Examples of documentation demonstrating training can include, but are not limited to, the following:</w:t>
      </w:r>
    </w:p>
    <w:p w:rsidR="00146A6C" w:rsidRDefault="00146A6C">
      <w:pPr>
        <w:ind w:left="2160" w:hanging="720"/>
        <w:rPr>
          <w:sz w:val="24"/>
        </w:rPr>
      </w:pPr>
      <w:r>
        <w:rPr>
          <w:sz w:val="24"/>
        </w:rPr>
        <w:t>--</w:t>
      </w:r>
      <w:r>
        <w:rPr>
          <w:sz w:val="24"/>
        </w:rPr>
        <w:tab/>
        <w:t>Sign-in/attendance sheet(s) for training session(s); or</w:t>
      </w:r>
    </w:p>
    <w:p w:rsidR="00146A6C" w:rsidRDefault="00146A6C">
      <w:pPr>
        <w:ind w:left="2160" w:hanging="720"/>
        <w:rPr>
          <w:sz w:val="24"/>
        </w:rPr>
      </w:pPr>
      <w:r>
        <w:rPr>
          <w:sz w:val="24"/>
        </w:rPr>
        <w:t>--</w:t>
      </w:r>
      <w:r>
        <w:rPr>
          <w:sz w:val="24"/>
        </w:rPr>
        <w:tab/>
        <w:t>Syllabus for training session; or</w:t>
      </w:r>
    </w:p>
    <w:p w:rsidR="00146A6C" w:rsidRDefault="00146A6C">
      <w:pPr>
        <w:ind w:left="2160" w:hanging="720"/>
        <w:rPr>
          <w:sz w:val="24"/>
        </w:rPr>
      </w:pPr>
      <w:r>
        <w:rPr>
          <w:sz w:val="24"/>
        </w:rPr>
        <w:t>--</w:t>
      </w:r>
      <w:r>
        <w:rPr>
          <w:sz w:val="24"/>
        </w:rPr>
        <w:tab/>
        <w:t>Certificate of training completion; or</w:t>
      </w:r>
    </w:p>
    <w:p w:rsidR="00146A6C" w:rsidRDefault="00146A6C">
      <w:pPr>
        <w:ind w:left="2160" w:hanging="720"/>
        <w:rPr>
          <w:sz w:val="24"/>
        </w:rPr>
      </w:pPr>
      <w:r>
        <w:rPr>
          <w:sz w:val="24"/>
        </w:rPr>
        <w:t>--</w:t>
      </w:r>
      <w:r>
        <w:rPr>
          <w:sz w:val="24"/>
        </w:rPr>
        <w:tab/>
        <w:t>Test results.</w:t>
      </w:r>
    </w:p>
    <w:p w:rsidR="00146A6C" w:rsidRDefault="00146A6C">
      <w:pPr>
        <w:ind w:left="2160" w:hanging="720"/>
        <w:rPr>
          <w:sz w:val="24"/>
        </w:rPr>
      </w:pPr>
    </w:p>
    <w:p w:rsidR="00146A6C" w:rsidRDefault="00146A6C">
      <w:pPr>
        <w:ind w:firstLine="720"/>
        <w:rPr>
          <w:sz w:val="24"/>
          <w:u w:val="single"/>
        </w:rPr>
      </w:pPr>
      <w:r>
        <w:rPr>
          <w:sz w:val="24"/>
        </w:rPr>
        <w:t>(ii)</w:t>
      </w:r>
      <w:r>
        <w:rPr>
          <w:sz w:val="24"/>
        </w:rPr>
        <w:tab/>
      </w:r>
      <w:r>
        <w:rPr>
          <w:sz w:val="24"/>
          <w:u w:val="single"/>
        </w:rPr>
        <w:t>Respondent Activities:</w:t>
      </w:r>
    </w:p>
    <w:p w:rsidR="00146A6C" w:rsidRDefault="00146A6C">
      <w:pPr>
        <w:ind w:firstLine="720"/>
        <w:rPr>
          <w:sz w:val="24"/>
          <w:u w:val="single"/>
        </w:rPr>
      </w:pPr>
    </w:p>
    <w:p w:rsidR="00146A6C" w:rsidRDefault="00146A6C">
      <w:pPr>
        <w:pStyle w:val="HTMLPreformatted"/>
        <w:numPr>
          <w:ilvl w:val="0"/>
          <w:numId w:val="2"/>
        </w:numPr>
        <w:tabs>
          <w:tab w:val="clear" w:pos="916"/>
          <w:tab w:val="clear" w:pos="1832"/>
          <w:tab w:val="clear"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rPr>
      </w:pPr>
      <w:r>
        <w:rPr>
          <w:rFonts w:ascii="Times New Roman" w:hAnsi="Times New Roman" w:cs="Times New Roman"/>
          <w:sz w:val="24"/>
          <w:szCs w:val="24"/>
        </w:rPr>
        <w:t>Provide t</w:t>
      </w:r>
      <w:r>
        <w:rPr>
          <w:rFonts w:ascii="Times New Roman" w:hAnsi="Times New Roman" w:cs="Times New Roman"/>
          <w:sz w:val="24"/>
        </w:rPr>
        <w:t>raining to all individuals working in a laboratory.</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rPr>
      </w:pPr>
    </w:p>
    <w:p w:rsidR="00146A6C" w:rsidRDefault="00146A6C">
      <w:pPr>
        <w:pStyle w:val="HTMLPreformatted"/>
        <w:numPr>
          <w:ilvl w:val="0"/>
          <w:numId w:val="2"/>
        </w:numPr>
        <w:tabs>
          <w:tab w:val="clear" w:pos="916"/>
          <w:tab w:val="clear" w:pos="1832"/>
          <w:tab w:val="clear"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rPr>
      </w:pPr>
      <w:r>
        <w:rPr>
          <w:rFonts w:ascii="Times New Roman" w:hAnsi="Times New Roman" w:cs="Times New Roman"/>
          <w:sz w:val="24"/>
        </w:rPr>
        <w:t>Maintain documentation demonstrating training for all laboratory workers (LQGs only).</w:t>
      </w:r>
    </w:p>
    <w:p w:rsidR="00146A6C" w:rsidRDefault="00146A6C"/>
    <w:p w:rsidR="00146A6C" w:rsidRDefault="00146A6C">
      <w:pPr>
        <w:rPr>
          <w:b/>
          <w:bCs/>
          <w:sz w:val="24"/>
        </w:rPr>
      </w:pPr>
      <w:r>
        <w:rPr>
          <w:b/>
          <w:bCs/>
          <w:sz w:val="24"/>
        </w:rPr>
        <w:t>(5)</w:t>
      </w:r>
      <w:r>
        <w:rPr>
          <w:b/>
          <w:bCs/>
          <w:sz w:val="24"/>
        </w:rPr>
        <w:tab/>
        <w:t>Removing Containers of Unwanted Material from the Laboratory</w:t>
      </w:r>
    </w:p>
    <w:p w:rsidR="00146A6C" w:rsidRDefault="00146A6C">
      <w:pPr>
        <w:rPr>
          <w:sz w:val="24"/>
        </w:rPr>
      </w:pPr>
    </w:p>
    <w:p w:rsidR="00146A6C" w:rsidRDefault="00146A6C">
      <w:pPr>
        <w:ind w:firstLine="720"/>
        <w:rPr>
          <w:sz w:val="24"/>
        </w:rPr>
      </w:pPr>
      <w:r>
        <w:rPr>
          <w:sz w:val="24"/>
        </w:rPr>
        <w:t xml:space="preserve">40 </w:t>
      </w:r>
      <w:r>
        <w:rPr>
          <w:i/>
          <w:sz w:val="24"/>
        </w:rPr>
        <w:t>CFR</w:t>
      </w:r>
      <w:r>
        <w:rPr>
          <w:sz w:val="24"/>
        </w:rPr>
        <w:t xml:space="preserve"> 262.208(a) establishes standards for removing containers of unwanted material on a regular schedule.  An eligible academic entity must either:  remove all containers of unwanted material from each laboratory on a regular interval, not to exceed 6 months (262.208(a)(1)); or remove containers of unwanted material from each laboratory within 6 months of each container’s accumulation start date (262.208(a)(2)). </w:t>
      </w:r>
    </w:p>
    <w:p w:rsidR="00146A6C" w:rsidRDefault="00146A6C">
      <w:pPr>
        <w:rPr>
          <w:sz w:val="24"/>
        </w:rPr>
      </w:pPr>
    </w:p>
    <w:p w:rsidR="00146A6C" w:rsidRDefault="00146A6C">
      <w:pPr>
        <w:rPr>
          <w:sz w:val="24"/>
        </w:rPr>
      </w:pPr>
      <w:r>
        <w:rPr>
          <w:sz w:val="24"/>
        </w:rPr>
        <w:tab/>
        <w:t>Section 262.208(b) requires that the eligible academic entity must specify in Part I of its Laboratory Management Plan whether it will comply with section 262.208(a)(1) or (a)(2) for the regular removal of unwanted material from its laboratories.  Section 262.208(c) requires that the eligible academic entity must specify in Part II of its Laboratory Management Plan how it will comply with section 262.208(a)(1) or (a)(2) and develop a schedule for regular removals of unwanted material from its laboratories.  [Note:  The data items and respondent activities associated with these requirements are presented under “Laboratory Management Plan.”]</w:t>
      </w:r>
    </w:p>
    <w:p w:rsidR="00146A6C" w:rsidRDefault="00146A6C">
      <w:pPr>
        <w:rPr>
          <w:sz w:val="24"/>
        </w:rPr>
      </w:pPr>
    </w:p>
    <w:p w:rsidR="00146A6C" w:rsidRDefault="00146A6C">
      <w:pPr>
        <w:rPr>
          <w:sz w:val="24"/>
        </w:rPr>
      </w:pPr>
      <w:r>
        <w:rPr>
          <w:sz w:val="24"/>
        </w:rPr>
        <w:tab/>
        <w:t>Section 262.208(d) establishes standards for removing containers of unwanted material when maximum volumes are exceeded.  Section 262.208(d)(1) provides that, if a laboratory accumulates more than 55 gallons of unwanted material before the regularly-scheduled removal, the eligible academic entity must ensure that all containers of unwanted material (including reactive acutely hazardous unwanted material): must have the date that 55 gallons is exceeded on the label that is associated with the container (262.208(d)(1)(i)); and are removed from the laboratory within 10 calendar days of the date that 55 gallons was exceeded, or at the next regularly scheduled removal, whichever comes first (262.208(d)(1)(ii)).</w:t>
      </w:r>
    </w:p>
    <w:p w:rsidR="00146A6C" w:rsidRDefault="00146A6C">
      <w:pPr>
        <w:rPr>
          <w:sz w:val="24"/>
        </w:rPr>
      </w:pPr>
    </w:p>
    <w:p w:rsidR="00146A6C" w:rsidRDefault="00146A6C">
      <w:pPr>
        <w:rPr>
          <w:sz w:val="24"/>
        </w:rPr>
      </w:pPr>
      <w:r>
        <w:rPr>
          <w:sz w:val="24"/>
        </w:rPr>
        <w:tab/>
        <w:t xml:space="preserve">Section 262.208(d)(2) provides that, if a laboratory accumulates more than 1 quart of reactive acutely hazardous unwanted material before the regularly scheduled removal, </w:t>
      </w:r>
      <w:r>
        <w:rPr>
          <w:sz w:val="24"/>
        </w:rPr>
        <w:lastRenderedPageBreak/>
        <w:t>then the eligible academic entity must ensure that all containers of reactive acutely hazardous unwanted material: must have the date that 1 quart is exceeded on the label that is associated with the container (262.208(d)(2)(i)); and are removed from the laboratory within 10 calendar days of the date that 1 quart was exceeded, or at the next regularly scheduled removal, whichever comes first (262.208(d)(2)(ii)).</w:t>
      </w:r>
    </w:p>
    <w:p w:rsidR="00146A6C" w:rsidRDefault="00146A6C">
      <w:pPr>
        <w:ind w:firstLine="720"/>
        <w:rPr>
          <w:sz w:val="24"/>
        </w:rPr>
      </w:pP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u w:val="single"/>
        </w:rPr>
        <w:t>Data Items:</w:t>
      </w:r>
    </w:p>
    <w:p w:rsidR="00146A6C" w:rsidRDefault="00146A6C">
      <w:pPr>
        <w:rPr>
          <w:sz w:val="24"/>
        </w:rPr>
      </w:pPr>
    </w:p>
    <w:p w:rsidR="00146A6C" w:rsidRDefault="00146A6C">
      <w:pPr>
        <w:numPr>
          <w:ilvl w:val="0"/>
          <w:numId w:val="4"/>
        </w:numPr>
        <w:tabs>
          <w:tab w:val="clear" w:pos="2160"/>
        </w:tabs>
        <w:ind w:left="1440"/>
        <w:rPr>
          <w:sz w:val="24"/>
        </w:rPr>
      </w:pPr>
      <w:r>
        <w:rPr>
          <w:sz w:val="24"/>
        </w:rPr>
        <w:t>Date that the laboratory accumulated more than 55 gallons of unwanted material.</w:t>
      </w:r>
    </w:p>
    <w:p w:rsidR="00146A6C" w:rsidRDefault="00146A6C">
      <w:pPr>
        <w:ind w:left="1440" w:hanging="720"/>
        <w:rPr>
          <w:sz w:val="24"/>
        </w:rPr>
      </w:pPr>
    </w:p>
    <w:p w:rsidR="00146A6C" w:rsidRDefault="00146A6C">
      <w:pPr>
        <w:numPr>
          <w:ilvl w:val="0"/>
          <w:numId w:val="3"/>
        </w:numPr>
        <w:tabs>
          <w:tab w:val="clear" w:pos="2160"/>
        </w:tabs>
        <w:ind w:left="1440"/>
        <w:rPr>
          <w:sz w:val="24"/>
        </w:rPr>
      </w:pPr>
      <w:r>
        <w:rPr>
          <w:sz w:val="24"/>
        </w:rPr>
        <w:t>Date that the laboratory accumulated more than 1 quart of reactive acutely hazardous unwanted material.</w:t>
      </w:r>
    </w:p>
    <w:p w:rsidR="00146A6C" w:rsidRDefault="00146A6C">
      <w:pPr>
        <w:rPr>
          <w:sz w:val="24"/>
        </w:rPr>
      </w:pPr>
    </w:p>
    <w:p w:rsidR="00146A6C" w:rsidRDefault="00146A6C">
      <w:pPr>
        <w:ind w:firstLine="720"/>
        <w:rPr>
          <w:sz w:val="24"/>
          <w:u w:val="single"/>
        </w:rPr>
      </w:pPr>
      <w:r>
        <w:rPr>
          <w:sz w:val="24"/>
        </w:rPr>
        <w:t>(ii)</w:t>
      </w:r>
      <w:r>
        <w:rPr>
          <w:sz w:val="24"/>
        </w:rPr>
        <w:tab/>
      </w:r>
      <w:r>
        <w:rPr>
          <w:sz w:val="24"/>
          <w:u w:val="single"/>
        </w:rPr>
        <w:t>Respondent Activities:</w:t>
      </w:r>
    </w:p>
    <w:p w:rsidR="00146A6C" w:rsidRDefault="00146A6C">
      <w:pPr>
        <w:rPr>
          <w:sz w:val="24"/>
        </w:rPr>
      </w:pPr>
    </w:p>
    <w:p w:rsidR="00146A6C" w:rsidRDefault="00146A6C">
      <w:pPr>
        <w:numPr>
          <w:ilvl w:val="0"/>
          <w:numId w:val="3"/>
        </w:numPr>
        <w:tabs>
          <w:tab w:val="clear" w:pos="2160"/>
        </w:tabs>
        <w:ind w:left="1440"/>
        <w:rPr>
          <w:sz w:val="24"/>
        </w:rPr>
      </w:pPr>
      <w:r>
        <w:rPr>
          <w:sz w:val="24"/>
        </w:rPr>
        <w:t>Ensure that containers of unwanted material that exceed volume limits have the date of the exceedence on the label.</w:t>
      </w:r>
    </w:p>
    <w:p w:rsidR="00146A6C" w:rsidRDefault="00146A6C">
      <w:pPr>
        <w:rPr>
          <w:sz w:val="24"/>
        </w:rPr>
      </w:pPr>
    </w:p>
    <w:p w:rsidR="00146A6C" w:rsidRDefault="00146A6C">
      <w:pPr>
        <w:ind w:left="720" w:hanging="720"/>
        <w:rPr>
          <w:b/>
          <w:bCs/>
          <w:sz w:val="24"/>
        </w:rPr>
      </w:pPr>
      <w:r>
        <w:rPr>
          <w:b/>
          <w:bCs/>
          <w:sz w:val="24"/>
        </w:rPr>
        <w:t>(6)</w:t>
      </w:r>
      <w:r>
        <w:rPr>
          <w:b/>
          <w:bCs/>
          <w:sz w:val="24"/>
        </w:rPr>
        <w:tab/>
        <w:t>Where and When to Make the Hazardous Waste Determination and Where to Send Containers of Unwanted Material</w:t>
      </w:r>
    </w:p>
    <w:p w:rsidR="00146A6C" w:rsidRDefault="00146A6C">
      <w:pPr>
        <w:rPr>
          <w:sz w:val="24"/>
        </w:rPr>
      </w:pPr>
    </w:p>
    <w:p w:rsidR="00146A6C" w:rsidRDefault="00146A6C">
      <w:pPr>
        <w:ind w:firstLine="720"/>
        <w:rPr>
          <w:sz w:val="24"/>
        </w:rPr>
      </w:pPr>
      <w:r>
        <w:rPr>
          <w:sz w:val="24"/>
        </w:rPr>
        <w:t xml:space="preserve">40 </w:t>
      </w:r>
      <w:r>
        <w:rPr>
          <w:i/>
          <w:sz w:val="24"/>
        </w:rPr>
        <w:t>CFR</w:t>
      </w:r>
      <w:r>
        <w:rPr>
          <w:sz w:val="24"/>
        </w:rPr>
        <w:t xml:space="preserve"> 262.209(a) establishes standards for where and when large quantity generators and small quantity generators may make hazardous waste determinations.  An eligible academic entity must ensure that a trained professional makes a hazardous waste determination, pursuant to section 262.11, for unwanted material in any of the following areas:</w:t>
      </w:r>
    </w:p>
    <w:p w:rsidR="00146A6C" w:rsidRDefault="00146A6C">
      <w:pPr>
        <w:rPr>
          <w:sz w:val="24"/>
        </w:rPr>
      </w:pPr>
    </w:p>
    <w:p w:rsidR="00146A6C" w:rsidRDefault="00146A6C">
      <w:pPr>
        <w:numPr>
          <w:ilvl w:val="0"/>
          <w:numId w:val="3"/>
        </w:numPr>
        <w:tabs>
          <w:tab w:val="clear" w:pos="2160"/>
        </w:tabs>
        <w:ind w:left="1440"/>
        <w:rPr>
          <w:sz w:val="24"/>
        </w:rPr>
      </w:pPr>
      <w:r>
        <w:rPr>
          <w:sz w:val="24"/>
        </w:rPr>
        <w:t>In the laboratory before the unwanted material is removed from the laboratory, in accordance with section 262.210.  [Note:  The data items and respondent activities associated with this requirement are presented in “Making the Hazardous Waste Determination in the Laboratory.”]</w:t>
      </w:r>
    </w:p>
    <w:p w:rsidR="00146A6C" w:rsidRDefault="00146A6C">
      <w:pPr>
        <w:ind w:left="1440" w:hanging="720"/>
        <w:rPr>
          <w:sz w:val="24"/>
        </w:rPr>
      </w:pPr>
    </w:p>
    <w:p w:rsidR="00146A6C" w:rsidRDefault="00146A6C">
      <w:pPr>
        <w:numPr>
          <w:ilvl w:val="0"/>
          <w:numId w:val="3"/>
        </w:numPr>
        <w:tabs>
          <w:tab w:val="clear" w:pos="2160"/>
        </w:tabs>
        <w:ind w:left="1440"/>
        <w:rPr>
          <w:sz w:val="24"/>
        </w:rPr>
      </w:pPr>
      <w:r>
        <w:rPr>
          <w:sz w:val="24"/>
        </w:rPr>
        <w:t>Within 4 calendar days of arriving at an on-site central accumulation area, in accordance with section 262.211.  [Note:  The data items and respondent activities associated with this requirement are presented in “Making the Hazardous Waste Determination in an On-site Central Accumulation Area.”]</w:t>
      </w:r>
    </w:p>
    <w:p w:rsidR="00146A6C" w:rsidRDefault="00146A6C">
      <w:pPr>
        <w:ind w:left="1440" w:hanging="720"/>
        <w:rPr>
          <w:sz w:val="24"/>
        </w:rPr>
      </w:pPr>
    </w:p>
    <w:p w:rsidR="00146A6C" w:rsidRDefault="00146A6C">
      <w:pPr>
        <w:numPr>
          <w:ilvl w:val="0"/>
          <w:numId w:val="3"/>
        </w:numPr>
        <w:tabs>
          <w:tab w:val="clear" w:pos="2160"/>
        </w:tabs>
        <w:ind w:left="1440"/>
        <w:rPr>
          <w:sz w:val="24"/>
        </w:rPr>
      </w:pPr>
      <w:r>
        <w:rPr>
          <w:sz w:val="24"/>
        </w:rPr>
        <w:t>Within 4 calendar days of arriving at an on-site treatment, storage or disposal facility, in accordance with section 262.212.  [Note:  The data items and respondent activities associated with this requirement are presented in “Making the Hazardous Waste Determination at an On-site Interim Status or Permitted Treatment, Storage, or Disposal Facility.”]</w:t>
      </w:r>
    </w:p>
    <w:p w:rsidR="00146A6C" w:rsidRDefault="00146A6C">
      <w:pPr>
        <w:rPr>
          <w:sz w:val="24"/>
        </w:rPr>
      </w:pPr>
    </w:p>
    <w:p w:rsidR="00146A6C" w:rsidRDefault="00146A6C">
      <w:pPr>
        <w:ind w:firstLine="720"/>
        <w:rPr>
          <w:sz w:val="24"/>
        </w:rPr>
      </w:pPr>
      <w:r>
        <w:rPr>
          <w:sz w:val="24"/>
        </w:rPr>
        <w:lastRenderedPageBreak/>
        <w:t>Section 262.209(b) establishes standards for where and when conditionally exempt small quantity generators may make hazardous waste determinations.  An eligible academic entity must ensure that a trained professional makes a hazardous waste determination, pursuant to section 262.11, for unwanted material in the laboratory before the unwanted material is removed from the laboratory, in accordance with 262.210.  [Note:  The data items and respondent activities associated with this requirement are presented in “Making the Hazardous Waste Determination in the Laboratory.”]</w:t>
      </w:r>
    </w:p>
    <w:p w:rsidR="00146A6C" w:rsidRDefault="00146A6C">
      <w:pPr>
        <w:rPr>
          <w:sz w:val="24"/>
        </w:rPr>
      </w:pPr>
    </w:p>
    <w:p w:rsidR="00146A6C" w:rsidRDefault="00146A6C">
      <w:pPr>
        <w:rPr>
          <w:b/>
          <w:bCs/>
          <w:sz w:val="24"/>
        </w:rPr>
      </w:pPr>
      <w:r>
        <w:rPr>
          <w:b/>
          <w:bCs/>
          <w:sz w:val="24"/>
        </w:rPr>
        <w:t>(7)</w:t>
      </w:r>
      <w:r>
        <w:rPr>
          <w:b/>
          <w:bCs/>
          <w:sz w:val="24"/>
        </w:rPr>
        <w:tab/>
        <w:t>Making the Hazardous Waste Determination in the Laboratory</w:t>
      </w:r>
    </w:p>
    <w:p w:rsidR="00146A6C" w:rsidRDefault="00146A6C">
      <w:pPr>
        <w:rPr>
          <w:sz w:val="24"/>
        </w:rPr>
      </w:pPr>
    </w:p>
    <w:p w:rsidR="00146A6C" w:rsidRDefault="00146A6C">
      <w:pPr>
        <w:ind w:firstLine="720"/>
        <w:rPr>
          <w:sz w:val="24"/>
        </w:rPr>
      </w:pPr>
      <w:r>
        <w:rPr>
          <w:sz w:val="24"/>
        </w:rPr>
        <w:t xml:space="preserve">40 </w:t>
      </w:r>
      <w:r>
        <w:rPr>
          <w:i/>
          <w:sz w:val="24"/>
        </w:rPr>
        <w:t>CFR</w:t>
      </w:r>
      <w:r>
        <w:rPr>
          <w:sz w:val="24"/>
        </w:rPr>
        <w:t xml:space="preserve"> 262.210 provides that, if an eligible academic entity makes the hazardous waste determination, pursuant to section 262.11, for unwanted material in the laboratory before the unwanted material is removed from the laboratory, it must comply with the requirements in section 262.210. </w:t>
      </w:r>
    </w:p>
    <w:p w:rsidR="00146A6C" w:rsidRDefault="00146A6C">
      <w:pPr>
        <w:rPr>
          <w:sz w:val="24"/>
        </w:rPr>
      </w:pPr>
    </w:p>
    <w:p w:rsidR="00146A6C" w:rsidRDefault="00146A6C">
      <w:pPr>
        <w:rPr>
          <w:sz w:val="24"/>
        </w:rPr>
      </w:pPr>
      <w:r>
        <w:rPr>
          <w:sz w:val="24"/>
        </w:rPr>
        <w:tab/>
        <w:t>Section 262.210(a) requires that a trained professional must make the hazardous waste determination, pursuant to section 262.11, before the unwanted material is removed from the laboratory.</w:t>
      </w:r>
    </w:p>
    <w:p w:rsidR="00146A6C" w:rsidRDefault="00146A6C">
      <w:pPr>
        <w:rPr>
          <w:sz w:val="24"/>
        </w:rPr>
      </w:pPr>
    </w:p>
    <w:p w:rsidR="00146A6C" w:rsidRDefault="00146A6C">
      <w:pPr>
        <w:rPr>
          <w:sz w:val="24"/>
        </w:rPr>
      </w:pPr>
      <w:r>
        <w:rPr>
          <w:sz w:val="24"/>
        </w:rPr>
        <w:tab/>
        <w:t xml:space="preserve">Section 262.210(b)(2) provides that, if an unwanted material is a hazardous waste, the eligible academic entity must write the appropriate hazardous waste codes(s) on the label that is associated with the container before the hazardous waste may be transported off-site.  </w:t>
      </w:r>
    </w:p>
    <w:p w:rsidR="00146A6C" w:rsidRDefault="00146A6C">
      <w:pPr>
        <w:ind w:firstLine="720"/>
        <w:rPr>
          <w:sz w:val="24"/>
        </w:rPr>
      </w:pP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u w:val="single"/>
        </w:rPr>
        <w:t>Data Items:</w:t>
      </w:r>
    </w:p>
    <w:p w:rsidR="00146A6C" w:rsidRDefault="00146A6C">
      <w:pPr>
        <w:rPr>
          <w:sz w:val="24"/>
        </w:rPr>
      </w:pPr>
    </w:p>
    <w:p w:rsidR="00146A6C" w:rsidRDefault="00146A6C">
      <w:pPr>
        <w:numPr>
          <w:ilvl w:val="0"/>
          <w:numId w:val="5"/>
        </w:numPr>
        <w:tabs>
          <w:tab w:val="clear" w:pos="2160"/>
        </w:tabs>
        <w:ind w:hanging="1440"/>
        <w:rPr>
          <w:sz w:val="24"/>
        </w:rPr>
      </w:pPr>
      <w:r>
        <w:rPr>
          <w:sz w:val="24"/>
        </w:rPr>
        <w:t>Hazardous waste determination.</w:t>
      </w:r>
    </w:p>
    <w:p w:rsidR="00146A6C" w:rsidRDefault="00146A6C">
      <w:pPr>
        <w:ind w:hanging="1440"/>
        <w:rPr>
          <w:sz w:val="24"/>
        </w:rPr>
      </w:pPr>
    </w:p>
    <w:p w:rsidR="00146A6C" w:rsidRDefault="00146A6C">
      <w:pPr>
        <w:numPr>
          <w:ilvl w:val="0"/>
          <w:numId w:val="5"/>
        </w:numPr>
        <w:tabs>
          <w:tab w:val="clear" w:pos="2160"/>
        </w:tabs>
        <w:ind w:hanging="1440"/>
        <w:rPr>
          <w:sz w:val="24"/>
        </w:rPr>
      </w:pPr>
      <w:r>
        <w:rPr>
          <w:sz w:val="24"/>
        </w:rPr>
        <w:t>EPA Hazardous waste codes on the label.</w:t>
      </w:r>
    </w:p>
    <w:p w:rsidR="00146A6C" w:rsidRDefault="00146A6C">
      <w:pPr>
        <w:ind w:firstLine="720"/>
        <w:rPr>
          <w:sz w:val="24"/>
        </w:rPr>
      </w:pPr>
    </w:p>
    <w:p w:rsidR="00146A6C" w:rsidRDefault="00146A6C">
      <w:pPr>
        <w:ind w:firstLine="720"/>
        <w:rPr>
          <w:sz w:val="24"/>
          <w:u w:val="single"/>
        </w:rPr>
      </w:pPr>
      <w:r>
        <w:rPr>
          <w:sz w:val="24"/>
        </w:rPr>
        <w:t>(ii)</w:t>
      </w:r>
      <w:r>
        <w:rPr>
          <w:sz w:val="24"/>
        </w:rPr>
        <w:tab/>
      </w:r>
      <w:r>
        <w:rPr>
          <w:sz w:val="24"/>
          <w:u w:val="single"/>
        </w:rPr>
        <w:t>Respondent Activities:</w:t>
      </w:r>
    </w:p>
    <w:p w:rsidR="00146A6C" w:rsidRDefault="00146A6C">
      <w:pPr>
        <w:ind w:left="720"/>
        <w:rPr>
          <w:sz w:val="24"/>
        </w:rPr>
      </w:pPr>
    </w:p>
    <w:p w:rsidR="00146A6C" w:rsidRDefault="00146A6C">
      <w:pPr>
        <w:numPr>
          <w:ilvl w:val="0"/>
          <w:numId w:val="7"/>
        </w:numPr>
        <w:tabs>
          <w:tab w:val="clear" w:pos="2160"/>
        </w:tabs>
        <w:ind w:left="1440"/>
        <w:rPr>
          <w:sz w:val="24"/>
        </w:rPr>
      </w:pPr>
      <w:r>
        <w:rPr>
          <w:sz w:val="24"/>
        </w:rPr>
        <w:t>Make the hazardous waste determination; and</w:t>
      </w:r>
    </w:p>
    <w:p w:rsidR="00146A6C" w:rsidRDefault="00146A6C">
      <w:pPr>
        <w:ind w:left="720"/>
        <w:rPr>
          <w:sz w:val="24"/>
        </w:rPr>
      </w:pPr>
    </w:p>
    <w:p w:rsidR="00146A6C" w:rsidRDefault="00146A6C">
      <w:pPr>
        <w:numPr>
          <w:ilvl w:val="0"/>
          <w:numId w:val="6"/>
        </w:numPr>
        <w:tabs>
          <w:tab w:val="clear" w:pos="2160"/>
        </w:tabs>
        <w:ind w:left="1440"/>
        <w:rPr>
          <w:sz w:val="24"/>
        </w:rPr>
      </w:pPr>
      <w:r>
        <w:rPr>
          <w:sz w:val="24"/>
        </w:rPr>
        <w:t>Write hazardous waste codes on the container label.</w:t>
      </w:r>
    </w:p>
    <w:p w:rsidR="00146A6C" w:rsidRDefault="00146A6C">
      <w:pPr>
        <w:rPr>
          <w:sz w:val="24"/>
        </w:rPr>
      </w:pPr>
    </w:p>
    <w:p w:rsidR="00146A6C" w:rsidRDefault="00146A6C">
      <w:pPr>
        <w:ind w:left="720" w:hanging="720"/>
        <w:rPr>
          <w:b/>
          <w:bCs/>
          <w:sz w:val="24"/>
        </w:rPr>
      </w:pPr>
      <w:r>
        <w:rPr>
          <w:b/>
          <w:bCs/>
          <w:sz w:val="24"/>
        </w:rPr>
        <w:t>(8)</w:t>
      </w:r>
      <w:r>
        <w:rPr>
          <w:b/>
          <w:bCs/>
          <w:sz w:val="24"/>
        </w:rPr>
        <w:tab/>
        <w:t>Making the Hazardous Waste Determination in an On-site Central Accumulation Area</w:t>
      </w:r>
    </w:p>
    <w:p w:rsidR="00146A6C" w:rsidRDefault="00146A6C">
      <w:pPr>
        <w:rPr>
          <w:sz w:val="24"/>
        </w:rPr>
      </w:pPr>
    </w:p>
    <w:p w:rsidR="00146A6C" w:rsidRDefault="00146A6C">
      <w:pPr>
        <w:rPr>
          <w:sz w:val="24"/>
        </w:rPr>
      </w:pPr>
      <w:r>
        <w:rPr>
          <w:sz w:val="24"/>
        </w:rPr>
        <w:tab/>
        <w:t xml:space="preserve">40 </w:t>
      </w:r>
      <w:r>
        <w:rPr>
          <w:i/>
          <w:sz w:val="24"/>
        </w:rPr>
        <w:t>CFR</w:t>
      </w:r>
      <w:r>
        <w:rPr>
          <w:sz w:val="24"/>
        </w:rPr>
        <w:t xml:space="preserve"> 262.211 provides that, if an eligible academic entity makes the hazardous waste determination, pursuant to section 262.11, for unwanted material at an on-site central accumulation area, it must comply with requirements in 262.211.</w:t>
      </w:r>
    </w:p>
    <w:p w:rsidR="00146A6C" w:rsidRDefault="00146A6C">
      <w:pPr>
        <w:rPr>
          <w:sz w:val="24"/>
        </w:rPr>
      </w:pPr>
    </w:p>
    <w:p w:rsidR="00146A6C" w:rsidRDefault="00146A6C">
      <w:pPr>
        <w:rPr>
          <w:sz w:val="24"/>
        </w:rPr>
      </w:pPr>
      <w:r>
        <w:rPr>
          <w:sz w:val="24"/>
        </w:rPr>
        <w:tab/>
        <w:t>Section 262.211(d) requires that a trained professional must determine, pursuant to section 262.11, if the unwanted material is a hazardous waste within 4 calendar days of the unwanted materials’ arrival at the on-site central accumulation area.</w:t>
      </w:r>
    </w:p>
    <w:p w:rsidR="00146A6C" w:rsidRDefault="00146A6C">
      <w:pPr>
        <w:rPr>
          <w:sz w:val="24"/>
        </w:rPr>
      </w:pPr>
      <w:r>
        <w:rPr>
          <w:sz w:val="24"/>
        </w:rPr>
        <w:lastRenderedPageBreak/>
        <w:tab/>
        <w:t>Section 262.211(e)(2) provides that, if the unwanted material is a hazardous waste, the eligible academic entity must write the appropriate hazardous waste code(s) on the container label that is associated with the container before the hazardous waste may be treated or disposed on-site or transported off-site.</w:t>
      </w:r>
    </w:p>
    <w:p w:rsidR="00146A6C" w:rsidRDefault="00146A6C">
      <w:pPr>
        <w:ind w:firstLine="720"/>
        <w:rPr>
          <w:sz w:val="24"/>
        </w:rPr>
      </w:pP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u w:val="single"/>
        </w:rPr>
        <w:t>Data Items:</w:t>
      </w:r>
    </w:p>
    <w:p w:rsidR="00146A6C" w:rsidRDefault="00146A6C">
      <w:pPr>
        <w:rPr>
          <w:sz w:val="24"/>
        </w:rPr>
      </w:pPr>
    </w:p>
    <w:p w:rsidR="00146A6C" w:rsidRDefault="00146A6C">
      <w:pPr>
        <w:numPr>
          <w:ilvl w:val="0"/>
          <w:numId w:val="5"/>
        </w:numPr>
        <w:tabs>
          <w:tab w:val="clear" w:pos="2160"/>
        </w:tabs>
        <w:ind w:hanging="1440"/>
        <w:rPr>
          <w:sz w:val="24"/>
        </w:rPr>
      </w:pPr>
      <w:r>
        <w:rPr>
          <w:sz w:val="24"/>
        </w:rPr>
        <w:t>Hazardous waste determination.</w:t>
      </w:r>
    </w:p>
    <w:p w:rsidR="00146A6C" w:rsidRDefault="00146A6C">
      <w:pPr>
        <w:ind w:hanging="1440"/>
        <w:rPr>
          <w:sz w:val="24"/>
        </w:rPr>
      </w:pPr>
    </w:p>
    <w:p w:rsidR="00146A6C" w:rsidRDefault="00146A6C">
      <w:pPr>
        <w:numPr>
          <w:ilvl w:val="0"/>
          <w:numId w:val="5"/>
        </w:numPr>
        <w:tabs>
          <w:tab w:val="clear" w:pos="2160"/>
        </w:tabs>
        <w:ind w:hanging="1440"/>
        <w:rPr>
          <w:sz w:val="24"/>
        </w:rPr>
      </w:pPr>
      <w:r>
        <w:rPr>
          <w:sz w:val="24"/>
        </w:rPr>
        <w:t>EPA Hazardous waste codes on the label.</w:t>
      </w:r>
    </w:p>
    <w:p w:rsidR="00146A6C" w:rsidRDefault="00146A6C">
      <w:pPr>
        <w:ind w:firstLine="720"/>
        <w:rPr>
          <w:sz w:val="24"/>
        </w:rPr>
      </w:pPr>
    </w:p>
    <w:p w:rsidR="00146A6C" w:rsidRDefault="00146A6C">
      <w:pPr>
        <w:ind w:firstLine="720"/>
        <w:rPr>
          <w:sz w:val="24"/>
          <w:u w:val="single"/>
        </w:rPr>
      </w:pPr>
      <w:r>
        <w:rPr>
          <w:sz w:val="24"/>
        </w:rPr>
        <w:t>(ii)</w:t>
      </w:r>
      <w:r>
        <w:rPr>
          <w:sz w:val="24"/>
        </w:rPr>
        <w:tab/>
      </w:r>
      <w:r>
        <w:rPr>
          <w:sz w:val="24"/>
          <w:u w:val="single"/>
        </w:rPr>
        <w:t>Respondent Activities:</w:t>
      </w:r>
    </w:p>
    <w:p w:rsidR="00146A6C" w:rsidRDefault="00146A6C">
      <w:pPr>
        <w:ind w:left="720"/>
        <w:rPr>
          <w:sz w:val="24"/>
        </w:rPr>
      </w:pPr>
    </w:p>
    <w:p w:rsidR="00146A6C" w:rsidRDefault="00146A6C">
      <w:pPr>
        <w:numPr>
          <w:ilvl w:val="0"/>
          <w:numId w:val="8"/>
        </w:numPr>
        <w:tabs>
          <w:tab w:val="clear" w:pos="3600"/>
        </w:tabs>
        <w:ind w:left="1440"/>
        <w:rPr>
          <w:sz w:val="24"/>
        </w:rPr>
      </w:pPr>
      <w:r>
        <w:rPr>
          <w:sz w:val="24"/>
        </w:rPr>
        <w:t>Make the hazardous waste determination; and</w:t>
      </w:r>
    </w:p>
    <w:p w:rsidR="00146A6C" w:rsidRDefault="00146A6C">
      <w:pPr>
        <w:ind w:left="720"/>
        <w:rPr>
          <w:sz w:val="24"/>
        </w:rPr>
      </w:pPr>
    </w:p>
    <w:p w:rsidR="00146A6C" w:rsidRDefault="00146A6C">
      <w:pPr>
        <w:numPr>
          <w:ilvl w:val="0"/>
          <w:numId w:val="8"/>
        </w:numPr>
        <w:tabs>
          <w:tab w:val="clear" w:pos="3600"/>
        </w:tabs>
        <w:ind w:left="1440"/>
        <w:rPr>
          <w:sz w:val="24"/>
        </w:rPr>
      </w:pPr>
      <w:r>
        <w:rPr>
          <w:sz w:val="24"/>
        </w:rPr>
        <w:t>Write hazardous waste codes on the container label.</w:t>
      </w:r>
    </w:p>
    <w:p w:rsidR="00146A6C" w:rsidRDefault="00146A6C">
      <w:pPr>
        <w:ind w:left="2160" w:hanging="720"/>
        <w:rPr>
          <w:sz w:val="24"/>
        </w:rPr>
      </w:pPr>
    </w:p>
    <w:p w:rsidR="00146A6C" w:rsidRDefault="00146A6C">
      <w:pPr>
        <w:ind w:left="720" w:hanging="720"/>
        <w:rPr>
          <w:b/>
          <w:bCs/>
          <w:sz w:val="24"/>
        </w:rPr>
      </w:pPr>
      <w:r>
        <w:rPr>
          <w:b/>
          <w:bCs/>
          <w:sz w:val="24"/>
        </w:rPr>
        <w:t>(9)</w:t>
      </w:r>
      <w:r>
        <w:rPr>
          <w:b/>
          <w:bCs/>
          <w:sz w:val="24"/>
        </w:rPr>
        <w:tab/>
        <w:t>Making the Hazardous Waste Determination at an On-site Interim Status or Permitted Treatment, Storage, or Disposal Facility</w:t>
      </w:r>
    </w:p>
    <w:p w:rsidR="00146A6C" w:rsidRDefault="00146A6C">
      <w:pPr>
        <w:rPr>
          <w:sz w:val="24"/>
        </w:rPr>
      </w:pPr>
    </w:p>
    <w:p w:rsidR="00146A6C" w:rsidRDefault="00146A6C">
      <w:pPr>
        <w:ind w:firstLine="720"/>
        <w:rPr>
          <w:sz w:val="24"/>
        </w:rPr>
      </w:pPr>
      <w:r>
        <w:rPr>
          <w:sz w:val="24"/>
        </w:rPr>
        <w:t xml:space="preserve">40 </w:t>
      </w:r>
      <w:r>
        <w:rPr>
          <w:i/>
          <w:sz w:val="24"/>
        </w:rPr>
        <w:t>CFR</w:t>
      </w:r>
      <w:r>
        <w:rPr>
          <w:sz w:val="24"/>
        </w:rPr>
        <w:t xml:space="preserve"> 262.212 provides that, if an eligible academic entity makes the hazardous waste determination, pursuant to section 262.11, for unwanted material at an on-site interim status or permitted treatment, storage or disposal facility, it must comply with the requirements in section 262.212.</w:t>
      </w:r>
    </w:p>
    <w:p w:rsidR="00146A6C" w:rsidRDefault="00146A6C">
      <w:pPr>
        <w:rPr>
          <w:sz w:val="24"/>
        </w:rPr>
      </w:pPr>
    </w:p>
    <w:p w:rsidR="00146A6C" w:rsidRDefault="00146A6C">
      <w:pPr>
        <w:rPr>
          <w:sz w:val="24"/>
        </w:rPr>
      </w:pPr>
      <w:r>
        <w:rPr>
          <w:sz w:val="24"/>
        </w:rPr>
        <w:tab/>
        <w:t>Section 262.212(d) requires that a trained professional must determine, pursuant to section 262.11, if the unwanted material is a hazardous waste within 4 calendar days of the unwanted materials’ arrival at an on-site interim status or permitted treatment, storage or disposal facility.</w:t>
      </w:r>
    </w:p>
    <w:p w:rsidR="00146A6C" w:rsidRDefault="00146A6C">
      <w:pPr>
        <w:rPr>
          <w:sz w:val="24"/>
        </w:rPr>
      </w:pPr>
    </w:p>
    <w:p w:rsidR="00146A6C" w:rsidRDefault="00146A6C">
      <w:pPr>
        <w:rPr>
          <w:sz w:val="24"/>
        </w:rPr>
      </w:pPr>
      <w:r>
        <w:rPr>
          <w:sz w:val="24"/>
        </w:rPr>
        <w:tab/>
        <w:t>Section 262.212(e)(2) provides that, if the unwanted material is a hazardous waste, the eligible academic entity must write the appropriate hazardous waste code(s) on the container label that is associated with the container before the hazardous waste may be treated or disposed on-site or transported off-site.</w:t>
      </w:r>
    </w:p>
    <w:p w:rsidR="00146A6C" w:rsidRDefault="00146A6C">
      <w:pPr>
        <w:rPr>
          <w:sz w:val="24"/>
        </w:rPr>
      </w:pP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u w:val="single"/>
        </w:rPr>
        <w:t>Data Items:</w:t>
      </w:r>
    </w:p>
    <w:p w:rsidR="00146A6C" w:rsidRDefault="00146A6C">
      <w:pPr>
        <w:rPr>
          <w:sz w:val="24"/>
        </w:rPr>
      </w:pPr>
    </w:p>
    <w:p w:rsidR="00146A6C" w:rsidRDefault="00146A6C">
      <w:pPr>
        <w:numPr>
          <w:ilvl w:val="0"/>
          <w:numId w:val="5"/>
        </w:numPr>
        <w:tabs>
          <w:tab w:val="clear" w:pos="2160"/>
        </w:tabs>
        <w:ind w:hanging="1440"/>
        <w:rPr>
          <w:sz w:val="24"/>
        </w:rPr>
      </w:pPr>
      <w:r>
        <w:rPr>
          <w:sz w:val="24"/>
        </w:rPr>
        <w:t>Hazardous waste determination.</w:t>
      </w:r>
    </w:p>
    <w:p w:rsidR="00146A6C" w:rsidRDefault="00146A6C">
      <w:pPr>
        <w:ind w:hanging="1440"/>
        <w:rPr>
          <w:sz w:val="24"/>
        </w:rPr>
      </w:pPr>
    </w:p>
    <w:p w:rsidR="00146A6C" w:rsidRDefault="00146A6C">
      <w:pPr>
        <w:numPr>
          <w:ilvl w:val="0"/>
          <w:numId w:val="5"/>
        </w:numPr>
        <w:tabs>
          <w:tab w:val="clear" w:pos="2160"/>
        </w:tabs>
        <w:ind w:hanging="1440"/>
        <w:rPr>
          <w:sz w:val="24"/>
        </w:rPr>
      </w:pPr>
      <w:r>
        <w:rPr>
          <w:sz w:val="24"/>
        </w:rPr>
        <w:t>EPA Hazardous waste codes on the label.</w:t>
      </w:r>
    </w:p>
    <w:p w:rsidR="00146A6C" w:rsidRDefault="00146A6C">
      <w:pPr>
        <w:ind w:firstLine="720"/>
        <w:rPr>
          <w:sz w:val="24"/>
        </w:rPr>
      </w:pPr>
    </w:p>
    <w:p w:rsidR="00146A6C" w:rsidRDefault="00146A6C">
      <w:pPr>
        <w:keepNext/>
        <w:ind w:firstLine="720"/>
        <w:rPr>
          <w:sz w:val="24"/>
          <w:u w:val="single"/>
        </w:rPr>
      </w:pPr>
      <w:r>
        <w:rPr>
          <w:sz w:val="24"/>
        </w:rPr>
        <w:t>(ii)</w:t>
      </w:r>
      <w:r>
        <w:rPr>
          <w:sz w:val="24"/>
        </w:rPr>
        <w:tab/>
      </w:r>
      <w:r>
        <w:rPr>
          <w:sz w:val="24"/>
          <w:u w:val="single"/>
        </w:rPr>
        <w:t>Respondent Activities:</w:t>
      </w:r>
    </w:p>
    <w:p w:rsidR="00146A6C" w:rsidRDefault="00146A6C">
      <w:pPr>
        <w:keepNext/>
        <w:ind w:left="720"/>
        <w:rPr>
          <w:sz w:val="24"/>
        </w:rPr>
      </w:pPr>
    </w:p>
    <w:p w:rsidR="00146A6C" w:rsidRDefault="00146A6C">
      <w:pPr>
        <w:keepNext/>
        <w:numPr>
          <w:ilvl w:val="0"/>
          <w:numId w:val="8"/>
        </w:numPr>
        <w:tabs>
          <w:tab w:val="clear" w:pos="3600"/>
        </w:tabs>
        <w:ind w:left="1440"/>
        <w:rPr>
          <w:sz w:val="24"/>
        </w:rPr>
      </w:pPr>
      <w:r>
        <w:rPr>
          <w:sz w:val="24"/>
        </w:rPr>
        <w:t>Make the hazardous waste determination; and</w:t>
      </w:r>
    </w:p>
    <w:p w:rsidR="00146A6C" w:rsidRDefault="00146A6C">
      <w:pPr>
        <w:ind w:left="720"/>
        <w:rPr>
          <w:sz w:val="24"/>
        </w:rPr>
      </w:pPr>
    </w:p>
    <w:p w:rsidR="00146A6C" w:rsidRDefault="00146A6C">
      <w:pPr>
        <w:numPr>
          <w:ilvl w:val="0"/>
          <w:numId w:val="8"/>
        </w:numPr>
        <w:tabs>
          <w:tab w:val="clear" w:pos="3600"/>
        </w:tabs>
        <w:ind w:left="1440"/>
        <w:rPr>
          <w:sz w:val="24"/>
        </w:rPr>
      </w:pPr>
      <w:r>
        <w:rPr>
          <w:sz w:val="24"/>
        </w:rPr>
        <w:lastRenderedPageBreak/>
        <w:t>Write hazardous waste codes on the container label.</w:t>
      </w:r>
    </w:p>
    <w:p w:rsidR="00146A6C" w:rsidRDefault="00146A6C">
      <w:pPr>
        <w:rPr>
          <w:sz w:val="24"/>
        </w:rPr>
      </w:pPr>
    </w:p>
    <w:p w:rsidR="00146A6C" w:rsidRDefault="00146A6C">
      <w:pPr>
        <w:rPr>
          <w:sz w:val="24"/>
        </w:rPr>
      </w:pPr>
      <w:r>
        <w:rPr>
          <w:b/>
          <w:bCs/>
          <w:sz w:val="24"/>
        </w:rPr>
        <w:t>(10)</w:t>
      </w:r>
      <w:r>
        <w:rPr>
          <w:b/>
          <w:bCs/>
          <w:sz w:val="24"/>
        </w:rPr>
        <w:tab/>
        <w:t>Laboratory Clean-outs</w:t>
      </w:r>
    </w:p>
    <w:p w:rsidR="00146A6C" w:rsidRDefault="00146A6C">
      <w:pPr>
        <w:rPr>
          <w:sz w:val="24"/>
        </w:rPr>
      </w:pPr>
    </w:p>
    <w:p w:rsidR="00146A6C" w:rsidRDefault="00146A6C">
      <w:pPr>
        <w:rPr>
          <w:sz w:val="24"/>
        </w:rPr>
      </w:pPr>
      <w:r>
        <w:rPr>
          <w:sz w:val="24"/>
        </w:rPr>
        <w:tab/>
        <w:t xml:space="preserve">40 </w:t>
      </w:r>
      <w:r>
        <w:rPr>
          <w:i/>
          <w:sz w:val="24"/>
        </w:rPr>
        <w:t>CFR</w:t>
      </w:r>
      <w:r>
        <w:rPr>
          <w:sz w:val="24"/>
        </w:rPr>
        <w:t xml:space="preserve"> 262.213(a) provides that one time per 12 month period per laboratory, an eligible academic entity may opt to conduct a laboratory clean-out that is subject to all the applicable requirements of Subpart K, except as specified otherwise in section 262.213(a). </w:t>
      </w:r>
    </w:p>
    <w:p w:rsidR="00146A6C" w:rsidRDefault="00146A6C">
      <w:pPr>
        <w:rPr>
          <w:sz w:val="24"/>
        </w:rPr>
      </w:pPr>
    </w:p>
    <w:p w:rsidR="00146A6C" w:rsidRDefault="00146A6C">
      <w:pPr>
        <w:rPr>
          <w:sz w:val="24"/>
        </w:rPr>
      </w:pPr>
      <w:r>
        <w:rPr>
          <w:sz w:val="24"/>
        </w:rPr>
        <w:tab/>
        <w:t>Section 262.213(a)(4) requires that an eligible academic entity must document the activities of the laboratory clean-out, as specified.  The eligible academic entity must maintain the records for a period of three years from the date the clean-out ends.</w:t>
      </w:r>
    </w:p>
    <w:p w:rsidR="00146A6C" w:rsidRDefault="00146A6C">
      <w:pPr>
        <w:rPr>
          <w:sz w:val="24"/>
        </w:rPr>
      </w:pP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u w:val="single"/>
        </w:rPr>
        <w:t>Data Items:</w:t>
      </w:r>
    </w:p>
    <w:p w:rsidR="00146A6C" w:rsidRDefault="00146A6C">
      <w:pPr>
        <w:rPr>
          <w:sz w:val="24"/>
        </w:rPr>
      </w:pPr>
    </w:p>
    <w:p w:rsidR="00146A6C" w:rsidRDefault="00146A6C">
      <w:pPr>
        <w:numPr>
          <w:ilvl w:val="0"/>
          <w:numId w:val="3"/>
        </w:numPr>
        <w:tabs>
          <w:tab w:val="clear" w:pos="2160"/>
        </w:tabs>
        <w:ind w:left="1440"/>
        <w:rPr>
          <w:sz w:val="24"/>
        </w:rPr>
      </w:pPr>
      <w:r>
        <w:rPr>
          <w:sz w:val="24"/>
        </w:rPr>
        <w:t xml:space="preserve">Documentation that, at a minimum, identifies the laboratory being cleaned out, the date the laboratory clean-out begins and ends, and the volume of hazardous waste generated during the laboratory clean-out. </w:t>
      </w:r>
    </w:p>
    <w:p w:rsidR="00146A6C" w:rsidRDefault="00146A6C">
      <w:pPr>
        <w:ind w:firstLine="720"/>
        <w:rPr>
          <w:sz w:val="24"/>
        </w:rPr>
      </w:pPr>
    </w:p>
    <w:p w:rsidR="00146A6C" w:rsidRDefault="00146A6C">
      <w:pPr>
        <w:ind w:firstLine="720"/>
        <w:rPr>
          <w:sz w:val="24"/>
        </w:rPr>
      </w:pPr>
      <w:r>
        <w:rPr>
          <w:sz w:val="24"/>
        </w:rPr>
        <w:t>(ii)</w:t>
      </w:r>
      <w:r>
        <w:rPr>
          <w:sz w:val="24"/>
        </w:rPr>
        <w:tab/>
      </w:r>
      <w:r>
        <w:rPr>
          <w:sz w:val="24"/>
          <w:u w:val="single"/>
        </w:rPr>
        <w:t>Respondent Activities:</w:t>
      </w:r>
    </w:p>
    <w:p w:rsidR="00146A6C" w:rsidRDefault="00146A6C">
      <w:pPr>
        <w:rPr>
          <w:sz w:val="24"/>
        </w:rPr>
      </w:pPr>
    </w:p>
    <w:p w:rsidR="00146A6C" w:rsidRDefault="00146A6C">
      <w:pPr>
        <w:numPr>
          <w:ilvl w:val="0"/>
          <w:numId w:val="3"/>
        </w:numPr>
        <w:tabs>
          <w:tab w:val="clear" w:pos="2160"/>
        </w:tabs>
        <w:ind w:left="1440"/>
        <w:rPr>
          <w:sz w:val="24"/>
        </w:rPr>
      </w:pPr>
      <w:r>
        <w:rPr>
          <w:sz w:val="24"/>
        </w:rPr>
        <w:t>Document the activities of the laboratory clean-out; and</w:t>
      </w:r>
    </w:p>
    <w:p w:rsidR="00146A6C" w:rsidRDefault="00146A6C">
      <w:pPr>
        <w:ind w:left="720"/>
        <w:rPr>
          <w:sz w:val="24"/>
        </w:rPr>
      </w:pPr>
    </w:p>
    <w:p w:rsidR="00146A6C" w:rsidRDefault="00146A6C">
      <w:pPr>
        <w:numPr>
          <w:ilvl w:val="0"/>
          <w:numId w:val="3"/>
        </w:numPr>
        <w:tabs>
          <w:tab w:val="clear" w:pos="2160"/>
        </w:tabs>
        <w:ind w:left="1440"/>
        <w:rPr>
          <w:sz w:val="24"/>
        </w:rPr>
      </w:pPr>
      <w:r>
        <w:rPr>
          <w:sz w:val="24"/>
        </w:rPr>
        <w:t>Maintain records of the clean-out.</w:t>
      </w:r>
    </w:p>
    <w:p w:rsidR="00146A6C" w:rsidRDefault="00146A6C">
      <w:pPr>
        <w:rPr>
          <w:sz w:val="24"/>
        </w:rPr>
      </w:pPr>
    </w:p>
    <w:p w:rsidR="00146A6C" w:rsidRDefault="00146A6C">
      <w:pPr>
        <w:rPr>
          <w:sz w:val="24"/>
        </w:rPr>
      </w:pPr>
      <w:r>
        <w:rPr>
          <w:b/>
          <w:bCs/>
          <w:sz w:val="24"/>
        </w:rPr>
        <w:t>(11)</w:t>
      </w:r>
      <w:r>
        <w:rPr>
          <w:b/>
          <w:bCs/>
          <w:sz w:val="24"/>
        </w:rPr>
        <w:tab/>
        <w:t>Laboratory Management Plan</w:t>
      </w:r>
    </w:p>
    <w:p w:rsidR="00146A6C" w:rsidRDefault="00146A6C">
      <w:pPr>
        <w:rPr>
          <w:sz w:val="24"/>
        </w:rPr>
      </w:pPr>
    </w:p>
    <w:p w:rsidR="00146A6C" w:rsidRDefault="00146A6C">
      <w:pPr>
        <w:keepNext/>
        <w:rPr>
          <w:sz w:val="24"/>
        </w:rPr>
      </w:pPr>
      <w:r>
        <w:rPr>
          <w:sz w:val="24"/>
        </w:rPr>
        <w:tab/>
        <w:t xml:space="preserve">40 </w:t>
      </w:r>
      <w:r>
        <w:rPr>
          <w:i/>
          <w:sz w:val="24"/>
        </w:rPr>
        <w:t>CFR</w:t>
      </w:r>
      <w:r>
        <w:rPr>
          <w:sz w:val="24"/>
        </w:rPr>
        <w:t xml:space="preserve"> 262.214 provides that an eligible academic entity must develop and retain a written Laboratory Management Plan, or revise an existing written plan.  The Laboratory Management Plan is a site-specific document that describes how the eligible academic entity will comply with Subpart K.  An eligible academic entity may write one Laboratory Management Plan for all the laboratories owned by the eligible academic entity that have opted into Subpart K, even if the laboratories are located at sites with different EPA Identification Numbers.</w:t>
      </w:r>
    </w:p>
    <w:p w:rsidR="00146A6C" w:rsidRDefault="00146A6C">
      <w:pPr>
        <w:rPr>
          <w:color w:val="FF0000"/>
          <w:sz w:val="24"/>
        </w:rPr>
      </w:pPr>
    </w:p>
    <w:p w:rsidR="00146A6C" w:rsidRDefault="00146A6C">
      <w:pPr>
        <w:ind w:firstLine="720"/>
        <w:rPr>
          <w:sz w:val="24"/>
        </w:rPr>
      </w:pPr>
      <w:r>
        <w:rPr>
          <w:sz w:val="24"/>
        </w:rPr>
        <w:t>The Laboratory Management Plan must contain two parts with a total of nine elements identified in section 262.214(a) and (b).  In Part I of its Laboratory Management Plan, an eligible academic entity must describe its procedures for each of the elements listed in section 262.214(a).  An eligible academic entity must implement and comply with the specific provisions that it develops to address the elements in Part I of the Laboratory Management Plan.</w:t>
      </w:r>
    </w:p>
    <w:p w:rsidR="00146A6C" w:rsidRDefault="00146A6C">
      <w:pPr>
        <w:ind w:firstLine="720"/>
        <w:rPr>
          <w:sz w:val="24"/>
        </w:rPr>
      </w:pPr>
    </w:p>
    <w:p w:rsidR="00146A6C" w:rsidRDefault="00146A6C">
      <w:pPr>
        <w:ind w:firstLine="720"/>
        <w:rPr>
          <w:sz w:val="24"/>
        </w:rPr>
      </w:pPr>
      <w:r>
        <w:rPr>
          <w:sz w:val="24"/>
        </w:rPr>
        <w:t xml:space="preserve">In Part II of its Laboratory Management Plan, an eligible academic entity must describe its best management practices for each of the elements listed in section 262.214(b).  The specific actions taken by an eligible academic entity to implement each element in Part II of its Laboratory Management Plan may vary from the procedures </w:t>
      </w:r>
      <w:r>
        <w:rPr>
          <w:sz w:val="24"/>
        </w:rPr>
        <w:lastRenderedPageBreak/>
        <w:t>described in the eligible academic entity’s Laboratory Management Plan, without constituting a violation of Subpart K.  An eligible academic entity may include additional elements and best management practices in Part II of its Laboratory Management Plan if it chooses.</w:t>
      </w:r>
    </w:p>
    <w:p w:rsidR="00146A6C" w:rsidRDefault="00146A6C">
      <w:pPr>
        <w:rPr>
          <w:sz w:val="24"/>
        </w:rPr>
      </w:pPr>
    </w:p>
    <w:p w:rsidR="00146A6C" w:rsidRDefault="00146A6C">
      <w:pPr>
        <w:rPr>
          <w:sz w:val="24"/>
        </w:rPr>
      </w:pPr>
      <w:r>
        <w:rPr>
          <w:sz w:val="24"/>
        </w:rPr>
        <w:tab/>
        <w:t>Section 262.214(c) provides that an eligible academic entity must make its Laboratory Management Plan available to laboratory workers, students, or any others at the eligible academic entity who request it.</w:t>
      </w:r>
    </w:p>
    <w:p w:rsidR="00146A6C" w:rsidRDefault="00146A6C">
      <w:pPr>
        <w:rPr>
          <w:sz w:val="24"/>
        </w:rPr>
      </w:pPr>
    </w:p>
    <w:p w:rsidR="00146A6C" w:rsidRDefault="00146A6C">
      <w:pPr>
        <w:rPr>
          <w:sz w:val="24"/>
        </w:rPr>
      </w:pPr>
      <w:r>
        <w:rPr>
          <w:sz w:val="24"/>
        </w:rPr>
        <w:tab/>
        <w:t>Section 262.214(d) requires that an eligible academic entity must review and revise its Laboratory Management Plan, as needed.</w:t>
      </w:r>
    </w:p>
    <w:p w:rsidR="00146A6C" w:rsidRDefault="00146A6C">
      <w:pPr>
        <w:rPr>
          <w:sz w:val="24"/>
        </w:rPr>
      </w:pP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u w:val="single"/>
        </w:rPr>
        <w:t>Data Items:</w:t>
      </w:r>
    </w:p>
    <w:p w:rsidR="00146A6C" w:rsidRDefault="00146A6C">
      <w:pPr>
        <w:rPr>
          <w:sz w:val="24"/>
        </w:rPr>
      </w:pPr>
    </w:p>
    <w:p w:rsidR="00146A6C" w:rsidRDefault="00146A6C">
      <w:pPr>
        <w:numPr>
          <w:ilvl w:val="0"/>
          <w:numId w:val="3"/>
        </w:numPr>
        <w:tabs>
          <w:tab w:val="clear" w:pos="2160"/>
        </w:tabs>
        <w:ind w:left="1440"/>
        <w:rPr>
          <w:sz w:val="24"/>
        </w:rPr>
      </w:pPr>
      <w:r>
        <w:rPr>
          <w:sz w:val="24"/>
        </w:rPr>
        <w:t>A Laboratory Management Plan that includes Part I and II.  In Part I of the Laboratory Management Plan, an eligible academic entity must:</w:t>
      </w:r>
    </w:p>
    <w:p w:rsidR="00146A6C" w:rsidRDefault="00146A6C">
      <w:pPr>
        <w:ind w:left="2160" w:hanging="720"/>
        <w:rPr>
          <w:sz w:val="24"/>
        </w:rPr>
      </w:pPr>
      <w:r>
        <w:rPr>
          <w:sz w:val="24"/>
        </w:rPr>
        <w:t>--</w:t>
      </w:r>
      <w:r>
        <w:rPr>
          <w:sz w:val="24"/>
        </w:rPr>
        <w:tab/>
        <w:t>Describe procedures for container labeling in accordance with section 262.206(a), including:</w:t>
      </w:r>
    </w:p>
    <w:p w:rsidR="00146A6C" w:rsidRDefault="00146A6C">
      <w:pPr>
        <w:ind w:left="2880" w:hanging="720"/>
        <w:rPr>
          <w:sz w:val="24"/>
        </w:rPr>
      </w:pPr>
      <w:r>
        <w:rPr>
          <w:sz w:val="24"/>
        </w:rPr>
        <w:t>-</w:t>
      </w:r>
      <w:r>
        <w:rPr>
          <w:sz w:val="24"/>
        </w:rPr>
        <w:tab/>
        <w:t>Identifying whether the eligible academic entity will use the term “unwanted material” on the containers in the laboratory.  If not, identify the equally effective term that will be used in lieu of “unwanted material” and consistently by the eligible academic entity.</w:t>
      </w:r>
    </w:p>
    <w:p w:rsidR="00146A6C" w:rsidRDefault="00146A6C">
      <w:pPr>
        <w:ind w:left="2880" w:hanging="720"/>
        <w:rPr>
          <w:sz w:val="24"/>
        </w:rPr>
      </w:pPr>
      <w:r>
        <w:rPr>
          <w:sz w:val="24"/>
        </w:rPr>
        <w:t>-</w:t>
      </w:r>
      <w:r>
        <w:rPr>
          <w:sz w:val="24"/>
        </w:rPr>
        <w:tab/>
        <w:t>Identifying the manner in which information that is “associated with the container” will be imparted.</w:t>
      </w:r>
    </w:p>
    <w:p w:rsidR="00146A6C" w:rsidRDefault="00146A6C">
      <w:pPr>
        <w:ind w:left="2160" w:hanging="720"/>
        <w:rPr>
          <w:sz w:val="24"/>
        </w:rPr>
      </w:pPr>
      <w:r>
        <w:rPr>
          <w:sz w:val="24"/>
        </w:rPr>
        <w:t>--</w:t>
      </w:r>
      <w:r>
        <w:rPr>
          <w:sz w:val="24"/>
        </w:rPr>
        <w:tab/>
        <w:t>Identify whether the eligible academic entity will comply with section 262.208(a)(1) or section 262.208(a)(2) for regularly scheduled removals of unwanted material from the laboratory.</w:t>
      </w:r>
    </w:p>
    <w:p w:rsidR="00146A6C" w:rsidRDefault="00146A6C">
      <w:pPr>
        <w:ind w:left="360"/>
        <w:rPr>
          <w:sz w:val="24"/>
        </w:rPr>
      </w:pPr>
    </w:p>
    <w:p w:rsidR="00146A6C" w:rsidRDefault="00146A6C">
      <w:pPr>
        <w:ind w:left="1440"/>
        <w:rPr>
          <w:sz w:val="24"/>
        </w:rPr>
      </w:pPr>
      <w:r>
        <w:rPr>
          <w:sz w:val="24"/>
        </w:rPr>
        <w:t>In Part II of the Laboratory Management Plan, an eligible academic entity must:</w:t>
      </w:r>
    </w:p>
    <w:p w:rsidR="00146A6C" w:rsidRDefault="00146A6C">
      <w:pPr>
        <w:ind w:left="2160" w:hanging="720"/>
        <w:rPr>
          <w:sz w:val="24"/>
        </w:rPr>
      </w:pPr>
      <w:r>
        <w:rPr>
          <w:sz w:val="24"/>
        </w:rPr>
        <w:t>--</w:t>
      </w:r>
      <w:r>
        <w:rPr>
          <w:sz w:val="24"/>
        </w:rPr>
        <w:tab/>
        <w:t>Describe procedures for container labeling and management standards, including how the eligible academic entity will manage containers used for in-line collection of unwanted materials, such as with liquid chromatographs and other laboratory equipment.</w:t>
      </w:r>
    </w:p>
    <w:p w:rsidR="00146A6C" w:rsidRDefault="00146A6C">
      <w:pPr>
        <w:ind w:left="2160" w:hanging="720"/>
        <w:rPr>
          <w:sz w:val="24"/>
        </w:rPr>
      </w:pPr>
      <w:r>
        <w:rPr>
          <w:sz w:val="24"/>
        </w:rPr>
        <w:t>--</w:t>
      </w:r>
      <w:r>
        <w:rPr>
          <w:sz w:val="24"/>
        </w:rPr>
        <w:tab/>
        <w:t>Describe how the eligible academic entity will provide training for laboratory workers and students commensurate with their duties.</w:t>
      </w:r>
    </w:p>
    <w:p w:rsidR="00146A6C" w:rsidRDefault="00146A6C">
      <w:pPr>
        <w:ind w:left="2160" w:hanging="720"/>
        <w:rPr>
          <w:sz w:val="24"/>
        </w:rPr>
      </w:pPr>
      <w:r>
        <w:rPr>
          <w:sz w:val="24"/>
        </w:rPr>
        <w:t xml:space="preserve">-- </w:t>
      </w:r>
      <w:r>
        <w:rPr>
          <w:sz w:val="24"/>
        </w:rPr>
        <w:tab/>
        <w:t>Describe how the eligible academic entity will provide training to ensure safe on-site transfers of unwanted material and hazardous waste by trained professionals.</w:t>
      </w:r>
    </w:p>
    <w:p w:rsidR="00146A6C" w:rsidRDefault="00146A6C">
      <w:pPr>
        <w:ind w:left="2160" w:hanging="720"/>
        <w:rPr>
          <w:sz w:val="24"/>
        </w:rPr>
      </w:pPr>
      <w:r>
        <w:rPr>
          <w:sz w:val="24"/>
        </w:rPr>
        <w:t>--</w:t>
      </w:r>
      <w:r>
        <w:rPr>
          <w:sz w:val="24"/>
        </w:rPr>
        <w:tab/>
        <w:t>Describe procedures for removing unwanted material from the laboratory, including:</w:t>
      </w:r>
    </w:p>
    <w:p w:rsidR="00146A6C" w:rsidRDefault="00146A6C">
      <w:pPr>
        <w:ind w:left="2880" w:hanging="720"/>
        <w:rPr>
          <w:sz w:val="24"/>
        </w:rPr>
      </w:pPr>
      <w:r>
        <w:rPr>
          <w:sz w:val="24"/>
        </w:rPr>
        <w:t>-</w:t>
      </w:r>
      <w:r>
        <w:rPr>
          <w:sz w:val="24"/>
        </w:rPr>
        <w:tab/>
        <w:t>For regularly scheduled removals – Develop a regular schedule for identifying and removing unwanted materials from its laboratories.</w:t>
      </w:r>
    </w:p>
    <w:p w:rsidR="00146A6C" w:rsidRDefault="00146A6C">
      <w:pPr>
        <w:ind w:left="2880" w:hanging="720"/>
        <w:rPr>
          <w:sz w:val="24"/>
        </w:rPr>
      </w:pPr>
      <w:r>
        <w:rPr>
          <w:sz w:val="24"/>
        </w:rPr>
        <w:t>-</w:t>
      </w:r>
      <w:r>
        <w:rPr>
          <w:sz w:val="24"/>
        </w:rPr>
        <w:tab/>
        <w:t>For removals when maximum volumes are exceeded:</w:t>
      </w:r>
    </w:p>
    <w:p w:rsidR="00146A6C" w:rsidRDefault="00146A6C">
      <w:pPr>
        <w:ind w:left="3600" w:hanging="720"/>
        <w:rPr>
          <w:sz w:val="24"/>
        </w:rPr>
      </w:pPr>
      <w:r>
        <w:rPr>
          <w:sz w:val="24"/>
        </w:rPr>
        <w:lastRenderedPageBreak/>
        <w:t>-</w:t>
      </w:r>
      <w:r>
        <w:rPr>
          <w:sz w:val="24"/>
        </w:rPr>
        <w:tab/>
        <w:t>Describe procedures for removing unwanted materials from the laboratory within 10 calendar days when unwanted materials have exceeded their maximum volumes.</w:t>
      </w:r>
    </w:p>
    <w:p w:rsidR="00146A6C" w:rsidRDefault="00146A6C">
      <w:pPr>
        <w:ind w:left="3600" w:hanging="720"/>
        <w:rPr>
          <w:sz w:val="24"/>
        </w:rPr>
      </w:pPr>
      <w:r>
        <w:rPr>
          <w:sz w:val="24"/>
        </w:rPr>
        <w:t>-</w:t>
      </w:r>
      <w:r>
        <w:rPr>
          <w:sz w:val="24"/>
        </w:rPr>
        <w:tab/>
        <w:t>Describe how and to whom laboratory workers or students will communicate that unwanted materials have exceeded their maximum volumes.</w:t>
      </w:r>
    </w:p>
    <w:p w:rsidR="00146A6C" w:rsidRDefault="00146A6C">
      <w:pPr>
        <w:ind w:left="2160" w:hanging="720"/>
        <w:rPr>
          <w:sz w:val="24"/>
        </w:rPr>
      </w:pPr>
      <w:r>
        <w:rPr>
          <w:sz w:val="24"/>
        </w:rPr>
        <w:t>--</w:t>
      </w:r>
      <w:r>
        <w:rPr>
          <w:sz w:val="24"/>
        </w:rPr>
        <w:tab/>
        <w:t>Describe procedures for making hazardous waste including specifying the duties of the individuals involved in the process.</w:t>
      </w:r>
    </w:p>
    <w:p w:rsidR="00146A6C" w:rsidRDefault="00146A6C">
      <w:pPr>
        <w:ind w:left="2160" w:hanging="720"/>
        <w:rPr>
          <w:sz w:val="24"/>
        </w:rPr>
      </w:pPr>
      <w:r>
        <w:rPr>
          <w:sz w:val="24"/>
        </w:rPr>
        <w:t xml:space="preserve">-- </w:t>
      </w:r>
      <w:r>
        <w:rPr>
          <w:sz w:val="24"/>
        </w:rPr>
        <w:tab/>
        <w:t>Describe procedures for laboratory clean-outs, if the eligible academic entity plans to use the incentives for laboratory clean-outs provided in section 262.213, including:</w:t>
      </w:r>
    </w:p>
    <w:p w:rsidR="00146A6C" w:rsidRDefault="00146A6C">
      <w:pPr>
        <w:ind w:left="2880" w:hanging="720"/>
        <w:rPr>
          <w:sz w:val="24"/>
        </w:rPr>
      </w:pPr>
      <w:r>
        <w:rPr>
          <w:sz w:val="24"/>
        </w:rPr>
        <w:t>-</w:t>
      </w:r>
      <w:r>
        <w:rPr>
          <w:sz w:val="24"/>
        </w:rPr>
        <w:tab/>
        <w:t>Procedures for conducting laboratory clean-outs in accordance with section 262.213; and</w:t>
      </w:r>
    </w:p>
    <w:p w:rsidR="00146A6C" w:rsidRDefault="00146A6C">
      <w:pPr>
        <w:ind w:left="2880" w:hanging="720"/>
        <w:rPr>
          <w:sz w:val="24"/>
        </w:rPr>
      </w:pPr>
      <w:r>
        <w:rPr>
          <w:sz w:val="24"/>
        </w:rPr>
        <w:t>-</w:t>
      </w:r>
      <w:r>
        <w:rPr>
          <w:sz w:val="24"/>
        </w:rPr>
        <w:tab/>
        <w:t>Procedures for documenting laboratory clean-outs in accordance with section 262.213(a)(4).</w:t>
      </w:r>
    </w:p>
    <w:p w:rsidR="00146A6C" w:rsidRDefault="00146A6C">
      <w:pPr>
        <w:ind w:left="720" w:firstLine="720"/>
        <w:rPr>
          <w:sz w:val="24"/>
        </w:rPr>
      </w:pPr>
      <w:r>
        <w:rPr>
          <w:sz w:val="24"/>
        </w:rPr>
        <w:t>--</w:t>
      </w:r>
      <w:r>
        <w:rPr>
          <w:sz w:val="24"/>
        </w:rPr>
        <w:tab/>
        <w:t>Describe emergency prevention procedures, including:</w:t>
      </w:r>
    </w:p>
    <w:p w:rsidR="00146A6C" w:rsidRDefault="00146A6C">
      <w:pPr>
        <w:ind w:left="2880" w:hanging="720"/>
        <w:rPr>
          <w:sz w:val="24"/>
        </w:rPr>
      </w:pPr>
      <w:r>
        <w:rPr>
          <w:sz w:val="24"/>
        </w:rPr>
        <w:t>-</w:t>
      </w:r>
      <w:r>
        <w:rPr>
          <w:sz w:val="24"/>
        </w:rPr>
        <w:tab/>
        <w:t>Procedures for emergency prevention, notification, and response, appropriate to the hazards in the laboratory; and</w:t>
      </w:r>
    </w:p>
    <w:p w:rsidR="00146A6C" w:rsidRDefault="00146A6C">
      <w:pPr>
        <w:ind w:left="2880" w:hanging="720"/>
        <w:rPr>
          <w:sz w:val="24"/>
        </w:rPr>
      </w:pPr>
      <w:r>
        <w:rPr>
          <w:sz w:val="24"/>
        </w:rPr>
        <w:t>-</w:t>
      </w:r>
      <w:r>
        <w:rPr>
          <w:sz w:val="24"/>
        </w:rPr>
        <w:tab/>
        <w:t xml:space="preserve">A list of chemicals that the eligible academic entity has, or is likely to have, that become more dangerous when they exceed their expiration date and/or as they degrade; and  </w:t>
      </w:r>
    </w:p>
    <w:p w:rsidR="00146A6C" w:rsidRDefault="00146A6C">
      <w:pPr>
        <w:ind w:left="2880" w:hanging="720"/>
        <w:rPr>
          <w:sz w:val="24"/>
        </w:rPr>
      </w:pPr>
      <w:r>
        <w:rPr>
          <w:sz w:val="24"/>
        </w:rPr>
        <w:t>-</w:t>
      </w:r>
      <w:r>
        <w:rPr>
          <w:sz w:val="24"/>
        </w:rPr>
        <w:tab/>
        <w:t>Procedures to safely dispose of chemicals that become more dangerous when they exceed their expiration date and/or as they degrade; and</w:t>
      </w:r>
    </w:p>
    <w:p w:rsidR="00146A6C" w:rsidRDefault="00146A6C">
      <w:pPr>
        <w:ind w:left="2880" w:hanging="720"/>
        <w:rPr>
          <w:sz w:val="24"/>
        </w:rPr>
      </w:pPr>
      <w:r>
        <w:rPr>
          <w:sz w:val="24"/>
        </w:rPr>
        <w:t>-</w:t>
      </w:r>
      <w:r>
        <w:rPr>
          <w:sz w:val="24"/>
        </w:rPr>
        <w:tab/>
        <w:t>P</w:t>
      </w:r>
      <w:r w:rsidR="00270DB5">
        <w:rPr>
          <w:sz w:val="24"/>
        </w:rPr>
        <w:t>r</w:t>
      </w:r>
      <w:r>
        <w:rPr>
          <w:sz w:val="24"/>
        </w:rPr>
        <w:t>ocedures for the timely characterization of unknown chemicals.</w:t>
      </w:r>
    </w:p>
    <w:p w:rsidR="00146A6C" w:rsidRDefault="00146A6C">
      <w:pPr>
        <w:ind w:firstLine="720"/>
        <w:rPr>
          <w:sz w:val="24"/>
        </w:rPr>
      </w:pPr>
    </w:p>
    <w:p w:rsidR="00146A6C" w:rsidRDefault="00146A6C">
      <w:pPr>
        <w:ind w:firstLine="720"/>
        <w:rPr>
          <w:sz w:val="24"/>
        </w:rPr>
      </w:pPr>
      <w:r>
        <w:rPr>
          <w:sz w:val="24"/>
        </w:rPr>
        <w:t>(ii)</w:t>
      </w:r>
      <w:r>
        <w:rPr>
          <w:sz w:val="24"/>
        </w:rPr>
        <w:tab/>
      </w:r>
      <w:r>
        <w:rPr>
          <w:sz w:val="24"/>
          <w:u w:val="single"/>
        </w:rPr>
        <w:t>Respondent Activities:</w:t>
      </w:r>
    </w:p>
    <w:p w:rsidR="00146A6C" w:rsidRDefault="00146A6C">
      <w:pPr>
        <w:rPr>
          <w:sz w:val="24"/>
        </w:rPr>
      </w:pPr>
    </w:p>
    <w:p w:rsidR="00146A6C" w:rsidRDefault="00146A6C">
      <w:pPr>
        <w:numPr>
          <w:ilvl w:val="0"/>
          <w:numId w:val="3"/>
        </w:numPr>
        <w:tabs>
          <w:tab w:val="clear" w:pos="2160"/>
        </w:tabs>
        <w:ind w:left="1440"/>
        <w:rPr>
          <w:sz w:val="24"/>
        </w:rPr>
      </w:pPr>
      <w:r>
        <w:rPr>
          <w:sz w:val="24"/>
        </w:rPr>
        <w:t>Develop a Laboratory Management Plan or revise an existing written plan;</w:t>
      </w:r>
    </w:p>
    <w:p w:rsidR="00146A6C" w:rsidRDefault="00146A6C">
      <w:pPr>
        <w:rPr>
          <w:sz w:val="24"/>
        </w:rPr>
      </w:pPr>
    </w:p>
    <w:p w:rsidR="00146A6C" w:rsidRDefault="00146A6C">
      <w:pPr>
        <w:numPr>
          <w:ilvl w:val="0"/>
          <w:numId w:val="3"/>
        </w:numPr>
        <w:tabs>
          <w:tab w:val="clear" w:pos="2160"/>
        </w:tabs>
        <w:ind w:left="1440"/>
        <w:rPr>
          <w:sz w:val="24"/>
        </w:rPr>
      </w:pPr>
      <w:r>
        <w:rPr>
          <w:sz w:val="24"/>
        </w:rPr>
        <w:t>Retain, review and revise the Laboratory Management Plan; and</w:t>
      </w:r>
    </w:p>
    <w:p w:rsidR="00146A6C" w:rsidRDefault="00146A6C">
      <w:pPr>
        <w:ind w:left="720"/>
        <w:rPr>
          <w:sz w:val="24"/>
        </w:rPr>
      </w:pPr>
    </w:p>
    <w:p w:rsidR="00146A6C" w:rsidRDefault="00146A6C">
      <w:pPr>
        <w:numPr>
          <w:ilvl w:val="0"/>
          <w:numId w:val="3"/>
        </w:numPr>
        <w:tabs>
          <w:tab w:val="clear" w:pos="2160"/>
        </w:tabs>
        <w:ind w:left="1440"/>
        <w:rPr>
          <w:sz w:val="24"/>
        </w:rPr>
      </w:pPr>
      <w:r>
        <w:rPr>
          <w:sz w:val="24"/>
        </w:rPr>
        <w:t>Make Laboratory Management Plan available to laboratory workers, students, or any others at the eligible academic entity who request it.</w:t>
      </w:r>
    </w:p>
    <w:p w:rsidR="00146A6C" w:rsidRDefault="00146A6C">
      <w:pPr>
        <w:pStyle w:val="Heading1"/>
        <w:ind w:left="720" w:hanging="720"/>
        <w:rPr>
          <w:rFonts w:ascii="Times New Roman" w:hAnsi="Times New Roman" w:cs="Times New Roman"/>
          <w:sz w:val="24"/>
        </w:rPr>
      </w:pPr>
      <w:bookmarkStart w:id="273" w:name="_Toc146594788"/>
      <w:bookmarkStart w:id="274" w:name="_Toc194233048"/>
      <w:bookmarkStart w:id="275" w:name="_Toc194321371"/>
      <w:bookmarkStart w:id="276" w:name="_Toc194321584"/>
      <w:bookmarkStart w:id="277" w:name="_Toc194395938"/>
      <w:bookmarkStart w:id="278" w:name="_Toc195523824"/>
      <w:bookmarkStart w:id="279" w:name="_Toc195524035"/>
      <w:bookmarkStart w:id="280" w:name="_Toc198053458"/>
      <w:bookmarkStart w:id="281" w:name="_Toc199176361"/>
      <w:r>
        <w:rPr>
          <w:rFonts w:ascii="Times New Roman" w:hAnsi="Times New Roman" w:cs="Times New Roman"/>
          <w:sz w:val="24"/>
        </w:rPr>
        <w:br w:type="page"/>
      </w:r>
      <w:bookmarkStart w:id="282" w:name="_Toc201152820"/>
      <w:bookmarkStart w:id="283" w:name="_Toc201153933"/>
      <w:bookmarkStart w:id="284" w:name="_Toc203626038"/>
      <w:bookmarkStart w:id="285" w:name="_Toc203626145"/>
      <w:bookmarkStart w:id="286" w:name="_Toc203711639"/>
      <w:bookmarkStart w:id="287" w:name="_Toc203715786"/>
      <w:bookmarkStart w:id="288" w:name="_Toc327953067"/>
      <w:r>
        <w:rPr>
          <w:rFonts w:ascii="Times New Roman" w:hAnsi="Times New Roman" w:cs="Times New Roman"/>
          <w:sz w:val="24"/>
        </w:rPr>
        <w:lastRenderedPageBreak/>
        <w:t>5.</w:t>
      </w:r>
      <w:r>
        <w:rPr>
          <w:rFonts w:ascii="Times New Roman" w:hAnsi="Times New Roman" w:cs="Times New Roman"/>
          <w:sz w:val="24"/>
        </w:rPr>
        <w:tab/>
        <w:t>THE INFORMATION COLLECTED:  AGENCY ACTIVITIES, COLLECTION METHODOLOGY, AND INFORMATION MANAGEMENT</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rsidR="00146A6C" w:rsidRDefault="00146A6C">
      <w:pPr>
        <w:pStyle w:val="Heading2"/>
        <w:ind w:firstLine="720"/>
        <w:rPr>
          <w:rFonts w:ascii="Times New Roman" w:hAnsi="Times New Roman" w:cs="Times New Roman"/>
          <w:i w:val="0"/>
          <w:iCs w:val="0"/>
          <w:sz w:val="24"/>
        </w:rPr>
      </w:pPr>
      <w:bookmarkStart w:id="289" w:name="_Toc194321585"/>
      <w:bookmarkStart w:id="290" w:name="_Toc194395939"/>
      <w:bookmarkStart w:id="291" w:name="_Toc195523825"/>
      <w:bookmarkStart w:id="292" w:name="_Toc195524036"/>
      <w:bookmarkStart w:id="293" w:name="_Toc198053459"/>
      <w:bookmarkStart w:id="294" w:name="_Toc199176362"/>
      <w:bookmarkStart w:id="295" w:name="_Toc203626146"/>
      <w:bookmarkStart w:id="296" w:name="_Toc203711640"/>
      <w:bookmarkStart w:id="297" w:name="_Toc203715787"/>
      <w:bookmarkStart w:id="298" w:name="_Toc327953068"/>
      <w:r>
        <w:rPr>
          <w:rFonts w:ascii="Times New Roman" w:hAnsi="Times New Roman" w:cs="Times New Roman"/>
          <w:i w:val="0"/>
          <w:iCs w:val="0"/>
          <w:sz w:val="24"/>
        </w:rPr>
        <w:t>5(a)</w:t>
      </w:r>
      <w:r>
        <w:rPr>
          <w:rFonts w:ascii="Times New Roman" w:hAnsi="Times New Roman" w:cs="Times New Roman"/>
          <w:i w:val="0"/>
          <w:iCs w:val="0"/>
          <w:sz w:val="24"/>
        </w:rPr>
        <w:tab/>
        <w:t>Agency Activities</w:t>
      </w:r>
      <w:bookmarkEnd w:id="289"/>
      <w:bookmarkEnd w:id="290"/>
      <w:bookmarkEnd w:id="291"/>
      <w:bookmarkEnd w:id="292"/>
      <w:bookmarkEnd w:id="293"/>
      <w:bookmarkEnd w:id="294"/>
      <w:bookmarkEnd w:id="295"/>
      <w:bookmarkEnd w:id="296"/>
      <w:bookmarkEnd w:id="297"/>
      <w:bookmarkEnd w:id="298"/>
    </w:p>
    <w:p w:rsidR="00146A6C" w:rsidRDefault="00146A6C"/>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t>Notification of Intent to Comply with Subpart K and Recordkeeping of Agreements</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146A6C" w:rsidRDefault="00146A6C">
      <w:pPr>
        <w:ind w:left="720"/>
        <w:rPr>
          <w:sz w:val="24"/>
        </w:rPr>
      </w:pPr>
      <w:r>
        <w:rPr>
          <w:sz w:val="24"/>
        </w:rPr>
        <w:t xml:space="preserve">Under 40 </w:t>
      </w:r>
      <w:r>
        <w:rPr>
          <w:i/>
          <w:sz w:val="24"/>
        </w:rPr>
        <w:t>CFR</w:t>
      </w:r>
      <w:r>
        <w:rPr>
          <w:sz w:val="24"/>
        </w:rPr>
        <w:t xml:space="preserve"> 262.203(a), the Agency will conduct the following activities:</w:t>
      </w:r>
    </w:p>
    <w:p w:rsidR="00146A6C" w:rsidRDefault="00146A6C">
      <w:pPr>
        <w:rPr>
          <w:sz w:val="24"/>
        </w:rPr>
      </w:pPr>
    </w:p>
    <w:p w:rsidR="00146A6C" w:rsidRDefault="00146A6C">
      <w:pPr>
        <w:numPr>
          <w:ilvl w:val="0"/>
          <w:numId w:val="9"/>
        </w:numPr>
        <w:tabs>
          <w:tab w:val="clear" w:pos="2160"/>
        </w:tabs>
        <w:ind w:left="1440"/>
        <w:rPr>
          <w:sz w:val="24"/>
        </w:rPr>
      </w:pPr>
      <w:r>
        <w:rPr>
          <w:sz w:val="24"/>
        </w:rPr>
        <w:t>Review and process Site Identification Forms.</w:t>
      </w:r>
    </w:p>
    <w:p w:rsidR="00146A6C" w:rsidRDefault="00146A6C">
      <w:pPr>
        <w:rPr>
          <w:sz w:val="24"/>
        </w:rPr>
      </w:pPr>
    </w:p>
    <w:p w:rsidR="00146A6C" w:rsidRDefault="00146A6C">
      <w:pPr>
        <w:rPr>
          <w:sz w:val="24"/>
        </w:rPr>
      </w:pPr>
      <w:r>
        <w:rPr>
          <w:b/>
          <w:bCs/>
          <w:sz w:val="24"/>
        </w:rPr>
        <w:t>(2)</w:t>
      </w:r>
      <w:r>
        <w:rPr>
          <w:b/>
          <w:bCs/>
          <w:sz w:val="24"/>
        </w:rPr>
        <w:tab/>
        <w:t>Notification of Withdrawal from Subpart K</w:t>
      </w:r>
    </w:p>
    <w:p w:rsidR="00146A6C" w:rsidRDefault="00146A6C">
      <w:pPr>
        <w:rPr>
          <w:sz w:val="24"/>
        </w:rPr>
      </w:pPr>
    </w:p>
    <w:p w:rsidR="00146A6C" w:rsidRDefault="00146A6C">
      <w:pPr>
        <w:rPr>
          <w:sz w:val="24"/>
        </w:rPr>
      </w:pPr>
      <w:r>
        <w:rPr>
          <w:sz w:val="24"/>
        </w:rPr>
        <w:tab/>
        <w:t xml:space="preserve">Under 40 </w:t>
      </w:r>
      <w:r>
        <w:rPr>
          <w:i/>
          <w:sz w:val="24"/>
        </w:rPr>
        <w:t>CFR</w:t>
      </w:r>
      <w:r>
        <w:rPr>
          <w:sz w:val="24"/>
        </w:rPr>
        <w:t xml:space="preserve"> 262.204(a), the Agency will conduct the following activities: </w:t>
      </w:r>
    </w:p>
    <w:p w:rsidR="00146A6C" w:rsidRDefault="00146A6C">
      <w:pPr>
        <w:rPr>
          <w:sz w:val="24"/>
        </w:rPr>
      </w:pPr>
    </w:p>
    <w:p w:rsidR="00146A6C" w:rsidRDefault="00146A6C">
      <w:pPr>
        <w:numPr>
          <w:ilvl w:val="0"/>
          <w:numId w:val="9"/>
        </w:numPr>
        <w:tabs>
          <w:tab w:val="clear" w:pos="2160"/>
        </w:tabs>
        <w:ind w:left="1440"/>
        <w:rPr>
          <w:sz w:val="24"/>
        </w:rPr>
      </w:pPr>
      <w:r>
        <w:rPr>
          <w:sz w:val="24"/>
        </w:rPr>
        <w:t>Review and process Site Identification Forms.</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t>Labeling of Containers of Unwanted Material in the Laboratory</w:t>
      </w:r>
    </w:p>
    <w:p w:rsidR="00146A6C" w:rsidRDefault="00146A6C">
      <w:pPr>
        <w:rPr>
          <w:sz w:val="24"/>
        </w:rPr>
      </w:pPr>
    </w:p>
    <w:p w:rsidR="00146A6C" w:rsidRDefault="00146A6C">
      <w:pPr>
        <w:ind w:firstLine="720"/>
        <w:rPr>
          <w:sz w:val="24"/>
        </w:rPr>
      </w:pPr>
      <w:r>
        <w:rPr>
          <w:sz w:val="24"/>
        </w:rPr>
        <w:t xml:space="preserve">There is no Agency activity under 40 </w:t>
      </w:r>
      <w:r>
        <w:rPr>
          <w:i/>
          <w:sz w:val="24"/>
        </w:rPr>
        <w:t>CFR</w:t>
      </w:r>
      <w:r>
        <w:rPr>
          <w:sz w:val="24"/>
        </w:rPr>
        <w:t xml:space="preserve"> 262.206.</w:t>
      </w:r>
    </w:p>
    <w:p w:rsidR="00146A6C" w:rsidRDefault="00146A6C">
      <w:pPr>
        <w:ind w:firstLine="720"/>
        <w:rPr>
          <w:sz w:val="24"/>
        </w:rPr>
      </w:pPr>
    </w:p>
    <w:p w:rsidR="00146A6C" w:rsidRDefault="00146A6C">
      <w:pPr>
        <w:rPr>
          <w:sz w:val="24"/>
        </w:rPr>
      </w:pPr>
      <w:r>
        <w:rPr>
          <w:b/>
          <w:bCs/>
          <w:sz w:val="24"/>
        </w:rPr>
        <w:t>(4)</w:t>
      </w:r>
      <w:r>
        <w:rPr>
          <w:b/>
          <w:bCs/>
          <w:sz w:val="24"/>
        </w:rPr>
        <w:tab/>
        <w:t>Training</w:t>
      </w:r>
    </w:p>
    <w:p w:rsidR="00146A6C" w:rsidRDefault="00146A6C">
      <w:pPr>
        <w:rPr>
          <w:sz w:val="24"/>
        </w:rPr>
      </w:pPr>
    </w:p>
    <w:p w:rsidR="00146A6C" w:rsidRDefault="00146A6C">
      <w:pPr>
        <w:ind w:firstLine="720"/>
        <w:rPr>
          <w:sz w:val="24"/>
        </w:rPr>
      </w:pPr>
      <w:r>
        <w:rPr>
          <w:sz w:val="24"/>
        </w:rPr>
        <w:t xml:space="preserve">There is no Agency activity under 40 </w:t>
      </w:r>
      <w:r>
        <w:rPr>
          <w:i/>
          <w:sz w:val="24"/>
        </w:rPr>
        <w:t>CFR</w:t>
      </w:r>
      <w:r>
        <w:rPr>
          <w:sz w:val="24"/>
        </w:rPr>
        <w:t xml:space="preserve"> 262.207.</w:t>
      </w:r>
    </w:p>
    <w:p w:rsidR="00146A6C" w:rsidRDefault="00146A6C">
      <w:pPr>
        <w:rPr>
          <w:sz w:val="24"/>
        </w:rPr>
      </w:pPr>
    </w:p>
    <w:p w:rsidR="00146A6C" w:rsidRDefault="00146A6C">
      <w:pPr>
        <w:rPr>
          <w:b/>
          <w:bCs/>
          <w:sz w:val="24"/>
        </w:rPr>
      </w:pPr>
      <w:r>
        <w:rPr>
          <w:b/>
          <w:bCs/>
          <w:sz w:val="24"/>
        </w:rPr>
        <w:t>(5)</w:t>
      </w:r>
      <w:r>
        <w:rPr>
          <w:b/>
          <w:bCs/>
          <w:sz w:val="24"/>
        </w:rPr>
        <w:tab/>
        <w:t>Removing Containers of Unwanted Material from the Laboratory</w:t>
      </w:r>
    </w:p>
    <w:p w:rsidR="00146A6C" w:rsidRDefault="00146A6C">
      <w:pPr>
        <w:rPr>
          <w:sz w:val="24"/>
        </w:rPr>
      </w:pPr>
    </w:p>
    <w:p w:rsidR="00146A6C" w:rsidRDefault="00146A6C">
      <w:pPr>
        <w:ind w:firstLine="720"/>
        <w:rPr>
          <w:sz w:val="24"/>
        </w:rPr>
      </w:pPr>
      <w:r>
        <w:rPr>
          <w:sz w:val="24"/>
        </w:rPr>
        <w:t xml:space="preserve">There is no Agency activity under 40 </w:t>
      </w:r>
      <w:r>
        <w:rPr>
          <w:i/>
          <w:sz w:val="24"/>
        </w:rPr>
        <w:t>CFR</w:t>
      </w:r>
      <w:r>
        <w:rPr>
          <w:sz w:val="24"/>
        </w:rPr>
        <w:t xml:space="preserve"> 262.208.</w:t>
      </w:r>
    </w:p>
    <w:p w:rsidR="00146A6C" w:rsidRDefault="00146A6C">
      <w:pPr>
        <w:rPr>
          <w:sz w:val="24"/>
        </w:rPr>
      </w:pPr>
    </w:p>
    <w:p w:rsidR="00146A6C" w:rsidRDefault="00146A6C">
      <w:pPr>
        <w:ind w:left="720" w:hanging="720"/>
        <w:rPr>
          <w:b/>
          <w:bCs/>
          <w:sz w:val="24"/>
        </w:rPr>
      </w:pPr>
      <w:r>
        <w:rPr>
          <w:b/>
          <w:bCs/>
          <w:sz w:val="24"/>
        </w:rPr>
        <w:t>(6)</w:t>
      </w:r>
      <w:r>
        <w:rPr>
          <w:b/>
          <w:bCs/>
          <w:sz w:val="24"/>
        </w:rPr>
        <w:tab/>
        <w:t>Where and When to Make the Hazardous Waste Determination and Where to Send Containers of Unwanted Material</w:t>
      </w:r>
    </w:p>
    <w:p w:rsidR="00146A6C" w:rsidRDefault="00146A6C">
      <w:pPr>
        <w:rPr>
          <w:sz w:val="24"/>
        </w:rPr>
      </w:pPr>
    </w:p>
    <w:p w:rsidR="00146A6C" w:rsidRDefault="00146A6C">
      <w:pPr>
        <w:ind w:firstLine="720"/>
        <w:rPr>
          <w:sz w:val="24"/>
        </w:rPr>
      </w:pPr>
      <w:r>
        <w:rPr>
          <w:sz w:val="24"/>
        </w:rPr>
        <w:t xml:space="preserve">There is no Agency activity under 40 </w:t>
      </w:r>
      <w:r>
        <w:rPr>
          <w:i/>
          <w:sz w:val="24"/>
        </w:rPr>
        <w:t>CFR</w:t>
      </w:r>
      <w:r>
        <w:rPr>
          <w:sz w:val="24"/>
        </w:rPr>
        <w:t xml:space="preserve"> 262.209.</w:t>
      </w:r>
    </w:p>
    <w:p w:rsidR="00146A6C" w:rsidRDefault="00146A6C">
      <w:pPr>
        <w:rPr>
          <w:sz w:val="24"/>
        </w:rPr>
      </w:pPr>
    </w:p>
    <w:p w:rsidR="00146A6C" w:rsidRDefault="00146A6C">
      <w:pPr>
        <w:rPr>
          <w:b/>
          <w:bCs/>
          <w:sz w:val="24"/>
        </w:rPr>
      </w:pPr>
      <w:r>
        <w:rPr>
          <w:b/>
          <w:bCs/>
          <w:sz w:val="24"/>
        </w:rPr>
        <w:t>(7)</w:t>
      </w:r>
      <w:r>
        <w:rPr>
          <w:b/>
          <w:bCs/>
          <w:sz w:val="24"/>
        </w:rPr>
        <w:tab/>
        <w:t>Making the Hazardous Waste Determination in the Laboratory</w:t>
      </w:r>
    </w:p>
    <w:p w:rsidR="00146A6C" w:rsidRDefault="00146A6C">
      <w:pPr>
        <w:rPr>
          <w:sz w:val="24"/>
        </w:rPr>
      </w:pPr>
    </w:p>
    <w:p w:rsidR="00146A6C" w:rsidRDefault="00146A6C">
      <w:pPr>
        <w:ind w:firstLine="720"/>
        <w:rPr>
          <w:sz w:val="24"/>
        </w:rPr>
      </w:pPr>
      <w:r>
        <w:rPr>
          <w:sz w:val="24"/>
        </w:rPr>
        <w:t xml:space="preserve">There is no Agency activity under 40 </w:t>
      </w:r>
      <w:r>
        <w:rPr>
          <w:i/>
          <w:sz w:val="24"/>
        </w:rPr>
        <w:t>CFR</w:t>
      </w:r>
      <w:r>
        <w:rPr>
          <w:sz w:val="24"/>
        </w:rPr>
        <w:t xml:space="preserve"> 262.210.</w:t>
      </w:r>
    </w:p>
    <w:p w:rsidR="00146A6C" w:rsidRDefault="00146A6C">
      <w:pPr>
        <w:rPr>
          <w:sz w:val="24"/>
        </w:rPr>
      </w:pPr>
    </w:p>
    <w:p w:rsidR="00146A6C" w:rsidRDefault="00146A6C">
      <w:pPr>
        <w:keepNext/>
        <w:ind w:left="720" w:hanging="720"/>
        <w:rPr>
          <w:b/>
          <w:bCs/>
          <w:sz w:val="24"/>
        </w:rPr>
      </w:pPr>
      <w:r>
        <w:rPr>
          <w:b/>
          <w:bCs/>
          <w:sz w:val="24"/>
        </w:rPr>
        <w:t>(8)</w:t>
      </w:r>
      <w:r>
        <w:rPr>
          <w:b/>
          <w:bCs/>
          <w:sz w:val="24"/>
        </w:rPr>
        <w:tab/>
        <w:t>Making the Hazardous Waste Determination in an On-site Central Accumulation Area</w:t>
      </w:r>
    </w:p>
    <w:p w:rsidR="00146A6C" w:rsidRDefault="00146A6C">
      <w:pPr>
        <w:keepNext/>
        <w:rPr>
          <w:sz w:val="24"/>
        </w:rPr>
      </w:pPr>
    </w:p>
    <w:p w:rsidR="00146A6C" w:rsidRDefault="00146A6C">
      <w:pPr>
        <w:keepNext/>
        <w:ind w:firstLine="720"/>
        <w:rPr>
          <w:sz w:val="24"/>
        </w:rPr>
      </w:pPr>
      <w:r>
        <w:rPr>
          <w:sz w:val="24"/>
        </w:rPr>
        <w:t xml:space="preserve">There is no Agency activity under 40 </w:t>
      </w:r>
      <w:r>
        <w:rPr>
          <w:i/>
          <w:sz w:val="24"/>
        </w:rPr>
        <w:t>CFR</w:t>
      </w:r>
      <w:r>
        <w:rPr>
          <w:sz w:val="24"/>
        </w:rPr>
        <w:t xml:space="preserve"> 262.211.</w:t>
      </w:r>
    </w:p>
    <w:p w:rsidR="00146A6C" w:rsidRDefault="00146A6C">
      <w:pPr>
        <w:rPr>
          <w:sz w:val="24"/>
        </w:rPr>
      </w:pPr>
    </w:p>
    <w:p w:rsidR="00146A6C" w:rsidRDefault="00146A6C">
      <w:pPr>
        <w:keepNext/>
        <w:ind w:left="720" w:hanging="720"/>
        <w:rPr>
          <w:b/>
          <w:bCs/>
          <w:sz w:val="24"/>
        </w:rPr>
      </w:pPr>
      <w:r>
        <w:rPr>
          <w:b/>
          <w:bCs/>
          <w:sz w:val="24"/>
        </w:rPr>
        <w:lastRenderedPageBreak/>
        <w:t>(9)</w:t>
      </w:r>
      <w:r>
        <w:rPr>
          <w:b/>
          <w:bCs/>
          <w:sz w:val="24"/>
        </w:rPr>
        <w:tab/>
        <w:t>Making the Hazardous Waste Determination at an On-site Interim Status or Permitted Treatment, Storage, or Disposal Facility</w:t>
      </w:r>
    </w:p>
    <w:p w:rsidR="00146A6C" w:rsidRDefault="00146A6C">
      <w:pPr>
        <w:keepNext/>
        <w:rPr>
          <w:sz w:val="24"/>
        </w:rPr>
      </w:pPr>
    </w:p>
    <w:p w:rsidR="00146A6C" w:rsidRDefault="00146A6C">
      <w:pPr>
        <w:keepNext/>
        <w:ind w:firstLine="720"/>
        <w:rPr>
          <w:sz w:val="24"/>
        </w:rPr>
      </w:pPr>
      <w:r>
        <w:rPr>
          <w:sz w:val="24"/>
        </w:rPr>
        <w:t xml:space="preserve">There is no Agency activity under 40 </w:t>
      </w:r>
      <w:r>
        <w:rPr>
          <w:i/>
          <w:sz w:val="24"/>
        </w:rPr>
        <w:t>CFR</w:t>
      </w:r>
      <w:r>
        <w:rPr>
          <w:sz w:val="24"/>
        </w:rPr>
        <w:t xml:space="preserve"> 262.212.</w:t>
      </w:r>
    </w:p>
    <w:p w:rsidR="00146A6C" w:rsidRDefault="00146A6C">
      <w:pPr>
        <w:rPr>
          <w:sz w:val="24"/>
        </w:rPr>
      </w:pPr>
    </w:p>
    <w:p w:rsidR="00146A6C" w:rsidRDefault="00146A6C">
      <w:pPr>
        <w:keepNext/>
        <w:rPr>
          <w:sz w:val="24"/>
        </w:rPr>
      </w:pPr>
      <w:r>
        <w:rPr>
          <w:b/>
          <w:bCs/>
          <w:sz w:val="24"/>
        </w:rPr>
        <w:t>(10)</w:t>
      </w:r>
      <w:r>
        <w:rPr>
          <w:b/>
          <w:bCs/>
          <w:sz w:val="24"/>
        </w:rPr>
        <w:tab/>
        <w:t>Laboratory Clean-outs</w:t>
      </w:r>
    </w:p>
    <w:p w:rsidR="00146A6C" w:rsidRDefault="00146A6C">
      <w:pPr>
        <w:keepNext/>
        <w:rPr>
          <w:sz w:val="24"/>
        </w:rPr>
      </w:pPr>
    </w:p>
    <w:p w:rsidR="00146A6C" w:rsidRDefault="00146A6C">
      <w:pPr>
        <w:keepNext/>
        <w:ind w:firstLine="720"/>
        <w:rPr>
          <w:sz w:val="24"/>
        </w:rPr>
      </w:pPr>
      <w:r>
        <w:rPr>
          <w:sz w:val="24"/>
        </w:rPr>
        <w:t xml:space="preserve">There is no Agency activity under 40 </w:t>
      </w:r>
      <w:r>
        <w:rPr>
          <w:i/>
          <w:sz w:val="24"/>
        </w:rPr>
        <w:t>CFR</w:t>
      </w:r>
      <w:r>
        <w:rPr>
          <w:sz w:val="24"/>
        </w:rPr>
        <w:t xml:space="preserve"> 262.213.</w:t>
      </w:r>
    </w:p>
    <w:p w:rsidR="00146A6C" w:rsidRDefault="00146A6C">
      <w:pPr>
        <w:rPr>
          <w:sz w:val="24"/>
        </w:rPr>
      </w:pPr>
    </w:p>
    <w:p w:rsidR="00146A6C" w:rsidRDefault="00146A6C">
      <w:pPr>
        <w:rPr>
          <w:sz w:val="24"/>
        </w:rPr>
      </w:pPr>
      <w:r>
        <w:rPr>
          <w:b/>
          <w:bCs/>
          <w:sz w:val="24"/>
        </w:rPr>
        <w:t>(11)</w:t>
      </w:r>
      <w:r>
        <w:rPr>
          <w:b/>
          <w:bCs/>
          <w:sz w:val="24"/>
        </w:rPr>
        <w:tab/>
        <w:t>Laboratory Management Plan</w:t>
      </w:r>
    </w:p>
    <w:p w:rsidR="00146A6C" w:rsidRDefault="00146A6C">
      <w:pPr>
        <w:rPr>
          <w:sz w:val="24"/>
        </w:rPr>
      </w:pPr>
    </w:p>
    <w:p w:rsidR="00146A6C" w:rsidRDefault="00146A6C">
      <w:pPr>
        <w:ind w:firstLine="720"/>
        <w:rPr>
          <w:sz w:val="24"/>
        </w:rPr>
      </w:pPr>
      <w:r>
        <w:rPr>
          <w:sz w:val="24"/>
        </w:rPr>
        <w:t xml:space="preserve">There is no Agency activity under 40 </w:t>
      </w:r>
      <w:r>
        <w:rPr>
          <w:i/>
          <w:sz w:val="24"/>
        </w:rPr>
        <w:t>CFR</w:t>
      </w:r>
      <w:r>
        <w:rPr>
          <w:sz w:val="24"/>
        </w:rPr>
        <w:t xml:space="preserve"> 262.214.</w:t>
      </w:r>
    </w:p>
    <w:p w:rsidR="00146A6C" w:rsidRDefault="00146A6C">
      <w:pPr>
        <w:pStyle w:val="Heading2"/>
        <w:ind w:firstLine="630"/>
        <w:rPr>
          <w:rFonts w:ascii="Times New Roman" w:hAnsi="Times New Roman" w:cs="Times New Roman"/>
          <w:i w:val="0"/>
          <w:iCs w:val="0"/>
          <w:sz w:val="24"/>
        </w:rPr>
      </w:pPr>
      <w:bookmarkStart w:id="299" w:name="_Toc146594790"/>
      <w:bookmarkStart w:id="300" w:name="_Toc194233049"/>
      <w:bookmarkStart w:id="301" w:name="_Toc194321372"/>
      <w:bookmarkStart w:id="302" w:name="_Toc194321586"/>
      <w:bookmarkStart w:id="303" w:name="_Toc194395940"/>
      <w:bookmarkStart w:id="304" w:name="_Toc195523826"/>
      <w:bookmarkStart w:id="305" w:name="_Toc195524037"/>
      <w:bookmarkStart w:id="306" w:name="_Toc198053460"/>
      <w:bookmarkStart w:id="307" w:name="_Toc199176363"/>
      <w:bookmarkStart w:id="308" w:name="_Toc201152821"/>
      <w:bookmarkStart w:id="309" w:name="_Toc201153934"/>
      <w:bookmarkStart w:id="310" w:name="_Toc203626039"/>
      <w:bookmarkStart w:id="311" w:name="_Toc203626147"/>
      <w:bookmarkStart w:id="312" w:name="_Toc203711641"/>
      <w:bookmarkStart w:id="313" w:name="_Toc203715788"/>
      <w:bookmarkStart w:id="314" w:name="_Toc327953069"/>
      <w:r>
        <w:rPr>
          <w:rFonts w:ascii="Times New Roman" w:hAnsi="Times New Roman" w:cs="Times New Roman"/>
          <w:i w:val="0"/>
          <w:iCs w:val="0"/>
          <w:sz w:val="24"/>
        </w:rPr>
        <w:t>5(b)</w:t>
      </w:r>
      <w:r>
        <w:rPr>
          <w:rFonts w:ascii="Times New Roman" w:hAnsi="Times New Roman" w:cs="Times New Roman"/>
          <w:i w:val="0"/>
          <w:iCs w:val="0"/>
          <w:sz w:val="24"/>
        </w:rPr>
        <w:tab/>
        <w:t>Collection Methodology and Management</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rsidR="00146A6C" w:rsidRDefault="00146A6C">
      <w:pPr>
        <w:widowControl/>
        <w:ind w:left="-90"/>
        <w:rPr>
          <w:sz w:val="24"/>
        </w:rPr>
      </w:pPr>
    </w:p>
    <w:p w:rsidR="00146A6C" w:rsidRDefault="00146A6C">
      <w:pPr>
        <w:widowControl/>
        <w:ind w:left="-90" w:firstLine="720"/>
        <w:rPr>
          <w:sz w:val="24"/>
        </w:rPr>
      </w:pPr>
      <w:r>
        <w:rPr>
          <w:sz w:val="24"/>
        </w:rPr>
        <w:t>In collecting and analyzing the information associated with this ICR, EPA and authorized States may use a telephone system, personal computers, and applicable database software.  They will ensure the accuracy and completeness of collected information by reviewing the submittals.  They will keep records of this information in file cabinets and/or computer systems.</w:t>
      </w:r>
    </w:p>
    <w:p w:rsidR="00146A6C" w:rsidRDefault="00146A6C">
      <w:pPr>
        <w:pStyle w:val="Heading2"/>
        <w:ind w:firstLine="630"/>
        <w:rPr>
          <w:rFonts w:ascii="Times New Roman" w:hAnsi="Times New Roman" w:cs="Times New Roman"/>
          <w:i w:val="0"/>
          <w:iCs w:val="0"/>
          <w:sz w:val="24"/>
        </w:rPr>
      </w:pPr>
      <w:bookmarkStart w:id="315" w:name="_Toc146594791"/>
      <w:bookmarkStart w:id="316" w:name="_Toc194233050"/>
      <w:bookmarkStart w:id="317" w:name="_Toc194321373"/>
      <w:bookmarkStart w:id="318" w:name="_Toc194321587"/>
      <w:bookmarkStart w:id="319" w:name="_Toc194395941"/>
      <w:bookmarkStart w:id="320" w:name="_Toc195523827"/>
      <w:bookmarkStart w:id="321" w:name="_Toc195524038"/>
      <w:bookmarkStart w:id="322" w:name="_Toc198053461"/>
      <w:bookmarkStart w:id="323" w:name="_Toc199176364"/>
      <w:bookmarkStart w:id="324" w:name="_Toc201152822"/>
      <w:bookmarkStart w:id="325" w:name="_Toc201153935"/>
      <w:bookmarkStart w:id="326" w:name="_Toc203626040"/>
      <w:bookmarkStart w:id="327" w:name="_Toc203626148"/>
      <w:bookmarkStart w:id="328" w:name="_Toc203711642"/>
      <w:bookmarkStart w:id="329" w:name="_Toc203715789"/>
      <w:bookmarkStart w:id="330" w:name="_Toc327953070"/>
      <w:r>
        <w:rPr>
          <w:rFonts w:ascii="Times New Roman" w:hAnsi="Times New Roman" w:cs="Times New Roman"/>
          <w:i w:val="0"/>
          <w:iCs w:val="0"/>
          <w:sz w:val="24"/>
        </w:rPr>
        <w:t>5(c)</w:t>
      </w:r>
      <w:r>
        <w:rPr>
          <w:rFonts w:ascii="Times New Roman" w:hAnsi="Times New Roman" w:cs="Times New Roman"/>
          <w:i w:val="0"/>
          <w:iCs w:val="0"/>
          <w:sz w:val="24"/>
        </w:rPr>
        <w:tab/>
        <w:t>Small Entity Flexibility</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146A6C" w:rsidRPr="00270DB5" w:rsidRDefault="00146A6C">
      <w:pPr>
        <w:widowControl/>
        <w:ind w:left="-90"/>
        <w:rPr>
          <w:color w:val="000000"/>
          <w:sz w:val="24"/>
        </w:rPr>
      </w:pPr>
    </w:p>
    <w:p w:rsidR="00146A6C" w:rsidRDefault="00146A6C">
      <w:pPr>
        <w:ind w:firstLine="630"/>
        <w:rPr>
          <w:sz w:val="24"/>
        </w:rPr>
      </w:pPr>
      <w:r w:rsidRPr="00270DB5">
        <w:rPr>
          <w:color w:val="000000"/>
          <w:sz w:val="24"/>
        </w:rPr>
        <w:t xml:space="preserve">The </w:t>
      </w:r>
      <w:r w:rsidR="00320B53" w:rsidRPr="00270DB5">
        <w:rPr>
          <w:color w:val="000000"/>
          <w:sz w:val="24"/>
        </w:rPr>
        <w:t>Subpart K regulations allow</w:t>
      </w:r>
      <w:r w:rsidR="00320B53">
        <w:rPr>
          <w:sz w:val="24"/>
        </w:rPr>
        <w:t xml:space="preserve"> </w:t>
      </w:r>
      <w:r>
        <w:rPr>
          <w:sz w:val="24"/>
        </w:rPr>
        <w:t xml:space="preserve">eligible academic entities the flexibility to tailor their laboratory operations to meet their individual circumstances, and remain protective of human health and the environment.  Performance-based standards for management of hazardous wastes generated in laboratories provide a better opportunity for them to evaluate their overall hazardous waste management program, and tailor it in such a way that facilitates the efficient and safe management of hazardous waste and minimizes burden, while at the same time maintaining a high standard of protection of human health and the environment.  The alternative approach will help each eligible academic entity centralize and coordinate its chemical management practices and achieve sound environmental performance. </w:t>
      </w:r>
    </w:p>
    <w:p w:rsidR="00146A6C" w:rsidRDefault="00146A6C">
      <w:pPr>
        <w:rPr>
          <w:sz w:val="24"/>
        </w:rPr>
      </w:pPr>
    </w:p>
    <w:p w:rsidR="00146A6C" w:rsidRDefault="00146A6C">
      <w:pPr>
        <w:rPr>
          <w:sz w:val="24"/>
        </w:rPr>
      </w:pPr>
      <w:r>
        <w:rPr>
          <w:sz w:val="24"/>
        </w:rPr>
        <w:tab/>
        <w:t xml:space="preserve">In addition, eligible academic entities have the choice to manage their hazardous waste in accordance with the alternative set of regulations or remain subject to the existing generator regulations in 40 </w:t>
      </w:r>
      <w:r>
        <w:rPr>
          <w:i/>
          <w:iCs/>
          <w:sz w:val="24"/>
        </w:rPr>
        <w:t>CFR</w:t>
      </w:r>
      <w:r>
        <w:rPr>
          <w:sz w:val="24"/>
        </w:rPr>
        <w:t xml:space="preserve"> 262.34(c) (or section 261.5 for conditionally exempt small quantity generators).  Thus, they have the option to comply with the set of regulations that best suits their circumstances.</w:t>
      </w:r>
    </w:p>
    <w:p w:rsidR="00146A6C" w:rsidRDefault="00146A6C">
      <w:pPr>
        <w:pStyle w:val="Heading2"/>
        <w:rPr>
          <w:rFonts w:ascii="Times New Roman" w:hAnsi="Times New Roman" w:cs="Times New Roman"/>
          <w:i w:val="0"/>
          <w:iCs w:val="0"/>
          <w:sz w:val="24"/>
        </w:rPr>
      </w:pPr>
      <w:r>
        <w:tab/>
      </w:r>
      <w:bookmarkStart w:id="331" w:name="_Toc194321588"/>
      <w:bookmarkStart w:id="332" w:name="_Toc194395942"/>
      <w:bookmarkStart w:id="333" w:name="_Toc195523828"/>
      <w:bookmarkStart w:id="334" w:name="_Toc195524039"/>
      <w:bookmarkStart w:id="335" w:name="_Toc198053462"/>
      <w:bookmarkStart w:id="336" w:name="_Toc199176365"/>
      <w:bookmarkStart w:id="337" w:name="_Toc201152823"/>
      <w:bookmarkStart w:id="338" w:name="_Toc201153936"/>
      <w:bookmarkStart w:id="339" w:name="_Toc203626041"/>
      <w:bookmarkStart w:id="340" w:name="_Toc203626149"/>
      <w:bookmarkStart w:id="341" w:name="_Toc203711643"/>
      <w:bookmarkStart w:id="342" w:name="_Toc203715790"/>
      <w:bookmarkStart w:id="343" w:name="_Toc327953071"/>
      <w:r>
        <w:rPr>
          <w:rFonts w:ascii="Times New Roman" w:hAnsi="Times New Roman" w:cs="Times New Roman"/>
          <w:i w:val="0"/>
          <w:iCs w:val="0"/>
          <w:sz w:val="24"/>
        </w:rPr>
        <w:t>5(d)</w:t>
      </w:r>
      <w:r>
        <w:rPr>
          <w:rFonts w:ascii="Times New Roman" w:hAnsi="Times New Roman" w:cs="Times New Roman"/>
          <w:i w:val="0"/>
          <w:iCs w:val="0"/>
          <w:sz w:val="24"/>
        </w:rPr>
        <w:tab/>
        <w:t>Collection Schedule</w:t>
      </w:r>
      <w:bookmarkEnd w:id="331"/>
      <w:bookmarkEnd w:id="332"/>
      <w:bookmarkEnd w:id="333"/>
      <w:bookmarkEnd w:id="334"/>
      <w:bookmarkEnd w:id="335"/>
      <w:bookmarkEnd w:id="336"/>
      <w:bookmarkEnd w:id="337"/>
      <w:bookmarkEnd w:id="338"/>
      <w:bookmarkEnd w:id="339"/>
      <w:bookmarkEnd w:id="340"/>
      <w:bookmarkEnd w:id="341"/>
      <w:bookmarkEnd w:id="342"/>
      <w:bookmarkEnd w:id="343"/>
    </w:p>
    <w:p w:rsidR="00146A6C" w:rsidRDefault="00146A6C">
      <w:pPr>
        <w:keepNext/>
      </w:pPr>
      <w:bookmarkStart w:id="344" w:name="_Toc146594793"/>
    </w:p>
    <w:p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t>Notification of Intent to Comply with Subpart K and Recordkeeping of Agreements</w:t>
      </w:r>
    </w:p>
    <w:p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146A6C" w:rsidRDefault="00146A6C">
      <w:pPr>
        <w:keepNext/>
        <w:ind w:firstLine="720"/>
        <w:rPr>
          <w:sz w:val="24"/>
        </w:rPr>
      </w:pPr>
      <w:r>
        <w:rPr>
          <w:sz w:val="24"/>
        </w:rPr>
        <w:t xml:space="preserve">Under 40 </w:t>
      </w:r>
      <w:r>
        <w:rPr>
          <w:i/>
          <w:sz w:val="24"/>
        </w:rPr>
        <w:t>CFR</w:t>
      </w:r>
      <w:r>
        <w:rPr>
          <w:sz w:val="24"/>
        </w:rPr>
        <w:t xml:space="preserve"> 262.203(a), an eligible academic entity must notify the appropriate </w:t>
      </w:r>
      <w:r>
        <w:rPr>
          <w:sz w:val="24"/>
        </w:rPr>
        <w:lastRenderedPageBreak/>
        <w:t>EPA Regional Administrator in writing, using the RCRA Subtitle C Site Identification Form (EPA Form 8700-12), that it is electing to be subject to the requirements of Subpart K for all the laboratories owned by the eligible academic entity under the same EPA Identification Number.  An eligible academic entity that is a conditionally exempt small quantity generator and does not have an EPA Identification Number must notify for all the laboratories owned by the eligible academic entity that are on-site.  An eligible academic entity must submit a separate notification (Site Identification Form) for each EPA Identification Number (or site, for conditionally exempt small quantity generators) that is electing to be subject to the requirements of Subpart K.  This is a one-time notification.</w:t>
      </w:r>
    </w:p>
    <w:p w:rsidR="00146A6C" w:rsidRDefault="00146A6C">
      <w:pPr>
        <w:ind w:firstLine="720"/>
        <w:rPr>
          <w:sz w:val="24"/>
        </w:rPr>
      </w:pPr>
    </w:p>
    <w:p w:rsidR="00146A6C" w:rsidRDefault="00146A6C">
      <w:pPr>
        <w:ind w:firstLine="720"/>
        <w:rPr>
          <w:sz w:val="24"/>
        </w:rPr>
      </w:pPr>
      <w:r>
        <w:rPr>
          <w:sz w:val="24"/>
        </w:rPr>
        <w:t xml:space="preserve">Section 262.203(c) provides that an eligible academic entity must keep a copy of the notification on file at the eligible academic entity while its laboratories are subject to Subpart K.  </w:t>
      </w:r>
    </w:p>
    <w:p w:rsidR="00146A6C" w:rsidRDefault="00146A6C">
      <w:pPr>
        <w:rPr>
          <w:sz w:val="24"/>
        </w:rPr>
      </w:pPr>
    </w:p>
    <w:p w:rsidR="00146A6C" w:rsidRDefault="00146A6C">
      <w:pPr>
        <w:ind w:firstLine="720"/>
        <w:rPr>
          <w:sz w:val="24"/>
        </w:rPr>
      </w:pPr>
      <w:r>
        <w:rPr>
          <w:sz w:val="24"/>
        </w:rPr>
        <w:t xml:space="preserve">Section 262.203(d) provides that a teaching hospital that is not owned by a college or university must keep a copy of its formal written affiliation agreement with a college or university on file at the teaching hospital while its laboratories are subject to Subpart K.  </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rPr>
        <w:t>Section</w:t>
      </w:r>
      <w:r>
        <w:rPr>
          <w:rFonts w:ascii="Times New Roman" w:hAnsi="Times New Roman" w:cs="Times New Roman"/>
          <w:sz w:val="24"/>
          <w:szCs w:val="24"/>
        </w:rPr>
        <w:t xml:space="preserve"> 262.203(e) provides that a non-profit research institute that is not owned by a college or university must keep a copy of the formal written affiliation agreement with a college or university on file at the non-profit research institute while its laboratories are subject to Subpart K.</w:t>
      </w:r>
    </w:p>
    <w:p w:rsidR="00146A6C" w:rsidRDefault="00146A6C">
      <w:pPr>
        <w:rPr>
          <w:sz w:val="24"/>
        </w:rPr>
      </w:pPr>
    </w:p>
    <w:p w:rsidR="00146A6C" w:rsidRDefault="00146A6C">
      <w:pPr>
        <w:rPr>
          <w:sz w:val="24"/>
        </w:rPr>
      </w:pPr>
      <w:r>
        <w:rPr>
          <w:b/>
          <w:bCs/>
          <w:sz w:val="24"/>
        </w:rPr>
        <w:t>(2)</w:t>
      </w:r>
      <w:r>
        <w:rPr>
          <w:b/>
          <w:bCs/>
          <w:sz w:val="24"/>
        </w:rPr>
        <w:tab/>
        <w:t>Notification of Withdrawal from Subpart K</w:t>
      </w:r>
    </w:p>
    <w:p w:rsidR="00146A6C" w:rsidRDefault="00146A6C">
      <w:pPr>
        <w:rPr>
          <w:sz w:val="24"/>
        </w:rPr>
      </w:pPr>
    </w:p>
    <w:p w:rsidR="00146A6C" w:rsidRDefault="00146A6C">
      <w:pPr>
        <w:ind w:firstLine="720"/>
        <w:rPr>
          <w:sz w:val="24"/>
        </w:rPr>
      </w:pPr>
      <w:r>
        <w:rPr>
          <w:sz w:val="24"/>
        </w:rPr>
        <w:t xml:space="preserve">Under 40 </w:t>
      </w:r>
      <w:r>
        <w:rPr>
          <w:i/>
          <w:sz w:val="24"/>
        </w:rPr>
        <w:t>CFR</w:t>
      </w:r>
      <w:r>
        <w:rPr>
          <w:sz w:val="24"/>
        </w:rPr>
        <w:t xml:space="preserve"> 262.204(a), an eligible academic entity must notify the appropriate EPA Regional Administrator in writing, using the RCRA Subtitle C Site Identification Form (EPA Form 8700-12), that it is electing to no longer be subject to the requirements of Subpart K for all the laboratories owned by the eligible academic entity under the same EPA Identification Number.  An eligible academic entity that is a conditionally exempt small quantity generator and does not have an EPA Identification Number must notify for all the laboratories owned by the eligible academic entity that are on-site.  An eligible academic entity must submit a separate notification (Site Identification Form) for each EPA Identification Number (or site, for conditionally exempt small quantity generators) that is withdrawing from the requirements of Subpart K.  This is a one-time notification.</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ab/>
        <w:t>Section 262.204(c) provides that an eligible academic entity must keep a copy of the withdrawal notice on file at the eligible academic entity for three years from the date of the notification.</w:t>
      </w:r>
    </w:p>
    <w:p w:rsidR="00146A6C" w:rsidRDefault="00146A6C">
      <w:pPr>
        <w:rPr>
          <w:sz w:val="24"/>
        </w:rPr>
      </w:pPr>
    </w:p>
    <w:p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t>Labeling of Containers of Unwanted Material in the Laboratory</w:t>
      </w:r>
    </w:p>
    <w:p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146A6C" w:rsidRDefault="00146A6C">
      <w:pPr>
        <w:keepNext/>
        <w:ind w:firstLine="720"/>
        <w:rPr>
          <w:sz w:val="24"/>
        </w:rPr>
      </w:pPr>
      <w:r>
        <w:rPr>
          <w:sz w:val="24"/>
        </w:rPr>
        <w:t xml:space="preserve">40 </w:t>
      </w:r>
      <w:r>
        <w:rPr>
          <w:i/>
          <w:sz w:val="24"/>
        </w:rPr>
        <w:t>CFR</w:t>
      </w:r>
      <w:r>
        <w:rPr>
          <w:sz w:val="24"/>
        </w:rPr>
        <w:t xml:space="preserve"> 262.206(a) requires that specified information must be affixed or attached </w:t>
      </w:r>
      <w:r>
        <w:rPr>
          <w:sz w:val="24"/>
        </w:rPr>
        <w:lastRenderedPageBreak/>
        <w:t>to, or otherwise associated with, the container while in the laboratory.</w:t>
      </w:r>
    </w:p>
    <w:p w:rsidR="00146A6C" w:rsidRDefault="00146A6C">
      <w:pPr>
        <w:ind w:firstLine="720"/>
        <w:rPr>
          <w:sz w:val="24"/>
        </w:rPr>
      </w:pPr>
    </w:p>
    <w:p w:rsidR="00146A6C" w:rsidRDefault="00146A6C">
      <w:pPr>
        <w:keepNext/>
        <w:rPr>
          <w:sz w:val="24"/>
        </w:rPr>
      </w:pPr>
      <w:r>
        <w:rPr>
          <w:b/>
          <w:bCs/>
          <w:sz w:val="24"/>
        </w:rPr>
        <w:t>(4)</w:t>
      </w:r>
      <w:r>
        <w:rPr>
          <w:b/>
          <w:bCs/>
          <w:sz w:val="24"/>
        </w:rPr>
        <w:tab/>
        <w:t>Training</w:t>
      </w:r>
    </w:p>
    <w:p w:rsidR="00146A6C" w:rsidRDefault="00146A6C">
      <w:pPr>
        <w:keepNext/>
        <w:rPr>
          <w:sz w:val="24"/>
        </w:rPr>
      </w:pPr>
    </w:p>
    <w:p w:rsidR="00146A6C" w:rsidRDefault="00146A6C">
      <w:pPr>
        <w:keepNext/>
        <w:ind w:firstLine="720"/>
        <w:rPr>
          <w:sz w:val="24"/>
        </w:rPr>
      </w:pPr>
      <w:r>
        <w:rPr>
          <w:sz w:val="24"/>
        </w:rPr>
        <w:t xml:space="preserve">40 </w:t>
      </w:r>
      <w:r>
        <w:rPr>
          <w:i/>
          <w:sz w:val="24"/>
        </w:rPr>
        <w:t>CFR</w:t>
      </w:r>
      <w:r>
        <w:rPr>
          <w:sz w:val="24"/>
        </w:rPr>
        <w:t xml:space="preserve"> 262.207 provides that an eligible academic entity must provide training to all individuals working in a laboratory at that eligible academic entity, as specified.  </w:t>
      </w:r>
    </w:p>
    <w:p w:rsidR="00146A6C" w:rsidRDefault="00146A6C">
      <w:pPr>
        <w:ind w:firstLine="720"/>
        <w:rPr>
          <w:sz w:val="24"/>
        </w:rPr>
      </w:pPr>
    </w:p>
    <w:p w:rsidR="00146A6C" w:rsidRDefault="00146A6C">
      <w:pPr>
        <w:ind w:firstLine="720"/>
        <w:rPr>
          <w:sz w:val="24"/>
        </w:rPr>
      </w:pPr>
      <w:r>
        <w:rPr>
          <w:sz w:val="24"/>
        </w:rPr>
        <w:t xml:space="preserve">Section 262.207(c) provides that an eligible academic entity that is a large quantity generator must maintain documentation demonstrating training for all laboratory workers.  The information must be retained for the durations specified in section 265.16(e).  [Note: Existing 40 </w:t>
      </w:r>
      <w:r>
        <w:rPr>
          <w:i/>
          <w:sz w:val="24"/>
        </w:rPr>
        <w:t>CFR</w:t>
      </w:r>
      <w:r>
        <w:rPr>
          <w:sz w:val="24"/>
        </w:rPr>
        <w:t xml:space="preserve"> 265.16(e) requires that training records on current personnel must be kept until closure of the facility.  Training records on former employees must be kept for at least three years from the date the employee last worked at the facility.  Personnel training records may accompany personnel transferred within the same company.]</w:t>
      </w:r>
    </w:p>
    <w:p w:rsidR="00146A6C" w:rsidRDefault="00146A6C">
      <w:pPr>
        <w:rPr>
          <w:sz w:val="24"/>
        </w:rPr>
      </w:pPr>
    </w:p>
    <w:p w:rsidR="00146A6C" w:rsidRDefault="00146A6C">
      <w:pPr>
        <w:keepNext/>
        <w:rPr>
          <w:b/>
          <w:bCs/>
          <w:sz w:val="24"/>
        </w:rPr>
      </w:pPr>
      <w:r>
        <w:rPr>
          <w:b/>
          <w:bCs/>
          <w:sz w:val="24"/>
        </w:rPr>
        <w:t>(5)</w:t>
      </w:r>
      <w:r>
        <w:rPr>
          <w:b/>
          <w:bCs/>
          <w:sz w:val="24"/>
        </w:rPr>
        <w:tab/>
        <w:t>Removing Containers of Unwanted Material from the Laboratory</w:t>
      </w:r>
    </w:p>
    <w:p w:rsidR="00146A6C" w:rsidRDefault="00146A6C">
      <w:pPr>
        <w:keepNext/>
        <w:rPr>
          <w:sz w:val="24"/>
        </w:rPr>
      </w:pPr>
    </w:p>
    <w:p w:rsidR="00146A6C" w:rsidRDefault="00146A6C">
      <w:pPr>
        <w:keepNext/>
        <w:ind w:firstLine="720"/>
        <w:rPr>
          <w:sz w:val="24"/>
        </w:rPr>
      </w:pPr>
      <w:r>
        <w:rPr>
          <w:sz w:val="24"/>
        </w:rPr>
        <w:t xml:space="preserve">40 </w:t>
      </w:r>
      <w:r>
        <w:rPr>
          <w:i/>
          <w:sz w:val="24"/>
        </w:rPr>
        <w:t>CFR</w:t>
      </w:r>
      <w:r>
        <w:rPr>
          <w:sz w:val="24"/>
        </w:rPr>
        <w:t xml:space="preserve"> 262.208(d)(1)(i) provides that, if a laboratory accumulates more than 55 gallons of unwanted material before the regularly scheduled removal, the eligible academic entity must ensure that all containers of unwanted material (including reactive acutely hazardous unwanted material) have the date that 55 gallons is exceeded on the label that is associated with the container.</w:t>
      </w:r>
    </w:p>
    <w:p w:rsidR="00146A6C" w:rsidRDefault="00146A6C">
      <w:pPr>
        <w:ind w:firstLine="720"/>
        <w:rPr>
          <w:sz w:val="24"/>
        </w:rPr>
      </w:pPr>
    </w:p>
    <w:p w:rsidR="00146A6C" w:rsidRDefault="00146A6C">
      <w:pPr>
        <w:rPr>
          <w:sz w:val="24"/>
        </w:rPr>
      </w:pPr>
      <w:r>
        <w:rPr>
          <w:sz w:val="24"/>
        </w:rPr>
        <w:tab/>
        <w:t>Section 262.208(d)(2)(i) provides that, if a laboratory accumulates more than 1 quart of reactive acutely hazardous unwanted material before the regularly scheduled removal, then the eligible academic entity must ensure that all containers of reactive acutely hazardous unwanted material have the date that 1 quart is exceeded on the label that is associated with the container.</w:t>
      </w:r>
    </w:p>
    <w:p w:rsidR="00146A6C" w:rsidRDefault="00146A6C">
      <w:pPr>
        <w:ind w:firstLine="720"/>
        <w:rPr>
          <w:sz w:val="24"/>
        </w:rPr>
      </w:pPr>
    </w:p>
    <w:p w:rsidR="00146A6C" w:rsidRDefault="00146A6C">
      <w:pPr>
        <w:ind w:left="720" w:hanging="720"/>
        <w:rPr>
          <w:b/>
          <w:bCs/>
          <w:sz w:val="24"/>
        </w:rPr>
      </w:pPr>
      <w:r>
        <w:rPr>
          <w:b/>
          <w:bCs/>
          <w:sz w:val="24"/>
        </w:rPr>
        <w:t>(6)</w:t>
      </w:r>
      <w:r>
        <w:rPr>
          <w:b/>
          <w:bCs/>
          <w:sz w:val="24"/>
        </w:rPr>
        <w:tab/>
        <w:t>Where and When to Make the Hazardous Waste Determination and Where to Send Containers of Unwanted Material</w:t>
      </w:r>
    </w:p>
    <w:p w:rsidR="00146A6C" w:rsidRDefault="00146A6C">
      <w:pPr>
        <w:ind w:left="720" w:hanging="720"/>
        <w:rPr>
          <w:sz w:val="24"/>
        </w:rPr>
      </w:pPr>
    </w:p>
    <w:p w:rsidR="00146A6C" w:rsidRDefault="00146A6C">
      <w:pPr>
        <w:ind w:firstLine="720"/>
        <w:rPr>
          <w:sz w:val="24"/>
        </w:rPr>
      </w:pPr>
      <w:r>
        <w:rPr>
          <w:sz w:val="24"/>
        </w:rPr>
        <w:t xml:space="preserve">40 </w:t>
      </w:r>
      <w:r>
        <w:rPr>
          <w:i/>
          <w:sz w:val="24"/>
        </w:rPr>
        <w:t>CFR</w:t>
      </w:r>
      <w:r>
        <w:rPr>
          <w:sz w:val="24"/>
        </w:rPr>
        <w:t xml:space="preserve"> 262.209(a) establishes standards for where and when large quantity generators and small quantity generators may make hazardous waste determinations.  An eligible academic entity must ensure that a trained professional makes a hazardous waste determination, pursuant to section 262.11, for unwanted material in any of the following areas:</w:t>
      </w:r>
    </w:p>
    <w:p w:rsidR="00146A6C" w:rsidRDefault="00146A6C">
      <w:pPr>
        <w:rPr>
          <w:sz w:val="24"/>
        </w:rPr>
      </w:pPr>
    </w:p>
    <w:p w:rsidR="00146A6C" w:rsidRDefault="00146A6C">
      <w:pPr>
        <w:numPr>
          <w:ilvl w:val="0"/>
          <w:numId w:val="3"/>
        </w:numPr>
        <w:tabs>
          <w:tab w:val="clear" w:pos="2160"/>
        </w:tabs>
        <w:ind w:left="1440"/>
        <w:rPr>
          <w:sz w:val="24"/>
        </w:rPr>
      </w:pPr>
      <w:r>
        <w:rPr>
          <w:sz w:val="24"/>
        </w:rPr>
        <w:t xml:space="preserve">In the laboratory before the unwanted material is removed from the laboratory, in accordance with section 262.210. </w:t>
      </w:r>
    </w:p>
    <w:p w:rsidR="00146A6C" w:rsidRDefault="00146A6C">
      <w:pPr>
        <w:ind w:left="1440" w:hanging="720"/>
        <w:rPr>
          <w:sz w:val="24"/>
        </w:rPr>
      </w:pPr>
    </w:p>
    <w:p w:rsidR="00146A6C" w:rsidRDefault="00146A6C">
      <w:pPr>
        <w:numPr>
          <w:ilvl w:val="0"/>
          <w:numId w:val="3"/>
        </w:numPr>
        <w:tabs>
          <w:tab w:val="clear" w:pos="2160"/>
        </w:tabs>
        <w:ind w:left="1440"/>
        <w:rPr>
          <w:sz w:val="24"/>
        </w:rPr>
      </w:pPr>
      <w:r>
        <w:rPr>
          <w:sz w:val="24"/>
        </w:rPr>
        <w:t xml:space="preserve">Within 4 calendar days of arriving at an on-site central accumulation area, in accordance with section 262.211. </w:t>
      </w:r>
    </w:p>
    <w:p w:rsidR="00146A6C" w:rsidRDefault="00146A6C">
      <w:pPr>
        <w:ind w:left="1440" w:hanging="720"/>
        <w:rPr>
          <w:sz w:val="24"/>
        </w:rPr>
      </w:pPr>
    </w:p>
    <w:p w:rsidR="00146A6C" w:rsidRDefault="00146A6C">
      <w:pPr>
        <w:numPr>
          <w:ilvl w:val="0"/>
          <w:numId w:val="3"/>
        </w:numPr>
        <w:tabs>
          <w:tab w:val="clear" w:pos="2160"/>
        </w:tabs>
        <w:ind w:left="1440"/>
        <w:rPr>
          <w:sz w:val="24"/>
        </w:rPr>
      </w:pPr>
      <w:r>
        <w:rPr>
          <w:sz w:val="24"/>
        </w:rPr>
        <w:t xml:space="preserve">Within 4 calendar days of arriving at an on-site treatment, storage or </w:t>
      </w:r>
      <w:r>
        <w:rPr>
          <w:sz w:val="24"/>
        </w:rPr>
        <w:lastRenderedPageBreak/>
        <w:t xml:space="preserve">disposal facility, in accordance with section 262.212. </w:t>
      </w:r>
    </w:p>
    <w:p w:rsidR="00146A6C" w:rsidRDefault="00146A6C">
      <w:pPr>
        <w:rPr>
          <w:sz w:val="24"/>
        </w:rPr>
      </w:pPr>
    </w:p>
    <w:p w:rsidR="00146A6C" w:rsidRDefault="00146A6C">
      <w:pPr>
        <w:ind w:firstLine="720"/>
        <w:rPr>
          <w:sz w:val="24"/>
        </w:rPr>
      </w:pPr>
      <w:r>
        <w:rPr>
          <w:sz w:val="24"/>
        </w:rPr>
        <w:t xml:space="preserve">Section 262.209(b) establishes standards for where and when conditionally exempt small quantity generators may make hazardous waste determinations.  An eligible academic entity must ensure that a trained professional makes a hazardous waste determination, pursuant to section 262.11, for unwanted material in the laboratory before the unwanted material is removed from the laboratory, in accordance with 262.210.  </w:t>
      </w:r>
    </w:p>
    <w:p w:rsidR="00146A6C" w:rsidRDefault="00146A6C">
      <w:pPr>
        <w:rPr>
          <w:sz w:val="24"/>
        </w:rPr>
      </w:pPr>
    </w:p>
    <w:p w:rsidR="00146A6C" w:rsidRDefault="00146A6C">
      <w:pPr>
        <w:keepNext/>
        <w:rPr>
          <w:b/>
          <w:bCs/>
          <w:sz w:val="24"/>
        </w:rPr>
      </w:pPr>
      <w:r>
        <w:rPr>
          <w:b/>
          <w:bCs/>
          <w:sz w:val="24"/>
        </w:rPr>
        <w:t>(7)</w:t>
      </w:r>
      <w:r>
        <w:rPr>
          <w:b/>
          <w:bCs/>
          <w:sz w:val="24"/>
        </w:rPr>
        <w:tab/>
        <w:t>Making the Hazardous Waste Determination in the Laboratory</w:t>
      </w:r>
    </w:p>
    <w:p w:rsidR="00146A6C" w:rsidRDefault="00146A6C">
      <w:pPr>
        <w:keepNext/>
        <w:rPr>
          <w:sz w:val="24"/>
        </w:rPr>
      </w:pPr>
    </w:p>
    <w:p w:rsidR="00146A6C" w:rsidRDefault="00146A6C">
      <w:pPr>
        <w:keepNext/>
        <w:ind w:firstLine="720"/>
        <w:rPr>
          <w:sz w:val="24"/>
        </w:rPr>
      </w:pPr>
      <w:r>
        <w:rPr>
          <w:sz w:val="24"/>
        </w:rPr>
        <w:t xml:space="preserve">40 </w:t>
      </w:r>
      <w:r>
        <w:rPr>
          <w:i/>
          <w:sz w:val="24"/>
        </w:rPr>
        <w:t>CFR</w:t>
      </w:r>
      <w:r>
        <w:rPr>
          <w:sz w:val="24"/>
        </w:rPr>
        <w:t xml:space="preserve"> 262.210(a) requires that a trained professional must make the hazardous waste determination, pursuant to section 262.11, before the unwanted material is removed from the laboratory.</w:t>
      </w:r>
    </w:p>
    <w:p w:rsidR="00146A6C" w:rsidRDefault="00146A6C">
      <w:pPr>
        <w:rPr>
          <w:sz w:val="24"/>
        </w:rPr>
      </w:pPr>
    </w:p>
    <w:p w:rsidR="00146A6C" w:rsidRDefault="00146A6C">
      <w:pPr>
        <w:rPr>
          <w:sz w:val="24"/>
        </w:rPr>
      </w:pPr>
      <w:r>
        <w:rPr>
          <w:sz w:val="24"/>
        </w:rPr>
        <w:tab/>
        <w:t xml:space="preserve">Section 262.210(b)(2) provides that, if an unwanted material is a hazardous waste, the eligible academic entity must write the appropriate hazardous waste codes(s) on the label that is associated with the container before the hazardous waste may be transported off-site.  </w:t>
      </w:r>
    </w:p>
    <w:p w:rsidR="00146A6C" w:rsidRDefault="00146A6C">
      <w:pPr>
        <w:rPr>
          <w:sz w:val="24"/>
        </w:rPr>
      </w:pPr>
    </w:p>
    <w:p w:rsidR="00146A6C" w:rsidRDefault="00146A6C">
      <w:pPr>
        <w:ind w:left="720" w:hanging="720"/>
        <w:rPr>
          <w:b/>
          <w:bCs/>
          <w:sz w:val="24"/>
        </w:rPr>
      </w:pPr>
      <w:r>
        <w:rPr>
          <w:b/>
          <w:bCs/>
          <w:sz w:val="24"/>
        </w:rPr>
        <w:t>(8)</w:t>
      </w:r>
      <w:r>
        <w:rPr>
          <w:b/>
          <w:bCs/>
          <w:sz w:val="24"/>
        </w:rPr>
        <w:tab/>
        <w:t>Making the Hazardous Waste Determination in an On-site Central Accumulation Area</w:t>
      </w:r>
    </w:p>
    <w:p w:rsidR="00146A6C" w:rsidRDefault="00146A6C">
      <w:pPr>
        <w:rPr>
          <w:sz w:val="24"/>
        </w:rPr>
      </w:pPr>
    </w:p>
    <w:p w:rsidR="00146A6C" w:rsidRDefault="00146A6C">
      <w:pPr>
        <w:rPr>
          <w:sz w:val="24"/>
        </w:rPr>
      </w:pPr>
      <w:r>
        <w:rPr>
          <w:sz w:val="24"/>
        </w:rPr>
        <w:tab/>
        <w:t xml:space="preserve">40 </w:t>
      </w:r>
      <w:r>
        <w:rPr>
          <w:i/>
          <w:sz w:val="24"/>
        </w:rPr>
        <w:t>CFR</w:t>
      </w:r>
      <w:r>
        <w:rPr>
          <w:sz w:val="24"/>
        </w:rPr>
        <w:t xml:space="preserve"> 262.211(d) requires that a trained professional must determine, pursuant to section 262.11, if the unwanted material is a hazardous waste within 4 calendar days of the unwanted materials’ arrival at the on-site central accumulation area.</w:t>
      </w:r>
    </w:p>
    <w:p w:rsidR="00146A6C" w:rsidRDefault="00146A6C">
      <w:pPr>
        <w:rPr>
          <w:sz w:val="24"/>
        </w:rPr>
      </w:pPr>
    </w:p>
    <w:p w:rsidR="00146A6C" w:rsidRDefault="00146A6C">
      <w:pPr>
        <w:rPr>
          <w:sz w:val="24"/>
        </w:rPr>
      </w:pPr>
      <w:r>
        <w:rPr>
          <w:sz w:val="24"/>
        </w:rPr>
        <w:tab/>
        <w:t>Section 262.211(e)(2) provides that, if the unwanted material is a hazardous waste, the eligible academic entity must write the appropriate hazardous waste code(s) on the container label that is associated with the container before the hazardous waste may be treated or disposed on-site or transported off-site.</w:t>
      </w:r>
    </w:p>
    <w:p w:rsidR="00146A6C" w:rsidRDefault="00146A6C">
      <w:pPr>
        <w:rPr>
          <w:sz w:val="24"/>
        </w:rPr>
      </w:pPr>
    </w:p>
    <w:p w:rsidR="00146A6C" w:rsidRDefault="00146A6C">
      <w:pPr>
        <w:ind w:left="720" w:hanging="720"/>
        <w:rPr>
          <w:b/>
          <w:bCs/>
          <w:sz w:val="24"/>
        </w:rPr>
      </w:pPr>
      <w:r>
        <w:rPr>
          <w:b/>
          <w:bCs/>
          <w:sz w:val="24"/>
        </w:rPr>
        <w:t>(9)</w:t>
      </w:r>
      <w:r>
        <w:rPr>
          <w:b/>
          <w:bCs/>
          <w:sz w:val="24"/>
        </w:rPr>
        <w:tab/>
        <w:t>Making the Hazardous Waste Determination at an On-site Interim Status or Permitted Treatment, Storage, or Disposal Facility</w:t>
      </w:r>
    </w:p>
    <w:p w:rsidR="00146A6C" w:rsidRDefault="00146A6C">
      <w:pPr>
        <w:rPr>
          <w:sz w:val="24"/>
        </w:rPr>
      </w:pPr>
    </w:p>
    <w:p w:rsidR="00146A6C" w:rsidRDefault="00146A6C">
      <w:pPr>
        <w:ind w:firstLine="720"/>
        <w:rPr>
          <w:sz w:val="24"/>
        </w:rPr>
      </w:pPr>
      <w:r>
        <w:rPr>
          <w:sz w:val="24"/>
        </w:rPr>
        <w:t xml:space="preserve">40 </w:t>
      </w:r>
      <w:r>
        <w:rPr>
          <w:i/>
          <w:sz w:val="24"/>
        </w:rPr>
        <w:t>CFR</w:t>
      </w:r>
      <w:r>
        <w:rPr>
          <w:sz w:val="24"/>
        </w:rPr>
        <w:t xml:space="preserve"> 262.212(d) requires that a trained professional must determine, pursuant to section 262.11, if the unwanted material is a hazardous waste within 4 calendar days of the unwanted materials’ arrival at an on-site interim status or permitted treatment, storage or disposal facility.</w:t>
      </w:r>
    </w:p>
    <w:p w:rsidR="00146A6C" w:rsidRDefault="00146A6C">
      <w:pPr>
        <w:rPr>
          <w:sz w:val="24"/>
        </w:rPr>
      </w:pPr>
    </w:p>
    <w:p w:rsidR="00146A6C" w:rsidRDefault="00146A6C">
      <w:pPr>
        <w:rPr>
          <w:sz w:val="24"/>
        </w:rPr>
      </w:pPr>
      <w:r>
        <w:rPr>
          <w:sz w:val="24"/>
        </w:rPr>
        <w:tab/>
        <w:t>Section 262.212(e)(2) provides that, if the unwanted material is a hazardous waste, the eligible academic entity must write the appropriate hazardous waste code(s) on the container label that is associated with the container before the hazardous waste may be treated or disposed on-site or transported off-site.</w:t>
      </w:r>
    </w:p>
    <w:p w:rsidR="00146A6C" w:rsidRDefault="00146A6C">
      <w:pPr>
        <w:rPr>
          <w:sz w:val="24"/>
        </w:rPr>
      </w:pPr>
    </w:p>
    <w:p w:rsidR="00146A6C" w:rsidRDefault="00146A6C">
      <w:pPr>
        <w:keepNext/>
        <w:rPr>
          <w:sz w:val="24"/>
        </w:rPr>
      </w:pPr>
      <w:r>
        <w:rPr>
          <w:b/>
          <w:bCs/>
          <w:sz w:val="24"/>
        </w:rPr>
        <w:lastRenderedPageBreak/>
        <w:t>(10)</w:t>
      </w:r>
      <w:r>
        <w:rPr>
          <w:b/>
          <w:bCs/>
          <w:sz w:val="24"/>
        </w:rPr>
        <w:tab/>
        <w:t>Laboratory Clean-outs</w:t>
      </w:r>
    </w:p>
    <w:p w:rsidR="00146A6C" w:rsidRDefault="00146A6C">
      <w:pPr>
        <w:keepNext/>
        <w:rPr>
          <w:sz w:val="24"/>
        </w:rPr>
      </w:pPr>
    </w:p>
    <w:p w:rsidR="00146A6C" w:rsidRDefault="00146A6C">
      <w:pPr>
        <w:keepNext/>
        <w:rPr>
          <w:sz w:val="24"/>
        </w:rPr>
      </w:pPr>
      <w:r>
        <w:rPr>
          <w:sz w:val="24"/>
        </w:rPr>
        <w:tab/>
        <w:t xml:space="preserve">40 </w:t>
      </w:r>
      <w:r>
        <w:rPr>
          <w:i/>
          <w:sz w:val="24"/>
        </w:rPr>
        <w:t>CFR</w:t>
      </w:r>
      <w:r>
        <w:rPr>
          <w:sz w:val="24"/>
        </w:rPr>
        <w:t xml:space="preserve"> 262.213(a) provides that one time per 12 month period per laboratory, an eligible academic entity may opt to conduct a laboratory clean-out that is subject to all the applicable requirements of Subpart K, except as specified otherwise in section 262.213(a). </w:t>
      </w:r>
    </w:p>
    <w:p w:rsidR="00146A6C" w:rsidRDefault="00146A6C">
      <w:pPr>
        <w:rPr>
          <w:sz w:val="24"/>
        </w:rPr>
      </w:pPr>
    </w:p>
    <w:p w:rsidR="00146A6C" w:rsidRDefault="00146A6C">
      <w:pPr>
        <w:rPr>
          <w:sz w:val="24"/>
        </w:rPr>
      </w:pPr>
      <w:r>
        <w:rPr>
          <w:sz w:val="24"/>
        </w:rPr>
        <w:tab/>
        <w:t>Section 262.213(a)(4) requires that an eligible academic entity must document the activities of the laboratory clean-out, as specified (a clean-out may last up to 30 calendar days, as specified).  The eligible academic entity must maintain the records for a period of three years from the date the clean-out ends.</w:t>
      </w:r>
    </w:p>
    <w:p w:rsidR="00146A6C" w:rsidRDefault="00146A6C">
      <w:pPr>
        <w:rPr>
          <w:sz w:val="24"/>
        </w:rPr>
      </w:pPr>
    </w:p>
    <w:p w:rsidR="00146A6C" w:rsidRDefault="00146A6C">
      <w:pPr>
        <w:keepNext/>
        <w:rPr>
          <w:sz w:val="24"/>
        </w:rPr>
      </w:pPr>
      <w:r>
        <w:rPr>
          <w:b/>
          <w:bCs/>
          <w:sz w:val="24"/>
        </w:rPr>
        <w:t>(11)</w:t>
      </w:r>
      <w:r>
        <w:rPr>
          <w:b/>
          <w:bCs/>
          <w:sz w:val="24"/>
        </w:rPr>
        <w:tab/>
        <w:t>Laboratory Management Plan</w:t>
      </w:r>
    </w:p>
    <w:p w:rsidR="00146A6C" w:rsidRDefault="00146A6C">
      <w:pPr>
        <w:keepNext/>
        <w:rPr>
          <w:sz w:val="24"/>
        </w:rPr>
      </w:pPr>
    </w:p>
    <w:p w:rsidR="00146A6C" w:rsidRDefault="00146A6C">
      <w:pPr>
        <w:keepNext/>
        <w:rPr>
          <w:color w:val="FF0000"/>
          <w:sz w:val="24"/>
        </w:rPr>
      </w:pPr>
      <w:r>
        <w:rPr>
          <w:sz w:val="24"/>
        </w:rPr>
        <w:tab/>
        <w:t xml:space="preserve">40 </w:t>
      </w:r>
      <w:r>
        <w:rPr>
          <w:i/>
          <w:sz w:val="24"/>
        </w:rPr>
        <w:t>CFR</w:t>
      </w:r>
      <w:r>
        <w:rPr>
          <w:sz w:val="24"/>
        </w:rPr>
        <w:t xml:space="preserve"> 262.214 provides that an eligible academic entity must develop, implement, and retain a written Laboratory Management Plan, or revise an existing written plan.  </w:t>
      </w:r>
    </w:p>
    <w:p w:rsidR="00146A6C" w:rsidRDefault="00146A6C">
      <w:pPr>
        <w:rPr>
          <w:sz w:val="24"/>
        </w:rPr>
      </w:pPr>
    </w:p>
    <w:p w:rsidR="00146A6C" w:rsidRDefault="00146A6C">
      <w:pPr>
        <w:rPr>
          <w:sz w:val="24"/>
        </w:rPr>
      </w:pPr>
      <w:r>
        <w:rPr>
          <w:sz w:val="24"/>
        </w:rPr>
        <w:tab/>
        <w:t>Section 262.214(c) provides that an eligible academic entity must make its Laboratory Management Plan available to laboratory workers, students, or any others at the eligible academic entity who request it.</w:t>
      </w:r>
    </w:p>
    <w:p w:rsidR="00146A6C" w:rsidRDefault="00146A6C">
      <w:pPr>
        <w:rPr>
          <w:sz w:val="24"/>
        </w:rPr>
      </w:pPr>
    </w:p>
    <w:p w:rsidR="00146A6C" w:rsidRDefault="00146A6C">
      <w:pPr>
        <w:rPr>
          <w:sz w:val="24"/>
        </w:rPr>
      </w:pPr>
      <w:r>
        <w:rPr>
          <w:sz w:val="24"/>
        </w:rPr>
        <w:tab/>
        <w:t>Section 262.214(d) requires that an eligible academic entity must review and revise its Laboratory Management Plan as needed.</w:t>
      </w:r>
    </w:p>
    <w:p w:rsidR="00146A6C" w:rsidRDefault="00146A6C">
      <w:pPr>
        <w:pStyle w:val="Heading1"/>
        <w:ind w:left="720" w:hanging="720"/>
        <w:rPr>
          <w:rFonts w:ascii="Times New Roman" w:hAnsi="Times New Roman" w:cs="Times New Roman"/>
          <w:sz w:val="24"/>
        </w:rPr>
      </w:pPr>
      <w:r>
        <w:rPr>
          <w:rFonts w:ascii="Times New Roman" w:hAnsi="Times New Roman" w:cs="Times New Roman"/>
          <w:sz w:val="24"/>
        </w:rPr>
        <w:br w:type="page"/>
      </w:r>
      <w:bookmarkStart w:id="345" w:name="_Toc194233051"/>
      <w:bookmarkStart w:id="346" w:name="_Toc194321374"/>
      <w:bookmarkStart w:id="347" w:name="_Toc194321589"/>
      <w:bookmarkStart w:id="348" w:name="_Toc194395943"/>
      <w:bookmarkStart w:id="349" w:name="_Toc195523829"/>
      <w:bookmarkStart w:id="350" w:name="_Toc195524040"/>
      <w:bookmarkStart w:id="351" w:name="_Toc198053463"/>
      <w:bookmarkStart w:id="352" w:name="_Toc199176366"/>
      <w:bookmarkStart w:id="353" w:name="_Toc201152824"/>
      <w:bookmarkStart w:id="354" w:name="_Toc201153937"/>
      <w:bookmarkStart w:id="355" w:name="_Toc203626042"/>
      <w:bookmarkStart w:id="356" w:name="_Toc203626150"/>
      <w:bookmarkStart w:id="357" w:name="_Toc203711644"/>
      <w:bookmarkStart w:id="358" w:name="_Toc203715791"/>
      <w:bookmarkStart w:id="359" w:name="_Toc327953072"/>
      <w:r>
        <w:rPr>
          <w:rFonts w:ascii="Times New Roman" w:hAnsi="Times New Roman" w:cs="Times New Roman"/>
          <w:sz w:val="24"/>
        </w:rPr>
        <w:lastRenderedPageBreak/>
        <w:t>6.</w:t>
      </w:r>
      <w:r>
        <w:rPr>
          <w:rFonts w:ascii="Times New Roman" w:hAnsi="Times New Roman" w:cs="Times New Roman"/>
          <w:sz w:val="24"/>
        </w:rPr>
        <w:tab/>
        <w:t>ESTIMATING THE HOUR AND COST BURDEN OF THE COLLECTION</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rsidR="00146A6C" w:rsidRDefault="00146A6C">
      <w:pPr>
        <w:pStyle w:val="Heading2"/>
        <w:ind w:firstLine="720"/>
        <w:rPr>
          <w:i w:val="0"/>
          <w:iCs w:val="0"/>
        </w:rPr>
      </w:pPr>
      <w:bookmarkStart w:id="360" w:name="_Toc146594794"/>
      <w:bookmarkStart w:id="361" w:name="_Toc194233052"/>
      <w:bookmarkStart w:id="362" w:name="_Toc194321375"/>
      <w:bookmarkStart w:id="363" w:name="_Toc194321590"/>
      <w:bookmarkStart w:id="364" w:name="_Toc194395944"/>
      <w:bookmarkStart w:id="365" w:name="_Toc195523830"/>
      <w:bookmarkStart w:id="366" w:name="_Toc195524041"/>
      <w:bookmarkStart w:id="367" w:name="_Toc198053464"/>
      <w:bookmarkStart w:id="368" w:name="_Toc199176367"/>
      <w:bookmarkStart w:id="369" w:name="_Toc201152825"/>
      <w:bookmarkStart w:id="370" w:name="_Toc201153938"/>
      <w:bookmarkStart w:id="371" w:name="_Toc203626043"/>
      <w:bookmarkStart w:id="372" w:name="_Toc203626151"/>
      <w:bookmarkStart w:id="373" w:name="_Toc203711645"/>
      <w:bookmarkStart w:id="374" w:name="_Toc203715792"/>
      <w:bookmarkStart w:id="375" w:name="_Toc327953073"/>
      <w:r>
        <w:rPr>
          <w:rFonts w:ascii="Times New Roman" w:hAnsi="Times New Roman" w:cs="Times New Roman"/>
          <w:i w:val="0"/>
          <w:iCs w:val="0"/>
          <w:sz w:val="24"/>
        </w:rPr>
        <w:t>6(a)</w:t>
      </w:r>
      <w:r>
        <w:rPr>
          <w:rFonts w:ascii="Times New Roman" w:hAnsi="Times New Roman" w:cs="Times New Roman"/>
          <w:i w:val="0"/>
          <w:iCs w:val="0"/>
          <w:sz w:val="24"/>
        </w:rPr>
        <w:tab/>
        <w:t>Estimating Respondent Burden Hours</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146A6C" w:rsidRDefault="00146A6C">
      <w:pPr>
        <w:widowControl/>
        <w:rPr>
          <w:sz w:val="24"/>
        </w:rPr>
      </w:pPr>
    </w:p>
    <w:p w:rsidR="00AB1471" w:rsidRPr="00297DBC" w:rsidRDefault="00146A6C" w:rsidP="00AB1471">
      <w:pPr>
        <w:keepNext/>
        <w:widowControl/>
        <w:ind w:firstLine="720"/>
        <w:rPr>
          <w:color w:val="FF0000"/>
          <w:sz w:val="24"/>
        </w:rPr>
      </w:pPr>
      <w:r>
        <w:rPr>
          <w:bCs/>
          <w:sz w:val="24"/>
        </w:rPr>
        <w:t>Exhibit 1 provides estimates of</w:t>
      </w:r>
      <w:r>
        <w:rPr>
          <w:sz w:val="24"/>
        </w:rPr>
        <w:t xml:space="preserve"> the respondent hourly burden associated with the rule’s paperwork requirements.  Exhibit 1 includes burden hours (total and by labor type) per respondent, as well as the overall burden hours for all respondents.</w:t>
      </w:r>
      <w:r w:rsidR="00AB1471">
        <w:rPr>
          <w:sz w:val="24"/>
        </w:rPr>
        <w:t xml:space="preserve">  </w:t>
      </w:r>
    </w:p>
    <w:p w:rsidR="00146A6C" w:rsidRDefault="00146A6C">
      <w:pPr>
        <w:pStyle w:val="Heading2"/>
        <w:ind w:firstLine="720"/>
        <w:rPr>
          <w:rFonts w:ascii="Times New Roman" w:hAnsi="Times New Roman" w:cs="Times New Roman"/>
          <w:i w:val="0"/>
          <w:iCs w:val="0"/>
          <w:sz w:val="24"/>
        </w:rPr>
      </w:pPr>
      <w:bookmarkStart w:id="376" w:name="_Toc146594795"/>
      <w:bookmarkStart w:id="377" w:name="_Toc194233053"/>
      <w:bookmarkStart w:id="378" w:name="_Toc194321376"/>
      <w:bookmarkStart w:id="379" w:name="_Toc194321591"/>
      <w:bookmarkStart w:id="380" w:name="_Toc194395945"/>
      <w:bookmarkStart w:id="381" w:name="_Toc195523831"/>
      <w:bookmarkStart w:id="382" w:name="_Toc195524042"/>
      <w:bookmarkStart w:id="383" w:name="_Toc198053465"/>
      <w:bookmarkStart w:id="384" w:name="_Toc199176368"/>
      <w:bookmarkStart w:id="385" w:name="_Toc201152826"/>
      <w:bookmarkStart w:id="386" w:name="_Toc201153939"/>
      <w:bookmarkStart w:id="387" w:name="_Toc203626044"/>
      <w:bookmarkStart w:id="388" w:name="_Toc203626152"/>
      <w:bookmarkStart w:id="389" w:name="_Toc203711646"/>
      <w:bookmarkStart w:id="390" w:name="_Toc203715793"/>
      <w:bookmarkStart w:id="391" w:name="_Toc327953074"/>
      <w:r>
        <w:rPr>
          <w:rFonts w:ascii="Times New Roman" w:hAnsi="Times New Roman" w:cs="Times New Roman"/>
          <w:i w:val="0"/>
          <w:iCs w:val="0"/>
          <w:sz w:val="24"/>
        </w:rPr>
        <w:t>6(b)</w:t>
      </w:r>
      <w:r>
        <w:rPr>
          <w:rFonts w:ascii="Times New Roman" w:hAnsi="Times New Roman" w:cs="Times New Roman"/>
          <w:i w:val="0"/>
          <w:iCs w:val="0"/>
          <w:sz w:val="24"/>
        </w:rPr>
        <w:tab/>
        <w:t>Estimating Respondent Costs</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146A6C" w:rsidRDefault="00146A6C">
      <w:pPr>
        <w:widowControl/>
        <w:rPr>
          <w:sz w:val="24"/>
        </w:rPr>
      </w:pPr>
    </w:p>
    <w:p w:rsidR="00146A6C" w:rsidRDefault="00146A6C">
      <w:pPr>
        <w:widowControl/>
        <w:ind w:firstLine="720"/>
        <w:rPr>
          <w:sz w:val="24"/>
        </w:rPr>
      </w:pPr>
      <w:r>
        <w:rPr>
          <w:bCs/>
          <w:sz w:val="24"/>
        </w:rPr>
        <w:t>Exhibit 1 provides</w:t>
      </w:r>
      <w:r>
        <w:rPr>
          <w:sz w:val="24"/>
        </w:rPr>
        <w:t xml:space="preserve"> estimates of the annual respondent costs associated with the rule’s paperwork requirements.  These costs are based on the cost of labor, capital, and operation and maintenance (O&amp;M). </w:t>
      </w:r>
    </w:p>
    <w:p w:rsidR="00146A6C" w:rsidRDefault="00146A6C">
      <w:pPr>
        <w:widowControl/>
        <w:rPr>
          <w:sz w:val="24"/>
        </w:rPr>
      </w:pPr>
    </w:p>
    <w:p w:rsidR="00146A6C" w:rsidRPr="00270DB5" w:rsidRDefault="00146A6C">
      <w:pPr>
        <w:widowControl/>
        <w:tabs>
          <w:tab w:val="left" w:pos="-1440"/>
        </w:tabs>
        <w:ind w:left="1440" w:hanging="720"/>
        <w:rPr>
          <w:color w:val="000000"/>
          <w:sz w:val="24"/>
        </w:rPr>
      </w:pPr>
      <w:r>
        <w:rPr>
          <w:b/>
          <w:bCs/>
          <w:sz w:val="24"/>
        </w:rPr>
        <w:t>(1)</w:t>
      </w:r>
      <w:r>
        <w:rPr>
          <w:b/>
          <w:bCs/>
          <w:sz w:val="24"/>
        </w:rPr>
        <w:tab/>
        <w:t xml:space="preserve">Labor Costs </w:t>
      </w:r>
    </w:p>
    <w:p w:rsidR="00146A6C" w:rsidRPr="00270DB5" w:rsidRDefault="00146A6C">
      <w:pPr>
        <w:widowControl/>
        <w:rPr>
          <w:color w:val="000000"/>
          <w:sz w:val="24"/>
        </w:rPr>
      </w:pPr>
    </w:p>
    <w:p w:rsidR="009E5F7B" w:rsidRPr="00270DB5" w:rsidRDefault="00146A6C" w:rsidP="001D30B1">
      <w:pPr>
        <w:widowControl/>
        <w:ind w:firstLine="432"/>
        <w:rPr>
          <w:color w:val="000000"/>
          <w:sz w:val="24"/>
        </w:rPr>
      </w:pPr>
      <w:r w:rsidRPr="00270DB5">
        <w:rPr>
          <w:color w:val="000000"/>
          <w:sz w:val="24"/>
        </w:rPr>
        <w:t xml:space="preserve">EPA estimates an average loaded respondent hourly labor rate of </w:t>
      </w:r>
      <w:r w:rsidR="00052469" w:rsidRPr="00270DB5">
        <w:rPr>
          <w:color w:val="000000"/>
          <w:sz w:val="24"/>
        </w:rPr>
        <w:t>$</w:t>
      </w:r>
      <w:r w:rsidR="000701E0" w:rsidRPr="00270DB5">
        <w:rPr>
          <w:color w:val="000000"/>
          <w:sz w:val="24"/>
        </w:rPr>
        <w:t>99.56</w:t>
      </w:r>
      <w:r w:rsidR="00052469" w:rsidRPr="00270DB5">
        <w:rPr>
          <w:color w:val="000000"/>
          <w:sz w:val="24"/>
        </w:rPr>
        <w:t xml:space="preserve"> </w:t>
      </w:r>
      <w:r w:rsidRPr="00270DB5">
        <w:rPr>
          <w:color w:val="000000"/>
          <w:sz w:val="24"/>
        </w:rPr>
        <w:t xml:space="preserve">for legal staff, </w:t>
      </w:r>
      <w:r w:rsidR="00052469" w:rsidRPr="00270DB5">
        <w:rPr>
          <w:color w:val="000000"/>
          <w:sz w:val="24"/>
        </w:rPr>
        <w:t>$82</w:t>
      </w:r>
      <w:r w:rsidR="000701E0" w:rsidRPr="00270DB5">
        <w:rPr>
          <w:color w:val="000000"/>
          <w:sz w:val="24"/>
        </w:rPr>
        <w:t>.25</w:t>
      </w:r>
      <w:r w:rsidR="00052469" w:rsidRPr="00270DB5">
        <w:rPr>
          <w:color w:val="000000"/>
          <w:sz w:val="24"/>
        </w:rPr>
        <w:t xml:space="preserve"> </w:t>
      </w:r>
      <w:r w:rsidRPr="00270DB5">
        <w:rPr>
          <w:color w:val="000000"/>
          <w:sz w:val="24"/>
        </w:rPr>
        <w:t xml:space="preserve">for managerial staff, </w:t>
      </w:r>
      <w:r w:rsidR="00052469" w:rsidRPr="00270DB5">
        <w:rPr>
          <w:color w:val="000000"/>
          <w:sz w:val="24"/>
        </w:rPr>
        <w:t>$</w:t>
      </w:r>
      <w:r w:rsidR="008156FB" w:rsidRPr="00270DB5">
        <w:rPr>
          <w:color w:val="000000"/>
          <w:sz w:val="24"/>
        </w:rPr>
        <w:t>4</w:t>
      </w:r>
      <w:r w:rsidR="001D30B1" w:rsidRPr="00270DB5">
        <w:rPr>
          <w:color w:val="000000"/>
          <w:sz w:val="24"/>
        </w:rPr>
        <w:t>3</w:t>
      </w:r>
      <w:r w:rsidR="000701E0" w:rsidRPr="00270DB5">
        <w:rPr>
          <w:color w:val="000000"/>
          <w:sz w:val="24"/>
        </w:rPr>
        <w:t>.</w:t>
      </w:r>
      <w:r w:rsidR="001D30B1" w:rsidRPr="00270DB5">
        <w:rPr>
          <w:color w:val="000000"/>
          <w:sz w:val="24"/>
        </w:rPr>
        <w:t>92</w:t>
      </w:r>
      <w:r w:rsidR="00052469" w:rsidRPr="00270DB5">
        <w:rPr>
          <w:color w:val="000000"/>
          <w:sz w:val="24"/>
        </w:rPr>
        <w:t xml:space="preserve"> </w:t>
      </w:r>
      <w:r w:rsidRPr="00270DB5">
        <w:rPr>
          <w:color w:val="000000"/>
          <w:sz w:val="24"/>
        </w:rPr>
        <w:t xml:space="preserve">for technical staff, and </w:t>
      </w:r>
      <w:r w:rsidR="00052469" w:rsidRPr="00270DB5">
        <w:rPr>
          <w:color w:val="000000"/>
          <w:sz w:val="24"/>
        </w:rPr>
        <w:t>$23</w:t>
      </w:r>
      <w:r w:rsidR="000701E0" w:rsidRPr="00270DB5">
        <w:rPr>
          <w:color w:val="000000"/>
          <w:sz w:val="24"/>
        </w:rPr>
        <w:t>.27</w:t>
      </w:r>
      <w:r w:rsidR="00052469" w:rsidRPr="00270DB5">
        <w:rPr>
          <w:color w:val="000000"/>
          <w:sz w:val="24"/>
        </w:rPr>
        <w:t xml:space="preserve"> </w:t>
      </w:r>
      <w:r w:rsidRPr="00270DB5">
        <w:rPr>
          <w:color w:val="000000"/>
          <w:sz w:val="24"/>
        </w:rPr>
        <w:t xml:space="preserve">for clerical staff.  </w:t>
      </w:r>
      <w:r w:rsidR="00052469" w:rsidRPr="00270DB5">
        <w:rPr>
          <w:color w:val="000000"/>
          <w:sz w:val="24"/>
        </w:rPr>
        <w:t>These hourly labor rates are based on the most current estimates of national cross-industry wages by the U.S. Bureau of Labor Statistics</w:t>
      </w:r>
      <w:r w:rsidR="00052469" w:rsidRPr="00270DB5">
        <w:rPr>
          <w:rStyle w:val="FootnoteReference"/>
          <w:color w:val="000000"/>
          <w:sz w:val="24"/>
          <w:vertAlign w:val="superscript"/>
        </w:rPr>
        <w:footnoteReference w:id="1"/>
      </w:r>
      <w:r w:rsidR="00052469" w:rsidRPr="00270DB5">
        <w:rPr>
          <w:color w:val="000000"/>
          <w:sz w:val="24"/>
        </w:rPr>
        <w:t xml:space="preserve"> for </w:t>
      </w:r>
      <w:r w:rsidR="00084987" w:rsidRPr="00270DB5">
        <w:rPr>
          <w:color w:val="000000"/>
          <w:sz w:val="24"/>
        </w:rPr>
        <w:t xml:space="preserve">the </w:t>
      </w:r>
      <w:r w:rsidR="004B13A9" w:rsidRPr="00270DB5">
        <w:rPr>
          <w:color w:val="000000"/>
          <w:sz w:val="24"/>
        </w:rPr>
        <w:t xml:space="preserve">following </w:t>
      </w:r>
      <w:r w:rsidR="00052469" w:rsidRPr="00270DB5">
        <w:rPr>
          <w:color w:val="000000"/>
          <w:sz w:val="24"/>
        </w:rPr>
        <w:t>occupational groups</w:t>
      </w:r>
      <w:r w:rsidR="00084987" w:rsidRPr="00270DB5">
        <w:rPr>
          <w:color w:val="000000"/>
          <w:sz w:val="24"/>
        </w:rPr>
        <w:t>,</w:t>
      </w:r>
      <w:r w:rsidR="00052469" w:rsidRPr="00270DB5">
        <w:rPr>
          <w:color w:val="000000"/>
          <w:sz w:val="24"/>
        </w:rPr>
        <w:t xml:space="preserve"> </w:t>
      </w:r>
      <w:r w:rsidR="00084987" w:rsidRPr="00270DB5">
        <w:rPr>
          <w:color w:val="000000"/>
          <w:sz w:val="24"/>
        </w:rPr>
        <w:t>respectively, multiplied by a factor</w:t>
      </w:r>
      <w:r w:rsidR="00084987" w:rsidRPr="00270DB5">
        <w:rPr>
          <w:rStyle w:val="FootnoteReference"/>
          <w:color w:val="000000"/>
          <w:sz w:val="24"/>
          <w:vertAlign w:val="superscript"/>
        </w:rPr>
        <w:footnoteReference w:id="2"/>
      </w:r>
      <w:r w:rsidR="00084987" w:rsidRPr="00270DB5">
        <w:rPr>
          <w:color w:val="000000"/>
          <w:sz w:val="24"/>
        </w:rPr>
        <w:t xml:space="preserve"> of 1.6741 to account for fringe benefits</w:t>
      </w:r>
      <w:r w:rsidR="00084987" w:rsidRPr="00270DB5">
        <w:rPr>
          <w:rStyle w:val="FootnoteReference"/>
          <w:color w:val="000000"/>
          <w:sz w:val="24"/>
          <w:vertAlign w:val="superscript"/>
        </w:rPr>
        <w:footnoteReference w:id="3"/>
      </w:r>
      <w:r w:rsidR="00084987" w:rsidRPr="00270DB5">
        <w:rPr>
          <w:color w:val="000000"/>
          <w:sz w:val="24"/>
        </w:rPr>
        <w:t xml:space="preserve"> and overhead</w:t>
      </w:r>
      <w:r w:rsidR="00084987" w:rsidRPr="00270DB5">
        <w:rPr>
          <w:rStyle w:val="FootnoteReference"/>
          <w:color w:val="000000"/>
          <w:sz w:val="24"/>
          <w:vertAlign w:val="superscript"/>
        </w:rPr>
        <w:footnoteReference w:id="4"/>
      </w:r>
      <w:r w:rsidR="004B13A9" w:rsidRPr="00270DB5">
        <w:rPr>
          <w:color w:val="000000"/>
          <w:sz w:val="24"/>
        </w:rPr>
        <w:t xml:space="preserve">: </w:t>
      </w:r>
      <w:r w:rsidR="00155A0F" w:rsidRPr="00270DB5">
        <w:rPr>
          <w:color w:val="000000"/>
          <w:sz w:val="24"/>
        </w:rPr>
        <w:t xml:space="preserve"> </w:t>
      </w:r>
    </w:p>
    <w:p w:rsidR="009E5F7B" w:rsidRPr="00270DB5" w:rsidRDefault="00052469" w:rsidP="001D30B1">
      <w:pPr>
        <w:widowControl/>
        <w:ind w:firstLine="432"/>
        <w:rPr>
          <w:color w:val="000000"/>
          <w:sz w:val="24"/>
        </w:rPr>
      </w:pPr>
      <w:r w:rsidRPr="00270DB5">
        <w:rPr>
          <w:color w:val="000000"/>
          <w:sz w:val="24"/>
        </w:rPr>
        <w:t xml:space="preserve">SOC 23-1011: Lawyers; </w:t>
      </w:r>
    </w:p>
    <w:p w:rsidR="009E5F7B" w:rsidRPr="00270DB5" w:rsidRDefault="00052469" w:rsidP="001D30B1">
      <w:pPr>
        <w:widowControl/>
        <w:ind w:firstLine="432"/>
        <w:rPr>
          <w:color w:val="000000"/>
          <w:sz w:val="24"/>
        </w:rPr>
      </w:pPr>
      <w:r w:rsidRPr="00270DB5">
        <w:rPr>
          <w:color w:val="000000"/>
          <w:sz w:val="24"/>
        </w:rPr>
        <w:t xml:space="preserve">SOC 11-1021: General &amp; Operations Managers; </w:t>
      </w:r>
    </w:p>
    <w:p w:rsidR="009E5F7B" w:rsidRPr="00270DB5" w:rsidRDefault="00052469" w:rsidP="009E5F7B">
      <w:pPr>
        <w:widowControl/>
        <w:ind w:left="990" w:hanging="558"/>
        <w:rPr>
          <w:color w:val="000000"/>
          <w:sz w:val="24"/>
        </w:rPr>
      </w:pPr>
      <w:r w:rsidRPr="00270DB5">
        <w:rPr>
          <w:color w:val="000000"/>
          <w:sz w:val="24"/>
        </w:rPr>
        <w:t>SOC 17-2081: Environmental Engineers</w:t>
      </w:r>
      <w:r w:rsidR="00FD1566" w:rsidRPr="00270DB5">
        <w:rPr>
          <w:color w:val="000000"/>
          <w:sz w:val="24"/>
        </w:rPr>
        <w:t xml:space="preserve"> </w:t>
      </w:r>
      <w:r w:rsidR="008156FB" w:rsidRPr="00270DB5">
        <w:rPr>
          <w:color w:val="000000"/>
          <w:sz w:val="24"/>
        </w:rPr>
        <w:t>and SOC 1</w:t>
      </w:r>
      <w:r w:rsidR="009714E8" w:rsidRPr="00270DB5">
        <w:rPr>
          <w:color w:val="000000"/>
          <w:sz w:val="24"/>
        </w:rPr>
        <w:t>7</w:t>
      </w:r>
      <w:r w:rsidR="008156FB" w:rsidRPr="00270DB5">
        <w:rPr>
          <w:color w:val="000000"/>
          <w:sz w:val="24"/>
        </w:rPr>
        <w:t>-</w:t>
      </w:r>
      <w:r w:rsidR="009714E8" w:rsidRPr="00270DB5">
        <w:rPr>
          <w:color w:val="000000"/>
          <w:sz w:val="24"/>
        </w:rPr>
        <w:t>3025</w:t>
      </w:r>
      <w:r w:rsidR="008156FB" w:rsidRPr="00270DB5">
        <w:rPr>
          <w:color w:val="000000"/>
          <w:sz w:val="24"/>
        </w:rPr>
        <w:t xml:space="preserve">: </w:t>
      </w:r>
      <w:r w:rsidR="009714E8" w:rsidRPr="00270DB5">
        <w:rPr>
          <w:color w:val="000000"/>
          <w:sz w:val="24"/>
        </w:rPr>
        <w:t>Environmental Engineering</w:t>
      </w:r>
      <w:r w:rsidR="00687A79" w:rsidRPr="00270DB5">
        <w:rPr>
          <w:color w:val="000000"/>
          <w:sz w:val="24"/>
        </w:rPr>
        <w:t xml:space="preserve"> </w:t>
      </w:r>
      <w:r w:rsidR="008156FB" w:rsidRPr="00270DB5">
        <w:rPr>
          <w:color w:val="000000"/>
          <w:sz w:val="24"/>
        </w:rPr>
        <w:t>Technicians</w:t>
      </w:r>
      <w:r w:rsidR="00126FCE" w:rsidRPr="00270DB5">
        <w:rPr>
          <w:color w:val="000000"/>
          <w:sz w:val="24"/>
        </w:rPr>
        <w:t xml:space="preserve"> and</w:t>
      </w:r>
      <w:r w:rsidR="00EC5E95" w:rsidRPr="00270DB5">
        <w:rPr>
          <w:color w:val="000000"/>
          <w:sz w:val="24"/>
        </w:rPr>
        <w:t xml:space="preserve"> </w:t>
      </w:r>
      <w:r w:rsidR="00126FCE" w:rsidRPr="00270DB5">
        <w:rPr>
          <w:color w:val="000000"/>
          <w:sz w:val="24"/>
        </w:rPr>
        <w:t>SOC 19-4031: Chemical Technicians</w:t>
      </w:r>
      <w:r w:rsidR="008156FB" w:rsidRPr="00270DB5">
        <w:rPr>
          <w:color w:val="000000"/>
          <w:sz w:val="24"/>
        </w:rPr>
        <w:t xml:space="preserve">; and </w:t>
      </w:r>
    </w:p>
    <w:p w:rsidR="00146A6C" w:rsidRPr="00270DB5" w:rsidRDefault="008156FB" w:rsidP="001D30B1">
      <w:pPr>
        <w:widowControl/>
        <w:ind w:firstLine="432"/>
        <w:rPr>
          <w:color w:val="000000"/>
        </w:rPr>
      </w:pPr>
      <w:r w:rsidRPr="00270DB5">
        <w:rPr>
          <w:color w:val="000000"/>
          <w:sz w:val="24"/>
        </w:rPr>
        <w:t xml:space="preserve">SOC 43-9061: </w:t>
      </w:r>
      <w:r w:rsidR="004B13A9" w:rsidRPr="00270DB5">
        <w:rPr>
          <w:color w:val="000000"/>
          <w:sz w:val="24"/>
        </w:rPr>
        <w:t>Office Clerks, General</w:t>
      </w:r>
      <w:r w:rsidR="00052469" w:rsidRPr="00270DB5">
        <w:rPr>
          <w:color w:val="000000"/>
          <w:sz w:val="24"/>
        </w:rPr>
        <w:t>.</w:t>
      </w:r>
      <w:r w:rsidR="00052469" w:rsidRPr="00270DB5">
        <w:rPr>
          <w:color w:val="000000"/>
        </w:rPr>
        <w:t xml:space="preserve">  </w:t>
      </w:r>
    </w:p>
    <w:p w:rsidR="00146A6C" w:rsidRPr="00270DB5" w:rsidRDefault="00146A6C">
      <w:pPr>
        <w:widowControl/>
        <w:rPr>
          <w:color w:val="000000"/>
          <w:sz w:val="24"/>
        </w:rPr>
      </w:pPr>
    </w:p>
    <w:p w:rsidR="00146A6C" w:rsidRDefault="00146A6C">
      <w:pPr>
        <w:widowControl/>
        <w:ind w:firstLine="720"/>
        <w:rPr>
          <w:sz w:val="24"/>
        </w:rPr>
      </w:pPr>
      <w:r>
        <w:rPr>
          <w:sz w:val="24"/>
        </w:rPr>
        <w:t xml:space="preserve">Using the total burden hours discussed in Section 6(a) and the hourly wage rates outlined in this section, Exhibit 1 </w:t>
      </w:r>
      <w:r>
        <w:rPr>
          <w:bCs/>
          <w:sz w:val="24"/>
        </w:rPr>
        <w:t>estimates</w:t>
      </w:r>
      <w:r>
        <w:rPr>
          <w:sz w:val="24"/>
        </w:rPr>
        <w:t xml:space="preserve"> the labor costs associated with the information collection requirements covered in this ICR. </w:t>
      </w:r>
    </w:p>
    <w:p w:rsidR="00146A6C" w:rsidRDefault="00146A6C">
      <w:pPr>
        <w:widowControl/>
        <w:rPr>
          <w:sz w:val="24"/>
        </w:rPr>
      </w:pPr>
    </w:p>
    <w:p w:rsidR="00146A6C" w:rsidRDefault="00146A6C">
      <w:pPr>
        <w:widowControl/>
        <w:tabs>
          <w:tab w:val="left" w:pos="-1440"/>
        </w:tabs>
        <w:ind w:left="1440" w:hanging="720"/>
        <w:rPr>
          <w:sz w:val="24"/>
        </w:rPr>
      </w:pPr>
      <w:r>
        <w:rPr>
          <w:b/>
          <w:bCs/>
          <w:sz w:val="24"/>
        </w:rPr>
        <w:t>(2)</w:t>
      </w:r>
      <w:r>
        <w:rPr>
          <w:b/>
          <w:bCs/>
          <w:sz w:val="24"/>
        </w:rPr>
        <w:tab/>
        <w:t>Capital Costs</w:t>
      </w:r>
    </w:p>
    <w:p w:rsidR="00146A6C" w:rsidRDefault="00146A6C">
      <w:pPr>
        <w:widowControl/>
        <w:rPr>
          <w:sz w:val="24"/>
        </w:rPr>
      </w:pPr>
    </w:p>
    <w:p w:rsidR="00146A6C" w:rsidRDefault="00146A6C">
      <w:pPr>
        <w:widowControl/>
        <w:ind w:firstLine="720"/>
        <w:rPr>
          <w:sz w:val="24"/>
        </w:rPr>
      </w:pPr>
      <w:r>
        <w:rPr>
          <w:sz w:val="24"/>
        </w:rPr>
        <w:lastRenderedPageBreak/>
        <w:t>Capital costs usually include any produced physical good needed to provide the needed information, such as machinery, computers, and other equipment.  EPA does not anticipate that respondents will incur capital costs in carrying out the information collection requirements covered in this ICR.</w:t>
      </w:r>
    </w:p>
    <w:p w:rsidR="00146A6C" w:rsidRDefault="00146A6C">
      <w:pPr>
        <w:widowControl/>
        <w:rPr>
          <w:b/>
          <w:bCs/>
          <w:sz w:val="24"/>
        </w:rPr>
      </w:pPr>
    </w:p>
    <w:p w:rsidR="00146A6C" w:rsidRDefault="00146A6C">
      <w:pPr>
        <w:keepNext/>
        <w:widowControl/>
        <w:tabs>
          <w:tab w:val="left" w:pos="-1440"/>
        </w:tabs>
        <w:ind w:left="1440" w:hanging="720"/>
        <w:rPr>
          <w:b/>
          <w:bCs/>
          <w:sz w:val="24"/>
        </w:rPr>
      </w:pPr>
      <w:r>
        <w:rPr>
          <w:b/>
          <w:bCs/>
          <w:sz w:val="24"/>
        </w:rPr>
        <w:t>(3)</w:t>
      </w:r>
      <w:r>
        <w:rPr>
          <w:b/>
          <w:bCs/>
          <w:sz w:val="24"/>
        </w:rPr>
        <w:tab/>
        <w:t>Operation &amp; Maintenance Costs</w:t>
      </w:r>
    </w:p>
    <w:p w:rsidR="00146A6C" w:rsidRDefault="00146A6C">
      <w:pPr>
        <w:keepNext/>
        <w:widowControl/>
        <w:rPr>
          <w:sz w:val="24"/>
        </w:rPr>
      </w:pPr>
    </w:p>
    <w:p w:rsidR="00146A6C" w:rsidRPr="00270DB5" w:rsidRDefault="00146A6C">
      <w:pPr>
        <w:keepNext/>
        <w:widowControl/>
        <w:ind w:firstLine="720"/>
        <w:rPr>
          <w:color w:val="000000"/>
          <w:sz w:val="24"/>
        </w:rPr>
      </w:pPr>
      <w:r w:rsidRPr="00270DB5">
        <w:rPr>
          <w:color w:val="000000"/>
          <w:sz w:val="24"/>
        </w:rPr>
        <w:t xml:space="preserve">O&amp;M costs are those costs associated with a paperwork requirement incurred continually over the life of the ICR.  This ICR includes O&amp;M costs for postage (i.e., </w:t>
      </w:r>
      <w:r w:rsidR="009265EC" w:rsidRPr="00270DB5">
        <w:rPr>
          <w:color w:val="000000"/>
          <w:sz w:val="24"/>
        </w:rPr>
        <w:t xml:space="preserve">$2.95 </w:t>
      </w:r>
      <w:r w:rsidR="00443218" w:rsidRPr="00270DB5">
        <w:rPr>
          <w:color w:val="000000"/>
          <w:sz w:val="24"/>
        </w:rPr>
        <w:t xml:space="preserve">currently </w:t>
      </w:r>
      <w:r w:rsidRPr="00270DB5">
        <w:rPr>
          <w:color w:val="000000"/>
          <w:sz w:val="24"/>
        </w:rPr>
        <w:t>for certified mail) and envelope (i.e., $0.01</w:t>
      </w:r>
      <w:r w:rsidR="009808D5" w:rsidRPr="00270DB5">
        <w:rPr>
          <w:color w:val="000000"/>
          <w:sz w:val="24"/>
        </w:rPr>
        <w:t>1</w:t>
      </w:r>
      <w:r w:rsidRPr="00270DB5">
        <w:rPr>
          <w:color w:val="000000"/>
          <w:sz w:val="24"/>
        </w:rPr>
        <w:t xml:space="preserve">).  The ICR includes </w:t>
      </w:r>
      <w:r w:rsidR="009265EC" w:rsidRPr="00270DB5">
        <w:rPr>
          <w:color w:val="000000"/>
          <w:sz w:val="24"/>
        </w:rPr>
        <w:t>$</w:t>
      </w:r>
      <w:r w:rsidR="009808D5" w:rsidRPr="00270DB5">
        <w:rPr>
          <w:color w:val="000000"/>
          <w:sz w:val="24"/>
        </w:rPr>
        <w:t>0.14</w:t>
      </w:r>
      <w:r w:rsidR="009265EC" w:rsidRPr="00270DB5">
        <w:rPr>
          <w:color w:val="000000"/>
          <w:sz w:val="24"/>
        </w:rPr>
        <w:t xml:space="preserve"> </w:t>
      </w:r>
      <w:r w:rsidRPr="00270DB5">
        <w:rPr>
          <w:color w:val="000000"/>
          <w:sz w:val="24"/>
        </w:rPr>
        <w:t>per container label.</w:t>
      </w:r>
    </w:p>
    <w:p w:rsidR="00E20513" w:rsidRPr="00270DB5" w:rsidRDefault="00E20513">
      <w:pPr>
        <w:keepNext/>
        <w:widowControl/>
        <w:ind w:firstLine="720"/>
        <w:rPr>
          <w:color w:val="000000"/>
          <w:sz w:val="24"/>
        </w:rPr>
      </w:pPr>
    </w:p>
    <w:p w:rsidR="00E20513" w:rsidRPr="00270DB5" w:rsidRDefault="00E20513" w:rsidP="00443218">
      <w:pPr>
        <w:widowControl/>
        <w:ind w:firstLine="432"/>
        <w:rPr>
          <w:rFonts w:eastAsia="PMingLiU"/>
          <w:color w:val="000000"/>
          <w:sz w:val="24"/>
          <w:lang w:eastAsia="zh-TW"/>
        </w:rPr>
      </w:pPr>
      <w:r w:rsidRPr="00270DB5">
        <w:rPr>
          <w:color w:val="000000"/>
          <w:sz w:val="24"/>
        </w:rPr>
        <w:tab/>
        <w:t>To update the O&amp;M costs in the previous ICR (2317.01), which were based mainly on the 200</w:t>
      </w:r>
      <w:r w:rsidR="008C34EC" w:rsidRPr="00270DB5">
        <w:rPr>
          <w:color w:val="000000"/>
          <w:sz w:val="24"/>
        </w:rPr>
        <w:t>8</w:t>
      </w:r>
      <w:r w:rsidRPr="00270DB5">
        <w:rPr>
          <w:color w:val="000000"/>
          <w:sz w:val="24"/>
        </w:rPr>
        <w:t xml:space="preserve"> costs, EPA referred to t</w:t>
      </w:r>
      <w:r w:rsidRPr="00270DB5">
        <w:rPr>
          <w:rFonts w:eastAsia="PMingLiU"/>
          <w:color w:val="000000"/>
          <w:sz w:val="24"/>
          <w:lang w:eastAsia="zh-TW"/>
        </w:rPr>
        <w:t xml:space="preserve">he U.S. Bureau of Labor Statistics (BLS)’s Consumer Price Index data for all urban consumers (1982 – 84 index = 100) at </w:t>
      </w:r>
      <w:hyperlink r:id="rId14" w:history="1">
        <w:r w:rsidRPr="00270DB5">
          <w:rPr>
            <w:rStyle w:val="Hyperlink"/>
            <w:rFonts w:eastAsia="PMingLiU"/>
            <w:color w:val="000000"/>
            <w:sz w:val="24"/>
            <w:lang w:eastAsia="zh-TW"/>
          </w:rPr>
          <w:t>http://www.bls.go</w:t>
        </w:r>
        <w:r w:rsidRPr="00270DB5">
          <w:rPr>
            <w:rStyle w:val="Hyperlink"/>
            <w:rFonts w:eastAsia="PMingLiU"/>
            <w:color w:val="000000"/>
            <w:sz w:val="24"/>
            <w:lang w:eastAsia="zh-TW"/>
          </w:rPr>
          <w:t>v</w:t>
        </w:r>
        <w:r w:rsidRPr="00270DB5">
          <w:rPr>
            <w:rStyle w:val="Hyperlink"/>
            <w:rFonts w:eastAsia="PMingLiU"/>
            <w:color w:val="000000"/>
            <w:sz w:val="24"/>
            <w:lang w:eastAsia="zh-TW"/>
          </w:rPr>
          <w:t>/c</w:t>
        </w:r>
        <w:r w:rsidRPr="00270DB5">
          <w:rPr>
            <w:rStyle w:val="Hyperlink"/>
            <w:rFonts w:eastAsia="PMingLiU"/>
            <w:color w:val="000000"/>
            <w:sz w:val="24"/>
            <w:lang w:eastAsia="zh-TW"/>
          </w:rPr>
          <w:t>p</w:t>
        </w:r>
        <w:r w:rsidRPr="00270DB5">
          <w:rPr>
            <w:rStyle w:val="Hyperlink"/>
            <w:rFonts w:eastAsia="PMingLiU"/>
            <w:color w:val="000000"/>
            <w:sz w:val="24"/>
            <w:lang w:eastAsia="zh-TW"/>
          </w:rPr>
          <w:t>i/</w:t>
        </w:r>
        <w:r w:rsidRPr="00270DB5">
          <w:rPr>
            <w:rStyle w:val="Hyperlink"/>
            <w:rFonts w:eastAsia="PMingLiU"/>
            <w:color w:val="000000"/>
            <w:sz w:val="24"/>
            <w:lang w:eastAsia="zh-TW"/>
          </w:rPr>
          <w:t>c</w:t>
        </w:r>
        <w:r w:rsidRPr="00270DB5">
          <w:rPr>
            <w:rStyle w:val="Hyperlink"/>
            <w:rFonts w:eastAsia="PMingLiU"/>
            <w:color w:val="000000"/>
            <w:sz w:val="24"/>
            <w:lang w:eastAsia="zh-TW"/>
          </w:rPr>
          <w:t>pi_dr.htm</w:t>
        </w:r>
      </w:hyperlink>
      <w:r w:rsidRPr="00270DB5">
        <w:rPr>
          <w:rFonts w:eastAsia="PMingLiU"/>
          <w:color w:val="000000"/>
          <w:sz w:val="24"/>
          <w:lang w:eastAsia="zh-TW"/>
        </w:rPr>
        <w:t xml:space="preserve">.  EPA used the </w:t>
      </w:r>
      <w:r w:rsidR="00376B12" w:rsidRPr="00270DB5">
        <w:rPr>
          <w:rFonts w:eastAsia="PMingLiU"/>
          <w:color w:val="000000"/>
          <w:sz w:val="24"/>
          <w:lang w:eastAsia="zh-TW"/>
        </w:rPr>
        <w:t>December</w:t>
      </w:r>
      <w:r w:rsidRPr="00270DB5">
        <w:rPr>
          <w:rFonts w:eastAsia="PMingLiU"/>
          <w:color w:val="000000"/>
          <w:sz w:val="24"/>
          <w:lang w:eastAsia="zh-TW"/>
        </w:rPr>
        <w:t xml:space="preserve"> 200</w:t>
      </w:r>
      <w:r w:rsidR="008C34EC" w:rsidRPr="00270DB5">
        <w:rPr>
          <w:rFonts w:eastAsia="PMingLiU"/>
          <w:color w:val="000000"/>
          <w:sz w:val="24"/>
          <w:lang w:eastAsia="zh-TW"/>
        </w:rPr>
        <w:t>8</w:t>
      </w:r>
      <w:r w:rsidRPr="00270DB5">
        <w:rPr>
          <w:rFonts w:eastAsia="PMingLiU"/>
          <w:color w:val="000000"/>
          <w:sz w:val="24"/>
          <w:lang w:eastAsia="zh-TW"/>
        </w:rPr>
        <w:t xml:space="preserve"> index (2</w:t>
      </w:r>
      <w:r w:rsidR="008D5194" w:rsidRPr="00270DB5">
        <w:rPr>
          <w:rFonts w:eastAsia="PMingLiU"/>
          <w:color w:val="000000"/>
          <w:sz w:val="24"/>
          <w:lang w:eastAsia="zh-TW"/>
        </w:rPr>
        <w:t>10.</w:t>
      </w:r>
      <w:r w:rsidR="00D21802" w:rsidRPr="00270DB5">
        <w:rPr>
          <w:rFonts w:eastAsia="PMingLiU"/>
          <w:color w:val="000000"/>
          <w:sz w:val="24"/>
          <w:lang w:eastAsia="zh-TW"/>
        </w:rPr>
        <w:t>228</w:t>
      </w:r>
      <w:r w:rsidRPr="00270DB5">
        <w:rPr>
          <w:rFonts w:eastAsia="PMingLiU"/>
          <w:color w:val="000000"/>
          <w:sz w:val="24"/>
          <w:lang w:eastAsia="zh-TW"/>
        </w:rPr>
        <w:t xml:space="preserve">) and </w:t>
      </w:r>
      <w:r w:rsidR="00376B12" w:rsidRPr="00270DB5">
        <w:rPr>
          <w:rFonts w:eastAsia="PMingLiU"/>
          <w:color w:val="000000"/>
          <w:sz w:val="24"/>
          <w:lang w:eastAsia="zh-TW"/>
        </w:rPr>
        <w:t>December</w:t>
      </w:r>
      <w:r w:rsidRPr="00270DB5">
        <w:rPr>
          <w:rFonts w:eastAsia="PMingLiU"/>
          <w:color w:val="000000"/>
          <w:sz w:val="24"/>
          <w:lang w:eastAsia="zh-TW"/>
        </w:rPr>
        <w:t xml:space="preserve"> 2011 index (2</w:t>
      </w:r>
      <w:r w:rsidR="008D5194" w:rsidRPr="00270DB5">
        <w:rPr>
          <w:rFonts w:eastAsia="PMingLiU"/>
          <w:color w:val="000000"/>
          <w:sz w:val="24"/>
          <w:lang w:eastAsia="zh-TW"/>
        </w:rPr>
        <w:t>25.67</w:t>
      </w:r>
      <w:r w:rsidR="00D21802" w:rsidRPr="00270DB5">
        <w:rPr>
          <w:rFonts w:eastAsia="PMingLiU"/>
          <w:color w:val="000000"/>
          <w:sz w:val="24"/>
          <w:lang w:eastAsia="zh-TW"/>
        </w:rPr>
        <w:t>2</w:t>
      </w:r>
      <w:r w:rsidRPr="00270DB5">
        <w:rPr>
          <w:rFonts w:eastAsia="PMingLiU"/>
          <w:color w:val="000000"/>
          <w:sz w:val="24"/>
          <w:lang w:eastAsia="zh-TW"/>
        </w:rPr>
        <w:t>) to develop an adjustment factor of 1.0</w:t>
      </w:r>
      <w:r w:rsidR="008D5194" w:rsidRPr="00270DB5">
        <w:rPr>
          <w:rFonts w:eastAsia="PMingLiU"/>
          <w:color w:val="000000"/>
          <w:sz w:val="24"/>
          <w:lang w:eastAsia="zh-TW"/>
        </w:rPr>
        <w:t>7</w:t>
      </w:r>
      <w:r w:rsidR="00D21802" w:rsidRPr="00270DB5">
        <w:rPr>
          <w:rFonts w:eastAsia="PMingLiU"/>
          <w:color w:val="000000"/>
          <w:sz w:val="24"/>
          <w:lang w:eastAsia="zh-TW"/>
        </w:rPr>
        <w:t>35</w:t>
      </w:r>
      <w:r w:rsidRPr="00270DB5">
        <w:rPr>
          <w:rFonts w:eastAsia="PMingLiU"/>
          <w:color w:val="000000"/>
          <w:sz w:val="24"/>
          <w:lang w:eastAsia="zh-TW"/>
        </w:rPr>
        <w:t xml:space="preserve"> (= 225.</w:t>
      </w:r>
      <w:r w:rsidR="008D5194" w:rsidRPr="00270DB5">
        <w:rPr>
          <w:rFonts w:eastAsia="PMingLiU"/>
          <w:color w:val="000000"/>
          <w:sz w:val="24"/>
          <w:lang w:eastAsia="zh-TW"/>
        </w:rPr>
        <w:t>67</w:t>
      </w:r>
      <w:r w:rsidR="00D21802" w:rsidRPr="00270DB5">
        <w:rPr>
          <w:rFonts w:eastAsia="PMingLiU"/>
          <w:color w:val="000000"/>
          <w:sz w:val="24"/>
          <w:lang w:eastAsia="zh-TW"/>
        </w:rPr>
        <w:t>2</w:t>
      </w:r>
      <w:r w:rsidRPr="00270DB5">
        <w:rPr>
          <w:rFonts w:eastAsia="PMingLiU"/>
          <w:color w:val="000000"/>
          <w:sz w:val="24"/>
          <w:lang w:eastAsia="zh-TW"/>
        </w:rPr>
        <w:t xml:space="preserve"> / 2</w:t>
      </w:r>
      <w:r w:rsidR="008D5194" w:rsidRPr="00270DB5">
        <w:rPr>
          <w:rFonts w:eastAsia="PMingLiU"/>
          <w:color w:val="000000"/>
          <w:sz w:val="24"/>
          <w:lang w:eastAsia="zh-TW"/>
        </w:rPr>
        <w:t>10</w:t>
      </w:r>
      <w:r w:rsidRPr="00270DB5">
        <w:rPr>
          <w:rFonts w:eastAsia="PMingLiU"/>
          <w:color w:val="000000"/>
          <w:sz w:val="24"/>
          <w:lang w:eastAsia="zh-TW"/>
        </w:rPr>
        <w:t>.</w:t>
      </w:r>
      <w:r w:rsidR="00D21802" w:rsidRPr="00270DB5">
        <w:rPr>
          <w:rFonts w:eastAsia="PMingLiU"/>
          <w:color w:val="000000"/>
          <w:sz w:val="24"/>
          <w:lang w:eastAsia="zh-TW"/>
        </w:rPr>
        <w:t>228</w:t>
      </w:r>
      <w:r w:rsidRPr="00270DB5">
        <w:rPr>
          <w:rFonts w:eastAsia="PMingLiU"/>
          <w:color w:val="000000"/>
          <w:sz w:val="24"/>
          <w:lang w:eastAsia="zh-TW"/>
        </w:rPr>
        <w:t xml:space="preserve">). </w:t>
      </w:r>
    </w:p>
    <w:p w:rsidR="00146A6C" w:rsidRPr="00270DB5" w:rsidRDefault="00146A6C">
      <w:pPr>
        <w:pStyle w:val="Heading2"/>
        <w:ind w:firstLine="720"/>
        <w:rPr>
          <w:rFonts w:ascii="Times New Roman" w:hAnsi="Times New Roman" w:cs="Times New Roman"/>
          <w:i w:val="0"/>
          <w:iCs w:val="0"/>
          <w:color w:val="000000"/>
          <w:sz w:val="24"/>
        </w:rPr>
      </w:pPr>
      <w:bookmarkStart w:id="392" w:name="_Toc146594796"/>
      <w:bookmarkStart w:id="393" w:name="_Toc194233054"/>
      <w:bookmarkStart w:id="394" w:name="_Toc194321377"/>
      <w:bookmarkStart w:id="395" w:name="_Toc194321592"/>
      <w:bookmarkStart w:id="396" w:name="_Toc194395946"/>
      <w:bookmarkStart w:id="397" w:name="_Toc195523832"/>
      <w:bookmarkStart w:id="398" w:name="_Toc195524043"/>
      <w:bookmarkStart w:id="399" w:name="_Toc198053466"/>
      <w:bookmarkStart w:id="400" w:name="_Toc199176369"/>
      <w:bookmarkStart w:id="401" w:name="_Toc201152827"/>
      <w:bookmarkStart w:id="402" w:name="_Toc201153940"/>
      <w:bookmarkStart w:id="403" w:name="_Toc203626045"/>
      <w:bookmarkStart w:id="404" w:name="_Toc203626153"/>
      <w:bookmarkStart w:id="405" w:name="_Toc203711647"/>
      <w:bookmarkStart w:id="406" w:name="_Toc203715794"/>
      <w:bookmarkStart w:id="407" w:name="_Toc327953075"/>
      <w:r w:rsidRPr="00270DB5">
        <w:rPr>
          <w:rFonts w:ascii="Times New Roman" w:hAnsi="Times New Roman" w:cs="Times New Roman"/>
          <w:i w:val="0"/>
          <w:iCs w:val="0"/>
          <w:color w:val="000000"/>
          <w:sz w:val="24"/>
        </w:rPr>
        <w:t>6(c)</w:t>
      </w:r>
      <w:r w:rsidRPr="00270DB5">
        <w:rPr>
          <w:rFonts w:ascii="Times New Roman" w:hAnsi="Times New Roman" w:cs="Times New Roman"/>
          <w:i w:val="0"/>
          <w:iCs w:val="0"/>
          <w:color w:val="000000"/>
          <w:sz w:val="24"/>
        </w:rPr>
        <w:tab/>
        <w:t>Estimating Agency Hour and Cost Burden</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146A6C" w:rsidRPr="00270DB5" w:rsidRDefault="00146A6C">
      <w:pPr>
        <w:rPr>
          <w:color w:val="000000"/>
        </w:rPr>
      </w:pPr>
    </w:p>
    <w:p w:rsidR="00146A6C" w:rsidRPr="00270DB5" w:rsidRDefault="00146A6C" w:rsidP="00785BC7">
      <w:pPr>
        <w:widowControl/>
        <w:ind w:firstLine="720"/>
        <w:rPr>
          <w:color w:val="000000"/>
          <w:sz w:val="24"/>
        </w:rPr>
      </w:pPr>
      <w:r w:rsidRPr="00270DB5">
        <w:rPr>
          <w:color w:val="000000"/>
          <w:sz w:val="24"/>
        </w:rPr>
        <w:t xml:space="preserve">The final rule </w:t>
      </w:r>
      <w:r w:rsidR="003364EC" w:rsidRPr="00270DB5">
        <w:rPr>
          <w:color w:val="000000"/>
          <w:sz w:val="24"/>
        </w:rPr>
        <w:t xml:space="preserve">promulgating </w:t>
      </w:r>
      <w:r w:rsidR="007A13E1" w:rsidRPr="00270DB5">
        <w:rPr>
          <w:color w:val="000000"/>
          <w:sz w:val="24"/>
        </w:rPr>
        <w:t xml:space="preserve">the </w:t>
      </w:r>
      <w:r w:rsidR="003364EC" w:rsidRPr="00270DB5">
        <w:rPr>
          <w:color w:val="000000"/>
          <w:sz w:val="24"/>
        </w:rPr>
        <w:t xml:space="preserve">Subpart K regulations </w:t>
      </w:r>
      <w:r w:rsidRPr="00270DB5">
        <w:rPr>
          <w:color w:val="000000"/>
          <w:sz w:val="24"/>
        </w:rPr>
        <w:t xml:space="preserve">will be administered by RCRA-authorized State government regulatory programs.  EPA estimated the following average loaded hourly wage rates for government labor: </w:t>
      </w:r>
      <w:r w:rsidR="00785BC7" w:rsidRPr="00270DB5">
        <w:rPr>
          <w:color w:val="000000"/>
          <w:sz w:val="24"/>
        </w:rPr>
        <w:t>$67</w:t>
      </w:r>
      <w:r w:rsidR="000701E0" w:rsidRPr="00270DB5">
        <w:rPr>
          <w:color w:val="000000"/>
          <w:sz w:val="24"/>
        </w:rPr>
        <w:t>.27</w:t>
      </w:r>
      <w:r w:rsidR="00785BC7" w:rsidRPr="00270DB5">
        <w:rPr>
          <w:color w:val="000000"/>
          <w:sz w:val="24"/>
        </w:rPr>
        <w:t xml:space="preserve"> </w:t>
      </w:r>
      <w:r w:rsidRPr="00270DB5">
        <w:rPr>
          <w:color w:val="000000"/>
          <w:sz w:val="24"/>
        </w:rPr>
        <w:t xml:space="preserve">per hour for legal staff, </w:t>
      </w:r>
      <w:r w:rsidR="00785BC7" w:rsidRPr="00270DB5">
        <w:rPr>
          <w:color w:val="000000"/>
          <w:sz w:val="24"/>
        </w:rPr>
        <w:t>$67</w:t>
      </w:r>
      <w:r w:rsidR="000701E0" w:rsidRPr="00270DB5">
        <w:rPr>
          <w:color w:val="000000"/>
          <w:sz w:val="24"/>
        </w:rPr>
        <w:t>.32</w:t>
      </w:r>
      <w:r w:rsidR="00785BC7" w:rsidRPr="00270DB5">
        <w:rPr>
          <w:color w:val="000000"/>
          <w:sz w:val="24"/>
        </w:rPr>
        <w:t xml:space="preserve"> </w:t>
      </w:r>
      <w:r w:rsidRPr="00270DB5">
        <w:rPr>
          <w:color w:val="000000"/>
          <w:sz w:val="24"/>
        </w:rPr>
        <w:t xml:space="preserve">per hour for managerial staff, </w:t>
      </w:r>
      <w:r w:rsidR="00785BC7" w:rsidRPr="00270DB5">
        <w:rPr>
          <w:color w:val="000000"/>
          <w:sz w:val="24"/>
        </w:rPr>
        <w:t>$5</w:t>
      </w:r>
      <w:r w:rsidR="000701E0" w:rsidRPr="00270DB5">
        <w:rPr>
          <w:color w:val="000000"/>
          <w:sz w:val="24"/>
        </w:rPr>
        <w:t>5.62</w:t>
      </w:r>
      <w:r w:rsidR="00785BC7" w:rsidRPr="00270DB5">
        <w:rPr>
          <w:color w:val="000000"/>
          <w:sz w:val="24"/>
        </w:rPr>
        <w:t xml:space="preserve"> </w:t>
      </w:r>
      <w:r w:rsidRPr="00270DB5">
        <w:rPr>
          <w:color w:val="000000"/>
          <w:sz w:val="24"/>
        </w:rPr>
        <w:t xml:space="preserve">per hour for technical staff, and </w:t>
      </w:r>
      <w:r w:rsidR="00785BC7" w:rsidRPr="00270DB5">
        <w:rPr>
          <w:color w:val="000000"/>
          <w:sz w:val="24"/>
        </w:rPr>
        <w:t>$2</w:t>
      </w:r>
      <w:r w:rsidR="000701E0" w:rsidRPr="00270DB5">
        <w:rPr>
          <w:color w:val="000000"/>
          <w:sz w:val="24"/>
        </w:rPr>
        <w:t>5.99</w:t>
      </w:r>
      <w:r w:rsidR="00785BC7" w:rsidRPr="00270DB5">
        <w:rPr>
          <w:color w:val="000000"/>
          <w:sz w:val="24"/>
        </w:rPr>
        <w:t xml:space="preserve"> </w:t>
      </w:r>
      <w:r w:rsidRPr="00270DB5">
        <w:rPr>
          <w:color w:val="000000"/>
          <w:sz w:val="24"/>
        </w:rPr>
        <w:t xml:space="preserve">per hour for clerical staff.  </w:t>
      </w:r>
      <w:r w:rsidR="00785BC7" w:rsidRPr="00270DB5">
        <w:rPr>
          <w:color w:val="000000"/>
          <w:sz w:val="24"/>
        </w:rPr>
        <w:t>These hourly labor rates are based on the most current estimates of State government wages by the U.S. Bureau of Labor Statistics</w:t>
      </w:r>
      <w:r w:rsidR="00785BC7" w:rsidRPr="00270DB5">
        <w:rPr>
          <w:rStyle w:val="FootnoteReference"/>
          <w:color w:val="000000"/>
          <w:sz w:val="24"/>
          <w:vertAlign w:val="superscript"/>
        </w:rPr>
        <w:footnoteReference w:id="5"/>
      </w:r>
      <w:r w:rsidR="00785BC7" w:rsidRPr="00270DB5">
        <w:rPr>
          <w:color w:val="000000"/>
          <w:sz w:val="24"/>
        </w:rPr>
        <w:t xml:space="preserve"> for occupational groups SOC 23-1011: Lawyers; SOC 11-1021: General &amp; Operations Managers; SOC 17-2081: Environmental Engineers; and SOC 43-9061: Office Clerks, General, respectively, multiplied by a factor</w:t>
      </w:r>
      <w:r w:rsidR="00785BC7" w:rsidRPr="00270DB5">
        <w:rPr>
          <w:rStyle w:val="FootnoteReference"/>
          <w:color w:val="000000"/>
          <w:sz w:val="24"/>
          <w:vertAlign w:val="superscript"/>
        </w:rPr>
        <w:footnoteReference w:id="6"/>
      </w:r>
      <w:r w:rsidR="00785BC7" w:rsidRPr="00270DB5">
        <w:rPr>
          <w:color w:val="000000"/>
          <w:sz w:val="24"/>
        </w:rPr>
        <w:t xml:space="preserve"> of 1.7073 to account for fringe benefits</w:t>
      </w:r>
      <w:r w:rsidR="00785BC7" w:rsidRPr="00270DB5">
        <w:rPr>
          <w:rStyle w:val="FootnoteReference"/>
          <w:color w:val="000000"/>
          <w:sz w:val="24"/>
          <w:vertAlign w:val="superscript"/>
        </w:rPr>
        <w:footnoteReference w:id="7"/>
      </w:r>
      <w:r w:rsidR="00785BC7" w:rsidRPr="00270DB5">
        <w:rPr>
          <w:color w:val="000000"/>
          <w:sz w:val="24"/>
        </w:rPr>
        <w:t xml:space="preserve"> and overhead</w:t>
      </w:r>
      <w:r w:rsidR="00785BC7" w:rsidRPr="00270DB5">
        <w:rPr>
          <w:rStyle w:val="FootnoteReference"/>
          <w:color w:val="000000"/>
          <w:sz w:val="24"/>
          <w:vertAlign w:val="superscript"/>
        </w:rPr>
        <w:footnoteReference w:id="8"/>
      </w:r>
      <w:r w:rsidR="00785BC7" w:rsidRPr="00270DB5">
        <w:rPr>
          <w:color w:val="000000"/>
          <w:sz w:val="24"/>
        </w:rPr>
        <w:t xml:space="preserve">.  </w:t>
      </w:r>
      <w:r w:rsidRPr="00270DB5">
        <w:rPr>
          <w:color w:val="000000"/>
          <w:sz w:val="24"/>
        </w:rPr>
        <w:t>Hour and cost burden to the Agency is estimated in Exhibit 3.</w:t>
      </w:r>
      <w:r w:rsidR="00785BC7" w:rsidRPr="00270DB5">
        <w:rPr>
          <w:color w:val="000000"/>
          <w:sz w:val="24"/>
        </w:rPr>
        <w:t xml:space="preserve">  </w:t>
      </w:r>
    </w:p>
    <w:p w:rsidR="00146A6C" w:rsidRPr="00270DB5" w:rsidRDefault="00146A6C">
      <w:pPr>
        <w:pStyle w:val="Heading2"/>
        <w:ind w:left="1440" w:hanging="720"/>
        <w:rPr>
          <w:rFonts w:ascii="Times New Roman" w:hAnsi="Times New Roman" w:cs="Times New Roman"/>
          <w:i w:val="0"/>
          <w:iCs w:val="0"/>
          <w:color w:val="000000"/>
          <w:sz w:val="24"/>
        </w:rPr>
      </w:pPr>
      <w:bookmarkStart w:id="408" w:name="_Toc194233055"/>
      <w:bookmarkStart w:id="409" w:name="_Toc194321378"/>
      <w:bookmarkStart w:id="410" w:name="_Toc194321593"/>
      <w:bookmarkStart w:id="411" w:name="_Toc194395947"/>
      <w:bookmarkStart w:id="412" w:name="_Toc195523833"/>
      <w:bookmarkStart w:id="413" w:name="_Toc195524044"/>
      <w:bookmarkStart w:id="414" w:name="_Toc198053467"/>
      <w:bookmarkStart w:id="415" w:name="_Toc199176370"/>
      <w:bookmarkStart w:id="416" w:name="_Toc201152828"/>
      <w:bookmarkStart w:id="417" w:name="_Toc201153941"/>
      <w:bookmarkStart w:id="418" w:name="_Toc203626046"/>
      <w:bookmarkStart w:id="419" w:name="_Toc203626154"/>
      <w:bookmarkStart w:id="420" w:name="_Toc203711648"/>
      <w:bookmarkStart w:id="421" w:name="_Toc203715795"/>
      <w:bookmarkStart w:id="422" w:name="_Toc327953076"/>
      <w:r w:rsidRPr="00270DB5">
        <w:rPr>
          <w:rFonts w:ascii="Times New Roman" w:hAnsi="Times New Roman" w:cs="Times New Roman"/>
          <w:i w:val="0"/>
          <w:iCs w:val="0"/>
          <w:color w:val="000000"/>
          <w:sz w:val="24"/>
        </w:rPr>
        <w:t>6(d)</w:t>
      </w:r>
      <w:r w:rsidRPr="00270DB5">
        <w:rPr>
          <w:rFonts w:ascii="Times New Roman" w:hAnsi="Times New Roman" w:cs="Times New Roman"/>
          <w:i w:val="0"/>
          <w:iCs w:val="0"/>
          <w:color w:val="000000"/>
          <w:sz w:val="24"/>
        </w:rPr>
        <w:tab/>
        <w:t>Estimating the Annual Respondent Universe and Total Hour and Cost Burden</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rsidR="00146A6C" w:rsidRPr="00270DB5" w:rsidRDefault="00146A6C">
      <w:pPr>
        <w:widowControl/>
        <w:rPr>
          <w:color w:val="000000"/>
          <w:sz w:val="24"/>
        </w:rPr>
      </w:pPr>
    </w:p>
    <w:p w:rsidR="00146A6C" w:rsidRDefault="00146A6C">
      <w:pPr>
        <w:widowControl/>
        <w:ind w:firstLine="720"/>
        <w:rPr>
          <w:sz w:val="24"/>
        </w:rPr>
      </w:pPr>
      <w:r w:rsidRPr="00270DB5">
        <w:rPr>
          <w:color w:val="000000"/>
          <w:sz w:val="24"/>
        </w:rPr>
        <w:t xml:space="preserve">In this section, EPA first describes the estimated respondent universe under the rule.  EPA then estimates the annual burden to respondents under the rule’s paperwork </w:t>
      </w:r>
      <w:r>
        <w:rPr>
          <w:sz w:val="24"/>
        </w:rPr>
        <w:lastRenderedPageBreak/>
        <w:t xml:space="preserve">requirements.  Finally, EPA estimates the burden impacts to respondents under the existing RCRA generator paperwork standards.  </w:t>
      </w:r>
    </w:p>
    <w:p w:rsidR="00146A6C" w:rsidRDefault="00146A6C">
      <w:pPr>
        <w:widowControl/>
        <w:ind w:firstLine="720"/>
        <w:rPr>
          <w:sz w:val="24"/>
        </w:rPr>
      </w:pPr>
    </w:p>
    <w:p w:rsidR="00146A6C" w:rsidRPr="00270DB5" w:rsidRDefault="00146A6C">
      <w:pPr>
        <w:widowControl/>
        <w:ind w:firstLine="720"/>
        <w:rPr>
          <w:color w:val="000000"/>
          <w:sz w:val="24"/>
        </w:rPr>
      </w:pPr>
      <w:r>
        <w:rPr>
          <w:bCs/>
          <w:sz w:val="24"/>
        </w:rPr>
        <w:t xml:space="preserve">EPA obtained most of the data and assumptions for </w:t>
      </w:r>
      <w:r w:rsidRPr="00270DB5">
        <w:rPr>
          <w:bCs/>
          <w:color w:val="000000"/>
          <w:sz w:val="24"/>
        </w:rPr>
        <w:t xml:space="preserve">the burden calculations in </w:t>
      </w:r>
      <w:r w:rsidR="00B43EB5" w:rsidRPr="00270DB5">
        <w:rPr>
          <w:bCs/>
          <w:color w:val="000000"/>
          <w:sz w:val="24"/>
        </w:rPr>
        <w:t xml:space="preserve">the previous </w:t>
      </w:r>
      <w:r w:rsidRPr="00270DB5">
        <w:rPr>
          <w:bCs/>
          <w:color w:val="000000"/>
          <w:sz w:val="24"/>
        </w:rPr>
        <w:t xml:space="preserve">ICR </w:t>
      </w:r>
      <w:r w:rsidR="00B43EB5" w:rsidRPr="00270DB5">
        <w:rPr>
          <w:bCs/>
          <w:color w:val="000000"/>
          <w:sz w:val="24"/>
        </w:rPr>
        <w:t xml:space="preserve">(2317.01) </w:t>
      </w:r>
      <w:r w:rsidRPr="00270DB5">
        <w:rPr>
          <w:bCs/>
          <w:color w:val="000000"/>
          <w:sz w:val="24"/>
        </w:rPr>
        <w:t xml:space="preserve">from EPA’s impact assessment developed for </w:t>
      </w:r>
      <w:r w:rsidR="00B43EB5" w:rsidRPr="00270DB5">
        <w:rPr>
          <w:bCs/>
          <w:color w:val="000000"/>
          <w:sz w:val="24"/>
        </w:rPr>
        <w:t xml:space="preserve">the final rule promulgating </w:t>
      </w:r>
      <w:r w:rsidR="007A13E1" w:rsidRPr="00270DB5">
        <w:rPr>
          <w:bCs/>
          <w:color w:val="000000"/>
          <w:sz w:val="24"/>
        </w:rPr>
        <w:t xml:space="preserve">the </w:t>
      </w:r>
      <w:r w:rsidR="00B43EB5" w:rsidRPr="00270DB5">
        <w:rPr>
          <w:bCs/>
          <w:color w:val="000000"/>
          <w:sz w:val="24"/>
        </w:rPr>
        <w:t>Subpart K regulations</w:t>
      </w:r>
      <w:r w:rsidRPr="00270DB5">
        <w:rPr>
          <w:bCs/>
          <w:color w:val="000000"/>
          <w:sz w:val="24"/>
        </w:rPr>
        <w:t xml:space="preserve">.  </w:t>
      </w:r>
      <w:r w:rsidR="00B43EB5" w:rsidRPr="00270DB5">
        <w:rPr>
          <w:color w:val="000000"/>
          <w:sz w:val="24"/>
        </w:rPr>
        <w:t xml:space="preserve">For this ICR renewal, EPA consulted with a number of industry officials to update and/or verify respondent burden estimates for the Subpart K regulatory activities.  See </w:t>
      </w:r>
      <w:r w:rsidR="00C4664F" w:rsidRPr="00270DB5">
        <w:rPr>
          <w:color w:val="000000"/>
          <w:sz w:val="24"/>
        </w:rPr>
        <w:t xml:space="preserve">Attachment 1 - </w:t>
      </w:r>
      <w:r w:rsidR="00B43EB5" w:rsidRPr="00270DB5">
        <w:rPr>
          <w:color w:val="000000"/>
          <w:sz w:val="24"/>
        </w:rPr>
        <w:t xml:space="preserve">Burden Estimate Methodology. </w:t>
      </w:r>
    </w:p>
    <w:p w:rsidR="00146A6C" w:rsidRPr="00B43EB5" w:rsidRDefault="00146A6C">
      <w:pPr>
        <w:widowControl/>
        <w:rPr>
          <w:color w:val="3333FF"/>
          <w:sz w:val="24"/>
        </w:rPr>
      </w:pPr>
    </w:p>
    <w:p w:rsidR="00146A6C" w:rsidRDefault="00146A6C">
      <w:pPr>
        <w:keepNext/>
        <w:widowControl/>
        <w:ind w:firstLine="720"/>
        <w:rPr>
          <w:b/>
          <w:bCs/>
          <w:sz w:val="24"/>
        </w:rPr>
      </w:pPr>
      <w:r>
        <w:rPr>
          <w:b/>
          <w:bCs/>
          <w:sz w:val="24"/>
        </w:rPr>
        <w:t>(1)</w:t>
      </w:r>
      <w:r>
        <w:rPr>
          <w:b/>
          <w:bCs/>
          <w:sz w:val="24"/>
        </w:rPr>
        <w:tab/>
        <w:t>Respondent Universe</w:t>
      </w:r>
    </w:p>
    <w:p w:rsidR="00146A6C" w:rsidRDefault="00146A6C">
      <w:pPr>
        <w:keepNext/>
        <w:widowControl/>
        <w:rPr>
          <w:sz w:val="24"/>
        </w:rPr>
      </w:pPr>
    </w:p>
    <w:p w:rsidR="00146A6C" w:rsidRPr="00012B30" w:rsidRDefault="00146A6C">
      <w:pPr>
        <w:keepNext/>
        <w:widowControl/>
        <w:ind w:firstLine="720"/>
        <w:rPr>
          <w:b/>
          <w:color w:val="800000"/>
          <w:sz w:val="24"/>
        </w:rPr>
      </w:pPr>
      <w:r>
        <w:rPr>
          <w:sz w:val="24"/>
        </w:rPr>
        <w:t xml:space="preserve">Table 1 presents the total number of sites at eligible academic entities that are expected to opt into Subpart K during the three-year period covered by this ICR.  The table shows the number of large quantity generators (LQGs), small quantity generators (SQGs), and conditionally exempt small quantity generators (CESQGs).  It also shows the number of sites with and without an on-site central accumulation area (CAA).  </w:t>
      </w:r>
    </w:p>
    <w:p w:rsidR="00146A6C" w:rsidRDefault="00146A6C">
      <w:pPr>
        <w:widowControl/>
        <w:ind w:firstLine="720"/>
        <w:rPr>
          <w:sz w:val="24"/>
        </w:rPr>
      </w:pPr>
    </w:p>
    <w:p w:rsidR="00146A6C" w:rsidRPr="00270DB5" w:rsidRDefault="00146A6C">
      <w:pPr>
        <w:widowControl/>
        <w:ind w:firstLine="720"/>
        <w:rPr>
          <w:color w:val="000000"/>
          <w:sz w:val="24"/>
        </w:rPr>
      </w:pPr>
      <w:r w:rsidRPr="00270DB5">
        <w:rPr>
          <w:color w:val="000000"/>
          <w:sz w:val="24"/>
        </w:rPr>
        <w:t>In total, EPA expects eligible academic entities to opt in for</w:t>
      </w:r>
      <w:r w:rsidR="00C563B0" w:rsidRPr="00270DB5">
        <w:rPr>
          <w:color w:val="000000"/>
          <w:sz w:val="24"/>
        </w:rPr>
        <w:t xml:space="preserve"> 99</w:t>
      </w:r>
      <w:r w:rsidR="009C763D" w:rsidRPr="00270DB5">
        <w:rPr>
          <w:color w:val="000000"/>
          <w:sz w:val="24"/>
        </w:rPr>
        <w:t xml:space="preserve"> </w:t>
      </w:r>
      <w:r w:rsidRPr="00270DB5">
        <w:rPr>
          <w:color w:val="000000"/>
          <w:sz w:val="24"/>
        </w:rPr>
        <w:t>of their sites</w:t>
      </w:r>
      <w:r w:rsidR="00DD029F" w:rsidRPr="00270DB5">
        <w:rPr>
          <w:color w:val="000000"/>
          <w:sz w:val="24"/>
        </w:rPr>
        <w:t xml:space="preserve">; see Attachment </w:t>
      </w:r>
      <w:r w:rsidR="002D0FCF" w:rsidRPr="00270DB5">
        <w:rPr>
          <w:color w:val="000000"/>
          <w:sz w:val="24"/>
        </w:rPr>
        <w:t>2</w:t>
      </w:r>
      <w:r w:rsidR="00DD029F" w:rsidRPr="00270DB5">
        <w:rPr>
          <w:color w:val="000000"/>
          <w:sz w:val="24"/>
        </w:rPr>
        <w:t xml:space="preserve"> – Summary of Universe Calculations</w:t>
      </w:r>
      <w:r w:rsidRPr="00270DB5">
        <w:rPr>
          <w:color w:val="000000"/>
          <w:sz w:val="24"/>
        </w:rPr>
        <w:t xml:space="preserve">.  Of these, EPA estimates that </w:t>
      </w:r>
      <w:r w:rsidR="00C563B0" w:rsidRPr="00270DB5">
        <w:rPr>
          <w:color w:val="000000"/>
          <w:sz w:val="24"/>
        </w:rPr>
        <w:t xml:space="preserve">48 </w:t>
      </w:r>
      <w:r w:rsidRPr="00270DB5">
        <w:rPr>
          <w:color w:val="000000"/>
          <w:sz w:val="24"/>
        </w:rPr>
        <w:t>will be LQGs</w:t>
      </w:r>
      <w:r w:rsidR="00C563B0" w:rsidRPr="00270DB5">
        <w:rPr>
          <w:color w:val="000000"/>
          <w:sz w:val="24"/>
        </w:rPr>
        <w:t>,</w:t>
      </w:r>
      <w:r w:rsidRPr="00270DB5">
        <w:rPr>
          <w:color w:val="000000"/>
          <w:sz w:val="24"/>
        </w:rPr>
        <w:t xml:space="preserve"> </w:t>
      </w:r>
      <w:r w:rsidR="00C563B0" w:rsidRPr="00270DB5">
        <w:rPr>
          <w:color w:val="000000"/>
          <w:sz w:val="24"/>
        </w:rPr>
        <w:t xml:space="preserve">27 </w:t>
      </w:r>
      <w:r w:rsidRPr="00270DB5">
        <w:rPr>
          <w:color w:val="000000"/>
          <w:sz w:val="24"/>
        </w:rPr>
        <w:t>will be SQGs</w:t>
      </w:r>
      <w:r w:rsidR="00C563B0" w:rsidRPr="00270DB5">
        <w:rPr>
          <w:color w:val="000000"/>
          <w:sz w:val="24"/>
        </w:rPr>
        <w:t>, and 24 will be CESQGs</w:t>
      </w:r>
      <w:r w:rsidRPr="00270DB5">
        <w:rPr>
          <w:color w:val="000000"/>
          <w:sz w:val="24"/>
        </w:rPr>
        <w:t xml:space="preserve">.  EPA estimates that </w:t>
      </w:r>
      <w:r w:rsidR="00C563B0" w:rsidRPr="00270DB5">
        <w:rPr>
          <w:color w:val="000000"/>
          <w:sz w:val="24"/>
        </w:rPr>
        <w:t xml:space="preserve">67 </w:t>
      </w:r>
      <w:r w:rsidRPr="00270DB5">
        <w:rPr>
          <w:color w:val="000000"/>
          <w:sz w:val="24"/>
        </w:rPr>
        <w:t xml:space="preserve">sites will have a CAA and </w:t>
      </w:r>
      <w:r w:rsidR="00C563B0" w:rsidRPr="00270DB5">
        <w:rPr>
          <w:color w:val="000000"/>
          <w:sz w:val="24"/>
        </w:rPr>
        <w:t xml:space="preserve">32 </w:t>
      </w:r>
      <w:r w:rsidRPr="00270DB5">
        <w:rPr>
          <w:color w:val="000000"/>
          <w:sz w:val="24"/>
        </w:rPr>
        <w:t xml:space="preserve">will not have a CAA.  These </w:t>
      </w:r>
      <w:r w:rsidR="00C563B0" w:rsidRPr="00270DB5">
        <w:rPr>
          <w:color w:val="000000"/>
          <w:sz w:val="24"/>
        </w:rPr>
        <w:t xml:space="preserve">32 </w:t>
      </w:r>
      <w:r w:rsidRPr="00270DB5">
        <w:rPr>
          <w:color w:val="000000"/>
          <w:sz w:val="24"/>
        </w:rPr>
        <w:t xml:space="preserve">sites without a CAA will ship their hazardous waste off-site directly from the laboratories.  </w:t>
      </w:r>
    </w:p>
    <w:p w:rsidR="00146A6C" w:rsidRDefault="00146A6C">
      <w:pPr>
        <w:widowControl/>
        <w:ind w:firstLine="720"/>
        <w:rPr>
          <w:b/>
          <w:bCs/>
          <w:sz w:val="24"/>
        </w:rPr>
      </w:pPr>
    </w:p>
    <w:p w:rsidR="00146A6C" w:rsidRPr="00012B30" w:rsidRDefault="00146A6C" w:rsidP="00717F59">
      <w:pPr>
        <w:keepNext/>
        <w:widowControl/>
        <w:ind w:firstLine="720"/>
        <w:rPr>
          <w:b/>
          <w:color w:val="800000"/>
          <w:sz w:val="24"/>
        </w:rPr>
      </w:pPr>
      <w:r>
        <w:rPr>
          <w:sz w:val="24"/>
        </w:rPr>
        <w:t>Table 2 presents the average number of laboratories per site and the average annual number of containers of unwanted material per laboratory.  Information is presented only for those sites expected to opt into Subpart K, as shown in Table 1</w:t>
      </w:r>
      <w:r w:rsidR="00717F59" w:rsidRPr="00B67011">
        <w:rPr>
          <w:strike/>
          <w:sz w:val="24"/>
        </w:rPr>
        <w:t xml:space="preserve"> </w:t>
      </w:r>
    </w:p>
    <w:p w:rsidR="00146A6C" w:rsidRDefault="00146A6C">
      <w:pPr>
        <w:rPr>
          <w:sz w:val="24"/>
        </w:rPr>
      </w:pPr>
    </w:p>
    <w:p w:rsidR="00146A6C" w:rsidRPr="00297DBC" w:rsidRDefault="00146A6C">
      <w:pPr>
        <w:rPr>
          <w:color w:val="FF0000"/>
          <w:sz w:val="24"/>
        </w:rPr>
      </w:pPr>
      <w:r>
        <w:rPr>
          <w:sz w:val="24"/>
        </w:rPr>
        <w:tab/>
        <w:t xml:space="preserve">Table 3 presents the total aggregate annual number of containers of unwanted material generated at sites expected to opt into Subpart K.  The table is based on the data presented in Tables 1 and 2.  Specifically, EPA multiplied the total number of sites opting into Subpart K (see Table 1) by each site’s average number of laboratories and containers of unwanted materials per laboratory (see Table 2).  This produced the total aggregate number of containers of unwanted materials expected to be generated annually under Subpart K. </w:t>
      </w:r>
    </w:p>
    <w:p w:rsidR="00146A6C" w:rsidRDefault="00146A6C">
      <w:pPr>
        <w:rPr>
          <w:sz w:val="24"/>
        </w:rPr>
      </w:pPr>
    </w:p>
    <w:p w:rsidR="00146A6C" w:rsidRPr="00270DB5" w:rsidRDefault="00146A6C">
      <w:pPr>
        <w:rPr>
          <w:color w:val="000000"/>
          <w:sz w:val="24"/>
        </w:rPr>
      </w:pPr>
      <w:r>
        <w:rPr>
          <w:sz w:val="24"/>
        </w:rPr>
        <w:tab/>
        <w:t xml:space="preserve">In total, EPA estimates that </w:t>
      </w:r>
      <w:r w:rsidR="00B67011" w:rsidRPr="00270DB5">
        <w:rPr>
          <w:color w:val="000000"/>
          <w:sz w:val="24"/>
        </w:rPr>
        <w:t xml:space="preserve">742,442 </w:t>
      </w:r>
      <w:r w:rsidRPr="00270DB5">
        <w:rPr>
          <w:color w:val="000000"/>
          <w:sz w:val="24"/>
        </w:rPr>
        <w:t xml:space="preserve">containers of unwanted materials will be generated in laboratories under Subpart K annually.  Of these, EPA estimates that </w:t>
      </w:r>
      <w:r w:rsidR="00B67011" w:rsidRPr="00270DB5">
        <w:rPr>
          <w:color w:val="000000"/>
          <w:sz w:val="24"/>
        </w:rPr>
        <w:t xml:space="preserve">732,410 </w:t>
      </w:r>
      <w:r w:rsidRPr="00270DB5">
        <w:rPr>
          <w:color w:val="000000"/>
          <w:sz w:val="24"/>
        </w:rPr>
        <w:t xml:space="preserve">containers will be generated by sites with CAAs and </w:t>
      </w:r>
      <w:r w:rsidR="00B67011" w:rsidRPr="00270DB5">
        <w:rPr>
          <w:color w:val="000000"/>
          <w:sz w:val="24"/>
        </w:rPr>
        <w:t xml:space="preserve">10,032 </w:t>
      </w:r>
      <w:r w:rsidRPr="00270DB5">
        <w:rPr>
          <w:color w:val="000000"/>
          <w:sz w:val="24"/>
        </w:rPr>
        <w:t xml:space="preserve">will be generated by sites without CAAs.  </w:t>
      </w:r>
    </w:p>
    <w:p w:rsidR="00146A6C" w:rsidRPr="00270DB5" w:rsidRDefault="00146A6C">
      <w:pPr>
        <w:rPr>
          <w:color w:val="000000"/>
          <w:sz w:val="24"/>
        </w:rPr>
      </w:pPr>
    </w:p>
    <w:p w:rsidR="00146A6C" w:rsidRPr="00270DB5" w:rsidRDefault="00146A6C">
      <w:pPr>
        <w:rPr>
          <w:color w:val="000000"/>
          <w:sz w:val="24"/>
        </w:rPr>
      </w:pPr>
      <w:r w:rsidRPr="00270DB5">
        <w:rPr>
          <w:color w:val="000000"/>
          <w:sz w:val="24"/>
        </w:rPr>
        <w:tab/>
        <w:t>EPA used the above data to estimate the annual respondent burden in this ICR.</w:t>
      </w:r>
    </w:p>
    <w:p w:rsidR="00146A6C" w:rsidRPr="00270DB5" w:rsidRDefault="00146A6C">
      <w:pPr>
        <w:widowControl/>
        <w:ind w:firstLine="720"/>
        <w:rPr>
          <w:b/>
          <w:bCs/>
          <w:color w:val="000000"/>
          <w:sz w:val="24"/>
        </w:rPr>
      </w:pPr>
    </w:p>
    <w:p w:rsidR="00146A6C" w:rsidRPr="00270DB5" w:rsidRDefault="00146A6C">
      <w:pPr>
        <w:widowControl/>
        <w:ind w:firstLine="720"/>
        <w:rPr>
          <w:b/>
          <w:bCs/>
          <w:color w:val="000000"/>
        </w:rPr>
      </w:pPr>
      <w:r w:rsidRPr="00270DB5">
        <w:rPr>
          <w:b/>
          <w:bCs/>
          <w:color w:val="000000"/>
          <w:sz w:val="24"/>
        </w:rPr>
        <w:t>(2)</w:t>
      </w:r>
      <w:r w:rsidRPr="00270DB5">
        <w:rPr>
          <w:b/>
          <w:bCs/>
          <w:color w:val="000000"/>
          <w:sz w:val="24"/>
        </w:rPr>
        <w:tab/>
        <w:t xml:space="preserve">Annual Respondent Burden under </w:t>
      </w:r>
      <w:r w:rsidR="00320B53" w:rsidRPr="00270DB5">
        <w:rPr>
          <w:rFonts w:ascii="Times New Roman Bold" w:hAnsi="Times New Roman Bold"/>
          <w:b/>
          <w:bCs/>
          <w:color w:val="000000"/>
          <w:sz w:val="24"/>
        </w:rPr>
        <w:t>Subpart K</w:t>
      </w:r>
    </w:p>
    <w:p w:rsidR="00146A6C" w:rsidRPr="00270DB5" w:rsidRDefault="00146A6C">
      <w:pPr>
        <w:rPr>
          <w:color w:val="000000"/>
        </w:rPr>
      </w:pPr>
    </w:p>
    <w:p w:rsidR="00AB1471" w:rsidRPr="00297DBC" w:rsidRDefault="00146A6C" w:rsidP="00AB1471">
      <w:pPr>
        <w:keepNext/>
        <w:widowControl/>
        <w:ind w:firstLine="720"/>
        <w:rPr>
          <w:color w:val="FF0000"/>
          <w:sz w:val="24"/>
        </w:rPr>
      </w:pPr>
      <w:r w:rsidRPr="00270DB5">
        <w:rPr>
          <w:color w:val="000000"/>
          <w:sz w:val="24"/>
        </w:rPr>
        <w:t xml:space="preserve">Based on the respondent universe data presented in Tables 1 through 3, EPA estimates the annual incremental hour and cost burden to respondents under the </w:t>
      </w:r>
      <w:r w:rsidR="00320B53" w:rsidRPr="00270DB5">
        <w:rPr>
          <w:color w:val="000000"/>
          <w:sz w:val="24"/>
        </w:rPr>
        <w:t>Subpart</w:t>
      </w:r>
      <w:r w:rsidR="00320B53" w:rsidRPr="00320B53">
        <w:rPr>
          <w:color w:val="3333FF"/>
          <w:sz w:val="24"/>
        </w:rPr>
        <w:t xml:space="preserve"> </w:t>
      </w:r>
      <w:r w:rsidR="00320B53" w:rsidRPr="00270DB5">
        <w:rPr>
          <w:color w:val="000000"/>
          <w:sz w:val="24"/>
        </w:rPr>
        <w:lastRenderedPageBreak/>
        <w:t xml:space="preserve">K regulations </w:t>
      </w:r>
      <w:r w:rsidRPr="00270DB5">
        <w:rPr>
          <w:color w:val="000000"/>
          <w:sz w:val="24"/>
        </w:rPr>
        <w:t>in Exhibit</w:t>
      </w:r>
      <w:r>
        <w:rPr>
          <w:sz w:val="24"/>
        </w:rPr>
        <w:t xml:space="preserve"> 1.  A discussion of the assumptions used in the development of these burden estimates is presented in the following subsections.  </w:t>
      </w:r>
    </w:p>
    <w:p w:rsidR="00146A6C" w:rsidRDefault="00146A6C">
      <w:pPr>
        <w:ind w:firstLine="720"/>
        <w:rPr>
          <w:sz w:val="24"/>
        </w:rPr>
      </w:pPr>
    </w:p>
    <w:p w:rsidR="00146A6C" w:rsidRDefault="00146A6C">
      <w:pPr>
        <w:rPr>
          <w:sz w:val="24"/>
        </w:rPr>
      </w:pPr>
    </w:p>
    <w:p w:rsidR="00146A6C" w:rsidRDefault="00146A6C">
      <w:pPr>
        <w:tabs>
          <w:tab w:val="left" w:pos="720"/>
          <w:tab w:val="left" w:pos="1440"/>
        </w:tabs>
        <w:ind w:left="1440" w:hanging="720"/>
        <w:rPr>
          <w:sz w:val="24"/>
        </w:rPr>
      </w:pPr>
      <w:r>
        <w:rPr>
          <w:b/>
          <w:bCs/>
          <w:sz w:val="24"/>
        </w:rPr>
        <w:t>(a)</w:t>
      </w:r>
      <w:r>
        <w:rPr>
          <w:b/>
          <w:bCs/>
          <w:sz w:val="24"/>
        </w:rPr>
        <w:tab/>
        <w:t>Reading the Regulations</w:t>
      </w:r>
      <w:r>
        <w:rPr>
          <w:sz w:val="24"/>
        </w:rPr>
        <w:tab/>
      </w:r>
    </w:p>
    <w:p w:rsidR="00146A6C" w:rsidRDefault="00146A6C"/>
    <w:p w:rsidR="00146A6C" w:rsidRPr="00270DB5" w:rsidRDefault="00146A6C">
      <w:pPr>
        <w:ind w:firstLine="720"/>
        <w:rPr>
          <w:color w:val="000000"/>
          <w:sz w:val="24"/>
        </w:rPr>
        <w:sectPr w:rsidR="00146A6C" w:rsidRPr="00270DB5">
          <w:pgSz w:w="12240" w:h="15840"/>
          <w:pgMar w:top="1440" w:right="1800" w:bottom="1440" w:left="1800" w:header="720" w:footer="720" w:gutter="0"/>
          <w:pgNumType w:start="1"/>
          <w:cols w:space="720"/>
          <w:docGrid w:linePitch="360"/>
        </w:sectPr>
      </w:pPr>
      <w:r w:rsidRPr="00270DB5">
        <w:rPr>
          <w:color w:val="000000"/>
          <w:sz w:val="24"/>
        </w:rPr>
        <w:t xml:space="preserve">EPA estimates that eligible academic entities will opt in for </w:t>
      </w:r>
      <w:r w:rsidR="002E59E1" w:rsidRPr="00270DB5">
        <w:rPr>
          <w:color w:val="000000"/>
          <w:sz w:val="24"/>
        </w:rPr>
        <w:t>99</w:t>
      </w:r>
      <w:r w:rsidR="009C763D" w:rsidRPr="00270DB5">
        <w:rPr>
          <w:color w:val="000000"/>
          <w:sz w:val="24"/>
        </w:rPr>
        <w:t xml:space="preserve"> </w:t>
      </w:r>
      <w:r w:rsidRPr="00270DB5">
        <w:rPr>
          <w:color w:val="000000"/>
          <w:sz w:val="24"/>
        </w:rPr>
        <w:t xml:space="preserve">of their sites (i.e., </w:t>
      </w:r>
      <w:r w:rsidR="002E59E1" w:rsidRPr="00270DB5">
        <w:rPr>
          <w:color w:val="000000"/>
          <w:sz w:val="24"/>
        </w:rPr>
        <w:t xml:space="preserve">48 </w:t>
      </w:r>
      <w:r w:rsidRPr="00270DB5">
        <w:rPr>
          <w:color w:val="000000"/>
          <w:sz w:val="24"/>
        </w:rPr>
        <w:t xml:space="preserve">LQGs + </w:t>
      </w:r>
      <w:r w:rsidR="002E59E1" w:rsidRPr="00270DB5">
        <w:rPr>
          <w:color w:val="000000"/>
          <w:sz w:val="24"/>
        </w:rPr>
        <w:t xml:space="preserve">27 </w:t>
      </w:r>
      <w:r w:rsidRPr="00270DB5">
        <w:rPr>
          <w:color w:val="000000"/>
          <w:sz w:val="24"/>
        </w:rPr>
        <w:t>SQGs</w:t>
      </w:r>
      <w:r w:rsidR="002E59E1" w:rsidRPr="00270DB5">
        <w:rPr>
          <w:color w:val="000000"/>
          <w:sz w:val="24"/>
        </w:rPr>
        <w:t xml:space="preserve"> + 24 CESQGs</w:t>
      </w:r>
      <w:r w:rsidRPr="00270DB5">
        <w:rPr>
          <w:color w:val="000000"/>
          <w:sz w:val="24"/>
        </w:rPr>
        <w:t>) during the three-year life of this ICR.  EPA expects that employees at these sites will read the Subpart K regulations once during the three</w:t>
      </w:r>
      <w:r w:rsidRPr="00270DB5">
        <w:rPr>
          <w:color w:val="000000"/>
          <w:sz w:val="24"/>
        </w:rPr>
        <w:noBreakHyphen/>
        <w:t>year life of this ICR.  In estimating the annual incremental burden to respondents over the three</w:t>
      </w:r>
      <w:r w:rsidRPr="00270DB5">
        <w:rPr>
          <w:color w:val="000000"/>
          <w:sz w:val="24"/>
        </w:rPr>
        <w:noBreakHyphen/>
        <w:t>year period covered by this ICR, EPA annualized the burden of this one</w:t>
      </w:r>
      <w:r w:rsidRPr="00270DB5">
        <w:rPr>
          <w:color w:val="000000"/>
          <w:sz w:val="24"/>
        </w:rPr>
        <w:noBreakHyphen/>
        <w:t xml:space="preserve">time activity by dividing the number of respondents by three.  Thus, EPA estimates that, on average, </w:t>
      </w:r>
      <w:r w:rsidR="00282412" w:rsidRPr="00270DB5">
        <w:rPr>
          <w:color w:val="000000"/>
          <w:sz w:val="24"/>
        </w:rPr>
        <w:t>3</w:t>
      </w:r>
      <w:r w:rsidR="002E59E1" w:rsidRPr="00270DB5">
        <w:rPr>
          <w:color w:val="000000"/>
          <w:sz w:val="24"/>
        </w:rPr>
        <w:t>3</w:t>
      </w:r>
      <w:r w:rsidR="009C763D" w:rsidRPr="00270DB5">
        <w:rPr>
          <w:color w:val="000000"/>
          <w:sz w:val="24"/>
        </w:rPr>
        <w:t xml:space="preserve"> </w:t>
      </w:r>
      <w:r w:rsidRPr="00270DB5">
        <w:rPr>
          <w:color w:val="000000"/>
          <w:sz w:val="24"/>
        </w:rPr>
        <w:t xml:space="preserve">sites (i.e., </w:t>
      </w:r>
      <w:r w:rsidR="002E59E1" w:rsidRPr="00270DB5">
        <w:rPr>
          <w:color w:val="000000"/>
          <w:sz w:val="24"/>
        </w:rPr>
        <w:t>99</w:t>
      </w:r>
      <w:r w:rsidR="009C763D" w:rsidRPr="00270DB5">
        <w:rPr>
          <w:color w:val="000000"/>
          <w:sz w:val="24"/>
        </w:rPr>
        <w:t xml:space="preserve"> </w:t>
      </w:r>
      <w:r w:rsidRPr="00270DB5">
        <w:rPr>
          <w:color w:val="000000"/>
          <w:sz w:val="24"/>
        </w:rPr>
        <w:t>sites / 3 years) will read the regulations each year.</w:t>
      </w:r>
    </w:p>
    <w:p w:rsidR="00146A6C" w:rsidRDefault="00146A6C">
      <w:pPr>
        <w:ind w:firstLine="720"/>
        <w:rPr>
          <w:sz w:val="24"/>
        </w:rPr>
      </w:pPr>
    </w:p>
    <w:p w:rsidR="00146A6C" w:rsidRDefault="00146A6C">
      <w:pPr>
        <w:jc w:val="center"/>
        <w:rPr>
          <w:b/>
          <w:bCs/>
          <w:sz w:val="24"/>
        </w:rPr>
      </w:pPr>
      <w:r>
        <w:rPr>
          <w:b/>
          <w:bCs/>
          <w:sz w:val="24"/>
        </w:rPr>
        <w:t>Table 1</w:t>
      </w:r>
    </w:p>
    <w:p w:rsidR="00146A6C" w:rsidRPr="00270DB5" w:rsidRDefault="00146A6C">
      <w:pPr>
        <w:jc w:val="center"/>
        <w:rPr>
          <w:b/>
          <w:bCs/>
          <w:color w:val="000000"/>
          <w:sz w:val="24"/>
        </w:rPr>
      </w:pPr>
      <w:r w:rsidRPr="00270DB5">
        <w:rPr>
          <w:b/>
          <w:bCs/>
          <w:color w:val="000000"/>
          <w:sz w:val="24"/>
        </w:rPr>
        <w:t>Total Number of Sites at Eligible Academic Entities Opting into Subpart K</w:t>
      </w:r>
    </w:p>
    <w:p w:rsidR="00146A6C" w:rsidRPr="00270DB5" w:rsidRDefault="00146A6C">
      <w:pPr>
        <w:jc w:val="center"/>
        <w:rPr>
          <w:color w:val="000000"/>
          <w:sz w:val="22"/>
          <w:highlight w:val="yellow"/>
        </w:rPr>
      </w:pPr>
      <w:r w:rsidRPr="00270DB5">
        <w:rPr>
          <w:b/>
          <w:bCs/>
          <w:color w:val="000000"/>
          <w:sz w:val="24"/>
        </w:rPr>
        <w:t>During Three-Year Life of ICR</w:t>
      </w:r>
      <w:r w:rsidRPr="00270DB5">
        <w:rPr>
          <w:rFonts w:ascii="Times New Roman Bold" w:hAnsi="Times New Roman Bold"/>
          <w:b/>
          <w:bCs/>
          <w:color w:val="000000"/>
          <w:sz w:val="24"/>
          <w:vertAlign w:val="superscript"/>
        </w:rPr>
        <w:t>a</w:t>
      </w:r>
    </w:p>
    <w:tbl>
      <w:tblPr>
        <w:tblW w:w="13680" w:type="dxa"/>
        <w:tblInd w:w="-345" w:type="dxa"/>
        <w:tblLayout w:type="fixed"/>
        <w:tblCellMar>
          <w:left w:w="0" w:type="dxa"/>
          <w:right w:w="0" w:type="dxa"/>
        </w:tblCellMar>
        <w:tblLook w:val="0000"/>
      </w:tblPr>
      <w:tblGrid>
        <w:gridCol w:w="1214"/>
        <w:gridCol w:w="1040"/>
        <w:gridCol w:w="1300"/>
        <w:gridCol w:w="899"/>
        <w:gridCol w:w="1005"/>
        <w:gridCol w:w="1227"/>
        <w:gridCol w:w="972"/>
        <w:gridCol w:w="1005"/>
        <w:gridCol w:w="1063"/>
        <w:gridCol w:w="825"/>
        <w:gridCol w:w="970"/>
        <w:gridCol w:w="1080"/>
        <w:gridCol w:w="1080"/>
      </w:tblGrid>
      <w:tr w:rsidR="00146A6C" w:rsidRPr="00270DB5">
        <w:trPr>
          <w:cantSplit/>
          <w:trHeight w:val="240"/>
        </w:trPr>
        <w:tc>
          <w:tcPr>
            <w:tcW w:w="121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8"/>
              </w:rPr>
            </w:pPr>
            <w:r w:rsidRPr="00270DB5">
              <w:rPr>
                <w:b/>
                <w:bCs/>
                <w:color w:val="000000"/>
                <w:szCs w:val="18"/>
              </w:rPr>
              <w:t>Size</w:t>
            </w:r>
          </w:p>
        </w:tc>
        <w:tc>
          <w:tcPr>
            <w:tcW w:w="323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8"/>
              </w:rPr>
            </w:pPr>
            <w:r w:rsidRPr="00270DB5">
              <w:rPr>
                <w:b/>
                <w:bCs/>
                <w:color w:val="000000"/>
                <w:szCs w:val="18"/>
              </w:rPr>
              <w:t>LQGs</w:t>
            </w:r>
          </w:p>
        </w:tc>
        <w:tc>
          <w:tcPr>
            <w:tcW w:w="320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8"/>
              </w:rPr>
            </w:pPr>
            <w:r w:rsidRPr="00270DB5">
              <w:rPr>
                <w:b/>
                <w:bCs/>
                <w:color w:val="000000"/>
                <w:szCs w:val="18"/>
              </w:rPr>
              <w:t>SQGs</w:t>
            </w:r>
          </w:p>
        </w:tc>
        <w:tc>
          <w:tcPr>
            <w:tcW w:w="289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8"/>
              </w:rPr>
            </w:pPr>
            <w:r w:rsidRPr="00270DB5">
              <w:rPr>
                <w:b/>
                <w:bCs/>
                <w:color w:val="000000"/>
                <w:szCs w:val="18"/>
              </w:rPr>
              <w:t>CESQGs</w:t>
            </w:r>
          </w:p>
        </w:tc>
        <w:tc>
          <w:tcPr>
            <w:tcW w:w="3130"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8"/>
              </w:rPr>
            </w:pPr>
            <w:r w:rsidRPr="00270DB5">
              <w:rPr>
                <w:b/>
                <w:bCs/>
                <w:color w:val="000000"/>
                <w:szCs w:val="18"/>
              </w:rPr>
              <w:t>Total</w:t>
            </w:r>
          </w:p>
        </w:tc>
      </w:tr>
      <w:tr w:rsidR="00146A6C" w:rsidRPr="00270DB5">
        <w:trPr>
          <w:cantSplit/>
          <w:trHeight w:val="480"/>
        </w:trPr>
        <w:tc>
          <w:tcPr>
            <w:tcW w:w="1214" w:type="dxa"/>
            <w:vMerge/>
            <w:tcBorders>
              <w:top w:val="single" w:sz="4" w:space="0" w:color="auto"/>
              <w:left w:val="single" w:sz="4" w:space="0" w:color="auto"/>
              <w:bottom w:val="single" w:sz="4" w:space="0" w:color="auto"/>
              <w:right w:val="single" w:sz="4" w:space="0" w:color="auto"/>
            </w:tcBorders>
            <w:vAlign w:val="center"/>
          </w:tcPr>
          <w:p w:rsidR="00146A6C" w:rsidRPr="00270DB5" w:rsidRDefault="00146A6C">
            <w:pPr>
              <w:rPr>
                <w:rFonts w:eastAsia="Arial Unicode MS"/>
                <w:b/>
                <w:bCs/>
                <w:color w:val="000000"/>
                <w:szCs w:val="18"/>
              </w:rPr>
            </w:pPr>
          </w:p>
        </w:tc>
        <w:tc>
          <w:tcPr>
            <w:tcW w:w="1040" w:type="dxa"/>
            <w:tcBorders>
              <w:top w:val="nil"/>
              <w:left w:val="nil"/>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8"/>
              </w:rPr>
            </w:pPr>
            <w:r w:rsidRPr="00270DB5">
              <w:rPr>
                <w:b/>
                <w:bCs/>
                <w:color w:val="000000"/>
                <w:szCs w:val="18"/>
              </w:rPr>
              <w:t>with CAA</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8"/>
              </w:rPr>
            </w:pPr>
            <w:r w:rsidRPr="00270DB5">
              <w:rPr>
                <w:b/>
                <w:bCs/>
                <w:color w:val="000000"/>
                <w:szCs w:val="18"/>
              </w:rPr>
              <w:t>without CAA</w:t>
            </w:r>
          </w:p>
        </w:tc>
        <w:tc>
          <w:tcPr>
            <w:tcW w:w="899" w:type="dxa"/>
            <w:tcBorders>
              <w:top w:val="nil"/>
              <w:left w:val="nil"/>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8"/>
              </w:rPr>
            </w:pPr>
            <w:r w:rsidRPr="00270DB5">
              <w:rPr>
                <w:b/>
                <w:bCs/>
                <w:color w:val="000000"/>
                <w:szCs w:val="18"/>
              </w:rPr>
              <w:t>Total</w:t>
            </w:r>
          </w:p>
        </w:tc>
        <w:tc>
          <w:tcPr>
            <w:tcW w:w="1005" w:type="dxa"/>
            <w:tcBorders>
              <w:top w:val="nil"/>
              <w:left w:val="nil"/>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8"/>
              </w:rPr>
            </w:pPr>
            <w:r w:rsidRPr="00270DB5">
              <w:rPr>
                <w:b/>
                <w:bCs/>
                <w:color w:val="000000"/>
                <w:szCs w:val="18"/>
              </w:rPr>
              <w:t>with CAA</w:t>
            </w:r>
          </w:p>
        </w:tc>
        <w:tc>
          <w:tcPr>
            <w:tcW w:w="1227" w:type="dxa"/>
            <w:tcBorders>
              <w:top w:val="nil"/>
              <w:left w:val="nil"/>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8"/>
              </w:rPr>
            </w:pPr>
            <w:r w:rsidRPr="00270DB5">
              <w:rPr>
                <w:b/>
                <w:bCs/>
                <w:color w:val="000000"/>
                <w:szCs w:val="18"/>
              </w:rPr>
              <w:t>without CAA</w:t>
            </w:r>
          </w:p>
        </w:tc>
        <w:tc>
          <w:tcPr>
            <w:tcW w:w="972" w:type="dxa"/>
            <w:tcBorders>
              <w:top w:val="nil"/>
              <w:left w:val="nil"/>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8"/>
              </w:rPr>
            </w:pPr>
            <w:r w:rsidRPr="00270DB5">
              <w:rPr>
                <w:b/>
                <w:bCs/>
                <w:color w:val="000000"/>
                <w:szCs w:val="18"/>
              </w:rPr>
              <w:t>Total</w:t>
            </w:r>
          </w:p>
        </w:tc>
        <w:tc>
          <w:tcPr>
            <w:tcW w:w="1005" w:type="dxa"/>
            <w:tcBorders>
              <w:top w:val="nil"/>
              <w:left w:val="nil"/>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8"/>
              </w:rPr>
            </w:pPr>
            <w:r w:rsidRPr="00270DB5">
              <w:rPr>
                <w:b/>
                <w:bCs/>
                <w:color w:val="000000"/>
                <w:szCs w:val="18"/>
              </w:rPr>
              <w:t>with CAA</w:t>
            </w:r>
          </w:p>
        </w:tc>
        <w:tc>
          <w:tcPr>
            <w:tcW w:w="1063" w:type="dxa"/>
            <w:tcBorders>
              <w:top w:val="nil"/>
              <w:left w:val="nil"/>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8"/>
              </w:rPr>
            </w:pPr>
            <w:r w:rsidRPr="00270DB5">
              <w:rPr>
                <w:b/>
                <w:bCs/>
                <w:color w:val="000000"/>
                <w:szCs w:val="18"/>
              </w:rPr>
              <w:t>without CAA</w:t>
            </w:r>
          </w:p>
        </w:tc>
        <w:tc>
          <w:tcPr>
            <w:tcW w:w="825" w:type="dxa"/>
            <w:tcBorders>
              <w:top w:val="nil"/>
              <w:left w:val="nil"/>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8"/>
              </w:rPr>
            </w:pPr>
            <w:r w:rsidRPr="00270DB5">
              <w:rPr>
                <w:b/>
                <w:bCs/>
                <w:color w:val="000000"/>
                <w:szCs w:val="18"/>
              </w:rPr>
              <w:t>Total</w:t>
            </w:r>
          </w:p>
        </w:tc>
        <w:tc>
          <w:tcPr>
            <w:tcW w:w="970" w:type="dxa"/>
            <w:tcBorders>
              <w:top w:val="nil"/>
              <w:left w:val="nil"/>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8"/>
              </w:rPr>
            </w:pPr>
            <w:r w:rsidRPr="00270DB5">
              <w:rPr>
                <w:b/>
                <w:bCs/>
                <w:color w:val="000000"/>
                <w:szCs w:val="18"/>
              </w:rPr>
              <w:t>with CAA</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8"/>
              </w:rPr>
            </w:pPr>
            <w:r w:rsidRPr="00270DB5">
              <w:rPr>
                <w:b/>
                <w:bCs/>
                <w:color w:val="000000"/>
                <w:szCs w:val="18"/>
              </w:rPr>
              <w:t>without CAA</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8"/>
              </w:rPr>
            </w:pPr>
            <w:r w:rsidRPr="00270DB5">
              <w:rPr>
                <w:b/>
                <w:bCs/>
                <w:color w:val="000000"/>
                <w:szCs w:val="18"/>
              </w:rPr>
              <w:t>Total</w:t>
            </w:r>
          </w:p>
        </w:tc>
      </w:tr>
      <w:tr w:rsidR="00146A6C" w:rsidRPr="00270DB5">
        <w:trPr>
          <w:trHeight w:val="240"/>
        </w:trPr>
        <w:tc>
          <w:tcPr>
            <w:tcW w:w="13680" w:type="dxa"/>
            <w:gridSpan w:val="1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146A6C" w:rsidRPr="00270DB5" w:rsidRDefault="00146A6C">
            <w:pPr>
              <w:rPr>
                <w:rFonts w:eastAsia="Arial Unicode MS"/>
                <w:b/>
                <w:bCs/>
                <w:color w:val="000000"/>
                <w:szCs w:val="18"/>
              </w:rPr>
            </w:pPr>
            <w:r w:rsidRPr="00270DB5">
              <w:rPr>
                <w:b/>
                <w:bCs/>
                <w:color w:val="000000"/>
                <w:szCs w:val="18"/>
              </w:rPr>
              <w:t>4-Year Colleges and Universities and Non-Profit Research Institutes</w:t>
            </w:r>
          </w:p>
        </w:tc>
      </w:tr>
      <w:tr w:rsidR="00146A6C" w:rsidRPr="00270DB5">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rPr>
                <w:rFonts w:eastAsia="Arial Unicode MS"/>
                <w:color w:val="000000"/>
                <w:szCs w:val="18"/>
              </w:rPr>
            </w:pPr>
            <w:r w:rsidRPr="00270DB5">
              <w:rPr>
                <w:color w:val="000000"/>
                <w:szCs w:val="18"/>
              </w:rPr>
              <w:t>Large</w:t>
            </w:r>
            <w:r w:rsidRPr="00270DB5">
              <w:rPr>
                <w:color w:val="000000"/>
                <w:szCs w:val="18"/>
                <w:vertAlign w:val="superscript"/>
              </w:rPr>
              <w:t>b</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45</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rFonts w:eastAsia="Arial Unicode MS"/>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6EBE" w:rsidRPr="00270DB5" w:rsidRDefault="00E76EBE" w:rsidP="00E76EBE">
            <w:pPr>
              <w:jc w:val="center"/>
              <w:rPr>
                <w:color w:val="000000"/>
                <w:szCs w:val="18"/>
              </w:rPr>
            </w:pPr>
            <w:r w:rsidRPr="00270DB5">
              <w:rPr>
                <w:color w:val="000000"/>
                <w:szCs w:val="18"/>
              </w:rPr>
              <w:t>45</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BA090F">
            <w:pPr>
              <w:jc w:val="center"/>
              <w:rPr>
                <w:rFonts w:eastAsia="Arial Unicode MS"/>
                <w:color w:val="000000"/>
                <w:szCs w:val="18"/>
              </w:rPr>
            </w:pPr>
            <w:r w:rsidRPr="00270DB5">
              <w:rPr>
                <w:color w:val="000000"/>
                <w:szCs w:val="18"/>
              </w:rPr>
              <w:t>11</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BA090F">
            <w:pPr>
              <w:jc w:val="center"/>
              <w:rPr>
                <w:rFonts w:eastAsia="Arial Unicode MS"/>
                <w:color w:val="000000"/>
                <w:szCs w:val="18"/>
              </w:rPr>
            </w:pPr>
            <w:r w:rsidRPr="00270DB5">
              <w:rPr>
                <w:rFonts w:eastAsia="Arial Unicode MS"/>
                <w:color w:val="000000"/>
                <w:szCs w:val="18"/>
              </w:rPr>
              <w:t>0</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BA090F">
            <w:pPr>
              <w:jc w:val="center"/>
              <w:rPr>
                <w:rFonts w:eastAsia="Arial Unicode MS"/>
                <w:color w:val="000000"/>
                <w:szCs w:val="18"/>
              </w:rPr>
            </w:pPr>
            <w:r w:rsidRPr="00270DB5">
              <w:rPr>
                <w:color w:val="000000"/>
                <w:szCs w:val="18"/>
              </w:rPr>
              <w:t>11</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54701" w:rsidRPr="00270DB5" w:rsidRDefault="00654701" w:rsidP="00654701">
            <w:pPr>
              <w:jc w:val="center"/>
              <w:rPr>
                <w:color w:val="000000"/>
                <w:szCs w:val="18"/>
              </w:rPr>
            </w:pPr>
            <w:r w:rsidRPr="00270DB5">
              <w:rPr>
                <w:color w:val="000000"/>
                <w:szCs w:val="18"/>
              </w:rPr>
              <w:t>56</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654701">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654701">
            <w:pPr>
              <w:jc w:val="center"/>
              <w:rPr>
                <w:rFonts w:eastAsia="Arial Unicode MS"/>
                <w:color w:val="000000"/>
                <w:szCs w:val="18"/>
              </w:rPr>
            </w:pPr>
            <w:r w:rsidRPr="00270DB5">
              <w:rPr>
                <w:color w:val="000000"/>
                <w:szCs w:val="18"/>
              </w:rPr>
              <w:t>56</w:t>
            </w:r>
          </w:p>
        </w:tc>
      </w:tr>
      <w:tr w:rsidR="00146A6C" w:rsidRPr="00270DB5">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rPr>
                <w:rFonts w:eastAsia="Arial Unicode MS"/>
                <w:color w:val="000000"/>
                <w:szCs w:val="18"/>
              </w:rPr>
            </w:pPr>
            <w:r w:rsidRPr="00270DB5">
              <w:rPr>
                <w:color w:val="000000"/>
                <w:szCs w:val="18"/>
              </w:rPr>
              <w:t>Small</w:t>
            </w:r>
            <w:r w:rsidRPr="00270DB5">
              <w:rPr>
                <w:color w:val="000000"/>
                <w:szCs w:val="18"/>
                <w:vertAlign w:val="superscript"/>
              </w:rPr>
              <w:t>c</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0</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BA090F">
            <w:pPr>
              <w:jc w:val="center"/>
              <w:rPr>
                <w:rFonts w:eastAsia="Arial Unicode MS"/>
                <w:color w:val="000000"/>
                <w:szCs w:val="18"/>
              </w:rPr>
            </w:pPr>
            <w:r w:rsidRPr="00270DB5">
              <w:rPr>
                <w:color w:val="000000"/>
                <w:szCs w:val="18"/>
              </w:rPr>
              <w:t>8</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BA090F">
            <w:pPr>
              <w:jc w:val="center"/>
              <w:rPr>
                <w:rFonts w:eastAsia="Arial Unicode MS"/>
                <w:color w:val="000000"/>
                <w:szCs w:val="18"/>
              </w:rPr>
            </w:pPr>
            <w:r w:rsidRPr="00270DB5">
              <w:rPr>
                <w:color w:val="000000"/>
                <w:szCs w:val="18"/>
              </w:rPr>
              <w:t>8</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BA090F">
            <w:pPr>
              <w:jc w:val="center"/>
              <w:rPr>
                <w:rFonts w:eastAsia="Arial Unicode MS"/>
                <w:color w:val="000000"/>
                <w:szCs w:val="18"/>
              </w:rPr>
            </w:pPr>
            <w:r w:rsidRPr="00270DB5">
              <w:rPr>
                <w:color w:val="000000"/>
                <w:szCs w:val="18"/>
              </w:rPr>
              <w:t>16</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24</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24</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654701">
            <w:pPr>
              <w:jc w:val="center"/>
              <w:rPr>
                <w:rFonts w:eastAsia="Arial Unicode MS"/>
                <w:color w:val="000000"/>
                <w:szCs w:val="18"/>
              </w:rPr>
            </w:pPr>
            <w:r w:rsidRPr="00270DB5">
              <w:rPr>
                <w:color w:val="000000"/>
                <w:szCs w:val="18"/>
              </w:rPr>
              <w:t>8</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654701">
            <w:pPr>
              <w:jc w:val="center"/>
              <w:rPr>
                <w:rFonts w:eastAsia="Arial Unicode MS"/>
                <w:color w:val="000000"/>
                <w:szCs w:val="18"/>
              </w:rPr>
            </w:pPr>
            <w:r w:rsidRPr="00270DB5">
              <w:rPr>
                <w:color w:val="000000"/>
                <w:szCs w:val="18"/>
              </w:rPr>
              <w:t>32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B1ADA" w:rsidRPr="00270DB5" w:rsidRDefault="000B1ADA" w:rsidP="000B1ADA">
            <w:pPr>
              <w:jc w:val="center"/>
              <w:rPr>
                <w:color w:val="000000"/>
                <w:szCs w:val="18"/>
              </w:rPr>
            </w:pPr>
            <w:r w:rsidRPr="00270DB5">
              <w:rPr>
                <w:color w:val="000000"/>
                <w:szCs w:val="18"/>
              </w:rPr>
              <w:t>40</w:t>
            </w:r>
          </w:p>
        </w:tc>
      </w:tr>
      <w:tr w:rsidR="00146A6C" w:rsidRPr="00270DB5">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Subtotal</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45</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45</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BA090F">
            <w:pPr>
              <w:jc w:val="center"/>
              <w:rPr>
                <w:rFonts w:eastAsia="Arial Unicode MS"/>
                <w:color w:val="000000"/>
                <w:szCs w:val="18"/>
              </w:rPr>
            </w:pPr>
            <w:r w:rsidRPr="00270DB5">
              <w:rPr>
                <w:color w:val="000000"/>
                <w:szCs w:val="18"/>
              </w:rPr>
              <w:t>19</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BA090F">
            <w:pPr>
              <w:jc w:val="center"/>
              <w:rPr>
                <w:rFonts w:eastAsia="Arial Unicode MS"/>
                <w:color w:val="000000"/>
                <w:szCs w:val="18"/>
              </w:rPr>
            </w:pPr>
            <w:r w:rsidRPr="00270DB5">
              <w:rPr>
                <w:color w:val="000000"/>
                <w:szCs w:val="18"/>
              </w:rPr>
              <w:t>8</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BA090F">
            <w:pPr>
              <w:jc w:val="center"/>
              <w:rPr>
                <w:rFonts w:eastAsia="Arial Unicode MS"/>
                <w:color w:val="000000"/>
                <w:szCs w:val="18"/>
              </w:rPr>
            </w:pPr>
            <w:r w:rsidRPr="00270DB5">
              <w:rPr>
                <w:color w:val="000000"/>
                <w:szCs w:val="18"/>
              </w:rPr>
              <w:t>27</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BA090F">
            <w:pPr>
              <w:jc w:val="center"/>
              <w:rPr>
                <w:rFonts w:eastAsia="Arial Unicode MS"/>
                <w:color w:val="000000"/>
                <w:szCs w:val="18"/>
              </w:rPr>
            </w:pPr>
            <w:r w:rsidRPr="00270DB5">
              <w:rPr>
                <w:color w:val="000000"/>
                <w:szCs w:val="18"/>
              </w:rPr>
              <w:t>24</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BA090F">
            <w:pPr>
              <w:jc w:val="center"/>
              <w:rPr>
                <w:rFonts w:eastAsia="Arial Unicode MS"/>
                <w:color w:val="000000"/>
                <w:szCs w:val="18"/>
              </w:rPr>
            </w:pPr>
            <w:r w:rsidRPr="00270DB5">
              <w:rPr>
                <w:color w:val="000000"/>
                <w:szCs w:val="18"/>
              </w:rPr>
              <w:t>24</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654701">
            <w:pPr>
              <w:jc w:val="center"/>
              <w:rPr>
                <w:rFonts w:eastAsia="Arial Unicode MS"/>
                <w:color w:val="000000"/>
                <w:szCs w:val="18"/>
              </w:rPr>
            </w:pPr>
            <w:r w:rsidRPr="00270DB5">
              <w:rPr>
                <w:color w:val="000000"/>
                <w:szCs w:val="18"/>
              </w:rPr>
              <w:t>64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654701">
            <w:pPr>
              <w:jc w:val="center"/>
              <w:rPr>
                <w:rFonts w:eastAsia="Arial Unicode MS"/>
                <w:color w:val="000000"/>
                <w:szCs w:val="18"/>
              </w:rPr>
            </w:pPr>
            <w:r w:rsidRPr="00270DB5">
              <w:rPr>
                <w:color w:val="000000"/>
                <w:szCs w:val="18"/>
              </w:rPr>
              <w:t>32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654701">
            <w:pPr>
              <w:jc w:val="center"/>
              <w:rPr>
                <w:rFonts w:eastAsia="Arial Unicode MS"/>
                <w:color w:val="000000"/>
                <w:szCs w:val="18"/>
              </w:rPr>
            </w:pPr>
            <w:r w:rsidRPr="00270DB5">
              <w:rPr>
                <w:color w:val="000000"/>
                <w:szCs w:val="18"/>
              </w:rPr>
              <w:t>96</w:t>
            </w:r>
          </w:p>
        </w:tc>
      </w:tr>
      <w:tr w:rsidR="00146A6C" w:rsidRPr="00270DB5">
        <w:trPr>
          <w:trHeight w:val="240"/>
        </w:trPr>
        <w:tc>
          <w:tcPr>
            <w:tcW w:w="13680" w:type="dxa"/>
            <w:gridSpan w:val="1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146A6C" w:rsidRPr="00270DB5" w:rsidRDefault="00146A6C">
            <w:pPr>
              <w:rPr>
                <w:rFonts w:eastAsia="Arial Unicode MS"/>
                <w:b/>
                <w:bCs/>
                <w:color w:val="000000"/>
                <w:szCs w:val="18"/>
              </w:rPr>
            </w:pPr>
            <w:r w:rsidRPr="00270DB5">
              <w:rPr>
                <w:b/>
                <w:bCs/>
                <w:color w:val="000000"/>
                <w:szCs w:val="18"/>
              </w:rPr>
              <w:t>2-Year Colleges and Universities</w:t>
            </w:r>
          </w:p>
        </w:tc>
      </w:tr>
      <w:tr w:rsidR="00146A6C" w:rsidRPr="00270DB5">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rPr>
                <w:rFonts w:eastAsia="Arial Unicode MS"/>
                <w:color w:val="000000"/>
                <w:szCs w:val="18"/>
              </w:rPr>
            </w:pPr>
            <w:r w:rsidRPr="00270DB5">
              <w:rPr>
                <w:color w:val="000000"/>
                <w:szCs w:val="18"/>
              </w:rPr>
              <w:t>Large</w:t>
            </w:r>
            <w:r w:rsidRPr="00270DB5">
              <w:rPr>
                <w:color w:val="000000"/>
                <w:szCs w:val="18"/>
                <w:vertAlign w:val="superscript"/>
              </w:rPr>
              <w:t>b</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0</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654701">
            <w:pPr>
              <w:jc w:val="center"/>
              <w:rPr>
                <w:rFonts w:eastAsia="Arial Unicode MS"/>
                <w:color w:val="000000"/>
                <w:szCs w:val="18"/>
              </w:rPr>
            </w:pPr>
            <w:r w:rsidRPr="00270DB5">
              <w:rPr>
                <w:color w:val="000000"/>
                <w:szCs w:val="18"/>
              </w:rPr>
              <w:t>0</w:t>
            </w:r>
          </w:p>
        </w:tc>
      </w:tr>
      <w:tr w:rsidR="00146A6C" w:rsidRPr="00270DB5">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rPr>
                <w:rFonts w:eastAsia="Arial Unicode MS"/>
                <w:color w:val="000000"/>
                <w:szCs w:val="18"/>
              </w:rPr>
            </w:pPr>
            <w:r w:rsidRPr="00270DB5">
              <w:rPr>
                <w:color w:val="000000"/>
                <w:szCs w:val="18"/>
              </w:rPr>
              <w:t>Small</w:t>
            </w:r>
            <w:r w:rsidRPr="00270DB5">
              <w:rPr>
                <w:color w:val="000000"/>
                <w:szCs w:val="18"/>
                <w:vertAlign w:val="superscript"/>
              </w:rPr>
              <w:t>c</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0</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654701">
            <w:pPr>
              <w:jc w:val="center"/>
              <w:rPr>
                <w:rFonts w:eastAsia="Arial Unicode MS"/>
                <w:color w:val="000000"/>
                <w:szCs w:val="18"/>
              </w:rPr>
            </w:pPr>
            <w:r w:rsidRPr="00270DB5">
              <w:rPr>
                <w:color w:val="000000"/>
                <w:szCs w:val="18"/>
              </w:rPr>
              <w:t>0</w:t>
            </w:r>
          </w:p>
        </w:tc>
      </w:tr>
      <w:tr w:rsidR="00146A6C" w:rsidRPr="00270DB5">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Subtotal</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0</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654701">
            <w:pPr>
              <w:jc w:val="center"/>
              <w:rPr>
                <w:rFonts w:eastAsia="Arial Unicode MS"/>
                <w:color w:val="000000"/>
                <w:szCs w:val="18"/>
              </w:rPr>
            </w:pPr>
            <w:r w:rsidRPr="00270DB5">
              <w:rPr>
                <w:color w:val="000000"/>
                <w:szCs w:val="18"/>
              </w:rPr>
              <w:t>0</w:t>
            </w:r>
          </w:p>
        </w:tc>
      </w:tr>
      <w:tr w:rsidR="00146A6C" w:rsidRPr="00270DB5">
        <w:trPr>
          <w:trHeight w:val="240"/>
        </w:trPr>
        <w:tc>
          <w:tcPr>
            <w:tcW w:w="13680" w:type="dxa"/>
            <w:gridSpan w:val="1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146A6C" w:rsidRPr="00270DB5" w:rsidRDefault="00146A6C">
            <w:pPr>
              <w:rPr>
                <w:rFonts w:eastAsia="Arial Unicode MS"/>
                <w:b/>
                <w:bCs/>
                <w:color w:val="000000"/>
                <w:szCs w:val="18"/>
              </w:rPr>
            </w:pPr>
            <w:r w:rsidRPr="00270DB5">
              <w:rPr>
                <w:b/>
                <w:bCs/>
                <w:color w:val="000000"/>
                <w:szCs w:val="18"/>
              </w:rPr>
              <w:t>Vocation Schools</w:t>
            </w:r>
          </w:p>
        </w:tc>
      </w:tr>
      <w:tr w:rsidR="00146A6C" w:rsidRPr="00270DB5">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rPr>
                <w:rFonts w:eastAsia="Arial Unicode MS"/>
                <w:color w:val="000000"/>
                <w:szCs w:val="18"/>
              </w:rPr>
            </w:pPr>
            <w:r w:rsidRPr="00270DB5">
              <w:rPr>
                <w:color w:val="000000"/>
                <w:szCs w:val="18"/>
              </w:rPr>
              <w:t>Large</w:t>
            </w:r>
            <w:r w:rsidRPr="00270DB5">
              <w:rPr>
                <w:color w:val="000000"/>
                <w:szCs w:val="18"/>
                <w:vertAlign w:val="superscript"/>
              </w:rPr>
              <w:t>b</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0</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654701">
            <w:pPr>
              <w:jc w:val="center"/>
              <w:rPr>
                <w:rFonts w:eastAsia="Arial Unicode MS"/>
                <w:color w:val="000000"/>
                <w:szCs w:val="18"/>
              </w:rPr>
            </w:pPr>
            <w:r w:rsidRPr="00270DB5">
              <w:rPr>
                <w:color w:val="000000"/>
                <w:szCs w:val="18"/>
              </w:rPr>
              <w:t>0</w:t>
            </w:r>
          </w:p>
        </w:tc>
      </w:tr>
      <w:tr w:rsidR="00146A6C" w:rsidRPr="00270DB5">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rPr>
                <w:rFonts w:eastAsia="Arial Unicode MS"/>
                <w:color w:val="000000"/>
                <w:szCs w:val="18"/>
              </w:rPr>
            </w:pPr>
            <w:r w:rsidRPr="00270DB5">
              <w:rPr>
                <w:color w:val="000000"/>
                <w:szCs w:val="18"/>
              </w:rPr>
              <w:t>Small</w:t>
            </w:r>
            <w:r w:rsidRPr="00270DB5">
              <w:rPr>
                <w:color w:val="000000"/>
                <w:szCs w:val="18"/>
                <w:vertAlign w:val="superscript"/>
              </w:rPr>
              <w:t>c</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0</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654701">
            <w:pPr>
              <w:jc w:val="center"/>
              <w:rPr>
                <w:rFonts w:eastAsia="Arial Unicode MS"/>
                <w:color w:val="000000"/>
                <w:szCs w:val="18"/>
              </w:rPr>
            </w:pPr>
            <w:r w:rsidRPr="00270DB5">
              <w:rPr>
                <w:color w:val="000000"/>
                <w:szCs w:val="18"/>
              </w:rPr>
              <w:t>0</w:t>
            </w:r>
          </w:p>
        </w:tc>
      </w:tr>
      <w:tr w:rsidR="00146A6C" w:rsidRPr="00270DB5">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Subtotal</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0</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654701">
            <w:pPr>
              <w:jc w:val="center"/>
              <w:rPr>
                <w:rFonts w:eastAsia="Arial Unicode MS"/>
                <w:color w:val="000000"/>
                <w:szCs w:val="18"/>
              </w:rPr>
            </w:pPr>
            <w:r w:rsidRPr="00270DB5">
              <w:rPr>
                <w:color w:val="000000"/>
                <w:szCs w:val="18"/>
              </w:rPr>
              <w:t>0</w:t>
            </w:r>
          </w:p>
        </w:tc>
      </w:tr>
      <w:tr w:rsidR="00146A6C" w:rsidRPr="00270DB5">
        <w:trPr>
          <w:trHeight w:val="240"/>
        </w:trPr>
        <w:tc>
          <w:tcPr>
            <w:tcW w:w="13680" w:type="dxa"/>
            <w:gridSpan w:val="1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146A6C" w:rsidRPr="00270DB5" w:rsidRDefault="00146A6C">
            <w:pPr>
              <w:rPr>
                <w:rFonts w:eastAsia="Arial Unicode MS"/>
                <w:b/>
                <w:bCs/>
                <w:color w:val="000000"/>
                <w:szCs w:val="18"/>
              </w:rPr>
            </w:pPr>
            <w:r w:rsidRPr="00270DB5">
              <w:rPr>
                <w:b/>
                <w:bCs/>
                <w:color w:val="000000"/>
                <w:szCs w:val="18"/>
              </w:rPr>
              <w:t>Teaching Hospitals</w:t>
            </w:r>
          </w:p>
        </w:tc>
      </w:tr>
      <w:tr w:rsidR="00146A6C" w:rsidRPr="00270DB5">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rPr>
                <w:rFonts w:eastAsia="Arial Unicode MS"/>
                <w:color w:val="000000"/>
                <w:szCs w:val="18"/>
              </w:rPr>
            </w:pPr>
            <w:r w:rsidRPr="00270DB5">
              <w:rPr>
                <w:color w:val="000000"/>
                <w:szCs w:val="18"/>
              </w:rPr>
              <w:t>Very Large</w:t>
            </w:r>
            <w:r w:rsidRPr="00270DB5">
              <w:rPr>
                <w:color w:val="000000"/>
                <w:szCs w:val="18"/>
                <w:vertAlign w:val="superscript"/>
              </w:rPr>
              <w:t>d</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654701">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654701">
            <w:pPr>
              <w:jc w:val="center"/>
              <w:rPr>
                <w:rFonts w:eastAsia="Arial Unicode MS"/>
                <w:color w:val="000000"/>
                <w:szCs w:val="18"/>
              </w:rPr>
            </w:pPr>
            <w:r w:rsidRPr="00270DB5">
              <w:rPr>
                <w:color w:val="000000"/>
                <w:szCs w:val="18"/>
              </w:rPr>
              <w:t>0</w:t>
            </w:r>
          </w:p>
        </w:tc>
      </w:tr>
      <w:tr w:rsidR="00146A6C" w:rsidRPr="00270DB5">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rPr>
                <w:rFonts w:eastAsia="Arial Unicode MS"/>
                <w:color w:val="000000"/>
                <w:szCs w:val="18"/>
              </w:rPr>
            </w:pPr>
            <w:r w:rsidRPr="00270DB5">
              <w:rPr>
                <w:color w:val="000000"/>
                <w:szCs w:val="18"/>
              </w:rPr>
              <w:t>Large</w:t>
            </w:r>
            <w:r w:rsidRPr="00270DB5">
              <w:rPr>
                <w:color w:val="000000"/>
                <w:szCs w:val="18"/>
                <w:vertAlign w:val="superscript"/>
              </w:rPr>
              <w:t>e</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3</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3</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654701">
            <w:pPr>
              <w:jc w:val="center"/>
              <w:rPr>
                <w:rFonts w:eastAsia="Arial Unicode MS"/>
                <w:color w:val="000000"/>
                <w:szCs w:val="18"/>
              </w:rPr>
            </w:pPr>
            <w:r w:rsidRPr="00270DB5">
              <w:rPr>
                <w:color w:val="000000"/>
                <w:szCs w:val="18"/>
              </w:rPr>
              <w:t>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0B1ADA">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0B1ADA">
            <w:pPr>
              <w:jc w:val="center"/>
              <w:rPr>
                <w:rFonts w:eastAsia="Arial Unicode MS"/>
                <w:color w:val="000000"/>
                <w:szCs w:val="18"/>
              </w:rPr>
            </w:pPr>
            <w:r w:rsidRPr="00270DB5">
              <w:rPr>
                <w:color w:val="000000"/>
                <w:szCs w:val="18"/>
              </w:rPr>
              <w:t>3</w:t>
            </w:r>
          </w:p>
        </w:tc>
      </w:tr>
      <w:tr w:rsidR="00146A6C" w:rsidRPr="00270DB5">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rPr>
                <w:rFonts w:eastAsia="Arial Unicode MS"/>
                <w:color w:val="000000"/>
                <w:szCs w:val="18"/>
              </w:rPr>
            </w:pPr>
            <w:r w:rsidRPr="00270DB5">
              <w:rPr>
                <w:color w:val="000000"/>
                <w:szCs w:val="18"/>
              </w:rPr>
              <w:t>Small</w:t>
            </w:r>
            <w:r w:rsidRPr="00270DB5">
              <w:rPr>
                <w:color w:val="000000"/>
                <w:szCs w:val="18"/>
                <w:vertAlign w:val="superscript"/>
              </w:rPr>
              <w:t>f</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r>
      <w:tr w:rsidR="00146A6C" w:rsidRPr="00270DB5">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rPr>
                <w:rFonts w:eastAsia="Arial Unicode MS"/>
                <w:color w:val="000000"/>
                <w:szCs w:val="18"/>
              </w:rPr>
            </w:pPr>
            <w:r w:rsidRPr="00270DB5">
              <w:rPr>
                <w:color w:val="000000"/>
                <w:szCs w:val="18"/>
              </w:rPr>
              <w:t>Very Small</w:t>
            </w:r>
            <w:r w:rsidRPr="00270DB5">
              <w:rPr>
                <w:color w:val="000000"/>
                <w:szCs w:val="18"/>
                <w:vertAlign w:val="superscript"/>
              </w:rPr>
              <w:t>g</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r>
      <w:tr w:rsidR="00146A6C" w:rsidRPr="00270DB5">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Subtotal</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3</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color w:val="000000"/>
                <w:szCs w:val="18"/>
              </w:rPr>
            </w:pPr>
            <w:r w:rsidRPr="00270DB5">
              <w:rPr>
                <w:color w:val="000000"/>
                <w:szCs w:val="18"/>
              </w:rPr>
              <w:t>3</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8"/>
              </w:rPr>
            </w:pPr>
            <w:r w:rsidRPr="00270DB5">
              <w:rPr>
                <w:color w:val="000000"/>
                <w:szCs w:val="18"/>
              </w:rPr>
              <w:t>0</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654701">
            <w:pPr>
              <w:jc w:val="center"/>
              <w:rPr>
                <w:rFonts w:eastAsia="Arial Unicode MS"/>
                <w:color w:val="000000"/>
                <w:szCs w:val="18"/>
              </w:rPr>
            </w:pPr>
            <w:r w:rsidRPr="00270DB5">
              <w:rPr>
                <w:color w:val="000000"/>
                <w:szCs w:val="18"/>
              </w:rPr>
              <w:t>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0B1ADA">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0B1ADA">
            <w:pPr>
              <w:jc w:val="center"/>
              <w:rPr>
                <w:rFonts w:eastAsia="Arial Unicode MS"/>
                <w:color w:val="000000"/>
                <w:szCs w:val="18"/>
              </w:rPr>
            </w:pPr>
            <w:r w:rsidRPr="00270DB5">
              <w:rPr>
                <w:color w:val="000000"/>
                <w:szCs w:val="18"/>
              </w:rPr>
              <w:t>3</w:t>
            </w:r>
          </w:p>
        </w:tc>
      </w:tr>
      <w:tr w:rsidR="00146A6C" w:rsidRPr="00270DB5">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rPr>
                <w:rFonts w:eastAsia="Arial Unicode MS"/>
                <w:b/>
                <w:bCs/>
                <w:color w:val="000000"/>
                <w:szCs w:val="18"/>
              </w:rPr>
            </w:pPr>
            <w:r w:rsidRPr="00270DB5">
              <w:rPr>
                <w:b/>
                <w:bCs/>
                <w:color w:val="000000"/>
                <w:szCs w:val="18"/>
              </w:rPr>
              <w:t>Total</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654701">
            <w:pPr>
              <w:jc w:val="center"/>
              <w:rPr>
                <w:rFonts w:eastAsia="Arial Unicode MS"/>
                <w:b/>
                <w:bCs/>
                <w:color w:val="000000"/>
                <w:szCs w:val="18"/>
              </w:rPr>
            </w:pPr>
            <w:r w:rsidRPr="00270DB5">
              <w:rPr>
                <w:b/>
                <w:bCs/>
                <w:color w:val="000000"/>
                <w:szCs w:val="18"/>
              </w:rPr>
              <w:t>48</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E76EBE">
            <w:pPr>
              <w:jc w:val="center"/>
              <w:rPr>
                <w:rFonts w:eastAsia="Arial Unicode MS"/>
                <w:b/>
                <w:bCs/>
                <w:color w:val="000000"/>
                <w:szCs w:val="18"/>
              </w:rPr>
            </w:pPr>
            <w:r w:rsidRPr="00270DB5">
              <w:rPr>
                <w:b/>
                <w:bCs/>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654701">
            <w:pPr>
              <w:jc w:val="center"/>
              <w:rPr>
                <w:rFonts w:eastAsia="Arial Unicode MS"/>
                <w:b/>
                <w:bCs/>
                <w:color w:val="000000"/>
                <w:szCs w:val="18"/>
              </w:rPr>
            </w:pPr>
            <w:r w:rsidRPr="00270DB5">
              <w:rPr>
                <w:b/>
                <w:bCs/>
                <w:color w:val="000000"/>
                <w:szCs w:val="18"/>
              </w:rPr>
              <w:t>48</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654701">
            <w:pPr>
              <w:jc w:val="center"/>
              <w:rPr>
                <w:rFonts w:eastAsia="Arial Unicode MS"/>
                <w:b/>
                <w:bCs/>
                <w:color w:val="000000"/>
                <w:szCs w:val="18"/>
              </w:rPr>
            </w:pPr>
            <w:r w:rsidRPr="00270DB5">
              <w:rPr>
                <w:b/>
                <w:bCs/>
                <w:color w:val="000000"/>
                <w:szCs w:val="18"/>
              </w:rPr>
              <w:t>19</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654701">
            <w:pPr>
              <w:jc w:val="center"/>
              <w:rPr>
                <w:rFonts w:eastAsia="Arial Unicode MS"/>
                <w:b/>
                <w:bCs/>
                <w:color w:val="000000"/>
                <w:szCs w:val="18"/>
              </w:rPr>
            </w:pPr>
            <w:r w:rsidRPr="00270DB5">
              <w:rPr>
                <w:b/>
                <w:bCs/>
                <w:color w:val="000000"/>
                <w:szCs w:val="18"/>
              </w:rPr>
              <w:t>8</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654701">
            <w:pPr>
              <w:jc w:val="center"/>
              <w:rPr>
                <w:rFonts w:eastAsia="Arial Unicode MS"/>
                <w:b/>
                <w:bCs/>
                <w:color w:val="000000"/>
                <w:szCs w:val="18"/>
              </w:rPr>
            </w:pPr>
            <w:r w:rsidRPr="00270DB5">
              <w:rPr>
                <w:b/>
                <w:bCs/>
                <w:color w:val="000000"/>
                <w:szCs w:val="18"/>
              </w:rPr>
              <w:t>27</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b/>
                <w:bCs/>
                <w:color w:val="000000"/>
                <w:szCs w:val="18"/>
              </w:rPr>
            </w:pPr>
            <w:r w:rsidRPr="00270DB5">
              <w:rPr>
                <w:b/>
                <w:bCs/>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654701">
            <w:pPr>
              <w:jc w:val="center"/>
              <w:rPr>
                <w:rFonts w:eastAsia="Arial Unicode MS"/>
                <w:b/>
                <w:bCs/>
                <w:color w:val="000000"/>
                <w:szCs w:val="18"/>
              </w:rPr>
            </w:pPr>
            <w:r w:rsidRPr="00270DB5">
              <w:rPr>
                <w:b/>
                <w:bCs/>
                <w:color w:val="000000"/>
                <w:szCs w:val="18"/>
              </w:rPr>
              <w:t>24</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654701">
            <w:pPr>
              <w:jc w:val="center"/>
              <w:rPr>
                <w:rFonts w:eastAsia="Arial Unicode MS"/>
                <w:b/>
                <w:bCs/>
                <w:color w:val="000000"/>
                <w:szCs w:val="18"/>
              </w:rPr>
            </w:pPr>
            <w:r w:rsidRPr="00270DB5">
              <w:rPr>
                <w:b/>
                <w:bCs/>
                <w:color w:val="000000"/>
                <w:szCs w:val="18"/>
              </w:rPr>
              <w:t>24</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654701">
            <w:pPr>
              <w:jc w:val="center"/>
              <w:rPr>
                <w:rFonts w:eastAsia="Arial Unicode MS"/>
                <w:b/>
                <w:bCs/>
                <w:color w:val="000000"/>
                <w:szCs w:val="18"/>
              </w:rPr>
            </w:pPr>
            <w:r w:rsidRPr="00270DB5">
              <w:rPr>
                <w:b/>
                <w:bCs/>
                <w:color w:val="000000"/>
                <w:szCs w:val="18"/>
              </w:rPr>
              <w:t>67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0B1ADA">
            <w:pPr>
              <w:jc w:val="center"/>
              <w:rPr>
                <w:rFonts w:eastAsia="Arial Unicode MS"/>
                <w:b/>
                <w:bCs/>
                <w:color w:val="000000"/>
                <w:szCs w:val="18"/>
              </w:rPr>
            </w:pPr>
            <w:r w:rsidRPr="00270DB5">
              <w:rPr>
                <w:b/>
                <w:bCs/>
                <w:color w:val="000000"/>
                <w:szCs w:val="18"/>
              </w:rPr>
              <w:t>32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9E1" w:rsidP="002E59E1">
            <w:pPr>
              <w:jc w:val="center"/>
              <w:rPr>
                <w:rFonts w:eastAsia="Arial Unicode MS"/>
                <w:b/>
                <w:bCs/>
                <w:color w:val="000000"/>
                <w:szCs w:val="18"/>
              </w:rPr>
            </w:pPr>
            <w:r w:rsidRPr="00270DB5">
              <w:rPr>
                <w:b/>
                <w:bCs/>
                <w:color w:val="000000"/>
                <w:szCs w:val="18"/>
              </w:rPr>
              <w:t>99</w:t>
            </w:r>
          </w:p>
        </w:tc>
      </w:tr>
    </w:tbl>
    <w:p w:rsidR="00146A6C" w:rsidRPr="00270DB5" w:rsidRDefault="00146A6C">
      <w:pPr>
        <w:ind w:left="180" w:hanging="180"/>
        <w:rPr>
          <w:color w:val="000000"/>
        </w:rPr>
      </w:pPr>
      <w:r w:rsidRPr="00270DB5">
        <w:rPr>
          <w:color w:val="000000"/>
        </w:rPr>
        <w:t xml:space="preserve">a. </w:t>
      </w:r>
      <w:r w:rsidR="002D0FCF" w:rsidRPr="00270DB5">
        <w:rPr>
          <w:color w:val="000000"/>
        </w:rPr>
        <w:t>Data updated per Attachment 2 – Summary of Industry Universe Calculations.</w:t>
      </w:r>
    </w:p>
    <w:p w:rsidR="00146A6C" w:rsidRPr="00270DB5" w:rsidRDefault="00146A6C">
      <w:pPr>
        <w:ind w:left="900" w:hanging="900"/>
        <w:rPr>
          <w:color w:val="000000"/>
        </w:rPr>
      </w:pPr>
      <w:r w:rsidRPr="00270DB5">
        <w:rPr>
          <w:color w:val="000000"/>
        </w:rPr>
        <w:t>b. Defined as sites with more than 50 labs, more than 5 studios.</w:t>
      </w:r>
    </w:p>
    <w:p w:rsidR="00146A6C" w:rsidRPr="00270DB5" w:rsidRDefault="00146A6C">
      <w:pPr>
        <w:ind w:left="900" w:hanging="900"/>
        <w:rPr>
          <w:color w:val="000000"/>
        </w:rPr>
      </w:pPr>
      <w:r w:rsidRPr="00270DB5">
        <w:rPr>
          <w:color w:val="000000"/>
        </w:rPr>
        <w:t>c. Defined as sites with less than 50 labs, less than 5 studios.</w:t>
      </w:r>
    </w:p>
    <w:p w:rsidR="00146A6C" w:rsidRPr="00270DB5" w:rsidRDefault="00146A6C">
      <w:pPr>
        <w:ind w:left="900" w:hanging="900"/>
        <w:rPr>
          <w:color w:val="000000"/>
        </w:rPr>
      </w:pPr>
      <w:r w:rsidRPr="00270DB5">
        <w:rPr>
          <w:color w:val="000000"/>
        </w:rPr>
        <w:t>d. Defined as sites with more than 50 labs.</w:t>
      </w:r>
    </w:p>
    <w:p w:rsidR="00146A6C" w:rsidRPr="00270DB5" w:rsidRDefault="00146A6C">
      <w:pPr>
        <w:ind w:left="900" w:hanging="900"/>
        <w:rPr>
          <w:color w:val="000000"/>
        </w:rPr>
      </w:pPr>
      <w:r w:rsidRPr="00270DB5">
        <w:rPr>
          <w:color w:val="000000"/>
        </w:rPr>
        <w:t>e. Defined as sites with 15 labs.</w:t>
      </w:r>
    </w:p>
    <w:p w:rsidR="00146A6C" w:rsidRPr="00270DB5" w:rsidRDefault="00146A6C">
      <w:pPr>
        <w:ind w:left="900" w:hanging="900"/>
        <w:rPr>
          <w:color w:val="000000"/>
        </w:rPr>
      </w:pPr>
      <w:r w:rsidRPr="00270DB5">
        <w:rPr>
          <w:color w:val="000000"/>
        </w:rPr>
        <w:t>f. Defined as sites with 6 labs.</w:t>
      </w:r>
    </w:p>
    <w:p w:rsidR="00146A6C" w:rsidRPr="00270DB5" w:rsidRDefault="00146A6C">
      <w:pPr>
        <w:ind w:left="900" w:hanging="900"/>
        <w:rPr>
          <w:color w:val="000000"/>
        </w:rPr>
      </w:pPr>
      <w:r w:rsidRPr="00270DB5">
        <w:rPr>
          <w:color w:val="000000"/>
        </w:rPr>
        <w:t>g. Defined as sites with 2 labs.</w:t>
      </w:r>
    </w:p>
    <w:p w:rsidR="00146A6C" w:rsidRPr="00627445" w:rsidRDefault="00146A6C" w:rsidP="002E59E1">
      <w:pPr>
        <w:jc w:val="center"/>
        <w:rPr>
          <w:color w:val="3333FF"/>
        </w:rPr>
      </w:pPr>
      <w:r>
        <w:rPr>
          <w:b/>
          <w:bCs/>
          <w:sz w:val="24"/>
        </w:rPr>
        <w:br w:type="page"/>
      </w:r>
      <w:r>
        <w:rPr>
          <w:b/>
          <w:bCs/>
          <w:sz w:val="24"/>
        </w:rPr>
        <w:lastRenderedPageBreak/>
        <w:t>Table 2</w:t>
      </w:r>
    </w:p>
    <w:p w:rsidR="00146A6C" w:rsidRDefault="00146A6C">
      <w:pPr>
        <w:jc w:val="center"/>
        <w:rPr>
          <w:b/>
          <w:bCs/>
          <w:sz w:val="24"/>
        </w:rPr>
      </w:pPr>
      <w:r>
        <w:rPr>
          <w:b/>
          <w:bCs/>
          <w:sz w:val="24"/>
        </w:rPr>
        <w:t xml:space="preserve">Number of Laboratories Per Site and Number </w:t>
      </w:r>
    </w:p>
    <w:p w:rsidR="00146A6C" w:rsidRDefault="00146A6C">
      <w:pPr>
        <w:jc w:val="center"/>
        <w:rPr>
          <w:b/>
          <w:bCs/>
          <w:sz w:val="24"/>
        </w:rPr>
      </w:pPr>
      <w:r>
        <w:rPr>
          <w:b/>
          <w:bCs/>
          <w:sz w:val="24"/>
        </w:rPr>
        <w:t>of Unwanted Material Containers Per Laboratory</w:t>
      </w:r>
    </w:p>
    <w:p w:rsidR="00146A6C" w:rsidRPr="00270DB5" w:rsidRDefault="00146A6C">
      <w:pPr>
        <w:jc w:val="center"/>
        <w:rPr>
          <w:b/>
          <w:bCs/>
          <w:color w:val="000000"/>
          <w:sz w:val="24"/>
        </w:rPr>
      </w:pPr>
      <w:r w:rsidRPr="00270DB5">
        <w:rPr>
          <w:b/>
          <w:bCs/>
          <w:color w:val="000000"/>
          <w:sz w:val="24"/>
        </w:rPr>
        <w:t>(Data are presented only for sites opting into Subpart K</w:t>
      </w:r>
      <w:r w:rsidRPr="00270DB5">
        <w:rPr>
          <w:b/>
          <w:bCs/>
          <w:color w:val="000000"/>
          <w:sz w:val="24"/>
          <w:vertAlign w:val="superscript"/>
        </w:rPr>
        <w:t>a</w:t>
      </w:r>
      <w:r w:rsidRPr="00270DB5">
        <w:rPr>
          <w:b/>
          <w:bCs/>
          <w:color w:val="000000"/>
          <w:sz w:val="24"/>
        </w:rPr>
        <w:t>)</w:t>
      </w:r>
    </w:p>
    <w:p w:rsidR="00146A6C" w:rsidRPr="00270DB5" w:rsidRDefault="00146A6C">
      <w:pPr>
        <w:tabs>
          <w:tab w:val="left" w:pos="7020"/>
          <w:tab w:val="left" w:pos="9180"/>
        </w:tabs>
        <w:jc w:val="center"/>
        <w:rPr>
          <w:b/>
          <w:bCs/>
          <w:color w:val="000000"/>
        </w:rPr>
      </w:pPr>
    </w:p>
    <w:tbl>
      <w:tblPr>
        <w:tblW w:w="124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979"/>
        <w:gridCol w:w="1979"/>
        <w:gridCol w:w="1979"/>
        <w:gridCol w:w="2159"/>
        <w:gridCol w:w="1444"/>
        <w:gridCol w:w="1440"/>
      </w:tblGrid>
      <w:tr w:rsidR="00146A6C" w:rsidRPr="00270DB5">
        <w:tblPrEx>
          <w:tblCellMar>
            <w:top w:w="0" w:type="dxa"/>
            <w:bottom w:w="0" w:type="dxa"/>
          </w:tblCellMar>
        </w:tblPrEx>
        <w:trPr>
          <w:cantSplit/>
          <w:tblHeader/>
        </w:trPr>
        <w:tc>
          <w:tcPr>
            <w:tcW w:w="1440" w:type="dxa"/>
            <w:vMerge w:val="restart"/>
            <w:tcBorders>
              <w:right w:val="single" w:sz="12" w:space="0" w:color="auto"/>
            </w:tcBorders>
            <w:vAlign w:val="center"/>
          </w:tcPr>
          <w:p w:rsidR="00146A6C" w:rsidRPr="00270DB5" w:rsidRDefault="00146A6C">
            <w:pPr>
              <w:jc w:val="center"/>
              <w:rPr>
                <w:b/>
                <w:bCs/>
                <w:color w:val="000000"/>
                <w:sz w:val="22"/>
              </w:rPr>
            </w:pPr>
            <w:r w:rsidRPr="00270DB5">
              <w:rPr>
                <w:b/>
                <w:bCs/>
                <w:color w:val="000000"/>
                <w:sz w:val="22"/>
                <w:szCs w:val="18"/>
              </w:rPr>
              <w:t>Size</w:t>
            </w:r>
          </w:p>
        </w:tc>
        <w:tc>
          <w:tcPr>
            <w:tcW w:w="3960" w:type="dxa"/>
            <w:gridSpan w:val="2"/>
            <w:tcBorders>
              <w:left w:val="single" w:sz="12" w:space="0" w:color="auto"/>
              <w:right w:val="single" w:sz="12" w:space="0" w:color="auto"/>
            </w:tcBorders>
          </w:tcPr>
          <w:p w:rsidR="00146A6C" w:rsidRPr="00270DB5" w:rsidRDefault="00146A6C">
            <w:pPr>
              <w:jc w:val="center"/>
              <w:rPr>
                <w:b/>
                <w:bCs/>
                <w:color w:val="000000"/>
                <w:sz w:val="22"/>
              </w:rPr>
            </w:pPr>
            <w:r w:rsidRPr="00270DB5">
              <w:rPr>
                <w:b/>
                <w:bCs/>
                <w:color w:val="000000"/>
                <w:sz w:val="22"/>
              </w:rPr>
              <w:t>LQG</w:t>
            </w:r>
          </w:p>
        </w:tc>
        <w:tc>
          <w:tcPr>
            <w:tcW w:w="4140" w:type="dxa"/>
            <w:gridSpan w:val="2"/>
            <w:tcBorders>
              <w:left w:val="single" w:sz="12" w:space="0" w:color="auto"/>
              <w:right w:val="single" w:sz="12" w:space="0" w:color="auto"/>
            </w:tcBorders>
          </w:tcPr>
          <w:p w:rsidR="00146A6C" w:rsidRPr="00270DB5" w:rsidRDefault="00146A6C">
            <w:pPr>
              <w:jc w:val="center"/>
              <w:rPr>
                <w:b/>
                <w:bCs/>
                <w:color w:val="000000"/>
                <w:sz w:val="22"/>
              </w:rPr>
            </w:pPr>
            <w:r w:rsidRPr="00270DB5">
              <w:rPr>
                <w:b/>
                <w:bCs/>
                <w:color w:val="000000"/>
                <w:sz w:val="22"/>
              </w:rPr>
              <w:t>SQG</w:t>
            </w:r>
          </w:p>
        </w:tc>
        <w:tc>
          <w:tcPr>
            <w:tcW w:w="2880" w:type="dxa"/>
            <w:gridSpan w:val="2"/>
            <w:tcBorders>
              <w:left w:val="single" w:sz="12" w:space="0" w:color="auto"/>
            </w:tcBorders>
          </w:tcPr>
          <w:p w:rsidR="00146A6C" w:rsidRPr="00270DB5" w:rsidRDefault="00146A6C">
            <w:pPr>
              <w:jc w:val="center"/>
              <w:rPr>
                <w:b/>
                <w:bCs/>
                <w:color w:val="000000"/>
                <w:sz w:val="22"/>
              </w:rPr>
            </w:pPr>
            <w:r w:rsidRPr="00270DB5">
              <w:rPr>
                <w:b/>
                <w:bCs/>
                <w:color w:val="000000"/>
                <w:sz w:val="22"/>
              </w:rPr>
              <w:t>CESQG</w:t>
            </w:r>
          </w:p>
        </w:tc>
      </w:tr>
      <w:tr w:rsidR="00146A6C" w:rsidRPr="00270DB5">
        <w:tblPrEx>
          <w:tblCellMar>
            <w:top w:w="0" w:type="dxa"/>
            <w:bottom w:w="0" w:type="dxa"/>
          </w:tblCellMar>
        </w:tblPrEx>
        <w:trPr>
          <w:cantSplit/>
          <w:trHeight w:val="503"/>
        </w:trPr>
        <w:tc>
          <w:tcPr>
            <w:tcW w:w="1440" w:type="dxa"/>
            <w:vMerge/>
            <w:tcBorders>
              <w:right w:val="single" w:sz="12" w:space="0" w:color="auto"/>
            </w:tcBorders>
          </w:tcPr>
          <w:p w:rsidR="00146A6C" w:rsidRPr="00270DB5" w:rsidRDefault="00146A6C">
            <w:pPr>
              <w:rPr>
                <w:color w:val="000000"/>
                <w:sz w:val="22"/>
              </w:rPr>
            </w:pPr>
          </w:p>
        </w:tc>
        <w:tc>
          <w:tcPr>
            <w:tcW w:w="1980" w:type="dxa"/>
            <w:tcBorders>
              <w:left w:val="single" w:sz="12" w:space="0" w:color="auto"/>
            </w:tcBorders>
          </w:tcPr>
          <w:p w:rsidR="00146A6C" w:rsidRPr="00270DB5" w:rsidRDefault="00146A6C">
            <w:pPr>
              <w:jc w:val="center"/>
              <w:rPr>
                <w:b/>
                <w:bCs/>
                <w:color w:val="000000"/>
                <w:sz w:val="22"/>
              </w:rPr>
            </w:pPr>
            <w:r w:rsidRPr="00270DB5">
              <w:rPr>
                <w:b/>
                <w:bCs/>
                <w:color w:val="000000"/>
                <w:sz w:val="22"/>
              </w:rPr>
              <w:t>With CAA</w:t>
            </w:r>
          </w:p>
        </w:tc>
        <w:tc>
          <w:tcPr>
            <w:tcW w:w="1980" w:type="dxa"/>
            <w:tcBorders>
              <w:right w:val="single" w:sz="12" w:space="0" w:color="auto"/>
            </w:tcBorders>
          </w:tcPr>
          <w:p w:rsidR="00146A6C" w:rsidRPr="00270DB5" w:rsidRDefault="00146A6C">
            <w:pPr>
              <w:jc w:val="center"/>
              <w:rPr>
                <w:b/>
                <w:bCs/>
                <w:color w:val="000000"/>
                <w:sz w:val="22"/>
              </w:rPr>
            </w:pPr>
            <w:r w:rsidRPr="00270DB5">
              <w:rPr>
                <w:b/>
                <w:bCs/>
                <w:color w:val="000000"/>
                <w:sz w:val="22"/>
              </w:rPr>
              <w:t>Without CAA</w:t>
            </w:r>
          </w:p>
          <w:p w:rsidR="00146A6C" w:rsidRPr="00270DB5" w:rsidRDefault="00146A6C">
            <w:pPr>
              <w:jc w:val="center"/>
              <w:rPr>
                <w:b/>
                <w:bCs/>
                <w:color w:val="000000"/>
                <w:sz w:val="22"/>
              </w:rPr>
            </w:pPr>
          </w:p>
        </w:tc>
        <w:tc>
          <w:tcPr>
            <w:tcW w:w="1980" w:type="dxa"/>
            <w:tcBorders>
              <w:left w:val="single" w:sz="12" w:space="0" w:color="auto"/>
            </w:tcBorders>
          </w:tcPr>
          <w:p w:rsidR="00146A6C" w:rsidRPr="00270DB5" w:rsidRDefault="00146A6C">
            <w:pPr>
              <w:jc w:val="center"/>
              <w:rPr>
                <w:b/>
                <w:bCs/>
                <w:color w:val="000000"/>
                <w:sz w:val="22"/>
              </w:rPr>
            </w:pPr>
            <w:r w:rsidRPr="00270DB5">
              <w:rPr>
                <w:b/>
                <w:bCs/>
                <w:color w:val="000000"/>
                <w:sz w:val="22"/>
              </w:rPr>
              <w:t>With CAA</w:t>
            </w:r>
          </w:p>
        </w:tc>
        <w:tc>
          <w:tcPr>
            <w:tcW w:w="2160" w:type="dxa"/>
            <w:tcBorders>
              <w:right w:val="single" w:sz="12" w:space="0" w:color="auto"/>
            </w:tcBorders>
          </w:tcPr>
          <w:p w:rsidR="00146A6C" w:rsidRPr="00270DB5" w:rsidRDefault="00146A6C">
            <w:pPr>
              <w:jc w:val="center"/>
              <w:rPr>
                <w:b/>
                <w:bCs/>
                <w:color w:val="000000"/>
                <w:sz w:val="22"/>
              </w:rPr>
            </w:pPr>
            <w:r w:rsidRPr="00270DB5">
              <w:rPr>
                <w:b/>
                <w:bCs/>
                <w:color w:val="000000"/>
                <w:sz w:val="22"/>
              </w:rPr>
              <w:t>Without CAA</w:t>
            </w:r>
          </w:p>
          <w:p w:rsidR="00146A6C" w:rsidRPr="00270DB5" w:rsidRDefault="00146A6C">
            <w:pPr>
              <w:jc w:val="center"/>
              <w:rPr>
                <w:b/>
                <w:bCs/>
                <w:color w:val="000000"/>
                <w:sz w:val="22"/>
              </w:rPr>
            </w:pPr>
          </w:p>
        </w:tc>
        <w:tc>
          <w:tcPr>
            <w:tcW w:w="1440" w:type="dxa"/>
            <w:tcBorders>
              <w:left w:val="single" w:sz="12" w:space="0" w:color="auto"/>
            </w:tcBorders>
          </w:tcPr>
          <w:p w:rsidR="00146A6C" w:rsidRPr="00270DB5" w:rsidRDefault="00146A6C">
            <w:pPr>
              <w:jc w:val="center"/>
              <w:rPr>
                <w:b/>
                <w:bCs/>
                <w:color w:val="000000"/>
                <w:sz w:val="22"/>
              </w:rPr>
            </w:pPr>
            <w:r w:rsidRPr="00270DB5">
              <w:rPr>
                <w:b/>
                <w:bCs/>
                <w:color w:val="000000"/>
                <w:sz w:val="22"/>
              </w:rPr>
              <w:t>With CAA</w:t>
            </w:r>
          </w:p>
        </w:tc>
        <w:tc>
          <w:tcPr>
            <w:tcW w:w="1440" w:type="dxa"/>
          </w:tcPr>
          <w:p w:rsidR="00146A6C" w:rsidRPr="00270DB5" w:rsidRDefault="00146A6C">
            <w:pPr>
              <w:jc w:val="center"/>
              <w:rPr>
                <w:b/>
                <w:bCs/>
                <w:color w:val="000000"/>
                <w:sz w:val="22"/>
              </w:rPr>
            </w:pPr>
            <w:r w:rsidRPr="00270DB5">
              <w:rPr>
                <w:b/>
                <w:bCs/>
                <w:color w:val="000000"/>
                <w:sz w:val="22"/>
              </w:rPr>
              <w:t>Without CAA</w:t>
            </w:r>
          </w:p>
          <w:p w:rsidR="00146A6C" w:rsidRPr="00270DB5" w:rsidRDefault="00146A6C">
            <w:pPr>
              <w:jc w:val="center"/>
              <w:rPr>
                <w:b/>
                <w:bCs/>
                <w:color w:val="000000"/>
                <w:sz w:val="22"/>
              </w:rPr>
            </w:pPr>
          </w:p>
        </w:tc>
      </w:tr>
      <w:tr w:rsidR="00146A6C" w:rsidRPr="00270DB5">
        <w:tblPrEx>
          <w:tblCellMar>
            <w:top w:w="0" w:type="dxa"/>
            <w:bottom w:w="0" w:type="dxa"/>
          </w:tblCellMar>
        </w:tblPrEx>
        <w:tc>
          <w:tcPr>
            <w:tcW w:w="12420" w:type="dxa"/>
            <w:gridSpan w:val="7"/>
          </w:tcPr>
          <w:p w:rsidR="00146A6C" w:rsidRPr="00270DB5" w:rsidRDefault="00146A6C">
            <w:pPr>
              <w:rPr>
                <w:b/>
                <w:bCs/>
                <w:color w:val="000000"/>
                <w:sz w:val="22"/>
              </w:rPr>
            </w:pPr>
            <w:r w:rsidRPr="00270DB5">
              <w:rPr>
                <w:b/>
                <w:bCs/>
                <w:color w:val="000000"/>
                <w:sz w:val="22"/>
              </w:rPr>
              <w:t>4-Year Colleges and Universities and Non-Profit Research Institutes</w:t>
            </w:r>
          </w:p>
        </w:tc>
      </w:tr>
      <w:tr w:rsidR="00146A6C" w:rsidRPr="00270DB5">
        <w:tblPrEx>
          <w:tblCellMar>
            <w:top w:w="0" w:type="dxa"/>
            <w:bottom w:w="0" w:type="dxa"/>
          </w:tblCellMar>
        </w:tblPrEx>
        <w:trPr>
          <w:cantSplit/>
        </w:trPr>
        <w:tc>
          <w:tcPr>
            <w:tcW w:w="1440" w:type="dxa"/>
            <w:tcBorders>
              <w:right w:val="single" w:sz="12" w:space="0" w:color="auto"/>
            </w:tcBorders>
          </w:tcPr>
          <w:p w:rsidR="00146A6C" w:rsidRPr="00270DB5" w:rsidRDefault="00146A6C">
            <w:pPr>
              <w:rPr>
                <w:color w:val="000000"/>
                <w:sz w:val="22"/>
              </w:rPr>
            </w:pPr>
            <w:r w:rsidRPr="00270DB5">
              <w:rPr>
                <w:color w:val="000000"/>
                <w:sz w:val="22"/>
              </w:rPr>
              <w:t>Large</w:t>
            </w:r>
            <w:r w:rsidRPr="00270DB5">
              <w:rPr>
                <w:color w:val="000000"/>
                <w:sz w:val="22"/>
                <w:vertAlign w:val="superscript"/>
              </w:rPr>
              <w:t>b</w:t>
            </w:r>
          </w:p>
        </w:tc>
        <w:tc>
          <w:tcPr>
            <w:tcW w:w="1980" w:type="dxa"/>
            <w:tcBorders>
              <w:left w:val="single" w:sz="12" w:space="0" w:color="auto"/>
            </w:tcBorders>
            <w:vAlign w:val="center"/>
          </w:tcPr>
          <w:p w:rsidR="008156A4" w:rsidRPr="00270DB5" w:rsidRDefault="00242EF3" w:rsidP="008156A4">
            <w:pPr>
              <w:jc w:val="center"/>
              <w:rPr>
                <w:color w:val="000000"/>
                <w:sz w:val="22"/>
              </w:rPr>
            </w:pPr>
            <w:r w:rsidRPr="00270DB5">
              <w:rPr>
                <w:color w:val="000000"/>
                <w:sz w:val="22"/>
              </w:rPr>
              <w:t>850</w:t>
            </w:r>
            <w:r w:rsidR="008156A4" w:rsidRPr="00270DB5">
              <w:rPr>
                <w:color w:val="000000"/>
                <w:sz w:val="22"/>
              </w:rPr>
              <w:t xml:space="preserve"> labs and</w:t>
            </w:r>
          </w:p>
          <w:p w:rsidR="00146A6C" w:rsidRPr="00270DB5" w:rsidRDefault="00242EF3" w:rsidP="008156A4">
            <w:pPr>
              <w:jc w:val="center"/>
              <w:rPr>
                <w:color w:val="000000"/>
                <w:sz w:val="22"/>
              </w:rPr>
            </w:pPr>
            <w:r w:rsidRPr="00270DB5">
              <w:rPr>
                <w:color w:val="000000"/>
                <w:sz w:val="22"/>
              </w:rPr>
              <w:t>19</w:t>
            </w:r>
            <w:r w:rsidR="008156A4" w:rsidRPr="00270DB5">
              <w:rPr>
                <w:color w:val="000000"/>
                <w:sz w:val="22"/>
              </w:rPr>
              <w:t xml:space="preserve"> containers / lab</w:t>
            </w:r>
          </w:p>
        </w:tc>
        <w:tc>
          <w:tcPr>
            <w:tcW w:w="1980" w:type="dxa"/>
            <w:tcBorders>
              <w:right w:val="single" w:sz="12" w:space="0" w:color="auto"/>
            </w:tcBorders>
            <w:vAlign w:val="center"/>
          </w:tcPr>
          <w:p w:rsidR="00146A6C" w:rsidRPr="00270DB5" w:rsidRDefault="008156A4">
            <w:pPr>
              <w:jc w:val="center"/>
              <w:rPr>
                <w:color w:val="000000"/>
                <w:sz w:val="22"/>
              </w:rPr>
            </w:pPr>
            <w:r w:rsidRPr="00270DB5">
              <w:rPr>
                <w:color w:val="000000"/>
                <w:sz w:val="22"/>
              </w:rPr>
              <w:t>*</w:t>
            </w:r>
          </w:p>
        </w:tc>
        <w:tc>
          <w:tcPr>
            <w:tcW w:w="1980" w:type="dxa"/>
            <w:tcBorders>
              <w:left w:val="single" w:sz="12" w:space="0" w:color="auto"/>
            </w:tcBorders>
            <w:vAlign w:val="center"/>
          </w:tcPr>
          <w:p w:rsidR="00242EF3" w:rsidRPr="00270DB5" w:rsidRDefault="00242EF3" w:rsidP="00242EF3">
            <w:pPr>
              <w:jc w:val="center"/>
              <w:rPr>
                <w:color w:val="000000"/>
                <w:sz w:val="22"/>
              </w:rPr>
            </w:pPr>
            <w:r w:rsidRPr="00270DB5">
              <w:rPr>
                <w:color w:val="000000"/>
                <w:sz w:val="22"/>
              </w:rPr>
              <w:t>62 labs and</w:t>
            </w:r>
          </w:p>
          <w:p w:rsidR="00146A6C" w:rsidRPr="00270DB5" w:rsidRDefault="00242EF3" w:rsidP="00242EF3">
            <w:pPr>
              <w:jc w:val="center"/>
              <w:rPr>
                <w:color w:val="000000"/>
                <w:sz w:val="22"/>
              </w:rPr>
            </w:pPr>
            <w:r w:rsidRPr="00270DB5">
              <w:rPr>
                <w:color w:val="000000"/>
                <w:sz w:val="22"/>
              </w:rPr>
              <w:t>5 containers / lab</w:t>
            </w:r>
          </w:p>
        </w:tc>
        <w:tc>
          <w:tcPr>
            <w:tcW w:w="2160" w:type="dxa"/>
            <w:tcBorders>
              <w:right w:val="single" w:sz="12" w:space="0" w:color="auto"/>
            </w:tcBorders>
            <w:vAlign w:val="center"/>
          </w:tcPr>
          <w:p w:rsidR="00146A6C" w:rsidRPr="00270DB5" w:rsidRDefault="00242EF3">
            <w:pPr>
              <w:jc w:val="center"/>
              <w:rPr>
                <w:color w:val="000000"/>
                <w:sz w:val="22"/>
              </w:rPr>
            </w:pPr>
            <w:r w:rsidRPr="00270DB5">
              <w:rPr>
                <w:color w:val="000000"/>
                <w:sz w:val="22"/>
              </w:rPr>
              <w:t>*</w:t>
            </w:r>
          </w:p>
        </w:tc>
        <w:tc>
          <w:tcPr>
            <w:tcW w:w="1440" w:type="dxa"/>
            <w:tcBorders>
              <w:lef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1440" w:type="dxa"/>
            <w:vAlign w:val="center"/>
          </w:tcPr>
          <w:p w:rsidR="00146A6C" w:rsidRPr="00270DB5" w:rsidRDefault="00146A6C">
            <w:pPr>
              <w:jc w:val="center"/>
              <w:rPr>
                <w:color w:val="000000"/>
                <w:sz w:val="22"/>
              </w:rPr>
            </w:pPr>
            <w:r w:rsidRPr="00270DB5">
              <w:rPr>
                <w:color w:val="000000"/>
                <w:sz w:val="22"/>
              </w:rPr>
              <w:t>*</w:t>
            </w:r>
          </w:p>
        </w:tc>
      </w:tr>
      <w:tr w:rsidR="00146A6C" w:rsidRPr="00270DB5">
        <w:tblPrEx>
          <w:tblCellMar>
            <w:top w:w="0" w:type="dxa"/>
            <w:bottom w:w="0" w:type="dxa"/>
          </w:tblCellMar>
        </w:tblPrEx>
        <w:trPr>
          <w:cantSplit/>
        </w:trPr>
        <w:tc>
          <w:tcPr>
            <w:tcW w:w="1440" w:type="dxa"/>
            <w:tcBorders>
              <w:right w:val="single" w:sz="12" w:space="0" w:color="auto"/>
            </w:tcBorders>
          </w:tcPr>
          <w:p w:rsidR="00146A6C" w:rsidRPr="00270DB5" w:rsidRDefault="00146A6C">
            <w:pPr>
              <w:rPr>
                <w:color w:val="000000"/>
                <w:sz w:val="22"/>
              </w:rPr>
            </w:pPr>
            <w:r w:rsidRPr="00270DB5">
              <w:rPr>
                <w:color w:val="000000"/>
                <w:sz w:val="22"/>
              </w:rPr>
              <w:t>Small</w:t>
            </w:r>
            <w:r w:rsidRPr="00270DB5">
              <w:rPr>
                <w:color w:val="000000"/>
                <w:sz w:val="22"/>
                <w:vertAlign w:val="superscript"/>
              </w:rPr>
              <w:t>c</w:t>
            </w:r>
          </w:p>
        </w:tc>
        <w:tc>
          <w:tcPr>
            <w:tcW w:w="1980" w:type="dxa"/>
            <w:tcBorders>
              <w:left w:val="single" w:sz="12" w:space="0" w:color="auto"/>
            </w:tcBorders>
            <w:vAlign w:val="center"/>
          </w:tcPr>
          <w:p w:rsidR="00146A6C" w:rsidRPr="00270DB5" w:rsidRDefault="00242EF3">
            <w:pPr>
              <w:jc w:val="center"/>
              <w:rPr>
                <w:color w:val="000000"/>
                <w:sz w:val="22"/>
              </w:rPr>
            </w:pPr>
            <w:r w:rsidRPr="00270DB5">
              <w:rPr>
                <w:color w:val="000000"/>
                <w:sz w:val="22"/>
              </w:rPr>
              <w:t>*</w:t>
            </w:r>
          </w:p>
        </w:tc>
        <w:tc>
          <w:tcPr>
            <w:tcW w:w="1980" w:type="dxa"/>
            <w:tcBorders>
              <w:righ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1980" w:type="dxa"/>
            <w:tcBorders>
              <w:left w:val="single" w:sz="12" w:space="0" w:color="auto"/>
            </w:tcBorders>
            <w:vAlign w:val="center"/>
          </w:tcPr>
          <w:p w:rsidR="00242EF3" w:rsidRPr="00270DB5" w:rsidRDefault="00242EF3" w:rsidP="00242EF3">
            <w:pPr>
              <w:jc w:val="center"/>
              <w:rPr>
                <w:color w:val="000000"/>
                <w:sz w:val="22"/>
              </w:rPr>
            </w:pPr>
            <w:r w:rsidRPr="00270DB5">
              <w:rPr>
                <w:color w:val="000000"/>
                <w:sz w:val="22"/>
              </w:rPr>
              <w:t>18 labs and</w:t>
            </w:r>
          </w:p>
          <w:p w:rsidR="00146A6C" w:rsidRPr="00270DB5" w:rsidRDefault="00941289" w:rsidP="00242EF3">
            <w:pPr>
              <w:jc w:val="center"/>
              <w:rPr>
                <w:color w:val="000000"/>
                <w:sz w:val="22"/>
              </w:rPr>
            </w:pPr>
            <w:r w:rsidRPr="00270DB5">
              <w:rPr>
                <w:color w:val="000000"/>
                <w:sz w:val="22"/>
              </w:rPr>
              <w:t>0 containers</w:t>
            </w:r>
            <w:r w:rsidR="00242EF3" w:rsidRPr="00270DB5">
              <w:rPr>
                <w:color w:val="000000"/>
                <w:sz w:val="22"/>
              </w:rPr>
              <w:t xml:space="preserve"> / lab</w:t>
            </w:r>
          </w:p>
        </w:tc>
        <w:tc>
          <w:tcPr>
            <w:tcW w:w="2160" w:type="dxa"/>
            <w:tcBorders>
              <w:right w:val="single" w:sz="12" w:space="0" w:color="auto"/>
            </w:tcBorders>
            <w:vAlign w:val="center"/>
          </w:tcPr>
          <w:p w:rsidR="00146A6C" w:rsidRPr="00270DB5" w:rsidRDefault="00941289">
            <w:pPr>
              <w:jc w:val="center"/>
              <w:rPr>
                <w:color w:val="000000"/>
                <w:sz w:val="22"/>
              </w:rPr>
            </w:pPr>
            <w:r w:rsidRPr="00270DB5">
              <w:rPr>
                <w:color w:val="000000"/>
                <w:sz w:val="22"/>
              </w:rPr>
              <w:t>33</w:t>
            </w:r>
            <w:r w:rsidR="00146A6C" w:rsidRPr="00270DB5">
              <w:rPr>
                <w:color w:val="000000"/>
                <w:sz w:val="22"/>
              </w:rPr>
              <w:t xml:space="preserve"> labs and</w:t>
            </w:r>
          </w:p>
          <w:p w:rsidR="00146A6C" w:rsidRPr="00270DB5" w:rsidRDefault="00941289">
            <w:pPr>
              <w:jc w:val="center"/>
              <w:rPr>
                <w:color w:val="000000"/>
                <w:sz w:val="22"/>
              </w:rPr>
            </w:pPr>
            <w:r w:rsidRPr="00270DB5">
              <w:rPr>
                <w:color w:val="000000"/>
                <w:sz w:val="22"/>
              </w:rPr>
              <w:t>18</w:t>
            </w:r>
            <w:r w:rsidR="00146A6C" w:rsidRPr="00270DB5">
              <w:rPr>
                <w:color w:val="000000"/>
                <w:sz w:val="22"/>
              </w:rPr>
              <w:t xml:space="preserve"> containers / lab</w:t>
            </w:r>
          </w:p>
        </w:tc>
        <w:tc>
          <w:tcPr>
            <w:tcW w:w="1440" w:type="dxa"/>
            <w:tcBorders>
              <w:lef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1440" w:type="dxa"/>
            <w:vAlign w:val="center"/>
          </w:tcPr>
          <w:p w:rsidR="00242EF3" w:rsidRPr="00270DB5" w:rsidRDefault="00242EF3" w:rsidP="00242EF3">
            <w:pPr>
              <w:jc w:val="center"/>
              <w:rPr>
                <w:color w:val="000000"/>
                <w:sz w:val="22"/>
              </w:rPr>
            </w:pPr>
            <w:r w:rsidRPr="00270DB5">
              <w:rPr>
                <w:color w:val="000000"/>
                <w:sz w:val="22"/>
              </w:rPr>
              <w:t>10 labs and</w:t>
            </w:r>
          </w:p>
          <w:p w:rsidR="00146A6C" w:rsidRPr="00270DB5" w:rsidRDefault="00242EF3" w:rsidP="00242EF3">
            <w:pPr>
              <w:jc w:val="center"/>
              <w:rPr>
                <w:color w:val="000000"/>
                <w:sz w:val="22"/>
              </w:rPr>
            </w:pPr>
            <w:r w:rsidRPr="00270DB5">
              <w:rPr>
                <w:color w:val="000000"/>
                <w:sz w:val="22"/>
              </w:rPr>
              <w:t>22 containers / lab</w:t>
            </w:r>
          </w:p>
        </w:tc>
      </w:tr>
      <w:tr w:rsidR="00146A6C" w:rsidRPr="00270DB5">
        <w:tblPrEx>
          <w:tblCellMar>
            <w:top w:w="0" w:type="dxa"/>
            <w:bottom w:w="0" w:type="dxa"/>
          </w:tblCellMar>
        </w:tblPrEx>
        <w:trPr>
          <w:cantSplit/>
        </w:trPr>
        <w:tc>
          <w:tcPr>
            <w:tcW w:w="12420" w:type="dxa"/>
            <w:gridSpan w:val="7"/>
            <w:vAlign w:val="center"/>
          </w:tcPr>
          <w:p w:rsidR="00146A6C" w:rsidRPr="00270DB5" w:rsidRDefault="00146A6C">
            <w:pPr>
              <w:rPr>
                <w:b/>
                <w:bCs/>
                <w:color w:val="000000"/>
                <w:sz w:val="22"/>
              </w:rPr>
            </w:pPr>
            <w:r w:rsidRPr="00270DB5">
              <w:rPr>
                <w:b/>
                <w:bCs/>
                <w:color w:val="000000"/>
                <w:sz w:val="22"/>
              </w:rPr>
              <w:t>2-Year Colleges and Universities</w:t>
            </w:r>
          </w:p>
        </w:tc>
      </w:tr>
      <w:tr w:rsidR="00146A6C" w:rsidRPr="00270DB5">
        <w:tblPrEx>
          <w:tblCellMar>
            <w:top w:w="0" w:type="dxa"/>
            <w:bottom w:w="0" w:type="dxa"/>
          </w:tblCellMar>
        </w:tblPrEx>
        <w:trPr>
          <w:cantSplit/>
        </w:trPr>
        <w:tc>
          <w:tcPr>
            <w:tcW w:w="1440" w:type="dxa"/>
            <w:tcBorders>
              <w:right w:val="single" w:sz="12" w:space="0" w:color="auto"/>
            </w:tcBorders>
          </w:tcPr>
          <w:p w:rsidR="00146A6C" w:rsidRPr="00270DB5" w:rsidRDefault="00146A6C">
            <w:pPr>
              <w:rPr>
                <w:color w:val="000000"/>
                <w:sz w:val="22"/>
              </w:rPr>
            </w:pPr>
            <w:r w:rsidRPr="00270DB5">
              <w:rPr>
                <w:color w:val="000000"/>
                <w:sz w:val="22"/>
              </w:rPr>
              <w:t>Large</w:t>
            </w:r>
            <w:r w:rsidRPr="00270DB5">
              <w:rPr>
                <w:color w:val="000000"/>
                <w:sz w:val="22"/>
                <w:vertAlign w:val="superscript"/>
              </w:rPr>
              <w:t>b</w:t>
            </w:r>
          </w:p>
        </w:tc>
        <w:tc>
          <w:tcPr>
            <w:tcW w:w="1980" w:type="dxa"/>
            <w:tcBorders>
              <w:lef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1980" w:type="dxa"/>
            <w:tcBorders>
              <w:righ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1980" w:type="dxa"/>
            <w:tcBorders>
              <w:lef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2160" w:type="dxa"/>
            <w:tcBorders>
              <w:right w:val="single" w:sz="12" w:space="0" w:color="auto"/>
            </w:tcBorders>
            <w:vAlign w:val="center"/>
          </w:tcPr>
          <w:p w:rsidR="00146A6C" w:rsidRPr="00270DB5" w:rsidRDefault="00941289">
            <w:pPr>
              <w:jc w:val="center"/>
              <w:rPr>
                <w:color w:val="000000"/>
                <w:sz w:val="22"/>
              </w:rPr>
            </w:pPr>
            <w:r w:rsidRPr="00270DB5">
              <w:rPr>
                <w:color w:val="000000"/>
                <w:sz w:val="22"/>
              </w:rPr>
              <w:t>*</w:t>
            </w:r>
          </w:p>
        </w:tc>
        <w:tc>
          <w:tcPr>
            <w:tcW w:w="1440" w:type="dxa"/>
            <w:tcBorders>
              <w:lef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1440" w:type="dxa"/>
            <w:vAlign w:val="center"/>
          </w:tcPr>
          <w:p w:rsidR="00146A6C" w:rsidRPr="00270DB5" w:rsidRDefault="00146A6C">
            <w:pPr>
              <w:jc w:val="center"/>
              <w:rPr>
                <w:color w:val="000000"/>
                <w:sz w:val="22"/>
              </w:rPr>
            </w:pPr>
            <w:r w:rsidRPr="00270DB5">
              <w:rPr>
                <w:color w:val="000000"/>
                <w:sz w:val="22"/>
              </w:rPr>
              <w:t>*</w:t>
            </w:r>
          </w:p>
        </w:tc>
      </w:tr>
      <w:tr w:rsidR="00146A6C" w:rsidRPr="00270DB5">
        <w:tblPrEx>
          <w:tblCellMar>
            <w:top w:w="0" w:type="dxa"/>
            <w:bottom w:w="0" w:type="dxa"/>
          </w:tblCellMar>
        </w:tblPrEx>
        <w:trPr>
          <w:cantSplit/>
        </w:trPr>
        <w:tc>
          <w:tcPr>
            <w:tcW w:w="1440" w:type="dxa"/>
            <w:tcBorders>
              <w:right w:val="single" w:sz="12" w:space="0" w:color="auto"/>
            </w:tcBorders>
          </w:tcPr>
          <w:p w:rsidR="00146A6C" w:rsidRPr="00270DB5" w:rsidRDefault="00146A6C">
            <w:pPr>
              <w:rPr>
                <w:color w:val="000000"/>
                <w:sz w:val="22"/>
              </w:rPr>
            </w:pPr>
            <w:r w:rsidRPr="00270DB5">
              <w:rPr>
                <w:color w:val="000000"/>
                <w:sz w:val="22"/>
              </w:rPr>
              <w:t>Small</w:t>
            </w:r>
            <w:r w:rsidRPr="00270DB5">
              <w:rPr>
                <w:color w:val="000000"/>
                <w:sz w:val="22"/>
                <w:vertAlign w:val="superscript"/>
              </w:rPr>
              <w:t>c</w:t>
            </w:r>
          </w:p>
        </w:tc>
        <w:tc>
          <w:tcPr>
            <w:tcW w:w="1980" w:type="dxa"/>
            <w:tcBorders>
              <w:lef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1980" w:type="dxa"/>
            <w:tcBorders>
              <w:righ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1980" w:type="dxa"/>
            <w:tcBorders>
              <w:lef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2160" w:type="dxa"/>
            <w:tcBorders>
              <w:right w:val="single" w:sz="12" w:space="0" w:color="auto"/>
            </w:tcBorders>
            <w:vAlign w:val="center"/>
          </w:tcPr>
          <w:p w:rsidR="00146A6C" w:rsidRPr="00270DB5" w:rsidRDefault="00941289">
            <w:pPr>
              <w:jc w:val="center"/>
              <w:rPr>
                <w:color w:val="000000"/>
                <w:sz w:val="22"/>
              </w:rPr>
            </w:pPr>
            <w:r w:rsidRPr="00270DB5">
              <w:rPr>
                <w:color w:val="000000"/>
                <w:sz w:val="22"/>
              </w:rPr>
              <w:t>*</w:t>
            </w:r>
          </w:p>
        </w:tc>
        <w:tc>
          <w:tcPr>
            <w:tcW w:w="1440" w:type="dxa"/>
            <w:tcBorders>
              <w:lef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1440" w:type="dxa"/>
            <w:vAlign w:val="center"/>
          </w:tcPr>
          <w:p w:rsidR="00146A6C" w:rsidRPr="00270DB5" w:rsidRDefault="00146A6C">
            <w:pPr>
              <w:jc w:val="center"/>
              <w:rPr>
                <w:color w:val="000000"/>
                <w:sz w:val="22"/>
              </w:rPr>
            </w:pPr>
            <w:r w:rsidRPr="00270DB5">
              <w:rPr>
                <w:color w:val="000000"/>
                <w:sz w:val="22"/>
              </w:rPr>
              <w:t>*</w:t>
            </w:r>
          </w:p>
        </w:tc>
      </w:tr>
      <w:tr w:rsidR="00146A6C" w:rsidRPr="00270DB5">
        <w:tblPrEx>
          <w:tblCellMar>
            <w:top w:w="0" w:type="dxa"/>
            <w:bottom w:w="0" w:type="dxa"/>
          </w:tblCellMar>
        </w:tblPrEx>
        <w:trPr>
          <w:cantSplit/>
        </w:trPr>
        <w:tc>
          <w:tcPr>
            <w:tcW w:w="12420" w:type="dxa"/>
            <w:gridSpan w:val="7"/>
            <w:vAlign w:val="center"/>
          </w:tcPr>
          <w:p w:rsidR="00146A6C" w:rsidRPr="00270DB5" w:rsidRDefault="00146A6C">
            <w:pPr>
              <w:rPr>
                <w:b/>
                <w:bCs/>
                <w:color w:val="000000"/>
                <w:sz w:val="22"/>
              </w:rPr>
            </w:pPr>
            <w:r w:rsidRPr="00270DB5">
              <w:rPr>
                <w:b/>
                <w:bCs/>
                <w:color w:val="000000"/>
                <w:sz w:val="22"/>
              </w:rPr>
              <w:t>Vocational Schools</w:t>
            </w:r>
          </w:p>
        </w:tc>
      </w:tr>
      <w:tr w:rsidR="00146A6C" w:rsidRPr="00270DB5">
        <w:tblPrEx>
          <w:tblCellMar>
            <w:top w:w="0" w:type="dxa"/>
            <w:bottom w:w="0" w:type="dxa"/>
          </w:tblCellMar>
        </w:tblPrEx>
        <w:trPr>
          <w:cantSplit/>
        </w:trPr>
        <w:tc>
          <w:tcPr>
            <w:tcW w:w="1440" w:type="dxa"/>
            <w:tcBorders>
              <w:right w:val="single" w:sz="12" w:space="0" w:color="auto"/>
            </w:tcBorders>
          </w:tcPr>
          <w:p w:rsidR="00146A6C" w:rsidRPr="00270DB5" w:rsidRDefault="00146A6C">
            <w:pPr>
              <w:rPr>
                <w:color w:val="000000"/>
                <w:sz w:val="22"/>
              </w:rPr>
            </w:pPr>
            <w:r w:rsidRPr="00270DB5">
              <w:rPr>
                <w:color w:val="000000"/>
                <w:sz w:val="22"/>
              </w:rPr>
              <w:t>Large</w:t>
            </w:r>
            <w:r w:rsidRPr="00270DB5">
              <w:rPr>
                <w:color w:val="000000"/>
                <w:sz w:val="22"/>
                <w:vertAlign w:val="superscript"/>
              </w:rPr>
              <w:t>b</w:t>
            </w:r>
          </w:p>
        </w:tc>
        <w:tc>
          <w:tcPr>
            <w:tcW w:w="1980" w:type="dxa"/>
            <w:tcBorders>
              <w:lef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1980" w:type="dxa"/>
            <w:tcBorders>
              <w:righ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1980" w:type="dxa"/>
            <w:tcBorders>
              <w:lef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2160" w:type="dxa"/>
            <w:tcBorders>
              <w:right w:val="single" w:sz="12" w:space="0" w:color="auto"/>
            </w:tcBorders>
            <w:vAlign w:val="center"/>
          </w:tcPr>
          <w:p w:rsidR="00146A6C" w:rsidRPr="00270DB5" w:rsidRDefault="00941289">
            <w:pPr>
              <w:jc w:val="center"/>
              <w:rPr>
                <w:color w:val="000000"/>
                <w:sz w:val="22"/>
              </w:rPr>
            </w:pPr>
            <w:r w:rsidRPr="00270DB5">
              <w:rPr>
                <w:color w:val="000000"/>
                <w:sz w:val="22"/>
              </w:rPr>
              <w:t>*</w:t>
            </w:r>
          </w:p>
        </w:tc>
        <w:tc>
          <w:tcPr>
            <w:tcW w:w="1440" w:type="dxa"/>
            <w:tcBorders>
              <w:lef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1440" w:type="dxa"/>
            <w:vAlign w:val="center"/>
          </w:tcPr>
          <w:p w:rsidR="00146A6C" w:rsidRPr="00270DB5" w:rsidRDefault="00146A6C">
            <w:pPr>
              <w:jc w:val="center"/>
              <w:rPr>
                <w:color w:val="000000"/>
                <w:sz w:val="22"/>
              </w:rPr>
            </w:pPr>
            <w:r w:rsidRPr="00270DB5">
              <w:rPr>
                <w:color w:val="000000"/>
                <w:sz w:val="22"/>
              </w:rPr>
              <w:t>*</w:t>
            </w:r>
          </w:p>
        </w:tc>
      </w:tr>
      <w:tr w:rsidR="00146A6C" w:rsidRPr="00270DB5">
        <w:tblPrEx>
          <w:tblCellMar>
            <w:top w:w="0" w:type="dxa"/>
            <w:bottom w:w="0" w:type="dxa"/>
          </w:tblCellMar>
        </w:tblPrEx>
        <w:trPr>
          <w:cantSplit/>
        </w:trPr>
        <w:tc>
          <w:tcPr>
            <w:tcW w:w="1440" w:type="dxa"/>
            <w:tcBorders>
              <w:right w:val="single" w:sz="12" w:space="0" w:color="auto"/>
            </w:tcBorders>
          </w:tcPr>
          <w:p w:rsidR="00146A6C" w:rsidRPr="00270DB5" w:rsidRDefault="00146A6C">
            <w:pPr>
              <w:rPr>
                <w:color w:val="000000"/>
                <w:sz w:val="22"/>
              </w:rPr>
            </w:pPr>
            <w:r w:rsidRPr="00270DB5">
              <w:rPr>
                <w:color w:val="000000"/>
                <w:sz w:val="22"/>
              </w:rPr>
              <w:t>Small</w:t>
            </w:r>
            <w:r w:rsidRPr="00270DB5">
              <w:rPr>
                <w:color w:val="000000"/>
                <w:sz w:val="22"/>
                <w:vertAlign w:val="superscript"/>
              </w:rPr>
              <w:t>c</w:t>
            </w:r>
          </w:p>
        </w:tc>
        <w:tc>
          <w:tcPr>
            <w:tcW w:w="1980" w:type="dxa"/>
            <w:tcBorders>
              <w:lef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1980" w:type="dxa"/>
            <w:tcBorders>
              <w:righ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1980" w:type="dxa"/>
            <w:tcBorders>
              <w:lef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2160" w:type="dxa"/>
            <w:tcBorders>
              <w:right w:val="single" w:sz="12" w:space="0" w:color="auto"/>
            </w:tcBorders>
            <w:vAlign w:val="center"/>
          </w:tcPr>
          <w:p w:rsidR="00146A6C" w:rsidRPr="00270DB5" w:rsidRDefault="00941289">
            <w:pPr>
              <w:jc w:val="center"/>
              <w:rPr>
                <w:color w:val="000000"/>
                <w:sz w:val="22"/>
              </w:rPr>
            </w:pPr>
            <w:r w:rsidRPr="00270DB5">
              <w:rPr>
                <w:color w:val="000000"/>
                <w:sz w:val="22"/>
              </w:rPr>
              <w:t>*</w:t>
            </w:r>
          </w:p>
        </w:tc>
        <w:tc>
          <w:tcPr>
            <w:tcW w:w="1440" w:type="dxa"/>
            <w:tcBorders>
              <w:lef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1440" w:type="dxa"/>
            <w:vAlign w:val="center"/>
          </w:tcPr>
          <w:p w:rsidR="00146A6C" w:rsidRPr="00270DB5" w:rsidRDefault="00146A6C">
            <w:pPr>
              <w:jc w:val="center"/>
              <w:rPr>
                <w:color w:val="000000"/>
                <w:sz w:val="22"/>
              </w:rPr>
            </w:pPr>
            <w:r w:rsidRPr="00270DB5">
              <w:rPr>
                <w:color w:val="000000"/>
                <w:sz w:val="22"/>
              </w:rPr>
              <w:t>*</w:t>
            </w:r>
          </w:p>
        </w:tc>
      </w:tr>
      <w:tr w:rsidR="00146A6C" w:rsidRPr="00270DB5">
        <w:tblPrEx>
          <w:tblCellMar>
            <w:top w:w="0" w:type="dxa"/>
            <w:bottom w:w="0" w:type="dxa"/>
          </w:tblCellMar>
        </w:tblPrEx>
        <w:trPr>
          <w:cantSplit/>
        </w:trPr>
        <w:tc>
          <w:tcPr>
            <w:tcW w:w="12420" w:type="dxa"/>
            <w:gridSpan w:val="7"/>
            <w:vAlign w:val="center"/>
          </w:tcPr>
          <w:p w:rsidR="00146A6C" w:rsidRPr="00270DB5" w:rsidRDefault="00146A6C">
            <w:pPr>
              <w:jc w:val="both"/>
              <w:rPr>
                <w:b/>
                <w:bCs/>
                <w:color w:val="000000"/>
                <w:sz w:val="22"/>
              </w:rPr>
            </w:pPr>
            <w:r w:rsidRPr="00270DB5">
              <w:rPr>
                <w:b/>
                <w:bCs/>
                <w:color w:val="000000"/>
                <w:sz w:val="22"/>
              </w:rPr>
              <w:t>Teaching Hospitals</w:t>
            </w:r>
          </w:p>
        </w:tc>
      </w:tr>
      <w:tr w:rsidR="00146A6C" w:rsidRPr="00270DB5">
        <w:tblPrEx>
          <w:tblCellMar>
            <w:top w:w="0" w:type="dxa"/>
            <w:bottom w:w="0" w:type="dxa"/>
          </w:tblCellMar>
        </w:tblPrEx>
        <w:trPr>
          <w:cantSplit/>
        </w:trPr>
        <w:tc>
          <w:tcPr>
            <w:tcW w:w="1440" w:type="dxa"/>
            <w:tcBorders>
              <w:right w:val="single" w:sz="12" w:space="0" w:color="auto"/>
            </w:tcBorders>
          </w:tcPr>
          <w:p w:rsidR="00146A6C" w:rsidRPr="00270DB5" w:rsidRDefault="00146A6C">
            <w:pPr>
              <w:rPr>
                <w:color w:val="000000"/>
                <w:sz w:val="22"/>
              </w:rPr>
            </w:pPr>
            <w:r w:rsidRPr="00270DB5">
              <w:rPr>
                <w:color w:val="000000"/>
                <w:sz w:val="22"/>
              </w:rPr>
              <w:t>Very Large</w:t>
            </w:r>
            <w:r w:rsidRPr="00270DB5">
              <w:rPr>
                <w:color w:val="000000"/>
                <w:sz w:val="22"/>
                <w:vertAlign w:val="superscript"/>
              </w:rPr>
              <w:t>d</w:t>
            </w:r>
          </w:p>
        </w:tc>
        <w:tc>
          <w:tcPr>
            <w:tcW w:w="1980" w:type="dxa"/>
            <w:tcBorders>
              <w:left w:val="single" w:sz="12" w:space="0" w:color="auto"/>
            </w:tcBorders>
            <w:vAlign w:val="center"/>
          </w:tcPr>
          <w:p w:rsidR="00941289" w:rsidRPr="00270DB5" w:rsidRDefault="00941289" w:rsidP="00941289">
            <w:pPr>
              <w:jc w:val="center"/>
              <w:rPr>
                <w:color w:val="000000"/>
                <w:sz w:val="22"/>
              </w:rPr>
            </w:pPr>
            <w:r w:rsidRPr="00270DB5">
              <w:rPr>
                <w:color w:val="000000"/>
                <w:sz w:val="22"/>
              </w:rPr>
              <w:t xml:space="preserve">501 labs and </w:t>
            </w:r>
          </w:p>
          <w:p w:rsidR="00146A6C" w:rsidRPr="00270DB5" w:rsidRDefault="00941289" w:rsidP="00941289">
            <w:pPr>
              <w:jc w:val="center"/>
              <w:rPr>
                <w:color w:val="000000"/>
                <w:sz w:val="22"/>
              </w:rPr>
            </w:pPr>
            <w:r w:rsidRPr="00270DB5">
              <w:rPr>
                <w:color w:val="000000"/>
                <w:sz w:val="22"/>
              </w:rPr>
              <w:t>34 containers / lab</w:t>
            </w:r>
          </w:p>
        </w:tc>
        <w:tc>
          <w:tcPr>
            <w:tcW w:w="1980" w:type="dxa"/>
            <w:tcBorders>
              <w:right w:val="single" w:sz="12" w:space="0" w:color="auto"/>
            </w:tcBorders>
            <w:vAlign w:val="center"/>
          </w:tcPr>
          <w:p w:rsidR="00146A6C" w:rsidRPr="00270DB5" w:rsidRDefault="00941289">
            <w:pPr>
              <w:jc w:val="center"/>
              <w:rPr>
                <w:color w:val="000000"/>
                <w:sz w:val="22"/>
              </w:rPr>
            </w:pPr>
            <w:r w:rsidRPr="00270DB5">
              <w:rPr>
                <w:color w:val="000000"/>
                <w:sz w:val="22"/>
              </w:rPr>
              <w:t>*</w:t>
            </w:r>
          </w:p>
        </w:tc>
        <w:tc>
          <w:tcPr>
            <w:tcW w:w="1980" w:type="dxa"/>
            <w:tcBorders>
              <w:lef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2160" w:type="dxa"/>
            <w:tcBorders>
              <w:righ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1440" w:type="dxa"/>
            <w:tcBorders>
              <w:lef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1440" w:type="dxa"/>
            <w:vAlign w:val="center"/>
          </w:tcPr>
          <w:p w:rsidR="00146A6C" w:rsidRPr="00270DB5" w:rsidRDefault="00146A6C">
            <w:pPr>
              <w:jc w:val="center"/>
              <w:rPr>
                <w:color w:val="000000"/>
                <w:sz w:val="22"/>
              </w:rPr>
            </w:pPr>
            <w:r w:rsidRPr="00270DB5">
              <w:rPr>
                <w:color w:val="000000"/>
                <w:sz w:val="22"/>
              </w:rPr>
              <w:t>*</w:t>
            </w:r>
          </w:p>
        </w:tc>
      </w:tr>
      <w:tr w:rsidR="00146A6C" w:rsidRPr="00270DB5">
        <w:tblPrEx>
          <w:tblCellMar>
            <w:top w:w="0" w:type="dxa"/>
            <w:bottom w:w="0" w:type="dxa"/>
          </w:tblCellMar>
        </w:tblPrEx>
        <w:trPr>
          <w:cantSplit/>
        </w:trPr>
        <w:tc>
          <w:tcPr>
            <w:tcW w:w="1440" w:type="dxa"/>
            <w:tcBorders>
              <w:right w:val="single" w:sz="12" w:space="0" w:color="auto"/>
            </w:tcBorders>
          </w:tcPr>
          <w:p w:rsidR="00146A6C" w:rsidRPr="00270DB5" w:rsidRDefault="00146A6C">
            <w:pPr>
              <w:rPr>
                <w:color w:val="000000"/>
                <w:sz w:val="22"/>
              </w:rPr>
            </w:pPr>
            <w:r w:rsidRPr="00270DB5">
              <w:rPr>
                <w:color w:val="000000"/>
                <w:sz w:val="22"/>
              </w:rPr>
              <w:t>Large</w:t>
            </w:r>
            <w:r w:rsidRPr="00270DB5">
              <w:rPr>
                <w:color w:val="000000"/>
                <w:sz w:val="22"/>
                <w:vertAlign w:val="superscript"/>
              </w:rPr>
              <w:t>e</w:t>
            </w:r>
          </w:p>
        </w:tc>
        <w:tc>
          <w:tcPr>
            <w:tcW w:w="1980" w:type="dxa"/>
            <w:tcBorders>
              <w:left w:val="single" w:sz="12" w:space="0" w:color="auto"/>
            </w:tcBorders>
            <w:vAlign w:val="center"/>
          </w:tcPr>
          <w:p w:rsidR="00146A6C" w:rsidRPr="00270DB5" w:rsidRDefault="00146A6C">
            <w:pPr>
              <w:jc w:val="center"/>
              <w:rPr>
                <w:color w:val="000000"/>
                <w:sz w:val="22"/>
              </w:rPr>
            </w:pPr>
            <w:r w:rsidRPr="00270DB5">
              <w:rPr>
                <w:color w:val="000000"/>
                <w:sz w:val="22"/>
              </w:rPr>
              <w:t xml:space="preserve">15 labs and </w:t>
            </w:r>
          </w:p>
          <w:p w:rsidR="00146A6C" w:rsidRPr="00270DB5" w:rsidRDefault="00146A6C">
            <w:pPr>
              <w:jc w:val="center"/>
              <w:rPr>
                <w:color w:val="000000"/>
                <w:sz w:val="22"/>
              </w:rPr>
            </w:pPr>
            <w:r w:rsidRPr="00270DB5">
              <w:rPr>
                <w:color w:val="000000"/>
                <w:sz w:val="22"/>
              </w:rPr>
              <w:t>50 containers / lab</w:t>
            </w:r>
          </w:p>
        </w:tc>
        <w:tc>
          <w:tcPr>
            <w:tcW w:w="1980" w:type="dxa"/>
            <w:tcBorders>
              <w:right w:val="single" w:sz="12" w:space="0" w:color="auto"/>
            </w:tcBorders>
            <w:vAlign w:val="center"/>
          </w:tcPr>
          <w:p w:rsidR="00146A6C" w:rsidRPr="00270DB5" w:rsidRDefault="00941289">
            <w:pPr>
              <w:jc w:val="center"/>
              <w:rPr>
                <w:color w:val="000000"/>
                <w:sz w:val="22"/>
              </w:rPr>
            </w:pPr>
            <w:r w:rsidRPr="00270DB5">
              <w:rPr>
                <w:color w:val="000000"/>
                <w:sz w:val="22"/>
              </w:rPr>
              <w:t>*</w:t>
            </w:r>
          </w:p>
        </w:tc>
        <w:tc>
          <w:tcPr>
            <w:tcW w:w="1980" w:type="dxa"/>
            <w:tcBorders>
              <w:lef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2160" w:type="dxa"/>
            <w:tcBorders>
              <w:righ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1440" w:type="dxa"/>
            <w:tcBorders>
              <w:lef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1440" w:type="dxa"/>
            <w:tcBorders>
              <w:bottom w:val="single" w:sz="4" w:space="0" w:color="auto"/>
            </w:tcBorders>
            <w:vAlign w:val="center"/>
          </w:tcPr>
          <w:p w:rsidR="00146A6C" w:rsidRPr="00270DB5" w:rsidRDefault="00146A6C">
            <w:pPr>
              <w:jc w:val="center"/>
              <w:rPr>
                <w:color w:val="000000"/>
                <w:sz w:val="22"/>
              </w:rPr>
            </w:pPr>
            <w:r w:rsidRPr="00270DB5">
              <w:rPr>
                <w:color w:val="000000"/>
                <w:sz w:val="22"/>
              </w:rPr>
              <w:t>*</w:t>
            </w:r>
          </w:p>
        </w:tc>
      </w:tr>
      <w:tr w:rsidR="00146A6C" w:rsidRPr="00270DB5">
        <w:tblPrEx>
          <w:tblCellMar>
            <w:top w:w="0" w:type="dxa"/>
            <w:bottom w:w="0" w:type="dxa"/>
          </w:tblCellMar>
        </w:tblPrEx>
        <w:trPr>
          <w:cantSplit/>
        </w:trPr>
        <w:tc>
          <w:tcPr>
            <w:tcW w:w="1440" w:type="dxa"/>
            <w:tcBorders>
              <w:right w:val="single" w:sz="12" w:space="0" w:color="auto"/>
            </w:tcBorders>
          </w:tcPr>
          <w:p w:rsidR="00146A6C" w:rsidRPr="00270DB5" w:rsidRDefault="00146A6C">
            <w:pPr>
              <w:rPr>
                <w:color w:val="000000"/>
                <w:sz w:val="22"/>
              </w:rPr>
            </w:pPr>
            <w:r w:rsidRPr="00270DB5">
              <w:rPr>
                <w:color w:val="000000"/>
                <w:sz w:val="22"/>
              </w:rPr>
              <w:t>Small</w:t>
            </w:r>
            <w:r w:rsidRPr="00270DB5">
              <w:rPr>
                <w:color w:val="000000"/>
                <w:sz w:val="22"/>
                <w:vertAlign w:val="superscript"/>
              </w:rPr>
              <w:t>f</w:t>
            </w:r>
          </w:p>
        </w:tc>
        <w:tc>
          <w:tcPr>
            <w:tcW w:w="1980" w:type="dxa"/>
            <w:tcBorders>
              <w:lef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1980" w:type="dxa"/>
            <w:tcBorders>
              <w:righ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1980" w:type="dxa"/>
            <w:tcBorders>
              <w:left w:val="single" w:sz="12" w:space="0" w:color="auto"/>
            </w:tcBorders>
            <w:vAlign w:val="center"/>
          </w:tcPr>
          <w:p w:rsidR="00941289" w:rsidRPr="00270DB5" w:rsidRDefault="00941289" w:rsidP="00941289">
            <w:pPr>
              <w:jc w:val="center"/>
              <w:rPr>
                <w:color w:val="000000"/>
                <w:sz w:val="22"/>
              </w:rPr>
            </w:pPr>
            <w:r w:rsidRPr="00270DB5">
              <w:rPr>
                <w:color w:val="000000"/>
                <w:sz w:val="22"/>
              </w:rPr>
              <w:t xml:space="preserve">6 labs and </w:t>
            </w:r>
          </w:p>
          <w:p w:rsidR="00146A6C" w:rsidRPr="00270DB5" w:rsidRDefault="00941289" w:rsidP="00941289">
            <w:pPr>
              <w:jc w:val="center"/>
              <w:rPr>
                <w:color w:val="000000"/>
                <w:sz w:val="22"/>
              </w:rPr>
            </w:pPr>
            <w:r w:rsidRPr="00270DB5">
              <w:rPr>
                <w:color w:val="000000"/>
                <w:sz w:val="22"/>
              </w:rPr>
              <w:t>7 containers / lab</w:t>
            </w:r>
          </w:p>
        </w:tc>
        <w:tc>
          <w:tcPr>
            <w:tcW w:w="2156" w:type="dxa"/>
            <w:tcBorders>
              <w:right w:val="single" w:sz="12" w:space="0" w:color="auto"/>
            </w:tcBorders>
            <w:vAlign w:val="center"/>
          </w:tcPr>
          <w:p w:rsidR="00941289" w:rsidRPr="00270DB5" w:rsidRDefault="00941289" w:rsidP="00941289">
            <w:pPr>
              <w:jc w:val="center"/>
              <w:rPr>
                <w:color w:val="000000"/>
                <w:sz w:val="22"/>
              </w:rPr>
            </w:pPr>
            <w:r w:rsidRPr="00270DB5">
              <w:rPr>
                <w:color w:val="000000"/>
                <w:sz w:val="22"/>
              </w:rPr>
              <w:t xml:space="preserve">6 labs and </w:t>
            </w:r>
          </w:p>
          <w:p w:rsidR="00146A6C" w:rsidRPr="00270DB5" w:rsidRDefault="00941289" w:rsidP="00941289">
            <w:pPr>
              <w:jc w:val="center"/>
              <w:rPr>
                <w:color w:val="000000"/>
                <w:sz w:val="22"/>
              </w:rPr>
            </w:pPr>
            <w:r w:rsidRPr="00270DB5">
              <w:rPr>
                <w:color w:val="000000"/>
                <w:sz w:val="22"/>
              </w:rPr>
              <w:t>7 containers / lab</w:t>
            </w:r>
          </w:p>
        </w:tc>
        <w:tc>
          <w:tcPr>
            <w:tcW w:w="1444" w:type="dxa"/>
            <w:tcBorders>
              <w:lef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1440" w:type="dxa"/>
            <w:tcBorders>
              <w:right w:val="single" w:sz="4" w:space="0" w:color="auto"/>
            </w:tcBorders>
            <w:vAlign w:val="center"/>
          </w:tcPr>
          <w:p w:rsidR="00B028B2" w:rsidRPr="00270DB5" w:rsidRDefault="00B028B2" w:rsidP="00B028B2">
            <w:pPr>
              <w:jc w:val="center"/>
              <w:rPr>
                <w:color w:val="000000"/>
                <w:sz w:val="22"/>
              </w:rPr>
            </w:pPr>
            <w:r w:rsidRPr="00270DB5">
              <w:rPr>
                <w:color w:val="000000"/>
                <w:sz w:val="22"/>
              </w:rPr>
              <w:t xml:space="preserve">2 labs and </w:t>
            </w:r>
          </w:p>
          <w:p w:rsidR="00146A6C" w:rsidRPr="00270DB5" w:rsidRDefault="00B028B2" w:rsidP="00B028B2">
            <w:pPr>
              <w:jc w:val="center"/>
              <w:rPr>
                <w:color w:val="000000"/>
                <w:sz w:val="22"/>
              </w:rPr>
            </w:pPr>
            <w:r w:rsidRPr="00270DB5">
              <w:rPr>
                <w:color w:val="000000"/>
                <w:sz w:val="22"/>
              </w:rPr>
              <w:t>5 containers / lab</w:t>
            </w:r>
          </w:p>
        </w:tc>
      </w:tr>
      <w:tr w:rsidR="00146A6C" w:rsidRPr="00270DB5">
        <w:tblPrEx>
          <w:tblCellMar>
            <w:top w:w="0" w:type="dxa"/>
            <w:bottom w:w="0" w:type="dxa"/>
          </w:tblCellMar>
        </w:tblPrEx>
        <w:trPr>
          <w:cantSplit/>
        </w:trPr>
        <w:tc>
          <w:tcPr>
            <w:tcW w:w="1440" w:type="dxa"/>
            <w:tcBorders>
              <w:right w:val="single" w:sz="12" w:space="0" w:color="auto"/>
            </w:tcBorders>
          </w:tcPr>
          <w:p w:rsidR="00146A6C" w:rsidRPr="00270DB5" w:rsidRDefault="00146A6C">
            <w:pPr>
              <w:rPr>
                <w:color w:val="000000"/>
                <w:sz w:val="22"/>
              </w:rPr>
            </w:pPr>
            <w:r w:rsidRPr="00270DB5">
              <w:rPr>
                <w:color w:val="000000"/>
                <w:sz w:val="22"/>
              </w:rPr>
              <w:t>Very Small</w:t>
            </w:r>
            <w:r w:rsidRPr="00270DB5">
              <w:rPr>
                <w:color w:val="000000"/>
                <w:sz w:val="22"/>
                <w:vertAlign w:val="superscript"/>
              </w:rPr>
              <w:t>g</w:t>
            </w:r>
          </w:p>
        </w:tc>
        <w:tc>
          <w:tcPr>
            <w:tcW w:w="1980" w:type="dxa"/>
            <w:tcBorders>
              <w:lef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1980" w:type="dxa"/>
            <w:tcBorders>
              <w:righ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1980" w:type="dxa"/>
            <w:tcBorders>
              <w:lef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2156" w:type="dxa"/>
            <w:tcBorders>
              <w:righ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1444" w:type="dxa"/>
            <w:tcBorders>
              <w:left w:val="single" w:sz="12" w:space="0" w:color="auto"/>
            </w:tcBorders>
            <w:vAlign w:val="center"/>
          </w:tcPr>
          <w:p w:rsidR="00146A6C" w:rsidRPr="00270DB5" w:rsidRDefault="00146A6C">
            <w:pPr>
              <w:jc w:val="center"/>
              <w:rPr>
                <w:color w:val="000000"/>
                <w:sz w:val="22"/>
              </w:rPr>
            </w:pPr>
            <w:r w:rsidRPr="00270DB5">
              <w:rPr>
                <w:color w:val="000000"/>
                <w:sz w:val="22"/>
              </w:rPr>
              <w:t>*</w:t>
            </w:r>
          </w:p>
        </w:tc>
        <w:tc>
          <w:tcPr>
            <w:tcW w:w="1440" w:type="dxa"/>
            <w:tcBorders>
              <w:right w:val="single" w:sz="4" w:space="0" w:color="auto"/>
            </w:tcBorders>
            <w:vAlign w:val="center"/>
          </w:tcPr>
          <w:p w:rsidR="00146A6C" w:rsidRPr="00270DB5" w:rsidRDefault="00146A6C">
            <w:pPr>
              <w:jc w:val="center"/>
              <w:rPr>
                <w:color w:val="000000"/>
                <w:sz w:val="22"/>
              </w:rPr>
            </w:pPr>
            <w:r w:rsidRPr="00270DB5">
              <w:rPr>
                <w:color w:val="000000"/>
                <w:sz w:val="22"/>
              </w:rPr>
              <w:t>*</w:t>
            </w:r>
          </w:p>
        </w:tc>
      </w:tr>
    </w:tbl>
    <w:p w:rsidR="002F0677" w:rsidRPr="00270DB5" w:rsidRDefault="00146A6C" w:rsidP="002F0677">
      <w:pPr>
        <w:ind w:left="180" w:firstLine="360"/>
        <w:rPr>
          <w:color w:val="000000"/>
        </w:rPr>
      </w:pPr>
      <w:r w:rsidRPr="00270DB5">
        <w:rPr>
          <w:color w:val="000000"/>
        </w:rPr>
        <w:t xml:space="preserve">a. </w:t>
      </w:r>
      <w:r w:rsidR="002F0677" w:rsidRPr="00270DB5">
        <w:rPr>
          <w:color w:val="000000"/>
        </w:rPr>
        <w:t xml:space="preserve">Data updated per Attachment </w:t>
      </w:r>
      <w:r w:rsidR="001B59FA" w:rsidRPr="00270DB5">
        <w:rPr>
          <w:color w:val="000000"/>
        </w:rPr>
        <w:t>1</w:t>
      </w:r>
      <w:r w:rsidR="002F0677" w:rsidRPr="00270DB5">
        <w:rPr>
          <w:color w:val="000000"/>
        </w:rPr>
        <w:t xml:space="preserve"> – </w:t>
      </w:r>
      <w:r w:rsidR="001B59FA" w:rsidRPr="00270DB5">
        <w:rPr>
          <w:color w:val="000000"/>
        </w:rPr>
        <w:t>Burden Estimate Methodology</w:t>
      </w:r>
      <w:r w:rsidR="002F0677" w:rsidRPr="00270DB5">
        <w:rPr>
          <w:color w:val="000000"/>
        </w:rPr>
        <w:t>.</w:t>
      </w:r>
    </w:p>
    <w:p w:rsidR="00146A6C" w:rsidRPr="00270DB5" w:rsidRDefault="00146A6C">
      <w:pPr>
        <w:ind w:left="900" w:hanging="360"/>
        <w:rPr>
          <w:color w:val="000000"/>
        </w:rPr>
      </w:pPr>
      <w:r w:rsidRPr="00270DB5">
        <w:rPr>
          <w:color w:val="000000"/>
        </w:rPr>
        <w:t>b. Defined as sites with more than 50 labs, more than 5 studios.</w:t>
      </w:r>
    </w:p>
    <w:p w:rsidR="00146A6C" w:rsidRPr="00270DB5" w:rsidRDefault="00146A6C">
      <w:pPr>
        <w:ind w:left="900" w:hanging="360"/>
        <w:rPr>
          <w:color w:val="000000"/>
        </w:rPr>
      </w:pPr>
      <w:r w:rsidRPr="00270DB5">
        <w:rPr>
          <w:color w:val="000000"/>
        </w:rPr>
        <w:t>c. Defined as sites with less than 50 labs, less than 5 studios.</w:t>
      </w:r>
    </w:p>
    <w:p w:rsidR="00146A6C" w:rsidRDefault="00146A6C">
      <w:pPr>
        <w:ind w:left="900" w:hanging="360"/>
      </w:pPr>
      <w:r>
        <w:t>d. Defined as sites with more than 50 labs.</w:t>
      </w:r>
    </w:p>
    <w:p w:rsidR="00146A6C" w:rsidRDefault="00146A6C">
      <w:pPr>
        <w:ind w:left="900" w:hanging="360"/>
      </w:pPr>
      <w:r>
        <w:t>e. Defined as sites with 15 labs.</w:t>
      </w:r>
    </w:p>
    <w:p w:rsidR="00146A6C" w:rsidRDefault="00146A6C">
      <w:pPr>
        <w:ind w:left="900" w:hanging="360"/>
      </w:pPr>
      <w:r>
        <w:t>f. Defined as sites with 6 labs.</w:t>
      </w:r>
    </w:p>
    <w:p w:rsidR="00146A6C" w:rsidRDefault="00146A6C">
      <w:pPr>
        <w:ind w:left="900" w:hanging="360"/>
      </w:pPr>
      <w:r>
        <w:t>g. Defined as sites with 2 labs.</w:t>
      </w:r>
    </w:p>
    <w:p w:rsidR="00146A6C" w:rsidRDefault="00146A6C">
      <w:pPr>
        <w:ind w:left="1440"/>
        <w:rPr>
          <w:b/>
          <w:bCs/>
          <w:sz w:val="22"/>
        </w:rPr>
      </w:pPr>
    </w:p>
    <w:p w:rsidR="00146A6C" w:rsidRDefault="00146A6C">
      <w:pPr>
        <w:ind w:left="1440"/>
        <w:rPr>
          <w:b/>
          <w:bCs/>
        </w:rPr>
      </w:pPr>
    </w:p>
    <w:p w:rsidR="00CC1943" w:rsidRDefault="00CC1943">
      <w:pPr>
        <w:jc w:val="center"/>
        <w:rPr>
          <w:b/>
          <w:bCs/>
          <w:sz w:val="24"/>
        </w:rPr>
      </w:pPr>
    </w:p>
    <w:p w:rsidR="00146A6C" w:rsidRDefault="00146A6C">
      <w:pPr>
        <w:jc w:val="center"/>
        <w:rPr>
          <w:b/>
          <w:bCs/>
          <w:sz w:val="24"/>
        </w:rPr>
      </w:pPr>
      <w:r>
        <w:rPr>
          <w:b/>
          <w:bCs/>
          <w:sz w:val="24"/>
        </w:rPr>
        <w:lastRenderedPageBreak/>
        <w:t>Table 3</w:t>
      </w:r>
    </w:p>
    <w:p w:rsidR="00146A6C" w:rsidRDefault="00146A6C">
      <w:pPr>
        <w:jc w:val="center"/>
        <w:rPr>
          <w:b/>
          <w:bCs/>
          <w:sz w:val="24"/>
        </w:rPr>
      </w:pPr>
      <w:r>
        <w:rPr>
          <w:b/>
          <w:bCs/>
          <w:sz w:val="24"/>
        </w:rPr>
        <w:t>Total Annual Number of Containers of Unwanted Material</w:t>
      </w:r>
    </w:p>
    <w:p w:rsidR="00146A6C" w:rsidRDefault="00146A6C">
      <w:pPr>
        <w:jc w:val="center"/>
      </w:pPr>
      <w:r>
        <w:rPr>
          <w:b/>
          <w:bCs/>
          <w:sz w:val="24"/>
        </w:rPr>
        <w:t>Generated at Sites Opting into Subpart K</w:t>
      </w:r>
      <w:r>
        <w:rPr>
          <w:b/>
          <w:bCs/>
          <w:sz w:val="24"/>
          <w:vertAlign w:val="superscript"/>
        </w:rPr>
        <w:t>a</w:t>
      </w:r>
    </w:p>
    <w:tbl>
      <w:tblPr>
        <w:tblW w:w="13320" w:type="dxa"/>
        <w:tblInd w:w="-165" w:type="dxa"/>
        <w:tblLayout w:type="fixed"/>
        <w:tblCellMar>
          <w:left w:w="0" w:type="dxa"/>
          <w:right w:w="0" w:type="dxa"/>
        </w:tblCellMar>
        <w:tblLook w:val="0000"/>
      </w:tblPr>
      <w:tblGrid>
        <w:gridCol w:w="1277"/>
        <w:gridCol w:w="960"/>
        <w:gridCol w:w="1120"/>
        <w:gridCol w:w="1280"/>
        <w:gridCol w:w="1280"/>
        <w:gridCol w:w="1103"/>
        <w:gridCol w:w="1137"/>
        <w:gridCol w:w="960"/>
        <w:gridCol w:w="963"/>
        <w:gridCol w:w="720"/>
        <w:gridCol w:w="900"/>
        <w:gridCol w:w="900"/>
        <w:gridCol w:w="720"/>
      </w:tblGrid>
      <w:tr w:rsidR="00146A6C">
        <w:trPr>
          <w:cantSplit/>
          <w:trHeight w:val="255"/>
        </w:trPr>
        <w:tc>
          <w:tcPr>
            <w:tcW w:w="127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146A6C" w:rsidRPr="0031294B" w:rsidRDefault="00146A6C">
            <w:pPr>
              <w:jc w:val="center"/>
              <w:rPr>
                <w:rFonts w:eastAsia="Arial Unicode MS"/>
                <w:b/>
                <w:bCs/>
                <w:color w:val="000000"/>
                <w:szCs w:val="16"/>
              </w:rPr>
            </w:pPr>
            <w:r w:rsidRPr="0031294B">
              <w:rPr>
                <w:b/>
                <w:bCs/>
                <w:color w:val="000000"/>
                <w:szCs w:val="16"/>
              </w:rPr>
              <w:t>Size</w:t>
            </w:r>
          </w:p>
        </w:tc>
        <w:tc>
          <w:tcPr>
            <w:tcW w:w="3360"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146A6C" w:rsidRDefault="00146A6C">
            <w:pPr>
              <w:jc w:val="center"/>
              <w:rPr>
                <w:rFonts w:eastAsia="Arial Unicode MS"/>
                <w:b/>
                <w:bCs/>
                <w:szCs w:val="16"/>
              </w:rPr>
            </w:pPr>
            <w:r>
              <w:rPr>
                <w:b/>
                <w:bCs/>
                <w:szCs w:val="16"/>
              </w:rPr>
              <w:t>LQGs</w:t>
            </w:r>
          </w:p>
        </w:tc>
        <w:tc>
          <w:tcPr>
            <w:tcW w:w="3520"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146A6C" w:rsidRDefault="00146A6C">
            <w:pPr>
              <w:jc w:val="center"/>
              <w:rPr>
                <w:rFonts w:eastAsia="Arial Unicode MS"/>
                <w:b/>
                <w:bCs/>
                <w:szCs w:val="16"/>
              </w:rPr>
            </w:pPr>
            <w:r>
              <w:rPr>
                <w:b/>
                <w:bCs/>
                <w:szCs w:val="16"/>
              </w:rPr>
              <w:t>SQGs</w:t>
            </w:r>
          </w:p>
        </w:tc>
        <w:tc>
          <w:tcPr>
            <w:tcW w:w="264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146A6C" w:rsidRDefault="00146A6C">
            <w:pPr>
              <w:jc w:val="center"/>
              <w:rPr>
                <w:rFonts w:eastAsia="Arial Unicode MS"/>
                <w:b/>
                <w:bCs/>
                <w:szCs w:val="16"/>
              </w:rPr>
            </w:pPr>
            <w:r>
              <w:rPr>
                <w:b/>
                <w:bCs/>
                <w:szCs w:val="16"/>
              </w:rPr>
              <w:t>CESQGs</w:t>
            </w:r>
          </w:p>
        </w:tc>
        <w:tc>
          <w:tcPr>
            <w:tcW w:w="2520"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bottom"/>
          </w:tcPr>
          <w:p w:rsidR="00146A6C" w:rsidRDefault="00146A6C">
            <w:pPr>
              <w:jc w:val="center"/>
              <w:rPr>
                <w:rFonts w:eastAsia="Arial Unicode MS"/>
                <w:b/>
                <w:bCs/>
                <w:szCs w:val="16"/>
              </w:rPr>
            </w:pPr>
            <w:r>
              <w:rPr>
                <w:b/>
                <w:bCs/>
                <w:szCs w:val="16"/>
              </w:rPr>
              <w:t>Total</w:t>
            </w:r>
          </w:p>
        </w:tc>
      </w:tr>
      <w:tr w:rsidR="00146A6C" w:rsidRPr="00270DB5">
        <w:trPr>
          <w:cantSplit/>
          <w:trHeight w:val="450"/>
        </w:trPr>
        <w:tc>
          <w:tcPr>
            <w:tcW w:w="1277" w:type="dxa"/>
            <w:vMerge/>
            <w:tcBorders>
              <w:top w:val="single" w:sz="4" w:space="0" w:color="auto"/>
              <w:left w:val="single" w:sz="4" w:space="0" w:color="auto"/>
              <w:bottom w:val="single" w:sz="4" w:space="0" w:color="auto"/>
              <w:right w:val="single" w:sz="4" w:space="0" w:color="auto"/>
            </w:tcBorders>
            <w:vAlign w:val="center"/>
          </w:tcPr>
          <w:p w:rsidR="00146A6C" w:rsidRPr="00270DB5" w:rsidRDefault="00146A6C">
            <w:pPr>
              <w:rPr>
                <w:rFonts w:eastAsia="Arial Unicode MS"/>
                <w:b/>
                <w:bCs/>
                <w:color w:val="000000"/>
                <w:szCs w:val="16"/>
              </w:rPr>
            </w:pP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6"/>
              </w:rPr>
            </w:pPr>
            <w:r w:rsidRPr="00270DB5">
              <w:rPr>
                <w:b/>
                <w:bCs/>
                <w:color w:val="000000"/>
                <w:szCs w:val="16"/>
              </w:rPr>
              <w:t>with CAA</w:t>
            </w: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6"/>
              </w:rPr>
            </w:pPr>
            <w:r w:rsidRPr="00270DB5">
              <w:rPr>
                <w:b/>
                <w:bCs/>
                <w:color w:val="000000"/>
                <w:szCs w:val="16"/>
              </w:rPr>
              <w:t>without CAA</w:t>
            </w:r>
          </w:p>
        </w:tc>
        <w:tc>
          <w:tcPr>
            <w:tcW w:w="1280" w:type="dxa"/>
            <w:tcBorders>
              <w:top w:val="nil"/>
              <w:left w:val="nil"/>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6"/>
              </w:rPr>
            </w:pPr>
            <w:r w:rsidRPr="00270DB5">
              <w:rPr>
                <w:b/>
                <w:bCs/>
                <w:color w:val="000000"/>
                <w:szCs w:val="16"/>
              </w:rPr>
              <w:t>Total</w:t>
            </w:r>
          </w:p>
        </w:tc>
        <w:tc>
          <w:tcPr>
            <w:tcW w:w="1280" w:type="dxa"/>
            <w:tcBorders>
              <w:top w:val="nil"/>
              <w:left w:val="nil"/>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6"/>
              </w:rPr>
            </w:pPr>
            <w:r w:rsidRPr="00270DB5">
              <w:rPr>
                <w:b/>
                <w:bCs/>
                <w:color w:val="000000"/>
                <w:szCs w:val="16"/>
              </w:rPr>
              <w:t>with CAA</w:t>
            </w:r>
          </w:p>
        </w:tc>
        <w:tc>
          <w:tcPr>
            <w:tcW w:w="1103" w:type="dxa"/>
            <w:tcBorders>
              <w:top w:val="nil"/>
              <w:left w:val="nil"/>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6"/>
              </w:rPr>
            </w:pPr>
            <w:r w:rsidRPr="00270DB5">
              <w:rPr>
                <w:b/>
                <w:bCs/>
                <w:color w:val="000000"/>
                <w:szCs w:val="16"/>
              </w:rPr>
              <w:t>without CAA</w:t>
            </w:r>
          </w:p>
        </w:tc>
        <w:tc>
          <w:tcPr>
            <w:tcW w:w="1137" w:type="dxa"/>
            <w:tcBorders>
              <w:top w:val="nil"/>
              <w:left w:val="nil"/>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6"/>
              </w:rPr>
            </w:pPr>
            <w:r w:rsidRPr="00270DB5">
              <w:rPr>
                <w:b/>
                <w:bCs/>
                <w:color w:val="000000"/>
                <w:szCs w:val="16"/>
              </w:rPr>
              <w:t>Total</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6"/>
              </w:rPr>
            </w:pPr>
            <w:r w:rsidRPr="00270DB5">
              <w:rPr>
                <w:b/>
                <w:bCs/>
                <w:color w:val="000000"/>
                <w:szCs w:val="16"/>
              </w:rPr>
              <w:t>with CAA</w:t>
            </w:r>
          </w:p>
        </w:tc>
        <w:tc>
          <w:tcPr>
            <w:tcW w:w="963" w:type="dxa"/>
            <w:tcBorders>
              <w:top w:val="nil"/>
              <w:left w:val="nil"/>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6"/>
              </w:rPr>
            </w:pPr>
            <w:r w:rsidRPr="00270DB5">
              <w:rPr>
                <w:b/>
                <w:bCs/>
                <w:color w:val="000000"/>
                <w:szCs w:val="16"/>
              </w:rPr>
              <w:t>without CAA</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6"/>
              </w:rPr>
            </w:pPr>
            <w:r w:rsidRPr="00270DB5">
              <w:rPr>
                <w:b/>
                <w:bCs/>
                <w:color w:val="000000"/>
                <w:szCs w:val="16"/>
              </w:rPr>
              <w:t>Total</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6"/>
              </w:rPr>
            </w:pPr>
            <w:r w:rsidRPr="00270DB5">
              <w:rPr>
                <w:b/>
                <w:bCs/>
                <w:color w:val="000000"/>
                <w:szCs w:val="16"/>
              </w:rPr>
              <w:t>with CAA</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6"/>
              </w:rPr>
            </w:pPr>
            <w:r w:rsidRPr="00270DB5">
              <w:rPr>
                <w:b/>
                <w:bCs/>
                <w:color w:val="000000"/>
                <w:szCs w:val="16"/>
              </w:rPr>
              <w:t>without CAA</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bottom"/>
          </w:tcPr>
          <w:p w:rsidR="00146A6C" w:rsidRPr="00270DB5" w:rsidRDefault="00146A6C">
            <w:pPr>
              <w:jc w:val="center"/>
              <w:rPr>
                <w:rFonts w:eastAsia="Arial Unicode MS"/>
                <w:b/>
                <w:bCs/>
                <w:color w:val="000000"/>
                <w:szCs w:val="16"/>
              </w:rPr>
            </w:pPr>
            <w:r w:rsidRPr="00270DB5">
              <w:rPr>
                <w:b/>
                <w:bCs/>
                <w:color w:val="000000"/>
                <w:szCs w:val="16"/>
              </w:rPr>
              <w:t>Total</w:t>
            </w:r>
          </w:p>
        </w:tc>
      </w:tr>
      <w:tr w:rsidR="00146A6C" w:rsidRPr="00270DB5">
        <w:trPr>
          <w:trHeight w:val="255"/>
        </w:trPr>
        <w:tc>
          <w:tcPr>
            <w:tcW w:w="13320" w:type="dxa"/>
            <w:gridSpan w:val="1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146A6C" w:rsidRPr="00270DB5" w:rsidRDefault="00146A6C">
            <w:pPr>
              <w:rPr>
                <w:rFonts w:eastAsia="Arial Unicode MS"/>
                <w:color w:val="000000"/>
                <w:szCs w:val="16"/>
              </w:rPr>
            </w:pPr>
            <w:r w:rsidRPr="00270DB5">
              <w:rPr>
                <w:b/>
                <w:bCs/>
                <w:color w:val="000000"/>
              </w:rPr>
              <w:t>4-Year Colleges and Universities and Non-Profit Research Institutes</w:t>
            </w:r>
          </w:p>
        </w:tc>
      </w:tr>
      <w:tr w:rsidR="00146A6C" w:rsidRPr="00270DB5">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rPr>
                <w:rFonts w:eastAsia="Arial Unicode MS"/>
                <w:color w:val="000000"/>
                <w:szCs w:val="18"/>
              </w:rPr>
            </w:pPr>
            <w:r w:rsidRPr="00270DB5">
              <w:rPr>
                <w:color w:val="000000"/>
                <w:szCs w:val="18"/>
              </w:rPr>
              <w:t>Large</w:t>
            </w:r>
            <w:r w:rsidRPr="00270DB5">
              <w:rPr>
                <w:color w:val="000000"/>
                <w:szCs w:val="18"/>
                <w:vertAlign w:val="superscript"/>
              </w:rPr>
              <w:t>b</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rFonts w:eastAsia="Arial Unicode MS"/>
                <w:color w:val="000000"/>
                <w:szCs w:val="16"/>
              </w:rPr>
              <w:t>726,750</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rFonts w:eastAsia="Arial Unicode MS"/>
                <w:color w:val="000000"/>
                <w:szCs w:val="16"/>
              </w:rPr>
              <w:t>726,750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color w:val="000000"/>
                <w:szCs w:val="16"/>
              </w:rPr>
              <w:t>3,41</w:t>
            </w:r>
            <w:r w:rsidR="00146A6C" w:rsidRPr="00270DB5">
              <w:rPr>
                <w:color w:val="000000"/>
                <w:szCs w:val="16"/>
              </w:rPr>
              <w:t>0</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rFonts w:eastAsia="Arial Unicode MS"/>
                <w:color w:val="000000"/>
                <w:szCs w:val="16"/>
              </w:rPr>
              <w:t>0</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color w:val="000000"/>
                <w:szCs w:val="16"/>
              </w:rPr>
              <w:t>3,410</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rsidP="002E5680">
            <w:pPr>
              <w:jc w:val="center"/>
              <w:rPr>
                <w:rFonts w:eastAsia="Arial Unicode MS"/>
                <w:color w:val="000000"/>
                <w:szCs w:val="16"/>
              </w:rPr>
            </w:pPr>
            <w:r w:rsidRPr="00270DB5">
              <w:rPr>
                <w:color w:val="000000"/>
                <w:szCs w:val="16"/>
              </w:rPr>
              <w:t>730,160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color w:val="000000"/>
                <w:szCs w:val="16"/>
              </w:rPr>
              <w:t>730,160</w:t>
            </w:r>
          </w:p>
        </w:tc>
      </w:tr>
      <w:tr w:rsidR="00146A6C" w:rsidRPr="00270DB5">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rPr>
                <w:rFonts w:eastAsia="Arial Unicode MS"/>
                <w:color w:val="000000"/>
                <w:szCs w:val="18"/>
              </w:rPr>
            </w:pPr>
            <w:r w:rsidRPr="00270DB5">
              <w:rPr>
                <w:color w:val="000000"/>
                <w:szCs w:val="18"/>
              </w:rPr>
              <w:t>Small</w:t>
            </w:r>
            <w:r w:rsidRPr="00270DB5">
              <w:rPr>
                <w:color w:val="000000"/>
                <w:szCs w:val="18"/>
                <w:vertAlign w:val="superscript"/>
              </w:rPr>
              <w:t>c</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rsidP="002E5680">
            <w:pPr>
              <w:jc w:val="center"/>
              <w:rPr>
                <w:rFonts w:eastAsia="Arial Unicode MS"/>
                <w:color w:val="000000"/>
                <w:szCs w:val="16"/>
              </w:rPr>
            </w:pPr>
            <w:r w:rsidRPr="00270DB5">
              <w:rPr>
                <w:color w:val="000000"/>
                <w:szCs w:val="16"/>
              </w:rPr>
              <w:t>4</w:t>
            </w:r>
            <w:r w:rsidR="00146A6C" w:rsidRPr="00270DB5">
              <w:rPr>
                <w:color w:val="000000"/>
                <w:szCs w:val="16"/>
              </w:rPr>
              <w:t>,</w:t>
            </w:r>
            <w:r w:rsidRPr="00270DB5">
              <w:rPr>
                <w:color w:val="000000"/>
                <w:szCs w:val="16"/>
              </w:rPr>
              <w:t>752</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rsidP="002E5680">
            <w:pPr>
              <w:jc w:val="center"/>
              <w:rPr>
                <w:rFonts w:eastAsia="Arial Unicode MS"/>
                <w:color w:val="000000"/>
                <w:szCs w:val="16"/>
              </w:rPr>
            </w:pPr>
            <w:r w:rsidRPr="00270DB5">
              <w:rPr>
                <w:color w:val="000000"/>
                <w:szCs w:val="16"/>
              </w:rPr>
              <w:t>4</w:t>
            </w:r>
            <w:r w:rsidR="00146A6C" w:rsidRPr="00270DB5">
              <w:rPr>
                <w:color w:val="000000"/>
                <w:szCs w:val="16"/>
              </w:rPr>
              <w:t>,</w:t>
            </w:r>
            <w:r w:rsidRPr="00270DB5">
              <w:rPr>
                <w:color w:val="000000"/>
                <w:szCs w:val="16"/>
              </w:rPr>
              <w:t>752</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color w:val="000000"/>
                <w:szCs w:val="16"/>
              </w:rPr>
              <w:t>5,28</w:t>
            </w:r>
            <w:r w:rsidR="00146A6C"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color w:val="000000"/>
                <w:szCs w:val="16"/>
              </w:rPr>
              <w:t>5,280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rsidP="002E5680">
            <w:pPr>
              <w:jc w:val="center"/>
              <w:rPr>
                <w:rFonts w:eastAsia="Arial Unicode MS"/>
                <w:color w:val="000000"/>
                <w:szCs w:val="16"/>
              </w:rPr>
            </w:pPr>
            <w:r w:rsidRPr="00270DB5">
              <w:rPr>
                <w:color w:val="000000"/>
                <w:szCs w:val="16"/>
              </w:rPr>
              <w:t>10</w:t>
            </w:r>
            <w:r w:rsidR="00146A6C" w:rsidRPr="00270DB5">
              <w:rPr>
                <w:color w:val="000000"/>
                <w:szCs w:val="16"/>
              </w:rPr>
              <w:t>,</w:t>
            </w:r>
            <w:r w:rsidRPr="00270DB5">
              <w:rPr>
                <w:color w:val="000000"/>
                <w:szCs w:val="16"/>
              </w:rPr>
              <w:t>032</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color w:val="000000"/>
                <w:szCs w:val="16"/>
              </w:rPr>
              <w:t>10,032</w:t>
            </w:r>
          </w:p>
        </w:tc>
      </w:tr>
      <w:tr w:rsidR="00146A6C" w:rsidRPr="00270DB5">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right"/>
              <w:rPr>
                <w:rFonts w:eastAsia="Arial Unicode MS"/>
                <w:color w:val="000000"/>
                <w:szCs w:val="16"/>
              </w:rPr>
            </w:pPr>
            <w:r w:rsidRPr="00270DB5">
              <w:rPr>
                <w:color w:val="000000"/>
                <w:szCs w:val="16"/>
              </w:rPr>
              <w:t>Subtotal</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rFonts w:eastAsia="Arial Unicode MS"/>
                <w:color w:val="000000"/>
                <w:szCs w:val="16"/>
              </w:rPr>
              <w:t>726,750</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rFonts w:eastAsia="Arial Unicode MS"/>
                <w:color w:val="000000"/>
                <w:szCs w:val="16"/>
              </w:rPr>
              <w:t>726,750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color w:val="000000"/>
                <w:szCs w:val="16"/>
              </w:rPr>
              <w:t>3,410</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color w:val="000000"/>
                <w:szCs w:val="16"/>
              </w:rPr>
              <w:t>4,752</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rsidP="002E5680">
            <w:pPr>
              <w:jc w:val="center"/>
              <w:rPr>
                <w:rFonts w:eastAsia="Arial Unicode MS"/>
                <w:color w:val="000000"/>
                <w:szCs w:val="16"/>
              </w:rPr>
            </w:pPr>
            <w:r w:rsidRPr="00270DB5">
              <w:rPr>
                <w:color w:val="000000"/>
                <w:szCs w:val="16"/>
              </w:rPr>
              <w:t>8</w:t>
            </w:r>
            <w:r w:rsidR="00146A6C" w:rsidRPr="00270DB5">
              <w:rPr>
                <w:color w:val="000000"/>
                <w:szCs w:val="16"/>
              </w:rPr>
              <w:t>,1</w:t>
            </w:r>
            <w:r w:rsidRPr="00270DB5">
              <w:rPr>
                <w:color w:val="000000"/>
                <w:szCs w:val="16"/>
              </w:rPr>
              <w:t>62</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color w:val="000000"/>
                <w:szCs w:val="16"/>
              </w:rPr>
              <w:t>5,280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color w:val="000000"/>
                <w:szCs w:val="16"/>
              </w:rPr>
              <w:t>5,280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color w:val="000000"/>
                <w:szCs w:val="16"/>
              </w:rPr>
              <w:t>730,160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color w:val="000000"/>
                <w:szCs w:val="16"/>
              </w:rPr>
              <w:t>10,032</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rsidP="002E5680">
            <w:pPr>
              <w:jc w:val="center"/>
              <w:rPr>
                <w:rFonts w:eastAsia="Arial Unicode MS"/>
                <w:color w:val="000000"/>
                <w:szCs w:val="16"/>
              </w:rPr>
            </w:pPr>
            <w:r w:rsidRPr="00270DB5">
              <w:rPr>
                <w:color w:val="000000"/>
                <w:szCs w:val="16"/>
              </w:rPr>
              <w:t>740</w:t>
            </w:r>
            <w:r w:rsidR="00146A6C" w:rsidRPr="00270DB5">
              <w:rPr>
                <w:color w:val="000000"/>
                <w:szCs w:val="16"/>
              </w:rPr>
              <w:t>,1</w:t>
            </w:r>
            <w:r w:rsidRPr="00270DB5">
              <w:rPr>
                <w:color w:val="000000"/>
                <w:szCs w:val="16"/>
              </w:rPr>
              <w:t>92</w:t>
            </w:r>
          </w:p>
        </w:tc>
      </w:tr>
      <w:tr w:rsidR="00146A6C" w:rsidRPr="00270DB5">
        <w:trPr>
          <w:trHeight w:val="255"/>
        </w:trPr>
        <w:tc>
          <w:tcPr>
            <w:tcW w:w="13320" w:type="dxa"/>
            <w:gridSpan w:val="1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146A6C" w:rsidRPr="00270DB5" w:rsidRDefault="00146A6C">
            <w:pPr>
              <w:rPr>
                <w:rFonts w:eastAsia="Arial Unicode MS"/>
                <w:color w:val="000000"/>
                <w:szCs w:val="16"/>
              </w:rPr>
            </w:pPr>
            <w:r w:rsidRPr="00270DB5">
              <w:rPr>
                <w:b/>
                <w:bCs/>
                <w:color w:val="000000"/>
              </w:rPr>
              <w:t>2-Year Colleges and Universities</w:t>
            </w:r>
          </w:p>
        </w:tc>
      </w:tr>
      <w:tr w:rsidR="00146A6C" w:rsidRPr="00270DB5">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rPr>
                <w:rFonts w:eastAsia="Arial Unicode MS"/>
                <w:color w:val="000000"/>
                <w:szCs w:val="18"/>
              </w:rPr>
            </w:pPr>
            <w:r w:rsidRPr="00270DB5">
              <w:rPr>
                <w:color w:val="000000"/>
                <w:szCs w:val="18"/>
              </w:rPr>
              <w:t>Large</w:t>
            </w:r>
            <w:r w:rsidRPr="00270DB5">
              <w:rPr>
                <w:color w:val="000000"/>
                <w:szCs w:val="18"/>
                <w:vertAlign w:val="superscript"/>
              </w:rPr>
              <w:t>b</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r>
      <w:tr w:rsidR="00146A6C" w:rsidRPr="00270DB5">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rPr>
                <w:rFonts w:eastAsia="Arial Unicode MS"/>
                <w:color w:val="000000"/>
                <w:szCs w:val="18"/>
              </w:rPr>
            </w:pPr>
            <w:r w:rsidRPr="00270DB5">
              <w:rPr>
                <w:color w:val="000000"/>
                <w:szCs w:val="18"/>
              </w:rPr>
              <w:t>Small</w:t>
            </w:r>
            <w:r w:rsidRPr="00270DB5">
              <w:rPr>
                <w:color w:val="000000"/>
                <w:szCs w:val="18"/>
                <w:vertAlign w:val="superscript"/>
              </w:rPr>
              <w:t>c</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r>
      <w:tr w:rsidR="00146A6C" w:rsidRPr="00270DB5">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right"/>
              <w:rPr>
                <w:rFonts w:eastAsia="Arial Unicode MS"/>
                <w:color w:val="000000"/>
                <w:szCs w:val="16"/>
              </w:rPr>
            </w:pPr>
            <w:r w:rsidRPr="00270DB5">
              <w:rPr>
                <w:color w:val="000000"/>
                <w:szCs w:val="16"/>
              </w:rPr>
              <w:t>Subtotal</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r>
      <w:tr w:rsidR="00146A6C" w:rsidRPr="00270DB5">
        <w:trPr>
          <w:trHeight w:val="255"/>
        </w:trPr>
        <w:tc>
          <w:tcPr>
            <w:tcW w:w="13320" w:type="dxa"/>
            <w:gridSpan w:val="1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146A6C" w:rsidRPr="00270DB5" w:rsidRDefault="00146A6C">
            <w:pPr>
              <w:rPr>
                <w:rFonts w:eastAsia="Arial Unicode MS"/>
                <w:color w:val="000000"/>
                <w:szCs w:val="16"/>
              </w:rPr>
            </w:pPr>
            <w:r w:rsidRPr="00270DB5">
              <w:rPr>
                <w:b/>
                <w:bCs/>
                <w:color w:val="000000"/>
              </w:rPr>
              <w:t>Vocational Schools</w:t>
            </w:r>
          </w:p>
        </w:tc>
      </w:tr>
      <w:tr w:rsidR="00146A6C" w:rsidRPr="00270DB5">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rPr>
                <w:rFonts w:eastAsia="Arial Unicode MS"/>
                <w:color w:val="000000"/>
                <w:szCs w:val="18"/>
              </w:rPr>
            </w:pPr>
            <w:r w:rsidRPr="00270DB5">
              <w:rPr>
                <w:color w:val="000000"/>
                <w:szCs w:val="18"/>
              </w:rPr>
              <w:t>Large</w:t>
            </w:r>
            <w:r w:rsidRPr="00270DB5">
              <w:rPr>
                <w:color w:val="000000"/>
                <w:szCs w:val="18"/>
                <w:vertAlign w:val="superscript"/>
              </w:rPr>
              <w:t>b</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rFonts w:eastAsia="Arial Unicode MS"/>
                <w:color w:val="000000"/>
                <w:szCs w:val="16"/>
              </w:rPr>
              <w:t>0</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rFonts w:eastAsia="Arial Unicode MS"/>
                <w:color w:val="000000"/>
                <w:szCs w:val="16"/>
              </w:rPr>
              <w:t>0</w:t>
            </w:r>
          </w:p>
        </w:tc>
      </w:tr>
      <w:tr w:rsidR="00146A6C" w:rsidRPr="00270DB5">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rPr>
                <w:rFonts w:eastAsia="Arial Unicode MS"/>
                <w:color w:val="000000"/>
                <w:szCs w:val="18"/>
              </w:rPr>
            </w:pPr>
            <w:r w:rsidRPr="00270DB5">
              <w:rPr>
                <w:color w:val="000000"/>
                <w:szCs w:val="18"/>
              </w:rPr>
              <w:t>Small</w:t>
            </w:r>
            <w:r w:rsidRPr="00270DB5">
              <w:rPr>
                <w:color w:val="000000"/>
                <w:szCs w:val="18"/>
                <w:vertAlign w:val="superscript"/>
              </w:rPr>
              <w:t>c</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r>
      <w:tr w:rsidR="00146A6C" w:rsidRPr="00270DB5">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right"/>
              <w:rPr>
                <w:rFonts w:eastAsia="Arial Unicode MS"/>
                <w:color w:val="000000"/>
                <w:szCs w:val="16"/>
              </w:rPr>
            </w:pPr>
            <w:r w:rsidRPr="00270DB5">
              <w:rPr>
                <w:color w:val="000000"/>
                <w:szCs w:val="16"/>
              </w:rPr>
              <w:t>Subtotal</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color w:val="000000"/>
                <w:szCs w:val="16"/>
              </w:rPr>
              <w:t>0</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color w:val="000000"/>
                <w:szCs w:val="16"/>
              </w:rPr>
              <w:t>0</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color w:val="000000"/>
                <w:szCs w:val="16"/>
              </w:rPr>
              <w:t>0</w:t>
            </w:r>
          </w:p>
        </w:tc>
      </w:tr>
      <w:tr w:rsidR="00146A6C" w:rsidRPr="00270DB5">
        <w:trPr>
          <w:trHeight w:val="255"/>
        </w:trPr>
        <w:tc>
          <w:tcPr>
            <w:tcW w:w="13320" w:type="dxa"/>
            <w:gridSpan w:val="1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146A6C" w:rsidRPr="00270DB5" w:rsidRDefault="00146A6C">
            <w:pPr>
              <w:rPr>
                <w:rFonts w:eastAsia="Arial Unicode MS"/>
                <w:color w:val="000000"/>
                <w:szCs w:val="16"/>
              </w:rPr>
            </w:pPr>
            <w:r w:rsidRPr="00270DB5">
              <w:rPr>
                <w:b/>
                <w:bCs/>
                <w:color w:val="000000"/>
              </w:rPr>
              <w:t>Teaching Hospitals</w:t>
            </w:r>
          </w:p>
        </w:tc>
      </w:tr>
      <w:tr w:rsidR="00146A6C" w:rsidRPr="00270DB5">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rPr>
                <w:rFonts w:eastAsia="Arial Unicode MS"/>
                <w:color w:val="000000"/>
                <w:szCs w:val="18"/>
              </w:rPr>
            </w:pPr>
            <w:r w:rsidRPr="00270DB5">
              <w:rPr>
                <w:color w:val="000000"/>
                <w:szCs w:val="18"/>
              </w:rPr>
              <w:t>Very Large</w:t>
            </w:r>
            <w:r w:rsidRPr="00270DB5">
              <w:rPr>
                <w:color w:val="000000"/>
                <w:szCs w:val="18"/>
                <w:vertAlign w:val="superscript"/>
              </w:rPr>
              <w:t>d</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rsidP="002E5680">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rFonts w:eastAsia="Arial Unicode MS"/>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rsidP="002E5680">
            <w:pPr>
              <w:jc w:val="center"/>
              <w:rPr>
                <w:rFonts w:eastAsia="Arial Unicode MS"/>
                <w:color w:val="000000"/>
                <w:szCs w:val="16"/>
              </w:rPr>
            </w:pPr>
            <w:r w:rsidRPr="00270DB5">
              <w:rPr>
                <w:color w:val="000000"/>
                <w:szCs w:val="16"/>
              </w:rPr>
              <w:t>0</w:t>
            </w:r>
          </w:p>
        </w:tc>
      </w:tr>
      <w:tr w:rsidR="00146A6C" w:rsidRPr="00270DB5">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rPr>
                <w:rFonts w:eastAsia="Arial Unicode MS"/>
                <w:color w:val="000000"/>
                <w:szCs w:val="18"/>
              </w:rPr>
            </w:pPr>
            <w:r w:rsidRPr="00270DB5">
              <w:rPr>
                <w:color w:val="000000"/>
                <w:szCs w:val="18"/>
              </w:rPr>
              <w:t>Large</w:t>
            </w:r>
            <w:r w:rsidRPr="00270DB5">
              <w:rPr>
                <w:color w:val="000000"/>
                <w:szCs w:val="18"/>
                <w:vertAlign w:val="superscript"/>
              </w:rPr>
              <w:t>e</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rsidP="00B705B6">
            <w:pPr>
              <w:jc w:val="center"/>
              <w:rPr>
                <w:rFonts w:eastAsia="Arial Unicode MS"/>
                <w:color w:val="000000"/>
                <w:szCs w:val="16"/>
              </w:rPr>
            </w:pPr>
            <w:r w:rsidRPr="00270DB5">
              <w:rPr>
                <w:color w:val="000000"/>
                <w:szCs w:val="16"/>
              </w:rPr>
              <w:t>2,250</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color w:val="000000"/>
                <w:szCs w:val="16"/>
              </w:rPr>
              <w:t>2</w:t>
            </w:r>
            <w:r w:rsidR="00146A6C" w:rsidRPr="00270DB5">
              <w:rPr>
                <w:color w:val="000000"/>
                <w:szCs w:val="16"/>
              </w:rPr>
              <w:t>,250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rsidP="002E5680">
            <w:pPr>
              <w:jc w:val="center"/>
              <w:rPr>
                <w:rFonts w:eastAsia="Arial Unicode MS"/>
                <w:color w:val="000000"/>
                <w:szCs w:val="16"/>
              </w:rPr>
            </w:pPr>
            <w:r w:rsidRPr="00270DB5">
              <w:rPr>
                <w:color w:val="000000"/>
                <w:szCs w:val="16"/>
              </w:rPr>
              <w:t>2</w:t>
            </w:r>
            <w:r w:rsidR="00146A6C" w:rsidRPr="00270DB5">
              <w:rPr>
                <w:color w:val="000000"/>
                <w:szCs w:val="16"/>
              </w:rPr>
              <w:t>,</w:t>
            </w:r>
            <w:r w:rsidRPr="00270DB5">
              <w:rPr>
                <w:color w:val="000000"/>
                <w:szCs w:val="16"/>
              </w:rPr>
              <w:t>25</w:t>
            </w:r>
            <w:r w:rsidR="00146A6C"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color w:val="000000"/>
                <w:szCs w:val="16"/>
              </w:rPr>
              <w:t>2</w:t>
            </w:r>
            <w:r w:rsidR="00146A6C" w:rsidRPr="00270DB5">
              <w:rPr>
                <w:color w:val="000000"/>
                <w:szCs w:val="16"/>
              </w:rPr>
              <w:t>,250</w:t>
            </w:r>
          </w:p>
        </w:tc>
      </w:tr>
      <w:tr w:rsidR="00146A6C" w:rsidRPr="00270DB5">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rPr>
                <w:rFonts w:eastAsia="Arial Unicode MS"/>
                <w:color w:val="000000"/>
                <w:szCs w:val="18"/>
              </w:rPr>
            </w:pPr>
            <w:r w:rsidRPr="00270DB5">
              <w:rPr>
                <w:color w:val="000000"/>
                <w:szCs w:val="18"/>
              </w:rPr>
              <w:t>Small</w:t>
            </w:r>
            <w:r w:rsidRPr="00270DB5">
              <w:rPr>
                <w:color w:val="000000"/>
                <w:szCs w:val="18"/>
                <w:vertAlign w:val="superscript"/>
              </w:rPr>
              <w:t>f</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r>
      <w:tr w:rsidR="00146A6C" w:rsidRPr="00270DB5">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rPr>
                <w:rFonts w:eastAsia="Arial Unicode MS"/>
                <w:color w:val="000000"/>
                <w:szCs w:val="18"/>
              </w:rPr>
            </w:pPr>
            <w:r w:rsidRPr="00270DB5">
              <w:rPr>
                <w:color w:val="000000"/>
                <w:szCs w:val="18"/>
              </w:rPr>
              <w:t>Very Small</w:t>
            </w:r>
            <w:r w:rsidRPr="00270DB5">
              <w:rPr>
                <w:color w:val="000000"/>
                <w:szCs w:val="18"/>
                <w:vertAlign w:val="superscript"/>
              </w:rPr>
              <w:t>g</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r>
      <w:tr w:rsidR="00146A6C" w:rsidRPr="00270DB5">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right"/>
              <w:rPr>
                <w:rFonts w:eastAsia="Arial Unicode MS"/>
                <w:color w:val="000000"/>
                <w:szCs w:val="16"/>
              </w:rPr>
            </w:pPr>
            <w:r w:rsidRPr="00270DB5">
              <w:rPr>
                <w:color w:val="000000"/>
                <w:szCs w:val="16"/>
              </w:rPr>
              <w:t>Subtotal</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rsidP="002E5680">
            <w:pPr>
              <w:jc w:val="center"/>
              <w:rPr>
                <w:rFonts w:eastAsia="Arial Unicode MS"/>
                <w:color w:val="000000"/>
                <w:szCs w:val="16"/>
              </w:rPr>
            </w:pPr>
            <w:r w:rsidRPr="00270DB5">
              <w:rPr>
                <w:color w:val="000000"/>
                <w:szCs w:val="16"/>
              </w:rPr>
              <w:t>2</w:t>
            </w:r>
            <w:r w:rsidR="00146A6C" w:rsidRPr="00270DB5">
              <w:rPr>
                <w:color w:val="000000"/>
                <w:szCs w:val="16"/>
              </w:rPr>
              <w:t>,</w:t>
            </w:r>
            <w:r w:rsidRPr="00270DB5">
              <w:rPr>
                <w:color w:val="000000"/>
                <w:szCs w:val="16"/>
              </w:rPr>
              <w:t>25</w:t>
            </w:r>
            <w:r w:rsidR="00146A6C" w:rsidRPr="00270DB5">
              <w:rPr>
                <w:color w:val="000000"/>
                <w:szCs w:val="16"/>
              </w:rPr>
              <w:t>0</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rsidP="002E5680">
            <w:pPr>
              <w:jc w:val="center"/>
              <w:rPr>
                <w:rFonts w:eastAsia="Arial Unicode MS"/>
                <w:color w:val="000000"/>
                <w:szCs w:val="16"/>
              </w:rPr>
            </w:pPr>
            <w:r w:rsidRPr="00270DB5">
              <w:rPr>
                <w:color w:val="000000"/>
                <w:szCs w:val="16"/>
              </w:rPr>
              <w:t>2</w:t>
            </w:r>
            <w:r w:rsidR="00146A6C" w:rsidRPr="00270DB5">
              <w:rPr>
                <w:color w:val="000000"/>
                <w:szCs w:val="16"/>
              </w:rPr>
              <w:t>,</w:t>
            </w:r>
            <w:r w:rsidRPr="00270DB5">
              <w:rPr>
                <w:color w:val="000000"/>
                <w:szCs w:val="16"/>
              </w:rPr>
              <w:t>250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color w:val="000000"/>
                <w:szCs w:val="16"/>
              </w:rPr>
              <w:t>2</w:t>
            </w:r>
            <w:r w:rsidR="00146A6C" w:rsidRPr="00270DB5">
              <w:rPr>
                <w:color w:val="000000"/>
                <w:szCs w:val="16"/>
              </w:rPr>
              <w:t>,500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pPr>
              <w:jc w:val="center"/>
              <w:rPr>
                <w:rFonts w:eastAsia="Arial Unicode MS"/>
                <w:color w:val="000000"/>
                <w:szCs w:val="16"/>
              </w:rPr>
            </w:pPr>
            <w:r w:rsidRPr="00270DB5">
              <w:rPr>
                <w:rFonts w:eastAsia="Arial Unicode MS"/>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46A6C" w:rsidRPr="00270DB5" w:rsidRDefault="002E5680" w:rsidP="002E5680">
            <w:pPr>
              <w:jc w:val="center"/>
              <w:rPr>
                <w:rFonts w:eastAsia="Arial Unicode MS"/>
                <w:color w:val="000000"/>
                <w:szCs w:val="16"/>
              </w:rPr>
            </w:pPr>
            <w:r w:rsidRPr="00270DB5">
              <w:rPr>
                <w:color w:val="000000"/>
                <w:szCs w:val="16"/>
              </w:rPr>
              <w:t>2</w:t>
            </w:r>
            <w:r w:rsidR="00146A6C" w:rsidRPr="00270DB5">
              <w:rPr>
                <w:color w:val="000000"/>
                <w:szCs w:val="16"/>
              </w:rPr>
              <w:t>,</w:t>
            </w:r>
            <w:r w:rsidRPr="00270DB5">
              <w:rPr>
                <w:color w:val="000000"/>
                <w:szCs w:val="16"/>
              </w:rPr>
              <w:t>250</w:t>
            </w:r>
          </w:p>
        </w:tc>
      </w:tr>
      <w:tr w:rsidR="002E5680" w:rsidRPr="00270DB5">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2E5680" w:rsidRPr="00270DB5" w:rsidRDefault="002E5680">
            <w:pPr>
              <w:rPr>
                <w:rFonts w:eastAsia="Arial Unicode MS"/>
                <w:b/>
                <w:bCs/>
                <w:color w:val="000000"/>
                <w:szCs w:val="16"/>
              </w:rPr>
            </w:pPr>
            <w:r w:rsidRPr="00270DB5">
              <w:rPr>
                <w:b/>
                <w:bCs/>
                <w:color w:val="000000"/>
                <w:szCs w:val="16"/>
              </w:rPr>
              <w:t>Total</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E5680" w:rsidRPr="00270DB5" w:rsidRDefault="002E5680">
            <w:pPr>
              <w:jc w:val="center"/>
              <w:rPr>
                <w:rFonts w:eastAsia="Arial Unicode MS"/>
                <w:b/>
                <w:bCs/>
                <w:color w:val="000000"/>
                <w:szCs w:val="16"/>
              </w:rPr>
            </w:pPr>
            <w:r w:rsidRPr="00270DB5">
              <w:rPr>
                <w:b/>
                <w:bCs/>
                <w:color w:val="000000"/>
                <w:szCs w:val="16"/>
              </w:rPr>
              <w:t>729,000</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E5680" w:rsidRPr="00270DB5" w:rsidRDefault="002E5680">
            <w:pPr>
              <w:jc w:val="center"/>
              <w:rPr>
                <w:rFonts w:eastAsia="Arial Unicode MS"/>
                <w:b/>
                <w:bCs/>
                <w:color w:val="000000"/>
                <w:szCs w:val="16"/>
              </w:rPr>
            </w:pPr>
            <w:r w:rsidRPr="00270DB5">
              <w:rPr>
                <w:b/>
                <w:bCs/>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E5680" w:rsidRPr="00270DB5" w:rsidRDefault="002E5680">
            <w:pPr>
              <w:jc w:val="center"/>
              <w:rPr>
                <w:rFonts w:eastAsia="Arial Unicode MS"/>
                <w:b/>
                <w:bCs/>
                <w:color w:val="000000"/>
                <w:szCs w:val="16"/>
              </w:rPr>
            </w:pPr>
            <w:r w:rsidRPr="00270DB5">
              <w:rPr>
                <w:b/>
                <w:bCs/>
                <w:color w:val="000000"/>
                <w:szCs w:val="16"/>
              </w:rPr>
              <w:t>729,000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E5680" w:rsidRPr="00270DB5" w:rsidRDefault="002E5680">
            <w:pPr>
              <w:jc w:val="center"/>
              <w:rPr>
                <w:rFonts w:eastAsia="Arial Unicode MS"/>
                <w:b/>
                <w:bCs/>
                <w:color w:val="000000"/>
                <w:szCs w:val="16"/>
              </w:rPr>
            </w:pPr>
            <w:r w:rsidRPr="00270DB5">
              <w:rPr>
                <w:b/>
                <w:bCs/>
                <w:color w:val="000000"/>
                <w:szCs w:val="16"/>
              </w:rPr>
              <w:t>3,410</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E5680" w:rsidRPr="00B022C0" w:rsidRDefault="002E5680" w:rsidP="00CD1728">
            <w:pPr>
              <w:jc w:val="center"/>
              <w:rPr>
                <w:rFonts w:eastAsia="Arial Unicode MS"/>
                <w:b/>
                <w:color w:val="000000"/>
                <w:szCs w:val="16"/>
              </w:rPr>
            </w:pPr>
            <w:r w:rsidRPr="00B022C0">
              <w:rPr>
                <w:b/>
                <w:color w:val="000000"/>
                <w:szCs w:val="16"/>
              </w:rPr>
              <w:t>4,752</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E5680" w:rsidRPr="00B022C0" w:rsidRDefault="002E5680" w:rsidP="00CD1728">
            <w:pPr>
              <w:jc w:val="center"/>
              <w:rPr>
                <w:rFonts w:eastAsia="Arial Unicode MS"/>
                <w:b/>
                <w:color w:val="000000"/>
                <w:szCs w:val="16"/>
              </w:rPr>
            </w:pPr>
            <w:r w:rsidRPr="00B022C0">
              <w:rPr>
                <w:b/>
                <w:color w:val="000000"/>
                <w:szCs w:val="16"/>
              </w:rPr>
              <w:t>8,162</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E5680" w:rsidRPr="00B022C0" w:rsidRDefault="002E5680">
            <w:pPr>
              <w:jc w:val="center"/>
              <w:rPr>
                <w:rFonts w:eastAsia="Arial Unicode MS"/>
                <w:b/>
                <w:bCs/>
                <w:color w:val="000000"/>
                <w:szCs w:val="16"/>
              </w:rPr>
            </w:pPr>
            <w:r w:rsidRPr="00B022C0">
              <w:rPr>
                <w:b/>
                <w:bCs/>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E5680" w:rsidRPr="00B022C0" w:rsidRDefault="002E5680">
            <w:pPr>
              <w:jc w:val="center"/>
              <w:rPr>
                <w:rFonts w:eastAsia="Arial Unicode MS"/>
                <w:b/>
                <w:bCs/>
                <w:color w:val="000000"/>
                <w:szCs w:val="16"/>
              </w:rPr>
            </w:pPr>
            <w:r w:rsidRPr="00B022C0">
              <w:rPr>
                <w:b/>
                <w:color w:val="000000"/>
                <w:szCs w:val="16"/>
              </w:rPr>
              <w:t>5,280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E5680" w:rsidRPr="00B022C0" w:rsidRDefault="002E5680">
            <w:pPr>
              <w:jc w:val="center"/>
              <w:rPr>
                <w:rFonts w:eastAsia="Arial Unicode MS"/>
                <w:b/>
                <w:bCs/>
                <w:color w:val="000000"/>
                <w:szCs w:val="16"/>
              </w:rPr>
            </w:pPr>
            <w:r w:rsidRPr="00B022C0">
              <w:rPr>
                <w:b/>
                <w:color w:val="000000"/>
                <w:szCs w:val="16"/>
              </w:rPr>
              <w:t>5,280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E5680" w:rsidRPr="00270DB5" w:rsidRDefault="002E5680" w:rsidP="002E5680">
            <w:pPr>
              <w:jc w:val="center"/>
              <w:rPr>
                <w:rFonts w:eastAsia="Arial Unicode MS"/>
                <w:b/>
                <w:bCs/>
                <w:color w:val="000000"/>
                <w:szCs w:val="16"/>
              </w:rPr>
            </w:pPr>
            <w:r w:rsidRPr="00270DB5">
              <w:rPr>
                <w:b/>
                <w:bCs/>
                <w:color w:val="000000"/>
                <w:szCs w:val="16"/>
              </w:rPr>
              <w:t>732,410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E5680" w:rsidRPr="00270DB5" w:rsidRDefault="002C509D" w:rsidP="002C509D">
            <w:pPr>
              <w:jc w:val="center"/>
              <w:rPr>
                <w:rFonts w:eastAsia="Arial Unicode MS"/>
                <w:b/>
                <w:bCs/>
                <w:color w:val="000000"/>
                <w:szCs w:val="16"/>
              </w:rPr>
            </w:pPr>
            <w:r w:rsidRPr="00270DB5">
              <w:rPr>
                <w:b/>
                <w:bCs/>
                <w:color w:val="000000"/>
                <w:szCs w:val="16"/>
              </w:rPr>
              <w:t>10</w:t>
            </w:r>
            <w:r w:rsidR="002E5680" w:rsidRPr="00270DB5">
              <w:rPr>
                <w:b/>
                <w:bCs/>
                <w:color w:val="000000"/>
                <w:szCs w:val="16"/>
              </w:rPr>
              <w:t>,</w:t>
            </w:r>
            <w:r w:rsidRPr="00270DB5">
              <w:rPr>
                <w:b/>
                <w:bCs/>
                <w:color w:val="000000"/>
                <w:szCs w:val="16"/>
              </w:rPr>
              <w:t>032</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E5680" w:rsidRPr="00270DB5" w:rsidRDefault="002C509D" w:rsidP="002C509D">
            <w:pPr>
              <w:jc w:val="center"/>
              <w:rPr>
                <w:rFonts w:eastAsia="Arial Unicode MS"/>
                <w:b/>
                <w:bCs/>
                <w:color w:val="000000"/>
                <w:szCs w:val="16"/>
              </w:rPr>
            </w:pPr>
            <w:r w:rsidRPr="00270DB5">
              <w:rPr>
                <w:b/>
                <w:bCs/>
                <w:color w:val="000000"/>
                <w:szCs w:val="16"/>
              </w:rPr>
              <w:t>742</w:t>
            </w:r>
            <w:r w:rsidR="002E5680" w:rsidRPr="00270DB5">
              <w:rPr>
                <w:b/>
                <w:bCs/>
                <w:color w:val="000000"/>
                <w:szCs w:val="16"/>
              </w:rPr>
              <w:t>,</w:t>
            </w:r>
            <w:r w:rsidRPr="00270DB5">
              <w:rPr>
                <w:b/>
                <w:bCs/>
                <w:color w:val="000000"/>
                <w:szCs w:val="16"/>
              </w:rPr>
              <w:t>442</w:t>
            </w:r>
          </w:p>
        </w:tc>
      </w:tr>
    </w:tbl>
    <w:p w:rsidR="00146A6C" w:rsidRPr="00270DB5" w:rsidRDefault="00146A6C">
      <w:pPr>
        <w:ind w:left="900" w:hanging="720"/>
        <w:rPr>
          <w:color w:val="000000"/>
        </w:rPr>
      </w:pPr>
      <w:r w:rsidRPr="00270DB5">
        <w:rPr>
          <w:color w:val="000000"/>
        </w:rPr>
        <w:t>a. Numbers in the table are based on the data in Tables 1 and 2.</w:t>
      </w:r>
    </w:p>
    <w:p w:rsidR="00146A6C" w:rsidRPr="00270DB5" w:rsidRDefault="00146A6C">
      <w:pPr>
        <w:ind w:left="900" w:hanging="720"/>
        <w:rPr>
          <w:color w:val="000000"/>
        </w:rPr>
      </w:pPr>
      <w:r w:rsidRPr="00270DB5">
        <w:rPr>
          <w:color w:val="000000"/>
        </w:rPr>
        <w:t>b. Defined as sites with more than 50 labs, more than 5 studios.</w:t>
      </w:r>
    </w:p>
    <w:p w:rsidR="00146A6C" w:rsidRPr="00270DB5" w:rsidRDefault="00146A6C">
      <w:pPr>
        <w:ind w:left="900" w:hanging="720"/>
        <w:rPr>
          <w:color w:val="000000"/>
        </w:rPr>
      </w:pPr>
      <w:r w:rsidRPr="00270DB5">
        <w:rPr>
          <w:color w:val="000000"/>
        </w:rPr>
        <w:t>c. Defined as sites with less than 50 labs, less than 5 studios.</w:t>
      </w:r>
    </w:p>
    <w:p w:rsidR="00146A6C" w:rsidRPr="00270DB5" w:rsidRDefault="00146A6C">
      <w:pPr>
        <w:ind w:left="900" w:hanging="720"/>
        <w:rPr>
          <w:color w:val="000000"/>
        </w:rPr>
      </w:pPr>
      <w:r w:rsidRPr="00270DB5">
        <w:rPr>
          <w:color w:val="000000"/>
        </w:rPr>
        <w:t>d. Defined as sites with more than 50 labs.</w:t>
      </w:r>
    </w:p>
    <w:p w:rsidR="00146A6C" w:rsidRPr="00270DB5" w:rsidRDefault="00146A6C">
      <w:pPr>
        <w:ind w:left="900" w:hanging="720"/>
        <w:rPr>
          <w:color w:val="000000"/>
        </w:rPr>
      </w:pPr>
      <w:r w:rsidRPr="00270DB5">
        <w:rPr>
          <w:color w:val="000000"/>
        </w:rPr>
        <w:t>e. Defined as sites with 15 labs.</w:t>
      </w:r>
    </w:p>
    <w:p w:rsidR="00146A6C" w:rsidRPr="00270DB5" w:rsidRDefault="00146A6C">
      <w:pPr>
        <w:ind w:left="900" w:hanging="720"/>
        <w:rPr>
          <w:color w:val="000000"/>
        </w:rPr>
      </w:pPr>
      <w:r w:rsidRPr="00270DB5">
        <w:rPr>
          <w:color w:val="000000"/>
        </w:rPr>
        <w:t>f. Defined as sites with 6 labs.</w:t>
      </w:r>
    </w:p>
    <w:p w:rsidR="00146A6C" w:rsidRDefault="00146A6C">
      <w:pPr>
        <w:ind w:left="900" w:hanging="720"/>
        <w:sectPr w:rsidR="00146A6C">
          <w:pgSz w:w="15840" w:h="12240" w:orient="landscape"/>
          <w:pgMar w:top="1080" w:right="1440" w:bottom="900" w:left="1440" w:header="720" w:footer="720" w:gutter="0"/>
          <w:cols w:space="720"/>
          <w:docGrid w:linePitch="360"/>
        </w:sectPr>
      </w:pPr>
      <w:r w:rsidRPr="00270DB5">
        <w:rPr>
          <w:color w:val="000000"/>
        </w:rPr>
        <w:t>g. Defined as sites with 2 labs.</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b/>
          <w:bCs/>
          <w:sz w:val="24"/>
          <w:szCs w:val="24"/>
        </w:rPr>
      </w:pPr>
      <w:r>
        <w:rPr>
          <w:rFonts w:ascii="Times New Roman" w:hAnsi="Times New Roman" w:cs="Times New Roman"/>
          <w:b/>
          <w:bCs/>
          <w:sz w:val="24"/>
          <w:szCs w:val="24"/>
        </w:rPr>
        <w:lastRenderedPageBreak/>
        <w:t>(b)</w:t>
      </w:r>
      <w:r>
        <w:rPr>
          <w:rFonts w:ascii="Times New Roman" w:hAnsi="Times New Roman" w:cs="Times New Roman"/>
          <w:b/>
          <w:bCs/>
          <w:sz w:val="24"/>
          <w:szCs w:val="24"/>
        </w:rPr>
        <w:tab/>
        <w:t>Notification of Intent to Comply with Subpart K and Recordkeeping of Agreements</w:t>
      </w:r>
    </w:p>
    <w:p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r w:rsidRPr="00270DB5">
        <w:rPr>
          <w:rFonts w:ascii="Times New Roman" w:hAnsi="Times New Roman" w:cs="Times New Roman"/>
          <w:color w:val="000000"/>
          <w:sz w:val="24"/>
          <w:szCs w:val="24"/>
        </w:rPr>
        <w:t>An eligible academic entity must submit the Site Identification Form to notify EPA or the authorized State that it is electing to be subject to Subpart K for all laboratories owned by the eligible academic entity under the same EPA Identification Number.  An eligible academic entity that is a conditionally exempt small quantity generator and does not have an EPA Identification Number must notify for all laboratories that are owned or operated by the eligible academic entity that are on-site.  In estimating the annual incremental burden to respondents over the three</w:t>
      </w:r>
      <w:r w:rsidRPr="00270DB5">
        <w:rPr>
          <w:rFonts w:ascii="Times New Roman" w:hAnsi="Times New Roman" w:cs="Times New Roman"/>
          <w:color w:val="000000"/>
          <w:sz w:val="24"/>
          <w:szCs w:val="24"/>
        </w:rPr>
        <w:noBreakHyphen/>
        <w:t>year period covered by this ICR, EPA annualized the burden of this one</w:t>
      </w:r>
      <w:r w:rsidRPr="00270DB5">
        <w:rPr>
          <w:rFonts w:ascii="Times New Roman" w:hAnsi="Times New Roman" w:cs="Times New Roman"/>
          <w:color w:val="000000"/>
          <w:sz w:val="24"/>
          <w:szCs w:val="24"/>
        </w:rPr>
        <w:noBreakHyphen/>
        <w:t xml:space="preserve">time activity by dividing the number of Site Identification Forms by three.  Thus, EPA estimates that, each year, </w:t>
      </w:r>
      <w:r w:rsidR="00282412" w:rsidRPr="00270DB5">
        <w:rPr>
          <w:rFonts w:ascii="Times New Roman" w:hAnsi="Times New Roman" w:cs="Times New Roman"/>
          <w:color w:val="000000"/>
          <w:sz w:val="24"/>
          <w:szCs w:val="24"/>
        </w:rPr>
        <w:t>3</w:t>
      </w:r>
      <w:r w:rsidR="00516029" w:rsidRPr="00270DB5">
        <w:rPr>
          <w:rFonts w:ascii="Times New Roman" w:hAnsi="Times New Roman" w:cs="Times New Roman"/>
          <w:color w:val="000000"/>
          <w:sz w:val="24"/>
          <w:szCs w:val="24"/>
        </w:rPr>
        <w:t>3</w:t>
      </w:r>
      <w:r w:rsidR="0060310A" w:rsidRPr="00270DB5">
        <w:rPr>
          <w:rFonts w:ascii="Times New Roman" w:hAnsi="Times New Roman" w:cs="Times New Roman"/>
          <w:color w:val="000000"/>
          <w:sz w:val="24"/>
          <w:szCs w:val="24"/>
        </w:rPr>
        <w:t xml:space="preserve"> </w:t>
      </w:r>
      <w:r w:rsidRPr="00270DB5">
        <w:rPr>
          <w:rFonts w:ascii="Times New Roman" w:hAnsi="Times New Roman" w:cs="Times New Roman"/>
          <w:color w:val="000000"/>
          <w:sz w:val="24"/>
          <w:szCs w:val="24"/>
        </w:rPr>
        <w:t xml:space="preserve">forms (i.e., </w:t>
      </w:r>
      <w:r w:rsidR="00516029" w:rsidRPr="00270DB5">
        <w:rPr>
          <w:rFonts w:ascii="Times New Roman" w:hAnsi="Times New Roman" w:cs="Times New Roman"/>
          <w:color w:val="000000"/>
          <w:sz w:val="24"/>
          <w:szCs w:val="24"/>
        </w:rPr>
        <w:t>99</w:t>
      </w:r>
      <w:r w:rsidR="0060310A" w:rsidRPr="00270DB5">
        <w:rPr>
          <w:rFonts w:ascii="Times New Roman" w:hAnsi="Times New Roman" w:cs="Times New Roman"/>
          <w:color w:val="000000"/>
          <w:sz w:val="24"/>
          <w:szCs w:val="24"/>
        </w:rPr>
        <w:t xml:space="preserve"> </w:t>
      </w:r>
      <w:r w:rsidRPr="00270DB5">
        <w:rPr>
          <w:rFonts w:ascii="Times New Roman" w:hAnsi="Times New Roman" w:cs="Times New Roman"/>
          <w:color w:val="000000"/>
          <w:sz w:val="24"/>
          <w:szCs w:val="24"/>
        </w:rPr>
        <w:t>forms/3 years) will be prepared, submitted, and retained.</w:t>
      </w: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r w:rsidRPr="00270DB5">
        <w:rPr>
          <w:rFonts w:ascii="Times New Roman" w:hAnsi="Times New Roman" w:cs="Times New Roman"/>
          <w:color w:val="000000"/>
          <w:sz w:val="24"/>
        </w:rPr>
        <w:t>Teaching hospitals</w:t>
      </w:r>
      <w:r w:rsidRPr="00270DB5">
        <w:rPr>
          <w:rFonts w:ascii="Times New Roman" w:hAnsi="Times New Roman" w:cs="Times New Roman"/>
          <w:color w:val="000000"/>
          <w:sz w:val="24"/>
          <w:szCs w:val="24"/>
        </w:rPr>
        <w:t xml:space="preserve"> opting into Subpart K must keep a copy of their formal written affiliation agreement with a college or university on file if they are not owned by a college or university.</w:t>
      </w:r>
      <w:r w:rsidRPr="00270DB5">
        <w:rPr>
          <w:rFonts w:ascii="Times New Roman" w:hAnsi="Times New Roman" w:cs="Times New Roman"/>
          <w:color w:val="000000"/>
          <w:sz w:val="24"/>
        </w:rPr>
        <w:t xml:space="preserve">  EPA has made the simplifying assumption that 50 percent of teaching hospitals opting into Subpart K (</w:t>
      </w:r>
      <w:r w:rsidR="000F22B1" w:rsidRPr="00270DB5">
        <w:rPr>
          <w:rFonts w:ascii="Times New Roman" w:hAnsi="Times New Roman" w:cs="Times New Roman"/>
          <w:color w:val="000000"/>
          <w:sz w:val="24"/>
        </w:rPr>
        <w:t>3 sites x 50% = 2 sites</w:t>
      </w:r>
      <w:r w:rsidRPr="00270DB5">
        <w:rPr>
          <w:rFonts w:ascii="Times New Roman" w:hAnsi="Times New Roman" w:cs="Times New Roman"/>
          <w:color w:val="000000"/>
          <w:sz w:val="24"/>
        </w:rPr>
        <w:t xml:space="preserve">) are not owned by a college or university and must keep these agreements on file.  </w:t>
      </w:r>
      <w:r w:rsidRPr="00270DB5">
        <w:rPr>
          <w:rFonts w:ascii="Times New Roman" w:hAnsi="Times New Roman" w:cs="Times New Roman"/>
          <w:color w:val="000000"/>
          <w:sz w:val="24"/>
          <w:szCs w:val="24"/>
        </w:rPr>
        <w:t>In estimating the annual incremental burden to them over the three</w:t>
      </w:r>
      <w:r w:rsidRPr="00270DB5">
        <w:rPr>
          <w:rFonts w:ascii="Times New Roman" w:hAnsi="Times New Roman" w:cs="Times New Roman"/>
          <w:color w:val="000000"/>
          <w:sz w:val="24"/>
          <w:szCs w:val="24"/>
        </w:rPr>
        <w:noBreakHyphen/>
        <w:t>year period covered by this ICR, EPA annualized the burden of this one</w:t>
      </w:r>
      <w:r w:rsidRPr="00270DB5">
        <w:rPr>
          <w:rFonts w:ascii="Times New Roman" w:hAnsi="Times New Roman" w:cs="Times New Roman"/>
          <w:color w:val="000000"/>
          <w:sz w:val="24"/>
          <w:szCs w:val="24"/>
        </w:rPr>
        <w:noBreakHyphen/>
        <w:t xml:space="preserve">time activity by dividing the number of respondents by three.  Thus, EPA estimates that, each year, </w:t>
      </w:r>
      <w:r w:rsidR="005C70F1" w:rsidRPr="00270DB5">
        <w:rPr>
          <w:rFonts w:ascii="Times New Roman" w:hAnsi="Times New Roman" w:cs="Times New Roman"/>
          <w:color w:val="000000"/>
          <w:sz w:val="24"/>
          <w:szCs w:val="24"/>
        </w:rPr>
        <w:t xml:space="preserve">one site </w:t>
      </w:r>
      <w:r w:rsidRPr="00270DB5">
        <w:rPr>
          <w:rFonts w:ascii="Times New Roman" w:hAnsi="Times New Roman" w:cs="Times New Roman"/>
          <w:color w:val="000000"/>
          <w:sz w:val="24"/>
          <w:szCs w:val="24"/>
        </w:rPr>
        <w:t xml:space="preserve">(i.e., </w:t>
      </w:r>
      <w:r w:rsidR="000F22B1" w:rsidRPr="00270DB5">
        <w:rPr>
          <w:rFonts w:ascii="Times New Roman" w:hAnsi="Times New Roman" w:cs="Times New Roman"/>
          <w:color w:val="000000"/>
          <w:sz w:val="24"/>
        </w:rPr>
        <w:t xml:space="preserve">3 sites x 50% </w:t>
      </w:r>
      <w:r w:rsidRPr="00270DB5">
        <w:rPr>
          <w:rFonts w:ascii="Times New Roman" w:hAnsi="Times New Roman" w:cs="Times New Roman"/>
          <w:color w:val="000000"/>
          <w:sz w:val="24"/>
          <w:szCs w:val="24"/>
        </w:rPr>
        <w:t>/</w:t>
      </w:r>
      <w:r w:rsidR="000F22B1" w:rsidRPr="00270DB5">
        <w:rPr>
          <w:rFonts w:ascii="Times New Roman" w:hAnsi="Times New Roman" w:cs="Times New Roman"/>
          <w:color w:val="000000"/>
          <w:sz w:val="24"/>
          <w:szCs w:val="24"/>
        </w:rPr>
        <w:t xml:space="preserve"> </w:t>
      </w:r>
      <w:r w:rsidRPr="00270DB5">
        <w:rPr>
          <w:rFonts w:ascii="Times New Roman" w:hAnsi="Times New Roman" w:cs="Times New Roman"/>
          <w:color w:val="000000"/>
          <w:sz w:val="24"/>
          <w:szCs w:val="24"/>
        </w:rPr>
        <w:t>3 years) will retain the agreements on file.</w:t>
      </w: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r w:rsidRPr="00270DB5">
        <w:rPr>
          <w:rFonts w:ascii="Times New Roman" w:hAnsi="Times New Roman" w:cs="Times New Roman"/>
          <w:color w:val="000000"/>
          <w:sz w:val="24"/>
          <w:szCs w:val="24"/>
        </w:rPr>
        <w:tab/>
        <w:t xml:space="preserve">Non-profit research institutes not owned by a college or university opting into Subpart K must keep a copy of the formal written affiliation agreement with a college or university on file.  The impact assessment developed for </w:t>
      </w:r>
      <w:r w:rsidR="00D764C0" w:rsidRPr="00270DB5">
        <w:rPr>
          <w:rFonts w:ascii="Times New Roman" w:hAnsi="Times New Roman" w:cs="Times New Roman"/>
          <w:bCs/>
          <w:color w:val="000000"/>
          <w:sz w:val="24"/>
        </w:rPr>
        <w:t xml:space="preserve">the final rule promulgating </w:t>
      </w:r>
      <w:r w:rsidR="007A13E1" w:rsidRPr="00270DB5">
        <w:rPr>
          <w:rFonts w:ascii="Times New Roman" w:hAnsi="Times New Roman" w:cs="Times New Roman"/>
          <w:bCs/>
          <w:color w:val="000000"/>
          <w:sz w:val="24"/>
        </w:rPr>
        <w:t xml:space="preserve">the </w:t>
      </w:r>
      <w:r w:rsidR="00D764C0" w:rsidRPr="00270DB5">
        <w:rPr>
          <w:rFonts w:ascii="Times New Roman" w:hAnsi="Times New Roman" w:cs="Times New Roman"/>
          <w:bCs/>
          <w:color w:val="000000"/>
          <w:sz w:val="24"/>
        </w:rPr>
        <w:t>Subpart K regulations</w:t>
      </w:r>
      <w:r w:rsidR="00D764C0" w:rsidRPr="00270DB5">
        <w:rPr>
          <w:rFonts w:ascii="Times New Roman" w:hAnsi="Times New Roman" w:cs="Times New Roman"/>
          <w:color w:val="000000"/>
          <w:sz w:val="24"/>
          <w:szCs w:val="24"/>
        </w:rPr>
        <w:t xml:space="preserve"> </w:t>
      </w:r>
      <w:r w:rsidRPr="00270DB5">
        <w:rPr>
          <w:rFonts w:ascii="Times New Roman" w:hAnsi="Times New Roman" w:cs="Times New Roman"/>
          <w:color w:val="000000"/>
          <w:sz w:val="24"/>
          <w:szCs w:val="24"/>
        </w:rPr>
        <w:t xml:space="preserve">does not estimate the number of non-profit research institutes opting into Subpart K separately from four-year colleges and universities that are opting in.  Rather, it estimates the combined number of sites at four-year colleges and universities </w:t>
      </w:r>
      <w:r w:rsidRPr="00270DB5">
        <w:rPr>
          <w:rFonts w:ascii="Times New Roman" w:hAnsi="Times New Roman" w:cs="Times New Roman"/>
          <w:color w:val="000000"/>
          <w:sz w:val="24"/>
          <w:szCs w:val="24"/>
          <w:u w:val="single"/>
        </w:rPr>
        <w:t>and</w:t>
      </w:r>
      <w:r w:rsidRPr="00270DB5">
        <w:rPr>
          <w:rFonts w:ascii="Times New Roman" w:hAnsi="Times New Roman" w:cs="Times New Roman"/>
          <w:color w:val="000000"/>
          <w:sz w:val="24"/>
          <w:szCs w:val="24"/>
        </w:rPr>
        <w:t xml:space="preserve"> non-profit research institutes opting into Subpart K (i.e., </w:t>
      </w:r>
      <w:r w:rsidR="00516029" w:rsidRPr="00270DB5">
        <w:rPr>
          <w:rFonts w:ascii="Times New Roman" w:hAnsi="Times New Roman" w:cs="Times New Roman"/>
          <w:color w:val="000000"/>
          <w:sz w:val="24"/>
          <w:szCs w:val="24"/>
        </w:rPr>
        <w:t xml:space="preserve">96 </w:t>
      </w:r>
      <w:r w:rsidRPr="00270DB5">
        <w:rPr>
          <w:rFonts w:ascii="Times New Roman" w:hAnsi="Times New Roman" w:cs="Times New Roman"/>
          <w:color w:val="000000"/>
          <w:sz w:val="24"/>
          <w:szCs w:val="24"/>
        </w:rPr>
        <w:t xml:space="preserve">sites in total).  For purposes of this ICR, EPA has made the simplifying assumption that </w:t>
      </w:r>
      <w:r w:rsidR="00516029" w:rsidRPr="00270DB5">
        <w:rPr>
          <w:rFonts w:ascii="Times New Roman" w:hAnsi="Times New Roman" w:cs="Times New Roman"/>
          <w:color w:val="000000"/>
          <w:sz w:val="24"/>
          <w:szCs w:val="24"/>
        </w:rPr>
        <w:t xml:space="preserve">approximately </w:t>
      </w:r>
      <w:r w:rsidRPr="00270DB5">
        <w:rPr>
          <w:rFonts w:ascii="Times New Roman" w:hAnsi="Times New Roman" w:cs="Times New Roman"/>
          <w:color w:val="000000"/>
          <w:sz w:val="24"/>
          <w:szCs w:val="24"/>
        </w:rPr>
        <w:t xml:space="preserve">five percent of these sites are non-profit research institutes (i.e., </w:t>
      </w:r>
      <w:r w:rsidR="00523593" w:rsidRPr="00270DB5">
        <w:rPr>
          <w:rFonts w:ascii="Times New Roman" w:hAnsi="Times New Roman" w:cs="Times New Roman"/>
          <w:color w:val="000000"/>
          <w:sz w:val="24"/>
          <w:szCs w:val="24"/>
        </w:rPr>
        <w:t xml:space="preserve">5 </w:t>
      </w:r>
      <w:r w:rsidRPr="00270DB5">
        <w:rPr>
          <w:rFonts w:ascii="Times New Roman" w:hAnsi="Times New Roman" w:cs="Times New Roman"/>
          <w:color w:val="000000"/>
          <w:sz w:val="24"/>
          <w:szCs w:val="24"/>
        </w:rPr>
        <w:t>sites).</w:t>
      </w:r>
      <w:r w:rsidRPr="00270DB5">
        <w:rPr>
          <w:rStyle w:val="FootnoteReference"/>
          <w:rFonts w:ascii="Times New Roman" w:hAnsi="Times New Roman" w:cs="Times New Roman"/>
          <w:color w:val="000000"/>
          <w:sz w:val="24"/>
          <w:szCs w:val="24"/>
          <w:vertAlign w:val="superscript"/>
        </w:rPr>
        <w:footnoteReference w:id="9"/>
      </w:r>
      <w:r w:rsidRPr="00270DB5">
        <w:rPr>
          <w:rFonts w:ascii="Times New Roman" w:hAnsi="Times New Roman" w:cs="Times New Roman"/>
          <w:color w:val="000000"/>
          <w:sz w:val="24"/>
          <w:szCs w:val="24"/>
        </w:rPr>
        <w:t xml:space="preserve">  In estimating the annual incremental burden to them over the three</w:t>
      </w:r>
      <w:r w:rsidRPr="00270DB5">
        <w:rPr>
          <w:rFonts w:ascii="Times New Roman" w:hAnsi="Times New Roman" w:cs="Times New Roman"/>
          <w:color w:val="000000"/>
          <w:sz w:val="24"/>
          <w:szCs w:val="24"/>
        </w:rPr>
        <w:noBreakHyphen/>
        <w:t>year period covered by this ICR, EPA annualized the burden of this one</w:t>
      </w:r>
      <w:r w:rsidRPr="00270DB5">
        <w:rPr>
          <w:rFonts w:ascii="Times New Roman" w:hAnsi="Times New Roman" w:cs="Times New Roman"/>
          <w:color w:val="000000"/>
          <w:sz w:val="24"/>
          <w:szCs w:val="24"/>
        </w:rPr>
        <w:noBreakHyphen/>
        <w:t xml:space="preserve">time activity by dividing the number of respondents by three.  Thus, EPA estimates that, each year, </w:t>
      </w:r>
      <w:r w:rsidR="00523593" w:rsidRPr="00270DB5">
        <w:rPr>
          <w:rFonts w:ascii="Times New Roman" w:hAnsi="Times New Roman" w:cs="Times New Roman"/>
          <w:color w:val="000000"/>
          <w:sz w:val="24"/>
          <w:szCs w:val="24"/>
        </w:rPr>
        <w:t xml:space="preserve">two sites </w:t>
      </w:r>
      <w:r w:rsidRPr="00270DB5">
        <w:rPr>
          <w:rFonts w:ascii="Times New Roman" w:hAnsi="Times New Roman" w:cs="Times New Roman"/>
          <w:color w:val="000000"/>
          <w:sz w:val="24"/>
          <w:szCs w:val="24"/>
        </w:rPr>
        <w:t>(i.e.,</w:t>
      </w:r>
      <w:r w:rsidR="00523593" w:rsidRPr="00270DB5">
        <w:rPr>
          <w:rFonts w:ascii="Times New Roman" w:hAnsi="Times New Roman" w:cs="Times New Roman"/>
          <w:color w:val="000000"/>
          <w:sz w:val="24"/>
          <w:szCs w:val="24"/>
        </w:rPr>
        <w:t xml:space="preserve"> 5 </w:t>
      </w:r>
      <w:r w:rsidRPr="00270DB5">
        <w:rPr>
          <w:rFonts w:ascii="Times New Roman" w:hAnsi="Times New Roman" w:cs="Times New Roman"/>
          <w:color w:val="000000"/>
          <w:sz w:val="24"/>
          <w:szCs w:val="24"/>
        </w:rPr>
        <w:t>sites/3 years) will retain the agreement on file.</w:t>
      </w:r>
    </w:p>
    <w:p w:rsidR="00146A6C" w:rsidRDefault="00146A6C">
      <w:pPr>
        <w:rPr>
          <w:sz w:val="24"/>
        </w:rPr>
      </w:pPr>
    </w:p>
    <w:p w:rsidR="00146A6C" w:rsidRDefault="00146A6C">
      <w:pPr>
        <w:keepNext/>
        <w:ind w:firstLine="720"/>
        <w:rPr>
          <w:sz w:val="24"/>
        </w:rPr>
      </w:pPr>
      <w:r>
        <w:rPr>
          <w:b/>
          <w:bCs/>
          <w:sz w:val="24"/>
        </w:rPr>
        <w:lastRenderedPageBreak/>
        <w:t>(c)</w:t>
      </w:r>
      <w:r>
        <w:rPr>
          <w:b/>
          <w:bCs/>
          <w:sz w:val="24"/>
        </w:rPr>
        <w:tab/>
        <w:t>Notification of Withdrawal from Subpart K</w:t>
      </w:r>
    </w:p>
    <w:p w:rsidR="00146A6C" w:rsidRDefault="00146A6C">
      <w:pPr>
        <w:keepNext/>
      </w:pPr>
    </w:p>
    <w:p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szCs w:val="24"/>
        </w:rPr>
        <w:tab/>
      </w:r>
      <w:r>
        <w:rPr>
          <w:rFonts w:ascii="Times New Roman" w:hAnsi="Times New Roman" w:cs="Times New Roman"/>
          <w:sz w:val="24"/>
          <w:szCs w:val="24"/>
        </w:rPr>
        <w:t>EPA does not expect any eligible academic entity to submit a withdrawal notification during the three</w:t>
      </w:r>
      <w:r>
        <w:rPr>
          <w:rFonts w:ascii="Times New Roman" w:hAnsi="Times New Roman" w:cs="Times New Roman"/>
          <w:sz w:val="24"/>
          <w:szCs w:val="24"/>
        </w:rPr>
        <w:noBreakHyphen/>
        <w:t>year period covered by this ICR.</w:t>
      </w:r>
    </w:p>
    <w:p w:rsidR="00146A6C" w:rsidRDefault="00146A6C">
      <w:pPr>
        <w:rPr>
          <w:sz w:val="24"/>
        </w:rPr>
      </w:pPr>
    </w:p>
    <w:p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rPr>
      </w:pPr>
      <w:r>
        <w:rPr>
          <w:rFonts w:ascii="Times New Roman" w:hAnsi="Times New Roman" w:cs="Times New Roman"/>
          <w:b/>
          <w:bCs/>
          <w:sz w:val="24"/>
          <w:szCs w:val="24"/>
        </w:rPr>
        <w:t>(d)</w:t>
      </w:r>
      <w:r>
        <w:rPr>
          <w:rFonts w:ascii="Times New Roman" w:hAnsi="Times New Roman" w:cs="Times New Roman"/>
          <w:b/>
          <w:bCs/>
          <w:sz w:val="24"/>
          <w:szCs w:val="24"/>
        </w:rPr>
        <w:tab/>
        <w:t>Labeling of Containers of Unwanted Material in the Laboratory</w:t>
      </w:r>
    </w:p>
    <w:p w:rsidR="00146A6C" w:rsidRPr="00270DB5"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rsidR="00146A6C" w:rsidRPr="00270DB5"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r w:rsidRPr="00270DB5">
        <w:rPr>
          <w:rFonts w:ascii="Times New Roman" w:hAnsi="Times New Roman" w:cs="Times New Roman"/>
          <w:color w:val="000000"/>
          <w:sz w:val="24"/>
          <w:szCs w:val="24"/>
        </w:rPr>
        <w:t xml:space="preserve">As shown in Table 3, EPA estimates that eligible academic entities subject to Subpart K will generate a total of </w:t>
      </w:r>
      <w:r w:rsidR="00B92C3A" w:rsidRPr="00270DB5">
        <w:rPr>
          <w:rFonts w:ascii="Times New Roman" w:hAnsi="Times New Roman" w:cs="Times New Roman"/>
          <w:color w:val="000000"/>
          <w:sz w:val="24"/>
        </w:rPr>
        <w:t xml:space="preserve">742,442 </w:t>
      </w:r>
      <w:r w:rsidRPr="00270DB5">
        <w:rPr>
          <w:rFonts w:ascii="Times New Roman" w:hAnsi="Times New Roman" w:cs="Times New Roman"/>
          <w:color w:val="000000"/>
          <w:sz w:val="24"/>
          <w:szCs w:val="24"/>
        </w:rPr>
        <w:t>containers of unwanted materials each year.  They must label the containers as specified at section 262.206.</w:t>
      </w:r>
    </w:p>
    <w:p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p>
    <w:p w:rsidR="00146A6C" w:rsidRPr="00270DB5" w:rsidRDefault="00146A6C">
      <w:pPr>
        <w:ind w:firstLine="720"/>
        <w:rPr>
          <w:color w:val="000000"/>
          <w:sz w:val="24"/>
        </w:rPr>
      </w:pPr>
      <w:r w:rsidRPr="00270DB5">
        <w:rPr>
          <w:b/>
          <w:bCs/>
          <w:color w:val="000000"/>
          <w:sz w:val="24"/>
        </w:rPr>
        <w:t>(e)</w:t>
      </w:r>
      <w:r w:rsidRPr="00270DB5">
        <w:rPr>
          <w:b/>
          <w:bCs/>
          <w:color w:val="000000"/>
          <w:sz w:val="24"/>
        </w:rPr>
        <w:tab/>
        <w:t>Training</w:t>
      </w:r>
    </w:p>
    <w:p w:rsidR="00146A6C" w:rsidRPr="00270DB5" w:rsidRDefault="00146A6C">
      <w:pPr>
        <w:rPr>
          <w:color w:val="000000"/>
          <w:sz w:val="24"/>
        </w:rPr>
      </w:pPr>
    </w:p>
    <w:p w:rsidR="00146A6C" w:rsidRPr="00270DB5" w:rsidRDefault="00146A6C">
      <w:pPr>
        <w:ind w:firstLine="720"/>
        <w:rPr>
          <w:color w:val="000000"/>
          <w:sz w:val="24"/>
        </w:rPr>
      </w:pPr>
      <w:r w:rsidRPr="00270DB5">
        <w:rPr>
          <w:color w:val="000000"/>
          <w:sz w:val="24"/>
        </w:rPr>
        <w:t xml:space="preserve">Under section 262.207, individuals working in a laboratory at the  </w:t>
      </w:r>
      <w:r w:rsidR="00B92C3A" w:rsidRPr="00270DB5">
        <w:rPr>
          <w:color w:val="000000"/>
          <w:sz w:val="24"/>
        </w:rPr>
        <w:t>99</w:t>
      </w:r>
      <w:r w:rsidR="0060310A" w:rsidRPr="00270DB5">
        <w:rPr>
          <w:color w:val="000000"/>
          <w:sz w:val="24"/>
        </w:rPr>
        <w:t xml:space="preserve"> </w:t>
      </w:r>
      <w:r w:rsidRPr="00270DB5">
        <w:rPr>
          <w:color w:val="000000"/>
          <w:sz w:val="24"/>
        </w:rPr>
        <w:t xml:space="preserve">sites must be trained commensurate with their duties.  In addition, LQGs must maintain training records for laboratory workers.  EPA’s impact assessment estimates that </w:t>
      </w:r>
      <w:r w:rsidR="00B92C3A" w:rsidRPr="00270DB5">
        <w:rPr>
          <w:color w:val="000000"/>
          <w:sz w:val="24"/>
        </w:rPr>
        <w:t xml:space="preserve">56% of the </w:t>
      </w:r>
      <w:r w:rsidRPr="00270DB5">
        <w:rPr>
          <w:color w:val="000000"/>
          <w:sz w:val="24"/>
        </w:rPr>
        <w:t>LQGs opting into Subpart K will shift in generator status to SQGs because of the laboratory clean-out incentives.</w:t>
      </w:r>
      <w:r w:rsidRPr="00270DB5">
        <w:rPr>
          <w:rStyle w:val="FootnoteReference"/>
          <w:color w:val="000000"/>
          <w:sz w:val="24"/>
          <w:vertAlign w:val="superscript"/>
        </w:rPr>
        <w:footnoteReference w:id="10"/>
      </w:r>
      <w:r w:rsidRPr="00270DB5">
        <w:rPr>
          <w:color w:val="000000"/>
          <w:sz w:val="24"/>
        </w:rPr>
        <w:t xml:space="preserve">  Hence, </w:t>
      </w:r>
      <w:r w:rsidR="00B92C3A" w:rsidRPr="00270DB5">
        <w:rPr>
          <w:color w:val="000000"/>
          <w:sz w:val="24"/>
        </w:rPr>
        <w:t xml:space="preserve">27 </w:t>
      </w:r>
      <w:r w:rsidR="00F609CB" w:rsidRPr="00270DB5">
        <w:rPr>
          <w:color w:val="000000"/>
          <w:sz w:val="24"/>
        </w:rPr>
        <w:t xml:space="preserve">(= </w:t>
      </w:r>
      <w:r w:rsidR="00B92C3A" w:rsidRPr="00270DB5">
        <w:rPr>
          <w:color w:val="000000"/>
          <w:sz w:val="24"/>
        </w:rPr>
        <w:t>48 x 56%</w:t>
      </w:r>
      <w:r w:rsidR="00F609CB" w:rsidRPr="00270DB5">
        <w:rPr>
          <w:color w:val="000000"/>
          <w:sz w:val="24"/>
        </w:rPr>
        <w:t>)</w:t>
      </w:r>
      <w:r w:rsidR="00B92C3A" w:rsidRPr="00270DB5">
        <w:rPr>
          <w:color w:val="000000"/>
          <w:sz w:val="24"/>
        </w:rPr>
        <w:t xml:space="preserve"> </w:t>
      </w:r>
      <w:r w:rsidRPr="00270DB5">
        <w:rPr>
          <w:color w:val="000000"/>
          <w:sz w:val="24"/>
        </w:rPr>
        <w:t xml:space="preserve">LQGs will be subject to the recordkeeping provision.  </w:t>
      </w:r>
    </w:p>
    <w:p w:rsidR="00146A6C" w:rsidRDefault="00146A6C">
      <w:pPr>
        <w:rPr>
          <w:sz w:val="24"/>
        </w:rPr>
      </w:pPr>
    </w:p>
    <w:p w:rsidR="00146A6C" w:rsidRDefault="00146A6C">
      <w:pPr>
        <w:ind w:firstLine="720"/>
        <w:rPr>
          <w:sz w:val="24"/>
        </w:rPr>
      </w:pPr>
      <w:r>
        <w:rPr>
          <w:sz w:val="24"/>
        </w:rPr>
        <w:t xml:space="preserve">Note: EPA believes that, under existing regulations (e.g., OSHA and EPA regulations) and standard industry practices, a variety of training is provided to individuals that use and/or manage chemicals, hazardous materials, and hazardous wastes as part of their job responsibilities.  EPA has found, for example, that the predominant practice by colleges and universities currently is to provide training to students regarding proper laboratory and waste management.  In addition, contractors/consultants that provide support services to eligible academic entities (e.g., brokers that provide hazardous waste management support to CESQGs) must train their employees, as applicable.  </w:t>
      </w:r>
    </w:p>
    <w:p w:rsidR="00146A6C" w:rsidRDefault="00146A6C">
      <w:pPr>
        <w:ind w:firstLine="720"/>
        <w:rPr>
          <w:sz w:val="24"/>
        </w:rPr>
      </w:pPr>
    </w:p>
    <w:p w:rsidR="00146A6C" w:rsidRDefault="00146A6C">
      <w:pPr>
        <w:ind w:firstLine="720"/>
        <w:rPr>
          <w:sz w:val="24"/>
        </w:rPr>
      </w:pPr>
      <w:r>
        <w:rPr>
          <w:sz w:val="24"/>
        </w:rPr>
        <w:t>Thus, EPA believes that the training requirements under the rule do not impose incremental burden on respondents.</w:t>
      </w:r>
      <w:r>
        <w:rPr>
          <w:rStyle w:val="FootnoteReference"/>
          <w:sz w:val="24"/>
          <w:vertAlign w:val="superscript"/>
        </w:rPr>
        <w:footnoteReference w:id="11"/>
      </w:r>
    </w:p>
    <w:p w:rsidR="00146A6C" w:rsidRDefault="00146A6C">
      <w:pPr>
        <w:rPr>
          <w:sz w:val="24"/>
        </w:rPr>
      </w:pPr>
    </w:p>
    <w:p w:rsidR="00146A6C" w:rsidRDefault="00146A6C">
      <w:pPr>
        <w:ind w:firstLine="720"/>
        <w:rPr>
          <w:b/>
          <w:bCs/>
          <w:sz w:val="24"/>
        </w:rPr>
      </w:pPr>
      <w:r>
        <w:rPr>
          <w:b/>
          <w:bCs/>
          <w:sz w:val="24"/>
        </w:rPr>
        <w:t>(f)</w:t>
      </w:r>
      <w:r>
        <w:rPr>
          <w:b/>
          <w:bCs/>
          <w:sz w:val="24"/>
        </w:rPr>
        <w:tab/>
        <w:t>Removing Containers of Unwanted Material from the Laboratory</w:t>
      </w:r>
    </w:p>
    <w:p w:rsidR="00146A6C" w:rsidRDefault="00146A6C">
      <w:pPr>
        <w:rPr>
          <w:sz w:val="24"/>
        </w:rPr>
      </w:pPr>
    </w:p>
    <w:p w:rsidR="00146A6C" w:rsidRDefault="00146A6C">
      <w:pPr>
        <w:ind w:firstLine="720"/>
        <w:rPr>
          <w:sz w:val="24"/>
        </w:rPr>
      </w:pPr>
      <w:r>
        <w:rPr>
          <w:sz w:val="24"/>
        </w:rPr>
        <w:t>EPA assumes that all eligible academic entities under Subpart K will remove their containers of unwanted material and reactive acutely hazardous unwanted materials from each laboratory on a regular basis.  Because of this, EPA anticipates that none of the laboratories will accumulate more than 55 gallons of unwanted material or 1 quart of acutely reactive unwanted material before the regularly scheduled removal.  As a result, EPA estimates that none of the entities will need to label any of its containers with the date the 55 gallons or the 1 quart of unwanted material is exceeded.</w:t>
      </w:r>
    </w:p>
    <w:p w:rsidR="00146A6C" w:rsidRDefault="00146A6C">
      <w:pPr>
        <w:ind w:firstLine="720"/>
        <w:rPr>
          <w:sz w:val="24"/>
        </w:rPr>
      </w:pPr>
    </w:p>
    <w:p w:rsidR="00146A6C" w:rsidRPr="00270DB5" w:rsidRDefault="00146A6C">
      <w:pPr>
        <w:keepNext/>
        <w:ind w:firstLine="720"/>
        <w:rPr>
          <w:b/>
          <w:bCs/>
          <w:color w:val="000000"/>
          <w:sz w:val="24"/>
        </w:rPr>
      </w:pPr>
      <w:r>
        <w:rPr>
          <w:b/>
          <w:bCs/>
          <w:sz w:val="24"/>
        </w:rPr>
        <w:t>(g)</w:t>
      </w:r>
      <w:r>
        <w:rPr>
          <w:b/>
          <w:bCs/>
          <w:sz w:val="24"/>
        </w:rPr>
        <w:tab/>
      </w:r>
      <w:r w:rsidRPr="00270DB5">
        <w:rPr>
          <w:b/>
          <w:bCs/>
          <w:color w:val="000000"/>
          <w:sz w:val="24"/>
        </w:rPr>
        <w:t>Making the Hazardous Waste Determination in the Laboratory</w:t>
      </w:r>
    </w:p>
    <w:p w:rsidR="00146A6C" w:rsidRPr="00270DB5" w:rsidRDefault="00146A6C">
      <w:pPr>
        <w:keepNext/>
        <w:rPr>
          <w:color w:val="000000"/>
          <w:sz w:val="24"/>
        </w:rPr>
      </w:pPr>
    </w:p>
    <w:p w:rsidR="00146A6C" w:rsidRDefault="00146A6C">
      <w:pPr>
        <w:keepNext/>
        <w:keepLines/>
        <w:ind w:firstLine="720"/>
        <w:rPr>
          <w:sz w:val="24"/>
        </w:rPr>
      </w:pPr>
      <w:r w:rsidRPr="00270DB5">
        <w:rPr>
          <w:color w:val="000000"/>
          <w:sz w:val="24"/>
        </w:rPr>
        <w:t xml:space="preserve">EPA estimates that  </w:t>
      </w:r>
      <w:r w:rsidR="003869D9" w:rsidRPr="00270DB5">
        <w:rPr>
          <w:color w:val="000000"/>
          <w:sz w:val="24"/>
        </w:rPr>
        <w:t xml:space="preserve">32 </w:t>
      </w:r>
      <w:r w:rsidRPr="00270DB5">
        <w:rPr>
          <w:color w:val="000000"/>
          <w:sz w:val="24"/>
        </w:rPr>
        <w:t xml:space="preserve">sites under Subpart K will not have an on-site CAA.  Rather, they will make their hazardous waste determinations in the laboratory.  EPA expects that a hazardous waste determination will be made for each container of unwanted material in these laboratories.  Based on the data in Table 3, EPA estimates that, each year, hazardous waste determinations will be made in the laboratory for </w:t>
      </w:r>
      <w:r w:rsidR="003869D9" w:rsidRPr="00270DB5">
        <w:rPr>
          <w:color w:val="000000"/>
          <w:sz w:val="24"/>
        </w:rPr>
        <w:t xml:space="preserve">742,442 </w:t>
      </w:r>
      <w:r w:rsidRPr="00270DB5">
        <w:rPr>
          <w:color w:val="000000"/>
          <w:sz w:val="24"/>
        </w:rPr>
        <w:t>containers of unwanted materials.  EPA assumes that unwanted materials in all of these containers will be determined</w:t>
      </w:r>
      <w:r>
        <w:rPr>
          <w:sz w:val="24"/>
        </w:rPr>
        <w:t xml:space="preserve"> to be hazardous waste, and thus, the appropriate hazardous waste code(s) will be added to the label that is associated with the containers.</w:t>
      </w:r>
    </w:p>
    <w:p w:rsidR="00146A6C" w:rsidRDefault="00146A6C">
      <w:pPr>
        <w:rPr>
          <w:sz w:val="24"/>
        </w:rPr>
      </w:pPr>
    </w:p>
    <w:p w:rsidR="00146A6C" w:rsidRDefault="00146A6C">
      <w:pPr>
        <w:rPr>
          <w:sz w:val="24"/>
        </w:rPr>
      </w:pPr>
      <w:r>
        <w:rPr>
          <w:sz w:val="24"/>
        </w:rPr>
        <w:tab/>
        <w:t xml:space="preserve">EPA notes that, for purposes of this analysis, only the addition of the appropriate hazardous waste code(s) to the container labels is considered incremental burden.  Under existing regulations (40 </w:t>
      </w:r>
      <w:r>
        <w:rPr>
          <w:i/>
          <w:iCs/>
          <w:sz w:val="24"/>
        </w:rPr>
        <w:t>CFR</w:t>
      </w:r>
      <w:r>
        <w:rPr>
          <w:sz w:val="24"/>
        </w:rPr>
        <w:t xml:space="preserve"> 262.11), generators must determine if their waste is hazardous per 40 </w:t>
      </w:r>
      <w:r>
        <w:rPr>
          <w:i/>
          <w:iCs/>
          <w:sz w:val="24"/>
        </w:rPr>
        <w:t>CFR</w:t>
      </w:r>
      <w:r>
        <w:rPr>
          <w:sz w:val="24"/>
        </w:rPr>
        <w:t xml:space="preserve"> 261.3.  Thus, the hazardous waste determination does not impose incremental burden on respondents.</w:t>
      </w:r>
    </w:p>
    <w:p w:rsidR="00146A6C" w:rsidRDefault="00146A6C">
      <w:pPr>
        <w:rPr>
          <w:sz w:val="24"/>
        </w:rPr>
      </w:pPr>
    </w:p>
    <w:p w:rsidR="00146A6C" w:rsidRDefault="00146A6C">
      <w:pPr>
        <w:ind w:left="1440" w:hanging="720"/>
        <w:rPr>
          <w:b/>
          <w:bCs/>
          <w:sz w:val="24"/>
        </w:rPr>
      </w:pPr>
      <w:r>
        <w:rPr>
          <w:b/>
          <w:bCs/>
          <w:sz w:val="24"/>
        </w:rPr>
        <w:t>(h)</w:t>
      </w:r>
      <w:r>
        <w:rPr>
          <w:b/>
          <w:bCs/>
          <w:sz w:val="24"/>
        </w:rPr>
        <w:tab/>
        <w:t>Making the Hazardous Waste Determination in an On-site Central Accumulation Area</w:t>
      </w:r>
    </w:p>
    <w:p w:rsidR="00146A6C" w:rsidRDefault="00146A6C">
      <w:pPr>
        <w:rPr>
          <w:sz w:val="24"/>
        </w:rPr>
      </w:pPr>
    </w:p>
    <w:p w:rsidR="00146A6C" w:rsidRDefault="00146A6C">
      <w:pPr>
        <w:ind w:firstLine="720"/>
        <w:rPr>
          <w:sz w:val="24"/>
        </w:rPr>
      </w:pPr>
      <w:r>
        <w:rPr>
          <w:sz w:val="24"/>
        </w:rPr>
        <w:t xml:space="preserve">EPA estimates that 10 sites under Subpart K will have an on-site CAA at which they will make their hazardous waste determinations.  EPA expects that a hazardous waste determination will be made for each container of unwanted material at the CAAs.  Based on the data in Table 3, EPA estimates that, each year, hazardous waste determinations will be made at CAAs </w:t>
      </w:r>
      <w:r w:rsidRPr="00270DB5">
        <w:rPr>
          <w:color w:val="000000"/>
          <w:sz w:val="24"/>
        </w:rPr>
        <w:t xml:space="preserve">for </w:t>
      </w:r>
      <w:r w:rsidR="003869D9" w:rsidRPr="00270DB5">
        <w:rPr>
          <w:color w:val="000000"/>
          <w:sz w:val="24"/>
        </w:rPr>
        <w:t xml:space="preserve">732,410 </w:t>
      </w:r>
      <w:r w:rsidRPr="00270DB5">
        <w:rPr>
          <w:color w:val="000000"/>
          <w:sz w:val="24"/>
        </w:rPr>
        <w:t>containers of unwanted</w:t>
      </w:r>
      <w:r>
        <w:rPr>
          <w:sz w:val="24"/>
        </w:rPr>
        <w:t xml:space="preserve"> materials.  EPA assumes that unwanted materials in all of these containers will be determined to be hazardous waste and thus, the appropriate hazardous waste code(s) will be added to the label that is associated with the containers.</w:t>
      </w:r>
    </w:p>
    <w:p w:rsidR="00146A6C" w:rsidRDefault="00146A6C">
      <w:pPr>
        <w:rPr>
          <w:sz w:val="24"/>
        </w:rPr>
      </w:pPr>
    </w:p>
    <w:p w:rsidR="00146A6C" w:rsidRDefault="00146A6C">
      <w:pPr>
        <w:rPr>
          <w:sz w:val="24"/>
        </w:rPr>
      </w:pPr>
      <w:r>
        <w:rPr>
          <w:sz w:val="24"/>
        </w:rPr>
        <w:tab/>
        <w:t xml:space="preserve">EPA notes that, for purposes of this analysis, only the addition of the appropriate hazardous waste code(s) to the container labels is considered incremental burden.  Under existing regulations (40 </w:t>
      </w:r>
      <w:r>
        <w:rPr>
          <w:i/>
          <w:iCs/>
          <w:sz w:val="24"/>
        </w:rPr>
        <w:t>CFR</w:t>
      </w:r>
      <w:r>
        <w:rPr>
          <w:sz w:val="24"/>
        </w:rPr>
        <w:t xml:space="preserve"> 262.11), generators must determine if their waste is hazardous.  Thus, the hazardous waste determination does not impose incremental burden on respondents.</w:t>
      </w:r>
      <w:r>
        <w:rPr>
          <w:sz w:val="24"/>
        </w:rPr>
        <w:tab/>
      </w:r>
    </w:p>
    <w:p w:rsidR="00146A6C" w:rsidRDefault="00146A6C">
      <w:pPr>
        <w:rPr>
          <w:sz w:val="24"/>
        </w:rPr>
      </w:pPr>
    </w:p>
    <w:p w:rsidR="00146A6C" w:rsidRDefault="00146A6C">
      <w:pPr>
        <w:keepNext/>
        <w:ind w:left="1440" w:hanging="720"/>
        <w:rPr>
          <w:b/>
          <w:bCs/>
          <w:sz w:val="24"/>
        </w:rPr>
      </w:pPr>
      <w:r>
        <w:rPr>
          <w:b/>
          <w:bCs/>
          <w:sz w:val="24"/>
        </w:rPr>
        <w:t>(i)</w:t>
      </w:r>
      <w:r>
        <w:rPr>
          <w:b/>
          <w:bCs/>
          <w:sz w:val="24"/>
        </w:rPr>
        <w:tab/>
        <w:t>Making the Hazardous Waste Determination at an On-site Interim Status or Permitted Treatment, Storage, or Disposal Facility</w:t>
      </w:r>
    </w:p>
    <w:p w:rsidR="00146A6C" w:rsidRDefault="00146A6C">
      <w:pPr>
        <w:keepNext/>
        <w:rPr>
          <w:sz w:val="24"/>
        </w:rPr>
      </w:pPr>
    </w:p>
    <w:p w:rsidR="00146A6C" w:rsidRDefault="00146A6C">
      <w:pPr>
        <w:keepNext/>
        <w:ind w:firstLine="720"/>
        <w:rPr>
          <w:sz w:val="24"/>
        </w:rPr>
      </w:pPr>
      <w:r>
        <w:rPr>
          <w:sz w:val="24"/>
        </w:rPr>
        <w:t>EPA expects that no hazardous waste determinations will be made at an on-site interim status or permitted TSDF during the three</w:t>
      </w:r>
      <w:r>
        <w:rPr>
          <w:sz w:val="24"/>
        </w:rPr>
        <w:noBreakHyphen/>
        <w:t>year period covered by this ICR.</w:t>
      </w:r>
    </w:p>
    <w:p w:rsidR="00146A6C" w:rsidRDefault="00146A6C">
      <w:pPr>
        <w:rPr>
          <w:sz w:val="24"/>
        </w:rPr>
      </w:pPr>
    </w:p>
    <w:p w:rsidR="00146A6C" w:rsidRDefault="00146A6C">
      <w:pPr>
        <w:keepNext/>
        <w:ind w:firstLine="720"/>
        <w:rPr>
          <w:sz w:val="24"/>
        </w:rPr>
      </w:pPr>
      <w:r>
        <w:rPr>
          <w:b/>
          <w:bCs/>
          <w:sz w:val="24"/>
        </w:rPr>
        <w:lastRenderedPageBreak/>
        <w:t>(j)</w:t>
      </w:r>
      <w:r>
        <w:rPr>
          <w:b/>
          <w:bCs/>
          <w:sz w:val="24"/>
        </w:rPr>
        <w:tab/>
        <w:t>Laboratory Clean-outs</w:t>
      </w:r>
    </w:p>
    <w:p w:rsidR="00146A6C" w:rsidRDefault="00146A6C">
      <w:pPr>
        <w:keepNext/>
        <w:rPr>
          <w:sz w:val="24"/>
        </w:rPr>
      </w:pPr>
    </w:p>
    <w:p w:rsidR="00146A6C" w:rsidRPr="006333DC" w:rsidRDefault="00146A6C" w:rsidP="003869D9">
      <w:pPr>
        <w:keepNext/>
        <w:keepLines/>
        <w:ind w:firstLine="720"/>
        <w:rPr>
          <w:color w:val="000000"/>
          <w:sz w:val="24"/>
        </w:rPr>
      </w:pPr>
      <w:r>
        <w:rPr>
          <w:sz w:val="24"/>
        </w:rPr>
        <w:t xml:space="preserve">EPA estimates </w:t>
      </w:r>
      <w:r w:rsidRPr="006333DC">
        <w:rPr>
          <w:color w:val="000000"/>
          <w:sz w:val="24"/>
        </w:rPr>
        <w:t>that 20 percent of the laboratories at each site under Subpart K will conduct a laboratory clean-out annually.  In addition, EPA estimates that 10 percent of all of the containers of unwanted material generated by these laboratories during the year will originate from their laboratory clean-out.  Hence, EPA multiplied the total number of containers in Table 3 by 20 percent and 10 percent, to esti</w:t>
      </w:r>
      <w:r w:rsidR="003869D9" w:rsidRPr="006333DC">
        <w:rPr>
          <w:color w:val="000000"/>
          <w:sz w:val="24"/>
        </w:rPr>
        <w:t xml:space="preserve">mate that 14,849 containers will </w:t>
      </w:r>
      <w:r w:rsidRPr="006333DC">
        <w:rPr>
          <w:color w:val="000000"/>
          <w:sz w:val="24"/>
        </w:rPr>
        <w:t xml:space="preserve">originate from laboratory clean-outs annually (i.e., </w:t>
      </w:r>
      <w:r w:rsidR="003869D9" w:rsidRPr="006333DC">
        <w:rPr>
          <w:color w:val="000000"/>
          <w:sz w:val="24"/>
        </w:rPr>
        <w:t xml:space="preserve">732,442 </w:t>
      </w:r>
      <w:r w:rsidRPr="006333DC">
        <w:rPr>
          <w:color w:val="000000"/>
          <w:sz w:val="24"/>
        </w:rPr>
        <w:t xml:space="preserve">x 20% x 10% = </w:t>
      </w:r>
      <w:r w:rsidRPr="006333DC">
        <w:rPr>
          <w:strike/>
          <w:color w:val="000000"/>
          <w:sz w:val="24"/>
        </w:rPr>
        <w:t>7,056</w:t>
      </w:r>
      <w:r w:rsidR="003869D9" w:rsidRPr="006333DC">
        <w:rPr>
          <w:color w:val="000000"/>
          <w:sz w:val="24"/>
        </w:rPr>
        <w:t xml:space="preserve"> 14,849</w:t>
      </w:r>
      <w:r w:rsidRPr="006333DC">
        <w:rPr>
          <w:color w:val="000000"/>
          <w:sz w:val="24"/>
        </w:rPr>
        <w:t>).  EPA estimates that personnel will spend two minutes per container to document the clean-out and two minutes per container to maintain documentation of the clean-out.</w:t>
      </w:r>
      <w:r w:rsidRPr="006333DC">
        <w:rPr>
          <w:rStyle w:val="FootnoteReference"/>
          <w:color w:val="000000"/>
          <w:sz w:val="24"/>
          <w:vertAlign w:val="superscript"/>
        </w:rPr>
        <w:footnoteReference w:id="12"/>
      </w:r>
    </w:p>
    <w:p w:rsidR="00146A6C" w:rsidRPr="006333DC" w:rsidRDefault="00146A6C">
      <w:pPr>
        <w:rPr>
          <w:color w:val="000000"/>
          <w:sz w:val="24"/>
        </w:rPr>
      </w:pPr>
    </w:p>
    <w:p w:rsidR="00146A6C" w:rsidRDefault="00146A6C">
      <w:pPr>
        <w:keepNext/>
        <w:ind w:firstLine="720"/>
        <w:rPr>
          <w:sz w:val="24"/>
        </w:rPr>
      </w:pPr>
      <w:r>
        <w:rPr>
          <w:b/>
          <w:bCs/>
          <w:sz w:val="24"/>
        </w:rPr>
        <w:t>(k)</w:t>
      </w:r>
      <w:r>
        <w:rPr>
          <w:b/>
          <w:bCs/>
          <w:sz w:val="24"/>
        </w:rPr>
        <w:tab/>
        <w:t>Laboratory Management Plan</w:t>
      </w:r>
    </w:p>
    <w:p w:rsidR="00146A6C" w:rsidRDefault="00146A6C">
      <w:pPr>
        <w:keepNext/>
        <w:rPr>
          <w:sz w:val="24"/>
        </w:rPr>
      </w:pPr>
      <w:r>
        <w:rPr>
          <w:sz w:val="24"/>
        </w:rPr>
        <w:tab/>
      </w:r>
    </w:p>
    <w:p w:rsidR="00146A6C" w:rsidRPr="006333DC" w:rsidRDefault="00146A6C">
      <w:pPr>
        <w:keepNext/>
        <w:keepLines/>
        <w:ind w:firstLine="720"/>
        <w:rPr>
          <w:color w:val="000000"/>
          <w:sz w:val="24"/>
        </w:rPr>
      </w:pPr>
      <w:r>
        <w:rPr>
          <w:sz w:val="24"/>
        </w:rPr>
        <w:t xml:space="preserve">Eligible academic entities are required to develop a Laboratory Management Plan or modify an existing plan for their sites under Subpart K.  For purposes of this ICR, EPA assumes that they </w:t>
      </w:r>
      <w:r w:rsidRPr="006333DC">
        <w:rPr>
          <w:color w:val="000000"/>
          <w:sz w:val="24"/>
        </w:rPr>
        <w:t>will revise an existing plan (e.g., Chemical Hygiene Plan) to comply with the Laboratory Management Plan requirement.  In estimating the annual incremental burden to respondents over the three</w:t>
      </w:r>
      <w:r w:rsidRPr="006333DC">
        <w:rPr>
          <w:color w:val="000000"/>
          <w:sz w:val="24"/>
        </w:rPr>
        <w:noBreakHyphen/>
        <w:t>year period covered by this ICR, EPA annualized the burden of this one</w:t>
      </w:r>
      <w:r w:rsidRPr="006333DC">
        <w:rPr>
          <w:color w:val="000000"/>
          <w:sz w:val="24"/>
        </w:rPr>
        <w:noBreakHyphen/>
        <w:t xml:space="preserve">time activity by dividing the number of Laboratory Management Plans by three.  Thus, EPA estimates that, on average, eligible academic entities will prepare </w:t>
      </w:r>
      <w:r w:rsidR="00282412" w:rsidRPr="006333DC">
        <w:rPr>
          <w:color w:val="000000"/>
          <w:sz w:val="24"/>
        </w:rPr>
        <w:t>3</w:t>
      </w:r>
      <w:r w:rsidR="0033638D" w:rsidRPr="006333DC">
        <w:rPr>
          <w:color w:val="000000"/>
          <w:sz w:val="24"/>
        </w:rPr>
        <w:t>3</w:t>
      </w:r>
      <w:r w:rsidR="0060310A" w:rsidRPr="006333DC">
        <w:rPr>
          <w:color w:val="000000"/>
          <w:sz w:val="24"/>
        </w:rPr>
        <w:t xml:space="preserve"> </w:t>
      </w:r>
      <w:r w:rsidRPr="006333DC">
        <w:rPr>
          <w:color w:val="000000"/>
          <w:sz w:val="24"/>
        </w:rPr>
        <w:t xml:space="preserve">Laboratory Management Plans per year (i.e., </w:t>
      </w:r>
      <w:r w:rsidR="0033638D" w:rsidRPr="006333DC">
        <w:rPr>
          <w:color w:val="000000"/>
          <w:sz w:val="24"/>
        </w:rPr>
        <w:t>99</w:t>
      </w:r>
      <w:r w:rsidR="0060310A" w:rsidRPr="006333DC">
        <w:rPr>
          <w:color w:val="000000"/>
          <w:sz w:val="24"/>
        </w:rPr>
        <w:t xml:space="preserve"> </w:t>
      </w:r>
      <w:r w:rsidRPr="006333DC">
        <w:rPr>
          <w:color w:val="000000"/>
          <w:sz w:val="24"/>
        </w:rPr>
        <w:t xml:space="preserve">Plans / 3 years). </w:t>
      </w:r>
    </w:p>
    <w:p w:rsidR="00146A6C" w:rsidRPr="006333DC" w:rsidRDefault="00146A6C">
      <w:pPr>
        <w:rPr>
          <w:color w:val="000000"/>
          <w:sz w:val="24"/>
        </w:rPr>
      </w:pPr>
    </w:p>
    <w:p w:rsidR="00146A6C" w:rsidRDefault="00146A6C">
      <w:pPr>
        <w:rPr>
          <w:sz w:val="24"/>
        </w:rPr>
      </w:pPr>
      <w:r>
        <w:rPr>
          <w:sz w:val="24"/>
        </w:rPr>
        <w:tab/>
        <w:t>EPA also estimates that each site will review, revise, and keep records of its Laboratory Management Plan each year.</w:t>
      </w:r>
      <w:r>
        <w:rPr>
          <w:rStyle w:val="FootnoteReference"/>
          <w:sz w:val="24"/>
          <w:vertAlign w:val="superscript"/>
        </w:rPr>
        <w:footnoteReference w:id="13"/>
      </w:r>
      <w:r>
        <w:rPr>
          <w:sz w:val="24"/>
        </w:rPr>
        <w:t xml:space="preserve">  </w:t>
      </w:r>
    </w:p>
    <w:p w:rsidR="00146A6C" w:rsidRDefault="00146A6C">
      <w:pPr>
        <w:rPr>
          <w:sz w:val="24"/>
        </w:rPr>
      </w:pPr>
    </w:p>
    <w:p w:rsidR="00146A6C" w:rsidRDefault="00146A6C">
      <w:pPr>
        <w:rPr>
          <w:sz w:val="24"/>
        </w:rPr>
      </w:pPr>
      <w:r>
        <w:rPr>
          <w:sz w:val="24"/>
        </w:rPr>
        <w:tab/>
        <w:t xml:space="preserve">Finally, the eligible academic entities must make the Laboratory Management Plan available to others (e.g., laboratory workers, students).  </w:t>
      </w:r>
    </w:p>
    <w:p w:rsidR="00146A6C" w:rsidRDefault="00146A6C">
      <w:pPr>
        <w:ind w:firstLine="720"/>
        <w:rPr>
          <w:b/>
          <w:bCs/>
          <w:sz w:val="24"/>
        </w:rPr>
      </w:pPr>
    </w:p>
    <w:p w:rsidR="00146A6C" w:rsidRDefault="00146A6C">
      <w:pPr>
        <w:tabs>
          <w:tab w:val="left" w:pos="-1440"/>
        </w:tabs>
        <w:ind w:left="1440" w:hanging="720"/>
        <w:rPr>
          <w:b/>
          <w:bCs/>
          <w:sz w:val="24"/>
        </w:rPr>
      </w:pPr>
      <w:r>
        <w:rPr>
          <w:b/>
          <w:bCs/>
          <w:sz w:val="24"/>
        </w:rPr>
        <w:t>(3)</w:t>
      </w:r>
      <w:r>
        <w:rPr>
          <w:b/>
          <w:bCs/>
          <w:sz w:val="24"/>
        </w:rPr>
        <w:tab/>
        <w:t>Annual Respondent Hour and Cost Impacts under Existing Paperwork Requirements</w:t>
      </w:r>
    </w:p>
    <w:p w:rsidR="00146A6C" w:rsidRDefault="00146A6C">
      <w:pPr>
        <w:ind w:firstLine="720"/>
        <w:rPr>
          <w:sz w:val="24"/>
        </w:rPr>
      </w:pPr>
      <w:r>
        <w:rPr>
          <w:sz w:val="24"/>
        </w:rPr>
        <w:t>﻿</w:t>
      </w:r>
    </w:p>
    <w:p w:rsidR="00146A6C" w:rsidRPr="006333DC" w:rsidRDefault="00146A6C">
      <w:pPr>
        <w:ind w:firstLine="720"/>
        <w:rPr>
          <w:color w:val="000000"/>
          <w:sz w:val="24"/>
        </w:rPr>
      </w:pPr>
      <w:r>
        <w:rPr>
          <w:sz w:val="24"/>
        </w:rPr>
        <w:t xml:space="preserve">Some eligible academic entities may be relieved of some of the existing generator standards under the rule, e.g., if they shift downward in generator status under Subpart K.  The impact assessment developed by </w:t>
      </w:r>
      <w:r w:rsidRPr="006333DC">
        <w:rPr>
          <w:color w:val="000000"/>
          <w:sz w:val="24"/>
        </w:rPr>
        <w:t xml:space="preserve">EPA for </w:t>
      </w:r>
      <w:r w:rsidR="00D96DF5" w:rsidRPr="006333DC">
        <w:rPr>
          <w:bCs/>
          <w:color w:val="000000"/>
          <w:sz w:val="24"/>
        </w:rPr>
        <w:t>the final rule promulgating</w:t>
      </w:r>
      <w:r w:rsidR="007A13E1" w:rsidRPr="006333DC">
        <w:rPr>
          <w:bCs/>
          <w:color w:val="000000"/>
          <w:sz w:val="24"/>
        </w:rPr>
        <w:t xml:space="preserve"> the</w:t>
      </w:r>
      <w:r w:rsidR="00D96DF5" w:rsidRPr="006333DC">
        <w:rPr>
          <w:bCs/>
          <w:color w:val="000000"/>
          <w:sz w:val="24"/>
        </w:rPr>
        <w:t xml:space="preserve"> Subpart K regulations</w:t>
      </w:r>
      <w:r w:rsidR="00D96DF5" w:rsidRPr="006333DC">
        <w:rPr>
          <w:color w:val="000000"/>
          <w:sz w:val="24"/>
        </w:rPr>
        <w:t xml:space="preserve"> </w:t>
      </w:r>
      <w:r w:rsidRPr="006333DC">
        <w:rPr>
          <w:color w:val="000000"/>
          <w:sz w:val="24"/>
        </w:rPr>
        <w:t>estimates that 14 LQGs will shift to SQGs and 7 SQGs will shift to CESQGs because of Subpart K’s laboratory clean-out incentives.</w:t>
      </w:r>
      <w:r w:rsidRPr="006333DC">
        <w:rPr>
          <w:rStyle w:val="FootnoteReference"/>
          <w:color w:val="000000"/>
          <w:sz w:val="24"/>
          <w:vertAlign w:val="superscript"/>
        </w:rPr>
        <w:footnoteReference w:id="14"/>
      </w:r>
      <w:r w:rsidRPr="006333DC">
        <w:rPr>
          <w:color w:val="000000"/>
          <w:sz w:val="24"/>
        </w:rPr>
        <w:t xml:space="preserve">  As a result, these sites will see some burden relief from the existing paperwork requirements.</w:t>
      </w:r>
    </w:p>
    <w:p w:rsidR="00146A6C" w:rsidRDefault="00146A6C">
      <w:pPr>
        <w:widowControl/>
        <w:rPr>
          <w:sz w:val="24"/>
        </w:rPr>
      </w:pPr>
      <w:r>
        <w:rPr>
          <w:sz w:val="24"/>
        </w:rPr>
        <w:tab/>
      </w:r>
    </w:p>
    <w:p w:rsidR="00146A6C" w:rsidRPr="00E47300" w:rsidRDefault="00146A6C">
      <w:pPr>
        <w:widowControl/>
        <w:ind w:firstLine="720"/>
        <w:rPr>
          <w:color w:val="000000"/>
          <w:sz w:val="24"/>
        </w:rPr>
      </w:pPr>
      <w:r>
        <w:rPr>
          <w:sz w:val="24"/>
        </w:rPr>
        <w:lastRenderedPageBreak/>
        <w:t xml:space="preserve">Exhibit 2 presents the total annual burden under </w:t>
      </w:r>
      <w:r w:rsidRPr="00E47300">
        <w:rPr>
          <w:color w:val="000000"/>
          <w:sz w:val="24"/>
        </w:rPr>
        <w:t xml:space="preserve">the </w:t>
      </w:r>
      <w:r w:rsidR="00320B53" w:rsidRPr="00E47300">
        <w:rPr>
          <w:color w:val="000000"/>
          <w:sz w:val="24"/>
        </w:rPr>
        <w:t xml:space="preserve">Subpart K’s </w:t>
      </w:r>
      <w:r w:rsidRPr="00E47300">
        <w:rPr>
          <w:color w:val="000000"/>
          <w:sz w:val="24"/>
        </w:rPr>
        <w:t>paperwork requirements, as well as the annual burden impacts (i.e., burden relief) under the existing paperwork requirements.  The burden relief under the existing requirements is presented according to the approved ICR in which the requirements are addressed.  Below is a brief discussion of these ICRs, along with a description of relevant capital and O&amp;M costs affected:</w:t>
      </w:r>
    </w:p>
    <w:p w:rsidR="00146A6C" w:rsidRPr="00E47300" w:rsidRDefault="00146A6C">
      <w:pPr>
        <w:widowControl/>
        <w:rPr>
          <w:color w:val="000000"/>
          <w:sz w:val="24"/>
        </w:rPr>
      </w:pPr>
      <w:r w:rsidRPr="00E47300">
        <w:rPr>
          <w:color w:val="000000"/>
          <w:sz w:val="24"/>
        </w:rPr>
        <w:tab/>
      </w:r>
      <w:r w:rsidRPr="00E47300">
        <w:rPr>
          <w:color w:val="000000"/>
          <w:sz w:val="24"/>
        </w:rPr>
        <w:tab/>
      </w:r>
      <w:r w:rsidRPr="00E47300">
        <w:rPr>
          <w:color w:val="000000"/>
          <w:sz w:val="24"/>
        </w:rPr>
        <w:tab/>
      </w:r>
      <w:r w:rsidRPr="00E47300">
        <w:rPr>
          <w:color w:val="000000"/>
          <w:sz w:val="24"/>
        </w:rPr>
        <w:tab/>
      </w:r>
      <w:r w:rsidRPr="00E47300">
        <w:rPr>
          <w:color w:val="000000"/>
          <w:sz w:val="24"/>
        </w:rPr>
        <w:tab/>
      </w:r>
      <w:r w:rsidRPr="00E47300">
        <w:rPr>
          <w:color w:val="000000"/>
          <w:sz w:val="24"/>
        </w:rPr>
        <w:tab/>
      </w:r>
      <w:r w:rsidRPr="00E47300">
        <w:rPr>
          <w:color w:val="000000"/>
          <w:sz w:val="24"/>
        </w:rPr>
        <w:tab/>
      </w:r>
      <w:r w:rsidRPr="00E47300">
        <w:rPr>
          <w:color w:val="000000"/>
          <w:sz w:val="24"/>
        </w:rPr>
        <w:tab/>
      </w:r>
    </w:p>
    <w:p w:rsidR="00146A6C" w:rsidRPr="00E47300" w:rsidRDefault="00146A6C">
      <w:pPr>
        <w:widowControl/>
        <w:numPr>
          <w:ilvl w:val="0"/>
          <w:numId w:val="1"/>
        </w:numPr>
        <w:tabs>
          <w:tab w:val="clear" w:pos="720"/>
          <w:tab w:val="num" w:pos="1440"/>
        </w:tabs>
        <w:ind w:left="1440" w:hanging="720"/>
        <w:rPr>
          <w:color w:val="000000"/>
          <w:sz w:val="24"/>
        </w:rPr>
      </w:pPr>
      <w:r w:rsidRPr="00E47300">
        <w:rPr>
          <w:color w:val="000000"/>
          <w:sz w:val="24"/>
        </w:rPr>
        <w:t>Requirements for Generators, Transporters, and Waste Management Facilities under the RCRA Hazardous Waste Manifest System (EPA ICR Number 801).  EPA estimates that some eligible academic entities will see some efficiencies in the movement of their hazardous waste under the final rule, resulting in fewer manifests being prepared.  In addition, EPA estimates that sites that drop in generator status (e.g., change from LQG to SQG) will need to prepare fewer manifests because they will not need to ship their waste offsite as often as under the baseline.  There are annual capital cost savings of $244 for fewer file cabinets needed to keep records of manifests.  There are annual O&amp;M cost savings of $998 for fewer transmittals of manifests by mail.</w:t>
      </w:r>
    </w:p>
    <w:p w:rsidR="00146A6C" w:rsidRPr="00E47300" w:rsidRDefault="00146A6C">
      <w:pPr>
        <w:widowControl/>
        <w:ind w:left="720"/>
        <w:rPr>
          <w:color w:val="000000"/>
          <w:sz w:val="24"/>
        </w:rPr>
      </w:pPr>
    </w:p>
    <w:p w:rsidR="00146A6C" w:rsidRPr="00E47300" w:rsidRDefault="00146A6C">
      <w:pPr>
        <w:widowControl/>
        <w:numPr>
          <w:ilvl w:val="0"/>
          <w:numId w:val="1"/>
        </w:numPr>
        <w:tabs>
          <w:tab w:val="clear" w:pos="720"/>
          <w:tab w:val="num" w:pos="1440"/>
        </w:tabs>
        <w:ind w:left="1440" w:hanging="720"/>
        <w:rPr>
          <w:color w:val="000000"/>
          <w:sz w:val="24"/>
        </w:rPr>
      </w:pPr>
      <w:r w:rsidRPr="00E47300">
        <w:rPr>
          <w:color w:val="000000"/>
          <w:sz w:val="24"/>
        </w:rPr>
        <w:t>Hazardous Waste Generator Standards (EPA ICR Number 820).  EPA estimates that sites that drop in generator status under Subpart K will see savings from reduced generator requirements.  There are no capital cost savings.  There are annual savings in O&amp;M costs of $19.  These savings are associated with the photocopying and transmittal of fewer records.</w:t>
      </w:r>
    </w:p>
    <w:p w:rsidR="00146A6C" w:rsidRPr="00E47300" w:rsidRDefault="00146A6C">
      <w:pPr>
        <w:widowControl/>
        <w:tabs>
          <w:tab w:val="num" w:pos="1440"/>
        </w:tabs>
        <w:ind w:left="1440" w:hanging="720"/>
        <w:rPr>
          <w:color w:val="000000"/>
          <w:sz w:val="24"/>
        </w:rPr>
      </w:pPr>
    </w:p>
    <w:p w:rsidR="00146A6C" w:rsidRPr="00E47300" w:rsidRDefault="00146A6C">
      <w:pPr>
        <w:widowControl/>
        <w:numPr>
          <w:ilvl w:val="0"/>
          <w:numId w:val="1"/>
        </w:numPr>
        <w:tabs>
          <w:tab w:val="clear" w:pos="720"/>
          <w:tab w:val="num" w:pos="1440"/>
        </w:tabs>
        <w:ind w:left="1440" w:hanging="720"/>
        <w:rPr>
          <w:color w:val="000000"/>
          <w:sz w:val="24"/>
        </w:rPr>
      </w:pPr>
      <w:r w:rsidRPr="00E47300">
        <w:rPr>
          <w:color w:val="000000"/>
          <w:sz w:val="24"/>
        </w:rPr>
        <w:t>The Hazardous Waste Report (EPA ICR Number 976).  EPA estimates that LQGs that drop in generator status to SQGs under Subpart K will see savings for no longer preparing/submitting a Hazardous Waste Report.  There are no capital cost savings.  There are annual savings in O&amp;M costs of $14.  These savings are associated with the transmittal and recordkeeping of fewer forms.</w:t>
      </w:r>
    </w:p>
    <w:p w:rsidR="00146A6C" w:rsidRDefault="00146A6C">
      <w:pPr>
        <w:pStyle w:val="Heading2"/>
        <w:ind w:firstLine="720"/>
        <w:rPr>
          <w:rFonts w:ascii="Times New Roman" w:hAnsi="Times New Roman" w:cs="Times New Roman"/>
          <w:i w:val="0"/>
          <w:iCs w:val="0"/>
          <w:sz w:val="24"/>
        </w:rPr>
      </w:pPr>
      <w:bookmarkStart w:id="423" w:name="_Toc146594798"/>
      <w:bookmarkStart w:id="424" w:name="_Toc194233056"/>
      <w:bookmarkStart w:id="425" w:name="_Toc194321379"/>
      <w:bookmarkStart w:id="426" w:name="_Toc194321594"/>
      <w:bookmarkStart w:id="427" w:name="_Toc194395948"/>
      <w:bookmarkStart w:id="428" w:name="_Toc195523834"/>
      <w:bookmarkStart w:id="429" w:name="_Toc195524045"/>
      <w:bookmarkStart w:id="430" w:name="_Toc198053468"/>
      <w:bookmarkStart w:id="431" w:name="_Toc199176371"/>
      <w:bookmarkStart w:id="432" w:name="_Toc201152829"/>
      <w:bookmarkStart w:id="433" w:name="_Toc201153942"/>
      <w:bookmarkStart w:id="434" w:name="_Toc203626047"/>
      <w:bookmarkStart w:id="435" w:name="_Toc203626155"/>
      <w:bookmarkStart w:id="436" w:name="_Toc203711649"/>
      <w:bookmarkStart w:id="437" w:name="_Toc203715796"/>
      <w:bookmarkStart w:id="438" w:name="_Toc327953077"/>
      <w:r>
        <w:rPr>
          <w:rFonts w:ascii="Times New Roman" w:hAnsi="Times New Roman" w:cs="Times New Roman"/>
          <w:i w:val="0"/>
          <w:iCs w:val="0"/>
          <w:sz w:val="24"/>
        </w:rPr>
        <w:t>6(e)</w:t>
      </w:r>
      <w:r>
        <w:rPr>
          <w:rFonts w:ascii="Times New Roman" w:hAnsi="Times New Roman" w:cs="Times New Roman"/>
          <w:i w:val="0"/>
          <w:iCs w:val="0"/>
          <w:sz w:val="24"/>
        </w:rPr>
        <w:tab/>
        <w:t>Bottom Line Hour and Cost Burden</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rsidR="00146A6C" w:rsidRDefault="00146A6C">
      <w:pPr>
        <w:keepNext/>
        <w:widowControl/>
        <w:rPr>
          <w:sz w:val="24"/>
        </w:rPr>
      </w:pPr>
    </w:p>
    <w:p w:rsidR="00146A6C" w:rsidRDefault="00146A6C">
      <w:pPr>
        <w:keepNext/>
        <w:widowControl/>
        <w:tabs>
          <w:tab w:val="left" w:pos="-1440"/>
        </w:tabs>
        <w:ind w:left="1440" w:hanging="720"/>
        <w:rPr>
          <w:sz w:val="24"/>
        </w:rPr>
      </w:pPr>
      <w:r>
        <w:rPr>
          <w:b/>
          <w:bCs/>
          <w:sz w:val="24"/>
        </w:rPr>
        <w:t>(1)</w:t>
      </w:r>
      <w:r>
        <w:rPr>
          <w:b/>
          <w:bCs/>
          <w:sz w:val="24"/>
        </w:rPr>
        <w:tab/>
        <w:t>Respondent Tally</w:t>
      </w:r>
    </w:p>
    <w:p w:rsidR="00146A6C" w:rsidRDefault="00146A6C">
      <w:pPr>
        <w:keepNext/>
        <w:widowControl/>
        <w:rPr>
          <w:sz w:val="24"/>
        </w:rPr>
      </w:pPr>
    </w:p>
    <w:p w:rsidR="00146A6C" w:rsidRPr="00E47300" w:rsidRDefault="00146A6C">
      <w:pPr>
        <w:keepNext/>
        <w:widowControl/>
        <w:rPr>
          <w:strike/>
          <w:color w:val="000000"/>
          <w:sz w:val="24"/>
        </w:rPr>
      </w:pPr>
      <w:r>
        <w:rPr>
          <w:sz w:val="24"/>
        </w:rPr>
        <w:tab/>
        <w:t xml:space="preserve">As shown in Exhibit 2, </w:t>
      </w:r>
      <w:r>
        <w:rPr>
          <w:bCs/>
          <w:sz w:val="24"/>
        </w:rPr>
        <w:t xml:space="preserve">EPA </w:t>
      </w:r>
      <w:r w:rsidRPr="00E47300">
        <w:rPr>
          <w:color w:val="000000"/>
          <w:sz w:val="24"/>
        </w:rPr>
        <w:t xml:space="preserve">estimates the total annual burden to respondents under the new paperwork requirements to be </w:t>
      </w:r>
      <w:r w:rsidR="00DB4D1D" w:rsidRPr="00E47300">
        <w:rPr>
          <w:color w:val="000000"/>
          <w:sz w:val="24"/>
        </w:rPr>
        <w:t>2</w:t>
      </w:r>
      <w:r w:rsidR="0004111C" w:rsidRPr="00E47300">
        <w:rPr>
          <w:color w:val="000000"/>
          <w:sz w:val="24"/>
        </w:rPr>
        <w:t>7</w:t>
      </w:r>
      <w:r w:rsidR="00DB4D1D" w:rsidRPr="00E47300">
        <w:rPr>
          <w:color w:val="000000"/>
          <w:sz w:val="24"/>
        </w:rPr>
        <w:t>,</w:t>
      </w:r>
      <w:r w:rsidR="0004111C" w:rsidRPr="00E47300">
        <w:rPr>
          <w:color w:val="000000"/>
          <w:sz w:val="24"/>
        </w:rPr>
        <w:t>719</w:t>
      </w:r>
      <w:r w:rsidR="00DB4D1D" w:rsidRPr="00E47300">
        <w:rPr>
          <w:color w:val="000000"/>
          <w:sz w:val="24"/>
        </w:rPr>
        <w:t xml:space="preserve"> </w:t>
      </w:r>
      <w:r w:rsidRPr="00E47300">
        <w:rPr>
          <w:color w:val="000000"/>
          <w:sz w:val="24"/>
        </w:rPr>
        <w:t xml:space="preserve">hours and </w:t>
      </w:r>
      <w:r w:rsidR="008D1048">
        <w:rPr>
          <w:color w:val="000000"/>
          <w:sz w:val="24"/>
        </w:rPr>
        <w:t>$</w:t>
      </w:r>
      <w:r w:rsidR="00DB4D1D" w:rsidRPr="00E47300">
        <w:rPr>
          <w:color w:val="000000"/>
          <w:sz w:val="24"/>
        </w:rPr>
        <w:t>1,</w:t>
      </w:r>
      <w:r w:rsidR="0004111C" w:rsidRPr="00E47300">
        <w:rPr>
          <w:color w:val="000000"/>
          <w:sz w:val="24"/>
        </w:rPr>
        <w:t>322</w:t>
      </w:r>
      <w:r w:rsidR="00DB4D1D" w:rsidRPr="00E47300">
        <w:rPr>
          <w:color w:val="000000"/>
          <w:sz w:val="24"/>
        </w:rPr>
        <w:t>,</w:t>
      </w:r>
      <w:r w:rsidR="0004111C" w:rsidRPr="00E47300">
        <w:rPr>
          <w:color w:val="000000"/>
          <w:sz w:val="24"/>
        </w:rPr>
        <w:t>414</w:t>
      </w:r>
      <w:r w:rsidRPr="00E47300">
        <w:rPr>
          <w:color w:val="000000"/>
          <w:sz w:val="24"/>
        </w:rPr>
        <w:t xml:space="preserve">.  The bottom-line burden over three years is estimated to be </w:t>
      </w:r>
      <w:r w:rsidR="00F620C8">
        <w:rPr>
          <w:color w:val="000000"/>
          <w:sz w:val="24"/>
        </w:rPr>
        <w:t>83,157</w:t>
      </w:r>
      <w:r w:rsidR="00DB4D1D" w:rsidRPr="00E47300">
        <w:rPr>
          <w:color w:val="000000"/>
          <w:sz w:val="24"/>
        </w:rPr>
        <w:t xml:space="preserve"> </w:t>
      </w:r>
      <w:r w:rsidRPr="00E47300">
        <w:rPr>
          <w:color w:val="000000"/>
          <w:sz w:val="24"/>
        </w:rPr>
        <w:t xml:space="preserve">hours and </w:t>
      </w:r>
      <w:r w:rsidR="00DB4D1D" w:rsidRPr="00E47300">
        <w:rPr>
          <w:color w:val="000000"/>
          <w:sz w:val="24"/>
        </w:rPr>
        <w:t>3,</w:t>
      </w:r>
      <w:r w:rsidR="00F620C8">
        <w:rPr>
          <w:color w:val="000000"/>
          <w:sz w:val="24"/>
        </w:rPr>
        <w:t>967,242</w:t>
      </w:r>
      <w:r w:rsidRPr="00E47300">
        <w:rPr>
          <w:color w:val="000000"/>
          <w:sz w:val="24"/>
        </w:rPr>
        <w:t>.</w:t>
      </w:r>
    </w:p>
    <w:p w:rsidR="00146A6C" w:rsidRDefault="00146A6C">
      <w:pPr>
        <w:widowControl/>
        <w:rPr>
          <w:sz w:val="24"/>
        </w:rPr>
      </w:pPr>
    </w:p>
    <w:p w:rsidR="00146A6C" w:rsidRDefault="00146A6C">
      <w:pPr>
        <w:keepNext/>
        <w:widowControl/>
        <w:tabs>
          <w:tab w:val="left" w:pos="-1440"/>
        </w:tabs>
        <w:ind w:left="1440" w:hanging="720"/>
        <w:rPr>
          <w:b/>
          <w:bCs/>
          <w:sz w:val="24"/>
        </w:rPr>
      </w:pPr>
      <w:r>
        <w:rPr>
          <w:b/>
          <w:bCs/>
          <w:sz w:val="24"/>
        </w:rPr>
        <w:lastRenderedPageBreak/>
        <w:t>(2)</w:t>
      </w:r>
      <w:r>
        <w:rPr>
          <w:b/>
          <w:bCs/>
          <w:sz w:val="24"/>
        </w:rPr>
        <w:tab/>
        <w:t>Agency Tally</w:t>
      </w:r>
    </w:p>
    <w:p w:rsidR="00146A6C" w:rsidRPr="00E47300" w:rsidRDefault="00146A6C">
      <w:pPr>
        <w:keepNext/>
        <w:widowControl/>
        <w:tabs>
          <w:tab w:val="left" w:pos="-1440"/>
        </w:tabs>
        <w:ind w:left="1440" w:hanging="720"/>
        <w:rPr>
          <w:b/>
          <w:bCs/>
          <w:color w:val="000000"/>
          <w:sz w:val="24"/>
        </w:rPr>
      </w:pPr>
    </w:p>
    <w:p w:rsidR="00146A6C" w:rsidRPr="00E47300" w:rsidRDefault="00146A6C">
      <w:pPr>
        <w:keepNext/>
        <w:widowControl/>
        <w:tabs>
          <w:tab w:val="left" w:pos="-1440"/>
        </w:tabs>
        <w:rPr>
          <w:color w:val="000000"/>
          <w:sz w:val="24"/>
        </w:rPr>
      </w:pPr>
      <w:r w:rsidRPr="00E47300">
        <w:rPr>
          <w:color w:val="000000"/>
          <w:sz w:val="24"/>
        </w:rPr>
        <w:tab/>
        <w:t xml:space="preserve">As shown in Exhibit 3, </w:t>
      </w:r>
      <w:r w:rsidRPr="00E47300">
        <w:rPr>
          <w:bCs/>
          <w:color w:val="000000"/>
          <w:sz w:val="24"/>
        </w:rPr>
        <w:t>EPA</w:t>
      </w:r>
      <w:r w:rsidRPr="00E47300">
        <w:rPr>
          <w:color w:val="000000"/>
          <w:sz w:val="24"/>
        </w:rPr>
        <w:t xml:space="preserve"> estimates the total annual burden to the government under the new paperwork requirements to be </w:t>
      </w:r>
      <w:r w:rsidR="00992B57" w:rsidRPr="00E47300">
        <w:rPr>
          <w:color w:val="000000"/>
          <w:sz w:val="24"/>
        </w:rPr>
        <w:t xml:space="preserve">25 </w:t>
      </w:r>
      <w:r w:rsidRPr="00E47300">
        <w:rPr>
          <w:color w:val="000000"/>
          <w:sz w:val="24"/>
        </w:rPr>
        <w:t xml:space="preserve">hours and </w:t>
      </w:r>
      <w:r w:rsidR="00992B57" w:rsidRPr="00E47300">
        <w:rPr>
          <w:color w:val="000000"/>
          <w:sz w:val="24"/>
        </w:rPr>
        <w:t>$888</w:t>
      </w:r>
      <w:r w:rsidRPr="00E47300">
        <w:rPr>
          <w:color w:val="000000"/>
          <w:sz w:val="24"/>
        </w:rPr>
        <w:t xml:space="preserve">.  The bottom-line burden over three years is estimated to be </w:t>
      </w:r>
      <w:r w:rsidR="00992B57" w:rsidRPr="00E47300">
        <w:rPr>
          <w:color w:val="000000"/>
          <w:sz w:val="24"/>
        </w:rPr>
        <w:t xml:space="preserve">75 </w:t>
      </w:r>
      <w:r w:rsidRPr="00E47300">
        <w:rPr>
          <w:color w:val="000000"/>
          <w:sz w:val="24"/>
        </w:rPr>
        <w:t xml:space="preserve">hours and </w:t>
      </w:r>
      <w:r w:rsidR="00992B57" w:rsidRPr="00E47300">
        <w:rPr>
          <w:color w:val="000000"/>
          <w:sz w:val="24"/>
        </w:rPr>
        <w:t>$2,664</w:t>
      </w:r>
      <w:r w:rsidRPr="00E47300">
        <w:rPr>
          <w:color w:val="000000"/>
          <w:sz w:val="24"/>
        </w:rPr>
        <w:t>.</w:t>
      </w:r>
    </w:p>
    <w:p w:rsidR="00146A6C" w:rsidRPr="00E47300" w:rsidRDefault="00146A6C">
      <w:pPr>
        <w:pStyle w:val="Heading2"/>
        <w:ind w:left="720"/>
        <w:rPr>
          <w:rFonts w:ascii="Times New Roman" w:hAnsi="Times New Roman" w:cs="Times New Roman"/>
          <w:i w:val="0"/>
          <w:iCs w:val="0"/>
          <w:color w:val="000000"/>
          <w:sz w:val="24"/>
        </w:rPr>
      </w:pPr>
      <w:bookmarkStart w:id="439" w:name="_Toc146594799"/>
      <w:bookmarkStart w:id="440" w:name="_Toc194233057"/>
      <w:bookmarkStart w:id="441" w:name="_Toc194321380"/>
      <w:bookmarkStart w:id="442" w:name="_Toc194321595"/>
      <w:bookmarkStart w:id="443" w:name="_Toc194395949"/>
      <w:bookmarkStart w:id="444" w:name="_Toc195523835"/>
      <w:bookmarkStart w:id="445" w:name="_Toc195524046"/>
      <w:bookmarkStart w:id="446" w:name="_Toc198053469"/>
      <w:bookmarkStart w:id="447" w:name="_Toc199176372"/>
      <w:bookmarkStart w:id="448" w:name="_Toc201152830"/>
      <w:bookmarkStart w:id="449" w:name="_Toc201153943"/>
      <w:bookmarkStart w:id="450" w:name="_Toc203626048"/>
      <w:bookmarkStart w:id="451" w:name="_Toc203626156"/>
      <w:bookmarkStart w:id="452" w:name="_Toc203711650"/>
      <w:bookmarkStart w:id="453" w:name="_Toc203715797"/>
      <w:bookmarkStart w:id="454" w:name="_Toc327953078"/>
      <w:r w:rsidRPr="00E47300">
        <w:rPr>
          <w:rFonts w:ascii="Times New Roman" w:hAnsi="Times New Roman" w:cs="Times New Roman"/>
          <w:i w:val="0"/>
          <w:iCs w:val="0"/>
          <w:color w:val="000000"/>
          <w:sz w:val="24"/>
        </w:rPr>
        <w:t>6(f)</w:t>
      </w:r>
      <w:r w:rsidRPr="00E47300">
        <w:rPr>
          <w:rFonts w:ascii="Times New Roman" w:hAnsi="Times New Roman" w:cs="Times New Roman"/>
          <w:i w:val="0"/>
          <w:iCs w:val="0"/>
          <w:color w:val="000000"/>
          <w:sz w:val="24"/>
        </w:rPr>
        <w:tab/>
        <w:t>Reasons for Change In Burden</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rsidR="00146A6C" w:rsidRDefault="00146A6C">
      <w:pPr>
        <w:keepNext/>
        <w:rPr>
          <w:sz w:val="24"/>
        </w:rPr>
      </w:pPr>
      <w:bookmarkStart w:id="455" w:name="a__"/>
      <w:bookmarkStart w:id="456" w:name="_Toc146594800"/>
      <w:bookmarkStart w:id="457" w:name="_Toc194233058"/>
      <w:bookmarkStart w:id="458" w:name="_Toc194321381"/>
      <w:bookmarkStart w:id="459" w:name="_Toc194321596"/>
      <w:bookmarkStart w:id="460" w:name="_Toc194395950"/>
      <w:bookmarkStart w:id="461" w:name="_Toc195523836"/>
      <w:bookmarkStart w:id="462" w:name="_Toc195524047"/>
      <w:bookmarkStart w:id="463" w:name="_Toc198053470"/>
      <w:bookmarkStart w:id="464" w:name="_Toc199176373"/>
      <w:bookmarkEnd w:id="455"/>
    </w:p>
    <w:p w:rsidR="00752385" w:rsidRPr="00E47300" w:rsidRDefault="001604AD" w:rsidP="001604AD">
      <w:pPr>
        <w:widowControl/>
        <w:ind w:firstLine="720"/>
        <w:rPr>
          <w:color w:val="000000"/>
          <w:sz w:val="24"/>
        </w:rPr>
      </w:pPr>
      <w:r w:rsidRPr="00E47300">
        <w:rPr>
          <w:color w:val="000000"/>
          <w:sz w:val="24"/>
        </w:rPr>
        <w:t>The annual respondent burden in this current ICR (#2317.02) is estimated to be 2</w:t>
      </w:r>
      <w:r w:rsidR="00B61ECE" w:rsidRPr="00E47300">
        <w:rPr>
          <w:color w:val="000000"/>
          <w:sz w:val="24"/>
        </w:rPr>
        <w:t>7</w:t>
      </w:r>
      <w:r w:rsidRPr="00E47300">
        <w:rPr>
          <w:color w:val="000000"/>
          <w:sz w:val="24"/>
        </w:rPr>
        <w:t>,</w:t>
      </w:r>
      <w:r w:rsidR="00B61ECE" w:rsidRPr="00E47300">
        <w:rPr>
          <w:color w:val="000000"/>
          <w:sz w:val="24"/>
        </w:rPr>
        <w:t>719</w:t>
      </w:r>
      <w:r w:rsidRPr="00E47300">
        <w:rPr>
          <w:color w:val="000000"/>
          <w:sz w:val="24"/>
        </w:rPr>
        <w:t xml:space="preserve"> hours, which is </w:t>
      </w:r>
      <w:r w:rsidR="00752385" w:rsidRPr="00E47300">
        <w:rPr>
          <w:color w:val="000000"/>
          <w:sz w:val="24"/>
        </w:rPr>
        <w:t>an increase of 1</w:t>
      </w:r>
      <w:r w:rsidR="00B61ECE" w:rsidRPr="00E47300">
        <w:rPr>
          <w:color w:val="000000"/>
          <w:sz w:val="24"/>
        </w:rPr>
        <w:t>3</w:t>
      </w:r>
      <w:r w:rsidR="00752385" w:rsidRPr="00E47300">
        <w:rPr>
          <w:color w:val="000000"/>
          <w:sz w:val="24"/>
        </w:rPr>
        <w:t>,</w:t>
      </w:r>
      <w:r w:rsidR="00B61ECE" w:rsidRPr="00E47300">
        <w:rPr>
          <w:color w:val="000000"/>
          <w:sz w:val="24"/>
        </w:rPr>
        <w:t>260</w:t>
      </w:r>
      <w:r w:rsidR="00752385" w:rsidRPr="00E47300">
        <w:rPr>
          <w:color w:val="000000"/>
          <w:sz w:val="24"/>
        </w:rPr>
        <w:t xml:space="preserve"> hours</w:t>
      </w:r>
      <w:r w:rsidRPr="00E47300">
        <w:rPr>
          <w:color w:val="000000"/>
          <w:sz w:val="24"/>
        </w:rPr>
        <w:t xml:space="preserve"> from the previously approved ICR</w:t>
      </w:r>
      <w:r w:rsidR="00752385" w:rsidRPr="00E47300">
        <w:rPr>
          <w:color w:val="000000"/>
          <w:sz w:val="24"/>
        </w:rPr>
        <w:t xml:space="preserve">.  This increase is an adjustment to the existing estimates based on </w:t>
      </w:r>
      <w:r w:rsidR="00DE15D2" w:rsidRPr="00E47300">
        <w:rPr>
          <w:color w:val="000000"/>
          <w:sz w:val="24"/>
        </w:rPr>
        <w:t xml:space="preserve">data gathered through industry consultations and </w:t>
      </w:r>
      <w:r w:rsidR="00317A02" w:rsidRPr="00E47300">
        <w:rPr>
          <w:color w:val="000000"/>
          <w:sz w:val="24"/>
        </w:rPr>
        <w:t xml:space="preserve">review of </w:t>
      </w:r>
      <w:r w:rsidR="00DE15D2" w:rsidRPr="00E47300">
        <w:rPr>
          <w:color w:val="000000"/>
          <w:sz w:val="24"/>
        </w:rPr>
        <w:t xml:space="preserve">the </w:t>
      </w:r>
      <w:r w:rsidR="003B32CD" w:rsidRPr="00E47300">
        <w:rPr>
          <w:color w:val="000000"/>
          <w:sz w:val="24"/>
          <w:lang/>
        </w:rPr>
        <w:t xml:space="preserve">Resource Conservation and Recovery Act Information </w:t>
      </w:r>
      <w:r w:rsidR="003B32CD" w:rsidRPr="00E47300">
        <w:rPr>
          <w:color w:val="000000"/>
          <w:sz w:val="24"/>
        </w:rPr>
        <w:t>(RCRAInfo) national d</w:t>
      </w:r>
      <w:r w:rsidR="00DE15D2" w:rsidRPr="00E47300">
        <w:rPr>
          <w:color w:val="000000"/>
          <w:sz w:val="24"/>
        </w:rPr>
        <w:t xml:space="preserve">atabase </w:t>
      </w:r>
      <w:r w:rsidR="00752385" w:rsidRPr="00E47300">
        <w:rPr>
          <w:color w:val="000000"/>
          <w:sz w:val="24"/>
        </w:rPr>
        <w:t>(see Attachments 1 and 2), not due to program changes.</w:t>
      </w:r>
    </w:p>
    <w:p w:rsidR="00146A6C" w:rsidRDefault="00146A6C">
      <w:pPr>
        <w:pStyle w:val="Heading2"/>
        <w:ind w:firstLine="720"/>
        <w:rPr>
          <w:rFonts w:ascii="Times New Roman" w:hAnsi="Times New Roman" w:cs="Times New Roman"/>
          <w:i w:val="0"/>
          <w:iCs w:val="0"/>
          <w:sz w:val="24"/>
        </w:rPr>
      </w:pPr>
      <w:bookmarkStart w:id="465" w:name="_Toc201152831"/>
      <w:bookmarkStart w:id="466" w:name="_Toc201153944"/>
      <w:bookmarkStart w:id="467" w:name="_Toc203626049"/>
      <w:bookmarkStart w:id="468" w:name="_Toc203626157"/>
      <w:bookmarkStart w:id="469" w:name="_Toc203711651"/>
      <w:bookmarkStart w:id="470" w:name="_Toc203715798"/>
      <w:bookmarkStart w:id="471" w:name="_Toc327953079"/>
      <w:r>
        <w:rPr>
          <w:rFonts w:ascii="Times New Roman" w:hAnsi="Times New Roman" w:cs="Times New Roman"/>
          <w:i w:val="0"/>
          <w:iCs w:val="0"/>
          <w:sz w:val="24"/>
        </w:rPr>
        <w:t>6(g)</w:t>
      </w:r>
      <w:r>
        <w:rPr>
          <w:rFonts w:ascii="Times New Roman" w:hAnsi="Times New Roman" w:cs="Times New Roman"/>
          <w:i w:val="0"/>
          <w:iCs w:val="0"/>
          <w:sz w:val="24"/>
        </w:rPr>
        <w:tab/>
        <w:t>Public Burden Statement</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rsidR="00146A6C" w:rsidRDefault="00146A6C">
      <w:pPr>
        <w:widowControl/>
        <w:ind w:firstLine="720"/>
        <w:rPr>
          <w:sz w:val="24"/>
        </w:rPr>
      </w:pPr>
    </w:p>
    <w:p w:rsidR="00146A6C" w:rsidRPr="00E47300" w:rsidRDefault="00146A6C">
      <w:pPr>
        <w:widowControl/>
        <w:ind w:firstLine="720"/>
        <w:rPr>
          <w:color w:val="000000"/>
          <w:sz w:val="24"/>
        </w:rPr>
      </w:pPr>
      <w:r>
        <w:rPr>
          <w:sz w:val="24"/>
        </w:rPr>
        <w:t xml:space="preserve">The hourly </w:t>
      </w:r>
      <w:r w:rsidRPr="00E47300">
        <w:rPr>
          <w:color w:val="000000"/>
          <w:sz w:val="24"/>
        </w:rPr>
        <w:t xml:space="preserve">reporting burden associated with </w:t>
      </w:r>
      <w:r w:rsidR="00514D8E" w:rsidRPr="00E47300">
        <w:rPr>
          <w:color w:val="000000"/>
          <w:sz w:val="24"/>
        </w:rPr>
        <w:t xml:space="preserve">Subpart K </w:t>
      </w:r>
      <w:r w:rsidRPr="00E47300">
        <w:rPr>
          <w:color w:val="000000"/>
          <w:sz w:val="24"/>
        </w:rPr>
        <w:t xml:space="preserve">is estimated to be 10 minutes per respondent.  This includes time for preparing and submitting a Site Identification Form to opt into Subpart K.  The hourly recordkeeping burden associated with </w:t>
      </w:r>
      <w:r w:rsidR="00514D8E" w:rsidRPr="00E47300">
        <w:rPr>
          <w:color w:val="000000"/>
          <w:sz w:val="24"/>
        </w:rPr>
        <w:t xml:space="preserve">Subpart K </w:t>
      </w:r>
      <w:r w:rsidRPr="00E47300">
        <w:rPr>
          <w:color w:val="000000"/>
          <w:sz w:val="24"/>
        </w:rPr>
        <w:t xml:space="preserve">is estimated to be approximately </w:t>
      </w:r>
      <w:r w:rsidR="001A501A" w:rsidRPr="00E47300">
        <w:rPr>
          <w:color w:val="000000"/>
          <w:sz w:val="24"/>
        </w:rPr>
        <w:t>2</w:t>
      </w:r>
      <w:r w:rsidR="0004111C" w:rsidRPr="00E47300">
        <w:rPr>
          <w:color w:val="000000"/>
          <w:sz w:val="24"/>
        </w:rPr>
        <w:t>80</w:t>
      </w:r>
      <w:r w:rsidR="001A501A" w:rsidRPr="00E47300">
        <w:rPr>
          <w:color w:val="000000"/>
          <w:sz w:val="24"/>
        </w:rPr>
        <w:t xml:space="preserve"> </w:t>
      </w:r>
      <w:r w:rsidRPr="00E47300">
        <w:rPr>
          <w:color w:val="000000"/>
          <w:sz w:val="24"/>
        </w:rPr>
        <w:t>hours per respondent.  This includes time for reading the regulations, labeling containers, and preparing and maintaining specified documents (e.g., Laboratory Management Plan).</w:t>
      </w:r>
    </w:p>
    <w:p w:rsidR="00146A6C" w:rsidRPr="00E47300" w:rsidRDefault="00146A6C">
      <w:pPr>
        <w:widowControl/>
        <w:ind w:firstLine="720"/>
        <w:rPr>
          <w:color w:val="000000"/>
          <w:sz w:val="24"/>
        </w:rPr>
      </w:pPr>
    </w:p>
    <w:p w:rsidR="003153AE" w:rsidRDefault="00146A6C">
      <w:pPr>
        <w:widowControl/>
        <w:ind w:firstLine="720"/>
        <w:rPr>
          <w:sz w:val="24"/>
        </w:rPr>
      </w:pPr>
      <w:r w:rsidRPr="00E47300">
        <w:rPr>
          <w:color w:val="000000"/>
          <w:sz w:val="24"/>
        </w:rPr>
        <w:t xml:space="preserve">To comment on the Agency's need for this information, the accuracy of the provided burden estimates, and any suggested methods for minimizing respondent burden, including the use of automated collection techniques, EPA has established a public docket under Docket ID Number </w:t>
      </w:r>
      <w:r w:rsidR="003153AE" w:rsidRPr="00E47300">
        <w:rPr>
          <w:color w:val="000000"/>
          <w:sz w:val="24"/>
        </w:rPr>
        <w:t>EPA-HQ-RCRA-2012-2163</w:t>
      </w:r>
      <w:r w:rsidRPr="00E47300">
        <w:rPr>
          <w:color w:val="000000"/>
          <w:sz w:val="24"/>
        </w:rPr>
        <w:t>, which is available for online viewing at www.regulations.gov, or in person viewing at the Resource Conservation and Recovery Act (RCRA) Docket in the EPA Docket Center (EPA</w:t>
      </w:r>
      <w:r>
        <w:rPr>
          <w:sz w:val="24"/>
        </w:rPr>
        <w:t xml:space="preserve">/DC), EPA West, Room </w:t>
      </w:r>
      <w:r w:rsidR="007604E0">
        <w:rPr>
          <w:sz w:val="24"/>
        </w:rPr>
        <w:t>3334</w:t>
      </w:r>
      <w:r>
        <w:rPr>
          <w:sz w:val="24"/>
        </w:rPr>
        <w:t>, 1301 Constitution Avenue, NW, Washington, D.C.  The EPA Docket Center Public Reading Room is open from 8:30 a.m. to 4:30 p.m., Monday through Friday, excluding legal holidays.  The telephone number for the Reading Room is (202) 566</w:t>
      </w:r>
      <w:r>
        <w:rPr>
          <w:sz w:val="24"/>
        </w:rPr>
        <w:noBreakHyphen/>
        <w:t xml:space="preserve">1744, and the telephone number for the Resource Conservation and Recovery Act (RCRA) Docket is </w:t>
      </w:r>
      <w:r w:rsidR="003153AE">
        <w:rPr>
          <w:sz w:val="24"/>
        </w:rPr>
        <w:t>(</w:t>
      </w:r>
      <w:r>
        <w:rPr>
          <w:sz w:val="24"/>
        </w:rPr>
        <w:t>202</w:t>
      </w:r>
      <w:r w:rsidR="003153AE">
        <w:rPr>
          <w:sz w:val="24"/>
        </w:rPr>
        <w:t xml:space="preserve">) </w:t>
      </w:r>
      <w:r>
        <w:rPr>
          <w:sz w:val="24"/>
        </w:rPr>
        <w:t xml:space="preserve">566-0270.  </w:t>
      </w:r>
    </w:p>
    <w:p w:rsidR="003153AE" w:rsidRDefault="003153AE">
      <w:pPr>
        <w:widowControl/>
        <w:ind w:firstLine="720"/>
        <w:rPr>
          <w:sz w:val="24"/>
        </w:rPr>
      </w:pPr>
    </w:p>
    <w:p w:rsidR="00146A6C" w:rsidRPr="00E47300" w:rsidRDefault="00146A6C">
      <w:pPr>
        <w:widowControl/>
        <w:ind w:firstLine="720"/>
        <w:rPr>
          <w:color w:val="000000"/>
          <w:sz w:val="24"/>
        </w:rPr>
      </w:pPr>
      <w:r>
        <w:rPr>
          <w:sz w:val="24"/>
        </w:rPr>
        <w:t xml:space="preserve">An electronic version of the public docket is available at </w:t>
      </w:r>
      <w:r>
        <w:rPr>
          <w:bCs/>
          <w:sz w:val="24"/>
        </w:rPr>
        <w:t>http:</w:t>
      </w:r>
      <w:r>
        <w:rPr>
          <w:b/>
          <w:sz w:val="24"/>
        </w:rPr>
        <w:t>//</w:t>
      </w:r>
      <w:r>
        <w:rPr>
          <w:sz w:val="24"/>
        </w:rPr>
        <w:t xml:space="preserve">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sz w:val="24"/>
            </w:rPr>
            <w:t>725 17th Street, NW</w:t>
          </w:r>
        </w:smartTag>
        <w:r>
          <w:rPr>
            <w:sz w:val="24"/>
          </w:rPr>
          <w:t xml:space="preserve">, </w:t>
        </w:r>
        <w:smartTag w:uri="urn:schemas-microsoft-com:office:smarttags" w:element="City">
          <w:r>
            <w:rPr>
              <w:sz w:val="24"/>
            </w:rPr>
            <w:t>Washington</w:t>
          </w:r>
        </w:smartTag>
        <w:r>
          <w:rPr>
            <w:sz w:val="24"/>
          </w:rPr>
          <w:t xml:space="preserve">, </w:t>
        </w:r>
        <w:smartTag w:uri="urn:schemas-microsoft-com:office:smarttags" w:element="State">
          <w:r>
            <w:rPr>
              <w:sz w:val="24"/>
            </w:rPr>
            <w:t>D.C.</w:t>
          </w:r>
        </w:smartTag>
        <w:r>
          <w:rPr>
            <w:sz w:val="24"/>
          </w:rPr>
          <w:t xml:space="preserve"> </w:t>
        </w:r>
        <w:smartTag w:uri="urn:schemas-microsoft-com:office:smarttags" w:element="PostalCode">
          <w:r>
            <w:rPr>
              <w:sz w:val="24"/>
            </w:rPr>
            <w:t>20503</w:t>
          </w:r>
        </w:smartTag>
      </w:smartTag>
      <w:r>
        <w:rPr>
          <w:sz w:val="24"/>
        </w:rPr>
        <w:t xml:space="preserve">, Attention: Desk Officer for EPA.  Please include the EPA Docket ID Number </w:t>
      </w:r>
      <w:r w:rsidR="002B6CEC" w:rsidRPr="00E47300">
        <w:rPr>
          <w:color w:val="000000"/>
          <w:sz w:val="24"/>
        </w:rPr>
        <w:t>EPA-HQ-RCRA-2012-2163</w:t>
      </w:r>
      <w:r w:rsidRPr="00E47300">
        <w:rPr>
          <w:color w:val="000000"/>
          <w:sz w:val="24"/>
        </w:rPr>
        <w:t xml:space="preserve">, and OMB Control Number </w:t>
      </w:r>
      <w:r w:rsidR="002B6CEC" w:rsidRPr="00E47300">
        <w:rPr>
          <w:color w:val="000000"/>
          <w:sz w:val="24"/>
        </w:rPr>
        <w:t>2050–0204</w:t>
      </w:r>
      <w:r w:rsidR="002B6CEC" w:rsidRPr="00E47300">
        <w:rPr>
          <w:rFonts w:ascii="Melior" w:hAnsi="Melior" w:cs="Melior"/>
          <w:color w:val="000000"/>
          <w:sz w:val="18"/>
          <w:szCs w:val="18"/>
        </w:rPr>
        <w:t xml:space="preserve"> </w:t>
      </w:r>
      <w:r w:rsidRPr="00E47300">
        <w:rPr>
          <w:color w:val="000000"/>
          <w:sz w:val="24"/>
        </w:rPr>
        <w:t>in any correspondence.</w:t>
      </w:r>
    </w:p>
    <w:p w:rsidR="00146A6C" w:rsidRDefault="00146A6C">
      <w:pPr>
        <w:widowControl/>
        <w:ind w:firstLine="720"/>
        <w:rPr>
          <w:sz w:val="24"/>
        </w:rPr>
        <w:sectPr w:rsidR="00146A6C">
          <w:pgSz w:w="12240" w:h="15840"/>
          <w:pgMar w:top="1440" w:right="1800" w:bottom="1440" w:left="1800" w:header="720" w:footer="720" w:gutter="0"/>
          <w:cols w:space="720"/>
          <w:docGrid w:linePitch="360"/>
        </w:sectPr>
      </w:pPr>
    </w:p>
    <w:tbl>
      <w:tblPr>
        <w:tblW w:w="14360" w:type="dxa"/>
        <w:tblInd w:w="108" w:type="dxa"/>
        <w:tblLook w:val="04A0"/>
      </w:tblPr>
      <w:tblGrid>
        <w:gridCol w:w="2967"/>
        <w:gridCol w:w="999"/>
        <w:gridCol w:w="919"/>
        <w:gridCol w:w="919"/>
        <w:gridCol w:w="956"/>
        <w:gridCol w:w="956"/>
        <w:gridCol w:w="1116"/>
        <w:gridCol w:w="1056"/>
        <w:gridCol w:w="1136"/>
        <w:gridCol w:w="1204"/>
        <w:gridCol w:w="936"/>
        <w:gridCol w:w="1196"/>
      </w:tblGrid>
      <w:tr w:rsidR="001F39F6" w:rsidRPr="001F39F6" w:rsidTr="001F39F6">
        <w:trPr>
          <w:trHeight w:val="225"/>
        </w:trPr>
        <w:tc>
          <w:tcPr>
            <w:tcW w:w="3061" w:type="dxa"/>
            <w:tcBorders>
              <w:top w:val="nil"/>
              <w:left w:val="nil"/>
              <w:bottom w:val="nil"/>
              <w:right w:val="nil"/>
            </w:tcBorders>
            <w:shd w:val="clear" w:color="000000" w:fill="FFFFFF"/>
            <w:vAlign w:val="bottom"/>
            <w:hideMark/>
          </w:tcPr>
          <w:p w:rsidR="001F39F6" w:rsidRPr="001F39F6" w:rsidRDefault="001F39F6" w:rsidP="001F39F6">
            <w:pPr>
              <w:widowControl/>
              <w:autoSpaceDE/>
              <w:autoSpaceDN/>
              <w:adjustRightInd/>
              <w:rPr>
                <w:rFonts w:ascii="Arial" w:hAnsi="Arial" w:cs="Arial"/>
                <w:b/>
                <w:sz w:val="16"/>
                <w:szCs w:val="16"/>
              </w:rPr>
            </w:pPr>
            <w:r w:rsidRPr="001F39F6">
              <w:rPr>
                <w:rFonts w:ascii="Arial" w:hAnsi="Arial" w:cs="Arial"/>
                <w:b/>
                <w:sz w:val="16"/>
                <w:szCs w:val="16"/>
              </w:rPr>
              <w:lastRenderedPageBreak/>
              <w:t xml:space="preserve">EXHIBIT 1 </w:t>
            </w:r>
          </w:p>
        </w:tc>
        <w:tc>
          <w:tcPr>
            <w:tcW w:w="999" w:type="dxa"/>
            <w:tcBorders>
              <w:top w:val="nil"/>
              <w:left w:val="nil"/>
              <w:bottom w:val="nil"/>
              <w:right w:val="nil"/>
            </w:tcBorders>
            <w:shd w:val="clear" w:color="000000" w:fill="FFFFFF"/>
            <w:vAlign w:val="bottom"/>
            <w:hideMark/>
          </w:tcPr>
          <w:p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 </w:t>
            </w:r>
          </w:p>
        </w:tc>
        <w:tc>
          <w:tcPr>
            <w:tcW w:w="91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rPr>
                <w:rFonts w:ascii="Arial" w:hAnsi="Arial" w:cs="Arial"/>
                <w:sz w:val="16"/>
                <w:szCs w:val="16"/>
              </w:rPr>
            </w:pPr>
          </w:p>
        </w:tc>
        <w:tc>
          <w:tcPr>
            <w:tcW w:w="91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rPr>
                <w:rFonts w:ascii="Arial" w:hAnsi="Arial" w:cs="Arial"/>
                <w:sz w:val="16"/>
                <w:szCs w:val="16"/>
              </w:rPr>
            </w:pPr>
          </w:p>
        </w:tc>
        <w:tc>
          <w:tcPr>
            <w:tcW w:w="111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rPr>
                <w:rFonts w:ascii="Arial" w:hAnsi="Arial" w:cs="Arial"/>
                <w:sz w:val="16"/>
                <w:szCs w:val="16"/>
              </w:rPr>
            </w:pPr>
          </w:p>
        </w:tc>
        <w:tc>
          <w:tcPr>
            <w:tcW w:w="105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rPr>
                <w:rFonts w:ascii="Arial" w:hAnsi="Arial" w:cs="Arial"/>
                <w:sz w:val="16"/>
                <w:szCs w:val="16"/>
              </w:rPr>
            </w:pPr>
          </w:p>
        </w:tc>
        <w:tc>
          <w:tcPr>
            <w:tcW w:w="113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rPr>
                <w:rFonts w:ascii="Arial" w:hAnsi="Arial" w:cs="Arial"/>
                <w:sz w:val="16"/>
                <w:szCs w:val="16"/>
              </w:rPr>
            </w:pPr>
          </w:p>
        </w:tc>
        <w:tc>
          <w:tcPr>
            <w:tcW w:w="111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jc w:val="right"/>
              <w:rPr>
                <w:rFonts w:ascii="Arial" w:hAnsi="Arial" w:cs="Arial"/>
                <w:sz w:val="16"/>
                <w:szCs w:val="16"/>
              </w:rPr>
            </w:pPr>
          </w:p>
        </w:tc>
        <w:tc>
          <w:tcPr>
            <w:tcW w:w="93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jc w:val="right"/>
              <w:rPr>
                <w:rFonts w:ascii="Arial" w:hAnsi="Arial" w:cs="Arial"/>
                <w:sz w:val="16"/>
                <w:szCs w:val="16"/>
              </w:rPr>
            </w:pPr>
          </w:p>
        </w:tc>
        <w:tc>
          <w:tcPr>
            <w:tcW w:w="119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jc w:val="right"/>
              <w:rPr>
                <w:rFonts w:ascii="Arial" w:hAnsi="Arial" w:cs="Arial"/>
                <w:sz w:val="16"/>
                <w:szCs w:val="16"/>
              </w:rPr>
            </w:pPr>
          </w:p>
        </w:tc>
      </w:tr>
      <w:tr w:rsidR="001F39F6" w:rsidRPr="001F39F6" w:rsidTr="001F39F6">
        <w:trPr>
          <w:trHeight w:val="225"/>
        </w:trPr>
        <w:tc>
          <w:tcPr>
            <w:tcW w:w="9976" w:type="dxa"/>
            <w:gridSpan w:val="8"/>
            <w:tcBorders>
              <w:top w:val="nil"/>
              <w:left w:val="nil"/>
              <w:bottom w:val="nil"/>
              <w:right w:val="nil"/>
            </w:tcBorders>
            <w:shd w:val="clear" w:color="000000" w:fill="FFFFFF"/>
            <w:vAlign w:val="bottom"/>
            <w:hideMark/>
          </w:tcPr>
          <w:p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 xml:space="preserve">GENERATOR STANDARDS APPLICABLE TO LABORATORIES OWNED BY ELIGIBLE ACADEMIC ENTITIES </w:t>
            </w:r>
            <w:r w:rsidRPr="001F39F6">
              <w:rPr>
                <w:rFonts w:ascii="Arial" w:hAnsi="Arial" w:cs="Arial"/>
                <w:sz w:val="16"/>
                <w:szCs w:val="16"/>
                <w:vertAlign w:val="superscript"/>
              </w:rPr>
              <w:t>a</w:t>
            </w:r>
            <w:r w:rsidRPr="001F39F6">
              <w:rPr>
                <w:rFonts w:ascii="Arial" w:hAnsi="Arial" w:cs="Arial"/>
                <w:sz w:val="16"/>
                <w:szCs w:val="16"/>
              </w:rPr>
              <w:t xml:space="preserve"> </w:t>
            </w:r>
          </w:p>
        </w:tc>
        <w:tc>
          <w:tcPr>
            <w:tcW w:w="113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rPr>
                <w:rFonts w:ascii="Arial" w:hAnsi="Arial" w:cs="Arial"/>
                <w:sz w:val="16"/>
                <w:szCs w:val="16"/>
              </w:rPr>
            </w:pPr>
          </w:p>
        </w:tc>
        <w:tc>
          <w:tcPr>
            <w:tcW w:w="111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jc w:val="right"/>
              <w:rPr>
                <w:rFonts w:ascii="Arial" w:hAnsi="Arial" w:cs="Arial"/>
                <w:sz w:val="16"/>
                <w:szCs w:val="16"/>
              </w:rPr>
            </w:pPr>
          </w:p>
        </w:tc>
        <w:tc>
          <w:tcPr>
            <w:tcW w:w="93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jc w:val="right"/>
              <w:rPr>
                <w:rFonts w:ascii="Arial" w:hAnsi="Arial" w:cs="Arial"/>
                <w:sz w:val="16"/>
                <w:szCs w:val="16"/>
              </w:rPr>
            </w:pPr>
          </w:p>
        </w:tc>
        <w:tc>
          <w:tcPr>
            <w:tcW w:w="119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jc w:val="right"/>
              <w:rPr>
                <w:rFonts w:ascii="Arial" w:hAnsi="Arial" w:cs="Arial"/>
                <w:sz w:val="16"/>
                <w:szCs w:val="16"/>
              </w:rPr>
            </w:pPr>
          </w:p>
        </w:tc>
      </w:tr>
      <w:tr w:rsidR="001F39F6" w:rsidRPr="001F39F6" w:rsidTr="001F39F6">
        <w:trPr>
          <w:trHeight w:val="225"/>
        </w:trPr>
        <w:tc>
          <w:tcPr>
            <w:tcW w:w="8920" w:type="dxa"/>
            <w:gridSpan w:val="7"/>
            <w:tcBorders>
              <w:top w:val="nil"/>
              <w:left w:val="nil"/>
              <w:bottom w:val="nil"/>
              <w:right w:val="nil"/>
            </w:tcBorders>
            <w:shd w:val="clear" w:color="000000" w:fill="FFFFFF"/>
            <w:vAlign w:val="bottom"/>
            <w:hideMark/>
          </w:tcPr>
          <w:p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ESTIMATED ANNUAL RESPONDENT HOUR AND COST BURDEN</w:t>
            </w:r>
          </w:p>
        </w:tc>
        <w:tc>
          <w:tcPr>
            <w:tcW w:w="105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rPr>
                <w:rFonts w:ascii="Arial" w:hAnsi="Arial" w:cs="Arial"/>
                <w:sz w:val="16"/>
                <w:szCs w:val="16"/>
              </w:rPr>
            </w:pPr>
          </w:p>
        </w:tc>
        <w:tc>
          <w:tcPr>
            <w:tcW w:w="113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rPr>
                <w:rFonts w:ascii="Arial" w:hAnsi="Arial" w:cs="Arial"/>
                <w:sz w:val="16"/>
                <w:szCs w:val="16"/>
              </w:rPr>
            </w:pPr>
          </w:p>
        </w:tc>
        <w:tc>
          <w:tcPr>
            <w:tcW w:w="111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jc w:val="right"/>
              <w:rPr>
                <w:rFonts w:ascii="Arial" w:hAnsi="Arial" w:cs="Arial"/>
                <w:sz w:val="16"/>
                <w:szCs w:val="16"/>
              </w:rPr>
            </w:pPr>
          </w:p>
        </w:tc>
        <w:tc>
          <w:tcPr>
            <w:tcW w:w="93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jc w:val="right"/>
              <w:rPr>
                <w:rFonts w:ascii="Arial" w:hAnsi="Arial" w:cs="Arial"/>
                <w:sz w:val="16"/>
                <w:szCs w:val="16"/>
              </w:rPr>
            </w:pPr>
          </w:p>
        </w:tc>
        <w:tc>
          <w:tcPr>
            <w:tcW w:w="119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jc w:val="right"/>
              <w:rPr>
                <w:rFonts w:ascii="Arial" w:hAnsi="Arial" w:cs="Arial"/>
                <w:sz w:val="16"/>
                <w:szCs w:val="16"/>
              </w:rPr>
            </w:pPr>
          </w:p>
        </w:tc>
      </w:tr>
      <w:tr w:rsidR="001F39F6" w:rsidRPr="001F39F6" w:rsidTr="001F39F6">
        <w:trPr>
          <w:trHeight w:val="225"/>
        </w:trPr>
        <w:tc>
          <w:tcPr>
            <w:tcW w:w="3061" w:type="dxa"/>
            <w:tcBorders>
              <w:top w:val="nil"/>
              <w:left w:val="nil"/>
              <w:bottom w:val="nil"/>
              <w:right w:val="nil"/>
            </w:tcBorders>
            <w:shd w:val="clear" w:color="auto" w:fill="auto"/>
            <w:vAlign w:val="bottom"/>
            <w:hideMark/>
          </w:tcPr>
          <w:p w:rsidR="001F39F6" w:rsidRPr="001F39F6" w:rsidRDefault="001F39F6" w:rsidP="001F39F6">
            <w:pPr>
              <w:widowControl/>
              <w:autoSpaceDE/>
              <w:autoSpaceDN/>
              <w:adjustRightInd/>
              <w:rPr>
                <w:rFonts w:ascii="Arial" w:hAnsi="Arial" w:cs="Arial"/>
                <w:sz w:val="16"/>
                <w:szCs w:val="16"/>
              </w:rPr>
            </w:pPr>
          </w:p>
        </w:tc>
        <w:tc>
          <w:tcPr>
            <w:tcW w:w="999" w:type="dxa"/>
            <w:tcBorders>
              <w:top w:val="nil"/>
              <w:left w:val="nil"/>
              <w:bottom w:val="nil"/>
              <w:right w:val="nil"/>
            </w:tcBorders>
            <w:shd w:val="clear" w:color="000000" w:fill="FFFFFF"/>
            <w:vAlign w:val="bottom"/>
            <w:hideMark/>
          </w:tcPr>
          <w:p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 </w:t>
            </w:r>
          </w:p>
        </w:tc>
        <w:tc>
          <w:tcPr>
            <w:tcW w:w="91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rPr>
                <w:rFonts w:ascii="Arial" w:hAnsi="Arial" w:cs="Arial"/>
                <w:sz w:val="16"/>
                <w:szCs w:val="16"/>
              </w:rPr>
            </w:pPr>
          </w:p>
        </w:tc>
        <w:tc>
          <w:tcPr>
            <w:tcW w:w="91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rPr>
                <w:rFonts w:ascii="Arial" w:hAnsi="Arial" w:cs="Arial"/>
                <w:sz w:val="16"/>
                <w:szCs w:val="16"/>
              </w:rPr>
            </w:pPr>
          </w:p>
        </w:tc>
        <w:tc>
          <w:tcPr>
            <w:tcW w:w="95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rPr>
                <w:rFonts w:ascii="Arial" w:hAnsi="Arial" w:cs="Arial"/>
                <w:sz w:val="16"/>
                <w:szCs w:val="16"/>
              </w:rPr>
            </w:pPr>
          </w:p>
        </w:tc>
        <w:tc>
          <w:tcPr>
            <w:tcW w:w="111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rPr>
                <w:rFonts w:ascii="Arial" w:hAnsi="Arial" w:cs="Arial"/>
                <w:sz w:val="16"/>
                <w:szCs w:val="16"/>
              </w:rPr>
            </w:pPr>
          </w:p>
        </w:tc>
        <w:tc>
          <w:tcPr>
            <w:tcW w:w="105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rPr>
                <w:rFonts w:ascii="Arial" w:hAnsi="Arial" w:cs="Arial"/>
                <w:sz w:val="16"/>
                <w:szCs w:val="16"/>
              </w:rPr>
            </w:pPr>
          </w:p>
        </w:tc>
        <w:tc>
          <w:tcPr>
            <w:tcW w:w="113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rPr>
                <w:rFonts w:ascii="Arial" w:hAnsi="Arial" w:cs="Arial"/>
                <w:sz w:val="16"/>
                <w:szCs w:val="16"/>
              </w:rPr>
            </w:pPr>
          </w:p>
        </w:tc>
        <w:tc>
          <w:tcPr>
            <w:tcW w:w="111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jc w:val="right"/>
              <w:rPr>
                <w:rFonts w:ascii="Arial" w:hAnsi="Arial" w:cs="Arial"/>
                <w:sz w:val="16"/>
                <w:szCs w:val="16"/>
              </w:rPr>
            </w:pPr>
          </w:p>
        </w:tc>
        <w:tc>
          <w:tcPr>
            <w:tcW w:w="93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jc w:val="right"/>
              <w:rPr>
                <w:rFonts w:ascii="Arial" w:hAnsi="Arial" w:cs="Arial"/>
                <w:sz w:val="16"/>
                <w:szCs w:val="16"/>
              </w:rPr>
            </w:pPr>
          </w:p>
        </w:tc>
        <w:tc>
          <w:tcPr>
            <w:tcW w:w="119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jc w:val="right"/>
              <w:rPr>
                <w:rFonts w:ascii="Arial" w:hAnsi="Arial" w:cs="Arial"/>
                <w:sz w:val="16"/>
                <w:szCs w:val="16"/>
              </w:rPr>
            </w:pPr>
          </w:p>
        </w:tc>
      </w:tr>
      <w:tr w:rsidR="001F39F6" w:rsidRPr="001F39F6" w:rsidTr="001F39F6">
        <w:trPr>
          <w:trHeight w:val="240"/>
        </w:trPr>
        <w:tc>
          <w:tcPr>
            <w:tcW w:w="3061" w:type="dxa"/>
            <w:tcBorders>
              <w:top w:val="nil"/>
              <w:left w:val="nil"/>
              <w:bottom w:val="nil"/>
              <w:right w:val="nil"/>
            </w:tcBorders>
            <w:shd w:val="clear" w:color="auto" w:fill="auto"/>
            <w:vAlign w:val="bottom"/>
            <w:hideMark/>
          </w:tcPr>
          <w:p w:rsidR="001F39F6" w:rsidRPr="001F39F6" w:rsidRDefault="001F39F6" w:rsidP="001F39F6">
            <w:pPr>
              <w:widowControl/>
              <w:autoSpaceDE/>
              <w:autoSpaceDN/>
              <w:adjustRightInd/>
              <w:rPr>
                <w:rFonts w:ascii="Arial" w:hAnsi="Arial" w:cs="Arial"/>
                <w:sz w:val="16"/>
                <w:szCs w:val="16"/>
              </w:rPr>
            </w:pPr>
          </w:p>
        </w:tc>
        <w:tc>
          <w:tcPr>
            <w:tcW w:w="999" w:type="dxa"/>
            <w:tcBorders>
              <w:top w:val="nil"/>
              <w:left w:val="nil"/>
              <w:bottom w:val="single" w:sz="8" w:space="0" w:color="auto"/>
              <w:right w:val="nil"/>
            </w:tcBorders>
            <w:shd w:val="clear" w:color="auto" w:fill="auto"/>
            <w:noWrap/>
            <w:vAlign w:val="bottom"/>
            <w:hideMark/>
          </w:tcPr>
          <w:p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 </w:t>
            </w:r>
          </w:p>
        </w:tc>
        <w:tc>
          <w:tcPr>
            <w:tcW w:w="7052" w:type="dxa"/>
            <w:gridSpan w:val="7"/>
            <w:tcBorders>
              <w:top w:val="nil"/>
              <w:left w:val="nil"/>
              <w:bottom w:val="single" w:sz="8" w:space="0" w:color="auto"/>
              <w:right w:val="nil"/>
            </w:tcBorders>
            <w:shd w:val="clear" w:color="auto" w:fill="auto"/>
            <w:noWrap/>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Hours and Costs per Respondent</w:t>
            </w:r>
          </w:p>
        </w:tc>
        <w:tc>
          <w:tcPr>
            <w:tcW w:w="3248" w:type="dxa"/>
            <w:gridSpan w:val="3"/>
            <w:tcBorders>
              <w:top w:val="nil"/>
              <w:left w:val="nil"/>
              <w:bottom w:val="single" w:sz="8" w:space="0" w:color="auto"/>
              <w:right w:val="nil"/>
            </w:tcBorders>
            <w:shd w:val="clear" w:color="auto" w:fill="auto"/>
            <w:noWrap/>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Total Hours and Costs</w:t>
            </w:r>
          </w:p>
        </w:tc>
      </w:tr>
      <w:tr w:rsidR="001F39F6" w:rsidRPr="001F39F6" w:rsidTr="001F39F6">
        <w:trPr>
          <w:trHeight w:val="255"/>
        </w:trPr>
        <w:tc>
          <w:tcPr>
            <w:tcW w:w="3061" w:type="dxa"/>
            <w:tcBorders>
              <w:top w:val="nil"/>
              <w:left w:val="nil"/>
              <w:bottom w:val="nil"/>
              <w:right w:val="nil"/>
            </w:tcBorders>
            <w:shd w:val="clear" w:color="auto" w:fill="auto"/>
            <w:vAlign w:val="bottom"/>
            <w:hideMark/>
          </w:tcPr>
          <w:p w:rsidR="001F39F6" w:rsidRPr="001F39F6" w:rsidRDefault="001F39F6" w:rsidP="001F39F6">
            <w:pPr>
              <w:widowControl/>
              <w:autoSpaceDE/>
              <w:autoSpaceDN/>
              <w:adjustRightInd/>
              <w:rPr>
                <w:rFonts w:ascii="Arial" w:hAnsi="Arial" w:cs="Arial"/>
                <w:sz w:val="16"/>
                <w:szCs w:val="16"/>
              </w:rPr>
            </w:pPr>
          </w:p>
        </w:tc>
        <w:tc>
          <w:tcPr>
            <w:tcW w:w="999"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Legal</w:t>
            </w:r>
          </w:p>
        </w:tc>
        <w:tc>
          <w:tcPr>
            <w:tcW w:w="916" w:type="dxa"/>
            <w:tcBorders>
              <w:top w:val="nil"/>
              <w:left w:val="nil"/>
              <w:bottom w:val="nil"/>
              <w:right w:val="nil"/>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Manager</w:t>
            </w:r>
          </w:p>
        </w:tc>
        <w:tc>
          <w:tcPr>
            <w:tcW w:w="916" w:type="dxa"/>
            <w:tcBorders>
              <w:top w:val="nil"/>
              <w:left w:val="nil"/>
              <w:bottom w:val="nil"/>
              <w:right w:val="nil"/>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Technical</w:t>
            </w:r>
          </w:p>
        </w:tc>
        <w:tc>
          <w:tcPr>
            <w:tcW w:w="956" w:type="dxa"/>
            <w:tcBorders>
              <w:top w:val="nil"/>
              <w:left w:val="nil"/>
              <w:bottom w:val="nil"/>
              <w:right w:val="nil"/>
            </w:tcBorders>
            <w:shd w:val="clear" w:color="auto" w:fill="auto"/>
            <w:noWrap/>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Clerical</w:t>
            </w:r>
          </w:p>
        </w:tc>
        <w:tc>
          <w:tcPr>
            <w:tcW w:w="956" w:type="dxa"/>
            <w:vMerge w:val="restart"/>
            <w:tcBorders>
              <w:top w:val="nil"/>
              <w:left w:val="nil"/>
              <w:bottom w:val="nil"/>
              <w:right w:val="nil"/>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Respon.</w:t>
            </w:r>
            <w:r w:rsidRPr="001F39F6">
              <w:rPr>
                <w:rFonts w:ascii="Arial" w:hAnsi="Arial" w:cs="Arial"/>
                <w:sz w:val="16"/>
                <w:szCs w:val="16"/>
              </w:rPr>
              <w:br/>
              <w:t>Hours/ Activity</w:t>
            </w:r>
          </w:p>
        </w:tc>
        <w:tc>
          <w:tcPr>
            <w:tcW w:w="1116" w:type="dxa"/>
            <w:vMerge w:val="restart"/>
            <w:tcBorders>
              <w:top w:val="nil"/>
              <w:left w:val="nil"/>
              <w:bottom w:val="nil"/>
              <w:right w:val="nil"/>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Labor</w:t>
            </w:r>
            <w:r w:rsidRPr="001F39F6">
              <w:rPr>
                <w:rFonts w:ascii="Arial" w:hAnsi="Arial" w:cs="Arial"/>
                <w:sz w:val="16"/>
                <w:szCs w:val="16"/>
              </w:rPr>
              <w:br/>
              <w:t>Cost/</w:t>
            </w:r>
            <w:r w:rsidRPr="001F39F6">
              <w:rPr>
                <w:rFonts w:ascii="Arial" w:hAnsi="Arial" w:cs="Arial"/>
                <w:sz w:val="16"/>
                <w:szCs w:val="16"/>
              </w:rPr>
              <w:br/>
              <w:t>Activity</w:t>
            </w:r>
          </w:p>
        </w:tc>
        <w:tc>
          <w:tcPr>
            <w:tcW w:w="1056" w:type="dxa"/>
            <w:vMerge w:val="restart"/>
            <w:tcBorders>
              <w:top w:val="nil"/>
              <w:left w:val="nil"/>
              <w:bottom w:val="nil"/>
              <w:right w:val="nil"/>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Capital/</w:t>
            </w:r>
            <w:r w:rsidRPr="001F39F6">
              <w:rPr>
                <w:rFonts w:ascii="Arial" w:hAnsi="Arial" w:cs="Arial"/>
                <w:sz w:val="16"/>
                <w:szCs w:val="16"/>
              </w:rPr>
              <w:br/>
              <w:t>Startup</w:t>
            </w:r>
            <w:r w:rsidRPr="001F39F6">
              <w:rPr>
                <w:rFonts w:ascii="Arial" w:hAnsi="Arial" w:cs="Arial"/>
                <w:sz w:val="16"/>
                <w:szCs w:val="16"/>
              </w:rPr>
              <w:br/>
              <w:t>Cost</w:t>
            </w:r>
          </w:p>
        </w:tc>
        <w:tc>
          <w:tcPr>
            <w:tcW w:w="1136" w:type="dxa"/>
            <w:vMerge w:val="restart"/>
            <w:tcBorders>
              <w:top w:val="nil"/>
              <w:left w:val="nil"/>
              <w:bottom w:val="nil"/>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O&amp;M</w:t>
            </w:r>
            <w:r w:rsidRPr="001F39F6">
              <w:rPr>
                <w:rFonts w:ascii="Arial" w:hAnsi="Arial" w:cs="Arial"/>
                <w:sz w:val="16"/>
                <w:szCs w:val="16"/>
              </w:rPr>
              <w:br/>
              <w:t>Cost/ Activity</w:t>
            </w:r>
          </w:p>
        </w:tc>
        <w:tc>
          <w:tcPr>
            <w:tcW w:w="1116" w:type="dxa"/>
            <w:vMerge w:val="restart"/>
            <w:tcBorders>
              <w:top w:val="nil"/>
              <w:left w:val="single" w:sz="4" w:space="0" w:color="auto"/>
              <w:bottom w:val="nil"/>
              <w:right w:val="nil"/>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Number of</w:t>
            </w:r>
            <w:r w:rsidRPr="001F39F6">
              <w:rPr>
                <w:rFonts w:ascii="Arial" w:hAnsi="Arial" w:cs="Arial"/>
                <w:sz w:val="16"/>
                <w:szCs w:val="16"/>
              </w:rPr>
              <w:br/>
              <w:t>Respondents/ Activities</w:t>
            </w:r>
          </w:p>
        </w:tc>
        <w:tc>
          <w:tcPr>
            <w:tcW w:w="936" w:type="dxa"/>
            <w:vMerge w:val="restart"/>
            <w:tcBorders>
              <w:top w:val="nil"/>
              <w:left w:val="nil"/>
              <w:bottom w:val="nil"/>
              <w:right w:val="nil"/>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Total Hours/</w:t>
            </w:r>
            <w:r w:rsidRPr="001F39F6">
              <w:rPr>
                <w:rFonts w:ascii="Arial" w:hAnsi="Arial" w:cs="Arial"/>
                <w:sz w:val="16"/>
                <w:szCs w:val="16"/>
              </w:rPr>
              <w:br/>
              <w:t>Year</w:t>
            </w:r>
          </w:p>
        </w:tc>
        <w:tc>
          <w:tcPr>
            <w:tcW w:w="1196" w:type="dxa"/>
            <w:vMerge w:val="restart"/>
            <w:tcBorders>
              <w:top w:val="nil"/>
              <w:left w:val="nil"/>
              <w:bottom w:val="nil"/>
              <w:right w:val="nil"/>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Total</w:t>
            </w:r>
            <w:r w:rsidRPr="001F39F6">
              <w:rPr>
                <w:rFonts w:ascii="Arial" w:hAnsi="Arial" w:cs="Arial"/>
                <w:sz w:val="16"/>
                <w:szCs w:val="16"/>
              </w:rPr>
              <w:br/>
              <w:t>Cost/</w:t>
            </w:r>
            <w:r w:rsidRPr="001F39F6">
              <w:rPr>
                <w:rFonts w:ascii="Arial" w:hAnsi="Arial" w:cs="Arial"/>
                <w:sz w:val="16"/>
                <w:szCs w:val="16"/>
              </w:rPr>
              <w:br/>
              <w:t>Year</w:t>
            </w:r>
          </w:p>
        </w:tc>
      </w:tr>
      <w:tr w:rsidR="001F39F6" w:rsidRPr="001F39F6" w:rsidTr="001F39F6">
        <w:trPr>
          <w:trHeight w:val="450"/>
        </w:trPr>
        <w:tc>
          <w:tcPr>
            <w:tcW w:w="3061" w:type="dxa"/>
            <w:tcBorders>
              <w:top w:val="nil"/>
              <w:left w:val="nil"/>
              <w:bottom w:val="nil"/>
              <w:right w:val="nil"/>
            </w:tcBorders>
            <w:shd w:val="clear" w:color="auto" w:fill="auto"/>
            <w:vAlign w:val="bottom"/>
            <w:hideMark/>
          </w:tcPr>
          <w:p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INFORMATION COLLECTION ACTIVITY</w:t>
            </w:r>
          </w:p>
        </w:tc>
        <w:tc>
          <w:tcPr>
            <w:tcW w:w="999" w:type="dxa"/>
            <w:tcBorders>
              <w:top w:val="nil"/>
              <w:left w:val="nil"/>
              <w:bottom w:val="nil"/>
              <w:right w:val="nil"/>
            </w:tcBorders>
            <w:shd w:val="clear" w:color="auto" w:fill="auto"/>
            <w:vAlign w:val="bottom"/>
            <w:hideMark/>
          </w:tcPr>
          <w:p w:rsidR="001F39F6" w:rsidRPr="001F39F6" w:rsidRDefault="001F39F6" w:rsidP="001F39F6">
            <w:pPr>
              <w:widowControl/>
              <w:autoSpaceDE/>
              <w:autoSpaceDN/>
              <w:adjustRightInd/>
              <w:jc w:val="center"/>
              <w:rPr>
                <w:rFonts w:ascii="Arial" w:hAnsi="Arial" w:cs="Arial"/>
                <w:color w:val="000000"/>
                <w:sz w:val="16"/>
                <w:szCs w:val="16"/>
              </w:rPr>
            </w:pPr>
            <w:r w:rsidRPr="001F39F6">
              <w:rPr>
                <w:rFonts w:ascii="Arial" w:hAnsi="Arial" w:cs="Arial"/>
                <w:color w:val="000000"/>
                <w:sz w:val="16"/>
                <w:szCs w:val="16"/>
              </w:rPr>
              <w:t>$99.56/Hr</w:t>
            </w:r>
          </w:p>
        </w:tc>
        <w:tc>
          <w:tcPr>
            <w:tcW w:w="916" w:type="dxa"/>
            <w:tcBorders>
              <w:top w:val="nil"/>
              <w:left w:val="nil"/>
              <w:bottom w:val="nil"/>
              <w:right w:val="nil"/>
            </w:tcBorders>
            <w:shd w:val="clear" w:color="auto" w:fill="auto"/>
            <w:vAlign w:val="bottom"/>
            <w:hideMark/>
          </w:tcPr>
          <w:p w:rsidR="001F39F6" w:rsidRPr="001F39F6" w:rsidRDefault="001F39F6" w:rsidP="001F39F6">
            <w:pPr>
              <w:widowControl/>
              <w:autoSpaceDE/>
              <w:autoSpaceDN/>
              <w:adjustRightInd/>
              <w:jc w:val="center"/>
              <w:rPr>
                <w:rFonts w:ascii="Arial" w:hAnsi="Arial" w:cs="Arial"/>
                <w:color w:val="000000"/>
                <w:sz w:val="16"/>
                <w:szCs w:val="16"/>
              </w:rPr>
            </w:pPr>
            <w:r w:rsidRPr="001F39F6">
              <w:rPr>
                <w:rFonts w:ascii="Arial" w:hAnsi="Arial" w:cs="Arial"/>
                <w:color w:val="000000"/>
                <w:sz w:val="16"/>
                <w:szCs w:val="16"/>
              </w:rPr>
              <w:t>$82.25/Hr</w:t>
            </w:r>
          </w:p>
        </w:tc>
        <w:tc>
          <w:tcPr>
            <w:tcW w:w="916" w:type="dxa"/>
            <w:tcBorders>
              <w:top w:val="nil"/>
              <w:left w:val="nil"/>
              <w:bottom w:val="nil"/>
              <w:right w:val="nil"/>
            </w:tcBorders>
            <w:shd w:val="clear" w:color="auto" w:fill="auto"/>
            <w:vAlign w:val="bottom"/>
            <w:hideMark/>
          </w:tcPr>
          <w:p w:rsidR="001F39F6" w:rsidRPr="001F39F6" w:rsidRDefault="001F39F6" w:rsidP="001F39F6">
            <w:pPr>
              <w:widowControl/>
              <w:autoSpaceDE/>
              <w:autoSpaceDN/>
              <w:adjustRightInd/>
              <w:jc w:val="center"/>
              <w:rPr>
                <w:rFonts w:ascii="Arial" w:hAnsi="Arial" w:cs="Arial"/>
                <w:color w:val="000000"/>
                <w:sz w:val="16"/>
                <w:szCs w:val="16"/>
              </w:rPr>
            </w:pPr>
            <w:r w:rsidRPr="001F39F6">
              <w:rPr>
                <w:rFonts w:ascii="Arial" w:hAnsi="Arial" w:cs="Arial"/>
                <w:color w:val="000000"/>
                <w:sz w:val="16"/>
                <w:szCs w:val="16"/>
              </w:rPr>
              <w:t>$43.92/Hr</w:t>
            </w:r>
          </w:p>
        </w:tc>
        <w:tc>
          <w:tcPr>
            <w:tcW w:w="956" w:type="dxa"/>
            <w:tcBorders>
              <w:top w:val="nil"/>
              <w:left w:val="nil"/>
              <w:bottom w:val="nil"/>
              <w:right w:val="nil"/>
            </w:tcBorders>
            <w:shd w:val="clear" w:color="auto" w:fill="auto"/>
            <w:vAlign w:val="bottom"/>
            <w:hideMark/>
          </w:tcPr>
          <w:p w:rsidR="001F39F6" w:rsidRPr="001F39F6" w:rsidRDefault="001F39F6" w:rsidP="001F39F6">
            <w:pPr>
              <w:widowControl/>
              <w:autoSpaceDE/>
              <w:autoSpaceDN/>
              <w:adjustRightInd/>
              <w:jc w:val="center"/>
              <w:rPr>
                <w:rFonts w:ascii="Arial" w:hAnsi="Arial" w:cs="Arial"/>
                <w:color w:val="000000"/>
                <w:sz w:val="16"/>
                <w:szCs w:val="16"/>
              </w:rPr>
            </w:pPr>
            <w:r w:rsidRPr="001F39F6">
              <w:rPr>
                <w:rFonts w:ascii="Arial" w:hAnsi="Arial" w:cs="Arial"/>
                <w:color w:val="000000"/>
                <w:sz w:val="16"/>
                <w:szCs w:val="16"/>
              </w:rPr>
              <w:t>$23.27/Hr</w:t>
            </w:r>
          </w:p>
        </w:tc>
        <w:tc>
          <w:tcPr>
            <w:tcW w:w="956" w:type="dxa"/>
            <w:vMerge/>
            <w:tcBorders>
              <w:top w:val="nil"/>
              <w:left w:val="nil"/>
              <w:bottom w:val="nil"/>
              <w:right w:val="nil"/>
            </w:tcBorders>
            <w:vAlign w:val="center"/>
            <w:hideMark/>
          </w:tcPr>
          <w:p w:rsidR="001F39F6" w:rsidRPr="001F39F6" w:rsidRDefault="001F39F6" w:rsidP="001F39F6">
            <w:pPr>
              <w:widowControl/>
              <w:autoSpaceDE/>
              <w:autoSpaceDN/>
              <w:adjustRightInd/>
              <w:rPr>
                <w:rFonts w:ascii="Arial" w:hAnsi="Arial" w:cs="Arial"/>
                <w:sz w:val="16"/>
                <w:szCs w:val="16"/>
              </w:rPr>
            </w:pPr>
          </w:p>
        </w:tc>
        <w:tc>
          <w:tcPr>
            <w:tcW w:w="1116" w:type="dxa"/>
            <w:vMerge/>
            <w:tcBorders>
              <w:top w:val="nil"/>
              <w:left w:val="nil"/>
              <w:bottom w:val="nil"/>
              <w:right w:val="nil"/>
            </w:tcBorders>
            <w:vAlign w:val="center"/>
            <w:hideMark/>
          </w:tcPr>
          <w:p w:rsidR="001F39F6" w:rsidRPr="001F39F6" w:rsidRDefault="001F39F6" w:rsidP="001F39F6">
            <w:pPr>
              <w:widowControl/>
              <w:autoSpaceDE/>
              <w:autoSpaceDN/>
              <w:adjustRightInd/>
              <w:rPr>
                <w:rFonts w:ascii="Arial" w:hAnsi="Arial" w:cs="Arial"/>
                <w:sz w:val="16"/>
                <w:szCs w:val="16"/>
              </w:rPr>
            </w:pPr>
          </w:p>
        </w:tc>
        <w:tc>
          <w:tcPr>
            <w:tcW w:w="1056" w:type="dxa"/>
            <w:vMerge/>
            <w:tcBorders>
              <w:top w:val="nil"/>
              <w:left w:val="nil"/>
              <w:bottom w:val="nil"/>
              <w:right w:val="nil"/>
            </w:tcBorders>
            <w:vAlign w:val="center"/>
            <w:hideMark/>
          </w:tcPr>
          <w:p w:rsidR="001F39F6" w:rsidRPr="001F39F6" w:rsidRDefault="001F39F6" w:rsidP="001F39F6">
            <w:pPr>
              <w:widowControl/>
              <w:autoSpaceDE/>
              <w:autoSpaceDN/>
              <w:adjustRightInd/>
              <w:rPr>
                <w:rFonts w:ascii="Arial" w:hAnsi="Arial" w:cs="Arial"/>
                <w:sz w:val="16"/>
                <w:szCs w:val="16"/>
              </w:rPr>
            </w:pPr>
          </w:p>
        </w:tc>
        <w:tc>
          <w:tcPr>
            <w:tcW w:w="1136" w:type="dxa"/>
            <w:vMerge/>
            <w:tcBorders>
              <w:top w:val="nil"/>
              <w:left w:val="nil"/>
              <w:bottom w:val="nil"/>
              <w:right w:val="single" w:sz="4" w:space="0" w:color="auto"/>
            </w:tcBorders>
            <w:vAlign w:val="center"/>
            <w:hideMark/>
          </w:tcPr>
          <w:p w:rsidR="001F39F6" w:rsidRPr="001F39F6" w:rsidRDefault="001F39F6" w:rsidP="001F39F6">
            <w:pPr>
              <w:widowControl/>
              <w:autoSpaceDE/>
              <w:autoSpaceDN/>
              <w:adjustRightInd/>
              <w:rPr>
                <w:rFonts w:ascii="Arial" w:hAnsi="Arial" w:cs="Arial"/>
                <w:sz w:val="16"/>
                <w:szCs w:val="16"/>
              </w:rPr>
            </w:pPr>
          </w:p>
        </w:tc>
        <w:tc>
          <w:tcPr>
            <w:tcW w:w="1116" w:type="dxa"/>
            <w:vMerge/>
            <w:tcBorders>
              <w:top w:val="nil"/>
              <w:left w:val="single" w:sz="4" w:space="0" w:color="auto"/>
              <w:bottom w:val="nil"/>
              <w:right w:val="nil"/>
            </w:tcBorders>
            <w:vAlign w:val="center"/>
            <w:hideMark/>
          </w:tcPr>
          <w:p w:rsidR="001F39F6" w:rsidRPr="001F39F6" w:rsidRDefault="001F39F6" w:rsidP="001F39F6">
            <w:pPr>
              <w:widowControl/>
              <w:autoSpaceDE/>
              <w:autoSpaceDN/>
              <w:adjustRightInd/>
              <w:rPr>
                <w:rFonts w:ascii="Arial" w:hAnsi="Arial" w:cs="Arial"/>
                <w:sz w:val="16"/>
                <w:szCs w:val="16"/>
              </w:rPr>
            </w:pPr>
          </w:p>
        </w:tc>
        <w:tc>
          <w:tcPr>
            <w:tcW w:w="936" w:type="dxa"/>
            <w:vMerge/>
            <w:tcBorders>
              <w:top w:val="nil"/>
              <w:left w:val="nil"/>
              <w:bottom w:val="nil"/>
              <w:right w:val="nil"/>
            </w:tcBorders>
            <w:vAlign w:val="center"/>
            <w:hideMark/>
          </w:tcPr>
          <w:p w:rsidR="001F39F6" w:rsidRPr="001F39F6" w:rsidRDefault="001F39F6" w:rsidP="001F39F6">
            <w:pPr>
              <w:widowControl/>
              <w:autoSpaceDE/>
              <w:autoSpaceDN/>
              <w:adjustRightInd/>
              <w:rPr>
                <w:rFonts w:ascii="Arial" w:hAnsi="Arial" w:cs="Arial"/>
                <w:sz w:val="16"/>
                <w:szCs w:val="16"/>
              </w:rPr>
            </w:pPr>
          </w:p>
        </w:tc>
        <w:tc>
          <w:tcPr>
            <w:tcW w:w="1196" w:type="dxa"/>
            <w:vMerge/>
            <w:tcBorders>
              <w:top w:val="nil"/>
              <w:left w:val="nil"/>
              <w:bottom w:val="nil"/>
              <w:right w:val="nil"/>
            </w:tcBorders>
            <w:vAlign w:val="center"/>
            <w:hideMark/>
          </w:tcPr>
          <w:p w:rsidR="001F39F6" w:rsidRPr="001F39F6" w:rsidRDefault="001F39F6" w:rsidP="001F39F6">
            <w:pPr>
              <w:widowControl/>
              <w:autoSpaceDE/>
              <w:autoSpaceDN/>
              <w:adjustRightInd/>
              <w:rPr>
                <w:rFonts w:ascii="Arial" w:hAnsi="Arial" w:cs="Arial"/>
                <w:sz w:val="16"/>
                <w:szCs w:val="16"/>
              </w:rPr>
            </w:pPr>
          </w:p>
        </w:tc>
      </w:tr>
      <w:tr w:rsidR="001F39F6" w:rsidRPr="001F39F6" w:rsidTr="001F39F6">
        <w:trPr>
          <w:trHeight w:val="255"/>
        </w:trPr>
        <w:tc>
          <w:tcPr>
            <w:tcW w:w="14360" w:type="dxa"/>
            <w:gridSpan w:val="12"/>
            <w:tcBorders>
              <w:top w:val="single" w:sz="4" w:space="0" w:color="auto"/>
              <w:left w:val="single" w:sz="4" w:space="0" w:color="auto"/>
              <w:bottom w:val="single" w:sz="4" w:space="0" w:color="auto"/>
              <w:right w:val="single" w:sz="4" w:space="0" w:color="auto"/>
            </w:tcBorders>
            <w:shd w:val="clear" w:color="000000" w:fill="E3E3E3"/>
            <w:vAlign w:val="bottom"/>
            <w:hideMark/>
          </w:tcPr>
          <w:p w:rsidR="001F39F6" w:rsidRPr="001F39F6" w:rsidRDefault="001F39F6" w:rsidP="001F39F6">
            <w:pPr>
              <w:widowControl/>
              <w:autoSpaceDE/>
              <w:autoSpaceDN/>
              <w:adjustRightInd/>
              <w:rPr>
                <w:rFonts w:ascii="Arial" w:hAnsi="Arial" w:cs="Arial"/>
                <w:b/>
                <w:bCs/>
                <w:sz w:val="16"/>
                <w:szCs w:val="16"/>
              </w:rPr>
            </w:pPr>
            <w:r w:rsidRPr="001F39F6">
              <w:rPr>
                <w:rFonts w:ascii="Arial" w:hAnsi="Arial" w:cs="Arial"/>
                <w:b/>
                <w:bCs/>
                <w:sz w:val="16"/>
                <w:szCs w:val="16"/>
              </w:rPr>
              <w:t>READING THE REGULATIONS</w:t>
            </w:r>
          </w:p>
        </w:tc>
      </w:tr>
      <w:tr w:rsidR="001F39F6" w:rsidRPr="001F39F6" w:rsidTr="001F39F6">
        <w:trPr>
          <w:trHeight w:val="225"/>
        </w:trPr>
        <w:tc>
          <w:tcPr>
            <w:tcW w:w="3061" w:type="dxa"/>
            <w:tcBorders>
              <w:top w:val="nil"/>
              <w:left w:val="single" w:sz="4" w:space="0" w:color="auto"/>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Read the regulations</w:t>
            </w:r>
          </w:p>
        </w:tc>
        <w:tc>
          <w:tcPr>
            <w:tcW w:w="999"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1.00</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1.00</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$43.92</w:t>
            </w:r>
          </w:p>
        </w:tc>
        <w:tc>
          <w:tcPr>
            <w:tcW w:w="10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3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33</w:t>
            </w:r>
          </w:p>
        </w:tc>
        <w:tc>
          <w:tcPr>
            <w:tcW w:w="936" w:type="dxa"/>
            <w:tcBorders>
              <w:top w:val="nil"/>
              <w:left w:val="nil"/>
              <w:bottom w:val="single" w:sz="4" w:space="0" w:color="auto"/>
              <w:right w:val="single" w:sz="4" w:space="0" w:color="auto"/>
            </w:tcBorders>
            <w:shd w:val="clear" w:color="auto" w:fill="auto"/>
            <w:noWrap/>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33.00</w:t>
            </w:r>
          </w:p>
        </w:tc>
        <w:tc>
          <w:tcPr>
            <w:tcW w:w="119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$1,449.36</w:t>
            </w:r>
          </w:p>
        </w:tc>
      </w:tr>
      <w:tr w:rsidR="001F39F6" w:rsidRPr="001F39F6" w:rsidTr="001F39F6">
        <w:trPr>
          <w:trHeight w:val="225"/>
        </w:trPr>
        <w:tc>
          <w:tcPr>
            <w:tcW w:w="3061" w:type="dxa"/>
            <w:tcBorders>
              <w:top w:val="nil"/>
              <w:left w:val="single" w:sz="4" w:space="0" w:color="auto"/>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rPr>
                <w:rFonts w:ascii="Arial" w:hAnsi="Arial" w:cs="Arial"/>
                <w:b/>
                <w:bCs/>
                <w:sz w:val="16"/>
                <w:szCs w:val="16"/>
              </w:rPr>
            </w:pPr>
            <w:r w:rsidRPr="001F39F6">
              <w:rPr>
                <w:rFonts w:ascii="Arial" w:hAnsi="Arial" w:cs="Arial"/>
                <w:b/>
                <w:bCs/>
                <w:sz w:val="16"/>
                <w:szCs w:val="16"/>
              </w:rPr>
              <w:t>Subtotal</w:t>
            </w:r>
          </w:p>
        </w:tc>
        <w:tc>
          <w:tcPr>
            <w:tcW w:w="999"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1.00</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1.00</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$43.92</w:t>
            </w:r>
          </w:p>
        </w:tc>
        <w:tc>
          <w:tcPr>
            <w:tcW w:w="10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3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33</w:t>
            </w:r>
          </w:p>
        </w:tc>
        <w:tc>
          <w:tcPr>
            <w:tcW w:w="936" w:type="dxa"/>
            <w:tcBorders>
              <w:top w:val="nil"/>
              <w:left w:val="nil"/>
              <w:bottom w:val="single" w:sz="4" w:space="0" w:color="auto"/>
              <w:right w:val="single" w:sz="4" w:space="0" w:color="auto"/>
            </w:tcBorders>
            <w:shd w:val="clear" w:color="auto" w:fill="auto"/>
            <w:noWrap/>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33.00</w:t>
            </w:r>
          </w:p>
        </w:tc>
        <w:tc>
          <w:tcPr>
            <w:tcW w:w="1196" w:type="dxa"/>
            <w:tcBorders>
              <w:top w:val="nil"/>
              <w:left w:val="nil"/>
              <w:bottom w:val="single" w:sz="4" w:space="0" w:color="auto"/>
              <w:right w:val="single" w:sz="4" w:space="0" w:color="auto"/>
            </w:tcBorders>
            <w:shd w:val="clear" w:color="auto" w:fill="auto"/>
            <w:noWrap/>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$1,449.36</w:t>
            </w:r>
          </w:p>
        </w:tc>
      </w:tr>
      <w:tr w:rsidR="001F39F6" w:rsidRPr="001F39F6" w:rsidTr="001F39F6">
        <w:trPr>
          <w:trHeight w:val="255"/>
        </w:trPr>
        <w:tc>
          <w:tcPr>
            <w:tcW w:w="14360" w:type="dxa"/>
            <w:gridSpan w:val="12"/>
            <w:tcBorders>
              <w:top w:val="single" w:sz="4" w:space="0" w:color="auto"/>
              <w:left w:val="single" w:sz="4" w:space="0" w:color="auto"/>
              <w:bottom w:val="single" w:sz="4" w:space="0" w:color="auto"/>
              <w:right w:val="single" w:sz="4" w:space="0" w:color="auto"/>
            </w:tcBorders>
            <w:shd w:val="clear" w:color="000000" w:fill="E3E3E3"/>
            <w:vAlign w:val="bottom"/>
            <w:hideMark/>
          </w:tcPr>
          <w:p w:rsidR="001F39F6" w:rsidRPr="001F39F6" w:rsidRDefault="001F39F6" w:rsidP="001F39F6">
            <w:pPr>
              <w:widowControl/>
              <w:autoSpaceDE/>
              <w:autoSpaceDN/>
              <w:adjustRightInd/>
              <w:rPr>
                <w:rFonts w:ascii="Arial" w:hAnsi="Arial" w:cs="Arial"/>
                <w:b/>
                <w:bCs/>
                <w:sz w:val="16"/>
                <w:szCs w:val="16"/>
              </w:rPr>
            </w:pPr>
            <w:r w:rsidRPr="001F39F6">
              <w:rPr>
                <w:rFonts w:ascii="Arial" w:hAnsi="Arial" w:cs="Arial"/>
                <w:b/>
                <w:bCs/>
                <w:sz w:val="16"/>
                <w:szCs w:val="16"/>
              </w:rPr>
              <w:t xml:space="preserve">NOTIFICATION OF INTENT TO COMPLY WITH SUBPART K AND RECORDKEEPING OF AGREEMENTS (40 </w:t>
            </w:r>
            <w:r w:rsidRPr="001F39F6">
              <w:rPr>
                <w:rFonts w:ascii="Arial" w:hAnsi="Arial" w:cs="Arial"/>
                <w:b/>
                <w:bCs/>
                <w:i/>
                <w:iCs/>
                <w:sz w:val="16"/>
                <w:szCs w:val="16"/>
              </w:rPr>
              <w:t>CFR</w:t>
            </w:r>
            <w:r w:rsidRPr="001F39F6">
              <w:rPr>
                <w:rFonts w:ascii="Arial" w:hAnsi="Arial" w:cs="Arial"/>
                <w:b/>
                <w:bCs/>
                <w:sz w:val="16"/>
                <w:szCs w:val="16"/>
              </w:rPr>
              <w:t xml:space="preserve"> 262.203)</w:t>
            </w:r>
          </w:p>
        </w:tc>
      </w:tr>
      <w:tr w:rsidR="001F39F6" w:rsidRPr="001F39F6" w:rsidTr="001F39F6">
        <w:trPr>
          <w:trHeight w:val="240"/>
        </w:trPr>
        <w:tc>
          <w:tcPr>
            <w:tcW w:w="14360" w:type="dxa"/>
            <w:gridSpan w:val="12"/>
            <w:tcBorders>
              <w:top w:val="single" w:sz="4" w:space="0" w:color="auto"/>
              <w:left w:val="single" w:sz="4" w:space="0" w:color="auto"/>
              <w:bottom w:val="single" w:sz="4" w:space="0" w:color="auto"/>
              <w:right w:val="single" w:sz="4" w:space="0" w:color="000000"/>
            </w:tcBorders>
            <w:shd w:val="clear" w:color="auto" w:fill="auto"/>
            <w:vAlign w:val="bottom"/>
            <w:hideMark/>
          </w:tcPr>
          <w:p w:rsidR="001F39F6" w:rsidRPr="001F39F6" w:rsidRDefault="001F39F6" w:rsidP="001F39F6">
            <w:pPr>
              <w:widowControl/>
              <w:autoSpaceDE/>
              <w:autoSpaceDN/>
              <w:adjustRightInd/>
              <w:rPr>
                <w:rFonts w:ascii="Arial" w:hAnsi="Arial" w:cs="Arial"/>
                <w:b/>
                <w:bCs/>
                <w:sz w:val="16"/>
                <w:szCs w:val="16"/>
              </w:rPr>
            </w:pPr>
            <w:r w:rsidRPr="001F39F6">
              <w:rPr>
                <w:rFonts w:ascii="Arial" w:hAnsi="Arial" w:cs="Arial"/>
                <w:b/>
                <w:bCs/>
                <w:sz w:val="16"/>
                <w:szCs w:val="16"/>
              </w:rPr>
              <w:t>Eligible Academic Entities</w:t>
            </w:r>
          </w:p>
        </w:tc>
      </w:tr>
      <w:tr w:rsidR="001F39F6" w:rsidRPr="001F39F6" w:rsidTr="001F39F6">
        <w:trPr>
          <w:trHeight w:val="255"/>
        </w:trPr>
        <w:tc>
          <w:tcPr>
            <w:tcW w:w="3061" w:type="dxa"/>
            <w:tcBorders>
              <w:top w:val="nil"/>
              <w:left w:val="single" w:sz="4" w:space="0" w:color="auto"/>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Prepare and submit Site Identification Form</w:t>
            </w:r>
          </w:p>
        </w:tc>
        <w:tc>
          <w:tcPr>
            <w:tcW w:w="999"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0.30</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0.10</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0.50</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$23.73</w:t>
            </w:r>
          </w:p>
        </w:tc>
        <w:tc>
          <w:tcPr>
            <w:tcW w:w="10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3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$3.41</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33</w:t>
            </w:r>
          </w:p>
        </w:tc>
        <w:tc>
          <w:tcPr>
            <w:tcW w:w="936" w:type="dxa"/>
            <w:tcBorders>
              <w:top w:val="nil"/>
              <w:left w:val="nil"/>
              <w:bottom w:val="single" w:sz="4" w:space="0" w:color="auto"/>
              <w:right w:val="single" w:sz="4" w:space="0" w:color="auto"/>
            </w:tcBorders>
            <w:shd w:val="clear" w:color="auto" w:fill="auto"/>
            <w:noWrap/>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16.50</w:t>
            </w:r>
          </w:p>
        </w:tc>
        <w:tc>
          <w:tcPr>
            <w:tcW w:w="119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$895.64</w:t>
            </w:r>
          </w:p>
        </w:tc>
      </w:tr>
      <w:tr w:rsidR="001F39F6" w:rsidRPr="001F39F6" w:rsidTr="001F39F6">
        <w:trPr>
          <w:trHeight w:val="225"/>
        </w:trPr>
        <w:tc>
          <w:tcPr>
            <w:tcW w:w="3061" w:type="dxa"/>
            <w:tcBorders>
              <w:top w:val="nil"/>
              <w:left w:val="single" w:sz="4" w:space="0" w:color="auto"/>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Keep a copy of the notification on file</w:t>
            </w:r>
          </w:p>
        </w:tc>
        <w:tc>
          <w:tcPr>
            <w:tcW w:w="999"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0.10</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0.10</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$2.33</w:t>
            </w:r>
          </w:p>
        </w:tc>
        <w:tc>
          <w:tcPr>
            <w:tcW w:w="10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3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33</w:t>
            </w:r>
          </w:p>
        </w:tc>
        <w:tc>
          <w:tcPr>
            <w:tcW w:w="936" w:type="dxa"/>
            <w:tcBorders>
              <w:top w:val="nil"/>
              <w:left w:val="nil"/>
              <w:bottom w:val="single" w:sz="4" w:space="0" w:color="auto"/>
              <w:right w:val="single" w:sz="4" w:space="0" w:color="auto"/>
            </w:tcBorders>
            <w:shd w:val="clear" w:color="auto" w:fill="auto"/>
            <w:noWrap/>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3.30</w:t>
            </w:r>
          </w:p>
        </w:tc>
        <w:tc>
          <w:tcPr>
            <w:tcW w:w="119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$76.89</w:t>
            </w:r>
          </w:p>
        </w:tc>
      </w:tr>
      <w:tr w:rsidR="001F39F6" w:rsidRPr="001F39F6" w:rsidTr="001F39F6">
        <w:trPr>
          <w:trHeight w:val="225"/>
        </w:trPr>
        <w:tc>
          <w:tcPr>
            <w:tcW w:w="14360"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F39F6" w:rsidRPr="001F39F6" w:rsidRDefault="001F39F6" w:rsidP="001F39F6">
            <w:pPr>
              <w:widowControl/>
              <w:autoSpaceDE/>
              <w:autoSpaceDN/>
              <w:adjustRightInd/>
              <w:rPr>
                <w:rFonts w:ascii="Arial" w:hAnsi="Arial" w:cs="Arial"/>
                <w:b/>
                <w:bCs/>
                <w:sz w:val="16"/>
                <w:szCs w:val="16"/>
              </w:rPr>
            </w:pPr>
            <w:r w:rsidRPr="001F39F6">
              <w:rPr>
                <w:rFonts w:ascii="Arial" w:hAnsi="Arial" w:cs="Arial"/>
                <w:b/>
                <w:bCs/>
                <w:sz w:val="16"/>
                <w:szCs w:val="16"/>
              </w:rPr>
              <w:t>Teaching Hospitals</w:t>
            </w:r>
          </w:p>
        </w:tc>
      </w:tr>
      <w:tr w:rsidR="001F39F6" w:rsidRPr="001F39F6" w:rsidTr="001F39F6">
        <w:trPr>
          <w:trHeight w:val="450"/>
        </w:trPr>
        <w:tc>
          <w:tcPr>
            <w:tcW w:w="3061" w:type="dxa"/>
            <w:tcBorders>
              <w:top w:val="nil"/>
              <w:left w:val="single" w:sz="4" w:space="0" w:color="auto"/>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Keep a copy of the formal written affiliation agreement on file</w:t>
            </w:r>
          </w:p>
        </w:tc>
        <w:tc>
          <w:tcPr>
            <w:tcW w:w="999"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0.10</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0.10</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$2.33</w:t>
            </w:r>
          </w:p>
        </w:tc>
        <w:tc>
          <w:tcPr>
            <w:tcW w:w="10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3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1</w:t>
            </w:r>
          </w:p>
        </w:tc>
        <w:tc>
          <w:tcPr>
            <w:tcW w:w="936" w:type="dxa"/>
            <w:tcBorders>
              <w:top w:val="nil"/>
              <w:left w:val="nil"/>
              <w:bottom w:val="single" w:sz="4" w:space="0" w:color="auto"/>
              <w:right w:val="single" w:sz="4" w:space="0" w:color="auto"/>
            </w:tcBorders>
            <w:shd w:val="clear" w:color="auto" w:fill="auto"/>
            <w:noWrap/>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0.10</w:t>
            </w:r>
          </w:p>
        </w:tc>
        <w:tc>
          <w:tcPr>
            <w:tcW w:w="119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$2.33</w:t>
            </w:r>
          </w:p>
        </w:tc>
      </w:tr>
      <w:tr w:rsidR="001F39F6" w:rsidRPr="001F39F6" w:rsidTr="001F39F6">
        <w:trPr>
          <w:trHeight w:val="225"/>
        </w:trPr>
        <w:tc>
          <w:tcPr>
            <w:tcW w:w="14360"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F39F6" w:rsidRPr="001F39F6" w:rsidRDefault="001F39F6" w:rsidP="001F39F6">
            <w:pPr>
              <w:widowControl/>
              <w:autoSpaceDE/>
              <w:autoSpaceDN/>
              <w:adjustRightInd/>
              <w:rPr>
                <w:rFonts w:ascii="Arial" w:hAnsi="Arial" w:cs="Arial"/>
                <w:b/>
                <w:bCs/>
                <w:sz w:val="16"/>
                <w:szCs w:val="16"/>
              </w:rPr>
            </w:pPr>
            <w:r w:rsidRPr="001F39F6">
              <w:rPr>
                <w:rFonts w:ascii="Arial" w:hAnsi="Arial" w:cs="Arial"/>
                <w:b/>
                <w:bCs/>
                <w:sz w:val="16"/>
                <w:szCs w:val="16"/>
              </w:rPr>
              <w:t>Non-Profit Research Institutes</w:t>
            </w:r>
          </w:p>
        </w:tc>
      </w:tr>
      <w:tr w:rsidR="001F39F6" w:rsidRPr="001F39F6" w:rsidTr="001F39F6">
        <w:trPr>
          <w:trHeight w:val="450"/>
        </w:trPr>
        <w:tc>
          <w:tcPr>
            <w:tcW w:w="3061" w:type="dxa"/>
            <w:tcBorders>
              <w:top w:val="nil"/>
              <w:left w:val="single" w:sz="4" w:space="0" w:color="auto"/>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Keep a copy of the formal written affiliation agreement on file</w:t>
            </w:r>
          </w:p>
        </w:tc>
        <w:tc>
          <w:tcPr>
            <w:tcW w:w="999"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0.10</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0.10</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$2.33</w:t>
            </w:r>
          </w:p>
        </w:tc>
        <w:tc>
          <w:tcPr>
            <w:tcW w:w="10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3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2</w:t>
            </w:r>
          </w:p>
        </w:tc>
        <w:tc>
          <w:tcPr>
            <w:tcW w:w="936" w:type="dxa"/>
            <w:tcBorders>
              <w:top w:val="nil"/>
              <w:left w:val="nil"/>
              <w:bottom w:val="single" w:sz="4" w:space="0" w:color="auto"/>
              <w:right w:val="single" w:sz="4" w:space="0" w:color="auto"/>
            </w:tcBorders>
            <w:shd w:val="clear" w:color="auto" w:fill="auto"/>
            <w:noWrap/>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0.20</w:t>
            </w:r>
          </w:p>
        </w:tc>
        <w:tc>
          <w:tcPr>
            <w:tcW w:w="119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$4.66</w:t>
            </w:r>
          </w:p>
        </w:tc>
      </w:tr>
      <w:tr w:rsidR="001F39F6" w:rsidRPr="001F39F6" w:rsidTr="001F39F6">
        <w:trPr>
          <w:trHeight w:val="225"/>
        </w:trPr>
        <w:tc>
          <w:tcPr>
            <w:tcW w:w="3061" w:type="dxa"/>
            <w:tcBorders>
              <w:top w:val="nil"/>
              <w:left w:val="single" w:sz="4" w:space="0" w:color="auto"/>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rPr>
                <w:rFonts w:ascii="Arial" w:hAnsi="Arial" w:cs="Arial"/>
                <w:b/>
                <w:bCs/>
                <w:sz w:val="16"/>
                <w:szCs w:val="16"/>
              </w:rPr>
            </w:pPr>
            <w:r w:rsidRPr="001F39F6">
              <w:rPr>
                <w:rFonts w:ascii="Arial" w:hAnsi="Arial" w:cs="Arial"/>
                <w:b/>
                <w:bCs/>
                <w:sz w:val="16"/>
                <w:szCs w:val="16"/>
              </w:rPr>
              <w:t>Subtotal</w:t>
            </w:r>
          </w:p>
        </w:tc>
        <w:tc>
          <w:tcPr>
            <w:tcW w:w="999"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varies</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varies</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varies</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varies</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varies</w:t>
            </w:r>
          </w:p>
        </w:tc>
        <w:tc>
          <w:tcPr>
            <w:tcW w:w="10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3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varies</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varies</w:t>
            </w:r>
          </w:p>
        </w:tc>
        <w:tc>
          <w:tcPr>
            <w:tcW w:w="936" w:type="dxa"/>
            <w:tcBorders>
              <w:top w:val="nil"/>
              <w:left w:val="nil"/>
              <w:bottom w:val="single" w:sz="4" w:space="0" w:color="auto"/>
              <w:right w:val="single" w:sz="4" w:space="0" w:color="auto"/>
            </w:tcBorders>
            <w:shd w:val="clear" w:color="auto" w:fill="auto"/>
            <w:noWrap/>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20.10</w:t>
            </w:r>
          </w:p>
        </w:tc>
        <w:tc>
          <w:tcPr>
            <w:tcW w:w="1196" w:type="dxa"/>
            <w:tcBorders>
              <w:top w:val="nil"/>
              <w:left w:val="nil"/>
              <w:bottom w:val="single" w:sz="4" w:space="0" w:color="auto"/>
              <w:right w:val="single" w:sz="4" w:space="0" w:color="auto"/>
            </w:tcBorders>
            <w:shd w:val="clear" w:color="auto" w:fill="auto"/>
            <w:noWrap/>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$979.52</w:t>
            </w:r>
          </w:p>
        </w:tc>
      </w:tr>
      <w:tr w:rsidR="001F39F6" w:rsidRPr="001F39F6" w:rsidTr="001F39F6">
        <w:trPr>
          <w:trHeight w:val="225"/>
        </w:trPr>
        <w:tc>
          <w:tcPr>
            <w:tcW w:w="14360" w:type="dxa"/>
            <w:gridSpan w:val="12"/>
            <w:tcBorders>
              <w:top w:val="single" w:sz="4" w:space="0" w:color="auto"/>
              <w:left w:val="single" w:sz="4" w:space="0" w:color="auto"/>
              <w:bottom w:val="single" w:sz="4" w:space="0" w:color="auto"/>
              <w:right w:val="single" w:sz="4" w:space="0" w:color="auto"/>
            </w:tcBorders>
            <w:shd w:val="clear" w:color="000000" w:fill="E3E3E3"/>
            <w:vAlign w:val="bottom"/>
            <w:hideMark/>
          </w:tcPr>
          <w:p w:rsidR="001F39F6" w:rsidRPr="001F39F6" w:rsidRDefault="001F39F6" w:rsidP="001F39F6">
            <w:pPr>
              <w:widowControl/>
              <w:autoSpaceDE/>
              <w:autoSpaceDN/>
              <w:adjustRightInd/>
              <w:rPr>
                <w:rFonts w:ascii="Arial" w:hAnsi="Arial" w:cs="Arial"/>
                <w:b/>
                <w:bCs/>
                <w:sz w:val="16"/>
                <w:szCs w:val="16"/>
              </w:rPr>
            </w:pPr>
            <w:r w:rsidRPr="001F39F6">
              <w:rPr>
                <w:rFonts w:ascii="Arial" w:hAnsi="Arial" w:cs="Arial"/>
                <w:b/>
                <w:bCs/>
                <w:sz w:val="16"/>
                <w:szCs w:val="16"/>
              </w:rPr>
              <w:t xml:space="preserve">NOTIFICATION OF WITHDRAWAL FROM SUBPART K (40 </w:t>
            </w:r>
            <w:r w:rsidRPr="001F39F6">
              <w:rPr>
                <w:rFonts w:ascii="Arial" w:hAnsi="Arial" w:cs="Arial"/>
                <w:b/>
                <w:bCs/>
                <w:i/>
                <w:iCs/>
                <w:sz w:val="16"/>
                <w:szCs w:val="16"/>
              </w:rPr>
              <w:t>CFR</w:t>
            </w:r>
            <w:r w:rsidRPr="001F39F6">
              <w:rPr>
                <w:rFonts w:ascii="Arial" w:hAnsi="Arial" w:cs="Arial"/>
                <w:b/>
                <w:bCs/>
                <w:sz w:val="16"/>
                <w:szCs w:val="16"/>
              </w:rPr>
              <w:t xml:space="preserve"> 262.204)</w:t>
            </w:r>
          </w:p>
        </w:tc>
      </w:tr>
      <w:tr w:rsidR="001F39F6" w:rsidRPr="001F39F6" w:rsidTr="001F39F6">
        <w:trPr>
          <w:trHeight w:val="240"/>
        </w:trPr>
        <w:tc>
          <w:tcPr>
            <w:tcW w:w="3061" w:type="dxa"/>
            <w:tcBorders>
              <w:top w:val="nil"/>
              <w:left w:val="single" w:sz="4" w:space="0" w:color="auto"/>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Prepare and submit Site Identification Form</w:t>
            </w:r>
          </w:p>
        </w:tc>
        <w:tc>
          <w:tcPr>
            <w:tcW w:w="999"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0.30</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0.10</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0.50</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$23.73</w:t>
            </w:r>
          </w:p>
        </w:tc>
        <w:tc>
          <w:tcPr>
            <w:tcW w:w="10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3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$3.41</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9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r>
      <w:tr w:rsidR="001F39F6" w:rsidRPr="001F39F6" w:rsidTr="001F39F6">
        <w:trPr>
          <w:trHeight w:val="450"/>
        </w:trPr>
        <w:tc>
          <w:tcPr>
            <w:tcW w:w="3061" w:type="dxa"/>
            <w:tcBorders>
              <w:top w:val="nil"/>
              <w:left w:val="single" w:sz="4" w:space="0" w:color="auto"/>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Keep a copy of the withdrawal notice on file</w:t>
            </w:r>
          </w:p>
        </w:tc>
        <w:tc>
          <w:tcPr>
            <w:tcW w:w="999"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0.10</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0.10</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$2.33</w:t>
            </w:r>
          </w:p>
        </w:tc>
        <w:tc>
          <w:tcPr>
            <w:tcW w:w="10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3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9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r>
      <w:tr w:rsidR="001F39F6" w:rsidRPr="001F39F6" w:rsidTr="001F39F6">
        <w:trPr>
          <w:trHeight w:val="225"/>
        </w:trPr>
        <w:tc>
          <w:tcPr>
            <w:tcW w:w="3061" w:type="dxa"/>
            <w:tcBorders>
              <w:top w:val="nil"/>
              <w:left w:val="single" w:sz="4" w:space="0" w:color="auto"/>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rPr>
                <w:rFonts w:ascii="Arial" w:hAnsi="Arial" w:cs="Arial"/>
                <w:b/>
                <w:bCs/>
                <w:sz w:val="16"/>
                <w:szCs w:val="16"/>
              </w:rPr>
            </w:pPr>
            <w:r w:rsidRPr="001F39F6">
              <w:rPr>
                <w:rFonts w:ascii="Arial" w:hAnsi="Arial" w:cs="Arial"/>
                <w:b/>
                <w:bCs/>
                <w:sz w:val="16"/>
                <w:szCs w:val="16"/>
              </w:rPr>
              <w:t>Subtotal</w:t>
            </w:r>
          </w:p>
        </w:tc>
        <w:tc>
          <w:tcPr>
            <w:tcW w:w="999"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0.30</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0.20</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0.60</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$26.06</w:t>
            </w:r>
          </w:p>
        </w:tc>
        <w:tc>
          <w:tcPr>
            <w:tcW w:w="10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3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$3.41</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w:t>
            </w:r>
          </w:p>
        </w:tc>
        <w:tc>
          <w:tcPr>
            <w:tcW w:w="936" w:type="dxa"/>
            <w:tcBorders>
              <w:top w:val="nil"/>
              <w:left w:val="nil"/>
              <w:bottom w:val="single" w:sz="4" w:space="0" w:color="auto"/>
              <w:right w:val="single" w:sz="4" w:space="0" w:color="auto"/>
            </w:tcBorders>
            <w:shd w:val="clear" w:color="auto" w:fill="auto"/>
            <w:noWrap/>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96" w:type="dxa"/>
            <w:tcBorders>
              <w:top w:val="nil"/>
              <w:left w:val="nil"/>
              <w:bottom w:val="single" w:sz="4" w:space="0" w:color="auto"/>
              <w:right w:val="single" w:sz="4" w:space="0" w:color="auto"/>
            </w:tcBorders>
            <w:shd w:val="clear" w:color="auto" w:fill="auto"/>
            <w:noWrap/>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r>
      <w:tr w:rsidR="001F39F6" w:rsidRPr="001F39F6" w:rsidTr="001F39F6">
        <w:trPr>
          <w:trHeight w:val="255"/>
        </w:trPr>
        <w:tc>
          <w:tcPr>
            <w:tcW w:w="14360" w:type="dxa"/>
            <w:gridSpan w:val="12"/>
            <w:tcBorders>
              <w:top w:val="single" w:sz="4" w:space="0" w:color="auto"/>
              <w:left w:val="single" w:sz="4" w:space="0" w:color="auto"/>
              <w:bottom w:val="single" w:sz="4" w:space="0" w:color="auto"/>
              <w:right w:val="single" w:sz="4" w:space="0" w:color="auto"/>
            </w:tcBorders>
            <w:shd w:val="clear" w:color="000000" w:fill="E3E3E3"/>
            <w:vAlign w:val="bottom"/>
            <w:hideMark/>
          </w:tcPr>
          <w:p w:rsidR="001F39F6" w:rsidRPr="001F39F6" w:rsidRDefault="001F39F6" w:rsidP="001F39F6">
            <w:pPr>
              <w:widowControl/>
              <w:autoSpaceDE/>
              <w:autoSpaceDN/>
              <w:adjustRightInd/>
              <w:rPr>
                <w:rFonts w:ascii="Arial" w:hAnsi="Arial" w:cs="Arial"/>
                <w:b/>
                <w:bCs/>
                <w:sz w:val="16"/>
                <w:szCs w:val="16"/>
              </w:rPr>
            </w:pPr>
            <w:r w:rsidRPr="001F39F6">
              <w:rPr>
                <w:rFonts w:ascii="Arial" w:hAnsi="Arial" w:cs="Arial"/>
                <w:b/>
                <w:bCs/>
                <w:sz w:val="16"/>
                <w:szCs w:val="16"/>
              </w:rPr>
              <w:t xml:space="preserve">LABELING OF CONTAINERS OF UNWANTED MATERIAL IN THE LABORATORY (40 </w:t>
            </w:r>
            <w:r w:rsidRPr="001F39F6">
              <w:rPr>
                <w:rFonts w:ascii="Arial" w:hAnsi="Arial" w:cs="Arial"/>
                <w:b/>
                <w:bCs/>
                <w:i/>
                <w:iCs/>
                <w:sz w:val="16"/>
                <w:szCs w:val="16"/>
              </w:rPr>
              <w:t>CFR</w:t>
            </w:r>
            <w:r w:rsidRPr="001F39F6">
              <w:rPr>
                <w:rFonts w:ascii="Arial" w:hAnsi="Arial" w:cs="Arial"/>
                <w:b/>
                <w:bCs/>
                <w:sz w:val="16"/>
                <w:szCs w:val="16"/>
              </w:rPr>
              <w:t xml:space="preserve"> 262.206)</w:t>
            </w:r>
          </w:p>
        </w:tc>
      </w:tr>
      <w:tr w:rsidR="001F39F6" w:rsidRPr="001F39F6" w:rsidTr="001F39F6">
        <w:trPr>
          <w:trHeight w:val="225"/>
        </w:trPr>
        <w:tc>
          <w:tcPr>
            <w:tcW w:w="3061" w:type="dxa"/>
            <w:tcBorders>
              <w:top w:val="nil"/>
              <w:left w:val="single" w:sz="4" w:space="0" w:color="auto"/>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Label the containers as specified</w:t>
            </w:r>
          </w:p>
        </w:tc>
        <w:tc>
          <w:tcPr>
            <w:tcW w:w="999"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0.017</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0.017</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$0.75</w:t>
            </w:r>
          </w:p>
        </w:tc>
        <w:tc>
          <w:tcPr>
            <w:tcW w:w="10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3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$0.14</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742,442</w:t>
            </w:r>
          </w:p>
        </w:tc>
        <w:tc>
          <w:tcPr>
            <w:tcW w:w="936" w:type="dxa"/>
            <w:tcBorders>
              <w:top w:val="nil"/>
              <w:left w:val="nil"/>
              <w:bottom w:val="single" w:sz="4" w:space="0" w:color="auto"/>
              <w:right w:val="single" w:sz="4" w:space="0" w:color="auto"/>
            </w:tcBorders>
            <w:shd w:val="clear" w:color="auto" w:fill="auto"/>
            <w:noWrap/>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12,621.51</w:t>
            </w:r>
          </w:p>
        </w:tc>
        <w:tc>
          <w:tcPr>
            <w:tcW w:w="119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$660,439.43</w:t>
            </w:r>
          </w:p>
        </w:tc>
      </w:tr>
      <w:tr w:rsidR="001F39F6" w:rsidRPr="001F39F6" w:rsidTr="001F39F6">
        <w:trPr>
          <w:trHeight w:val="225"/>
        </w:trPr>
        <w:tc>
          <w:tcPr>
            <w:tcW w:w="3061" w:type="dxa"/>
            <w:tcBorders>
              <w:top w:val="nil"/>
              <w:left w:val="single" w:sz="4" w:space="0" w:color="auto"/>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rPr>
                <w:rFonts w:ascii="Arial" w:hAnsi="Arial" w:cs="Arial"/>
                <w:b/>
                <w:bCs/>
                <w:sz w:val="16"/>
                <w:szCs w:val="16"/>
              </w:rPr>
            </w:pPr>
            <w:r w:rsidRPr="001F39F6">
              <w:rPr>
                <w:rFonts w:ascii="Arial" w:hAnsi="Arial" w:cs="Arial"/>
                <w:b/>
                <w:bCs/>
                <w:sz w:val="16"/>
                <w:szCs w:val="16"/>
              </w:rPr>
              <w:t>Subtotal</w:t>
            </w:r>
          </w:p>
        </w:tc>
        <w:tc>
          <w:tcPr>
            <w:tcW w:w="999"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0.017</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0.017</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$0.75</w:t>
            </w:r>
          </w:p>
        </w:tc>
        <w:tc>
          <w:tcPr>
            <w:tcW w:w="10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3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$0.14</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742,442</w:t>
            </w:r>
          </w:p>
        </w:tc>
        <w:tc>
          <w:tcPr>
            <w:tcW w:w="936" w:type="dxa"/>
            <w:tcBorders>
              <w:top w:val="nil"/>
              <w:left w:val="nil"/>
              <w:bottom w:val="single" w:sz="4" w:space="0" w:color="auto"/>
              <w:right w:val="single" w:sz="4" w:space="0" w:color="auto"/>
            </w:tcBorders>
            <w:shd w:val="clear" w:color="auto" w:fill="auto"/>
            <w:noWrap/>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12,621.51</w:t>
            </w:r>
          </w:p>
        </w:tc>
        <w:tc>
          <w:tcPr>
            <w:tcW w:w="1196" w:type="dxa"/>
            <w:tcBorders>
              <w:top w:val="nil"/>
              <w:left w:val="nil"/>
              <w:bottom w:val="single" w:sz="4" w:space="0" w:color="auto"/>
              <w:right w:val="single" w:sz="4" w:space="0" w:color="auto"/>
            </w:tcBorders>
            <w:shd w:val="clear" w:color="auto" w:fill="auto"/>
            <w:noWrap/>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$660,439.43</w:t>
            </w:r>
          </w:p>
        </w:tc>
      </w:tr>
      <w:tr w:rsidR="001F39F6" w:rsidRPr="001F39F6" w:rsidTr="001F39F6">
        <w:trPr>
          <w:trHeight w:val="255"/>
        </w:trPr>
        <w:tc>
          <w:tcPr>
            <w:tcW w:w="14360" w:type="dxa"/>
            <w:gridSpan w:val="12"/>
            <w:tcBorders>
              <w:top w:val="single" w:sz="4" w:space="0" w:color="auto"/>
              <w:left w:val="single" w:sz="4" w:space="0" w:color="auto"/>
              <w:bottom w:val="single" w:sz="4" w:space="0" w:color="auto"/>
              <w:right w:val="single" w:sz="4" w:space="0" w:color="auto"/>
            </w:tcBorders>
            <w:shd w:val="clear" w:color="000000" w:fill="E3E3E3"/>
            <w:vAlign w:val="bottom"/>
            <w:hideMark/>
          </w:tcPr>
          <w:p w:rsidR="001F39F6" w:rsidRPr="001F39F6" w:rsidRDefault="001F39F6" w:rsidP="001F39F6">
            <w:pPr>
              <w:widowControl/>
              <w:autoSpaceDE/>
              <w:autoSpaceDN/>
              <w:adjustRightInd/>
              <w:rPr>
                <w:rFonts w:ascii="Arial" w:hAnsi="Arial" w:cs="Arial"/>
                <w:b/>
                <w:bCs/>
                <w:sz w:val="16"/>
                <w:szCs w:val="16"/>
              </w:rPr>
            </w:pPr>
            <w:r w:rsidRPr="001F39F6">
              <w:rPr>
                <w:rFonts w:ascii="Arial" w:hAnsi="Arial" w:cs="Arial"/>
                <w:b/>
                <w:bCs/>
                <w:sz w:val="16"/>
                <w:szCs w:val="16"/>
              </w:rPr>
              <w:t xml:space="preserve">TRAINING (40 </w:t>
            </w:r>
            <w:r w:rsidRPr="001F39F6">
              <w:rPr>
                <w:rFonts w:ascii="Arial" w:hAnsi="Arial" w:cs="Arial"/>
                <w:b/>
                <w:bCs/>
                <w:i/>
                <w:iCs/>
                <w:sz w:val="16"/>
                <w:szCs w:val="16"/>
              </w:rPr>
              <w:t>CFR</w:t>
            </w:r>
            <w:r w:rsidRPr="001F39F6">
              <w:rPr>
                <w:rFonts w:ascii="Arial" w:hAnsi="Arial" w:cs="Arial"/>
                <w:b/>
                <w:bCs/>
                <w:sz w:val="16"/>
                <w:szCs w:val="16"/>
              </w:rPr>
              <w:t xml:space="preserve"> 262.207)</w:t>
            </w:r>
          </w:p>
        </w:tc>
      </w:tr>
      <w:tr w:rsidR="001F39F6" w:rsidRPr="001F39F6" w:rsidTr="001F39F6">
        <w:trPr>
          <w:trHeight w:val="450"/>
        </w:trPr>
        <w:tc>
          <w:tcPr>
            <w:tcW w:w="3061" w:type="dxa"/>
            <w:tcBorders>
              <w:top w:val="nil"/>
              <w:left w:val="single" w:sz="4" w:space="0" w:color="auto"/>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Provide training to all individuals in a laboratory</w:t>
            </w:r>
          </w:p>
        </w:tc>
        <w:tc>
          <w:tcPr>
            <w:tcW w:w="999"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0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3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99</w:t>
            </w:r>
          </w:p>
        </w:tc>
        <w:tc>
          <w:tcPr>
            <w:tcW w:w="936" w:type="dxa"/>
            <w:tcBorders>
              <w:top w:val="nil"/>
              <w:left w:val="nil"/>
              <w:bottom w:val="single" w:sz="4" w:space="0" w:color="auto"/>
              <w:right w:val="single" w:sz="4" w:space="0" w:color="auto"/>
            </w:tcBorders>
            <w:shd w:val="clear" w:color="auto" w:fill="auto"/>
            <w:noWrap/>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9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r>
      <w:tr w:rsidR="001F39F6" w:rsidRPr="001F39F6" w:rsidTr="001F39F6">
        <w:trPr>
          <w:trHeight w:val="435"/>
        </w:trPr>
        <w:tc>
          <w:tcPr>
            <w:tcW w:w="3061" w:type="dxa"/>
            <w:tcBorders>
              <w:top w:val="nil"/>
              <w:left w:val="single" w:sz="4" w:space="0" w:color="auto"/>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Maintain documentation demonstrating training for all laboratory workers (LQGs only)</w:t>
            </w:r>
          </w:p>
        </w:tc>
        <w:tc>
          <w:tcPr>
            <w:tcW w:w="999"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0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3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27</w:t>
            </w:r>
          </w:p>
        </w:tc>
        <w:tc>
          <w:tcPr>
            <w:tcW w:w="936" w:type="dxa"/>
            <w:tcBorders>
              <w:top w:val="nil"/>
              <w:left w:val="nil"/>
              <w:bottom w:val="single" w:sz="4" w:space="0" w:color="auto"/>
              <w:right w:val="single" w:sz="4" w:space="0" w:color="auto"/>
            </w:tcBorders>
            <w:shd w:val="clear" w:color="auto" w:fill="auto"/>
            <w:noWrap/>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9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r>
      <w:tr w:rsidR="001F39F6" w:rsidRPr="001F39F6" w:rsidTr="001F39F6">
        <w:trPr>
          <w:trHeight w:val="225"/>
        </w:trPr>
        <w:tc>
          <w:tcPr>
            <w:tcW w:w="3061" w:type="dxa"/>
            <w:tcBorders>
              <w:top w:val="nil"/>
              <w:left w:val="single" w:sz="4" w:space="0" w:color="auto"/>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rPr>
                <w:rFonts w:ascii="Arial" w:hAnsi="Arial" w:cs="Arial"/>
                <w:b/>
                <w:bCs/>
                <w:sz w:val="16"/>
                <w:szCs w:val="16"/>
              </w:rPr>
            </w:pPr>
            <w:r w:rsidRPr="001F39F6">
              <w:rPr>
                <w:rFonts w:ascii="Arial" w:hAnsi="Arial" w:cs="Arial"/>
                <w:b/>
                <w:bCs/>
                <w:sz w:val="16"/>
                <w:szCs w:val="16"/>
              </w:rPr>
              <w:t>Subtotal</w:t>
            </w:r>
          </w:p>
        </w:tc>
        <w:tc>
          <w:tcPr>
            <w:tcW w:w="999"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05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3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16" w:type="dxa"/>
            <w:tcBorders>
              <w:top w:val="nil"/>
              <w:left w:val="nil"/>
              <w:bottom w:val="single" w:sz="4" w:space="0" w:color="auto"/>
              <w:right w:val="single" w:sz="4" w:space="0" w:color="auto"/>
            </w:tcBorders>
            <w:shd w:val="clear" w:color="auto" w:fill="auto"/>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varies</w:t>
            </w:r>
          </w:p>
        </w:tc>
        <w:tc>
          <w:tcPr>
            <w:tcW w:w="936" w:type="dxa"/>
            <w:tcBorders>
              <w:top w:val="nil"/>
              <w:left w:val="nil"/>
              <w:bottom w:val="single" w:sz="4" w:space="0" w:color="auto"/>
              <w:right w:val="single" w:sz="4" w:space="0" w:color="auto"/>
            </w:tcBorders>
            <w:shd w:val="clear" w:color="auto" w:fill="auto"/>
            <w:noWrap/>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96" w:type="dxa"/>
            <w:tcBorders>
              <w:top w:val="nil"/>
              <w:left w:val="nil"/>
              <w:bottom w:val="single" w:sz="4" w:space="0" w:color="auto"/>
              <w:right w:val="single" w:sz="4" w:space="0" w:color="auto"/>
            </w:tcBorders>
            <w:shd w:val="clear" w:color="auto" w:fill="auto"/>
            <w:noWrap/>
            <w:vAlign w:val="bottom"/>
            <w:hideMark/>
          </w:tcPr>
          <w:p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r>
    </w:tbl>
    <w:p w:rsidR="00465A3A" w:rsidRDefault="00146A6C">
      <w:pPr>
        <w:widowControl/>
        <w:ind w:firstLine="720"/>
        <w:rPr>
          <w:sz w:val="24"/>
        </w:rPr>
      </w:pPr>
      <w:r>
        <w:rPr>
          <w:sz w:val="24"/>
        </w:rPr>
        <w:br w:type="page"/>
      </w:r>
    </w:p>
    <w:tbl>
      <w:tblPr>
        <w:tblW w:w="14365" w:type="dxa"/>
        <w:tblInd w:w="103" w:type="dxa"/>
        <w:tblLook w:val="04A0"/>
      </w:tblPr>
      <w:tblGrid>
        <w:gridCol w:w="2904"/>
        <w:gridCol w:w="233"/>
        <w:gridCol w:w="766"/>
        <w:gridCol w:w="254"/>
        <w:gridCol w:w="665"/>
        <w:gridCol w:w="235"/>
        <w:gridCol w:w="684"/>
        <w:gridCol w:w="216"/>
        <w:gridCol w:w="740"/>
        <w:gridCol w:w="200"/>
        <w:gridCol w:w="756"/>
        <w:gridCol w:w="184"/>
        <w:gridCol w:w="932"/>
        <w:gridCol w:w="168"/>
        <w:gridCol w:w="888"/>
        <w:gridCol w:w="152"/>
        <w:gridCol w:w="984"/>
        <w:gridCol w:w="136"/>
        <w:gridCol w:w="1068"/>
        <w:gridCol w:w="32"/>
        <w:gridCol w:w="912"/>
        <w:gridCol w:w="16"/>
        <w:gridCol w:w="1240"/>
      </w:tblGrid>
      <w:tr w:rsidR="00465A3A" w:rsidRPr="00465A3A" w:rsidTr="00465A3A">
        <w:trPr>
          <w:trHeight w:val="225"/>
        </w:trPr>
        <w:tc>
          <w:tcPr>
            <w:tcW w:w="2967" w:type="dxa"/>
            <w:tcBorders>
              <w:top w:val="nil"/>
              <w:left w:val="nil"/>
              <w:bottom w:val="nil"/>
              <w:right w:val="nil"/>
            </w:tcBorders>
            <w:shd w:val="clear" w:color="000000" w:fill="FFFFFF"/>
            <w:vAlign w:val="bottom"/>
            <w:hideMark/>
          </w:tcPr>
          <w:p w:rsidR="00465A3A" w:rsidRPr="00465A3A" w:rsidRDefault="00465A3A" w:rsidP="00465A3A">
            <w:pPr>
              <w:widowControl/>
              <w:autoSpaceDE/>
              <w:autoSpaceDN/>
              <w:adjustRightInd/>
              <w:rPr>
                <w:rFonts w:ascii="Arial" w:hAnsi="Arial" w:cs="Arial"/>
                <w:b/>
                <w:sz w:val="16"/>
                <w:szCs w:val="16"/>
              </w:rPr>
            </w:pPr>
            <w:r w:rsidRPr="00465A3A">
              <w:rPr>
                <w:rFonts w:ascii="Arial" w:hAnsi="Arial" w:cs="Arial"/>
                <w:b/>
                <w:sz w:val="16"/>
                <w:szCs w:val="16"/>
              </w:rPr>
              <w:t>EXHIBIT 1 (continued)</w:t>
            </w:r>
          </w:p>
        </w:tc>
        <w:tc>
          <w:tcPr>
            <w:tcW w:w="999" w:type="dxa"/>
            <w:gridSpan w:val="2"/>
            <w:tcBorders>
              <w:top w:val="nil"/>
              <w:left w:val="nil"/>
              <w:bottom w:val="nil"/>
              <w:right w:val="nil"/>
            </w:tcBorders>
            <w:shd w:val="clear" w:color="000000" w:fill="FFFFFF"/>
            <w:vAlign w:val="bottom"/>
            <w:hideMark/>
          </w:tcPr>
          <w:p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 </w:t>
            </w:r>
          </w:p>
        </w:tc>
        <w:tc>
          <w:tcPr>
            <w:tcW w:w="919"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rPr>
                <w:rFonts w:ascii="Arial" w:hAnsi="Arial" w:cs="Arial"/>
                <w:sz w:val="16"/>
                <w:szCs w:val="16"/>
              </w:rPr>
            </w:pPr>
          </w:p>
        </w:tc>
        <w:tc>
          <w:tcPr>
            <w:tcW w:w="919"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rPr>
                <w:rFonts w:ascii="Arial" w:hAnsi="Arial" w:cs="Arial"/>
                <w:sz w:val="16"/>
                <w:szCs w:val="16"/>
              </w:rPr>
            </w:pPr>
          </w:p>
        </w:tc>
        <w:tc>
          <w:tcPr>
            <w:tcW w:w="956"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rPr>
                <w:rFonts w:ascii="Arial" w:hAnsi="Arial" w:cs="Arial"/>
                <w:sz w:val="16"/>
                <w:szCs w:val="16"/>
              </w:rPr>
            </w:pPr>
          </w:p>
        </w:tc>
        <w:tc>
          <w:tcPr>
            <w:tcW w:w="956"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rPr>
                <w:rFonts w:ascii="Arial" w:hAnsi="Arial" w:cs="Arial"/>
                <w:sz w:val="16"/>
                <w:szCs w:val="16"/>
              </w:rPr>
            </w:pPr>
          </w:p>
        </w:tc>
        <w:tc>
          <w:tcPr>
            <w:tcW w:w="1116"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rPr>
                <w:rFonts w:ascii="Arial" w:hAnsi="Arial" w:cs="Arial"/>
                <w:sz w:val="16"/>
                <w:szCs w:val="16"/>
              </w:rPr>
            </w:pPr>
          </w:p>
        </w:tc>
        <w:tc>
          <w:tcPr>
            <w:tcW w:w="1056"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rPr>
                <w:rFonts w:ascii="Arial" w:hAnsi="Arial" w:cs="Arial"/>
                <w:sz w:val="16"/>
                <w:szCs w:val="16"/>
              </w:rPr>
            </w:pPr>
          </w:p>
        </w:tc>
        <w:tc>
          <w:tcPr>
            <w:tcW w:w="1136"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rPr>
                <w:rFonts w:ascii="Arial" w:hAnsi="Arial" w:cs="Arial"/>
                <w:sz w:val="16"/>
                <w:szCs w:val="16"/>
              </w:rPr>
            </w:pPr>
          </w:p>
        </w:tc>
        <w:tc>
          <w:tcPr>
            <w:tcW w:w="1204"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jc w:val="right"/>
              <w:rPr>
                <w:rFonts w:ascii="Arial" w:hAnsi="Arial" w:cs="Arial"/>
                <w:sz w:val="16"/>
                <w:szCs w:val="16"/>
              </w:rPr>
            </w:pPr>
          </w:p>
        </w:tc>
        <w:tc>
          <w:tcPr>
            <w:tcW w:w="936"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jc w:val="right"/>
              <w:rPr>
                <w:rFonts w:ascii="Arial" w:hAnsi="Arial" w:cs="Arial"/>
                <w:sz w:val="16"/>
                <w:szCs w:val="16"/>
              </w:rPr>
            </w:pPr>
          </w:p>
        </w:tc>
        <w:tc>
          <w:tcPr>
            <w:tcW w:w="1196"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jc w:val="right"/>
              <w:rPr>
                <w:rFonts w:ascii="Arial" w:hAnsi="Arial" w:cs="Arial"/>
                <w:sz w:val="16"/>
                <w:szCs w:val="16"/>
              </w:rPr>
            </w:pPr>
          </w:p>
        </w:tc>
      </w:tr>
      <w:tr w:rsidR="00465A3A" w:rsidRPr="00465A3A" w:rsidTr="00465A3A">
        <w:trPr>
          <w:trHeight w:val="225"/>
        </w:trPr>
        <w:tc>
          <w:tcPr>
            <w:tcW w:w="9888" w:type="dxa"/>
            <w:gridSpan w:val="15"/>
            <w:tcBorders>
              <w:top w:val="nil"/>
              <w:left w:val="nil"/>
              <w:bottom w:val="nil"/>
              <w:right w:val="nil"/>
            </w:tcBorders>
            <w:shd w:val="clear" w:color="000000" w:fill="FFFFFF"/>
            <w:vAlign w:val="bottom"/>
            <w:hideMark/>
          </w:tcPr>
          <w:p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 xml:space="preserve">GENERATOR STANDARDS APPLICABLE TO LABORATORIES OWNED BY ELIGIBLE ACADEMIC ENTITIES </w:t>
            </w:r>
            <w:r w:rsidRPr="00465A3A">
              <w:rPr>
                <w:rFonts w:ascii="Arial" w:hAnsi="Arial" w:cs="Arial"/>
                <w:sz w:val="16"/>
                <w:szCs w:val="16"/>
                <w:vertAlign w:val="superscript"/>
              </w:rPr>
              <w:t>a</w:t>
            </w:r>
            <w:r w:rsidRPr="00465A3A">
              <w:rPr>
                <w:rFonts w:ascii="Arial" w:hAnsi="Arial" w:cs="Arial"/>
                <w:sz w:val="16"/>
                <w:szCs w:val="16"/>
              </w:rPr>
              <w:t xml:space="preserve"> </w:t>
            </w:r>
          </w:p>
        </w:tc>
        <w:tc>
          <w:tcPr>
            <w:tcW w:w="1136"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rPr>
                <w:rFonts w:ascii="Arial" w:hAnsi="Arial" w:cs="Arial"/>
                <w:sz w:val="16"/>
                <w:szCs w:val="16"/>
              </w:rPr>
            </w:pPr>
          </w:p>
        </w:tc>
        <w:tc>
          <w:tcPr>
            <w:tcW w:w="1204"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jc w:val="right"/>
              <w:rPr>
                <w:rFonts w:ascii="Arial" w:hAnsi="Arial" w:cs="Arial"/>
                <w:sz w:val="16"/>
                <w:szCs w:val="16"/>
              </w:rPr>
            </w:pPr>
          </w:p>
        </w:tc>
        <w:tc>
          <w:tcPr>
            <w:tcW w:w="936"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jc w:val="right"/>
              <w:rPr>
                <w:rFonts w:ascii="Arial" w:hAnsi="Arial" w:cs="Arial"/>
                <w:sz w:val="16"/>
                <w:szCs w:val="16"/>
              </w:rPr>
            </w:pPr>
          </w:p>
        </w:tc>
        <w:tc>
          <w:tcPr>
            <w:tcW w:w="1196"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jc w:val="right"/>
              <w:rPr>
                <w:rFonts w:ascii="Arial" w:hAnsi="Arial" w:cs="Arial"/>
                <w:sz w:val="16"/>
                <w:szCs w:val="16"/>
              </w:rPr>
            </w:pPr>
          </w:p>
        </w:tc>
      </w:tr>
      <w:tr w:rsidR="00465A3A" w:rsidRPr="00465A3A" w:rsidTr="00465A3A">
        <w:trPr>
          <w:trHeight w:val="225"/>
        </w:trPr>
        <w:tc>
          <w:tcPr>
            <w:tcW w:w="8832" w:type="dxa"/>
            <w:gridSpan w:val="13"/>
            <w:tcBorders>
              <w:top w:val="nil"/>
              <w:left w:val="nil"/>
              <w:bottom w:val="nil"/>
              <w:right w:val="nil"/>
            </w:tcBorders>
            <w:shd w:val="clear" w:color="000000" w:fill="FFFFFF"/>
            <w:vAlign w:val="bottom"/>
            <w:hideMark/>
          </w:tcPr>
          <w:p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ESTIMATED ANNUAL RESPONDENT HOUR AND COST BURDEN</w:t>
            </w:r>
          </w:p>
        </w:tc>
        <w:tc>
          <w:tcPr>
            <w:tcW w:w="1056"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rPr>
                <w:rFonts w:ascii="Arial" w:hAnsi="Arial" w:cs="Arial"/>
                <w:sz w:val="16"/>
                <w:szCs w:val="16"/>
              </w:rPr>
            </w:pPr>
          </w:p>
        </w:tc>
        <w:tc>
          <w:tcPr>
            <w:tcW w:w="1136"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rPr>
                <w:rFonts w:ascii="Arial" w:hAnsi="Arial" w:cs="Arial"/>
                <w:sz w:val="16"/>
                <w:szCs w:val="16"/>
              </w:rPr>
            </w:pPr>
          </w:p>
        </w:tc>
        <w:tc>
          <w:tcPr>
            <w:tcW w:w="1204"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jc w:val="right"/>
              <w:rPr>
                <w:rFonts w:ascii="Arial" w:hAnsi="Arial" w:cs="Arial"/>
                <w:sz w:val="16"/>
                <w:szCs w:val="16"/>
              </w:rPr>
            </w:pPr>
          </w:p>
        </w:tc>
        <w:tc>
          <w:tcPr>
            <w:tcW w:w="936"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jc w:val="right"/>
              <w:rPr>
                <w:rFonts w:ascii="Arial" w:hAnsi="Arial" w:cs="Arial"/>
                <w:sz w:val="16"/>
                <w:szCs w:val="16"/>
              </w:rPr>
            </w:pPr>
          </w:p>
        </w:tc>
        <w:tc>
          <w:tcPr>
            <w:tcW w:w="1196"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jc w:val="right"/>
              <w:rPr>
                <w:rFonts w:ascii="Arial" w:hAnsi="Arial" w:cs="Arial"/>
                <w:sz w:val="16"/>
                <w:szCs w:val="16"/>
              </w:rPr>
            </w:pPr>
          </w:p>
        </w:tc>
      </w:tr>
      <w:tr w:rsidR="00465A3A" w:rsidRPr="00465A3A" w:rsidTr="00465A3A">
        <w:trPr>
          <w:trHeight w:val="225"/>
        </w:trPr>
        <w:tc>
          <w:tcPr>
            <w:tcW w:w="2967" w:type="dxa"/>
            <w:tcBorders>
              <w:top w:val="nil"/>
              <w:left w:val="nil"/>
              <w:bottom w:val="nil"/>
              <w:right w:val="nil"/>
            </w:tcBorders>
            <w:shd w:val="clear" w:color="auto" w:fill="auto"/>
            <w:vAlign w:val="bottom"/>
            <w:hideMark/>
          </w:tcPr>
          <w:p w:rsidR="00465A3A" w:rsidRPr="00465A3A" w:rsidRDefault="00465A3A" w:rsidP="00465A3A">
            <w:pPr>
              <w:widowControl/>
              <w:autoSpaceDE/>
              <w:autoSpaceDN/>
              <w:adjustRightInd/>
              <w:rPr>
                <w:rFonts w:ascii="Arial" w:hAnsi="Arial" w:cs="Arial"/>
                <w:sz w:val="16"/>
                <w:szCs w:val="16"/>
              </w:rPr>
            </w:pPr>
          </w:p>
        </w:tc>
        <w:tc>
          <w:tcPr>
            <w:tcW w:w="999" w:type="dxa"/>
            <w:gridSpan w:val="2"/>
            <w:tcBorders>
              <w:top w:val="nil"/>
              <w:left w:val="nil"/>
              <w:bottom w:val="nil"/>
              <w:right w:val="nil"/>
            </w:tcBorders>
            <w:shd w:val="clear" w:color="000000" w:fill="FFFFFF"/>
            <w:vAlign w:val="bottom"/>
            <w:hideMark/>
          </w:tcPr>
          <w:p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 </w:t>
            </w:r>
          </w:p>
        </w:tc>
        <w:tc>
          <w:tcPr>
            <w:tcW w:w="919"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rPr>
                <w:rFonts w:ascii="Arial" w:hAnsi="Arial" w:cs="Arial"/>
                <w:sz w:val="16"/>
                <w:szCs w:val="16"/>
              </w:rPr>
            </w:pPr>
          </w:p>
        </w:tc>
        <w:tc>
          <w:tcPr>
            <w:tcW w:w="919"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rPr>
                <w:rFonts w:ascii="Arial" w:hAnsi="Arial" w:cs="Arial"/>
                <w:sz w:val="16"/>
                <w:szCs w:val="16"/>
              </w:rPr>
            </w:pPr>
          </w:p>
        </w:tc>
        <w:tc>
          <w:tcPr>
            <w:tcW w:w="956"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rPr>
                <w:rFonts w:ascii="Arial" w:hAnsi="Arial" w:cs="Arial"/>
                <w:sz w:val="16"/>
                <w:szCs w:val="16"/>
              </w:rPr>
            </w:pPr>
          </w:p>
        </w:tc>
        <w:tc>
          <w:tcPr>
            <w:tcW w:w="956"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rPr>
                <w:rFonts w:ascii="Arial" w:hAnsi="Arial" w:cs="Arial"/>
                <w:sz w:val="16"/>
                <w:szCs w:val="16"/>
              </w:rPr>
            </w:pPr>
          </w:p>
        </w:tc>
        <w:tc>
          <w:tcPr>
            <w:tcW w:w="1116"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rPr>
                <w:rFonts w:ascii="Arial" w:hAnsi="Arial" w:cs="Arial"/>
                <w:sz w:val="16"/>
                <w:szCs w:val="16"/>
              </w:rPr>
            </w:pPr>
          </w:p>
        </w:tc>
        <w:tc>
          <w:tcPr>
            <w:tcW w:w="1056"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rPr>
                <w:rFonts w:ascii="Arial" w:hAnsi="Arial" w:cs="Arial"/>
                <w:sz w:val="16"/>
                <w:szCs w:val="16"/>
              </w:rPr>
            </w:pPr>
          </w:p>
        </w:tc>
        <w:tc>
          <w:tcPr>
            <w:tcW w:w="1136"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rPr>
                <w:rFonts w:ascii="Arial" w:hAnsi="Arial" w:cs="Arial"/>
                <w:sz w:val="16"/>
                <w:szCs w:val="16"/>
              </w:rPr>
            </w:pPr>
          </w:p>
        </w:tc>
        <w:tc>
          <w:tcPr>
            <w:tcW w:w="1204"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jc w:val="right"/>
              <w:rPr>
                <w:rFonts w:ascii="Arial" w:hAnsi="Arial" w:cs="Arial"/>
                <w:sz w:val="16"/>
                <w:szCs w:val="16"/>
              </w:rPr>
            </w:pPr>
          </w:p>
        </w:tc>
        <w:tc>
          <w:tcPr>
            <w:tcW w:w="936"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jc w:val="right"/>
              <w:rPr>
                <w:rFonts w:ascii="Arial" w:hAnsi="Arial" w:cs="Arial"/>
                <w:sz w:val="16"/>
                <w:szCs w:val="16"/>
              </w:rPr>
            </w:pPr>
          </w:p>
        </w:tc>
        <w:tc>
          <w:tcPr>
            <w:tcW w:w="1196"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jc w:val="right"/>
              <w:rPr>
                <w:rFonts w:ascii="Arial" w:hAnsi="Arial" w:cs="Arial"/>
                <w:sz w:val="16"/>
                <w:szCs w:val="16"/>
              </w:rPr>
            </w:pPr>
          </w:p>
        </w:tc>
      </w:tr>
      <w:tr w:rsidR="00465A3A" w:rsidRPr="00465A3A" w:rsidTr="00465A3A">
        <w:trPr>
          <w:trHeight w:val="240"/>
        </w:trPr>
        <w:tc>
          <w:tcPr>
            <w:tcW w:w="2967" w:type="dxa"/>
            <w:tcBorders>
              <w:top w:val="nil"/>
              <w:left w:val="nil"/>
              <w:bottom w:val="nil"/>
              <w:right w:val="nil"/>
            </w:tcBorders>
            <w:shd w:val="clear" w:color="auto" w:fill="auto"/>
            <w:vAlign w:val="bottom"/>
            <w:hideMark/>
          </w:tcPr>
          <w:p w:rsidR="00465A3A" w:rsidRPr="00465A3A" w:rsidRDefault="00465A3A" w:rsidP="00465A3A">
            <w:pPr>
              <w:widowControl/>
              <w:autoSpaceDE/>
              <w:autoSpaceDN/>
              <w:adjustRightInd/>
              <w:rPr>
                <w:rFonts w:ascii="Arial" w:hAnsi="Arial" w:cs="Arial"/>
                <w:sz w:val="16"/>
                <w:szCs w:val="16"/>
              </w:rPr>
            </w:pPr>
          </w:p>
        </w:tc>
        <w:tc>
          <w:tcPr>
            <w:tcW w:w="999" w:type="dxa"/>
            <w:gridSpan w:val="2"/>
            <w:tcBorders>
              <w:top w:val="nil"/>
              <w:left w:val="nil"/>
              <w:bottom w:val="single" w:sz="8" w:space="0" w:color="auto"/>
              <w:right w:val="nil"/>
            </w:tcBorders>
            <w:shd w:val="clear" w:color="auto" w:fill="auto"/>
            <w:noWrap/>
            <w:vAlign w:val="bottom"/>
            <w:hideMark/>
          </w:tcPr>
          <w:p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 </w:t>
            </w:r>
          </w:p>
        </w:tc>
        <w:tc>
          <w:tcPr>
            <w:tcW w:w="7058" w:type="dxa"/>
            <w:gridSpan w:val="14"/>
            <w:tcBorders>
              <w:top w:val="nil"/>
              <w:left w:val="nil"/>
              <w:bottom w:val="single" w:sz="8" w:space="0" w:color="auto"/>
              <w:right w:val="nil"/>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Hours and Costs per Respondent</w:t>
            </w:r>
          </w:p>
        </w:tc>
        <w:tc>
          <w:tcPr>
            <w:tcW w:w="3336" w:type="dxa"/>
            <w:gridSpan w:val="6"/>
            <w:tcBorders>
              <w:top w:val="nil"/>
              <w:left w:val="nil"/>
              <w:bottom w:val="single" w:sz="8" w:space="0" w:color="auto"/>
              <w:right w:val="nil"/>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Total Hours and Costs</w:t>
            </w:r>
          </w:p>
        </w:tc>
      </w:tr>
      <w:tr w:rsidR="00465A3A" w:rsidRPr="00465A3A" w:rsidTr="00465A3A">
        <w:trPr>
          <w:trHeight w:val="255"/>
        </w:trPr>
        <w:tc>
          <w:tcPr>
            <w:tcW w:w="2967" w:type="dxa"/>
            <w:tcBorders>
              <w:top w:val="nil"/>
              <w:left w:val="nil"/>
              <w:bottom w:val="nil"/>
              <w:right w:val="nil"/>
            </w:tcBorders>
            <w:shd w:val="clear" w:color="auto" w:fill="auto"/>
            <w:vAlign w:val="bottom"/>
            <w:hideMark/>
          </w:tcPr>
          <w:p w:rsidR="00465A3A" w:rsidRPr="00465A3A" w:rsidRDefault="00465A3A" w:rsidP="00465A3A">
            <w:pPr>
              <w:widowControl/>
              <w:autoSpaceDE/>
              <w:autoSpaceDN/>
              <w:adjustRightInd/>
              <w:rPr>
                <w:rFonts w:ascii="Arial" w:hAnsi="Arial" w:cs="Arial"/>
                <w:sz w:val="16"/>
                <w:szCs w:val="16"/>
              </w:rPr>
            </w:pPr>
          </w:p>
        </w:tc>
        <w:tc>
          <w:tcPr>
            <w:tcW w:w="999"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Legal</w:t>
            </w:r>
          </w:p>
        </w:tc>
        <w:tc>
          <w:tcPr>
            <w:tcW w:w="919" w:type="dxa"/>
            <w:gridSpan w:val="2"/>
            <w:tcBorders>
              <w:top w:val="nil"/>
              <w:left w:val="nil"/>
              <w:bottom w:val="nil"/>
              <w:right w:val="nil"/>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Manager</w:t>
            </w:r>
          </w:p>
        </w:tc>
        <w:tc>
          <w:tcPr>
            <w:tcW w:w="919" w:type="dxa"/>
            <w:gridSpan w:val="2"/>
            <w:tcBorders>
              <w:top w:val="nil"/>
              <w:left w:val="nil"/>
              <w:bottom w:val="nil"/>
              <w:right w:val="nil"/>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Technical</w:t>
            </w:r>
          </w:p>
        </w:tc>
        <w:tc>
          <w:tcPr>
            <w:tcW w:w="956"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Clerical</w:t>
            </w:r>
          </w:p>
        </w:tc>
        <w:tc>
          <w:tcPr>
            <w:tcW w:w="956" w:type="dxa"/>
            <w:gridSpan w:val="2"/>
            <w:vMerge w:val="restart"/>
            <w:tcBorders>
              <w:top w:val="nil"/>
              <w:left w:val="nil"/>
              <w:bottom w:val="nil"/>
              <w:right w:val="nil"/>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Respon.</w:t>
            </w:r>
            <w:r w:rsidRPr="00465A3A">
              <w:rPr>
                <w:rFonts w:ascii="Arial" w:hAnsi="Arial" w:cs="Arial"/>
                <w:sz w:val="16"/>
                <w:szCs w:val="16"/>
              </w:rPr>
              <w:br/>
              <w:t>Hours/ Activity</w:t>
            </w:r>
          </w:p>
        </w:tc>
        <w:tc>
          <w:tcPr>
            <w:tcW w:w="1116" w:type="dxa"/>
            <w:gridSpan w:val="2"/>
            <w:vMerge w:val="restart"/>
            <w:tcBorders>
              <w:top w:val="nil"/>
              <w:left w:val="nil"/>
              <w:bottom w:val="nil"/>
              <w:right w:val="nil"/>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Labor</w:t>
            </w:r>
            <w:r w:rsidRPr="00465A3A">
              <w:rPr>
                <w:rFonts w:ascii="Arial" w:hAnsi="Arial" w:cs="Arial"/>
                <w:sz w:val="16"/>
                <w:szCs w:val="16"/>
              </w:rPr>
              <w:br/>
              <w:t>Cost/</w:t>
            </w:r>
            <w:r w:rsidRPr="00465A3A">
              <w:rPr>
                <w:rFonts w:ascii="Arial" w:hAnsi="Arial" w:cs="Arial"/>
                <w:sz w:val="16"/>
                <w:szCs w:val="16"/>
              </w:rPr>
              <w:br/>
              <w:t>Activity</w:t>
            </w:r>
          </w:p>
        </w:tc>
        <w:tc>
          <w:tcPr>
            <w:tcW w:w="1056" w:type="dxa"/>
            <w:gridSpan w:val="2"/>
            <w:vMerge w:val="restart"/>
            <w:tcBorders>
              <w:top w:val="nil"/>
              <w:left w:val="nil"/>
              <w:bottom w:val="nil"/>
              <w:right w:val="nil"/>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Capital/</w:t>
            </w:r>
            <w:r w:rsidRPr="00465A3A">
              <w:rPr>
                <w:rFonts w:ascii="Arial" w:hAnsi="Arial" w:cs="Arial"/>
                <w:sz w:val="16"/>
                <w:szCs w:val="16"/>
              </w:rPr>
              <w:br/>
              <w:t>Startup</w:t>
            </w:r>
            <w:r w:rsidRPr="00465A3A">
              <w:rPr>
                <w:rFonts w:ascii="Arial" w:hAnsi="Arial" w:cs="Arial"/>
                <w:sz w:val="16"/>
                <w:szCs w:val="16"/>
              </w:rPr>
              <w:br/>
              <w:t>Cost</w:t>
            </w:r>
          </w:p>
        </w:tc>
        <w:tc>
          <w:tcPr>
            <w:tcW w:w="1136" w:type="dxa"/>
            <w:gridSpan w:val="2"/>
            <w:vMerge w:val="restart"/>
            <w:tcBorders>
              <w:top w:val="nil"/>
              <w:left w:val="nil"/>
              <w:bottom w:val="nil"/>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O&amp;M</w:t>
            </w:r>
            <w:r w:rsidRPr="00465A3A">
              <w:rPr>
                <w:rFonts w:ascii="Arial" w:hAnsi="Arial" w:cs="Arial"/>
                <w:sz w:val="16"/>
                <w:szCs w:val="16"/>
              </w:rPr>
              <w:br/>
              <w:t>Cost/ Activity</w:t>
            </w:r>
          </w:p>
        </w:tc>
        <w:tc>
          <w:tcPr>
            <w:tcW w:w="1204" w:type="dxa"/>
            <w:gridSpan w:val="2"/>
            <w:vMerge w:val="restart"/>
            <w:tcBorders>
              <w:top w:val="nil"/>
              <w:left w:val="single" w:sz="4" w:space="0" w:color="auto"/>
              <w:bottom w:val="nil"/>
              <w:right w:val="nil"/>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Number of</w:t>
            </w:r>
            <w:r w:rsidRPr="00465A3A">
              <w:rPr>
                <w:rFonts w:ascii="Arial" w:hAnsi="Arial" w:cs="Arial"/>
                <w:sz w:val="16"/>
                <w:szCs w:val="16"/>
              </w:rPr>
              <w:br/>
              <w:t>Respondents/ Activities</w:t>
            </w:r>
          </w:p>
        </w:tc>
        <w:tc>
          <w:tcPr>
            <w:tcW w:w="936" w:type="dxa"/>
            <w:gridSpan w:val="2"/>
            <w:vMerge w:val="restart"/>
            <w:tcBorders>
              <w:top w:val="nil"/>
              <w:left w:val="nil"/>
              <w:bottom w:val="nil"/>
              <w:right w:val="nil"/>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Total Hours/</w:t>
            </w:r>
            <w:r w:rsidRPr="00465A3A">
              <w:rPr>
                <w:rFonts w:ascii="Arial" w:hAnsi="Arial" w:cs="Arial"/>
                <w:sz w:val="16"/>
                <w:szCs w:val="16"/>
              </w:rPr>
              <w:br/>
              <w:t>Year</w:t>
            </w:r>
          </w:p>
        </w:tc>
        <w:tc>
          <w:tcPr>
            <w:tcW w:w="1196" w:type="dxa"/>
            <w:gridSpan w:val="2"/>
            <w:vMerge w:val="restart"/>
            <w:tcBorders>
              <w:top w:val="nil"/>
              <w:left w:val="nil"/>
              <w:bottom w:val="nil"/>
              <w:right w:val="nil"/>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Total</w:t>
            </w:r>
            <w:r w:rsidRPr="00465A3A">
              <w:rPr>
                <w:rFonts w:ascii="Arial" w:hAnsi="Arial" w:cs="Arial"/>
                <w:sz w:val="16"/>
                <w:szCs w:val="16"/>
              </w:rPr>
              <w:br/>
              <w:t>Cost/</w:t>
            </w:r>
            <w:r w:rsidRPr="00465A3A">
              <w:rPr>
                <w:rFonts w:ascii="Arial" w:hAnsi="Arial" w:cs="Arial"/>
                <w:sz w:val="16"/>
                <w:szCs w:val="16"/>
              </w:rPr>
              <w:br/>
              <w:t>Year</w:t>
            </w:r>
          </w:p>
        </w:tc>
      </w:tr>
      <w:tr w:rsidR="00465A3A" w:rsidRPr="00465A3A" w:rsidTr="00465A3A">
        <w:trPr>
          <w:trHeight w:val="450"/>
        </w:trPr>
        <w:tc>
          <w:tcPr>
            <w:tcW w:w="2967" w:type="dxa"/>
            <w:tcBorders>
              <w:top w:val="nil"/>
              <w:left w:val="nil"/>
              <w:bottom w:val="nil"/>
              <w:right w:val="nil"/>
            </w:tcBorders>
            <w:shd w:val="clear" w:color="auto" w:fill="auto"/>
            <w:vAlign w:val="bottom"/>
            <w:hideMark/>
          </w:tcPr>
          <w:p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INFORMATION COLLECTION ACTIVITY</w:t>
            </w:r>
          </w:p>
        </w:tc>
        <w:tc>
          <w:tcPr>
            <w:tcW w:w="999" w:type="dxa"/>
            <w:gridSpan w:val="2"/>
            <w:tcBorders>
              <w:top w:val="nil"/>
              <w:left w:val="nil"/>
              <w:bottom w:val="nil"/>
              <w:right w:val="nil"/>
            </w:tcBorders>
            <w:shd w:val="clear" w:color="auto" w:fill="auto"/>
            <w:vAlign w:val="bottom"/>
            <w:hideMark/>
          </w:tcPr>
          <w:p w:rsidR="00465A3A" w:rsidRPr="00465A3A" w:rsidRDefault="00465A3A" w:rsidP="00465A3A">
            <w:pPr>
              <w:widowControl/>
              <w:autoSpaceDE/>
              <w:autoSpaceDN/>
              <w:adjustRightInd/>
              <w:jc w:val="center"/>
              <w:rPr>
                <w:rFonts w:ascii="Arial" w:hAnsi="Arial" w:cs="Arial"/>
                <w:color w:val="000000"/>
                <w:sz w:val="16"/>
                <w:szCs w:val="16"/>
              </w:rPr>
            </w:pPr>
            <w:r w:rsidRPr="00465A3A">
              <w:rPr>
                <w:rFonts w:ascii="Arial" w:hAnsi="Arial" w:cs="Arial"/>
                <w:color w:val="000000"/>
                <w:sz w:val="16"/>
                <w:szCs w:val="16"/>
              </w:rPr>
              <w:t>$99.56/Hr</w:t>
            </w:r>
          </w:p>
        </w:tc>
        <w:tc>
          <w:tcPr>
            <w:tcW w:w="919" w:type="dxa"/>
            <w:gridSpan w:val="2"/>
            <w:tcBorders>
              <w:top w:val="nil"/>
              <w:left w:val="nil"/>
              <w:bottom w:val="nil"/>
              <w:right w:val="nil"/>
            </w:tcBorders>
            <w:shd w:val="clear" w:color="auto" w:fill="auto"/>
            <w:vAlign w:val="bottom"/>
            <w:hideMark/>
          </w:tcPr>
          <w:p w:rsidR="00465A3A" w:rsidRPr="00465A3A" w:rsidRDefault="00465A3A" w:rsidP="00465A3A">
            <w:pPr>
              <w:widowControl/>
              <w:autoSpaceDE/>
              <w:autoSpaceDN/>
              <w:adjustRightInd/>
              <w:jc w:val="center"/>
              <w:rPr>
                <w:rFonts w:ascii="Arial" w:hAnsi="Arial" w:cs="Arial"/>
                <w:color w:val="000000"/>
                <w:sz w:val="16"/>
                <w:szCs w:val="16"/>
              </w:rPr>
            </w:pPr>
            <w:r w:rsidRPr="00465A3A">
              <w:rPr>
                <w:rFonts w:ascii="Arial" w:hAnsi="Arial" w:cs="Arial"/>
                <w:color w:val="000000"/>
                <w:sz w:val="16"/>
                <w:szCs w:val="16"/>
              </w:rPr>
              <w:t>$82.25/Hr</w:t>
            </w:r>
          </w:p>
        </w:tc>
        <w:tc>
          <w:tcPr>
            <w:tcW w:w="919" w:type="dxa"/>
            <w:gridSpan w:val="2"/>
            <w:tcBorders>
              <w:top w:val="nil"/>
              <w:left w:val="nil"/>
              <w:bottom w:val="nil"/>
              <w:right w:val="nil"/>
            </w:tcBorders>
            <w:shd w:val="clear" w:color="auto" w:fill="auto"/>
            <w:vAlign w:val="bottom"/>
            <w:hideMark/>
          </w:tcPr>
          <w:p w:rsidR="00465A3A" w:rsidRPr="00465A3A" w:rsidRDefault="00465A3A" w:rsidP="00465A3A">
            <w:pPr>
              <w:widowControl/>
              <w:autoSpaceDE/>
              <w:autoSpaceDN/>
              <w:adjustRightInd/>
              <w:jc w:val="center"/>
              <w:rPr>
                <w:rFonts w:ascii="Arial" w:hAnsi="Arial" w:cs="Arial"/>
                <w:color w:val="000000"/>
                <w:sz w:val="16"/>
                <w:szCs w:val="16"/>
              </w:rPr>
            </w:pPr>
            <w:r w:rsidRPr="00465A3A">
              <w:rPr>
                <w:rFonts w:ascii="Arial" w:hAnsi="Arial" w:cs="Arial"/>
                <w:color w:val="000000"/>
                <w:sz w:val="16"/>
                <w:szCs w:val="16"/>
              </w:rPr>
              <w:t>$43.92/Hr</w:t>
            </w:r>
          </w:p>
        </w:tc>
        <w:tc>
          <w:tcPr>
            <w:tcW w:w="956" w:type="dxa"/>
            <w:gridSpan w:val="2"/>
            <w:tcBorders>
              <w:top w:val="nil"/>
              <w:left w:val="nil"/>
              <w:bottom w:val="nil"/>
              <w:right w:val="nil"/>
            </w:tcBorders>
            <w:shd w:val="clear" w:color="auto" w:fill="auto"/>
            <w:vAlign w:val="bottom"/>
            <w:hideMark/>
          </w:tcPr>
          <w:p w:rsidR="00465A3A" w:rsidRPr="00465A3A" w:rsidRDefault="00465A3A" w:rsidP="00465A3A">
            <w:pPr>
              <w:widowControl/>
              <w:autoSpaceDE/>
              <w:autoSpaceDN/>
              <w:adjustRightInd/>
              <w:jc w:val="center"/>
              <w:rPr>
                <w:rFonts w:ascii="Arial" w:hAnsi="Arial" w:cs="Arial"/>
                <w:color w:val="000000"/>
                <w:sz w:val="16"/>
                <w:szCs w:val="16"/>
              </w:rPr>
            </w:pPr>
            <w:r w:rsidRPr="00465A3A">
              <w:rPr>
                <w:rFonts w:ascii="Arial" w:hAnsi="Arial" w:cs="Arial"/>
                <w:color w:val="000000"/>
                <w:sz w:val="16"/>
                <w:szCs w:val="16"/>
              </w:rPr>
              <w:t>$23.27/Hr</w:t>
            </w:r>
          </w:p>
        </w:tc>
        <w:tc>
          <w:tcPr>
            <w:tcW w:w="956" w:type="dxa"/>
            <w:gridSpan w:val="2"/>
            <w:vMerge/>
            <w:tcBorders>
              <w:top w:val="nil"/>
              <w:left w:val="nil"/>
              <w:bottom w:val="nil"/>
              <w:right w:val="nil"/>
            </w:tcBorders>
            <w:vAlign w:val="center"/>
            <w:hideMark/>
          </w:tcPr>
          <w:p w:rsidR="00465A3A" w:rsidRPr="00465A3A" w:rsidRDefault="00465A3A" w:rsidP="00465A3A">
            <w:pPr>
              <w:widowControl/>
              <w:autoSpaceDE/>
              <w:autoSpaceDN/>
              <w:adjustRightInd/>
              <w:rPr>
                <w:rFonts w:ascii="Arial" w:hAnsi="Arial" w:cs="Arial"/>
                <w:sz w:val="16"/>
                <w:szCs w:val="16"/>
              </w:rPr>
            </w:pPr>
          </w:p>
        </w:tc>
        <w:tc>
          <w:tcPr>
            <w:tcW w:w="1116" w:type="dxa"/>
            <w:gridSpan w:val="2"/>
            <w:vMerge/>
            <w:tcBorders>
              <w:top w:val="nil"/>
              <w:left w:val="nil"/>
              <w:bottom w:val="nil"/>
              <w:right w:val="nil"/>
            </w:tcBorders>
            <w:vAlign w:val="center"/>
            <w:hideMark/>
          </w:tcPr>
          <w:p w:rsidR="00465A3A" w:rsidRPr="00465A3A" w:rsidRDefault="00465A3A" w:rsidP="00465A3A">
            <w:pPr>
              <w:widowControl/>
              <w:autoSpaceDE/>
              <w:autoSpaceDN/>
              <w:adjustRightInd/>
              <w:rPr>
                <w:rFonts w:ascii="Arial" w:hAnsi="Arial" w:cs="Arial"/>
                <w:sz w:val="16"/>
                <w:szCs w:val="16"/>
              </w:rPr>
            </w:pPr>
          </w:p>
        </w:tc>
        <w:tc>
          <w:tcPr>
            <w:tcW w:w="1056" w:type="dxa"/>
            <w:gridSpan w:val="2"/>
            <w:vMerge/>
            <w:tcBorders>
              <w:top w:val="nil"/>
              <w:left w:val="nil"/>
              <w:bottom w:val="nil"/>
              <w:right w:val="nil"/>
            </w:tcBorders>
            <w:vAlign w:val="center"/>
            <w:hideMark/>
          </w:tcPr>
          <w:p w:rsidR="00465A3A" w:rsidRPr="00465A3A" w:rsidRDefault="00465A3A" w:rsidP="00465A3A">
            <w:pPr>
              <w:widowControl/>
              <w:autoSpaceDE/>
              <w:autoSpaceDN/>
              <w:adjustRightInd/>
              <w:rPr>
                <w:rFonts w:ascii="Arial" w:hAnsi="Arial" w:cs="Arial"/>
                <w:sz w:val="16"/>
                <w:szCs w:val="16"/>
              </w:rPr>
            </w:pPr>
          </w:p>
        </w:tc>
        <w:tc>
          <w:tcPr>
            <w:tcW w:w="1136" w:type="dxa"/>
            <w:gridSpan w:val="2"/>
            <w:vMerge/>
            <w:tcBorders>
              <w:top w:val="nil"/>
              <w:left w:val="nil"/>
              <w:bottom w:val="nil"/>
              <w:right w:val="single" w:sz="4" w:space="0" w:color="auto"/>
            </w:tcBorders>
            <w:vAlign w:val="center"/>
            <w:hideMark/>
          </w:tcPr>
          <w:p w:rsidR="00465A3A" w:rsidRPr="00465A3A" w:rsidRDefault="00465A3A" w:rsidP="00465A3A">
            <w:pPr>
              <w:widowControl/>
              <w:autoSpaceDE/>
              <w:autoSpaceDN/>
              <w:adjustRightInd/>
              <w:rPr>
                <w:rFonts w:ascii="Arial" w:hAnsi="Arial" w:cs="Arial"/>
                <w:sz w:val="16"/>
                <w:szCs w:val="16"/>
              </w:rPr>
            </w:pPr>
          </w:p>
        </w:tc>
        <w:tc>
          <w:tcPr>
            <w:tcW w:w="1204" w:type="dxa"/>
            <w:gridSpan w:val="2"/>
            <w:vMerge/>
            <w:tcBorders>
              <w:top w:val="nil"/>
              <w:left w:val="single" w:sz="4" w:space="0" w:color="auto"/>
              <w:bottom w:val="nil"/>
              <w:right w:val="nil"/>
            </w:tcBorders>
            <w:vAlign w:val="center"/>
            <w:hideMark/>
          </w:tcPr>
          <w:p w:rsidR="00465A3A" w:rsidRPr="00465A3A" w:rsidRDefault="00465A3A" w:rsidP="00465A3A">
            <w:pPr>
              <w:widowControl/>
              <w:autoSpaceDE/>
              <w:autoSpaceDN/>
              <w:adjustRightInd/>
              <w:rPr>
                <w:rFonts w:ascii="Arial" w:hAnsi="Arial" w:cs="Arial"/>
                <w:sz w:val="16"/>
                <w:szCs w:val="16"/>
              </w:rPr>
            </w:pPr>
          </w:p>
        </w:tc>
        <w:tc>
          <w:tcPr>
            <w:tcW w:w="936" w:type="dxa"/>
            <w:gridSpan w:val="2"/>
            <w:vMerge/>
            <w:tcBorders>
              <w:top w:val="nil"/>
              <w:left w:val="nil"/>
              <w:bottom w:val="nil"/>
              <w:right w:val="nil"/>
            </w:tcBorders>
            <w:vAlign w:val="center"/>
            <w:hideMark/>
          </w:tcPr>
          <w:p w:rsidR="00465A3A" w:rsidRPr="00465A3A" w:rsidRDefault="00465A3A" w:rsidP="00465A3A">
            <w:pPr>
              <w:widowControl/>
              <w:autoSpaceDE/>
              <w:autoSpaceDN/>
              <w:adjustRightInd/>
              <w:rPr>
                <w:rFonts w:ascii="Arial" w:hAnsi="Arial" w:cs="Arial"/>
                <w:sz w:val="16"/>
                <w:szCs w:val="16"/>
              </w:rPr>
            </w:pPr>
          </w:p>
        </w:tc>
        <w:tc>
          <w:tcPr>
            <w:tcW w:w="1196" w:type="dxa"/>
            <w:gridSpan w:val="2"/>
            <w:vMerge/>
            <w:tcBorders>
              <w:top w:val="nil"/>
              <w:left w:val="nil"/>
              <w:bottom w:val="nil"/>
              <w:right w:val="nil"/>
            </w:tcBorders>
            <w:vAlign w:val="center"/>
            <w:hideMark/>
          </w:tcPr>
          <w:p w:rsidR="00465A3A" w:rsidRPr="00465A3A" w:rsidRDefault="00465A3A" w:rsidP="00465A3A">
            <w:pPr>
              <w:widowControl/>
              <w:autoSpaceDE/>
              <w:autoSpaceDN/>
              <w:adjustRightInd/>
              <w:rPr>
                <w:rFonts w:ascii="Arial" w:hAnsi="Arial" w:cs="Arial"/>
                <w:sz w:val="16"/>
                <w:szCs w:val="16"/>
              </w:rPr>
            </w:pPr>
          </w:p>
        </w:tc>
      </w:tr>
      <w:tr w:rsidR="00465A3A" w:rsidRPr="00465A3A" w:rsidTr="00465A3A">
        <w:trPr>
          <w:trHeight w:val="255"/>
        </w:trPr>
        <w:tc>
          <w:tcPr>
            <w:tcW w:w="14360" w:type="dxa"/>
            <w:gridSpan w:val="23"/>
            <w:tcBorders>
              <w:top w:val="single" w:sz="4" w:space="0" w:color="auto"/>
              <w:left w:val="single" w:sz="4" w:space="0" w:color="auto"/>
              <w:bottom w:val="single" w:sz="4" w:space="0" w:color="auto"/>
              <w:right w:val="single" w:sz="4" w:space="0" w:color="auto"/>
            </w:tcBorders>
            <w:shd w:val="clear" w:color="000000" w:fill="E3E3E3"/>
            <w:vAlign w:val="bottom"/>
            <w:hideMark/>
          </w:tcPr>
          <w:p w:rsidR="00465A3A" w:rsidRPr="00465A3A" w:rsidRDefault="00465A3A" w:rsidP="00465A3A">
            <w:pPr>
              <w:widowControl/>
              <w:autoSpaceDE/>
              <w:autoSpaceDN/>
              <w:adjustRightInd/>
              <w:rPr>
                <w:rFonts w:ascii="Arial" w:hAnsi="Arial" w:cs="Arial"/>
                <w:b/>
                <w:bCs/>
                <w:sz w:val="16"/>
                <w:szCs w:val="16"/>
              </w:rPr>
            </w:pPr>
            <w:r w:rsidRPr="00465A3A">
              <w:rPr>
                <w:rFonts w:ascii="Arial" w:hAnsi="Arial" w:cs="Arial"/>
                <w:b/>
                <w:bCs/>
                <w:sz w:val="16"/>
                <w:szCs w:val="16"/>
              </w:rPr>
              <w:t xml:space="preserve">REMOVING CONTAINERS OF UNWANTED MATERIAL FROM THE LABORATORY (40 </w:t>
            </w:r>
            <w:r w:rsidRPr="00465A3A">
              <w:rPr>
                <w:rFonts w:ascii="Arial" w:hAnsi="Arial" w:cs="Arial"/>
                <w:b/>
                <w:bCs/>
                <w:i/>
                <w:iCs/>
                <w:sz w:val="16"/>
                <w:szCs w:val="16"/>
              </w:rPr>
              <w:t>CFR</w:t>
            </w:r>
            <w:r w:rsidRPr="00465A3A">
              <w:rPr>
                <w:rFonts w:ascii="Arial" w:hAnsi="Arial" w:cs="Arial"/>
                <w:b/>
                <w:bCs/>
                <w:sz w:val="16"/>
                <w:szCs w:val="16"/>
              </w:rPr>
              <w:t xml:space="preserve"> 262.208)</w:t>
            </w:r>
          </w:p>
        </w:tc>
      </w:tr>
      <w:tr w:rsidR="00465A3A" w:rsidRPr="00465A3A" w:rsidTr="00465A3A">
        <w:trPr>
          <w:trHeight w:val="660"/>
        </w:trPr>
        <w:tc>
          <w:tcPr>
            <w:tcW w:w="3200" w:type="dxa"/>
            <w:gridSpan w:val="2"/>
            <w:tcBorders>
              <w:top w:val="nil"/>
              <w:left w:val="single" w:sz="4" w:space="0" w:color="auto"/>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Ensure that containers of unwanted material that exceed volume limits have the date of the exceedence on the label</w:t>
            </w:r>
          </w:p>
        </w:tc>
        <w:tc>
          <w:tcPr>
            <w:tcW w:w="10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$0.75</w:t>
            </w:r>
          </w:p>
        </w:tc>
        <w:tc>
          <w:tcPr>
            <w:tcW w:w="10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80" w:type="dxa"/>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r>
      <w:tr w:rsidR="00465A3A" w:rsidRPr="00465A3A" w:rsidTr="00465A3A">
        <w:trPr>
          <w:trHeight w:val="225"/>
        </w:trPr>
        <w:tc>
          <w:tcPr>
            <w:tcW w:w="3200" w:type="dxa"/>
            <w:gridSpan w:val="2"/>
            <w:tcBorders>
              <w:top w:val="nil"/>
              <w:left w:val="single" w:sz="4" w:space="0" w:color="auto"/>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rPr>
                <w:rFonts w:ascii="Arial" w:hAnsi="Arial" w:cs="Arial"/>
                <w:b/>
                <w:bCs/>
                <w:sz w:val="16"/>
                <w:szCs w:val="16"/>
              </w:rPr>
            </w:pPr>
            <w:r w:rsidRPr="00465A3A">
              <w:rPr>
                <w:rFonts w:ascii="Arial" w:hAnsi="Arial" w:cs="Arial"/>
                <w:b/>
                <w:bCs/>
                <w:sz w:val="16"/>
                <w:szCs w:val="16"/>
              </w:rPr>
              <w:t>Subtotal</w:t>
            </w:r>
          </w:p>
        </w:tc>
        <w:tc>
          <w:tcPr>
            <w:tcW w:w="10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$0.75</w:t>
            </w:r>
          </w:p>
        </w:tc>
        <w:tc>
          <w:tcPr>
            <w:tcW w:w="10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80" w:type="dxa"/>
            <w:tcBorders>
              <w:top w:val="nil"/>
              <w:left w:val="nil"/>
              <w:bottom w:val="single" w:sz="4" w:space="0" w:color="auto"/>
              <w:right w:val="single" w:sz="4" w:space="0" w:color="auto"/>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r>
      <w:tr w:rsidR="00465A3A" w:rsidRPr="00465A3A" w:rsidTr="00465A3A">
        <w:trPr>
          <w:trHeight w:val="255"/>
        </w:trPr>
        <w:tc>
          <w:tcPr>
            <w:tcW w:w="14360" w:type="dxa"/>
            <w:gridSpan w:val="23"/>
            <w:tcBorders>
              <w:top w:val="single" w:sz="4" w:space="0" w:color="auto"/>
              <w:left w:val="single" w:sz="4" w:space="0" w:color="auto"/>
              <w:bottom w:val="single" w:sz="4" w:space="0" w:color="auto"/>
              <w:right w:val="single" w:sz="4" w:space="0" w:color="auto"/>
            </w:tcBorders>
            <w:shd w:val="clear" w:color="000000" w:fill="E3E3E3"/>
            <w:vAlign w:val="bottom"/>
            <w:hideMark/>
          </w:tcPr>
          <w:p w:rsidR="00465A3A" w:rsidRPr="00465A3A" w:rsidRDefault="00465A3A" w:rsidP="00465A3A">
            <w:pPr>
              <w:widowControl/>
              <w:autoSpaceDE/>
              <w:autoSpaceDN/>
              <w:adjustRightInd/>
              <w:rPr>
                <w:rFonts w:ascii="Arial" w:hAnsi="Arial" w:cs="Arial"/>
                <w:b/>
                <w:bCs/>
                <w:sz w:val="16"/>
                <w:szCs w:val="16"/>
              </w:rPr>
            </w:pPr>
            <w:r w:rsidRPr="00465A3A">
              <w:rPr>
                <w:rFonts w:ascii="Arial" w:hAnsi="Arial" w:cs="Arial"/>
                <w:b/>
                <w:bCs/>
                <w:sz w:val="16"/>
                <w:szCs w:val="16"/>
              </w:rPr>
              <w:t xml:space="preserve">MAKING THE HAZARDOUS WASTE DETERMINATION IN THE LABORATORY (40 </w:t>
            </w:r>
            <w:r w:rsidRPr="00465A3A">
              <w:rPr>
                <w:rFonts w:ascii="Arial" w:hAnsi="Arial" w:cs="Arial"/>
                <w:b/>
                <w:bCs/>
                <w:i/>
                <w:iCs/>
                <w:sz w:val="16"/>
                <w:szCs w:val="16"/>
              </w:rPr>
              <w:t>CFR</w:t>
            </w:r>
            <w:r w:rsidRPr="00465A3A">
              <w:rPr>
                <w:rFonts w:ascii="Arial" w:hAnsi="Arial" w:cs="Arial"/>
                <w:b/>
                <w:bCs/>
                <w:sz w:val="16"/>
                <w:szCs w:val="16"/>
              </w:rPr>
              <w:t xml:space="preserve"> 262.210)</w:t>
            </w:r>
          </w:p>
        </w:tc>
      </w:tr>
      <w:tr w:rsidR="00465A3A" w:rsidRPr="00465A3A" w:rsidTr="00465A3A">
        <w:trPr>
          <w:trHeight w:val="240"/>
        </w:trPr>
        <w:tc>
          <w:tcPr>
            <w:tcW w:w="3200" w:type="dxa"/>
            <w:gridSpan w:val="2"/>
            <w:tcBorders>
              <w:top w:val="nil"/>
              <w:left w:val="single" w:sz="4" w:space="0" w:color="auto"/>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Make the hazardous waste determination</w:t>
            </w:r>
          </w:p>
        </w:tc>
        <w:tc>
          <w:tcPr>
            <w:tcW w:w="10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0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10,032</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80" w:type="dxa"/>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r>
      <w:tr w:rsidR="00465A3A" w:rsidRPr="00465A3A" w:rsidTr="00465A3A">
        <w:trPr>
          <w:trHeight w:val="435"/>
        </w:trPr>
        <w:tc>
          <w:tcPr>
            <w:tcW w:w="3200" w:type="dxa"/>
            <w:gridSpan w:val="2"/>
            <w:tcBorders>
              <w:top w:val="nil"/>
              <w:left w:val="single" w:sz="4" w:space="0" w:color="auto"/>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Place hazardous waste codes on the container label</w:t>
            </w:r>
          </w:p>
        </w:tc>
        <w:tc>
          <w:tcPr>
            <w:tcW w:w="10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$0.75</w:t>
            </w:r>
          </w:p>
        </w:tc>
        <w:tc>
          <w:tcPr>
            <w:tcW w:w="10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10,032</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170.54</w:t>
            </w:r>
          </w:p>
        </w:tc>
        <w:tc>
          <w:tcPr>
            <w:tcW w:w="1180" w:type="dxa"/>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$7,524.00</w:t>
            </w:r>
          </w:p>
        </w:tc>
      </w:tr>
      <w:tr w:rsidR="00465A3A" w:rsidRPr="00465A3A" w:rsidTr="00465A3A">
        <w:trPr>
          <w:trHeight w:val="225"/>
        </w:trPr>
        <w:tc>
          <w:tcPr>
            <w:tcW w:w="3200" w:type="dxa"/>
            <w:gridSpan w:val="2"/>
            <w:tcBorders>
              <w:top w:val="nil"/>
              <w:left w:val="single" w:sz="4" w:space="0" w:color="auto"/>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rPr>
                <w:rFonts w:ascii="Arial" w:hAnsi="Arial" w:cs="Arial"/>
                <w:b/>
                <w:bCs/>
                <w:sz w:val="16"/>
                <w:szCs w:val="16"/>
              </w:rPr>
            </w:pPr>
            <w:r w:rsidRPr="00465A3A">
              <w:rPr>
                <w:rFonts w:ascii="Arial" w:hAnsi="Arial" w:cs="Arial"/>
                <w:b/>
                <w:bCs/>
                <w:sz w:val="16"/>
                <w:szCs w:val="16"/>
              </w:rPr>
              <w:t>Subtotal</w:t>
            </w:r>
          </w:p>
        </w:tc>
        <w:tc>
          <w:tcPr>
            <w:tcW w:w="10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$0.75 </w:t>
            </w:r>
          </w:p>
        </w:tc>
        <w:tc>
          <w:tcPr>
            <w:tcW w:w="10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$0.00 </w:t>
            </w:r>
          </w:p>
        </w:tc>
        <w:tc>
          <w:tcPr>
            <w:tcW w:w="11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$0.00 </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10,032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170.54</w:t>
            </w:r>
          </w:p>
        </w:tc>
        <w:tc>
          <w:tcPr>
            <w:tcW w:w="1180" w:type="dxa"/>
            <w:tcBorders>
              <w:top w:val="nil"/>
              <w:left w:val="nil"/>
              <w:bottom w:val="single" w:sz="4" w:space="0" w:color="auto"/>
              <w:right w:val="single" w:sz="4" w:space="0" w:color="auto"/>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$7,524.00</w:t>
            </w:r>
          </w:p>
        </w:tc>
      </w:tr>
      <w:tr w:rsidR="00465A3A" w:rsidRPr="00465A3A" w:rsidTr="00465A3A">
        <w:trPr>
          <w:trHeight w:val="255"/>
        </w:trPr>
        <w:tc>
          <w:tcPr>
            <w:tcW w:w="14360" w:type="dxa"/>
            <w:gridSpan w:val="23"/>
            <w:tcBorders>
              <w:top w:val="single" w:sz="4" w:space="0" w:color="auto"/>
              <w:left w:val="single" w:sz="4" w:space="0" w:color="auto"/>
              <w:bottom w:val="single" w:sz="4" w:space="0" w:color="auto"/>
              <w:right w:val="single" w:sz="4" w:space="0" w:color="auto"/>
            </w:tcBorders>
            <w:shd w:val="clear" w:color="000000" w:fill="E3E3E3"/>
            <w:vAlign w:val="bottom"/>
            <w:hideMark/>
          </w:tcPr>
          <w:p w:rsidR="00465A3A" w:rsidRPr="00465A3A" w:rsidRDefault="00465A3A" w:rsidP="00465A3A">
            <w:pPr>
              <w:widowControl/>
              <w:autoSpaceDE/>
              <w:autoSpaceDN/>
              <w:adjustRightInd/>
              <w:rPr>
                <w:rFonts w:ascii="Arial" w:hAnsi="Arial" w:cs="Arial"/>
                <w:b/>
                <w:bCs/>
                <w:sz w:val="16"/>
                <w:szCs w:val="16"/>
              </w:rPr>
            </w:pPr>
            <w:r w:rsidRPr="00465A3A">
              <w:rPr>
                <w:rFonts w:ascii="Arial" w:hAnsi="Arial" w:cs="Arial"/>
                <w:b/>
                <w:bCs/>
                <w:sz w:val="16"/>
                <w:szCs w:val="16"/>
              </w:rPr>
              <w:t xml:space="preserve">MAKING THE HAZARDOUS WASTE DETERMINATION IN AN ON-SITE CENTRAL ACCUMULATION AREA (40 </w:t>
            </w:r>
            <w:r w:rsidRPr="00465A3A">
              <w:rPr>
                <w:rFonts w:ascii="Arial" w:hAnsi="Arial" w:cs="Arial"/>
                <w:b/>
                <w:bCs/>
                <w:i/>
                <w:iCs/>
                <w:sz w:val="16"/>
                <w:szCs w:val="16"/>
              </w:rPr>
              <w:t>CFR</w:t>
            </w:r>
            <w:r w:rsidRPr="00465A3A">
              <w:rPr>
                <w:rFonts w:ascii="Arial" w:hAnsi="Arial" w:cs="Arial"/>
                <w:b/>
                <w:bCs/>
                <w:sz w:val="16"/>
                <w:szCs w:val="16"/>
              </w:rPr>
              <w:t xml:space="preserve"> 262.211)</w:t>
            </w:r>
          </w:p>
        </w:tc>
      </w:tr>
      <w:tr w:rsidR="00465A3A" w:rsidRPr="00465A3A" w:rsidTr="00465A3A">
        <w:trPr>
          <w:trHeight w:val="225"/>
        </w:trPr>
        <w:tc>
          <w:tcPr>
            <w:tcW w:w="3200" w:type="dxa"/>
            <w:gridSpan w:val="2"/>
            <w:tcBorders>
              <w:top w:val="nil"/>
              <w:left w:val="single" w:sz="4" w:space="0" w:color="auto"/>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Make hazardous waste determination</w:t>
            </w:r>
          </w:p>
        </w:tc>
        <w:tc>
          <w:tcPr>
            <w:tcW w:w="10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0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732,410</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80" w:type="dxa"/>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r>
      <w:tr w:rsidR="00465A3A" w:rsidRPr="00465A3A" w:rsidTr="00465A3A">
        <w:trPr>
          <w:trHeight w:val="435"/>
        </w:trPr>
        <w:tc>
          <w:tcPr>
            <w:tcW w:w="3200" w:type="dxa"/>
            <w:gridSpan w:val="2"/>
            <w:tcBorders>
              <w:top w:val="nil"/>
              <w:left w:val="single" w:sz="4" w:space="0" w:color="auto"/>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Place hazardous waste codes on the container label</w:t>
            </w:r>
          </w:p>
        </w:tc>
        <w:tc>
          <w:tcPr>
            <w:tcW w:w="10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$0.75</w:t>
            </w:r>
          </w:p>
        </w:tc>
        <w:tc>
          <w:tcPr>
            <w:tcW w:w="10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732,410</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12,450.97</w:t>
            </w:r>
          </w:p>
        </w:tc>
        <w:tc>
          <w:tcPr>
            <w:tcW w:w="1180" w:type="dxa"/>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$549,307.50</w:t>
            </w:r>
          </w:p>
        </w:tc>
      </w:tr>
      <w:tr w:rsidR="00465A3A" w:rsidRPr="00465A3A" w:rsidTr="00465A3A">
        <w:trPr>
          <w:trHeight w:val="225"/>
        </w:trPr>
        <w:tc>
          <w:tcPr>
            <w:tcW w:w="3200" w:type="dxa"/>
            <w:gridSpan w:val="2"/>
            <w:tcBorders>
              <w:top w:val="nil"/>
              <w:left w:val="single" w:sz="4" w:space="0" w:color="auto"/>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rPr>
                <w:rFonts w:ascii="Arial" w:hAnsi="Arial" w:cs="Arial"/>
                <w:b/>
                <w:bCs/>
                <w:sz w:val="16"/>
                <w:szCs w:val="16"/>
              </w:rPr>
            </w:pPr>
            <w:r w:rsidRPr="00465A3A">
              <w:rPr>
                <w:rFonts w:ascii="Arial" w:hAnsi="Arial" w:cs="Arial"/>
                <w:b/>
                <w:bCs/>
                <w:sz w:val="16"/>
                <w:szCs w:val="16"/>
              </w:rPr>
              <w:t>Subtotal</w:t>
            </w:r>
          </w:p>
        </w:tc>
        <w:tc>
          <w:tcPr>
            <w:tcW w:w="10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$0.75 </w:t>
            </w:r>
          </w:p>
        </w:tc>
        <w:tc>
          <w:tcPr>
            <w:tcW w:w="10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$0.00 </w:t>
            </w:r>
          </w:p>
        </w:tc>
        <w:tc>
          <w:tcPr>
            <w:tcW w:w="11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$0.00 </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732,410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12,450.97</w:t>
            </w:r>
          </w:p>
        </w:tc>
        <w:tc>
          <w:tcPr>
            <w:tcW w:w="1180" w:type="dxa"/>
            <w:tcBorders>
              <w:top w:val="nil"/>
              <w:left w:val="nil"/>
              <w:bottom w:val="single" w:sz="4" w:space="0" w:color="auto"/>
              <w:right w:val="single" w:sz="4" w:space="0" w:color="auto"/>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$549,307.50</w:t>
            </w:r>
          </w:p>
        </w:tc>
      </w:tr>
      <w:tr w:rsidR="00465A3A" w:rsidRPr="00465A3A" w:rsidTr="00465A3A">
        <w:trPr>
          <w:trHeight w:val="255"/>
        </w:trPr>
        <w:tc>
          <w:tcPr>
            <w:tcW w:w="14360" w:type="dxa"/>
            <w:gridSpan w:val="23"/>
            <w:tcBorders>
              <w:top w:val="single" w:sz="4" w:space="0" w:color="auto"/>
              <w:left w:val="single" w:sz="4" w:space="0" w:color="auto"/>
              <w:bottom w:val="single" w:sz="4" w:space="0" w:color="auto"/>
              <w:right w:val="single" w:sz="4" w:space="0" w:color="auto"/>
            </w:tcBorders>
            <w:shd w:val="clear" w:color="000000" w:fill="E3E3E3"/>
            <w:vAlign w:val="bottom"/>
            <w:hideMark/>
          </w:tcPr>
          <w:p w:rsidR="00465A3A" w:rsidRPr="00465A3A" w:rsidRDefault="00465A3A" w:rsidP="00465A3A">
            <w:pPr>
              <w:widowControl/>
              <w:autoSpaceDE/>
              <w:autoSpaceDN/>
              <w:adjustRightInd/>
              <w:rPr>
                <w:rFonts w:ascii="Arial" w:hAnsi="Arial" w:cs="Arial"/>
                <w:b/>
                <w:bCs/>
                <w:sz w:val="16"/>
                <w:szCs w:val="16"/>
              </w:rPr>
            </w:pPr>
            <w:r w:rsidRPr="00465A3A">
              <w:rPr>
                <w:rFonts w:ascii="Arial" w:hAnsi="Arial" w:cs="Arial"/>
                <w:b/>
                <w:bCs/>
                <w:sz w:val="16"/>
                <w:szCs w:val="16"/>
              </w:rPr>
              <w:t xml:space="preserve">MAKING THE HAZARDOUS WASTE DETERMINATION AT AN ON-SITE INTERIM STATUS OR PERMITTED TREATMENT, STORAGE, OR DISPOSAL FACILITY (40 </w:t>
            </w:r>
            <w:r w:rsidRPr="00465A3A">
              <w:rPr>
                <w:rFonts w:ascii="Arial" w:hAnsi="Arial" w:cs="Arial"/>
                <w:b/>
                <w:bCs/>
                <w:i/>
                <w:iCs/>
                <w:sz w:val="16"/>
                <w:szCs w:val="16"/>
              </w:rPr>
              <w:t>CFR</w:t>
            </w:r>
            <w:r w:rsidRPr="00465A3A">
              <w:rPr>
                <w:rFonts w:ascii="Arial" w:hAnsi="Arial" w:cs="Arial"/>
                <w:b/>
                <w:bCs/>
                <w:sz w:val="16"/>
                <w:szCs w:val="16"/>
              </w:rPr>
              <w:t xml:space="preserve"> 262.212)</w:t>
            </w:r>
          </w:p>
        </w:tc>
      </w:tr>
      <w:tr w:rsidR="00465A3A" w:rsidRPr="00465A3A" w:rsidTr="00465A3A">
        <w:trPr>
          <w:trHeight w:val="225"/>
        </w:trPr>
        <w:tc>
          <w:tcPr>
            <w:tcW w:w="3200" w:type="dxa"/>
            <w:gridSpan w:val="2"/>
            <w:tcBorders>
              <w:top w:val="nil"/>
              <w:left w:val="single" w:sz="4" w:space="0" w:color="auto"/>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Make hazardous waste determination</w:t>
            </w:r>
          </w:p>
        </w:tc>
        <w:tc>
          <w:tcPr>
            <w:tcW w:w="10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0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80" w:type="dxa"/>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r>
      <w:tr w:rsidR="00465A3A" w:rsidRPr="00465A3A" w:rsidTr="00465A3A">
        <w:trPr>
          <w:trHeight w:val="435"/>
        </w:trPr>
        <w:tc>
          <w:tcPr>
            <w:tcW w:w="3200" w:type="dxa"/>
            <w:gridSpan w:val="2"/>
            <w:tcBorders>
              <w:top w:val="nil"/>
              <w:left w:val="single" w:sz="4" w:space="0" w:color="auto"/>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Place hazardous waste codes on the container label</w:t>
            </w:r>
          </w:p>
        </w:tc>
        <w:tc>
          <w:tcPr>
            <w:tcW w:w="10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$0.75</w:t>
            </w:r>
          </w:p>
        </w:tc>
        <w:tc>
          <w:tcPr>
            <w:tcW w:w="10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80" w:type="dxa"/>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r>
      <w:tr w:rsidR="00465A3A" w:rsidRPr="00465A3A" w:rsidTr="00465A3A">
        <w:trPr>
          <w:trHeight w:val="225"/>
        </w:trPr>
        <w:tc>
          <w:tcPr>
            <w:tcW w:w="3200" w:type="dxa"/>
            <w:gridSpan w:val="2"/>
            <w:tcBorders>
              <w:top w:val="nil"/>
              <w:left w:val="single" w:sz="4" w:space="0" w:color="auto"/>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rPr>
                <w:rFonts w:ascii="Arial" w:hAnsi="Arial" w:cs="Arial"/>
                <w:b/>
                <w:bCs/>
                <w:sz w:val="16"/>
                <w:szCs w:val="16"/>
              </w:rPr>
            </w:pPr>
            <w:r w:rsidRPr="00465A3A">
              <w:rPr>
                <w:rFonts w:ascii="Arial" w:hAnsi="Arial" w:cs="Arial"/>
                <w:b/>
                <w:bCs/>
                <w:sz w:val="16"/>
                <w:szCs w:val="16"/>
              </w:rPr>
              <w:t>Subtotal</w:t>
            </w:r>
          </w:p>
        </w:tc>
        <w:tc>
          <w:tcPr>
            <w:tcW w:w="10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$0.75 </w:t>
            </w:r>
          </w:p>
        </w:tc>
        <w:tc>
          <w:tcPr>
            <w:tcW w:w="10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$0.00 </w:t>
            </w:r>
          </w:p>
        </w:tc>
        <w:tc>
          <w:tcPr>
            <w:tcW w:w="11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$0.00 </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0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80" w:type="dxa"/>
            <w:tcBorders>
              <w:top w:val="nil"/>
              <w:left w:val="nil"/>
              <w:bottom w:val="single" w:sz="4" w:space="0" w:color="auto"/>
              <w:right w:val="single" w:sz="4" w:space="0" w:color="auto"/>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r>
      <w:tr w:rsidR="00465A3A" w:rsidRPr="00465A3A" w:rsidTr="00465A3A">
        <w:trPr>
          <w:trHeight w:val="255"/>
        </w:trPr>
        <w:tc>
          <w:tcPr>
            <w:tcW w:w="14360" w:type="dxa"/>
            <w:gridSpan w:val="23"/>
            <w:tcBorders>
              <w:top w:val="single" w:sz="4" w:space="0" w:color="auto"/>
              <w:left w:val="single" w:sz="4" w:space="0" w:color="auto"/>
              <w:bottom w:val="single" w:sz="4" w:space="0" w:color="auto"/>
              <w:right w:val="single" w:sz="4" w:space="0" w:color="auto"/>
            </w:tcBorders>
            <w:shd w:val="clear" w:color="000000" w:fill="E3E3E3"/>
            <w:vAlign w:val="bottom"/>
            <w:hideMark/>
          </w:tcPr>
          <w:p w:rsidR="00465A3A" w:rsidRPr="00465A3A" w:rsidRDefault="00465A3A" w:rsidP="00465A3A">
            <w:pPr>
              <w:widowControl/>
              <w:autoSpaceDE/>
              <w:autoSpaceDN/>
              <w:adjustRightInd/>
              <w:rPr>
                <w:rFonts w:ascii="Arial" w:hAnsi="Arial" w:cs="Arial"/>
                <w:b/>
                <w:bCs/>
                <w:sz w:val="16"/>
                <w:szCs w:val="16"/>
              </w:rPr>
            </w:pPr>
            <w:r w:rsidRPr="00465A3A">
              <w:rPr>
                <w:rFonts w:ascii="Arial" w:hAnsi="Arial" w:cs="Arial"/>
                <w:b/>
                <w:bCs/>
                <w:sz w:val="16"/>
                <w:szCs w:val="16"/>
              </w:rPr>
              <w:t xml:space="preserve">LABORATORY CLEAN-OUTS (40 </w:t>
            </w:r>
            <w:r w:rsidRPr="00465A3A">
              <w:rPr>
                <w:rFonts w:ascii="Arial" w:hAnsi="Arial" w:cs="Arial"/>
                <w:b/>
                <w:bCs/>
                <w:i/>
                <w:iCs/>
                <w:sz w:val="16"/>
                <w:szCs w:val="16"/>
              </w:rPr>
              <w:t>CFR</w:t>
            </w:r>
            <w:r w:rsidRPr="00465A3A">
              <w:rPr>
                <w:rFonts w:ascii="Arial" w:hAnsi="Arial" w:cs="Arial"/>
                <w:b/>
                <w:bCs/>
                <w:sz w:val="16"/>
                <w:szCs w:val="16"/>
              </w:rPr>
              <w:t xml:space="preserve"> 262.213)</w:t>
            </w:r>
          </w:p>
        </w:tc>
      </w:tr>
      <w:tr w:rsidR="00465A3A" w:rsidRPr="00465A3A" w:rsidTr="00465A3A">
        <w:trPr>
          <w:trHeight w:val="435"/>
        </w:trPr>
        <w:tc>
          <w:tcPr>
            <w:tcW w:w="3200" w:type="dxa"/>
            <w:gridSpan w:val="2"/>
            <w:tcBorders>
              <w:top w:val="nil"/>
              <w:left w:val="single" w:sz="4" w:space="0" w:color="auto"/>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Document the activities of the laboratory clean-out</w:t>
            </w:r>
          </w:p>
        </w:tc>
        <w:tc>
          <w:tcPr>
            <w:tcW w:w="10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0.03</w:t>
            </w:r>
          </w:p>
        </w:tc>
        <w:tc>
          <w:tcPr>
            <w:tcW w:w="940" w:type="dxa"/>
            <w:gridSpan w:val="2"/>
            <w:tcBorders>
              <w:top w:val="nil"/>
              <w:left w:val="single" w:sz="4" w:space="0" w:color="auto"/>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0.03</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$1.32</w:t>
            </w:r>
          </w:p>
        </w:tc>
        <w:tc>
          <w:tcPr>
            <w:tcW w:w="10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14,849</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445.47</w:t>
            </w:r>
          </w:p>
        </w:tc>
        <w:tc>
          <w:tcPr>
            <w:tcW w:w="1180" w:type="dxa"/>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$19,600.47</w:t>
            </w:r>
          </w:p>
        </w:tc>
      </w:tr>
      <w:tr w:rsidR="00465A3A" w:rsidRPr="00465A3A" w:rsidTr="00465A3A">
        <w:trPr>
          <w:trHeight w:val="225"/>
        </w:trPr>
        <w:tc>
          <w:tcPr>
            <w:tcW w:w="3200" w:type="dxa"/>
            <w:gridSpan w:val="2"/>
            <w:tcBorders>
              <w:top w:val="nil"/>
              <w:left w:val="single" w:sz="4" w:space="0" w:color="auto"/>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Maintain records of the clean-out</w:t>
            </w:r>
          </w:p>
        </w:tc>
        <w:tc>
          <w:tcPr>
            <w:tcW w:w="10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single" w:sz="4" w:space="0" w:color="auto"/>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0.03</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0.03</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$0.70</w:t>
            </w:r>
          </w:p>
        </w:tc>
        <w:tc>
          <w:tcPr>
            <w:tcW w:w="10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14,849</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445.47</w:t>
            </w:r>
          </w:p>
        </w:tc>
        <w:tc>
          <w:tcPr>
            <w:tcW w:w="1180" w:type="dxa"/>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$10,394.19</w:t>
            </w:r>
          </w:p>
        </w:tc>
      </w:tr>
      <w:tr w:rsidR="00465A3A" w:rsidRPr="00465A3A" w:rsidTr="00465A3A">
        <w:trPr>
          <w:trHeight w:val="225"/>
        </w:trPr>
        <w:tc>
          <w:tcPr>
            <w:tcW w:w="3200" w:type="dxa"/>
            <w:gridSpan w:val="2"/>
            <w:tcBorders>
              <w:top w:val="nil"/>
              <w:left w:val="single" w:sz="4" w:space="0" w:color="auto"/>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rPr>
                <w:rFonts w:ascii="Arial" w:hAnsi="Arial" w:cs="Arial"/>
                <w:b/>
                <w:bCs/>
                <w:sz w:val="16"/>
                <w:szCs w:val="16"/>
              </w:rPr>
            </w:pPr>
            <w:r w:rsidRPr="00465A3A">
              <w:rPr>
                <w:rFonts w:ascii="Arial" w:hAnsi="Arial" w:cs="Arial"/>
                <w:b/>
                <w:bCs/>
                <w:sz w:val="16"/>
                <w:szCs w:val="16"/>
              </w:rPr>
              <w:t>Subtotal</w:t>
            </w:r>
          </w:p>
        </w:tc>
        <w:tc>
          <w:tcPr>
            <w:tcW w:w="10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0.03</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0.03</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0.06</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$2.02 </w:t>
            </w:r>
          </w:p>
        </w:tc>
        <w:tc>
          <w:tcPr>
            <w:tcW w:w="10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$0.00 </w:t>
            </w:r>
          </w:p>
        </w:tc>
        <w:tc>
          <w:tcPr>
            <w:tcW w:w="11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$0.00 </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14,849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890.94</w:t>
            </w:r>
          </w:p>
        </w:tc>
        <w:tc>
          <w:tcPr>
            <w:tcW w:w="1180" w:type="dxa"/>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$29,994.66 </w:t>
            </w:r>
          </w:p>
        </w:tc>
      </w:tr>
      <w:tr w:rsidR="00465A3A" w:rsidRPr="00465A3A" w:rsidTr="00465A3A">
        <w:trPr>
          <w:trHeight w:val="255"/>
        </w:trPr>
        <w:tc>
          <w:tcPr>
            <w:tcW w:w="14360" w:type="dxa"/>
            <w:gridSpan w:val="23"/>
            <w:tcBorders>
              <w:top w:val="single" w:sz="4" w:space="0" w:color="auto"/>
              <w:left w:val="single" w:sz="4" w:space="0" w:color="auto"/>
              <w:bottom w:val="single" w:sz="4" w:space="0" w:color="auto"/>
              <w:right w:val="single" w:sz="4" w:space="0" w:color="auto"/>
            </w:tcBorders>
            <w:shd w:val="clear" w:color="000000" w:fill="E3E3E3"/>
            <w:vAlign w:val="bottom"/>
            <w:hideMark/>
          </w:tcPr>
          <w:p w:rsidR="00465A3A" w:rsidRPr="00465A3A" w:rsidRDefault="00465A3A" w:rsidP="00465A3A">
            <w:pPr>
              <w:widowControl/>
              <w:autoSpaceDE/>
              <w:autoSpaceDN/>
              <w:adjustRightInd/>
              <w:rPr>
                <w:rFonts w:ascii="Arial" w:hAnsi="Arial" w:cs="Arial"/>
                <w:b/>
                <w:bCs/>
                <w:sz w:val="16"/>
                <w:szCs w:val="16"/>
              </w:rPr>
            </w:pPr>
            <w:r w:rsidRPr="00465A3A">
              <w:rPr>
                <w:rFonts w:ascii="Arial" w:hAnsi="Arial" w:cs="Arial"/>
                <w:b/>
                <w:bCs/>
                <w:sz w:val="16"/>
                <w:szCs w:val="16"/>
              </w:rPr>
              <w:t xml:space="preserve">LABORATORY MANAGEMENT PLAN (40 </w:t>
            </w:r>
            <w:r w:rsidRPr="00465A3A">
              <w:rPr>
                <w:rFonts w:ascii="Arial" w:hAnsi="Arial" w:cs="Arial"/>
                <w:b/>
                <w:bCs/>
                <w:i/>
                <w:iCs/>
                <w:sz w:val="16"/>
                <w:szCs w:val="16"/>
              </w:rPr>
              <w:t>CFR</w:t>
            </w:r>
            <w:r w:rsidRPr="00465A3A">
              <w:rPr>
                <w:rFonts w:ascii="Arial" w:hAnsi="Arial" w:cs="Arial"/>
                <w:b/>
                <w:bCs/>
                <w:sz w:val="16"/>
                <w:szCs w:val="16"/>
              </w:rPr>
              <w:t xml:space="preserve"> 262.214)</w:t>
            </w:r>
          </w:p>
        </w:tc>
      </w:tr>
      <w:tr w:rsidR="00465A3A" w:rsidRPr="00465A3A" w:rsidTr="00465A3A">
        <w:trPr>
          <w:trHeight w:val="435"/>
        </w:trPr>
        <w:tc>
          <w:tcPr>
            <w:tcW w:w="3200" w:type="dxa"/>
            <w:gridSpan w:val="2"/>
            <w:tcBorders>
              <w:top w:val="nil"/>
              <w:left w:val="single" w:sz="4" w:space="0" w:color="auto"/>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Develop Laboratory Management Plan, or revise an existing written plan</w:t>
            </w:r>
          </w:p>
        </w:tc>
        <w:tc>
          <w:tcPr>
            <w:tcW w:w="1020" w:type="dxa"/>
            <w:gridSpan w:val="2"/>
            <w:tcBorders>
              <w:top w:val="nil"/>
              <w:left w:val="nil"/>
              <w:bottom w:val="single" w:sz="4" w:space="0" w:color="auto"/>
              <w:right w:val="single" w:sz="4" w:space="0" w:color="auto"/>
            </w:tcBorders>
            <w:shd w:val="clear" w:color="auto" w:fill="auto"/>
            <w:vAlign w:val="bottom"/>
            <w:hideMark/>
          </w:tcPr>
          <w:p w:rsidR="00465A3A" w:rsidRPr="00E47300" w:rsidRDefault="00465A3A" w:rsidP="00465A3A">
            <w:pPr>
              <w:widowControl/>
              <w:autoSpaceDE/>
              <w:autoSpaceDN/>
              <w:adjustRightInd/>
              <w:jc w:val="center"/>
              <w:rPr>
                <w:rFonts w:ascii="Arial" w:hAnsi="Arial" w:cs="Arial"/>
                <w:color w:val="000000"/>
                <w:sz w:val="16"/>
                <w:szCs w:val="16"/>
              </w:rPr>
            </w:pPr>
            <w:r w:rsidRPr="00E47300">
              <w:rPr>
                <w:rFonts w:ascii="Arial" w:hAnsi="Arial" w:cs="Arial"/>
                <w:color w:val="000000"/>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E47300" w:rsidRDefault="00465A3A" w:rsidP="00465A3A">
            <w:pPr>
              <w:widowControl/>
              <w:autoSpaceDE/>
              <w:autoSpaceDN/>
              <w:adjustRightInd/>
              <w:jc w:val="center"/>
              <w:rPr>
                <w:rFonts w:ascii="Arial" w:hAnsi="Arial" w:cs="Arial"/>
                <w:color w:val="000000"/>
                <w:sz w:val="16"/>
                <w:szCs w:val="16"/>
              </w:rPr>
            </w:pPr>
            <w:r w:rsidRPr="00E47300">
              <w:rPr>
                <w:rFonts w:ascii="Arial" w:hAnsi="Arial" w:cs="Arial"/>
                <w:color w:val="000000"/>
                <w:sz w:val="16"/>
                <w:szCs w:val="16"/>
              </w:rPr>
              <w:t>5.12</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E47300" w:rsidRDefault="00465A3A" w:rsidP="00465A3A">
            <w:pPr>
              <w:widowControl/>
              <w:autoSpaceDE/>
              <w:autoSpaceDN/>
              <w:adjustRightInd/>
              <w:jc w:val="center"/>
              <w:rPr>
                <w:rFonts w:ascii="Arial" w:hAnsi="Arial" w:cs="Arial"/>
                <w:color w:val="000000"/>
                <w:sz w:val="16"/>
                <w:szCs w:val="16"/>
              </w:rPr>
            </w:pPr>
            <w:r w:rsidRPr="00E47300">
              <w:rPr>
                <w:rFonts w:ascii="Arial" w:hAnsi="Arial" w:cs="Arial"/>
                <w:color w:val="000000"/>
                <w:sz w:val="16"/>
                <w:szCs w:val="16"/>
              </w:rPr>
              <w:t>35.80</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E47300" w:rsidRDefault="00465A3A" w:rsidP="00465A3A">
            <w:pPr>
              <w:widowControl/>
              <w:autoSpaceDE/>
              <w:autoSpaceDN/>
              <w:adjustRightInd/>
              <w:jc w:val="center"/>
              <w:rPr>
                <w:rFonts w:ascii="Arial" w:hAnsi="Arial" w:cs="Arial"/>
                <w:color w:val="000000"/>
                <w:sz w:val="16"/>
                <w:szCs w:val="16"/>
              </w:rPr>
            </w:pPr>
            <w:r w:rsidRPr="00E47300">
              <w:rPr>
                <w:rFonts w:ascii="Arial" w:hAnsi="Arial" w:cs="Arial"/>
                <w:color w:val="000000"/>
                <w:sz w:val="16"/>
                <w:szCs w:val="16"/>
              </w:rPr>
              <w:t>0.00</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E47300" w:rsidRDefault="00465A3A" w:rsidP="00465A3A">
            <w:pPr>
              <w:widowControl/>
              <w:autoSpaceDE/>
              <w:autoSpaceDN/>
              <w:adjustRightInd/>
              <w:jc w:val="center"/>
              <w:rPr>
                <w:rFonts w:ascii="Arial" w:hAnsi="Arial" w:cs="Arial"/>
                <w:color w:val="000000"/>
                <w:sz w:val="16"/>
                <w:szCs w:val="16"/>
              </w:rPr>
            </w:pPr>
            <w:r w:rsidRPr="00E47300">
              <w:rPr>
                <w:rFonts w:ascii="Arial" w:hAnsi="Arial" w:cs="Arial"/>
                <w:color w:val="000000"/>
                <w:sz w:val="16"/>
                <w:szCs w:val="16"/>
              </w:rPr>
              <w:t>40.92</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$1,993.46</w:t>
            </w:r>
          </w:p>
        </w:tc>
        <w:tc>
          <w:tcPr>
            <w:tcW w:w="10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33</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1,350.36</w:t>
            </w:r>
          </w:p>
        </w:tc>
        <w:tc>
          <w:tcPr>
            <w:tcW w:w="1180" w:type="dxa"/>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$65,784.18</w:t>
            </w:r>
          </w:p>
        </w:tc>
      </w:tr>
      <w:tr w:rsidR="00465A3A" w:rsidRPr="00465A3A" w:rsidTr="00465A3A">
        <w:trPr>
          <w:trHeight w:val="435"/>
        </w:trPr>
        <w:tc>
          <w:tcPr>
            <w:tcW w:w="3200" w:type="dxa"/>
            <w:gridSpan w:val="2"/>
            <w:tcBorders>
              <w:top w:val="nil"/>
              <w:left w:val="single" w:sz="4" w:space="0" w:color="auto"/>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Retain, review and revise the Laboratory Management Plan</w:t>
            </w:r>
          </w:p>
        </w:tc>
        <w:tc>
          <w:tcPr>
            <w:tcW w:w="1020" w:type="dxa"/>
            <w:gridSpan w:val="2"/>
            <w:tcBorders>
              <w:top w:val="nil"/>
              <w:left w:val="nil"/>
              <w:bottom w:val="single" w:sz="4" w:space="0" w:color="auto"/>
              <w:right w:val="single" w:sz="4" w:space="0" w:color="auto"/>
            </w:tcBorders>
            <w:shd w:val="clear" w:color="auto" w:fill="auto"/>
            <w:vAlign w:val="bottom"/>
            <w:hideMark/>
          </w:tcPr>
          <w:p w:rsidR="00465A3A" w:rsidRPr="00E47300" w:rsidRDefault="00465A3A" w:rsidP="00465A3A">
            <w:pPr>
              <w:widowControl/>
              <w:autoSpaceDE/>
              <w:autoSpaceDN/>
              <w:adjustRightInd/>
              <w:jc w:val="center"/>
              <w:rPr>
                <w:rFonts w:ascii="Arial" w:hAnsi="Arial" w:cs="Arial"/>
                <w:color w:val="000000"/>
                <w:sz w:val="16"/>
                <w:szCs w:val="16"/>
              </w:rPr>
            </w:pPr>
            <w:r w:rsidRPr="00E47300">
              <w:rPr>
                <w:rFonts w:ascii="Arial" w:hAnsi="Arial" w:cs="Arial"/>
                <w:color w:val="000000"/>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E47300" w:rsidRDefault="00465A3A" w:rsidP="00465A3A">
            <w:pPr>
              <w:widowControl/>
              <w:autoSpaceDE/>
              <w:autoSpaceDN/>
              <w:adjustRightInd/>
              <w:jc w:val="center"/>
              <w:rPr>
                <w:rFonts w:ascii="Arial" w:hAnsi="Arial" w:cs="Arial"/>
                <w:color w:val="000000"/>
                <w:sz w:val="16"/>
                <w:szCs w:val="16"/>
              </w:rPr>
            </w:pPr>
            <w:r w:rsidRPr="00E47300">
              <w:rPr>
                <w:rFonts w:ascii="Arial" w:hAnsi="Arial" w:cs="Arial"/>
                <w:color w:val="000000"/>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E47300" w:rsidRDefault="00465A3A" w:rsidP="00465A3A">
            <w:pPr>
              <w:widowControl/>
              <w:autoSpaceDE/>
              <w:autoSpaceDN/>
              <w:adjustRightInd/>
              <w:jc w:val="center"/>
              <w:rPr>
                <w:rFonts w:ascii="Arial" w:hAnsi="Arial" w:cs="Arial"/>
                <w:color w:val="000000"/>
                <w:sz w:val="16"/>
                <w:szCs w:val="16"/>
              </w:rPr>
            </w:pPr>
            <w:r w:rsidRPr="00E47300">
              <w:rPr>
                <w:rFonts w:ascii="Arial" w:hAnsi="Arial" w:cs="Arial"/>
                <w:color w:val="000000"/>
                <w:sz w:val="16"/>
                <w:szCs w:val="16"/>
              </w:rPr>
              <w:t>1.33</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E47300" w:rsidRDefault="00465A3A" w:rsidP="00465A3A">
            <w:pPr>
              <w:widowControl/>
              <w:autoSpaceDE/>
              <w:autoSpaceDN/>
              <w:adjustRightInd/>
              <w:jc w:val="center"/>
              <w:rPr>
                <w:rFonts w:ascii="Arial" w:hAnsi="Arial" w:cs="Arial"/>
                <w:color w:val="000000"/>
                <w:sz w:val="16"/>
                <w:szCs w:val="16"/>
              </w:rPr>
            </w:pPr>
            <w:r w:rsidRPr="00E47300">
              <w:rPr>
                <w:rFonts w:ascii="Arial" w:hAnsi="Arial" w:cs="Arial"/>
                <w:color w:val="000000"/>
                <w:sz w:val="16"/>
                <w:szCs w:val="16"/>
              </w:rPr>
              <w:t>0.00</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E47300" w:rsidRDefault="00465A3A" w:rsidP="00465A3A">
            <w:pPr>
              <w:widowControl/>
              <w:autoSpaceDE/>
              <w:autoSpaceDN/>
              <w:adjustRightInd/>
              <w:jc w:val="center"/>
              <w:rPr>
                <w:rFonts w:ascii="Arial" w:hAnsi="Arial" w:cs="Arial"/>
                <w:color w:val="000000"/>
                <w:sz w:val="16"/>
                <w:szCs w:val="16"/>
              </w:rPr>
            </w:pPr>
            <w:r w:rsidRPr="00E47300">
              <w:rPr>
                <w:rFonts w:ascii="Arial" w:hAnsi="Arial" w:cs="Arial"/>
                <w:color w:val="000000"/>
                <w:sz w:val="16"/>
                <w:szCs w:val="16"/>
              </w:rPr>
              <w:t>1.33</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$58.41</w:t>
            </w:r>
          </w:p>
        </w:tc>
        <w:tc>
          <w:tcPr>
            <w:tcW w:w="10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99</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131.67</w:t>
            </w:r>
          </w:p>
        </w:tc>
        <w:tc>
          <w:tcPr>
            <w:tcW w:w="1180" w:type="dxa"/>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$5,782.59</w:t>
            </w:r>
          </w:p>
        </w:tc>
      </w:tr>
      <w:tr w:rsidR="00465A3A" w:rsidRPr="00465A3A" w:rsidTr="00465A3A">
        <w:trPr>
          <w:trHeight w:val="435"/>
        </w:trPr>
        <w:tc>
          <w:tcPr>
            <w:tcW w:w="3200" w:type="dxa"/>
            <w:gridSpan w:val="2"/>
            <w:tcBorders>
              <w:top w:val="nil"/>
              <w:left w:val="single" w:sz="4" w:space="0" w:color="auto"/>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Make the Laboratory Management Plan available to others</w:t>
            </w:r>
          </w:p>
        </w:tc>
        <w:tc>
          <w:tcPr>
            <w:tcW w:w="10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0.50</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0.50</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$11.64</w:t>
            </w:r>
          </w:p>
        </w:tc>
        <w:tc>
          <w:tcPr>
            <w:tcW w:w="10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99</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49.50</w:t>
            </w:r>
          </w:p>
        </w:tc>
        <w:tc>
          <w:tcPr>
            <w:tcW w:w="1180" w:type="dxa"/>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$1,152.36</w:t>
            </w:r>
          </w:p>
        </w:tc>
      </w:tr>
      <w:tr w:rsidR="00465A3A" w:rsidRPr="00465A3A" w:rsidTr="00465A3A">
        <w:trPr>
          <w:trHeight w:val="225"/>
        </w:trPr>
        <w:tc>
          <w:tcPr>
            <w:tcW w:w="3200" w:type="dxa"/>
            <w:gridSpan w:val="2"/>
            <w:tcBorders>
              <w:top w:val="nil"/>
              <w:left w:val="single" w:sz="4" w:space="0" w:color="auto"/>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rPr>
                <w:rFonts w:ascii="Arial" w:hAnsi="Arial" w:cs="Arial"/>
                <w:b/>
                <w:bCs/>
                <w:sz w:val="16"/>
                <w:szCs w:val="16"/>
              </w:rPr>
            </w:pPr>
            <w:r w:rsidRPr="00465A3A">
              <w:rPr>
                <w:rFonts w:ascii="Arial" w:hAnsi="Arial" w:cs="Arial"/>
                <w:b/>
                <w:bCs/>
                <w:sz w:val="16"/>
                <w:szCs w:val="16"/>
              </w:rPr>
              <w:t>Subtotal</w:t>
            </w:r>
          </w:p>
        </w:tc>
        <w:tc>
          <w:tcPr>
            <w:tcW w:w="10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varies</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varies</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varies</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varies</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varies</w:t>
            </w:r>
          </w:p>
        </w:tc>
        <w:tc>
          <w:tcPr>
            <w:tcW w:w="10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$0.00 </w:t>
            </w:r>
          </w:p>
        </w:tc>
        <w:tc>
          <w:tcPr>
            <w:tcW w:w="11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$0.00 </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 varies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1,531.53</w:t>
            </w:r>
          </w:p>
        </w:tc>
        <w:tc>
          <w:tcPr>
            <w:tcW w:w="1180" w:type="dxa"/>
            <w:tcBorders>
              <w:top w:val="nil"/>
              <w:left w:val="nil"/>
              <w:bottom w:val="single" w:sz="4" w:space="0" w:color="auto"/>
              <w:right w:val="single" w:sz="4" w:space="0" w:color="auto"/>
            </w:tcBorders>
            <w:shd w:val="clear" w:color="auto" w:fill="auto"/>
            <w:noWrap/>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$72,719.13</w:t>
            </w:r>
          </w:p>
        </w:tc>
      </w:tr>
      <w:tr w:rsidR="00465A3A" w:rsidRPr="00465A3A" w:rsidTr="00465A3A">
        <w:trPr>
          <w:trHeight w:val="225"/>
        </w:trPr>
        <w:tc>
          <w:tcPr>
            <w:tcW w:w="3200" w:type="dxa"/>
            <w:gridSpan w:val="2"/>
            <w:tcBorders>
              <w:top w:val="nil"/>
              <w:left w:val="single" w:sz="4" w:space="0" w:color="auto"/>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rPr>
                <w:rFonts w:ascii="Arial" w:hAnsi="Arial" w:cs="Arial"/>
                <w:b/>
                <w:bCs/>
                <w:sz w:val="16"/>
                <w:szCs w:val="16"/>
              </w:rPr>
            </w:pPr>
            <w:r w:rsidRPr="00465A3A">
              <w:rPr>
                <w:rFonts w:ascii="Arial" w:hAnsi="Arial" w:cs="Arial"/>
                <w:b/>
                <w:bCs/>
                <w:sz w:val="16"/>
                <w:szCs w:val="16"/>
              </w:rPr>
              <w:t>TOTAL</w:t>
            </w:r>
          </w:p>
        </w:tc>
        <w:tc>
          <w:tcPr>
            <w:tcW w:w="10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varies</w:t>
            </w:r>
          </w:p>
        </w:tc>
        <w:tc>
          <w:tcPr>
            <w:tcW w:w="9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varies</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varies</w:t>
            </w:r>
          </w:p>
        </w:tc>
        <w:tc>
          <w:tcPr>
            <w:tcW w:w="9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varies</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varies</w:t>
            </w:r>
          </w:p>
        </w:tc>
        <w:tc>
          <w:tcPr>
            <w:tcW w:w="104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$0.00 </w:t>
            </w:r>
          </w:p>
        </w:tc>
        <w:tc>
          <w:tcPr>
            <w:tcW w:w="11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varies</w:t>
            </w:r>
          </w:p>
        </w:tc>
        <w:tc>
          <w:tcPr>
            <w:tcW w:w="110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 varies </w:t>
            </w:r>
          </w:p>
        </w:tc>
        <w:tc>
          <w:tcPr>
            <w:tcW w:w="920" w:type="dxa"/>
            <w:gridSpan w:val="2"/>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27,718.59</w:t>
            </w:r>
          </w:p>
        </w:tc>
        <w:tc>
          <w:tcPr>
            <w:tcW w:w="1180" w:type="dxa"/>
            <w:tcBorders>
              <w:top w:val="nil"/>
              <w:left w:val="nil"/>
              <w:bottom w:val="single" w:sz="4" w:space="0" w:color="auto"/>
              <w:right w:val="single" w:sz="4" w:space="0" w:color="auto"/>
            </w:tcBorders>
            <w:shd w:val="clear" w:color="auto" w:fill="auto"/>
            <w:vAlign w:val="bottom"/>
            <w:hideMark/>
          </w:tcPr>
          <w:p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$1,322,413.60</w:t>
            </w:r>
          </w:p>
        </w:tc>
      </w:tr>
      <w:tr w:rsidR="00465A3A" w:rsidRPr="00465A3A" w:rsidTr="00465A3A">
        <w:trPr>
          <w:trHeight w:val="225"/>
        </w:trPr>
        <w:tc>
          <w:tcPr>
            <w:tcW w:w="3200" w:type="dxa"/>
            <w:gridSpan w:val="2"/>
            <w:tcBorders>
              <w:top w:val="nil"/>
              <w:left w:val="nil"/>
              <w:bottom w:val="nil"/>
              <w:right w:val="nil"/>
            </w:tcBorders>
            <w:shd w:val="clear" w:color="auto" w:fill="auto"/>
            <w:vAlign w:val="center"/>
            <w:hideMark/>
          </w:tcPr>
          <w:p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vertAlign w:val="superscript"/>
              </w:rPr>
              <w:t xml:space="preserve">a </w:t>
            </w:r>
            <w:r w:rsidRPr="00465A3A">
              <w:rPr>
                <w:rFonts w:ascii="Arial" w:hAnsi="Arial" w:cs="Arial"/>
                <w:sz w:val="16"/>
                <w:szCs w:val="16"/>
              </w:rPr>
              <w:t xml:space="preserve"> Exhibit contains rounding error.</w:t>
            </w:r>
          </w:p>
        </w:tc>
        <w:tc>
          <w:tcPr>
            <w:tcW w:w="1020"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rPr>
                <w:rFonts w:ascii="Arial" w:hAnsi="Arial" w:cs="Arial"/>
                <w:sz w:val="16"/>
                <w:szCs w:val="16"/>
              </w:rPr>
            </w:pPr>
          </w:p>
        </w:tc>
        <w:tc>
          <w:tcPr>
            <w:tcW w:w="900"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jc w:val="right"/>
              <w:rPr>
                <w:rFonts w:ascii="Arial" w:hAnsi="Arial" w:cs="Arial"/>
                <w:sz w:val="16"/>
                <w:szCs w:val="16"/>
              </w:rPr>
            </w:pPr>
          </w:p>
        </w:tc>
        <w:tc>
          <w:tcPr>
            <w:tcW w:w="900"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jc w:val="right"/>
              <w:rPr>
                <w:rFonts w:ascii="Arial" w:hAnsi="Arial" w:cs="Arial"/>
                <w:sz w:val="16"/>
                <w:szCs w:val="16"/>
              </w:rPr>
            </w:pPr>
          </w:p>
        </w:tc>
        <w:tc>
          <w:tcPr>
            <w:tcW w:w="940"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jc w:val="right"/>
              <w:rPr>
                <w:rFonts w:ascii="Arial" w:hAnsi="Arial" w:cs="Arial"/>
                <w:sz w:val="16"/>
                <w:szCs w:val="16"/>
              </w:rPr>
            </w:pPr>
          </w:p>
        </w:tc>
        <w:tc>
          <w:tcPr>
            <w:tcW w:w="940"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jc w:val="right"/>
              <w:rPr>
                <w:rFonts w:ascii="Arial" w:hAnsi="Arial" w:cs="Arial"/>
                <w:sz w:val="16"/>
                <w:szCs w:val="16"/>
              </w:rPr>
            </w:pPr>
          </w:p>
        </w:tc>
        <w:tc>
          <w:tcPr>
            <w:tcW w:w="1100"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jc w:val="right"/>
              <w:rPr>
                <w:rFonts w:ascii="Arial" w:hAnsi="Arial" w:cs="Arial"/>
                <w:sz w:val="16"/>
                <w:szCs w:val="16"/>
              </w:rPr>
            </w:pPr>
          </w:p>
        </w:tc>
        <w:tc>
          <w:tcPr>
            <w:tcW w:w="1040"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jc w:val="right"/>
              <w:rPr>
                <w:rFonts w:ascii="Arial" w:hAnsi="Arial" w:cs="Arial"/>
                <w:sz w:val="16"/>
                <w:szCs w:val="16"/>
              </w:rPr>
            </w:pPr>
          </w:p>
        </w:tc>
        <w:tc>
          <w:tcPr>
            <w:tcW w:w="1120"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jc w:val="right"/>
              <w:rPr>
                <w:rFonts w:ascii="Arial" w:hAnsi="Arial" w:cs="Arial"/>
                <w:sz w:val="16"/>
                <w:szCs w:val="16"/>
              </w:rPr>
            </w:pPr>
          </w:p>
        </w:tc>
        <w:tc>
          <w:tcPr>
            <w:tcW w:w="1100"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jc w:val="right"/>
              <w:rPr>
                <w:rFonts w:ascii="Arial" w:hAnsi="Arial" w:cs="Arial"/>
                <w:sz w:val="16"/>
                <w:szCs w:val="16"/>
              </w:rPr>
            </w:pPr>
          </w:p>
        </w:tc>
        <w:tc>
          <w:tcPr>
            <w:tcW w:w="920" w:type="dxa"/>
            <w:gridSpan w:val="2"/>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jc w:val="right"/>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465A3A" w:rsidRPr="00465A3A" w:rsidRDefault="00465A3A" w:rsidP="00465A3A">
            <w:pPr>
              <w:widowControl/>
              <w:autoSpaceDE/>
              <w:autoSpaceDN/>
              <w:adjustRightInd/>
              <w:jc w:val="right"/>
              <w:rPr>
                <w:rFonts w:ascii="Arial" w:hAnsi="Arial" w:cs="Arial"/>
                <w:sz w:val="16"/>
                <w:szCs w:val="16"/>
              </w:rPr>
            </w:pPr>
          </w:p>
        </w:tc>
      </w:tr>
    </w:tbl>
    <w:p w:rsidR="00CD1728" w:rsidRDefault="00146A6C">
      <w:pPr>
        <w:widowControl/>
        <w:ind w:firstLine="720"/>
        <w:rPr>
          <w:sz w:val="24"/>
        </w:rPr>
      </w:pPr>
      <w:r>
        <w:rPr>
          <w:sz w:val="24"/>
        </w:rPr>
        <w:br w:type="page"/>
      </w:r>
    </w:p>
    <w:tbl>
      <w:tblPr>
        <w:tblW w:w="11331" w:type="dxa"/>
        <w:tblInd w:w="108" w:type="dxa"/>
        <w:tblLook w:val="04A0"/>
      </w:tblPr>
      <w:tblGrid>
        <w:gridCol w:w="3090"/>
        <w:gridCol w:w="1533"/>
        <w:gridCol w:w="1492"/>
        <w:gridCol w:w="1452"/>
        <w:gridCol w:w="1412"/>
        <w:gridCol w:w="976"/>
        <w:gridCol w:w="1376"/>
      </w:tblGrid>
      <w:tr w:rsidR="00CD1728" w:rsidRPr="00CD1728" w:rsidTr="00CD1728">
        <w:trPr>
          <w:trHeight w:val="255"/>
        </w:trPr>
        <w:tc>
          <w:tcPr>
            <w:tcW w:w="309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Cs w:val="20"/>
              </w:rPr>
            </w:pPr>
          </w:p>
        </w:tc>
        <w:tc>
          <w:tcPr>
            <w:tcW w:w="1533"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Cs w:val="20"/>
              </w:rPr>
            </w:pPr>
          </w:p>
        </w:tc>
        <w:tc>
          <w:tcPr>
            <w:tcW w:w="1492"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Cs w:val="20"/>
              </w:rPr>
            </w:pPr>
          </w:p>
        </w:tc>
        <w:tc>
          <w:tcPr>
            <w:tcW w:w="1452"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Cs w:val="20"/>
              </w:rPr>
            </w:pPr>
          </w:p>
        </w:tc>
        <w:tc>
          <w:tcPr>
            <w:tcW w:w="1412"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Cs w:val="20"/>
              </w:rPr>
            </w:pPr>
          </w:p>
        </w:tc>
        <w:tc>
          <w:tcPr>
            <w:tcW w:w="976"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Cs w:val="20"/>
              </w:rPr>
            </w:pPr>
          </w:p>
        </w:tc>
        <w:tc>
          <w:tcPr>
            <w:tcW w:w="1376"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Cs w:val="20"/>
              </w:rPr>
            </w:pPr>
          </w:p>
        </w:tc>
      </w:tr>
      <w:tr w:rsidR="00CD1728" w:rsidRPr="00CD1728" w:rsidTr="00CD1728">
        <w:trPr>
          <w:trHeight w:val="255"/>
        </w:trPr>
        <w:tc>
          <w:tcPr>
            <w:tcW w:w="3090" w:type="dxa"/>
            <w:tcBorders>
              <w:top w:val="nil"/>
              <w:left w:val="nil"/>
              <w:bottom w:val="nil"/>
              <w:right w:val="nil"/>
            </w:tcBorders>
            <w:shd w:val="clear" w:color="auto" w:fill="auto"/>
            <w:noWrap/>
            <w:vAlign w:val="bottom"/>
            <w:hideMark/>
          </w:tcPr>
          <w:p w:rsidR="00CD1728" w:rsidRPr="00263EC7" w:rsidRDefault="00CD1728" w:rsidP="00CD1728">
            <w:pPr>
              <w:widowControl/>
              <w:autoSpaceDE/>
              <w:autoSpaceDN/>
              <w:adjustRightInd/>
              <w:rPr>
                <w:rFonts w:ascii="Arial" w:hAnsi="Arial" w:cs="Arial"/>
                <w:b/>
                <w:sz w:val="16"/>
                <w:szCs w:val="16"/>
              </w:rPr>
            </w:pPr>
            <w:r w:rsidRPr="00263EC7">
              <w:rPr>
                <w:rFonts w:ascii="Arial" w:hAnsi="Arial" w:cs="Arial"/>
                <w:b/>
                <w:sz w:val="16"/>
                <w:szCs w:val="16"/>
              </w:rPr>
              <w:t>EXHIBIT 2</w:t>
            </w:r>
          </w:p>
        </w:tc>
        <w:tc>
          <w:tcPr>
            <w:tcW w:w="1533"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Cs w:val="20"/>
              </w:rPr>
            </w:pPr>
          </w:p>
        </w:tc>
        <w:tc>
          <w:tcPr>
            <w:tcW w:w="1492"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Cs w:val="20"/>
              </w:rPr>
            </w:pPr>
          </w:p>
        </w:tc>
        <w:tc>
          <w:tcPr>
            <w:tcW w:w="1452"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Cs w:val="20"/>
              </w:rPr>
            </w:pPr>
          </w:p>
        </w:tc>
        <w:tc>
          <w:tcPr>
            <w:tcW w:w="1412"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Cs w:val="20"/>
              </w:rPr>
            </w:pPr>
          </w:p>
        </w:tc>
        <w:tc>
          <w:tcPr>
            <w:tcW w:w="976"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Cs w:val="20"/>
              </w:rPr>
            </w:pPr>
          </w:p>
        </w:tc>
        <w:tc>
          <w:tcPr>
            <w:tcW w:w="1376"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Cs w:val="20"/>
              </w:rPr>
            </w:pPr>
          </w:p>
        </w:tc>
      </w:tr>
      <w:tr w:rsidR="00CD1728" w:rsidRPr="00CD1728" w:rsidTr="00CD1728">
        <w:trPr>
          <w:trHeight w:val="255"/>
        </w:trPr>
        <w:tc>
          <w:tcPr>
            <w:tcW w:w="8979" w:type="dxa"/>
            <w:gridSpan w:val="5"/>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rPr>
              <w:t>GENERATOR STANDARDS APPLICABLE TO LABORATORIES OWNED BY ELIGIBLE ACADEMIC ENTITIES</w:t>
            </w:r>
            <w:r w:rsidRPr="00CD1728">
              <w:rPr>
                <w:rFonts w:ascii="Arial" w:hAnsi="Arial" w:cs="Arial"/>
                <w:sz w:val="16"/>
                <w:szCs w:val="16"/>
                <w:vertAlign w:val="superscript"/>
              </w:rPr>
              <w:t>a</w:t>
            </w:r>
          </w:p>
        </w:tc>
        <w:tc>
          <w:tcPr>
            <w:tcW w:w="976"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Cs w:val="20"/>
              </w:rPr>
            </w:pPr>
          </w:p>
        </w:tc>
        <w:tc>
          <w:tcPr>
            <w:tcW w:w="1376"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Cs w:val="20"/>
              </w:rPr>
            </w:pPr>
          </w:p>
        </w:tc>
      </w:tr>
      <w:tr w:rsidR="00CD1728" w:rsidRPr="00CD1728" w:rsidTr="00CD1728">
        <w:trPr>
          <w:trHeight w:val="255"/>
        </w:trPr>
        <w:tc>
          <w:tcPr>
            <w:tcW w:w="8979" w:type="dxa"/>
            <w:gridSpan w:val="5"/>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rPr>
              <w:t>ESTIMATED ANNUAL RESPONDENT HOUR AND COST BURDEN - NEW AND EXISTING PAPERWORK REQUIREMENTS</w:t>
            </w:r>
          </w:p>
        </w:tc>
        <w:tc>
          <w:tcPr>
            <w:tcW w:w="976"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Cs w:val="20"/>
              </w:rPr>
            </w:pPr>
          </w:p>
        </w:tc>
        <w:tc>
          <w:tcPr>
            <w:tcW w:w="1376"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Cs w:val="20"/>
              </w:rPr>
            </w:pPr>
          </w:p>
        </w:tc>
      </w:tr>
      <w:tr w:rsidR="00CD1728" w:rsidRPr="00CD1728" w:rsidTr="00CD1728">
        <w:trPr>
          <w:trHeight w:val="255"/>
        </w:trPr>
        <w:tc>
          <w:tcPr>
            <w:tcW w:w="309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Cs w:val="20"/>
              </w:rPr>
            </w:pPr>
          </w:p>
        </w:tc>
        <w:tc>
          <w:tcPr>
            <w:tcW w:w="1533"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1492"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1452"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1412"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1376"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r>
      <w:tr w:rsidR="00CD1728" w:rsidRPr="00CD1728" w:rsidTr="00CD1728">
        <w:trPr>
          <w:trHeight w:val="255"/>
        </w:trPr>
        <w:tc>
          <w:tcPr>
            <w:tcW w:w="309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Cs w:val="20"/>
              </w:rPr>
            </w:pPr>
          </w:p>
        </w:tc>
        <w:tc>
          <w:tcPr>
            <w:tcW w:w="1533"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1492"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1452"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1412"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1376"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r>
      <w:tr w:rsidR="00CD1728" w:rsidRPr="00CD1728" w:rsidTr="00CD1728">
        <w:trPr>
          <w:trHeight w:val="255"/>
        </w:trPr>
        <w:tc>
          <w:tcPr>
            <w:tcW w:w="309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Cs w:val="20"/>
              </w:rPr>
            </w:pPr>
          </w:p>
        </w:tc>
        <w:tc>
          <w:tcPr>
            <w:tcW w:w="1533"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1492"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1452"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1412"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976"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1376"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r>
      <w:tr w:rsidR="00CD1728" w:rsidRPr="00CD1728" w:rsidTr="00CD1728">
        <w:trPr>
          <w:trHeight w:val="450"/>
        </w:trPr>
        <w:tc>
          <w:tcPr>
            <w:tcW w:w="3090" w:type="dxa"/>
            <w:tcBorders>
              <w:top w:val="single" w:sz="4" w:space="0" w:color="auto"/>
              <w:left w:val="single" w:sz="4" w:space="0" w:color="auto"/>
              <w:bottom w:val="nil"/>
              <w:right w:val="single" w:sz="4" w:space="0" w:color="auto"/>
            </w:tcBorders>
            <w:shd w:val="clear" w:color="auto" w:fill="auto"/>
            <w:vAlign w:val="center"/>
            <w:hideMark/>
          </w:tcPr>
          <w:p w:rsidR="00CD1728" w:rsidRPr="00CD1728" w:rsidRDefault="00CD1728" w:rsidP="00CD1728">
            <w:pPr>
              <w:widowControl/>
              <w:autoSpaceDE/>
              <w:autoSpaceDN/>
              <w:adjustRightInd/>
              <w:rPr>
                <w:rFonts w:ascii="Arial" w:hAnsi="Arial" w:cs="Arial"/>
                <w:b/>
                <w:bCs/>
                <w:sz w:val="16"/>
                <w:szCs w:val="16"/>
              </w:rPr>
            </w:pPr>
            <w:r w:rsidRPr="00CD1728">
              <w:rPr>
                <w:rFonts w:ascii="Arial" w:hAnsi="Arial" w:cs="Arial"/>
                <w:b/>
                <w:bCs/>
                <w:sz w:val="16"/>
                <w:szCs w:val="16"/>
              </w:rPr>
              <w:t> </w:t>
            </w:r>
          </w:p>
        </w:tc>
        <w:tc>
          <w:tcPr>
            <w:tcW w:w="1533" w:type="dxa"/>
            <w:tcBorders>
              <w:top w:val="single" w:sz="4" w:space="0" w:color="auto"/>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b/>
                <w:bCs/>
                <w:sz w:val="16"/>
                <w:szCs w:val="16"/>
              </w:rPr>
            </w:pPr>
            <w:r w:rsidRPr="00CD1728">
              <w:rPr>
                <w:rFonts w:ascii="Arial" w:hAnsi="Arial" w:cs="Arial"/>
                <w:b/>
                <w:bCs/>
                <w:sz w:val="16"/>
                <w:szCs w:val="16"/>
              </w:rPr>
              <w:t>ICR Number</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b/>
                <w:bCs/>
                <w:sz w:val="16"/>
                <w:szCs w:val="16"/>
              </w:rPr>
            </w:pPr>
            <w:r w:rsidRPr="00CD1728">
              <w:rPr>
                <w:rFonts w:ascii="Arial" w:hAnsi="Arial" w:cs="Arial"/>
                <w:b/>
                <w:bCs/>
                <w:sz w:val="16"/>
                <w:szCs w:val="16"/>
              </w:rPr>
              <w:t>Hours/Year</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b/>
                <w:bCs/>
                <w:sz w:val="16"/>
                <w:szCs w:val="16"/>
              </w:rPr>
            </w:pPr>
            <w:r w:rsidRPr="00CD1728">
              <w:rPr>
                <w:rFonts w:ascii="Arial" w:hAnsi="Arial" w:cs="Arial"/>
                <w:b/>
                <w:bCs/>
                <w:sz w:val="16"/>
                <w:szCs w:val="16"/>
              </w:rPr>
              <w:t>Labor Cost/Year</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b/>
                <w:bCs/>
                <w:sz w:val="16"/>
                <w:szCs w:val="16"/>
              </w:rPr>
            </w:pPr>
            <w:r w:rsidRPr="00CD1728">
              <w:rPr>
                <w:rFonts w:ascii="Arial" w:hAnsi="Arial" w:cs="Arial"/>
                <w:b/>
                <w:bCs/>
                <w:sz w:val="16"/>
                <w:szCs w:val="16"/>
              </w:rPr>
              <w:t>Capital Cost/Year</w:t>
            </w:r>
          </w:p>
        </w:tc>
        <w:tc>
          <w:tcPr>
            <w:tcW w:w="976" w:type="dxa"/>
            <w:tcBorders>
              <w:top w:val="single" w:sz="4" w:space="0" w:color="auto"/>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b/>
                <w:bCs/>
                <w:sz w:val="16"/>
                <w:szCs w:val="16"/>
              </w:rPr>
            </w:pPr>
            <w:r w:rsidRPr="00CD1728">
              <w:rPr>
                <w:rFonts w:ascii="Arial" w:hAnsi="Arial" w:cs="Arial"/>
                <w:b/>
                <w:bCs/>
                <w:sz w:val="16"/>
                <w:szCs w:val="16"/>
              </w:rPr>
              <w:t>O&amp;M Cost/Year</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b/>
                <w:bCs/>
                <w:sz w:val="16"/>
                <w:szCs w:val="16"/>
              </w:rPr>
            </w:pPr>
            <w:r w:rsidRPr="00CD1728">
              <w:rPr>
                <w:rFonts w:ascii="Arial" w:hAnsi="Arial" w:cs="Arial"/>
                <w:b/>
                <w:bCs/>
                <w:sz w:val="16"/>
                <w:szCs w:val="16"/>
              </w:rPr>
              <w:t>Total Cost/Year</w:t>
            </w:r>
          </w:p>
        </w:tc>
      </w:tr>
      <w:tr w:rsidR="00CD1728" w:rsidRPr="00CD1728" w:rsidTr="00CD1728">
        <w:trPr>
          <w:trHeight w:val="255"/>
        </w:trPr>
        <w:tc>
          <w:tcPr>
            <w:tcW w:w="11331" w:type="dxa"/>
            <w:gridSpan w:val="7"/>
            <w:tcBorders>
              <w:top w:val="single" w:sz="4" w:space="0" w:color="auto"/>
              <w:left w:val="single" w:sz="4" w:space="0" w:color="auto"/>
              <w:bottom w:val="single" w:sz="4" w:space="0" w:color="auto"/>
              <w:right w:val="single" w:sz="4" w:space="0" w:color="000000"/>
            </w:tcBorders>
            <w:shd w:val="clear" w:color="000000" w:fill="C0C0C0"/>
            <w:vAlign w:val="center"/>
            <w:hideMark/>
          </w:tcPr>
          <w:p w:rsidR="00CD1728" w:rsidRPr="00CD1728" w:rsidRDefault="00CD1728" w:rsidP="00CD1728">
            <w:pPr>
              <w:widowControl/>
              <w:autoSpaceDE/>
              <w:autoSpaceDN/>
              <w:adjustRightInd/>
              <w:rPr>
                <w:rFonts w:ascii="Arial" w:hAnsi="Arial" w:cs="Arial"/>
                <w:b/>
                <w:bCs/>
                <w:sz w:val="16"/>
                <w:szCs w:val="16"/>
              </w:rPr>
            </w:pPr>
            <w:r w:rsidRPr="00CD1728">
              <w:rPr>
                <w:rFonts w:ascii="Arial" w:hAnsi="Arial" w:cs="Arial"/>
                <w:b/>
                <w:bCs/>
                <w:sz w:val="16"/>
                <w:szCs w:val="16"/>
              </w:rPr>
              <w:t>Paperwork Requirements</w:t>
            </w:r>
          </w:p>
        </w:tc>
      </w:tr>
      <w:tr w:rsidR="00CD1728" w:rsidRPr="00CD1728" w:rsidTr="00CD1728">
        <w:trPr>
          <w:trHeight w:val="255"/>
        </w:trPr>
        <w:tc>
          <w:tcPr>
            <w:tcW w:w="11331" w:type="dxa"/>
            <w:gridSpan w:val="7"/>
            <w:tcBorders>
              <w:top w:val="single" w:sz="4" w:space="0" w:color="auto"/>
              <w:left w:val="single" w:sz="4" w:space="0" w:color="auto"/>
              <w:bottom w:val="single" w:sz="4" w:space="0" w:color="auto"/>
              <w:right w:val="single" w:sz="4" w:space="0" w:color="000000"/>
            </w:tcBorders>
            <w:shd w:val="clear" w:color="000000" w:fill="C0C0C0"/>
            <w:vAlign w:val="center"/>
            <w:hideMark/>
          </w:tcPr>
          <w:p w:rsidR="00CD1728" w:rsidRPr="00CD1728" w:rsidRDefault="00CD1728" w:rsidP="00CD1728">
            <w:pPr>
              <w:widowControl/>
              <w:autoSpaceDE/>
              <w:autoSpaceDN/>
              <w:adjustRightInd/>
              <w:rPr>
                <w:rFonts w:ascii="Arial" w:hAnsi="Arial" w:cs="Arial"/>
                <w:b/>
                <w:bCs/>
                <w:sz w:val="16"/>
                <w:szCs w:val="16"/>
              </w:rPr>
            </w:pPr>
            <w:r w:rsidRPr="00CD1728">
              <w:rPr>
                <w:rFonts w:ascii="Arial" w:hAnsi="Arial" w:cs="Arial"/>
                <w:b/>
                <w:bCs/>
                <w:sz w:val="16"/>
                <w:szCs w:val="16"/>
              </w:rPr>
              <w:t>New Paperwork Requirements</w:t>
            </w:r>
          </w:p>
        </w:tc>
      </w:tr>
      <w:tr w:rsidR="00CD1728" w:rsidRPr="00CD1728" w:rsidTr="00CD1728">
        <w:trPr>
          <w:trHeight w:val="690"/>
        </w:trPr>
        <w:tc>
          <w:tcPr>
            <w:tcW w:w="3090" w:type="dxa"/>
            <w:tcBorders>
              <w:top w:val="nil"/>
              <w:left w:val="single" w:sz="4" w:space="0" w:color="auto"/>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rPr>
              <w:t>Generator Standards Applicable to Laboratories at Eligible Academic Entities</w:t>
            </w:r>
          </w:p>
        </w:tc>
        <w:tc>
          <w:tcPr>
            <w:tcW w:w="1533"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C07E9">
            <w:pPr>
              <w:widowControl/>
              <w:autoSpaceDE/>
              <w:autoSpaceDN/>
              <w:adjustRightInd/>
              <w:jc w:val="center"/>
              <w:rPr>
                <w:rFonts w:ascii="Arial" w:hAnsi="Arial" w:cs="Arial"/>
                <w:sz w:val="16"/>
                <w:szCs w:val="16"/>
              </w:rPr>
            </w:pPr>
            <w:r w:rsidRPr="00CD1728">
              <w:rPr>
                <w:rFonts w:ascii="Arial" w:hAnsi="Arial" w:cs="Arial"/>
                <w:sz w:val="16"/>
                <w:szCs w:val="16"/>
              </w:rPr>
              <w:t>2317</w:t>
            </w:r>
          </w:p>
        </w:tc>
        <w:tc>
          <w:tcPr>
            <w:tcW w:w="1492"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 xml:space="preserve">27,719 </w:t>
            </w:r>
          </w:p>
        </w:tc>
        <w:tc>
          <w:tcPr>
            <w:tcW w:w="1452"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 xml:space="preserve">$1,218,693 </w:t>
            </w:r>
          </w:p>
        </w:tc>
        <w:tc>
          <w:tcPr>
            <w:tcW w:w="1412"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 xml:space="preserve">$0 </w:t>
            </w:r>
          </w:p>
        </w:tc>
        <w:tc>
          <w:tcPr>
            <w:tcW w:w="976"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 xml:space="preserve">$103,720 </w:t>
            </w:r>
          </w:p>
        </w:tc>
        <w:tc>
          <w:tcPr>
            <w:tcW w:w="1376"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 xml:space="preserve">$1,322,414 </w:t>
            </w:r>
          </w:p>
        </w:tc>
      </w:tr>
      <w:tr w:rsidR="00CD1728" w:rsidRPr="00CD1728" w:rsidTr="00CD1728">
        <w:trPr>
          <w:trHeight w:val="255"/>
        </w:trPr>
        <w:tc>
          <w:tcPr>
            <w:tcW w:w="11331" w:type="dxa"/>
            <w:gridSpan w:val="7"/>
            <w:tcBorders>
              <w:top w:val="single" w:sz="4" w:space="0" w:color="auto"/>
              <w:left w:val="single" w:sz="4" w:space="0" w:color="auto"/>
              <w:bottom w:val="single" w:sz="4" w:space="0" w:color="auto"/>
              <w:right w:val="single" w:sz="4" w:space="0" w:color="000000"/>
            </w:tcBorders>
            <w:shd w:val="clear" w:color="000000" w:fill="C0C0C0"/>
            <w:vAlign w:val="center"/>
            <w:hideMark/>
          </w:tcPr>
          <w:p w:rsidR="00CD1728" w:rsidRPr="00CD1728" w:rsidRDefault="00CD1728" w:rsidP="00CD1728">
            <w:pPr>
              <w:widowControl/>
              <w:autoSpaceDE/>
              <w:autoSpaceDN/>
              <w:adjustRightInd/>
              <w:rPr>
                <w:rFonts w:ascii="Arial" w:hAnsi="Arial" w:cs="Arial"/>
                <w:b/>
                <w:bCs/>
                <w:sz w:val="16"/>
                <w:szCs w:val="16"/>
              </w:rPr>
            </w:pPr>
            <w:r w:rsidRPr="00CD1728">
              <w:rPr>
                <w:rFonts w:ascii="Arial" w:hAnsi="Arial" w:cs="Arial"/>
                <w:b/>
                <w:bCs/>
                <w:sz w:val="16"/>
                <w:szCs w:val="16"/>
              </w:rPr>
              <w:t>Existing Paperwork Requirements</w:t>
            </w:r>
          </w:p>
        </w:tc>
      </w:tr>
      <w:tr w:rsidR="00CD1728" w:rsidRPr="00CD1728" w:rsidTr="00CD1728">
        <w:trPr>
          <w:trHeight w:val="900"/>
        </w:trPr>
        <w:tc>
          <w:tcPr>
            <w:tcW w:w="3090" w:type="dxa"/>
            <w:tcBorders>
              <w:top w:val="nil"/>
              <w:left w:val="single" w:sz="4" w:space="0" w:color="auto"/>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rPr>
              <w:t>Requirements for Generators, Transporters, and Waste Management Facilities under the RCRA Hazardous Waste Manifest System</w:t>
            </w:r>
          </w:p>
        </w:tc>
        <w:tc>
          <w:tcPr>
            <w:tcW w:w="1533"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801</w:t>
            </w:r>
          </w:p>
        </w:tc>
        <w:tc>
          <w:tcPr>
            <w:tcW w:w="1492" w:type="dxa"/>
            <w:tcBorders>
              <w:top w:val="nil"/>
              <w:left w:val="nil"/>
              <w:bottom w:val="single" w:sz="4" w:space="0" w:color="auto"/>
              <w:right w:val="single" w:sz="4" w:space="0" w:color="auto"/>
            </w:tcBorders>
            <w:shd w:val="clear" w:color="auto" w:fill="auto"/>
            <w:noWrap/>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(1,612)</w:t>
            </w:r>
          </w:p>
        </w:tc>
        <w:tc>
          <w:tcPr>
            <w:tcW w:w="1452"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($81,667)</w:t>
            </w:r>
          </w:p>
        </w:tc>
        <w:tc>
          <w:tcPr>
            <w:tcW w:w="1412"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($244)</w:t>
            </w:r>
          </w:p>
        </w:tc>
        <w:tc>
          <w:tcPr>
            <w:tcW w:w="976"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($998)</w:t>
            </w:r>
          </w:p>
        </w:tc>
        <w:tc>
          <w:tcPr>
            <w:tcW w:w="1376"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($82,909)</w:t>
            </w:r>
          </w:p>
        </w:tc>
      </w:tr>
      <w:tr w:rsidR="00CD1728" w:rsidRPr="00CD1728" w:rsidTr="00CD1728">
        <w:trPr>
          <w:trHeight w:val="630"/>
        </w:trPr>
        <w:tc>
          <w:tcPr>
            <w:tcW w:w="3090" w:type="dxa"/>
            <w:tcBorders>
              <w:top w:val="nil"/>
              <w:left w:val="single" w:sz="4" w:space="0" w:color="auto"/>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rPr>
              <w:t>Hazardous Waste Generator Standards</w:t>
            </w:r>
          </w:p>
        </w:tc>
        <w:tc>
          <w:tcPr>
            <w:tcW w:w="1533"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820</w:t>
            </w:r>
          </w:p>
        </w:tc>
        <w:tc>
          <w:tcPr>
            <w:tcW w:w="1492" w:type="dxa"/>
            <w:tcBorders>
              <w:top w:val="nil"/>
              <w:left w:val="nil"/>
              <w:bottom w:val="single" w:sz="4" w:space="0" w:color="auto"/>
              <w:right w:val="single" w:sz="4" w:space="0" w:color="auto"/>
            </w:tcBorders>
            <w:shd w:val="clear" w:color="auto" w:fill="auto"/>
            <w:noWrap/>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(249)</w:t>
            </w:r>
          </w:p>
        </w:tc>
        <w:tc>
          <w:tcPr>
            <w:tcW w:w="1452"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($15,845)</w:t>
            </w:r>
          </w:p>
        </w:tc>
        <w:tc>
          <w:tcPr>
            <w:tcW w:w="1412"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 xml:space="preserve">$0 </w:t>
            </w:r>
          </w:p>
        </w:tc>
        <w:tc>
          <w:tcPr>
            <w:tcW w:w="976"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($19)</w:t>
            </w:r>
          </w:p>
        </w:tc>
        <w:tc>
          <w:tcPr>
            <w:tcW w:w="1376"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($15,864)</w:t>
            </w:r>
          </w:p>
        </w:tc>
      </w:tr>
      <w:tr w:rsidR="00CD1728" w:rsidRPr="00CD1728" w:rsidTr="00CD1728">
        <w:trPr>
          <w:trHeight w:val="585"/>
        </w:trPr>
        <w:tc>
          <w:tcPr>
            <w:tcW w:w="3090" w:type="dxa"/>
            <w:tcBorders>
              <w:top w:val="nil"/>
              <w:left w:val="single" w:sz="4" w:space="0" w:color="auto"/>
              <w:bottom w:val="single" w:sz="4" w:space="0" w:color="auto"/>
              <w:right w:val="single" w:sz="4" w:space="0" w:color="auto"/>
            </w:tcBorders>
            <w:shd w:val="clear" w:color="auto" w:fill="auto"/>
            <w:vAlign w:val="center"/>
            <w:hideMark/>
          </w:tcPr>
          <w:p w:rsidR="00CD1728" w:rsidRPr="00CD1728" w:rsidRDefault="00CD1728" w:rsidP="00CC07E9">
            <w:pPr>
              <w:widowControl/>
              <w:autoSpaceDE/>
              <w:autoSpaceDN/>
              <w:adjustRightInd/>
              <w:rPr>
                <w:rFonts w:ascii="Arial" w:hAnsi="Arial" w:cs="Arial"/>
                <w:sz w:val="16"/>
                <w:szCs w:val="16"/>
              </w:rPr>
            </w:pPr>
            <w:r w:rsidRPr="00CD1728">
              <w:rPr>
                <w:rFonts w:ascii="Arial" w:hAnsi="Arial" w:cs="Arial"/>
                <w:sz w:val="16"/>
                <w:szCs w:val="16"/>
              </w:rPr>
              <w:t>The Hazardous Waste Report</w:t>
            </w:r>
          </w:p>
        </w:tc>
        <w:tc>
          <w:tcPr>
            <w:tcW w:w="1533"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976</w:t>
            </w:r>
          </w:p>
        </w:tc>
        <w:tc>
          <w:tcPr>
            <w:tcW w:w="1492"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(41)</w:t>
            </w:r>
          </w:p>
        </w:tc>
        <w:tc>
          <w:tcPr>
            <w:tcW w:w="1452" w:type="dxa"/>
            <w:tcBorders>
              <w:top w:val="nil"/>
              <w:left w:val="nil"/>
              <w:bottom w:val="single" w:sz="4" w:space="0" w:color="auto"/>
              <w:right w:val="single" w:sz="4" w:space="0" w:color="auto"/>
            </w:tcBorders>
            <w:shd w:val="clear" w:color="auto" w:fill="auto"/>
            <w:noWrap/>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($1,660)</w:t>
            </w:r>
          </w:p>
        </w:tc>
        <w:tc>
          <w:tcPr>
            <w:tcW w:w="1412"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 xml:space="preserve">$0 </w:t>
            </w:r>
          </w:p>
        </w:tc>
        <w:tc>
          <w:tcPr>
            <w:tcW w:w="976"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($14)</w:t>
            </w:r>
          </w:p>
        </w:tc>
        <w:tc>
          <w:tcPr>
            <w:tcW w:w="1376" w:type="dxa"/>
            <w:tcBorders>
              <w:top w:val="nil"/>
              <w:left w:val="nil"/>
              <w:bottom w:val="single" w:sz="4" w:space="0" w:color="auto"/>
              <w:right w:val="single" w:sz="4" w:space="0" w:color="auto"/>
            </w:tcBorders>
            <w:shd w:val="clear" w:color="auto" w:fill="auto"/>
            <w:noWrap/>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($1,674)</w:t>
            </w:r>
          </w:p>
        </w:tc>
      </w:tr>
      <w:tr w:rsidR="00CD1728" w:rsidRPr="00CD1728" w:rsidTr="00CD1728">
        <w:trPr>
          <w:trHeight w:val="255"/>
        </w:trPr>
        <w:tc>
          <w:tcPr>
            <w:tcW w:w="462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rPr>
              <w:t>Subtotal: Existing Paperwork Requirements</w:t>
            </w:r>
          </w:p>
        </w:tc>
        <w:tc>
          <w:tcPr>
            <w:tcW w:w="1492"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(1,902)</w:t>
            </w:r>
          </w:p>
        </w:tc>
        <w:tc>
          <w:tcPr>
            <w:tcW w:w="1452"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($99,172)</w:t>
            </w:r>
          </w:p>
        </w:tc>
        <w:tc>
          <w:tcPr>
            <w:tcW w:w="1412"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($244)</w:t>
            </w:r>
          </w:p>
        </w:tc>
        <w:tc>
          <w:tcPr>
            <w:tcW w:w="976"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($1,031)</w:t>
            </w:r>
          </w:p>
        </w:tc>
        <w:tc>
          <w:tcPr>
            <w:tcW w:w="1376"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($100,447)</w:t>
            </w:r>
          </w:p>
        </w:tc>
      </w:tr>
      <w:tr w:rsidR="00CD1728" w:rsidRPr="00CD1728" w:rsidTr="00CD1728">
        <w:trPr>
          <w:trHeight w:val="255"/>
        </w:trPr>
        <w:tc>
          <w:tcPr>
            <w:tcW w:w="462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rPr>
              <w:t>Total under the Final Rule: New and Existing Paperwork</w:t>
            </w:r>
          </w:p>
        </w:tc>
        <w:tc>
          <w:tcPr>
            <w:tcW w:w="1492"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 xml:space="preserve">25,817 </w:t>
            </w:r>
          </w:p>
        </w:tc>
        <w:tc>
          <w:tcPr>
            <w:tcW w:w="1452"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 xml:space="preserve">$1,119,521 </w:t>
            </w:r>
          </w:p>
        </w:tc>
        <w:tc>
          <w:tcPr>
            <w:tcW w:w="1412"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($244)</w:t>
            </w:r>
          </w:p>
        </w:tc>
        <w:tc>
          <w:tcPr>
            <w:tcW w:w="976"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 xml:space="preserve">$102,689 </w:t>
            </w:r>
          </w:p>
        </w:tc>
        <w:tc>
          <w:tcPr>
            <w:tcW w:w="1376" w:type="dxa"/>
            <w:tcBorders>
              <w:top w:val="nil"/>
              <w:left w:val="nil"/>
              <w:bottom w:val="single" w:sz="4" w:space="0" w:color="auto"/>
              <w:right w:val="single" w:sz="4" w:space="0" w:color="auto"/>
            </w:tcBorders>
            <w:shd w:val="clear" w:color="auto" w:fill="auto"/>
            <w:vAlign w:val="center"/>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 xml:space="preserve">$1,221,967 </w:t>
            </w:r>
          </w:p>
        </w:tc>
      </w:tr>
      <w:tr w:rsidR="00CD1728" w:rsidRPr="00CD1728" w:rsidTr="00CD1728">
        <w:trPr>
          <w:trHeight w:val="255"/>
        </w:trPr>
        <w:tc>
          <w:tcPr>
            <w:tcW w:w="6115" w:type="dxa"/>
            <w:gridSpan w:val="3"/>
            <w:tcBorders>
              <w:top w:val="nil"/>
              <w:left w:val="nil"/>
              <w:bottom w:val="nil"/>
              <w:right w:val="nil"/>
            </w:tcBorders>
            <w:shd w:val="clear" w:color="auto" w:fill="auto"/>
            <w:noWrap/>
            <w:vAlign w:val="center"/>
            <w:hideMark/>
          </w:tcPr>
          <w:p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vertAlign w:val="superscript"/>
              </w:rPr>
              <w:t>a</w:t>
            </w:r>
            <w:r w:rsidRPr="00CD1728">
              <w:rPr>
                <w:rFonts w:ascii="Arial" w:hAnsi="Arial" w:cs="Arial"/>
                <w:sz w:val="16"/>
                <w:szCs w:val="16"/>
              </w:rPr>
              <w:t xml:space="preserve"> Table includes rounding error.  Savings shown in parentheses.</w:t>
            </w:r>
          </w:p>
        </w:tc>
        <w:tc>
          <w:tcPr>
            <w:tcW w:w="1452" w:type="dxa"/>
            <w:tcBorders>
              <w:top w:val="nil"/>
              <w:left w:val="nil"/>
              <w:bottom w:val="nil"/>
              <w:right w:val="nil"/>
            </w:tcBorders>
            <w:shd w:val="clear" w:color="auto" w:fill="auto"/>
            <w:noWrap/>
            <w:vAlign w:val="center"/>
            <w:hideMark/>
          </w:tcPr>
          <w:p w:rsidR="00CD1728" w:rsidRPr="00CD1728" w:rsidRDefault="00CD1728" w:rsidP="00CD1728">
            <w:pPr>
              <w:widowControl/>
              <w:autoSpaceDE/>
              <w:autoSpaceDN/>
              <w:adjustRightInd/>
              <w:rPr>
                <w:rFonts w:ascii="Arial" w:hAnsi="Arial" w:cs="Arial"/>
                <w:sz w:val="16"/>
                <w:szCs w:val="16"/>
              </w:rPr>
            </w:pPr>
          </w:p>
        </w:tc>
        <w:tc>
          <w:tcPr>
            <w:tcW w:w="1412" w:type="dxa"/>
            <w:tcBorders>
              <w:top w:val="nil"/>
              <w:left w:val="nil"/>
              <w:bottom w:val="nil"/>
              <w:right w:val="nil"/>
            </w:tcBorders>
            <w:shd w:val="clear" w:color="auto" w:fill="auto"/>
            <w:noWrap/>
            <w:vAlign w:val="center"/>
            <w:hideMark/>
          </w:tcPr>
          <w:p w:rsidR="00CD1728" w:rsidRPr="00CD1728" w:rsidRDefault="00CD1728" w:rsidP="00CD1728">
            <w:pPr>
              <w:widowControl/>
              <w:autoSpaceDE/>
              <w:autoSpaceDN/>
              <w:adjustRightInd/>
              <w:rPr>
                <w:rFonts w:ascii="Arial" w:hAnsi="Arial" w:cs="Arial"/>
                <w:sz w:val="16"/>
                <w:szCs w:val="16"/>
              </w:rPr>
            </w:pPr>
          </w:p>
        </w:tc>
        <w:tc>
          <w:tcPr>
            <w:tcW w:w="976" w:type="dxa"/>
            <w:tcBorders>
              <w:top w:val="nil"/>
              <w:left w:val="nil"/>
              <w:bottom w:val="nil"/>
              <w:right w:val="nil"/>
            </w:tcBorders>
            <w:shd w:val="clear" w:color="auto" w:fill="auto"/>
            <w:noWrap/>
            <w:vAlign w:val="center"/>
            <w:hideMark/>
          </w:tcPr>
          <w:p w:rsidR="00CD1728" w:rsidRPr="00CD1728" w:rsidRDefault="00CD1728" w:rsidP="00CD1728">
            <w:pPr>
              <w:widowControl/>
              <w:autoSpaceDE/>
              <w:autoSpaceDN/>
              <w:adjustRightInd/>
              <w:rPr>
                <w:rFonts w:ascii="Arial" w:hAnsi="Arial" w:cs="Arial"/>
                <w:sz w:val="16"/>
                <w:szCs w:val="16"/>
              </w:rPr>
            </w:pPr>
          </w:p>
        </w:tc>
        <w:tc>
          <w:tcPr>
            <w:tcW w:w="1376" w:type="dxa"/>
            <w:tcBorders>
              <w:top w:val="nil"/>
              <w:left w:val="nil"/>
              <w:bottom w:val="nil"/>
              <w:right w:val="nil"/>
            </w:tcBorders>
            <w:shd w:val="clear" w:color="auto" w:fill="auto"/>
            <w:noWrap/>
            <w:vAlign w:val="center"/>
            <w:hideMark/>
          </w:tcPr>
          <w:p w:rsidR="00CD1728" w:rsidRPr="00CD1728" w:rsidRDefault="00CD1728" w:rsidP="00CD1728">
            <w:pPr>
              <w:widowControl/>
              <w:autoSpaceDE/>
              <w:autoSpaceDN/>
              <w:adjustRightInd/>
              <w:rPr>
                <w:rFonts w:ascii="Arial" w:hAnsi="Arial" w:cs="Arial"/>
                <w:sz w:val="16"/>
                <w:szCs w:val="16"/>
              </w:rPr>
            </w:pPr>
          </w:p>
        </w:tc>
      </w:tr>
    </w:tbl>
    <w:p w:rsidR="00756A43" w:rsidRDefault="00146A6C">
      <w:pPr>
        <w:widowControl/>
        <w:ind w:firstLine="720"/>
        <w:rPr>
          <w:sz w:val="24"/>
        </w:rPr>
      </w:pPr>
      <w:r>
        <w:rPr>
          <w:sz w:val="24"/>
        </w:rPr>
        <w:br w:type="page"/>
      </w:r>
    </w:p>
    <w:tbl>
      <w:tblPr>
        <w:tblW w:w="13600" w:type="dxa"/>
        <w:tblInd w:w="108" w:type="dxa"/>
        <w:tblLook w:val="04A0"/>
      </w:tblPr>
      <w:tblGrid>
        <w:gridCol w:w="3023"/>
        <w:gridCol w:w="919"/>
        <w:gridCol w:w="919"/>
        <w:gridCol w:w="919"/>
        <w:gridCol w:w="1000"/>
        <w:gridCol w:w="940"/>
        <w:gridCol w:w="1020"/>
        <w:gridCol w:w="840"/>
        <w:gridCol w:w="940"/>
        <w:gridCol w:w="1100"/>
        <w:gridCol w:w="920"/>
        <w:gridCol w:w="1060"/>
      </w:tblGrid>
      <w:tr w:rsidR="00CD1728" w:rsidRPr="00CD1728" w:rsidTr="00CD1728">
        <w:trPr>
          <w:trHeight w:val="225"/>
        </w:trPr>
        <w:tc>
          <w:tcPr>
            <w:tcW w:w="3080" w:type="dxa"/>
            <w:tcBorders>
              <w:top w:val="nil"/>
              <w:left w:val="nil"/>
              <w:bottom w:val="nil"/>
              <w:right w:val="nil"/>
            </w:tcBorders>
            <w:shd w:val="clear" w:color="auto" w:fill="auto"/>
            <w:vAlign w:val="bottom"/>
            <w:hideMark/>
          </w:tcPr>
          <w:p w:rsidR="00CD1728" w:rsidRPr="00CD1728" w:rsidRDefault="00CD1728" w:rsidP="00CD1728">
            <w:pPr>
              <w:widowControl/>
              <w:autoSpaceDE/>
              <w:autoSpaceDN/>
              <w:adjustRightInd/>
              <w:rPr>
                <w:rFonts w:ascii="Arial" w:hAnsi="Arial" w:cs="Arial"/>
                <w:sz w:val="16"/>
                <w:szCs w:val="16"/>
              </w:rPr>
            </w:pPr>
          </w:p>
        </w:tc>
        <w:tc>
          <w:tcPr>
            <w:tcW w:w="900" w:type="dxa"/>
            <w:tcBorders>
              <w:top w:val="nil"/>
              <w:left w:val="nil"/>
              <w:bottom w:val="nil"/>
              <w:right w:val="nil"/>
            </w:tcBorders>
            <w:shd w:val="clear" w:color="auto" w:fill="auto"/>
            <w:vAlign w:val="bottom"/>
            <w:hideMark/>
          </w:tcPr>
          <w:p w:rsidR="00CD1728" w:rsidRPr="00CD1728" w:rsidRDefault="00CD1728" w:rsidP="00CD1728">
            <w:pPr>
              <w:widowControl/>
              <w:autoSpaceDE/>
              <w:autoSpaceDN/>
              <w:adjustRightInd/>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100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94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102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94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110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right"/>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right"/>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right"/>
              <w:rPr>
                <w:rFonts w:ascii="Arial" w:hAnsi="Arial" w:cs="Arial"/>
                <w:sz w:val="16"/>
                <w:szCs w:val="16"/>
              </w:rPr>
            </w:pPr>
          </w:p>
        </w:tc>
      </w:tr>
      <w:tr w:rsidR="00CD1728" w:rsidRPr="00CD1728" w:rsidTr="00CD1728">
        <w:trPr>
          <w:trHeight w:val="225"/>
        </w:trPr>
        <w:tc>
          <w:tcPr>
            <w:tcW w:w="3080" w:type="dxa"/>
            <w:tcBorders>
              <w:top w:val="nil"/>
              <w:left w:val="nil"/>
              <w:bottom w:val="nil"/>
              <w:right w:val="nil"/>
            </w:tcBorders>
            <w:shd w:val="clear" w:color="000000" w:fill="FFFFFF"/>
            <w:vAlign w:val="bottom"/>
            <w:hideMark/>
          </w:tcPr>
          <w:p w:rsidR="00CD1728" w:rsidRPr="00CD1728" w:rsidRDefault="00CD1728" w:rsidP="00CD1728">
            <w:pPr>
              <w:widowControl/>
              <w:autoSpaceDE/>
              <w:autoSpaceDN/>
              <w:adjustRightInd/>
              <w:rPr>
                <w:rFonts w:ascii="Arial" w:hAnsi="Arial" w:cs="Arial"/>
                <w:sz w:val="16"/>
                <w:szCs w:val="16"/>
              </w:rPr>
            </w:pPr>
            <w:bookmarkStart w:id="472" w:name="RANGE!A2:L17"/>
            <w:r w:rsidRPr="00CD1728">
              <w:rPr>
                <w:rFonts w:ascii="Arial" w:hAnsi="Arial" w:cs="Arial"/>
                <w:sz w:val="16"/>
                <w:szCs w:val="16"/>
              </w:rPr>
              <w:t>EXHIBIT 3</w:t>
            </w:r>
            <w:bookmarkEnd w:id="472"/>
          </w:p>
        </w:tc>
        <w:tc>
          <w:tcPr>
            <w:tcW w:w="900" w:type="dxa"/>
            <w:tcBorders>
              <w:top w:val="nil"/>
              <w:left w:val="nil"/>
              <w:bottom w:val="nil"/>
              <w:right w:val="nil"/>
            </w:tcBorders>
            <w:shd w:val="clear" w:color="000000" w:fill="FFFFFF"/>
            <w:vAlign w:val="bottom"/>
            <w:hideMark/>
          </w:tcPr>
          <w:p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rPr>
              <w:t> </w:t>
            </w:r>
          </w:p>
        </w:tc>
        <w:tc>
          <w:tcPr>
            <w:tcW w:w="90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100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94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102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94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110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right"/>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right"/>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right"/>
              <w:rPr>
                <w:rFonts w:ascii="Arial" w:hAnsi="Arial" w:cs="Arial"/>
                <w:sz w:val="16"/>
                <w:szCs w:val="16"/>
              </w:rPr>
            </w:pPr>
          </w:p>
        </w:tc>
      </w:tr>
      <w:tr w:rsidR="00CD1728" w:rsidRPr="00CD1728" w:rsidTr="00CD1728">
        <w:trPr>
          <w:trHeight w:val="225"/>
        </w:trPr>
        <w:tc>
          <w:tcPr>
            <w:tcW w:w="12540" w:type="dxa"/>
            <w:gridSpan w:val="11"/>
            <w:tcBorders>
              <w:top w:val="nil"/>
              <w:left w:val="nil"/>
              <w:bottom w:val="nil"/>
              <w:right w:val="nil"/>
            </w:tcBorders>
            <w:shd w:val="clear" w:color="000000" w:fill="FFFFFF"/>
            <w:vAlign w:val="bottom"/>
            <w:hideMark/>
          </w:tcPr>
          <w:p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rPr>
              <w:t xml:space="preserve">GENERATOR STANDARDS APPLICABLE TO LABORATORIES OWNED BY ELIGIBLE ACADEMIC ENTITIES </w:t>
            </w:r>
            <w:r w:rsidRPr="00CD1728">
              <w:rPr>
                <w:rFonts w:ascii="Arial" w:hAnsi="Arial" w:cs="Arial"/>
                <w:sz w:val="16"/>
                <w:szCs w:val="16"/>
                <w:vertAlign w:val="superscript"/>
              </w:rPr>
              <w:t>a</w:t>
            </w:r>
            <w:r w:rsidRPr="00CD1728">
              <w:rPr>
                <w:rFonts w:ascii="Arial" w:hAnsi="Arial" w:cs="Arial"/>
                <w:sz w:val="16"/>
                <w:szCs w:val="16"/>
              </w:rPr>
              <w:t xml:space="preserve"> </w:t>
            </w:r>
          </w:p>
        </w:tc>
        <w:tc>
          <w:tcPr>
            <w:tcW w:w="106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right"/>
              <w:rPr>
                <w:rFonts w:ascii="Arial" w:hAnsi="Arial" w:cs="Arial"/>
                <w:sz w:val="16"/>
                <w:szCs w:val="16"/>
              </w:rPr>
            </w:pPr>
          </w:p>
        </w:tc>
      </w:tr>
      <w:tr w:rsidR="00CD1728" w:rsidRPr="00CD1728" w:rsidTr="00CD1728">
        <w:trPr>
          <w:trHeight w:val="225"/>
        </w:trPr>
        <w:tc>
          <w:tcPr>
            <w:tcW w:w="8740" w:type="dxa"/>
            <w:gridSpan w:val="7"/>
            <w:tcBorders>
              <w:top w:val="nil"/>
              <w:left w:val="nil"/>
              <w:bottom w:val="nil"/>
              <w:right w:val="nil"/>
            </w:tcBorders>
            <w:shd w:val="clear" w:color="000000" w:fill="FFFFFF"/>
            <w:vAlign w:val="bottom"/>
            <w:hideMark/>
          </w:tcPr>
          <w:p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rPr>
              <w:t>ESTIMATED ANNUAL AGENCY HOUR AND COST BURDEN</w:t>
            </w:r>
          </w:p>
        </w:tc>
        <w:tc>
          <w:tcPr>
            <w:tcW w:w="84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94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110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right"/>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right"/>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right"/>
              <w:rPr>
                <w:rFonts w:ascii="Arial" w:hAnsi="Arial" w:cs="Arial"/>
                <w:sz w:val="16"/>
                <w:szCs w:val="16"/>
              </w:rPr>
            </w:pPr>
          </w:p>
        </w:tc>
      </w:tr>
      <w:tr w:rsidR="00CD1728" w:rsidRPr="00CD1728" w:rsidTr="00CD1728">
        <w:trPr>
          <w:trHeight w:val="225"/>
        </w:trPr>
        <w:tc>
          <w:tcPr>
            <w:tcW w:w="3080" w:type="dxa"/>
            <w:tcBorders>
              <w:top w:val="nil"/>
              <w:left w:val="nil"/>
              <w:bottom w:val="nil"/>
              <w:right w:val="nil"/>
            </w:tcBorders>
            <w:shd w:val="clear" w:color="auto" w:fill="auto"/>
            <w:vAlign w:val="bottom"/>
            <w:hideMark/>
          </w:tcPr>
          <w:p w:rsidR="00CD1728" w:rsidRPr="00CD1728" w:rsidRDefault="00CD1728" w:rsidP="00CD1728">
            <w:pPr>
              <w:widowControl/>
              <w:autoSpaceDE/>
              <w:autoSpaceDN/>
              <w:adjustRightInd/>
              <w:rPr>
                <w:rFonts w:ascii="Arial" w:hAnsi="Arial" w:cs="Arial"/>
                <w:sz w:val="16"/>
                <w:szCs w:val="16"/>
              </w:rPr>
            </w:pPr>
          </w:p>
        </w:tc>
        <w:tc>
          <w:tcPr>
            <w:tcW w:w="900" w:type="dxa"/>
            <w:tcBorders>
              <w:top w:val="nil"/>
              <w:left w:val="nil"/>
              <w:bottom w:val="nil"/>
              <w:right w:val="nil"/>
            </w:tcBorders>
            <w:shd w:val="clear" w:color="000000" w:fill="FFFFFF"/>
            <w:vAlign w:val="bottom"/>
            <w:hideMark/>
          </w:tcPr>
          <w:p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rPr>
              <w:t> </w:t>
            </w:r>
          </w:p>
        </w:tc>
        <w:tc>
          <w:tcPr>
            <w:tcW w:w="90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100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94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102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94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110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right"/>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right"/>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right"/>
              <w:rPr>
                <w:rFonts w:ascii="Arial" w:hAnsi="Arial" w:cs="Arial"/>
                <w:sz w:val="16"/>
                <w:szCs w:val="16"/>
              </w:rPr>
            </w:pPr>
          </w:p>
        </w:tc>
      </w:tr>
      <w:tr w:rsidR="00CD1728" w:rsidRPr="00CD1728" w:rsidTr="00CD1728">
        <w:trPr>
          <w:trHeight w:val="225"/>
        </w:trPr>
        <w:tc>
          <w:tcPr>
            <w:tcW w:w="3080" w:type="dxa"/>
            <w:tcBorders>
              <w:top w:val="nil"/>
              <w:left w:val="nil"/>
              <w:bottom w:val="nil"/>
              <w:right w:val="nil"/>
            </w:tcBorders>
            <w:shd w:val="clear" w:color="000000" w:fill="FFFFFF"/>
            <w:vAlign w:val="bottom"/>
            <w:hideMark/>
          </w:tcPr>
          <w:p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rPr>
              <w:t> </w:t>
            </w:r>
          </w:p>
        </w:tc>
        <w:tc>
          <w:tcPr>
            <w:tcW w:w="900" w:type="dxa"/>
            <w:tcBorders>
              <w:top w:val="nil"/>
              <w:left w:val="nil"/>
              <w:bottom w:val="nil"/>
              <w:right w:val="nil"/>
            </w:tcBorders>
            <w:shd w:val="clear" w:color="000000" w:fill="FFFFFF"/>
            <w:vAlign w:val="bottom"/>
            <w:hideMark/>
          </w:tcPr>
          <w:p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rPr>
              <w:t> </w:t>
            </w:r>
          </w:p>
        </w:tc>
        <w:tc>
          <w:tcPr>
            <w:tcW w:w="90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100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94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102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94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110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right"/>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right"/>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right"/>
              <w:rPr>
                <w:rFonts w:ascii="Arial" w:hAnsi="Arial" w:cs="Arial"/>
                <w:sz w:val="16"/>
                <w:szCs w:val="16"/>
              </w:rPr>
            </w:pPr>
          </w:p>
        </w:tc>
      </w:tr>
      <w:tr w:rsidR="00CD1728" w:rsidRPr="00CD1728" w:rsidTr="00CD1728">
        <w:trPr>
          <w:trHeight w:val="240"/>
        </w:trPr>
        <w:tc>
          <w:tcPr>
            <w:tcW w:w="3080" w:type="dxa"/>
            <w:tcBorders>
              <w:top w:val="nil"/>
              <w:left w:val="nil"/>
              <w:bottom w:val="nil"/>
              <w:right w:val="nil"/>
            </w:tcBorders>
            <w:shd w:val="clear" w:color="auto" w:fill="auto"/>
            <w:vAlign w:val="bottom"/>
            <w:hideMark/>
          </w:tcPr>
          <w:p w:rsidR="00CD1728" w:rsidRPr="00CD1728" w:rsidRDefault="00CD1728" w:rsidP="00CD1728">
            <w:pPr>
              <w:widowControl/>
              <w:autoSpaceDE/>
              <w:autoSpaceDN/>
              <w:adjustRightInd/>
              <w:rPr>
                <w:rFonts w:ascii="Arial" w:hAnsi="Arial" w:cs="Arial"/>
                <w:sz w:val="16"/>
                <w:szCs w:val="16"/>
              </w:rPr>
            </w:pPr>
          </w:p>
        </w:tc>
        <w:tc>
          <w:tcPr>
            <w:tcW w:w="900" w:type="dxa"/>
            <w:tcBorders>
              <w:top w:val="nil"/>
              <w:left w:val="nil"/>
              <w:bottom w:val="single" w:sz="8" w:space="0" w:color="auto"/>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rPr>
              <w:t> </w:t>
            </w:r>
          </w:p>
        </w:tc>
        <w:tc>
          <w:tcPr>
            <w:tcW w:w="6540" w:type="dxa"/>
            <w:gridSpan w:val="7"/>
            <w:tcBorders>
              <w:top w:val="nil"/>
              <w:left w:val="nil"/>
              <w:bottom w:val="single" w:sz="8" w:space="0" w:color="auto"/>
              <w:right w:val="nil"/>
            </w:tcBorders>
            <w:shd w:val="clear" w:color="auto" w:fill="auto"/>
            <w:noWrap/>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Hours and Costs per Respondent</w:t>
            </w:r>
          </w:p>
        </w:tc>
        <w:tc>
          <w:tcPr>
            <w:tcW w:w="3080" w:type="dxa"/>
            <w:gridSpan w:val="3"/>
            <w:tcBorders>
              <w:top w:val="nil"/>
              <w:left w:val="nil"/>
              <w:bottom w:val="single" w:sz="8" w:space="0" w:color="auto"/>
              <w:right w:val="nil"/>
            </w:tcBorders>
            <w:shd w:val="clear" w:color="auto" w:fill="auto"/>
            <w:noWrap/>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Total Hours and Costs</w:t>
            </w:r>
          </w:p>
        </w:tc>
      </w:tr>
      <w:tr w:rsidR="00CD1728" w:rsidRPr="00CD1728" w:rsidTr="00CD1728">
        <w:trPr>
          <w:trHeight w:val="690"/>
        </w:trPr>
        <w:tc>
          <w:tcPr>
            <w:tcW w:w="3080" w:type="dxa"/>
            <w:tcBorders>
              <w:top w:val="nil"/>
              <w:left w:val="nil"/>
              <w:bottom w:val="nil"/>
              <w:right w:val="nil"/>
            </w:tcBorders>
            <w:shd w:val="clear" w:color="auto" w:fill="auto"/>
            <w:vAlign w:val="bottom"/>
            <w:hideMark/>
          </w:tcPr>
          <w:p w:rsidR="00CD1728" w:rsidRPr="00CD1728" w:rsidRDefault="00CD1728" w:rsidP="00CD1728">
            <w:pPr>
              <w:widowControl/>
              <w:autoSpaceDE/>
              <w:autoSpaceDN/>
              <w:adjustRightInd/>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Legal</w:t>
            </w:r>
          </w:p>
        </w:tc>
        <w:tc>
          <w:tcPr>
            <w:tcW w:w="900" w:type="dxa"/>
            <w:tcBorders>
              <w:top w:val="nil"/>
              <w:left w:val="nil"/>
              <w:bottom w:val="nil"/>
              <w:right w:val="nil"/>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Manager</w:t>
            </w:r>
          </w:p>
        </w:tc>
        <w:tc>
          <w:tcPr>
            <w:tcW w:w="900" w:type="dxa"/>
            <w:tcBorders>
              <w:top w:val="nil"/>
              <w:left w:val="nil"/>
              <w:bottom w:val="nil"/>
              <w:right w:val="nil"/>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Technical</w:t>
            </w:r>
          </w:p>
        </w:tc>
        <w:tc>
          <w:tcPr>
            <w:tcW w:w="100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Clerical</w:t>
            </w:r>
          </w:p>
        </w:tc>
        <w:tc>
          <w:tcPr>
            <w:tcW w:w="940" w:type="dxa"/>
            <w:vMerge w:val="restart"/>
            <w:tcBorders>
              <w:top w:val="nil"/>
              <w:left w:val="nil"/>
              <w:bottom w:val="nil"/>
              <w:right w:val="nil"/>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Agency</w:t>
            </w:r>
            <w:r w:rsidRPr="00CD1728">
              <w:rPr>
                <w:rFonts w:ascii="Arial" w:hAnsi="Arial" w:cs="Arial"/>
                <w:sz w:val="16"/>
                <w:szCs w:val="16"/>
              </w:rPr>
              <w:br/>
              <w:t>Hours/ Activity</w:t>
            </w:r>
          </w:p>
        </w:tc>
        <w:tc>
          <w:tcPr>
            <w:tcW w:w="1020" w:type="dxa"/>
            <w:vMerge w:val="restart"/>
            <w:tcBorders>
              <w:top w:val="nil"/>
              <w:left w:val="nil"/>
              <w:bottom w:val="nil"/>
              <w:right w:val="nil"/>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Labor</w:t>
            </w:r>
            <w:r w:rsidRPr="00CD1728">
              <w:rPr>
                <w:rFonts w:ascii="Arial" w:hAnsi="Arial" w:cs="Arial"/>
                <w:sz w:val="16"/>
                <w:szCs w:val="16"/>
              </w:rPr>
              <w:br/>
              <w:t>Cost/</w:t>
            </w:r>
            <w:r w:rsidRPr="00CD1728">
              <w:rPr>
                <w:rFonts w:ascii="Arial" w:hAnsi="Arial" w:cs="Arial"/>
                <w:sz w:val="16"/>
                <w:szCs w:val="16"/>
              </w:rPr>
              <w:br/>
              <w:t>Activity</w:t>
            </w:r>
          </w:p>
        </w:tc>
        <w:tc>
          <w:tcPr>
            <w:tcW w:w="840" w:type="dxa"/>
            <w:vMerge w:val="restart"/>
            <w:tcBorders>
              <w:top w:val="nil"/>
              <w:left w:val="nil"/>
              <w:bottom w:val="nil"/>
              <w:right w:val="nil"/>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Capital/</w:t>
            </w:r>
            <w:r w:rsidRPr="00CD1728">
              <w:rPr>
                <w:rFonts w:ascii="Arial" w:hAnsi="Arial" w:cs="Arial"/>
                <w:sz w:val="16"/>
                <w:szCs w:val="16"/>
              </w:rPr>
              <w:br/>
              <w:t>Startup</w:t>
            </w:r>
            <w:r w:rsidRPr="00CD1728">
              <w:rPr>
                <w:rFonts w:ascii="Arial" w:hAnsi="Arial" w:cs="Arial"/>
                <w:sz w:val="16"/>
                <w:szCs w:val="16"/>
              </w:rPr>
              <w:br/>
              <w:t>Cost</w:t>
            </w:r>
          </w:p>
        </w:tc>
        <w:tc>
          <w:tcPr>
            <w:tcW w:w="940" w:type="dxa"/>
            <w:vMerge w:val="restart"/>
            <w:tcBorders>
              <w:top w:val="nil"/>
              <w:left w:val="nil"/>
              <w:bottom w:val="nil"/>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O&amp;M</w:t>
            </w:r>
            <w:r w:rsidRPr="00CD1728">
              <w:rPr>
                <w:rFonts w:ascii="Arial" w:hAnsi="Arial" w:cs="Arial"/>
                <w:sz w:val="16"/>
                <w:szCs w:val="16"/>
              </w:rPr>
              <w:br/>
              <w:t>Cost/ Activity</w:t>
            </w:r>
          </w:p>
        </w:tc>
        <w:tc>
          <w:tcPr>
            <w:tcW w:w="1100" w:type="dxa"/>
            <w:vMerge w:val="restart"/>
            <w:tcBorders>
              <w:top w:val="nil"/>
              <w:left w:val="single" w:sz="4" w:space="0" w:color="auto"/>
              <w:bottom w:val="nil"/>
              <w:right w:val="nil"/>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Number of Agency Activities</w:t>
            </w:r>
          </w:p>
        </w:tc>
        <w:tc>
          <w:tcPr>
            <w:tcW w:w="920" w:type="dxa"/>
            <w:vMerge w:val="restart"/>
            <w:tcBorders>
              <w:top w:val="nil"/>
              <w:left w:val="nil"/>
              <w:bottom w:val="nil"/>
              <w:right w:val="nil"/>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Total Hours/</w:t>
            </w:r>
            <w:r w:rsidRPr="00CD1728">
              <w:rPr>
                <w:rFonts w:ascii="Arial" w:hAnsi="Arial" w:cs="Arial"/>
                <w:sz w:val="16"/>
                <w:szCs w:val="16"/>
              </w:rPr>
              <w:br/>
              <w:t>Year</w:t>
            </w:r>
          </w:p>
        </w:tc>
        <w:tc>
          <w:tcPr>
            <w:tcW w:w="1060" w:type="dxa"/>
            <w:vMerge w:val="restart"/>
            <w:tcBorders>
              <w:top w:val="nil"/>
              <w:left w:val="nil"/>
              <w:bottom w:val="nil"/>
              <w:right w:val="nil"/>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Total</w:t>
            </w:r>
            <w:r w:rsidRPr="00CD1728">
              <w:rPr>
                <w:rFonts w:ascii="Arial" w:hAnsi="Arial" w:cs="Arial"/>
                <w:sz w:val="16"/>
                <w:szCs w:val="16"/>
              </w:rPr>
              <w:br/>
              <w:t>Cost/</w:t>
            </w:r>
            <w:r w:rsidRPr="00CD1728">
              <w:rPr>
                <w:rFonts w:ascii="Arial" w:hAnsi="Arial" w:cs="Arial"/>
                <w:sz w:val="16"/>
                <w:szCs w:val="16"/>
              </w:rPr>
              <w:br/>
              <w:t>Year</w:t>
            </w:r>
          </w:p>
        </w:tc>
      </w:tr>
      <w:tr w:rsidR="00CD1728" w:rsidRPr="00CD1728" w:rsidTr="00CD1728">
        <w:trPr>
          <w:trHeight w:val="225"/>
        </w:trPr>
        <w:tc>
          <w:tcPr>
            <w:tcW w:w="3080" w:type="dxa"/>
            <w:tcBorders>
              <w:top w:val="nil"/>
              <w:left w:val="nil"/>
              <w:bottom w:val="nil"/>
              <w:right w:val="nil"/>
            </w:tcBorders>
            <w:shd w:val="clear" w:color="auto" w:fill="auto"/>
            <w:vAlign w:val="bottom"/>
            <w:hideMark/>
          </w:tcPr>
          <w:p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rPr>
              <w:t>INFORMATION COLLECTION ACTIVITY</w:t>
            </w:r>
          </w:p>
        </w:tc>
        <w:tc>
          <w:tcPr>
            <w:tcW w:w="900" w:type="dxa"/>
            <w:tcBorders>
              <w:top w:val="nil"/>
              <w:left w:val="nil"/>
              <w:bottom w:val="nil"/>
              <w:right w:val="nil"/>
            </w:tcBorders>
            <w:shd w:val="clear" w:color="auto" w:fill="auto"/>
            <w:vAlign w:val="bottom"/>
            <w:hideMark/>
          </w:tcPr>
          <w:p w:rsidR="00CD1728" w:rsidRPr="00CD1728" w:rsidRDefault="00CD1728" w:rsidP="00CD1728">
            <w:pPr>
              <w:widowControl/>
              <w:autoSpaceDE/>
              <w:autoSpaceDN/>
              <w:adjustRightInd/>
              <w:jc w:val="center"/>
              <w:rPr>
                <w:rFonts w:ascii="Arial" w:hAnsi="Arial" w:cs="Arial"/>
                <w:color w:val="000000"/>
                <w:sz w:val="16"/>
                <w:szCs w:val="16"/>
              </w:rPr>
            </w:pPr>
            <w:r w:rsidRPr="00CD1728">
              <w:rPr>
                <w:rFonts w:ascii="Arial" w:hAnsi="Arial" w:cs="Arial"/>
                <w:color w:val="000000"/>
                <w:sz w:val="16"/>
                <w:szCs w:val="16"/>
              </w:rPr>
              <w:t>$67.27/Hr</w:t>
            </w:r>
          </w:p>
        </w:tc>
        <w:tc>
          <w:tcPr>
            <w:tcW w:w="900" w:type="dxa"/>
            <w:tcBorders>
              <w:top w:val="nil"/>
              <w:left w:val="nil"/>
              <w:bottom w:val="nil"/>
              <w:right w:val="nil"/>
            </w:tcBorders>
            <w:shd w:val="clear" w:color="auto" w:fill="auto"/>
            <w:vAlign w:val="bottom"/>
            <w:hideMark/>
          </w:tcPr>
          <w:p w:rsidR="00CD1728" w:rsidRPr="00CD1728" w:rsidRDefault="00CD1728" w:rsidP="00CD1728">
            <w:pPr>
              <w:widowControl/>
              <w:autoSpaceDE/>
              <w:autoSpaceDN/>
              <w:adjustRightInd/>
              <w:jc w:val="center"/>
              <w:rPr>
                <w:rFonts w:ascii="Arial" w:hAnsi="Arial" w:cs="Arial"/>
                <w:color w:val="000000"/>
                <w:sz w:val="16"/>
                <w:szCs w:val="16"/>
              </w:rPr>
            </w:pPr>
            <w:r w:rsidRPr="00CD1728">
              <w:rPr>
                <w:rFonts w:ascii="Arial" w:hAnsi="Arial" w:cs="Arial"/>
                <w:color w:val="000000"/>
                <w:sz w:val="16"/>
                <w:szCs w:val="16"/>
              </w:rPr>
              <w:t>$67.32/Hr</w:t>
            </w:r>
          </w:p>
        </w:tc>
        <w:tc>
          <w:tcPr>
            <w:tcW w:w="900" w:type="dxa"/>
            <w:tcBorders>
              <w:top w:val="nil"/>
              <w:left w:val="nil"/>
              <w:bottom w:val="nil"/>
              <w:right w:val="nil"/>
            </w:tcBorders>
            <w:shd w:val="clear" w:color="auto" w:fill="auto"/>
            <w:vAlign w:val="bottom"/>
            <w:hideMark/>
          </w:tcPr>
          <w:p w:rsidR="00CD1728" w:rsidRPr="00CD1728" w:rsidRDefault="00CD1728" w:rsidP="00CD1728">
            <w:pPr>
              <w:widowControl/>
              <w:autoSpaceDE/>
              <w:autoSpaceDN/>
              <w:adjustRightInd/>
              <w:jc w:val="center"/>
              <w:rPr>
                <w:rFonts w:ascii="Arial" w:hAnsi="Arial" w:cs="Arial"/>
                <w:color w:val="000000"/>
                <w:sz w:val="16"/>
                <w:szCs w:val="16"/>
              </w:rPr>
            </w:pPr>
            <w:r w:rsidRPr="00CD1728">
              <w:rPr>
                <w:rFonts w:ascii="Arial" w:hAnsi="Arial" w:cs="Arial"/>
                <w:color w:val="000000"/>
                <w:sz w:val="16"/>
                <w:szCs w:val="16"/>
              </w:rPr>
              <w:t>$55.62/Hr</w:t>
            </w:r>
          </w:p>
        </w:tc>
        <w:tc>
          <w:tcPr>
            <w:tcW w:w="1000" w:type="dxa"/>
            <w:tcBorders>
              <w:top w:val="nil"/>
              <w:left w:val="nil"/>
              <w:bottom w:val="nil"/>
              <w:right w:val="nil"/>
            </w:tcBorders>
            <w:shd w:val="clear" w:color="auto" w:fill="auto"/>
            <w:vAlign w:val="bottom"/>
            <w:hideMark/>
          </w:tcPr>
          <w:p w:rsidR="00CD1728" w:rsidRPr="00CD1728" w:rsidRDefault="00CD1728" w:rsidP="00CD1728">
            <w:pPr>
              <w:widowControl/>
              <w:autoSpaceDE/>
              <w:autoSpaceDN/>
              <w:adjustRightInd/>
              <w:jc w:val="center"/>
              <w:rPr>
                <w:rFonts w:ascii="Arial" w:hAnsi="Arial" w:cs="Arial"/>
                <w:color w:val="000000"/>
                <w:sz w:val="16"/>
                <w:szCs w:val="16"/>
              </w:rPr>
            </w:pPr>
            <w:r w:rsidRPr="00CD1728">
              <w:rPr>
                <w:rFonts w:ascii="Arial" w:hAnsi="Arial" w:cs="Arial"/>
                <w:color w:val="000000"/>
                <w:sz w:val="16"/>
                <w:szCs w:val="16"/>
              </w:rPr>
              <w:t>$25.99/Hr</w:t>
            </w:r>
          </w:p>
        </w:tc>
        <w:tc>
          <w:tcPr>
            <w:tcW w:w="940" w:type="dxa"/>
            <w:vMerge/>
            <w:tcBorders>
              <w:top w:val="nil"/>
              <w:left w:val="nil"/>
              <w:bottom w:val="nil"/>
              <w:right w:val="nil"/>
            </w:tcBorders>
            <w:vAlign w:val="center"/>
            <w:hideMark/>
          </w:tcPr>
          <w:p w:rsidR="00CD1728" w:rsidRPr="00CD1728" w:rsidRDefault="00CD1728" w:rsidP="00CD1728">
            <w:pPr>
              <w:widowControl/>
              <w:autoSpaceDE/>
              <w:autoSpaceDN/>
              <w:adjustRightInd/>
              <w:rPr>
                <w:rFonts w:ascii="Arial" w:hAnsi="Arial" w:cs="Arial"/>
                <w:sz w:val="16"/>
                <w:szCs w:val="16"/>
              </w:rPr>
            </w:pPr>
          </w:p>
        </w:tc>
        <w:tc>
          <w:tcPr>
            <w:tcW w:w="1020" w:type="dxa"/>
            <w:vMerge/>
            <w:tcBorders>
              <w:top w:val="nil"/>
              <w:left w:val="nil"/>
              <w:bottom w:val="nil"/>
              <w:right w:val="nil"/>
            </w:tcBorders>
            <w:vAlign w:val="center"/>
            <w:hideMark/>
          </w:tcPr>
          <w:p w:rsidR="00CD1728" w:rsidRPr="00CD1728" w:rsidRDefault="00CD1728" w:rsidP="00CD1728">
            <w:pPr>
              <w:widowControl/>
              <w:autoSpaceDE/>
              <w:autoSpaceDN/>
              <w:adjustRightInd/>
              <w:rPr>
                <w:rFonts w:ascii="Arial" w:hAnsi="Arial" w:cs="Arial"/>
                <w:sz w:val="16"/>
                <w:szCs w:val="16"/>
              </w:rPr>
            </w:pPr>
          </w:p>
        </w:tc>
        <w:tc>
          <w:tcPr>
            <w:tcW w:w="840" w:type="dxa"/>
            <w:vMerge/>
            <w:tcBorders>
              <w:top w:val="nil"/>
              <w:left w:val="nil"/>
              <w:bottom w:val="nil"/>
              <w:right w:val="nil"/>
            </w:tcBorders>
            <w:vAlign w:val="center"/>
            <w:hideMark/>
          </w:tcPr>
          <w:p w:rsidR="00CD1728" w:rsidRPr="00CD1728" w:rsidRDefault="00CD1728" w:rsidP="00CD1728">
            <w:pPr>
              <w:widowControl/>
              <w:autoSpaceDE/>
              <w:autoSpaceDN/>
              <w:adjustRightInd/>
              <w:rPr>
                <w:rFonts w:ascii="Arial" w:hAnsi="Arial" w:cs="Arial"/>
                <w:sz w:val="16"/>
                <w:szCs w:val="16"/>
              </w:rPr>
            </w:pPr>
          </w:p>
        </w:tc>
        <w:tc>
          <w:tcPr>
            <w:tcW w:w="940" w:type="dxa"/>
            <w:vMerge/>
            <w:tcBorders>
              <w:top w:val="nil"/>
              <w:left w:val="nil"/>
              <w:bottom w:val="nil"/>
              <w:right w:val="single" w:sz="4" w:space="0" w:color="auto"/>
            </w:tcBorders>
            <w:vAlign w:val="center"/>
            <w:hideMark/>
          </w:tcPr>
          <w:p w:rsidR="00CD1728" w:rsidRPr="00CD1728" w:rsidRDefault="00CD1728" w:rsidP="00CD1728">
            <w:pPr>
              <w:widowControl/>
              <w:autoSpaceDE/>
              <w:autoSpaceDN/>
              <w:adjustRightInd/>
              <w:rPr>
                <w:rFonts w:ascii="Arial" w:hAnsi="Arial" w:cs="Arial"/>
                <w:sz w:val="16"/>
                <w:szCs w:val="16"/>
              </w:rPr>
            </w:pPr>
          </w:p>
        </w:tc>
        <w:tc>
          <w:tcPr>
            <w:tcW w:w="1100" w:type="dxa"/>
            <w:vMerge/>
            <w:tcBorders>
              <w:top w:val="nil"/>
              <w:left w:val="single" w:sz="4" w:space="0" w:color="auto"/>
              <w:bottom w:val="nil"/>
              <w:right w:val="nil"/>
            </w:tcBorders>
            <w:vAlign w:val="center"/>
            <w:hideMark/>
          </w:tcPr>
          <w:p w:rsidR="00CD1728" w:rsidRPr="00CD1728" w:rsidRDefault="00CD1728" w:rsidP="00CD1728">
            <w:pPr>
              <w:widowControl/>
              <w:autoSpaceDE/>
              <w:autoSpaceDN/>
              <w:adjustRightInd/>
              <w:rPr>
                <w:rFonts w:ascii="Arial" w:hAnsi="Arial" w:cs="Arial"/>
                <w:sz w:val="16"/>
                <w:szCs w:val="16"/>
              </w:rPr>
            </w:pPr>
          </w:p>
        </w:tc>
        <w:tc>
          <w:tcPr>
            <w:tcW w:w="920" w:type="dxa"/>
            <w:vMerge/>
            <w:tcBorders>
              <w:top w:val="nil"/>
              <w:left w:val="nil"/>
              <w:bottom w:val="nil"/>
              <w:right w:val="nil"/>
            </w:tcBorders>
            <w:vAlign w:val="center"/>
            <w:hideMark/>
          </w:tcPr>
          <w:p w:rsidR="00CD1728" w:rsidRPr="00CD1728" w:rsidRDefault="00CD1728" w:rsidP="00CD1728">
            <w:pPr>
              <w:widowControl/>
              <w:autoSpaceDE/>
              <w:autoSpaceDN/>
              <w:adjustRightInd/>
              <w:rPr>
                <w:rFonts w:ascii="Arial" w:hAnsi="Arial" w:cs="Arial"/>
                <w:sz w:val="16"/>
                <w:szCs w:val="16"/>
              </w:rPr>
            </w:pPr>
          </w:p>
        </w:tc>
        <w:tc>
          <w:tcPr>
            <w:tcW w:w="1060" w:type="dxa"/>
            <w:vMerge/>
            <w:tcBorders>
              <w:top w:val="nil"/>
              <w:left w:val="nil"/>
              <w:bottom w:val="nil"/>
              <w:right w:val="nil"/>
            </w:tcBorders>
            <w:vAlign w:val="center"/>
            <w:hideMark/>
          </w:tcPr>
          <w:p w:rsidR="00CD1728" w:rsidRPr="00CD1728" w:rsidRDefault="00CD1728" w:rsidP="00CD1728">
            <w:pPr>
              <w:widowControl/>
              <w:autoSpaceDE/>
              <w:autoSpaceDN/>
              <w:adjustRightInd/>
              <w:rPr>
                <w:rFonts w:ascii="Arial" w:hAnsi="Arial" w:cs="Arial"/>
                <w:sz w:val="16"/>
                <w:szCs w:val="16"/>
              </w:rPr>
            </w:pPr>
          </w:p>
        </w:tc>
      </w:tr>
      <w:tr w:rsidR="00CD1728" w:rsidRPr="00CD1728" w:rsidTr="00CD1728">
        <w:trPr>
          <w:trHeight w:val="255"/>
        </w:trPr>
        <w:tc>
          <w:tcPr>
            <w:tcW w:w="13600" w:type="dxa"/>
            <w:gridSpan w:val="12"/>
            <w:tcBorders>
              <w:top w:val="single" w:sz="4" w:space="0" w:color="auto"/>
              <w:left w:val="single" w:sz="4" w:space="0" w:color="auto"/>
              <w:bottom w:val="single" w:sz="4" w:space="0" w:color="auto"/>
              <w:right w:val="single" w:sz="4" w:space="0" w:color="auto"/>
            </w:tcBorders>
            <w:shd w:val="clear" w:color="000000" w:fill="E3E3E3"/>
            <w:vAlign w:val="bottom"/>
            <w:hideMark/>
          </w:tcPr>
          <w:p w:rsidR="00CD1728" w:rsidRPr="00CD1728" w:rsidRDefault="00CD1728" w:rsidP="00CD1728">
            <w:pPr>
              <w:widowControl/>
              <w:autoSpaceDE/>
              <w:autoSpaceDN/>
              <w:adjustRightInd/>
              <w:rPr>
                <w:rFonts w:ascii="Arial" w:hAnsi="Arial" w:cs="Arial"/>
                <w:b/>
                <w:bCs/>
                <w:sz w:val="16"/>
                <w:szCs w:val="16"/>
              </w:rPr>
            </w:pPr>
            <w:r w:rsidRPr="00CD1728">
              <w:rPr>
                <w:rFonts w:ascii="Arial" w:hAnsi="Arial" w:cs="Arial"/>
                <w:b/>
                <w:bCs/>
                <w:sz w:val="16"/>
                <w:szCs w:val="16"/>
              </w:rPr>
              <w:t xml:space="preserve">NOTIFICATION OF INTENT TO COMPLY WITH SUBPART K AND RECORDKEEPING OF AGREEMENTS (40 </w:t>
            </w:r>
            <w:r w:rsidRPr="00CD1728">
              <w:rPr>
                <w:rFonts w:ascii="Arial" w:hAnsi="Arial" w:cs="Arial"/>
                <w:b/>
                <w:bCs/>
                <w:i/>
                <w:iCs/>
                <w:sz w:val="16"/>
                <w:szCs w:val="16"/>
              </w:rPr>
              <w:t>CFR</w:t>
            </w:r>
            <w:r w:rsidRPr="00CD1728">
              <w:rPr>
                <w:rFonts w:ascii="Arial" w:hAnsi="Arial" w:cs="Arial"/>
                <w:b/>
                <w:bCs/>
                <w:sz w:val="16"/>
                <w:szCs w:val="16"/>
              </w:rPr>
              <w:t xml:space="preserve"> 262.203)</w:t>
            </w:r>
          </w:p>
        </w:tc>
      </w:tr>
      <w:tr w:rsidR="00CD1728" w:rsidRPr="00CD1728" w:rsidTr="00CD1728">
        <w:trPr>
          <w:trHeight w:val="450"/>
        </w:trPr>
        <w:tc>
          <w:tcPr>
            <w:tcW w:w="3080" w:type="dxa"/>
            <w:tcBorders>
              <w:top w:val="nil"/>
              <w:left w:val="single" w:sz="4" w:space="0" w:color="auto"/>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rPr>
              <w:t>Review and process Site Identification Forms</w:t>
            </w:r>
          </w:p>
        </w:tc>
        <w:tc>
          <w:tcPr>
            <w:tcW w:w="90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0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0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0.25</w:t>
            </w:r>
          </w:p>
        </w:tc>
        <w:tc>
          <w:tcPr>
            <w:tcW w:w="100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0.50</w:t>
            </w:r>
          </w:p>
        </w:tc>
        <w:tc>
          <w:tcPr>
            <w:tcW w:w="94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0.75</w:t>
            </w:r>
          </w:p>
        </w:tc>
        <w:tc>
          <w:tcPr>
            <w:tcW w:w="102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$26.90</w:t>
            </w:r>
          </w:p>
        </w:tc>
        <w:tc>
          <w:tcPr>
            <w:tcW w:w="84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4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110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33</w:t>
            </w:r>
          </w:p>
        </w:tc>
        <w:tc>
          <w:tcPr>
            <w:tcW w:w="920" w:type="dxa"/>
            <w:tcBorders>
              <w:top w:val="nil"/>
              <w:left w:val="nil"/>
              <w:bottom w:val="single" w:sz="4" w:space="0" w:color="auto"/>
              <w:right w:val="single" w:sz="4" w:space="0" w:color="auto"/>
            </w:tcBorders>
            <w:shd w:val="clear" w:color="auto" w:fill="auto"/>
            <w:noWrap/>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24.75</w:t>
            </w:r>
          </w:p>
        </w:tc>
        <w:tc>
          <w:tcPr>
            <w:tcW w:w="106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$887.70</w:t>
            </w:r>
          </w:p>
        </w:tc>
      </w:tr>
      <w:tr w:rsidR="00CD1728" w:rsidRPr="00CD1728" w:rsidTr="00CD1728">
        <w:trPr>
          <w:trHeight w:val="225"/>
        </w:trPr>
        <w:tc>
          <w:tcPr>
            <w:tcW w:w="3080" w:type="dxa"/>
            <w:tcBorders>
              <w:top w:val="nil"/>
              <w:left w:val="single" w:sz="4" w:space="0" w:color="auto"/>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rPr>
                <w:rFonts w:ascii="Arial" w:hAnsi="Arial" w:cs="Arial"/>
                <w:b/>
                <w:bCs/>
                <w:sz w:val="16"/>
                <w:szCs w:val="16"/>
              </w:rPr>
            </w:pPr>
            <w:r w:rsidRPr="00CD1728">
              <w:rPr>
                <w:rFonts w:ascii="Arial" w:hAnsi="Arial" w:cs="Arial"/>
                <w:b/>
                <w:bCs/>
                <w:sz w:val="16"/>
                <w:szCs w:val="16"/>
              </w:rPr>
              <w:t>Subtotal</w:t>
            </w:r>
          </w:p>
        </w:tc>
        <w:tc>
          <w:tcPr>
            <w:tcW w:w="90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0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0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0.25</w:t>
            </w:r>
          </w:p>
        </w:tc>
        <w:tc>
          <w:tcPr>
            <w:tcW w:w="100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0.50</w:t>
            </w:r>
          </w:p>
        </w:tc>
        <w:tc>
          <w:tcPr>
            <w:tcW w:w="94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0.75</w:t>
            </w:r>
          </w:p>
        </w:tc>
        <w:tc>
          <w:tcPr>
            <w:tcW w:w="102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$26.90</w:t>
            </w:r>
          </w:p>
        </w:tc>
        <w:tc>
          <w:tcPr>
            <w:tcW w:w="84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4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110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33</w:t>
            </w:r>
          </w:p>
        </w:tc>
        <w:tc>
          <w:tcPr>
            <w:tcW w:w="920" w:type="dxa"/>
            <w:tcBorders>
              <w:top w:val="nil"/>
              <w:left w:val="nil"/>
              <w:bottom w:val="single" w:sz="4" w:space="0" w:color="auto"/>
              <w:right w:val="single" w:sz="4" w:space="0" w:color="auto"/>
            </w:tcBorders>
            <w:shd w:val="clear" w:color="auto" w:fill="auto"/>
            <w:noWrap/>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24.75</w:t>
            </w:r>
          </w:p>
        </w:tc>
        <w:tc>
          <w:tcPr>
            <w:tcW w:w="1060" w:type="dxa"/>
            <w:tcBorders>
              <w:top w:val="nil"/>
              <w:left w:val="nil"/>
              <w:bottom w:val="single" w:sz="4" w:space="0" w:color="auto"/>
              <w:right w:val="single" w:sz="4" w:space="0" w:color="auto"/>
            </w:tcBorders>
            <w:shd w:val="clear" w:color="auto" w:fill="auto"/>
            <w:noWrap/>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$887.70</w:t>
            </w:r>
          </w:p>
        </w:tc>
      </w:tr>
      <w:tr w:rsidR="00CD1728" w:rsidRPr="00CD1728" w:rsidTr="00CD1728">
        <w:trPr>
          <w:trHeight w:val="225"/>
        </w:trPr>
        <w:tc>
          <w:tcPr>
            <w:tcW w:w="13600" w:type="dxa"/>
            <w:gridSpan w:val="12"/>
            <w:tcBorders>
              <w:top w:val="single" w:sz="4" w:space="0" w:color="auto"/>
              <w:left w:val="single" w:sz="4" w:space="0" w:color="auto"/>
              <w:bottom w:val="single" w:sz="4" w:space="0" w:color="auto"/>
              <w:right w:val="single" w:sz="4" w:space="0" w:color="auto"/>
            </w:tcBorders>
            <w:shd w:val="clear" w:color="000000" w:fill="E3E3E3"/>
            <w:vAlign w:val="bottom"/>
            <w:hideMark/>
          </w:tcPr>
          <w:p w:rsidR="00CD1728" w:rsidRPr="00CD1728" w:rsidRDefault="00CD1728" w:rsidP="00CD1728">
            <w:pPr>
              <w:widowControl/>
              <w:autoSpaceDE/>
              <w:autoSpaceDN/>
              <w:adjustRightInd/>
              <w:rPr>
                <w:rFonts w:ascii="Arial" w:hAnsi="Arial" w:cs="Arial"/>
                <w:b/>
                <w:bCs/>
                <w:sz w:val="16"/>
                <w:szCs w:val="16"/>
              </w:rPr>
            </w:pPr>
            <w:r w:rsidRPr="00CD1728">
              <w:rPr>
                <w:rFonts w:ascii="Arial" w:hAnsi="Arial" w:cs="Arial"/>
                <w:b/>
                <w:bCs/>
                <w:sz w:val="16"/>
                <w:szCs w:val="16"/>
              </w:rPr>
              <w:t xml:space="preserve">NOTIFICATION OF WITHDRAWAL FROM SUBPART K (40 </w:t>
            </w:r>
            <w:r w:rsidRPr="00CD1728">
              <w:rPr>
                <w:rFonts w:ascii="Arial" w:hAnsi="Arial" w:cs="Arial"/>
                <w:b/>
                <w:bCs/>
                <w:i/>
                <w:iCs/>
                <w:sz w:val="16"/>
                <w:szCs w:val="16"/>
              </w:rPr>
              <w:t>CFR</w:t>
            </w:r>
            <w:r w:rsidRPr="00CD1728">
              <w:rPr>
                <w:rFonts w:ascii="Arial" w:hAnsi="Arial" w:cs="Arial"/>
                <w:b/>
                <w:bCs/>
                <w:sz w:val="16"/>
                <w:szCs w:val="16"/>
              </w:rPr>
              <w:t xml:space="preserve"> 262.204)</w:t>
            </w:r>
          </w:p>
        </w:tc>
      </w:tr>
      <w:tr w:rsidR="00CD1728" w:rsidRPr="00CD1728" w:rsidTr="00CD1728">
        <w:trPr>
          <w:trHeight w:val="450"/>
        </w:trPr>
        <w:tc>
          <w:tcPr>
            <w:tcW w:w="3080" w:type="dxa"/>
            <w:tcBorders>
              <w:top w:val="nil"/>
              <w:left w:val="single" w:sz="4" w:space="0" w:color="auto"/>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rPr>
              <w:t>Review and process Site Identification Forms</w:t>
            </w:r>
          </w:p>
        </w:tc>
        <w:tc>
          <w:tcPr>
            <w:tcW w:w="90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0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0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0.25</w:t>
            </w:r>
          </w:p>
        </w:tc>
        <w:tc>
          <w:tcPr>
            <w:tcW w:w="100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0.50</w:t>
            </w:r>
          </w:p>
        </w:tc>
        <w:tc>
          <w:tcPr>
            <w:tcW w:w="94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0.75</w:t>
            </w:r>
          </w:p>
        </w:tc>
        <w:tc>
          <w:tcPr>
            <w:tcW w:w="102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$26.90</w:t>
            </w:r>
          </w:p>
        </w:tc>
        <w:tc>
          <w:tcPr>
            <w:tcW w:w="84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4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110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w:t>
            </w:r>
          </w:p>
        </w:tc>
        <w:tc>
          <w:tcPr>
            <w:tcW w:w="920" w:type="dxa"/>
            <w:tcBorders>
              <w:top w:val="nil"/>
              <w:left w:val="nil"/>
              <w:bottom w:val="single" w:sz="4" w:space="0" w:color="auto"/>
              <w:right w:val="single" w:sz="4" w:space="0" w:color="auto"/>
            </w:tcBorders>
            <w:shd w:val="clear" w:color="auto" w:fill="auto"/>
            <w:noWrap/>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106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r>
      <w:tr w:rsidR="00CD1728" w:rsidRPr="00CD1728" w:rsidTr="00CD1728">
        <w:trPr>
          <w:trHeight w:val="225"/>
        </w:trPr>
        <w:tc>
          <w:tcPr>
            <w:tcW w:w="3080" w:type="dxa"/>
            <w:tcBorders>
              <w:top w:val="nil"/>
              <w:left w:val="single" w:sz="4" w:space="0" w:color="auto"/>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rPr>
                <w:rFonts w:ascii="Arial" w:hAnsi="Arial" w:cs="Arial"/>
                <w:b/>
                <w:bCs/>
                <w:sz w:val="16"/>
                <w:szCs w:val="16"/>
              </w:rPr>
            </w:pPr>
            <w:r w:rsidRPr="00CD1728">
              <w:rPr>
                <w:rFonts w:ascii="Arial" w:hAnsi="Arial" w:cs="Arial"/>
                <w:b/>
                <w:bCs/>
                <w:sz w:val="16"/>
                <w:szCs w:val="16"/>
              </w:rPr>
              <w:t>Subtotal</w:t>
            </w:r>
          </w:p>
        </w:tc>
        <w:tc>
          <w:tcPr>
            <w:tcW w:w="90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0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0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0.25</w:t>
            </w:r>
          </w:p>
        </w:tc>
        <w:tc>
          <w:tcPr>
            <w:tcW w:w="100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0.50</w:t>
            </w:r>
          </w:p>
        </w:tc>
        <w:tc>
          <w:tcPr>
            <w:tcW w:w="94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0.75</w:t>
            </w:r>
          </w:p>
        </w:tc>
        <w:tc>
          <w:tcPr>
            <w:tcW w:w="102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$26.90</w:t>
            </w:r>
          </w:p>
        </w:tc>
        <w:tc>
          <w:tcPr>
            <w:tcW w:w="84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4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110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w:t>
            </w:r>
          </w:p>
        </w:tc>
        <w:tc>
          <w:tcPr>
            <w:tcW w:w="920" w:type="dxa"/>
            <w:tcBorders>
              <w:top w:val="nil"/>
              <w:left w:val="nil"/>
              <w:bottom w:val="single" w:sz="4" w:space="0" w:color="auto"/>
              <w:right w:val="single" w:sz="4" w:space="0" w:color="auto"/>
            </w:tcBorders>
            <w:shd w:val="clear" w:color="auto" w:fill="auto"/>
            <w:noWrap/>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1060" w:type="dxa"/>
            <w:tcBorders>
              <w:top w:val="nil"/>
              <w:left w:val="nil"/>
              <w:bottom w:val="single" w:sz="4" w:space="0" w:color="auto"/>
              <w:right w:val="single" w:sz="4" w:space="0" w:color="auto"/>
            </w:tcBorders>
            <w:shd w:val="clear" w:color="auto" w:fill="auto"/>
            <w:noWrap/>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r>
      <w:tr w:rsidR="00CD1728" w:rsidRPr="00CD1728" w:rsidTr="00CD1728">
        <w:trPr>
          <w:trHeight w:val="225"/>
        </w:trPr>
        <w:tc>
          <w:tcPr>
            <w:tcW w:w="3080" w:type="dxa"/>
            <w:tcBorders>
              <w:top w:val="nil"/>
              <w:left w:val="single" w:sz="4" w:space="0" w:color="auto"/>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rPr>
                <w:rFonts w:ascii="Arial" w:hAnsi="Arial" w:cs="Arial"/>
                <w:b/>
                <w:bCs/>
                <w:sz w:val="16"/>
                <w:szCs w:val="16"/>
              </w:rPr>
            </w:pPr>
            <w:r w:rsidRPr="00CD1728">
              <w:rPr>
                <w:rFonts w:ascii="Arial" w:hAnsi="Arial" w:cs="Arial"/>
                <w:b/>
                <w:bCs/>
                <w:sz w:val="16"/>
                <w:szCs w:val="16"/>
              </w:rPr>
              <w:t>TOTAL</w:t>
            </w:r>
          </w:p>
        </w:tc>
        <w:tc>
          <w:tcPr>
            <w:tcW w:w="90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0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0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varies</w:t>
            </w:r>
          </w:p>
        </w:tc>
        <w:tc>
          <w:tcPr>
            <w:tcW w:w="100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varies</w:t>
            </w:r>
          </w:p>
        </w:tc>
        <w:tc>
          <w:tcPr>
            <w:tcW w:w="94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varies</w:t>
            </w:r>
          </w:p>
        </w:tc>
        <w:tc>
          <w:tcPr>
            <w:tcW w:w="102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varies</w:t>
            </w:r>
          </w:p>
        </w:tc>
        <w:tc>
          <w:tcPr>
            <w:tcW w:w="84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 xml:space="preserve">$0.00 </w:t>
            </w:r>
          </w:p>
        </w:tc>
        <w:tc>
          <w:tcPr>
            <w:tcW w:w="94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 xml:space="preserve">$0.00 </w:t>
            </w:r>
          </w:p>
        </w:tc>
        <w:tc>
          <w:tcPr>
            <w:tcW w:w="110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 xml:space="preserve"> varies </w:t>
            </w:r>
          </w:p>
        </w:tc>
        <w:tc>
          <w:tcPr>
            <w:tcW w:w="92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24.75</w:t>
            </w:r>
          </w:p>
        </w:tc>
        <w:tc>
          <w:tcPr>
            <w:tcW w:w="1060" w:type="dxa"/>
            <w:tcBorders>
              <w:top w:val="nil"/>
              <w:left w:val="nil"/>
              <w:bottom w:val="single" w:sz="4" w:space="0" w:color="auto"/>
              <w:right w:val="single" w:sz="4" w:space="0" w:color="auto"/>
            </w:tcBorders>
            <w:shd w:val="clear" w:color="auto" w:fill="auto"/>
            <w:vAlign w:val="bottom"/>
            <w:hideMark/>
          </w:tcPr>
          <w:p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$887.70</w:t>
            </w:r>
          </w:p>
        </w:tc>
      </w:tr>
      <w:tr w:rsidR="00CD1728" w:rsidRPr="00CD1728" w:rsidTr="00CD1728">
        <w:trPr>
          <w:trHeight w:val="255"/>
        </w:trPr>
        <w:tc>
          <w:tcPr>
            <w:tcW w:w="3080" w:type="dxa"/>
            <w:tcBorders>
              <w:top w:val="nil"/>
              <w:left w:val="nil"/>
              <w:bottom w:val="nil"/>
              <w:right w:val="nil"/>
            </w:tcBorders>
            <w:shd w:val="clear" w:color="auto" w:fill="auto"/>
            <w:vAlign w:val="center"/>
            <w:hideMark/>
          </w:tcPr>
          <w:p w:rsidR="00CD1728" w:rsidRPr="00CD1728" w:rsidRDefault="00CD1728" w:rsidP="00CD1728">
            <w:pPr>
              <w:widowControl/>
              <w:autoSpaceDE/>
              <w:autoSpaceDN/>
              <w:adjustRightInd/>
              <w:rPr>
                <w:rFonts w:ascii="Helv" w:hAnsi="Helv" w:cs="Arial"/>
                <w:sz w:val="14"/>
                <w:szCs w:val="14"/>
              </w:rPr>
            </w:pPr>
            <w:r w:rsidRPr="00CD1728">
              <w:rPr>
                <w:rFonts w:ascii="Helv" w:hAnsi="Helv" w:cs="Arial"/>
                <w:sz w:val="14"/>
                <w:szCs w:val="14"/>
                <w:vertAlign w:val="superscript"/>
              </w:rPr>
              <w:t xml:space="preserve">a </w:t>
            </w:r>
            <w:r w:rsidRPr="00CD1728">
              <w:rPr>
                <w:rFonts w:ascii="Helv" w:hAnsi="Helv" w:cs="Arial"/>
                <w:sz w:val="14"/>
                <w:szCs w:val="14"/>
              </w:rPr>
              <w:t xml:space="preserve"> Exhibit contains rounding error.</w:t>
            </w:r>
          </w:p>
        </w:tc>
        <w:tc>
          <w:tcPr>
            <w:tcW w:w="90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right"/>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right"/>
              <w:rPr>
                <w:rFonts w:ascii="Arial" w:hAnsi="Arial" w:cs="Arial"/>
                <w:sz w:val="16"/>
                <w:szCs w:val="16"/>
              </w:rPr>
            </w:pPr>
          </w:p>
        </w:tc>
        <w:tc>
          <w:tcPr>
            <w:tcW w:w="100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right"/>
              <w:rPr>
                <w:rFonts w:ascii="Arial" w:hAnsi="Arial" w:cs="Arial"/>
                <w:sz w:val="16"/>
                <w:szCs w:val="16"/>
              </w:rPr>
            </w:pPr>
          </w:p>
        </w:tc>
        <w:tc>
          <w:tcPr>
            <w:tcW w:w="94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right"/>
              <w:rPr>
                <w:rFonts w:ascii="Arial" w:hAnsi="Arial" w:cs="Arial"/>
                <w:sz w:val="16"/>
                <w:szCs w:val="16"/>
              </w:rPr>
            </w:pPr>
          </w:p>
        </w:tc>
        <w:tc>
          <w:tcPr>
            <w:tcW w:w="102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righ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right"/>
              <w:rPr>
                <w:rFonts w:ascii="Arial" w:hAnsi="Arial" w:cs="Arial"/>
                <w:sz w:val="16"/>
                <w:szCs w:val="16"/>
              </w:rPr>
            </w:pPr>
          </w:p>
        </w:tc>
        <w:tc>
          <w:tcPr>
            <w:tcW w:w="94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right"/>
              <w:rPr>
                <w:rFonts w:ascii="Arial" w:hAnsi="Arial" w:cs="Arial"/>
                <w:sz w:val="16"/>
                <w:szCs w:val="16"/>
              </w:rPr>
            </w:pPr>
          </w:p>
        </w:tc>
        <w:tc>
          <w:tcPr>
            <w:tcW w:w="110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right"/>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right"/>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rsidR="00CD1728" w:rsidRPr="00CD1728" w:rsidRDefault="00CD1728" w:rsidP="00CD1728">
            <w:pPr>
              <w:widowControl/>
              <w:autoSpaceDE/>
              <w:autoSpaceDN/>
              <w:adjustRightInd/>
              <w:jc w:val="right"/>
              <w:rPr>
                <w:rFonts w:ascii="Arial" w:hAnsi="Arial" w:cs="Arial"/>
                <w:sz w:val="16"/>
                <w:szCs w:val="16"/>
              </w:rPr>
            </w:pPr>
          </w:p>
        </w:tc>
      </w:tr>
    </w:tbl>
    <w:p w:rsidR="00CD1728" w:rsidRDefault="00CD1728">
      <w:pPr>
        <w:widowControl/>
        <w:ind w:firstLine="720"/>
        <w:rPr>
          <w:sz w:val="24"/>
        </w:rPr>
      </w:pPr>
    </w:p>
    <w:p w:rsidR="00466CEC" w:rsidRDefault="00466CEC" w:rsidP="00466CEC">
      <w:pPr>
        <w:widowControl/>
        <w:rPr>
          <w:sz w:val="24"/>
        </w:rPr>
        <w:sectPr w:rsidR="00466CEC" w:rsidSect="00C46E3A">
          <w:pgSz w:w="15840" w:h="12240" w:orient="landscape"/>
          <w:pgMar w:top="720" w:right="720" w:bottom="720" w:left="720" w:header="720" w:footer="720" w:gutter="0"/>
          <w:cols w:space="720"/>
          <w:docGrid w:linePitch="360"/>
        </w:sectPr>
      </w:pPr>
    </w:p>
    <w:p w:rsidR="00466CEC" w:rsidRPr="00E47300" w:rsidRDefault="00466CEC" w:rsidP="00466CEC">
      <w:pPr>
        <w:widowControl/>
        <w:tabs>
          <w:tab w:val="center" w:pos="4680"/>
        </w:tabs>
        <w:rPr>
          <w:color w:val="000000"/>
          <w:sz w:val="32"/>
          <w:szCs w:val="32"/>
        </w:rPr>
      </w:pPr>
      <w:r>
        <w:rPr>
          <w:rFonts w:ascii="Shruti" w:hAnsi="Shruti" w:cs="Shruti"/>
          <w:sz w:val="22"/>
          <w:szCs w:val="22"/>
        </w:rPr>
        <w:lastRenderedPageBreak/>
        <w:tab/>
      </w:r>
      <w:r w:rsidRPr="00E47300">
        <w:rPr>
          <w:b/>
          <w:bCs/>
          <w:color w:val="000000"/>
          <w:sz w:val="32"/>
          <w:szCs w:val="32"/>
        </w:rPr>
        <w:t>ATTACHMENT</w:t>
      </w:r>
      <w:r w:rsidR="00732686" w:rsidRPr="00E47300">
        <w:rPr>
          <w:b/>
          <w:bCs/>
          <w:color w:val="000000"/>
          <w:sz w:val="32"/>
          <w:szCs w:val="32"/>
        </w:rPr>
        <w:t xml:space="preserve"> </w:t>
      </w:r>
      <w:r w:rsidR="00AC7014" w:rsidRPr="00E47300">
        <w:rPr>
          <w:b/>
          <w:bCs/>
          <w:color w:val="000000"/>
          <w:sz w:val="32"/>
          <w:szCs w:val="32"/>
        </w:rPr>
        <w:t>1</w:t>
      </w:r>
    </w:p>
    <w:p w:rsidR="00466CEC" w:rsidRPr="00E47300" w:rsidRDefault="00466CEC" w:rsidP="00466CEC">
      <w:pPr>
        <w:widowControl/>
        <w:rPr>
          <w:b/>
          <w:bCs/>
          <w:color w:val="000000"/>
          <w:sz w:val="24"/>
        </w:rPr>
      </w:pPr>
    </w:p>
    <w:p w:rsidR="00466CEC" w:rsidRPr="00E47300" w:rsidRDefault="00466CEC" w:rsidP="00466CEC">
      <w:pPr>
        <w:widowControl/>
        <w:tabs>
          <w:tab w:val="center" w:pos="4680"/>
        </w:tabs>
        <w:rPr>
          <w:color w:val="000000"/>
          <w:sz w:val="28"/>
          <w:szCs w:val="28"/>
        </w:rPr>
      </w:pPr>
      <w:r w:rsidRPr="00E47300">
        <w:rPr>
          <w:b/>
          <w:bCs/>
          <w:color w:val="000000"/>
          <w:sz w:val="24"/>
        </w:rPr>
        <w:tab/>
      </w:r>
      <w:r w:rsidRPr="00E47300">
        <w:rPr>
          <w:b/>
          <w:bCs/>
          <w:color w:val="000000"/>
          <w:sz w:val="28"/>
          <w:szCs w:val="28"/>
        </w:rPr>
        <w:t xml:space="preserve">INFORMATION COLLECTION REQUEST </w:t>
      </w:r>
      <w:r w:rsidR="00103744" w:rsidRPr="00E47300">
        <w:rPr>
          <w:b/>
          <w:bCs/>
          <w:color w:val="000000"/>
          <w:sz w:val="28"/>
          <w:szCs w:val="28"/>
        </w:rPr>
        <w:t>2317.02</w:t>
      </w:r>
    </w:p>
    <w:p w:rsidR="00466CEC" w:rsidRPr="00E47300" w:rsidRDefault="00466CEC" w:rsidP="00466CEC">
      <w:pPr>
        <w:widowControl/>
        <w:tabs>
          <w:tab w:val="center" w:pos="4680"/>
        </w:tabs>
        <w:rPr>
          <w:b/>
          <w:bCs/>
          <w:color w:val="000000"/>
          <w:sz w:val="24"/>
        </w:rPr>
      </w:pPr>
      <w:r w:rsidRPr="00E47300">
        <w:rPr>
          <w:b/>
          <w:bCs/>
          <w:color w:val="000000"/>
          <w:sz w:val="28"/>
          <w:szCs w:val="28"/>
        </w:rPr>
        <w:tab/>
        <w:t xml:space="preserve">BURDEN </w:t>
      </w:r>
      <w:r w:rsidRPr="00E47300">
        <w:rPr>
          <w:b/>
          <w:bCs/>
          <w:color w:val="000000"/>
          <w:sz w:val="24"/>
        </w:rPr>
        <w:t>ESTIMATE METHODOLOGY</w:t>
      </w:r>
      <w:r w:rsidRPr="00E47300">
        <w:rPr>
          <w:color w:val="000000"/>
          <w:sz w:val="24"/>
        </w:rPr>
        <w:t xml:space="preserve"> </w:t>
      </w:r>
    </w:p>
    <w:p w:rsidR="00042DF5" w:rsidRPr="00E47300" w:rsidRDefault="00042DF5" w:rsidP="00042DF5">
      <w:pPr>
        <w:jc w:val="center"/>
        <w:rPr>
          <w:b/>
          <w:color w:val="000000"/>
          <w:u w:val="single"/>
        </w:rPr>
      </w:pPr>
    </w:p>
    <w:p w:rsidR="00042DF5" w:rsidRPr="00E47300" w:rsidRDefault="00042DF5" w:rsidP="008E3A96">
      <w:pPr>
        <w:widowControl/>
        <w:jc w:val="center"/>
        <w:rPr>
          <w:b/>
          <w:color w:val="000000"/>
          <w:sz w:val="24"/>
          <w:u w:val="single"/>
        </w:rPr>
      </w:pPr>
    </w:p>
    <w:p w:rsidR="00042DF5" w:rsidRPr="00E47300" w:rsidRDefault="00042DF5" w:rsidP="008E3A96">
      <w:pPr>
        <w:widowControl/>
        <w:jc w:val="center"/>
        <w:rPr>
          <w:b/>
          <w:color w:val="000000"/>
          <w:sz w:val="24"/>
          <w:u w:val="single"/>
        </w:rPr>
      </w:pPr>
      <w:r w:rsidRPr="00E47300">
        <w:rPr>
          <w:b/>
          <w:color w:val="000000"/>
          <w:sz w:val="24"/>
          <w:u w:val="single"/>
        </w:rPr>
        <w:t>Introduction</w:t>
      </w:r>
    </w:p>
    <w:p w:rsidR="00042DF5" w:rsidRPr="00E47300" w:rsidRDefault="00042DF5" w:rsidP="008E3A96">
      <w:pPr>
        <w:widowControl/>
        <w:rPr>
          <w:color w:val="000000"/>
          <w:sz w:val="24"/>
        </w:rPr>
      </w:pPr>
    </w:p>
    <w:p w:rsidR="00042DF5" w:rsidRPr="00E47300" w:rsidRDefault="00042DF5" w:rsidP="008E3A96">
      <w:pPr>
        <w:widowControl/>
        <w:rPr>
          <w:color w:val="000000"/>
          <w:sz w:val="24"/>
        </w:rPr>
      </w:pPr>
      <w:r w:rsidRPr="00E47300">
        <w:rPr>
          <w:color w:val="000000"/>
          <w:sz w:val="24"/>
        </w:rPr>
        <w:tab/>
        <w:t>The Academic Laboratories Rule of 40 CFR part 262 subpart K, (also known as the “Labs Rule” or “Subpart K”) allows eligible academic entities to opt into an alternative set of generator regulations in lieu of the standard set of RCRA generator regulations.  Opting into Subpart K entails some amount of burden for those choosing to opt in.  In accordance with the 1995 Paperwork Reduction Act (as amended), EPA must estimate respondent burden associated with all regulatory activities.  Once burden estimates are developed, EPA submits an Information Collection Request (ICR) to the Office of Management and Budget (OMB) for approval.  This document describes the methodology for updated burden estimates for the renewal of the ICR covering the regulatory activities cited above.</w:t>
      </w:r>
    </w:p>
    <w:p w:rsidR="00042DF5" w:rsidRPr="00E47300" w:rsidRDefault="00042DF5" w:rsidP="008E3A96">
      <w:pPr>
        <w:widowControl/>
        <w:rPr>
          <w:color w:val="000000"/>
          <w:sz w:val="24"/>
        </w:rPr>
      </w:pPr>
    </w:p>
    <w:p w:rsidR="00042DF5" w:rsidRPr="00E47300" w:rsidRDefault="00042DF5" w:rsidP="008E3A96">
      <w:pPr>
        <w:widowControl/>
        <w:rPr>
          <w:color w:val="000000"/>
          <w:sz w:val="24"/>
        </w:rPr>
      </w:pPr>
      <w:r w:rsidRPr="00E47300">
        <w:rPr>
          <w:color w:val="000000"/>
          <w:sz w:val="24"/>
        </w:rPr>
        <w:tab/>
        <w:t>EPA consulted with six individuals about a total of eight different institutions:  seven institutions that have already chosen to opt into Subpart K and one institution that is in the planning stages of opting in.</w:t>
      </w:r>
    </w:p>
    <w:p w:rsidR="00042DF5" w:rsidRPr="00E47300" w:rsidRDefault="00042DF5" w:rsidP="008E3A96">
      <w:pPr>
        <w:widowControl/>
        <w:rPr>
          <w:b/>
          <w:color w:val="000000"/>
          <w:sz w:val="24"/>
          <w:u w:val="single"/>
        </w:rPr>
      </w:pPr>
    </w:p>
    <w:p w:rsidR="00042DF5" w:rsidRPr="00E47300" w:rsidRDefault="00042DF5" w:rsidP="008E3A96">
      <w:pPr>
        <w:widowControl/>
        <w:rPr>
          <w:b/>
          <w:color w:val="000000"/>
          <w:sz w:val="24"/>
          <w:u w:val="single"/>
        </w:rPr>
      </w:pPr>
    </w:p>
    <w:p w:rsidR="00042DF5" w:rsidRPr="00E47300" w:rsidRDefault="00042DF5" w:rsidP="008E3A96">
      <w:pPr>
        <w:widowControl/>
        <w:jc w:val="center"/>
        <w:rPr>
          <w:b/>
          <w:color w:val="000000"/>
          <w:sz w:val="24"/>
          <w:u w:val="single"/>
        </w:rPr>
      </w:pPr>
      <w:r w:rsidRPr="00E47300">
        <w:rPr>
          <w:b/>
          <w:color w:val="000000"/>
          <w:sz w:val="24"/>
          <w:u w:val="single"/>
        </w:rPr>
        <w:t>Summary of Consultations</w:t>
      </w:r>
    </w:p>
    <w:p w:rsidR="00042DF5" w:rsidRPr="00E47300" w:rsidRDefault="00042DF5" w:rsidP="008E3A96">
      <w:pPr>
        <w:widowControl/>
        <w:rPr>
          <w:color w:val="000000"/>
          <w:sz w:val="24"/>
        </w:rPr>
      </w:pPr>
    </w:p>
    <w:p w:rsidR="00042DF5" w:rsidRPr="00E47300" w:rsidRDefault="00042DF5" w:rsidP="008E3A96">
      <w:pPr>
        <w:widowControl/>
        <w:rPr>
          <w:color w:val="000000"/>
          <w:sz w:val="24"/>
        </w:rPr>
      </w:pPr>
      <w:r w:rsidRPr="00E47300">
        <w:rPr>
          <w:color w:val="000000"/>
          <w:sz w:val="24"/>
        </w:rPr>
        <w:tab/>
        <w:t>Jeremy Kuhar (717-337-6261) wears several hats at Gettysburg College; he is an instructor, Chemical Hygiene Officer, and Lab Coordinator.  He confirmed that Gettysburg College opted into Subpart K.  He indicated that although Gettysburg College probably qualifies as a conditionally exempt small quantity generator (CESQG), the school notified and operates as a RCRA small quantity generator (SQG), just to be on the safe side.  His institution has approximately 60 labs and a central accumulation area.  He estimates the labs at the school generate 80-100 containers of hazardous waste per year.  When he developed the school’s laboratory management plan (LMP), he incorporated it into the school’s chemical hygiene plan (CHP), a plan that is required by OSHA.  He estimates that developing both plans (and reading the Federal Register notice) took 100-150 hours.  His school has not conducted any “documented” laboratory clean-outs since he did not anticipate that it would affect the school’s hazardous waste generator status.</w:t>
      </w:r>
    </w:p>
    <w:p w:rsidR="00042DF5" w:rsidRPr="00E47300" w:rsidRDefault="00042DF5" w:rsidP="008E3A96">
      <w:pPr>
        <w:widowControl/>
        <w:rPr>
          <w:color w:val="000000"/>
          <w:sz w:val="24"/>
        </w:rPr>
      </w:pPr>
    </w:p>
    <w:p w:rsidR="00042DF5" w:rsidRPr="00E47300" w:rsidRDefault="00042DF5" w:rsidP="008E3A96">
      <w:pPr>
        <w:widowControl/>
        <w:rPr>
          <w:color w:val="000000"/>
          <w:sz w:val="24"/>
        </w:rPr>
      </w:pPr>
      <w:r w:rsidRPr="00E47300">
        <w:rPr>
          <w:color w:val="000000"/>
          <w:sz w:val="24"/>
        </w:rPr>
        <w:tab/>
        <w:t>Aisha Holloman (336-375-9232) is the Environmental Health &amp; Safety Manager at Gateway University Research Park, a new non-profit research institute that opened in December 2011.  She confirmed that the research park is an SQG that has opted into Subpart K.  The research park has 15 labs and two central accumulation areas.  Given that the research park is so new, she does not have an estimate of the number of containers of hazardous waste that each lab generates per year and she has not had the need to conduct laboratory clean-outs.  She estimates that it took 60 hours to develop the LMP and the CHP together.</w:t>
      </w:r>
    </w:p>
    <w:p w:rsidR="00042DF5" w:rsidRPr="00E47300" w:rsidRDefault="00042DF5" w:rsidP="008E3A96">
      <w:pPr>
        <w:widowControl/>
        <w:rPr>
          <w:color w:val="000000"/>
          <w:sz w:val="24"/>
        </w:rPr>
      </w:pPr>
    </w:p>
    <w:p w:rsidR="00042DF5" w:rsidRPr="00E47300" w:rsidRDefault="00042DF5" w:rsidP="008E3A96">
      <w:pPr>
        <w:widowControl/>
        <w:rPr>
          <w:color w:val="000000"/>
          <w:sz w:val="24"/>
        </w:rPr>
      </w:pPr>
      <w:r w:rsidRPr="00E47300">
        <w:rPr>
          <w:color w:val="000000"/>
          <w:sz w:val="24"/>
        </w:rPr>
        <w:lastRenderedPageBreak/>
        <w:tab/>
        <w:t>Eric Engelberger (870-235-4196) is the Safety Officer at Southern Arkansas University.  He confirmed that Souther Arkansas University has opted into Subpart K and that his school is a SQG.  His school has 21-22 labs and a central accumulation area.  He said that the laboratories do not generate containers of hazardous waste except during laboratory clean-outs.  He said that the Science Department is currently writing the LMP and incorporating it into the school’s OSHA CHP.  He estimates that it will take 80 hours to develop the LMP and the CHP together.  His school has conducted laboratory clean-outs when they moved into a new science building.  Based on the amount of hazardous waste generated during the laboratory clean-out, the school would have become an LQG if it had not been operating under Subpart K, but it stayed an SQG.</w:t>
      </w:r>
    </w:p>
    <w:p w:rsidR="00042DF5" w:rsidRPr="00E47300" w:rsidRDefault="00042DF5" w:rsidP="008E3A96">
      <w:pPr>
        <w:widowControl/>
        <w:rPr>
          <w:color w:val="000000"/>
          <w:sz w:val="24"/>
        </w:rPr>
      </w:pPr>
    </w:p>
    <w:p w:rsidR="00042DF5" w:rsidRPr="00E47300" w:rsidRDefault="00042DF5" w:rsidP="008E3A96">
      <w:pPr>
        <w:widowControl/>
        <w:rPr>
          <w:color w:val="000000"/>
          <w:sz w:val="24"/>
        </w:rPr>
      </w:pPr>
      <w:r w:rsidRPr="00E47300">
        <w:rPr>
          <w:color w:val="000000"/>
          <w:sz w:val="24"/>
        </w:rPr>
        <w:tab/>
        <w:t>Jen Stones (801-581-6590) is the Hazardous Materials Manager at the University of Utah.  She confirmed that her school is an LQG that has opted into Subpart K.  Her school has 800-900 labs and a central accumulations area.  She estimates that the laboratories generate 22-28 55-gallons drums of hazardous waste per month.  She developed the LMP as a separate document and estimates that it took 40 hours to write.  Her school has not conducted laboratory clean-outs.</w:t>
      </w:r>
    </w:p>
    <w:p w:rsidR="00042DF5" w:rsidRPr="00E47300" w:rsidRDefault="00042DF5" w:rsidP="008E3A96">
      <w:pPr>
        <w:widowControl/>
        <w:rPr>
          <w:color w:val="000000"/>
          <w:sz w:val="24"/>
        </w:rPr>
      </w:pPr>
    </w:p>
    <w:p w:rsidR="00042DF5" w:rsidRPr="00E47300" w:rsidRDefault="00042DF5" w:rsidP="008E3A96">
      <w:pPr>
        <w:widowControl/>
        <w:rPr>
          <w:color w:val="000000"/>
          <w:sz w:val="24"/>
        </w:rPr>
      </w:pPr>
      <w:r w:rsidRPr="00E47300">
        <w:rPr>
          <w:color w:val="000000"/>
          <w:sz w:val="24"/>
        </w:rPr>
        <w:tab/>
        <w:t>Craig Barnhart (</w:t>
      </w:r>
      <w:hyperlink r:id="rId15" w:history="1">
        <w:r w:rsidRPr="00E47300">
          <w:rPr>
            <w:rStyle w:val="Hyperlink"/>
            <w:color w:val="000000"/>
            <w:sz w:val="24"/>
          </w:rPr>
          <w:t>cbarnhar@bulter.edu</w:t>
        </w:r>
      </w:hyperlink>
      <w:r w:rsidRPr="00E47300">
        <w:rPr>
          <w:color w:val="000000"/>
          <w:sz w:val="24"/>
        </w:rPr>
        <w:t xml:space="preserve">) works at Butler University.  He confirmed that his school has opted into Subpart K and is an SQG.  The school has 65-70 laboratories and a central accumulation area.  He estimates that is laboratories generate 3500-4000 pounds of hazardous waste per year.  Working in tandem with another person, he estimates that it took 2-3 full working days to develop the LMP, which is a separate document.  His school has not conducted any laboratory clean-outs.  </w:t>
      </w:r>
    </w:p>
    <w:p w:rsidR="00042DF5" w:rsidRPr="00E47300" w:rsidRDefault="00042DF5" w:rsidP="008E3A96">
      <w:pPr>
        <w:widowControl/>
        <w:rPr>
          <w:color w:val="000000"/>
          <w:sz w:val="24"/>
        </w:rPr>
      </w:pPr>
    </w:p>
    <w:p w:rsidR="00042DF5" w:rsidRPr="00E47300" w:rsidRDefault="00042DF5" w:rsidP="008E3A96">
      <w:pPr>
        <w:widowControl/>
        <w:rPr>
          <w:color w:val="000000"/>
          <w:sz w:val="24"/>
        </w:rPr>
      </w:pPr>
      <w:r w:rsidRPr="00E47300">
        <w:rPr>
          <w:color w:val="000000"/>
          <w:sz w:val="24"/>
        </w:rPr>
        <w:tab/>
        <w:t xml:space="preserve">Victoria Justus (717-418-3342) is a consultant with WasteStrategies.  She works with colleges and universities, assisting them with their environmental compliance, which sometimes includes opting into Subpart K.  She discussed three institutions with us:  Milwaukee School of Engineering (MSOE), Lakewood College, and Philadelphia University (which is in the process of opting in).  </w:t>
      </w:r>
    </w:p>
    <w:p w:rsidR="00042DF5" w:rsidRPr="00E47300" w:rsidRDefault="00042DF5" w:rsidP="008E3A96">
      <w:pPr>
        <w:widowControl/>
        <w:rPr>
          <w:color w:val="000000"/>
          <w:sz w:val="24"/>
        </w:rPr>
      </w:pPr>
    </w:p>
    <w:p w:rsidR="00042DF5" w:rsidRPr="00E47300" w:rsidRDefault="00042DF5" w:rsidP="008E3A96">
      <w:pPr>
        <w:widowControl/>
        <w:ind w:left="720"/>
        <w:rPr>
          <w:color w:val="000000"/>
          <w:sz w:val="24"/>
        </w:rPr>
      </w:pPr>
      <w:r w:rsidRPr="00E47300">
        <w:rPr>
          <w:color w:val="000000"/>
          <w:sz w:val="24"/>
        </w:rPr>
        <w:t xml:space="preserve">Victoria confirmed that MSOE opted into Subpart K for two sites – one is CESQG and one is an SQG.  The CESQG site has 9-10 labs and no central accumulation area while the SQG site has 50-65 laboratories and a central accumulation area.  The CESQG site generates 4-5 drums of hazardous waste per year, while the SQG site generates 400-450 containers per year (1 liter – 5 gallon containers).  She developed one LMP for both MSOE sites as part of OSHA’s CHP and estimates it took 100 hours.  MSOE has conducted laboratory clean-outs and would have become an LQG if it had not been operating under Subpart K; but remained CESQG and SQG. </w:t>
      </w:r>
    </w:p>
    <w:p w:rsidR="00042DF5" w:rsidRPr="00E47300" w:rsidRDefault="00042DF5" w:rsidP="008E3A96">
      <w:pPr>
        <w:widowControl/>
        <w:ind w:left="720"/>
        <w:rPr>
          <w:color w:val="000000"/>
          <w:sz w:val="24"/>
        </w:rPr>
      </w:pPr>
    </w:p>
    <w:p w:rsidR="00042DF5" w:rsidRPr="00E47300" w:rsidRDefault="00042DF5" w:rsidP="008E3A96">
      <w:pPr>
        <w:widowControl/>
        <w:ind w:left="720"/>
        <w:rPr>
          <w:color w:val="000000"/>
          <w:sz w:val="24"/>
        </w:rPr>
      </w:pPr>
      <w:r w:rsidRPr="00E47300">
        <w:rPr>
          <w:color w:val="000000"/>
          <w:sz w:val="24"/>
        </w:rPr>
        <w:t>Victoria confirmed that Lakewood College opted into Subpart K and is an SQG.  The school has 20-25 labs and no central accumulation area.  The school’s laboratories generate 150-200 containers of hazardous waste per year.  She does not have an estimate of the number of hours it took to develop the school’s LMP.  The school has not conducted any laboratory clean-outs.</w:t>
      </w:r>
    </w:p>
    <w:p w:rsidR="00042DF5" w:rsidRPr="00E47300" w:rsidRDefault="00042DF5" w:rsidP="008E3A96">
      <w:pPr>
        <w:widowControl/>
        <w:ind w:left="720"/>
        <w:rPr>
          <w:color w:val="000000"/>
          <w:sz w:val="24"/>
        </w:rPr>
      </w:pPr>
    </w:p>
    <w:p w:rsidR="00042DF5" w:rsidRPr="00E47300" w:rsidRDefault="00042DF5" w:rsidP="008E3A96">
      <w:pPr>
        <w:widowControl/>
        <w:ind w:left="720"/>
        <w:rPr>
          <w:color w:val="000000"/>
          <w:sz w:val="24"/>
        </w:rPr>
      </w:pPr>
      <w:r w:rsidRPr="00E47300">
        <w:rPr>
          <w:color w:val="000000"/>
          <w:sz w:val="24"/>
        </w:rPr>
        <w:lastRenderedPageBreak/>
        <w:t>Victoria informed us that Philadelphia University, an SQG, is in the process of opting into Subpart K.  The school has 40-45 laboratories, with 30 more opening over the next 2 years.  The school does not have a central accumulation area currently, but plans to establish one.  She estimates that the school’s laboratories generate 12-15 drums and 300 containers of hazardous waste per year.  The school’s LMP is currently under development and they have not yet conducted any laboratory clean-outs.</w:t>
      </w:r>
    </w:p>
    <w:p w:rsidR="00042DF5" w:rsidRPr="00E47300" w:rsidRDefault="00042DF5" w:rsidP="008E3A96">
      <w:pPr>
        <w:widowControl/>
        <w:ind w:left="720"/>
        <w:rPr>
          <w:color w:val="000000"/>
          <w:sz w:val="24"/>
        </w:rPr>
      </w:pPr>
    </w:p>
    <w:p w:rsidR="00042DF5" w:rsidRPr="00E47300" w:rsidRDefault="00042DF5" w:rsidP="008E3A96">
      <w:pPr>
        <w:widowControl/>
        <w:jc w:val="center"/>
        <w:rPr>
          <w:color w:val="000000"/>
          <w:sz w:val="24"/>
        </w:rPr>
      </w:pPr>
    </w:p>
    <w:p w:rsidR="00042DF5" w:rsidRPr="00E47300" w:rsidRDefault="00042DF5" w:rsidP="008E3A96">
      <w:pPr>
        <w:widowControl/>
        <w:jc w:val="center"/>
        <w:rPr>
          <w:color w:val="000000"/>
          <w:sz w:val="24"/>
        </w:rPr>
      </w:pPr>
      <w:r w:rsidRPr="00E47300">
        <w:rPr>
          <w:b/>
          <w:color w:val="000000"/>
          <w:sz w:val="24"/>
          <w:u w:val="single"/>
        </w:rPr>
        <w:t>Estimates of Burden</w:t>
      </w:r>
    </w:p>
    <w:p w:rsidR="00042DF5" w:rsidRPr="00E47300" w:rsidRDefault="00042DF5" w:rsidP="008E3A96">
      <w:pPr>
        <w:widowControl/>
        <w:rPr>
          <w:color w:val="000000"/>
          <w:sz w:val="24"/>
        </w:rPr>
      </w:pPr>
    </w:p>
    <w:p w:rsidR="00042DF5" w:rsidRPr="00E47300" w:rsidRDefault="00042DF5" w:rsidP="008E3A96">
      <w:pPr>
        <w:widowControl/>
        <w:rPr>
          <w:color w:val="000000"/>
          <w:sz w:val="24"/>
        </w:rPr>
      </w:pPr>
      <w:r w:rsidRPr="00E47300">
        <w:rPr>
          <w:color w:val="000000"/>
          <w:sz w:val="24"/>
        </w:rPr>
        <w:tab/>
        <w:t>The estimates of burden associated with all regulatory activities identified in the Academic Laboratories ICR are updated based on the information obtained from the six consultations described above.  If no information was obtained or available on an activity, it was assumed that the burden information contained in the previous pertinent ICR (</w:t>
      </w:r>
      <w:r w:rsidR="00881F0B" w:rsidRPr="00E47300">
        <w:rPr>
          <w:bCs/>
          <w:color w:val="000000"/>
          <w:sz w:val="24"/>
        </w:rPr>
        <w:t>2317.01</w:t>
      </w:r>
      <w:r w:rsidRPr="00E47300">
        <w:rPr>
          <w:color w:val="000000"/>
          <w:sz w:val="24"/>
        </w:rPr>
        <w:t>) did not change for that activity.  For this renewal, it was assumed that all LQGs have a central accumulation area because the waste quantities generated necessitate one and that no CESQGs have a central accumulation area, because the regulations do not provide for one.</w:t>
      </w:r>
    </w:p>
    <w:p w:rsidR="00042DF5" w:rsidRPr="00E47300" w:rsidRDefault="00042DF5" w:rsidP="008E3A96">
      <w:pPr>
        <w:widowControl/>
        <w:rPr>
          <w:color w:val="000000"/>
          <w:sz w:val="24"/>
        </w:rPr>
      </w:pPr>
    </w:p>
    <w:p w:rsidR="00042DF5" w:rsidRPr="00E47300" w:rsidRDefault="00042DF5" w:rsidP="008E3A96">
      <w:pPr>
        <w:widowControl/>
        <w:rPr>
          <w:color w:val="000000"/>
          <w:sz w:val="24"/>
        </w:rPr>
      </w:pPr>
      <w:r w:rsidRPr="00E47300">
        <w:rPr>
          <w:color w:val="000000"/>
          <w:sz w:val="24"/>
        </w:rPr>
        <w:tab/>
        <w:t>In several cases during the consultations, a range was given for the number of laboratories at an eligible academic entity.  In these cases, the average was taken to establish the number of laboratories.  Only one consultation was with an eligible academic entity that is an LQG.  It has a central accumulation area, and 850 laboratories, so it is a large LQG.  Seven sites are SQGs.  Five of the SQG sites have central accumulation areas, three of which have more than 50 laboratories, 2 of which of less than 50 laboratories.  Two of the SQG sites do not have central accumulation areas and both have fewer than 50 laboratories so they are considered small SQGs.  Only one of the sites consulted was a CESQG.  It did not have a central accumulation area and with only 10 laboratories, it is considered a small CESQG.  For categories of schools and hospitals not represented via consultations, the number of laboratories is assumed to be the same as in the previous pertinent ICR.</w:t>
      </w:r>
    </w:p>
    <w:p w:rsidR="00042DF5" w:rsidRPr="00E47300" w:rsidRDefault="00042DF5" w:rsidP="008E3A96">
      <w:pPr>
        <w:widowControl/>
        <w:rPr>
          <w:color w:val="000000"/>
          <w:sz w:val="24"/>
        </w:rPr>
      </w:pPr>
    </w:p>
    <w:p w:rsidR="00042DF5" w:rsidRPr="00E47300" w:rsidRDefault="00042DF5" w:rsidP="008E3A96">
      <w:pPr>
        <w:widowControl/>
        <w:rPr>
          <w:color w:val="000000"/>
          <w:sz w:val="24"/>
        </w:rPr>
      </w:pPr>
      <w:r w:rsidRPr="00E47300">
        <w:rPr>
          <w:color w:val="000000"/>
          <w:sz w:val="24"/>
        </w:rPr>
        <w:tab/>
        <w:t xml:space="preserve">When asked how many containers of hazardous waste are generated in the laboratories each year, respondents provided answers in ranges and in various units.  For example, the University of Utah said they generate 22-28 55-gallon drums per month.  To arrive at a number of containers when a range was given, the average was taken to establish the number of containers.  To convert 55-gallon drums to a number of containers per year, we assumed that the average container size for collecting hazardous waste in a laboratory is 1 gallon.  Therefore, each 55-gallon drum generated equates to 55 1-gallons containers. The consultant for MSOE also reported the volume of hazardous waste at the CESQG site in the number of 55-gallon drums it generates.  The same conversion was used for MSOE.  Butler University provided its estimate of hazardous waste in pounds.  To convert this to a number of containers, it was assumed that each 1-gallon container weighs 8 pounds (the approximate weight of a gallon of water).  Gateway University Research Park indicated that since the facility just opened in December 2011, it does not have an estimate of the number of containers of hazardous waste its laboratories generate, so this was excluded.  Southern Arkansas University stated that it does not routinely generate containers of hazardous waste except during laboratory clean-outs, so the number of containers per year is assumed to be zero.  </w:t>
      </w:r>
    </w:p>
    <w:p w:rsidR="00042DF5" w:rsidRPr="00E47300" w:rsidRDefault="00042DF5" w:rsidP="008E3A96">
      <w:pPr>
        <w:widowControl/>
        <w:rPr>
          <w:color w:val="000000"/>
          <w:sz w:val="24"/>
        </w:rPr>
      </w:pPr>
    </w:p>
    <w:p w:rsidR="00042DF5" w:rsidRPr="00E47300" w:rsidRDefault="00042DF5" w:rsidP="008E3A96">
      <w:pPr>
        <w:widowControl/>
        <w:rPr>
          <w:color w:val="000000"/>
          <w:sz w:val="24"/>
        </w:rPr>
      </w:pPr>
      <w:r w:rsidRPr="00E47300">
        <w:rPr>
          <w:color w:val="000000"/>
          <w:sz w:val="24"/>
        </w:rPr>
        <w:tab/>
        <w:t xml:space="preserve">When calculating the average number of hours that it took an eligible academic entity to develop its LMP, the following assumptions were made.  If an answer was provided that was a range, an average was taken to establish the number of hours.  Butler University reported their answer in “working days.”  It was assumed that a working day was eight hours.  If a respondent indicated that the LMP was developed as part of updating its OSHA CHP, the number of hours reported was divided by two; half the time was assumed to be taken to develop or update the CHP and half the time was assumed to be taken to develop the LMP.  Most respondents indicated that they wrote the LMP and management reviewed it.  It was assumed that the bulk of the time was spend writing the LMP (7/8 of the time) and a much small portion was spent reviewing it (1/8 of the time).  Jeremy Kuhar of Gettysburg College said that his time estimate included reading the Federal Register notice, so two hours was subtracted to account for this.  The number of hours for reviewing and making revisions to the LMP as well as making it available to others is assumed to be the same as in the previous pertinent ICR.  </w:t>
      </w:r>
    </w:p>
    <w:p w:rsidR="00042DF5" w:rsidRPr="00E47300" w:rsidRDefault="00042DF5" w:rsidP="008E3A96">
      <w:pPr>
        <w:widowControl/>
        <w:rPr>
          <w:color w:val="000000"/>
          <w:sz w:val="24"/>
        </w:rPr>
      </w:pPr>
    </w:p>
    <w:p w:rsidR="00AC7014" w:rsidRPr="00E47300" w:rsidRDefault="00331A26" w:rsidP="008E3A96">
      <w:pPr>
        <w:widowControl/>
        <w:jc w:val="center"/>
        <w:rPr>
          <w:color w:val="000000"/>
          <w:sz w:val="32"/>
          <w:szCs w:val="32"/>
        </w:rPr>
      </w:pPr>
      <w:r w:rsidRPr="00E47300">
        <w:rPr>
          <w:color w:val="000000"/>
        </w:rPr>
        <w:br w:type="page"/>
      </w:r>
      <w:r w:rsidR="00AC7014" w:rsidRPr="00E47300">
        <w:rPr>
          <w:b/>
          <w:bCs/>
          <w:color w:val="000000"/>
          <w:sz w:val="32"/>
          <w:szCs w:val="32"/>
        </w:rPr>
        <w:lastRenderedPageBreak/>
        <w:t>ATTACHMENT 2</w:t>
      </w:r>
    </w:p>
    <w:p w:rsidR="00AC7014" w:rsidRPr="00E47300" w:rsidRDefault="00AC7014" w:rsidP="008E3A96">
      <w:pPr>
        <w:widowControl/>
        <w:rPr>
          <w:color w:val="000000"/>
          <w:sz w:val="24"/>
        </w:rPr>
      </w:pPr>
    </w:p>
    <w:p w:rsidR="002D0FCF" w:rsidRPr="00E47300" w:rsidRDefault="002D0FCF" w:rsidP="008E3A96">
      <w:pPr>
        <w:widowControl/>
        <w:rPr>
          <w:color w:val="000000"/>
          <w:sz w:val="24"/>
        </w:rPr>
      </w:pPr>
    </w:p>
    <w:p w:rsidR="002D0FCF" w:rsidRPr="00E47300" w:rsidRDefault="002D0FCF" w:rsidP="008E3A96">
      <w:pPr>
        <w:widowControl/>
        <w:jc w:val="center"/>
        <w:rPr>
          <w:b/>
          <w:color w:val="000000"/>
          <w:sz w:val="28"/>
          <w:szCs w:val="28"/>
          <w:u w:val="single"/>
        </w:rPr>
      </w:pPr>
      <w:r w:rsidRPr="00E47300">
        <w:rPr>
          <w:b/>
          <w:color w:val="000000"/>
          <w:sz w:val="28"/>
          <w:szCs w:val="28"/>
          <w:u w:val="single"/>
        </w:rPr>
        <w:t>Summary of Universe Calculations</w:t>
      </w:r>
    </w:p>
    <w:p w:rsidR="002D0FCF" w:rsidRPr="00E47300" w:rsidRDefault="002D0FCF" w:rsidP="008E3A96">
      <w:pPr>
        <w:widowControl/>
        <w:rPr>
          <w:color w:val="000000"/>
          <w:sz w:val="24"/>
        </w:rPr>
      </w:pPr>
    </w:p>
    <w:p w:rsidR="00042DF5" w:rsidRPr="00E47300" w:rsidRDefault="00042DF5" w:rsidP="008E3A96">
      <w:pPr>
        <w:widowControl/>
        <w:rPr>
          <w:color w:val="000000"/>
          <w:sz w:val="24"/>
        </w:rPr>
      </w:pPr>
    </w:p>
    <w:p w:rsidR="00042DF5" w:rsidRPr="00E47300" w:rsidRDefault="00042DF5" w:rsidP="008E3A96">
      <w:pPr>
        <w:widowControl/>
        <w:ind w:firstLine="720"/>
        <w:rPr>
          <w:color w:val="000000"/>
          <w:sz w:val="24"/>
        </w:rPr>
      </w:pPr>
      <w:r w:rsidRPr="00E47300">
        <w:rPr>
          <w:color w:val="000000"/>
          <w:sz w:val="24"/>
        </w:rPr>
        <w:t xml:space="preserve">The Academic Laboratories Rule (the “Labs Rule” or “Subpart K”) was finalized in December 2008.  It is optional for eligible academic entities to use the Labs Rule in lieu of standard RCRA generator regulations.  Since the rule became effective, 39 eligible academic entities have opted into the rule, according to the data in </w:t>
      </w:r>
      <w:r w:rsidRPr="00E47300">
        <w:rPr>
          <w:color w:val="000000"/>
          <w:sz w:val="24"/>
          <w:lang/>
        </w:rPr>
        <w:t xml:space="preserve">Resource Conservation and Recovery Act Information </w:t>
      </w:r>
      <w:r w:rsidRPr="00E47300">
        <w:rPr>
          <w:color w:val="000000"/>
          <w:sz w:val="24"/>
        </w:rPr>
        <w:t>(RCRAInfo) national database</w:t>
      </w:r>
      <w:r w:rsidRPr="00E47300">
        <w:rPr>
          <w:rStyle w:val="FootnoteReference"/>
          <w:color w:val="000000"/>
          <w:sz w:val="24"/>
          <w:vertAlign w:val="superscript"/>
        </w:rPr>
        <w:footnoteReference w:id="15"/>
      </w:r>
      <w:r w:rsidRPr="00E47300">
        <w:rPr>
          <w:color w:val="000000"/>
          <w:sz w:val="24"/>
        </w:rPr>
        <w:t xml:space="preserve">.  The generator status of each of the 39 facilities was also determined using data available in RCRAInfo.  Two of the eligible academic entities did not have a generator status listed in RCRAInfo.  These two were eliminated from the universe calculations.  </w:t>
      </w:r>
    </w:p>
    <w:p w:rsidR="00042DF5" w:rsidRPr="00E47300" w:rsidRDefault="00042DF5" w:rsidP="008E3A96">
      <w:pPr>
        <w:widowControl/>
        <w:rPr>
          <w:color w:val="000000"/>
          <w:sz w:val="24"/>
        </w:rPr>
      </w:pPr>
      <w:r w:rsidRPr="00E47300">
        <w:rPr>
          <w:color w:val="000000"/>
          <w:sz w:val="24"/>
        </w:rPr>
        <w:t> </w:t>
      </w:r>
    </w:p>
    <w:p w:rsidR="00042DF5" w:rsidRPr="00E47300" w:rsidRDefault="00042DF5" w:rsidP="008E3A96">
      <w:pPr>
        <w:widowControl/>
        <w:rPr>
          <w:rStyle w:val="Strong"/>
          <w:color w:val="000000"/>
          <w:sz w:val="24"/>
        </w:rPr>
      </w:pPr>
      <w:r w:rsidRPr="00E47300">
        <w:rPr>
          <w:rStyle w:val="Strong"/>
          <w:color w:val="000000"/>
          <w:sz w:val="24"/>
        </w:rPr>
        <w:t>Eligible Academic Entities (EAEs) Opting into Subpart K, cumulative by year</w:t>
      </w:r>
    </w:p>
    <w:p w:rsidR="00042DF5" w:rsidRPr="00E47300" w:rsidRDefault="00042DF5" w:rsidP="008E3A96">
      <w:pPr>
        <w:widowControl/>
        <w:rPr>
          <w:color w:val="000000"/>
          <w:sz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4140"/>
      </w:tblGrid>
      <w:tr w:rsidR="00042DF5" w:rsidRPr="00E47300" w:rsidTr="00042DF5">
        <w:tc>
          <w:tcPr>
            <w:tcW w:w="2610" w:type="dxa"/>
          </w:tcPr>
          <w:p w:rsidR="00042DF5" w:rsidRPr="00E47300" w:rsidRDefault="00042DF5" w:rsidP="008E3A96">
            <w:pPr>
              <w:widowControl/>
              <w:jc w:val="center"/>
              <w:rPr>
                <w:b/>
                <w:color w:val="000000"/>
                <w:sz w:val="24"/>
              </w:rPr>
            </w:pPr>
            <w:r w:rsidRPr="00E47300">
              <w:rPr>
                <w:b/>
                <w:color w:val="000000"/>
                <w:sz w:val="24"/>
              </w:rPr>
              <w:t>Year</w:t>
            </w:r>
          </w:p>
        </w:tc>
        <w:tc>
          <w:tcPr>
            <w:tcW w:w="4140" w:type="dxa"/>
          </w:tcPr>
          <w:p w:rsidR="00042DF5" w:rsidRPr="00E47300" w:rsidRDefault="00042DF5" w:rsidP="008E3A96">
            <w:pPr>
              <w:widowControl/>
              <w:jc w:val="center"/>
              <w:rPr>
                <w:b/>
                <w:color w:val="000000"/>
                <w:sz w:val="24"/>
              </w:rPr>
            </w:pPr>
            <w:r w:rsidRPr="00E47300">
              <w:rPr>
                <w:b/>
                <w:color w:val="000000"/>
                <w:sz w:val="24"/>
              </w:rPr>
              <w:t>EAEs opting in (cumulative)</w:t>
            </w:r>
          </w:p>
        </w:tc>
      </w:tr>
      <w:tr w:rsidR="00042DF5" w:rsidRPr="00E47300" w:rsidTr="00042DF5">
        <w:tc>
          <w:tcPr>
            <w:tcW w:w="2610" w:type="dxa"/>
          </w:tcPr>
          <w:p w:rsidR="00042DF5" w:rsidRPr="00E47300" w:rsidRDefault="00042DF5" w:rsidP="008E3A96">
            <w:pPr>
              <w:widowControl/>
              <w:jc w:val="center"/>
              <w:rPr>
                <w:color w:val="000000"/>
                <w:sz w:val="24"/>
              </w:rPr>
            </w:pPr>
            <w:r w:rsidRPr="00E47300">
              <w:rPr>
                <w:color w:val="000000"/>
                <w:sz w:val="24"/>
              </w:rPr>
              <w:t>2009</w:t>
            </w:r>
          </w:p>
        </w:tc>
        <w:tc>
          <w:tcPr>
            <w:tcW w:w="4140" w:type="dxa"/>
          </w:tcPr>
          <w:p w:rsidR="00042DF5" w:rsidRPr="00E47300" w:rsidRDefault="00042DF5" w:rsidP="008E3A96">
            <w:pPr>
              <w:widowControl/>
              <w:jc w:val="center"/>
              <w:rPr>
                <w:color w:val="000000"/>
                <w:sz w:val="24"/>
              </w:rPr>
            </w:pPr>
            <w:r w:rsidRPr="00E47300">
              <w:rPr>
                <w:color w:val="000000"/>
                <w:sz w:val="24"/>
              </w:rPr>
              <w:t>1</w:t>
            </w:r>
          </w:p>
        </w:tc>
      </w:tr>
      <w:tr w:rsidR="00042DF5" w:rsidRPr="00E47300" w:rsidTr="00042DF5">
        <w:tc>
          <w:tcPr>
            <w:tcW w:w="2610" w:type="dxa"/>
          </w:tcPr>
          <w:p w:rsidR="00042DF5" w:rsidRPr="00E47300" w:rsidRDefault="00042DF5" w:rsidP="008E3A96">
            <w:pPr>
              <w:widowControl/>
              <w:jc w:val="center"/>
              <w:rPr>
                <w:color w:val="000000"/>
                <w:sz w:val="24"/>
              </w:rPr>
            </w:pPr>
            <w:r w:rsidRPr="00E47300">
              <w:rPr>
                <w:color w:val="000000"/>
                <w:sz w:val="24"/>
              </w:rPr>
              <w:t>2010</w:t>
            </w:r>
          </w:p>
        </w:tc>
        <w:tc>
          <w:tcPr>
            <w:tcW w:w="4140" w:type="dxa"/>
          </w:tcPr>
          <w:p w:rsidR="00042DF5" w:rsidRPr="00E47300" w:rsidRDefault="00042DF5" w:rsidP="008E3A96">
            <w:pPr>
              <w:widowControl/>
              <w:jc w:val="center"/>
              <w:rPr>
                <w:color w:val="000000"/>
                <w:sz w:val="24"/>
              </w:rPr>
            </w:pPr>
            <w:r w:rsidRPr="00E47300">
              <w:rPr>
                <w:color w:val="000000"/>
                <w:sz w:val="24"/>
              </w:rPr>
              <w:t>19</w:t>
            </w:r>
            <w:r w:rsidRPr="00E47300">
              <w:rPr>
                <w:rStyle w:val="FootnoteReference"/>
                <w:color w:val="000000"/>
                <w:sz w:val="24"/>
              </w:rPr>
              <w:footnoteReference w:customMarkFollows="1" w:id="16"/>
              <w:sym w:font="Symbol" w:char="F02A"/>
            </w:r>
          </w:p>
        </w:tc>
      </w:tr>
      <w:tr w:rsidR="00042DF5" w:rsidRPr="00E47300" w:rsidTr="00042DF5">
        <w:tc>
          <w:tcPr>
            <w:tcW w:w="2610" w:type="dxa"/>
          </w:tcPr>
          <w:p w:rsidR="00042DF5" w:rsidRPr="00E47300" w:rsidRDefault="00042DF5" w:rsidP="008E3A96">
            <w:pPr>
              <w:widowControl/>
              <w:jc w:val="center"/>
              <w:rPr>
                <w:color w:val="000000"/>
                <w:sz w:val="24"/>
              </w:rPr>
            </w:pPr>
            <w:r w:rsidRPr="00E47300">
              <w:rPr>
                <w:color w:val="000000"/>
                <w:sz w:val="24"/>
              </w:rPr>
              <w:t>2011</w:t>
            </w:r>
          </w:p>
        </w:tc>
        <w:tc>
          <w:tcPr>
            <w:tcW w:w="4140" w:type="dxa"/>
          </w:tcPr>
          <w:p w:rsidR="00042DF5" w:rsidRPr="00E47300" w:rsidRDefault="00042DF5" w:rsidP="008E3A96">
            <w:pPr>
              <w:widowControl/>
              <w:jc w:val="center"/>
              <w:rPr>
                <w:color w:val="000000"/>
                <w:sz w:val="24"/>
              </w:rPr>
            </w:pPr>
            <w:r w:rsidRPr="00E47300">
              <w:rPr>
                <w:color w:val="000000"/>
                <w:sz w:val="24"/>
              </w:rPr>
              <w:t>28</w:t>
            </w:r>
            <w:r w:rsidRPr="00E47300">
              <w:rPr>
                <w:rStyle w:val="FootnoteReference"/>
                <w:color w:val="000000"/>
                <w:sz w:val="24"/>
              </w:rPr>
              <w:footnoteReference w:customMarkFollows="1" w:id="17"/>
              <w:sym w:font="Symbol" w:char="F02A"/>
            </w:r>
          </w:p>
        </w:tc>
      </w:tr>
      <w:tr w:rsidR="00042DF5" w:rsidRPr="00E47300" w:rsidTr="00042DF5">
        <w:tc>
          <w:tcPr>
            <w:tcW w:w="2610" w:type="dxa"/>
          </w:tcPr>
          <w:p w:rsidR="00042DF5" w:rsidRPr="00E47300" w:rsidRDefault="00042DF5" w:rsidP="008E3A96">
            <w:pPr>
              <w:widowControl/>
              <w:jc w:val="center"/>
              <w:rPr>
                <w:color w:val="000000"/>
                <w:sz w:val="24"/>
              </w:rPr>
            </w:pPr>
            <w:r w:rsidRPr="00E47300">
              <w:rPr>
                <w:color w:val="000000"/>
                <w:sz w:val="24"/>
              </w:rPr>
              <w:t>2012</w:t>
            </w:r>
          </w:p>
        </w:tc>
        <w:tc>
          <w:tcPr>
            <w:tcW w:w="4140" w:type="dxa"/>
          </w:tcPr>
          <w:p w:rsidR="00042DF5" w:rsidRPr="00E47300" w:rsidRDefault="00042DF5" w:rsidP="008E3A96">
            <w:pPr>
              <w:widowControl/>
              <w:jc w:val="center"/>
              <w:rPr>
                <w:color w:val="000000"/>
                <w:sz w:val="24"/>
              </w:rPr>
            </w:pPr>
            <w:r w:rsidRPr="00E47300">
              <w:rPr>
                <w:color w:val="000000"/>
                <w:sz w:val="24"/>
              </w:rPr>
              <w:t>37 (as of May 3, 2012)</w:t>
            </w:r>
          </w:p>
        </w:tc>
      </w:tr>
    </w:tbl>
    <w:p w:rsidR="00042DF5" w:rsidRPr="00E47300" w:rsidRDefault="00042DF5" w:rsidP="008E3A96">
      <w:pPr>
        <w:widowControl/>
        <w:rPr>
          <w:color w:val="000000"/>
          <w:sz w:val="24"/>
        </w:rPr>
      </w:pPr>
      <w:r w:rsidRPr="00E47300">
        <w:rPr>
          <w:color w:val="000000"/>
          <w:sz w:val="24"/>
        </w:rPr>
        <w:t> </w:t>
      </w:r>
    </w:p>
    <w:p w:rsidR="00042DF5" w:rsidRPr="00E47300" w:rsidRDefault="00042DF5" w:rsidP="008E3A96">
      <w:pPr>
        <w:widowControl/>
        <w:rPr>
          <w:rStyle w:val="Strong"/>
          <w:color w:val="000000"/>
          <w:sz w:val="24"/>
        </w:rPr>
      </w:pPr>
      <w:r w:rsidRPr="00E47300">
        <w:rPr>
          <w:rStyle w:val="Strong"/>
          <w:color w:val="000000"/>
          <w:sz w:val="24"/>
        </w:rPr>
        <w:t>Eligible Academic Entities (EAEs) Opting into Subpart K, by year:</w:t>
      </w:r>
    </w:p>
    <w:p w:rsidR="00042DF5" w:rsidRPr="00E47300" w:rsidRDefault="00042DF5" w:rsidP="008E3A96">
      <w:pPr>
        <w:widowControl/>
        <w:rPr>
          <w:rStyle w:val="Strong"/>
          <w:color w:val="000000"/>
          <w:sz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4140"/>
      </w:tblGrid>
      <w:tr w:rsidR="00042DF5" w:rsidRPr="00E47300" w:rsidTr="00042DF5">
        <w:tc>
          <w:tcPr>
            <w:tcW w:w="2610" w:type="dxa"/>
          </w:tcPr>
          <w:p w:rsidR="00042DF5" w:rsidRPr="00E47300" w:rsidRDefault="00042DF5" w:rsidP="008E3A96">
            <w:pPr>
              <w:widowControl/>
              <w:jc w:val="center"/>
              <w:rPr>
                <w:b/>
                <w:color w:val="000000"/>
                <w:sz w:val="24"/>
              </w:rPr>
            </w:pPr>
            <w:r w:rsidRPr="00E47300">
              <w:rPr>
                <w:b/>
                <w:color w:val="000000"/>
                <w:sz w:val="24"/>
              </w:rPr>
              <w:t>Year</w:t>
            </w:r>
          </w:p>
        </w:tc>
        <w:tc>
          <w:tcPr>
            <w:tcW w:w="4140" w:type="dxa"/>
          </w:tcPr>
          <w:p w:rsidR="00042DF5" w:rsidRPr="00E47300" w:rsidRDefault="00042DF5" w:rsidP="008E3A96">
            <w:pPr>
              <w:widowControl/>
              <w:jc w:val="center"/>
              <w:rPr>
                <w:b/>
                <w:color w:val="000000"/>
                <w:sz w:val="24"/>
              </w:rPr>
            </w:pPr>
            <w:r w:rsidRPr="00E47300">
              <w:rPr>
                <w:b/>
                <w:color w:val="000000"/>
                <w:sz w:val="24"/>
              </w:rPr>
              <w:t>EAEs opting in each year</w:t>
            </w:r>
          </w:p>
        </w:tc>
      </w:tr>
      <w:tr w:rsidR="00042DF5" w:rsidRPr="00E47300" w:rsidTr="00042DF5">
        <w:tc>
          <w:tcPr>
            <w:tcW w:w="2610" w:type="dxa"/>
          </w:tcPr>
          <w:p w:rsidR="00042DF5" w:rsidRPr="00E47300" w:rsidRDefault="00042DF5" w:rsidP="008E3A96">
            <w:pPr>
              <w:widowControl/>
              <w:jc w:val="center"/>
              <w:rPr>
                <w:color w:val="000000"/>
                <w:sz w:val="24"/>
              </w:rPr>
            </w:pPr>
            <w:r w:rsidRPr="00E47300">
              <w:rPr>
                <w:color w:val="000000"/>
                <w:sz w:val="24"/>
              </w:rPr>
              <w:t>2009</w:t>
            </w:r>
          </w:p>
        </w:tc>
        <w:tc>
          <w:tcPr>
            <w:tcW w:w="4140" w:type="dxa"/>
          </w:tcPr>
          <w:p w:rsidR="00042DF5" w:rsidRPr="00E47300" w:rsidRDefault="00042DF5" w:rsidP="008E3A96">
            <w:pPr>
              <w:widowControl/>
              <w:jc w:val="center"/>
              <w:rPr>
                <w:color w:val="000000"/>
                <w:sz w:val="24"/>
              </w:rPr>
            </w:pPr>
            <w:r w:rsidRPr="00E47300">
              <w:rPr>
                <w:color w:val="000000"/>
                <w:sz w:val="24"/>
              </w:rPr>
              <w:t>1</w:t>
            </w:r>
          </w:p>
        </w:tc>
      </w:tr>
      <w:tr w:rsidR="00042DF5" w:rsidRPr="00E47300" w:rsidTr="00042DF5">
        <w:tc>
          <w:tcPr>
            <w:tcW w:w="2610" w:type="dxa"/>
          </w:tcPr>
          <w:p w:rsidR="00042DF5" w:rsidRPr="00E47300" w:rsidRDefault="00042DF5" w:rsidP="008E3A96">
            <w:pPr>
              <w:widowControl/>
              <w:jc w:val="center"/>
              <w:rPr>
                <w:color w:val="000000"/>
                <w:sz w:val="24"/>
              </w:rPr>
            </w:pPr>
            <w:r w:rsidRPr="00E47300">
              <w:rPr>
                <w:color w:val="000000"/>
                <w:sz w:val="24"/>
              </w:rPr>
              <w:t>2010</w:t>
            </w:r>
          </w:p>
        </w:tc>
        <w:tc>
          <w:tcPr>
            <w:tcW w:w="4140" w:type="dxa"/>
          </w:tcPr>
          <w:p w:rsidR="00042DF5" w:rsidRPr="00E47300" w:rsidRDefault="00042DF5" w:rsidP="008E3A96">
            <w:pPr>
              <w:widowControl/>
              <w:jc w:val="center"/>
              <w:rPr>
                <w:color w:val="000000"/>
                <w:sz w:val="24"/>
              </w:rPr>
            </w:pPr>
            <w:r w:rsidRPr="00E47300">
              <w:rPr>
                <w:color w:val="000000"/>
                <w:sz w:val="24"/>
              </w:rPr>
              <w:t>18</w:t>
            </w:r>
          </w:p>
        </w:tc>
      </w:tr>
      <w:tr w:rsidR="00042DF5" w:rsidRPr="00E47300" w:rsidTr="00042DF5">
        <w:tc>
          <w:tcPr>
            <w:tcW w:w="2610" w:type="dxa"/>
          </w:tcPr>
          <w:p w:rsidR="00042DF5" w:rsidRPr="00E47300" w:rsidRDefault="00042DF5" w:rsidP="008E3A96">
            <w:pPr>
              <w:widowControl/>
              <w:jc w:val="center"/>
              <w:rPr>
                <w:color w:val="000000"/>
                <w:sz w:val="24"/>
              </w:rPr>
            </w:pPr>
            <w:r w:rsidRPr="00E47300">
              <w:rPr>
                <w:color w:val="000000"/>
                <w:sz w:val="24"/>
              </w:rPr>
              <w:t>2011</w:t>
            </w:r>
          </w:p>
        </w:tc>
        <w:tc>
          <w:tcPr>
            <w:tcW w:w="4140" w:type="dxa"/>
          </w:tcPr>
          <w:p w:rsidR="00042DF5" w:rsidRPr="00E47300" w:rsidRDefault="00042DF5" w:rsidP="008E3A96">
            <w:pPr>
              <w:widowControl/>
              <w:jc w:val="center"/>
              <w:rPr>
                <w:color w:val="000000"/>
                <w:sz w:val="24"/>
              </w:rPr>
            </w:pPr>
            <w:r w:rsidRPr="00E47300">
              <w:rPr>
                <w:color w:val="000000"/>
                <w:sz w:val="24"/>
              </w:rPr>
              <w:t>9</w:t>
            </w:r>
          </w:p>
        </w:tc>
      </w:tr>
      <w:tr w:rsidR="00042DF5" w:rsidRPr="00E47300" w:rsidTr="00042DF5">
        <w:tc>
          <w:tcPr>
            <w:tcW w:w="2610" w:type="dxa"/>
          </w:tcPr>
          <w:p w:rsidR="00042DF5" w:rsidRPr="00E47300" w:rsidRDefault="00042DF5" w:rsidP="008E3A96">
            <w:pPr>
              <w:widowControl/>
              <w:jc w:val="center"/>
              <w:rPr>
                <w:color w:val="000000"/>
                <w:sz w:val="24"/>
              </w:rPr>
            </w:pPr>
            <w:r w:rsidRPr="00E47300">
              <w:rPr>
                <w:color w:val="000000"/>
                <w:sz w:val="24"/>
              </w:rPr>
              <w:t>2012</w:t>
            </w:r>
          </w:p>
        </w:tc>
        <w:tc>
          <w:tcPr>
            <w:tcW w:w="4140" w:type="dxa"/>
          </w:tcPr>
          <w:p w:rsidR="00042DF5" w:rsidRPr="00E47300" w:rsidRDefault="00042DF5" w:rsidP="008E3A96">
            <w:pPr>
              <w:widowControl/>
              <w:jc w:val="center"/>
              <w:rPr>
                <w:color w:val="000000"/>
                <w:sz w:val="24"/>
              </w:rPr>
            </w:pPr>
            <w:r w:rsidRPr="00E47300">
              <w:rPr>
                <w:color w:val="000000"/>
                <w:sz w:val="24"/>
              </w:rPr>
              <w:t>9 (as of May 3, 2012)</w:t>
            </w:r>
          </w:p>
          <w:p w:rsidR="00042DF5" w:rsidRPr="00E47300" w:rsidRDefault="00042DF5" w:rsidP="008E3A96">
            <w:pPr>
              <w:widowControl/>
              <w:jc w:val="center"/>
              <w:rPr>
                <w:color w:val="000000"/>
                <w:sz w:val="24"/>
              </w:rPr>
            </w:pPr>
            <w:r w:rsidRPr="00E47300">
              <w:rPr>
                <w:color w:val="000000"/>
                <w:sz w:val="24"/>
              </w:rPr>
              <w:t>22 (projected for all of 2012)</w:t>
            </w:r>
          </w:p>
        </w:tc>
      </w:tr>
    </w:tbl>
    <w:p w:rsidR="00042DF5" w:rsidRPr="00E47300" w:rsidRDefault="00042DF5" w:rsidP="008E3A96">
      <w:pPr>
        <w:widowControl/>
        <w:rPr>
          <w:color w:val="000000"/>
          <w:sz w:val="24"/>
        </w:rPr>
      </w:pPr>
    </w:p>
    <w:p w:rsidR="00042DF5" w:rsidRPr="00E47300" w:rsidRDefault="00042DF5" w:rsidP="008E3A96">
      <w:pPr>
        <w:widowControl/>
        <w:rPr>
          <w:color w:val="000000"/>
          <w:sz w:val="24"/>
        </w:rPr>
      </w:pPr>
      <w:r w:rsidRPr="00E47300">
        <w:rPr>
          <w:color w:val="000000"/>
          <w:sz w:val="24"/>
        </w:rPr>
        <w:t> </w:t>
      </w:r>
    </w:p>
    <w:p w:rsidR="00042DF5" w:rsidRPr="00E47300" w:rsidRDefault="00042DF5" w:rsidP="008E3A96">
      <w:pPr>
        <w:widowControl/>
        <w:rPr>
          <w:b/>
          <w:color w:val="000000"/>
          <w:sz w:val="24"/>
        </w:rPr>
      </w:pPr>
      <w:r w:rsidRPr="00E47300">
        <w:rPr>
          <w:b/>
          <w:color w:val="000000"/>
          <w:sz w:val="24"/>
        </w:rPr>
        <w:t>Generator Status of Eligible Academic Entities (EAEs) that have Opted into Subpart K:</w:t>
      </w:r>
    </w:p>
    <w:p w:rsidR="00042DF5" w:rsidRPr="00E47300" w:rsidRDefault="00042DF5" w:rsidP="008E3A96">
      <w:pPr>
        <w:widowControl/>
        <w:rPr>
          <w:b/>
          <w:color w:val="000000"/>
          <w:sz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0"/>
        <w:gridCol w:w="2330"/>
        <w:gridCol w:w="2790"/>
      </w:tblGrid>
      <w:tr w:rsidR="00042DF5" w:rsidRPr="00E47300" w:rsidTr="00042DF5">
        <w:tc>
          <w:tcPr>
            <w:tcW w:w="2890" w:type="dxa"/>
          </w:tcPr>
          <w:p w:rsidR="00042DF5" w:rsidRPr="00E47300" w:rsidRDefault="00042DF5" w:rsidP="008E3A96">
            <w:pPr>
              <w:widowControl/>
              <w:jc w:val="center"/>
              <w:rPr>
                <w:b/>
                <w:color w:val="000000"/>
                <w:sz w:val="24"/>
              </w:rPr>
            </w:pPr>
            <w:r w:rsidRPr="00E47300">
              <w:rPr>
                <w:b/>
                <w:color w:val="000000"/>
                <w:sz w:val="24"/>
              </w:rPr>
              <w:lastRenderedPageBreak/>
              <w:t>Generator Status</w:t>
            </w:r>
          </w:p>
        </w:tc>
        <w:tc>
          <w:tcPr>
            <w:tcW w:w="2330" w:type="dxa"/>
          </w:tcPr>
          <w:p w:rsidR="00042DF5" w:rsidRPr="00E47300" w:rsidRDefault="00042DF5" w:rsidP="008E3A96">
            <w:pPr>
              <w:widowControl/>
              <w:jc w:val="center"/>
              <w:rPr>
                <w:b/>
                <w:color w:val="000000"/>
                <w:sz w:val="24"/>
              </w:rPr>
            </w:pPr>
            <w:r w:rsidRPr="00E47300">
              <w:rPr>
                <w:b/>
                <w:color w:val="000000"/>
                <w:sz w:val="24"/>
              </w:rPr>
              <w:t>Number of EAEs</w:t>
            </w:r>
          </w:p>
        </w:tc>
        <w:tc>
          <w:tcPr>
            <w:tcW w:w="2790" w:type="dxa"/>
          </w:tcPr>
          <w:p w:rsidR="00042DF5" w:rsidRPr="00E47300" w:rsidRDefault="00042DF5" w:rsidP="008E3A96">
            <w:pPr>
              <w:widowControl/>
              <w:jc w:val="center"/>
              <w:rPr>
                <w:b/>
                <w:color w:val="000000"/>
                <w:sz w:val="24"/>
              </w:rPr>
            </w:pPr>
            <w:r w:rsidRPr="00E47300">
              <w:rPr>
                <w:b/>
                <w:color w:val="000000"/>
                <w:sz w:val="24"/>
              </w:rPr>
              <w:t>Percent of total EAEs</w:t>
            </w:r>
          </w:p>
        </w:tc>
      </w:tr>
      <w:tr w:rsidR="00042DF5" w:rsidRPr="00E47300" w:rsidTr="00042DF5">
        <w:tc>
          <w:tcPr>
            <w:tcW w:w="2890" w:type="dxa"/>
          </w:tcPr>
          <w:p w:rsidR="00042DF5" w:rsidRPr="00E47300" w:rsidRDefault="00042DF5" w:rsidP="008E3A96">
            <w:pPr>
              <w:widowControl/>
              <w:jc w:val="center"/>
              <w:rPr>
                <w:color w:val="000000"/>
                <w:sz w:val="24"/>
              </w:rPr>
            </w:pPr>
            <w:r w:rsidRPr="00E47300">
              <w:rPr>
                <w:color w:val="000000"/>
                <w:sz w:val="24"/>
              </w:rPr>
              <w:t>LQG</w:t>
            </w:r>
          </w:p>
        </w:tc>
        <w:tc>
          <w:tcPr>
            <w:tcW w:w="2330" w:type="dxa"/>
          </w:tcPr>
          <w:p w:rsidR="00042DF5" w:rsidRPr="00E47300" w:rsidRDefault="00042DF5" w:rsidP="008E3A96">
            <w:pPr>
              <w:widowControl/>
              <w:jc w:val="center"/>
              <w:rPr>
                <w:color w:val="000000"/>
                <w:sz w:val="24"/>
              </w:rPr>
            </w:pPr>
            <w:r w:rsidRPr="00E47300">
              <w:rPr>
                <w:color w:val="000000"/>
                <w:sz w:val="24"/>
              </w:rPr>
              <w:t>18</w:t>
            </w:r>
          </w:p>
        </w:tc>
        <w:tc>
          <w:tcPr>
            <w:tcW w:w="2790" w:type="dxa"/>
          </w:tcPr>
          <w:p w:rsidR="00042DF5" w:rsidRPr="00E47300" w:rsidRDefault="00042DF5" w:rsidP="008E3A96">
            <w:pPr>
              <w:widowControl/>
              <w:jc w:val="center"/>
              <w:rPr>
                <w:color w:val="000000"/>
                <w:sz w:val="24"/>
              </w:rPr>
            </w:pPr>
            <w:r w:rsidRPr="00E47300">
              <w:rPr>
                <w:color w:val="000000"/>
                <w:sz w:val="24"/>
              </w:rPr>
              <w:t>49%</w:t>
            </w:r>
          </w:p>
        </w:tc>
      </w:tr>
      <w:tr w:rsidR="00042DF5" w:rsidRPr="00E47300" w:rsidTr="00042DF5">
        <w:tc>
          <w:tcPr>
            <w:tcW w:w="2890" w:type="dxa"/>
          </w:tcPr>
          <w:p w:rsidR="00042DF5" w:rsidRPr="00E47300" w:rsidRDefault="00042DF5" w:rsidP="008E3A96">
            <w:pPr>
              <w:widowControl/>
              <w:jc w:val="center"/>
              <w:rPr>
                <w:color w:val="000000"/>
                <w:sz w:val="24"/>
              </w:rPr>
            </w:pPr>
            <w:r w:rsidRPr="00E47300">
              <w:rPr>
                <w:color w:val="000000"/>
                <w:sz w:val="24"/>
              </w:rPr>
              <w:t>SQG</w:t>
            </w:r>
          </w:p>
        </w:tc>
        <w:tc>
          <w:tcPr>
            <w:tcW w:w="2330" w:type="dxa"/>
          </w:tcPr>
          <w:p w:rsidR="00042DF5" w:rsidRPr="00E47300" w:rsidRDefault="00042DF5" w:rsidP="008E3A96">
            <w:pPr>
              <w:widowControl/>
              <w:jc w:val="center"/>
              <w:rPr>
                <w:color w:val="000000"/>
                <w:sz w:val="24"/>
              </w:rPr>
            </w:pPr>
            <w:r w:rsidRPr="00E47300">
              <w:rPr>
                <w:color w:val="000000"/>
                <w:sz w:val="24"/>
              </w:rPr>
              <w:t>10</w:t>
            </w:r>
          </w:p>
        </w:tc>
        <w:tc>
          <w:tcPr>
            <w:tcW w:w="2790" w:type="dxa"/>
          </w:tcPr>
          <w:p w:rsidR="00042DF5" w:rsidRPr="00E47300" w:rsidRDefault="00042DF5" w:rsidP="008E3A96">
            <w:pPr>
              <w:widowControl/>
              <w:jc w:val="center"/>
              <w:rPr>
                <w:color w:val="000000"/>
                <w:sz w:val="24"/>
              </w:rPr>
            </w:pPr>
            <w:r w:rsidRPr="00E47300">
              <w:rPr>
                <w:color w:val="000000"/>
                <w:sz w:val="24"/>
              </w:rPr>
              <w:t>27%</w:t>
            </w:r>
          </w:p>
        </w:tc>
      </w:tr>
      <w:tr w:rsidR="00042DF5" w:rsidRPr="00E47300" w:rsidTr="00042DF5">
        <w:tc>
          <w:tcPr>
            <w:tcW w:w="2890" w:type="dxa"/>
          </w:tcPr>
          <w:p w:rsidR="00042DF5" w:rsidRPr="00E47300" w:rsidRDefault="00042DF5" w:rsidP="008E3A96">
            <w:pPr>
              <w:widowControl/>
              <w:jc w:val="center"/>
              <w:rPr>
                <w:color w:val="000000"/>
                <w:sz w:val="24"/>
              </w:rPr>
            </w:pPr>
            <w:r w:rsidRPr="00E47300">
              <w:rPr>
                <w:color w:val="000000"/>
                <w:sz w:val="24"/>
              </w:rPr>
              <w:t>CESQG</w:t>
            </w:r>
          </w:p>
        </w:tc>
        <w:tc>
          <w:tcPr>
            <w:tcW w:w="2330" w:type="dxa"/>
          </w:tcPr>
          <w:p w:rsidR="00042DF5" w:rsidRPr="00E47300" w:rsidRDefault="00042DF5" w:rsidP="008E3A96">
            <w:pPr>
              <w:widowControl/>
              <w:jc w:val="center"/>
              <w:rPr>
                <w:color w:val="000000"/>
                <w:sz w:val="24"/>
              </w:rPr>
            </w:pPr>
            <w:r w:rsidRPr="00E47300">
              <w:rPr>
                <w:color w:val="000000"/>
                <w:sz w:val="24"/>
              </w:rPr>
              <w:t>9</w:t>
            </w:r>
          </w:p>
        </w:tc>
        <w:tc>
          <w:tcPr>
            <w:tcW w:w="2790" w:type="dxa"/>
          </w:tcPr>
          <w:p w:rsidR="00042DF5" w:rsidRPr="00E47300" w:rsidRDefault="00042DF5" w:rsidP="008E3A96">
            <w:pPr>
              <w:widowControl/>
              <w:jc w:val="center"/>
              <w:rPr>
                <w:color w:val="000000"/>
                <w:sz w:val="24"/>
              </w:rPr>
            </w:pPr>
            <w:r w:rsidRPr="00E47300">
              <w:rPr>
                <w:color w:val="000000"/>
                <w:sz w:val="24"/>
              </w:rPr>
              <w:t>24%</w:t>
            </w:r>
          </w:p>
        </w:tc>
      </w:tr>
      <w:tr w:rsidR="00042DF5" w:rsidRPr="00E47300" w:rsidTr="00042DF5">
        <w:tc>
          <w:tcPr>
            <w:tcW w:w="2890" w:type="dxa"/>
          </w:tcPr>
          <w:p w:rsidR="00042DF5" w:rsidRPr="00E47300" w:rsidRDefault="00042DF5" w:rsidP="008E3A96">
            <w:pPr>
              <w:widowControl/>
              <w:jc w:val="center"/>
              <w:rPr>
                <w:color w:val="000000"/>
                <w:sz w:val="24"/>
              </w:rPr>
            </w:pPr>
            <w:r w:rsidRPr="00E47300">
              <w:rPr>
                <w:color w:val="000000"/>
                <w:sz w:val="24"/>
              </w:rPr>
              <w:t>Total</w:t>
            </w:r>
          </w:p>
        </w:tc>
        <w:tc>
          <w:tcPr>
            <w:tcW w:w="2330" w:type="dxa"/>
          </w:tcPr>
          <w:p w:rsidR="00042DF5" w:rsidRPr="00E47300" w:rsidRDefault="00042DF5" w:rsidP="008E3A96">
            <w:pPr>
              <w:widowControl/>
              <w:jc w:val="center"/>
              <w:rPr>
                <w:color w:val="000000"/>
                <w:sz w:val="24"/>
              </w:rPr>
            </w:pPr>
            <w:r w:rsidRPr="00E47300">
              <w:rPr>
                <w:color w:val="000000"/>
                <w:sz w:val="24"/>
              </w:rPr>
              <w:t>37</w:t>
            </w:r>
          </w:p>
        </w:tc>
        <w:tc>
          <w:tcPr>
            <w:tcW w:w="2790" w:type="dxa"/>
          </w:tcPr>
          <w:p w:rsidR="00042DF5" w:rsidRPr="00E47300" w:rsidRDefault="00042DF5" w:rsidP="008E3A96">
            <w:pPr>
              <w:widowControl/>
              <w:jc w:val="center"/>
              <w:rPr>
                <w:color w:val="000000"/>
                <w:sz w:val="24"/>
              </w:rPr>
            </w:pPr>
            <w:r w:rsidRPr="00E47300">
              <w:rPr>
                <w:color w:val="000000"/>
                <w:sz w:val="24"/>
              </w:rPr>
              <w:t>100%</w:t>
            </w:r>
          </w:p>
        </w:tc>
      </w:tr>
    </w:tbl>
    <w:p w:rsidR="00042DF5" w:rsidRPr="00E47300" w:rsidRDefault="00042DF5" w:rsidP="008E3A96">
      <w:pPr>
        <w:widowControl/>
        <w:rPr>
          <w:b/>
          <w:color w:val="000000"/>
          <w:sz w:val="24"/>
        </w:rPr>
      </w:pPr>
    </w:p>
    <w:p w:rsidR="00042DF5" w:rsidRPr="00E47300" w:rsidRDefault="00042DF5" w:rsidP="008E3A96">
      <w:pPr>
        <w:widowControl/>
        <w:rPr>
          <w:color w:val="000000"/>
          <w:sz w:val="24"/>
        </w:rPr>
      </w:pPr>
    </w:p>
    <w:p w:rsidR="00042DF5" w:rsidRPr="00E47300" w:rsidRDefault="00042DF5" w:rsidP="008E3A96">
      <w:pPr>
        <w:widowControl/>
        <w:ind w:firstLine="720"/>
        <w:rPr>
          <w:color w:val="000000"/>
          <w:sz w:val="24"/>
        </w:rPr>
      </w:pPr>
      <w:r w:rsidRPr="00E47300">
        <w:rPr>
          <w:color w:val="000000"/>
          <w:sz w:val="24"/>
        </w:rPr>
        <w:t>Since the data are not complete for 2012, we must project how many schools will opt into Subpart K for the remainder of 2012.  If we project the same rate of adoption for the remainder of 2012, we should expect to see 13 more eligible academic entities opt in, for a total of 22 eligible academic entities opting in during 2012.</w:t>
      </w:r>
    </w:p>
    <w:p w:rsidR="00042DF5" w:rsidRPr="00E47300" w:rsidRDefault="00042DF5" w:rsidP="008E3A96">
      <w:pPr>
        <w:widowControl/>
        <w:rPr>
          <w:color w:val="000000"/>
          <w:sz w:val="24"/>
        </w:rPr>
      </w:pPr>
      <w:r w:rsidRPr="00E47300">
        <w:rPr>
          <w:color w:val="000000"/>
          <w:sz w:val="24"/>
        </w:rPr>
        <w:t> </w:t>
      </w:r>
    </w:p>
    <w:p w:rsidR="00042DF5" w:rsidRPr="00E47300" w:rsidRDefault="00042DF5" w:rsidP="008E3A96">
      <w:pPr>
        <w:widowControl/>
        <w:ind w:firstLine="720"/>
        <w:rPr>
          <w:color w:val="000000"/>
          <w:sz w:val="24"/>
        </w:rPr>
      </w:pPr>
      <w:r w:rsidRPr="00E47300">
        <w:rPr>
          <w:color w:val="000000"/>
          <w:sz w:val="24"/>
        </w:rPr>
        <w:t xml:space="preserve">Excluding 2009, since the rule was new and states were just beginning to adopt the Labs Rule, the average number of eligible academic entities that have opted in during the three year period of 2010-2012, is 16 per year.  If we project the same rate of adoption over the next three years (2013-2015), 49 new eligible academic entities will have adopted by the end of the next three year period. </w:t>
      </w:r>
    </w:p>
    <w:p w:rsidR="00042DF5" w:rsidRPr="00E47300" w:rsidRDefault="00042DF5" w:rsidP="008E3A96">
      <w:pPr>
        <w:widowControl/>
        <w:rPr>
          <w:color w:val="000000"/>
          <w:sz w:val="24"/>
        </w:rPr>
      </w:pPr>
      <w:r w:rsidRPr="00E47300">
        <w:rPr>
          <w:color w:val="000000"/>
          <w:sz w:val="24"/>
        </w:rPr>
        <w:t> </w:t>
      </w:r>
    </w:p>
    <w:p w:rsidR="00042DF5" w:rsidRPr="00E47300" w:rsidRDefault="00042DF5" w:rsidP="008E3A96">
      <w:pPr>
        <w:widowControl/>
        <w:ind w:firstLine="720"/>
        <w:rPr>
          <w:color w:val="000000"/>
          <w:sz w:val="24"/>
        </w:rPr>
      </w:pPr>
      <w:r w:rsidRPr="00E47300">
        <w:rPr>
          <w:color w:val="000000"/>
          <w:sz w:val="24"/>
        </w:rPr>
        <w:t>Adding the 49 new eligible academic entities to the projected 13 more for 2012, we estimate that there will be 62 new eligible academic entities using Subpart K.  If we add this to the existing 37 existing eligible academic entities already using the rule, we project a total of 99 eligible academic entities will have adopted by the end of the 2015.</w:t>
      </w:r>
    </w:p>
    <w:p w:rsidR="00042DF5" w:rsidRPr="00E47300" w:rsidRDefault="00042DF5" w:rsidP="008E3A96">
      <w:pPr>
        <w:widowControl/>
        <w:rPr>
          <w:color w:val="000000"/>
          <w:sz w:val="24"/>
        </w:rPr>
      </w:pPr>
    </w:p>
    <w:p w:rsidR="00042DF5" w:rsidRPr="00E47300" w:rsidRDefault="00042DF5" w:rsidP="008E3A96">
      <w:pPr>
        <w:widowControl/>
        <w:ind w:firstLine="720"/>
        <w:rPr>
          <w:color w:val="000000"/>
          <w:sz w:val="24"/>
        </w:rPr>
      </w:pPr>
      <w:r w:rsidRPr="00E47300">
        <w:rPr>
          <w:color w:val="000000"/>
          <w:sz w:val="24"/>
        </w:rPr>
        <w:t>If we project that the 62 new eligible academic entities will have the same proportion of LQGs, SQGs, and CESQGs, then we would expect to see the following:</w:t>
      </w:r>
    </w:p>
    <w:p w:rsidR="00042DF5" w:rsidRPr="00E47300" w:rsidRDefault="00042DF5" w:rsidP="008E3A96">
      <w:pPr>
        <w:widowControl/>
        <w:rPr>
          <w:color w:val="000000"/>
          <w:sz w:val="24"/>
        </w:rPr>
      </w:pPr>
    </w:p>
    <w:p w:rsidR="00042DF5" w:rsidRPr="00E47300" w:rsidRDefault="00042DF5" w:rsidP="008E3A96">
      <w:pPr>
        <w:widowControl/>
        <w:rPr>
          <w:b/>
          <w:color w:val="000000"/>
          <w:sz w:val="24"/>
        </w:rPr>
      </w:pPr>
      <w:r w:rsidRPr="00E47300">
        <w:rPr>
          <w:b/>
          <w:color w:val="000000"/>
          <w:sz w:val="24"/>
        </w:rPr>
        <w:t>Generator Status of Eligible Academic Entities (EAEs) that Will Opt into Subpart K:</w:t>
      </w:r>
    </w:p>
    <w:p w:rsidR="00042DF5" w:rsidRPr="00E47300" w:rsidRDefault="00042DF5" w:rsidP="008E3A96">
      <w:pPr>
        <w:widowControl/>
        <w:rPr>
          <w:b/>
          <w:color w:val="000000"/>
          <w:sz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0"/>
        <w:gridCol w:w="2330"/>
        <w:gridCol w:w="2790"/>
      </w:tblGrid>
      <w:tr w:rsidR="00042DF5" w:rsidRPr="00E47300" w:rsidTr="00042DF5">
        <w:tc>
          <w:tcPr>
            <w:tcW w:w="2890" w:type="dxa"/>
          </w:tcPr>
          <w:p w:rsidR="00042DF5" w:rsidRPr="00E47300" w:rsidRDefault="00042DF5" w:rsidP="008E3A96">
            <w:pPr>
              <w:widowControl/>
              <w:jc w:val="center"/>
              <w:rPr>
                <w:b/>
                <w:color w:val="000000"/>
                <w:sz w:val="24"/>
              </w:rPr>
            </w:pPr>
            <w:r w:rsidRPr="00E47300">
              <w:rPr>
                <w:b/>
                <w:color w:val="000000"/>
                <w:sz w:val="24"/>
              </w:rPr>
              <w:t>Generator Status</w:t>
            </w:r>
          </w:p>
        </w:tc>
        <w:tc>
          <w:tcPr>
            <w:tcW w:w="2330" w:type="dxa"/>
          </w:tcPr>
          <w:p w:rsidR="00042DF5" w:rsidRPr="00E47300" w:rsidRDefault="00042DF5" w:rsidP="008E3A96">
            <w:pPr>
              <w:widowControl/>
              <w:jc w:val="center"/>
              <w:rPr>
                <w:b/>
                <w:color w:val="000000"/>
                <w:sz w:val="24"/>
              </w:rPr>
            </w:pPr>
            <w:r w:rsidRPr="00E47300">
              <w:rPr>
                <w:b/>
                <w:color w:val="000000"/>
                <w:sz w:val="24"/>
              </w:rPr>
              <w:t>Projected Number of New EAEs</w:t>
            </w:r>
          </w:p>
        </w:tc>
        <w:tc>
          <w:tcPr>
            <w:tcW w:w="2790" w:type="dxa"/>
          </w:tcPr>
          <w:p w:rsidR="00042DF5" w:rsidRPr="00E47300" w:rsidRDefault="00042DF5" w:rsidP="008E3A96">
            <w:pPr>
              <w:widowControl/>
              <w:jc w:val="center"/>
              <w:rPr>
                <w:b/>
                <w:color w:val="000000"/>
                <w:sz w:val="24"/>
              </w:rPr>
            </w:pPr>
            <w:r w:rsidRPr="00E47300">
              <w:rPr>
                <w:b/>
                <w:color w:val="000000"/>
                <w:sz w:val="24"/>
              </w:rPr>
              <w:t>Projected Number of total EAEs</w:t>
            </w:r>
          </w:p>
        </w:tc>
      </w:tr>
      <w:tr w:rsidR="00042DF5" w:rsidRPr="00E47300" w:rsidTr="00042DF5">
        <w:tc>
          <w:tcPr>
            <w:tcW w:w="2890" w:type="dxa"/>
          </w:tcPr>
          <w:p w:rsidR="00042DF5" w:rsidRPr="00E47300" w:rsidRDefault="00042DF5" w:rsidP="008E3A96">
            <w:pPr>
              <w:widowControl/>
              <w:jc w:val="center"/>
              <w:rPr>
                <w:color w:val="000000"/>
                <w:sz w:val="24"/>
              </w:rPr>
            </w:pPr>
            <w:r w:rsidRPr="00E47300">
              <w:rPr>
                <w:color w:val="000000"/>
                <w:sz w:val="24"/>
              </w:rPr>
              <w:t>LQG</w:t>
            </w:r>
          </w:p>
        </w:tc>
        <w:tc>
          <w:tcPr>
            <w:tcW w:w="2330" w:type="dxa"/>
          </w:tcPr>
          <w:p w:rsidR="00042DF5" w:rsidRPr="00E47300" w:rsidRDefault="00042DF5" w:rsidP="008E3A96">
            <w:pPr>
              <w:widowControl/>
              <w:jc w:val="center"/>
              <w:rPr>
                <w:color w:val="000000"/>
                <w:sz w:val="24"/>
              </w:rPr>
            </w:pPr>
            <w:r w:rsidRPr="00E47300">
              <w:rPr>
                <w:color w:val="000000"/>
                <w:sz w:val="24"/>
              </w:rPr>
              <w:t>30</w:t>
            </w:r>
          </w:p>
        </w:tc>
        <w:tc>
          <w:tcPr>
            <w:tcW w:w="2790" w:type="dxa"/>
          </w:tcPr>
          <w:p w:rsidR="00042DF5" w:rsidRPr="00E47300" w:rsidRDefault="00042DF5" w:rsidP="008E3A96">
            <w:pPr>
              <w:widowControl/>
              <w:jc w:val="center"/>
              <w:rPr>
                <w:color w:val="000000"/>
                <w:sz w:val="24"/>
              </w:rPr>
            </w:pPr>
            <w:r w:rsidRPr="00E47300">
              <w:rPr>
                <w:color w:val="000000"/>
                <w:sz w:val="24"/>
              </w:rPr>
              <w:t>48</w:t>
            </w:r>
          </w:p>
        </w:tc>
      </w:tr>
      <w:tr w:rsidR="00042DF5" w:rsidRPr="00E47300" w:rsidTr="00042DF5">
        <w:tc>
          <w:tcPr>
            <w:tcW w:w="2890" w:type="dxa"/>
          </w:tcPr>
          <w:p w:rsidR="00042DF5" w:rsidRPr="00E47300" w:rsidRDefault="00042DF5" w:rsidP="008E3A96">
            <w:pPr>
              <w:widowControl/>
              <w:jc w:val="center"/>
              <w:rPr>
                <w:color w:val="000000"/>
                <w:sz w:val="24"/>
              </w:rPr>
            </w:pPr>
            <w:r w:rsidRPr="00E47300">
              <w:rPr>
                <w:color w:val="000000"/>
                <w:sz w:val="24"/>
              </w:rPr>
              <w:t>SQG</w:t>
            </w:r>
          </w:p>
        </w:tc>
        <w:tc>
          <w:tcPr>
            <w:tcW w:w="2330" w:type="dxa"/>
          </w:tcPr>
          <w:p w:rsidR="00042DF5" w:rsidRPr="00E47300" w:rsidRDefault="00042DF5" w:rsidP="008E3A96">
            <w:pPr>
              <w:widowControl/>
              <w:jc w:val="center"/>
              <w:rPr>
                <w:color w:val="000000"/>
                <w:sz w:val="24"/>
              </w:rPr>
            </w:pPr>
            <w:r w:rsidRPr="00E47300">
              <w:rPr>
                <w:color w:val="000000"/>
                <w:sz w:val="24"/>
              </w:rPr>
              <w:t>17</w:t>
            </w:r>
          </w:p>
        </w:tc>
        <w:tc>
          <w:tcPr>
            <w:tcW w:w="2790" w:type="dxa"/>
          </w:tcPr>
          <w:p w:rsidR="00042DF5" w:rsidRPr="00E47300" w:rsidRDefault="00042DF5" w:rsidP="008E3A96">
            <w:pPr>
              <w:widowControl/>
              <w:jc w:val="center"/>
              <w:rPr>
                <w:color w:val="000000"/>
                <w:sz w:val="24"/>
              </w:rPr>
            </w:pPr>
            <w:r w:rsidRPr="00E47300">
              <w:rPr>
                <w:color w:val="000000"/>
                <w:sz w:val="24"/>
              </w:rPr>
              <w:t>27</w:t>
            </w:r>
          </w:p>
        </w:tc>
      </w:tr>
      <w:tr w:rsidR="00042DF5" w:rsidRPr="00E47300" w:rsidTr="00042DF5">
        <w:tc>
          <w:tcPr>
            <w:tcW w:w="2890" w:type="dxa"/>
          </w:tcPr>
          <w:p w:rsidR="00042DF5" w:rsidRPr="00E47300" w:rsidRDefault="00042DF5" w:rsidP="008E3A96">
            <w:pPr>
              <w:widowControl/>
              <w:jc w:val="center"/>
              <w:rPr>
                <w:color w:val="000000"/>
                <w:sz w:val="24"/>
              </w:rPr>
            </w:pPr>
            <w:r w:rsidRPr="00E47300">
              <w:rPr>
                <w:color w:val="000000"/>
                <w:sz w:val="24"/>
              </w:rPr>
              <w:t>CESQG</w:t>
            </w:r>
          </w:p>
        </w:tc>
        <w:tc>
          <w:tcPr>
            <w:tcW w:w="2330" w:type="dxa"/>
          </w:tcPr>
          <w:p w:rsidR="00042DF5" w:rsidRPr="00E47300" w:rsidRDefault="00042DF5" w:rsidP="008E3A96">
            <w:pPr>
              <w:widowControl/>
              <w:jc w:val="center"/>
              <w:rPr>
                <w:color w:val="000000"/>
                <w:sz w:val="24"/>
              </w:rPr>
            </w:pPr>
            <w:r w:rsidRPr="00E47300">
              <w:rPr>
                <w:color w:val="000000"/>
                <w:sz w:val="24"/>
              </w:rPr>
              <w:t>15</w:t>
            </w:r>
          </w:p>
        </w:tc>
        <w:tc>
          <w:tcPr>
            <w:tcW w:w="2790" w:type="dxa"/>
          </w:tcPr>
          <w:p w:rsidR="00042DF5" w:rsidRPr="00E47300" w:rsidRDefault="00042DF5" w:rsidP="008E3A96">
            <w:pPr>
              <w:widowControl/>
              <w:jc w:val="center"/>
              <w:rPr>
                <w:color w:val="000000"/>
                <w:sz w:val="24"/>
              </w:rPr>
            </w:pPr>
            <w:r w:rsidRPr="00E47300">
              <w:rPr>
                <w:color w:val="000000"/>
                <w:sz w:val="24"/>
              </w:rPr>
              <w:t>24</w:t>
            </w:r>
          </w:p>
        </w:tc>
      </w:tr>
      <w:tr w:rsidR="00042DF5" w:rsidRPr="00E47300" w:rsidTr="00042DF5">
        <w:tc>
          <w:tcPr>
            <w:tcW w:w="2890" w:type="dxa"/>
          </w:tcPr>
          <w:p w:rsidR="00042DF5" w:rsidRPr="00E47300" w:rsidRDefault="00042DF5" w:rsidP="008E3A96">
            <w:pPr>
              <w:widowControl/>
              <w:jc w:val="center"/>
              <w:rPr>
                <w:color w:val="000000"/>
                <w:sz w:val="24"/>
              </w:rPr>
            </w:pPr>
            <w:r w:rsidRPr="00E47300">
              <w:rPr>
                <w:color w:val="000000"/>
                <w:sz w:val="24"/>
              </w:rPr>
              <w:t>Total</w:t>
            </w:r>
          </w:p>
        </w:tc>
        <w:tc>
          <w:tcPr>
            <w:tcW w:w="2330" w:type="dxa"/>
          </w:tcPr>
          <w:p w:rsidR="00042DF5" w:rsidRPr="00E47300" w:rsidRDefault="00042DF5" w:rsidP="008E3A96">
            <w:pPr>
              <w:widowControl/>
              <w:jc w:val="center"/>
              <w:rPr>
                <w:color w:val="000000"/>
                <w:sz w:val="24"/>
              </w:rPr>
            </w:pPr>
            <w:r w:rsidRPr="00E47300">
              <w:rPr>
                <w:color w:val="000000"/>
                <w:sz w:val="24"/>
              </w:rPr>
              <w:t>62</w:t>
            </w:r>
          </w:p>
        </w:tc>
        <w:tc>
          <w:tcPr>
            <w:tcW w:w="2790" w:type="dxa"/>
          </w:tcPr>
          <w:p w:rsidR="00042DF5" w:rsidRPr="00E47300" w:rsidRDefault="00042DF5" w:rsidP="008E3A96">
            <w:pPr>
              <w:widowControl/>
              <w:jc w:val="center"/>
              <w:rPr>
                <w:color w:val="000000"/>
                <w:sz w:val="24"/>
              </w:rPr>
            </w:pPr>
            <w:r w:rsidRPr="00E47300">
              <w:rPr>
                <w:color w:val="000000"/>
                <w:sz w:val="24"/>
              </w:rPr>
              <w:t>99</w:t>
            </w:r>
          </w:p>
        </w:tc>
      </w:tr>
    </w:tbl>
    <w:p w:rsidR="00042DF5" w:rsidRPr="00E47300" w:rsidRDefault="00042DF5" w:rsidP="008E3A96">
      <w:pPr>
        <w:widowControl/>
        <w:rPr>
          <w:b/>
          <w:color w:val="000000"/>
          <w:sz w:val="24"/>
        </w:rPr>
      </w:pPr>
    </w:p>
    <w:p w:rsidR="00042DF5" w:rsidRPr="00E47300" w:rsidRDefault="00042DF5" w:rsidP="008E3A96">
      <w:pPr>
        <w:widowControl/>
        <w:rPr>
          <w:color w:val="000000"/>
          <w:sz w:val="24"/>
        </w:rPr>
      </w:pPr>
    </w:p>
    <w:p w:rsidR="00042DF5" w:rsidRPr="00E47300" w:rsidRDefault="00042DF5" w:rsidP="008E3A96">
      <w:pPr>
        <w:widowControl/>
        <w:rPr>
          <w:color w:val="000000"/>
          <w:sz w:val="24"/>
        </w:rPr>
      </w:pPr>
      <w:r w:rsidRPr="00E47300">
        <w:rPr>
          <w:color w:val="000000"/>
          <w:sz w:val="24"/>
        </w:rPr>
        <w:tab/>
        <w:t xml:space="preserve">When eligible academic entities opt into Subpart K they must notify as either a college/university (C/U), a non-profit research institute (NPRI), a teaching hospital, or any combination of the above.  Using data from RCRAInfo, the type of eligible academic entity was determined for each eligible academic entity that has opted into Subpart K.  Then the percentage of each type of eligible academic entity was calculated by generator status.  These same percentages were used to project the proportion of the types of eligible academic entities that will opt into Subpart K over the next three year period.  Eligible academic entities that notified as both a college/university and a teaching hospital were counted as college/universities since based on professional experience, the number of teaching and research laboratories at that part of the </w:t>
      </w:r>
      <w:r w:rsidRPr="00E47300">
        <w:rPr>
          <w:color w:val="000000"/>
          <w:sz w:val="24"/>
        </w:rPr>
        <w:lastRenderedPageBreak/>
        <w:t>institution usually outnumber those found at the teaching hospital.  This information was used to update Table 1 of the Supporting Statement for the ICR renewal.</w:t>
      </w:r>
    </w:p>
    <w:p w:rsidR="00A23455" w:rsidRPr="00E47300" w:rsidRDefault="00A23455" w:rsidP="008E3A96">
      <w:pPr>
        <w:widowControl/>
        <w:rPr>
          <w:color w:val="000000"/>
          <w:sz w:val="24"/>
        </w:rPr>
      </w:pPr>
    </w:p>
    <w:sectPr w:rsidR="00A23455" w:rsidRPr="00E47300" w:rsidSect="00263EC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391" w:rsidRDefault="00790391">
      <w:r>
        <w:separator/>
      </w:r>
    </w:p>
  </w:endnote>
  <w:endnote w:type="continuationSeparator" w:id="0">
    <w:p w:rsidR="00790391" w:rsidRDefault="007903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Helv">
    <w:altName w:val="Arial"/>
    <w:panose1 w:val="020B060402020203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elior">
    <w:panose1 w:val="00000000000000000000"/>
    <w:charset w:val="00"/>
    <w:family w:val="roman"/>
    <w:notTrueType/>
    <w:pitch w:val="default"/>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9F6" w:rsidRDefault="001F39F6">
    <w:pPr>
      <w:spacing w:line="240" w:lineRule="exact"/>
    </w:pPr>
  </w:p>
  <w:p w:rsidR="001F39F6" w:rsidRDefault="001F39F6">
    <w:pPr>
      <w:framePr w:w="9361" w:wrap="notBeside" w:vAnchor="text" w:hAnchor="text" w:x="1" w:y="1"/>
      <w:jc w:val="center"/>
      <w:rPr>
        <w:sz w:val="24"/>
      </w:rPr>
    </w:pPr>
  </w:p>
  <w:p w:rsidR="001F39F6" w:rsidRDefault="001F39F6">
    <w:pPr>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9F6" w:rsidRDefault="001F39F6">
    <w:pPr>
      <w:spacing w:line="240" w:lineRule="exact"/>
    </w:pPr>
  </w:p>
  <w:p w:rsidR="001F39F6" w:rsidRDefault="001F39F6">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E72AAE">
      <w:rPr>
        <w:noProof/>
        <w:sz w:val="24"/>
      </w:rPr>
      <w:t>i</w:t>
    </w:r>
    <w:r>
      <w:rPr>
        <w:sz w:val="24"/>
      </w:rPr>
      <w:fldChar w:fldCharType="end"/>
    </w:r>
  </w:p>
  <w:p w:rsidR="001F39F6" w:rsidRDefault="001F39F6">
    <w:pPr>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9F6" w:rsidRDefault="001F39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39F6" w:rsidRDefault="001F39F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9F6" w:rsidRDefault="001F39F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E72AAE">
      <w:rPr>
        <w:rStyle w:val="PageNumber"/>
        <w:noProof/>
      </w:rPr>
      <w:t>57</w:t>
    </w:r>
    <w:r>
      <w:rPr>
        <w:rStyle w:val="PageNumber"/>
      </w:rPr>
      <w:fldChar w:fldCharType="end"/>
    </w:r>
  </w:p>
  <w:p w:rsidR="001F39F6" w:rsidRDefault="001F39F6">
    <w:pPr>
      <w:pStyle w:val="Footer"/>
      <w:framePr w:wrap="around" w:vAnchor="text" w:hAnchor="margin" w:xAlign="center" w:y="1"/>
      <w:rPr>
        <w:rStyle w:val="PageNumber"/>
      </w:rPr>
    </w:pPr>
  </w:p>
  <w:p w:rsidR="001F39F6" w:rsidRDefault="001F39F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391" w:rsidRDefault="00790391">
      <w:r>
        <w:separator/>
      </w:r>
    </w:p>
  </w:footnote>
  <w:footnote w:type="continuationSeparator" w:id="0">
    <w:p w:rsidR="00790391" w:rsidRDefault="00790391">
      <w:r>
        <w:continuationSeparator/>
      </w:r>
    </w:p>
  </w:footnote>
  <w:footnote w:id="1">
    <w:p w:rsidR="001F39F6" w:rsidRPr="00270DB5" w:rsidRDefault="001F39F6" w:rsidP="004B13A9">
      <w:pPr>
        <w:ind w:firstLine="360"/>
        <w:rPr>
          <w:color w:val="000000"/>
          <w:szCs w:val="20"/>
        </w:rPr>
      </w:pPr>
      <w:r w:rsidRPr="00270DB5">
        <w:rPr>
          <w:rStyle w:val="FootnoteReference"/>
          <w:color w:val="000000"/>
          <w:vertAlign w:val="superscript"/>
        </w:rPr>
        <w:footnoteRef/>
      </w:r>
      <w:r w:rsidRPr="00270DB5">
        <w:rPr>
          <w:color w:val="000000"/>
          <w:vertAlign w:val="superscript"/>
        </w:rPr>
        <w:t xml:space="preserve"> </w:t>
      </w:r>
      <w:r w:rsidRPr="00270DB5">
        <w:rPr>
          <w:color w:val="000000"/>
        </w:rPr>
        <w:t xml:space="preserve"> </w:t>
      </w:r>
      <w:r w:rsidRPr="00270DB5">
        <w:rPr>
          <w:color w:val="000000"/>
          <w:szCs w:val="20"/>
        </w:rPr>
        <w:t xml:space="preserve">US Bureau of Labor Statistics (BLS) Occupational Employment Statistics (OES) for May 2011 National Occupational Employment and Wage Estimates. The wage rate for legal and managerial are specific to colleges and universities industry and can be found at </w:t>
      </w:r>
      <w:hyperlink r:id="rId1" w:anchor="11-0000" w:history="1">
        <w:r w:rsidRPr="00270DB5">
          <w:rPr>
            <w:rStyle w:val="Hyperlink"/>
            <w:color w:val="000000"/>
            <w:szCs w:val="20"/>
          </w:rPr>
          <w:t>http://www.bls.gov/oes/current/naics4_611300.htm#11-0000</w:t>
        </w:r>
      </w:hyperlink>
    </w:p>
  </w:footnote>
  <w:footnote w:id="2">
    <w:p w:rsidR="001F39F6" w:rsidRPr="00270DB5" w:rsidRDefault="001F39F6" w:rsidP="00084987">
      <w:pPr>
        <w:ind w:firstLine="375"/>
        <w:rPr>
          <w:color w:val="000000"/>
          <w:szCs w:val="20"/>
        </w:rPr>
      </w:pPr>
      <w:r w:rsidRPr="00270DB5">
        <w:rPr>
          <w:rStyle w:val="FootnoteReference"/>
          <w:color w:val="000000"/>
          <w:szCs w:val="20"/>
          <w:vertAlign w:val="superscript"/>
        </w:rPr>
        <w:footnoteRef/>
      </w:r>
      <w:r w:rsidRPr="00270DB5">
        <w:rPr>
          <w:color w:val="000000"/>
          <w:szCs w:val="20"/>
        </w:rPr>
        <w:t xml:space="preserve">  = [1+ (Fringe Benefits %) / (100% - Fringe Benefits %)] x (1+ Overhead %)</w:t>
      </w:r>
    </w:p>
  </w:footnote>
  <w:footnote w:id="3">
    <w:p w:rsidR="001F39F6" w:rsidRPr="00270DB5" w:rsidRDefault="001F39F6" w:rsidP="00084987">
      <w:pPr>
        <w:pStyle w:val="ListParagraph"/>
        <w:keepNext/>
        <w:keepLines/>
        <w:autoSpaceDE w:val="0"/>
        <w:autoSpaceDN w:val="0"/>
        <w:adjustRightInd w:val="0"/>
        <w:spacing w:after="0" w:line="240" w:lineRule="auto"/>
        <w:ind w:left="0" w:firstLine="375"/>
        <w:rPr>
          <w:rFonts w:ascii="Times New Roman" w:hAnsi="Times New Roman"/>
          <w:color w:val="000000"/>
          <w:sz w:val="20"/>
          <w:szCs w:val="20"/>
        </w:rPr>
      </w:pPr>
      <w:r w:rsidRPr="00270DB5">
        <w:rPr>
          <w:rStyle w:val="Hyperlink"/>
          <w:rFonts w:ascii="Times New Roman" w:hAnsi="Times New Roman"/>
          <w:color w:val="000000"/>
          <w:sz w:val="20"/>
          <w:szCs w:val="20"/>
          <w:vertAlign w:val="superscript"/>
        </w:rPr>
        <w:footnoteRef/>
      </w:r>
      <w:r w:rsidRPr="00270DB5">
        <w:rPr>
          <w:rFonts w:ascii="Times New Roman" w:hAnsi="Times New Roman"/>
          <w:color w:val="000000"/>
          <w:sz w:val="20"/>
          <w:szCs w:val="20"/>
          <w:vertAlign w:val="superscript"/>
        </w:rPr>
        <w:t xml:space="preserve"> </w:t>
      </w:r>
      <w:r w:rsidRPr="00270DB5">
        <w:rPr>
          <w:rFonts w:ascii="Times New Roman" w:hAnsi="Times New Roman"/>
          <w:color w:val="000000"/>
          <w:sz w:val="20"/>
          <w:szCs w:val="20"/>
        </w:rPr>
        <w:t xml:space="preserve"> Applied “All goods-producing” industry group fringe benefits percentage of</w:t>
      </w:r>
      <w:r w:rsidRPr="00270DB5">
        <w:rPr>
          <w:rFonts w:ascii="Helv" w:hAnsi="Helv" w:cs="Helv"/>
          <w:color w:val="000000"/>
          <w:sz w:val="18"/>
          <w:szCs w:val="18"/>
        </w:rPr>
        <w:t xml:space="preserve"> </w:t>
      </w:r>
      <w:r w:rsidRPr="00270DB5">
        <w:rPr>
          <w:rFonts w:ascii="Times New Roman" w:hAnsi="Times New Roman"/>
          <w:color w:val="000000"/>
          <w:sz w:val="20"/>
          <w:szCs w:val="20"/>
        </w:rPr>
        <w:t xml:space="preserve">33.1% from “Table 6. Private industry, by major industry group” of the US Bureau of Labor Statistics (BLS) “Employer Costs for Employee Compensation” (ECEC), December 2010 at </w:t>
      </w:r>
      <w:hyperlink r:id="rId2" w:history="1">
        <w:r w:rsidRPr="00270DB5">
          <w:rPr>
            <w:rStyle w:val="Hyperlink"/>
            <w:rFonts w:ascii="Times New Roman" w:hAnsi="Times New Roman"/>
            <w:color w:val="000000"/>
            <w:sz w:val="20"/>
            <w:szCs w:val="20"/>
          </w:rPr>
          <w:t>http://www.bls.gov/schedule/archives/eci_nr.htm</w:t>
        </w:r>
      </w:hyperlink>
      <w:r w:rsidRPr="00270DB5">
        <w:rPr>
          <w:rFonts w:ascii="Times New Roman" w:hAnsi="Times New Roman"/>
          <w:color w:val="000000"/>
          <w:sz w:val="20"/>
          <w:szCs w:val="20"/>
        </w:rPr>
        <w:t>.</w:t>
      </w:r>
    </w:p>
  </w:footnote>
  <w:footnote w:id="4">
    <w:p w:rsidR="001F39F6" w:rsidRPr="00650815" w:rsidRDefault="001F39F6" w:rsidP="00084987">
      <w:pPr>
        <w:ind w:firstLine="375"/>
        <w:rPr>
          <w:color w:val="0000FF"/>
          <w:szCs w:val="20"/>
        </w:rPr>
      </w:pPr>
      <w:r w:rsidRPr="00270DB5">
        <w:rPr>
          <w:rStyle w:val="FootnoteReference"/>
          <w:color w:val="000000"/>
          <w:szCs w:val="20"/>
          <w:vertAlign w:val="superscript"/>
        </w:rPr>
        <w:footnoteRef/>
      </w:r>
      <w:r w:rsidRPr="00270DB5">
        <w:rPr>
          <w:color w:val="000000"/>
          <w:szCs w:val="20"/>
        </w:rPr>
        <w:t xml:space="preserve"> In absence of data specific to industry, applied 12% Federal civilian overhead cost factor from Figure C1 of the REVISED February OMB Circular A-76 at </w:t>
      </w:r>
      <w:hyperlink r:id="rId3" w:history="1">
        <w:r w:rsidRPr="00270DB5">
          <w:rPr>
            <w:rStyle w:val="Hyperlink"/>
            <w:color w:val="000000"/>
            <w:szCs w:val="20"/>
          </w:rPr>
          <w:t>http://www.whitehouse.gov/omb/circulars_a076_a76_incl_tech_correction/</w:t>
        </w:r>
      </w:hyperlink>
      <w:r w:rsidRPr="00270DB5">
        <w:rPr>
          <w:color w:val="000000"/>
          <w:szCs w:val="20"/>
        </w:rPr>
        <w:t xml:space="preserve"> .</w:t>
      </w:r>
    </w:p>
  </w:footnote>
  <w:footnote w:id="5">
    <w:p w:rsidR="001F39F6" w:rsidRPr="00270DB5" w:rsidRDefault="001F39F6" w:rsidP="00027D0F">
      <w:pPr>
        <w:ind w:firstLine="375"/>
        <w:rPr>
          <w:color w:val="000000"/>
          <w:szCs w:val="20"/>
        </w:rPr>
      </w:pPr>
      <w:r w:rsidRPr="00270DB5">
        <w:rPr>
          <w:rStyle w:val="FootnoteReference"/>
          <w:color w:val="000000"/>
          <w:szCs w:val="20"/>
          <w:vertAlign w:val="superscript"/>
        </w:rPr>
        <w:footnoteRef/>
      </w:r>
      <w:r w:rsidRPr="00270DB5">
        <w:rPr>
          <w:color w:val="000000"/>
          <w:szCs w:val="20"/>
          <w:vertAlign w:val="superscript"/>
        </w:rPr>
        <w:t xml:space="preserve"> </w:t>
      </w:r>
      <w:r w:rsidRPr="00270DB5">
        <w:rPr>
          <w:color w:val="000000"/>
          <w:szCs w:val="20"/>
        </w:rPr>
        <w:t xml:space="preserve"> US Bureau of Labor Statistics (BLS) Occupational Employment Statistics (OES) for May 2011 National Industry-Specific Occupational Employment &amp; Wage Estimates for NAICS 999200 State Government: </w:t>
      </w:r>
      <w:hyperlink r:id="rId4" w:history="1">
        <w:r w:rsidRPr="00270DB5">
          <w:rPr>
            <w:rStyle w:val="Hyperlink"/>
            <w:color w:val="000000"/>
            <w:szCs w:val="20"/>
          </w:rPr>
          <w:t>http://www.bls.gov/oes/current/naics4_999200.htm</w:t>
        </w:r>
      </w:hyperlink>
    </w:p>
  </w:footnote>
  <w:footnote w:id="6">
    <w:p w:rsidR="001F39F6" w:rsidRPr="00270DB5" w:rsidRDefault="001F39F6" w:rsidP="00785BC7">
      <w:pPr>
        <w:ind w:firstLine="375"/>
        <w:rPr>
          <w:color w:val="000000"/>
          <w:szCs w:val="20"/>
        </w:rPr>
      </w:pPr>
      <w:r w:rsidRPr="00270DB5">
        <w:rPr>
          <w:rStyle w:val="FootnoteReference"/>
          <w:color w:val="000000"/>
          <w:szCs w:val="20"/>
          <w:vertAlign w:val="superscript"/>
        </w:rPr>
        <w:footnoteRef/>
      </w:r>
      <w:r w:rsidRPr="00270DB5">
        <w:rPr>
          <w:color w:val="000000"/>
          <w:szCs w:val="20"/>
        </w:rPr>
        <w:t xml:space="preserve">  = [1+ (Fringe Benefits %) / (100% - Fringe Benefits %)] x (1+ Overhead %)</w:t>
      </w:r>
    </w:p>
  </w:footnote>
  <w:footnote w:id="7">
    <w:p w:rsidR="001F39F6" w:rsidRPr="00270DB5" w:rsidRDefault="001F39F6" w:rsidP="00785BC7">
      <w:pPr>
        <w:pStyle w:val="ListParagraph"/>
        <w:keepNext/>
        <w:keepLines/>
        <w:autoSpaceDE w:val="0"/>
        <w:autoSpaceDN w:val="0"/>
        <w:adjustRightInd w:val="0"/>
        <w:spacing w:after="0" w:line="240" w:lineRule="auto"/>
        <w:ind w:left="0" w:firstLine="375"/>
        <w:rPr>
          <w:rFonts w:ascii="Times New Roman" w:hAnsi="Times New Roman"/>
          <w:color w:val="000000"/>
          <w:sz w:val="20"/>
          <w:szCs w:val="20"/>
        </w:rPr>
      </w:pPr>
      <w:r w:rsidRPr="00270DB5">
        <w:rPr>
          <w:rStyle w:val="Hyperlink"/>
          <w:rFonts w:ascii="Times New Roman" w:hAnsi="Times New Roman"/>
          <w:color w:val="000000"/>
          <w:sz w:val="20"/>
          <w:szCs w:val="20"/>
          <w:vertAlign w:val="superscript"/>
        </w:rPr>
        <w:footnoteRef/>
      </w:r>
      <w:r w:rsidRPr="00270DB5">
        <w:rPr>
          <w:rFonts w:ascii="Times New Roman" w:hAnsi="Times New Roman"/>
          <w:color w:val="000000"/>
          <w:sz w:val="20"/>
          <w:szCs w:val="20"/>
          <w:vertAlign w:val="superscript"/>
        </w:rPr>
        <w:t xml:space="preserve">  </w:t>
      </w:r>
      <w:r w:rsidRPr="00270DB5">
        <w:rPr>
          <w:rFonts w:ascii="Times New Roman" w:hAnsi="Times New Roman"/>
          <w:color w:val="000000"/>
          <w:sz w:val="20"/>
          <w:szCs w:val="20"/>
        </w:rPr>
        <w:t xml:space="preserve">Applied 34.4% fringe benefits percentage from “Table 3. State and local government, by major occupational and industry group” of the US Bureau of Labor Statistics (BLS) “Employer Costs for Employee Compensation” (ECEC), December 2010 at </w:t>
      </w:r>
      <w:hyperlink r:id="rId5" w:history="1">
        <w:r w:rsidRPr="00270DB5">
          <w:rPr>
            <w:rStyle w:val="Hyperlink"/>
            <w:rFonts w:ascii="Times New Roman" w:hAnsi="Times New Roman"/>
            <w:color w:val="000000"/>
            <w:sz w:val="20"/>
            <w:szCs w:val="20"/>
          </w:rPr>
          <w:t>http://www.bls.gov/schedule/archives/eci_nr.htm</w:t>
        </w:r>
      </w:hyperlink>
      <w:r w:rsidRPr="00270DB5">
        <w:rPr>
          <w:rFonts w:ascii="Times New Roman" w:eastAsia="PMingLiU" w:hAnsi="Times New Roman"/>
          <w:color w:val="000000"/>
          <w:sz w:val="20"/>
          <w:szCs w:val="20"/>
          <w:lang w:eastAsia="zh-TW"/>
        </w:rPr>
        <w:t>.</w:t>
      </w:r>
    </w:p>
  </w:footnote>
  <w:footnote w:id="8">
    <w:p w:rsidR="001F39F6" w:rsidRPr="00270DB5" w:rsidRDefault="001F39F6" w:rsidP="00785BC7">
      <w:pPr>
        <w:pStyle w:val="FootnoteText"/>
        <w:ind w:firstLine="375"/>
        <w:rPr>
          <w:color w:val="000000"/>
        </w:rPr>
      </w:pPr>
      <w:r w:rsidRPr="00270DB5">
        <w:rPr>
          <w:rStyle w:val="FootnoteReference"/>
          <w:color w:val="000000"/>
          <w:vertAlign w:val="superscript"/>
        </w:rPr>
        <w:footnoteRef/>
      </w:r>
      <w:r w:rsidRPr="00270DB5">
        <w:rPr>
          <w:color w:val="000000"/>
          <w:vertAlign w:val="superscript"/>
        </w:rPr>
        <w:t xml:space="preserve"> </w:t>
      </w:r>
      <w:r w:rsidRPr="00270DB5">
        <w:rPr>
          <w:color w:val="000000"/>
        </w:rPr>
        <w:t xml:space="preserve"> In absence of data specific to industry, applied 12% Federal civilian overhead cost factor from Figure C1 of the REVISED February OMB Circular A-76 at </w:t>
      </w:r>
      <w:hyperlink r:id="rId6" w:history="1">
        <w:r w:rsidRPr="00270DB5">
          <w:rPr>
            <w:rStyle w:val="Hyperlink"/>
            <w:color w:val="000000"/>
          </w:rPr>
          <w:t>http://www.whitehouse.gov/omb/circulars_a076_a76_incl_tech_correction/</w:t>
        </w:r>
      </w:hyperlink>
      <w:r w:rsidRPr="00270DB5">
        <w:rPr>
          <w:color w:val="000000"/>
        </w:rPr>
        <w:t>.</w:t>
      </w:r>
    </w:p>
  </w:footnote>
  <w:footnote w:id="9">
    <w:p w:rsidR="001F39F6" w:rsidRPr="00270DB5" w:rsidRDefault="001F39F6">
      <w:pPr>
        <w:pStyle w:val="FootnoteText"/>
        <w:rPr>
          <w:color w:val="000000"/>
        </w:rPr>
      </w:pPr>
      <w:r w:rsidRPr="00270DB5">
        <w:rPr>
          <w:rStyle w:val="FootnoteReference"/>
          <w:color w:val="000000"/>
          <w:vertAlign w:val="superscript"/>
        </w:rPr>
        <w:footnoteRef/>
      </w:r>
      <w:r w:rsidRPr="00270DB5">
        <w:rPr>
          <w:color w:val="000000"/>
          <w:vertAlign w:val="superscript"/>
        </w:rPr>
        <w:t>.</w:t>
      </w:r>
      <w:r w:rsidRPr="00270DB5">
        <w:rPr>
          <w:color w:val="000000"/>
        </w:rPr>
        <w:t xml:space="preserve"> To derive this 5-percent estimate, EPA referred to the impact assessment to obtain the </w:t>
      </w:r>
      <w:r w:rsidRPr="00270DB5">
        <w:rPr>
          <w:color w:val="000000"/>
          <w:u w:val="single"/>
        </w:rPr>
        <w:t>total</w:t>
      </w:r>
      <w:r w:rsidRPr="00270DB5">
        <w:rPr>
          <w:color w:val="000000"/>
        </w:rPr>
        <w:t xml:space="preserve"> number of college and university sites (1,256 sites) and non-profit research sites (61 sites) that are eligible for Subpart K.  EPA then calculated the percentage of non-profit research sites from the combined total of 1,317 sites (i.e., 61 sites / 1,317 = 5%).  EPA applied this 5-percent estimate to the 96 sites, to estimate that </w:t>
      </w:r>
      <w:r w:rsidRPr="00270DB5">
        <w:rPr>
          <w:strike/>
          <w:color w:val="000000"/>
        </w:rPr>
        <w:t>4</w:t>
      </w:r>
      <w:r w:rsidRPr="00270DB5">
        <w:rPr>
          <w:color w:val="000000"/>
        </w:rPr>
        <w:t xml:space="preserve"> 5 are non-profit research sites.</w:t>
      </w:r>
    </w:p>
  </w:footnote>
  <w:footnote w:id="10">
    <w:p w:rsidR="001F39F6" w:rsidRDefault="001F39F6">
      <w:pPr>
        <w:pStyle w:val="FootnoteText"/>
      </w:pPr>
      <w:r w:rsidRPr="00270DB5">
        <w:rPr>
          <w:rStyle w:val="FootnoteReference"/>
          <w:vertAlign w:val="superscript"/>
        </w:rPr>
        <w:footnoteRef/>
      </w:r>
      <w:r w:rsidRPr="00270DB5">
        <w:rPr>
          <w:vertAlign w:val="superscript"/>
        </w:rPr>
        <w:t>.</w:t>
      </w:r>
      <w:r>
        <w:t xml:space="preserve">  </w:t>
      </w:r>
      <w:r w:rsidRPr="00270DB5">
        <w:rPr>
          <w:color w:val="000000"/>
        </w:rPr>
        <w:t>14 of the 25 LQGs studied previously, per</w:t>
      </w:r>
      <w:r>
        <w:rPr>
          <w:color w:val="3333FF"/>
        </w:rPr>
        <w:t xml:space="preserve"> </w:t>
      </w:r>
      <w:r>
        <w:t xml:space="preserve">“Table 5-2. Number of Facilities Expected to Adopt the Final Rule by Institution Type, Lab System Size, Generator Status, and CAA Operation.” (p. </w:t>
      </w:r>
      <w:r w:rsidR="009258B4">
        <w:t>64) of EPA’s impact assessment.</w:t>
      </w:r>
    </w:p>
  </w:footnote>
  <w:footnote w:id="11">
    <w:p w:rsidR="001F39F6" w:rsidRDefault="001F39F6">
      <w:pPr>
        <w:pStyle w:val="FootnoteText"/>
      </w:pPr>
      <w:r w:rsidRPr="00270DB5">
        <w:rPr>
          <w:rStyle w:val="FootnoteReference"/>
          <w:vertAlign w:val="superscript"/>
        </w:rPr>
        <w:footnoteRef/>
      </w:r>
      <w:r w:rsidRPr="00270DB5">
        <w:rPr>
          <w:vertAlign w:val="superscript"/>
        </w:rPr>
        <w:t>.</w:t>
      </w:r>
      <w:r>
        <w:t xml:space="preserve">  See pages 55 and 56 of EPA’s impact assessment for an additional discussion of EPA’s rationale.</w:t>
      </w:r>
    </w:p>
  </w:footnote>
  <w:footnote w:id="12">
    <w:p w:rsidR="001F39F6" w:rsidRPr="006333DC" w:rsidRDefault="001F39F6">
      <w:pPr>
        <w:pStyle w:val="FootnoteText"/>
        <w:rPr>
          <w:color w:val="000000"/>
        </w:rPr>
      </w:pPr>
      <w:r w:rsidRPr="006333DC">
        <w:rPr>
          <w:rStyle w:val="FootnoteReference"/>
          <w:vertAlign w:val="superscript"/>
        </w:rPr>
        <w:footnoteRef/>
      </w:r>
      <w:r w:rsidRPr="006333DC">
        <w:rPr>
          <w:vertAlign w:val="superscript"/>
        </w:rPr>
        <w:t>.</w:t>
      </w:r>
      <w:r>
        <w:t xml:space="preserve">  See page 46 </w:t>
      </w:r>
      <w:r w:rsidRPr="006333DC">
        <w:rPr>
          <w:color w:val="000000"/>
        </w:rPr>
        <w:t>of EPA’s impact assessment for an additional discussion of EPA’s ass</w:t>
      </w:r>
      <w:r w:rsidR="00F40EA6">
        <w:rPr>
          <w:color w:val="000000"/>
        </w:rPr>
        <w:t>umptions.</w:t>
      </w:r>
    </w:p>
  </w:footnote>
  <w:footnote w:id="13">
    <w:p w:rsidR="001F39F6" w:rsidRPr="00F40EA6" w:rsidRDefault="001F39F6">
      <w:pPr>
        <w:pStyle w:val="FootnoteText"/>
        <w:rPr>
          <w:color w:val="000000"/>
        </w:rPr>
      </w:pPr>
      <w:r w:rsidRPr="00F40EA6">
        <w:rPr>
          <w:rStyle w:val="FootnoteReference"/>
          <w:color w:val="000000"/>
          <w:vertAlign w:val="superscript"/>
        </w:rPr>
        <w:footnoteRef/>
      </w:r>
      <w:r w:rsidRPr="00F40EA6">
        <w:rPr>
          <w:color w:val="000000"/>
          <w:vertAlign w:val="superscript"/>
        </w:rPr>
        <w:t>.</w:t>
      </w:r>
      <w:r w:rsidRPr="006333DC">
        <w:rPr>
          <w:color w:val="000000"/>
        </w:rPr>
        <w:t xml:space="preserve"> EPA’s impact assessment estimates that eligible academic entities will spend 4 hours every 3 years to maintain and update the Laboratory Management Plan (p. 47).  In preparing this ICR, EPA annualized the 4 hours over three years, to estimate that eligible academic entities will spend 1.33 hours per year to review, revise and keep records of each of the 99 </w:t>
      </w:r>
      <w:r w:rsidR="00F40EA6">
        <w:rPr>
          <w:color w:val="000000"/>
        </w:rPr>
        <w:t>Laboratory Management Plans.</w:t>
      </w:r>
    </w:p>
  </w:footnote>
  <w:footnote w:id="14">
    <w:p w:rsidR="001F39F6" w:rsidRDefault="001F39F6">
      <w:pPr>
        <w:pStyle w:val="FootnoteText"/>
      </w:pPr>
      <w:r w:rsidRPr="006333DC">
        <w:rPr>
          <w:rStyle w:val="FootnoteReference"/>
          <w:vertAlign w:val="superscript"/>
        </w:rPr>
        <w:footnoteRef/>
      </w:r>
      <w:r w:rsidRPr="006333DC">
        <w:rPr>
          <w:vertAlign w:val="superscript"/>
        </w:rPr>
        <w:t>.</w:t>
      </w:r>
      <w:r>
        <w:t xml:space="preserve">  See page 64 of EPA’s impact assessment for additional information (i.e., “Table 5-2. Number of Facilities Expected to Adopt the Final Rule by Institution Type, Lab System Size, Generator Status, and CAA Operation.”).</w:t>
      </w:r>
    </w:p>
  </w:footnote>
  <w:footnote w:id="15">
    <w:p w:rsidR="001F39F6" w:rsidRPr="00B962B6" w:rsidRDefault="001F39F6" w:rsidP="00042DF5">
      <w:pPr>
        <w:widowControl/>
        <w:rPr>
          <w:color w:val="000000"/>
          <w:szCs w:val="20"/>
        </w:rPr>
      </w:pPr>
      <w:r w:rsidRPr="00E17CBD">
        <w:rPr>
          <w:rStyle w:val="FootnoteReference"/>
          <w:vertAlign w:val="superscript"/>
        </w:rPr>
        <w:footnoteRef/>
      </w:r>
      <w:r>
        <w:t xml:space="preserve">  </w:t>
      </w:r>
      <w:r w:rsidRPr="00317A02">
        <w:rPr>
          <w:szCs w:val="20"/>
        </w:rPr>
        <w:t>RCRAInfo is a national system and database which EPA and States use to record and track information provided by the regulated community concerning the generation, shipment, treatment, and disposal of hazardous wastes</w:t>
      </w:r>
      <w:r>
        <w:rPr>
          <w:szCs w:val="20"/>
        </w:rPr>
        <w:t xml:space="preserve">.  </w:t>
      </w:r>
      <w:r w:rsidRPr="00317A02">
        <w:rPr>
          <w:color w:val="000000"/>
          <w:szCs w:val="20"/>
        </w:rPr>
        <w:t>This dat</w:t>
      </w:r>
      <w:r>
        <w:rPr>
          <w:color w:val="000000"/>
          <w:szCs w:val="20"/>
        </w:rPr>
        <w:t>a</w:t>
      </w:r>
      <w:r w:rsidRPr="00317A02">
        <w:rPr>
          <w:color w:val="000000"/>
          <w:szCs w:val="20"/>
        </w:rPr>
        <w:t>base is an EPA computer system for the use of EPA employees, as well as State and Territorial environmental agencies, working in their</w:t>
      </w:r>
      <w:r w:rsidRPr="00B962B6">
        <w:rPr>
          <w:color w:val="000000"/>
          <w:szCs w:val="20"/>
        </w:rPr>
        <w:t xml:space="preserve"> official capacities (see </w:t>
      </w:r>
      <w:r w:rsidRPr="00B962B6">
        <w:rPr>
          <w:color w:val="0000FF"/>
          <w:szCs w:val="20"/>
        </w:rPr>
        <w:t>http://www.epa.gov/enviro/html/rcris/index.html</w:t>
      </w:r>
      <w:r w:rsidRPr="00B962B6">
        <w:rPr>
          <w:color w:val="000000"/>
          <w:szCs w:val="20"/>
        </w:rPr>
        <w:t xml:space="preserve">). </w:t>
      </w:r>
      <w:r>
        <w:rPr>
          <w:color w:val="000000"/>
          <w:szCs w:val="20"/>
        </w:rPr>
        <w:t xml:space="preserve"> </w:t>
      </w:r>
      <w:r w:rsidRPr="00B962B6">
        <w:rPr>
          <w:color w:val="000000"/>
          <w:szCs w:val="20"/>
        </w:rPr>
        <w:t xml:space="preserve">Public access to RCRA Info </w:t>
      </w:r>
      <w:r w:rsidRPr="00B962B6">
        <w:rPr>
          <w:szCs w:val="20"/>
        </w:rPr>
        <w:t xml:space="preserve">and Biennial Report data </w:t>
      </w:r>
      <w:r w:rsidRPr="00B962B6">
        <w:rPr>
          <w:color w:val="000000"/>
          <w:szCs w:val="20"/>
        </w:rPr>
        <w:t>can be found on-line through the use of EPA's Envirofacts Data Warehouse</w:t>
      </w:r>
    </w:p>
    <w:p w:rsidR="001F39F6" w:rsidRDefault="001F39F6" w:rsidP="00042DF5">
      <w:pPr>
        <w:pStyle w:val="FootnoteText"/>
      </w:pPr>
      <w:r w:rsidRPr="00B962B6">
        <w:rPr>
          <w:color w:val="0000FF"/>
        </w:rPr>
        <w:t>http://www.epa.gov/enviro/html/rcris/rcris_query_java.html</w:t>
      </w:r>
      <w:r w:rsidRPr="00B962B6">
        <w:rPr>
          <w:color w:val="000000"/>
        </w:rPr>
        <w:t>.</w:t>
      </w:r>
    </w:p>
    <w:p w:rsidR="001F39F6" w:rsidRDefault="001F39F6" w:rsidP="00042DF5">
      <w:pPr>
        <w:pStyle w:val="FootnoteText"/>
      </w:pPr>
    </w:p>
  </w:footnote>
  <w:footnote w:id="16">
    <w:p w:rsidR="001F39F6" w:rsidRDefault="001F39F6" w:rsidP="00042DF5">
      <w:pPr>
        <w:pStyle w:val="FootnoteText"/>
      </w:pPr>
      <w:r w:rsidRPr="00A87EAD">
        <w:rPr>
          <w:rStyle w:val="FootnoteReference"/>
        </w:rPr>
        <w:sym w:font="Symbol" w:char="F02A"/>
      </w:r>
      <w:r>
        <w:t xml:space="preserve"> Excludes an entity that opted in but that does not have a generator status in RCRAInfo.  Assumed not to be eligible to opt in.</w:t>
      </w:r>
    </w:p>
    <w:p w:rsidR="001F39F6" w:rsidRDefault="001F39F6" w:rsidP="00042DF5">
      <w:pPr>
        <w:pStyle w:val="FootnoteText"/>
      </w:pPr>
    </w:p>
  </w:footnote>
  <w:footnote w:id="17">
    <w:p w:rsidR="001F39F6" w:rsidRDefault="001F39F6" w:rsidP="00042DF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0480"/>
    <w:multiLevelType w:val="hybridMultilevel"/>
    <w:tmpl w:val="9FECB2E8"/>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803A1F"/>
    <w:multiLevelType w:val="hybridMultilevel"/>
    <w:tmpl w:val="DFC2D90A"/>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67449A8"/>
    <w:multiLevelType w:val="hybridMultilevel"/>
    <w:tmpl w:val="8EEEAF8E"/>
    <w:lvl w:ilvl="0" w:tplc="2DA0BA7E">
      <w:start w:val="1"/>
      <w:numFmt w:val="bullet"/>
      <w:lvlText w:val=""/>
      <w:lvlJc w:val="left"/>
      <w:pPr>
        <w:tabs>
          <w:tab w:val="num" w:pos="2160"/>
        </w:tabs>
        <w:ind w:left="2160" w:hanging="720"/>
      </w:pPr>
      <w:rPr>
        <w:rFonts w:ascii="Symbol" w:hAnsi="Symbol" w:cs="Times New Roman" w:hint="default"/>
        <w:sz w:val="28"/>
      </w:rPr>
    </w:lvl>
    <w:lvl w:ilvl="1" w:tplc="B754AAF2">
      <w:start w:val="1"/>
      <w:numFmt w:val="bullet"/>
      <w:lvlText w:val=""/>
      <w:lvlJc w:val="left"/>
      <w:pPr>
        <w:tabs>
          <w:tab w:val="num" w:pos="1800"/>
        </w:tabs>
        <w:ind w:left="1800" w:hanging="720"/>
      </w:pPr>
      <w:rPr>
        <w:rFonts w:ascii="Symbol" w:hAnsi="Symbol" w:cs="Times New Roman" w:hint="default"/>
        <w:color w:val="auto"/>
        <w:spacing w:val="-94"/>
        <w:kern w:val="24"/>
        <w:position w:val="-4"/>
      </w:rPr>
    </w:lvl>
    <w:lvl w:ilvl="2" w:tplc="7CB46F0E">
      <w:start w:val="1"/>
      <w:numFmt w:val="bullet"/>
      <w:lvlText w:val=""/>
      <w:lvlJc w:val="left"/>
      <w:pPr>
        <w:tabs>
          <w:tab w:val="num" w:pos="2160"/>
        </w:tabs>
        <w:ind w:left="2160" w:hanging="360"/>
      </w:pPr>
      <w:rPr>
        <w:rFonts w:ascii="Wingdings" w:eastAsia="Times New Roman" w:hAnsi="Wingding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5F3258"/>
    <w:multiLevelType w:val="hybridMultilevel"/>
    <w:tmpl w:val="47028320"/>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AE267D"/>
    <w:multiLevelType w:val="hybridMultilevel"/>
    <w:tmpl w:val="7D4C4334"/>
    <w:lvl w:ilvl="0" w:tplc="563A7A9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A054B70"/>
    <w:multiLevelType w:val="hybridMultilevel"/>
    <w:tmpl w:val="999A16DA"/>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31432CA"/>
    <w:multiLevelType w:val="hybridMultilevel"/>
    <w:tmpl w:val="42D0AA52"/>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53261B7"/>
    <w:multiLevelType w:val="hybridMultilevel"/>
    <w:tmpl w:val="C72A46F0"/>
    <w:lvl w:ilvl="0" w:tplc="2DA0BA7E">
      <w:start w:val="1"/>
      <w:numFmt w:val="bullet"/>
      <w:lvlText w:val=""/>
      <w:lvlJc w:val="left"/>
      <w:pPr>
        <w:tabs>
          <w:tab w:val="num" w:pos="3600"/>
        </w:tabs>
        <w:ind w:left="3600" w:hanging="720"/>
      </w:pPr>
      <w:rPr>
        <w:rFonts w:ascii="Symbol" w:hAnsi="Symbol" w:cs="Times New Roman" w:hint="default"/>
        <w:sz w:val="28"/>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75FC0F10"/>
    <w:multiLevelType w:val="hybridMultilevel"/>
    <w:tmpl w:val="2DC2F57E"/>
    <w:lvl w:ilvl="0" w:tplc="2DA0BA7E">
      <w:start w:val="1"/>
      <w:numFmt w:val="bullet"/>
      <w:lvlText w:val=""/>
      <w:lvlJc w:val="left"/>
      <w:pPr>
        <w:tabs>
          <w:tab w:val="num" w:pos="2160"/>
        </w:tabs>
        <w:ind w:left="2160" w:hanging="720"/>
      </w:pPr>
      <w:rPr>
        <w:rFonts w:ascii="Symbol" w:hAnsi="Symbol" w:cs="Times New Roman"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8"/>
  </w:num>
  <w:num w:numId="7">
    <w:abstractNumId w:val="1"/>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3"/>
  <w:proofState w:grammar="clean"/>
  <w:stylePaneFormatFilter w:val="3F01"/>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8A00B5"/>
    <w:rsid w:val="00012B30"/>
    <w:rsid w:val="000145A0"/>
    <w:rsid w:val="00015DB0"/>
    <w:rsid w:val="00027D0F"/>
    <w:rsid w:val="00031788"/>
    <w:rsid w:val="000333CA"/>
    <w:rsid w:val="00040A04"/>
    <w:rsid w:val="0004111C"/>
    <w:rsid w:val="00042DF5"/>
    <w:rsid w:val="00052469"/>
    <w:rsid w:val="000701E0"/>
    <w:rsid w:val="00084987"/>
    <w:rsid w:val="000875F9"/>
    <w:rsid w:val="00093D2D"/>
    <w:rsid w:val="000A24E3"/>
    <w:rsid w:val="000A7E5D"/>
    <w:rsid w:val="000B1ADA"/>
    <w:rsid w:val="000B4F46"/>
    <w:rsid w:val="000C0709"/>
    <w:rsid w:val="000D0F62"/>
    <w:rsid w:val="000F22B1"/>
    <w:rsid w:val="000F516D"/>
    <w:rsid w:val="00103744"/>
    <w:rsid w:val="00107FD8"/>
    <w:rsid w:val="001111FB"/>
    <w:rsid w:val="00126FCE"/>
    <w:rsid w:val="00141405"/>
    <w:rsid w:val="00146A6C"/>
    <w:rsid w:val="00155A0F"/>
    <w:rsid w:val="00155B4F"/>
    <w:rsid w:val="001604AD"/>
    <w:rsid w:val="00180DA5"/>
    <w:rsid w:val="00182BFD"/>
    <w:rsid w:val="0018418D"/>
    <w:rsid w:val="001A501A"/>
    <w:rsid w:val="001B299D"/>
    <w:rsid w:val="001B59FA"/>
    <w:rsid w:val="001C028A"/>
    <w:rsid w:val="001D30B1"/>
    <w:rsid w:val="001D59C9"/>
    <w:rsid w:val="001F14BD"/>
    <w:rsid w:val="001F39F6"/>
    <w:rsid w:val="00200C44"/>
    <w:rsid w:val="00204194"/>
    <w:rsid w:val="00225505"/>
    <w:rsid w:val="00242EF3"/>
    <w:rsid w:val="00260AB6"/>
    <w:rsid w:val="00262B34"/>
    <w:rsid w:val="00263EC7"/>
    <w:rsid w:val="00270DB5"/>
    <w:rsid w:val="00282412"/>
    <w:rsid w:val="00293684"/>
    <w:rsid w:val="00296A30"/>
    <w:rsid w:val="002972F8"/>
    <w:rsid w:val="00297DBC"/>
    <w:rsid w:val="002B6CEC"/>
    <w:rsid w:val="002C509D"/>
    <w:rsid w:val="002D0FCF"/>
    <w:rsid w:val="002D36F9"/>
    <w:rsid w:val="002E19BC"/>
    <w:rsid w:val="002E5680"/>
    <w:rsid w:val="002E59E1"/>
    <w:rsid w:val="002F0677"/>
    <w:rsid w:val="002F53EC"/>
    <w:rsid w:val="00301BF8"/>
    <w:rsid w:val="0031294B"/>
    <w:rsid w:val="003153AE"/>
    <w:rsid w:val="00316580"/>
    <w:rsid w:val="00317A02"/>
    <w:rsid w:val="00320B53"/>
    <w:rsid w:val="00327244"/>
    <w:rsid w:val="00331A26"/>
    <w:rsid w:val="0033638D"/>
    <w:rsid w:val="003364EC"/>
    <w:rsid w:val="00367C30"/>
    <w:rsid w:val="00376B12"/>
    <w:rsid w:val="003865C7"/>
    <w:rsid w:val="003869D9"/>
    <w:rsid w:val="00387EBB"/>
    <w:rsid w:val="0039376E"/>
    <w:rsid w:val="003A645D"/>
    <w:rsid w:val="003B32CD"/>
    <w:rsid w:val="003B727E"/>
    <w:rsid w:val="003C6F5B"/>
    <w:rsid w:val="003D5BF4"/>
    <w:rsid w:val="0044302D"/>
    <w:rsid w:val="00443218"/>
    <w:rsid w:val="004451FD"/>
    <w:rsid w:val="0045302C"/>
    <w:rsid w:val="00456844"/>
    <w:rsid w:val="00465A3A"/>
    <w:rsid w:val="00466CEC"/>
    <w:rsid w:val="00475C05"/>
    <w:rsid w:val="004A31B5"/>
    <w:rsid w:val="004B13A9"/>
    <w:rsid w:val="004B286B"/>
    <w:rsid w:val="004B5D8E"/>
    <w:rsid w:val="004E7421"/>
    <w:rsid w:val="00514D8E"/>
    <w:rsid w:val="00516029"/>
    <w:rsid w:val="00523593"/>
    <w:rsid w:val="005449EB"/>
    <w:rsid w:val="0055680F"/>
    <w:rsid w:val="00556E97"/>
    <w:rsid w:val="005C2FBD"/>
    <w:rsid w:val="005C70F1"/>
    <w:rsid w:val="005D0848"/>
    <w:rsid w:val="005E35B1"/>
    <w:rsid w:val="005E7832"/>
    <w:rsid w:val="005F2B2C"/>
    <w:rsid w:val="005F37AE"/>
    <w:rsid w:val="0060310A"/>
    <w:rsid w:val="00626450"/>
    <w:rsid w:val="00627445"/>
    <w:rsid w:val="006314C8"/>
    <w:rsid w:val="006333DC"/>
    <w:rsid w:val="00645728"/>
    <w:rsid w:val="00654701"/>
    <w:rsid w:val="00687A79"/>
    <w:rsid w:val="006B0BDE"/>
    <w:rsid w:val="006C3295"/>
    <w:rsid w:val="006D1156"/>
    <w:rsid w:val="006D2ACE"/>
    <w:rsid w:val="006F3A03"/>
    <w:rsid w:val="007072F0"/>
    <w:rsid w:val="007135E7"/>
    <w:rsid w:val="00717F59"/>
    <w:rsid w:val="00720FCF"/>
    <w:rsid w:val="00722085"/>
    <w:rsid w:val="00732686"/>
    <w:rsid w:val="007344D8"/>
    <w:rsid w:val="00735B22"/>
    <w:rsid w:val="00744B02"/>
    <w:rsid w:val="00744E22"/>
    <w:rsid w:val="00752385"/>
    <w:rsid w:val="00756A43"/>
    <w:rsid w:val="007604E0"/>
    <w:rsid w:val="0076483F"/>
    <w:rsid w:val="0076605C"/>
    <w:rsid w:val="0078321E"/>
    <w:rsid w:val="00785BC7"/>
    <w:rsid w:val="00790391"/>
    <w:rsid w:val="007A13E1"/>
    <w:rsid w:val="007A14EE"/>
    <w:rsid w:val="007A1B8F"/>
    <w:rsid w:val="007A7370"/>
    <w:rsid w:val="007C5ABE"/>
    <w:rsid w:val="007D50FD"/>
    <w:rsid w:val="007E5E61"/>
    <w:rsid w:val="007E6A36"/>
    <w:rsid w:val="007F55BB"/>
    <w:rsid w:val="007F5E92"/>
    <w:rsid w:val="0081461A"/>
    <w:rsid w:val="008156A4"/>
    <w:rsid w:val="008156FB"/>
    <w:rsid w:val="00815E3A"/>
    <w:rsid w:val="0082627E"/>
    <w:rsid w:val="008278B3"/>
    <w:rsid w:val="00842ECD"/>
    <w:rsid w:val="00846A17"/>
    <w:rsid w:val="00872932"/>
    <w:rsid w:val="00881F0B"/>
    <w:rsid w:val="008A00B5"/>
    <w:rsid w:val="008B1E33"/>
    <w:rsid w:val="008C1877"/>
    <w:rsid w:val="008C34EC"/>
    <w:rsid w:val="008D1048"/>
    <w:rsid w:val="008D41BF"/>
    <w:rsid w:val="008D5194"/>
    <w:rsid w:val="008E3A96"/>
    <w:rsid w:val="008E3FF9"/>
    <w:rsid w:val="008E4201"/>
    <w:rsid w:val="0091516C"/>
    <w:rsid w:val="009258B4"/>
    <w:rsid w:val="009265EC"/>
    <w:rsid w:val="009266BF"/>
    <w:rsid w:val="00937773"/>
    <w:rsid w:val="00941289"/>
    <w:rsid w:val="00946B8E"/>
    <w:rsid w:val="00957FD5"/>
    <w:rsid w:val="00964C83"/>
    <w:rsid w:val="009714E8"/>
    <w:rsid w:val="009762CC"/>
    <w:rsid w:val="009808D5"/>
    <w:rsid w:val="0098550F"/>
    <w:rsid w:val="00990C33"/>
    <w:rsid w:val="00991393"/>
    <w:rsid w:val="00992B57"/>
    <w:rsid w:val="00994655"/>
    <w:rsid w:val="009B66B8"/>
    <w:rsid w:val="009C47BD"/>
    <w:rsid w:val="009C763D"/>
    <w:rsid w:val="009E5F7B"/>
    <w:rsid w:val="00A1637D"/>
    <w:rsid w:val="00A23455"/>
    <w:rsid w:val="00A243E8"/>
    <w:rsid w:val="00A30D25"/>
    <w:rsid w:val="00A332DC"/>
    <w:rsid w:val="00A33EB1"/>
    <w:rsid w:val="00A47EDA"/>
    <w:rsid w:val="00A556A1"/>
    <w:rsid w:val="00A66191"/>
    <w:rsid w:val="00A67A2C"/>
    <w:rsid w:val="00A67F7A"/>
    <w:rsid w:val="00A86501"/>
    <w:rsid w:val="00AA5076"/>
    <w:rsid w:val="00AB1471"/>
    <w:rsid w:val="00AB2B29"/>
    <w:rsid w:val="00AC7014"/>
    <w:rsid w:val="00AE0ED2"/>
    <w:rsid w:val="00B022C0"/>
    <w:rsid w:val="00B028B2"/>
    <w:rsid w:val="00B0773E"/>
    <w:rsid w:val="00B07D74"/>
    <w:rsid w:val="00B1133B"/>
    <w:rsid w:val="00B43EB5"/>
    <w:rsid w:val="00B61ECE"/>
    <w:rsid w:val="00B65A19"/>
    <w:rsid w:val="00B67011"/>
    <w:rsid w:val="00B6771F"/>
    <w:rsid w:val="00B705B6"/>
    <w:rsid w:val="00B71822"/>
    <w:rsid w:val="00B76909"/>
    <w:rsid w:val="00B87DD3"/>
    <w:rsid w:val="00B92C3A"/>
    <w:rsid w:val="00B962B6"/>
    <w:rsid w:val="00BA090F"/>
    <w:rsid w:val="00BB6808"/>
    <w:rsid w:val="00BD3A27"/>
    <w:rsid w:val="00BF0296"/>
    <w:rsid w:val="00BF7686"/>
    <w:rsid w:val="00C25D0B"/>
    <w:rsid w:val="00C377CF"/>
    <w:rsid w:val="00C4664F"/>
    <w:rsid w:val="00C46E3A"/>
    <w:rsid w:val="00C530AC"/>
    <w:rsid w:val="00C535F4"/>
    <w:rsid w:val="00C55DB8"/>
    <w:rsid w:val="00C563B0"/>
    <w:rsid w:val="00C761EE"/>
    <w:rsid w:val="00C814A8"/>
    <w:rsid w:val="00C84FF0"/>
    <w:rsid w:val="00C8616F"/>
    <w:rsid w:val="00C94784"/>
    <w:rsid w:val="00CA71E9"/>
    <w:rsid w:val="00CC07E9"/>
    <w:rsid w:val="00CC1943"/>
    <w:rsid w:val="00CC3059"/>
    <w:rsid w:val="00CD1728"/>
    <w:rsid w:val="00CE06A5"/>
    <w:rsid w:val="00CE590D"/>
    <w:rsid w:val="00CF510E"/>
    <w:rsid w:val="00D20928"/>
    <w:rsid w:val="00D21802"/>
    <w:rsid w:val="00D316BC"/>
    <w:rsid w:val="00D31B32"/>
    <w:rsid w:val="00D378BD"/>
    <w:rsid w:val="00D429DA"/>
    <w:rsid w:val="00D5202C"/>
    <w:rsid w:val="00D527DC"/>
    <w:rsid w:val="00D6084B"/>
    <w:rsid w:val="00D67C8E"/>
    <w:rsid w:val="00D764C0"/>
    <w:rsid w:val="00D83FE2"/>
    <w:rsid w:val="00D92D00"/>
    <w:rsid w:val="00D96DF5"/>
    <w:rsid w:val="00DB4D1D"/>
    <w:rsid w:val="00DC161B"/>
    <w:rsid w:val="00DC4DE1"/>
    <w:rsid w:val="00DD029F"/>
    <w:rsid w:val="00DD53E0"/>
    <w:rsid w:val="00DE15D2"/>
    <w:rsid w:val="00DE19B4"/>
    <w:rsid w:val="00DE4C3C"/>
    <w:rsid w:val="00DF014B"/>
    <w:rsid w:val="00E17CBD"/>
    <w:rsid w:val="00E20513"/>
    <w:rsid w:val="00E3715B"/>
    <w:rsid w:val="00E44601"/>
    <w:rsid w:val="00E44F83"/>
    <w:rsid w:val="00E47300"/>
    <w:rsid w:val="00E52B8F"/>
    <w:rsid w:val="00E53370"/>
    <w:rsid w:val="00E6509F"/>
    <w:rsid w:val="00E72AAE"/>
    <w:rsid w:val="00E76EBE"/>
    <w:rsid w:val="00E8516B"/>
    <w:rsid w:val="00E95252"/>
    <w:rsid w:val="00E9616C"/>
    <w:rsid w:val="00EA22A3"/>
    <w:rsid w:val="00EA48C0"/>
    <w:rsid w:val="00EA7831"/>
    <w:rsid w:val="00EC06CA"/>
    <w:rsid w:val="00EC335E"/>
    <w:rsid w:val="00EC5E95"/>
    <w:rsid w:val="00EC697D"/>
    <w:rsid w:val="00ED7EA5"/>
    <w:rsid w:val="00EF2C07"/>
    <w:rsid w:val="00EF6882"/>
    <w:rsid w:val="00F123DB"/>
    <w:rsid w:val="00F20002"/>
    <w:rsid w:val="00F40EA6"/>
    <w:rsid w:val="00F516AD"/>
    <w:rsid w:val="00F53A87"/>
    <w:rsid w:val="00F609CB"/>
    <w:rsid w:val="00F620C8"/>
    <w:rsid w:val="00F62DFC"/>
    <w:rsid w:val="00F82E90"/>
    <w:rsid w:val="00FD05BF"/>
    <w:rsid w:val="00FD14DF"/>
    <w:rsid w:val="00FD15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pPr>
      <w:ind w:left="1440" w:hanging="720"/>
    </w:pPr>
  </w:style>
  <w:style w:type="paragraph" w:styleId="BalloonText">
    <w:name w:val="Balloon Text"/>
    <w:basedOn w:val="Normal"/>
    <w:semiHidden/>
    <w:rPr>
      <w:rFonts w:ascii="Tahoma" w:hAnsi="Tahoma" w:cs="Tahoma"/>
      <w:sz w:val="16"/>
      <w:szCs w:val="16"/>
    </w:rPr>
  </w:style>
  <w:style w:type="character" w:styleId="FootnoteReference">
    <w:name w:val="footnote reference"/>
    <w:uiPriority w:val="99"/>
  </w:style>
  <w:style w:type="paragraph" w:styleId="FootnoteText">
    <w:name w:val="footnote text"/>
    <w:basedOn w:val="Normal"/>
    <w:link w:val="FootnoteTextChar"/>
    <w:uiPriority w:val="99"/>
    <w:semiHidden/>
    <w:pPr>
      <w:widowControl/>
      <w:autoSpaceDE/>
      <w:autoSpaceDN/>
      <w:adjustRightInd/>
    </w:pPr>
    <w:rPr>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pPr>
      <w:tabs>
        <w:tab w:val="left" w:pos="360"/>
        <w:tab w:val="left" w:pos="400"/>
        <w:tab w:val="left" w:pos="720"/>
        <w:tab w:val="right" w:leader="dot" w:pos="9350"/>
      </w:tabs>
      <w:ind w:left="360" w:hanging="360"/>
    </w:pPr>
    <w:rPr>
      <w:noProof/>
    </w:rPr>
  </w:style>
  <w:style w:type="paragraph" w:styleId="TOC2">
    <w:name w:val="toc 2"/>
    <w:basedOn w:val="Normal"/>
    <w:next w:val="Normal"/>
    <w:autoRedefine/>
    <w:uiPriority w:val="39"/>
    <w:pPr>
      <w:tabs>
        <w:tab w:val="left" w:pos="800"/>
        <w:tab w:val="left" w:pos="1000"/>
        <w:tab w:val="left" w:pos="1080"/>
        <w:tab w:val="right" w:leader="dot" w:pos="9350"/>
      </w:tabs>
      <w:ind w:left="900" w:hanging="540"/>
    </w:pPr>
    <w:rPr>
      <w:noProof/>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Header">
    <w:name w:val="header"/>
    <w:basedOn w:val="Normal"/>
    <w:pPr>
      <w:tabs>
        <w:tab w:val="center" w:pos="4320"/>
        <w:tab w:val="right" w:pos="8640"/>
      </w:tabs>
    </w:pPr>
  </w:style>
  <w:style w:type="character" w:styleId="FollowedHyperlink">
    <w:name w:val="FollowedHyperlink"/>
    <w:basedOn w:val="DefaultParagraphFont"/>
    <w:rPr>
      <w:color w:val="800080"/>
      <w:u w:val="single"/>
    </w:rPr>
  </w:style>
  <w:style w:type="paragraph" w:styleId="CommentSubject">
    <w:name w:val="annotation subject"/>
    <w:basedOn w:val="CommentText"/>
    <w:next w:val="CommentText"/>
    <w:semiHidden/>
    <w:rPr>
      <w:b/>
      <w:bCs/>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Cs w:val="20"/>
    </w:rPr>
  </w:style>
  <w:style w:type="character" w:customStyle="1" w:styleId="QuickFormat3">
    <w:name w:val="QuickFormat3"/>
  </w:style>
  <w:style w:type="paragraph" w:customStyle="1" w:styleId="QuickFormat4">
    <w:name w:val="QuickFormat4"/>
    <w:pPr>
      <w:autoSpaceDE w:val="0"/>
      <w:autoSpaceDN w:val="0"/>
      <w:adjustRightInd w:val="0"/>
    </w:pPr>
    <w:rPr>
      <w:sz w:val="24"/>
      <w:szCs w:val="24"/>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Arial Unicode MS" w:hAnsi="Arial" w:cs="Arial"/>
      <w:sz w:val="18"/>
      <w:szCs w:val="18"/>
    </w:rPr>
  </w:style>
  <w:style w:type="paragraph" w:customStyle="1" w:styleId="xl25">
    <w:name w:val="xl25"/>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sz w:val="18"/>
      <w:szCs w:val="18"/>
    </w:rPr>
  </w:style>
  <w:style w:type="paragraph" w:customStyle="1" w:styleId="xl26">
    <w:name w:val="xl26"/>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sz w:val="18"/>
      <w:szCs w:val="18"/>
    </w:rPr>
  </w:style>
  <w:style w:type="paragraph" w:customStyle="1" w:styleId="xl27">
    <w:name w:val="xl27"/>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b/>
      <w:bCs/>
      <w:sz w:val="18"/>
      <w:szCs w:val="18"/>
    </w:rPr>
  </w:style>
  <w:style w:type="paragraph" w:customStyle="1" w:styleId="xl28">
    <w:name w:val="xl28"/>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b/>
      <w:bCs/>
      <w:sz w:val="18"/>
      <w:szCs w:val="18"/>
    </w:rPr>
  </w:style>
  <w:style w:type="paragraph" w:customStyle="1" w:styleId="xl29">
    <w:name w:val="xl29"/>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Arial Unicode MS" w:hAnsi="Arial" w:cs="Arial"/>
      <w:b/>
      <w:bCs/>
      <w:sz w:val="18"/>
      <w:szCs w:val="18"/>
    </w:rPr>
  </w:style>
  <w:style w:type="paragraph" w:customStyle="1" w:styleId="xl30">
    <w:name w:val="xl30"/>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b/>
      <w:bCs/>
      <w:sz w:val="18"/>
      <w:szCs w:val="18"/>
    </w:rPr>
  </w:style>
  <w:style w:type="paragraph" w:customStyle="1" w:styleId="xl31">
    <w:name w:val="xl31"/>
    <w:basedOn w:val="Normal"/>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eastAsia="Arial Unicode MS" w:hAnsi="Arial" w:cs="Arial"/>
      <w:b/>
      <w:bCs/>
      <w:sz w:val="18"/>
      <w:szCs w:val="18"/>
    </w:rPr>
  </w:style>
  <w:style w:type="paragraph" w:customStyle="1" w:styleId="xl32">
    <w:name w:val="xl32"/>
    <w:basedOn w:val="Normal"/>
    <w:pPr>
      <w:widowControl/>
      <w:pBdr>
        <w:top w:val="single" w:sz="4" w:space="0" w:color="auto"/>
        <w:bottom w:val="single" w:sz="4" w:space="0" w:color="auto"/>
      </w:pBdr>
      <w:autoSpaceDE/>
      <w:autoSpaceDN/>
      <w:adjustRightInd/>
      <w:spacing w:before="100" w:beforeAutospacing="1" w:after="100" w:afterAutospacing="1"/>
    </w:pPr>
    <w:rPr>
      <w:rFonts w:ascii="Arial" w:eastAsia="Arial Unicode MS" w:hAnsi="Arial" w:cs="Arial"/>
      <w:b/>
      <w:bCs/>
      <w:sz w:val="18"/>
      <w:szCs w:val="18"/>
    </w:rPr>
  </w:style>
  <w:style w:type="paragraph" w:customStyle="1" w:styleId="xl33">
    <w:name w:val="xl33"/>
    <w:basedOn w:val="Normal"/>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eastAsia="Arial Unicode MS" w:hAnsi="Arial" w:cs="Arial"/>
      <w:b/>
      <w:bCs/>
      <w:sz w:val="18"/>
      <w:szCs w:val="18"/>
    </w:rPr>
  </w:style>
  <w:style w:type="character" w:customStyle="1" w:styleId="FootnoteTextChar">
    <w:name w:val="Footnote Text Char"/>
    <w:basedOn w:val="DefaultParagraphFont"/>
    <w:link w:val="FootnoteText"/>
    <w:uiPriority w:val="99"/>
    <w:semiHidden/>
    <w:rsid w:val="00052469"/>
  </w:style>
  <w:style w:type="paragraph" w:styleId="ListParagraph">
    <w:name w:val="List Paragraph"/>
    <w:basedOn w:val="Normal"/>
    <w:uiPriority w:val="34"/>
    <w:qFormat/>
    <w:rsid w:val="00052469"/>
    <w:pPr>
      <w:widowControl/>
      <w:autoSpaceDE/>
      <w:autoSpaceDN/>
      <w:adjustRightInd/>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732686"/>
    <w:rPr>
      <w:b/>
      <w:bCs/>
    </w:rPr>
  </w:style>
  <w:style w:type="table" w:styleId="TableGrid">
    <w:name w:val="Table Grid"/>
    <w:basedOn w:val="TableNormal"/>
    <w:uiPriority w:val="59"/>
    <w:rsid w:val="002D0F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836571">
      <w:bodyDiv w:val="1"/>
      <w:marLeft w:val="0"/>
      <w:marRight w:val="0"/>
      <w:marTop w:val="0"/>
      <w:marBottom w:val="0"/>
      <w:divBdr>
        <w:top w:val="none" w:sz="0" w:space="0" w:color="auto"/>
        <w:left w:val="none" w:sz="0" w:space="0" w:color="auto"/>
        <w:bottom w:val="none" w:sz="0" w:space="0" w:color="auto"/>
        <w:right w:val="none" w:sz="0" w:space="0" w:color="auto"/>
      </w:divBdr>
    </w:div>
    <w:div w:id="86508867">
      <w:bodyDiv w:val="1"/>
      <w:marLeft w:val="0"/>
      <w:marRight w:val="0"/>
      <w:marTop w:val="0"/>
      <w:marBottom w:val="0"/>
      <w:divBdr>
        <w:top w:val="none" w:sz="0" w:space="0" w:color="auto"/>
        <w:left w:val="none" w:sz="0" w:space="0" w:color="auto"/>
        <w:bottom w:val="none" w:sz="0" w:space="0" w:color="auto"/>
        <w:right w:val="none" w:sz="0" w:space="0" w:color="auto"/>
      </w:divBdr>
    </w:div>
    <w:div w:id="120811217">
      <w:bodyDiv w:val="1"/>
      <w:marLeft w:val="0"/>
      <w:marRight w:val="0"/>
      <w:marTop w:val="0"/>
      <w:marBottom w:val="0"/>
      <w:divBdr>
        <w:top w:val="none" w:sz="0" w:space="0" w:color="auto"/>
        <w:left w:val="none" w:sz="0" w:space="0" w:color="auto"/>
        <w:bottom w:val="none" w:sz="0" w:space="0" w:color="auto"/>
        <w:right w:val="none" w:sz="0" w:space="0" w:color="auto"/>
      </w:divBdr>
    </w:div>
    <w:div w:id="121313113">
      <w:bodyDiv w:val="1"/>
      <w:marLeft w:val="0"/>
      <w:marRight w:val="0"/>
      <w:marTop w:val="0"/>
      <w:marBottom w:val="0"/>
      <w:divBdr>
        <w:top w:val="none" w:sz="0" w:space="0" w:color="auto"/>
        <w:left w:val="none" w:sz="0" w:space="0" w:color="auto"/>
        <w:bottom w:val="none" w:sz="0" w:space="0" w:color="auto"/>
        <w:right w:val="none" w:sz="0" w:space="0" w:color="auto"/>
      </w:divBdr>
    </w:div>
    <w:div w:id="121962858">
      <w:bodyDiv w:val="1"/>
      <w:marLeft w:val="0"/>
      <w:marRight w:val="0"/>
      <w:marTop w:val="0"/>
      <w:marBottom w:val="0"/>
      <w:divBdr>
        <w:top w:val="none" w:sz="0" w:space="0" w:color="auto"/>
        <w:left w:val="none" w:sz="0" w:space="0" w:color="auto"/>
        <w:bottom w:val="none" w:sz="0" w:space="0" w:color="auto"/>
        <w:right w:val="none" w:sz="0" w:space="0" w:color="auto"/>
      </w:divBdr>
    </w:div>
    <w:div w:id="135949407">
      <w:bodyDiv w:val="1"/>
      <w:marLeft w:val="0"/>
      <w:marRight w:val="0"/>
      <w:marTop w:val="0"/>
      <w:marBottom w:val="0"/>
      <w:divBdr>
        <w:top w:val="none" w:sz="0" w:space="0" w:color="auto"/>
        <w:left w:val="none" w:sz="0" w:space="0" w:color="auto"/>
        <w:bottom w:val="none" w:sz="0" w:space="0" w:color="auto"/>
        <w:right w:val="none" w:sz="0" w:space="0" w:color="auto"/>
      </w:divBdr>
    </w:div>
    <w:div w:id="157353954">
      <w:bodyDiv w:val="1"/>
      <w:marLeft w:val="0"/>
      <w:marRight w:val="0"/>
      <w:marTop w:val="0"/>
      <w:marBottom w:val="0"/>
      <w:divBdr>
        <w:top w:val="none" w:sz="0" w:space="0" w:color="auto"/>
        <w:left w:val="none" w:sz="0" w:space="0" w:color="auto"/>
        <w:bottom w:val="none" w:sz="0" w:space="0" w:color="auto"/>
        <w:right w:val="none" w:sz="0" w:space="0" w:color="auto"/>
      </w:divBdr>
    </w:div>
    <w:div w:id="190146458">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48084108">
      <w:bodyDiv w:val="1"/>
      <w:marLeft w:val="0"/>
      <w:marRight w:val="0"/>
      <w:marTop w:val="0"/>
      <w:marBottom w:val="0"/>
      <w:divBdr>
        <w:top w:val="none" w:sz="0" w:space="0" w:color="auto"/>
        <w:left w:val="none" w:sz="0" w:space="0" w:color="auto"/>
        <w:bottom w:val="none" w:sz="0" w:space="0" w:color="auto"/>
        <w:right w:val="none" w:sz="0" w:space="0" w:color="auto"/>
      </w:divBdr>
    </w:div>
    <w:div w:id="270091623">
      <w:bodyDiv w:val="1"/>
      <w:marLeft w:val="0"/>
      <w:marRight w:val="0"/>
      <w:marTop w:val="0"/>
      <w:marBottom w:val="0"/>
      <w:divBdr>
        <w:top w:val="none" w:sz="0" w:space="0" w:color="auto"/>
        <w:left w:val="none" w:sz="0" w:space="0" w:color="auto"/>
        <w:bottom w:val="none" w:sz="0" w:space="0" w:color="auto"/>
        <w:right w:val="none" w:sz="0" w:space="0" w:color="auto"/>
      </w:divBdr>
    </w:div>
    <w:div w:id="299918025">
      <w:bodyDiv w:val="1"/>
      <w:marLeft w:val="0"/>
      <w:marRight w:val="0"/>
      <w:marTop w:val="0"/>
      <w:marBottom w:val="0"/>
      <w:divBdr>
        <w:top w:val="none" w:sz="0" w:space="0" w:color="auto"/>
        <w:left w:val="none" w:sz="0" w:space="0" w:color="auto"/>
        <w:bottom w:val="none" w:sz="0" w:space="0" w:color="auto"/>
        <w:right w:val="none" w:sz="0" w:space="0" w:color="auto"/>
      </w:divBdr>
    </w:div>
    <w:div w:id="366302214">
      <w:bodyDiv w:val="1"/>
      <w:marLeft w:val="0"/>
      <w:marRight w:val="0"/>
      <w:marTop w:val="0"/>
      <w:marBottom w:val="0"/>
      <w:divBdr>
        <w:top w:val="none" w:sz="0" w:space="0" w:color="auto"/>
        <w:left w:val="none" w:sz="0" w:space="0" w:color="auto"/>
        <w:bottom w:val="none" w:sz="0" w:space="0" w:color="auto"/>
        <w:right w:val="none" w:sz="0" w:space="0" w:color="auto"/>
      </w:divBdr>
    </w:div>
    <w:div w:id="377440549">
      <w:bodyDiv w:val="1"/>
      <w:marLeft w:val="0"/>
      <w:marRight w:val="0"/>
      <w:marTop w:val="0"/>
      <w:marBottom w:val="0"/>
      <w:divBdr>
        <w:top w:val="none" w:sz="0" w:space="0" w:color="auto"/>
        <w:left w:val="none" w:sz="0" w:space="0" w:color="auto"/>
        <w:bottom w:val="none" w:sz="0" w:space="0" w:color="auto"/>
        <w:right w:val="none" w:sz="0" w:space="0" w:color="auto"/>
      </w:divBdr>
    </w:div>
    <w:div w:id="416825176">
      <w:bodyDiv w:val="1"/>
      <w:marLeft w:val="0"/>
      <w:marRight w:val="0"/>
      <w:marTop w:val="0"/>
      <w:marBottom w:val="0"/>
      <w:divBdr>
        <w:top w:val="none" w:sz="0" w:space="0" w:color="auto"/>
        <w:left w:val="none" w:sz="0" w:space="0" w:color="auto"/>
        <w:bottom w:val="none" w:sz="0" w:space="0" w:color="auto"/>
        <w:right w:val="none" w:sz="0" w:space="0" w:color="auto"/>
      </w:divBdr>
    </w:div>
    <w:div w:id="503278218">
      <w:bodyDiv w:val="1"/>
      <w:marLeft w:val="0"/>
      <w:marRight w:val="0"/>
      <w:marTop w:val="0"/>
      <w:marBottom w:val="0"/>
      <w:divBdr>
        <w:top w:val="none" w:sz="0" w:space="0" w:color="auto"/>
        <w:left w:val="none" w:sz="0" w:space="0" w:color="auto"/>
        <w:bottom w:val="none" w:sz="0" w:space="0" w:color="auto"/>
        <w:right w:val="none" w:sz="0" w:space="0" w:color="auto"/>
      </w:divBdr>
    </w:div>
    <w:div w:id="560211085">
      <w:bodyDiv w:val="1"/>
      <w:marLeft w:val="0"/>
      <w:marRight w:val="0"/>
      <w:marTop w:val="0"/>
      <w:marBottom w:val="0"/>
      <w:divBdr>
        <w:top w:val="none" w:sz="0" w:space="0" w:color="auto"/>
        <w:left w:val="none" w:sz="0" w:space="0" w:color="auto"/>
        <w:bottom w:val="none" w:sz="0" w:space="0" w:color="auto"/>
        <w:right w:val="none" w:sz="0" w:space="0" w:color="auto"/>
      </w:divBdr>
    </w:div>
    <w:div w:id="691878271">
      <w:bodyDiv w:val="1"/>
      <w:marLeft w:val="0"/>
      <w:marRight w:val="0"/>
      <w:marTop w:val="0"/>
      <w:marBottom w:val="0"/>
      <w:divBdr>
        <w:top w:val="none" w:sz="0" w:space="0" w:color="auto"/>
        <w:left w:val="none" w:sz="0" w:space="0" w:color="auto"/>
        <w:bottom w:val="none" w:sz="0" w:space="0" w:color="auto"/>
        <w:right w:val="none" w:sz="0" w:space="0" w:color="auto"/>
      </w:divBdr>
    </w:div>
    <w:div w:id="766392771">
      <w:bodyDiv w:val="1"/>
      <w:marLeft w:val="0"/>
      <w:marRight w:val="0"/>
      <w:marTop w:val="0"/>
      <w:marBottom w:val="0"/>
      <w:divBdr>
        <w:top w:val="none" w:sz="0" w:space="0" w:color="auto"/>
        <w:left w:val="none" w:sz="0" w:space="0" w:color="auto"/>
        <w:bottom w:val="none" w:sz="0" w:space="0" w:color="auto"/>
        <w:right w:val="none" w:sz="0" w:space="0" w:color="auto"/>
      </w:divBdr>
    </w:div>
    <w:div w:id="960378899">
      <w:bodyDiv w:val="1"/>
      <w:marLeft w:val="0"/>
      <w:marRight w:val="0"/>
      <w:marTop w:val="0"/>
      <w:marBottom w:val="0"/>
      <w:divBdr>
        <w:top w:val="none" w:sz="0" w:space="0" w:color="auto"/>
        <w:left w:val="none" w:sz="0" w:space="0" w:color="auto"/>
        <w:bottom w:val="none" w:sz="0" w:space="0" w:color="auto"/>
        <w:right w:val="none" w:sz="0" w:space="0" w:color="auto"/>
      </w:divBdr>
    </w:div>
    <w:div w:id="995302720">
      <w:bodyDiv w:val="1"/>
      <w:marLeft w:val="0"/>
      <w:marRight w:val="0"/>
      <w:marTop w:val="0"/>
      <w:marBottom w:val="0"/>
      <w:divBdr>
        <w:top w:val="none" w:sz="0" w:space="0" w:color="auto"/>
        <w:left w:val="none" w:sz="0" w:space="0" w:color="auto"/>
        <w:bottom w:val="none" w:sz="0" w:space="0" w:color="auto"/>
        <w:right w:val="none" w:sz="0" w:space="0" w:color="auto"/>
      </w:divBdr>
    </w:div>
    <w:div w:id="1002010410">
      <w:bodyDiv w:val="1"/>
      <w:marLeft w:val="0"/>
      <w:marRight w:val="0"/>
      <w:marTop w:val="0"/>
      <w:marBottom w:val="0"/>
      <w:divBdr>
        <w:top w:val="none" w:sz="0" w:space="0" w:color="auto"/>
        <w:left w:val="none" w:sz="0" w:space="0" w:color="auto"/>
        <w:bottom w:val="none" w:sz="0" w:space="0" w:color="auto"/>
        <w:right w:val="none" w:sz="0" w:space="0" w:color="auto"/>
      </w:divBdr>
    </w:div>
    <w:div w:id="1013413269">
      <w:bodyDiv w:val="1"/>
      <w:marLeft w:val="0"/>
      <w:marRight w:val="0"/>
      <w:marTop w:val="0"/>
      <w:marBottom w:val="0"/>
      <w:divBdr>
        <w:top w:val="none" w:sz="0" w:space="0" w:color="auto"/>
        <w:left w:val="none" w:sz="0" w:space="0" w:color="auto"/>
        <w:bottom w:val="none" w:sz="0" w:space="0" w:color="auto"/>
        <w:right w:val="none" w:sz="0" w:space="0" w:color="auto"/>
      </w:divBdr>
    </w:div>
    <w:div w:id="1061558339">
      <w:bodyDiv w:val="1"/>
      <w:marLeft w:val="0"/>
      <w:marRight w:val="0"/>
      <w:marTop w:val="0"/>
      <w:marBottom w:val="0"/>
      <w:divBdr>
        <w:top w:val="none" w:sz="0" w:space="0" w:color="auto"/>
        <w:left w:val="none" w:sz="0" w:space="0" w:color="auto"/>
        <w:bottom w:val="none" w:sz="0" w:space="0" w:color="auto"/>
        <w:right w:val="none" w:sz="0" w:space="0" w:color="auto"/>
      </w:divBdr>
    </w:div>
    <w:div w:id="1076509766">
      <w:bodyDiv w:val="1"/>
      <w:marLeft w:val="0"/>
      <w:marRight w:val="0"/>
      <w:marTop w:val="0"/>
      <w:marBottom w:val="0"/>
      <w:divBdr>
        <w:top w:val="none" w:sz="0" w:space="0" w:color="auto"/>
        <w:left w:val="none" w:sz="0" w:space="0" w:color="auto"/>
        <w:bottom w:val="none" w:sz="0" w:space="0" w:color="auto"/>
        <w:right w:val="none" w:sz="0" w:space="0" w:color="auto"/>
      </w:divBdr>
    </w:div>
    <w:div w:id="1098600443">
      <w:bodyDiv w:val="1"/>
      <w:marLeft w:val="0"/>
      <w:marRight w:val="0"/>
      <w:marTop w:val="0"/>
      <w:marBottom w:val="0"/>
      <w:divBdr>
        <w:top w:val="none" w:sz="0" w:space="0" w:color="auto"/>
        <w:left w:val="none" w:sz="0" w:space="0" w:color="auto"/>
        <w:bottom w:val="none" w:sz="0" w:space="0" w:color="auto"/>
        <w:right w:val="none" w:sz="0" w:space="0" w:color="auto"/>
      </w:divBdr>
    </w:div>
    <w:div w:id="1127503913">
      <w:bodyDiv w:val="1"/>
      <w:marLeft w:val="0"/>
      <w:marRight w:val="0"/>
      <w:marTop w:val="0"/>
      <w:marBottom w:val="0"/>
      <w:divBdr>
        <w:top w:val="none" w:sz="0" w:space="0" w:color="auto"/>
        <w:left w:val="none" w:sz="0" w:space="0" w:color="auto"/>
        <w:bottom w:val="none" w:sz="0" w:space="0" w:color="auto"/>
        <w:right w:val="none" w:sz="0" w:space="0" w:color="auto"/>
      </w:divBdr>
    </w:div>
    <w:div w:id="1197163077">
      <w:bodyDiv w:val="1"/>
      <w:marLeft w:val="0"/>
      <w:marRight w:val="0"/>
      <w:marTop w:val="0"/>
      <w:marBottom w:val="0"/>
      <w:divBdr>
        <w:top w:val="none" w:sz="0" w:space="0" w:color="auto"/>
        <w:left w:val="none" w:sz="0" w:space="0" w:color="auto"/>
        <w:bottom w:val="none" w:sz="0" w:space="0" w:color="auto"/>
        <w:right w:val="none" w:sz="0" w:space="0" w:color="auto"/>
      </w:divBdr>
    </w:div>
    <w:div w:id="1210991296">
      <w:bodyDiv w:val="1"/>
      <w:marLeft w:val="0"/>
      <w:marRight w:val="0"/>
      <w:marTop w:val="0"/>
      <w:marBottom w:val="0"/>
      <w:divBdr>
        <w:top w:val="none" w:sz="0" w:space="0" w:color="auto"/>
        <w:left w:val="none" w:sz="0" w:space="0" w:color="auto"/>
        <w:bottom w:val="none" w:sz="0" w:space="0" w:color="auto"/>
        <w:right w:val="none" w:sz="0" w:space="0" w:color="auto"/>
      </w:divBdr>
    </w:div>
    <w:div w:id="1219979252">
      <w:bodyDiv w:val="1"/>
      <w:marLeft w:val="0"/>
      <w:marRight w:val="0"/>
      <w:marTop w:val="0"/>
      <w:marBottom w:val="0"/>
      <w:divBdr>
        <w:top w:val="none" w:sz="0" w:space="0" w:color="auto"/>
        <w:left w:val="none" w:sz="0" w:space="0" w:color="auto"/>
        <w:bottom w:val="none" w:sz="0" w:space="0" w:color="auto"/>
        <w:right w:val="none" w:sz="0" w:space="0" w:color="auto"/>
      </w:divBdr>
    </w:div>
    <w:div w:id="1267276781">
      <w:bodyDiv w:val="1"/>
      <w:marLeft w:val="0"/>
      <w:marRight w:val="0"/>
      <w:marTop w:val="0"/>
      <w:marBottom w:val="0"/>
      <w:divBdr>
        <w:top w:val="none" w:sz="0" w:space="0" w:color="auto"/>
        <w:left w:val="none" w:sz="0" w:space="0" w:color="auto"/>
        <w:bottom w:val="none" w:sz="0" w:space="0" w:color="auto"/>
        <w:right w:val="none" w:sz="0" w:space="0" w:color="auto"/>
      </w:divBdr>
    </w:div>
    <w:div w:id="1279290609">
      <w:bodyDiv w:val="1"/>
      <w:marLeft w:val="0"/>
      <w:marRight w:val="0"/>
      <w:marTop w:val="0"/>
      <w:marBottom w:val="0"/>
      <w:divBdr>
        <w:top w:val="none" w:sz="0" w:space="0" w:color="auto"/>
        <w:left w:val="none" w:sz="0" w:space="0" w:color="auto"/>
        <w:bottom w:val="none" w:sz="0" w:space="0" w:color="auto"/>
        <w:right w:val="none" w:sz="0" w:space="0" w:color="auto"/>
      </w:divBdr>
    </w:div>
    <w:div w:id="1345014463">
      <w:bodyDiv w:val="1"/>
      <w:marLeft w:val="0"/>
      <w:marRight w:val="0"/>
      <w:marTop w:val="0"/>
      <w:marBottom w:val="0"/>
      <w:divBdr>
        <w:top w:val="none" w:sz="0" w:space="0" w:color="auto"/>
        <w:left w:val="none" w:sz="0" w:space="0" w:color="auto"/>
        <w:bottom w:val="none" w:sz="0" w:space="0" w:color="auto"/>
        <w:right w:val="none" w:sz="0" w:space="0" w:color="auto"/>
      </w:divBdr>
    </w:div>
    <w:div w:id="1418675368">
      <w:bodyDiv w:val="1"/>
      <w:marLeft w:val="0"/>
      <w:marRight w:val="0"/>
      <w:marTop w:val="0"/>
      <w:marBottom w:val="0"/>
      <w:divBdr>
        <w:top w:val="none" w:sz="0" w:space="0" w:color="auto"/>
        <w:left w:val="none" w:sz="0" w:space="0" w:color="auto"/>
        <w:bottom w:val="none" w:sz="0" w:space="0" w:color="auto"/>
        <w:right w:val="none" w:sz="0" w:space="0" w:color="auto"/>
      </w:divBdr>
    </w:div>
    <w:div w:id="1587614439">
      <w:bodyDiv w:val="1"/>
      <w:marLeft w:val="0"/>
      <w:marRight w:val="0"/>
      <w:marTop w:val="0"/>
      <w:marBottom w:val="0"/>
      <w:divBdr>
        <w:top w:val="none" w:sz="0" w:space="0" w:color="auto"/>
        <w:left w:val="none" w:sz="0" w:space="0" w:color="auto"/>
        <w:bottom w:val="none" w:sz="0" w:space="0" w:color="auto"/>
        <w:right w:val="none" w:sz="0" w:space="0" w:color="auto"/>
      </w:divBdr>
    </w:div>
    <w:div w:id="1606187664">
      <w:bodyDiv w:val="1"/>
      <w:marLeft w:val="0"/>
      <w:marRight w:val="0"/>
      <w:marTop w:val="0"/>
      <w:marBottom w:val="0"/>
      <w:divBdr>
        <w:top w:val="none" w:sz="0" w:space="0" w:color="auto"/>
        <w:left w:val="none" w:sz="0" w:space="0" w:color="auto"/>
        <w:bottom w:val="none" w:sz="0" w:space="0" w:color="auto"/>
        <w:right w:val="none" w:sz="0" w:space="0" w:color="auto"/>
      </w:divBdr>
    </w:div>
    <w:div w:id="1702390629">
      <w:bodyDiv w:val="1"/>
      <w:marLeft w:val="0"/>
      <w:marRight w:val="0"/>
      <w:marTop w:val="0"/>
      <w:marBottom w:val="0"/>
      <w:divBdr>
        <w:top w:val="none" w:sz="0" w:space="0" w:color="auto"/>
        <w:left w:val="none" w:sz="0" w:space="0" w:color="auto"/>
        <w:bottom w:val="none" w:sz="0" w:space="0" w:color="auto"/>
        <w:right w:val="none" w:sz="0" w:space="0" w:color="auto"/>
      </w:divBdr>
    </w:div>
    <w:div w:id="1739086984">
      <w:bodyDiv w:val="1"/>
      <w:marLeft w:val="0"/>
      <w:marRight w:val="0"/>
      <w:marTop w:val="0"/>
      <w:marBottom w:val="0"/>
      <w:divBdr>
        <w:top w:val="none" w:sz="0" w:space="0" w:color="auto"/>
        <w:left w:val="none" w:sz="0" w:space="0" w:color="auto"/>
        <w:bottom w:val="none" w:sz="0" w:space="0" w:color="auto"/>
        <w:right w:val="none" w:sz="0" w:space="0" w:color="auto"/>
      </w:divBdr>
    </w:div>
    <w:div w:id="1762027402">
      <w:bodyDiv w:val="1"/>
      <w:marLeft w:val="0"/>
      <w:marRight w:val="0"/>
      <w:marTop w:val="0"/>
      <w:marBottom w:val="0"/>
      <w:divBdr>
        <w:top w:val="none" w:sz="0" w:space="0" w:color="auto"/>
        <w:left w:val="none" w:sz="0" w:space="0" w:color="auto"/>
        <w:bottom w:val="none" w:sz="0" w:space="0" w:color="auto"/>
        <w:right w:val="none" w:sz="0" w:space="0" w:color="auto"/>
      </w:divBdr>
    </w:div>
    <w:div w:id="1777557164">
      <w:bodyDiv w:val="1"/>
      <w:marLeft w:val="0"/>
      <w:marRight w:val="0"/>
      <w:marTop w:val="0"/>
      <w:marBottom w:val="0"/>
      <w:divBdr>
        <w:top w:val="none" w:sz="0" w:space="0" w:color="auto"/>
        <w:left w:val="none" w:sz="0" w:space="0" w:color="auto"/>
        <w:bottom w:val="none" w:sz="0" w:space="0" w:color="auto"/>
        <w:right w:val="none" w:sz="0" w:space="0" w:color="auto"/>
      </w:divBdr>
    </w:div>
    <w:div w:id="1858693643">
      <w:bodyDiv w:val="1"/>
      <w:marLeft w:val="0"/>
      <w:marRight w:val="0"/>
      <w:marTop w:val="0"/>
      <w:marBottom w:val="0"/>
      <w:divBdr>
        <w:top w:val="none" w:sz="0" w:space="0" w:color="auto"/>
        <w:left w:val="none" w:sz="0" w:space="0" w:color="auto"/>
        <w:bottom w:val="none" w:sz="0" w:space="0" w:color="auto"/>
        <w:right w:val="none" w:sz="0" w:space="0" w:color="auto"/>
      </w:divBdr>
    </w:div>
    <w:div w:id="1892837538">
      <w:bodyDiv w:val="1"/>
      <w:marLeft w:val="0"/>
      <w:marRight w:val="0"/>
      <w:marTop w:val="0"/>
      <w:marBottom w:val="0"/>
      <w:divBdr>
        <w:top w:val="none" w:sz="0" w:space="0" w:color="auto"/>
        <w:left w:val="none" w:sz="0" w:space="0" w:color="auto"/>
        <w:bottom w:val="none" w:sz="0" w:space="0" w:color="auto"/>
        <w:right w:val="none" w:sz="0" w:space="0" w:color="auto"/>
      </w:divBdr>
    </w:div>
    <w:div w:id="1893732535">
      <w:bodyDiv w:val="1"/>
      <w:marLeft w:val="0"/>
      <w:marRight w:val="0"/>
      <w:marTop w:val="0"/>
      <w:marBottom w:val="0"/>
      <w:divBdr>
        <w:top w:val="none" w:sz="0" w:space="0" w:color="auto"/>
        <w:left w:val="none" w:sz="0" w:space="0" w:color="auto"/>
        <w:bottom w:val="none" w:sz="0" w:space="0" w:color="auto"/>
        <w:right w:val="none" w:sz="0" w:space="0" w:color="auto"/>
      </w:divBdr>
    </w:div>
    <w:div w:id="1900095778">
      <w:bodyDiv w:val="1"/>
      <w:marLeft w:val="0"/>
      <w:marRight w:val="0"/>
      <w:marTop w:val="0"/>
      <w:marBottom w:val="0"/>
      <w:divBdr>
        <w:top w:val="none" w:sz="0" w:space="0" w:color="auto"/>
        <w:left w:val="none" w:sz="0" w:space="0" w:color="auto"/>
        <w:bottom w:val="none" w:sz="0" w:space="0" w:color="auto"/>
        <w:right w:val="none" w:sz="0" w:space="0" w:color="auto"/>
      </w:divBdr>
    </w:div>
    <w:div w:id="1963997985">
      <w:bodyDiv w:val="1"/>
      <w:marLeft w:val="0"/>
      <w:marRight w:val="0"/>
      <w:marTop w:val="0"/>
      <w:marBottom w:val="0"/>
      <w:divBdr>
        <w:top w:val="none" w:sz="0" w:space="0" w:color="auto"/>
        <w:left w:val="none" w:sz="0" w:space="0" w:color="auto"/>
        <w:bottom w:val="none" w:sz="0" w:space="0" w:color="auto"/>
        <w:right w:val="none" w:sz="0" w:space="0" w:color="auto"/>
      </w:divBdr>
    </w:div>
    <w:div w:id="2049643149">
      <w:bodyDiv w:val="1"/>
      <w:marLeft w:val="0"/>
      <w:marRight w:val="0"/>
      <w:marTop w:val="0"/>
      <w:marBottom w:val="0"/>
      <w:divBdr>
        <w:top w:val="none" w:sz="0" w:space="0" w:color="auto"/>
        <w:left w:val="none" w:sz="0" w:space="0" w:color="auto"/>
        <w:bottom w:val="none" w:sz="0" w:space="0" w:color="auto"/>
        <w:right w:val="none" w:sz="0" w:space="0" w:color="auto"/>
      </w:divBdr>
    </w:div>
    <w:div w:id="2061634725">
      <w:bodyDiv w:val="1"/>
      <w:marLeft w:val="0"/>
      <w:marRight w:val="0"/>
      <w:marTop w:val="0"/>
      <w:marBottom w:val="0"/>
      <w:divBdr>
        <w:top w:val="none" w:sz="0" w:space="0" w:color="auto"/>
        <w:left w:val="none" w:sz="0" w:space="0" w:color="auto"/>
        <w:bottom w:val="none" w:sz="0" w:space="0" w:color="auto"/>
        <w:right w:val="none" w:sz="0" w:space="0" w:color="auto"/>
      </w:divBdr>
    </w:div>
    <w:div w:id="209828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vjustus@wastestrategi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barnhar@butler.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cbarnhar@bulter.edu"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bls.gov/cpi/cpi_dr.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hitehouse.gov/omb/circulars_a076_a76_incl_tech_correction/" TargetMode="External"/><Relationship Id="rId2" Type="http://schemas.openxmlformats.org/officeDocument/2006/relationships/hyperlink" Target="http://www.bls.gov/schedule/archives/eci_nr.htm" TargetMode="External"/><Relationship Id="rId1" Type="http://schemas.openxmlformats.org/officeDocument/2006/relationships/hyperlink" Target="http://www.bls.gov/oes/current/naics4_611300.htm" TargetMode="External"/><Relationship Id="rId6" Type="http://schemas.openxmlformats.org/officeDocument/2006/relationships/hyperlink" Target="http://www.whitehouse.gov/omb/circulars_a076_a76_incl_tech_correction/" TargetMode="External"/><Relationship Id="rId5" Type="http://schemas.openxmlformats.org/officeDocument/2006/relationships/hyperlink" Target="http://www.bls.gov/schedule/archives/eci_nr.htm" TargetMode="External"/><Relationship Id="rId4" Type="http://schemas.openxmlformats.org/officeDocument/2006/relationships/hyperlink" Target="http://www.bls.gov/oes/current/naics4_999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6F639B-3BFE-4929-9B46-66D2DDEF8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18713</Words>
  <Characters>106670</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4(b)</vt:lpstr>
    </vt:vector>
  </TitlesOfParts>
  <Company> ICF Consulting</Company>
  <LinksUpToDate>false</LinksUpToDate>
  <CharactersWithSpaces>125133</CharactersWithSpaces>
  <SharedDoc>false</SharedDoc>
  <HLinks>
    <vt:vector size="240" baseType="variant">
      <vt:variant>
        <vt:i4>4980833</vt:i4>
      </vt:variant>
      <vt:variant>
        <vt:i4>192</vt:i4>
      </vt:variant>
      <vt:variant>
        <vt:i4>0</vt:i4>
      </vt:variant>
      <vt:variant>
        <vt:i4>5</vt:i4>
      </vt:variant>
      <vt:variant>
        <vt:lpwstr>mailto:cbarnhar@bulter.edu</vt:lpwstr>
      </vt:variant>
      <vt:variant>
        <vt:lpwstr/>
      </vt:variant>
      <vt:variant>
        <vt:i4>1376312</vt:i4>
      </vt:variant>
      <vt:variant>
        <vt:i4>189</vt:i4>
      </vt:variant>
      <vt:variant>
        <vt:i4>0</vt:i4>
      </vt:variant>
      <vt:variant>
        <vt:i4>5</vt:i4>
      </vt:variant>
      <vt:variant>
        <vt:lpwstr>http://www.bls.gov/cpi/cpi_dr.htm</vt:lpwstr>
      </vt:variant>
      <vt:variant>
        <vt:lpwstr/>
      </vt:variant>
      <vt:variant>
        <vt:i4>6488133</vt:i4>
      </vt:variant>
      <vt:variant>
        <vt:i4>186</vt:i4>
      </vt:variant>
      <vt:variant>
        <vt:i4>0</vt:i4>
      </vt:variant>
      <vt:variant>
        <vt:i4>5</vt:i4>
      </vt:variant>
      <vt:variant>
        <vt:lpwstr>mailto:vjustus@wastestrategies.com</vt:lpwstr>
      </vt:variant>
      <vt:variant>
        <vt:lpwstr/>
      </vt:variant>
      <vt:variant>
        <vt:i4>5505145</vt:i4>
      </vt:variant>
      <vt:variant>
        <vt:i4>183</vt:i4>
      </vt:variant>
      <vt:variant>
        <vt:i4>0</vt:i4>
      </vt:variant>
      <vt:variant>
        <vt:i4>5</vt:i4>
      </vt:variant>
      <vt:variant>
        <vt:lpwstr>mailto:cbarnhar@butler.edu</vt:lpwstr>
      </vt:variant>
      <vt:variant>
        <vt:lpwstr/>
      </vt:variant>
      <vt:variant>
        <vt:i4>1572913</vt:i4>
      </vt:variant>
      <vt:variant>
        <vt:i4>176</vt:i4>
      </vt:variant>
      <vt:variant>
        <vt:i4>0</vt:i4>
      </vt:variant>
      <vt:variant>
        <vt:i4>5</vt:i4>
      </vt:variant>
      <vt:variant>
        <vt:lpwstr/>
      </vt:variant>
      <vt:variant>
        <vt:lpwstr>_Toc327953079</vt:lpwstr>
      </vt:variant>
      <vt:variant>
        <vt:i4>1572913</vt:i4>
      </vt:variant>
      <vt:variant>
        <vt:i4>170</vt:i4>
      </vt:variant>
      <vt:variant>
        <vt:i4>0</vt:i4>
      </vt:variant>
      <vt:variant>
        <vt:i4>5</vt:i4>
      </vt:variant>
      <vt:variant>
        <vt:lpwstr/>
      </vt:variant>
      <vt:variant>
        <vt:lpwstr>_Toc327953078</vt:lpwstr>
      </vt:variant>
      <vt:variant>
        <vt:i4>1572913</vt:i4>
      </vt:variant>
      <vt:variant>
        <vt:i4>164</vt:i4>
      </vt:variant>
      <vt:variant>
        <vt:i4>0</vt:i4>
      </vt:variant>
      <vt:variant>
        <vt:i4>5</vt:i4>
      </vt:variant>
      <vt:variant>
        <vt:lpwstr/>
      </vt:variant>
      <vt:variant>
        <vt:lpwstr>_Toc327953077</vt:lpwstr>
      </vt:variant>
      <vt:variant>
        <vt:i4>1572913</vt:i4>
      </vt:variant>
      <vt:variant>
        <vt:i4>158</vt:i4>
      </vt:variant>
      <vt:variant>
        <vt:i4>0</vt:i4>
      </vt:variant>
      <vt:variant>
        <vt:i4>5</vt:i4>
      </vt:variant>
      <vt:variant>
        <vt:lpwstr/>
      </vt:variant>
      <vt:variant>
        <vt:lpwstr>_Toc327953076</vt:lpwstr>
      </vt:variant>
      <vt:variant>
        <vt:i4>1572913</vt:i4>
      </vt:variant>
      <vt:variant>
        <vt:i4>152</vt:i4>
      </vt:variant>
      <vt:variant>
        <vt:i4>0</vt:i4>
      </vt:variant>
      <vt:variant>
        <vt:i4>5</vt:i4>
      </vt:variant>
      <vt:variant>
        <vt:lpwstr/>
      </vt:variant>
      <vt:variant>
        <vt:lpwstr>_Toc327953075</vt:lpwstr>
      </vt:variant>
      <vt:variant>
        <vt:i4>1572913</vt:i4>
      </vt:variant>
      <vt:variant>
        <vt:i4>146</vt:i4>
      </vt:variant>
      <vt:variant>
        <vt:i4>0</vt:i4>
      </vt:variant>
      <vt:variant>
        <vt:i4>5</vt:i4>
      </vt:variant>
      <vt:variant>
        <vt:lpwstr/>
      </vt:variant>
      <vt:variant>
        <vt:lpwstr>_Toc327953074</vt:lpwstr>
      </vt:variant>
      <vt:variant>
        <vt:i4>1572913</vt:i4>
      </vt:variant>
      <vt:variant>
        <vt:i4>140</vt:i4>
      </vt:variant>
      <vt:variant>
        <vt:i4>0</vt:i4>
      </vt:variant>
      <vt:variant>
        <vt:i4>5</vt:i4>
      </vt:variant>
      <vt:variant>
        <vt:lpwstr/>
      </vt:variant>
      <vt:variant>
        <vt:lpwstr>_Toc327953073</vt:lpwstr>
      </vt:variant>
      <vt:variant>
        <vt:i4>1572913</vt:i4>
      </vt:variant>
      <vt:variant>
        <vt:i4>134</vt:i4>
      </vt:variant>
      <vt:variant>
        <vt:i4>0</vt:i4>
      </vt:variant>
      <vt:variant>
        <vt:i4>5</vt:i4>
      </vt:variant>
      <vt:variant>
        <vt:lpwstr/>
      </vt:variant>
      <vt:variant>
        <vt:lpwstr>_Toc327953072</vt:lpwstr>
      </vt:variant>
      <vt:variant>
        <vt:i4>1572913</vt:i4>
      </vt:variant>
      <vt:variant>
        <vt:i4>128</vt:i4>
      </vt:variant>
      <vt:variant>
        <vt:i4>0</vt:i4>
      </vt:variant>
      <vt:variant>
        <vt:i4>5</vt:i4>
      </vt:variant>
      <vt:variant>
        <vt:lpwstr/>
      </vt:variant>
      <vt:variant>
        <vt:lpwstr>_Toc327953071</vt:lpwstr>
      </vt:variant>
      <vt:variant>
        <vt:i4>1572913</vt:i4>
      </vt:variant>
      <vt:variant>
        <vt:i4>122</vt:i4>
      </vt:variant>
      <vt:variant>
        <vt:i4>0</vt:i4>
      </vt:variant>
      <vt:variant>
        <vt:i4>5</vt:i4>
      </vt:variant>
      <vt:variant>
        <vt:lpwstr/>
      </vt:variant>
      <vt:variant>
        <vt:lpwstr>_Toc327953070</vt:lpwstr>
      </vt:variant>
      <vt:variant>
        <vt:i4>1638449</vt:i4>
      </vt:variant>
      <vt:variant>
        <vt:i4>116</vt:i4>
      </vt:variant>
      <vt:variant>
        <vt:i4>0</vt:i4>
      </vt:variant>
      <vt:variant>
        <vt:i4>5</vt:i4>
      </vt:variant>
      <vt:variant>
        <vt:lpwstr/>
      </vt:variant>
      <vt:variant>
        <vt:lpwstr>_Toc327953069</vt:lpwstr>
      </vt:variant>
      <vt:variant>
        <vt:i4>1638449</vt:i4>
      </vt:variant>
      <vt:variant>
        <vt:i4>110</vt:i4>
      </vt:variant>
      <vt:variant>
        <vt:i4>0</vt:i4>
      </vt:variant>
      <vt:variant>
        <vt:i4>5</vt:i4>
      </vt:variant>
      <vt:variant>
        <vt:lpwstr/>
      </vt:variant>
      <vt:variant>
        <vt:lpwstr>_Toc327953068</vt:lpwstr>
      </vt:variant>
      <vt:variant>
        <vt:i4>1638449</vt:i4>
      </vt:variant>
      <vt:variant>
        <vt:i4>104</vt:i4>
      </vt:variant>
      <vt:variant>
        <vt:i4>0</vt:i4>
      </vt:variant>
      <vt:variant>
        <vt:i4>5</vt:i4>
      </vt:variant>
      <vt:variant>
        <vt:lpwstr/>
      </vt:variant>
      <vt:variant>
        <vt:lpwstr>_Toc327953067</vt:lpwstr>
      </vt:variant>
      <vt:variant>
        <vt:i4>1638449</vt:i4>
      </vt:variant>
      <vt:variant>
        <vt:i4>98</vt:i4>
      </vt:variant>
      <vt:variant>
        <vt:i4>0</vt:i4>
      </vt:variant>
      <vt:variant>
        <vt:i4>5</vt:i4>
      </vt:variant>
      <vt:variant>
        <vt:lpwstr/>
      </vt:variant>
      <vt:variant>
        <vt:lpwstr>_Toc327953066</vt:lpwstr>
      </vt:variant>
      <vt:variant>
        <vt:i4>1638449</vt:i4>
      </vt:variant>
      <vt:variant>
        <vt:i4>92</vt:i4>
      </vt:variant>
      <vt:variant>
        <vt:i4>0</vt:i4>
      </vt:variant>
      <vt:variant>
        <vt:i4>5</vt:i4>
      </vt:variant>
      <vt:variant>
        <vt:lpwstr/>
      </vt:variant>
      <vt:variant>
        <vt:lpwstr>_Toc327953065</vt:lpwstr>
      </vt:variant>
      <vt:variant>
        <vt:i4>1638449</vt:i4>
      </vt:variant>
      <vt:variant>
        <vt:i4>86</vt:i4>
      </vt:variant>
      <vt:variant>
        <vt:i4>0</vt:i4>
      </vt:variant>
      <vt:variant>
        <vt:i4>5</vt:i4>
      </vt:variant>
      <vt:variant>
        <vt:lpwstr/>
      </vt:variant>
      <vt:variant>
        <vt:lpwstr>_Toc327953064</vt:lpwstr>
      </vt:variant>
      <vt:variant>
        <vt:i4>1638449</vt:i4>
      </vt:variant>
      <vt:variant>
        <vt:i4>80</vt:i4>
      </vt:variant>
      <vt:variant>
        <vt:i4>0</vt:i4>
      </vt:variant>
      <vt:variant>
        <vt:i4>5</vt:i4>
      </vt:variant>
      <vt:variant>
        <vt:lpwstr/>
      </vt:variant>
      <vt:variant>
        <vt:lpwstr>_Toc327953063</vt:lpwstr>
      </vt:variant>
      <vt:variant>
        <vt:i4>1638449</vt:i4>
      </vt:variant>
      <vt:variant>
        <vt:i4>74</vt:i4>
      </vt:variant>
      <vt:variant>
        <vt:i4>0</vt:i4>
      </vt:variant>
      <vt:variant>
        <vt:i4>5</vt:i4>
      </vt:variant>
      <vt:variant>
        <vt:lpwstr/>
      </vt:variant>
      <vt:variant>
        <vt:lpwstr>_Toc327953062</vt:lpwstr>
      </vt:variant>
      <vt:variant>
        <vt:i4>1638449</vt:i4>
      </vt:variant>
      <vt:variant>
        <vt:i4>68</vt:i4>
      </vt:variant>
      <vt:variant>
        <vt:i4>0</vt:i4>
      </vt:variant>
      <vt:variant>
        <vt:i4>5</vt:i4>
      </vt:variant>
      <vt:variant>
        <vt:lpwstr/>
      </vt:variant>
      <vt:variant>
        <vt:lpwstr>_Toc327953061</vt:lpwstr>
      </vt:variant>
      <vt:variant>
        <vt:i4>1638449</vt:i4>
      </vt:variant>
      <vt:variant>
        <vt:i4>62</vt:i4>
      </vt:variant>
      <vt:variant>
        <vt:i4>0</vt:i4>
      </vt:variant>
      <vt:variant>
        <vt:i4>5</vt:i4>
      </vt:variant>
      <vt:variant>
        <vt:lpwstr/>
      </vt:variant>
      <vt:variant>
        <vt:lpwstr>_Toc327953060</vt:lpwstr>
      </vt:variant>
      <vt:variant>
        <vt:i4>1703985</vt:i4>
      </vt:variant>
      <vt:variant>
        <vt:i4>56</vt:i4>
      </vt:variant>
      <vt:variant>
        <vt:i4>0</vt:i4>
      </vt:variant>
      <vt:variant>
        <vt:i4>5</vt:i4>
      </vt:variant>
      <vt:variant>
        <vt:lpwstr/>
      </vt:variant>
      <vt:variant>
        <vt:lpwstr>_Toc327953059</vt:lpwstr>
      </vt:variant>
      <vt:variant>
        <vt:i4>1703985</vt:i4>
      </vt:variant>
      <vt:variant>
        <vt:i4>50</vt:i4>
      </vt:variant>
      <vt:variant>
        <vt:i4>0</vt:i4>
      </vt:variant>
      <vt:variant>
        <vt:i4>5</vt:i4>
      </vt:variant>
      <vt:variant>
        <vt:lpwstr/>
      </vt:variant>
      <vt:variant>
        <vt:lpwstr>_Toc327953058</vt:lpwstr>
      </vt:variant>
      <vt:variant>
        <vt:i4>1703985</vt:i4>
      </vt:variant>
      <vt:variant>
        <vt:i4>44</vt:i4>
      </vt:variant>
      <vt:variant>
        <vt:i4>0</vt:i4>
      </vt:variant>
      <vt:variant>
        <vt:i4>5</vt:i4>
      </vt:variant>
      <vt:variant>
        <vt:lpwstr/>
      </vt:variant>
      <vt:variant>
        <vt:lpwstr>_Toc327953057</vt:lpwstr>
      </vt:variant>
      <vt:variant>
        <vt:i4>1703985</vt:i4>
      </vt:variant>
      <vt:variant>
        <vt:i4>38</vt:i4>
      </vt:variant>
      <vt:variant>
        <vt:i4>0</vt:i4>
      </vt:variant>
      <vt:variant>
        <vt:i4>5</vt:i4>
      </vt:variant>
      <vt:variant>
        <vt:lpwstr/>
      </vt:variant>
      <vt:variant>
        <vt:lpwstr>_Toc327953056</vt:lpwstr>
      </vt:variant>
      <vt:variant>
        <vt:i4>1703985</vt:i4>
      </vt:variant>
      <vt:variant>
        <vt:i4>32</vt:i4>
      </vt:variant>
      <vt:variant>
        <vt:i4>0</vt:i4>
      </vt:variant>
      <vt:variant>
        <vt:i4>5</vt:i4>
      </vt:variant>
      <vt:variant>
        <vt:lpwstr/>
      </vt:variant>
      <vt:variant>
        <vt:lpwstr>_Toc327953055</vt:lpwstr>
      </vt:variant>
      <vt:variant>
        <vt:i4>1703985</vt:i4>
      </vt:variant>
      <vt:variant>
        <vt:i4>26</vt:i4>
      </vt:variant>
      <vt:variant>
        <vt:i4>0</vt:i4>
      </vt:variant>
      <vt:variant>
        <vt:i4>5</vt:i4>
      </vt:variant>
      <vt:variant>
        <vt:lpwstr/>
      </vt:variant>
      <vt:variant>
        <vt:lpwstr>_Toc327953054</vt:lpwstr>
      </vt:variant>
      <vt:variant>
        <vt:i4>1703985</vt:i4>
      </vt:variant>
      <vt:variant>
        <vt:i4>20</vt:i4>
      </vt:variant>
      <vt:variant>
        <vt:i4>0</vt:i4>
      </vt:variant>
      <vt:variant>
        <vt:i4>5</vt:i4>
      </vt:variant>
      <vt:variant>
        <vt:lpwstr/>
      </vt:variant>
      <vt:variant>
        <vt:lpwstr>_Toc327953053</vt:lpwstr>
      </vt:variant>
      <vt:variant>
        <vt:i4>1703985</vt:i4>
      </vt:variant>
      <vt:variant>
        <vt:i4>14</vt:i4>
      </vt:variant>
      <vt:variant>
        <vt:i4>0</vt:i4>
      </vt:variant>
      <vt:variant>
        <vt:i4>5</vt:i4>
      </vt:variant>
      <vt:variant>
        <vt:lpwstr/>
      </vt:variant>
      <vt:variant>
        <vt:lpwstr>_Toc327953052</vt:lpwstr>
      </vt:variant>
      <vt:variant>
        <vt:i4>1703985</vt:i4>
      </vt:variant>
      <vt:variant>
        <vt:i4>8</vt:i4>
      </vt:variant>
      <vt:variant>
        <vt:i4>0</vt:i4>
      </vt:variant>
      <vt:variant>
        <vt:i4>5</vt:i4>
      </vt:variant>
      <vt:variant>
        <vt:lpwstr/>
      </vt:variant>
      <vt:variant>
        <vt:lpwstr>_Toc327953051</vt:lpwstr>
      </vt:variant>
      <vt:variant>
        <vt:i4>1703985</vt:i4>
      </vt:variant>
      <vt:variant>
        <vt:i4>2</vt:i4>
      </vt:variant>
      <vt:variant>
        <vt:i4>0</vt:i4>
      </vt:variant>
      <vt:variant>
        <vt:i4>5</vt:i4>
      </vt:variant>
      <vt:variant>
        <vt:lpwstr/>
      </vt:variant>
      <vt:variant>
        <vt:lpwstr>_Toc327953050</vt:lpwstr>
      </vt:variant>
      <vt:variant>
        <vt:i4>6422540</vt:i4>
      </vt:variant>
      <vt:variant>
        <vt:i4>15</vt:i4>
      </vt:variant>
      <vt:variant>
        <vt:i4>0</vt:i4>
      </vt:variant>
      <vt:variant>
        <vt:i4>5</vt:i4>
      </vt:variant>
      <vt:variant>
        <vt:lpwstr>http://www.whitehouse.gov/omb/circulars_a076_a76_incl_tech_correction/</vt:lpwstr>
      </vt:variant>
      <vt:variant>
        <vt:lpwstr/>
      </vt:variant>
      <vt:variant>
        <vt:i4>3145795</vt:i4>
      </vt:variant>
      <vt:variant>
        <vt:i4>12</vt:i4>
      </vt:variant>
      <vt:variant>
        <vt:i4>0</vt:i4>
      </vt:variant>
      <vt:variant>
        <vt:i4>5</vt:i4>
      </vt:variant>
      <vt:variant>
        <vt:lpwstr>http://www.bls.gov/schedule/archives/eci_nr.htm</vt:lpwstr>
      </vt:variant>
      <vt:variant>
        <vt:lpwstr/>
      </vt:variant>
      <vt:variant>
        <vt:i4>2228226</vt:i4>
      </vt:variant>
      <vt:variant>
        <vt:i4>9</vt:i4>
      </vt:variant>
      <vt:variant>
        <vt:i4>0</vt:i4>
      </vt:variant>
      <vt:variant>
        <vt:i4>5</vt:i4>
      </vt:variant>
      <vt:variant>
        <vt:lpwstr>http://www.bls.gov/oes/current/naics4_999200.htm</vt:lpwstr>
      </vt:variant>
      <vt:variant>
        <vt:lpwstr/>
      </vt:variant>
      <vt:variant>
        <vt:i4>6422540</vt:i4>
      </vt:variant>
      <vt:variant>
        <vt:i4>6</vt:i4>
      </vt:variant>
      <vt:variant>
        <vt:i4>0</vt:i4>
      </vt:variant>
      <vt:variant>
        <vt:i4>5</vt:i4>
      </vt:variant>
      <vt:variant>
        <vt:lpwstr>http://www.whitehouse.gov/omb/circulars_a076_a76_incl_tech_correction/</vt:lpwstr>
      </vt:variant>
      <vt:variant>
        <vt:lpwstr/>
      </vt:variant>
      <vt:variant>
        <vt:i4>3145795</vt:i4>
      </vt:variant>
      <vt:variant>
        <vt:i4>3</vt:i4>
      </vt:variant>
      <vt:variant>
        <vt:i4>0</vt:i4>
      </vt:variant>
      <vt:variant>
        <vt:i4>5</vt:i4>
      </vt:variant>
      <vt:variant>
        <vt:lpwstr>http://www.bls.gov/schedule/archives/eci_nr.htm</vt:lpwstr>
      </vt:variant>
      <vt:variant>
        <vt:lpwstr/>
      </vt:variant>
      <vt:variant>
        <vt:i4>1703977</vt:i4>
      </vt:variant>
      <vt:variant>
        <vt:i4>0</vt:i4>
      </vt:variant>
      <vt:variant>
        <vt:i4>0</vt:i4>
      </vt:variant>
      <vt:variant>
        <vt:i4>5</vt:i4>
      </vt:variant>
      <vt:variant>
        <vt:lpwstr>http://www.bls.gov/oes/current/naics4_611300.htm</vt:lpwstr>
      </vt:variant>
      <vt:variant>
        <vt:lpwstr>11-0000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4(b)</dc:title>
  <dc:subject/>
  <dc:creator>ICF</dc:creator>
  <cp:keywords/>
  <dc:description/>
  <cp:lastModifiedBy>JUMBERGE</cp:lastModifiedBy>
  <cp:revision>2</cp:revision>
  <cp:lastPrinted>2012-06-21T17:26:00Z</cp:lastPrinted>
  <dcterms:created xsi:type="dcterms:W3CDTF">2013-03-18T15:27:00Z</dcterms:created>
  <dcterms:modified xsi:type="dcterms:W3CDTF">2013-03-18T15:27:00Z</dcterms:modified>
</cp:coreProperties>
</file>