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12" w:rsidRPr="005B527E" w:rsidRDefault="00BC4512" w:rsidP="00905B52">
      <w:pPr>
        <w:jc w:val="center"/>
        <w:rPr>
          <w:b/>
          <w:bCs/>
          <w:sz w:val="32"/>
          <w:szCs w:val="32"/>
        </w:rPr>
      </w:pPr>
    </w:p>
    <w:p w:rsidR="00905B52" w:rsidRPr="005B527E" w:rsidRDefault="00905B52" w:rsidP="00905B52">
      <w:pPr>
        <w:jc w:val="center"/>
        <w:rPr>
          <w:b/>
          <w:bCs/>
          <w:sz w:val="32"/>
          <w:szCs w:val="32"/>
        </w:rPr>
      </w:pPr>
      <w:r w:rsidRPr="005B527E">
        <w:rPr>
          <w:b/>
          <w:bCs/>
          <w:sz w:val="32"/>
          <w:szCs w:val="32"/>
        </w:rPr>
        <w:t>Supporting Statement</w:t>
      </w:r>
      <w:r w:rsidR="007F39EF" w:rsidRPr="005B527E">
        <w:rPr>
          <w:b/>
          <w:bCs/>
          <w:sz w:val="32"/>
          <w:szCs w:val="32"/>
        </w:rPr>
        <w:t>: Part A</w:t>
      </w:r>
    </w:p>
    <w:p w:rsidR="00BC4512" w:rsidRPr="005B527E" w:rsidRDefault="00BC4512" w:rsidP="00905B52">
      <w:pPr>
        <w:jc w:val="center"/>
        <w:rPr>
          <w:b/>
          <w:bCs/>
          <w:sz w:val="32"/>
          <w:szCs w:val="32"/>
        </w:rPr>
      </w:pPr>
    </w:p>
    <w:p w:rsidR="00905B52" w:rsidRPr="005B527E" w:rsidRDefault="00D3314D" w:rsidP="00905B52">
      <w:pPr>
        <w:jc w:val="center"/>
        <w:rPr>
          <w:b/>
          <w:bCs/>
          <w:sz w:val="32"/>
          <w:szCs w:val="32"/>
        </w:rPr>
      </w:pPr>
      <w:r w:rsidRPr="005B527E">
        <w:rPr>
          <w:b/>
          <w:bCs/>
          <w:sz w:val="32"/>
          <w:szCs w:val="32"/>
        </w:rPr>
        <w:t xml:space="preserve">Survey of Primary Care Physicians on Oral Health </w:t>
      </w:r>
    </w:p>
    <w:p w:rsidR="00905B52" w:rsidRPr="005B527E" w:rsidRDefault="00905B52" w:rsidP="00905B52">
      <w:pPr>
        <w:jc w:val="center"/>
        <w:rPr>
          <w:b/>
          <w:bCs/>
        </w:rPr>
      </w:pPr>
    </w:p>
    <w:p w:rsidR="00905B52" w:rsidRPr="005B527E" w:rsidRDefault="00905B52" w:rsidP="00905B52">
      <w:pPr>
        <w:jc w:val="center"/>
        <w:rPr>
          <w:b/>
          <w:bCs/>
        </w:rPr>
      </w:pPr>
    </w:p>
    <w:p w:rsidR="00905B52" w:rsidRDefault="00905B52" w:rsidP="00DE0933">
      <w:pPr>
        <w:jc w:val="center"/>
        <w:rPr>
          <w:b/>
          <w:bCs/>
          <w:sz w:val="28"/>
          <w:szCs w:val="28"/>
        </w:rPr>
      </w:pPr>
      <w:r w:rsidRPr="005B527E">
        <w:rPr>
          <w:b/>
          <w:bCs/>
          <w:sz w:val="28"/>
          <w:szCs w:val="28"/>
        </w:rPr>
        <w:t>Submitted by:</w:t>
      </w:r>
    </w:p>
    <w:p w:rsidR="007F5E9B" w:rsidRPr="005B527E" w:rsidRDefault="007F5E9B" w:rsidP="00DE0933">
      <w:pPr>
        <w:jc w:val="center"/>
        <w:rPr>
          <w:b/>
          <w:bCs/>
          <w:sz w:val="28"/>
          <w:szCs w:val="28"/>
        </w:rPr>
      </w:pPr>
      <w:r>
        <w:rPr>
          <w:b/>
          <w:bCs/>
          <w:sz w:val="28"/>
          <w:szCs w:val="28"/>
        </w:rPr>
        <w:t>Judith Labiner-Wolfe, PhD</w:t>
      </w:r>
    </w:p>
    <w:p w:rsidR="00DE0933" w:rsidRDefault="00DE0933" w:rsidP="00905B52">
      <w:pPr>
        <w:jc w:val="center"/>
      </w:pPr>
      <w:r>
        <w:t>Office o</w:t>
      </w:r>
      <w:r w:rsidR="007F5E9B">
        <w:t>n</w:t>
      </w:r>
      <w:r>
        <w:t xml:space="preserve"> Women’s Health</w:t>
      </w:r>
    </w:p>
    <w:p w:rsidR="00DE0933" w:rsidRDefault="00DE0933" w:rsidP="00905B52">
      <w:pPr>
        <w:jc w:val="center"/>
      </w:pPr>
      <w:r>
        <w:t>Office of the Assistant Secretary for Health</w:t>
      </w:r>
    </w:p>
    <w:p w:rsidR="00905B52" w:rsidRDefault="00D3314D" w:rsidP="00905B52">
      <w:pPr>
        <w:jc w:val="center"/>
      </w:pPr>
      <w:r w:rsidRPr="005B527E">
        <w:t>Department of Health and Human Services</w:t>
      </w:r>
    </w:p>
    <w:p w:rsidR="00B86A87" w:rsidRDefault="00B86A87" w:rsidP="00905B52">
      <w:pPr>
        <w:jc w:val="center"/>
      </w:pPr>
      <w:r>
        <w:t xml:space="preserve">Email: </w:t>
      </w:r>
      <w:hyperlink r:id="rId8" w:history="1">
        <w:r w:rsidRPr="007F5274">
          <w:rPr>
            <w:rStyle w:val="Hyperlink"/>
          </w:rPr>
          <w:t>Judith.Labiner-Wolfe@hhs.gov</w:t>
        </w:r>
      </w:hyperlink>
    </w:p>
    <w:p w:rsidR="00B86A87" w:rsidRPr="005B527E" w:rsidRDefault="00B86A87" w:rsidP="00905B52">
      <w:pPr>
        <w:jc w:val="center"/>
      </w:pPr>
      <w:r>
        <w:t>Phone: (202) 260-0904</w:t>
      </w:r>
    </w:p>
    <w:p w:rsidR="00905B52" w:rsidRPr="005B527E" w:rsidRDefault="00905B52" w:rsidP="00905B52">
      <w:pPr>
        <w:jc w:val="center"/>
      </w:pPr>
    </w:p>
    <w:p w:rsidR="00905B52" w:rsidRPr="005B527E" w:rsidRDefault="00905B52" w:rsidP="00DE0933"/>
    <w:p w:rsidR="00905B52" w:rsidRPr="005B527E" w:rsidRDefault="00D3314D" w:rsidP="00905B52">
      <w:pPr>
        <w:jc w:val="center"/>
      </w:pPr>
      <w:r w:rsidRPr="005B527E">
        <w:br/>
      </w:r>
    </w:p>
    <w:p w:rsidR="00905B52" w:rsidRPr="005B527E" w:rsidRDefault="006C0EE5" w:rsidP="004B2955">
      <w:pPr>
        <w:ind w:left="2880" w:firstLine="720"/>
        <w:rPr>
          <w:b/>
          <w:bCs/>
        </w:rPr>
      </w:pPr>
      <w:r>
        <w:rPr>
          <w:b/>
          <w:bCs/>
        </w:rPr>
        <w:t xml:space="preserve">May </w:t>
      </w:r>
      <w:r w:rsidR="002F18C2">
        <w:rPr>
          <w:b/>
          <w:bCs/>
        </w:rPr>
        <w:t>15</w:t>
      </w:r>
      <w:r w:rsidR="0061680E">
        <w:rPr>
          <w:b/>
          <w:bCs/>
        </w:rPr>
        <w:t>, 2012</w:t>
      </w:r>
    </w:p>
    <w:p w:rsidR="007025C8" w:rsidRPr="005B527E" w:rsidRDefault="00905B52" w:rsidP="00BC4512">
      <w:pPr>
        <w:rPr>
          <w:b/>
          <w:bCs/>
        </w:rPr>
      </w:pPr>
      <w:r w:rsidRPr="005B527E">
        <w:rPr>
          <w:b/>
          <w:bCs/>
        </w:rPr>
        <w:br w:type="page"/>
      </w:r>
      <w:r w:rsidRPr="005B527E">
        <w:rPr>
          <w:b/>
          <w:bCs/>
        </w:rPr>
        <w:lastRenderedPageBreak/>
        <w:t>Table of Contents</w:t>
      </w:r>
    </w:p>
    <w:p w:rsidR="00905B52" w:rsidRPr="005B527E" w:rsidRDefault="00D901D0" w:rsidP="00905B52">
      <w:pPr>
        <w:pStyle w:val="TOC1"/>
        <w:rPr>
          <w:sz w:val="24"/>
          <w:szCs w:val="24"/>
        </w:rPr>
      </w:pPr>
      <w:r w:rsidRPr="00D901D0">
        <w:rPr>
          <w:sz w:val="24"/>
          <w:szCs w:val="24"/>
        </w:rPr>
        <w:fldChar w:fldCharType="begin"/>
      </w:r>
      <w:r w:rsidR="00905B52" w:rsidRPr="005B527E">
        <w:rPr>
          <w:sz w:val="24"/>
          <w:szCs w:val="24"/>
        </w:rPr>
        <w:instrText xml:space="preserve"> TOC \o "1-2" \u </w:instrText>
      </w:r>
      <w:r w:rsidRPr="00D901D0">
        <w:rPr>
          <w:sz w:val="24"/>
          <w:szCs w:val="24"/>
        </w:rPr>
        <w:fldChar w:fldCharType="separate"/>
      </w:r>
      <w:r w:rsidR="00905B52" w:rsidRPr="005B527E">
        <w:rPr>
          <w:sz w:val="24"/>
          <w:szCs w:val="24"/>
        </w:rPr>
        <w:t>A. JUSTIFICATION</w:t>
      </w:r>
    </w:p>
    <w:p w:rsidR="00905B52" w:rsidRPr="005B527E" w:rsidRDefault="00905B52" w:rsidP="00905B52">
      <w:pPr>
        <w:pStyle w:val="TOC2"/>
        <w:rPr>
          <w:sz w:val="24"/>
          <w:szCs w:val="24"/>
        </w:rPr>
      </w:pPr>
      <w:r w:rsidRPr="005B527E">
        <w:rPr>
          <w:sz w:val="24"/>
          <w:szCs w:val="24"/>
        </w:rPr>
        <w:t>1. Circumstances Making the Collection of Information Necessary</w:t>
      </w:r>
    </w:p>
    <w:p w:rsidR="00905B52" w:rsidRPr="005B527E" w:rsidRDefault="00905B52" w:rsidP="00905B52">
      <w:pPr>
        <w:pStyle w:val="TOC2"/>
        <w:rPr>
          <w:sz w:val="24"/>
          <w:szCs w:val="24"/>
        </w:rPr>
      </w:pPr>
      <w:r w:rsidRPr="005B527E">
        <w:rPr>
          <w:sz w:val="24"/>
          <w:szCs w:val="24"/>
        </w:rPr>
        <w:t>2. Purpose and Use of the Information Collection</w:t>
      </w:r>
    </w:p>
    <w:p w:rsidR="00905B52" w:rsidRPr="005B527E" w:rsidRDefault="00905B52" w:rsidP="00905B52">
      <w:pPr>
        <w:pStyle w:val="TOC2"/>
        <w:rPr>
          <w:sz w:val="24"/>
          <w:szCs w:val="24"/>
        </w:rPr>
      </w:pPr>
      <w:r w:rsidRPr="005B527E">
        <w:rPr>
          <w:sz w:val="24"/>
          <w:szCs w:val="24"/>
        </w:rPr>
        <w:t>3. Use of Improved Information Technology and Burden Reduction</w:t>
      </w:r>
    </w:p>
    <w:p w:rsidR="00905B52" w:rsidRPr="005B527E" w:rsidRDefault="00905B52" w:rsidP="00905B52">
      <w:pPr>
        <w:pStyle w:val="TOC2"/>
        <w:rPr>
          <w:sz w:val="24"/>
          <w:szCs w:val="24"/>
        </w:rPr>
      </w:pPr>
      <w:r w:rsidRPr="005B527E">
        <w:rPr>
          <w:sz w:val="24"/>
          <w:szCs w:val="24"/>
        </w:rPr>
        <w:t>4. Efforts to Identify Duplication and Use of Similar Information</w:t>
      </w:r>
    </w:p>
    <w:p w:rsidR="00905B52" w:rsidRPr="005B527E" w:rsidRDefault="00905B52" w:rsidP="00905B52">
      <w:pPr>
        <w:pStyle w:val="TOC2"/>
        <w:rPr>
          <w:sz w:val="24"/>
          <w:szCs w:val="24"/>
        </w:rPr>
      </w:pPr>
      <w:r w:rsidRPr="005B527E">
        <w:rPr>
          <w:sz w:val="24"/>
          <w:szCs w:val="24"/>
        </w:rPr>
        <w:t>5. Impact on Small Businesses or Other Small Entities</w:t>
      </w:r>
    </w:p>
    <w:p w:rsidR="00905B52" w:rsidRPr="005B527E" w:rsidRDefault="00905B52" w:rsidP="00905B52">
      <w:pPr>
        <w:pStyle w:val="TOC2"/>
        <w:rPr>
          <w:sz w:val="24"/>
          <w:szCs w:val="24"/>
        </w:rPr>
      </w:pPr>
      <w:r w:rsidRPr="005B527E">
        <w:rPr>
          <w:sz w:val="24"/>
          <w:szCs w:val="24"/>
        </w:rPr>
        <w:t>6. Consequences of Collecting the Information Less Frequently</w:t>
      </w:r>
    </w:p>
    <w:p w:rsidR="00905B52" w:rsidRPr="005B527E" w:rsidRDefault="00905B52" w:rsidP="00905B52">
      <w:pPr>
        <w:pStyle w:val="TOC2"/>
        <w:rPr>
          <w:sz w:val="24"/>
          <w:szCs w:val="24"/>
        </w:rPr>
      </w:pPr>
      <w:r w:rsidRPr="005B527E">
        <w:rPr>
          <w:sz w:val="24"/>
          <w:szCs w:val="24"/>
        </w:rPr>
        <w:t>7. Special Circumstances Relating to the Guidelines of 5 CFR 1320.5</w:t>
      </w:r>
    </w:p>
    <w:p w:rsidR="00905B52" w:rsidRPr="005B527E" w:rsidRDefault="00905B52" w:rsidP="00905B52">
      <w:pPr>
        <w:pStyle w:val="TOC2"/>
        <w:rPr>
          <w:sz w:val="24"/>
          <w:szCs w:val="24"/>
        </w:rPr>
      </w:pPr>
      <w:r w:rsidRPr="005B527E">
        <w:rPr>
          <w:sz w:val="24"/>
          <w:szCs w:val="24"/>
        </w:rPr>
        <w:t>8. Comments in Response to the Federal Register Notice and Efforts to Consult Outside</w:t>
      </w:r>
      <w:r w:rsidR="007F39EF" w:rsidRPr="005B527E">
        <w:rPr>
          <w:sz w:val="24"/>
          <w:szCs w:val="24"/>
        </w:rPr>
        <w:t xml:space="preserve"> the</w:t>
      </w:r>
      <w:r w:rsidRPr="005B527E">
        <w:rPr>
          <w:sz w:val="24"/>
          <w:szCs w:val="24"/>
        </w:rPr>
        <w:t xml:space="preserve"> Agency</w:t>
      </w:r>
    </w:p>
    <w:p w:rsidR="00905B52" w:rsidRPr="005B527E" w:rsidRDefault="00905B52" w:rsidP="00905B52">
      <w:pPr>
        <w:pStyle w:val="TOC2"/>
        <w:rPr>
          <w:sz w:val="24"/>
          <w:szCs w:val="24"/>
        </w:rPr>
      </w:pPr>
      <w:r w:rsidRPr="005B527E">
        <w:rPr>
          <w:sz w:val="24"/>
          <w:szCs w:val="24"/>
        </w:rPr>
        <w:t>9. Explanation of Any Payment or Gift to Respondents</w:t>
      </w:r>
    </w:p>
    <w:p w:rsidR="00905B52" w:rsidRPr="005B527E" w:rsidRDefault="00905B52" w:rsidP="00905B52">
      <w:pPr>
        <w:pStyle w:val="TOC2"/>
        <w:rPr>
          <w:sz w:val="24"/>
          <w:szCs w:val="24"/>
        </w:rPr>
      </w:pPr>
      <w:r w:rsidRPr="005B527E">
        <w:rPr>
          <w:sz w:val="24"/>
          <w:szCs w:val="24"/>
        </w:rPr>
        <w:t>10. Assurance of Confidentiality Provided to Respondents</w:t>
      </w:r>
    </w:p>
    <w:p w:rsidR="00905B52" w:rsidRPr="005B527E" w:rsidRDefault="00905B52" w:rsidP="00905B52">
      <w:pPr>
        <w:pStyle w:val="TOC2"/>
        <w:rPr>
          <w:sz w:val="24"/>
          <w:szCs w:val="24"/>
        </w:rPr>
      </w:pPr>
      <w:r w:rsidRPr="005B527E">
        <w:rPr>
          <w:sz w:val="24"/>
          <w:szCs w:val="24"/>
        </w:rPr>
        <w:t>11. Justification for Sensitive Questions</w:t>
      </w:r>
    </w:p>
    <w:p w:rsidR="00905B52" w:rsidRPr="005B527E" w:rsidRDefault="00905B52" w:rsidP="00905B52">
      <w:pPr>
        <w:pStyle w:val="TOC2"/>
        <w:rPr>
          <w:sz w:val="24"/>
          <w:szCs w:val="24"/>
        </w:rPr>
      </w:pPr>
      <w:r w:rsidRPr="005B527E">
        <w:rPr>
          <w:sz w:val="24"/>
          <w:szCs w:val="24"/>
        </w:rPr>
        <w:t>12. Estimates of Annualized Burden Hours and Costs</w:t>
      </w:r>
    </w:p>
    <w:p w:rsidR="00905B52" w:rsidRPr="005B527E" w:rsidRDefault="00905B52" w:rsidP="00905B52">
      <w:pPr>
        <w:pStyle w:val="TOC2"/>
        <w:rPr>
          <w:sz w:val="24"/>
          <w:szCs w:val="24"/>
        </w:rPr>
      </w:pPr>
      <w:r w:rsidRPr="005B527E">
        <w:rPr>
          <w:sz w:val="24"/>
          <w:szCs w:val="24"/>
        </w:rPr>
        <w:t>13. Estimates of Other Total Annual Cost Burden to Respondents and Record Keepers</w:t>
      </w:r>
    </w:p>
    <w:p w:rsidR="00905B52" w:rsidRPr="005B527E" w:rsidRDefault="00905B52" w:rsidP="00905B52">
      <w:pPr>
        <w:pStyle w:val="TOC2"/>
        <w:rPr>
          <w:sz w:val="24"/>
          <w:szCs w:val="24"/>
        </w:rPr>
      </w:pPr>
      <w:r w:rsidRPr="005B527E">
        <w:rPr>
          <w:sz w:val="24"/>
          <w:szCs w:val="24"/>
        </w:rPr>
        <w:t>14. Annualized Cost to the Federal Government</w:t>
      </w:r>
    </w:p>
    <w:p w:rsidR="00905B52" w:rsidRPr="005B527E" w:rsidRDefault="00905B52" w:rsidP="00CD03EC">
      <w:pPr>
        <w:pStyle w:val="TOC2"/>
        <w:tabs>
          <w:tab w:val="clear" w:pos="9360"/>
          <w:tab w:val="right" w:pos="8640"/>
        </w:tabs>
        <w:rPr>
          <w:sz w:val="24"/>
          <w:szCs w:val="24"/>
        </w:rPr>
      </w:pPr>
      <w:r w:rsidRPr="005B527E">
        <w:rPr>
          <w:sz w:val="24"/>
          <w:szCs w:val="24"/>
        </w:rPr>
        <w:t>15. Explanation for Program Changes or Adjustments</w:t>
      </w:r>
      <w:r w:rsidR="00CD03EC">
        <w:rPr>
          <w:sz w:val="24"/>
          <w:szCs w:val="24"/>
        </w:rPr>
        <w:tab/>
      </w:r>
    </w:p>
    <w:p w:rsidR="00905B52" w:rsidRPr="005B527E" w:rsidRDefault="00905B52" w:rsidP="00905B52">
      <w:pPr>
        <w:pStyle w:val="TOC2"/>
        <w:rPr>
          <w:sz w:val="24"/>
          <w:szCs w:val="24"/>
        </w:rPr>
      </w:pPr>
      <w:r w:rsidRPr="005B527E">
        <w:rPr>
          <w:sz w:val="24"/>
          <w:szCs w:val="24"/>
        </w:rPr>
        <w:t>16. Plans for Tabulation and Publication and Project Time Schedule</w:t>
      </w:r>
    </w:p>
    <w:p w:rsidR="00905B52" w:rsidRPr="005B527E" w:rsidRDefault="00905B52" w:rsidP="00905B52">
      <w:pPr>
        <w:pStyle w:val="TOC2"/>
        <w:rPr>
          <w:sz w:val="24"/>
          <w:szCs w:val="24"/>
        </w:rPr>
      </w:pPr>
      <w:r w:rsidRPr="005B527E">
        <w:rPr>
          <w:sz w:val="24"/>
          <w:szCs w:val="24"/>
        </w:rPr>
        <w:t>17. Reason(s) Display of OMB Expiration Date is Inappropriate</w:t>
      </w:r>
    </w:p>
    <w:p w:rsidR="00905B52" w:rsidRPr="005B527E" w:rsidRDefault="00905B52" w:rsidP="00905B52">
      <w:pPr>
        <w:pStyle w:val="TOC2"/>
        <w:rPr>
          <w:sz w:val="24"/>
          <w:szCs w:val="24"/>
        </w:rPr>
      </w:pPr>
      <w:r w:rsidRPr="005B527E">
        <w:rPr>
          <w:sz w:val="24"/>
          <w:szCs w:val="24"/>
        </w:rPr>
        <w:t>18. Exceptions to Certification for Paperwork Reduction Act Submissions</w:t>
      </w:r>
    </w:p>
    <w:p w:rsidR="007025C8" w:rsidRPr="005B527E" w:rsidRDefault="007025C8">
      <w:pPr>
        <w:pStyle w:val="TOC2"/>
        <w:rPr>
          <w:sz w:val="24"/>
          <w:szCs w:val="24"/>
        </w:rPr>
      </w:pPr>
    </w:p>
    <w:p w:rsidR="00610F98" w:rsidRPr="005B527E" w:rsidRDefault="00610F98" w:rsidP="00610F98">
      <w:pPr>
        <w:spacing w:after="0" w:line="240" w:lineRule="auto"/>
      </w:pPr>
    </w:p>
    <w:p w:rsidR="00610F98" w:rsidRPr="005B527E" w:rsidRDefault="00610F98" w:rsidP="001A71FA">
      <w:pPr>
        <w:spacing w:after="0" w:line="240" w:lineRule="auto"/>
      </w:pPr>
      <w:r w:rsidRPr="005B527E">
        <w:tab/>
      </w:r>
    </w:p>
    <w:p w:rsidR="001A71FA" w:rsidRPr="005B527E" w:rsidRDefault="007D5B56" w:rsidP="001A71FA">
      <w:pPr>
        <w:spacing w:after="0" w:line="240" w:lineRule="auto"/>
      </w:pPr>
      <w:r w:rsidRPr="005B527E">
        <w:tab/>
      </w:r>
    </w:p>
    <w:p w:rsidR="001A71FA" w:rsidRPr="005B527E" w:rsidRDefault="001A71FA" w:rsidP="001A71FA">
      <w:pPr>
        <w:spacing w:after="0" w:line="240" w:lineRule="auto"/>
      </w:pPr>
      <w:r w:rsidRPr="005B527E">
        <w:tab/>
      </w:r>
    </w:p>
    <w:p w:rsidR="00905B52" w:rsidRPr="005B527E" w:rsidRDefault="00D901D0" w:rsidP="00905B52">
      <w:pPr>
        <w:jc w:val="center"/>
        <w:rPr>
          <w:b/>
          <w:caps/>
        </w:rPr>
      </w:pPr>
      <w:r w:rsidRPr="005B527E">
        <w:fldChar w:fldCharType="end"/>
      </w:r>
    </w:p>
    <w:p w:rsidR="007F39EF" w:rsidRPr="005B527E" w:rsidRDefault="007F39EF">
      <w:pPr>
        <w:rPr>
          <w:caps/>
        </w:rPr>
      </w:pPr>
      <w:r w:rsidRPr="005B527E">
        <w:rPr>
          <w:caps/>
        </w:rPr>
        <w:t>LIST OF ATTACHMENTS</w:t>
      </w:r>
    </w:p>
    <w:p w:rsidR="008C491E" w:rsidRDefault="008C491E" w:rsidP="004A7EF3">
      <w:pPr>
        <w:pStyle w:val="ListParagraph"/>
        <w:numPr>
          <w:ilvl w:val="0"/>
          <w:numId w:val="35"/>
        </w:numPr>
        <w:spacing w:after="0" w:line="240" w:lineRule="auto"/>
      </w:pPr>
      <w:r w:rsidRPr="004A7EF3">
        <w:rPr>
          <w:caps/>
        </w:rPr>
        <w:t>A</w:t>
      </w:r>
      <w:r w:rsidRPr="005B527E">
        <w:t>uthorizing Legislation:  Public Health Service Act</w:t>
      </w:r>
    </w:p>
    <w:p w:rsidR="004A7EF3" w:rsidRDefault="004A7EF3" w:rsidP="004A7EF3">
      <w:pPr>
        <w:pStyle w:val="ListParagraph"/>
        <w:numPr>
          <w:ilvl w:val="0"/>
          <w:numId w:val="35"/>
        </w:numPr>
        <w:spacing w:after="0" w:line="240" w:lineRule="auto"/>
      </w:pPr>
      <w:r>
        <w:t>Relevant Oral Health Surveys</w:t>
      </w:r>
      <w:r w:rsidR="001C47A4">
        <w:t>,</w:t>
      </w:r>
      <w:r>
        <w:t xml:space="preserve"> Table</w:t>
      </w:r>
    </w:p>
    <w:p w:rsidR="004A7EF3" w:rsidRPr="005B527E" w:rsidRDefault="004A7EF3" w:rsidP="004A7EF3">
      <w:pPr>
        <w:pStyle w:val="ListParagraph"/>
        <w:numPr>
          <w:ilvl w:val="0"/>
          <w:numId w:val="35"/>
        </w:numPr>
        <w:spacing w:after="0" w:line="240" w:lineRule="auto"/>
      </w:pPr>
      <w:r>
        <w:t>Literature Review Reference</w:t>
      </w:r>
      <w:r w:rsidR="001C47A4">
        <w:t>,</w:t>
      </w:r>
      <w:r>
        <w:t xml:space="preserve"> List</w:t>
      </w:r>
    </w:p>
    <w:p w:rsidR="008C491E" w:rsidRPr="005B527E" w:rsidRDefault="004A7EF3" w:rsidP="008C491E">
      <w:pPr>
        <w:spacing w:after="0" w:line="240" w:lineRule="auto"/>
        <w:ind w:left="720"/>
      </w:pPr>
      <w:r>
        <w:t>4</w:t>
      </w:r>
      <w:r w:rsidR="008C491E" w:rsidRPr="005B527E">
        <w:t>.</w:t>
      </w:r>
      <w:r w:rsidR="008C491E" w:rsidRPr="005B527E">
        <w:tab/>
      </w:r>
      <w:r w:rsidR="001C47A4">
        <w:t xml:space="preserve">60-Day </w:t>
      </w:r>
      <w:r w:rsidR="008C491E" w:rsidRPr="005B527E">
        <w:t>Federal Register Notice</w:t>
      </w:r>
    </w:p>
    <w:p w:rsidR="0083785F" w:rsidRDefault="0083785F" w:rsidP="0083785F">
      <w:pPr>
        <w:spacing w:after="0" w:line="240" w:lineRule="auto"/>
        <w:ind w:left="720"/>
      </w:pPr>
      <w:r>
        <w:t xml:space="preserve">5.  </w:t>
      </w:r>
      <w:r>
        <w:tab/>
      </w:r>
      <w:r w:rsidRPr="005B527E">
        <w:t>Contractor’s Nondisclosure Agreement</w:t>
      </w:r>
    </w:p>
    <w:p w:rsidR="0083785F" w:rsidRDefault="0083785F" w:rsidP="0083785F">
      <w:pPr>
        <w:spacing w:after="0" w:line="240" w:lineRule="auto"/>
        <w:ind w:left="720"/>
      </w:pPr>
      <w:r>
        <w:t>6.</w:t>
      </w:r>
      <w:r>
        <w:tab/>
      </w:r>
      <w:r w:rsidRPr="005B527E">
        <w:t>IRB Approval</w:t>
      </w:r>
    </w:p>
    <w:p w:rsidR="0035600A" w:rsidRPr="005B527E" w:rsidRDefault="0083785F" w:rsidP="0083785F">
      <w:pPr>
        <w:spacing w:after="0" w:line="240" w:lineRule="auto"/>
        <w:ind w:left="720"/>
      </w:pPr>
      <w:r>
        <w:t>7</w:t>
      </w:r>
      <w:r w:rsidR="00EB4282">
        <w:t>.</w:t>
      </w:r>
      <w:r w:rsidR="00EB4282">
        <w:tab/>
        <w:t xml:space="preserve">Telephone </w:t>
      </w:r>
      <w:r w:rsidR="0035600A" w:rsidRPr="005B527E">
        <w:t xml:space="preserve">Screener </w:t>
      </w:r>
    </w:p>
    <w:p w:rsidR="008C491E" w:rsidRDefault="0083785F" w:rsidP="002F04E6">
      <w:pPr>
        <w:spacing w:after="0" w:line="240" w:lineRule="auto"/>
        <w:ind w:left="1440" w:hanging="720"/>
      </w:pPr>
      <w:r>
        <w:t>8</w:t>
      </w:r>
      <w:r w:rsidR="008C491E" w:rsidRPr="005B527E">
        <w:t>.</w:t>
      </w:r>
      <w:r w:rsidR="008C491E" w:rsidRPr="005B527E">
        <w:tab/>
      </w:r>
      <w:r w:rsidR="004A7EF3">
        <w:t>Physician’s Oral Health S</w:t>
      </w:r>
      <w:r w:rsidR="00EB4282">
        <w:t>urvey</w:t>
      </w:r>
    </w:p>
    <w:p w:rsidR="002F04E6" w:rsidRDefault="004D3713" w:rsidP="002F04E6">
      <w:pPr>
        <w:spacing w:after="0" w:line="240" w:lineRule="auto"/>
        <w:ind w:left="1440" w:hanging="720"/>
      </w:pPr>
      <w:r>
        <w:t>9.</w:t>
      </w:r>
      <w:r>
        <w:tab/>
        <w:t>Survey Cover L</w:t>
      </w:r>
      <w:r w:rsidR="002670A7">
        <w:t>etter</w:t>
      </w:r>
      <w:r w:rsidR="001C47A4">
        <w:t>s</w:t>
      </w:r>
      <w:r w:rsidR="002670A7">
        <w:t xml:space="preserve"> </w:t>
      </w:r>
    </w:p>
    <w:p w:rsidR="002F04E6" w:rsidRDefault="002670A7" w:rsidP="002670A7">
      <w:pPr>
        <w:spacing w:after="0" w:line="240" w:lineRule="auto"/>
        <w:ind w:firstLine="360"/>
      </w:pPr>
      <w:r>
        <w:t xml:space="preserve">      10.       </w:t>
      </w:r>
      <w:r w:rsidR="002F04E6">
        <w:t>Physician Frequently Asked Question</w:t>
      </w:r>
      <w:r w:rsidR="004D3713">
        <w:t>s L</w:t>
      </w:r>
      <w:r>
        <w:t>etter</w:t>
      </w:r>
    </w:p>
    <w:p w:rsidR="002670A7" w:rsidRPr="005B527E" w:rsidRDefault="002670A7" w:rsidP="002670A7">
      <w:pPr>
        <w:spacing w:after="0" w:line="240" w:lineRule="auto"/>
        <w:ind w:firstLine="360"/>
      </w:pPr>
      <w:r>
        <w:t xml:space="preserve">      </w:t>
      </w:r>
    </w:p>
    <w:p w:rsidR="002670A7" w:rsidRPr="005B527E" w:rsidRDefault="002670A7" w:rsidP="002670A7">
      <w:pPr>
        <w:spacing w:after="0" w:line="240" w:lineRule="auto"/>
        <w:ind w:firstLine="360"/>
      </w:pPr>
    </w:p>
    <w:p w:rsidR="008C491E" w:rsidRPr="005B527E" w:rsidRDefault="008C491E" w:rsidP="0083785F">
      <w:pPr>
        <w:spacing w:after="0" w:line="240" w:lineRule="auto"/>
        <w:ind w:firstLine="720"/>
      </w:pPr>
    </w:p>
    <w:p w:rsidR="008C491E" w:rsidRPr="005B527E" w:rsidRDefault="008C491E" w:rsidP="008C491E">
      <w:pPr>
        <w:spacing w:after="0" w:line="240" w:lineRule="auto"/>
      </w:pPr>
    </w:p>
    <w:p w:rsidR="0038510E" w:rsidRPr="003B5FFD" w:rsidRDefault="00905B52" w:rsidP="003B5FFD">
      <w:pPr>
        <w:pStyle w:val="ListParagraph"/>
        <w:numPr>
          <w:ilvl w:val="0"/>
          <w:numId w:val="36"/>
        </w:numPr>
        <w:spacing w:after="0" w:line="240" w:lineRule="auto"/>
        <w:rPr>
          <w:b/>
          <w:caps/>
        </w:rPr>
      </w:pPr>
      <w:r w:rsidRPr="003B5FFD">
        <w:rPr>
          <w:b/>
          <w:caps/>
        </w:rPr>
        <w:br w:type="page"/>
      </w:r>
      <w:r w:rsidR="0038510E" w:rsidRPr="003B5FFD">
        <w:rPr>
          <w:b/>
          <w:caps/>
        </w:rPr>
        <w:lastRenderedPageBreak/>
        <w:t>Justification</w:t>
      </w:r>
    </w:p>
    <w:p w:rsidR="00675E1C" w:rsidRPr="005B527E" w:rsidRDefault="00675E1C" w:rsidP="00675E1C">
      <w:pPr>
        <w:pStyle w:val="ListParagraph"/>
        <w:rPr>
          <w:b/>
          <w:u w:val="single"/>
        </w:rPr>
      </w:pPr>
    </w:p>
    <w:p w:rsidR="00854F90" w:rsidRPr="005B527E" w:rsidRDefault="00854F90" w:rsidP="004B7346">
      <w:pPr>
        <w:pStyle w:val="ListParagraph"/>
        <w:numPr>
          <w:ilvl w:val="0"/>
          <w:numId w:val="2"/>
        </w:numPr>
        <w:rPr>
          <w:b/>
          <w:u w:val="single"/>
        </w:rPr>
      </w:pPr>
      <w:r w:rsidRPr="005B527E">
        <w:rPr>
          <w:b/>
        </w:rPr>
        <w:t>Circumstances Making the Collection of Information Necessary</w:t>
      </w:r>
    </w:p>
    <w:p w:rsidR="00854F90" w:rsidRPr="005B527E" w:rsidRDefault="004B2955" w:rsidP="00854F90">
      <w:pPr>
        <w:ind w:right="-720"/>
      </w:pPr>
      <w:r w:rsidRPr="005B527E">
        <w:t>The Office o</w:t>
      </w:r>
      <w:r w:rsidR="007F5E9B">
        <w:t>n</w:t>
      </w:r>
      <w:r w:rsidRPr="005B527E">
        <w:t xml:space="preserve"> Women’s Health</w:t>
      </w:r>
      <w:r w:rsidR="00EB4282">
        <w:t xml:space="preserve"> (OWH) </w:t>
      </w:r>
      <w:r w:rsidR="006105CC" w:rsidRPr="005B527E">
        <w:t>at</w:t>
      </w:r>
      <w:r w:rsidRPr="005B527E">
        <w:t xml:space="preserve"> the Department of Health and Human Services</w:t>
      </w:r>
      <w:r w:rsidR="00854F90" w:rsidRPr="005B527E">
        <w:t xml:space="preserve"> </w:t>
      </w:r>
      <w:r w:rsidR="006105CC" w:rsidRPr="005B527E">
        <w:t>is requesting OMB approval to</w:t>
      </w:r>
      <w:r w:rsidR="0025175F" w:rsidRPr="005B527E">
        <w:t xml:space="preserve"> conduct</w:t>
      </w:r>
      <w:r w:rsidR="00D92C86" w:rsidRPr="005B527E">
        <w:t xml:space="preserve"> a</w:t>
      </w:r>
      <w:r w:rsidR="006105CC" w:rsidRPr="005B527E">
        <w:t xml:space="preserve"> new</w:t>
      </w:r>
      <w:r w:rsidR="005B527E" w:rsidRPr="005B527E">
        <w:t>, one time</w:t>
      </w:r>
      <w:r w:rsidR="006105CC" w:rsidRPr="005B527E">
        <w:t xml:space="preserve"> information collection, </w:t>
      </w:r>
      <w:r w:rsidR="004E1CFF" w:rsidRPr="005B527E">
        <w:t>survey</w:t>
      </w:r>
      <w:r w:rsidR="00D92C86" w:rsidRPr="005B527E">
        <w:t xml:space="preserve">ing </w:t>
      </w:r>
      <w:r w:rsidR="004E1CFF" w:rsidRPr="005B527E">
        <w:t>primar</w:t>
      </w:r>
      <w:r w:rsidR="005B527E" w:rsidRPr="005B527E">
        <w:t xml:space="preserve">y care physicians </w:t>
      </w:r>
      <w:r w:rsidR="005B527E" w:rsidRPr="005B527E">
        <w:rPr>
          <w:color w:val="000000"/>
        </w:rPr>
        <w:t>on oral health knowledge, attitudes, and professional experience</w:t>
      </w:r>
      <w:r w:rsidR="00854F90" w:rsidRPr="005B527E">
        <w:t xml:space="preserve">.  </w:t>
      </w:r>
      <w:r w:rsidR="007F5E9B">
        <w:t>We</w:t>
      </w:r>
      <w:r w:rsidR="006A3BF1" w:rsidRPr="005B527E">
        <w:t xml:space="preserve"> are requesting</w:t>
      </w:r>
      <w:r w:rsidR="00281B89" w:rsidRPr="005B527E">
        <w:t xml:space="preserve"> two</w:t>
      </w:r>
      <w:r w:rsidR="005327F8" w:rsidRPr="005B527E">
        <w:t xml:space="preserve"> years of OMB approval to enable </w:t>
      </w:r>
      <w:r w:rsidR="007F5E9B">
        <w:t>sampling</w:t>
      </w:r>
      <w:r w:rsidR="00281B89" w:rsidRPr="005B527E">
        <w:t>,</w:t>
      </w:r>
      <w:r w:rsidR="005B527E" w:rsidRPr="005B527E">
        <w:t xml:space="preserve"> screening,</w:t>
      </w:r>
      <w:r w:rsidR="00281B89" w:rsidRPr="005B527E">
        <w:t xml:space="preserve"> </w:t>
      </w:r>
      <w:r w:rsidR="007F5E9B">
        <w:t>survey implementation, and follow-up</w:t>
      </w:r>
      <w:r w:rsidR="00BB323D">
        <w:t>.</w:t>
      </w:r>
      <w:r w:rsidR="005B527E" w:rsidRPr="005B527E">
        <w:t xml:space="preserve"> </w:t>
      </w:r>
      <w:r w:rsidR="006A3BF1" w:rsidRPr="005B527E">
        <w:t xml:space="preserve"> </w:t>
      </w:r>
    </w:p>
    <w:p w:rsidR="00854F90" w:rsidRPr="005B527E" w:rsidRDefault="00854F90" w:rsidP="00854F90">
      <w:pPr>
        <w:pStyle w:val="ListParagraph"/>
        <w:ind w:left="0" w:right="-720"/>
        <w:rPr>
          <w:u w:val="single"/>
        </w:rPr>
      </w:pPr>
      <w:r w:rsidRPr="005B527E">
        <w:rPr>
          <w:u w:val="single"/>
        </w:rPr>
        <w:t xml:space="preserve">Background </w:t>
      </w:r>
    </w:p>
    <w:p w:rsidR="00F61E97" w:rsidRPr="005B527E" w:rsidRDefault="00281B89" w:rsidP="00EB4282">
      <w:pPr>
        <w:autoSpaceDE w:val="0"/>
        <w:autoSpaceDN w:val="0"/>
        <w:adjustRightInd w:val="0"/>
        <w:spacing w:after="0"/>
        <w:rPr>
          <w:i/>
          <w:iCs/>
          <w:color w:val="000000"/>
        </w:rPr>
      </w:pPr>
      <w:r w:rsidRPr="005B527E">
        <w:rPr>
          <w:color w:val="000000"/>
        </w:rPr>
        <w:t xml:space="preserve">It has been 10 years since the Surgeon General’s report, </w:t>
      </w:r>
      <w:r w:rsidRPr="005B527E">
        <w:rPr>
          <w:i/>
          <w:iCs/>
          <w:color w:val="000000"/>
        </w:rPr>
        <w:t xml:space="preserve">Oral Health in America: A Report of the Surgeon General, </w:t>
      </w:r>
      <w:r w:rsidRPr="005B527E">
        <w:rPr>
          <w:color w:val="000000"/>
        </w:rPr>
        <w:t>identified oral health as essential to general health and well-being and called for a national</w:t>
      </w:r>
      <w:r w:rsidRPr="005B527E">
        <w:rPr>
          <w:i/>
          <w:iCs/>
          <w:color w:val="000000"/>
        </w:rPr>
        <w:t xml:space="preserve"> </w:t>
      </w:r>
      <w:r w:rsidRPr="005B527E">
        <w:rPr>
          <w:color w:val="000000"/>
        </w:rPr>
        <w:t>effort to improve oral health among all Americans</w:t>
      </w:r>
      <w:r w:rsidR="00BB3CB2">
        <w:rPr>
          <w:rStyle w:val="FootnoteReference"/>
          <w:color w:val="000000"/>
        </w:rPr>
        <w:footnoteReference w:id="1"/>
      </w:r>
      <w:r w:rsidRPr="005B527E">
        <w:rPr>
          <w:color w:val="000000"/>
        </w:rPr>
        <w:t>. As the report noted, most oral diseases and conditions are complex and result from genetic,</w:t>
      </w:r>
      <w:r w:rsidRPr="005B527E">
        <w:rPr>
          <w:i/>
          <w:iCs/>
          <w:color w:val="000000"/>
        </w:rPr>
        <w:t xml:space="preserve"> </w:t>
      </w:r>
      <w:r w:rsidRPr="005B527E">
        <w:rPr>
          <w:color w:val="000000"/>
        </w:rPr>
        <w:t>socioeconomic, behavioral, and environmental interactions as well as general health influences. In addition to the</w:t>
      </w:r>
      <w:r w:rsidR="00F61E97" w:rsidRPr="005B527E">
        <w:rPr>
          <w:i/>
          <w:iCs/>
          <w:color w:val="000000"/>
        </w:rPr>
        <w:t xml:space="preserve"> </w:t>
      </w:r>
      <w:r w:rsidRPr="005B527E">
        <w:rPr>
          <w:color w:val="000000"/>
        </w:rPr>
        <w:t>direct health consequences of these diseases, the report reviewed the growing evidence that these</w:t>
      </w:r>
      <w:r w:rsidR="00F61E97" w:rsidRPr="005B527E">
        <w:rPr>
          <w:i/>
          <w:iCs/>
          <w:color w:val="000000"/>
        </w:rPr>
        <w:t xml:space="preserve"> </w:t>
      </w:r>
      <w:r w:rsidRPr="005B527E">
        <w:rPr>
          <w:color w:val="000000"/>
        </w:rPr>
        <w:t>diseases contribute to other health problems. Based on this relationship between oral and systemic</w:t>
      </w:r>
      <w:r w:rsidR="00F61E97" w:rsidRPr="005B527E">
        <w:rPr>
          <w:i/>
          <w:iCs/>
          <w:color w:val="000000"/>
        </w:rPr>
        <w:t xml:space="preserve"> </w:t>
      </w:r>
      <w:r w:rsidRPr="005B527E">
        <w:rPr>
          <w:color w:val="000000"/>
        </w:rPr>
        <w:t>health, the report advocated for interdisciplinary training between medical and dental providers and</w:t>
      </w:r>
      <w:r w:rsidR="00F61E97" w:rsidRPr="005B527E">
        <w:rPr>
          <w:i/>
          <w:iCs/>
          <w:color w:val="000000"/>
        </w:rPr>
        <w:t xml:space="preserve"> </w:t>
      </w:r>
      <w:r w:rsidRPr="005B527E">
        <w:rPr>
          <w:color w:val="000000"/>
        </w:rPr>
        <w:t>participation of physicians in oral disease prevention.</w:t>
      </w:r>
      <w:r w:rsidR="00F61E97" w:rsidRPr="005B527E">
        <w:rPr>
          <w:color w:val="000000"/>
        </w:rPr>
        <w:t xml:space="preserve"> </w:t>
      </w:r>
      <w:r w:rsidRPr="005B527E">
        <w:rPr>
          <w:color w:val="000000"/>
        </w:rPr>
        <w:t>While oral health and systemic health are often treated through separate systems of care, a growing</w:t>
      </w:r>
      <w:r w:rsidR="00F61E97" w:rsidRPr="005B527E">
        <w:rPr>
          <w:i/>
          <w:iCs/>
          <w:color w:val="000000"/>
        </w:rPr>
        <w:t xml:space="preserve"> </w:t>
      </w:r>
      <w:r w:rsidRPr="005B527E">
        <w:rPr>
          <w:color w:val="000000"/>
        </w:rPr>
        <w:t>body of evidence is demonstrating a clear link between the two. In addition to poor oral health contributing to systemic health problems, oral health can be</w:t>
      </w:r>
      <w:r w:rsidR="00F61E97" w:rsidRPr="005B527E">
        <w:rPr>
          <w:color w:val="000000"/>
        </w:rPr>
        <w:t xml:space="preserve"> </w:t>
      </w:r>
      <w:r w:rsidRPr="005B527E">
        <w:rPr>
          <w:color w:val="000000"/>
        </w:rPr>
        <w:t xml:space="preserve">affected by various diseases and conditions. </w:t>
      </w:r>
    </w:p>
    <w:p w:rsidR="00F61E97" w:rsidRPr="005B527E" w:rsidRDefault="00F61E97" w:rsidP="00EB4282">
      <w:pPr>
        <w:autoSpaceDE w:val="0"/>
        <w:autoSpaceDN w:val="0"/>
        <w:adjustRightInd w:val="0"/>
        <w:spacing w:after="0"/>
        <w:rPr>
          <w:color w:val="000000"/>
        </w:rPr>
      </w:pPr>
    </w:p>
    <w:p w:rsidR="00281B89" w:rsidRPr="005B527E" w:rsidRDefault="00281B89" w:rsidP="00EB4282">
      <w:pPr>
        <w:autoSpaceDE w:val="0"/>
        <w:autoSpaceDN w:val="0"/>
        <w:adjustRightInd w:val="0"/>
        <w:spacing w:after="0"/>
        <w:rPr>
          <w:color w:val="000000"/>
        </w:rPr>
      </w:pPr>
      <w:r w:rsidRPr="005B527E">
        <w:rPr>
          <w:color w:val="000000"/>
        </w:rPr>
        <w:t>Because the major oral diseases are largely preventable or amenable to early intervention, the</w:t>
      </w:r>
    </w:p>
    <w:p w:rsidR="00281B89" w:rsidRPr="005B527E" w:rsidRDefault="00281B89" w:rsidP="00EB4282">
      <w:pPr>
        <w:autoSpaceDE w:val="0"/>
        <w:autoSpaceDN w:val="0"/>
        <w:adjustRightInd w:val="0"/>
        <w:spacing w:after="0"/>
        <w:rPr>
          <w:color w:val="000000"/>
        </w:rPr>
      </w:pPr>
      <w:r w:rsidRPr="005B527E">
        <w:rPr>
          <w:color w:val="000000"/>
        </w:rPr>
        <w:t>disparities and health effects could be alleviated, in part, through increased physician training and</w:t>
      </w:r>
      <w:r w:rsidR="005B527E">
        <w:rPr>
          <w:color w:val="000000"/>
        </w:rPr>
        <w:t xml:space="preserve"> </w:t>
      </w:r>
      <w:r w:rsidRPr="005B527E">
        <w:rPr>
          <w:color w:val="000000"/>
        </w:rPr>
        <w:t>participation in oral disease prevention. Although 10 years ago the Surgeon General’s report</w:t>
      </w:r>
    </w:p>
    <w:p w:rsidR="006B7715" w:rsidRPr="006B7715" w:rsidRDefault="00281B89" w:rsidP="006B7715">
      <w:pPr>
        <w:autoSpaceDE w:val="0"/>
        <w:autoSpaceDN w:val="0"/>
        <w:adjustRightInd w:val="0"/>
        <w:spacing w:after="0"/>
        <w:rPr>
          <w:color w:val="000000"/>
        </w:rPr>
      </w:pPr>
      <w:r w:rsidRPr="005B527E">
        <w:rPr>
          <w:color w:val="000000"/>
        </w:rPr>
        <w:t>advocated interdisciplinary training between medical and dental providers and integrating oral health</w:t>
      </w:r>
      <w:r w:rsidR="005B527E">
        <w:rPr>
          <w:color w:val="000000"/>
        </w:rPr>
        <w:t xml:space="preserve"> </w:t>
      </w:r>
      <w:r w:rsidRPr="005B527E">
        <w:rPr>
          <w:color w:val="000000"/>
        </w:rPr>
        <w:t>checks into routine care delivery, it appears only modest progress has been made on this front. First,</w:t>
      </w:r>
      <w:r w:rsidR="005B527E">
        <w:rPr>
          <w:color w:val="000000"/>
        </w:rPr>
        <w:t xml:space="preserve"> </w:t>
      </w:r>
      <w:r w:rsidRPr="005B527E">
        <w:rPr>
          <w:color w:val="000000"/>
        </w:rPr>
        <w:t>very little research has been done on the oral health knowledge, attitudes, and practices of primary</w:t>
      </w:r>
      <w:r w:rsidR="005B527E">
        <w:rPr>
          <w:color w:val="000000"/>
        </w:rPr>
        <w:t xml:space="preserve"> </w:t>
      </w:r>
      <w:r w:rsidRPr="005B527E">
        <w:rPr>
          <w:color w:val="000000"/>
        </w:rPr>
        <w:t>care physicians, although there have been some studies of pediatricians that revealed a paucity of</w:t>
      </w:r>
      <w:r w:rsidR="005B527E">
        <w:rPr>
          <w:color w:val="000000"/>
        </w:rPr>
        <w:t xml:space="preserve"> </w:t>
      </w:r>
      <w:r w:rsidRPr="005B527E">
        <w:rPr>
          <w:color w:val="000000"/>
        </w:rPr>
        <w:t>know</w:t>
      </w:r>
      <w:r w:rsidR="00BB3CB2">
        <w:rPr>
          <w:color w:val="000000"/>
        </w:rPr>
        <w:t>ledge</w:t>
      </w:r>
      <w:r w:rsidR="00BB3CB2">
        <w:rPr>
          <w:rStyle w:val="FootnoteReference"/>
          <w:color w:val="000000"/>
        </w:rPr>
        <w:footnoteReference w:id="2"/>
      </w:r>
      <w:r w:rsidRPr="005B527E">
        <w:rPr>
          <w:color w:val="000000"/>
        </w:rPr>
        <w:t>. Second, the limited available research</w:t>
      </w:r>
      <w:r w:rsidR="005B527E">
        <w:rPr>
          <w:color w:val="000000"/>
        </w:rPr>
        <w:t xml:space="preserve"> </w:t>
      </w:r>
      <w:r w:rsidRPr="005B527E">
        <w:rPr>
          <w:color w:val="000000"/>
        </w:rPr>
        <w:t>suggests that primary medical care providers are still not comfortable performing basic oral health</w:t>
      </w:r>
      <w:r w:rsidR="005B527E">
        <w:rPr>
          <w:color w:val="000000"/>
        </w:rPr>
        <w:t xml:space="preserve"> </w:t>
      </w:r>
      <w:r w:rsidRPr="005B527E">
        <w:rPr>
          <w:color w:val="000000"/>
        </w:rPr>
        <w:t xml:space="preserve">assessments and many consider oral health outside their realm of practice. </w:t>
      </w:r>
      <w:r w:rsidR="00B86A87">
        <w:t>I</w:t>
      </w:r>
      <w:r w:rsidR="00B86A87" w:rsidRPr="00D74868">
        <w:t xml:space="preserve">nformation about oral health remains absent in health professional education outside of dental health professionals, perhaps suggesting to health professionals that health of the mouth is separate from a patient’s general health. </w:t>
      </w:r>
    </w:p>
    <w:p w:rsidR="00B86A87" w:rsidRPr="005B527E" w:rsidRDefault="00B86A87" w:rsidP="00EB4282">
      <w:pPr>
        <w:autoSpaceDE w:val="0"/>
        <w:autoSpaceDN w:val="0"/>
        <w:adjustRightInd w:val="0"/>
        <w:spacing w:after="0"/>
        <w:rPr>
          <w:color w:val="000000"/>
        </w:rPr>
      </w:pPr>
    </w:p>
    <w:p w:rsidR="00F61E97" w:rsidRPr="005B527E" w:rsidRDefault="00F61E97" w:rsidP="00EB4282">
      <w:pPr>
        <w:autoSpaceDE w:val="0"/>
        <w:autoSpaceDN w:val="0"/>
        <w:adjustRightInd w:val="0"/>
        <w:spacing w:after="0"/>
        <w:rPr>
          <w:color w:val="000000"/>
        </w:rPr>
      </w:pPr>
    </w:p>
    <w:p w:rsidR="00EB4282" w:rsidRDefault="00EB4282" w:rsidP="00EB4282">
      <w:pPr>
        <w:autoSpaceDE w:val="0"/>
        <w:autoSpaceDN w:val="0"/>
        <w:adjustRightInd w:val="0"/>
        <w:spacing w:after="0"/>
        <w:rPr>
          <w:color w:val="000000"/>
        </w:rPr>
      </w:pPr>
    </w:p>
    <w:p w:rsidR="00281B89" w:rsidRDefault="00BB3CB2" w:rsidP="007F5E9B">
      <w:pPr>
        <w:autoSpaceDE w:val="0"/>
        <w:autoSpaceDN w:val="0"/>
        <w:adjustRightInd w:val="0"/>
        <w:spacing w:after="0"/>
        <w:rPr>
          <w:color w:val="000000"/>
        </w:rPr>
      </w:pPr>
      <w:r>
        <w:rPr>
          <w:color w:val="000000"/>
        </w:rPr>
        <w:t>This survey of primary care physicians on oral h</w:t>
      </w:r>
      <w:r w:rsidR="007F5E9B">
        <w:rPr>
          <w:color w:val="000000"/>
        </w:rPr>
        <w:t>ealth</w:t>
      </w:r>
      <w:r w:rsidR="00281B89" w:rsidRPr="005B527E">
        <w:rPr>
          <w:color w:val="000000"/>
        </w:rPr>
        <w:t xml:space="preserve"> </w:t>
      </w:r>
      <w:r w:rsidR="007F5E9B">
        <w:rPr>
          <w:color w:val="000000"/>
        </w:rPr>
        <w:t xml:space="preserve">will provide the agency with </w:t>
      </w:r>
      <w:r w:rsidR="00281B89" w:rsidRPr="005B527E">
        <w:rPr>
          <w:color w:val="000000"/>
        </w:rPr>
        <w:t>information on oral health knowledge, attitudes, and professional experience</w:t>
      </w:r>
      <w:r w:rsidR="007F5E9B">
        <w:rPr>
          <w:color w:val="000000"/>
        </w:rPr>
        <w:t xml:space="preserve"> among practicing physicians throughout the US</w:t>
      </w:r>
      <w:r w:rsidR="00281B89" w:rsidRPr="005B527E">
        <w:rPr>
          <w:color w:val="000000"/>
        </w:rPr>
        <w:t>. The</w:t>
      </w:r>
      <w:r w:rsidR="005B527E">
        <w:rPr>
          <w:color w:val="000000"/>
        </w:rPr>
        <w:t xml:space="preserve"> </w:t>
      </w:r>
      <w:r w:rsidR="00281B89" w:rsidRPr="005B527E">
        <w:rPr>
          <w:color w:val="000000"/>
        </w:rPr>
        <w:t>study will explore oral health training and support needs, knowledge of guidelines, attitudes and</w:t>
      </w:r>
      <w:r w:rsidR="005B527E">
        <w:rPr>
          <w:color w:val="000000"/>
        </w:rPr>
        <w:t xml:space="preserve"> </w:t>
      </w:r>
      <w:r w:rsidR="00281B89" w:rsidRPr="005B527E">
        <w:rPr>
          <w:color w:val="000000"/>
        </w:rPr>
        <w:t xml:space="preserve">views of </w:t>
      </w:r>
      <w:r w:rsidR="00643EEB">
        <w:rPr>
          <w:color w:val="000000"/>
        </w:rPr>
        <w:t xml:space="preserve">their </w:t>
      </w:r>
      <w:r w:rsidR="00281B89" w:rsidRPr="005B527E">
        <w:rPr>
          <w:color w:val="000000"/>
        </w:rPr>
        <w:t>role in oral health, current practices and barriers to</w:t>
      </w:r>
      <w:r w:rsidR="005B527E">
        <w:rPr>
          <w:color w:val="000000"/>
        </w:rPr>
        <w:t xml:space="preserve"> </w:t>
      </w:r>
      <w:r w:rsidR="00281B89" w:rsidRPr="005B527E">
        <w:rPr>
          <w:color w:val="000000"/>
        </w:rPr>
        <w:t>further involvement</w:t>
      </w:r>
      <w:r w:rsidR="00643EEB">
        <w:rPr>
          <w:color w:val="000000"/>
        </w:rPr>
        <w:t>,</w:t>
      </w:r>
      <w:r w:rsidR="00281B89" w:rsidRPr="005B527E">
        <w:rPr>
          <w:color w:val="000000"/>
        </w:rPr>
        <w:t xml:space="preserve"> such as a lack of </w:t>
      </w:r>
      <w:r w:rsidR="00643EEB">
        <w:rPr>
          <w:color w:val="000000"/>
        </w:rPr>
        <w:t xml:space="preserve">sufficient reimbursement </w:t>
      </w:r>
      <w:r w:rsidR="00281B89" w:rsidRPr="005B527E">
        <w:rPr>
          <w:color w:val="000000"/>
        </w:rPr>
        <w:t>or referral care options.</w:t>
      </w:r>
      <w:r w:rsidR="00B86A87">
        <w:rPr>
          <w:color w:val="000000"/>
        </w:rPr>
        <w:t xml:space="preserve"> Specific research questions include: </w:t>
      </w:r>
    </w:p>
    <w:p w:rsidR="00B86A87" w:rsidRDefault="00B86A87" w:rsidP="007F5E9B">
      <w:pPr>
        <w:autoSpaceDE w:val="0"/>
        <w:autoSpaceDN w:val="0"/>
        <w:adjustRightInd w:val="0"/>
        <w:spacing w:after="0"/>
        <w:rPr>
          <w:color w:val="000000"/>
        </w:rPr>
      </w:pPr>
    </w:p>
    <w:p w:rsidR="001C1687" w:rsidRDefault="00A9144F" w:rsidP="00B86A87">
      <w:pPr>
        <w:pStyle w:val="Style"/>
        <w:numPr>
          <w:ilvl w:val="0"/>
          <w:numId w:val="33"/>
        </w:numPr>
        <w:spacing w:before="28"/>
        <w:ind w:right="968"/>
        <w:rPr>
          <w:rFonts w:ascii="Times New Roman" w:hAnsi="Times New Roman" w:cs="Times New Roman"/>
          <w:color w:val="000000"/>
        </w:rPr>
      </w:pPr>
      <w:r>
        <w:rPr>
          <w:rFonts w:ascii="Times New Roman" w:hAnsi="Times New Roman" w:cs="Times New Roman"/>
          <w:color w:val="000000"/>
        </w:rPr>
        <w:t xml:space="preserve">What level of </w:t>
      </w:r>
      <w:r w:rsidR="00AE0348">
        <w:rPr>
          <w:rFonts w:ascii="Times New Roman" w:hAnsi="Times New Roman" w:cs="Times New Roman"/>
          <w:color w:val="000000"/>
        </w:rPr>
        <w:t xml:space="preserve">training and </w:t>
      </w:r>
      <w:r>
        <w:rPr>
          <w:rFonts w:ascii="Times New Roman" w:hAnsi="Times New Roman" w:cs="Times New Roman"/>
          <w:color w:val="000000"/>
        </w:rPr>
        <w:t>knowledge do primary care physicians have about oral health</w:t>
      </w:r>
      <w:r w:rsidR="00B86A87" w:rsidRPr="009F5FE8">
        <w:rPr>
          <w:rFonts w:ascii="Times New Roman" w:hAnsi="Times New Roman" w:cs="Times New Roman"/>
          <w:color w:val="000000"/>
        </w:rPr>
        <w:t>?</w:t>
      </w:r>
      <w:r w:rsidR="00F3142A">
        <w:rPr>
          <w:rFonts w:ascii="Times New Roman" w:hAnsi="Times New Roman" w:cs="Times New Roman"/>
          <w:color w:val="000000"/>
        </w:rPr>
        <w:t xml:space="preserve"> (</w:t>
      </w:r>
      <w:r w:rsidR="00D61B99">
        <w:rPr>
          <w:rFonts w:ascii="Times New Roman" w:hAnsi="Times New Roman" w:cs="Times New Roman"/>
          <w:color w:val="000000"/>
        </w:rPr>
        <w:t>Survey q</w:t>
      </w:r>
      <w:r w:rsidR="00F3142A">
        <w:rPr>
          <w:rFonts w:ascii="Times New Roman" w:hAnsi="Times New Roman" w:cs="Times New Roman"/>
          <w:color w:val="000000"/>
        </w:rPr>
        <w:t>uestions:</w:t>
      </w:r>
      <w:r w:rsidR="00AE0348">
        <w:rPr>
          <w:rFonts w:ascii="Times New Roman" w:hAnsi="Times New Roman" w:cs="Times New Roman"/>
          <w:color w:val="000000"/>
        </w:rPr>
        <w:t xml:space="preserve"> 1-</w:t>
      </w:r>
      <w:r w:rsidR="00F3142A">
        <w:rPr>
          <w:rFonts w:ascii="Times New Roman" w:hAnsi="Times New Roman" w:cs="Times New Roman"/>
          <w:color w:val="000000"/>
        </w:rPr>
        <w:t>6,</w:t>
      </w:r>
      <w:r>
        <w:rPr>
          <w:rFonts w:ascii="Times New Roman" w:hAnsi="Times New Roman" w:cs="Times New Roman"/>
          <w:color w:val="000000"/>
        </w:rPr>
        <w:t xml:space="preserve"> </w:t>
      </w:r>
      <w:r w:rsidR="00A25AD9">
        <w:rPr>
          <w:rFonts w:ascii="Times New Roman" w:hAnsi="Times New Roman" w:cs="Times New Roman"/>
          <w:color w:val="000000"/>
        </w:rPr>
        <w:t xml:space="preserve">8, </w:t>
      </w:r>
      <w:r>
        <w:rPr>
          <w:rFonts w:ascii="Times New Roman" w:hAnsi="Times New Roman" w:cs="Times New Roman"/>
          <w:color w:val="000000"/>
        </w:rPr>
        <w:t>9</w:t>
      </w:r>
      <w:r w:rsidR="00A25AD9">
        <w:rPr>
          <w:rFonts w:ascii="Times New Roman" w:hAnsi="Times New Roman" w:cs="Times New Roman"/>
          <w:color w:val="000000"/>
        </w:rPr>
        <w:t>)</w:t>
      </w:r>
    </w:p>
    <w:p w:rsidR="00B86A87" w:rsidRPr="009F5FE8" w:rsidRDefault="001C1687" w:rsidP="00B86A87">
      <w:pPr>
        <w:pStyle w:val="Style"/>
        <w:numPr>
          <w:ilvl w:val="0"/>
          <w:numId w:val="33"/>
        </w:numPr>
        <w:spacing w:before="28"/>
        <w:ind w:right="968"/>
        <w:rPr>
          <w:rFonts w:ascii="Times New Roman" w:hAnsi="Times New Roman" w:cs="Times New Roman"/>
          <w:color w:val="000000"/>
        </w:rPr>
      </w:pPr>
      <w:r>
        <w:rPr>
          <w:rFonts w:ascii="Times New Roman" w:hAnsi="Times New Roman" w:cs="Times New Roman"/>
          <w:color w:val="000000"/>
        </w:rPr>
        <w:t xml:space="preserve">What are </w:t>
      </w:r>
      <w:r w:rsidRPr="009F5FE8">
        <w:rPr>
          <w:rFonts w:ascii="Times New Roman" w:hAnsi="Times New Roman" w:cs="Times New Roman"/>
          <w:color w:val="000000"/>
        </w:rPr>
        <w:t>primary care physicians</w:t>
      </w:r>
      <w:r>
        <w:rPr>
          <w:rFonts w:ascii="Times New Roman" w:hAnsi="Times New Roman" w:cs="Times New Roman"/>
          <w:color w:val="000000"/>
        </w:rPr>
        <w:t xml:space="preserve">’ </w:t>
      </w:r>
      <w:r w:rsidR="008F2621">
        <w:rPr>
          <w:rFonts w:ascii="Times New Roman" w:hAnsi="Times New Roman" w:cs="Times New Roman"/>
          <w:color w:val="000000"/>
        </w:rPr>
        <w:t xml:space="preserve">attitudes and </w:t>
      </w:r>
      <w:r>
        <w:rPr>
          <w:rFonts w:ascii="Times New Roman" w:hAnsi="Times New Roman" w:cs="Times New Roman"/>
          <w:color w:val="000000"/>
        </w:rPr>
        <w:t>perceptions about their role in oral health?</w:t>
      </w:r>
      <w:r w:rsidR="00A9144F">
        <w:rPr>
          <w:rFonts w:ascii="Times New Roman" w:hAnsi="Times New Roman" w:cs="Times New Roman"/>
          <w:color w:val="000000"/>
        </w:rPr>
        <w:t xml:space="preserve"> (</w:t>
      </w:r>
      <w:r w:rsidR="00D61B99">
        <w:rPr>
          <w:rFonts w:ascii="Times New Roman" w:hAnsi="Times New Roman" w:cs="Times New Roman"/>
          <w:color w:val="000000"/>
        </w:rPr>
        <w:t>Survey q</w:t>
      </w:r>
      <w:r w:rsidR="00A9144F">
        <w:rPr>
          <w:rFonts w:ascii="Times New Roman" w:hAnsi="Times New Roman" w:cs="Times New Roman"/>
          <w:color w:val="000000"/>
        </w:rPr>
        <w:t xml:space="preserve">uestions: 7, </w:t>
      </w:r>
      <w:r w:rsidR="004873C3">
        <w:rPr>
          <w:rFonts w:ascii="Times New Roman" w:hAnsi="Times New Roman" w:cs="Times New Roman"/>
          <w:color w:val="000000"/>
        </w:rPr>
        <w:t>10, 11,</w:t>
      </w:r>
      <w:r w:rsidR="00565A13">
        <w:rPr>
          <w:rFonts w:ascii="Times New Roman" w:hAnsi="Times New Roman" w:cs="Times New Roman"/>
          <w:color w:val="000000"/>
        </w:rPr>
        <w:t xml:space="preserve"> </w:t>
      </w:r>
      <w:r w:rsidR="0055088C">
        <w:rPr>
          <w:rFonts w:ascii="Times New Roman" w:hAnsi="Times New Roman" w:cs="Times New Roman"/>
          <w:color w:val="000000"/>
        </w:rPr>
        <w:t>12,</w:t>
      </w:r>
      <w:r w:rsidR="00565A13">
        <w:rPr>
          <w:rFonts w:ascii="Times New Roman" w:hAnsi="Times New Roman" w:cs="Times New Roman"/>
          <w:color w:val="000000"/>
        </w:rPr>
        <w:t xml:space="preserve"> </w:t>
      </w:r>
      <w:r w:rsidR="00A25AD9">
        <w:rPr>
          <w:rFonts w:ascii="Times New Roman" w:hAnsi="Times New Roman" w:cs="Times New Roman"/>
          <w:color w:val="000000"/>
        </w:rPr>
        <w:t>16, 2</w:t>
      </w:r>
      <w:r w:rsidR="008F2621">
        <w:rPr>
          <w:rFonts w:ascii="Times New Roman" w:hAnsi="Times New Roman" w:cs="Times New Roman"/>
          <w:color w:val="000000"/>
        </w:rPr>
        <w:t>5</w:t>
      </w:r>
      <w:r w:rsidR="00406FC4">
        <w:rPr>
          <w:rFonts w:ascii="Times New Roman" w:hAnsi="Times New Roman" w:cs="Times New Roman"/>
          <w:color w:val="000000"/>
        </w:rPr>
        <w:t>)</w:t>
      </w:r>
    </w:p>
    <w:p w:rsidR="00B86A87" w:rsidRPr="009F5FE8" w:rsidRDefault="00B86A87" w:rsidP="00B86A87">
      <w:pPr>
        <w:pStyle w:val="ListParagraph"/>
        <w:numPr>
          <w:ilvl w:val="0"/>
          <w:numId w:val="33"/>
        </w:numPr>
        <w:spacing w:after="0" w:line="240" w:lineRule="auto"/>
        <w:contextualSpacing w:val="0"/>
        <w:rPr>
          <w:color w:val="1F497D"/>
        </w:rPr>
      </w:pPr>
      <w:r w:rsidRPr="009F5FE8">
        <w:t xml:space="preserve">Do primary care physicians </w:t>
      </w:r>
      <w:r w:rsidR="001C1687">
        <w:t>conduct oral exams, and if so, what do they look at</w:t>
      </w:r>
      <w:r w:rsidRPr="009F5FE8">
        <w:t>?</w:t>
      </w:r>
      <w:r w:rsidR="00A9144F">
        <w:t xml:space="preserve"> </w:t>
      </w:r>
      <w:r w:rsidR="00A25AD9">
        <w:t>(</w:t>
      </w:r>
      <w:r w:rsidR="00D61B99">
        <w:t>Survey q</w:t>
      </w:r>
      <w:r w:rsidR="00A9144F">
        <w:t xml:space="preserve">uestions: </w:t>
      </w:r>
      <w:r w:rsidR="00A25AD9">
        <w:t>13</w:t>
      </w:r>
      <w:r w:rsidR="00565A13">
        <w:t>-</w:t>
      </w:r>
      <w:r w:rsidR="00A25AD9">
        <w:t>15</w:t>
      </w:r>
      <w:r w:rsidR="006A0CEC">
        <w:t>)</w:t>
      </w:r>
    </w:p>
    <w:p w:rsidR="00B86A87" w:rsidRPr="009F5FE8" w:rsidRDefault="00B86A87" w:rsidP="00B86A87">
      <w:pPr>
        <w:pStyle w:val="Style"/>
        <w:numPr>
          <w:ilvl w:val="0"/>
          <w:numId w:val="33"/>
        </w:numPr>
        <w:spacing w:before="28"/>
        <w:ind w:right="968"/>
        <w:rPr>
          <w:rFonts w:ascii="Times New Roman" w:hAnsi="Times New Roman" w:cs="Times New Roman"/>
          <w:color w:val="000000"/>
        </w:rPr>
      </w:pPr>
      <w:r w:rsidRPr="009F5FE8">
        <w:rPr>
          <w:rFonts w:ascii="Times New Roman" w:hAnsi="Times New Roman" w:cs="Times New Roman"/>
        </w:rPr>
        <w:t xml:space="preserve">What advice do primary care physicians provide to patients about oral health? </w:t>
      </w:r>
      <w:r w:rsidR="00A25AD9">
        <w:rPr>
          <w:rFonts w:ascii="Times New Roman" w:hAnsi="Times New Roman" w:cs="Times New Roman"/>
        </w:rPr>
        <w:t>(</w:t>
      </w:r>
      <w:r w:rsidR="00D61B99">
        <w:rPr>
          <w:rFonts w:ascii="Times New Roman" w:hAnsi="Times New Roman" w:cs="Times New Roman"/>
        </w:rPr>
        <w:t>Survey q</w:t>
      </w:r>
      <w:r w:rsidR="00A25AD9">
        <w:rPr>
          <w:rFonts w:ascii="Times New Roman" w:hAnsi="Times New Roman" w:cs="Times New Roman"/>
        </w:rPr>
        <w:t>uestions</w:t>
      </w:r>
      <w:r w:rsidR="00A57439">
        <w:rPr>
          <w:rFonts w:ascii="Times New Roman" w:hAnsi="Times New Roman" w:cs="Times New Roman"/>
        </w:rPr>
        <w:t>:</w:t>
      </w:r>
      <w:r w:rsidR="00A25AD9">
        <w:rPr>
          <w:rFonts w:ascii="Times New Roman" w:hAnsi="Times New Roman" w:cs="Times New Roman"/>
        </w:rPr>
        <w:t xml:space="preserve"> 17</w:t>
      </w:r>
      <w:r w:rsidR="00565A13">
        <w:rPr>
          <w:rFonts w:ascii="Times New Roman" w:hAnsi="Times New Roman" w:cs="Times New Roman"/>
        </w:rPr>
        <w:t>-</w:t>
      </w:r>
      <w:r w:rsidR="00A25AD9">
        <w:rPr>
          <w:rFonts w:ascii="Times New Roman" w:hAnsi="Times New Roman" w:cs="Times New Roman"/>
        </w:rPr>
        <w:t xml:space="preserve"> 19)</w:t>
      </w:r>
    </w:p>
    <w:p w:rsidR="00B86A87" w:rsidRPr="009F5FE8" w:rsidRDefault="00B86A87" w:rsidP="00B86A87">
      <w:pPr>
        <w:pStyle w:val="Style"/>
        <w:numPr>
          <w:ilvl w:val="0"/>
          <w:numId w:val="33"/>
        </w:numPr>
        <w:spacing w:before="28"/>
        <w:ind w:right="968"/>
        <w:rPr>
          <w:rFonts w:ascii="Times New Roman" w:hAnsi="Times New Roman" w:cs="Times New Roman"/>
          <w:color w:val="000000"/>
        </w:rPr>
      </w:pPr>
      <w:r w:rsidRPr="009F5FE8">
        <w:rPr>
          <w:rFonts w:ascii="Times New Roman" w:hAnsi="Times New Roman" w:cs="Times New Roman"/>
        </w:rPr>
        <w:t xml:space="preserve">What oral health referrals do primary care physicians make? </w:t>
      </w:r>
      <w:r w:rsidR="00A25AD9">
        <w:rPr>
          <w:rFonts w:ascii="Times New Roman" w:hAnsi="Times New Roman" w:cs="Times New Roman"/>
        </w:rPr>
        <w:t>(</w:t>
      </w:r>
      <w:r w:rsidR="00D61B99">
        <w:rPr>
          <w:rFonts w:ascii="Times New Roman" w:hAnsi="Times New Roman" w:cs="Times New Roman"/>
        </w:rPr>
        <w:t>Survey q</w:t>
      </w:r>
      <w:r w:rsidR="00A25AD9">
        <w:rPr>
          <w:rFonts w:ascii="Times New Roman" w:hAnsi="Times New Roman" w:cs="Times New Roman"/>
        </w:rPr>
        <w:t>uestions: 20</w:t>
      </w:r>
      <w:r w:rsidR="00F57364">
        <w:rPr>
          <w:rFonts w:ascii="Times New Roman" w:hAnsi="Times New Roman" w:cs="Times New Roman"/>
        </w:rPr>
        <w:t>-</w:t>
      </w:r>
      <w:r w:rsidR="00A25AD9">
        <w:rPr>
          <w:rFonts w:ascii="Times New Roman" w:hAnsi="Times New Roman" w:cs="Times New Roman"/>
        </w:rPr>
        <w:t xml:space="preserve"> 21)</w:t>
      </w:r>
    </w:p>
    <w:p w:rsidR="00B86A87" w:rsidRPr="009F5FE8" w:rsidRDefault="00B86A87" w:rsidP="00B86A87">
      <w:pPr>
        <w:pStyle w:val="Style"/>
        <w:numPr>
          <w:ilvl w:val="0"/>
          <w:numId w:val="33"/>
        </w:numPr>
        <w:spacing w:before="28"/>
        <w:ind w:right="968"/>
        <w:rPr>
          <w:rFonts w:ascii="Times New Roman" w:hAnsi="Times New Roman" w:cs="Times New Roman"/>
          <w:color w:val="000000"/>
        </w:rPr>
      </w:pPr>
      <w:r w:rsidRPr="009F5FE8">
        <w:rPr>
          <w:rFonts w:ascii="Times New Roman" w:hAnsi="Times New Roman" w:cs="Times New Roman"/>
        </w:rPr>
        <w:t xml:space="preserve">Do they collaborate with oral health providers? </w:t>
      </w:r>
      <w:r w:rsidR="00A25AD9">
        <w:rPr>
          <w:rFonts w:ascii="Times New Roman" w:hAnsi="Times New Roman" w:cs="Times New Roman"/>
        </w:rPr>
        <w:t>(</w:t>
      </w:r>
      <w:r w:rsidR="00D61B99">
        <w:rPr>
          <w:rFonts w:ascii="Times New Roman" w:hAnsi="Times New Roman" w:cs="Times New Roman"/>
        </w:rPr>
        <w:t>Survey q</w:t>
      </w:r>
      <w:r w:rsidR="00A25AD9">
        <w:rPr>
          <w:rFonts w:ascii="Times New Roman" w:hAnsi="Times New Roman" w:cs="Times New Roman"/>
        </w:rPr>
        <w:t>uestions: 23</w:t>
      </w:r>
      <w:r w:rsidR="00F57364">
        <w:rPr>
          <w:rFonts w:ascii="Times New Roman" w:hAnsi="Times New Roman" w:cs="Times New Roman"/>
        </w:rPr>
        <w:t>-</w:t>
      </w:r>
      <w:r w:rsidR="00A25AD9">
        <w:rPr>
          <w:rFonts w:ascii="Times New Roman" w:hAnsi="Times New Roman" w:cs="Times New Roman"/>
        </w:rPr>
        <w:t xml:space="preserve"> 24)</w:t>
      </w:r>
    </w:p>
    <w:p w:rsidR="00B86A87" w:rsidRPr="009F5FE8" w:rsidRDefault="00B86A87" w:rsidP="00B86A87">
      <w:pPr>
        <w:pStyle w:val="Style"/>
        <w:numPr>
          <w:ilvl w:val="0"/>
          <w:numId w:val="33"/>
        </w:numPr>
        <w:spacing w:before="28"/>
        <w:ind w:right="968"/>
        <w:rPr>
          <w:rFonts w:ascii="Times New Roman" w:hAnsi="Times New Roman" w:cs="Times New Roman"/>
          <w:color w:val="000000"/>
        </w:rPr>
      </w:pPr>
      <w:r w:rsidRPr="009F5FE8">
        <w:rPr>
          <w:rFonts w:ascii="Times New Roman" w:hAnsi="Times New Roman" w:cs="Times New Roman"/>
        </w:rPr>
        <w:t xml:space="preserve">What are the barriers to primary care physicians </w:t>
      </w:r>
      <w:r w:rsidR="001C1687">
        <w:rPr>
          <w:rFonts w:ascii="Times New Roman" w:hAnsi="Times New Roman" w:cs="Times New Roman"/>
        </w:rPr>
        <w:t>in addressing oral health</w:t>
      </w:r>
      <w:r w:rsidRPr="009F5FE8">
        <w:rPr>
          <w:rFonts w:ascii="Times New Roman" w:hAnsi="Times New Roman" w:cs="Times New Roman"/>
        </w:rPr>
        <w:t>?</w:t>
      </w:r>
      <w:r w:rsidR="00A25AD9">
        <w:rPr>
          <w:rFonts w:ascii="Times New Roman" w:hAnsi="Times New Roman" w:cs="Times New Roman"/>
        </w:rPr>
        <w:t xml:space="preserve"> (</w:t>
      </w:r>
      <w:r w:rsidR="00D61B99">
        <w:rPr>
          <w:rFonts w:ascii="Times New Roman" w:hAnsi="Times New Roman" w:cs="Times New Roman"/>
        </w:rPr>
        <w:t>Survey q</w:t>
      </w:r>
      <w:r w:rsidR="00A25AD9">
        <w:rPr>
          <w:rFonts w:ascii="Times New Roman" w:hAnsi="Times New Roman" w:cs="Times New Roman"/>
        </w:rPr>
        <w:t>uestions: 16, 22)</w:t>
      </w:r>
    </w:p>
    <w:p w:rsidR="00B86A87" w:rsidRPr="009F5FE8" w:rsidRDefault="00B86A87" w:rsidP="00B86A87">
      <w:pPr>
        <w:pStyle w:val="Style"/>
        <w:numPr>
          <w:ilvl w:val="0"/>
          <w:numId w:val="33"/>
        </w:numPr>
        <w:spacing w:before="28"/>
        <w:ind w:right="968"/>
        <w:rPr>
          <w:rFonts w:ascii="Times New Roman" w:hAnsi="Times New Roman" w:cs="Times New Roman"/>
          <w:color w:val="000000"/>
        </w:rPr>
      </w:pPr>
      <w:r w:rsidRPr="009F5FE8">
        <w:rPr>
          <w:rFonts w:ascii="Times New Roman" w:hAnsi="Times New Roman" w:cs="Times New Roman"/>
        </w:rPr>
        <w:t xml:space="preserve">What resources would help primary care physicians address oral health?  </w:t>
      </w:r>
      <w:r w:rsidR="00A25AD9">
        <w:rPr>
          <w:rFonts w:ascii="Times New Roman" w:hAnsi="Times New Roman" w:cs="Times New Roman"/>
        </w:rPr>
        <w:t>(</w:t>
      </w:r>
      <w:r w:rsidR="00D61B99">
        <w:rPr>
          <w:rFonts w:ascii="Times New Roman" w:hAnsi="Times New Roman" w:cs="Times New Roman"/>
        </w:rPr>
        <w:t>Survey q</w:t>
      </w:r>
      <w:r w:rsidR="00A25AD9">
        <w:rPr>
          <w:rFonts w:ascii="Times New Roman" w:hAnsi="Times New Roman" w:cs="Times New Roman"/>
        </w:rPr>
        <w:t>uestions: 26, 27)</w:t>
      </w:r>
    </w:p>
    <w:p w:rsidR="00B86A87" w:rsidRPr="005B527E" w:rsidRDefault="00B86A87" w:rsidP="007F5E9B">
      <w:pPr>
        <w:autoSpaceDE w:val="0"/>
        <w:autoSpaceDN w:val="0"/>
        <w:adjustRightInd w:val="0"/>
        <w:spacing w:after="0"/>
        <w:rPr>
          <w:color w:val="000000"/>
        </w:rPr>
      </w:pPr>
    </w:p>
    <w:p w:rsidR="00185C8F" w:rsidRPr="005B527E" w:rsidRDefault="00185C8F" w:rsidP="00854F90">
      <w:pPr>
        <w:pStyle w:val="ListParagraph"/>
        <w:ind w:left="0" w:right="-720"/>
        <w:rPr>
          <w:u w:val="single"/>
        </w:rPr>
      </w:pPr>
    </w:p>
    <w:p w:rsidR="00854F90" w:rsidRPr="005B527E" w:rsidRDefault="00854F90" w:rsidP="00854F90">
      <w:pPr>
        <w:pStyle w:val="ListParagraph"/>
        <w:ind w:left="0" w:right="-720"/>
        <w:rPr>
          <w:u w:val="single"/>
        </w:rPr>
      </w:pPr>
      <w:r w:rsidRPr="005B527E">
        <w:rPr>
          <w:u w:val="single"/>
        </w:rPr>
        <w:t>Authorization:</w:t>
      </w:r>
    </w:p>
    <w:p w:rsidR="00854F90" w:rsidRPr="005B527E" w:rsidRDefault="00854F90" w:rsidP="00675E1C">
      <w:r w:rsidRPr="005B527E">
        <w:t xml:space="preserve">Section 301 of the Public Health Services Act (42 U.S.C. 241) authorizes the collection of this data.  Please see </w:t>
      </w:r>
      <w:r w:rsidR="008C491E" w:rsidRPr="005B527E">
        <w:rPr>
          <w:b/>
        </w:rPr>
        <w:t>Attachment</w:t>
      </w:r>
      <w:r w:rsidR="008C491E" w:rsidRPr="005B527E">
        <w:rPr>
          <w:b/>
          <w:color w:val="0000FF"/>
        </w:rPr>
        <w:t xml:space="preserve"> </w:t>
      </w:r>
      <w:r w:rsidR="008C491E" w:rsidRPr="005B527E">
        <w:rPr>
          <w:b/>
        </w:rPr>
        <w:t>1</w:t>
      </w:r>
      <w:r w:rsidRPr="005B527E">
        <w:t xml:space="preserve"> for a copy of this legislation.</w:t>
      </w:r>
    </w:p>
    <w:p w:rsidR="00854F90" w:rsidRPr="005B527E" w:rsidRDefault="004A7EF3" w:rsidP="00675E1C">
      <w:r>
        <w:rPr>
          <w:color w:val="000000"/>
        </w:rPr>
        <w:t>The survey</w:t>
      </w:r>
      <w:r w:rsidR="00643EEB">
        <w:rPr>
          <w:color w:val="000000"/>
        </w:rPr>
        <w:t xml:space="preserve"> of Primary Care Physicians on O</w:t>
      </w:r>
      <w:r w:rsidR="00D25263">
        <w:rPr>
          <w:color w:val="000000"/>
        </w:rPr>
        <w:t>ral Health</w:t>
      </w:r>
      <w:r w:rsidR="00D25263" w:rsidRPr="005B527E">
        <w:rPr>
          <w:color w:val="000000"/>
        </w:rPr>
        <w:t xml:space="preserve"> </w:t>
      </w:r>
      <w:r w:rsidR="00D5259E" w:rsidRPr="005B527E">
        <w:t>will be</w:t>
      </w:r>
      <w:r w:rsidR="001765CA" w:rsidRPr="005B527E">
        <w:t xml:space="preserve"> a </w:t>
      </w:r>
      <w:r w:rsidR="005E6A41">
        <w:t xml:space="preserve">one-time </w:t>
      </w:r>
      <w:r w:rsidR="001765CA" w:rsidRPr="005B527E">
        <w:t>mail</w:t>
      </w:r>
      <w:r w:rsidR="00854F90" w:rsidRPr="005B527E">
        <w:t xml:space="preserve"> survey of a national sample of physician</w:t>
      </w:r>
      <w:r w:rsidR="00B92AD2">
        <w:t>s</w:t>
      </w:r>
      <w:r w:rsidR="005E6A41">
        <w:t xml:space="preserve"> drawn from </w:t>
      </w:r>
      <w:r w:rsidR="00381175">
        <w:t>databases maintained within the National Plan and Provider Enumeration System (NPPES that contain the National Provider Identifier (NPI) records</w:t>
      </w:r>
      <w:r w:rsidR="00643EEB">
        <w:t>)</w:t>
      </w:r>
      <w:r w:rsidR="00381175">
        <w:t xml:space="preserve">. </w:t>
      </w:r>
      <w:r w:rsidR="005E6A41">
        <w:t xml:space="preserve"> </w:t>
      </w:r>
      <w:r w:rsidR="00B92AD2">
        <w:t xml:space="preserve">Physicians </w:t>
      </w:r>
      <w:r w:rsidR="00D5259E" w:rsidRPr="005B527E">
        <w:t>will be</w:t>
      </w:r>
      <w:r w:rsidR="00854F90" w:rsidRPr="005B527E">
        <w:t xml:space="preserve"> </w:t>
      </w:r>
      <w:r w:rsidR="00E01137" w:rsidRPr="005B527E">
        <w:t xml:space="preserve">screened </w:t>
      </w:r>
      <w:r w:rsidR="00854F90" w:rsidRPr="005B527E">
        <w:t xml:space="preserve">by telephone to confirm </w:t>
      </w:r>
      <w:r w:rsidR="00263246">
        <w:t>their</w:t>
      </w:r>
      <w:r w:rsidR="00B92AD2">
        <w:t xml:space="preserve"> </w:t>
      </w:r>
      <w:r w:rsidR="00854F90" w:rsidRPr="005B527E">
        <w:t xml:space="preserve">eligibility, and correct contact information.  </w:t>
      </w:r>
      <w:r w:rsidR="00B92AD2">
        <w:t>Eligible physicians</w:t>
      </w:r>
      <w:r w:rsidR="00854F90" w:rsidRPr="005B527E">
        <w:t xml:space="preserve"> </w:t>
      </w:r>
      <w:r w:rsidR="005327F8" w:rsidRPr="005B527E">
        <w:t>will receive</w:t>
      </w:r>
      <w:r w:rsidR="00854F90" w:rsidRPr="005B527E">
        <w:t xml:space="preserve"> a</w:t>
      </w:r>
      <w:r w:rsidR="001765CA" w:rsidRPr="005B527E">
        <w:t xml:space="preserve"> survey package via USPS. Physicians who do not respond to this voluntary survey within 13 days of the first mailing will be sent a second survey package. </w:t>
      </w:r>
      <w:r w:rsidR="00D25263">
        <w:t xml:space="preserve">The survey will be conducted by Westat under contract with OWH.  </w:t>
      </w:r>
      <w:r w:rsidR="001765CA" w:rsidRPr="005B527E">
        <w:t>Westat interviewers will make follow</w:t>
      </w:r>
      <w:r w:rsidR="00D25263">
        <w:t>-</w:t>
      </w:r>
      <w:r w:rsidR="001765CA" w:rsidRPr="005B527E">
        <w:t xml:space="preserve">up calls to non-responding physician offices to verify receipt of the survey package. </w:t>
      </w:r>
      <w:r w:rsidR="00B92AD2">
        <w:t>Six to eight</w:t>
      </w:r>
      <w:r w:rsidR="001765CA" w:rsidRPr="005B527E">
        <w:t xml:space="preserve"> weeks after the end of follow</w:t>
      </w:r>
      <w:r w:rsidR="00D25263">
        <w:t>-</w:t>
      </w:r>
      <w:r w:rsidR="001765CA" w:rsidRPr="005B527E">
        <w:t xml:space="preserve">up calls, a third survey package will be sent to physicians who have not yet responded before following up with one more phone </w:t>
      </w:r>
      <w:r w:rsidR="00643EEB">
        <w:t>call</w:t>
      </w:r>
      <w:r w:rsidR="001765CA" w:rsidRPr="005B527E">
        <w:t xml:space="preserve">. </w:t>
      </w:r>
      <w:r w:rsidR="002277BB" w:rsidRPr="005B527E">
        <w:t xml:space="preserve">Respondent contact and eligibility information and survey completion status will be tracked by a </w:t>
      </w:r>
      <w:r w:rsidR="00854F90" w:rsidRPr="005B527E">
        <w:t>Study Management System</w:t>
      </w:r>
      <w:r w:rsidR="002277BB" w:rsidRPr="005B527E">
        <w:t xml:space="preserve"> developed by Westat</w:t>
      </w:r>
      <w:r w:rsidR="00854F90" w:rsidRPr="005B527E">
        <w:t>.  Individual identifying information is stripped from the response dat</w:t>
      </w:r>
      <w:r w:rsidR="001765CA" w:rsidRPr="005B527E">
        <w:t>a prior to delivery to OWH</w:t>
      </w:r>
      <w:r w:rsidR="00854F90" w:rsidRPr="005B527E">
        <w:t>.</w:t>
      </w:r>
    </w:p>
    <w:p w:rsidR="00F748D5" w:rsidRPr="005B527E" w:rsidRDefault="00F748D5" w:rsidP="00854F90"/>
    <w:p w:rsidR="00E60532" w:rsidRPr="004E0F23" w:rsidRDefault="007850ED" w:rsidP="004E0F23">
      <w:pPr>
        <w:pStyle w:val="ListParagraph"/>
        <w:numPr>
          <w:ilvl w:val="0"/>
          <w:numId w:val="2"/>
        </w:numPr>
        <w:rPr>
          <w:b/>
          <w:u w:val="single"/>
        </w:rPr>
      </w:pPr>
      <w:r w:rsidRPr="005B527E">
        <w:rPr>
          <w:b/>
        </w:rPr>
        <w:t>Purpose and Use of Information Collection</w:t>
      </w:r>
    </w:p>
    <w:p w:rsidR="00E60532" w:rsidRPr="002047BF" w:rsidRDefault="0072516C" w:rsidP="002047BF">
      <w:pPr>
        <w:tabs>
          <w:tab w:val="left" w:pos="360"/>
        </w:tabs>
        <w:rPr>
          <w:szCs w:val="22"/>
        </w:rPr>
      </w:pPr>
      <w:r>
        <w:t>This survey will</w:t>
      </w:r>
      <w:r w:rsidRPr="005B527E">
        <w:t xml:space="preserve"> provide knowle</w:t>
      </w:r>
      <w:r w:rsidR="001C6A3B">
        <w:t>dge about primary care physicians</w:t>
      </w:r>
      <w:r w:rsidRPr="005B527E">
        <w:t xml:space="preserve"> that </w:t>
      </w:r>
      <w:r w:rsidR="005F0CF7">
        <w:t>could be used by HHS or other entities to inform initiatives designed to</w:t>
      </w:r>
      <w:r w:rsidRPr="005B527E">
        <w:t xml:space="preserve"> improve the quality of care delivered to </w:t>
      </w:r>
      <w:r w:rsidR="00992951">
        <w:t xml:space="preserve">adult </w:t>
      </w:r>
      <w:r w:rsidRPr="005B527E">
        <w:t>patients and increase collaborative efforts among dentists and physicians</w:t>
      </w:r>
      <w:r>
        <w:t xml:space="preserve">.  </w:t>
      </w:r>
      <w:r w:rsidRPr="005B527E">
        <w:t>Published manuscripts will add depth to the peer-reviewed scientific literature with regard to the extent that the evidence base has been adopted into practice.</w:t>
      </w:r>
      <w:r w:rsidR="00F651D1">
        <w:t xml:space="preserve"> </w:t>
      </w:r>
      <w:r w:rsidRPr="005B527E">
        <w:t xml:space="preserve"> </w:t>
      </w:r>
      <w:r w:rsidR="00F651D1" w:rsidRPr="00E03DB1">
        <w:rPr>
          <w:szCs w:val="22"/>
        </w:rPr>
        <w:t>If there is a need to educate primary care physicians on oral health, a window of opportunity currently exists under the HHS O</w:t>
      </w:r>
      <w:r w:rsidR="00F651D1">
        <w:rPr>
          <w:szCs w:val="22"/>
        </w:rPr>
        <w:t xml:space="preserve">ral </w:t>
      </w:r>
      <w:r w:rsidR="00F651D1" w:rsidRPr="00E03DB1">
        <w:rPr>
          <w:szCs w:val="22"/>
        </w:rPr>
        <w:t>H</w:t>
      </w:r>
      <w:r w:rsidR="00F651D1">
        <w:rPr>
          <w:szCs w:val="22"/>
        </w:rPr>
        <w:t xml:space="preserve">ealth </w:t>
      </w:r>
      <w:r w:rsidR="00DE5F06" w:rsidRPr="00E03DB1">
        <w:rPr>
          <w:szCs w:val="22"/>
        </w:rPr>
        <w:t>I</w:t>
      </w:r>
      <w:r w:rsidR="00DE5F06">
        <w:rPr>
          <w:szCs w:val="22"/>
        </w:rPr>
        <w:t>nitiative</w:t>
      </w:r>
      <w:r w:rsidR="00F651D1" w:rsidRPr="00E03DB1">
        <w:rPr>
          <w:szCs w:val="22"/>
        </w:rPr>
        <w:t xml:space="preserve"> to engage in a cross-collaborative </w:t>
      </w:r>
      <w:r w:rsidR="00F651D1">
        <w:rPr>
          <w:szCs w:val="22"/>
        </w:rPr>
        <w:t xml:space="preserve">federal </w:t>
      </w:r>
      <w:r w:rsidR="00F651D1" w:rsidRPr="00E03DB1">
        <w:rPr>
          <w:szCs w:val="22"/>
        </w:rPr>
        <w:t xml:space="preserve">effort. </w:t>
      </w:r>
    </w:p>
    <w:p w:rsidR="004B20E8" w:rsidRPr="005B527E" w:rsidRDefault="004B20E8" w:rsidP="009650AD">
      <w:pPr>
        <w:pStyle w:val="ListParagraph"/>
        <w:numPr>
          <w:ilvl w:val="0"/>
          <w:numId w:val="2"/>
        </w:numPr>
        <w:rPr>
          <w:b/>
          <w:u w:val="single"/>
        </w:rPr>
      </w:pPr>
      <w:r w:rsidRPr="005B527E">
        <w:rPr>
          <w:b/>
        </w:rPr>
        <w:t>Use of Improved Information Technology and Burden Reduction</w:t>
      </w:r>
    </w:p>
    <w:p w:rsidR="00D3213E" w:rsidRPr="00A43AE0" w:rsidRDefault="00EB2967" w:rsidP="00D3213E">
      <w:pPr>
        <w:rPr>
          <w:bCs/>
        </w:rPr>
      </w:pPr>
      <w:r>
        <w:rPr>
          <w:bCs/>
        </w:rPr>
        <w:t>In a 2008 review paper focused on conducting survey research among physicians and other medical professionals, physicians</w:t>
      </w:r>
      <w:r w:rsidR="00D3213E">
        <w:rPr>
          <w:bCs/>
        </w:rPr>
        <w:t xml:space="preserve"> were found to prefer</w:t>
      </w:r>
      <w:r>
        <w:rPr>
          <w:bCs/>
        </w:rPr>
        <w:t xml:space="preserve"> mail surveys to other modes.</w:t>
      </w:r>
      <w:r w:rsidR="008D40A6">
        <w:rPr>
          <w:rStyle w:val="FootnoteReference"/>
          <w:bCs/>
        </w:rPr>
        <w:footnoteReference w:id="3"/>
      </w:r>
      <w:r w:rsidR="00D3213E">
        <w:rPr>
          <w:bCs/>
        </w:rPr>
        <w:t xml:space="preserve"> </w:t>
      </w:r>
      <w:r w:rsidR="00D3213E" w:rsidRPr="00D3213E">
        <w:rPr>
          <w:bCs/>
        </w:rPr>
        <w:t>The literature identifies a number of barriers to good response rates</w:t>
      </w:r>
      <w:r w:rsidR="00D3213E">
        <w:rPr>
          <w:bCs/>
        </w:rPr>
        <w:t xml:space="preserve"> regarding web surveys</w:t>
      </w:r>
      <w:r w:rsidR="00D3213E" w:rsidRPr="00D3213E">
        <w:rPr>
          <w:bCs/>
        </w:rPr>
        <w:t>, including</w:t>
      </w:r>
      <w:r w:rsidR="00A43AE0">
        <w:rPr>
          <w:bCs/>
        </w:rPr>
        <w:t>:</w:t>
      </w:r>
      <w:r w:rsidR="00D3213E" w:rsidRPr="00D3213E">
        <w:rPr>
          <w:bCs/>
        </w:rPr>
        <w:t xml:space="preserve"> an inability to provide active notification and email reminders by a key senior person (such as the Chief Resident) in order to respond</w:t>
      </w:r>
      <w:r w:rsidR="00E77A9E" w:rsidRPr="00D3213E">
        <w:rPr>
          <w:bCs/>
        </w:rPr>
        <w:t xml:space="preserve">; </w:t>
      </w:r>
      <w:r w:rsidR="00A43AE0">
        <w:rPr>
          <w:rStyle w:val="FootnoteReference"/>
          <w:bCs/>
        </w:rPr>
        <w:footnoteReference w:id="4"/>
      </w:r>
      <w:r w:rsidR="00A43AE0">
        <w:rPr>
          <w:bCs/>
          <w:vertAlign w:val="superscript"/>
        </w:rPr>
        <w:t>-</w:t>
      </w:r>
      <w:r w:rsidR="00A43AE0">
        <w:rPr>
          <w:rStyle w:val="FootnoteReference"/>
          <w:bCs/>
        </w:rPr>
        <w:footnoteReference w:id="5"/>
      </w:r>
      <w:r w:rsidR="00D3213E" w:rsidRPr="00D3213E">
        <w:rPr>
          <w:bCs/>
        </w:rPr>
        <w:t xml:space="preserve"> infrequent acce</w:t>
      </w:r>
      <w:r w:rsidR="00D3213E">
        <w:rPr>
          <w:bCs/>
        </w:rPr>
        <w:t>ss to office Internet accounts</w:t>
      </w:r>
      <w:r w:rsidR="00D3213E" w:rsidRPr="00D3213E">
        <w:rPr>
          <w:bCs/>
        </w:rPr>
        <w:t>; the expressed feeling that web surveys need to be short;</w:t>
      </w:r>
      <w:r w:rsidR="00A43AE0">
        <w:rPr>
          <w:bCs/>
          <w:vertAlign w:val="superscript"/>
        </w:rPr>
        <w:t>3</w:t>
      </w:r>
      <w:r w:rsidR="00D3213E" w:rsidRPr="00D3213E">
        <w:rPr>
          <w:bCs/>
        </w:rPr>
        <w:t xml:space="preserve"> and limited use of computers in the office (around 50% for PCPs and specialists combined).</w:t>
      </w:r>
      <w:r w:rsidR="00D3213E">
        <w:rPr>
          <w:bCs/>
          <w:vertAlign w:val="superscript"/>
        </w:rPr>
        <w:t xml:space="preserve"> </w:t>
      </w:r>
    </w:p>
    <w:p w:rsidR="00D3213E" w:rsidRDefault="00D3213E" w:rsidP="00EB2967">
      <w:r>
        <w:rPr>
          <w:bCs/>
        </w:rPr>
        <w:t xml:space="preserve">Considering the published literature on web and email surveys, response rates, physician preference and physician access to information technology during daily work, data will be collected through a pencil and paper survey and </w:t>
      </w:r>
      <w:r w:rsidR="00EB2967" w:rsidRPr="005B527E">
        <w:t xml:space="preserve">distributed to physicians by Priority Mail. </w:t>
      </w:r>
    </w:p>
    <w:p w:rsidR="004E0F23" w:rsidRPr="00E77A9E" w:rsidRDefault="00D3213E" w:rsidP="00E60532">
      <w:pPr>
        <w:rPr>
          <w:bCs/>
        </w:rPr>
      </w:pPr>
      <w:r>
        <w:t>To further reduce respondent burden, prior c</w:t>
      </w:r>
      <w:r w:rsidR="00EB2967">
        <w:t xml:space="preserve">ognitive </w:t>
      </w:r>
      <w:r>
        <w:t xml:space="preserve">testing among </w:t>
      </w:r>
      <w:r w:rsidR="00744103">
        <w:t xml:space="preserve">nine </w:t>
      </w:r>
      <w:r>
        <w:t xml:space="preserve">physicians </w:t>
      </w:r>
      <w:r w:rsidR="00263246">
        <w:t xml:space="preserve">has </w:t>
      </w:r>
      <w:r>
        <w:t>ensure</w:t>
      </w:r>
      <w:r w:rsidR="00263246">
        <w:t>d</w:t>
      </w:r>
      <w:r w:rsidR="00EB2967">
        <w:t xml:space="preserve"> a streamlined questionnaire including an</w:t>
      </w:r>
      <w:r>
        <w:t xml:space="preserve"> easy to read format with skips</w:t>
      </w:r>
      <w:r w:rsidR="00263246">
        <w:t>,</w:t>
      </w:r>
      <w:r w:rsidR="00EB2967">
        <w:t xml:space="preserve"> eliminating a cumbersome design and reducing burden. The use of a short (five minute) telephone screener in addition to several eligibility questions in the beginning of the survey quickly assess if the respondent is not eligible</w:t>
      </w:r>
      <w:r w:rsidR="00263246">
        <w:t xml:space="preserve"> for the study, </w:t>
      </w:r>
      <w:r w:rsidR="00EB2967">
        <w:t>further reduc</w:t>
      </w:r>
      <w:r w:rsidR="00263246">
        <w:t>ing</w:t>
      </w:r>
      <w:r w:rsidR="00EB2967">
        <w:t xml:space="preserve"> burden.</w:t>
      </w:r>
    </w:p>
    <w:p w:rsidR="000B0B3B" w:rsidRPr="005B527E" w:rsidRDefault="000B0B3B" w:rsidP="009650AD">
      <w:pPr>
        <w:pStyle w:val="ListParagraph"/>
        <w:numPr>
          <w:ilvl w:val="0"/>
          <w:numId w:val="2"/>
        </w:numPr>
        <w:rPr>
          <w:b/>
          <w:u w:val="single"/>
        </w:rPr>
      </w:pPr>
      <w:r w:rsidRPr="005B527E">
        <w:rPr>
          <w:b/>
        </w:rPr>
        <w:t>Efforts to Identify Duplication and Use of Similar Information</w:t>
      </w:r>
    </w:p>
    <w:p w:rsidR="00381175" w:rsidRDefault="00381175" w:rsidP="00381175">
      <w:pPr>
        <w:tabs>
          <w:tab w:val="left" w:pos="360"/>
        </w:tabs>
      </w:pPr>
      <w:r w:rsidRPr="005B527E">
        <w:t xml:space="preserve">Extensive literature and </w:t>
      </w:r>
      <w:r>
        <w:t>I</w:t>
      </w:r>
      <w:r w:rsidRPr="005B527E">
        <w:t>nternet searches</w:t>
      </w:r>
      <w:r>
        <w:t>, including searches of federal agency web sites,</w:t>
      </w:r>
      <w:r w:rsidRPr="005B527E">
        <w:t xml:space="preserve"> were conducted by Westat project staff</w:t>
      </w:r>
      <w:r>
        <w:t xml:space="preserve"> </w:t>
      </w:r>
      <w:r w:rsidRPr="005B527E">
        <w:t xml:space="preserve">to assess if information regarding </w:t>
      </w:r>
      <w:r>
        <w:t xml:space="preserve">primary care </w:t>
      </w:r>
      <w:r w:rsidRPr="005B527E">
        <w:t xml:space="preserve">physicians’ </w:t>
      </w:r>
      <w:r w:rsidRPr="00381175">
        <w:rPr>
          <w:color w:val="000000"/>
        </w:rPr>
        <w:t>oral health knowledge, attitudes, and professional experience</w:t>
      </w:r>
      <w:r w:rsidRPr="005B527E">
        <w:t xml:space="preserve"> had been previously collected</w:t>
      </w:r>
      <w:r>
        <w:t>.</w:t>
      </w:r>
      <w:r w:rsidRPr="005B527E">
        <w:t xml:space="preserve">  </w:t>
      </w:r>
      <w:r>
        <w:t>In addition</w:t>
      </w:r>
      <w:r w:rsidRPr="002D6DDF">
        <w:t>,</w:t>
      </w:r>
      <w:r>
        <w:t xml:space="preserve"> </w:t>
      </w:r>
      <w:r w:rsidR="00E77A9E">
        <w:t xml:space="preserve">OWH </w:t>
      </w:r>
      <w:r w:rsidR="00E77A9E" w:rsidRPr="002D6DDF">
        <w:t>project</w:t>
      </w:r>
      <w:r w:rsidRPr="002D6DDF">
        <w:t xml:space="preserve"> staff conferred with colleagues from</w:t>
      </w:r>
      <w:r w:rsidR="00AE40B5">
        <w:t xml:space="preserve"> AHRQ, HRSA, and</w:t>
      </w:r>
      <w:r w:rsidRPr="002D6DDF">
        <w:t xml:space="preserve"> </w:t>
      </w:r>
      <w:r w:rsidRPr="00F651D1">
        <w:t xml:space="preserve">CDC, </w:t>
      </w:r>
      <w:r w:rsidR="00E77A9E" w:rsidRPr="00F651D1">
        <w:t>including the</w:t>
      </w:r>
      <w:r w:rsidRPr="00F651D1">
        <w:t xml:space="preserve"> </w:t>
      </w:r>
      <w:r>
        <w:t>USPHS Chief Dental Officer/</w:t>
      </w:r>
      <w:r w:rsidRPr="006B7715">
        <w:t xml:space="preserve">Chair of </w:t>
      </w:r>
      <w:r w:rsidR="00643EEB">
        <w:t xml:space="preserve">the </w:t>
      </w:r>
      <w:r w:rsidRPr="006B7715">
        <w:t xml:space="preserve">Oral Health Coordinating Committee and the lead for the </w:t>
      </w:r>
      <w:r>
        <w:t>H</w:t>
      </w:r>
      <w:r w:rsidRPr="006B7715">
        <w:t xml:space="preserve">ealthy </w:t>
      </w:r>
      <w:r>
        <w:t>P</w:t>
      </w:r>
      <w:r w:rsidRPr="006B7715">
        <w:t>eople 2020 Oral Health Workgroup,</w:t>
      </w:r>
      <w:r>
        <w:t xml:space="preserve"> as well as</w:t>
      </w:r>
      <w:r w:rsidRPr="006B7715">
        <w:t xml:space="preserve"> </w:t>
      </w:r>
      <w:r w:rsidR="00270614">
        <w:t xml:space="preserve">experts outside government such as, </w:t>
      </w:r>
      <w:r w:rsidRPr="006B7715">
        <w:t xml:space="preserve">a primary care provider at Boston </w:t>
      </w:r>
      <w:r>
        <w:t>M</w:t>
      </w:r>
      <w:r w:rsidRPr="006B7715">
        <w:t xml:space="preserve">edical Center, </w:t>
      </w:r>
      <w:r>
        <w:t xml:space="preserve">a </w:t>
      </w:r>
      <w:r w:rsidRPr="006B7715">
        <w:t xml:space="preserve">professor of </w:t>
      </w:r>
      <w:r w:rsidRPr="00F651D1">
        <w:t>dentistry</w:t>
      </w:r>
      <w:r w:rsidRPr="006B7715">
        <w:t xml:space="preserve"> at the University of Washington, and a researcher in dental public health at the University of North Carolina</w:t>
      </w:r>
      <w:r w:rsidRPr="00F651D1">
        <w:t xml:space="preserve">.  </w:t>
      </w:r>
    </w:p>
    <w:p w:rsidR="004E0F23" w:rsidRPr="002047BF" w:rsidRDefault="00381175" w:rsidP="002047BF">
      <w:pPr>
        <w:tabs>
          <w:tab w:val="left" w:pos="360"/>
        </w:tabs>
        <w:rPr>
          <w:rFonts w:asciiTheme="minorHAnsi" w:hAnsiTheme="minorHAnsi" w:cs="Arial"/>
        </w:rPr>
      </w:pPr>
      <w:r w:rsidRPr="00E03DB1">
        <w:t>A</w:t>
      </w:r>
      <w:r w:rsidRPr="00381175">
        <w:rPr>
          <w:szCs w:val="22"/>
        </w:rPr>
        <w:t xml:space="preserve"> review of the literature and consultations reveal the paucity of information regarding oral health knowledge, attitudes, and practice </w:t>
      </w:r>
      <w:r w:rsidRPr="00A80791">
        <w:rPr>
          <w:szCs w:val="22"/>
        </w:rPr>
        <w:t>of primary care physicians in the</w:t>
      </w:r>
      <w:r w:rsidRPr="00381175">
        <w:rPr>
          <w:szCs w:val="22"/>
        </w:rPr>
        <w:t xml:space="preserve"> United States. </w:t>
      </w:r>
      <w:r w:rsidRPr="005B527E">
        <w:t xml:space="preserve">There are currently no known efforts to collect </w:t>
      </w:r>
      <w:r>
        <w:t xml:space="preserve">generalizable national </w:t>
      </w:r>
      <w:r w:rsidRPr="005B527E">
        <w:t xml:space="preserve">data </w:t>
      </w:r>
      <w:r>
        <w:t>from</w:t>
      </w:r>
      <w:r w:rsidRPr="005B527E">
        <w:t xml:space="preserve"> </w:t>
      </w:r>
      <w:r>
        <w:t xml:space="preserve">primary care </w:t>
      </w:r>
      <w:r w:rsidRPr="005B527E">
        <w:t>physicians</w:t>
      </w:r>
      <w:r>
        <w:t xml:space="preserve"> on these topics regarding the care of adult patients. </w:t>
      </w:r>
      <w:r w:rsidRPr="005B527E">
        <w:t xml:space="preserve"> </w:t>
      </w:r>
      <w:r w:rsidR="004A7EF3">
        <w:t xml:space="preserve">In </w:t>
      </w:r>
      <w:r w:rsidR="004A7EF3">
        <w:rPr>
          <w:b/>
        </w:rPr>
        <w:t>A</w:t>
      </w:r>
      <w:r w:rsidR="004A7EF3" w:rsidRPr="004A7EF3">
        <w:rPr>
          <w:b/>
        </w:rPr>
        <w:t>ttachment 2</w:t>
      </w:r>
      <w:r w:rsidR="004A7EF3">
        <w:t>, w</w:t>
      </w:r>
      <w:r>
        <w:t>e provide</w:t>
      </w:r>
      <w:r w:rsidR="004A7EF3">
        <w:t xml:space="preserve"> a table, summarizing</w:t>
      </w:r>
      <w:r>
        <w:t xml:space="preserve"> info</w:t>
      </w:r>
      <w:r w:rsidR="004A7EF3">
        <w:t>rmation on past surveys</w:t>
      </w:r>
      <w:r>
        <w:t xml:space="preserve"> </w:t>
      </w:r>
      <w:r w:rsidR="004A7EF3">
        <w:t xml:space="preserve">that are </w:t>
      </w:r>
      <w:r>
        <w:t xml:space="preserve">related to these efforts but address only specific diseases or topics, focus on treatment of infants and children, or produce data that are not representative of all U.S. family practice physicians and internists specializing in primary care. </w:t>
      </w:r>
      <w:r w:rsidR="004A7EF3">
        <w:t xml:space="preserve">Please see </w:t>
      </w:r>
      <w:r w:rsidR="004A7EF3">
        <w:rPr>
          <w:b/>
        </w:rPr>
        <w:t>A</w:t>
      </w:r>
      <w:r w:rsidR="004A7EF3" w:rsidRPr="004A7EF3">
        <w:rPr>
          <w:b/>
        </w:rPr>
        <w:t>ttachment 3</w:t>
      </w:r>
      <w:r w:rsidR="004A7EF3">
        <w:t xml:space="preserve"> for </w:t>
      </w:r>
      <w:r>
        <w:t>a reference list of literature and other inf</w:t>
      </w:r>
      <w:r w:rsidR="00A80791">
        <w:t>ormation sources relevant to this</w:t>
      </w:r>
      <w:r>
        <w:t xml:space="preserve"> study.</w:t>
      </w:r>
    </w:p>
    <w:p w:rsidR="00815B3F" w:rsidRPr="005B527E" w:rsidRDefault="00815B3F" w:rsidP="001C2A38">
      <w:pPr>
        <w:pStyle w:val="ListParagraph"/>
        <w:numPr>
          <w:ilvl w:val="0"/>
          <w:numId w:val="2"/>
        </w:numPr>
        <w:rPr>
          <w:b/>
          <w:u w:val="single"/>
        </w:rPr>
      </w:pPr>
      <w:r w:rsidRPr="005B527E">
        <w:rPr>
          <w:b/>
        </w:rPr>
        <w:t>Impact on Small Businesses or Other Small Entities</w:t>
      </w:r>
    </w:p>
    <w:p w:rsidR="00815B3F" w:rsidRPr="005B527E" w:rsidRDefault="008C791F" w:rsidP="000B0B3B">
      <w:r w:rsidRPr="005B527E">
        <w:t>While some physician practices are large and have multip</w:t>
      </w:r>
      <w:r w:rsidR="007663E8">
        <w:t>le sites, some practices may include</w:t>
      </w:r>
      <w:r w:rsidRPr="005B527E">
        <w:t xml:space="preserve"> just a few physicians and thus may be co</w:t>
      </w:r>
      <w:r w:rsidR="00A75C5C" w:rsidRPr="005B527E">
        <w:t>nsidered small entities. The survey</w:t>
      </w:r>
      <w:r w:rsidRPr="005B527E">
        <w:t xml:space="preserve"> instrument has been designed to minimize respondent burden, including an e</w:t>
      </w:r>
      <w:r w:rsidR="00A75C5C" w:rsidRPr="005B527E">
        <w:t>asy-to-read format with</w:t>
      </w:r>
      <w:r w:rsidRPr="005B527E">
        <w:t xml:space="preserve"> skips to eliminate some questions based on previous responses.  T</w:t>
      </w:r>
      <w:r w:rsidR="00A75C5C" w:rsidRPr="005B527E">
        <w:t xml:space="preserve">ime-to-complete is estimated at </w:t>
      </w:r>
      <w:r w:rsidR="00390B46">
        <w:t>2</w:t>
      </w:r>
      <w:r w:rsidR="00BA624A">
        <w:t>0</w:t>
      </w:r>
      <w:r w:rsidR="006E30C3">
        <w:t xml:space="preserve"> </w:t>
      </w:r>
      <w:r w:rsidRPr="005B527E">
        <w:t xml:space="preserve">minutes or less. </w:t>
      </w:r>
    </w:p>
    <w:p w:rsidR="00A25E8F" w:rsidRPr="005B527E" w:rsidRDefault="00A25E8F" w:rsidP="001C2A38">
      <w:pPr>
        <w:pStyle w:val="ListParagraph"/>
        <w:numPr>
          <w:ilvl w:val="0"/>
          <w:numId w:val="2"/>
        </w:numPr>
        <w:rPr>
          <w:b/>
          <w:u w:val="single"/>
        </w:rPr>
      </w:pPr>
      <w:r w:rsidRPr="005B527E">
        <w:rPr>
          <w:b/>
        </w:rPr>
        <w:t>Consequences of Collecting the Information Less Frequently</w:t>
      </w:r>
      <w:r w:rsidR="002D6DDF">
        <w:rPr>
          <w:b/>
        </w:rPr>
        <w:t>-</w:t>
      </w:r>
      <w:r w:rsidR="00A75C5C" w:rsidRPr="005B527E">
        <w:rPr>
          <w:b/>
        </w:rPr>
        <w:t>OWH</w:t>
      </w:r>
    </w:p>
    <w:p w:rsidR="00D92C86" w:rsidRPr="005B527E" w:rsidRDefault="003D2DDF" w:rsidP="00EA39B8">
      <w:r w:rsidRPr="005B527E">
        <w:t>There are no legal obstacles to reduce the burden.</w:t>
      </w:r>
      <w:r w:rsidR="00805A41">
        <w:t xml:space="preserve"> </w:t>
      </w:r>
      <w:r w:rsidR="00D92C86" w:rsidRPr="005B527E">
        <w:t>Thi</w:t>
      </w:r>
      <w:r w:rsidR="00805A41">
        <w:t>s is a one-time collection of information.</w:t>
      </w:r>
    </w:p>
    <w:p w:rsidR="001406D7" w:rsidRPr="005B527E" w:rsidRDefault="001406D7" w:rsidP="001C2A38">
      <w:pPr>
        <w:pStyle w:val="ListParagraph"/>
        <w:numPr>
          <w:ilvl w:val="0"/>
          <w:numId w:val="2"/>
        </w:numPr>
        <w:rPr>
          <w:b/>
          <w:u w:val="single"/>
        </w:rPr>
      </w:pPr>
      <w:r w:rsidRPr="005B527E">
        <w:rPr>
          <w:b/>
        </w:rPr>
        <w:t>Special Circumstances Relating to the Guidelines of 5 CFR 1320.5</w:t>
      </w:r>
    </w:p>
    <w:p w:rsidR="00E77A9E" w:rsidRPr="005B527E" w:rsidRDefault="001406D7" w:rsidP="001406D7">
      <w:pPr>
        <w:ind w:right="-720"/>
      </w:pPr>
      <w:r w:rsidRPr="005B527E">
        <w:t>This request fully complies with the regulations</w:t>
      </w:r>
      <w:r w:rsidR="002D6DDF">
        <w:t xml:space="preserve"> of</w:t>
      </w:r>
      <w:r w:rsidRPr="005B527E">
        <w:t xml:space="preserve"> 5 CFR 1320.5.</w:t>
      </w:r>
      <w:r w:rsidR="00A75C5C" w:rsidRPr="005B527E">
        <w:t xml:space="preserve"> </w:t>
      </w:r>
    </w:p>
    <w:p w:rsidR="001406D7" w:rsidRPr="005B527E" w:rsidRDefault="001406D7" w:rsidP="001C2A38">
      <w:pPr>
        <w:pStyle w:val="ListParagraph"/>
        <w:numPr>
          <w:ilvl w:val="0"/>
          <w:numId w:val="2"/>
        </w:numPr>
        <w:rPr>
          <w:b/>
          <w:u w:val="single"/>
        </w:rPr>
      </w:pPr>
      <w:r w:rsidRPr="005B527E">
        <w:rPr>
          <w:b/>
        </w:rPr>
        <w:t>Comments in Response to the Federal Register Notice and Efforts to Consult Outside the Agency</w:t>
      </w:r>
    </w:p>
    <w:p w:rsidR="0080002D" w:rsidRPr="005B527E" w:rsidRDefault="0080002D" w:rsidP="0080002D">
      <w:pPr>
        <w:pStyle w:val="ListParagraph"/>
        <w:spacing w:after="120"/>
        <w:ind w:left="1080"/>
        <w:rPr>
          <w:b/>
        </w:rPr>
      </w:pPr>
    </w:p>
    <w:p w:rsidR="00C952FC" w:rsidRPr="005B527E" w:rsidRDefault="0080002D" w:rsidP="00417001">
      <w:pPr>
        <w:pStyle w:val="ListParagraph"/>
        <w:numPr>
          <w:ilvl w:val="0"/>
          <w:numId w:val="31"/>
        </w:numPr>
        <w:spacing w:after="0" w:line="240" w:lineRule="auto"/>
        <w:ind w:left="360"/>
      </w:pPr>
      <w:r w:rsidRPr="005B527E">
        <w:t xml:space="preserve"> Federal Register Notice</w:t>
      </w:r>
    </w:p>
    <w:p w:rsidR="00417001" w:rsidRPr="005B527E" w:rsidRDefault="00417001" w:rsidP="00417001">
      <w:pPr>
        <w:spacing w:after="0" w:line="240" w:lineRule="auto"/>
      </w:pPr>
    </w:p>
    <w:p w:rsidR="002D6DDF" w:rsidRDefault="0080002D" w:rsidP="00A533F1">
      <w:pPr>
        <w:spacing w:after="120"/>
      </w:pPr>
      <w:r w:rsidRPr="005B527E">
        <w:t>A 60-day Notice was publi</w:t>
      </w:r>
      <w:r w:rsidR="000F13DD" w:rsidRPr="005B527E">
        <w:t>shed i</w:t>
      </w:r>
      <w:r w:rsidR="004D3713">
        <w:t>n the Federal Register on February 13</w:t>
      </w:r>
      <w:r w:rsidR="004D3713" w:rsidRPr="004D3713">
        <w:rPr>
          <w:vertAlign w:val="superscript"/>
        </w:rPr>
        <w:t>th</w:t>
      </w:r>
      <w:r w:rsidR="004D3713">
        <w:t>, 2012 (Volume 77</w:t>
      </w:r>
      <w:r w:rsidRPr="005B527E">
        <w:t xml:space="preserve">, </w:t>
      </w:r>
      <w:r w:rsidRPr="00013DD4">
        <w:t xml:space="preserve">Number </w:t>
      </w:r>
      <w:r w:rsidR="004D3713" w:rsidRPr="00013DD4">
        <w:t>29, page 7581</w:t>
      </w:r>
      <w:r w:rsidRPr="00013DD4">
        <w:t>) (</w:t>
      </w:r>
      <w:r w:rsidRPr="00013DD4">
        <w:rPr>
          <w:b/>
        </w:rPr>
        <w:t xml:space="preserve">Attachment </w:t>
      </w:r>
      <w:r w:rsidR="004A7EF3" w:rsidRPr="00013DD4">
        <w:rPr>
          <w:b/>
        </w:rPr>
        <w:t>4</w:t>
      </w:r>
      <w:r w:rsidRPr="00013DD4">
        <w:t xml:space="preserve">).  </w:t>
      </w:r>
      <w:r w:rsidR="00013DD4" w:rsidRPr="00013DD4">
        <w:t>OWH received no</w:t>
      </w:r>
      <w:r w:rsidR="00597CD2" w:rsidRPr="00013DD4">
        <w:t xml:space="preserve"> publi</w:t>
      </w:r>
      <w:r w:rsidR="00013DD4" w:rsidRPr="00013DD4">
        <w:t>c comments in response to this n</w:t>
      </w:r>
      <w:r w:rsidR="00597CD2" w:rsidRPr="00013DD4">
        <w:t>otice</w:t>
      </w:r>
      <w:r w:rsidR="002D6DDF" w:rsidRPr="00013DD4">
        <w:t>.</w:t>
      </w:r>
    </w:p>
    <w:p w:rsidR="00C952FC" w:rsidRPr="005B527E" w:rsidRDefault="0080002D" w:rsidP="00417001">
      <w:pPr>
        <w:pStyle w:val="ListParagraph"/>
        <w:numPr>
          <w:ilvl w:val="0"/>
          <w:numId w:val="31"/>
        </w:numPr>
        <w:spacing w:after="0" w:line="240" w:lineRule="auto"/>
        <w:ind w:left="360"/>
      </w:pPr>
      <w:r w:rsidRPr="005B527E">
        <w:t>Consultations Outside the Agency</w:t>
      </w:r>
    </w:p>
    <w:p w:rsidR="00417001" w:rsidRPr="005B527E" w:rsidRDefault="00417001" w:rsidP="00417001">
      <w:pPr>
        <w:pStyle w:val="ListParagraph"/>
        <w:spacing w:after="0" w:line="240" w:lineRule="auto"/>
        <w:ind w:left="360"/>
      </w:pPr>
    </w:p>
    <w:p w:rsidR="004A7EF3" w:rsidRPr="00D70771" w:rsidRDefault="00E1462B" w:rsidP="00D70771">
      <w:pPr>
        <w:rPr>
          <w:bCs/>
        </w:rPr>
      </w:pPr>
      <w:r w:rsidRPr="005B527E">
        <w:t>OWH</w:t>
      </w:r>
      <w:r w:rsidR="009A2687" w:rsidRPr="005B527E">
        <w:t xml:space="preserve"> project staff </w:t>
      </w:r>
      <w:r w:rsidRPr="005B527E">
        <w:t xml:space="preserve">convened a </w:t>
      </w:r>
      <w:r w:rsidR="00AE40B5">
        <w:t xml:space="preserve">13 member </w:t>
      </w:r>
      <w:r w:rsidRPr="005B527E">
        <w:t>Technical Advisory Gr</w:t>
      </w:r>
      <w:r w:rsidR="002D6DDF">
        <w:t xml:space="preserve">oup </w:t>
      </w:r>
      <w:r w:rsidR="00FD22D0">
        <w:t>to help design the study</w:t>
      </w:r>
      <w:r w:rsidR="00D70771">
        <w:t xml:space="preserve"> and review the questionnaire</w:t>
      </w:r>
      <w:r w:rsidR="00FD22D0">
        <w:t xml:space="preserve">.  </w:t>
      </w:r>
      <w:r w:rsidR="00AE40B5">
        <w:t xml:space="preserve">The representatives from outside HHS were mostly from the academic sector (from the Universities of North Carolina, Maryland, Colorado and Washington) but also included a </w:t>
      </w:r>
      <w:r w:rsidR="00AE40B5" w:rsidRPr="006B7715">
        <w:t xml:space="preserve">primary care provider at Boston </w:t>
      </w:r>
      <w:r w:rsidR="00AE40B5">
        <w:t>M</w:t>
      </w:r>
      <w:r w:rsidR="00AE40B5" w:rsidRPr="006B7715">
        <w:t>edical Center</w:t>
      </w:r>
      <w:r w:rsidR="00AE40B5">
        <w:t xml:space="preserve"> and leadership from the </w:t>
      </w:r>
      <w:r w:rsidR="00AE40B5" w:rsidRPr="00F70C16">
        <w:rPr>
          <w:bCs/>
        </w:rPr>
        <w:t>National Interprofessional Initiative on Oral Health</w:t>
      </w:r>
      <w:r w:rsidR="00AE40B5">
        <w:rPr>
          <w:bCs/>
        </w:rPr>
        <w:t xml:space="preserve">.  </w:t>
      </w:r>
      <w:r w:rsidR="00CB6F43">
        <w:t xml:space="preserve">We had a series of </w:t>
      </w:r>
      <w:r w:rsidR="0062521A">
        <w:t>conference</w:t>
      </w:r>
      <w:r w:rsidR="00CB6F43">
        <w:t xml:space="preserve"> calls, as well as one-on-one contacts </w:t>
      </w:r>
      <w:r w:rsidR="0062521A">
        <w:t xml:space="preserve">with the Group </w:t>
      </w:r>
      <w:r w:rsidR="00CB6F43">
        <w:t xml:space="preserve">from November 2011 to February, 2012.   </w:t>
      </w:r>
      <w:r w:rsidR="00FD22D0">
        <w:t xml:space="preserve"> </w:t>
      </w:r>
    </w:p>
    <w:p w:rsidR="001406D7" w:rsidRPr="005B527E" w:rsidRDefault="001406D7" w:rsidP="001C2A38">
      <w:pPr>
        <w:pStyle w:val="ListParagraph"/>
        <w:numPr>
          <w:ilvl w:val="0"/>
          <w:numId w:val="2"/>
        </w:numPr>
        <w:rPr>
          <w:b/>
          <w:u w:val="single"/>
        </w:rPr>
      </w:pPr>
      <w:r w:rsidRPr="005B527E">
        <w:rPr>
          <w:b/>
        </w:rPr>
        <w:t>Explanation of Any Payment or Gift to Respondents</w:t>
      </w:r>
    </w:p>
    <w:p w:rsidR="00172627" w:rsidRPr="005B527E" w:rsidRDefault="00172627" w:rsidP="00172627">
      <w:r w:rsidRPr="005B527E">
        <w:t>Payment for participating in an interview or survey is standard practice when seeking participation of professionals such as physicians. The incentive payment is an effective method of drawing physician</w:t>
      </w:r>
      <w:r w:rsidR="00DB6BE8" w:rsidRPr="005B527E">
        <w:t xml:space="preserve"> </w:t>
      </w:r>
      <w:r w:rsidRPr="005B527E">
        <w:t>attention to the study and gaining cooperation in completing the questionnaire. It is not intended to be a payment for their time</w:t>
      </w:r>
      <w:r w:rsidR="003560E2" w:rsidRPr="005B527E">
        <w:t>, but an incentive to increase response rate</w:t>
      </w:r>
      <w:r w:rsidRPr="005B527E">
        <w:t xml:space="preserve">. </w:t>
      </w:r>
      <w:r w:rsidR="003560E2" w:rsidRPr="005B527E">
        <w:t xml:space="preserve"> </w:t>
      </w:r>
      <w:r w:rsidRPr="005B527E">
        <w:t>Historically, physicians are one of the most difficult populations</w:t>
      </w:r>
      <w:r w:rsidR="003B7352" w:rsidRPr="005B527E">
        <w:t xml:space="preserve"> to survey</w:t>
      </w:r>
      <w:r w:rsidRPr="005B527E">
        <w:t xml:space="preserve">, partly because of the demands on their professional time. Consequently, incentives assume an even greater importance with this group. </w:t>
      </w:r>
    </w:p>
    <w:p w:rsidR="00172627" w:rsidRPr="005B527E" w:rsidRDefault="00771AC7" w:rsidP="00BA624A">
      <w:pPr>
        <w:spacing w:after="0"/>
      </w:pPr>
      <w:r w:rsidRPr="005B527E">
        <w:t xml:space="preserve">OWH </w:t>
      </w:r>
      <w:r w:rsidR="007663E8">
        <w:t>believes that</w:t>
      </w:r>
      <w:r w:rsidR="00172627" w:rsidRPr="005B527E">
        <w:t xml:space="preserve"> in order to achieve an adequate response rate for this survey, it is essential to offer a modest incentive of $50. There is considerable evidence in the literature showing that the most effective way to increase response rates among professionals (particularly physicians) is by offering a monetary incentive. </w:t>
      </w:r>
      <w:r w:rsidR="002A4ADD" w:rsidRPr="005B527E">
        <w:t xml:space="preserve"> </w:t>
      </w:r>
      <w:r w:rsidR="00172627" w:rsidRPr="005B527E">
        <w:t>In a survey of physicians, Gunn and Rhodes (1981)</w:t>
      </w:r>
      <w:r w:rsidR="00E051DD" w:rsidRPr="005B527E">
        <w:rPr>
          <w:rStyle w:val="FootnoteReference"/>
        </w:rPr>
        <w:footnoteReference w:id="6"/>
      </w:r>
      <w:r w:rsidR="00172627" w:rsidRPr="005B527E">
        <w:t xml:space="preserve"> found the response rate to an initial survey with no incentive was 58%, with a $25 incentive, 69%, and with a $50 incentive, 77%, with the difference between the $50 and the $25 incentive rate being statistically significant.  Recent studies conducted by </w:t>
      </w:r>
      <w:r w:rsidR="00B46C29" w:rsidRPr="005B527E">
        <w:t xml:space="preserve">the contractor </w:t>
      </w:r>
      <w:r w:rsidR="00172627" w:rsidRPr="005B527E">
        <w:t xml:space="preserve">support these findings.  </w:t>
      </w:r>
    </w:p>
    <w:p w:rsidR="002047BF" w:rsidRPr="005B527E" w:rsidRDefault="00172627" w:rsidP="00172627">
      <w:r w:rsidRPr="005B527E">
        <w:t xml:space="preserve">Some studies show that physicians may be becoming accustomed to the much greater monetary incentives ($100-$150) offered </w:t>
      </w:r>
      <w:r w:rsidR="003560E2" w:rsidRPr="005B527E">
        <w:t>for participation in research funded by the private, for-profit sector</w:t>
      </w:r>
      <w:r w:rsidRPr="005B527E">
        <w:t xml:space="preserve">. This shift in expectations is thought, in some cases, to </w:t>
      </w:r>
      <w:r w:rsidR="000F08A5" w:rsidRPr="005B527E">
        <w:t>severely compromise the generalizability of surveys conducted without incentives</w:t>
      </w:r>
      <w:r w:rsidR="00D80777" w:rsidRPr="005B527E">
        <w:t>. For this reason, OWH</w:t>
      </w:r>
      <w:r w:rsidRPr="005B527E">
        <w:t xml:space="preserve"> feels that an incentive of at least $50 is essential to attract enough attention to the survey to achieve acceptable response rates. A $50 incen</w:t>
      </w:r>
      <w:r w:rsidR="007663E8">
        <w:t xml:space="preserve">tive for completing a federally </w:t>
      </w:r>
      <w:r w:rsidRPr="005B527E">
        <w:t>sponsored survey about a subject of importance to public health should be high enough to communicate the importance of physician</w:t>
      </w:r>
      <w:r w:rsidR="00DB6BE8" w:rsidRPr="005B527E">
        <w:t xml:space="preserve"> </w:t>
      </w:r>
      <w:r w:rsidRPr="005B527E">
        <w:t xml:space="preserve">responses to the survey and to gain their attention. </w:t>
      </w:r>
    </w:p>
    <w:p w:rsidR="007A288E" w:rsidRPr="005B527E" w:rsidRDefault="007A288E" w:rsidP="001C2A38">
      <w:pPr>
        <w:pStyle w:val="ListParagraph"/>
        <w:numPr>
          <w:ilvl w:val="0"/>
          <w:numId w:val="2"/>
        </w:numPr>
        <w:rPr>
          <w:b/>
          <w:u w:val="single"/>
        </w:rPr>
      </w:pPr>
      <w:r w:rsidRPr="005B527E">
        <w:rPr>
          <w:b/>
        </w:rPr>
        <w:t>Assurance of Confidentiality Provided to Respondents</w:t>
      </w:r>
    </w:p>
    <w:p w:rsidR="00587A67" w:rsidRPr="005B527E" w:rsidRDefault="002E09D6" w:rsidP="00675E1C">
      <w:r w:rsidRPr="005B527E">
        <w:t xml:space="preserve">A number of procedures will be implemented to safeguard respondent identity, and will be explained to respondents.  </w:t>
      </w:r>
      <w:r w:rsidR="00587A67" w:rsidRPr="005B527E">
        <w:t>Each physician’s su</w:t>
      </w:r>
      <w:r w:rsidR="00D80777" w:rsidRPr="005B527E">
        <w:t>rvey will have a unique ID number</w:t>
      </w:r>
      <w:r w:rsidR="00587A67" w:rsidRPr="005B527E">
        <w:t xml:space="preserve"> at the top of the cover page. This number will be used as a unique record identifier during data entry. The data file containing physicians’ names and ID numbers will be maintained separately by Westat and us</w:t>
      </w:r>
      <w:r w:rsidR="00D80777" w:rsidRPr="005B527E">
        <w:t xml:space="preserve">ed only for mailing the surveys. </w:t>
      </w:r>
    </w:p>
    <w:p w:rsidR="004F1B6B" w:rsidRPr="002047BF" w:rsidRDefault="00D65BBE" w:rsidP="001406D7">
      <w:pPr>
        <w:rPr>
          <w:b/>
          <w:u w:val="single"/>
        </w:rPr>
      </w:pPr>
      <w:r w:rsidRPr="005B527E">
        <w:t>Furthermore, employees of the data collection contractor</w:t>
      </w:r>
      <w:r w:rsidR="00B46C29" w:rsidRPr="005B527E">
        <w:t>, Westat,</w:t>
      </w:r>
      <w:r w:rsidRPr="005B527E">
        <w:t xml:space="preserve"> </w:t>
      </w:r>
      <w:r w:rsidR="00263246">
        <w:t>are</w:t>
      </w:r>
      <w:r w:rsidRPr="005B527E">
        <w:t xml:space="preserve"> required to sign a non-disclosure agreement (see </w:t>
      </w:r>
      <w:r w:rsidRPr="005B527E">
        <w:rPr>
          <w:b/>
        </w:rPr>
        <w:t xml:space="preserve">Attachment </w:t>
      </w:r>
      <w:r w:rsidR="0083785F">
        <w:rPr>
          <w:b/>
        </w:rPr>
        <w:t>5</w:t>
      </w:r>
      <w:r w:rsidRPr="005B527E">
        <w:t>).  Westat provides all safeguards mandated by</w:t>
      </w:r>
      <w:r w:rsidR="00B46C29" w:rsidRPr="005B527E">
        <w:t xml:space="preserve"> the</w:t>
      </w:r>
      <w:r w:rsidRPr="005B527E">
        <w:t xml:space="preserve"> Privacy Act to protect privacy of data gathered for this study.  </w:t>
      </w:r>
      <w:r w:rsidR="00F37488">
        <w:t xml:space="preserve">Westat’s </w:t>
      </w:r>
      <w:r w:rsidRPr="005B527E">
        <w:t xml:space="preserve">data security procedures comply fully with procedural safeguards for computerized records as outlined in the U.S. Department of Health and Human Service’s </w:t>
      </w:r>
      <w:r w:rsidRPr="005B527E">
        <w:rPr>
          <w:i/>
        </w:rPr>
        <w:t>General Administrative Manual</w:t>
      </w:r>
      <w:r w:rsidRPr="005B527E">
        <w:t xml:space="preserve"> under “Safeguarding Records Contained in Systems of Record” and specified by the National Institute of Standards and Technology Federal Information Processing Standards.  </w:t>
      </w:r>
    </w:p>
    <w:p w:rsidR="00BA624A" w:rsidRDefault="007A288E" w:rsidP="00BA624A">
      <w:pPr>
        <w:spacing w:after="0"/>
      </w:pPr>
      <w:r w:rsidRPr="005B527E">
        <w:rPr>
          <w:u w:val="single"/>
        </w:rPr>
        <w:t>IRB Approval</w:t>
      </w:r>
      <w:r w:rsidR="00166BC5" w:rsidRPr="005B527E">
        <w:rPr>
          <w:u w:val="single"/>
        </w:rPr>
        <w:t xml:space="preserve"> </w:t>
      </w:r>
    </w:p>
    <w:p w:rsidR="007A288E" w:rsidRPr="005B527E" w:rsidRDefault="007A288E" w:rsidP="00BA624A">
      <w:pPr>
        <w:spacing w:after="0"/>
      </w:pPr>
      <w:r w:rsidRPr="005B527E">
        <w:t>Th</w:t>
      </w:r>
      <w:r w:rsidR="00BB2A65" w:rsidRPr="005B527E">
        <w:t xml:space="preserve">e </w:t>
      </w:r>
      <w:r w:rsidR="00587A67" w:rsidRPr="005B527E">
        <w:t>screening and</w:t>
      </w:r>
      <w:r w:rsidR="00BB2A65" w:rsidRPr="005B527E">
        <w:t xml:space="preserve"> survey portions of this</w:t>
      </w:r>
      <w:r w:rsidRPr="005B527E">
        <w:t xml:space="preserve"> study ha</w:t>
      </w:r>
      <w:r w:rsidR="00BB2A65" w:rsidRPr="005B527E">
        <w:t>ve</w:t>
      </w:r>
      <w:r w:rsidRPr="005B527E">
        <w:t xml:space="preserve"> been </w:t>
      </w:r>
      <w:r w:rsidR="00BB2A65" w:rsidRPr="005B527E">
        <w:t>approved by</w:t>
      </w:r>
      <w:r w:rsidRPr="005B527E">
        <w:t xml:space="preserve"> Westat’s Institutional Review Board (IRB)</w:t>
      </w:r>
      <w:r w:rsidR="00BB2A65" w:rsidRPr="005B527E">
        <w:t xml:space="preserve">.  Please see </w:t>
      </w:r>
      <w:r w:rsidR="00BC4512" w:rsidRPr="005B527E">
        <w:rPr>
          <w:b/>
        </w:rPr>
        <w:t>A</w:t>
      </w:r>
      <w:r w:rsidR="007025C8" w:rsidRPr="005B527E">
        <w:rPr>
          <w:b/>
        </w:rPr>
        <w:t>ttachment</w:t>
      </w:r>
      <w:r w:rsidR="0083785F">
        <w:rPr>
          <w:b/>
        </w:rPr>
        <w:t xml:space="preserve"> 6</w:t>
      </w:r>
      <w:r w:rsidR="0083785F">
        <w:t xml:space="preserve"> </w:t>
      </w:r>
      <w:r w:rsidR="00BB2A65" w:rsidRPr="005B527E">
        <w:t xml:space="preserve">for the approval </w:t>
      </w:r>
      <w:r w:rsidR="00B46C29" w:rsidRPr="005B527E">
        <w:t>documentation</w:t>
      </w:r>
      <w:r w:rsidR="00BB2A65" w:rsidRPr="005B527E">
        <w:t xml:space="preserve">.  </w:t>
      </w:r>
    </w:p>
    <w:p w:rsidR="008B2F62" w:rsidRPr="005B527E" w:rsidRDefault="008B2F62" w:rsidP="00804FD3">
      <w:pPr>
        <w:spacing w:after="0"/>
      </w:pPr>
    </w:p>
    <w:p w:rsidR="00804FD3" w:rsidRPr="005B527E" w:rsidRDefault="00804FD3" w:rsidP="00804FD3">
      <w:pPr>
        <w:pStyle w:val="ListParagraph"/>
        <w:numPr>
          <w:ilvl w:val="0"/>
          <w:numId w:val="2"/>
        </w:numPr>
        <w:spacing w:after="0"/>
        <w:rPr>
          <w:b/>
          <w:u w:val="single"/>
        </w:rPr>
      </w:pPr>
      <w:r w:rsidRPr="005B527E">
        <w:rPr>
          <w:b/>
        </w:rPr>
        <w:t>Justification for Sensitive Questions</w:t>
      </w:r>
    </w:p>
    <w:p w:rsidR="008C491E" w:rsidRPr="005B527E" w:rsidRDefault="008C491E" w:rsidP="008C491E">
      <w:pPr>
        <w:pStyle w:val="ListParagraph"/>
        <w:spacing w:after="0"/>
        <w:ind w:left="360"/>
        <w:rPr>
          <w:b/>
          <w:u w:val="single"/>
        </w:rPr>
      </w:pPr>
    </w:p>
    <w:p w:rsidR="00804FD3" w:rsidRPr="005B527E" w:rsidRDefault="00804FD3" w:rsidP="00804FD3">
      <w:pPr>
        <w:spacing w:after="0"/>
      </w:pPr>
      <w:r w:rsidRPr="005B527E">
        <w:t xml:space="preserve">This survey will </w:t>
      </w:r>
      <w:r w:rsidR="00417001" w:rsidRPr="005B527E">
        <w:t>no</w:t>
      </w:r>
      <w:r w:rsidR="00FA0702" w:rsidRPr="005B527E">
        <w:t>t include</w:t>
      </w:r>
      <w:r w:rsidR="00417001" w:rsidRPr="005B527E">
        <w:t xml:space="preserve"> </w:t>
      </w:r>
      <w:r w:rsidRPr="005B527E">
        <w:t xml:space="preserve">questions of a </w:t>
      </w:r>
      <w:r w:rsidR="004E461C" w:rsidRPr="005B527E">
        <w:t xml:space="preserve">personally </w:t>
      </w:r>
      <w:r w:rsidRPr="005B527E">
        <w:t>sensitive nature</w:t>
      </w:r>
      <w:r w:rsidR="007663E8">
        <w:t>;</w:t>
      </w:r>
      <w:r w:rsidR="004E461C" w:rsidRPr="005B527E">
        <w:t xml:space="preserve"> </w:t>
      </w:r>
      <w:r w:rsidR="00417001" w:rsidRPr="005B527E">
        <w:t xml:space="preserve">however, </w:t>
      </w:r>
      <w:r w:rsidR="00800C21" w:rsidRPr="005B527E">
        <w:t>respondents will be asked to share information</w:t>
      </w:r>
      <w:r w:rsidR="00632F6B">
        <w:t xml:space="preserve"> about their opinions, knowledge and professional experience</w:t>
      </w:r>
      <w:r w:rsidR="00800C21" w:rsidRPr="005B527E">
        <w:t xml:space="preserve"> treat</w:t>
      </w:r>
      <w:r w:rsidR="00FA0702" w:rsidRPr="005B527E">
        <w:t>ing</w:t>
      </w:r>
      <w:r w:rsidR="00800C21" w:rsidRPr="005B527E">
        <w:t xml:space="preserve"> p</w:t>
      </w:r>
      <w:r w:rsidR="00307229" w:rsidRPr="005B527E">
        <w:t>atients with respect to oral health care.</w:t>
      </w:r>
      <w:r w:rsidR="00800C21" w:rsidRPr="005B527E">
        <w:t xml:space="preserve">  Respondents may assume that their answers reflect the quality of care provided by their practice.  Therefore, the survey questions may be perceived as organizationally sensitive.  </w:t>
      </w:r>
      <w:r w:rsidR="00822AEF" w:rsidRPr="005B527E">
        <w:t xml:space="preserve">Respondents will be informed of </w:t>
      </w:r>
      <w:r w:rsidR="00417001" w:rsidRPr="005B527E">
        <w:t>safeguards</w:t>
      </w:r>
      <w:r w:rsidR="007663E8">
        <w:t xml:space="preserve"> that e</w:t>
      </w:r>
      <w:r w:rsidR="00822AEF" w:rsidRPr="005B527E">
        <w:t>nsure their data are no</w:t>
      </w:r>
      <w:r w:rsidR="00632F6B">
        <w:t>t identifiable by OWH</w:t>
      </w:r>
      <w:r w:rsidR="00822AEF" w:rsidRPr="005B527E">
        <w:t xml:space="preserve"> and informati</w:t>
      </w:r>
      <w:r w:rsidR="00417001" w:rsidRPr="005B527E">
        <w:t>on will be maintained in a secure manner</w:t>
      </w:r>
      <w:r w:rsidR="00822AEF" w:rsidRPr="005B527E">
        <w:t xml:space="preserve">.  </w:t>
      </w:r>
    </w:p>
    <w:p w:rsidR="00307229" w:rsidRPr="005B527E" w:rsidRDefault="00307229" w:rsidP="00804FD3">
      <w:pPr>
        <w:spacing w:after="0"/>
      </w:pPr>
    </w:p>
    <w:p w:rsidR="00307229" w:rsidRDefault="00632F6B" w:rsidP="00804FD3">
      <w:pPr>
        <w:spacing w:after="0"/>
      </w:pPr>
      <w:r>
        <w:t xml:space="preserve">The Department </w:t>
      </w:r>
      <w:r w:rsidR="00E77A9E">
        <w:t>of Health</w:t>
      </w:r>
      <w:r>
        <w:t xml:space="preserve"> and Human Services (HHS)</w:t>
      </w:r>
      <w:r w:rsidR="00307229" w:rsidRPr="00632F6B">
        <w:t xml:space="preserve"> requires that race and ethnicity be collected from all HHS data collection instruments. In compliance with this requirement, the survey will ask the respondent their race and ethnicity.</w:t>
      </w:r>
      <w:r w:rsidR="00307229" w:rsidRPr="005B527E">
        <w:t xml:space="preserve"> </w:t>
      </w:r>
    </w:p>
    <w:p w:rsidR="00804FD3" w:rsidRPr="005B527E" w:rsidRDefault="00804FD3" w:rsidP="00804FD3">
      <w:pPr>
        <w:spacing w:after="0"/>
      </w:pPr>
    </w:p>
    <w:p w:rsidR="002E4462" w:rsidRPr="005B527E" w:rsidRDefault="002E4462" w:rsidP="00804FD3">
      <w:pPr>
        <w:pStyle w:val="ListParagraph"/>
        <w:numPr>
          <w:ilvl w:val="0"/>
          <w:numId w:val="2"/>
        </w:numPr>
        <w:spacing w:after="0"/>
        <w:rPr>
          <w:b/>
          <w:u w:val="single"/>
        </w:rPr>
      </w:pPr>
      <w:r w:rsidRPr="005B527E">
        <w:rPr>
          <w:b/>
        </w:rPr>
        <w:t>Estimates of Annualized Burden Hours and Costs</w:t>
      </w:r>
    </w:p>
    <w:p w:rsidR="008C491E" w:rsidRPr="005B527E" w:rsidRDefault="008C491E" w:rsidP="008C491E">
      <w:pPr>
        <w:pStyle w:val="ListParagraph"/>
        <w:spacing w:after="0"/>
        <w:ind w:left="360"/>
        <w:rPr>
          <w:b/>
          <w:u w:val="single"/>
        </w:rPr>
      </w:pPr>
    </w:p>
    <w:p w:rsidR="00BA624A" w:rsidRPr="00BA624A" w:rsidRDefault="00BA624A" w:rsidP="00BA624A">
      <w:pPr>
        <w:spacing w:after="0"/>
        <w:rPr>
          <w:u w:val="single"/>
        </w:rPr>
      </w:pPr>
      <w:r w:rsidRPr="00BA624A">
        <w:rPr>
          <w:u w:val="single"/>
        </w:rPr>
        <w:t>Screening</w:t>
      </w:r>
    </w:p>
    <w:p w:rsidR="00BB2ED7" w:rsidRPr="005B527E" w:rsidRDefault="00F102F3" w:rsidP="00BA624A">
      <w:pPr>
        <w:spacing w:after="0"/>
        <w:rPr>
          <w:b/>
          <w:i/>
        </w:rPr>
      </w:pPr>
      <w:r w:rsidRPr="005B527E">
        <w:t xml:space="preserve">The telephone screener will be </w:t>
      </w:r>
      <w:r w:rsidR="00065C1A" w:rsidRPr="005B527E">
        <w:t>administered to the individual who</w:t>
      </w:r>
      <w:r w:rsidRPr="005B527E">
        <w:t xml:space="preserve"> answers the phone at the selected practice</w:t>
      </w:r>
      <w:r w:rsidR="00065C1A" w:rsidRPr="005B527E">
        <w:t xml:space="preserve"> (see </w:t>
      </w:r>
      <w:r w:rsidR="00065C1A" w:rsidRPr="005B527E">
        <w:rPr>
          <w:b/>
        </w:rPr>
        <w:t xml:space="preserve">Attachment </w:t>
      </w:r>
      <w:r w:rsidR="0083785F">
        <w:rPr>
          <w:b/>
        </w:rPr>
        <w:t>7</w:t>
      </w:r>
      <w:r w:rsidR="00065C1A" w:rsidRPr="005B527E">
        <w:t>)</w:t>
      </w:r>
      <w:r w:rsidRPr="005B527E">
        <w:t>.  We anticipate that this will likely be an office assistant or medical secretary.  The primary purpose</w:t>
      </w:r>
      <w:r w:rsidR="00D54F3B">
        <w:t xml:space="preserve"> of the screener is to determine whether the physician is still with the office and eligible for the survey. W</w:t>
      </w:r>
      <w:r w:rsidRPr="005B527E">
        <w:t>e anticipate that an office assistant or medical secretary will be able to answer the screener questions in a short amount of time.  We have estimated 5 minutes</w:t>
      </w:r>
      <w:r w:rsidR="00065C1A" w:rsidRPr="005B527E">
        <w:t xml:space="preserve"> per response</w:t>
      </w:r>
      <w:r w:rsidRPr="005B527E">
        <w:t>.</w:t>
      </w:r>
      <w:r w:rsidR="001271D1" w:rsidRPr="005B527E">
        <w:t xml:space="preserve">  Screening for the</w:t>
      </w:r>
      <w:r w:rsidR="00ED362A" w:rsidRPr="005B527E">
        <w:t xml:space="preserve"> survey </w:t>
      </w:r>
      <w:r w:rsidR="00697998" w:rsidRPr="005B527E">
        <w:t xml:space="preserve">will involve </w:t>
      </w:r>
      <w:r w:rsidR="00683FC4">
        <w:t xml:space="preserve">approximately 1,300 </w:t>
      </w:r>
      <w:r w:rsidR="00ED362A" w:rsidRPr="00EF44A6">
        <w:t>resp</w:t>
      </w:r>
      <w:r w:rsidR="00697998" w:rsidRPr="00EF44A6">
        <w:t>ondents</w:t>
      </w:r>
      <w:r w:rsidR="00ED362A" w:rsidRPr="00EF44A6">
        <w:t>.</w:t>
      </w:r>
      <w:r w:rsidR="00697998" w:rsidRPr="00EF44A6">
        <w:t xml:space="preserve">  </w:t>
      </w:r>
      <w:r w:rsidR="001271D1" w:rsidRPr="00EF44A6">
        <w:t>Over the</w:t>
      </w:r>
      <w:r w:rsidR="00065C1A" w:rsidRPr="00EF44A6">
        <w:t xml:space="preserve"> period of this information collection request, the average annualized number of respondents for the screening</w:t>
      </w:r>
      <w:r w:rsidR="00A76423">
        <w:t xml:space="preserve"> information collection is 1,300</w:t>
      </w:r>
      <w:r w:rsidR="00065C1A" w:rsidRPr="00EF44A6">
        <w:t xml:space="preserve"> respondents, and the </w:t>
      </w:r>
      <w:r w:rsidR="00A76423">
        <w:t>average annualized</w:t>
      </w:r>
      <w:r w:rsidR="0012281D">
        <w:t xml:space="preserve"> burden is 108</w:t>
      </w:r>
      <w:r w:rsidR="00065C1A" w:rsidRPr="00EF44A6">
        <w:t xml:space="preserve"> hours.</w:t>
      </w:r>
    </w:p>
    <w:p w:rsidR="00CD03EC" w:rsidRDefault="00CD03EC" w:rsidP="00065C1A">
      <w:pPr>
        <w:spacing w:after="0"/>
        <w:rPr>
          <w:b/>
          <w:i/>
        </w:rPr>
      </w:pPr>
    </w:p>
    <w:p w:rsidR="00D54F3B" w:rsidRDefault="00D54F3B" w:rsidP="00683FC4">
      <w:pPr>
        <w:spacing w:after="0"/>
        <w:rPr>
          <w:u w:val="single"/>
        </w:rPr>
      </w:pPr>
    </w:p>
    <w:p w:rsidR="00BA624A" w:rsidRDefault="00BA624A" w:rsidP="00683FC4">
      <w:pPr>
        <w:spacing w:after="0"/>
      </w:pPr>
      <w:r>
        <w:rPr>
          <w:u w:val="single"/>
        </w:rPr>
        <w:t>Mail Survey</w:t>
      </w:r>
      <w:r w:rsidR="00683FC4" w:rsidRPr="005B527E">
        <w:t xml:space="preserve">  </w:t>
      </w:r>
    </w:p>
    <w:p w:rsidR="00683FC4" w:rsidRPr="005B527E" w:rsidRDefault="00683FC4" w:rsidP="00683FC4">
      <w:pPr>
        <w:spacing w:after="0"/>
        <w:rPr>
          <w:b/>
          <w:i/>
        </w:rPr>
      </w:pPr>
      <w:r w:rsidRPr="005B527E">
        <w:t>The target</w:t>
      </w:r>
      <w:r>
        <w:t xml:space="preserve"> population</w:t>
      </w:r>
      <w:r w:rsidRPr="005B527E">
        <w:t xml:space="preserve"> for the mail survey </w:t>
      </w:r>
      <w:r>
        <w:t xml:space="preserve">are </w:t>
      </w:r>
      <w:r w:rsidRPr="005B527E">
        <w:t>physician</w:t>
      </w:r>
      <w:r>
        <w:t>s who are either Internal Medicine or Family Practitioners</w:t>
      </w:r>
      <w:r w:rsidRPr="005B527E">
        <w:t xml:space="preserve"> </w:t>
      </w:r>
      <w:r w:rsidRPr="00EF44A6">
        <w:t xml:space="preserve">who </w:t>
      </w:r>
      <w:r>
        <w:t>spend at least 20% of</w:t>
      </w:r>
      <w:r w:rsidR="0083785F">
        <w:t xml:space="preserve"> their time seeing patients. </w:t>
      </w:r>
      <w:r w:rsidRPr="005B527E">
        <w:t xml:space="preserve">The estimated burden per response is </w:t>
      </w:r>
      <w:r w:rsidR="008423E0">
        <w:t>20</w:t>
      </w:r>
      <w:r w:rsidRPr="005B527E">
        <w:t xml:space="preserve"> minutes</w:t>
      </w:r>
      <w:r w:rsidR="0083785F">
        <w:t xml:space="preserve"> (see </w:t>
      </w:r>
      <w:r w:rsidR="0083785F" w:rsidRPr="0083785F">
        <w:rPr>
          <w:b/>
        </w:rPr>
        <w:t>Attachment 8</w:t>
      </w:r>
      <w:r w:rsidR="0083785F">
        <w:t>)</w:t>
      </w:r>
      <w:r w:rsidRPr="005B527E">
        <w:t xml:space="preserve">.  The </w:t>
      </w:r>
      <w:r>
        <w:t>goal of the study</w:t>
      </w:r>
      <w:r w:rsidRPr="005B527E">
        <w:t xml:space="preserve"> </w:t>
      </w:r>
      <w:r>
        <w:t xml:space="preserve">is to obtain 600 completed surveys.  </w:t>
      </w:r>
      <w:r w:rsidRPr="005B527E">
        <w:t xml:space="preserve"> Over the </w:t>
      </w:r>
      <w:r w:rsidRPr="008423E0">
        <w:t>one</w:t>
      </w:r>
      <w:r w:rsidRPr="005B527E">
        <w:t xml:space="preserve"> </w:t>
      </w:r>
      <w:r w:rsidRPr="00EF44A6">
        <w:t>year period</w:t>
      </w:r>
      <w:r w:rsidRPr="005B527E">
        <w:t xml:space="preserve"> of this information collection request, the average annualized number of respondents for the </w:t>
      </w:r>
      <w:r>
        <w:t xml:space="preserve">mail </w:t>
      </w:r>
      <w:r w:rsidRPr="005B527E">
        <w:t xml:space="preserve">survey is </w:t>
      </w:r>
      <w:r>
        <w:t>600</w:t>
      </w:r>
      <w:r w:rsidRPr="005B527E">
        <w:t xml:space="preserve"> respondents, and the average annualized burden is </w:t>
      </w:r>
      <w:r w:rsidR="008423E0">
        <w:t>2</w:t>
      </w:r>
      <w:r>
        <w:t>00</w:t>
      </w:r>
      <w:r w:rsidRPr="005B527E">
        <w:t xml:space="preserve"> hours.</w:t>
      </w:r>
    </w:p>
    <w:p w:rsidR="00683FC4" w:rsidRPr="005B527E" w:rsidRDefault="00683FC4" w:rsidP="00683FC4">
      <w:pPr>
        <w:spacing w:after="0"/>
      </w:pPr>
    </w:p>
    <w:p w:rsidR="00683FC4" w:rsidRPr="005B527E" w:rsidRDefault="00683FC4" w:rsidP="00683FC4">
      <w:pPr>
        <w:spacing w:after="0"/>
      </w:pPr>
      <w:r w:rsidRPr="005B527E">
        <w:t xml:space="preserve">This is a one-time data collection, so once a respondent has completed the instrument, he/she will not be contacted again.  Table A12-1 below summarizes the proposed number of respondents and the estimated burden hours.  The total estimated annualized burden hours are </w:t>
      </w:r>
      <w:r w:rsidR="008423E0">
        <w:t>3</w:t>
      </w:r>
      <w:r>
        <w:t>0</w:t>
      </w:r>
      <w:r w:rsidR="008423E0">
        <w:t>8</w:t>
      </w:r>
      <w:r w:rsidRPr="005B527E">
        <w:t xml:space="preserve">.  </w:t>
      </w:r>
    </w:p>
    <w:p w:rsidR="00683FC4" w:rsidRPr="005B527E" w:rsidRDefault="00683FC4" w:rsidP="00683FC4">
      <w:pPr>
        <w:spacing w:after="0"/>
      </w:pPr>
    </w:p>
    <w:p w:rsidR="00683FC4" w:rsidRPr="005B527E" w:rsidRDefault="00683FC4" w:rsidP="00683FC4">
      <w:pPr>
        <w:spacing w:after="0"/>
      </w:pPr>
      <w:r>
        <w:t>Table 12A</w:t>
      </w:r>
      <w:r w:rsidRPr="005B527E">
        <w:t>:  Estimated Annualized Burden Hours</w:t>
      </w:r>
    </w:p>
    <w:tbl>
      <w:tblPr>
        <w:tblStyle w:val="TableGrid"/>
        <w:tblW w:w="9648" w:type="dxa"/>
        <w:tblLook w:val="04A0"/>
      </w:tblPr>
      <w:tblGrid>
        <w:gridCol w:w="1368"/>
        <w:gridCol w:w="1800"/>
        <w:gridCol w:w="1440"/>
        <w:gridCol w:w="1856"/>
        <w:gridCol w:w="1834"/>
        <w:gridCol w:w="1350"/>
      </w:tblGrid>
      <w:tr w:rsidR="00683FC4" w:rsidRPr="005B527E" w:rsidTr="00683FC4">
        <w:tc>
          <w:tcPr>
            <w:tcW w:w="1368" w:type="dxa"/>
            <w:shd w:val="clear" w:color="auto" w:fill="D9D9D9" w:themeFill="background1" w:themeFillShade="D9"/>
            <w:vAlign w:val="center"/>
          </w:tcPr>
          <w:p w:rsidR="00683FC4" w:rsidRPr="005B527E" w:rsidRDefault="00683FC4" w:rsidP="00683FC4">
            <w:pPr>
              <w:jc w:val="center"/>
              <w:rPr>
                <w:b/>
              </w:rPr>
            </w:pPr>
            <w:r w:rsidRPr="005B527E">
              <w:rPr>
                <w:b/>
              </w:rPr>
              <w:t>Type of Respondent</w:t>
            </w:r>
          </w:p>
        </w:tc>
        <w:tc>
          <w:tcPr>
            <w:tcW w:w="1800" w:type="dxa"/>
            <w:shd w:val="clear" w:color="auto" w:fill="D9D9D9" w:themeFill="background1" w:themeFillShade="D9"/>
            <w:vAlign w:val="center"/>
          </w:tcPr>
          <w:p w:rsidR="00683FC4" w:rsidRPr="005B527E" w:rsidRDefault="00683FC4" w:rsidP="00683FC4">
            <w:pPr>
              <w:jc w:val="center"/>
              <w:rPr>
                <w:b/>
              </w:rPr>
            </w:pPr>
            <w:r w:rsidRPr="005B527E">
              <w:rPr>
                <w:b/>
              </w:rPr>
              <w:t>Form Name</w:t>
            </w:r>
          </w:p>
        </w:tc>
        <w:tc>
          <w:tcPr>
            <w:tcW w:w="1440" w:type="dxa"/>
            <w:shd w:val="clear" w:color="auto" w:fill="D9D9D9" w:themeFill="background1" w:themeFillShade="D9"/>
            <w:vAlign w:val="center"/>
          </w:tcPr>
          <w:p w:rsidR="00683FC4" w:rsidRPr="005B527E" w:rsidRDefault="00683FC4" w:rsidP="00683FC4">
            <w:pPr>
              <w:jc w:val="center"/>
              <w:rPr>
                <w:b/>
              </w:rPr>
            </w:pPr>
            <w:r w:rsidRPr="005B527E">
              <w:rPr>
                <w:b/>
              </w:rPr>
              <w:t>No. of Respondents</w:t>
            </w:r>
          </w:p>
        </w:tc>
        <w:tc>
          <w:tcPr>
            <w:tcW w:w="1856" w:type="dxa"/>
            <w:shd w:val="clear" w:color="auto" w:fill="D9D9D9" w:themeFill="background1" w:themeFillShade="D9"/>
            <w:vAlign w:val="center"/>
          </w:tcPr>
          <w:p w:rsidR="00683FC4" w:rsidRPr="005B527E" w:rsidRDefault="00683FC4" w:rsidP="00683FC4">
            <w:pPr>
              <w:jc w:val="center"/>
              <w:rPr>
                <w:b/>
              </w:rPr>
            </w:pPr>
            <w:r w:rsidRPr="005B527E">
              <w:rPr>
                <w:b/>
              </w:rPr>
              <w:t>No. Responses per Respondent</w:t>
            </w:r>
          </w:p>
        </w:tc>
        <w:tc>
          <w:tcPr>
            <w:tcW w:w="1834" w:type="dxa"/>
            <w:shd w:val="clear" w:color="auto" w:fill="D9D9D9" w:themeFill="background1" w:themeFillShade="D9"/>
            <w:vAlign w:val="center"/>
          </w:tcPr>
          <w:p w:rsidR="00683FC4" w:rsidRPr="005B527E" w:rsidRDefault="00683FC4" w:rsidP="00683FC4">
            <w:pPr>
              <w:jc w:val="center"/>
              <w:rPr>
                <w:b/>
              </w:rPr>
            </w:pPr>
            <w:r w:rsidRPr="005B527E">
              <w:rPr>
                <w:b/>
              </w:rPr>
              <w:t>Average Burden per Response (in Hours)</w:t>
            </w:r>
          </w:p>
        </w:tc>
        <w:tc>
          <w:tcPr>
            <w:tcW w:w="1350" w:type="dxa"/>
            <w:shd w:val="clear" w:color="auto" w:fill="D9D9D9" w:themeFill="background1" w:themeFillShade="D9"/>
            <w:vAlign w:val="center"/>
          </w:tcPr>
          <w:p w:rsidR="00683FC4" w:rsidRPr="005B527E" w:rsidRDefault="00683FC4" w:rsidP="00683FC4">
            <w:pPr>
              <w:jc w:val="center"/>
              <w:rPr>
                <w:b/>
              </w:rPr>
            </w:pPr>
            <w:r w:rsidRPr="005B527E">
              <w:rPr>
                <w:b/>
              </w:rPr>
              <w:t>Total Burden (in Hours)</w:t>
            </w:r>
          </w:p>
        </w:tc>
      </w:tr>
      <w:tr w:rsidR="00683FC4" w:rsidRPr="005B527E" w:rsidTr="00683FC4">
        <w:tc>
          <w:tcPr>
            <w:tcW w:w="1368" w:type="dxa"/>
            <w:vAlign w:val="center"/>
          </w:tcPr>
          <w:p w:rsidR="00683FC4" w:rsidRPr="005B527E" w:rsidRDefault="00683FC4" w:rsidP="00683FC4">
            <w:r w:rsidRPr="005B527E">
              <w:t>Medical Secretary</w:t>
            </w:r>
          </w:p>
        </w:tc>
        <w:tc>
          <w:tcPr>
            <w:tcW w:w="1800" w:type="dxa"/>
            <w:vAlign w:val="center"/>
          </w:tcPr>
          <w:p w:rsidR="00683FC4" w:rsidRPr="005B527E" w:rsidRDefault="00683FC4" w:rsidP="00683FC4">
            <w:pPr>
              <w:jc w:val="center"/>
            </w:pPr>
            <w:r w:rsidRPr="005B527E">
              <w:t>Screener</w:t>
            </w:r>
          </w:p>
        </w:tc>
        <w:tc>
          <w:tcPr>
            <w:tcW w:w="1440" w:type="dxa"/>
            <w:vAlign w:val="center"/>
          </w:tcPr>
          <w:p w:rsidR="00683FC4" w:rsidRPr="005B527E" w:rsidRDefault="00683FC4" w:rsidP="00683FC4">
            <w:pPr>
              <w:jc w:val="center"/>
            </w:pPr>
            <w:r>
              <w:t>1,300</w:t>
            </w:r>
          </w:p>
        </w:tc>
        <w:tc>
          <w:tcPr>
            <w:tcW w:w="1856" w:type="dxa"/>
            <w:vAlign w:val="center"/>
          </w:tcPr>
          <w:p w:rsidR="00683FC4" w:rsidRPr="005B527E" w:rsidRDefault="00683FC4" w:rsidP="00683FC4">
            <w:pPr>
              <w:jc w:val="center"/>
            </w:pPr>
            <w:r w:rsidRPr="005B527E">
              <w:t>1</w:t>
            </w:r>
          </w:p>
        </w:tc>
        <w:tc>
          <w:tcPr>
            <w:tcW w:w="1834" w:type="dxa"/>
            <w:vAlign w:val="center"/>
          </w:tcPr>
          <w:p w:rsidR="00683FC4" w:rsidRPr="005B527E" w:rsidRDefault="002A1964" w:rsidP="00683FC4">
            <w:pPr>
              <w:jc w:val="center"/>
            </w:pPr>
            <w:r>
              <w:t>5/60</w:t>
            </w:r>
          </w:p>
        </w:tc>
        <w:tc>
          <w:tcPr>
            <w:tcW w:w="1350" w:type="dxa"/>
            <w:vAlign w:val="center"/>
          </w:tcPr>
          <w:p w:rsidR="00683FC4" w:rsidRPr="005B527E" w:rsidRDefault="00683FC4" w:rsidP="00683FC4">
            <w:pPr>
              <w:jc w:val="center"/>
            </w:pPr>
            <w:r>
              <w:t>10</w:t>
            </w:r>
            <w:r w:rsidR="002A1964">
              <w:t>8</w:t>
            </w:r>
          </w:p>
        </w:tc>
      </w:tr>
      <w:tr w:rsidR="00683FC4" w:rsidRPr="005B527E" w:rsidTr="00683FC4">
        <w:tc>
          <w:tcPr>
            <w:tcW w:w="1368" w:type="dxa"/>
            <w:vAlign w:val="center"/>
          </w:tcPr>
          <w:p w:rsidR="00683FC4" w:rsidRPr="005B527E" w:rsidRDefault="00683FC4" w:rsidP="00683FC4">
            <w:r w:rsidRPr="005B527E">
              <w:t>Physician</w:t>
            </w:r>
          </w:p>
        </w:tc>
        <w:tc>
          <w:tcPr>
            <w:tcW w:w="1800" w:type="dxa"/>
            <w:vAlign w:val="center"/>
          </w:tcPr>
          <w:p w:rsidR="00683FC4" w:rsidRPr="005B527E" w:rsidRDefault="00683FC4" w:rsidP="00683FC4">
            <w:pPr>
              <w:jc w:val="center"/>
            </w:pPr>
            <w:r>
              <w:t>Survey</w:t>
            </w:r>
          </w:p>
        </w:tc>
        <w:tc>
          <w:tcPr>
            <w:tcW w:w="1440" w:type="dxa"/>
            <w:vAlign w:val="center"/>
          </w:tcPr>
          <w:p w:rsidR="00683FC4" w:rsidRPr="005B527E" w:rsidRDefault="00683FC4" w:rsidP="00683FC4">
            <w:pPr>
              <w:jc w:val="center"/>
            </w:pPr>
            <w:r>
              <w:t>600</w:t>
            </w:r>
          </w:p>
        </w:tc>
        <w:tc>
          <w:tcPr>
            <w:tcW w:w="1856" w:type="dxa"/>
            <w:vAlign w:val="center"/>
          </w:tcPr>
          <w:p w:rsidR="00683FC4" w:rsidRPr="005B527E" w:rsidRDefault="00683FC4" w:rsidP="00683FC4">
            <w:pPr>
              <w:jc w:val="center"/>
            </w:pPr>
            <w:r w:rsidRPr="005B527E">
              <w:t>1</w:t>
            </w:r>
          </w:p>
        </w:tc>
        <w:tc>
          <w:tcPr>
            <w:tcW w:w="1834" w:type="dxa"/>
            <w:vAlign w:val="center"/>
          </w:tcPr>
          <w:p w:rsidR="00683FC4" w:rsidRPr="005B527E" w:rsidRDefault="008423E0" w:rsidP="00683FC4">
            <w:pPr>
              <w:jc w:val="center"/>
            </w:pPr>
            <w:r>
              <w:t>20</w:t>
            </w:r>
            <w:r w:rsidR="002A1964">
              <w:t>/60</w:t>
            </w:r>
          </w:p>
        </w:tc>
        <w:tc>
          <w:tcPr>
            <w:tcW w:w="1350" w:type="dxa"/>
            <w:vAlign w:val="center"/>
          </w:tcPr>
          <w:p w:rsidR="00683FC4" w:rsidRPr="005B527E" w:rsidRDefault="008423E0" w:rsidP="00683FC4">
            <w:pPr>
              <w:jc w:val="center"/>
            </w:pPr>
            <w:r>
              <w:t>2</w:t>
            </w:r>
            <w:r w:rsidR="00683FC4">
              <w:t>00</w:t>
            </w:r>
          </w:p>
        </w:tc>
      </w:tr>
      <w:tr w:rsidR="00683FC4" w:rsidRPr="005B527E" w:rsidTr="00683FC4">
        <w:tc>
          <w:tcPr>
            <w:tcW w:w="1368" w:type="dxa"/>
            <w:vAlign w:val="center"/>
          </w:tcPr>
          <w:p w:rsidR="00683FC4" w:rsidRPr="005B527E" w:rsidRDefault="00683FC4" w:rsidP="00683FC4">
            <w:r w:rsidRPr="005B527E">
              <w:t>Total</w:t>
            </w:r>
          </w:p>
        </w:tc>
        <w:tc>
          <w:tcPr>
            <w:tcW w:w="6930" w:type="dxa"/>
            <w:gridSpan w:val="4"/>
            <w:vAlign w:val="center"/>
          </w:tcPr>
          <w:p w:rsidR="00683FC4" w:rsidRPr="005B527E" w:rsidRDefault="00683FC4" w:rsidP="00683FC4">
            <w:pPr>
              <w:jc w:val="center"/>
            </w:pPr>
          </w:p>
        </w:tc>
        <w:tc>
          <w:tcPr>
            <w:tcW w:w="1350" w:type="dxa"/>
            <w:vAlign w:val="center"/>
          </w:tcPr>
          <w:p w:rsidR="00683FC4" w:rsidRPr="005B527E" w:rsidRDefault="008423E0" w:rsidP="00683FC4">
            <w:pPr>
              <w:jc w:val="center"/>
            </w:pPr>
            <w:r>
              <w:t>3</w:t>
            </w:r>
            <w:r w:rsidR="00683FC4">
              <w:t>0</w:t>
            </w:r>
            <w:r w:rsidR="002A1964">
              <w:t>8</w:t>
            </w:r>
          </w:p>
        </w:tc>
      </w:tr>
    </w:tbl>
    <w:p w:rsidR="00F462C4" w:rsidRDefault="00F462C4" w:rsidP="00683FC4">
      <w:pPr>
        <w:spacing w:after="0"/>
      </w:pPr>
    </w:p>
    <w:p w:rsidR="00F462C4" w:rsidRPr="005B527E" w:rsidRDefault="00F462C4" w:rsidP="00683FC4">
      <w:pPr>
        <w:spacing w:after="0"/>
      </w:pPr>
    </w:p>
    <w:p w:rsidR="00683FC4" w:rsidRDefault="00683FC4" w:rsidP="00683FC4">
      <w:pPr>
        <w:spacing w:after="0"/>
      </w:pPr>
      <w:r>
        <w:t xml:space="preserve">B. Table </w:t>
      </w:r>
      <w:r w:rsidRPr="005B527E">
        <w:t>12</w:t>
      </w:r>
      <w:r>
        <w:t>B</w:t>
      </w:r>
      <w:r w:rsidRPr="005B527E">
        <w:t xml:space="preserve"> summarizes the estimated cost to respondents.  The hourly wages reflect the mean hourly earnings reported by the National Compensation Survey</w:t>
      </w:r>
      <w:r w:rsidRPr="005B527E">
        <w:rPr>
          <w:rStyle w:val="FootnoteReference"/>
        </w:rPr>
        <w:footnoteReference w:id="7"/>
      </w:r>
      <w:r w:rsidRPr="005B527E">
        <w:t>.   The hourly wages for the physician are those of family and general practitioners.  The total estimated annualized cost to respondents is</w:t>
      </w:r>
      <w:r>
        <w:t xml:space="preserve"> $29,920.20</w:t>
      </w:r>
      <w:r w:rsidRPr="005B527E">
        <w:t>.</w:t>
      </w:r>
    </w:p>
    <w:p w:rsidR="0083785F" w:rsidRPr="005B527E" w:rsidRDefault="0083785F" w:rsidP="00683FC4">
      <w:pPr>
        <w:spacing w:after="0"/>
      </w:pPr>
    </w:p>
    <w:p w:rsidR="00683FC4" w:rsidRPr="005B527E" w:rsidRDefault="00683FC4" w:rsidP="00683FC4">
      <w:pPr>
        <w:spacing w:after="0"/>
      </w:pPr>
    </w:p>
    <w:p w:rsidR="00683FC4" w:rsidRPr="005B527E" w:rsidRDefault="00683FC4" w:rsidP="00683FC4">
      <w:pPr>
        <w:spacing w:after="0"/>
      </w:pPr>
      <w:r>
        <w:t>Table 12B</w:t>
      </w:r>
      <w:r w:rsidRPr="005B527E">
        <w:t xml:space="preserve">: Estimated Annualized </w:t>
      </w:r>
      <w:r>
        <w:t xml:space="preserve">Burden </w:t>
      </w:r>
      <w:r w:rsidRPr="005B527E">
        <w:t>Cost</w:t>
      </w:r>
      <w:r>
        <w:t>s</w:t>
      </w:r>
      <w:r w:rsidRPr="005B527E">
        <w:t xml:space="preserve"> to Respondents</w:t>
      </w:r>
    </w:p>
    <w:tbl>
      <w:tblPr>
        <w:tblStyle w:val="TableGrid"/>
        <w:tblW w:w="0" w:type="auto"/>
        <w:tblLook w:val="04A0"/>
      </w:tblPr>
      <w:tblGrid>
        <w:gridCol w:w="2183"/>
        <w:gridCol w:w="2065"/>
        <w:gridCol w:w="1620"/>
        <w:gridCol w:w="1620"/>
        <w:gridCol w:w="2088"/>
      </w:tblGrid>
      <w:tr w:rsidR="00683FC4" w:rsidRPr="005B527E" w:rsidTr="00683FC4">
        <w:tc>
          <w:tcPr>
            <w:tcW w:w="2183" w:type="dxa"/>
            <w:shd w:val="clear" w:color="auto" w:fill="D9D9D9" w:themeFill="background1" w:themeFillShade="D9"/>
          </w:tcPr>
          <w:p w:rsidR="00683FC4" w:rsidRPr="005B527E" w:rsidRDefault="00683FC4" w:rsidP="00683FC4">
            <w:pPr>
              <w:jc w:val="center"/>
              <w:rPr>
                <w:b/>
              </w:rPr>
            </w:pPr>
            <w:r w:rsidRPr="005B527E">
              <w:rPr>
                <w:b/>
              </w:rPr>
              <w:t>Type of Respondent</w:t>
            </w:r>
          </w:p>
        </w:tc>
        <w:tc>
          <w:tcPr>
            <w:tcW w:w="2065" w:type="dxa"/>
            <w:shd w:val="clear" w:color="auto" w:fill="D9D9D9" w:themeFill="background1" w:themeFillShade="D9"/>
            <w:vAlign w:val="center"/>
          </w:tcPr>
          <w:p w:rsidR="00683FC4" w:rsidRPr="005B527E" w:rsidRDefault="00683FC4" w:rsidP="00683FC4">
            <w:pPr>
              <w:jc w:val="center"/>
              <w:rPr>
                <w:b/>
              </w:rPr>
            </w:pPr>
            <w:r w:rsidRPr="005B527E">
              <w:rPr>
                <w:b/>
              </w:rPr>
              <w:t>Form Name</w:t>
            </w:r>
          </w:p>
        </w:tc>
        <w:tc>
          <w:tcPr>
            <w:tcW w:w="1620" w:type="dxa"/>
            <w:shd w:val="clear" w:color="auto" w:fill="D9D9D9" w:themeFill="background1" w:themeFillShade="D9"/>
          </w:tcPr>
          <w:p w:rsidR="00683FC4" w:rsidRPr="005B527E" w:rsidRDefault="00683FC4" w:rsidP="00683FC4">
            <w:pPr>
              <w:jc w:val="center"/>
              <w:rPr>
                <w:b/>
              </w:rPr>
            </w:pPr>
            <w:r w:rsidRPr="005B527E">
              <w:rPr>
                <w:b/>
              </w:rPr>
              <w:t>Total Burden Hours</w:t>
            </w:r>
          </w:p>
        </w:tc>
        <w:tc>
          <w:tcPr>
            <w:tcW w:w="1620" w:type="dxa"/>
            <w:shd w:val="clear" w:color="auto" w:fill="D9D9D9" w:themeFill="background1" w:themeFillShade="D9"/>
          </w:tcPr>
          <w:p w:rsidR="00683FC4" w:rsidRPr="005B527E" w:rsidRDefault="00683FC4" w:rsidP="00683FC4">
            <w:pPr>
              <w:jc w:val="center"/>
              <w:rPr>
                <w:b/>
              </w:rPr>
            </w:pPr>
            <w:r w:rsidRPr="005B527E">
              <w:rPr>
                <w:b/>
              </w:rPr>
              <w:t>Hourly Wage Rate</w:t>
            </w:r>
          </w:p>
        </w:tc>
        <w:tc>
          <w:tcPr>
            <w:tcW w:w="2088" w:type="dxa"/>
            <w:shd w:val="clear" w:color="auto" w:fill="D9D9D9" w:themeFill="background1" w:themeFillShade="D9"/>
          </w:tcPr>
          <w:p w:rsidR="00683FC4" w:rsidRPr="005B527E" w:rsidRDefault="00683FC4" w:rsidP="00683FC4">
            <w:pPr>
              <w:jc w:val="center"/>
              <w:rPr>
                <w:b/>
              </w:rPr>
            </w:pPr>
            <w:r w:rsidRPr="005B527E">
              <w:rPr>
                <w:b/>
              </w:rPr>
              <w:t>Total Respondent Costs</w:t>
            </w:r>
          </w:p>
        </w:tc>
      </w:tr>
      <w:tr w:rsidR="00683FC4" w:rsidRPr="005B527E" w:rsidTr="00683FC4">
        <w:tc>
          <w:tcPr>
            <w:tcW w:w="2183" w:type="dxa"/>
            <w:vAlign w:val="center"/>
          </w:tcPr>
          <w:p w:rsidR="00683FC4" w:rsidRPr="005B527E" w:rsidRDefault="00683FC4" w:rsidP="00683FC4">
            <w:r w:rsidRPr="005B527E">
              <w:t>Medical Secretary</w:t>
            </w:r>
          </w:p>
        </w:tc>
        <w:tc>
          <w:tcPr>
            <w:tcW w:w="2065" w:type="dxa"/>
            <w:vAlign w:val="center"/>
          </w:tcPr>
          <w:p w:rsidR="00683FC4" w:rsidRPr="005B527E" w:rsidRDefault="00683FC4" w:rsidP="00683FC4">
            <w:r>
              <w:t xml:space="preserve">         </w:t>
            </w:r>
            <w:r w:rsidRPr="005B527E">
              <w:t>Screener</w:t>
            </w:r>
          </w:p>
        </w:tc>
        <w:tc>
          <w:tcPr>
            <w:tcW w:w="1620" w:type="dxa"/>
            <w:vAlign w:val="center"/>
          </w:tcPr>
          <w:p w:rsidR="00683FC4" w:rsidRPr="005B527E" w:rsidRDefault="00683FC4" w:rsidP="00683FC4">
            <w:pPr>
              <w:jc w:val="center"/>
            </w:pPr>
            <w:r>
              <w:t>10</w:t>
            </w:r>
            <w:r w:rsidR="00A95FA5">
              <w:t>8</w:t>
            </w:r>
          </w:p>
        </w:tc>
        <w:tc>
          <w:tcPr>
            <w:tcW w:w="1620" w:type="dxa"/>
            <w:vAlign w:val="center"/>
          </w:tcPr>
          <w:p w:rsidR="00683FC4" w:rsidRPr="005B527E" w:rsidRDefault="00683FC4" w:rsidP="00683FC4">
            <w:pPr>
              <w:jc w:val="center"/>
            </w:pPr>
            <w:r>
              <w:t>$16.05</w:t>
            </w:r>
          </w:p>
        </w:tc>
        <w:tc>
          <w:tcPr>
            <w:tcW w:w="2088" w:type="dxa"/>
            <w:vAlign w:val="center"/>
          </w:tcPr>
          <w:p w:rsidR="00683FC4" w:rsidRPr="005B527E" w:rsidRDefault="00A16447" w:rsidP="00683FC4">
            <w:pPr>
              <w:jc w:val="center"/>
            </w:pPr>
            <w:r>
              <w:t>$1,733.4</w:t>
            </w:r>
            <w:r w:rsidR="00683FC4">
              <w:t>0</w:t>
            </w:r>
          </w:p>
        </w:tc>
      </w:tr>
      <w:tr w:rsidR="00683FC4" w:rsidRPr="005B527E" w:rsidTr="00683FC4">
        <w:tc>
          <w:tcPr>
            <w:tcW w:w="2183" w:type="dxa"/>
            <w:vAlign w:val="center"/>
          </w:tcPr>
          <w:p w:rsidR="00683FC4" w:rsidRPr="005B527E" w:rsidRDefault="00683FC4" w:rsidP="00683FC4">
            <w:r w:rsidRPr="005B527E">
              <w:t>Physician</w:t>
            </w:r>
          </w:p>
        </w:tc>
        <w:tc>
          <w:tcPr>
            <w:tcW w:w="2065" w:type="dxa"/>
            <w:vAlign w:val="center"/>
          </w:tcPr>
          <w:p w:rsidR="00683FC4" w:rsidRPr="005B527E" w:rsidRDefault="00683FC4" w:rsidP="00683FC4">
            <w:pPr>
              <w:jc w:val="center"/>
            </w:pPr>
            <w:r>
              <w:t>Survey</w:t>
            </w:r>
          </w:p>
        </w:tc>
        <w:tc>
          <w:tcPr>
            <w:tcW w:w="1620" w:type="dxa"/>
            <w:vAlign w:val="center"/>
          </w:tcPr>
          <w:p w:rsidR="00683FC4" w:rsidRPr="005B527E" w:rsidRDefault="008423E0" w:rsidP="00683FC4">
            <w:pPr>
              <w:jc w:val="center"/>
            </w:pPr>
            <w:r>
              <w:t>2</w:t>
            </w:r>
            <w:r w:rsidR="00683FC4">
              <w:t>00</w:t>
            </w:r>
          </w:p>
        </w:tc>
        <w:tc>
          <w:tcPr>
            <w:tcW w:w="1620" w:type="dxa"/>
            <w:vAlign w:val="center"/>
          </w:tcPr>
          <w:p w:rsidR="00683FC4" w:rsidRPr="005B527E" w:rsidRDefault="00683FC4" w:rsidP="00683FC4">
            <w:pPr>
              <w:jc w:val="center"/>
            </w:pPr>
            <w:r>
              <w:t>$94.17</w:t>
            </w:r>
          </w:p>
        </w:tc>
        <w:tc>
          <w:tcPr>
            <w:tcW w:w="2088" w:type="dxa"/>
            <w:vAlign w:val="center"/>
          </w:tcPr>
          <w:p w:rsidR="00683FC4" w:rsidRPr="005B527E" w:rsidRDefault="00683FC4" w:rsidP="008423E0">
            <w:pPr>
              <w:jc w:val="center"/>
            </w:pPr>
            <w:r>
              <w:t>$</w:t>
            </w:r>
            <w:r w:rsidR="008423E0">
              <w:t>18,834</w:t>
            </w:r>
            <w:r>
              <w:t>.00</w:t>
            </w:r>
          </w:p>
        </w:tc>
      </w:tr>
      <w:tr w:rsidR="00683FC4" w:rsidRPr="005B527E" w:rsidTr="00683FC4">
        <w:tc>
          <w:tcPr>
            <w:tcW w:w="2183" w:type="dxa"/>
            <w:vAlign w:val="center"/>
          </w:tcPr>
          <w:p w:rsidR="00683FC4" w:rsidRPr="005B527E" w:rsidRDefault="00683FC4" w:rsidP="00683FC4">
            <w:r w:rsidRPr="005B527E">
              <w:t>Total</w:t>
            </w:r>
          </w:p>
        </w:tc>
        <w:tc>
          <w:tcPr>
            <w:tcW w:w="5305" w:type="dxa"/>
            <w:gridSpan w:val="3"/>
            <w:vAlign w:val="center"/>
          </w:tcPr>
          <w:p w:rsidR="00683FC4" w:rsidRPr="005B527E" w:rsidRDefault="00683FC4" w:rsidP="00683FC4">
            <w:pPr>
              <w:jc w:val="center"/>
            </w:pPr>
          </w:p>
        </w:tc>
        <w:tc>
          <w:tcPr>
            <w:tcW w:w="2088" w:type="dxa"/>
            <w:vAlign w:val="center"/>
          </w:tcPr>
          <w:p w:rsidR="00683FC4" w:rsidRPr="005B527E" w:rsidRDefault="00A16447" w:rsidP="008423E0">
            <w:pPr>
              <w:jc w:val="center"/>
            </w:pPr>
            <w:r>
              <w:t>$</w:t>
            </w:r>
            <w:r w:rsidR="008423E0">
              <w:t>20,567</w:t>
            </w:r>
            <w:bookmarkStart w:id="0" w:name="_GoBack"/>
            <w:bookmarkEnd w:id="0"/>
            <w:r>
              <w:t>.4</w:t>
            </w:r>
            <w:r w:rsidR="00683FC4">
              <w:t>0</w:t>
            </w:r>
          </w:p>
        </w:tc>
      </w:tr>
    </w:tbl>
    <w:p w:rsidR="00683FC4" w:rsidRPr="005B527E" w:rsidRDefault="00683FC4" w:rsidP="00683FC4">
      <w:pPr>
        <w:spacing w:after="0"/>
      </w:pPr>
    </w:p>
    <w:p w:rsidR="00683FC4" w:rsidRPr="005B527E" w:rsidRDefault="00683FC4" w:rsidP="00683FC4">
      <w:pPr>
        <w:spacing w:after="0"/>
      </w:pPr>
    </w:p>
    <w:p w:rsidR="00683FC4" w:rsidRPr="005B527E" w:rsidRDefault="00683FC4" w:rsidP="00683FC4">
      <w:pPr>
        <w:pStyle w:val="ListParagraph"/>
        <w:numPr>
          <w:ilvl w:val="0"/>
          <w:numId w:val="2"/>
        </w:numPr>
        <w:spacing w:after="0"/>
        <w:rPr>
          <w:b/>
          <w:u w:val="single"/>
        </w:rPr>
      </w:pPr>
      <w:r>
        <w:rPr>
          <w:b/>
        </w:rPr>
        <w:t>Estimates of o</w:t>
      </w:r>
      <w:r w:rsidRPr="005B527E">
        <w:rPr>
          <w:b/>
        </w:rPr>
        <w:t>ther Total Annual Cost B</w:t>
      </w:r>
      <w:r>
        <w:rPr>
          <w:b/>
        </w:rPr>
        <w:t>urden to Respondents or Record K</w:t>
      </w:r>
      <w:r w:rsidRPr="005B527E">
        <w:rPr>
          <w:b/>
        </w:rPr>
        <w:t>eepers</w:t>
      </w:r>
    </w:p>
    <w:p w:rsidR="00683FC4" w:rsidRPr="005B527E" w:rsidRDefault="00683FC4" w:rsidP="00683FC4">
      <w:pPr>
        <w:spacing w:after="0"/>
      </w:pPr>
    </w:p>
    <w:p w:rsidR="00CD03EC" w:rsidRDefault="00683FC4" w:rsidP="00804FD3">
      <w:pPr>
        <w:spacing w:after="0"/>
      </w:pPr>
      <w:r w:rsidRPr="005B527E">
        <w:t>There are no capital or start-up costs, and there are no costs to the respondents or record keepers for operation and maintenance of services.</w:t>
      </w:r>
    </w:p>
    <w:p w:rsidR="00CD03EC" w:rsidRPr="005B527E" w:rsidRDefault="00CD03EC" w:rsidP="00804FD3">
      <w:pPr>
        <w:spacing w:after="0"/>
      </w:pPr>
    </w:p>
    <w:p w:rsidR="00CE5295" w:rsidRPr="005B527E" w:rsidRDefault="00CE5295" w:rsidP="00804FD3">
      <w:pPr>
        <w:pStyle w:val="ListParagraph"/>
        <w:numPr>
          <w:ilvl w:val="0"/>
          <w:numId w:val="2"/>
        </w:numPr>
        <w:spacing w:after="0"/>
        <w:rPr>
          <w:b/>
          <w:u w:val="single"/>
        </w:rPr>
      </w:pPr>
      <w:r w:rsidRPr="005B527E">
        <w:rPr>
          <w:b/>
        </w:rPr>
        <w:t>Annualized Cost to the Government</w:t>
      </w:r>
      <w:r w:rsidR="00A74EA9">
        <w:rPr>
          <w:b/>
        </w:rPr>
        <w:t>-OWH</w:t>
      </w:r>
    </w:p>
    <w:p w:rsidR="009B773C" w:rsidRPr="005B527E" w:rsidRDefault="009B773C" w:rsidP="00804FD3">
      <w:pPr>
        <w:spacing w:after="0"/>
      </w:pPr>
    </w:p>
    <w:p w:rsidR="00090306" w:rsidRPr="00A87F89" w:rsidRDefault="007528EB" w:rsidP="00A87F89">
      <w:pPr>
        <w:rPr>
          <w:rFonts w:eastAsia="Times New Roman"/>
          <w:color w:val="000000"/>
        </w:rPr>
      </w:pPr>
      <w:r w:rsidRPr="006F13E4">
        <w:t xml:space="preserve">Westat </w:t>
      </w:r>
      <w:r w:rsidR="00CE5295" w:rsidRPr="006F13E4">
        <w:t>will conduct t</w:t>
      </w:r>
      <w:r w:rsidR="008D4B08" w:rsidRPr="006F13E4">
        <w:t>he majority of tasks</w:t>
      </w:r>
      <w:r w:rsidR="00CE5295" w:rsidRPr="006F13E4">
        <w:t xml:space="preserve"> associated with this data collection effort</w:t>
      </w:r>
      <w:r w:rsidR="009B773C" w:rsidRPr="006F13E4">
        <w:t xml:space="preserve">, including </w:t>
      </w:r>
      <w:r w:rsidR="000812B9" w:rsidRPr="006F13E4">
        <w:t xml:space="preserve">screening </w:t>
      </w:r>
      <w:r w:rsidR="003C1549" w:rsidRPr="006F13E4">
        <w:t>participants through telephone, sending reminder letters to p</w:t>
      </w:r>
      <w:r w:rsidR="00B44AFE">
        <w:t>articipants, mailing the survey instrument, collecting and safeguarding data, and performing data cleaning and</w:t>
      </w:r>
      <w:r w:rsidR="00066692" w:rsidRPr="006F13E4">
        <w:t xml:space="preserve"> analysis</w:t>
      </w:r>
      <w:r w:rsidR="00CE5295" w:rsidRPr="006F13E4">
        <w:t xml:space="preserve">.  </w:t>
      </w:r>
      <w:r w:rsidR="00436A79">
        <w:t xml:space="preserve">The OWH </w:t>
      </w:r>
      <w:r w:rsidR="006F13E4" w:rsidRPr="006F13E4">
        <w:t xml:space="preserve">contract with Westat is for $292,469 over 2 </w:t>
      </w:r>
      <w:r w:rsidR="00640846" w:rsidRPr="006F13E4">
        <w:t>years,</w:t>
      </w:r>
      <w:r w:rsidR="006F13E4" w:rsidRPr="006F13E4">
        <w:t xml:space="preserve"> or $</w:t>
      </w:r>
      <w:r w:rsidR="006B7715" w:rsidRPr="006B7715">
        <w:rPr>
          <w:rFonts w:eastAsia="Times New Roman"/>
          <w:color w:val="000000"/>
        </w:rPr>
        <w:t>146</w:t>
      </w:r>
      <w:r w:rsidR="00640846">
        <w:rPr>
          <w:rFonts w:eastAsia="Times New Roman"/>
          <w:color w:val="000000"/>
        </w:rPr>
        <w:t>,234.50 per</w:t>
      </w:r>
      <w:r w:rsidR="006B7715" w:rsidRPr="006B7715">
        <w:rPr>
          <w:rFonts w:eastAsia="Times New Roman"/>
          <w:color w:val="000000"/>
        </w:rPr>
        <w:t xml:space="preserve"> year.  </w:t>
      </w:r>
      <w:r w:rsidR="009B773C" w:rsidRPr="006F13E4">
        <w:t xml:space="preserve">Costs to the government also include </w:t>
      </w:r>
      <w:r w:rsidR="00FA2865" w:rsidRPr="006F13E4">
        <w:t>OWH</w:t>
      </w:r>
      <w:r w:rsidR="00CE5295" w:rsidRPr="006F13E4">
        <w:t xml:space="preserve"> time and effort for overseeing the contract, providing technical expertise, and answering questions posed by the contractor</w:t>
      </w:r>
      <w:r w:rsidR="00FA2865" w:rsidRPr="006F13E4">
        <w:t xml:space="preserve">.  </w:t>
      </w:r>
      <w:r w:rsidR="006F13E4" w:rsidRPr="006F13E4">
        <w:t xml:space="preserve">Two OWH staff will lead this project.  </w:t>
      </w:r>
      <w:r w:rsidR="00436A79">
        <w:t>Estimated personnel time is</w:t>
      </w:r>
      <w:r w:rsidR="009B773C" w:rsidRPr="006F13E4">
        <w:t xml:space="preserve"> </w:t>
      </w:r>
      <w:r w:rsidR="006F13E4" w:rsidRPr="006F13E4">
        <w:t xml:space="preserve">20% </w:t>
      </w:r>
      <w:r w:rsidR="00436A79">
        <w:t xml:space="preserve">of a </w:t>
      </w:r>
      <w:r w:rsidR="006B7715" w:rsidRPr="006B7715">
        <w:t>FTE.  The total estimated annual cost to the government is $</w:t>
      </w:r>
      <w:r w:rsidR="006B7715" w:rsidRPr="006B7715">
        <w:rPr>
          <w:color w:val="000000"/>
        </w:rPr>
        <w:t>168</w:t>
      </w:r>
      <w:r w:rsidR="00640846">
        <w:rPr>
          <w:color w:val="000000"/>
        </w:rPr>
        <w:t>,</w:t>
      </w:r>
      <w:r w:rsidR="006B7715" w:rsidRPr="006B7715">
        <w:rPr>
          <w:color w:val="000000"/>
        </w:rPr>
        <w:t>234.50</w:t>
      </w:r>
      <w:r w:rsidR="009B773C" w:rsidRPr="006F13E4">
        <w:t>.</w:t>
      </w:r>
    </w:p>
    <w:p w:rsidR="00090306" w:rsidRPr="006F13E4" w:rsidRDefault="00090306" w:rsidP="00804FD3">
      <w:pPr>
        <w:spacing w:after="0"/>
      </w:pPr>
      <w:r w:rsidRPr="006F13E4">
        <w:t>Table A14-1: Annualized Cost to Government</w:t>
      </w:r>
      <w:r w:rsidR="00FA2865" w:rsidRPr="006F13E4">
        <w:t xml:space="preserve"> </w:t>
      </w:r>
    </w:p>
    <w:tbl>
      <w:tblPr>
        <w:tblStyle w:val="TableGrid"/>
        <w:tblW w:w="0" w:type="auto"/>
        <w:jc w:val="center"/>
        <w:tblLook w:val="04A0"/>
      </w:tblPr>
      <w:tblGrid>
        <w:gridCol w:w="1998"/>
        <w:gridCol w:w="1980"/>
      </w:tblGrid>
      <w:tr w:rsidR="00CE5295" w:rsidRPr="006F13E4" w:rsidTr="00FA372B">
        <w:trPr>
          <w:jc w:val="center"/>
        </w:trPr>
        <w:tc>
          <w:tcPr>
            <w:tcW w:w="1998" w:type="dxa"/>
            <w:tcBorders>
              <w:top w:val="nil"/>
              <w:left w:val="nil"/>
            </w:tcBorders>
          </w:tcPr>
          <w:p w:rsidR="00CE5295" w:rsidRPr="006F13E4" w:rsidRDefault="00CE5295" w:rsidP="00CE5295">
            <w:pPr>
              <w:spacing w:after="200" w:line="276" w:lineRule="auto"/>
            </w:pPr>
          </w:p>
        </w:tc>
        <w:tc>
          <w:tcPr>
            <w:tcW w:w="1980" w:type="dxa"/>
            <w:shd w:val="clear" w:color="auto" w:fill="BFBFBF" w:themeFill="background1" w:themeFillShade="BF"/>
            <w:vAlign w:val="center"/>
          </w:tcPr>
          <w:p w:rsidR="00CE5295" w:rsidRPr="006F13E4" w:rsidRDefault="006B7715" w:rsidP="00CE5295">
            <w:pPr>
              <w:spacing w:after="200" w:line="276" w:lineRule="auto"/>
              <w:rPr>
                <w:b/>
              </w:rPr>
            </w:pPr>
            <w:r w:rsidRPr="006B7715">
              <w:rPr>
                <w:b/>
              </w:rPr>
              <w:t>Annualized Cost</w:t>
            </w:r>
          </w:p>
        </w:tc>
      </w:tr>
      <w:tr w:rsidR="00CE5295" w:rsidRPr="006F13E4" w:rsidTr="00FA372B">
        <w:trPr>
          <w:jc w:val="center"/>
        </w:trPr>
        <w:tc>
          <w:tcPr>
            <w:tcW w:w="1998" w:type="dxa"/>
          </w:tcPr>
          <w:p w:rsidR="00CE5295" w:rsidRPr="006F13E4" w:rsidRDefault="006B7715" w:rsidP="00CE5295">
            <w:pPr>
              <w:spacing w:after="200" w:line="276" w:lineRule="auto"/>
            </w:pPr>
            <w:r w:rsidRPr="006B7715">
              <w:t>OWH total</w:t>
            </w:r>
          </w:p>
        </w:tc>
        <w:tc>
          <w:tcPr>
            <w:tcW w:w="1980" w:type="dxa"/>
          </w:tcPr>
          <w:p w:rsidR="00CE5295" w:rsidRPr="006F13E4" w:rsidRDefault="006B7715" w:rsidP="008D4B08">
            <w:pPr>
              <w:spacing w:after="200" w:line="276" w:lineRule="auto"/>
              <w:jc w:val="right"/>
            </w:pPr>
            <w:r w:rsidRPr="006B7715">
              <w:t>$22</w:t>
            </w:r>
            <w:r w:rsidR="00436A79">
              <w:t>,</w:t>
            </w:r>
            <w:r w:rsidRPr="006B7715">
              <w:t>000</w:t>
            </w:r>
            <w:r w:rsidR="002A3017">
              <w:t>.00</w:t>
            </w:r>
          </w:p>
        </w:tc>
      </w:tr>
      <w:tr w:rsidR="00CE5295" w:rsidRPr="006F13E4" w:rsidTr="00FA372B">
        <w:trPr>
          <w:jc w:val="center"/>
        </w:trPr>
        <w:tc>
          <w:tcPr>
            <w:tcW w:w="1998" w:type="dxa"/>
          </w:tcPr>
          <w:p w:rsidR="00CE5295" w:rsidRPr="006F13E4" w:rsidRDefault="006B7715" w:rsidP="00CE5295">
            <w:pPr>
              <w:spacing w:after="200" w:line="276" w:lineRule="auto"/>
            </w:pPr>
            <w:r w:rsidRPr="006B7715">
              <w:t>Contractor total</w:t>
            </w:r>
          </w:p>
        </w:tc>
        <w:tc>
          <w:tcPr>
            <w:tcW w:w="1980" w:type="dxa"/>
          </w:tcPr>
          <w:p w:rsidR="00CE5295" w:rsidRPr="006F13E4" w:rsidRDefault="006B7715" w:rsidP="008D4B08">
            <w:pPr>
              <w:spacing w:after="200" w:line="276" w:lineRule="auto"/>
              <w:jc w:val="right"/>
            </w:pPr>
            <w:r w:rsidRPr="006B7715">
              <w:t>$146</w:t>
            </w:r>
            <w:r w:rsidR="00436A79">
              <w:t>,</w:t>
            </w:r>
            <w:r w:rsidRPr="006B7715">
              <w:t>234.50</w:t>
            </w:r>
          </w:p>
        </w:tc>
      </w:tr>
      <w:tr w:rsidR="009B773C" w:rsidRPr="006F13E4" w:rsidTr="00FA372B">
        <w:trPr>
          <w:jc w:val="center"/>
        </w:trPr>
        <w:tc>
          <w:tcPr>
            <w:tcW w:w="1998" w:type="dxa"/>
          </w:tcPr>
          <w:p w:rsidR="009B773C" w:rsidRPr="006F13E4" w:rsidRDefault="006B7715" w:rsidP="00CE5295">
            <w:pPr>
              <w:spacing w:after="200" w:line="276" w:lineRule="auto"/>
            </w:pPr>
            <w:r w:rsidRPr="006B7715">
              <w:t>Total</w:t>
            </w:r>
          </w:p>
        </w:tc>
        <w:tc>
          <w:tcPr>
            <w:tcW w:w="1980" w:type="dxa"/>
          </w:tcPr>
          <w:p w:rsidR="009B773C" w:rsidRPr="006F13E4" w:rsidRDefault="006B7715" w:rsidP="006F13E4">
            <w:pPr>
              <w:spacing w:after="200" w:line="276" w:lineRule="auto"/>
              <w:jc w:val="right"/>
              <w:rPr>
                <w:color w:val="000000"/>
              </w:rPr>
            </w:pPr>
            <w:r w:rsidRPr="006B7715">
              <w:rPr>
                <w:color w:val="000000"/>
              </w:rPr>
              <w:t>$168</w:t>
            </w:r>
            <w:r w:rsidR="00F432E1">
              <w:rPr>
                <w:color w:val="000000"/>
              </w:rPr>
              <w:t>,</w:t>
            </w:r>
            <w:r w:rsidRPr="006B7715">
              <w:rPr>
                <w:color w:val="000000"/>
              </w:rPr>
              <w:t>234.5</w:t>
            </w:r>
            <w:r w:rsidR="002A3017">
              <w:rPr>
                <w:color w:val="000000"/>
              </w:rPr>
              <w:t>0</w:t>
            </w:r>
          </w:p>
        </w:tc>
      </w:tr>
    </w:tbl>
    <w:p w:rsidR="00E77A9E" w:rsidRPr="005B527E" w:rsidRDefault="00E77A9E" w:rsidP="00854F90"/>
    <w:p w:rsidR="009F174B" w:rsidRPr="005B527E" w:rsidRDefault="009F174B" w:rsidP="00804FD3">
      <w:pPr>
        <w:pStyle w:val="ListParagraph"/>
        <w:numPr>
          <w:ilvl w:val="0"/>
          <w:numId w:val="2"/>
        </w:numPr>
        <w:spacing w:after="0"/>
        <w:rPr>
          <w:b/>
          <w:u w:val="single"/>
        </w:rPr>
      </w:pPr>
      <w:r w:rsidRPr="005B527E">
        <w:rPr>
          <w:b/>
        </w:rPr>
        <w:t>Explanation for Program Changes or Adjustments</w:t>
      </w:r>
    </w:p>
    <w:p w:rsidR="009B773C" w:rsidRPr="005B527E" w:rsidRDefault="009B773C" w:rsidP="00804FD3">
      <w:pPr>
        <w:spacing w:after="0"/>
      </w:pPr>
    </w:p>
    <w:p w:rsidR="000D2873" w:rsidRDefault="00FA372B" w:rsidP="00EF44A6">
      <w:pPr>
        <w:spacing w:after="0"/>
      </w:pPr>
      <w:r w:rsidRPr="005B527E">
        <w:t>This is a new data collection.</w:t>
      </w:r>
    </w:p>
    <w:p w:rsidR="00EF44A6" w:rsidRPr="00EF44A6" w:rsidRDefault="00EF44A6" w:rsidP="00EF44A6">
      <w:pPr>
        <w:spacing w:after="0"/>
      </w:pPr>
    </w:p>
    <w:p w:rsidR="009A58A4" w:rsidRPr="005B527E" w:rsidRDefault="007C1612" w:rsidP="000D2873">
      <w:pPr>
        <w:pStyle w:val="ListParagraph"/>
        <w:numPr>
          <w:ilvl w:val="0"/>
          <w:numId w:val="2"/>
        </w:numPr>
        <w:rPr>
          <w:b/>
          <w:u w:val="single"/>
        </w:rPr>
      </w:pPr>
      <w:r w:rsidRPr="005B527E">
        <w:rPr>
          <w:b/>
        </w:rPr>
        <w:t>Plans for Tabulation and Publication and Project Time Schedule</w:t>
      </w:r>
      <w:r w:rsidR="00675E1C" w:rsidRPr="005B527E">
        <w:rPr>
          <w:b/>
        </w:rPr>
        <w:t xml:space="preserve"> </w:t>
      </w:r>
    </w:p>
    <w:p w:rsidR="005E2D71" w:rsidRPr="005B527E" w:rsidRDefault="00530F03" w:rsidP="005E2D71">
      <w:pPr>
        <w:spacing w:after="0"/>
      </w:pPr>
      <w:r>
        <w:t xml:space="preserve">The survey will be conducted 1-4 </w:t>
      </w:r>
      <w:r w:rsidR="005E2D71" w:rsidRPr="005B527E">
        <w:t>months after OM</w:t>
      </w:r>
      <w:r w:rsidR="00911EF4" w:rsidRPr="005B527E">
        <w:t>B approval is obtained (Table A</w:t>
      </w:r>
      <w:r w:rsidR="005E2D71" w:rsidRPr="005B527E">
        <w:t xml:space="preserve">16-1).  </w:t>
      </w:r>
    </w:p>
    <w:p w:rsidR="005E2D71" w:rsidRPr="005B527E" w:rsidRDefault="005E2D71" w:rsidP="000D2873">
      <w:pPr>
        <w:spacing w:after="0"/>
      </w:pPr>
    </w:p>
    <w:p w:rsidR="009A58A4" w:rsidRPr="005B527E" w:rsidRDefault="007025C8" w:rsidP="000D2873">
      <w:pPr>
        <w:spacing w:after="0"/>
      </w:pPr>
      <w:r w:rsidRPr="005B527E">
        <w:t>Table A16-1: Project Time Schedule</w:t>
      </w:r>
    </w:p>
    <w:tbl>
      <w:tblPr>
        <w:tblStyle w:val="TableGrid"/>
        <w:tblW w:w="0" w:type="auto"/>
        <w:tblLook w:val="04A0"/>
      </w:tblPr>
      <w:tblGrid>
        <w:gridCol w:w="5058"/>
        <w:gridCol w:w="4500"/>
      </w:tblGrid>
      <w:tr w:rsidR="009A58A4" w:rsidRPr="005B527E" w:rsidTr="00300908">
        <w:tc>
          <w:tcPr>
            <w:tcW w:w="5058" w:type="dxa"/>
            <w:shd w:val="clear" w:color="auto" w:fill="D9D9D9" w:themeFill="background1" w:themeFillShade="D9"/>
          </w:tcPr>
          <w:p w:rsidR="009A58A4" w:rsidRPr="005B527E" w:rsidRDefault="009A58A4" w:rsidP="00D84684">
            <w:pPr>
              <w:jc w:val="center"/>
              <w:rPr>
                <w:b/>
              </w:rPr>
            </w:pPr>
            <w:r w:rsidRPr="005B527E">
              <w:rPr>
                <w:b/>
              </w:rPr>
              <w:t>Study Activity</w:t>
            </w:r>
          </w:p>
        </w:tc>
        <w:tc>
          <w:tcPr>
            <w:tcW w:w="4500" w:type="dxa"/>
            <w:shd w:val="clear" w:color="auto" w:fill="D9D9D9" w:themeFill="background1" w:themeFillShade="D9"/>
          </w:tcPr>
          <w:p w:rsidR="009A58A4" w:rsidRPr="005B527E" w:rsidRDefault="009A58A4" w:rsidP="00D84684">
            <w:pPr>
              <w:jc w:val="center"/>
              <w:rPr>
                <w:b/>
              </w:rPr>
            </w:pPr>
            <w:r w:rsidRPr="005B527E">
              <w:rPr>
                <w:b/>
              </w:rPr>
              <w:t>Time Schedule</w:t>
            </w:r>
          </w:p>
        </w:tc>
      </w:tr>
      <w:tr w:rsidR="004111CB" w:rsidRPr="005B527E" w:rsidTr="00300908">
        <w:tc>
          <w:tcPr>
            <w:tcW w:w="5058" w:type="dxa"/>
          </w:tcPr>
          <w:p w:rsidR="004111CB" w:rsidRPr="005B527E" w:rsidRDefault="004111CB" w:rsidP="009F645A">
            <w:pPr>
              <w:ind w:right="-720"/>
            </w:pPr>
            <w:r w:rsidRPr="005B527E">
              <w:t>Initial tracing</w:t>
            </w:r>
          </w:p>
        </w:tc>
        <w:tc>
          <w:tcPr>
            <w:tcW w:w="4500" w:type="dxa"/>
          </w:tcPr>
          <w:p w:rsidR="004111CB" w:rsidRPr="005B527E" w:rsidRDefault="00A74EA9" w:rsidP="009F645A">
            <w:pPr>
              <w:ind w:right="-720"/>
            </w:pPr>
            <w:r>
              <w:t xml:space="preserve"> </w:t>
            </w:r>
            <w:r w:rsidR="002F04E6">
              <w:t>Immediately following</w:t>
            </w:r>
            <w:r w:rsidRPr="005B527E">
              <w:t xml:space="preserve"> OMB approval</w:t>
            </w:r>
          </w:p>
        </w:tc>
      </w:tr>
      <w:tr w:rsidR="009A58A4" w:rsidRPr="005B527E" w:rsidTr="00300908">
        <w:tc>
          <w:tcPr>
            <w:tcW w:w="5058" w:type="dxa"/>
          </w:tcPr>
          <w:p w:rsidR="009A58A4" w:rsidRPr="005B527E" w:rsidRDefault="009A58A4" w:rsidP="009F645A">
            <w:pPr>
              <w:ind w:right="-720"/>
            </w:pPr>
            <w:r w:rsidRPr="005B527E">
              <w:t>Screening telephone calls</w:t>
            </w:r>
          </w:p>
        </w:tc>
        <w:tc>
          <w:tcPr>
            <w:tcW w:w="4500" w:type="dxa"/>
          </w:tcPr>
          <w:p w:rsidR="009A58A4" w:rsidRPr="005B527E" w:rsidRDefault="009A58A4" w:rsidP="009F645A">
            <w:pPr>
              <w:ind w:right="-720"/>
            </w:pPr>
            <w:r w:rsidRPr="005B527E">
              <w:t xml:space="preserve"> </w:t>
            </w:r>
            <w:r w:rsidR="002F04E6">
              <w:t>1</w:t>
            </w:r>
            <w:r w:rsidR="004111CB" w:rsidRPr="005B527E">
              <w:t xml:space="preserve"> </w:t>
            </w:r>
            <w:r w:rsidRPr="005B527E">
              <w:t>month after OMB approval</w:t>
            </w:r>
          </w:p>
        </w:tc>
      </w:tr>
      <w:tr w:rsidR="009A58A4" w:rsidRPr="005B527E" w:rsidTr="00300908">
        <w:tc>
          <w:tcPr>
            <w:tcW w:w="5058" w:type="dxa"/>
          </w:tcPr>
          <w:p w:rsidR="009A58A4" w:rsidRPr="005B527E" w:rsidRDefault="004111CB" w:rsidP="009F645A">
            <w:pPr>
              <w:ind w:right="-720"/>
            </w:pPr>
            <w:r w:rsidRPr="005B527E">
              <w:t>1</w:t>
            </w:r>
            <w:r w:rsidRPr="005B527E">
              <w:rPr>
                <w:vertAlign w:val="superscript"/>
              </w:rPr>
              <w:t>st</w:t>
            </w:r>
            <w:r w:rsidRPr="005B527E">
              <w:t xml:space="preserve"> mailing of survey package</w:t>
            </w:r>
          </w:p>
        </w:tc>
        <w:tc>
          <w:tcPr>
            <w:tcW w:w="4500" w:type="dxa"/>
          </w:tcPr>
          <w:p w:rsidR="009A58A4" w:rsidRPr="005B527E" w:rsidRDefault="009A58A4" w:rsidP="009F645A">
            <w:pPr>
              <w:ind w:right="-720"/>
            </w:pPr>
            <w:r w:rsidRPr="005B527E">
              <w:t xml:space="preserve"> </w:t>
            </w:r>
            <w:r w:rsidR="002670A7">
              <w:t>1</w:t>
            </w:r>
            <w:r w:rsidR="004111CB" w:rsidRPr="005B527E">
              <w:t xml:space="preserve"> </w:t>
            </w:r>
            <w:r w:rsidR="002670A7">
              <w:t>month</w:t>
            </w:r>
            <w:r w:rsidRPr="005B527E">
              <w:t xml:space="preserve"> after OMB approval</w:t>
            </w:r>
          </w:p>
        </w:tc>
      </w:tr>
      <w:tr w:rsidR="009A58A4" w:rsidRPr="005B527E" w:rsidTr="00300908">
        <w:tc>
          <w:tcPr>
            <w:tcW w:w="5058" w:type="dxa"/>
          </w:tcPr>
          <w:p w:rsidR="009A58A4" w:rsidRPr="005B527E" w:rsidRDefault="004111CB" w:rsidP="009F645A">
            <w:pPr>
              <w:ind w:right="-720"/>
            </w:pPr>
            <w:r w:rsidRPr="005B527E">
              <w:t>2</w:t>
            </w:r>
            <w:r w:rsidRPr="005B527E">
              <w:rPr>
                <w:vertAlign w:val="superscript"/>
              </w:rPr>
              <w:t>nd</w:t>
            </w:r>
            <w:r w:rsidRPr="005B527E">
              <w:t xml:space="preserve"> mailing of survey package</w:t>
            </w:r>
          </w:p>
        </w:tc>
        <w:tc>
          <w:tcPr>
            <w:tcW w:w="4500" w:type="dxa"/>
          </w:tcPr>
          <w:p w:rsidR="009A58A4" w:rsidRPr="005B527E" w:rsidRDefault="009A58A4" w:rsidP="00E77A9E">
            <w:pPr>
              <w:ind w:right="-720"/>
            </w:pPr>
            <w:r w:rsidRPr="005B527E">
              <w:t xml:space="preserve"> </w:t>
            </w:r>
            <w:r w:rsidR="002670A7">
              <w:t>2</w:t>
            </w:r>
            <w:r w:rsidR="004111CB" w:rsidRPr="005B527E">
              <w:t xml:space="preserve"> </w:t>
            </w:r>
            <w:r w:rsidRPr="005B527E">
              <w:t>months after OMB</w:t>
            </w:r>
            <w:r w:rsidR="00300908" w:rsidRPr="005B527E">
              <w:t xml:space="preserve"> approv</w:t>
            </w:r>
            <w:r w:rsidR="004111CB" w:rsidRPr="005B527E">
              <w:t xml:space="preserve">al </w:t>
            </w:r>
          </w:p>
        </w:tc>
      </w:tr>
      <w:tr w:rsidR="009A58A4" w:rsidRPr="005B527E" w:rsidTr="00300908">
        <w:tc>
          <w:tcPr>
            <w:tcW w:w="5058" w:type="dxa"/>
          </w:tcPr>
          <w:p w:rsidR="009A58A4" w:rsidRPr="005B527E" w:rsidRDefault="004111CB" w:rsidP="009F645A">
            <w:pPr>
              <w:ind w:right="-720"/>
            </w:pPr>
            <w:r w:rsidRPr="005B527E">
              <w:t>Follow-up</w:t>
            </w:r>
            <w:r w:rsidR="009A58A4" w:rsidRPr="005B527E">
              <w:t xml:space="preserve"> phone calls</w:t>
            </w:r>
          </w:p>
        </w:tc>
        <w:tc>
          <w:tcPr>
            <w:tcW w:w="4500" w:type="dxa"/>
          </w:tcPr>
          <w:p w:rsidR="009A58A4" w:rsidRPr="005B527E" w:rsidRDefault="002670A7" w:rsidP="009F645A">
            <w:pPr>
              <w:ind w:right="-720"/>
            </w:pPr>
            <w:r>
              <w:t xml:space="preserve"> 2</w:t>
            </w:r>
            <w:r w:rsidR="004111CB" w:rsidRPr="005B527E">
              <w:t xml:space="preserve"> </w:t>
            </w:r>
            <w:r w:rsidR="009A58A4" w:rsidRPr="005B527E">
              <w:t>months after OMB</w:t>
            </w:r>
            <w:r w:rsidR="00300908" w:rsidRPr="005B527E">
              <w:t xml:space="preserve"> approval</w:t>
            </w:r>
          </w:p>
        </w:tc>
      </w:tr>
      <w:tr w:rsidR="009A58A4" w:rsidRPr="005B527E" w:rsidTr="00300908">
        <w:tc>
          <w:tcPr>
            <w:tcW w:w="5058" w:type="dxa"/>
          </w:tcPr>
          <w:p w:rsidR="009A58A4" w:rsidRPr="005B527E" w:rsidRDefault="004111CB" w:rsidP="009F645A">
            <w:pPr>
              <w:ind w:right="-720"/>
            </w:pPr>
            <w:r w:rsidRPr="005B527E">
              <w:t>3</w:t>
            </w:r>
            <w:r w:rsidRPr="005B527E">
              <w:rPr>
                <w:vertAlign w:val="superscript"/>
              </w:rPr>
              <w:t>rd</w:t>
            </w:r>
            <w:r w:rsidRPr="005B527E">
              <w:t xml:space="preserve"> mailing of survey package </w:t>
            </w:r>
          </w:p>
        </w:tc>
        <w:tc>
          <w:tcPr>
            <w:tcW w:w="4500" w:type="dxa"/>
          </w:tcPr>
          <w:p w:rsidR="009A58A4" w:rsidRPr="005B527E" w:rsidRDefault="009A58A4" w:rsidP="009F645A">
            <w:pPr>
              <w:ind w:right="-720"/>
            </w:pPr>
            <w:r w:rsidRPr="005B527E">
              <w:t xml:space="preserve"> </w:t>
            </w:r>
            <w:r w:rsidR="002670A7">
              <w:t>4</w:t>
            </w:r>
            <w:r w:rsidR="004111CB" w:rsidRPr="005B527E">
              <w:t xml:space="preserve"> </w:t>
            </w:r>
            <w:r w:rsidRPr="005B527E">
              <w:t>months after OMB</w:t>
            </w:r>
            <w:r w:rsidR="00300908" w:rsidRPr="005B527E">
              <w:t xml:space="preserve"> approval</w:t>
            </w:r>
          </w:p>
        </w:tc>
      </w:tr>
      <w:tr w:rsidR="004111CB" w:rsidRPr="005B527E" w:rsidTr="00300908">
        <w:tc>
          <w:tcPr>
            <w:tcW w:w="5058" w:type="dxa"/>
          </w:tcPr>
          <w:p w:rsidR="004111CB" w:rsidRPr="005B527E" w:rsidRDefault="004111CB" w:rsidP="009F645A">
            <w:pPr>
              <w:ind w:right="-720"/>
            </w:pPr>
            <w:r w:rsidRPr="005B527E">
              <w:t xml:space="preserve">Follow-up </w:t>
            </w:r>
            <w:r w:rsidR="00530F03">
              <w:t xml:space="preserve">phone </w:t>
            </w:r>
            <w:r w:rsidRPr="005B527E">
              <w:t>calls</w:t>
            </w:r>
          </w:p>
        </w:tc>
        <w:tc>
          <w:tcPr>
            <w:tcW w:w="4500" w:type="dxa"/>
          </w:tcPr>
          <w:p w:rsidR="004111CB" w:rsidRPr="005B527E" w:rsidRDefault="002670A7" w:rsidP="009F645A">
            <w:pPr>
              <w:ind w:right="-720"/>
            </w:pPr>
            <w:r>
              <w:t xml:space="preserve"> 4</w:t>
            </w:r>
            <w:r w:rsidR="004111CB" w:rsidRPr="005B527E">
              <w:t xml:space="preserve"> months after OMB approval</w:t>
            </w:r>
          </w:p>
        </w:tc>
      </w:tr>
      <w:tr w:rsidR="009A58A4" w:rsidRPr="005B527E" w:rsidTr="00300908">
        <w:tc>
          <w:tcPr>
            <w:tcW w:w="5058" w:type="dxa"/>
          </w:tcPr>
          <w:p w:rsidR="009A58A4" w:rsidRPr="005B527E" w:rsidRDefault="009A58A4" w:rsidP="009F645A">
            <w:pPr>
              <w:ind w:right="-720"/>
            </w:pPr>
            <w:r w:rsidRPr="005B527E">
              <w:t>Data cleaning and weighting</w:t>
            </w:r>
          </w:p>
        </w:tc>
        <w:tc>
          <w:tcPr>
            <w:tcW w:w="4500" w:type="dxa"/>
          </w:tcPr>
          <w:p w:rsidR="009A58A4" w:rsidRPr="005B527E" w:rsidRDefault="002670A7" w:rsidP="009F645A">
            <w:pPr>
              <w:ind w:right="-720"/>
            </w:pPr>
            <w:r>
              <w:t xml:space="preserve"> 5</w:t>
            </w:r>
            <w:r w:rsidR="009A58A4" w:rsidRPr="005B527E">
              <w:t xml:space="preserve"> months after OMB</w:t>
            </w:r>
            <w:r w:rsidR="00300908" w:rsidRPr="005B527E">
              <w:t xml:space="preserve"> approval</w:t>
            </w:r>
          </w:p>
        </w:tc>
      </w:tr>
      <w:tr w:rsidR="004877D3" w:rsidRPr="005B527E" w:rsidTr="00300908">
        <w:tc>
          <w:tcPr>
            <w:tcW w:w="5058" w:type="dxa"/>
          </w:tcPr>
          <w:p w:rsidR="004877D3" w:rsidRPr="005B527E" w:rsidRDefault="004877D3" w:rsidP="009F645A">
            <w:pPr>
              <w:ind w:right="-720"/>
            </w:pPr>
            <w:r w:rsidRPr="005B527E">
              <w:t>Data analysis</w:t>
            </w:r>
          </w:p>
        </w:tc>
        <w:tc>
          <w:tcPr>
            <w:tcW w:w="4500" w:type="dxa"/>
          </w:tcPr>
          <w:p w:rsidR="004877D3" w:rsidRPr="005B527E" w:rsidRDefault="002670A7" w:rsidP="009F645A">
            <w:pPr>
              <w:ind w:right="-720"/>
            </w:pPr>
            <w:r>
              <w:t xml:space="preserve"> 5</w:t>
            </w:r>
            <w:r w:rsidR="00A74EA9" w:rsidRPr="005B527E">
              <w:t xml:space="preserve"> months after OMB approval</w:t>
            </w:r>
          </w:p>
        </w:tc>
      </w:tr>
      <w:tr w:rsidR="009A58A4" w:rsidRPr="005B527E" w:rsidTr="00300908">
        <w:tc>
          <w:tcPr>
            <w:tcW w:w="5058" w:type="dxa"/>
            <w:shd w:val="clear" w:color="auto" w:fill="auto"/>
          </w:tcPr>
          <w:p w:rsidR="009A58A4" w:rsidRPr="005B527E" w:rsidRDefault="004111CB" w:rsidP="009F645A">
            <w:pPr>
              <w:ind w:right="-720"/>
            </w:pPr>
            <w:r w:rsidRPr="005B527E">
              <w:t>Data delivery</w:t>
            </w:r>
          </w:p>
        </w:tc>
        <w:tc>
          <w:tcPr>
            <w:tcW w:w="4500" w:type="dxa"/>
            <w:shd w:val="clear" w:color="auto" w:fill="auto"/>
          </w:tcPr>
          <w:p w:rsidR="009A58A4" w:rsidRPr="005B527E" w:rsidRDefault="002670A7" w:rsidP="009F645A">
            <w:pPr>
              <w:ind w:right="-720"/>
            </w:pPr>
            <w:r>
              <w:t xml:space="preserve"> 6</w:t>
            </w:r>
            <w:r w:rsidR="00675E1C" w:rsidRPr="005B527E">
              <w:t xml:space="preserve"> months after OMB</w:t>
            </w:r>
            <w:r w:rsidR="00300908" w:rsidRPr="005B527E">
              <w:t xml:space="preserve"> approval</w:t>
            </w:r>
          </w:p>
        </w:tc>
      </w:tr>
      <w:tr w:rsidR="009A58A4" w:rsidRPr="005B527E" w:rsidTr="00300908">
        <w:tc>
          <w:tcPr>
            <w:tcW w:w="5058" w:type="dxa"/>
            <w:shd w:val="clear" w:color="auto" w:fill="auto"/>
          </w:tcPr>
          <w:p w:rsidR="009A58A4" w:rsidRPr="005B527E" w:rsidRDefault="004111CB" w:rsidP="009F645A">
            <w:pPr>
              <w:ind w:right="-720"/>
            </w:pPr>
            <w:r w:rsidRPr="005B527E">
              <w:t>Final report submitted</w:t>
            </w:r>
          </w:p>
        </w:tc>
        <w:tc>
          <w:tcPr>
            <w:tcW w:w="4500" w:type="dxa"/>
            <w:shd w:val="clear" w:color="auto" w:fill="auto"/>
          </w:tcPr>
          <w:p w:rsidR="009A58A4" w:rsidRPr="005B527E" w:rsidRDefault="002670A7" w:rsidP="00E77A9E">
            <w:pPr>
              <w:ind w:right="-720"/>
            </w:pPr>
            <w:r>
              <w:t xml:space="preserve"> 7</w:t>
            </w:r>
            <w:r w:rsidR="00300908" w:rsidRPr="005B527E">
              <w:t xml:space="preserve"> months af</w:t>
            </w:r>
            <w:r w:rsidR="004111CB" w:rsidRPr="005B527E">
              <w:t xml:space="preserve">ter OMB approval </w:t>
            </w:r>
          </w:p>
        </w:tc>
      </w:tr>
      <w:tr w:rsidR="00300908" w:rsidRPr="005B527E" w:rsidTr="00300908">
        <w:tc>
          <w:tcPr>
            <w:tcW w:w="5058" w:type="dxa"/>
            <w:shd w:val="clear" w:color="auto" w:fill="auto"/>
          </w:tcPr>
          <w:p w:rsidR="00300908" w:rsidRPr="005B527E" w:rsidRDefault="004111CB" w:rsidP="00B92AC5">
            <w:pPr>
              <w:ind w:right="-720"/>
            </w:pPr>
            <w:r w:rsidRPr="005B527E">
              <w:t>Journal article drafted</w:t>
            </w:r>
          </w:p>
        </w:tc>
        <w:tc>
          <w:tcPr>
            <w:tcW w:w="4500" w:type="dxa"/>
            <w:shd w:val="clear" w:color="auto" w:fill="auto"/>
          </w:tcPr>
          <w:p w:rsidR="00300908" w:rsidRPr="005B527E" w:rsidRDefault="002670A7" w:rsidP="00B92AC5">
            <w:pPr>
              <w:ind w:right="-720"/>
            </w:pPr>
            <w:r>
              <w:t xml:space="preserve"> </w:t>
            </w:r>
            <w:r w:rsidR="00530F03">
              <w:t>8</w:t>
            </w:r>
            <w:r w:rsidR="00300908" w:rsidRPr="005B527E">
              <w:t xml:space="preserve"> months after OM B approval</w:t>
            </w:r>
          </w:p>
        </w:tc>
      </w:tr>
      <w:tr w:rsidR="004111CB" w:rsidRPr="005B527E" w:rsidTr="00300908">
        <w:tc>
          <w:tcPr>
            <w:tcW w:w="5058" w:type="dxa"/>
            <w:shd w:val="clear" w:color="auto" w:fill="auto"/>
          </w:tcPr>
          <w:p w:rsidR="004111CB" w:rsidRPr="005B527E" w:rsidRDefault="004111CB" w:rsidP="00B92AC5">
            <w:pPr>
              <w:ind w:right="-720"/>
            </w:pPr>
            <w:r w:rsidRPr="005B527E">
              <w:t xml:space="preserve">Briefing materials submitted </w:t>
            </w:r>
          </w:p>
        </w:tc>
        <w:tc>
          <w:tcPr>
            <w:tcW w:w="4500" w:type="dxa"/>
            <w:shd w:val="clear" w:color="auto" w:fill="auto"/>
          </w:tcPr>
          <w:p w:rsidR="004111CB" w:rsidRPr="005B527E" w:rsidRDefault="002670A7" w:rsidP="00B92AC5">
            <w:pPr>
              <w:ind w:right="-720"/>
            </w:pPr>
            <w:r>
              <w:t xml:space="preserve"> </w:t>
            </w:r>
            <w:r w:rsidR="00530F03">
              <w:t>8</w:t>
            </w:r>
            <w:r w:rsidR="00A74EA9" w:rsidRPr="005B527E">
              <w:t xml:space="preserve"> months after OMB approval</w:t>
            </w:r>
          </w:p>
        </w:tc>
      </w:tr>
    </w:tbl>
    <w:p w:rsidR="00CD03EC" w:rsidRDefault="00CD03EC" w:rsidP="004877D3">
      <w:pPr>
        <w:autoSpaceDE w:val="0"/>
        <w:autoSpaceDN w:val="0"/>
        <w:adjustRightInd w:val="0"/>
        <w:spacing w:after="0" w:line="240" w:lineRule="auto"/>
      </w:pPr>
    </w:p>
    <w:p w:rsidR="005E2D71" w:rsidRPr="002047BF" w:rsidRDefault="005E2D71" w:rsidP="002047BF">
      <w:pPr>
        <w:autoSpaceDE w:val="0"/>
        <w:autoSpaceDN w:val="0"/>
        <w:adjustRightInd w:val="0"/>
        <w:rPr>
          <w:rFonts w:ascii="Calibri" w:hAnsi="Calibri"/>
          <w:color w:val="FF0000"/>
        </w:rPr>
      </w:pPr>
      <w:r w:rsidRPr="005B527E">
        <w:t xml:space="preserve">Once data collection is complete, analysis will begin.  </w:t>
      </w:r>
      <w:r w:rsidR="004877D3" w:rsidRPr="005B527E">
        <w:t>Westat will provide tabular summaries for each survey item. Westat will conduct bivariate analyses to compare and contrast responses by physician background characteristics. Westat will also explore the correlation between responses across questions. Specifically, Westat will explore how knowledge of oral health and perceived barriers to including or</w:t>
      </w:r>
      <w:r w:rsidR="004877D3" w:rsidRPr="009F5FE8">
        <w:t xml:space="preserve">al health in routine visits affects current practices. </w:t>
      </w:r>
      <w:r w:rsidRPr="009F5FE8">
        <w:t xml:space="preserve">Sample size will ultimately dictate the granularity of data analysis.   </w:t>
      </w:r>
      <w:r w:rsidR="006B7715" w:rsidRPr="009F5FE8">
        <w:t>To ensure broad distribution of the findings, we plan to publish the results of this study i</w:t>
      </w:r>
      <w:r w:rsidR="009F5FE8" w:rsidRPr="009F5FE8">
        <w:t xml:space="preserve">n a peer-review journal and on </w:t>
      </w:r>
      <w:r w:rsidR="006B7715" w:rsidRPr="009F5FE8">
        <w:t xml:space="preserve">the OWH webpage, and to present these findings in meetings with federal decision-makers and at professional conferences.  </w:t>
      </w:r>
    </w:p>
    <w:p w:rsidR="005E2D71" w:rsidRPr="005B527E" w:rsidRDefault="005E2D71" w:rsidP="005E2D71">
      <w:pPr>
        <w:spacing w:after="0"/>
      </w:pPr>
    </w:p>
    <w:p w:rsidR="00190364" w:rsidRPr="005B527E" w:rsidRDefault="009A58A4" w:rsidP="00F462C4">
      <w:pPr>
        <w:pStyle w:val="ListParagraph"/>
        <w:numPr>
          <w:ilvl w:val="0"/>
          <w:numId w:val="2"/>
        </w:numPr>
        <w:spacing w:after="0" w:line="240" w:lineRule="auto"/>
        <w:rPr>
          <w:b/>
          <w:u w:val="single"/>
        </w:rPr>
      </w:pPr>
      <w:r w:rsidRPr="005B527E">
        <w:rPr>
          <w:b/>
        </w:rPr>
        <w:t xml:space="preserve">Reason(s) Display of </w:t>
      </w:r>
      <w:r w:rsidR="00620A7B" w:rsidRPr="005B527E">
        <w:rPr>
          <w:b/>
        </w:rPr>
        <w:t xml:space="preserve">OMB </w:t>
      </w:r>
      <w:r w:rsidRPr="005B527E">
        <w:rPr>
          <w:b/>
        </w:rPr>
        <w:t>Expiration Date is Inappropriate</w:t>
      </w:r>
    </w:p>
    <w:p w:rsidR="003E3D86" w:rsidRPr="005B527E" w:rsidRDefault="003E3D86" w:rsidP="00F462C4">
      <w:pPr>
        <w:pStyle w:val="BodyText1"/>
        <w:spacing w:after="200"/>
      </w:pPr>
    </w:p>
    <w:p w:rsidR="00620A7B" w:rsidRPr="005B527E" w:rsidRDefault="00620A7B" w:rsidP="00F462C4">
      <w:pPr>
        <w:pStyle w:val="BodyText1"/>
        <w:spacing w:after="200"/>
      </w:pPr>
      <w:r w:rsidRPr="005B527E">
        <w:t>The expiration date for OMB approval of data collection will be displayed as required.</w:t>
      </w:r>
    </w:p>
    <w:p w:rsidR="00804FD3" w:rsidRPr="005B527E" w:rsidRDefault="00804FD3" w:rsidP="00F462C4">
      <w:pPr>
        <w:spacing w:after="0" w:line="240" w:lineRule="auto"/>
      </w:pPr>
    </w:p>
    <w:p w:rsidR="009A58A4" w:rsidRPr="005B527E" w:rsidRDefault="009A58A4" w:rsidP="00F462C4">
      <w:pPr>
        <w:pStyle w:val="ListParagraph"/>
        <w:numPr>
          <w:ilvl w:val="0"/>
          <w:numId w:val="2"/>
        </w:numPr>
        <w:spacing w:after="0" w:line="240" w:lineRule="auto"/>
        <w:rPr>
          <w:b/>
          <w:u w:val="single"/>
        </w:rPr>
      </w:pPr>
      <w:r w:rsidRPr="005B527E">
        <w:rPr>
          <w:b/>
        </w:rPr>
        <w:t>Exceptions to Certification for Paperwork Reduction Act Submissions</w:t>
      </w:r>
    </w:p>
    <w:p w:rsidR="00190364" w:rsidRPr="005B527E" w:rsidRDefault="00190364" w:rsidP="00F462C4">
      <w:pPr>
        <w:spacing w:after="0" w:line="240" w:lineRule="auto"/>
      </w:pPr>
    </w:p>
    <w:p w:rsidR="009A58A4" w:rsidRPr="005B527E" w:rsidRDefault="009A58A4" w:rsidP="00804FD3">
      <w:pPr>
        <w:spacing w:after="0"/>
      </w:pPr>
      <w:r w:rsidRPr="005B527E">
        <w:t>There are no exceptions to the certification</w:t>
      </w:r>
      <w:r w:rsidR="00620A7B" w:rsidRPr="005B527E">
        <w:t xml:space="preserve"> statement</w:t>
      </w:r>
      <w:r w:rsidRPr="005B527E">
        <w:t>.</w:t>
      </w:r>
    </w:p>
    <w:sectPr w:rsidR="009A58A4" w:rsidRPr="005B527E" w:rsidSect="00090306">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2A" w:rsidRDefault="00F3142A" w:rsidP="00A77A83">
      <w:pPr>
        <w:spacing w:after="0" w:line="240" w:lineRule="auto"/>
      </w:pPr>
      <w:r>
        <w:separator/>
      </w:r>
    </w:p>
  </w:endnote>
  <w:endnote w:type="continuationSeparator" w:id="0">
    <w:p w:rsidR="00F3142A" w:rsidRDefault="00F3142A" w:rsidP="00A77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0360"/>
      <w:docPartObj>
        <w:docPartGallery w:val="Page Numbers (Bottom of Page)"/>
        <w:docPartUnique/>
      </w:docPartObj>
    </w:sdtPr>
    <w:sdtContent>
      <w:p w:rsidR="00F3142A" w:rsidRDefault="00D901D0">
        <w:pPr>
          <w:pStyle w:val="Footer"/>
          <w:jc w:val="right"/>
        </w:pPr>
        <w:fldSimple w:instr=" PAGE   \* MERGEFORMAT ">
          <w:r w:rsidR="00A94632">
            <w:rPr>
              <w:noProof/>
            </w:rPr>
            <w:t>1</w:t>
          </w:r>
        </w:fldSimple>
      </w:p>
    </w:sdtContent>
  </w:sdt>
  <w:p w:rsidR="00F3142A" w:rsidRDefault="00F31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2A" w:rsidRDefault="00F3142A" w:rsidP="00A77A83">
      <w:pPr>
        <w:spacing w:after="0" w:line="240" w:lineRule="auto"/>
      </w:pPr>
      <w:r>
        <w:separator/>
      </w:r>
    </w:p>
  </w:footnote>
  <w:footnote w:type="continuationSeparator" w:id="0">
    <w:p w:rsidR="00F3142A" w:rsidRDefault="00F3142A" w:rsidP="00A77A83">
      <w:pPr>
        <w:spacing w:after="0" w:line="240" w:lineRule="auto"/>
      </w:pPr>
      <w:r>
        <w:continuationSeparator/>
      </w:r>
    </w:p>
  </w:footnote>
  <w:footnote w:id="1">
    <w:p w:rsidR="00F3142A" w:rsidRPr="00BB3CB2" w:rsidRDefault="00F3142A">
      <w:pPr>
        <w:pStyle w:val="FootnoteText"/>
        <w:rPr>
          <w:rFonts w:ascii="Times New Roman" w:hAnsi="Times New Roman"/>
        </w:rPr>
      </w:pPr>
      <w:r>
        <w:rPr>
          <w:rStyle w:val="FootnoteReference"/>
        </w:rPr>
        <w:footnoteRef/>
      </w:r>
      <w:r>
        <w:t xml:space="preserve"> </w:t>
      </w:r>
      <w:r>
        <w:rPr>
          <w:rFonts w:ascii="Times New Roman" w:hAnsi="Times New Roman"/>
        </w:rPr>
        <w:t>Department of Health and Human Services. (2000). Oral Health in America: A Report of the Surgeon General-Executive Summary. Rockville, MD: Westat.</w:t>
      </w:r>
    </w:p>
  </w:footnote>
  <w:footnote w:id="2">
    <w:p w:rsidR="00F3142A" w:rsidRPr="00BB3CB2" w:rsidRDefault="00F3142A" w:rsidP="00BB3CB2">
      <w:pPr>
        <w:pStyle w:val="FootnoteText"/>
        <w:rPr>
          <w:rFonts w:ascii="Times New Roman" w:hAnsi="Times New Roman"/>
        </w:rPr>
      </w:pPr>
      <w:r>
        <w:rPr>
          <w:rStyle w:val="FootnoteReference"/>
        </w:rPr>
        <w:footnoteRef/>
      </w:r>
      <w:r>
        <w:t xml:space="preserve"> </w:t>
      </w:r>
      <w:r w:rsidRPr="00BB3CB2">
        <w:rPr>
          <w:rFonts w:ascii="Times New Roman" w:hAnsi="Times New Roman"/>
        </w:rPr>
        <w:t xml:space="preserve">Lewis, C., Grossman, D., Domoto, F., &amp; Deyo, R. (2000). The Role of the </w:t>
      </w:r>
      <w:r>
        <w:rPr>
          <w:rFonts w:ascii="Times New Roman" w:hAnsi="Times New Roman"/>
        </w:rPr>
        <w:t xml:space="preserve">pediatrician in the oral health </w:t>
      </w:r>
      <w:r w:rsidRPr="00BB3CB2">
        <w:rPr>
          <w:rFonts w:ascii="Times New Roman" w:hAnsi="Times New Roman"/>
        </w:rPr>
        <w:t xml:space="preserve">of children: A national survey. </w:t>
      </w:r>
      <w:r w:rsidRPr="00BB3CB2">
        <w:rPr>
          <w:rFonts w:ascii="Times New Roman" w:hAnsi="Times New Roman"/>
          <w:i/>
          <w:iCs/>
        </w:rPr>
        <w:t xml:space="preserve">Pediatrics, </w:t>
      </w:r>
      <w:r w:rsidRPr="00BB3CB2">
        <w:rPr>
          <w:rFonts w:ascii="Times New Roman" w:hAnsi="Times New Roman"/>
        </w:rPr>
        <w:t>106(6):E84.</w:t>
      </w:r>
    </w:p>
  </w:footnote>
  <w:footnote w:id="3">
    <w:p w:rsidR="00F3142A" w:rsidRDefault="00F3142A">
      <w:pPr>
        <w:pStyle w:val="FootnoteText"/>
      </w:pPr>
      <w:r>
        <w:rPr>
          <w:rStyle w:val="FootnoteReference"/>
        </w:rPr>
        <w:footnoteRef/>
      </w:r>
      <w:r>
        <w:t xml:space="preserve"> </w:t>
      </w:r>
      <w:r w:rsidRPr="00E77A9E">
        <w:rPr>
          <w:rFonts w:ascii="Times New Roman" w:hAnsi="Times New Roman"/>
        </w:rPr>
        <w:t>Flanigan T, McFarlane E, Cook S. Conducting Survey Research among Physicians and other Medical Professional-A Review of the Current Literature. AAPOR. RTI International, 2008.</w:t>
      </w:r>
      <w:r>
        <w:t xml:space="preserve"> </w:t>
      </w:r>
    </w:p>
  </w:footnote>
  <w:footnote w:id="4">
    <w:p w:rsidR="00F3142A" w:rsidRPr="00A43AE0" w:rsidRDefault="00F3142A">
      <w:pPr>
        <w:pStyle w:val="FootnoteText"/>
        <w:rPr>
          <w:rFonts w:ascii="Times New Roman" w:hAnsi="Times New Roman"/>
        </w:rPr>
      </w:pPr>
      <w:r w:rsidRPr="00A43AE0">
        <w:rPr>
          <w:rStyle w:val="FootnoteReference"/>
          <w:rFonts w:ascii="Times New Roman" w:hAnsi="Times New Roman"/>
        </w:rPr>
        <w:footnoteRef/>
      </w:r>
      <w:r w:rsidRPr="00A43AE0">
        <w:rPr>
          <w:rFonts w:ascii="Times New Roman" w:hAnsi="Times New Roman"/>
        </w:rPr>
        <w:t xml:space="preserve"> McKinley T, Rogers R, Maclean R. Collecting data from physicians via web-based surveys: recommendations for improving response rates. The Internet Journal of Medical Informatics. 21003; 1:1-7.</w:t>
      </w:r>
    </w:p>
  </w:footnote>
  <w:footnote w:id="5">
    <w:p w:rsidR="00F3142A" w:rsidRDefault="00F3142A">
      <w:pPr>
        <w:pStyle w:val="FootnoteText"/>
      </w:pPr>
      <w:r>
        <w:rPr>
          <w:rStyle w:val="FootnoteReference"/>
        </w:rPr>
        <w:footnoteRef/>
      </w:r>
      <w:r>
        <w:t xml:space="preserve"> </w:t>
      </w:r>
      <w:r w:rsidRPr="00A43AE0">
        <w:rPr>
          <w:rFonts w:ascii="Times New Roman" w:hAnsi="Times New Roman"/>
        </w:rPr>
        <w:t xml:space="preserve">Beebe TJ, Locke R, Barnes SA, Davern ME, Anderson KJ. Mixing web and mail methods in a survey of physicians. </w:t>
      </w:r>
      <w:smartTag w:uri="urn:schemas-microsoft-com:office:smarttags" w:element="stockticker">
        <w:r w:rsidRPr="00A43AE0">
          <w:rPr>
            <w:rFonts w:ascii="Times New Roman" w:hAnsi="Times New Roman"/>
          </w:rPr>
          <w:t>HSR</w:t>
        </w:r>
      </w:smartTag>
      <w:r w:rsidRPr="00A43AE0">
        <w:rPr>
          <w:rFonts w:ascii="Times New Roman" w:hAnsi="Times New Roman"/>
        </w:rPr>
        <w:t>.2007; 42:1219-1233.</w:t>
      </w:r>
    </w:p>
  </w:footnote>
  <w:footnote w:id="6">
    <w:p w:rsidR="00F3142A" w:rsidRDefault="00F3142A">
      <w:pPr>
        <w:autoSpaceDE w:val="0"/>
        <w:autoSpaceDN w:val="0"/>
        <w:spacing w:after="0"/>
      </w:pPr>
      <w:r>
        <w:rPr>
          <w:rStyle w:val="FootnoteReference"/>
        </w:rPr>
        <w:footnoteRef/>
      </w:r>
      <w:r>
        <w:t xml:space="preserve"> </w:t>
      </w:r>
      <w:r w:rsidRPr="007025C8">
        <w:rPr>
          <w:sz w:val="20"/>
          <w:szCs w:val="20"/>
        </w:rPr>
        <w:t>Gunn WJ, Rhodes IN. Physician response rates to a telephone survey: effects of monetary incentive level. Public Opinion Quarterly 1981; 45(1):109-115.</w:t>
      </w:r>
      <w:r>
        <w:t xml:space="preserve"> </w:t>
      </w:r>
    </w:p>
    <w:p w:rsidR="00F3142A" w:rsidRDefault="00F3142A">
      <w:pPr>
        <w:pStyle w:val="FootnoteText"/>
      </w:pPr>
    </w:p>
  </w:footnote>
  <w:footnote w:id="7">
    <w:p w:rsidR="00F3142A" w:rsidRPr="000673A6" w:rsidRDefault="00F3142A" w:rsidP="00683FC4">
      <w:pPr>
        <w:pStyle w:val="FootnoteText"/>
        <w:rPr>
          <w:rFonts w:ascii="Times New Roman" w:hAnsi="Times New Roman"/>
        </w:rPr>
      </w:pPr>
      <w:r w:rsidRPr="007025C8">
        <w:rPr>
          <w:rStyle w:val="FootnoteReference"/>
        </w:rPr>
        <w:footnoteRef/>
      </w:r>
      <w:r w:rsidRPr="007025C8">
        <w:rPr>
          <w:rFonts w:ascii="Times New Roman" w:hAnsi="Times New Roman"/>
        </w:rPr>
        <w:t xml:space="preserve"> National Compensation Survey, All United States, December 200</w:t>
      </w:r>
      <w:r>
        <w:rPr>
          <w:rFonts w:ascii="Times New Roman" w:hAnsi="Times New Roman"/>
        </w:rPr>
        <w:t>9</w:t>
      </w:r>
      <w:r w:rsidRPr="007025C8">
        <w:rPr>
          <w:rFonts w:ascii="Times New Roman" w:hAnsi="Times New Roman"/>
        </w:rPr>
        <w:t xml:space="preserve"> – January 201</w:t>
      </w:r>
      <w:r>
        <w:rPr>
          <w:rFonts w:ascii="Times New Roman" w:hAnsi="Times New Roman"/>
        </w:rPr>
        <w:t>1</w:t>
      </w:r>
      <w:r w:rsidRPr="007025C8">
        <w:rPr>
          <w:rFonts w:ascii="Times New Roman" w:hAnsi="Times New Roman"/>
        </w:rPr>
        <w:t xml:space="preserve">.  </w:t>
      </w:r>
      <w:r w:rsidRPr="007025C8">
        <w:rPr>
          <w:rFonts w:ascii="Times New Roman" w:hAnsi="Times New Roman"/>
          <w:i/>
        </w:rPr>
        <w:t>Table 4: Full-time private industry workers: Mean and median hourly, weekly and annual earnings and mean weekly and annual hours.</w:t>
      </w:r>
      <w:r w:rsidRPr="007025C8">
        <w:rPr>
          <w:rFonts w:ascii="Times New Roman" w:hAnsi="Times New Roman"/>
        </w:rPr>
        <w:t xml:space="preserve">  Bureau of Labor Statistics, US Department of Labor.</w:t>
      </w:r>
    </w:p>
    <w:p w:rsidR="00F3142A" w:rsidRPr="00314072" w:rsidRDefault="00F3142A" w:rsidP="00683FC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421"/>
    <w:multiLevelType w:val="hybridMultilevel"/>
    <w:tmpl w:val="DEBED6D2"/>
    <w:lvl w:ilvl="0" w:tplc="683EAE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30585"/>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C625E"/>
    <w:multiLevelType w:val="hybridMultilevel"/>
    <w:tmpl w:val="CB88B09A"/>
    <w:lvl w:ilvl="0" w:tplc="B9F817A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200680"/>
    <w:multiLevelType w:val="hybridMultilevel"/>
    <w:tmpl w:val="7A14C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5154D"/>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70817"/>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84289"/>
    <w:multiLevelType w:val="hybridMultilevel"/>
    <w:tmpl w:val="D24AF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711D4"/>
    <w:multiLevelType w:val="hybridMultilevel"/>
    <w:tmpl w:val="39281438"/>
    <w:lvl w:ilvl="0" w:tplc="C1883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C76E4"/>
    <w:multiLevelType w:val="hybridMultilevel"/>
    <w:tmpl w:val="21D44E9A"/>
    <w:lvl w:ilvl="0" w:tplc="CFDE1EC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F5D6755"/>
    <w:multiLevelType w:val="hybridMultilevel"/>
    <w:tmpl w:val="F2C03006"/>
    <w:lvl w:ilvl="0" w:tplc="95F6714E">
      <w:start w:val="1"/>
      <w:numFmt w:val="decimal"/>
      <w:lvlText w:val="%1."/>
      <w:lvlJc w:val="left"/>
      <w:pPr>
        <w:tabs>
          <w:tab w:val="num" w:pos="1152"/>
        </w:tabs>
        <w:ind w:left="1152" w:hanging="432"/>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0790BD6"/>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4E"/>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83812"/>
    <w:multiLevelType w:val="hybridMultilevel"/>
    <w:tmpl w:val="FF7E1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D5A8E"/>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600D0"/>
    <w:multiLevelType w:val="multilevel"/>
    <w:tmpl w:val="715C3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4F1F69"/>
    <w:multiLevelType w:val="hybridMultilevel"/>
    <w:tmpl w:val="A92A3B9E"/>
    <w:lvl w:ilvl="0" w:tplc="7F2C5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9D2ED3"/>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554DE"/>
    <w:multiLevelType w:val="hybridMultilevel"/>
    <w:tmpl w:val="0F407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22CA8"/>
    <w:multiLevelType w:val="hybridMultilevel"/>
    <w:tmpl w:val="34EEE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235C0"/>
    <w:multiLevelType w:val="hybridMultilevel"/>
    <w:tmpl w:val="874ABC4A"/>
    <w:lvl w:ilvl="0" w:tplc="1F7AEA2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7BB20D9"/>
    <w:multiLevelType w:val="hybridMultilevel"/>
    <w:tmpl w:val="DFE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30753B"/>
    <w:multiLevelType w:val="hybridMultilevel"/>
    <w:tmpl w:val="4B60FD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B52906"/>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ED28AB"/>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3E5134"/>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60100"/>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B37AB"/>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F7143D"/>
    <w:multiLevelType w:val="hybridMultilevel"/>
    <w:tmpl w:val="486CA820"/>
    <w:lvl w:ilvl="0" w:tplc="C1883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A52A2"/>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C20ED"/>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E3564A"/>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A5D7D"/>
    <w:multiLevelType w:val="hybridMultilevel"/>
    <w:tmpl w:val="5FA261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E26FB"/>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973241"/>
    <w:multiLevelType w:val="hybridMultilevel"/>
    <w:tmpl w:val="DE8A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773E6"/>
    <w:multiLevelType w:val="hybridMultilevel"/>
    <w:tmpl w:val="A86A62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F1A50AC"/>
    <w:multiLevelType w:val="hybridMultilevel"/>
    <w:tmpl w:val="7A5E0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5"/>
  </w:num>
  <w:num w:numId="3">
    <w:abstractNumId w:val="20"/>
  </w:num>
  <w:num w:numId="4">
    <w:abstractNumId w:val="25"/>
  </w:num>
  <w:num w:numId="5">
    <w:abstractNumId w:val="4"/>
  </w:num>
  <w:num w:numId="6">
    <w:abstractNumId w:val="1"/>
  </w:num>
  <w:num w:numId="7">
    <w:abstractNumId w:val="24"/>
  </w:num>
  <w:num w:numId="8">
    <w:abstractNumId w:val="30"/>
  </w:num>
  <w:num w:numId="9">
    <w:abstractNumId w:val="13"/>
  </w:num>
  <w:num w:numId="10">
    <w:abstractNumId w:val="5"/>
  </w:num>
  <w:num w:numId="11">
    <w:abstractNumId w:val="26"/>
  </w:num>
  <w:num w:numId="12">
    <w:abstractNumId w:val="33"/>
  </w:num>
  <w:num w:numId="13">
    <w:abstractNumId w:val="31"/>
  </w:num>
  <w:num w:numId="14">
    <w:abstractNumId w:val="16"/>
  </w:num>
  <w:num w:numId="15">
    <w:abstractNumId w:val="10"/>
  </w:num>
  <w:num w:numId="16">
    <w:abstractNumId w:val="23"/>
  </w:num>
  <w:num w:numId="17">
    <w:abstractNumId w:val="11"/>
  </w:num>
  <w:num w:numId="18">
    <w:abstractNumId w:val="22"/>
  </w:num>
  <w:num w:numId="19">
    <w:abstractNumId w:val="28"/>
  </w:num>
  <w:num w:numId="20">
    <w:abstractNumId w:val="32"/>
  </w:num>
  <w:num w:numId="21">
    <w:abstractNumId w:val="29"/>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7"/>
  </w:num>
  <w:num w:numId="29">
    <w:abstractNumId w:val="7"/>
  </w:num>
  <w:num w:numId="30">
    <w:abstractNumId w:val="17"/>
  </w:num>
  <w:num w:numId="31">
    <w:abstractNumId w:val="18"/>
  </w:num>
  <w:num w:numId="32">
    <w:abstractNumId w:val="21"/>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0"/>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81921"/>
  </w:hdrShapeDefaults>
  <w:footnotePr>
    <w:footnote w:id="-1"/>
    <w:footnote w:id="0"/>
  </w:footnotePr>
  <w:endnotePr>
    <w:endnote w:id="-1"/>
    <w:endnote w:id="0"/>
  </w:endnotePr>
  <w:compat/>
  <w:rsids>
    <w:rsidRoot w:val="00854F90"/>
    <w:rsid w:val="000039D5"/>
    <w:rsid w:val="00004FEB"/>
    <w:rsid w:val="00013DD4"/>
    <w:rsid w:val="000141C6"/>
    <w:rsid w:val="0002613F"/>
    <w:rsid w:val="00027B8A"/>
    <w:rsid w:val="00035562"/>
    <w:rsid w:val="00043386"/>
    <w:rsid w:val="00051337"/>
    <w:rsid w:val="00052D2C"/>
    <w:rsid w:val="00055396"/>
    <w:rsid w:val="00060198"/>
    <w:rsid w:val="0006068E"/>
    <w:rsid w:val="00065C1A"/>
    <w:rsid w:val="00066692"/>
    <w:rsid w:val="000673A6"/>
    <w:rsid w:val="00077E0F"/>
    <w:rsid w:val="000812B9"/>
    <w:rsid w:val="00087B5C"/>
    <w:rsid w:val="00090306"/>
    <w:rsid w:val="000A3C47"/>
    <w:rsid w:val="000B0B3B"/>
    <w:rsid w:val="000B6954"/>
    <w:rsid w:val="000B6AB9"/>
    <w:rsid w:val="000C6BF6"/>
    <w:rsid w:val="000D1F78"/>
    <w:rsid w:val="000D2873"/>
    <w:rsid w:val="000E28AC"/>
    <w:rsid w:val="000E5F7C"/>
    <w:rsid w:val="000E7E1F"/>
    <w:rsid w:val="000F08A5"/>
    <w:rsid w:val="000F13DD"/>
    <w:rsid w:val="000F6AB4"/>
    <w:rsid w:val="001021BD"/>
    <w:rsid w:val="00110E40"/>
    <w:rsid w:val="00112D35"/>
    <w:rsid w:val="00117F79"/>
    <w:rsid w:val="0012210A"/>
    <w:rsid w:val="0012281D"/>
    <w:rsid w:val="0012400A"/>
    <w:rsid w:val="001271D1"/>
    <w:rsid w:val="001322C5"/>
    <w:rsid w:val="00133A5A"/>
    <w:rsid w:val="00134E00"/>
    <w:rsid w:val="001406D7"/>
    <w:rsid w:val="00145419"/>
    <w:rsid w:val="001537C6"/>
    <w:rsid w:val="00162325"/>
    <w:rsid w:val="00166BC5"/>
    <w:rsid w:val="001675B5"/>
    <w:rsid w:val="001704D5"/>
    <w:rsid w:val="00172627"/>
    <w:rsid w:val="00172C00"/>
    <w:rsid w:val="001765CA"/>
    <w:rsid w:val="001768E0"/>
    <w:rsid w:val="00184F57"/>
    <w:rsid w:val="00185C8F"/>
    <w:rsid w:val="00190364"/>
    <w:rsid w:val="00194296"/>
    <w:rsid w:val="00197C3F"/>
    <w:rsid w:val="001A19E0"/>
    <w:rsid w:val="001A2DF9"/>
    <w:rsid w:val="001A71FA"/>
    <w:rsid w:val="001C1687"/>
    <w:rsid w:val="001C2A38"/>
    <w:rsid w:val="001C47A4"/>
    <w:rsid w:val="001C6A3B"/>
    <w:rsid w:val="001F1149"/>
    <w:rsid w:val="001F5779"/>
    <w:rsid w:val="001F5CFF"/>
    <w:rsid w:val="002047BF"/>
    <w:rsid w:val="00205DBF"/>
    <w:rsid w:val="00206AC7"/>
    <w:rsid w:val="00213227"/>
    <w:rsid w:val="002277BB"/>
    <w:rsid w:val="0023102B"/>
    <w:rsid w:val="002317FF"/>
    <w:rsid w:val="0025175F"/>
    <w:rsid w:val="002604D2"/>
    <w:rsid w:val="00263246"/>
    <w:rsid w:val="00264698"/>
    <w:rsid w:val="002670A7"/>
    <w:rsid w:val="00270614"/>
    <w:rsid w:val="00271036"/>
    <w:rsid w:val="00272A3A"/>
    <w:rsid w:val="0027640D"/>
    <w:rsid w:val="002769EC"/>
    <w:rsid w:val="00281056"/>
    <w:rsid w:val="00281B89"/>
    <w:rsid w:val="00284E22"/>
    <w:rsid w:val="002A06E2"/>
    <w:rsid w:val="002A1964"/>
    <w:rsid w:val="002A3017"/>
    <w:rsid w:val="002A4ADD"/>
    <w:rsid w:val="002A6982"/>
    <w:rsid w:val="002A78C0"/>
    <w:rsid w:val="002B3113"/>
    <w:rsid w:val="002B44D6"/>
    <w:rsid w:val="002C7E6D"/>
    <w:rsid w:val="002D1186"/>
    <w:rsid w:val="002D17B7"/>
    <w:rsid w:val="002D6DDF"/>
    <w:rsid w:val="002D7248"/>
    <w:rsid w:val="002E0283"/>
    <w:rsid w:val="002E09D6"/>
    <w:rsid w:val="002E4462"/>
    <w:rsid w:val="002F04E6"/>
    <w:rsid w:val="002F18C2"/>
    <w:rsid w:val="002F7EC6"/>
    <w:rsid w:val="00300908"/>
    <w:rsid w:val="00304A02"/>
    <w:rsid w:val="00307229"/>
    <w:rsid w:val="00310B8B"/>
    <w:rsid w:val="0032403D"/>
    <w:rsid w:val="00326691"/>
    <w:rsid w:val="003266FB"/>
    <w:rsid w:val="00332538"/>
    <w:rsid w:val="00332FC1"/>
    <w:rsid w:val="003414E5"/>
    <w:rsid w:val="00343B86"/>
    <w:rsid w:val="00347BB5"/>
    <w:rsid w:val="0035600A"/>
    <w:rsid w:val="003560E2"/>
    <w:rsid w:val="00366299"/>
    <w:rsid w:val="00377871"/>
    <w:rsid w:val="00381175"/>
    <w:rsid w:val="0038510E"/>
    <w:rsid w:val="00390B46"/>
    <w:rsid w:val="003920C4"/>
    <w:rsid w:val="00396121"/>
    <w:rsid w:val="003A734B"/>
    <w:rsid w:val="003B188F"/>
    <w:rsid w:val="003B5FFD"/>
    <w:rsid w:val="003B7352"/>
    <w:rsid w:val="003C1549"/>
    <w:rsid w:val="003C3831"/>
    <w:rsid w:val="003D2DDF"/>
    <w:rsid w:val="003D55FD"/>
    <w:rsid w:val="003D79EB"/>
    <w:rsid w:val="003E3D86"/>
    <w:rsid w:val="003E5056"/>
    <w:rsid w:val="003F61E2"/>
    <w:rsid w:val="0040160E"/>
    <w:rsid w:val="0040622E"/>
    <w:rsid w:val="00406FC4"/>
    <w:rsid w:val="004111CB"/>
    <w:rsid w:val="004132DB"/>
    <w:rsid w:val="004163E7"/>
    <w:rsid w:val="004166EB"/>
    <w:rsid w:val="00417001"/>
    <w:rsid w:val="00421F6C"/>
    <w:rsid w:val="00422B66"/>
    <w:rsid w:val="00435C44"/>
    <w:rsid w:val="00436A79"/>
    <w:rsid w:val="00443F26"/>
    <w:rsid w:val="004445F0"/>
    <w:rsid w:val="00447660"/>
    <w:rsid w:val="0048080F"/>
    <w:rsid w:val="004873C3"/>
    <w:rsid w:val="004877D3"/>
    <w:rsid w:val="00496486"/>
    <w:rsid w:val="004A0FBE"/>
    <w:rsid w:val="004A4D77"/>
    <w:rsid w:val="004A7EF3"/>
    <w:rsid w:val="004B20E8"/>
    <w:rsid w:val="004B2955"/>
    <w:rsid w:val="004B7346"/>
    <w:rsid w:val="004D3713"/>
    <w:rsid w:val="004E0F23"/>
    <w:rsid w:val="004E1CFF"/>
    <w:rsid w:val="004E461C"/>
    <w:rsid w:val="004F1B6B"/>
    <w:rsid w:val="00506C99"/>
    <w:rsid w:val="00510AAB"/>
    <w:rsid w:val="0051193B"/>
    <w:rsid w:val="00511FA2"/>
    <w:rsid w:val="00512850"/>
    <w:rsid w:val="00513F40"/>
    <w:rsid w:val="00521770"/>
    <w:rsid w:val="00530F03"/>
    <w:rsid w:val="005327F8"/>
    <w:rsid w:val="00537BAD"/>
    <w:rsid w:val="0055088C"/>
    <w:rsid w:val="00550D66"/>
    <w:rsid w:val="00564F64"/>
    <w:rsid w:val="00565A13"/>
    <w:rsid w:val="00582583"/>
    <w:rsid w:val="00587A67"/>
    <w:rsid w:val="00597CD2"/>
    <w:rsid w:val="005B0617"/>
    <w:rsid w:val="005B527E"/>
    <w:rsid w:val="005B7DA2"/>
    <w:rsid w:val="005C1736"/>
    <w:rsid w:val="005C2472"/>
    <w:rsid w:val="005C66E9"/>
    <w:rsid w:val="005E2D71"/>
    <w:rsid w:val="005E6A41"/>
    <w:rsid w:val="005F0CF7"/>
    <w:rsid w:val="005F2A90"/>
    <w:rsid w:val="00603D35"/>
    <w:rsid w:val="00604344"/>
    <w:rsid w:val="006105CC"/>
    <w:rsid w:val="00610F98"/>
    <w:rsid w:val="00612278"/>
    <w:rsid w:val="0061319A"/>
    <w:rsid w:val="0061680E"/>
    <w:rsid w:val="00620A7B"/>
    <w:rsid w:val="0062521A"/>
    <w:rsid w:val="006254D4"/>
    <w:rsid w:val="006305BA"/>
    <w:rsid w:val="00632F6B"/>
    <w:rsid w:val="006377F6"/>
    <w:rsid w:val="00640846"/>
    <w:rsid w:val="00643EEB"/>
    <w:rsid w:val="0064712F"/>
    <w:rsid w:val="0066599C"/>
    <w:rsid w:val="00667FF9"/>
    <w:rsid w:val="00671232"/>
    <w:rsid w:val="00671FE4"/>
    <w:rsid w:val="00675E1C"/>
    <w:rsid w:val="00682A7D"/>
    <w:rsid w:val="006837C6"/>
    <w:rsid w:val="00683FC4"/>
    <w:rsid w:val="00697998"/>
    <w:rsid w:val="006A0CEC"/>
    <w:rsid w:val="006A3BF1"/>
    <w:rsid w:val="006A4903"/>
    <w:rsid w:val="006B7715"/>
    <w:rsid w:val="006C0EE5"/>
    <w:rsid w:val="006D1484"/>
    <w:rsid w:val="006D414D"/>
    <w:rsid w:val="006D59E3"/>
    <w:rsid w:val="006E2711"/>
    <w:rsid w:val="006E30C3"/>
    <w:rsid w:val="006E6B50"/>
    <w:rsid w:val="006F13E4"/>
    <w:rsid w:val="007025C8"/>
    <w:rsid w:val="00716005"/>
    <w:rsid w:val="00720F14"/>
    <w:rsid w:val="00722C5B"/>
    <w:rsid w:val="0072516C"/>
    <w:rsid w:val="00725B6A"/>
    <w:rsid w:val="00734CD1"/>
    <w:rsid w:val="00734EBF"/>
    <w:rsid w:val="00744103"/>
    <w:rsid w:val="00744F92"/>
    <w:rsid w:val="00746C2C"/>
    <w:rsid w:val="007528EB"/>
    <w:rsid w:val="007558EA"/>
    <w:rsid w:val="00762640"/>
    <w:rsid w:val="007663E8"/>
    <w:rsid w:val="00771993"/>
    <w:rsid w:val="00771AC7"/>
    <w:rsid w:val="00772D29"/>
    <w:rsid w:val="007848A0"/>
    <w:rsid w:val="007850ED"/>
    <w:rsid w:val="007854ED"/>
    <w:rsid w:val="00795EA7"/>
    <w:rsid w:val="007A288E"/>
    <w:rsid w:val="007B3AAF"/>
    <w:rsid w:val="007B5743"/>
    <w:rsid w:val="007C1612"/>
    <w:rsid w:val="007C4C3F"/>
    <w:rsid w:val="007C4EF7"/>
    <w:rsid w:val="007D12B7"/>
    <w:rsid w:val="007D2D4E"/>
    <w:rsid w:val="007D5B56"/>
    <w:rsid w:val="007E0AA6"/>
    <w:rsid w:val="007E0CF4"/>
    <w:rsid w:val="007E173D"/>
    <w:rsid w:val="007E3E03"/>
    <w:rsid w:val="007E4009"/>
    <w:rsid w:val="007E5A4D"/>
    <w:rsid w:val="007F1885"/>
    <w:rsid w:val="007F39EF"/>
    <w:rsid w:val="007F5E9B"/>
    <w:rsid w:val="007F76A1"/>
    <w:rsid w:val="0080002D"/>
    <w:rsid w:val="00800669"/>
    <w:rsid w:val="00800C21"/>
    <w:rsid w:val="0080222F"/>
    <w:rsid w:val="00803870"/>
    <w:rsid w:val="00804FD3"/>
    <w:rsid w:val="00805A41"/>
    <w:rsid w:val="00806ADD"/>
    <w:rsid w:val="00806D6B"/>
    <w:rsid w:val="00810B13"/>
    <w:rsid w:val="00815B3F"/>
    <w:rsid w:val="00822AEF"/>
    <w:rsid w:val="00823DB8"/>
    <w:rsid w:val="0083455A"/>
    <w:rsid w:val="0083785F"/>
    <w:rsid w:val="008423E0"/>
    <w:rsid w:val="00843D94"/>
    <w:rsid w:val="00845E77"/>
    <w:rsid w:val="00847F38"/>
    <w:rsid w:val="00850233"/>
    <w:rsid w:val="00851F01"/>
    <w:rsid w:val="0085357D"/>
    <w:rsid w:val="00854F90"/>
    <w:rsid w:val="00864AFF"/>
    <w:rsid w:val="00867AE4"/>
    <w:rsid w:val="0087426B"/>
    <w:rsid w:val="008830CE"/>
    <w:rsid w:val="00885194"/>
    <w:rsid w:val="008920E0"/>
    <w:rsid w:val="008927EE"/>
    <w:rsid w:val="00895348"/>
    <w:rsid w:val="008A5124"/>
    <w:rsid w:val="008A5DE6"/>
    <w:rsid w:val="008B2F62"/>
    <w:rsid w:val="008C491E"/>
    <w:rsid w:val="008C791F"/>
    <w:rsid w:val="008D40A6"/>
    <w:rsid w:val="008D4B08"/>
    <w:rsid w:val="008D5948"/>
    <w:rsid w:val="008F2621"/>
    <w:rsid w:val="008F7BED"/>
    <w:rsid w:val="00905B52"/>
    <w:rsid w:val="00911EF4"/>
    <w:rsid w:val="0092034F"/>
    <w:rsid w:val="009227F5"/>
    <w:rsid w:val="00926381"/>
    <w:rsid w:val="00936D28"/>
    <w:rsid w:val="0094127C"/>
    <w:rsid w:val="0094463D"/>
    <w:rsid w:val="009650AD"/>
    <w:rsid w:val="00965A41"/>
    <w:rsid w:val="009718DE"/>
    <w:rsid w:val="00972391"/>
    <w:rsid w:val="00981D4E"/>
    <w:rsid w:val="00981E28"/>
    <w:rsid w:val="00987FBE"/>
    <w:rsid w:val="00992951"/>
    <w:rsid w:val="0099467E"/>
    <w:rsid w:val="009970ED"/>
    <w:rsid w:val="009A2687"/>
    <w:rsid w:val="009A58A4"/>
    <w:rsid w:val="009B773C"/>
    <w:rsid w:val="009C56B0"/>
    <w:rsid w:val="009C635B"/>
    <w:rsid w:val="009C6DB5"/>
    <w:rsid w:val="009D7B5E"/>
    <w:rsid w:val="009F023E"/>
    <w:rsid w:val="009F174B"/>
    <w:rsid w:val="009F5FE8"/>
    <w:rsid w:val="009F6374"/>
    <w:rsid w:val="009F645A"/>
    <w:rsid w:val="00A07DE9"/>
    <w:rsid w:val="00A14A7C"/>
    <w:rsid w:val="00A1617E"/>
    <w:rsid w:val="00A16447"/>
    <w:rsid w:val="00A25AD9"/>
    <w:rsid w:val="00A25E8F"/>
    <w:rsid w:val="00A43155"/>
    <w:rsid w:val="00A43AE0"/>
    <w:rsid w:val="00A44582"/>
    <w:rsid w:val="00A45435"/>
    <w:rsid w:val="00A533F1"/>
    <w:rsid w:val="00A57439"/>
    <w:rsid w:val="00A577DD"/>
    <w:rsid w:val="00A577E0"/>
    <w:rsid w:val="00A66F93"/>
    <w:rsid w:val="00A74EA9"/>
    <w:rsid w:val="00A75953"/>
    <w:rsid w:val="00A75C5C"/>
    <w:rsid w:val="00A76423"/>
    <w:rsid w:val="00A77A83"/>
    <w:rsid w:val="00A80791"/>
    <w:rsid w:val="00A808FA"/>
    <w:rsid w:val="00A81367"/>
    <w:rsid w:val="00A87F89"/>
    <w:rsid w:val="00A9144F"/>
    <w:rsid w:val="00A94632"/>
    <w:rsid w:val="00A95FA5"/>
    <w:rsid w:val="00AA576B"/>
    <w:rsid w:val="00AB2D35"/>
    <w:rsid w:val="00AB3650"/>
    <w:rsid w:val="00AB4B07"/>
    <w:rsid w:val="00AB6278"/>
    <w:rsid w:val="00AB67E7"/>
    <w:rsid w:val="00AC3828"/>
    <w:rsid w:val="00AD0217"/>
    <w:rsid w:val="00AD5452"/>
    <w:rsid w:val="00AE0348"/>
    <w:rsid w:val="00AE40B5"/>
    <w:rsid w:val="00AE4557"/>
    <w:rsid w:val="00AE4889"/>
    <w:rsid w:val="00AF052A"/>
    <w:rsid w:val="00AF471D"/>
    <w:rsid w:val="00AF4BDE"/>
    <w:rsid w:val="00B02A35"/>
    <w:rsid w:val="00B1222D"/>
    <w:rsid w:val="00B14A02"/>
    <w:rsid w:val="00B24A6C"/>
    <w:rsid w:val="00B279CB"/>
    <w:rsid w:val="00B40CC0"/>
    <w:rsid w:val="00B44622"/>
    <w:rsid w:val="00B44AFE"/>
    <w:rsid w:val="00B46C29"/>
    <w:rsid w:val="00B47B53"/>
    <w:rsid w:val="00B54208"/>
    <w:rsid w:val="00B550D8"/>
    <w:rsid w:val="00B64E16"/>
    <w:rsid w:val="00B677AB"/>
    <w:rsid w:val="00B75722"/>
    <w:rsid w:val="00B82C9D"/>
    <w:rsid w:val="00B84E4F"/>
    <w:rsid w:val="00B867D5"/>
    <w:rsid w:val="00B86A43"/>
    <w:rsid w:val="00B86A87"/>
    <w:rsid w:val="00B92AC5"/>
    <w:rsid w:val="00B92AD2"/>
    <w:rsid w:val="00B93706"/>
    <w:rsid w:val="00BA5349"/>
    <w:rsid w:val="00BA624A"/>
    <w:rsid w:val="00BB2A65"/>
    <w:rsid w:val="00BB2ED7"/>
    <w:rsid w:val="00BB323D"/>
    <w:rsid w:val="00BB3CB2"/>
    <w:rsid w:val="00BC4512"/>
    <w:rsid w:val="00BC5B1E"/>
    <w:rsid w:val="00BD2D3B"/>
    <w:rsid w:val="00BD65FF"/>
    <w:rsid w:val="00BE4FB5"/>
    <w:rsid w:val="00BE707A"/>
    <w:rsid w:val="00BE7403"/>
    <w:rsid w:val="00BE7A64"/>
    <w:rsid w:val="00BE7FEC"/>
    <w:rsid w:val="00BF4C72"/>
    <w:rsid w:val="00BF7A4D"/>
    <w:rsid w:val="00C04D02"/>
    <w:rsid w:val="00C06354"/>
    <w:rsid w:val="00C1766A"/>
    <w:rsid w:val="00C34718"/>
    <w:rsid w:val="00C36F96"/>
    <w:rsid w:val="00C47126"/>
    <w:rsid w:val="00C548BD"/>
    <w:rsid w:val="00C6544A"/>
    <w:rsid w:val="00C75306"/>
    <w:rsid w:val="00C7612C"/>
    <w:rsid w:val="00C82970"/>
    <w:rsid w:val="00C952FC"/>
    <w:rsid w:val="00C95A7D"/>
    <w:rsid w:val="00CA13CB"/>
    <w:rsid w:val="00CA19A6"/>
    <w:rsid w:val="00CA5216"/>
    <w:rsid w:val="00CB6F43"/>
    <w:rsid w:val="00CB795C"/>
    <w:rsid w:val="00CC1733"/>
    <w:rsid w:val="00CC7014"/>
    <w:rsid w:val="00CC745D"/>
    <w:rsid w:val="00CD03EC"/>
    <w:rsid w:val="00CD72A8"/>
    <w:rsid w:val="00CD7836"/>
    <w:rsid w:val="00CE3F92"/>
    <w:rsid w:val="00CE5295"/>
    <w:rsid w:val="00CF3815"/>
    <w:rsid w:val="00D022B8"/>
    <w:rsid w:val="00D11749"/>
    <w:rsid w:val="00D13258"/>
    <w:rsid w:val="00D13800"/>
    <w:rsid w:val="00D25263"/>
    <w:rsid w:val="00D3213E"/>
    <w:rsid w:val="00D32481"/>
    <w:rsid w:val="00D3314D"/>
    <w:rsid w:val="00D35939"/>
    <w:rsid w:val="00D35FA8"/>
    <w:rsid w:val="00D444FE"/>
    <w:rsid w:val="00D51D17"/>
    <w:rsid w:val="00D5259E"/>
    <w:rsid w:val="00D54F3B"/>
    <w:rsid w:val="00D607E4"/>
    <w:rsid w:val="00D61B99"/>
    <w:rsid w:val="00D61C96"/>
    <w:rsid w:val="00D62697"/>
    <w:rsid w:val="00D65BBE"/>
    <w:rsid w:val="00D70771"/>
    <w:rsid w:val="00D7252F"/>
    <w:rsid w:val="00D74F47"/>
    <w:rsid w:val="00D80777"/>
    <w:rsid w:val="00D81C60"/>
    <w:rsid w:val="00D81D77"/>
    <w:rsid w:val="00D84684"/>
    <w:rsid w:val="00D84EF4"/>
    <w:rsid w:val="00D901D0"/>
    <w:rsid w:val="00D92C84"/>
    <w:rsid w:val="00D92C86"/>
    <w:rsid w:val="00D93D58"/>
    <w:rsid w:val="00DB1970"/>
    <w:rsid w:val="00DB4533"/>
    <w:rsid w:val="00DB5A86"/>
    <w:rsid w:val="00DB6BE8"/>
    <w:rsid w:val="00DC0F67"/>
    <w:rsid w:val="00DC510B"/>
    <w:rsid w:val="00DD1301"/>
    <w:rsid w:val="00DE0933"/>
    <w:rsid w:val="00DE3030"/>
    <w:rsid w:val="00DE5F06"/>
    <w:rsid w:val="00DE78B2"/>
    <w:rsid w:val="00DF25D3"/>
    <w:rsid w:val="00E01137"/>
    <w:rsid w:val="00E051DD"/>
    <w:rsid w:val="00E06F08"/>
    <w:rsid w:val="00E1462B"/>
    <w:rsid w:val="00E168B0"/>
    <w:rsid w:val="00E16E64"/>
    <w:rsid w:val="00E20D25"/>
    <w:rsid w:val="00E24B66"/>
    <w:rsid w:val="00E3410A"/>
    <w:rsid w:val="00E429BA"/>
    <w:rsid w:val="00E60532"/>
    <w:rsid w:val="00E6309D"/>
    <w:rsid w:val="00E65E30"/>
    <w:rsid w:val="00E675EA"/>
    <w:rsid w:val="00E7102F"/>
    <w:rsid w:val="00E744ED"/>
    <w:rsid w:val="00E778CA"/>
    <w:rsid w:val="00E77A9E"/>
    <w:rsid w:val="00E81D50"/>
    <w:rsid w:val="00E91BA4"/>
    <w:rsid w:val="00EA232B"/>
    <w:rsid w:val="00EA39B8"/>
    <w:rsid w:val="00EA4AA3"/>
    <w:rsid w:val="00EB2967"/>
    <w:rsid w:val="00EB4282"/>
    <w:rsid w:val="00EB5795"/>
    <w:rsid w:val="00EC7B51"/>
    <w:rsid w:val="00EC7B5B"/>
    <w:rsid w:val="00ED05BC"/>
    <w:rsid w:val="00ED1EFA"/>
    <w:rsid w:val="00ED3592"/>
    <w:rsid w:val="00ED362A"/>
    <w:rsid w:val="00ED7CF0"/>
    <w:rsid w:val="00EE2BCC"/>
    <w:rsid w:val="00EE31F1"/>
    <w:rsid w:val="00EE3B08"/>
    <w:rsid w:val="00EE638F"/>
    <w:rsid w:val="00EF44A6"/>
    <w:rsid w:val="00EF6C95"/>
    <w:rsid w:val="00F011DC"/>
    <w:rsid w:val="00F077F8"/>
    <w:rsid w:val="00F102F3"/>
    <w:rsid w:val="00F16E4E"/>
    <w:rsid w:val="00F22442"/>
    <w:rsid w:val="00F2460C"/>
    <w:rsid w:val="00F25F99"/>
    <w:rsid w:val="00F3142A"/>
    <w:rsid w:val="00F37488"/>
    <w:rsid w:val="00F422B1"/>
    <w:rsid w:val="00F432E1"/>
    <w:rsid w:val="00F462C4"/>
    <w:rsid w:val="00F50380"/>
    <w:rsid w:val="00F57364"/>
    <w:rsid w:val="00F61A1F"/>
    <w:rsid w:val="00F61E97"/>
    <w:rsid w:val="00F64FBF"/>
    <w:rsid w:val="00F651D1"/>
    <w:rsid w:val="00F748D5"/>
    <w:rsid w:val="00F90E6A"/>
    <w:rsid w:val="00FA0702"/>
    <w:rsid w:val="00FA1513"/>
    <w:rsid w:val="00FA19B7"/>
    <w:rsid w:val="00FA1B30"/>
    <w:rsid w:val="00FA2865"/>
    <w:rsid w:val="00FA372B"/>
    <w:rsid w:val="00FB1B9F"/>
    <w:rsid w:val="00FC0422"/>
    <w:rsid w:val="00FC533B"/>
    <w:rsid w:val="00FD1F86"/>
    <w:rsid w:val="00FD22D0"/>
    <w:rsid w:val="00FD5DEC"/>
    <w:rsid w:val="00FE5465"/>
    <w:rsid w:val="00FF6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90"/>
    <w:rPr>
      <w:rFonts w:ascii="Times New Roman" w:hAnsi="Times New Roman" w:cs="Times New Roman"/>
      <w:sz w:val="24"/>
      <w:szCs w:val="24"/>
    </w:rPr>
  </w:style>
  <w:style w:type="paragraph" w:styleId="Heading1">
    <w:name w:val="heading 1"/>
    <w:basedOn w:val="Normal"/>
    <w:next w:val="Normal"/>
    <w:link w:val="Heading1Char"/>
    <w:uiPriority w:val="99"/>
    <w:qFormat/>
    <w:rsid w:val="008920E0"/>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F90"/>
    <w:pPr>
      <w:ind w:left="720"/>
      <w:contextualSpacing/>
    </w:pPr>
  </w:style>
  <w:style w:type="paragraph" w:customStyle="1" w:styleId="a">
    <w:name w:val="آ"/>
    <w:basedOn w:val="Normal"/>
    <w:rsid w:val="00AE4889"/>
    <w:pPr>
      <w:widowControl w:val="0"/>
      <w:spacing w:after="0" w:line="240" w:lineRule="auto"/>
    </w:pPr>
    <w:rPr>
      <w:rFonts w:eastAsia="Times New Roman"/>
      <w:szCs w:val="20"/>
    </w:rPr>
  </w:style>
  <w:style w:type="character" w:styleId="CommentReference">
    <w:name w:val="annotation reference"/>
    <w:basedOn w:val="DefaultParagraphFont"/>
    <w:uiPriority w:val="99"/>
    <w:semiHidden/>
    <w:unhideWhenUsed/>
    <w:rsid w:val="007A288E"/>
    <w:rPr>
      <w:sz w:val="16"/>
      <w:szCs w:val="16"/>
    </w:rPr>
  </w:style>
  <w:style w:type="paragraph" w:styleId="CommentText">
    <w:name w:val="annotation text"/>
    <w:basedOn w:val="Normal"/>
    <w:link w:val="CommentTextChar"/>
    <w:uiPriority w:val="99"/>
    <w:semiHidden/>
    <w:unhideWhenUsed/>
    <w:rsid w:val="007A288E"/>
    <w:pPr>
      <w:spacing w:line="240" w:lineRule="auto"/>
    </w:pPr>
    <w:rPr>
      <w:sz w:val="20"/>
      <w:szCs w:val="20"/>
    </w:rPr>
  </w:style>
  <w:style w:type="character" w:customStyle="1" w:styleId="CommentTextChar">
    <w:name w:val="Comment Text Char"/>
    <w:basedOn w:val="DefaultParagraphFont"/>
    <w:link w:val="CommentText"/>
    <w:uiPriority w:val="99"/>
    <w:semiHidden/>
    <w:rsid w:val="007A28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8E"/>
    <w:rPr>
      <w:b/>
      <w:bCs/>
    </w:rPr>
  </w:style>
  <w:style w:type="character" w:customStyle="1" w:styleId="CommentSubjectChar">
    <w:name w:val="Comment Subject Char"/>
    <w:basedOn w:val="CommentTextChar"/>
    <w:link w:val="CommentSubject"/>
    <w:uiPriority w:val="99"/>
    <w:semiHidden/>
    <w:rsid w:val="007A288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A2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88E"/>
    <w:rPr>
      <w:rFonts w:ascii="Tahoma" w:hAnsi="Tahoma" w:cs="Tahoma"/>
      <w:sz w:val="16"/>
      <w:szCs w:val="16"/>
    </w:rPr>
  </w:style>
  <w:style w:type="table" w:styleId="TableGrid">
    <w:name w:val="Table Grid"/>
    <w:basedOn w:val="TableNormal"/>
    <w:uiPriority w:val="59"/>
    <w:rsid w:val="00CE5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77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A83"/>
    <w:rPr>
      <w:rFonts w:ascii="Times New Roman" w:hAnsi="Times New Roman" w:cs="Times New Roman"/>
      <w:sz w:val="24"/>
      <w:szCs w:val="24"/>
    </w:rPr>
  </w:style>
  <w:style w:type="paragraph" w:styleId="Footer">
    <w:name w:val="footer"/>
    <w:basedOn w:val="Normal"/>
    <w:link w:val="FooterChar"/>
    <w:uiPriority w:val="99"/>
    <w:unhideWhenUsed/>
    <w:rsid w:val="00A7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83"/>
    <w:rPr>
      <w:rFonts w:ascii="Times New Roman" w:hAnsi="Times New Roman" w:cs="Times New Roman"/>
      <w:sz w:val="24"/>
      <w:szCs w:val="24"/>
    </w:rPr>
  </w:style>
  <w:style w:type="character" w:customStyle="1" w:styleId="Heading1Char">
    <w:name w:val="Heading 1 Char"/>
    <w:basedOn w:val="DefaultParagraphFont"/>
    <w:link w:val="Heading1"/>
    <w:uiPriority w:val="99"/>
    <w:rsid w:val="008920E0"/>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8920E0"/>
    <w:pPr>
      <w:spacing w:after="0" w:line="240"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8920E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920E0"/>
    <w:rPr>
      <w:vertAlign w:val="superscript"/>
    </w:rPr>
  </w:style>
  <w:style w:type="character" w:styleId="Hyperlink">
    <w:name w:val="Hyperlink"/>
    <w:basedOn w:val="DefaultParagraphFont"/>
    <w:uiPriority w:val="99"/>
    <w:unhideWhenUsed/>
    <w:rsid w:val="008920E0"/>
    <w:rPr>
      <w:color w:val="0000FF"/>
      <w:u w:val="single"/>
    </w:rPr>
  </w:style>
  <w:style w:type="character" w:styleId="HTMLCite">
    <w:name w:val="HTML Cite"/>
    <w:basedOn w:val="DefaultParagraphFont"/>
    <w:uiPriority w:val="99"/>
    <w:semiHidden/>
    <w:unhideWhenUsed/>
    <w:rsid w:val="008920E0"/>
    <w:rPr>
      <w:rFonts w:ascii="Times New Roman" w:hAnsi="Times New Roman" w:cs="Times New Roman" w:hint="default"/>
      <w:i/>
      <w:iCs/>
    </w:rPr>
  </w:style>
  <w:style w:type="paragraph" w:customStyle="1" w:styleId="P1-StandPara">
    <w:name w:val="P1-Stand Para"/>
    <w:link w:val="P1-StandParaChar1"/>
    <w:rsid w:val="008920E0"/>
    <w:pPr>
      <w:spacing w:after="0" w:line="360" w:lineRule="atLeast"/>
      <w:ind w:firstLine="1152"/>
      <w:jc w:val="both"/>
    </w:pPr>
    <w:rPr>
      <w:rFonts w:ascii="Times New Roman" w:eastAsia="Times New Roman" w:hAnsi="Times New Roman" w:cs="Times New Roman"/>
      <w:szCs w:val="20"/>
    </w:rPr>
  </w:style>
  <w:style w:type="paragraph" w:customStyle="1" w:styleId="BodyText1">
    <w:name w:val="Body Text1"/>
    <w:aliases w:val="bt,body tx,indent,flush,memo body text,flush Char Char,body 4h,bt Char Char"/>
    <w:basedOn w:val="Normal"/>
    <w:link w:val="body4hChar"/>
    <w:rsid w:val="00620A7B"/>
    <w:pPr>
      <w:spacing w:after="240" w:line="240" w:lineRule="auto"/>
    </w:pPr>
    <w:rPr>
      <w:rFonts w:eastAsia="Times New Roman"/>
      <w:szCs w:val="20"/>
    </w:rPr>
  </w:style>
  <w:style w:type="character" w:customStyle="1" w:styleId="body4hChar">
    <w:name w:val="body 4h Char"/>
    <w:basedOn w:val="DefaultParagraphFont"/>
    <w:link w:val="BodyText1"/>
    <w:rsid w:val="00620A7B"/>
    <w:rPr>
      <w:rFonts w:ascii="Times New Roman" w:eastAsia="Times New Roman" w:hAnsi="Times New Roman" w:cs="Times New Roman"/>
      <w:sz w:val="24"/>
      <w:szCs w:val="20"/>
    </w:rPr>
  </w:style>
  <w:style w:type="paragraph" w:styleId="Revision">
    <w:name w:val="Revision"/>
    <w:hidden/>
    <w:uiPriority w:val="99"/>
    <w:semiHidden/>
    <w:rsid w:val="00E429BA"/>
    <w:pPr>
      <w:spacing w:after="0" w:line="240" w:lineRule="auto"/>
    </w:pPr>
    <w:rPr>
      <w:rFonts w:ascii="Times New Roman" w:hAnsi="Times New Roman" w:cs="Times New Roman"/>
      <w:sz w:val="24"/>
      <w:szCs w:val="24"/>
    </w:rPr>
  </w:style>
  <w:style w:type="paragraph" w:styleId="TOC1">
    <w:name w:val="toc 1"/>
    <w:basedOn w:val="Normal"/>
    <w:next w:val="Normal"/>
    <w:rsid w:val="00905B52"/>
    <w:pPr>
      <w:tabs>
        <w:tab w:val="right" w:leader="dot" w:pos="9360"/>
      </w:tabs>
      <w:spacing w:before="240" w:after="0" w:line="240" w:lineRule="auto"/>
      <w:ind w:left="720" w:right="720" w:hanging="450"/>
    </w:pPr>
    <w:rPr>
      <w:rFonts w:eastAsia="Times New Roman"/>
      <w:noProof/>
      <w:sz w:val="22"/>
      <w:szCs w:val="20"/>
    </w:rPr>
  </w:style>
  <w:style w:type="paragraph" w:styleId="TOC2">
    <w:name w:val="toc 2"/>
    <w:basedOn w:val="Normal"/>
    <w:next w:val="Normal"/>
    <w:rsid w:val="00905B52"/>
    <w:pPr>
      <w:tabs>
        <w:tab w:val="right" w:leader="dot" w:pos="9360"/>
      </w:tabs>
      <w:spacing w:after="0" w:line="240" w:lineRule="auto"/>
      <w:ind w:left="1260" w:right="720" w:hanging="540"/>
    </w:pPr>
    <w:rPr>
      <w:rFonts w:eastAsia="Times New Roman"/>
      <w:noProof/>
      <w:sz w:val="22"/>
      <w:szCs w:val="20"/>
    </w:rPr>
  </w:style>
  <w:style w:type="paragraph" w:styleId="EndnoteText">
    <w:name w:val="endnote text"/>
    <w:basedOn w:val="Normal"/>
    <w:link w:val="EndnoteTextChar"/>
    <w:uiPriority w:val="99"/>
    <w:semiHidden/>
    <w:unhideWhenUsed/>
    <w:rsid w:val="00E051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51D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051DD"/>
    <w:rPr>
      <w:vertAlign w:val="superscript"/>
    </w:rPr>
  </w:style>
  <w:style w:type="character" w:customStyle="1" w:styleId="P1-StandParaChar1">
    <w:name w:val="P1-Stand Para Char1"/>
    <w:basedOn w:val="DefaultParagraphFont"/>
    <w:link w:val="P1-StandPara"/>
    <w:rsid w:val="00E60532"/>
    <w:rPr>
      <w:rFonts w:ascii="Times New Roman" w:eastAsia="Times New Roman" w:hAnsi="Times New Roman" w:cs="Times New Roman"/>
      <w:szCs w:val="20"/>
    </w:rPr>
  </w:style>
  <w:style w:type="paragraph" w:customStyle="1" w:styleId="Style">
    <w:name w:val="Style"/>
    <w:basedOn w:val="Normal"/>
    <w:rsid w:val="00B86A87"/>
    <w:pPr>
      <w:autoSpaceDE w:val="0"/>
      <w:autoSpaceDN w:val="0"/>
      <w:spacing w:after="0" w:line="240" w:lineRule="auto"/>
    </w:pPr>
    <w:rPr>
      <w:rFonts w:ascii="Arial" w:eastAsia="Times New Roman" w:hAnsi="Arial" w:cs="Arial"/>
    </w:rPr>
  </w:style>
  <w:style w:type="character" w:styleId="Strong">
    <w:name w:val="Strong"/>
    <w:basedOn w:val="DefaultParagraphFont"/>
    <w:uiPriority w:val="22"/>
    <w:qFormat/>
    <w:rsid w:val="00A43A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90"/>
    <w:rPr>
      <w:rFonts w:ascii="Times New Roman" w:hAnsi="Times New Roman" w:cs="Times New Roman"/>
      <w:sz w:val="24"/>
      <w:szCs w:val="24"/>
    </w:rPr>
  </w:style>
  <w:style w:type="paragraph" w:styleId="Heading1">
    <w:name w:val="heading 1"/>
    <w:basedOn w:val="Normal"/>
    <w:next w:val="Normal"/>
    <w:link w:val="Heading1Char"/>
    <w:uiPriority w:val="99"/>
    <w:qFormat/>
    <w:rsid w:val="008920E0"/>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F90"/>
    <w:pPr>
      <w:ind w:left="720"/>
      <w:contextualSpacing/>
    </w:pPr>
  </w:style>
  <w:style w:type="paragraph" w:customStyle="1" w:styleId="a">
    <w:name w:val="آ"/>
    <w:basedOn w:val="Normal"/>
    <w:rsid w:val="00AE4889"/>
    <w:pPr>
      <w:widowControl w:val="0"/>
      <w:spacing w:after="0" w:line="240" w:lineRule="auto"/>
    </w:pPr>
    <w:rPr>
      <w:rFonts w:eastAsia="Times New Roman"/>
      <w:szCs w:val="20"/>
    </w:rPr>
  </w:style>
  <w:style w:type="character" w:styleId="CommentReference">
    <w:name w:val="annotation reference"/>
    <w:basedOn w:val="DefaultParagraphFont"/>
    <w:uiPriority w:val="99"/>
    <w:semiHidden/>
    <w:unhideWhenUsed/>
    <w:rsid w:val="007A288E"/>
    <w:rPr>
      <w:sz w:val="16"/>
      <w:szCs w:val="16"/>
    </w:rPr>
  </w:style>
  <w:style w:type="paragraph" w:styleId="CommentText">
    <w:name w:val="annotation text"/>
    <w:basedOn w:val="Normal"/>
    <w:link w:val="CommentTextChar"/>
    <w:uiPriority w:val="99"/>
    <w:semiHidden/>
    <w:unhideWhenUsed/>
    <w:rsid w:val="007A288E"/>
    <w:pPr>
      <w:spacing w:line="240" w:lineRule="auto"/>
    </w:pPr>
    <w:rPr>
      <w:sz w:val="20"/>
      <w:szCs w:val="20"/>
    </w:rPr>
  </w:style>
  <w:style w:type="character" w:customStyle="1" w:styleId="CommentTextChar">
    <w:name w:val="Comment Text Char"/>
    <w:basedOn w:val="DefaultParagraphFont"/>
    <w:link w:val="CommentText"/>
    <w:uiPriority w:val="99"/>
    <w:semiHidden/>
    <w:rsid w:val="007A28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8E"/>
    <w:rPr>
      <w:b/>
      <w:bCs/>
    </w:rPr>
  </w:style>
  <w:style w:type="character" w:customStyle="1" w:styleId="CommentSubjectChar">
    <w:name w:val="Comment Subject Char"/>
    <w:basedOn w:val="CommentTextChar"/>
    <w:link w:val="CommentSubject"/>
    <w:uiPriority w:val="99"/>
    <w:semiHidden/>
    <w:rsid w:val="007A288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A2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88E"/>
    <w:rPr>
      <w:rFonts w:ascii="Tahoma" w:hAnsi="Tahoma" w:cs="Tahoma"/>
      <w:sz w:val="16"/>
      <w:szCs w:val="16"/>
    </w:rPr>
  </w:style>
  <w:style w:type="table" w:styleId="TableGrid">
    <w:name w:val="Table Grid"/>
    <w:basedOn w:val="TableNormal"/>
    <w:uiPriority w:val="59"/>
    <w:rsid w:val="00CE5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77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A83"/>
    <w:rPr>
      <w:rFonts w:ascii="Times New Roman" w:hAnsi="Times New Roman" w:cs="Times New Roman"/>
      <w:sz w:val="24"/>
      <w:szCs w:val="24"/>
    </w:rPr>
  </w:style>
  <w:style w:type="paragraph" w:styleId="Footer">
    <w:name w:val="footer"/>
    <w:basedOn w:val="Normal"/>
    <w:link w:val="FooterChar"/>
    <w:uiPriority w:val="99"/>
    <w:unhideWhenUsed/>
    <w:rsid w:val="00A7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83"/>
    <w:rPr>
      <w:rFonts w:ascii="Times New Roman" w:hAnsi="Times New Roman" w:cs="Times New Roman"/>
      <w:sz w:val="24"/>
      <w:szCs w:val="24"/>
    </w:rPr>
  </w:style>
  <w:style w:type="character" w:customStyle="1" w:styleId="Heading1Char">
    <w:name w:val="Heading 1 Char"/>
    <w:basedOn w:val="DefaultParagraphFont"/>
    <w:link w:val="Heading1"/>
    <w:uiPriority w:val="99"/>
    <w:rsid w:val="008920E0"/>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8920E0"/>
    <w:pPr>
      <w:spacing w:after="0" w:line="240"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8920E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920E0"/>
    <w:rPr>
      <w:vertAlign w:val="superscript"/>
    </w:rPr>
  </w:style>
  <w:style w:type="character" w:styleId="Hyperlink">
    <w:name w:val="Hyperlink"/>
    <w:basedOn w:val="DefaultParagraphFont"/>
    <w:uiPriority w:val="99"/>
    <w:unhideWhenUsed/>
    <w:rsid w:val="008920E0"/>
    <w:rPr>
      <w:color w:val="0000FF"/>
      <w:u w:val="single"/>
    </w:rPr>
  </w:style>
  <w:style w:type="character" w:styleId="HTMLCite">
    <w:name w:val="HTML Cite"/>
    <w:basedOn w:val="DefaultParagraphFont"/>
    <w:uiPriority w:val="99"/>
    <w:semiHidden/>
    <w:unhideWhenUsed/>
    <w:rsid w:val="008920E0"/>
    <w:rPr>
      <w:rFonts w:ascii="Times New Roman" w:hAnsi="Times New Roman" w:cs="Times New Roman" w:hint="default"/>
      <w:i/>
      <w:iCs/>
    </w:rPr>
  </w:style>
  <w:style w:type="paragraph" w:customStyle="1" w:styleId="P1-StandPara">
    <w:name w:val="P1-Stand Para"/>
    <w:link w:val="P1-StandParaChar1"/>
    <w:rsid w:val="008920E0"/>
    <w:pPr>
      <w:spacing w:after="0" w:line="360" w:lineRule="atLeast"/>
      <w:ind w:firstLine="1152"/>
      <w:jc w:val="both"/>
    </w:pPr>
    <w:rPr>
      <w:rFonts w:ascii="Times New Roman" w:eastAsia="Times New Roman" w:hAnsi="Times New Roman" w:cs="Times New Roman"/>
      <w:szCs w:val="20"/>
    </w:rPr>
  </w:style>
  <w:style w:type="paragraph" w:customStyle="1" w:styleId="BodyText1">
    <w:name w:val="Body Text1"/>
    <w:aliases w:val="bt,body tx,indent,flush,memo body text,flush Char Char,body 4h,bt Char Char"/>
    <w:basedOn w:val="Normal"/>
    <w:link w:val="body4hChar"/>
    <w:rsid w:val="00620A7B"/>
    <w:pPr>
      <w:spacing w:after="240" w:line="240" w:lineRule="auto"/>
    </w:pPr>
    <w:rPr>
      <w:rFonts w:eastAsia="Times New Roman"/>
      <w:szCs w:val="20"/>
    </w:rPr>
  </w:style>
  <w:style w:type="character" w:customStyle="1" w:styleId="body4hChar">
    <w:name w:val="body 4h Char"/>
    <w:basedOn w:val="DefaultParagraphFont"/>
    <w:link w:val="BodyText1"/>
    <w:rsid w:val="00620A7B"/>
    <w:rPr>
      <w:rFonts w:ascii="Times New Roman" w:eastAsia="Times New Roman" w:hAnsi="Times New Roman" w:cs="Times New Roman"/>
      <w:sz w:val="24"/>
      <w:szCs w:val="20"/>
    </w:rPr>
  </w:style>
  <w:style w:type="paragraph" w:styleId="Revision">
    <w:name w:val="Revision"/>
    <w:hidden/>
    <w:uiPriority w:val="99"/>
    <w:semiHidden/>
    <w:rsid w:val="00E429BA"/>
    <w:pPr>
      <w:spacing w:after="0" w:line="240" w:lineRule="auto"/>
    </w:pPr>
    <w:rPr>
      <w:rFonts w:ascii="Times New Roman" w:hAnsi="Times New Roman" w:cs="Times New Roman"/>
      <w:sz w:val="24"/>
      <w:szCs w:val="24"/>
    </w:rPr>
  </w:style>
  <w:style w:type="paragraph" w:styleId="TOC1">
    <w:name w:val="toc 1"/>
    <w:basedOn w:val="Normal"/>
    <w:next w:val="Normal"/>
    <w:rsid w:val="00905B52"/>
    <w:pPr>
      <w:tabs>
        <w:tab w:val="right" w:leader="dot" w:pos="9360"/>
      </w:tabs>
      <w:spacing w:before="240" w:after="0" w:line="240" w:lineRule="auto"/>
      <w:ind w:left="720" w:right="720" w:hanging="450"/>
    </w:pPr>
    <w:rPr>
      <w:rFonts w:eastAsia="Times New Roman"/>
      <w:noProof/>
      <w:sz w:val="22"/>
      <w:szCs w:val="20"/>
    </w:rPr>
  </w:style>
  <w:style w:type="paragraph" w:styleId="TOC2">
    <w:name w:val="toc 2"/>
    <w:basedOn w:val="Normal"/>
    <w:next w:val="Normal"/>
    <w:rsid w:val="00905B52"/>
    <w:pPr>
      <w:tabs>
        <w:tab w:val="right" w:leader="dot" w:pos="9360"/>
      </w:tabs>
      <w:spacing w:after="0" w:line="240" w:lineRule="auto"/>
      <w:ind w:left="1260" w:right="720" w:hanging="540"/>
    </w:pPr>
    <w:rPr>
      <w:rFonts w:eastAsia="Times New Roman"/>
      <w:noProof/>
      <w:sz w:val="22"/>
      <w:szCs w:val="20"/>
    </w:rPr>
  </w:style>
  <w:style w:type="paragraph" w:styleId="EndnoteText">
    <w:name w:val="endnote text"/>
    <w:basedOn w:val="Normal"/>
    <w:link w:val="EndnoteTextChar"/>
    <w:uiPriority w:val="99"/>
    <w:semiHidden/>
    <w:unhideWhenUsed/>
    <w:rsid w:val="00E051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51D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051DD"/>
    <w:rPr>
      <w:vertAlign w:val="superscript"/>
    </w:rPr>
  </w:style>
  <w:style w:type="character" w:customStyle="1" w:styleId="P1-StandParaChar1">
    <w:name w:val="P1-Stand Para Char1"/>
    <w:basedOn w:val="DefaultParagraphFont"/>
    <w:link w:val="P1-StandPara"/>
    <w:rsid w:val="00E60532"/>
    <w:rPr>
      <w:rFonts w:ascii="Times New Roman" w:eastAsia="Times New Roman" w:hAnsi="Times New Roman" w:cs="Times New Roman"/>
      <w:szCs w:val="20"/>
    </w:rPr>
  </w:style>
  <w:style w:type="paragraph" w:customStyle="1" w:styleId="Style">
    <w:name w:val="Style"/>
    <w:basedOn w:val="Normal"/>
    <w:rsid w:val="00B86A87"/>
    <w:pPr>
      <w:autoSpaceDE w:val="0"/>
      <w:autoSpaceDN w:val="0"/>
      <w:spacing w:after="0" w:line="240" w:lineRule="auto"/>
    </w:pPr>
    <w:rPr>
      <w:rFonts w:ascii="Arial" w:eastAsia="Times New Roman" w:hAnsi="Arial" w:cs="Arial"/>
    </w:rPr>
  </w:style>
  <w:style w:type="character" w:styleId="Strong">
    <w:name w:val="Strong"/>
    <w:basedOn w:val="DefaultParagraphFont"/>
    <w:qFormat/>
    <w:rsid w:val="00A43AE0"/>
    <w:rPr>
      <w:b/>
      <w:bCs/>
    </w:rPr>
  </w:style>
</w:styles>
</file>

<file path=word/webSettings.xml><?xml version="1.0" encoding="utf-8"?>
<w:webSettings xmlns:r="http://schemas.openxmlformats.org/officeDocument/2006/relationships" xmlns:w="http://schemas.openxmlformats.org/wordprocessingml/2006/main">
  <w:divs>
    <w:div w:id="96759906">
      <w:bodyDiv w:val="1"/>
      <w:marLeft w:val="0"/>
      <w:marRight w:val="0"/>
      <w:marTop w:val="0"/>
      <w:marBottom w:val="0"/>
      <w:divBdr>
        <w:top w:val="none" w:sz="0" w:space="0" w:color="auto"/>
        <w:left w:val="none" w:sz="0" w:space="0" w:color="auto"/>
        <w:bottom w:val="none" w:sz="0" w:space="0" w:color="auto"/>
        <w:right w:val="none" w:sz="0" w:space="0" w:color="auto"/>
      </w:divBdr>
    </w:div>
    <w:div w:id="193428769">
      <w:bodyDiv w:val="1"/>
      <w:marLeft w:val="0"/>
      <w:marRight w:val="0"/>
      <w:marTop w:val="0"/>
      <w:marBottom w:val="0"/>
      <w:divBdr>
        <w:top w:val="none" w:sz="0" w:space="0" w:color="auto"/>
        <w:left w:val="none" w:sz="0" w:space="0" w:color="auto"/>
        <w:bottom w:val="none" w:sz="0" w:space="0" w:color="auto"/>
        <w:right w:val="none" w:sz="0" w:space="0" w:color="auto"/>
      </w:divBdr>
    </w:div>
    <w:div w:id="716854924">
      <w:bodyDiv w:val="1"/>
      <w:marLeft w:val="0"/>
      <w:marRight w:val="0"/>
      <w:marTop w:val="0"/>
      <w:marBottom w:val="0"/>
      <w:divBdr>
        <w:top w:val="none" w:sz="0" w:space="0" w:color="auto"/>
        <w:left w:val="none" w:sz="0" w:space="0" w:color="auto"/>
        <w:bottom w:val="none" w:sz="0" w:space="0" w:color="auto"/>
        <w:right w:val="none" w:sz="0" w:space="0" w:color="auto"/>
      </w:divBdr>
    </w:div>
    <w:div w:id="777062265">
      <w:bodyDiv w:val="1"/>
      <w:marLeft w:val="0"/>
      <w:marRight w:val="0"/>
      <w:marTop w:val="0"/>
      <w:marBottom w:val="0"/>
      <w:divBdr>
        <w:top w:val="none" w:sz="0" w:space="0" w:color="auto"/>
        <w:left w:val="none" w:sz="0" w:space="0" w:color="auto"/>
        <w:bottom w:val="none" w:sz="0" w:space="0" w:color="auto"/>
        <w:right w:val="none" w:sz="0" w:space="0" w:color="auto"/>
      </w:divBdr>
    </w:div>
    <w:div w:id="805195397">
      <w:bodyDiv w:val="1"/>
      <w:marLeft w:val="0"/>
      <w:marRight w:val="0"/>
      <w:marTop w:val="0"/>
      <w:marBottom w:val="0"/>
      <w:divBdr>
        <w:top w:val="none" w:sz="0" w:space="0" w:color="auto"/>
        <w:left w:val="none" w:sz="0" w:space="0" w:color="auto"/>
        <w:bottom w:val="none" w:sz="0" w:space="0" w:color="auto"/>
        <w:right w:val="none" w:sz="0" w:space="0" w:color="auto"/>
      </w:divBdr>
    </w:div>
    <w:div w:id="1038358936">
      <w:bodyDiv w:val="1"/>
      <w:marLeft w:val="0"/>
      <w:marRight w:val="0"/>
      <w:marTop w:val="0"/>
      <w:marBottom w:val="0"/>
      <w:divBdr>
        <w:top w:val="none" w:sz="0" w:space="0" w:color="auto"/>
        <w:left w:val="none" w:sz="0" w:space="0" w:color="auto"/>
        <w:bottom w:val="none" w:sz="0" w:space="0" w:color="auto"/>
        <w:right w:val="none" w:sz="0" w:space="0" w:color="auto"/>
      </w:divBdr>
    </w:div>
    <w:div w:id="1131364461">
      <w:bodyDiv w:val="1"/>
      <w:marLeft w:val="0"/>
      <w:marRight w:val="0"/>
      <w:marTop w:val="0"/>
      <w:marBottom w:val="0"/>
      <w:divBdr>
        <w:top w:val="none" w:sz="0" w:space="0" w:color="auto"/>
        <w:left w:val="none" w:sz="0" w:space="0" w:color="auto"/>
        <w:bottom w:val="none" w:sz="0" w:space="0" w:color="auto"/>
        <w:right w:val="none" w:sz="0" w:space="0" w:color="auto"/>
      </w:divBdr>
    </w:div>
    <w:div w:id="15583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th.Labiner-Wolfe@hhs.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Dep00</b:Tag>
    <b:SourceType>Report</b:SourceType>
    <b:Guid>{01A926FE-B325-4D5D-861F-B0AE579128FE}</b:Guid>
    <b:Author>
      <b:Author>
        <b:NameList>
          <b:Person>
            <b:Last>Services</b:Last>
            <b:First>Department</b:First>
            <b:Middle>of Health and Human</b:Middle>
          </b:Person>
        </b:NameList>
      </b:Author>
    </b:Author>
    <b:Title>Oral Health in America: A Report of the Surgeon General-Executive Summary</b:Title>
    <b:Year>2000</b:Year>
    <b:City>Rockville, MD.</b:City>
    <b:RefOrder>1</b:RefOrder>
  </b:Source>
</b:Sources>
</file>

<file path=customXml/itemProps1.xml><?xml version="1.0" encoding="utf-8"?>
<ds:datastoreItem xmlns:ds="http://schemas.openxmlformats.org/officeDocument/2006/customXml" ds:itemID="{37102E86-583E-4E63-9803-DF4AA9FD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3346</Words>
  <Characters>19076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ily2</dc:creator>
  <cp:keywords/>
  <dc:description/>
  <cp:lastModifiedBy>Department of Health and Human Services</cp:lastModifiedBy>
  <cp:revision>2</cp:revision>
  <cp:lastPrinted>2012-05-29T19:13:00Z</cp:lastPrinted>
  <dcterms:created xsi:type="dcterms:W3CDTF">2012-05-29T19:14:00Z</dcterms:created>
  <dcterms:modified xsi:type="dcterms:W3CDTF">2012-05-29T19:14:00Z</dcterms:modified>
</cp:coreProperties>
</file>