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tblpY="2881"/>
        <w:tblOverlap w:val="never"/>
        <w:tblW w:w="0" w:type="auto"/>
        <w:tblInd w:w="1440" w:type="dxa"/>
        <w:tblLayout w:type="fixed"/>
        <w:tblCellMar>
          <w:left w:w="115" w:type="dxa"/>
          <w:right w:w="115" w:type="dxa"/>
        </w:tblCellMar>
        <w:tblLook w:val="04A0"/>
      </w:tblPr>
      <w:tblGrid>
        <w:gridCol w:w="3618"/>
        <w:gridCol w:w="4057"/>
      </w:tblGrid>
      <w:tr w:rsidR="00161242" w:rsidRPr="00451D9C" w:rsidTr="009A5A42">
        <w:tc>
          <w:tcPr>
            <w:tcW w:w="3618" w:type="dxa"/>
          </w:tcPr>
          <w:p w:rsidR="00161242" w:rsidRDefault="00161242" w:rsidP="009A5A42">
            <w:pPr>
              <w:spacing w:line="240" w:lineRule="exact"/>
              <w:ind w:firstLine="0"/>
              <w:jc w:val="left"/>
              <w:rPr>
                <w:rFonts w:ascii="Lucida Sans" w:hAnsi="Lucida Sans"/>
                <w:sz w:val="17"/>
                <w:szCs w:val="16"/>
              </w:rPr>
            </w:pPr>
          </w:p>
          <w:p w:rsidR="00161242" w:rsidRDefault="00161242" w:rsidP="009A5A42">
            <w:pPr>
              <w:spacing w:line="240" w:lineRule="exact"/>
              <w:ind w:firstLine="0"/>
              <w:jc w:val="left"/>
              <w:rPr>
                <w:rFonts w:ascii="Lucida Sans" w:hAnsi="Lucida Sans"/>
                <w:sz w:val="17"/>
                <w:szCs w:val="16"/>
              </w:rPr>
            </w:pPr>
            <w:r>
              <w:rPr>
                <w:rFonts w:ascii="Lucida Sans" w:hAnsi="Lucida Sans"/>
                <w:sz w:val="17"/>
                <w:szCs w:val="16"/>
              </w:rPr>
              <w:t>U.S. Department of Health</w:t>
            </w:r>
            <w:r>
              <w:rPr>
                <w:rFonts w:ascii="Lucida Sans" w:hAnsi="Lucida Sans"/>
                <w:sz w:val="17"/>
                <w:szCs w:val="16"/>
              </w:rPr>
              <w:br/>
              <w:t>and Human Services</w:t>
            </w:r>
          </w:p>
          <w:p w:rsidR="00161242" w:rsidRDefault="00161242" w:rsidP="009A5A42">
            <w:pPr>
              <w:spacing w:line="240" w:lineRule="exact"/>
              <w:ind w:firstLine="0"/>
              <w:jc w:val="left"/>
              <w:rPr>
                <w:rFonts w:ascii="Lucida Sans" w:hAnsi="Lucida Sans"/>
                <w:sz w:val="17"/>
                <w:szCs w:val="16"/>
              </w:rPr>
            </w:pPr>
            <w:r>
              <w:rPr>
                <w:rFonts w:ascii="Lucida Sans" w:hAnsi="Lucida Sans"/>
                <w:sz w:val="17"/>
                <w:szCs w:val="16"/>
              </w:rPr>
              <w:t>Office of Planning, Research and Evaluation, Administration for Children and Families Family and Youth Services Bureau</w:t>
            </w:r>
          </w:p>
          <w:p w:rsidR="00161242" w:rsidRDefault="00161242" w:rsidP="009A5A42">
            <w:pPr>
              <w:spacing w:line="240" w:lineRule="exact"/>
              <w:ind w:firstLine="0"/>
              <w:jc w:val="left"/>
              <w:rPr>
                <w:rFonts w:ascii="Lucida Sans" w:hAnsi="Lucida Sans"/>
                <w:sz w:val="17"/>
                <w:szCs w:val="16"/>
              </w:rPr>
            </w:pPr>
            <w:r>
              <w:rPr>
                <w:rFonts w:ascii="Lucida Sans" w:hAnsi="Lucida Sans"/>
                <w:sz w:val="17"/>
                <w:szCs w:val="16"/>
              </w:rPr>
              <w:t>7th floor West Aerospace Building</w:t>
            </w:r>
          </w:p>
          <w:p w:rsidR="00161242" w:rsidRDefault="00161242" w:rsidP="009A5A42">
            <w:pPr>
              <w:spacing w:line="240" w:lineRule="exact"/>
              <w:ind w:firstLine="0"/>
              <w:jc w:val="left"/>
              <w:rPr>
                <w:rFonts w:ascii="Lucida Sans" w:hAnsi="Lucida Sans"/>
                <w:sz w:val="17"/>
                <w:szCs w:val="16"/>
              </w:rPr>
            </w:pPr>
            <w:r>
              <w:rPr>
                <w:rFonts w:ascii="Lucida Sans" w:hAnsi="Lucida Sans"/>
                <w:sz w:val="17"/>
                <w:szCs w:val="16"/>
              </w:rPr>
              <w:t>370 L'Enfant Promenade, SW</w:t>
            </w:r>
          </w:p>
          <w:p w:rsidR="00161242" w:rsidRPr="00993339" w:rsidRDefault="00161242" w:rsidP="009A5A42">
            <w:pPr>
              <w:spacing w:line="240" w:lineRule="exact"/>
              <w:ind w:firstLine="0"/>
              <w:jc w:val="left"/>
              <w:rPr>
                <w:rFonts w:ascii="Lucida Sans" w:hAnsi="Lucida Sans"/>
                <w:sz w:val="17"/>
                <w:szCs w:val="16"/>
              </w:rPr>
            </w:pPr>
            <w:r>
              <w:rPr>
                <w:rFonts w:ascii="Lucida Sans" w:hAnsi="Lucida Sans"/>
                <w:sz w:val="17"/>
                <w:szCs w:val="16"/>
              </w:rPr>
              <w:t>Washington, DC 20047</w:t>
            </w:r>
          </w:p>
          <w:p w:rsidR="00161242" w:rsidRPr="00993339" w:rsidRDefault="00161242" w:rsidP="009A5A42">
            <w:pPr>
              <w:spacing w:after="180" w:line="240" w:lineRule="exact"/>
              <w:ind w:firstLine="0"/>
              <w:jc w:val="left"/>
              <w:rPr>
                <w:rFonts w:ascii="Lucida Sans" w:hAnsi="Lucida Sans"/>
                <w:sz w:val="17"/>
                <w:szCs w:val="16"/>
              </w:rPr>
            </w:pPr>
            <w:r w:rsidRPr="00993339">
              <w:rPr>
                <w:rFonts w:ascii="Lucida Sans" w:hAnsi="Lucida Sans"/>
                <w:sz w:val="17"/>
                <w:szCs w:val="16"/>
              </w:rPr>
              <w:t xml:space="preserve">Project Officer: </w:t>
            </w:r>
            <w:r w:rsidR="00B525DB">
              <w:rPr>
                <w:rFonts w:ascii="Lucida Sans" w:hAnsi="Lucida Sans"/>
                <w:sz w:val="17"/>
                <w:szCs w:val="16"/>
              </w:rPr>
              <w:t>Clare DiSalvo, Dir</w:t>
            </w:r>
            <w:r>
              <w:rPr>
                <w:rFonts w:ascii="Lucida Sans" w:hAnsi="Lucida Sans"/>
                <w:sz w:val="17"/>
                <w:szCs w:val="16"/>
              </w:rPr>
              <w:t>k Butler</w:t>
            </w:r>
          </w:p>
          <w:p w:rsidR="00161242" w:rsidRDefault="00161242" w:rsidP="009A5A42">
            <w:pPr>
              <w:spacing w:line="240" w:lineRule="exact"/>
              <w:ind w:firstLine="0"/>
              <w:jc w:val="left"/>
              <w:rPr>
                <w:rFonts w:ascii="Lucida Sans" w:hAnsi="Lucida Sans"/>
                <w:sz w:val="17"/>
                <w:szCs w:val="16"/>
              </w:rPr>
            </w:pPr>
          </w:p>
          <w:p w:rsidR="00842366" w:rsidRDefault="00842366">
            <w:pPr>
              <w:spacing w:line="240" w:lineRule="exact"/>
              <w:ind w:firstLine="0"/>
              <w:jc w:val="left"/>
              <w:rPr>
                <w:rFonts w:ascii="Lucida Sans" w:hAnsi="Lucida Sans"/>
                <w:sz w:val="16"/>
                <w:szCs w:val="16"/>
              </w:rPr>
            </w:pPr>
            <w:bookmarkStart w:id="0" w:name="Agency"/>
            <w:bookmarkEnd w:id="0"/>
          </w:p>
        </w:tc>
        <w:tc>
          <w:tcPr>
            <w:tcW w:w="4057" w:type="dxa"/>
          </w:tcPr>
          <w:p w:rsidR="001F425A" w:rsidRDefault="00161242" w:rsidP="001F425A">
            <w:pPr>
              <w:spacing w:after="144" w:line="312" w:lineRule="auto"/>
              <w:ind w:left="58" w:firstLine="0"/>
              <w:jc w:val="left"/>
              <w:rPr>
                <w:rFonts w:asciiTheme="majorHAnsi" w:hAnsiTheme="majorHAnsi"/>
                <w:b/>
                <w:sz w:val="22"/>
                <w:szCs w:val="22"/>
              </w:rPr>
            </w:pPr>
            <w:r w:rsidRPr="00583C2B">
              <w:rPr>
                <w:rFonts w:ascii="Lucida Sans" w:hAnsi="Lucida Sans"/>
                <w:b/>
                <w:sz w:val="22"/>
                <w:szCs w:val="22"/>
              </w:rPr>
              <w:t>PART B: Statistical Methods for the Collection of Performance Measures and Baseline Data</w:t>
            </w:r>
            <w:r w:rsidR="001F425A">
              <w:rPr>
                <w:rFonts w:ascii="Lucida Sans" w:hAnsi="Lucida Sans"/>
                <w:b/>
                <w:sz w:val="22"/>
                <w:szCs w:val="22"/>
              </w:rPr>
              <w:t xml:space="preserve"> - </w:t>
            </w:r>
            <w:r w:rsidR="001F425A" w:rsidRPr="00500DBF">
              <w:rPr>
                <w:rFonts w:asciiTheme="majorHAnsi" w:hAnsiTheme="majorHAnsi"/>
                <w:b/>
                <w:sz w:val="22"/>
                <w:szCs w:val="22"/>
              </w:rPr>
              <w:t xml:space="preserve"> Personal Responsibility Education Program (PREP)</w:t>
            </w:r>
            <w:r w:rsidR="00E760AA">
              <w:rPr>
                <w:rFonts w:asciiTheme="majorHAnsi" w:hAnsiTheme="majorHAnsi"/>
                <w:b/>
                <w:sz w:val="22"/>
                <w:szCs w:val="22"/>
              </w:rPr>
              <w:t xml:space="preserve"> Multi-Component Evaluation</w:t>
            </w:r>
            <w:r w:rsidR="001F425A" w:rsidRPr="00500DBF">
              <w:rPr>
                <w:rFonts w:asciiTheme="majorHAnsi" w:hAnsiTheme="majorHAnsi"/>
                <w:b/>
                <w:sz w:val="22"/>
                <w:szCs w:val="22"/>
              </w:rPr>
              <w:t xml:space="preserve"> </w:t>
            </w:r>
          </w:p>
          <w:p w:rsidR="001F425A" w:rsidRPr="00500DBF" w:rsidRDefault="001F425A" w:rsidP="001F425A">
            <w:pPr>
              <w:spacing w:after="144" w:line="312" w:lineRule="auto"/>
              <w:ind w:left="58" w:firstLine="0"/>
              <w:jc w:val="left"/>
              <w:rPr>
                <w:rFonts w:asciiTheme="majorHAnsi" w:hAnsiTheme="majorHAnsi"/>
                <w:b/>
                <w:sz w:val="22"/>
                <w:szCs w:val="22"/>
              </w:rPr>
            </w:pPr>
            <w:r>
              <w:rPr>
                <w:rFonts w:asciiTheme="majorHAnsi" w:hAnsiTheme="majorHAnsi"/>
                <w:b/>
                <w:sz w:val="22"/>
                <w:szCs w:val="22"/>
              </w:rPr>
              <w:t>0970-0398</w:t>
            </w:r>
          </w:p>
          <w:p w:rsidR="00161242" w:rsidRPr="00583C2B" w:rsidRDefault="00161242" w:rsidP="009A5A42">
            <w:pPr>
              <w:spacing w:after="144" w:line="312" w:lineRule="auto"/>
              <w:ind w:left="58" w:firstLine="0"/>
              <w:jc w:val="left"/>
              <w:rPr>
                <w:rFonts w:ascii="Lucida Sans" w:hAnsi="Lucida Sans"/>
                <w:b/>
                <w:sz w:val="22"/>
                <w:szCs w:val="22"/>
              </w:rPr>
            </w:pPr>
            <w:r w:rsidRPr="00583C2B">
              <w:rPr>
                <w:rFonts w:ascii="Lucida Sans" w:hAnsi="Lucida Sans"/>
                <w:b/>
                <w:sz w:val="22"/>
                <w:szCs w:val="22"/>
              </w:rPr>
              <w:t xml:space="preserve"> </w:t>
            </w:r>
          </w:p>
          <w:p w:rsidR="00161242" w:rsidRDefault="00A468CB" w:rsidP="009A5A42">
            <w:pPr>
              <w:spacing w:before="144" w:after="288" w:line="360" w:lineRule="exact"/>
              <w:ind w:left="58" w:firstLine="0"/>
              <w:jc w:val="left"/>
              <w:rPr>
                <w:rFonts w:ascii="Lucida Sans" w:hAnsi="Lucida Sans"/>
                <w:sz w:val="22"/>
                <w:szCs w:val="22"/>
              </w:rPr>
            </w:pPr>
            <w:r>
              <w:rPr>
                <w:rFonts w:ascii="Lucida Sans" w:hAnsi="Lucida Sans"/>
                <w:sz w:val="22"/>
                <w:szCs w:val="22"/>
              </w:rPr>
              <w:t>November 2012</w:t>
            </w:r>
          </w:p>
          <w:p w:rsidR="00591DCA" w:rsidRPr="00451D9C" w:rsidRDefault="00591DCA" w:rsidP="009A5A42">
            <w:pPr>
              <w:spacing w:before="144" w:after="288" w:line="360" w:lineRule="exact"/>
              <w:ind w:left="58" w:firstLine="0"/>
              <w:jc w:val="left"/>
              <w:rPr>
                <w:rFonts w:ascii="Lucida Sans" w:hAnsi="Lucida Sans"/>
                <w:sz w:val="22"/>
                <w:szCs w:val="22"/>
              </w:rPr>
            </w:pPr>
          </w:p>
          <w:p w:rsidR="00161242" w:rsidRDefault="00161242" w:rsidP="009A5A42">
            <w:pPr>
              <w:spacing w:line="280" w:lineRule="exact"/>
              <w:ind w:left="58" w:firstLine="0"/>
              <w:jc w:val="left"/>
              <w:rPr>
                <w:rFonts w:ascii="Lucida Sans" w:hAnsi="Lucida Sans"/>
                <w:sz w:val="20"/>
                <w:szCs w:val="20"/>
              </w:rPr>
            </w:pPr>
          </w:p>
          <w:p w:rsidR="00161242" w:rsidRDefault="00161242" w:rsidP="009A5A42">
            <w:pPr>
              <w:spacing w:line="280" w:lineRule="exact"/>
              <w:ind w:left="58" w:firstLine="0"/>
              <w:jc w:val="left"/>
              <w:rPr>
                <w:rFonts w:ascii="Lucida Sans" w:hAnsi="Lucida Sans"/>
                <w:sz w:val="20"/>
                <w:szCs w:val="20"/>
              </w:rPr>
            </w:pPr>
          </w:p>
          <w:p w:rsidR="00161242" w:rsidRDefault="00161242" w:rsidP="009A5A42">
            <w:pPr>
              <w:spacing w:line="280" w:lineRule="exact"/>
              <w:ind w:left="58" w:firstLine="0"/>
              <w:jc w:val="left"/>
              <w:rPr>
                <w:rFonts w:ascii="Lucida Sans" w:hAnsi="Lucida Sans"/>
                <w:sz w:val="20"/>
                <w:szCs w:val="20"/>
              </w:rPr>
            </w:pPr>
          </w:p>
          <w:p w:rsidR="00161242" w:rsidRDefault="00161242" w:rsidP="009A5A42">
            <w:pPr>
              <w:spacing w:line="264" w:lineRule="auto"/>
              <w:ind w:left="58" w:firstLine="0"/>
              <w:jc w:val="left"/>
              <w:rPr>
                <w:rFonts w:ascii="Lucida Sans" w:hAnsi="Lucida Sans"/>
                <w:sz w:val="20"/>
                <w:szCs w:val="20"/>
              </w:rPr>
            </w:pPr>
          </w:p>
          <w:p w:rsidR="00161242" w:rsidRPr="00451D9C" w:rsidRDefault="00161242" w:rsidP="009A5A42">
            <w:pPr>
              <w:spacing w:line="264" w:lineRule="auto"/>
              <w:ind w:left="58" w:firstLine="0"/>
              <w:jc w:val="left"/>
              <w:rPr>
                <w:rFonts w:ascii="Lucida Sans" w:hAnsi="Lucida Sans"/>
                <w:sz w:val="22"/>
                <w:szCs w:val="22"/>
              </w:rPr>
            </w:pPr>
          </w:p>
        </w:tc>
      </w:tr>
    </w:tbl>
    <w:p w:rsidR="0041689E" w:rsidRDefault="0041689E" w:rsidP="00176C34">
      <w:pPr>
        <w:spacing w:line="264" w:lineRule="auto"/>
        <w:ind w:left="5040" w:firstLine="0"/>
        <w:rPr>
          <w:rFonts w:ascii="Lucida Sans" w:hAnsi="Lucida Sans"/>
          <w:sz w:val="20"/>
          <w:szCs w:val="20"/>
        </w:rPr>
        <w:sectPr w:rsidR="0041689E" w:rsidSect="00176C34">
          <w:footerReference w:type="default" r:id="rId11"/>
          <w:endnotePr>
            <w:numFmt w:val="decimal"/>
          </w:endnotePr>
          <w:pgSz w:w="12240" w:h="15840" w:code="1"/>
          <w:pgMar w:top="1440" w:right="1440" w:bottom="576" w:left="1440" w:header="720" w:footer="576" w:gutter="0"/>
          <w:pgNumType w:fmt="lowerRoman" w:start="5"/>
          <w:cols w:space="720"/>
          <w:titlePg/>
          <w:docGrid w:linePitch="326"/>
        </w:sectPr>
      </w:pPr>
    </w:p>
    <w:p w:rsidR="00BC3208" w:rsidRDefault="00BC3208" w:rsidP="00161242">
      <w:pPr>
        <w:pStyle w:val="Heading1Black"/>
      </w:pPr>
      <w:bookmarkStart w:id="1" w:name="RepTitle"/>
      <w:bookmarkStart w:id="2" w:name="RepType"/>
      <w:bookmarkStart w:id="3" w:name="Contract"/>
      <w:bookmarkStart w:id="4" w:name="MPRRef"/>
      <w:bookmarkEnd w:id="1"/>
      <w:bookmarkEnd w:id="2"/>
      <w:bookmarkEnd w:id="3"/>
      <w:bookmarkEnd w:id="4"/>
      <w:r>
        <w:lastRenderedPageBreak/>
        <w:t>CONTENTS</w:t>
      </w:r>
    </w:p>
    <w:p w:rsidR="00BC3208" w:rsidRDefault="00BC3208" w:rsidP="00BC3208">
      <w:pPr>
        <w:pStyle w:val="TOC1"/>
        <w:rPr>
          <w:rFonts w:asciiTheme="minorHAnsi" w:eastAsiaTheme="minorEastAsia" w:hAnsiTheme="minorHAnsi" w:cstheme="minorBidi"/>
          <w:caps w:val="0"/>
          <w:noProof/>
          <w:szCs w:val="22"/>
        </w:rPr>
      </w:pPr>
      <w:r>
        <w:rPr>
          <w:rFonts w:cs="Lucida Sans"/>
          <w:b/>
        </w:rPr>
        <w:tab/>
      </w:r>
      <w:r w:rsidR="00EB78E1" w:rsidRPr="00EB78E1">
        <w:rPr>
          <w:rFonts w:cs="Lucida Sans"/>
          <w:b/>
        </w:rPr>
        <w:fldChar w:fldCharType="begin"/>
      </w:r>
      <w:r>
        <w:rPr>
          <w:rFonts w:cs="Lucida Sans"/>
          <w:b/>
        </w:rPr>
        <w:instrText xml:space="preserve"> TOC \o "1-3" \z \t "Heading 1_Black,1,Heading 1_Red,1,Heading 1_Blue,1,Heading 2_Black,2,Heading 2_Red,2,Heading 2_Blue,2,Mark for Appendix Heading_Black,8,Mark for Appendix Heading_Blue,8,Mark for Appendix Heading_Red,8" </w:instrText>
      </w:r>
      <w:r w:rsidR="00EB78E1" w:rsidRPr="00EB78E1">
        <w:rPr>
          <w:rFonts w:cs="Lucida Sans"/>
          <w:b/>
        </w:rPr>
        <w:fldChar w:fldCharType="separate"/>
      </w:r>
      <w:r w:rsidRPr="003350A9">
        <w:rPr>
          <w:rFonts w:eastAsia="Calibri"/>
          <w:noProof/>
        </w:rPr>
        <w:t>PART b Introduction</w:t>
      </w:r>
      <w:r>
        <w:rPr>
          <w:noProof/>
          <w:webHidden/>
        </w:rPr>
        <w:tab/>
      </w:r>
      <w:r w:rsidR="00EB78E1">
        <w:rPr>
          <w:noProof/>
          <w:webHidden/>
        </w:rPr>
        <w:fldChar w:fldCharType="begin"/>
      </w:r>
      <w:r>
        <w:rPr>
          <w:noProof/>
          <w:webHidden/>
        </w:rPr>
        <w:instrText xml:space="preserve"> PAGEREF _Toc324845909 \h </w:instrText>
      </w:r>
      <w:r w:rsidR="00EB78E1">
        <w:rPr>
          <w:noProof/>
          <w:webHidden/>
        </w:rPr>
      </w:r>
      <w:r w:rsidR="00EB78E1">
        <w:rPr>
          <w:noProof/>
          <w:webHidden/>
        </w:rPr>
        <w:fldChar w:fldCharType="separate"/>
      </w:r>
      <w:r w:rsidR="00164C13">
        <w:rPr>
          <w:noProof/>
          <w:webHidden/>
        </w:rPr>
        <w:t>1</w:t>
      </w:r>
      <w:r w:rsidR="00EB78E1">
        <w:rPr>
          <w:noProof/>
          <w:webHidden/>
        </w:rPr>
        <w:fldChar w:fldCharType="end"/>
      </w:r>
    </w:p>
    <w:p w:rsidR="00BC3208" w:rsidRDefault="00BC3208" w:rsidP="00BC3208">
      <w:pPr>
        <w:pStyle w:val="TOC2"/>
        <w:rPr>
          <w:rFonts w:asciiTheme="minorHAnsi" w:eastAsiaTheme="minorEastAsia" w:hAnsiTheme="minorHAnsi" w:cstheme="minorBidi"/>
          <w:noProof/>
          <w:szCs w:val="22"/>
        </w:rPr>
      </w:pPr>
      <w:r>
        <w:rPr>
          <w:noProof/>
        </w:rPr>
        <w:t>B1.</w:t>
      </w:r>
      <w:r>
        <w:rPr>
          <w:rFonts w:asciiTheme="minorHAnsi" w:eastAsiaTheme="minorEastAsia" w:hAnsiTheme="minorHAnsi" w:cstheme="minorBidi"/>
          <w:noProof/>
          <w:szCs w:val="22"/>
        </w:rPr>
        <w:tab/>
      </w:r>
      <w:r>
        <w:rPr>
          <w:noProof/>
        </w:rPr>
        <w:t>Respondent Universe and Sampling Methods</w:t>
      </w:r>
      <w:r>
        <w:rPr>
          <w:noProof/>
          <w:webHidden/>
        </w:rPr>
        <w:tab/>
      </w:r>
      <w:r w:rsidR="00EB78E1">
        <w:rPr>
          <w:noProof/>
          <w:webHidden/>
        </w:rPr>
        <w:fldChar w:fldCharType="begin"/>
      </w:r>
      <w:r>
        <w:rPr>
          <w:noProof/>
          <w:webHidden/>
        </w:rPr>
        <w:instrText xml:space="preserve"> PAGEREF _Toc324845910 \h </w:instrText>
      </w:r>
      <w:r w:rsidR="00EB78E1">
        <w:rPr>
          <w:noProof/>
          <w:webHidden/>
        </w:rPr>
      </w:r>
      <w:r w:rsidR="00EB78E1">
        <w:rPr>
          <w:noProof/>
          <w:webHidden/>
        </w:rPr>
        <w:fldChar w:fldCharType="separate"/>
      </w:r>
      <w:r w:rsidR="00164C13">
        <w:rPr>
          <w:noProof/>
          <w:webHidden/>
        </w:rPr>
        <w:t>1</w:t>
      </w:r>
      <w:r w:rsidR="00EB78E1">
        <w:rPr>
          <w:noProof/>
          <w:webHidden/>
        </w:rPr>
        <w:fldChar w:fldCharType="end"/>
      </w:r>
    </w:p>
    <w:p w:rsidR="00BC3208" w:rsidRDefault="00BC3208" w:rsidP="00BC3208">
      <w:pPr>
        <w:pStyle w:val="TOC2"/>
        <w:rPr>
          <w:rFonts w:asciiTheme="minorHAnsi" w:eastAsiaTheme="minorEastAsia" w:hAnsiTheme="minorHAnsi" w:cstheme="minorBidi"/>
          <w:noProof/>
          <w:szCs w:val="22"/>
        </w:rPr>
      </w:pPr>
      <w:r>
        <w:rPr>
          <w:noProof/>
        </w:rPr>
        <w:t>B2.</w:t>
      </w:r>
      <w:r>
        <w:rPr>
          <w:rFonts w:asciiTheme="minorHAnsi" w:eastAsiaTheme="minorEastAsia" w:hAnsiTheme="minorHAnsi" w:cstheme="minorBidi"/>
          <w:noProof/>
          <w:szCs w:val="22"/>
        </w:rPr>
        <w:tab/>
      </w:r>
      <w:r>
        <w:rPr>
          <w:noProof/>
        </w:rPr>
        <w:t>Procedures for Collection of Information</w:t>
      </w:r>
      <w:r>
        <w:rPr>
          <w:noProof/>
          <w:webHidden/>
        </w:rPr>
        <w:tab/>
      </w:r>
      <w:r w:rsidR="00EB78E1">
        <w:rPr>
          <w:noProof/>
          <w:webHidden/>
        </w:rPr>
        <w:fldChar w:fldCharType="begin"/>
      </w:r>
      <w:r>
        <w:rPr>
          <w:noProof/>
          <w:webHidden/>
        </w:rPr>
        <w:instrText xml:space="preserve"> PAGEREF _Toc324845911 \h </w:instrText>
      </w:r>
      <w:r w:rsidR="00EB78E1">
        <w:rPr>
          <w:noProof/>
          <w:webHidden/>
        </w:rPr>
      </w:r>
      <w:r w:rsidR="00EB78E1">
        <w:rPr>
          <w:noProof/>
          <w:webHidden/>
        </w:rPr>
        <w:fldChar w:fldCharType="separate"/>
      </w:r>
      <w:r w:rsidR="00164C13">
        <w:rPr>
          <w:noProof/>
          <w:webHidden/>
        </w:rPr>
        <w:t>3</w:t>
      </w:r>
      <w:r w:rsidR="00EB78E1">
        <w:rPr>
          <w:noProof/>
          <w:webHidden/>
        </w:rPr>
        <w:fldChar w:fldCharType="end"/>
      </w:r>
    </w:p>
    <w:p w:rsidR="00BC3208" w:rsidRDefault="00BC3208" w:rsidP="00BC3208">
      <w:pPr>
        <w:pStyle w:val="TOC2"/>
        <w:rPr>
          <w:rFonts w:asciiTheme="minorHAnsi" w:eastAsiaTheme="minorEastAsia" w:hAnsiTheme="minorHAnsi" w:cstheme="minorBidi"/>
          <w:noProof/>
          <w:szCs w:val="22"/>
        </w:rPr>
      </w:pPr>
      <w:r>
        <w:rPr>
          <w:noProof/>
        </w:rPr>
        <w:t>B3.</w:t>
      </w:r>
      <w:r>
        <w:rPr>
          <w:rFonts w:asciiTheme="minorHAnsi" w:eastAsiaTheme="minorEastAsia" w:hAnsiTheme="minorHAnsi" w:cstheme="minorBidi"/>
          <w:noProof/>
          <w:szCs w:val="22"/>
        </w:rPr>
        <w:tab/>
      </w:r>
      <w:r>
        <w:rPr>
          <w:noProof/>
        </w:rPr>
        <w:t>Methods to Maximize Response Rates and Deal with Non-response</w:t>
      </w:r>
      <w:r>
        <w:rPr>
          <w:noProof/>
          <w:webHidden/>
        </w:rPr>
        <w:tab/>
      </w:r>
      <w:r w:rsidR="00EB78E1">
        <w:rPr>
          <w:noProof/>
          <w:webHidden/>
        </w:rPr>
        <w:fldChar w:fldCharType="begin"/>
      </w:r>
      <w:r>
        <w:rPr>
          <w:noProof/>
          <w:webHidden/>
        </w:rPr>
        <w:instrText xml:space="preserve"> PAGEREF _Toc324845912 \h </w:instrText>
      </w:r>
      <w:r w:rsidR="00EB78E1">
        <w:rPr>
          <w:noProof/>
          <w:webHidden/>
        </w:rPr>
      </w:r>
      <w:r w:rsidR="00EB78E1">
        <w:rPr>
          <w:noProof/>
          <w:webHidden/>
        </w:rPr>
        <w:fldChar w:fldCharType="separate"/>
      </w:r>
      <w:r w:rsidR="00164C13">
        <w:rPr>
          <w:noProof/>
          <w:webHidden/>
        </w:rPr>
        <w:t>4</w:t>
      </w:r>
      <w:r w:rsidR="00EB78E1">
        <w:rPr>
          <w:noProof/>
          <w:webHidden/>
        </w:rPr>
        <w:fldChar w:fldCharType="end"/>
      </w:r>
    </w:p>
    <w:p w:rsidR="00BC3208" w:rsidRDefault="00BC3208" w:rsidP="00BC3208">
      <w:pPr>
        <w:pStyle w:val="TOC2"/>
        <w:rPr>
          <w:rFonts w:asciiTheme="minorHAnsi" w:eastAsiaTheme="minorEastAsia" w:hAnsiTheme="minorHAnsi" w:cstheme="minorBidi"/>
          <w:noProof/>
          <w:szCs w:val="22"/>
        </w:rPr>
      </w:pPr>
      <w:r>
        <w:rPr>
          <w:noProof/>
        </w:rPr>
        <w:t>B4.</w:t>
      </w:r>
      <w:r>
        <w:rPr>
          <w:rFonts w:asciiTheme="minorHAnsi" w:eastAsiaTheme="minorEastAsia" w:hAnsiTheme="minorHAnsi" w:cstheme="minorBidi"/>
          <w:noProof/>
          <w:szCs w:val="22"/>
        </w:rPr>
        <w:tab/>
      </w:r>
      <w:r>
        <w:rPr>
          <w:noProof/>
        </w:rPr>
        <w:t>Test of Procedures or Methods to be Undertaken</w:t>
      </w:r>
      <w:r>
        <w:rPr>
          <w:noProof/>
          <w:webHidden/>
        </w:rPr>
        <w:tab/>
      </w:r>
      <w:r w:rsidR="00EB78E1">
        <w:rPr>
          <w:noProof/>
          <w:webHidden/>
        </w:rPr>
        <w:fldChar w:fldCharType="begin"/>
      </w:r>
      <w:r>
        <w:rPr>
          <w:noProof/>
          <w:webHidden/>
        </w:rPr>
        <w:instrText xml:space="preserve"> PAGEREF _Toc324845913 \h </w:instrText>
      </w:r>
      <w:r w:rsidR="00EB78E1">
        <w:rPr>
          <w:noProof/>
          <w:webHidden/>
        </w:rPr>
      </w:r>
      <w:r w:rsidR="00EB78E1">
        <w:rPr>
          <w:noProof/>
          <w:webHidden/>
        </w:rPr>
        <w:fldChar w:fldCharType="separate"/>
      </w:r>
      <w:r w:rsidR="00164C13">
        <w:rPr>
          <w:noProof/>
          <w:webHidden/>
        </w:rPr>
        <w:t>5</w:t>
      </w:r>
      <w:r w:rsidR="00EB78E1">
        <w:rPr>
          <w:noProof/>
          <w:webHidden/>
        </w:rPr>
        <w:fldChar w:fldCharType="end"/>
      </w:r>
    </w:p>
    <w:p w:rsidR="00BC3208" w:rsidRDefault="00BC3208" w:rsidP="00BC3208">
      <w:pPr>
        <w:pStyle w:val="TOC2"/>
        <w:rPr>
          <w:rFonts w:asciiTheme="minorHAnsi" w:eastAsiaTheme="minorEastAsia" w:hAnsiTheme="minorHAnsi" w:cstheme="minorBidi"/>
          <w:noProof/>
          <w:szCs w:val="22"/>
        </w:rPr>
      </w:pPr>
      <w:r>
        <w:rPr>
          <w:noProof/>
        </w:rPr>
        <w:t>B5.</w:t>
      </w:r>
      <w:r>
        <w:rPr>
          <w:rFonts w:asciiTheme="minorHAnsi" w:eastAsiaTheme="minorEastAsia" w:hAnsiTheme="minorHAnsi" w:cstheme="minorBidi"/>
          <w:noProof/>
          <w:szCs w:val="22"/>
        </w:rPr>
        <w:tab/>
      </w:r>
      <w:r>
        <w:rPr>
          <w:noProof/>
        </w:rPr>
        <w:t>Individuals Consulted on Statistical Aspects and Individuals Collecting and/or Analyzing Data</w:t>
      </w:r>
      <w:r>
        <w:rPr>
          <w:noProof/>
          <w:webHidden/>
        </w:rPr>
        <w:tab/>
      </w:r>
      <w:r w:rsidR="00EB78E1">
        <w:rPr>
          <w:noProof/>
          <w:webHidden/>
        </w:rPr>
        <w:fldChar w:fldCharType="begin"/>
      </w:r>
      <w:r>
        <w:rPr>
          <w:noProof/>
          <w:webHidden/>
        </w:rPr>
        <w:instrText xml:space="preserve"> PAGEREF _Toc324845914 \h </w:instrText>
      </w:r>
      <w:r w:rsidR="00EB78E1">
        <w:rPr>
          <w:noProof/>
          <w:webHidden/>
        </w:rPr>
      </w:r>
      <w:r w:rsidR="00EB78E1">
        <w:rPr>
          <w:noProof/>
          <w:webHidden/>
        </w:rPr>
        <w:fldChar w:fldCharType="separate"/>
      </w:r>
      <w:r w:rsidR="00164C13">
        <w:rPr>
          <w:noProof/>
          <w:webHidden/>
        </w:rPr>
        <w:t>5</w:t>
      </w:r>
      <w:r w:rsidR="00EB78E1">
        <w:rPr>
          <w:noProof/>
          <w:webHidden/>
        </w:rPr>
        <w:fldChar w:fldCharType="end"/>
      </w:r>
    </w:p>
    <w:p w:rsidR="009A5A42" w:rsidRDefault="00EB78E1" w:rsidP="004C06F1">
      <w:pPr>
        <w:spacing w:before="240" w:after="240" w:line="240" w:lineRule="auto"/>
        <w:ind w:firstLine="0"/>
        <w:jc w:val="center"/>
        <w:rPr>
          <w:rFonts w:ascii="Lucida Sans" w:hAnsi="Lucida Sans" w:cs="Lucida Sans"/>
          <w:b/>
        </w:rPr>
      </w:pPr>
      <w:r>
        <w:fldChar w:fldCharType="end"/>
      </w:r>
      <w:r w:rsidR="009A5A42">
        <w:rPr>
          <w:rFonts w:ascii="Lucida Sans" w:hAnsi="Lucida Sans" w:cs="Lucida Sans"/>
          <w:b/>
        </w:rPr>
        <w:t>TABLES</w:t>
      </w:r>
    </w:p>
    <w:p w:rsidR="004C06F1" w:rsidRDefault="00EB78E1">
      <w:pPr>
        <w:pStyle w:val="TableofFigures"/>
        <w:rPr>
          <w:rFonts w:asciiTheme="minorHAnsi" w:eastAsiaTheme="minorEastAsia" w:hAnsiTheme="minorHAnsi" w:cstheme="minorBidi"/>
          <w:noProof/>
          <w:szCs w:val="22"/>
        </w:rPr>
      </w:pPr>
      <w:r w:rsidRPr="00EB78E1">
        <w:rPr>
          <w:rFonts w:cs="Lucida Sans"/>
          <w:b/>
        </w:rPr>
        <w:fldChar w:fldCharType="begin"/>
      </w:r>
      <w:r w:rsidR="009A5A42">
        <w:rPr>
          <w:rFonts w:cs="Lucida Sans"/>
          <w:b/>
        </w:rPr>
        <w:instrText xml:space="preserve"> TOC \z \t "Mark for Table Heading,1" \c "Figure" </w:instrText>
      </w:r>
      <w:r w:rsidRPr="00EB78E1">
        <w:rPr>
          <w:rFonts w:cs="Lucida Sans"/>
          <w:b/>
        </w:rPr>
        <w:fldChar w:fldCharType="separate"/>
      </w:r>
      <w:r w:rsidR="004C06F1" w:rsidRPr="00A62CD5">
        <w:rPr>
          <w:noProof/>
          <w:color w:val="000000"/>
        </w:rPr>
        <w:t>B1.1</w:t>
      </w:r>
      <w:r w:rsidR="004C06F1">
        <w:rPr>
          <w:noProof/>
          <w:color w:val="000000"/>
        </w:rPr>
        <w:tab/>
      </w:r>
      <w:r w:rsidR="004C06F1">
        <w:rPr>
          <w:noProof/>
        </w:rPr>
        <w:t>Respondent Universe and Expected Response Rates for the Performance Analysis Study</w:t>
      </w:r>
      <w:r w:rsidR="004C06F1">
        <w:rPr>
          <w:noProof/>
          <w:webHidden/>
        </w:rPr>
        <w:tab/>
      </w:r>
      <w:r>
        <w:rPr>
          <w:noProof/>
          <w:webHidden/>
        </w:rPr>
        <w:fldChar w:fldCharType="begin"/>
      </w:r>
      <w:r w:rsidR="004C06F1">
        <w:rPr>
          <w:noProof/>
          <w:webHidden/>
        </w:rPr>
        <w:instrText xml:space="preserve"> PAGEREF _Toc326754180 \h </w:instrText>
      </w:r>
      <w:r>
        <w:rPr>
          <w:noProof/>
          <w:webHidden/>
        </w:rPr>
      </w:r>
      <w:r>
        <w:rPr>
          <w:noProof/>
          <w:webHidden/>
        </w:rPr>
        <w:fldChar w:fldCharType="separate"/>
      </w:r>
      <w:r w:rsidR="00164C13">
        <w:rPr>
          <w:noProof/>
          <w:webHidden/>
        </w:rPr>
        <w:t>2</w:t>
      </w:r>
      <w:r>
        <w:rPr>
          <w:noProof/>
          <w:webHidden/>
        </w:rPr>
        <w:fldChar w:fldCharType="end"/>
      </w:r>
    </w:p>
    <w:p w:rsidR="004C06F1" w:rsidRDefault="004C06F1">
      <w:pPr>
        <w:pStyle w:val="TableofFigures"/>
        <w:rPr>
          <w:rFonts w:asciiTheme="minorHAnsi" w:eastAsiaTheme="minorEastAsia" w:hAnsiTheme="minorHAnsi" w:cstheme="minorBidi"/>
          <w:noProof/>
          <w:szCs w:val="22"/>
        </w:rPr>
      </w:pPr>
      <w:r>
        <w:rPr>
          <w:noProof/>
        </w:rPr>
        <w:t>B1.2</w:t>
      </w:r>
      <w:r>
        <w:rPr>
          <w:noProof/>
        </w:rPr>
        <w:tab/>
        <w:t>Minimum Detectible Impacts with Sample of 1,500 Youth</w:t>
      </w:r>
      <w:r>
        <w:rPr>
          <w:noProof/>
          <w:webHidden/>
        </w:rPr>
        <w:tab/>
      </w:r>
      <w:r w:rsidR="00EB78E1">
        <w:rPr>
          <w:noProof/>
          <w:webHidden/>
        </w:rPr>
        <w:fldChar w:fldCharType="begin"/>
      </w:r>
      <w:r>
        <w:rPr>
          <w:noProof/>
          <w:webHidden/>
        </w:rPr>
        <w:instrText xml:space="preserve"> PAGEREF _Toc326754181 \h </w:instrText>
      </w:r>
      <w:r w:rsidR="00EB78E1">
        <w:rPr>
          <w:noProof/>
          <w:webHidden/>
        </w:rPr>
      </w:r>
      <w:r w:rsidR="00EB78E1">
        <w:rPr>
          <w:noProof/>
          <w:webHidden/>
        </w:rPr>
        <w:fldChar w:fldCharType="separate"/>
      </w:r>
      <w:r w:rsidR="00164C13">
        <w:rPr>
          <w:noProof/>
          <w:webHidden/>
        </w:rPr>
        <w:t>3</w:t>
      </w:r>
      <w:r w:rsidR="00EB78E1">
        <w:rPr>
          <w:noProof/>
          <w:webHidden/>
        </w:rPr>
        <w:fldChar w:fldCharType="end"/>
      </w:r>
    </w:p>
    <w:p w:rsidR="00331C1B" w:rsidRPr="00DA1BC2" w:rsidRDefault="00EB78E1" w:rsidP="004C06F1">
      <w:pPr>
        <w:spacing w:before="240" w:after="240" w:line="240" w:lineRule="auto"/>
        <w:ind w:firstLine="0"/>
        <w:jc w:val="center"/>
        <w:rPr>
          <w:rFonts w:ascii="Lucida Sans" w:hAnsi="Lucida Sans" w:cs="Lucida Sans"/>
          <w:b/>
        </w:rPr>
      </w:pPr>
      <w:r>
        <w:fldChar w:fldCharType="end"/>
      </w:r>
      <w:r w:rsidR="00331C1B" w:rsidRPr="00DA1BC2">
        <w:rPr>
          <w:rFonts w:ascii="Lucida Sans" w:hAnsi="Lucida Sans" w:cs="Lucida Sans"/>
          <w:b/>
        </w:rPr>
        <w:t>INSTRUMENTS</w:t>
      </w:r>
    </w:p>
    <w:p w:rsidR="00331C1B" w:rsidRPr="0017407D" w:rsidRDefault="00331C1B" w:rsidP="0017407D">
      <w:pPr>
        <w:pStyle w:val="TableofFigures"/>
        <w:spacing w:after="120"/>
        <w:rPr>
          <w:rFonts w:asciiTheme="majorHAnsi" w:hAnsiTheme="majorHAnsi"/>
        </w:rPr>
      </w:pPr>
      <w:r w:rsidRPr="0017407D">
        <w:rPr>
          <w:rFonts w:asciiTheme="majorHAnsi" w:hAnsiTheme="majorHAnsi"/>
        </w:rPr>
        <w:t xml:space="preserve">INSTRUMENT #1 – PARTICIPANT ENTRY SURVEY (PAS) </w:t>
      </w:r>
    </w:p>
    <w:p w:rsidR="00331C1B" w:rsidRPr="0017407D" w:rsidRDefault="00331C1B" w:rsidP="0017407D">
      <w:pPr>
        <w:pStyle w:val="TableofFigures"/>
        <w:spacing w:after="120"/>
        <w:rPr>
          <w:rFonts w:asciiTheme="majorHAnsi" w:hAnsiTheme="majorHAnsi"/>
        </w:rPr>
      </w:pPr>
      <w:r w:rsidRPr="0017407D">
        <w:rPr>
          <w:rFonts w:asciiTheme="majorHAnsi" w:hAnsiTheme="majorHAnsi"/>
        </w:rPr>
        <w:t>INSTRUMENT #2 – PARTICIPANT EXIT SURVEY (PAS)</w:t>
      </w:r>
    </w:p>
    <w:p w:rsidR="00331C1B" w:rsidRPr="0017407D" w:rsidRDefault="00331C1B" w:rsidP="0017407D">
      <w:pPr>
        <w:pStyle w:val="TableofFigures"/>
        <w:spacing w:after="120"/>
        <w:rPr>
          <w:rFonts w:asciiTheme="majorHAnsi" w:hAnsiTheme="majorHAnsi"/>
        </w:rPr>
      </w:pPr>
      <w:r w:rsidRPr="0017407D">
        <w:rPr>
          <w:rFonts w:asciiTheme="majorHAnsi" w:hAnsiTheme="majorHAnsi"/>
        </w:rPr>
        <w:t>INSTRUMENT #3 – BASELINE SURVEY (IIS)</w:t>
      </w:r>
    </w:p>
    <w:p w:rsidR="00331C1B" w:rsidRPr="0017407D" w:rsidRDefault="00331C1B" w:rsidP="0017407D">
      <w:pPr>
        <w:pStyle w:val="TableofFigures"/>
        <w:spacing w:after="120"/>
        <w:rPr>
          <w:rFonts w:asciiTheme="majorHAnsi" w:hAnsiTheme="majorHAnsi"/>
        </w:rPr>
      </w:pPr>
      <w:r w:rsidRPr="0017407D">
        <w:rPr>
          <w:rFonts w:asciiTheme="majorHAnsi" w:hAnsiTheme="majorHAnsi"/>
        </w:rPr>
        <w:t>INSTRUMENT #4 – PERFORMANCE REPORTING SYSTEM DATA ENTRY FORM</w:t>
      </w:r>
    </w:p>
    <w:p w:rsidR="00331C1B" w:rsidRPr="0017407D" w:rsidRDefault="00331C1B" w:rsidP="0017407D">
      <w:pPr>
        <w:pStyle w:val="TableofFigures"/>
        <w:spacing w:after="120"/>
        <w:rPr>
          <w:rFonts w:asciiTheme="majorHAnsi" w:hAnsiTheme="majorHAnsi"/>
        </w:rPr>
      </w:pPr>
      <w:r w:rsidRPr="0017407D">
        <w:rPr>
          <w:rFonts w:asciiTheme="majorHAnsi" w:hAnsiTheme="majorHAnsi"/>
        </w:rPr>
        <w:t>INSTRUMENT #5 – SUBAWARDEE DATA COLLECTION AND REPORTING</w:t>
      </w:r>
    </w:p>
    <w:p w:rsidR="00331C1B" w:rsidRPr="0017407D" w:rsidRDefault="00331C1B" w:rsidP="0017407D">
      <w:pPr>
        <w:pStyle w:val="TableofFigures"/>
        <w:spacing w:after="120"/>
        <w:rPr>
          <w:rFonts w:asciiTheme="majorHAnsi" w:hAnsiTheme="majorHAnsi"/>
        </w:rPr>
      </w:pPr>
      <w:r w:rsidRPr="0017407D">
        <w:rPr>
          <w:rFonts w:asciiTheme="majorHAnsi" w:hAnsiTheme="majorHAnsi"/>
        </w:rPr>
        <w:t xml:space="preserve">INSTRUMENT #6 – IMPLEMENTATION SITE DATA COLLECTION </w:t>
      </w:r>
    </w:p>
    <w:p w:rsidR="00331C1B" w:rsidRPr="004C06F1" w:rsidRDefault="00331C1B" w:rsidP="004C06F1">
      <w:pPr>
        <w:spacing w:before="240" w:after="240" w:line="240" w:lineRule="auto"/>
        <w:ind w:firstLine="0"/>
        <w:jc w:val="center"/>
        <w:rPr>
          <w:rFonts w:ascii="Lucida Sans" w:hAnsi="Lucida Sans" w:cs="Lucida Sans"/>
          <w:b/>
        </w:rPr>
      </w:pPr>
      <w:r w:rsidRPr="004C06F1">
        <w:rPr>
          <w:rFonts w:ascii="Lucida Sans" w:hAnsi="Lucida Sans" w:cs="Lucida Sans"/>
          <w:b/>
        </w:rPr>
        <w:t>ATTACHMENTS</w:t>
      </w:r>
    </w:p>
    <w:p w:rsidR="00331C1B" w:rsidRPr="0017407D" w:rsidRDefault="00331C1B" w:rsidP="004C06F1">
      <w:pPr>
        <w:pStyle w:val="TableofFigures"/>
        <w:spacing w:after="100"/>
        <w:rPr>
          <w:rFonts w:asciiTheme="majorHAnsi" w:hAnsiTheme="majorHAnsi"/>
        </w:rPr>
      </w:pPr>
      <w:r w:rsidRPr="0017407D">
        <w:rPr>
          <w:rFonts w:asciiTheme="majorHAnsi" w:hAnsiTheme="majorHAnsi"/>
        </w:rPr>
        <w:t xml:space="preserve">ATTACHMENT A: OVERVIEW OF THE PREP EVALUATION </w:t>
      </w:r>
    </w:p>
    <w:p w:rsidR="00331C1B" w:rsidRPr="0017407D" w:rsidRDefault="004C06F1" w:rsidP="004C06F1">
      <w:pPr>
        <w:pStyle w:val="TableofFigures"/>
        <w:spacing w:after="100"/>
        <w:rPr>
          <w:rFonts w:asciiTheme="majorHAnsi" w:hAnsiTheme="majorHAnsi"/>
        </w:rPr>
      </w:pPr>
      <w:r w:rsidRPr="0017407D">
        <w:rPr>
          <w:rFonts w:asciiTheme="majorHAnsi" w:hAnsiTheme="majorHAnsi"/>
        </w:rPr>
        <w:t>ATTACHMENT</w:t>
      </w:r>
      <w:r w:rsidR="00331C1B" w:rsidRPr="0017407D">
        <w:rPr>
          <w:rFonts w:asciiTheme="majorHAnsi" w:hAnsiTheme="majorHAnsi"/>
        </w:rPr>
        <w:t xml:space="preserve"> B: ANALYSIS PLAN FOR IMPACT STUDY</w:t>
      </w:r>
    </w:p>
    <w:p w:rsidR="00331C1B" w:rsidRPr="0017407D" w:rsidRDefault="00331C1B" w:rsidP="004C06F1">
      <w:pPr>
        <w:pStyle w:val="TableofFigures"/>
        <w:spacing w:after="100"/>
        <w:rPr>
          <w:rFonts w:asciiTheme="majorHAnsi" w:hAnsiTheme="majorHAnsi"/>
        </w:rPr>
      </w:pPr>
      <w:r w:rsidRPr="0017407D">
        <w:rPr>
          <w:rFonts w:asciiTheme="majorHAnsi" w:hAnsiTheme="majorHAnsi"/>
        </w:rPr>
        <w:t xml:space="preserve">ATTACHMENT C: QUESTION BY QUESTION SOURCE TABLE FOR THE BASELINE </w:t>
      </w:r>
      <w:r w:rsidR="004C06F1">
        <w:rPr>
          <w:rFonts w:asciiTheme="majorHAnsi" w:hAnsiTheme="majorHAnsi"/>
        </w:rPr>
        <w:br/>
        <w:t xml:space="preserve">             </w:t>
      </w:r>
      <w:r w:rsidRPr="0017407D">
        <w:rPr>
          <w:rFonts w:asciiTheme="majorHAnsi" w:hAnsiTheme="majorHAnsi"/>
        </w:rPr>
        <w:t>SURVEY</w:t>
      </w:r>
    </w:p>
    <w:p w:rsidR="00331C1B" w:rsidRPr="0017407D" w:rsidRDefault="00331C1B" w:rsidP="004C06F1">
      <w:pPr>
        <w:pStyle w:val="TableofFigures"/>
        <w:spacing w:after="100"/>
        <w:rPr>
          <w:rFonts w:asciiTheme="majorHAnsi" w:hAnsiTheme="majorHAnsi"/>
        </w:rPr>
      </w:pPr>
      <w:r w:rsidRPr="0017407D">
        <w:rPr>
          <w:rFonts w:asciiTheme="majorHAnsi" w:hAnsiTheme="majorHAnsi"/>
        </w:rPr>
        <w:t xml:space="preserve">ATTACHMENT D: SOURCES REFERENCED FOR THE BASELINE QUESTIONNAIRE </w:t>
      </w:r>
    </w:p>
    <w:p w:rsidR="00331C1B" w:rsidRPr="0017407D" w:rsidRDefault="00331C1B" w:rsidP="004C06F1">
      <w:pPr>
        <w:pStyle w:val="TableofFigures"/>
        <w:spacing w:after="100"/>
        <w:rPr>
          <w:rFonts w:asciiTheme="majorHAnsi" w:hAnsiTheme="majorHAnsi"/>
        </w:rPr>
      </w:pPr>
      <w:r w:rsidRPr="0017407D">
        <w:rPr>
          <w:rFonts w:asciiTheme="majorHAnsi" w:hAnsiTheme="majorHAnsi"/>
        </w:rPr>
        <w:t>ATTACHMENT E: 60-DAY FEDERAL REGISTER NOTICE</w:t>
      </w:r>
    </w:p>
    <w:p w:rsidR="00331C1B" w:rsidRPr="0017407D" w:rsidRDefault="00331C1B" w:rsidP="004C06F1">
      <w:pPr>
        <w:pStyle w:val="TableofFigures"/>
        <w:spacing w:after="100"/>
        <w:rPr>
          <w:rFonts w:asciiTheme="majorHAnsi" w:hAnsiTheme="majorHAnsi"/>
        </w:rPr>
      </w:pPr>
      <w:r w:rsidRPr="0017407D">
        <w:rPr>
          <w:rFonts w:asciiTheme="majorHAnsi" w:hAnsiTheme="majorHAnsi"/>
        </w:rPr>
        <w:t>ATTACHMENT F: PERSONS CONSULTE</w:t>
      </w:r>
      <w:r w:rsidR="0017407D">
        <w:rPr>
          <w:rFonts w:asciiTheme="majorHAnsi" w:hAnsiTheme="majorHAnsi"/>
        </w:rPr>
        <w:t xml:space="preserve">D ON COLLECTION AND/OR ANALYSIS </w:t>
      </w:r>
      <w:r w:rsidRPr="0017407D">
        <w:rPr>
          <w:rFonts w:asciiTheme="majorHAnsi" w:hAnsiTheme="majorHAnsi"/>
        </w:rPr>
        <w:t>OF THE</w:t>
      </w:r>
      <w:r w:rsidR="0017407D">
        <w:rPr>
          <w:rFonts w:asciiTheme="majorHAnsi" w:hAnsiTheme="majorHAnsi"/>
        </w:rPr>
        <w:t xml:space="preserve"> </w:t>
      </w:r>
      <w:r w:rsidRPr="0017407D">
        <w:rPr>
          <w:rFonts w:asciiTheme="majorHAnsi" w:hAnsiTheme="majorHAnsi"/>
        </w:rPr>
        <w:t>PAS AND IIS BASELINE SURVEY</w:t>
      </w:r>
    </w:p>
    <w:p w:rsidR="00331C1B" w:rsidRPr="0017407D" w:rsidRDefault="00331C1B" w:rsidP="004C06F1">
      <w:pPr>
        <w:pStyle w:val="TableofFigures"/>
        <w:spacing w:after="100"/>
        <w:rPr>
          <w:rFonts w:asciiTheme="majorHAnsi" w:hAnsiTheme="majorHAnsi"/>
        </w:rPr>
      </w:pPr>
      <w:r w:rsidRPr="0017407D">
        <w:rPr>
          <w:rFonts w:asciiTheme="majorHAnsi" w:hAnsiTheme="majorHAnsi"/>
        </w:rPr>
        <w:t>ATTACHMENT G: CONSENT LETTERS AND FORMS AND YOUTH ASSENT FORM</w:t>
      </w:r>
    </w:p>
    <w:p w:rsidR="0053313E" w:rsidRPr="0053313E" w:rsidRDefault="00331C1B" w:rsidP="004C06F1">
      <w:pPr>
        <w:pStyle w:val="TableofFigures"/>
        <w:spacing w:after="120"/>
        <w:rPr>
          <w:noProof/>
        </w:rPr>
      </w:pPr>
      <w:r w:rsidRPr="0017407D">
        <w:rPr>
          <w:rFonts w:asciiTheme="majorHAnsi" w:hAnsiTheme="majorHAnsi"/>
        </w:rPr>
        <w:t>ATTACHMENT H: CONFIDENTIALITY PLEDGE</w:t>
      </w:r>
    </w:p>
    <w:p w:rsidR="00DA1BC2" w:rsidRDefault="00DA1BC2" w:rsidP="0017407D">
      <w:pPr>
        <w:tabs>
          <w:tab w:val="clear" w:pos="432"/>
        </w:tabs>
        <w:spacing w:line="240" w:lineRule="auto"/>
        <w:ind w:firstLine="0"/>
        <w:jc w:val="left"/>
        <w:rPr>
          <w:rFonts w:eastAsia="Calibri"/>
        </w:rPr>
        <w:sectPr w:rsidR="00DA1BC2" w:rsidSect="00DA1BC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576" w:left="1440" w:header="720" w:footer="576" w:gutter="0"/>
          <w:pgNumType w:fmt="lowerRoman" w:start="2"/>
          <w:cols w:space="720"/>
          <w:docGrid w:linePitch="326"/>
        </w:sectPr>
      </w:pPr>
    </w:p>
    <w:p w:rsidR="0023364C" w:rsidRDefault="003274D8" w:rsidP="00177108">
      <w:pPr>
        <w:pStyle w:val="Heading1Black"/>
        <w:rPr>
          <w:rFonts w:eastAsia="Calibri"/>
        </w:rPr>
      </w:pPr>
      <w:bookmarkStart w:id="5" w:name="_Toc320884918"/>
      <w:bookmarkStart w:id="6" w:name="_Toc324845909"/>
      <w:r>
        <w:rPr>
          <w:rFonts w:eastAsia="Calibri"/>
        </w:rPr>
        <w:lastRenderedPageBreak/>
        <w:t xml:space="preserve">PART b </w:t>
      </w:r>
      <w:bookmarkEnd w:id="5"/>
      <w:bookmarkEnd w:id="6"/>
    </w:p>
    <w:p w:rsidR="0023364C" w:rsidRPr="000C3568" w:rsidRDefault="00AB4B33" w:rsidP="00177108">
      <w:pPr>
        <w:pStyle w:val="Heading2Black"/>
      </w:pPr>
      <w:bookmarkStart w:id="7" w:name="_Toc320884919"/>
      <w:bookmarkStart w:id="8" w:name="_Toc324845910"/>
      <w:r>
        <w:t>B1.</w:t>
      </w:r>
      <w:r>
        <w:tab/>
      </w:r>
      <w:r w:rsidR="0023364C" w:rsidRPr="000C3568">
        <w:t>Respondent Universe and Sampling Methods</w:t>
      </w:r>
      <w:bookmarkEnd w:id="7"/>
      <w:bookmarkEnd w:id="8"/>
    </w:p>
    <w:p w:rsidR="0023364C" w:rsidRDefault="0023364C" w:rsidP="0023364C">
      <w:pPr>
        <w:pStyle w:val="NormalSS"/>
      </w:pPr>
      <w:r w:rsidRPr="0015252C">
        <w:rPr>
          <w:b/>
          <w:iCs/>
        </w:rPr>
        <w:t>Performance Analysis Study.</w:t>
      </w:r>
      <w:r w:rsidRPr="0015252C">
        <w:rPr>
          <w:iCs/>
        </w:rPr>
        <w:t xml:space="preserve"> </w:t>
      </w:r>
      <w:r w:rsidRPr="0023364C">
        <w:rPr>
          <w:rStyle w:val="Emphasis"/>
          <w:rFonts w:cs="Calibri"/>
          <w:i w:val="0"/>
        </w:rPr>
        <w:t xml:space="preserve">As part of the </w:t>
      </w:r>
      <w:r w:rsidRPr="0023364C">
        <w:t>PAS of the PREP evaluation</w:t>
      </w:r>
      <w:r w:rsidRPr="0023364C">
        <w:rPr>
          <w:rStyle w:val="Emphasis"/>
          <w:rFonts w:cs="Calibri"/>
          <w:i w:val="0"/>
        </w:rPr>
        <w:t xml:space="preserve">, the participant </w:t>
      </w:r>
      <w:r w:rsidR="007B1275">
        <w:t>entry</w:t>
      </w:r>
      <w:r w:rsidRPr="0023364C">
        <w:t xml:space="preserve"> and exit surveys will provide data on the demographic and behavioral characteristics of program participants and participants’ perceptions of program effects and their responses to the program. Administrative data reported by the grantees for performance measurement will include annual data provided by the grantees on program</w:t>
      </w:r>
      <w:r w:rsidRPr="00917428">
        <w:t xml:space="preserve"> features and structure, allocation of funds, </w:t>
      </w:r>
      <w:r>
        <w:t>participant numbers</w:t>
      </w:r>
      <w:r w:rsidRPr="00917428">
        <w:t>, levels of participant engagement, fidelity to evidence-based program models,</w:t>
      </w:r>
      <w:r>
        <w:t xml:space="preserve"> </w:t>
      </w:r>
      <w:r w:rsidRPr="00917428">
        <w:t>and staff perceptions of quality challenges</w:t>
      </w:r>
      <w:r>
        <w:t xml:space="preserve"> and needs for technical assistance.</w:t>
      </w:r>
    </w:p>
    <w:p w:rsidR="00AC3AA2" w:rsidRDefault="0023364C" w:rsidP="0023364C">
      <w:pPr>
        <w:pStyle w:val="NormalSS"/>
      </w:pPr>
      <w:r w:rsidRPr="00A22C7B">
        <w:t xml:space="preserve">Grantees or their sub-awardees will administer participant </w:t>
      </w:r>
      <w:r>
        <w:t>e</w:t>
      </w:r>
      <w:r w:rsidR="007B1275">
        <w:t>ntry</w:t>
      </w:r>
      <w:r w:rsidRPr="00A22C7B">
        <w:t xml:space="preserve"> </w:t>
      </w:r>
      <w:r>
        <w:t>s</w:t>
      </w:r>
      <w:r w:rsidRPr="00A22C7B">
        <w:t xml:space="preserve">urveys to all program </w:t>
      </w:r>
      <w:r>
        <w:t>p</w:t>
      </w:r>
      <w:r w:rsidRPr="00A22C7B">
        <w:t>articipants, except those enrolled at sites participating in the I</w:t>
      </w:r>
      <w:r>
        <w:t xml:space="preserve">IS, </w:t>
      </w:r>
      <w:r w:rsidRPr="00A22C7B">
        <w:t>at the time they are enrolled in the program. Data collected in the</w:t>
      </w:r>
      <w:r w:rsidR="007B1275">
        <w:t xml:space="preserve"> entry</w:t>
      </w:r>
      <w:r w:rsidRPr="00A22C7B">
        <w:t xml:space="preserve"> survey are also covered in the IIS </w:t>
      </w:r>
      <w:r>
        <w:t>b</w:t>
      </w:r>
      <w:r w:rsidRPr="00A22C7B">
        <w:t xml:space="preserve">aseline </w:t>
      </w:r>
      <w:r>
        <w:t>s</w:t>
      </w:r>
      <w:r w:rsidRPr="00A22C7B">
        <w:t xml:space="preserve">urvey. To avoid duplication of data collection among youth enrolled in programs selected for inclusion in the impact study, these youth will complete </w:t>
      </w:r>
      <w:r>
        <w:t xml:space="preserve">only </w:t>
      </w:r>
      <w:r w:rsidRPr="00A22C7B">
        <w:t xml:space="preserve">the </w:t>
      </w:r>
      <w:r>
        <w:t>b</w:t>
      </w:r>
      <w:r w:rsidRPr="00A22C7B">
        <w:t xml:space="preserve">aseline </w:t>
      </w:r>
      <w:r>
        <w:t>s</w:t>
      </w:r>
      <w:r w:rsidRPr="00A22C7B">
        <w:t xml:space="preserve">urvey at program entrance. </w:t>
      </w:r>
    </w:p>
    <w:p w:rsidR="0023364C" w:rsidRPr="00A22C7B" w:rsidRDefault="0023364C" w:rsidP="0023364C">
      <w:pPr>
        <w:pStyle w:val="NormalSS"/>
      </w:pPr>
      <w:r w:rsidRPr="00A22C7B">
        <w:t xml:space="preserve">An estimated </w:t>
      </w:r>
      <w:r w:rsidR="00CE048B">
        <w:t>69,000</w:t>
      </w:r>
      <w:r w:rsidRPr="00A22C7B">
        <w:t xml:space="preserve"> new participants will </w:t>
      </w:r>
      <w:r w:rsidR="0017407D">
        <w:t xml:space="preserve">enroll in the study each year. Of those, we expect </w:t>
      </w:r>
      <w:r w:rsidR="00CE048B">
        <w:t>65,550</w:t>
      </w:r>
      <w:r w:rsidR="008F6DDF">
        <w:t xml:space="preserve"> (95 percent) </w:t>
      </w:r>
      <w:r w:rsidR="0017407D">
        <w:t xml:space="preserve">will </w:t>
      </w:r>
      <w:r w:rsidRPr="00A22C7B">
        <w:t xml:space="preserve">complete the </w:t>
      </w:r>
      <w:r>
        <w:t xml:space="preserve">PAS </w:t>
      </w:r>
      <w:r w:rsidR="007B1275">
        <w:t>entry</w:t>
      </w:r>
      <w:r w:rsidRPr="00A22C7B">
        <w:t xml:space="preserve"> survey</w:t>
      </w:r>
      <w:r>
        <w:t xml:space="preserve"> </w:t>
      </w:r>
      <w:r w:rsidRPr="00A22C7B">
        <w:t>each year. Exit surveys will be administered to all participants who are still in the program at completion</w:t>
      </w:r>
      <w:r>
        <w:t xml:space="preserve">. We assume approximately </w:t>
      </w:r>
      <w:r w:rsidR="00842366">
        <w:t>80 percent</w:t>
      </w:r>
      <w:r>
        <w:t xml:space="preserve"> of youth who enroll in these programs will complete them.</w:t>
      </w:r>
      <w:r w:rsidR="00E8586B">
        <w:rPr>
          <w:rStyle w:val="FootnoteReference"/>
        </w:rPr>
        <w:footnoteReference w:id="2"/>
      </w:r>
      <w:r>
        <w:t xml:space="preserve"> </w:t>
      </w:r>
      <w:r w:rsidR="008F6DDF">
        <w:t xml:space="preserve">Of those, </w:t>
      </w:r>
      <w:r>
        <w:t xml:space="preserve">we estimate that </w:t>
      </w:r>
      <w:r w:rsidR="00CE048B">
        <w:t>52,440</w:t>
      </w:r>
      <w:r w:rsidR="0017407D">
        <w:t xml:space="preserve"> </w:t>
      </w:r>
      <w:r>
        <w:t xml:space="preserve">youth </w:t>
      </w:r>
      <w:r w:rsidR="008F6DDF">
        <w:t xml:space="preserve">(95 percent) </w:t>
      </w:r>
      <w:r>
        <w:t xml:space="preserve">will complete the exit survey </w:t>
      </w:r>
      <w:r w:rsidRPr="00A22C7B">
        <w:t xml:space="preserve">annually. Because the PAS participant surveys will be administered to </w:t>
      </w:r>
      <w:r w:rsidRPr="00A22C7B">
        <w:rPr>
          <w:i/>
        </w:rPr>
        <w:t>all</w:t>
      </w:r>
      <w:r w:rsidRPr="00A22C7B">
        <w:t xml:space="preserve"> participants who are active at the time of entry and exit, no sampling is required for the PAS component of the evaluation.</w:t>
      </w:r>
    </w:p>
    <w:p w:rsidR="0023364C" w:rsidRDefault="0023364C" w:rsidP="0023364C">
      <w:pPr>
        <w:pStyle w:val="NormalSS"/>
      </w:pPr>
      <w:r w:rsidRPr="00A22C7B">
        <w:t xml:space="preserve">As a funding requirement of their PREP grant, all grantees will be required to report the administrative </w:t>
      </w:r>
      <w:r>
        <w:t xml:space="preserve">performance measurement </w:t>
      </w:r>
      <w:r w:rsidRPr="00A22C7B">
        <w:t>data described above through the PREP reporting system. Grantees will collect substantial parts of this data from their sub-awardees,</w:t>
      </w:r>
      <w:r>
        <w:t xml:space="preserve"> estimated to number </w:t>
      </w:r>
      <w:r w:rsidR="00CE048B">
        <w:t xml:space="preserve">350 </w:t>
      </w:r>
      <w:r>
        <w:t>across all grantees</w:t>
      </w:r>
      <w:r w:rsidR="00163E9F">
        <w:t xml:space="preserve">, and sub-awardees will collect some data from their implementation sites, estimated to be </w:t>
      </w:r>
      <w:r w:rsidR="00CE048B">
        <w:t>1,400</w:t>
      </w:r>
      <w:r w:rsidRPr="00A22C7B">
        <w:t>.</w:t>
      </w:r>
      <w:r>
        <w:t xml:space="preserve"> Table B1.1 presents the respondent universe with expected response rates (see section B</w:t>
      </w:r>
      <w:r w:rsidR="00A342E6">
        <w:t>1</w:t>
      </w:r>
      <w:r>
        <w:t>.2 for details) for each respondent population.</w:t>
      </w:r>
    </w:p>
    <w:p w:rsidR="00161242" w:rsidRDefault="00161242">
      <w:pPr>
        <w:tabs>
          <w:tab w:val="clear" w:pos="432"/>
        </w:tabs>
        <w:spacing w:line="240" w:lineRule="auto"/>
        <w:ind w:firstLine="0"/>
        <w:jc w:val="left"/>
      </w:pPr>
      <w:r>
        <w:br w:type="page"/>
      </w:r>
    </w:p>
    <w:p w:rsidR="00E72C34" w:rsidRPr="00DD68A8" w:rsidRDefault="00E72C34" w:rsidP="00E72C34">
      <w:pPr>
        <w:pStyle w:val="MarkforTableHeading"/>
        <w:rPr>
          <w:color w:val="000000"/>
        </w:rPr>
      </w:pPr>
      <w:bookmarkStart w:id="9" w:name="_Toc326754180"/>
      <w:r>
        <w:rPr>
          <w:color w:val="000000"/>
        </w:rPr>
        <w:lastRenderedPageBreak/>
        <w:t xml:space="preserve">Table B1.1. </w:t>
      </w:r>
      <w:r w:rsidRPr="002F4238">
        <w:t>Respondent Universe and Expected Response Rates</w:t>
      </w:r>
      <w:r>
        <w:t xml:space="preserve"> for the Performance Analysis Study</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6"/>
        <w:gridCol w:w="1915"/>
        <w:gridCol w:w="1418"/>
        <w:gridCol w:w="1592"/>
        <w:gridCol w:w="1735"/>
      </w:tblGrid>
      <w:tr w:rsidR="00E72C34" w:rsidTr="00C77C15">
        <w:tc>
          <w:tcPr>
            <w:tcW w:w="1523" w:type="pct"/>
            <w:shd w:val="clear" w:color="auto" w:fill="D9D9D9" w:themeFill="background1" w:themeFillShade="D9"/>
            <w:vAlign w:val="bottom"/>
          </w:tcPr>
          <w:p w:rsidR="00E72C34" w:rsidRPr="00711E10" w:rsidRDefault="00E72C34" w:rsidP="00C77C15">
            <w:pPr>
              <w:pStyle w:val="TableHeaderLeft"/>
              <w:rPr>
                <w:b/>
              </w:rPr>
            </w:pPr>
            <w:r w:rsidRPr="00711E10">
              <w:rPr>
                <w:b/>
              </w:rPr>
              <w:t>Data Collection</w:t>
            </w:r>
          </w:p>
        </w:tc>
        <w:tc>
          <w:tcPr>
            <w:tcW w:w="1000" w:type="pct"/>
            <w:shd w:val="clear" w:color="auto" w:fill="D9D9D9" w:themeFill="background1" w:themeFillShade="D9"/>
            <w:vAlign w:val="bottom"/>
          </w:tcPr>
          <w:p w:rsidR="00E72C34" w:rsidRPr="00711E10" w:rsidRDefault="00E72C34" w:rsidP="00C77C15">
            <w:pPr>
              <w:pStyle w:val="TableHeaderCenter"/>
              <w:rPr>
                <w:b/>
              </w:rPr>
            </w:pPr>
            <w:r w:rsidRPr="00711E10">
              <w:rPr>
                <w:b/>
              </w:rPr>
              <w:t>Type of respondent</w:t>
            </w:r>
          </w:p>
        </w:tc>
        <w:tc>
          <w:tcPr>
            <w:tcW w:w="740" w:type="pct"/>
            <w:shd w:val="clear" w:color="auto" w:fill="D9D9D9" w:themeFill="background1" w:themeFillShade="D9"/>
            <w:vAlign w:val="bottom"/>
          </w:tcPr>
          <w:p w:rsidR="00E72C34" w:rsidRPr="00711E10" w:rsidRDefault="00E72C34" w:rsidP="00C77C15">
            <w:pPr>
              <w:pStyle w:val="TableHeaderCenter"/>
              <w:rPr>
                <w:b/>
              </w:rPr>
            </w:pPr>
            <w:r w:rsidRPr="00711E10">
              <w:rPr>
                <w:b/>
              </w:rPr>
              <w:t>Number of</w:t>
            </w:r>
            <w:r w:rsidRPr="00711E10">
              <w:rPr>
                <w:b/>
              </w:rPr>
              <w:br/>
              <w:t>Respondents</w:t>
            </w:r>
          </w:p>
        </w:tc>
        <w:tc>
          <w:tcPr>
            <w:tcW w:w="831" w:type="pct"/>
            <w:shd w:val="clear" w:color="auto" w:fill="D9D9D9" w:themeFill="background1" w:themeFillShade="D9"/>
            <w:vAlign w:val="bottom"/>
          </w:tcPr>
          <w:p w:rsidR="00E72C34" w:rsidRPr="00711E10" w:rsidRDefault="00E72C34" w:rsidP="00C77C15">
            <w:pPr>
              <w:pStyle w:val="TableHeaderCenter"/>
              <w:rPr>
                <w:b/>
              </w:rPr>
            </w:pPr>
            <w:r w:rsidRPr="00711E10">
              <w:rPr>
                <w:b/>
              </w:rPr>
              <w:t>Expected response rate</w:t>
            </w:r>
          </w:p>
        </w:tc>
        <w:tc>
          <w:tcPr>
            <w:tcW w:w="906" w:type="pct"/>
            <w:shd w:val="clear" w:color="auto" w:fill="D9D9D9" w:themeFill="background1" w:themeFillShade="D9"/>
            <w:vAlign w:val="bottom"/>
          </w:tcPr>
          <w:p w:rsidR="00E72C34" w:rsidRPr="00711E10" w:rsidRDefault="00E72C34" w:rsidP="00C77C15">
            <w:pPr>
              <w:pStyle w:val="TableHeaderCenter"/>
              <w:rPr>
                <w:b/>
              </w:rPr>
            </w:pPr>
            <w:r w:rsidRPr="00711E10">
              <w:rPr>
                <w:b/>
              </w:rPr>
              <w:t>Total expected responses</w:t>
            </w:r>
          </w:p>
        </w:tc>
      </w:tr>
      <w:tr w:rsidR="00E72C34" w:rsidTr="00C77C15">
        <w:tc>
          <w:tcPr>
            <w:tcW w:w="1523" w:type="pct"/>
          </w:tcPr>
          <w:p w:rsidR="00E72C34" w:rsidRPr="00B20331" w:rsidRDefault="00E72C34" w:rsidP="00C77C15">
            <w:pPr>
              <w:pStyle w:val="TableText"/>
              <w:spacing w:before="60" w:after="40"/>
            </w:pPr>
            <w:r>
              <w:t>Instrument 1: Participant entry</w:t>
            </w:r>
            <w:r w:rsidRPr="00B20331">
              <w:t xml:space="preserve"> survey </w:t>
            </w:r>
          </w:p>
        </w:tc>
        <w:tc>
          <w:tcPr>
            <w:tcW w:w="1000" w:type="pct"/>
            <w:vAlign w:val="center"/>
          </w:tcPr>
          <w:p w:rsidR="00E72C34" w:rsidRPr="00B20331" w:rsidRDefault="00E72C34" w:rsidP="00C77C15">
            <w:pPr>
              <w:pStyle w:val="TableText"/>
              <w:spacing w:before="60" w:after="40"/>
              <w:jc w:val="center"/>
            </w:pPr>
            <w:r w:rsidRPr="00B20331">
              <w:t>Youth participant</w:t>
            </w:r>
          </w:p>
        </w:tc>
        <w:tc>
          <w:tcPr>
            <w:tcW w:w="740" w:type="pct"/>
            <w:vAlign w:val="center"/>
          </w:tcPr>
          <w:p w:rsidR="00E72C34" w:rsidRPr="00B20331" w:rsidRDefault="00E72C34" w:rsidP="00C77C15">
            <w:pPr>
              <w:pStyle w:val="TableText"/>
              <w:spacing w:before="60" w:after="40"/>
              <w:ind w:right="144"/>
              <w:jc w:val="center"/>
            </w:pPr>
            <w:r>
              <w:t>69,000</w:t>
            </w:r>
          </w:p>
        </w:tc>
        <w:tc>
          <w:tcPr>
            <w:tcW w:w="831" w:type="pct"/>
            <w:vAlign w:val="center"/>
          </w:tcPr>
          <w:p w:rsidR="00E72C34" w:rsidRPr="00B20331" w:rsidRDefault="00E72C34" w:rsidP="00C77C15">
            <w:pPr>
              <w:pStyle w:val="TableText"/>
              <w:spacing w:before="60" w:after="40"/>
              <w:ind w:right="144"/>
              <w:jc w:val="center"/>
            </w:pPr>
            <w:r w:rsidRPr="00B20331">
              <w:t>95%</w:t>
            </w:r>
          </w:p>
        </w:tc>
        <w:tc>
          <w:tcPr>
            <w:tcW w:w="906" w:type="pct"/>
            <w:vAlign w:val="center"/>
          </w:tcPr>
          <w:p w:rsidR="00E72C34" w:rsidRPr="00B20331" w:rsidRDefault="00E72C34" w:rsidP="00C77C15">
            <w:pPr>
              <w:pStyle w:val="TableText"/>
              <w:spacing w:before="60" w:after="40"/>
              <w:ind w:right="144"/>
              <w:jc w:val="center"/>
            </w:pPr>
            <w:r>
              <w:t>65,550</w:t>
            </w:r>
          </w:p>
        </w:tc>
      </w:tr>
      <w:tr w:rsidR="00E72C34" w:rsidTr="00C77C15">
        <w:tc>
          <w:tcPr>
            <w:tcW w:w="1523" w:type="pct"/>
          </w:tcPr>
          <w:p w:rsidR="00E72C34" w:rsidRPr="00B20331" w:rsidRDefault="00E72C34" w:rsidP="00C77C15">
            <w:pPr>
              <w:pStyle w:val="TableText"/>
              <w:spacing w:before="60" w:after="40"/>
            </w:pPr>
            <w:r>
              <w:t>Instrument 2: Participant</w:t>
            </w:r>
            <w:r w:rsidRPr="00B20331">
              <w:t xml:space="preserve"> exit survey </w:t>
            </w:r>
          </w:p>
        </w:tc>
        <w:tc>
          <w:tcPr>
            <w:tcW w:w="1000" w:type="pct"/>
            <w:vAlign w:val="center"/>
          </w:tcPr>
          <w:p w:rsidR="00E72C34" w:rsidRPr="00B20331" w:rsidRDefault="00E72C34" w:rsidP="00C77C15">
            <w:pPr>
              <w:pStyle w:val="TableText"/>
              <w:spacing w:before="60" w:after="40"/>
              <w:jc w:val="center"/>
            </w:pPr>
            <w:r>
              <w:t>Y</w:t>
            </w:r>
            <w:r w:rsidRPr="00B20331">
              <w:t>outh participant</w:t>
            </w:r>
          </w:p>
        </w:tc>
        <w:tc>
          <w:tcPr>
            <w:tcW w:w="740" w:type="pct"/>
            <w:vAlign w:val="center"/>
          </w:tcPr>
          <w:p w:rsidR="00E72C34" w:rsidRPr="00B20331" w:rsidRDefault="00E72C34" w:rsidP="00C77C15">
            <w:pPr>
              <w:pStyle w:val="TableText"/>
              <w:spacing w:before="60" w:after="40"/>
              <w:ind w:right="144"/>
              <w:jc w:val="center"/>
            </w:pPr>
            <w:r>
              <w:t>55,200</w:t>
            </w:r>
          </w:p>
        </w:tc>
        <w:tc>
          <w:tcPr>
            <w:tcW w:w="831" w:type="pct"/>
            <w:vAlign w:val="center"/>
          </w:tcPr>
          <w:p w:rsidR="00E72C34" w:rsidRPr="00B20331" w:rsidRDefault="00E72C34" w:rsidP="00C77C15">
            <w:pPr>
              <w:pStyle w:val="TableText"/>
              <w:spacing w:before="60" w:after="40"/>
              <w:ind w:right="144"/>
              <w:jc w:val="center"/>
            </w:pPr>
            <w:r w:rsidRPr="00B20331">
              <w:t>95%</w:t>
            </w:r>
          </w:p>
        </w:tc>
        <w:tc>
          <w:tcPr>
            <w:tcW w:w="906" w:type="pct"/>
            <w:vAlign w:val="center"/>
          </w:tcPr>
          <w:p w:rsidR="00E72C34" w:rsidRPr="00B20331" w:rsidRDefault="00E72C34" w:rsidP="00C77C15">
            <w:pPr>
              <w:pStyle w:val="TableText"/>
              <w:spacing w:before="60" w:after="40"/>
              <w:ind w:right="144"/>
              <w:jc w:val="center"/>
            </w:pPr>
            <w:r>
              <w:t>52,440</w:t>
            </w:r>
          </w:p>
        </w:tc>
      </w:tr>
      <w:tr w:rsidR="00E72C34" w:rsidTr="00C77C15">
        <w:tc>
          <w:tcPr>
            <w:tcW w:w="1523" w:type="pct"/>
          </w:tcPr>
          <w:p w:rsidR="00E72C34" w:rsidRPr="00B20331" w:rsidRDefault="00E72C34" w:rsidP="00C77C15">
            <w:pPr>
              <w:pStyle w:val="TableText"/>
              <w:spacing w:before="60" w:after="40"/>
            </w:pPr>
            <w:r>
              <w:t xml:space="preserve">Instrument 4: </w:t>
            </w:r>
            <w:r w:rsidRPr="00AB2A32">
              <w:t>Performance Reporting System Data Entry Form</w:t>
            </w:r>
          </w:p>
        </w:tc>
        <w:tc>
          <w:tcPr>
            <w:tcW w:w="1000" w:type="pct"/>
            <w:vAlign w:val="center"/>
          </w:tcPr>
          <w:p w:rsidR="00E72C34" w:rsidRPr="00B20331" w:rsidRDefault="00E72C34" w:rsidP="00C77C15">
            <w:pPr>
              <w:pStyle w:val="TableText"/>
              <w:spacing w:before="60" w:after="40"/>
              <w:jc w:val="center"/>
            </w:pPr>
            <w:r w:rsidRPr="00AB2A32">
              <w:t>Grantee Administrator</w:t>
            </w:r>
          </w:p>
        </w:tc>
        <w:tc>
          <w:tcPr>
            <w:tcW w:w="740" w:type="pct"/>
            <w:vAlign w:val="center"/>
          </w:tcPr>
          <w:p w:rsidR="00E72C34" w:rsidRPr="00B20331" w:rsidRDefault="00E72C34" w:rsidP="00C77C15">
            <w:pPr>
              <w:pStyle w:val="TableText"/>
              <w:spacing w:before="60" w:after="40"/>
              <w:ind w:right="144"/>
              <w:jc w:val="center"/>
            </w:pPr>
            <w:r>
              <w:t>65</w:t>
            </w:r>
          </w:p>
        </w:tc>
        <w:tc>
          <w:tcPr>
            <w:tcW w:w="831" w:type="pct"/>
            <w:vAlign w:val="center"/>
          </w:tcPr>
          <w:p w:rsidR="00E72C34" w:rsidRPr="00B20331" w:rsidRDefault="00E72C34" w:rsidP="00C77C15">
            <w:pPr>
              <w:pStyle w:val="TableText"/>
              <w:spacing w:before="60" w:after="40"/>
              <w:ind w:right="144"/>
              <w:jc w:val="center"/>
            </w:pPr>
            <w:r w:rsidRPr="00B20331">
              <w:t>100%</w:t>
            </w:r>
          </w:p>
        </w:tc>
        <w:tc>
          <w:tcPr>
            <w:tcW w:w="906" w:type="pct"/>
            <w:vAlign w:val="center"/>
          </w:tcPr>
          <w:p w:rsidR="00E72C34" w:rsidRPr="00B20331" w:rsidRDefault="00E72C34" w:rsidP="00C77C15">
            <w:pPr>
              <w:pStyle w:val="TableText"/>
              <w:spacing w:before="60" w:after="40"/>
              <w:ind w:right="144"/>
              <w:jc w:val="center"/>
            </w:pPr>
            <w:r>
              <w:t>65</w:t>
            </w:r>
          </w:p>
        </w:tc>
      </w:tr>
      <w:tr w:rsidR="00E72C34" w:rsidTr="00C77C15">
        <w:tc>
          <w:tcPr>
            <w:tcW w:w="1523" w:type="pct"/>
          </w:tcPr>
          <w:p w:rsidR="00E72C34" w:rsidRPr="00B20331" w:rsidRDefault="00E72C34" w:rsidP="00C77C15">
            <w:pPr>
              <w:pStyle w:val="TableText"/>
              <w:spacing w:before="60" w:after="40"/>
            </w:pPr>
            <w:r>
              <w:t xml:space="preserve">Instrument 5: </w:t>
            </w:r>
            <w:r w:rsidRPr="00AB2A32">
              <w:t>Sub-awardee data collection and reporting</w:t>
            </w:r>
          </w:p>
        </w:tc>
        <w:tc>
          <w:tcPr>
            <w:tcW w:w="1000" w:type="pct"/>
            <w:vAlign w:val="center"/>
          </w:tcPr>
          <w:p w:rsidR="00E72C34" w:rsidRPr="00B20331" w:rsidRDefault="00E72C34" w:rsidP="00C77C15">
            <w:pPr>
              <w:pStyle w:val="TableText"/>
              <w:spacing w:before="60" w:after="40"/>
              <w:jc w:val="center"/>
            </w:pPr>
            <w:r w:rsidRPr="00AB2A32">
              <w:t>Sub-Awardee Administrator</w:t>
            </w:r>
          </w:p>
        </w:tc>
        <w:tc>
          <w:tcPr>
            <w:tcW w:w="740" w:type="pct"/>
            <w:vAlign w:val="center"/>
          </w:tcPr>
          <w:p w:rsidR="00E72C34" w:rsidRPr="00B20331" w:rsidRDefault="00CE048B" w:rsidP="00C77C15">
            <w:pPr>
              <w:pStyle w:val="TableText"/>
              <w:spacing w:before="60" w:after="40"/>
              <w:ind w:right="144"/>
              <w:jc w:val="center"/>
            </w:pPr>
            <w:r>
              <w:t>350</w:t>
            </w:r>
          </w:p>
        </w:tc>
        <w:tc>
          <w:tcPr>
            <w:tcW w:w="831" w:type="pct"/>
            <w:vAlign w:val="center"/>
          </w:tcPr>
          <w:p w:rsidR="00E72C34" w:rsidRPr="00B20331" w:rsidRDefault="00E72C34" w:rsidP="00C77C15">
            <w:pPr>
              <w:pStyle w:val="TableText"/>
              <w:spacing w:before="60" w:after="40"/>
              <w:ind w:right="144"/>
              <w:jc w:val="center"/>
            </w:pPr>
            <w:r w:rsidRPr="00B20331">
              <w:t>100%</w:t>
            </w:r>
          </w:p>
        </w:tc>
        <w:tc>
          <w:tcPr>
            <w:tcW w:w="906" w:type="pct"/>
            <w:vAlign w:val="center"/>
          </w:tcPr>
          <w:p w:rsidR="00E72C34" w:rsidRPr="00B20331" w:rsidRDefault="00CE048B" w:rsidP="00C77C15">
            <w:pPr>
              <w:pStyle w:val="TableText"/>
              <w:spacing w:before="60" w:after="40"/>
              <w:ind w:right="144"/>
              <w:jc w:val="center"/>
            </w:pPr>
            <w:r>
              <w:t>350</w:t>
            </w:r>
          </w:p>
        </w:tc>
      </w:tr>
      <w:tr w:rsidR="00E72C34" w:rsidTr="00C77C15">
        <w:tc>
          <w:tcPr>
            <w:tcW w:w="1523" w:type="pct"/>
          </w:tcPr>
          <w:p w:rsidR="00E72C34" w:rsidRPr="00B20331" w:rsidRDefault="00E72C34" w:rsidP="00C77C15">
            <w:pPr>
              <w:pStyle w:val="TableText"/>
              <w:spacing w:before="60" w:after="40"/>
            </w:pPr>
            <w:r>
              <w:t xml:space="preserve">Instrument 6: </w:t>
            </w:r>
            <w:r w:rsidRPr="00AB2A32">
              <w:t>Implementation site data collection</w:t>
            </w:r>
          </w:p>
        </w:tc>
        <w:tc>
          <w:tcPr>
            <w:tcW w:w="1000" w:type="pct"/>
            <w:vAlign w:val="center"/>
          </w:tcPr>
          <w:p w:rsidR="00E72C34" w:rsidRDefault="00E72C34" w:rsidP="00C77C15">
            <w:pPr>
              <w:pStyle w:val="TableText"/>
              <w:spacing w:before="60" w:after="40"/>
              <w:jc w:val="center"/>
            </w:pPr>
            <w:r w:rsidRPr="00AB2A32">
              <w:t>Site Facilitator</w:t>
            </w:r>
          </w:p>
        </w:tc>
        <w:tc>
          <w:tcPr>
            <w:tcW w:w="740" w:type="pct"/>
            <w:vAlign w:val="center"/>
          </w:tcPr>
          <w:p w:rsidR="00E72C34" w:rsidRPr="00B20331" w:rsidDel="00D33912" w:rsidRDefault="00CE048B" w:rsidP="00C77C15">
            <w:pPr>
              <w:pStyle w:val="TableText"/>
              <w:spacing w:before="60" w:after="40"/>
              <w:ind w:right="144"/>
              <w:jc w:val="center"/>
            </w:pPr>
            <w:r>
              <w:t>1,400</w:t>
            </w:r>
          </w:p>
        </w:tc>
        <w:tc>
          <w:tcPr>
            <w:tcW w:w="831" w:type="pct"/>
            <w:vAlign w:val="center"/>
          </w:tcPr>
          <w:p w:rsidR="00E72C34" w:rsidRPr="00B20331" w:rsidRDefault="00E72C34" w:rsidP="00C77C15">
            <w:pPr>
              <w:pStyle w:val="TableText"/>
              <w:spacing w:before="60" w:after="40"/>
              <w:ind w:right="144"/>
              <w:jc w:val="center"/>
            </w:pPr>
            <w:r w:rsidRPr="00B20331">
              <w:t>100%</w:t>
            </w:r>
          </w:p>
        </w:tc>
        <w:tc>
          <w:tcPr>
            <w:tcW w:w="906" w:type="pct"/>
            <w:vAlign w:val="center"/>
          </w:tcPr>
          <w:p w:rsidR="00E72C34" w:rsidRPr="00B20331" w:rsidRDefault="00CE048B" w:rsidP="00C77C15">
            <w:pPr>
              <w:pStyle w:val="TableText"/>
              <w:spacing w:before="60" w:after="40"/>
              <w:ind w:right="144"/>
              <w:jc w:val="center"/>
            </w:pPr>
            <w:r>
              <w:t>1,400</w:t>
            </w:r>
          </w:p>
        </w:tc>
      </w:tr>
      <w:tr w:rsidR="00E72C34" w:rsidTr="00C77C15">
        <w:tc>
          <w:tcPr>
            <w:tcW w:w="2522" w:type="pct"/>
            <w:gridSpan w:val="2"/>
            <w:vAlign w:val="center"/>
          </w:tcPr>
          <w:p w:rsidR="00E72C34" w:rsidRPr="00711E10" w:rsidRDefault="00E72C34" w:rsidP="00C77C15">
            <w:pPr>
              <w:pStyle w:val="TableText"/>
              <w:spacing w:before="60" w:after="40"/>
              <w:rPr>
                <w:b/>
              </w:rPr>
            </w:pPr>
            <w:r w:rsidRPr="00711E10">
              <w:rPr>
                <w:b/>
              </w:rPr>
              <w:t>Estimated Totals</w:t>
            </w:r>
          </w:p>
        </w:tc>
        <w:tc>
          <w:tcPr>
            <w:tcW w:w="740" w:type="pct"/>
            <w:vAlign w:val="center"/>
          </w:tcPr>
          <w:p w:rsidR="00E72C34" w:rsidRPr="00711E10" w:rsidRDefault="00CE048B" w:rsidP="00C77C15">
            <w:pPr>
              <w:pStyle w:val="TableText"/>
              <w:spacing w:before="60" w:after="40"/>
              <w:ind w:right="144"/>
              <w:jc w:val="center"/>
              <w:rPr>
                <w:b/>
              </w:rPr>
            </w:pPr>
            <w:r>
              <w:rPr>
                <w:b/>
              </w:rPr>
              <w:t>126,015</w:t>
            </w:r>
          </w:p>
        </w:tc>
        <w:tc>
          <w:tcPr>
            <w:tcW w:w="831" w:type="pct"/>
            <w:vAlign w:val="center"/>
          </w:tcPr>
          <w:p w:rsidR="00E72C34" w:rsidRPr="00711E10" w:rsidRDefault="00E72C34" w:rsidP="00C77C15">
            <w:pPr>
              <w:pStyle w:val="TableText"/>
              <w:spacing w:before="60" w:after="40"/>
              <w:ind w:right="144"/>
              <w:jc w:val="center"/>
              <w:rPr>
                <w:b/>
              </w:rPr>
            </w:pPr>
          </w:p>
        </w:tc>
        <w:tc>
          <w:tcPr>
            <w:tcW w:w="906" w:type="pct"/>
            <w:vAlign w:val="center"/>
          </w:tcPr>
          <w:p w:rsidR="00E72C34" w:rsidRPr="00711E10" w:rsidRDefault="00CE048B" w:rsidP="00C77C15">
            <w:pPr>
              <w:pStyle w:val="TableText"/>
              <w:spacing w:before="60" w:after="40"/>
              <w:ind w:right="144"/>
              <w:jc w:val="center"/>
              <w:rPr>
                <w:b/>
              </w:rPr>
            </w:pPr>
            <w:r>
              <w:rPr>
                <w:b/>
              </w:rPr>
              <w:t>119,805</w:t>
            </w:r>
          </w:p>
        </w:tc>
      </w:tr>
    </w:tbl>
    <w:p w:rsidR="00E72C34" w:rsidRDefault="00E72C34">
      <w:pPr>
        <w:pStyle w:val="NormalSS"/>
        <w:rPr>
          <w:b/>
        </w:rPr>
      </w:pPr>
    </w:p>
    <w:p w:rsidR="00C513EB" w:rsidRDefault="006C4E38">
      <w:pPr>
        <w:pStyle w:val="NormalSS"/>
      </w:pPr>
      <w:r>
        <w:rPr>
          <w:b/>
        </w:rPr>
        <w:t>Impact and In-depth Implementation Study</w:t>
      </w:r>
      <w:r w:rsidR="0023364C" w:rsidRPr="0086161F">
        <w:rPr>
          <w:b/>
        </w:rPr>
        <w:t>.</w:t>
      </w:r>
      <w:r w:rsidR="0023364C">
        <w:t xml:space="preserve"> </w:t>
      </w:r>
      <w:r w:rsidR="00251541">
        <w:t xml:space="preserve">From the universe of PREP grantees, ACF will select four </w:t>
      </w:r>
      <w:r w:rsidR="00227FC1">
        <w:t xml:space="preserve">or five </w:t>
      </w:r>
      <w:r w:rsidR="00251541">
        <w:t xml:space="preserve">program sites to participate in the Impact and </w:t>
      </w:r>
      <w:r w:rsidR="00AC3AA2">
        <w:t xml:space="preserve">In-depth </w:t>
      </w:r>
      <w:r w:rsidR="00251541">
        <w:t xml:space="preserve">Implementation Study. </w:t>
      </w:r>
      <w:r w:rsidR="004B7360" w:rsidRPr="004B7360">
        <w:t>The sites are not meant to be representative of PREP-funded programs as a whole. Rather, site selection is focusing on grantees that (1) are large enough to support an impact and in-depth implementation study, (2) are implementing programs in a way that is amenable to random assignment for the program impact study (discussed below), and (3) address priority gaps in the existing research literature on evidence-based approaches to teen pregnancy prevention. These gaps include evidence on effective programs for high-risk populations such as youth living in rural areas or youth in the foster care or juvenile justice systems.</w:t>
      </w:r>
    </w:p>
    <w:p w:rsidR="004B7360" w:rsidRDefault="004D17A2" w:rsidP="004D17A2">
      <w:pPr>
        <w:pStyle w:val="NormalSS"/>
      </w:pPr>
      <w:r>
        <w:t xml:space="preserve">In each site, ACF expects to recruit and enroll a sample of </w:t>
      </w:r>
      <w:r w:rsidR="00227FC1">
        <w:t>1,200 to</w:t>
      </w:r>
      <w:r>
        <w:t xml:space="preserve"> 1,500 youth (for a total of 6,000 youth across four </w:t>
      </w:r>
      <w:r w:rsidR="00227FC1">
        <w:t xml:space="preserve">or five </w:t>
      </w:r>
      <w:r>
        <w:t>sites).</w:t>
      </w:r>
      <w:r w:rsidR="00176C34">
        <w:rPr>
          <w:rStyle w:val="FootnoteReference"/>
        </w:rPr>
        <w:footnoteReference w:id="3"/>
      </w:r>
      <w:r w:rsidR="00277BAC">
        <w:t xml:space="preserve"> Each site will be analyzed separately, so the relatively large samples of </w:t>
      </w:r>
      <w:r w:rsidR="00227FC1">
        <w:t xml:space="preserve">1,200 to </w:t>
      </w:r>
      <w:r w:rsidR="00277BAC">
        <w:t xml:space="preserve">1,500 youth per site are needed to detect policy-relevant impacts on key behavioral outcomes. </w:t>
      </w:r>
      <w:r w:rsidR="008751D5">
        <w:t>Table B1.2 reports minimum detectible impacts on two illustrative outcomes</w:t>
      </w:r>
      <w:r w:rsidR="005977C1">
        <w:t>—one with 50 percent prevalence (such as the proportion of high-risk teens that have had sex in the past three months) and one with 20 percent prevalence (such as the proportion of high-ris</w:t>
      </w:r>
      <w:r w:rsidR="00D06F77">
        <w:t>k teens that have been pregnant</w:t>
      </w:r>
      <w:r w:rsidR="005977C1">
        <w:t xml:space="preserve"> or gotten someone pre</w:t>
      </w:r>
      <w:r w:rsidR="00D06F77">
        <w:t>gnant</w:t>
      </w:r>
      <w:r w:rsidR="005977C1">
        <w:t xml:space="preserve"> or had an STI). Separate estimates are presented assuming</w:t>
      </w:r>
      <w:r w:rsidR="00CD0D45">
        <w:t xml:space="preserve"> either (1) random assignment of individuals to treatment and control groups or (2) random assignment of clusters of individuals (</w:t>
      </w:r>
      <w:r w:rsidR="00C12991">
        <w:t>such as schools, clinics, or group homes</w:t>
      </w:r>
      <w:r w:rsidR="00CD0D45">
        <w:t xml:space="preserve">). </w:t>
      </w:r>
      <w:r w:rsidR="00D06F77">
        <w:t xml:space="preserve">Separate estimates are also presented for analyses of full sample versus subgroup impacts. </w:t>
      </w:r>
      <w:r w:rsidR="00CD0D45">
        <w:t xml:space="preserve">The table reports minimum detectible impacts for an assumed sample of 1,500 youth per site. </w:t>
      </w:r>
      <w:r w:rsidR="00D06F77">
        <w:t>However, s</w:t>
      </w:r>
      <w:r w:rsidR="00CD0D45">
        <w:t xml:space="preserve">maller samples of 1,200 youth per site might, in some instances, be sufficient—for example, </w:t>
      </w:r>
      <w:r w:rsidR="00D06F77">
        <w:t>if the main research questions are lim</w:t>
      </w:r>
      <w:r w:rsidR="00C12991">
        <w:t>ited to full sample impacts, not subgroup analyses.</w:t>
      </w:r>
    </w:p>
    <w:p w:rsidR="00161242" w:rsidRDefault="00277BAC">
      <w:pPr>
        <w:tabs>
          <w:tab w:val="clear" w:pos="432"/>
        </w:tabs>
        <w:spacing w:line="240" w:lineRule="auto"/>
        <w:ind w:firstLine="0"/>
        <w:jc w:val="left"/>
      </w:pPr>
      <w:r>
        <w:t>Sample enrollment is expected to begin in one or mo</w:t>
      </w:r>
      <w:r w:rsidR="00947281">
        <w:t xml:space="preserve">re sites in September 2012. All eligible youth will be considered for enrollment until we reach the target sample of </w:t>
      </w:r>
      <w:r w:rsidR="008751D5">
        <w:t xml:space="preserve">1,200 to </w:t>
      </w:r>
      <w:r w:rsidR="00947281">
        <w:t>1,500 youth per site. ACF does not expect needing to conduct any sampling of youth prior to enrollment.</w:t>
      </w:r>
    </w:p>
    <w:p w:rsidR="008751D5" w:rsidRDefault="008751D5" w:rsidP="008751D5">
      <w:pPr>
        <w:pStyle w:val="MarkforTableHeading"/>
      </w:pPr>
      <w:bookmarkStart w:id="10" w:name="_Toc326754181"/>
      <w:r>
        <w:lastRenderedPageBreak/>
        <w:t>Table B1.2</w:t>
      </w:r>
      <w:r w:rsidR="00DA1BC2">
        <w:t>.</w:t>
      </w:r>
      <w:r w:rsidRPr="00BD06B9">
        <w:t xml:space="preserve"> </w:t>
      </w:r>
      <w:r>
        <w:t>Minimum Detectible Impacts with Sample of 1,500 Youth</w:t>
      </w:r>
      <w:bookmarkEnd w:id="10"/>
    </w:p>
    <w:tbl>
      <w:tblPr>
        <w:tblStyle w:val="SMPRTableRed"/>
        <w:tblW w:w="9430" w:type="dxa"/>
        <w:jc w:val="center"/>
        <w:tblInd w:w="0" w:type="dxa"/>
        <w:tblCellMar>
          <w:left w:w="29" w:type="dxa"/>
          <w:right w:w="29" w:type="dxa"/>
        </w:tblCellMar>
        <w:tblLook w:val="04A0"/>
      </w:tblPr>
      <w:tblGrid>
        <w:gridCol w:w="3279"/>
        <w:gridCol w:w="1539"/>
        <w:gridCol w:w="1542"/>
        <w:gridCol w:w="1533"/>
        <w:gridCol w:w="1537"/>
      </w:tblGrid>
      <w:tr w:rsidR="008751D5" w:rsidRPr="004F6149" w:rsidTr="008751D5">
        <w:trPr>
          <w:cnfStyle w:val="100000000000"/>
          <w:trHeight w:val="53"/>
          <w:jc w:val="center"/>
        </w:trPr>
        <w:tc>
          <w:tcPr>
            <w:tcW w:w="3279" w:type="dxa"/>
            <w:tcBorders>
              <w:top w:val="single" w:sz="4" w:space="0" w:color="auto"/>
              <w:bottom w:val="nil"/>
            </w:tcBorders>
          </w:tcPr>
          <w:p w:rsidR="008751D5" w:rsidRPr="004F6149" w:rsidRDefault="008751D5" w:rsidP="008751D5">
            <w:pPr>
              <w:spacing w:before="120" w:after="60" w:line="240" w:lineRule="auto"/>
              <w:ind w:firstLine="0"/>
              <w:rPr>
                <w:rFonts w:cs="Lucida Sans"/>
                <w:sz w:val="18"/>
                <w:szCs w:val="18"/>
              </w:rPr>
            </w:pPr>
          </w:p>
        </w:tc>
        <w:tc>
          <w:tcPr>
            <w:tcW w:w="6151" w:type="dxa"/>
            <w:gridSpan w:val="4"/>
            <w:tcBorders>
              <w:top w:val="single" w:sz="4" w:space="0" w:color="auto"/>
              <w:bottom w:val="single" w:sz="4" w:space="0" w:color="auto"/>
            </w:tcBorders>
          </w:tcPr>
          <w:p w:rsidR="008751D5" w:rsidRPr="004F6149" w:rsidRDefault="008751D5" w:rsidP="008751D5">
            <w:pPr>
              <w:spacing w:before="120" w:after="60" w:line="240" w:lineRule="auto"/>
              <w:ind w:firstLine="0"/>
              <w:jc w:val="center"/>
              <w:rPr>
                <w:rFonts w:cs="Lucida Sans"/>
                <w:sz w:val="18"/>
                <w:szCs w:val="18"/>
              </w:rPr>
            </w:pPr>
            <w:r w:rsidRPr="004F6149">
              <w:rPr>
                <w:rFonts w:cs="Lucida Sans"/>
                <w:sz w:val="18"/>
                <w:szCs w:val="18"/>
              </w:rPr>
              <w:t>Percentage Point Impacts for Illustrative Binary Outcomes</w:t>
            </w:r>
          </w:p>
        </w:tc>
      </w:tr>
      <w:tr w:rsidR="008751D5" w:rsidRPr="004F6149" w:rsidTr="008751D5">
        <w:trPr>
          <w:trHeight w:val="242"/>
          <w:jc w:val="center"/>
        </w:trPr>
        <w:tc>
          <w:tcPr>
            <w:tcW w:w="3279" w:type="dxa"/>
            <w:tcBorders>
              <w:top w:val="nil"/>
              <w:bottom w:val="nil"/>
            </w:tcBorders>
            <w:vAlign w:val="center"/>
          </w:tcPr>
          <w:p w:rsidR="008751D5" w:rsidRPr="004F6149" w:rsidRDefault="008751D5" w:rsidP="008751D5">
            <w:pPr>
              <w:spacing w:before="60" w:after="60" w:line="240" w:lineRule="auto"/>
              <w:ind w:firstLine="0"/>
              <w:jc w:val="center"/>
              <w:rPr>
                <w:rFonts w:cs="Lucida Sans"/>
                <w:sz w:val="18"/>
                <w:szCs w:val="18"/>
              </w:rPr>
            </w:pPr>
          </w:p>
        </w:tc>
        <w:tc>
          <w:tcPr>
            <w:tcW w:w="3081" w:type="dxa"/>
            <w:gridSpan w:val="2"/>
            <w:tcBorders>
              <w:top w:val="single" w:sz="4" w:space="0" w:color="auto"/>
              <w:bottom w:val="single" w:sz="4" w:space="0" w:color="auto"/>
            </w:tcBorders>
            <w:vAlign w:val="bottom"/>
          </w:tcPr>
          <w:p w:rsidR="008751D5" w:rsidRPr="004F6149" w:rsidRDefault="008751D5" w:rsidP="008751D5">
            <w:pPr>
              <w:spacing w:before="60" w:after="60" w:line="240" w:lineRule="auto"/>
              <w:ind w:firstLine="0"/>
              <w:jc w:val="center"/>
              <w:rPr>
                <w:rFonts w:cs="Lucida Sans"/>
                <w:sz w:val="18"/>
                <w:szCs w:val="18"/>
              </w:rPr>
            </w:pPr>
            <w:r w:rsidRPr="004F6149">
              <w:rPr>
                <w:rFonts w:cs="Lucida Sans"/>
                <w:sz w:val="18"/>
                <w:szCs w:val="18"/>
              </w:rPr>
              <w:t>Recent Sexual Activity</w:t>
            </w:r>
            <w:r w:rsidRPr="004F6149">
              <w:rPr>
                <w:rFonts w:cs="Lucida Sans"/>
                <w:sz w:val="18"/>
                <w:szCs w:val="18"/>
              </w:rPr>
              <w:br/>
              <w:t>(Mean 50%)</w:t>
            </w:r>
          </w:p>
        </w:tc>
        <w:tc>
          <w:tcPr>
            <w:tcW w:w="3070" w:type="dxa"/>
            <w:gridSpan w:val="2"/>
            <w:tcBorders>
              <w:top w:val="single" w:sz="4" w:space="0" w:color="auto"/>
              <w:bottom w:val="single" w:sz="4" w:space="0" w:color="auto"/>
            </w:tcBorders>
            <w:vAlign w:val="bottom"/>
          </w:tcPr>
          <w:p w:rsidR="008751D5" w:rsidRPr="004F6149" w:rsidRDefault="008751D5" w:rsidP="008751D5">
            <w:pPr>
              <w:spacing w:before="60" w:after="60" w:line="240" w:lineRule="auto"/>
              <w:ind w:firstLine="0"/>
              <w:jc w:val="center"/>
              <w:rPr>
                <w:rFonts w:cs="Lucida Sans"/>
                <w:sz w:val="18"/>
                <w:szCs w:val="18"/>
              </w:rPr>
            </w:pPr>
            <w:r w:rsidRPr="004F6149">
              <w:rPr>
                <w:rFonts w:cs="Lucida Sans"/>
                <w:sz w:val="18"/>
                <w:szCs w:val="18"/>
              </w:rPr>
              <w:t>Pregnancy or STI</w:t>
            </w:r>
            <w:r w:rsidRPr="004F6149">
              <w:rPr>
                <w:rFonts w:cs="Lucida Sans"/>
                <w:sz w:val="18"/>
                <w:szCs w:val="18"/>
              </w:rPr>
              <w:br/>
              <w:t>(Mean 20%)</w:t>
            </w:r>
          </w:p>
        </w:tc>
      </w:tr>
      <w:tr w:rsidR="008751D5" w:rsidRPr="004F6149" w:rsidTr="008751D5">
        <w:trPr>
          <w:trHeight w:val="98"/>
          <w:jc w:val="center"/>
        </w:trPr>
        <w:tc>
          <w:tcPr>
            <w:tcW w:w="3279" w:type="dxa"/>
            <w:tcBorders>
              <w:top w:val="nil"/>
              <w:bottom w:val="single" w:sz="4" w:space="0" w:color="auto"/>
            </w:tcBorders>
            <w:vAlign w:val="center"/>
          </w:tcPr>
          <w:p w:rsidR="008751D5" w:rsidRPr="004F6149" w:rsidRDefault="008751D5" w:rsidP="008751D5">
            <w:pPr>
              <w:spacing w:before="80" w:after="60" w:line="240" w:lineRule="auto"/>
              <w:ind w:firstLine="0"/>
              <w:jc w:val="center"/>
              <w:rPr>
                <w:rFonts w:cs="Lucida Sans"/>
                <w:sz w:val="18"/>
                <w:szCs w:val="18"/>
              </w:rPr>
            </w:pPr>
          </w:p>
        </w:tc>
        <w:tc>
          <w:tcPr>
            <w:tcW w:w="1539" w:type="dxa"/>
            <w:tcBorders>
              <w:top w:val="single" w:sz="4" w:space="0" w:color="auto"/>
              <w:bottom w:val="single" w:sz="4" w:space="0" w:color="auto"/>
            </w:tcBorders>
            <w:vAlign w:val="bottom"/>
          </w:tcPr>
          <w:p w:rsidR="008751D5" w:rsidRPr="004F6149" w:rsidRDefault="008751D5" w:rsidP="008751D5">
            <w:pPr>
              <w:spacing w:before="80" w:after="60" w:line="240" w:lineRule="auto"/>
              <w:ind w:firstLine="0"/>
              <w:jc w:val="center"/>
              <w:rPr>
                <w:rFonts w:cs="Lucida Sans"/>
                <w:sz w:val="18"/>
                <w:szCs w:val="18"/>
              </w:rPr>
            </w:pPr>
            <w:r w:rsidRPr="004F6149">
              <w:rPr>
                <w:rFonts w:cs="Lucida Sans"/>
                <w:sz w:val="18"/>
                <w:szCs w:val="18"/>
              </w:rPr>
              <w:t>Full Sample</w:t>
            </w:r>
          </w:p>
        </w:tc>
        <w:tc>
          <w:tcPr>
            <w:tcW w:w="1542" w:type="dxa"/>
            <w:tcBorders>
              <w:top w:val="single" w:sz="4" w:space="0" w:color="auto"/>
              <w:bottom w:val="single" w:sz="4" w:space="0" w:color="auto"/>
            </w:tcBorders>
            <w:vAlign w:val="bottom"/>
          </w:tcPr>
          <w:p w:rsidR="008751D5" w:rsidRPr="004F6149" w:rsidRDefault="008751D5" w:rsidP="008751D5">
            <w:pPr>
              <w:spacing w:before="80" w:after="60" w:line="240" w:lineRule="auto"/>
              <w:ind w:firstLine="0"/>
              <w:jc w:val="center"/>
              <w:rPr>
                <w:rFonts w:cs="Lucida Sans"/>
                <w:sz w:val="18"/>
                <w:szCs w:val="18"/>
              </w:rPr>
            </w:pPr>
            <w:r w:rsidRPr="004F6149">
              <w:rPr>
                <w:rFonts w:cs="Lucida Sans"/>
                <w:sz w:val="18"/>
                <w:szCs w:val="18"/>
              </w:rPr>
              <w:t>50% Subgroup</w:t>
            </w:r>
          </w:p>
        </w:tc>
        <w:tc>
          <w:tcPr>
            <w:tcW w:w="1533" w:type="dxa"/>
            <w:tcBorders>
              <w:top w:val="single" w:sz="4" w:space="0" w:color="auto"/>
              <w:bottom w:val="single" w:sz="4" w:space="0" w:color="auto"/>
            </w:tcBorders>
            <w:vAlign w:val="bottom"/>
          </w:tcPr>
          <w:p w:rsidR="008751D5" w:rsidRPr="004F6149" w:rsidRDefault="008751D5" w:rsidP="008751D5">
            <w:pPr>
              <w:spacing w:before="80" w:after="60" w:line="240" w:lineRule="auto"/>
              <w:ind w:firstLine="0"/>
              <w:jc w:val="center"/>
              <w:rPr>
                <w:rFonts w:cs="Lucida Sans"/>
                <w:sz w:val="18"/>
                <w:szCs w:val="18"/>
              </w:rPr>
            </w:pPr>
            <w:r w:rsidRPr="004F6149">
              <w:rPr>
                <w:rFonts w:cs="Lucida Sans"/>
                <w:sz w:val="18"/>
                <w:szCs w:val="18"/>
              </w:rPr>
              <w:t>Full Sample</w:t>
            </w:r>
          </w:p>
        </w:tc>
        <w:tc>
          <w:tcPr>
            <w:tcW w:w="1537" w:type="dxa"/>
            <w:tcBorders>
              <w:top w:val="single" w:sz="4" w:space="0" w:color="auto"/>
              <w:bottom w:val="single" w:sz="4" w:space="0" w:color="auto"/>
            </w:tcBorders>
            <w:vAlign w:val="bottom"/>
          </w:tcPr>
          <w:p w:rsidR="008751D5" w:rsidRPr="004F6149" w:rsidRDefault="008751D5" w:rsidP="008751D5">
            <w:pPr>
              <w:spacing w:before="80" w:after="60" w:line="240" w:lineRule="auto"/>
              <w:ind w:firstLine="0"/>
              <w:jc w:val="center"/>
              <w:rPr>
                <w:rFonts w:cs="Lucida Sans"/>
                <w:sz w:val="18"/>
                <w:szCs w:val="18"/>
              </w:rPr>
            </w:pPr>
            <w:r w:rsidRPr="004F6149">
              <w:rPr>
                <w:rFonts w:cs="Lucida Sans"/>
                <w:sz w:val="18"/>
                <w:szCs w:val="18"/>
              </w:rPr>
              <w:t>50% Subgroup</w:t>
            </w:r>
          </w:p>
        </w:tc>
      </w:tr>
      <w:tr w:rsidR="008751D5" w:rsidRPr="004F6149" w:rsidTr="00BC3208">
        <w:trPr>
          <w:trHeight w:val="377"/>
          <w:jc w:val="center"/>
        </w:trPr>
        <w:tc>
          <w:tcPr>
            <w:tcW w:w="3279" w:type="dxa"/>
            <w:tcBorders>
              <w:bottom w:val="nil"/>
            </w:tcBorders>
            <w:vAlign w:val="center"/>
          </w:tcPr>
          <w:p w:rsidR="008751D5" w:rsidRPr="004F6149" w:rsidRDefault="008751D5" w:rsidP="00BC3208">
            <w:pPr>
              <w:spacing w:before="40" w:line="240" w:lineRule="auto"/>
              <w:ind w:left="144" w:firstLine="0"/>
              <w:jc w:val="left"/>
              <w:rPr>
                <w:rFonts w:cs="Lucida Sans"/>
                <w:sz w:val="18"/>
                <w:szCs w:val="18"/>
              </w:rPr>
            </w:pPr>
            <w:r w:rsidRPr="004F6149">
              <w:rPr>
                <w:rFonts w:cs="Lucida Sans"/>
                <w:sz w:val="18"/>
                <w:szCs w:val="18"/>
              </w:rPr>
              <w:t>Individual Random Assignment</w:t>
            </w:r>
          </w:p>
        </w:tc>
        <w:tc>
          <w:tcPr>
            <w:tcW w:w="1539" w:type="dxa"/>
            <w:tcBorders>
              <w:top w:val="nil"/>
              <w:bottom w:val="nil"/>
              <w:right w:val="nil"/>
            </w:tcBorders>
            <w:vAlign w:val="center"/>
          </w:tcPr>
          <w:p w:rsidR="008751D5" w:rsidRPr="004F6149" w:rsidRDefault="008751D5" w:rsidP="00BC3208">
            <w:pPr>
              <w:tabs>
                <w:tab w:val="clear" w:pos="432"/>
                <w:tab w:val="decimal" w:pos="702"/>
              </w:tabs>
              <w:spacing w:before="40" w:line="240" w:lineRule="auto"/>
              <w:ind w:firstLine="0"/>
              <w:jc w:val="center"/>
              <w:rPr>
                <w:rFonts w:cs="Lucida Sans"/>
                <w:sz w:val="18"/>
                <w:szCs w:val="18"/>
              </w:rPr>
            </w:pPr>
            <w:r w:rsidRPr="004F6149">
              <w:rPr>
                <w:rFonts w:cs="Lucida Sans"/>
                <w:sz w:val="18"/>
                <w:szCs w:val="18"/>
              </w:rPr>
              <w:t>7.0</w:t>
            </w:r>
          </w:p>
        </w:tc>
        <w:tc>
          <w:tcPr>
            <w:tcW w:w="1542" w:type="dxa"/>
            <w:tcBorders>
              <w:top w:val="nil"/>
              <w:left w:val="nil"/>
              <w:bottom w:val="nil"/>
              <w:right w:val="nil"/>
            </w:tcBorders>
            <w:vAlign w:val="center"/>
          </w:tcPr>
          <w:p w:rsidR="008751D5" w:rsidRPr="004F6149" w:rsidRDefault="008751D5" w:rsidP="00BC3208">
            <w:pPr>
              <w:tabs>
                <w:tab w:val="clear" w:pos="432"/>
                <w:tab w:val="decimal" w:pos="702"/>
              </w:tabs>
              <w:spacing w:before="40" w:line="240" w:lineRule="auto"/>
              <w:ind w:firstLine="0"/>
              <w:jc w:val="center"/>
              <w:rPr>
                <w:rFonts w:cs="Lucida Sans"/>
                <w:sz w:val="18"/>
                <w:szCs w:val="18"/>
              </w:rPr>
            </w:pPr>
            <w:r w:rsidRPr="004F6149">
              <w:rPr>
                <w:rFonts w:cs="Lucida Sans"/>
                <w:sz w:val="18"/>
                <w:szCs w:val="18"/>
              </w:rPr>
              <w:t>9.0</w:t>
            </w:r>
          </w:p>
        </w:tc>
        <w:tc>
          <w:tcPr>
            <w:tcW w:w="1533" w:type="dxa"/>
            <w:tcBorders>
              <w:top w:val="nil"/>
              <w:left w:val="nil"/>
              <w:bottom w:val="nil"/>
              <w:right w:val="nil"/>
            </w:tcBorders>
            <w:vAlign w:val="center"/>
          </w:tcPr>
          <w:p w:rsidR="008751D5" w:rsidRPr="004F6149" w:rsidRDefault="008751D5" w:rsidP="00BC3208">
            <w:pPr>
              <w:spacing w:before="40" w:line="240" w:lineRule="auto"/>
              <w:ind w:firstLine="0"/>
              <w:jc w:val="center"/>
              <w:rPr>
                <w:rFonts w:cs="Lucida Sans"/>
                <w:sz w:val="18"/>
                <w:szCs w:val="18"/>
              </w:rPr>
            </w:pPr>
            <w:r w:rsidRPr="004F6149">
              <w:rPr>
                <w:rFonts w:cs="Lucida Sans"/>
                <w:sz w:val="18"/>
                <w:szCs w:val="18"/>
              </w:rPr>
              <w:t>5.6</w:t>
            </w:r>
          </w:p>
        </w:tc>
        <w:tc>
          <w:tcPr>
            <w:tcW w:w="1537" w:type="dxa"/>
            <w:tcBorders>
              <w:top w:val="nil"/>
              <w:left w:val="nil"/>
              <w:bottom w:val="nil"/>
            </w:tcBorders>
            <w:vAlign w:val="center"/>
          </w:tcPr>
          <w:p w:rsidR="008751D5" w:rsidRPr="004F6149" w:rsidRDefault="008751D5" w:rsidP="00BC3208">
            <w:pPr>
              <w:tabs>
                <w:tab w:val="clear" w:pos="432"/>
                <w:tab w:val="decimal" w:pos="702"/>
              </w:tabs>
              <w:spacing w:before="40" w:line="240" w:lineRule="auto"/>
              <w:ind w:firstLine="0"/>
              <w:jc w:val="center"/>
              <w:rPr>
                <w:rFonts w:cs="Lucida Sans"/>
                <w:sz w:val="18"/>
                <w:szCs w:val="18"/>
              </w:rPr>
            </w:pPr>
            <w:r w:rsidRPr="004F6149">
              <w:rPr>
                <w:rFonts w:cs="Lucida Sans"/>
                <w:sz w:val="18"/>
                <w:szCs w:val="18"/>
              </w:rPr>
              <w:t>7.9</w:t>
            </w:r>
          </w:p>
        </w:tc>
      </w:tr>
      <w:tr w:rsidR="008751D5" w:rsidRPr="004F6149" w:rsidTr="00BC3208">
        <w:trPr>
          <w:trHeight w:val="450"/>
          <w:jc w:val="center"/>
        </w:trPr>
        <w:tc>
          <w:tcPr>
            <w:tcW w:w="3279" w:type="dxa"/>
            <w:tcBorders>
              <w:top w:val="nil"/>
              <w:bottom w:val="single" w:sz="4" w:space="0" w:color="auto"/>
            </w:tcBorders>
            <w:vAlign w:val="center"/>
          </w:tcPr>
          <w:p w:rsidR="008751D5" w:rsidRPr="004F6149" w:rsidRDefault="008751D5" w:rsidP="00BC3208">
            <w:pPr>
              <w:spacing w:before="40" w:line="240" w:lineRule="auto"/>
              <w:ind w:left="144" w:firstLine="0"/>
              <w:jc w:val="left"/>
              <w:rPr>
                <w:rFonts w:cs="Lucida Sans"/>
                <w:sz w:val="18"/>
                <w:szCs w:val="18"/>
              </w:rPr>
            </w:pPr>
            <w:r w:rsidRPr="004F6149">
              <w:rPr>
                <w:rFonts w:cs="Lucida Sans"/>
                <w:sz w:val="18"/>
                <w:szCs w:val="18"/>
              </w:rPr>
              <w:t>Cluster Random Assignment</w:t>
            </w:r>
          </w:p>
        </w:tc>
        <w:tc>
          <w:tcPr>
            <w:tcW w:w="1539" w:type="dxa"/>
            <w:tcBorders>
              <w:top w:val="nil"/>
              <w:bottom w:val="single" w:sz="4" w:space="0" w:color="auto"/>
              <w:right w:val="nil"/>
            </w:tcBorders>
            <w:vAlign w:val="center"/>
          </w:tcPr>
          <w:p w:rsidR="008751D5" w:rsidRPr="004F6149" w:rsidRDefault="008751D5" w:rsidP="00BC3208">
            <w:pPr>
              <w:tabs>
                <w:tab w:val="clear" w:pos="432"/>
                <w:tab w:val="decimal" w:pos="702"/>
              </w:tabs>
              <w:spacing w:before="40" w:line="240" w:lineRule="auto"/>
              <w:ind w:firstLine="0"/>
              <w:jc w:val="center"/>
              <w:rPr>
                <w:rFonts w:cs="Lucida Sans"/>
                <w:sz w:val="18"/>
                <w:szCs w:val="18"/>
              </w:rPr>
            </w:pPr>
            <w:r w:rsidRPr="004F6149">
              <w:rPr>
                <w:rFonts w:cs="Lucida Sans"/>
                <w:sz w:val="18"/>
                <w:szCs w:val="18"/>
              </w:rPr>
              <w:t>9.1</w:t>
            </w:r>
          </w:p>
        </w:tc>
        <w:tc>
          <w:tcPr>
            <w:tcW w:w="1542" w:type="dxa"/>
            <w:tcBorders>
              <w:top w:val="nil"/>
              <w:left w:val="nil"/>
              <w:bottom w:val="single" w:sz="4" w:space="0" w:color="auto"/>
              <w:right w:val="nil"/>
            </w:tcBorders>
            <w:vAlign w:val="center"/>
          </w:tcPr>
          <w:p w:rsidR="008751D5" w:rsidRPr="004F6149" w:rsidRDefault="008751D5" w:rsidP="00BC3208">
            <w:pPr>
              <w:tabs>
                <w:tab w:val="clear" w:pos="432"/>
                <w:tab w:val="decimal" w:pos="702"/>
              </w:tabs>
              <w:spacing w:before="40" w:line="240" w:lineRule="auto"/>
              <w:ind w:firstLine="0"/>
              <w:jc w:val="center"/>
              <w:rPr>
                <w:rFonts w:cs="Lucida Sans"/>
                <w:sz w:val="18"/>
                <w:szCs w:val="18"/>
              </w:rPr>
            </w:pPr>
            <w:r w:rsidRPr="004F6149">
              <w:rPr>
                <w:rFonts w:cs="Lucida Sans"/>
                <w:sz w:val="18"/>
                <w:szCs w:val="18"/>
              </w:rPr>
              <w:t>11.4</w:t>
            </w:r>
          </w:p>
        </w:tc>
        <w:tc>
          <w:tcPr>
            <w:tcW w:w="1533" w:type="dxa"/>
            <w:tcBorders>
              <w:top w:val="nil"/>
              <w:left w:val="nil"/>
              <w:bottom w:val="single" w:sz="4" w:space="0" w:color="auto"/>
              <w:right w:val="nil"/>
            </w:tcBorders>
            <w:vAlign w:val="center"/>
          </w:tcPr>
          <w:p w:rsidR="008751D5" w:rsidRPr="004F6149" w:rsidRDefault="008751D5" w:rsidP="00BC3208">
            <w:pPr>
              <w:spacing w:before="40" w:line="240" w:lineRule="auto"/>
              <w:ind w:firstLine="0"/>
              <w:jc w:val="center"/>
              <w:rPr>
                <w:rFonts w:cs="Lucida Sans"/>
                <w:sz w:val="18"/>
                <w:szCs w:val="18"/>
              </w:rPr>
            </w:pPr>
            <w:r w:rsidRPr="004F6149">
              <w:rPr>
                <w:rFonts w:cs="Lucida Sans"/>
                <w:sz w:val="18"/>
                <w:szCs w:val="18"/>
              </w:rPr>
              <w:t>7.3</w:t>
            </w:r>
          </w:p>
        </w:tc>
        <w:tc>
          <w:tcPr>
            <w:tcW w:w="1537" w:type="dxa"/>
            <w:tcBorders>
              <w:top w:val="nil"/>
              <w:left w:val="nil"/>
              <w:bottom w:val="single" w:sz="4" w:space="0" w:color="auto"/>
            </w:tcBorders>
            <w:vAlign w:val="center"/>
          </w:tcPr>
          <w:p w:rsidR="008751D5" w:rsidRPr="004F6149" w:rsidRDefault="008751D5" w:rsidP="00BC3208">
            <w:pPr>
              <w:tabs>
                <w:tab w:val="clear" w:pos="432"/>
                <w:tab w:val="decimal" w:pos="702"/>
              </w:tabs>
              <w:spacing w:before="40" w:line="240" w:lineRule="auto"/>
              <w:ind w:firstLine="0"/>
              <w:jc w:val="center"/>
              <w:rPr>
                <w:rFonts w:cs="Lucida Sans"/>
                <w:sz w:val="18"/>
                <w:szCs w:val="18"/>
              </w:rPr>
            </w:pPr>
            <w:r w:rsidRPr="004F6149">
              <w:rPr>
                <w:rFonts w:cs="Lucida Sans"/>
                <w:sz w:val="18"/>
                <w:szCs w:val="18"/>
              </w:rPr>
              <w:t>9.2</w:t>
            </w:r>
          </w:p>
        </w:tc>
      </w:tr>
    </w:tbl>
    <w:p w:rsidR="00C513EB" w:rsidRDefault="005977C1">
      <w:pPr>
        <w:pStyle w:val="TableFootnoteCaption"/>
        <w:spacing w:before="120"/>
        <w:rPr>
          <w:szCs w:val="18"/>
        </w:rPr>
      </w:pPr>
      <w:r>
        <w:rPr>
          <w:szCs w:val="18"/>
        </w:rPr>
        <w:t>Notes:</w:t>
      </w:r>
      <w:r>
        <w:rPr>
          <w:szCs w:val="18"/>
        </w:rPr>
        <w:tab/>
      </w:r>
      <w:r w:rsidR="00C336F6">
        <w:rPr>
          <w:szCs w:val="18"/>
        </w:rPr>
        <w:t>Sample size of 1,500 youth refers to</w:t>
      </w:r>
      <w:r w:rsidR="008751D5" w:rsidRPr="00A50A81">
        <w:rPr>
          <w:szCs w:val="18"/>
        </w:rPr>
        <w:t xml:space="preserve"> program and control groups combined. Figures assume that the sample is evenly divided between the program and control groups, a response rate of 75 percent, and that covariates explain 30 percent of the variance at the individual level. The figures also assume a two-tailed t-test with 80 percent power and a 95 percent confidence interval. For sites with cluster random assignment, the figures further assume a total of 16 clusters (evenly divided between the program and control groups), an intra-class correlation (ICC) of 0.01, and that covariates explain 30 percent of the v</w:t>
      </w:r>
      <w:r w:rsidR="008751D5">
        <w:rPr>
          <w:szCs w:val="18"/>
        </w:rPr>
        <w:t>ariance at the cluster level.</w:t>
      </w:r>
    </w:p>
    <w:p w:rsidR="00BC3208" w:rsidRDefault="00BC3208">
      <w:pPr>
        <w:tabs>
          <w:tab w:val="clear" w:pos="432"/>
        </w:tabs>
        <w:spacing w:line="240" w:lineRule="auto"/>
        <w:ind w:firstLine="0"/>
        <w:jc w:val="left"/>
      </w:pPr>
    </w:p>
    <w:p w:rsidR="0023364C" w:rsidRPr="00843740" w:rsidRDefault="00AB4B33" w:rsidP="00177108">
      <w:pPr>
        <w:pStyle w:val="Heading2Black"/>
      </w:pPr>
      <w:bookmarkStart w:id="11" w:name="_Toc320884920"/>
      <w:bookmarkStart w:id="12" w:name="_Toc324845911"/>
      <w:r>
        <w:t>B2.</w:t>
      </w:r>
      <w:r>
        <w:tab/>
      </w:r>
      <w:r w:rsidR="0023364C" w:rsidRPr="000C3568">
        <w:t>Procedures for Collection of Information</w:t>
      </w:r>
      <w:bookmarkEnd w:id="11"/>
      <w:bookmarkEnd w:id="12"/>
    </w:p>
    <w:p w:rsidR="0023364C" w:rsidRPr="0086484F" w:rsidRDefault="00843740" w:rsidP="00843740">
      <w:pPr>
        <w:pStyle w:val="NormalSS"/>
      </w:pPr>
      <w:r w:rsidRPr="0015252C">
        <w:rPr>
          <w:b/>
          <w:iCs/>
        </w:rPr>
        <w:t>Performance Analysis Study.</w:t>
      </w:r>
      <w:r>
        <w:rPr>
          <w:b/>
          <w:iCs/>
        </w:rPr>
        <w:t xml:space="preserve"> </w:t>
      </w:r>
      <w:r w:rsidR="00A54DCE">
        <w:rPr>
          <w:iCs/>
        </w:rPr>
        <w:t xml:space="preserve">Each </w:t>
      </w:r>
      <w:r w:rsidR="00163E9F">
        <w:rPr>
          <w:iCs/>
        </w:rPr>
        <w:t xml:space="preserve">grantee </w:t>
      </w:r>
      <w:r w:rsidR="00A54DCE">
        <w:rPr>
          <w:iCs/>
        </w:rPr>
        <w:t>and their sub-awardees</w:t>
      </w:r>
      <w:r w:rsidR="00163E9F">
        <w:rPr>
          <w:iCs/>
        </w:rPr>
        <w:t xml:space="preserve"> and implementation sites</w:t>
      </w:r>
      <w:r w:rsidR="00A54DCE">
        <w:rPr>
          <w:iCs/>
        </w:rPr>
        <w:t xml:space="preserve"> will make decisions regarding procedures for collecting the participant entry and exit surveys. Some </w:t>
      </w:r>
      <w:r w:rsidR="00163E9F">
        <w:rPr>
          <w:iCs/>
        </w:rPr>
        <w:t xml:space="preserve">grantees </w:t>
      </w:r>
      <w:r w:rsidR="00AC3AA2">
        <w:rPr>
          <w:iCs/>
        </w:rPr>
        <w:t>h</w:t>
      </w:r>
      <w:r w:rsidR="00A54DCE">
        <w:rPr>
          <w:iCs/>
        </w:rPr>
        <w:t xml:space="preserve">ave elected to work with local evaluators that will administer the </w:t>
      </w:r>
      <w:r w:rsidR="000B7E51">
        <w:rPr>
          <w:iCs/>
        </w:rPr>
        <w:t>surveys for performance measure</w:t>
      </w:r>
      <w:r w:rsidR="00A54DCE">
        <w:rPr>
          <w:iCs/>
        </w:rPr>
        <w:t xml:space="preserve"> purposes; the local evaluators could</w:t>
      </w:r>
      <w:r w:rsidR="00AA7DA8">
        <w:rPr>
          <w:iCs/>
        </w:rPr>
        <w:t xml:space="preserve"> decide to use paper-and-pencil</w:t>
      </w:r>
      <w:r w:rsidR="00A54DCE">
        <w:rPr>
          <w:iCs/>
        </w:rPr>
        <w:t xml:space="preserve"> or web-based surveys. </w:t>
      </w:r>
      <w:r w:rsidR="00163E9F">
        <w:rPr>
          <w:iCs/>
        </w:rPr>
        <w:t xml:space="preserve">For </w:t>
      </w:r>
      <w:r w:rsidR="00A54DCE">
        <w:rPr>
          <w:iCs/>
        </w:rPr>
        <w:t xml:space="preserve">those </w:t>
      </w:r>
      <w:r w:rsidR="00163E9F">
        <w:rPr>
          <w:iCs/>
        </w:rPr>
        <w:t xml:space="preserve">grantees </w:t>
      </w:r>
      <w:r w:rsidR="00A54DCE">
        <w:rPr>
          <w:iCs/>
        </w:rPr>
        <w:t xml:space="preserve">not working with local evaluators, it is likely that the </w:t>
      </w:r>
      <w:r w:rsidR="00A54DCE">
        <w:t>p</w:t>
      </w:r>
      <w:r w:rsidR="0023364C">
        <w:t xml:space="preserve">rogram staff at </w:t>
      </w:r>
      <w:r w:rsidR="00163E9F">
        <w:t>the implementation sites</w:t>
      </w:r>
      <w:r w:rsidR="0023364C">
        <w:t xml:space="preserve"> will administer the entry and exit surveys</w:t>
      </w:r>
      <w:r w:rsidR="00A54DCE">
        <w:t xml:space="preserve"> using </w:t>
      </w:r>
      <w:r w:rsidR="00AA7DA8">
        <w:t>paper and pencil</w:t>
      </w:r>
      <w:r w:rsidR="00A54DCE">
        <w:t xml:space="preserve"> in </w:t>
      </w:r>
      <w:r w:rsidR="0023364C" w:rsidRPr="0086484F">
        <w:t>group or individual setting</w:t>
      </w:r>
      <w:r w:rsidR="0023364C">
        <w:t xml:space="preserve">s. </w:t>
      </w:r>
      <w:r w:rsidR="0023364C" w:rsidRPr="0086484F">
        <w:t>Grantees will inform their</w:t>
      </w:r>
      <w:r w:rsidR="0023364C" w:rsidRPr="0086484F">
        <w:rPr>
          <w:color w:val="FF0000"/>
        </w:rPr>
        <w:t xml:space="preserve"> </w:t>
      </w:r>
      <w:r w:rsidR="0023364C" w:rsidRPr="0086484F">
        <w:t xml:space="preserve">individual program participants that participation is voluntary and that they may refuse to answer any or all </w:t>
      </w:r>
      <w:r w:rsidR="007B1275">
        <w:t>of the questions in the entry</w:t>
      </w:r>
      <w:r w:rsidR="0023364C" w:rsidRPr="0086484F">
        <w:t xml:space="preserve"> and exit questionnaires. The response rate for both surveys is expected to be 95 percent. As </w:t>
      </w:r>
      <w:r w:rsidR="0023364C" w:rsidRPr="00B20331">
        <w:t>indicated in Table B1.1, the</w:t>
      </w:r>
      <w:r w:rsidR="0023364C" w:rsidRPr="0086484F">
        <w:t xml:space="preserve"> estimated number of respondents is less for the exit survey because we expect about </w:t>
      </w:r>
      <w:r w:rsidR="008F6DDF">
        <w:t xml:space="preserve">20 percent </w:t>
      </w:r>
      <w:r w:rsidR="0023364C" w:rsidRPr="0086484F">
        <w:t>of the participants to drop out of the program prior to completion.</w:t>
      </w:r>
    </w:p>
    <w:p w:rsidR="00C513EB" w:rsidRDefault="0023364C">
      <w:pPr>
        <w:pStyle w:val="NormalSS"/>
        <w:spacing w:after="120"/>
      </w:pPr>
      <w:r w:rsidRPr="0086484F">
        <w:t xml:space="preserve">Grantees will report separately on levels of participant attendance, reach, dosage, and retention. </w:t>
      </w:r>
      <w:r>
        <w:t>D</w:t>
      </w:r>
      <w:r w:rsidRPr="0086484F">
        <w:t xml:space="preserve">ata on these measures will be collected by </w:t>
      </w:r>
      <w:r w:rsidR="00163E9F">
        <w:t>implementation site</w:t>
      </w:r>
      <w:r w:rsidR="00163E9F" w:rsidRPr="0086484F">
        <w:t xml:space="preserve"> </w:t>
      </w:r>
      <w:r w:rsidRPr="0086484F">
        <w:t>facilitators</w:t>
      </w:r>
      <w:r w:rsidR="00331C1B">
        <w:t xml:space="preserve"> (Instrument 6)</w:t>
      </w:r>
      <w:r>
        <w:t>. Administrative d</w:t>
      </w:r>
      <w:r w:rsidRPr="0086484F">
        <w:t xml:space="preserve">ata on program features and structure, allocation of funds, fidelity to evidence-based program models, and staff perceptions of quality challenges will be collected by grantees and sub-awardees through their </w:t>
      </w:r>
      <w:r w:rsidR="00331C1B">
        <w:t>administrators (Instruments 4 and 5)</w:t>
      </w:r>
      <w:r w:rsidRPr="0086484F">
        <w:t xml:space="preserve">. </w:t>
      </w:r>
      <w:r w:rsidRPr="0086484F">
        <w:rPr>
          <w:bCs/>
          <w:color w:val="000000"/>
        </w:rPr>
        <w:t>Grantees will p</w:t>
      </w:r>
      <w:r w:rsidRPr="0086484F">
        <w:t xml:space="preserve">repare and submit their final data </w:t>
      </w:r>
      <w:bookmarkStart w:id="13" w:name="_GoBack"/>
      <w:bookmarkEnd w:id="13"/>
      <w:r w:rsidRPr="0086484F">
        <w:t xml:space="preserve">sets in aggregate form to ACF through the PREP reporting system. </w:t>
      </w:r>
      <w:r w:rsidR="00A13EB9">
        <w:t xml:space="preserve">The Performance Reporting System Data Entry Form (Instrument </w:t>
      </w:r>
      <w:r w:rsidR="00AB2A32">
        <w:t>4</w:t>
      </w:r>
      <w:r w:rsidR="00A13EB9">
        <w:t xml:space="preserve">) </w:t>
      </w:r>
      <w:r w:rsidR="004A3296" w:rsidRPr="00A71338">
        <w:t xml:space="preserve">contains the list of all data elements </w:t>
      </w:r>
      <w:r w:rsidR="004A3296">
        <w:t xml:space="preserve">grantees will report, collected from among their sub-awardees and implementation sites. </w:t>
      </w:r>
      <w:r w:rsidRPr="0086484F">
        <w:t xml:space="preserve">Because collecting and reporting data for performance measures is a funding requirement of the PREP grants, the grantee and </w:t>
      </w:r>
      <w:r w:rsidR="00DE5B6E">
        <w:t>sub-awardee</w:t>
      </w:r>
      <w:r w:rsidRPr="0086484F">
        <w:t xml:space="preserve"> response rate is expected to be 100 percent.</w:t>
      </w:r>
    </w:p>
    <w:p w:rsidR="0023364C" w:rsidRPr="0086484F" w:rsidRDefault="0023364C" w:rsidP="00D7028D">
      <w:pPr>
        <w:autoSpaceDE w:val="0"/>
        <w:autoSpaceDN w:val="0"/>
        <w:adjustRightInd w:val="0"/>
        <w:spacing w:after="240" w:line="240" w:lineRule="auto"/>
        <w:ind w:firstLine="360"/>
        <w:rPr>
          <w:rFonts w:cs="Calibri"/>
        </w:rPr>
      </w:pPr>
      <w:r w:rsidRPr="0086484F">
        <w:rPr>
          <w:rFonts w:cs="Calibri"/>
        </w:rPr>
        <w:t xml:space="preserve">The timing of </w:t>
      </w:r>
      <w:r>
        <w:rPr>
          <w:rFonts w:cs="Calibri"/>
        </w:rPr>
        <w:t xml:space="preserve">PAS </w:t>
      </w:r>
      <w:r w:rsidRPr="0086484F">
        <w:rPr>
          <w:rFonts w:cs="Calibri"/>
        </w:rPr>
        <w:t xml:space="preserve">participant survey data collections will be customized for each site depending upon the start and end dates of each cohort of participants. Administrative </w:t>
      </w:r>
      <w:r>
        <w:rPr>
          <w:rFonts w:cs="Calibri"/>
        </w:rPr>
        <w:t xml:space="preserve">performance measurement </w:t>
      </w:r>
      <w:r w:rsidRPr="0086484F">
        <w:rPr>
          <w:rFonts w:cs="Calibri"/>
        </w:rPr>
        <w:t xml:space="preserve">data will be submitted annually by grantees </w:t>
      </w:r>
      <w:r w:rsidR="00832BE1">
        <w:rPr>
          <w:rFonts w:cs="Calibri"/>
        </w:rPr>
        <w:t>following</w:t>
      </w:r>
      <w:r w:rsidR="00832BE1" w:rsidRPr="0086484F">
        <w:rPr>
          <w:rFonts w:cs="Calibri"/>
        </w:rPr>
        <w:t xml:space="preserve"> </w:t>
      </w:r>
      <w:r>
        <w:rPr>
          <w:rFonts w:cs="Calibri"/>
        </w:rPr>
        <w:t>the end of each</w:t>
      </w:r>
      <w:r w:rsidRPr="0086484F">
        <w:rPr>
          <w:rFonts w:cs="Calibri"/>
        </w:rPr>
        <w:t xml:space="preserve"> </w:t>
      </w:r>
      <w:r w:rsidR="00832BE1">
        <w:rPr>
          <w:rFonts w:cs="Calibri"/>
        </w:rPr>
        <w:t>grant</w:t>
      </w:r>
      <w:r w:rsidR="00832BE1" w:rsidRPr="0086484F">
        <w:rPr>
          <w:rFonts w:cs="Calibri"/>
        </w:rPr>
        <w:t xml:space="preserve"> </w:t>
      </w:r>
      <w:r w:rsidRPr="0086484F">
        <w:rPr>
          <w:rFonts w:cs="Calibri"/>
        </w:rPr>
        <w:t xml:space="preserve">year. </w:t>
      </w:r>
    </w:p>
    <w:p w:rsidR="00392375" w:rsidRDefault="006C4E38" w:rsidP="00177108">
      <w:pPr>
        <w:pStyle w:val="NormalSS"/>
      </w:pPr>
      <w:r>
        <w:rPr>
          <w:b/>
        </w:rPr>
        <w:t>Impact and In-depth Implementation Study</w:t>
      </w:r>
      <w:r w:rsidR="0023364C" w:rsidRPr="00812B6E">
        <w:rPr>
          <w:b/>
        </w:rPr>
        <w:t>.</w:t>
      </w:r>
      <w:r w:rsidR="0023364C">
        <w:t xml:space="preserve"> </w:t>
      </w:r>
      <w:r w:rsidR="000C7693">
        <w:t xml:space="preserve">In each of the four </w:t>
      </w:r>
      <w:r w:rsidR="00227FC1">
        <w:t xml:space="preserve">or five </w:t>
      </w:r>
      <w:r w:rsidR="000C7693">
        <w:t>sites selected for the I</w:t>
      </w:r>
      <w:r w:rsidR="000B7E51">
        <w:t>IS</w:t>
      </w:r>
      <w:r w:rsidR="000C7693">
        <w:t xml:space="preserve">, all eligible youth will be considered for </w:t>
      </w:r>
      <w:r w:rsidR="001C39FD">
        <w:t xml:space="preserve">enrollment in the study </w:t>
      </w:r>
      <w:r w:rsidR="000C7693">
        <w:t>(discussed in Section B.1). Each site will be responsible for providing the evaluation team with a list of eligible youth. The</w:t>
      </w:r>
      <w:r w:rsidR="00E167A5">
        <w:t xml:space="preserve"> evaluation team will then work collaboratively with each site to </w:t>
      </w:r>
      <w:r w:rsidR="007215FA">
        <w:t xml:space="preserve">identify </w:t>
      </w:r>
      <w:r w:rsidR="00E167A5">
        <w:t>youth for the study an</w:t>
      </w:r>
      <w:r w:rsidR="00783C51">
        <w:t>d</w:t>
      </w:r>
      <w:r w:rsidR="00E167A5">
        <w:t xml:space="preserve"> obtain a</w:t>
      </w:r>
      <w:r w:rsidR="00783C51">
        <w:t>ctive written consent from the responsible parent or guardian</w:t>
      </w:r>
      <w:r w:rsidR="000B7E51">
        <w:t xml:space="preserve"> for youth under age 18 and </w:t>
      </w:r>
      <w:r w:rsidR="000B7E51">
        <w:lastRenderedPageBreak/>
        <w:t>from the youth themselves for those age 18 or older</w:t>
      </w:r>
      <w:r w:rsidR="00783C51">
        <w:t xml:space="preserve">. </w:t>
      </w:r>
      <w:r w:rsidR="00AA7DA8">
        <w:t>D</w:t>
      </w:r>
      <w:r w:rsidR="00783C51">
        <w:t>raft consent form</w:t>
      </w:r>
      <w:r w:rsidR="00AA7DA8">
        <w:t>s are</w:t>
      </w:r>
      <w:r w:rsidR="00783C51">
        <w:t xml:space="preserve"> included in </w:t>
      </w:r>
      <w:r w:rsidR="00A13EB9">
        <w:t xml:space="preserve">Attachment </w:t>
      </w:r>
      <w:r w:rsidR="00590C51">
        <w:t>G</w:t>
      </w:r>
      <w:r w:rsidR="00783C51">
        <w:t>. The evaluation team will then prepare a final roster of youth at each site f</w:t>
      </w:r>
      <w:r w:rsidR="001C39FD">
        <w:t>or whom</w:t>
      </w:r>
      <w:r w:rsidR="00392375">
        <w:t xml:space="preserve"> it has consent.</w:t>
      </w:r>
    </w:p>
    <w:p w:rsidR="00392375" w:rsidRDefault="00392375" w:rsidP="00177108">
      <w:pPr>
        <w:pStyle w:val="NormalSS"/>
      </w:pPr>
      <w:r>
        <w:t>The baseline survey will be administered to all consented youth shortly after study enrollment. The evaluation team will work individual</w:t>
      </w:r>
      <w:r w:rsidR="00AA7DA8">
        <w:t>ly</w:t>
      </w:r>
      <w:r>
        <w:t xml:space="preserve"> with each site to determine the best mode and procedures for survey administration. </w:t>
      </w:r>
      <w:r w:rsidR="007F6F77">
        <w:t>As discussed in Part</w:t>
      </w:r>
      <w:r w:rsidR="00FC3C7E">
        <w:t xml:space="preserve"> A of this information collection request</w:t>
      </w:r>
      <w:r w:rsidR="007F6F77">
        <w:t>, w</w:t>
      </w:r>
      <w:r w:rsidRPr="00392375">
        <w:t>h</w:t>
      </w:r>
      <w:r w:rsidR="007F6F77">
        <w:t>erever possible, the evaluation team will conduct</w:t>
      </w:r>
      <w:r w:rsidRPr="00392375">
        <w:t xml:space="preserve"> group administration of a self-administered pencil and paper survey</w:t>
      </w:r>
      <w:r w:rsidR="00AA7DA8">
        <w:t xml:space="preserve"> instrument (PAPI)</w:t>
      </w:r>
      <w:r w:rsidRPr="00392375">
        <w:t>. When necessary to increase response rates or accommodate specific populations, this m</w:t>
      </w:r>
      <w:r w:rsidR="007F6F77">
        <w:t>ethod will be augmented with individual administration of PAPI surveys or web or hard-copy telephone interviews.</w:t>
      </w:r>
      <w:r w:rsidR="00842366">
        <w:rPr>
          <w:rStyle w:val="FootnoteReference"/>
        </w:rPr>
        <w:footnoteReference w:id="4"/>
      </w:r>
    </w:p>
    <w:p w:rsidR="008E07C0" w:rsidRDefault="00D7028D" w:rsidP="00177108">
      <w:pPr>
        <w:pStyle w:val="NormalSS"/>
      </w:pPr>
      <w:r>
        <w:t>For group administration, the evaluation team</w:t>
      </w:r>
      <w:r w:rsidRPr="00D7028D">
        <w:t xml:space="preserve"> </w:t>
      </w:r>
      <w:r>
        <w:t xml:space="preserve">will begin by </w:t>
      </w:r>
      <w:r w:rsidRPr="00D7028D">
        <w:t>handing out pre-identified survey packets to the youth whose names are on the packets, and obtaining youth a</w:t>
      </w:r>
      <w:r>
        <w:t>ssent. Each packet will consist of the PREP baseline survey and a sealable</w:t>
      </w:r>
      <w:r w:rsidRPr="00D7028D">
        <w:t xml:space="preserve"> re</w:t>
      </w:r>
      <w:r>
        <w:t>turn envelope. The survey</w:t>
      </w:r>
      <w:r w:rsidRPr="00D7028D">
        <w:t xml:space="preserve"> and envelope will have a label with a unique ID number (no personally identifying information </w:t>
      </w:r>
      <w:r>
        <w:t>will appear on the survey</w:t>
      </w:r>
      <w:r w:rsidRPr="00D7028D">
        <w:t xml:space="preserve"> or return envelope). Youth will s</w:t>
      </w:r>
      <w:r>
        <w:t xml:space="preserve">elf-administer the survey. </w:t>
      </w:r>
      <w:r w:rsidRPr="00D7028D">
        <w:t xml:space="preserve">Part A </w:t>
      </w:r>
      <w:r>
        <w:t xml:space="preserve">of the survey </w:t>
      </w:r>
      <w:r w:rsidRPr="00D7028D">
        <w:t xml:space="preserve">asks for background information and concludes with a single screening question about sexual experience. Youth with sexual experience will complete Part B1 and those without will complete Part </w:t>
      </w:r>
      <w:r>
        <w:t>B2. Two members of the evaluation team</w:t>
      </w:r>
      <w:r w:rsidRPr="00D7028D">
        <w:t xml:space="preserve"> will monitor activities in each survey r</w:t>
      </w:r>
      <w:r>
        <w:t>oom. At the end of the survey administration</w:t>
      </w:r>
      <w:r w:rsidRPr="00D7028D">
        <w:t>, youth will pl</w:t>
      </w:r>
      <w:r>
        <w:t>ace the entire survey</w:t>
      </w:r>
      <w:r w:rsidRPr="00D7028D">
        <w:t xml:space="preserve"> in the return envelope, seal it, and</w:t>
      </w:r>
      <w:r>
        <w:t xml:space="preserve"> return it to a</w:t>
      </w:r>
      <w:r w:rsidRPr="00D7028D">
        <w:t xml:space="preserve"> member</w:t>
      </w:r>
      <w:r>
        <w:t xml:space="preserve"> of the evaluation team</w:t>
      </w:r>
      <w:r w:rsidRPr="00D7028D">
        <w:t xml:space="preserve">. </w:t>
      </w:r>
      <w:r w:rsidR="007215FA">
        <w:t>Completed surveys will be immediately shipped via FedEx to Mathematica’s Survey Operations Center for receipting, and then checked for completeness. Any forms with identifying information (consent and assent forms) will be shipped separately from the surveys.</w:t>
      </w:r>
      <w:r>
        <w:t xml:space="preserve"> All surveys</w:t>
      </w:r>
      <w:r w:rsidRPr="00D7028D">
        <w:t xml:space="preserve"> that pass the check will be sent to</w:t>
      </w:r>
      <w:r w:rsidR="008E07C0">
        <w:t xml:space="preserve"> a vendor for scanning</w:t>
      </w:r>
      <w:r w:rsidRPr="00D7028D">
        <w:t xml:space="preserve">. All scanned data will be electronically transmitted </w:t>
      </w:r>
      <w:r w:rsidR="008E07C0">
        <w:t>back to the evaluation team</w:t>
      </w:r>
      <w:r w:rsidRPr="00D7028D">
        <w:t>.</w:t>
      </w:r>
    </w:p>
    <w:p w:rsidR="0023364C" w:rsidRDefault="008E07C0" w:rsidP="00177108">
      <w:pPr>
        <w:pStyle w:val="NormalSS"/>
      </w:pPr>
      <w:r>
        <w:t>For make-</w:t>
      </w:r>
      <w:r w:rsidR="00D7028D" w:rsidRPr="00D7028D">
        <w:t>up sessions</w:t>
      </w:r>
      <w:r>
        <w:t xml:space="preserve"> or when group administration is not feasible, the evaluation team will work collaboratively with each site to determine the best alternative mode of survey administration. Three options will be considered: (1)</w:t>
      </w:r>
      <w:r w:rsidR="00CB0B54">
        <w:t xml:space="preserve"> individual administration of the </w:t>
      </w:r>
      <w:r w:rsidR="00F16138">
        <w:t>PAPI</w:t>
      </w:r>
      <w:r w:rsidR="00CB0B54">
        <w:t xml:space="preserve"> survey, either by members of the evaluation team or trained local staff members, (2) individual administration of a web-based version of the survey, which youth would access with unique PIN/password combinations, or (3) individual administration of the PAPI survey over the telephone. Since ACF plans to analyze data from each site separately, it is feasible to use different combinations of survey modes in each site.</w:t>
      </w:r>
    </w:p>
    <w:p w:rsidR="0023364C" w:rsidRPr="000C3568" w:rsidRDefault="00AB4B33" w:rsidP="00177108">
      <w:pPr>
        <w:pStyle w:val="Heading2Black"/>
      </w:pPr>
      <w:bookmarkStart w:id="14" w:name="_Toc320884921"/>
      <w:bookmarkStart w:id="15" w:name="_Toc324845912"/>
      <w:r>
        <w:t>B3.</w:t>
      </w:r>
      <w:r>
        <w:tab/>
      </w:r>
      <w:r w:rsidR="0023364C" w:rsidRPr="000C3568">
        <w:t>Methods to Maximize Re</w:t>
      </w:r>
      <w:r w:rsidR="00050FBD">
        <w:t>sponse Rates and Deal with Non-R</w:t>
      </w:r>
      <w:r w:rsidR="0023364C" w:rsidRPr="000C3568">
        <w:t>esponse</w:t>
      </w:r>
      <w:bookmarkEnd w:id="14"/>
      <w:bookmarkEnd w:id="15"/>
    </w:p>
    <w:p w:rsidR="00DB67A2" w:rsidRDefault="00DB67A2" w:rsidP="00DB67A2">
      <w:pPr>
        <w:pStyle w:val="NormalSS"/>
      </w:pPr>
      <w:r w:rsidRPr="0015252C">
        <w:rPr>
          <w:b/>
          <w:iCs/>
        </w:rPr>
        <w:t>Performance Analysis Study.</w:t>
      </w:r>
      <w:r>
        <w:rPr>
          <w:b/>
          <w:iCs/>
        </w:rPr>
        <w:t xml:space="preserve"> </w:t>
      </w:r>
      <w:r w:rsidR="0023364C" w:rsidRPr="00EB5BD5">
        <w:t xml:space="preserve">Response rates for PAS participant surveys </w:t>
      </w:r>
      <w:r w:rsidR="0023364C">
        <w:t>will</w:t>
      </w:r>
      <w:r w:rsidR="0023364C" w:rsidRPr="00EB5BD5">
        <w:t xml:space="preserve"> be maximized throug</w:t>
      </w:r>
      <w:r w:rsidR="007B1275">
        <w:t>h the administration of entry</w:t>
      </w:r>
      <w:r w:rsidR="0023364C" w:rsidRPr="00EB5BD5">
        <w:t xml:space="preserve"> surveys to all participants </w:t>
      </w:r>
      <w:r w:rsidR="0023364C">
        <w:t>at</w:t>
      </w:r>
      <w:r w:rsidR="0023364C" w:rsidRPr="00EB5BD5">
        <w:t xml:space="preserve"> enrollment and administration of the exit surveys during final program sessions</w:t>
      </w:r>
      <w:r w:rsidR="0023364C">
        <w:t>. Where feasible, exit surveys</w:t>
      </w:r>
      <w:r w:rsidR="0023364C" w:rsidRPr="00EB5BD5">
        <w:t xml:space="preserve"> will be </w:t>
      </w:r>
      <w:r w:rsidR="0023364C">
        <w:t>administered on an individualized basis to</w:t>
      </w:r>
      <w:r w:rsidR="0023364C" w:rsidRPr="00EB5BD5">
        <w:t xml:space="preserve"> </w:t>
      </w:r>
      <w:r w:rsidR="0023364C">
        <w:t>program</w:t>
      </w:r>
      <w:r w:rsidR="0023364C" w:rsidRPr="00EB5BD5">
        <w:t xml:space="preserve"> exiters who are absent during final sessions</w:t>
      </w:r>
      <w:r w:rsidR="0023364C">
        <w:t xml:space="preserve"> when the surveys are completed</w:t>
      </w:r>
      <w:r w:rsidR="0023364C" w:rsidRPr="00EB5BD5">
        <w:t>.</w:t>
      </w:r>
    </w:p>
    <w:p w:rsidR="00832BE1" w:rsidRDefault="0023364C" w:rsidP="00DB67A2">
      <w:pPr>
        <w:pStyle w:val="NormalSS"/>
        <w:rPr>
          <w:rFonts w:cs="Calibri"/>
        </w:rPr>
      </w:pPr>
      <w:r w:rsidRPr="00EB5BD5">
        <w:rPr>
          <w:rFonts w:cs="Calibri"/>
        </w:rPr>
        <w:lastRenderedPageBreak/>
        <w:t xml:space="preserve">To reduce grantee burden </w:t>
      </w:r>
      <w:r>
        <w:rPr>
          <w:rFonts w:cs="Calibri"/>
        </w:rPr>
        <w:t xml:space="preserve">and </w:t>
      </w:r>
      <w:r w:rsidRPr="00EB5BD5">
        <w:rPr>
          <w:rFonts w:cs="Calibri"/>
        </w:rPr>
        <w:t>maximize grantee response rates, ACF is streamlining the PAS administrative data reporting process by providing common data element definitions across PREP program models and collecting these data in a uniform manner through the PREP reporting system</w:t>
      </w:r>
      <w:r w:rsidR="0089320A">
        <w:rPr>
          <w:rFonts w:cs="Calibri"/>
        </w:rPr>
        <w:t xml:space="preserve"> (see</w:t>
      </w:r>
      <w:r w:rsidR="00A13EB9">
        <w:rPr>
          <w:rFonts w:cs="Calibri"/>
        </w:rPr>
        <w:t xml:space="preserve"> Instrument </w:t>
      </w:r>
      <w:r w:rsidR="00590C51">
        <w:rPr>
          <w:rFonts w:cs="Calibri"/>
        </w:rPr>
        <w:t>4</w:t>
      </w:r>
      <w:r w:rsidR="004A3296">
        <w:rPr>
          <w:rFonts w:cs="Calibri"/>
        </w:rPr>
        <w:t>)</w:t>
      </w:r>
      <w:r w:rsidRPr="00EB5BD5">
        <w:rPr>
          <w:rFonts w:cs="Calibri"/>
        </w:rPr>
        <w:t xml:space="preserve">. </w:t>
      </w:r>
      <w:r w:rsidR="00832BE1">
        <w:rPr>
          <w:rFonts w:cs="Calibri"/>
        </w:rPr>
        <w:t xml:space="preserve">Because the submission of the performance measures data is a grant requirement, except in the cases when waivers are extended for the sensitive questions on the participant entry and exit surveys, ACF does not expect problems with </w:t>
      </w:r>
      <w:r w:rsidR="00625ACD">
        <w:rPr>
          <w:rFonts w:cs="Calibri"/>
        </w:rPr>
        <w:t xml:space="preserve">non-response. </w:t>
      </w:r>
    </w:p>
    <w:p w:rsidR="0023364C" w:rsidRPr="00AB4B33" w:rsidRDefault="006C4E38" w:rsidP="00AB4B33">
      <w:pPr>
        <w:pStyle w:val="NormalSS"/>
        <w:rPr>
          <w:rFonts w:cs="Garamond"/>
        </w:rPr>
      </w:pPr>
      <w:r>
        <w:rPr>
          <w:b/>
        </w:rPr>
        <w:t>Impact and In-depth Implementation Study</w:t>
      </w:r>
      <w:r w:rsidR="00DB67A2" w:rsidRPr="00812B6E">
        <w:rPr>
          <w:b/>
        </w:rPr>
        <w:t>.</w:t>
      </w:r>
      <w:r w:rsidR="00DB67A2">
        <w:rPr>
          <w:b/>
        </w:rPr>
        <w:t xml:space="preserve"> </w:t>
      </w:r>
      <w:r w:rsidR="00DB67A2">
        <w:rPr>
          <w:rFonts w:cs="Garamond-Bold"/>
          <w:bCs/>
        </w:rPr>
        <w:t>ACF expects to</w:t>
      </w:r>
      <w:r w:rsidR="0023364C" w:rsidRPr="000C3568">
        <w:rPr>
          <w:rFonts w:cs="Garamond"/>
        </w:rPr>
        <w:t xml:space="preserve"> achieve </w:t>
      </w:r>
      <w:r w:rsidR="000701B6">
        <w:rPr>
          <w:rFonts w:cs="Garamond"/>
        </w:rPr>
        <w:t xml:space="preserve">a </w:t>
      </w:r>
      <w:r w:rsidR="0023364C" w:rsidRPr="000C3568">
        <w:rPr>
          <w:rFonts w:cs="Garamond"/>
        </w:rPr>
        <w:t>response</w:t>
      </w:r>
      <w:r w:rsidR="000701B6">
        <w:rPr>
          <w:rFonts w:cs="Garamond"/>
        </w:rPr>
        <w:t xml:space="preserve"> rate</w:t>
      </w:r>
      <w:r w:rsidR="00DB67A2">
        <w:rPr>
          <w:rFonts w:cs="Garamond"/>
        </w:rPr>
        <w:t xml:space="preserve"> of 95 p</w:t>
      </w:r>
      <w:r w:rsidR="00AB4B33">
        <w:rPr>
          <w:rFonts w:cs="Garamond"/>
        </w:rPr>
        <w:t xml:space="preserve">ercent for the baseline survey. A high response rate is expected because survey administration </w:t>
      </w:r>
      <w:r w:rsidR="00AB4B33" w:rsidRPr="00AB4B33">
        <w:rPr>
          <w:rFonts w:cs="Garamond"/>
        </w:rPr>
        <w:t>will occur shortly after active parental consent is received. This timing will ensure our contact data are current (no location problems) and that surveys can be administered to most youth in the location where the program would take</w:t>
      </w:r>
      <w:r w:rsidR="00AB4B33">
        <w:rPr>
          <w:rFonts w:cs="Garamond"/>
        </w:rPr>
        <w:t xml:space="preserve"> place</w:t>
      </w:r>
      <w:r w:rsidR="00AB4B33" w:rsidRPr="00AB4B33">
        <w:rPr>
          <w:rFonts w:cs="Garamond"/>
        </w:rPr>
        <w:t>. Methods to achieve high response rates at follow-up will be discussed in future information collection requests.</w:t>
      </w:r>
    </w:p>
    <w:p w:rsidR="0023364C" w:rsidRPr="000C3568" w:rsidRDefault="00AB4B33" w:rsidP="00177108">
      <w:pPr>
        <w:pStyle w:val="Heading2Black"/>
      </w:pPr>
      <w:bookmarkStart w:id="16" w:name="_Toc320884922"/>
      <w:bookmarkStart w:id="17" w:name="_Toc324845913"/>
      <w:r>
        <w:t>B4.</w:t>
      </w:r>
      <w:r>
        <w:tab/>
      </w:r>
      <w:r w:rsidR="0023364C" w:rsidRPr="000C3568">
        <w:t>Test of Procedures or Methods to be Undertaken</w:t>
      </w:r>
      <w:bookmarkEnd w:id="16"/>
      <w:bookmarkEnd w:id="17"/>
    </w:p>
    <w:p w:rsidR="00FC3C7E" w:rsidRDefault="00FC3C7E" w:rsidP="00AA373E">
      <w:pPr>
        <w:pStyle w:val="NormalSS"/>
        <w:rPr>
          <w:rFonts w:cs="Calibri"/>
        </w:rPr>
      </w:pPr>
      <w:r w:rsidRPr="0015252C">
        <w:rPr>
          <w:b/>
          <w:iCs/>
        </w:rPr>
        <w:t>Performance Analysis Study.</w:t>
      </w:r>
      <w:r>
        <w:rPr>
          <w:b/>
          <w:iCs/>
        </w:rPr>
        <w:t xml:space="preserve"> </w:t>
      </w:r>
      <w:r w:rsidRPr="00CE6A4E">
        <w:rPr>
          <w:rFonts w:cs="Calibri"/>
        </w:rPr>
        <w:t xml:space="preserve">Cognitive pretesting with nine </w:t>
      </w:r>
      <w:r w:rsidR="00354D49">
        <w:rPr>
          <w:rFonts w:cs="Calibri"/>
        </w:rPr>
        <w:t>youth ages 13 to 18</w:t>
      </w:r>
      <w:r w:rsidRPr="00CE6A4E">
        <w:rPr>
          <w:rFonts w:cs="Calibri"/>
        </w:rPr>
        <w:t xml:space="preserve"> </w:t>
      </w:r>
      <w:r w:rsidR="00DB2E7D">
        <w:rPr>
          <w:rFonts w:cs="Calibri"/>
        </w:rPr>
        <w:t>has been</w:t>
      </w:r>
      <w:r w:rsidRPr="00CE6A4E">
        <w:rPr>
          <w:rFonts w:cs="Calibri"/>
        </w:rPr>
        <w:t xml:space="preserve"> conducted for both the PAS </w:t>
      </w:r>
      <w:r w:rsidR="007B1275">
        <w:rPr>
          <w:rFonts w:cs="Garamond"/>
        </w:rPr>
        <w:t>entry</w:t>
      </w:r>
      <w:r w:rsidRPr="00CE6A4E">
        <w:rPr>
          <w:rFonts w:cs="Calibri"/>
        </w:rPr>
        <w:t xml:space="preserve"> and exit surveys. </w:t>
      </w:r>
      <w:r w:rsidR="00354D49">
        <w:rPr>
          <w:rFonts w:cs="Calibri"/>
        </w:rPr>
        <w:t xml:space="preserve">The cognitive pretest sample included males and females and </w:t>
      </w:r>
      <w:r w:rsidR="001519EC">
        <w:rPr>
          <w:rFonts w:cs="Calibri"/>
        </w:rPr>
        <w:t xml:space="preserve">included youth from a mix of racial and ethnic backgrounds. </w:t>
      </w:r>
      <w:r w:rsidRPr="00CE6A4E">
        <w:rPr>
          <w:rFonts w:cs="Calibri"/>
        </w:rPr>
        <w:t xml:space="preserve">Survey questions </w:t>
      </w:r>
      <w:r w:rsidR="00DB2E7D">
        <w:rPr>
          <w:rFonts w:cs="Calibri"/>
        </w:rPr>
        <w:t>have been</w:t>
      </w:r>
      <w:r w:rsidRPr="00CE6A4E">
        <w:rPr>
          <w:rFonts w:cs="Calibri"/>
        </w:rPr>
        <w:t xml:space="preserve"> revised based on the results of these tests.</w:t>
      </w:r>
    </w:p>
    <w:p w:rsidR="00FC3C7E" w:rsidRPr="00FC3C7E" w:rsidRDefault="00FC3C7E" w:rsidP="00AA373E">
      <w:pPr>
        <w:pStyle w:val="NormalSS"/>
      </w:pPr>
      <w:r w:rsidRPr="00CE6A4E">
        <w:rPr>
          <w:rFonts w:cs="Calibri"/>
        </w:rPr>
        <w:t xml:space="preserve">To ensure that the PREP </w:t>
      </w:r>
      <w:r w:rsidRPr="00AA373E">
        <w:rPr>
          <w:rFonts w:cs="Garamond"/>
        </w:rPr>
        <w:t>reporting</w:t>
      </w:r>
      <w:r w:rsidRPr="00CE6A4E">
        <w:rPr>
          <w:rFonts w:cs="Calibri"/>
        </w:rPr>
        <w:t xml:space="preserve"> system functions as intended and in a user-friendly manner for grantees’ entry of administrative </w:t>
      </w:r>
      <w:r>
        <w:rPr>
          <w:rFonts w:cs="Calibri"/>
        </w:rPr>
        <w:t xml:space="preserve">performance measurement </w:t>
      </w:r>
      <w:r w:rsidRPr="00CE6A4E">
        <w:rPr>
          <w:rFonts w:cs="Calibri"/>
        </w:rPr>
        <w:t xml:space="preserve">data, the system will be tested by an internal team of PAS reviewers who designed the system specifications, independent of the system developer. This team will review all data import/entry, reporting, calculation, and extract functions of the system to ensure that grantee end-users will find the system to be efficient and user-friendly. Prior to deployment, the system will also undergo beta testing with </w:t>
      </w:r>
      <w:r w:rsidR="007B0A29">
        <w:rPr>
          <w:rFonts w:cs="Calibri"/>
        </w:rPr>
        <w:t xml:space="preserve">nine or fewer </w:t>
      </w:r>
      <w:r w:rsidRPr="00CE6A4E">
        <w:rPr>
          <w:rFonts w:cs="Calibri"/>
        </w:rPr>
        <w:t>grantee staff.</w:t>
      </w:r>
    </w:p>
    <w:p w:rsidR="00FC3C7E" w:rsidRPr="00FC3C7E" w:rsidRDefault="006C4E38" w:rsidP="00AA373E">
      <w:pPr>
        <w:pStyle w:val="NormalSS"/>
        <w:rPr>
          <w:highlight w:val="yellow"/>
        </w:rPr>
      </w:pPr>
      <w:r>
        <w:rPr>
          <w:b/>
        </w:rPr>
        <w:t>Impact and In-depth Implementation Study</w:t>
      </w:r>
      <w:r w:rsidR="00FC3C7E" w:rsidRPr="00812B6E">
        <w:rPr>
          <w:b/>
        </w:rPr>
        <w:t>.</w:t>
      </w:r>
      <w:r w:rsidR="00FC3C7E">
        <w:rPr>
          <w:b/>
        </w:rPr>
        <w:t xml:space="preserve"> </w:t>
      </w:r>
      <w:r w:rsidR="00FC3C7E">
        <w:t xml:space="preserve">As discussed in Part A of this information </w:t>
      </w:r>
      <w:r w:rsidR="00791D74">
        <w:t xml:space="preserve">collection request, many </w:t>
      </w:r>
      <w:r w:rsidR="00791D74" w:rsidRPr="00791D74">
        <w:t>of the items included on the baseline survey are taken directly from the similar survey OMB has already approved for use on the ongoing Evaluation of Adolescent Pregnancy Prevention Approaches (PPA)</w:t>
      </w:r>
      <w:r w:rsidR="00791D74">
        <w:t xml:space="preserve">. </w:t>
      </w:r>
      <w:r w:rsidR="00EB2350">
        <w:t xml:space="preserve">The </w:t>
      </w:r>
      <w:r w:rsidR="00791D74" w:rsidRPr="00791D74">
        <w:t xml:space="preserve">PPA baseline survey </w:t>
      </w:r>
      <w:r w:rsidR="00791D74">
        <w:t xml:space="preserve">was pre-tested prior to receiving OMB clearance and </w:t>
      </w:r>
      <w:r w:rsidR="00791D74" w:rsidRPr="00791D74">
        <w:t xml:space="preserve">has </w:t>
      </w:r>
      <w:r w:rsidR="00791D74">
        <w:t xml:space="preserve">since </w:t>
      </w:r>
      <w:r w:rsidR="00791D74" w:rsidRPr="00791D74">
        <w:t xml:space="preserve">been </w:t>
      </w:r>
      <w:r w:rsidR="00791D74" w:rsidRPr="00AA373E">
        <w:rPr>
          <w:rFonts w:cs="Garamond"/>
        </w:rPr>
        <w:t>administered</w:t>
      </w:r>
      <w:r w:rsidR="00791D74" w:rsidRPr="00791D74">
        <w:t xml:space="preserve"> to </w:t>
      </w:r>
      <w:r w:rsidR="00791D74">
        <w:t xml:space="preserve">approximately 3,500 adolescents. Any new items added specifically for PREP were generally drawn from established sources (see </w:t>
      </w:r>
      <w:r w:rsidR="00A13EB9">
        <w:t>Attachments</w:t>
      </w:r>
      <w:r w:rsidR="001F6A0C">
        <w:t xml:space="preserve"> </w:t>
      </w:r>
      <w:r w:rsidR="00F24DE6">
        <w:t>C</w:t>
      </w:r>
      <w:r w:rsidR="00CC19F0">
        <w:t xml:space="preserve"> and</w:t>
      </w:r>
      <w:r w:rsidR="00A13EB9">
        <w:t xml:space="preserve"> </w:t>
      </w:r>
      <w:r w:rsidR="00F24DE6">
        <w:t>D</w:t>
      </w:r>
      <w:r w:rsidR="001F6A0C">
        <w:t>). The evaluation team will carefully monitor the sample enrollment, consent, and data collection procedures in ea</w:t>
      </w:r>
      <w:r w:rsidR="00D348F0">
        <w:t>ch site, and our formal Memorandum of Agreement (MOA) with each site will reserve the possibility of suspending sample enrollment and baseline data collection in the event of unforeseen problems.</w:t>
      </w:r>
    </w:p>
    <w:p w:rsidR="0023364C" w:rsidRPr="000C3568" w:rsidRDefault="00AB4B33" w:rsidP="00177108">
      <w:pPr>
        <w:pStyle w:val="Heading2Black"/>
      </w:pPr>
      <w:bookmarkStart w:id="18" w:name="_Toc320884923"/>
      <w:bookmarkStart w:id="19" w:name="_Toc324845914"/>
      <w:r>
        <w:t>B5.</w:t>
      </w:r>
      <w:r>
        <w:tab/>
      </w:r>
      <w:r w:rsidR="0023364C" w:rsidRPr="000C3568">
        <w:t>Individuals Consulted on Statistical Aspects and Individuals Collecting and/or Analyzing Data</w:t>
      </w:r>
      <w:bookmarkEnd w:id="18"/>
      <w:bookmarkEnd w:id="19"/>
    </w:p>
    <w:p w:rsidR="00AA373E" w:rsidRDefault="00FC3C7E" w:rsidP="00AA373E">
      <w:pPr>
        <w:pStyle w:val="NormalSS"/>
      </w:pPr>
      <w:r w:rsidRPr="00AA373E">
        <w:t>Data for the P</w:t>
      </w:r>
      <w:r w:rsidR="00AA373E" w:rsidRPr="00AA373E">
        <w:t>AS</w:t>
      </w:r>
      <w:r w:rsidRPr="00AA373E">
        <w:t xml:space="preserve"> will be collected by</w:t>
      </w:r>
      <w:r w:rsidR="001457FE" w:rsidRPr="00AA373E">
        <w:t xml:space="preserve"> grantees and their </w:t>
      </w:r>
      <w:r w:rsidR="00DE5B6E">
        <w:t>sub-awardee</w:t>
      </w:r>
      <w:r w:rsidR="001457FE" w:rsidRPr="00AA373E">
        <w:t>s. In some cases</w:t>
      </w:r>
      <w:r w:rsidR="00AA373E" w:rsidRPr="00AA373E">
        <w:t xml:space="preserve">, grantees will have engaged local evaluators </w:t>
      </w:r>
      <w:r w:rsidR="00AA373E" w:rsidRPr="00AA373E">
        <w:rPr>
          <w:rFonts w:cs="Garamond"/>
        </w:rPr>
        <w:t>who</w:t>
      </w:r>
      <w:r w:rsidR="00AA373E" w:rsidRPr="00AA373E">
        <w:t xml:space="preserve"> will assist them in </w:t>
      </w:r>
      <w:r w:rsidR="00AA373E">
        <w:t xml:space="preserve">performance measure </w:t>
      </w:r>
      <w:r w:rsidR="00AA373E" w:rsidRPr="00AA373E">
        <w:t xml:space="preserve">data collection. </w:t>
      </w:r>
      <w:r w:rsidR="003644DF">
        <w:t xml:space="preserve">Grantees will report these data in aggregate form into the PREP-PM reporting system that will be maintained by ACF’s contractor, RTI International. RTI International will provide data extracts from this reporting system to </w:t>
      </w:r>
      <w:r w:rsidR="00AA373E">
        <w:t xml:space="preserve">ACF’s </w:t>
      </w:r>
      <w:r w:rsidR="003644DF">
        <w:t xml:space="preserve">evaluation </w:t>
      </w:r>
      <w:r w:rsidR="00AA373E">
        <w:t xml:space="preserve">contractor, </w:t>
      </w:r>
      <w:r w:rsidR="00AA373E" w:rsidRPr="00AA373E">
        <w:t>Mathematica Policy Research</w:t>
      </w:r>
      <w:r w:rsidR="003644DF">
        <w:t>. Mathematica and its</w:t>
      </w:r>
      <w:r w:rsidR="00AA373E">
        <w:t xml:space="preserve"> </w:t>
      </w:r>
      <w:r w:rsidR="00AA373E" w:rsidRPr="00AA373E">
        <w:t>subcontractor</w:t>
      </w:r>
      <w:r w:rsidR="003644DF">
        <w:t>,</w:t>
      </w:r>
      <w:r w:rsidR="00AA373E" w:rsidRPr="00AA373E">
        <w:t xml:space="preserve"> Child Trends</w:t>
      </w:r>
      <w:r w:rsidR="003644DF">
        <w:t>, will use</w:t>
      </w:r>
      <w:r w:rsidR="009029B7">
        <w:t xml:space="preserve"> these extract files to analyze PREP performance data and to generate performance measurement reports for ACF</w:t>
      </w:r>
      <w:r w:rsidR="00AA373E" w:rsidRPr="00AA373E">
        <w:t>.</w:t>
      </w:r>
    </w:p>
    <w:p w:rsidR="00FC3C7E" w:rsidRDefault="00FC3C7E" w:rsidP="003644DF">
      <w:pPr>
        <w:pStyle w:val="NormalSS"/>
      </w:pPr>
      <w:r>
        <w:lastRenderedPageBreak/>
        <w:t>Baseline survey data for the IIS will be collected and analyzed by ACF’s prime contracting organization, Mathematica Policy Research.</w:t>
      </w:r>
    </w:p>
    <w:p w:rsidR="004255BB" w:rsidRPr="007C49C0" w:rsidRDefault="00A13EB9" w:rsidP="00161242">
      <w:pPr>
        <w:pStyle w:val="NormalSS"/>
        <w:rPr>
          <w:rFonts w:ascii="Lucida Sans" w:hAnsi="Lucida Sans"/>
          <w:sz w:val="22"/>
          <w:szCs w:val="22"/>
        </w:rPr>
      </w:pPr>
      <w:r>
        <w:t xml:space="preserve">Attachment </w:t>
      </w:r>
      <w:r w:rsidR="00F24DE6">
        <w:t>F</w:t>
      </w:r>
      <w:r>
        <w:t xml:space="preserve"> </w:t>
      </w:r>
      <w:r w:rsidR="00FC3C7E">
        <w:t>lists the individuals whom ACF consulted on the collection and/or analysis of the PAS and IIS baseline survey data.</w:t>
      </w:r>
      <w:r w:rsidR="00161242" w:rsidRPr="007C49C0">
        <w:rPr>
          <w:rFonts w:ascii="Lucida Sans" w:hAnsi="Lucida Sans"/>
          <w:sz w:val="22"/>
          <w:szCs w:val="22"/>
        </w:rPr>
        <w:t xml:space="preserve"> </w:t>
      </w:r>
    </w:p>
    <w:sectPr w:rsidR="004255BB" w:rsidRPr="007C49C0" w:rsidSect="00DA1BC2">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C15" w:rsidRDefault="00C77C15">
      <w:pPr>
        <w:spacing w:line="240" w:lineRule="auto"/>
        <w:ind w:firstLine="0"/>
      </w:pPr>
    </w:p>
  </w:endnote>
  <w:endnote w:type="continuationSeparator" w:id="0">
    <w:p w:rsidR="00C77C15" w:rsidRDefault="00C77C15">
      <w:pPr>
        <w:spacing w:line="240" w:lineRule="auto"/>
        <w:ind w:firstLine="0"/>
      </w:pPr>
    </w:p>
  </w:endnote>
  <w:endnote w:type="continuationNotice" w:id="1">
    <w:p w:rsidR="00C77C15" w:rsidRDefault="00C77C15">
      <w:pPr>
        <w:spacing w:line="240" w:lineRule="auto"/>
        <w:ind w:firstLine="0"/>
      </w:pPr>
    </w:p>
    <w:p w:rsidR="00C77C15" w:rsidRDefault="00C77C15"/>
    <w:p w:rsidR="00C77C15" w:rsidRDefault="00C77C15">
      <w:r>
        <w:rPr>
          <w:b/>
          <w:snapToGrid w:val="0"/>
        </w:rPr>
        <w:t>DRAFT</w:t>
      </w:r>
      <w:r>
        <w:rPr>
          <w:snapToGrid w:val="0"/>
          <w:sz w:val="16"/>
        </w:rPr>
        <w:t xml:space="preserve"> </w:t>
      </w:r>
      <w:r w:rsidR="00EB78E1">
        <w:rPr>
          <w:snapToGrid w:val="0"/>
          <w:sz w:val="16"/>
        </w:rPr>
        <w:fldChar w:fldCharType="begin"/>
      </w:r>
      <w:r>
        <w:rPr>
          <w:snapToGrid w:val="0"/>
          <w:sz w:val="16"/>
        </w:rPr>
        <w:instrText xml:space="preserve"> FILENAME \p </w:instrText>
      </w:r>
      <w:r w:rsidR="00EB78E1">
        <w:rPr>
          <w:snapToGrid w:val="0"/>
          <w:sz w:val="16"/>
        </w:rPr>
        <w:fldChar w:fldCharType="separate"/>
      </w:r>
      <w:r>
        <w:rPr>
          <w:noProof/>
          <w:snapToGrid w:val="0"/>
          <w:sz w:val="16"/>
        </w:rPr>
        <w:t>C:\Documents and Settings\SZief\Local Settings\Temporary Internet Files\Content.Outlook\IN1AXYL8\PREP Eval - PAS+Baseline - Supp Stat B - Revisions in track changes - 11-15-12.docx</w:t>
      </w:r>
      <w:r w:rsidR="00EB78E1">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Garamond-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C15" w:rsidRPr="008F1A3F" w:rsidRDefault="00C77C15" w:rsidP="00176C34">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C15" w:rsidRDefault="00C77C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81989"/>
      <w:docPartObj>
        <w:docPartGallery w:val="Page Numbers (Bottom of Page)"/>
        <w:docPartUnique/>
      </w:docPartObj>
    </w:sdtPr>
    <w:sdtContent>
      <w:p w:rsidR="00C77C15" w:rsidRDefault="00EB78E1" w:rsidP="00161242">
        <w:pPr>
          <w:pStyle w:val="Footer"/>
          <w:spacing w:before="120"/>
          <w:ind w:firstLine="0"/>
          <w:jc w:val="center"/>
        </w:pPr>
        <w:r>
          <w:fldChar w:fldCharType="begin"/>
        </w:r>
        <w:r w:rsidR="00C77C15">
          <w:instrText xml:space="preserve"> PAGE   \* MERGEFORMAT </w:instrText>
        </w:r>
        <w:r>
          <w:fldChar w:fldCharType="separate"/>
        </w:r>
        <w:r w:rsidR="00591DCA">
          <w:rPr>
            <w:noProof/>
          </w:rPr>
          <w:t>1</w:t>
        </w:r>
        <w:r>
          <w:rPr>
            <w:noProof/>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C15" w:rsidRDefault="00C77C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C15" w:rsidRDefault="00C77C15">
      <w:pPr>
        <w:spacing w:line="240" w:lineRule="auto"/>
        <w:ind w:firstLine="0"/>
      </w:pPr>
      <w:r>
        <w:separator/>
      </w:r>
    </w:p>
  </w:footnote>
  <w:footnote w:type="continuationSeparator" w:id="0">
    <w:p w:rsidR="00C77C15" w:rsidRDefault="00C77C15">
      <w:pPr>
        <w:spacing w:line="240" w:lineRule="auto"/>
        <w:ind w:firstLine="0"/>
      </w:pPr>
      <w:r>
        <w:separator/>
      </w:r>
    </w:p>
    <w:p w:rsidR="00C77C15" w:rsidRDefault="00C77C15">
      <w:pPr>
        <w:spacing w:line="240" w:lineRule="auto"/>
        <w:ind w:firstLine="0"/>
        <w:rPr>
          <w:i/>
        </w:rPr>
      </w:pPr>
      <w:r>
        <w:rPr>
          <w:i/>
        </w:rPr>
        <w:t>(continued)</w:t>
      </w:r>
    </w:p>
  </w:footnote>
  <w:footnote w:type="continuationNotice" w:id="1">
    <w:p w:rsidR="00C77C15" w:rsidRDefault="00C77C15">
      <w:pPr>
        <w:pStyle w:val="Footer"/>
      </w:pPr>
    </w:p>
  </w:footnote>
  <w:footnote w:id="2">
    <w:p w:rsidR="00C77C15" w:rsidRPr="00C25387" w:rsidRDefault="00C77C15" w:rsidP="00C25387">
      <w:pPr>
        <w:pStyle w:val="FootnoteText"/>
      </w:pPr>
      <w:r>
        <w:rPr>
          <w:rStyle w:val="FootnoteReference"/>
        </w:rPr>
        <w:footnoteRef/>
      </w:r>
      <w:r>
        <w:t xml:space="preserve"> </w:t>
      </w:r>
      <w:r w:rsidRPr="00C25387">
        <w:t>Based on our review of state PREP plans and other documents, we estimate that 60 percent of youth served in PREP programs will be in school-based programs and that 40 percent will be served in out-of-school programs. We assume that 90 percent of youth in school-based PREP programs will complete the program and that 65 percent of youth in out-of-school PREP programs will complete the program. These assumptions yield an overall completion rate for the program of 80 percent.</w:t>
      </w:r>
    </w:p>
    <w:p w:rsidR="00C77C15" w:rsidRDefault="00C77C15">
      <w:pPr>
        <w:pStyle w:val="FootnoteText"/>
      </w:pPr>
      <w:r>
        <w:t xml:space="preserve"> </w:t>
      </w:r>
    </w:p>
  </w:footnote>
  <w:footnote w:id="3">
    <w:p w:rsidR="00C77C15" w:rsidRDefault="00C77C15">
      <w:pPr>
        <w:pStyle w:val="FootnoteText"/>
      </w:pPr>
      <w:r>
        <w:rPr>
          <w:rStyle w:val="FootnoteReference"/>
        </w:rPr>
        <w:footnoteRef/>
      </w:r>
      <w:r>
        <w:t xml:space="preserve"> Some youth or their parents will not consent to be part of the PREP evaluation. These sample size estimates are for youth who complete the consent process to be part of the evaluation.</w:t>
      </w:r>
    </w:p>
  </w:footnote>
  <w:footnote w:id="4">
    <w:p w:rsidR="00C77C15" w:rsidRDefault="00C77C15">
      <w:pPr>
        <w:pStyle w:val="FootnoteText"/>
      </w:pPr>
      <w:r>
        <w:rPr>
          <w:rStyle w:val="FootnoteReference"/>
        </w:rPr>
        <w:footnoteRef/>
      </w:r>
      <w:r>
        <w:t xml:space="preserve"> We assume a 95 percent response rate for the IIS Baseline Survey.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C15" w:rsidRDefault="00C77C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C15" w:rsidRDefault="00C77C15">
    <w:pPr>
      <w:pStyle w:val="Header"/>
    </w:pPr>
    <w:r>
      <w:rPr>
        <w:szCs w:val="22"/>
      </w:rPr>
      <w:t>Part B</w:t>
    </w:r>
    <w:r w:rsidRPr="000A4439">
      <w:rPr>
        <w:szCs w:val="22"/>
      </w:rPr>
      <w:tab/>
    </w:r>
    <w:r w:rsidRPr="000A4439">
      <w:rPr>
        <w:szCs w:val="22"/>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C15" w:rsidRDefault="00C77C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 w:numId="17">
    <w:abstractNumId w:val="8"/>
    <w:lvlOverride w:ilvl="0">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57697"/>
  </w:hdrShapeDefaults>
  <w:footnotePr>
    <w:footnote w:id="-1"/>
    <w:footnote w:id="0"/>
    <w:footnote w:id="1"/>
  </w:footnotePr>
  <w:endnotePr>
    <w:numFmt w:val="decimal"/>
    <w:endnote w:id="-1"/>
    <w:endnote w:id="0"/>
    <w:endnote w:id="1"/>
  </w:endnotePr>
  <w:compat/>
  <w:rsids>
    <w:rsidRoot w:val="00B2354B"/>
    <w:rsid w:val="000015FB"/>
    <w:rsid w:val="00005F28"/>
    <w:rsid w:val="00006E1F"/>
    <w:rsid w:val="00007CA0"/>
    <w:rsid w:val="0001119F"/>
    <w:rsid w:val="00012372"/>
    <w:rsid w:val="00012863"/>
    <w:rsid w:val="00017DD1"/>
    <w:rsid w:val="00021A62"/>
    <w:rsid w:val="000231EB"/>
    <w:rsid w:val="00025344"/>
    <w:rsid w:val="000300AF"/>
    <w:rsid w:val="00037098"/>
    <w:rsid w:val="00046CA3"/>
    <w:rsid w:val="00046E51"/>
    <w:rsid w:val="00050FBD"/>
    <w:rsid w:val="00051678"/>
    <w:rsid w:val="00052499"/>
    <w:rsid w:val="00053968"/>
    <w:rsid w:val="000563EB"/>
    <w:rsid w:val="00063123"/>
    <w:rsid w:val="00063FEF"/>
    <w:rsid w:val="00066AB9"/>
    <w:rsid w:val="000701B6"/>
    <w:rsid w:val="0007052A"/>
    <w:rsid w:val="000769A1"/>
    <w:rsid w:val="00076CF0"/>
    <w:rsid w:val="00080DFA"/>
    <w:rsid w:val="000812AE"/>
    <w:rsid w:val="00081D47"/>
    <w:rsid w:val="00081EA7"/>
    <w:rsid w:val="00084122"/>
    <w:rsid w:val="00090529"/>
    <w:rsid w:val="00094539"/>
    <w:rsid w:val="00096848"/>
    <w:rsid w:val="000A0435"/>
    <w:rsid w:val="000A1A2F"/>
    <w:rsid w:val="000A4439"/>
    <w:rsid w:val="000A544F"/>
    <w:rsid w:val="000B2BD0"/>
    <w:rsid w:val="000B3A77"/>
    <w:rsid w:val="000B7E51"/>
    <w:rsid w:val="000B7E70"/>
    <w:rsid w:val="000C0118"/>
    <w:rsid w:val="000C15B4"/>
    <w:rsid w:val="000C21AF"/>
    <w:rsid w:val="000C70DC"/>
    <w:rsid w:val="000C72F8"/>
    <w:rsid w:val="000C7693"/>
    <w:rsid w:val="000D709F"/>
    <w:rsid w:val="000E1D9E"/>
    <w:rsid w:val="000E6D11"/>
    <w:rsid w:val="000F79B9"/>
    <w:rsid w:val="001001FA"/>
    <w:rsid w:val="00105D23"/>
    <w:rsid w:val="001073C9"/>
    <w:rsid w:val="001110F1"/>
    <w:rsid w:val="00111688"/>
    <w:rsid w:val="00113335"/>
    <w:rsid w:val="001139E9"/>
    <w:rsid w:val="00114EF0"/>
    <w:rsid w:val="00116C1E"/>
    <w:rsid w:val="00121042"/>
    <w:rsid w:val="00123EF4"/>
    <w:rsid w:val="00130424"/>
    <w:rsid w:val="0013282C"/>
    <w:rsid w:val="00132E2F"/>
    <w:rsid w:val="001332C0"/>
    <w:rsid w:val="00135AF5"/>
    <w:rsid w:val="00141646"/>
    <w:rsid w:val="00141705"/>
    <w:rsid w:val="00141A0B"/>
    <w:rsid w:val="001425AF"/>
    <w:rsid w:val="00142AE3"/>
    <w:rsid w:val="00144DA7"/>
    <w:rsid w:val="001457FE"/>
    <w:rsid w:val="001474D6"/>
    <w:rsid w:val="001519EC"/>
    <w:rsid w:val="0015677A"/>
    <w:rsid w:val="00160306"/>
    <w:rsid w:val="00160B96"/>
    <w:rsid w:val="00160E09"/>
    <w:rsid w:val="00160F12"/>
    <w:rsid w:val="00161242"/>
    <w:rsid w:val="00162191"/>
    <w:rsid w:val="00163E9F"/>
    <w:rsid w:val="00164C13"/>
    <w:rsid w:val="0017407D"/>
    <w:rsid w:val="00176C34"/>
    <w:rsid w:val="00177108"/>
    <w:rsid w:val="00181F53"/>
    <w:rsid w:val="0018564C"/>
    <w:rsid w:val="00186B41"/>
    <w:rsid w:val="001933B1"/>
    <w:rsid w:val="001A07D4"/>
    <w:rsid w:val="001B360E"/>
    <w:rsid w:val="001B7611"/>
    <w:rsid w:val="001C0674"/>
    <w:rsid w:val="001C168C"/>
    <w:rsid w:val="001C39FD"/>
    <w:rsid w:val="001C6D08"/>
    <w:rsid w:val="001D11DE"/>
    <w:rsid w:val="001D247C"/>
    <w:rsid w:val="001D3C41"/>
    <w:rsid w:val="001D634E"/>
    <w:rsid w:val="001E045B"/>
    <w:rsid w:val="001E0AB2"/>
    <w:rsid w:val="001E466A"/>
    <w:rsid w:val="001F33DC"/>
    <w:rsid w:val="001F425A"/>
    <w:rsid w:val="001F5410"/>
    <w:rsid w:val="001F6A0C"/>
    <w:rsid w:val="00200B10"/>
    <w:rsid w:val="00200CC4"/>
    <w:rsid w:val="0020412D"/>
    <w:rsid w:val="002053F3"/>
    <w:rsid w:val="00211480"/>
    <w:rsid w:val="00211CD4"/>
    <w:rsid w:val="00220501"/>
    <w:rsid w:val="002215F3"/>
    <w:rsid w:val="00221ECA"/>
    <w:rsid w:val="00223990"/>
    <w:rsid w:val="0022402B"/>
    <w:rsid w:val="002273F7"/>
    <w:rsid w:val="00227FC1"/>
    <w:rsid w:val="0023364C"/>
    <w:rsid w:val="00233AED"/>
    <w:rsid w:val="00236122"/>
    <w:rsid w:val="00237F6F"/>
    <w:rsid w:val="00243909"/>
    <w:rsid w:val="00243DEE"/>
    <w:rsid w:val="00244706"/>
    <w:rsid w:val="00251541"/>
    <w:rsid w:val="0025182E"/>
    <w:rsid w:val="002529B7"/>
    <w:rsid w:val="00256A58"/>
    <w:rsid w:val="002613D2"/>
    <w:rsid w:val="00264716"/>
    <w:rsid w:val="00267F6C"/>
    <w:rsid w:val="00271B2B"/>
    <w:rsid w:val="00277BAC"/>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E4D57"/>
    <w:rsid w:val="002F1E71"/>
    <w:rsid w:val="002F2207"/>
    <w:rsid w:val="002F440B"/>
    <w:rsid w:val="002F60A0"/>
    <w:rsid w:val="002F71D4"/>
    <w:rsid w:val="002F7C83"/>
    <w:rsid w:val="00300CE3"/>
    <w:rsid w:val="00303CF8"/>
    <w:rsid w:val="00313671"/>
    <w:rsid w:val="00313E69"/>
    <w:rsid w:val="003142E6"/>
    <w:rsid w:val="00316D9B"/>
    <w:rsid w:val="00317EDA"/>
    <w:rsid w:val="00320EB3"/>
    <w:rsid w:val="003274D8"/>
    <w:rsid w:val="00330177"/>
    <w:rsid w:val="00331C1B"/>
    <w:rsid w:val="00336A60"/>
    <w:rsid w:val="00342CD8"/>
    <w:rsid w:val="00343A0C"/>
    <w:rsid w:val="00350399"/>
    <w:rsid w:val="00350E63"/>
    <w:rsid w:val="00353544"/>
    <w:rsid w:val="00353E51"/>
    <w:rsid w:val="00354942"/>
    <w:rsid w:val="00354C34"/>
    <w:rsid w:val="00354D49"/>
    <w:rsid w:val="0035674B"/>
    <w:rsid w:val="003607F3"/>
    <w:rsid w:val="00362133"/>
    <w:rsid w:val="003644DF"/>
    <w:rsid w:val="00372AB1"/>
    <w:rsid w:val="00373640"/>
    <w:rsid w:val="00374549"/>
    <w:rsid w:val="00377C52"/>
    <w:rsid w:val="00381A96"/>
    <w:rsid w:val="00381B5C"/>
    <w:rsid w:val="00386508"/>
    <w:rsid w:val="00392375"/>
    <w:rsid w:val="00394752"/>
    <w:rsid w:val="003A1506"/>
    <w:rsid w:val="003A1774"/>
    <w:rsid w:val="003A17E0"/>
    <w:rsid w:val="003A26BB"/>
    <w:rsid w:val="003B1930"/>
    <w:rsid w:val="003B1FFC"/>
    <w:rsid w:val="003B303A"/>
    <w:rsid w:val="003C0A5F"/>
    <w:rsid w:val="003C23D0"/>
    <w:rsid w:val="003C27A1"/>
    <w:rsid w:val="003C57EB"/>
    <w:rsid w:val="003D5238"/>
    <w:rsid w:val="003D77B2"/>
    <w:rsid w:val="003E0A97"/>
    <w:rsid w:val="003E0D48"/>
    <w:rsid w:val="003E10A4"/>
    <w:rsid w:val="003E4DE6"/>
    <w:rsid w:val="003F0843"/>
    <w:rsid w:val="003F3171"/>
    <w:rsid w:val="003F47B8"/>
    <w:rsid w:val="00401627"/>
    <w:rsid w:val="0040780A"/>
    <w:rsid w:val="00407BBB"/>
    <w:rsid w:val="00410D8F"/>
    <w:rsid w:val="00410F60"/>
    <w:rsid w:val="004118E0"/>
    <w:rsid w:val="00412D08"/>
    <w:rsid w:val="00413B80"/>
    <w:rsid w:val="00414FF6"/>
    <w:rsid w:val="0041689E"/>
    <w:rsid w:val="004178CB"/>
    <w:rsid w:val="00417B7A"/>
    <w:rsid w:val="0042039D"/>
    <w:rsid w:val="0042391D"/>
    <w:rsid w:val="0042461E"/>
    <w:rsid w:val="004255BB"/>
    <w:rsid w:val="00425B7C"/>
    <w:rsid w:val="004338D1"/>
    <w:rsid w:val="0044551C"/>
    <w:rsid w:val="00446472"/>
    <w:rsid w:val="00446CE2"/>
    <w:rsid w:val="00446DD6"/>
    <w:rsid w:val="00447C62"/>
    <w:rsid w:val="00450873"/>
    <w:rsid w:val="00453105"/>
    <w:rsid w:val="00455C7B"/>
    <w:rsid w:val="00463045"/>
    <w:rsid w:val="00473D14"/>
    <w:rsid w:val="00474405"/>
    <w:rsid w:val="0047478B"/>
    <w:rsid w:val="00475483"/>
    <w:rsid w:val="00476CB1"/>
    <w:rsid w:val="00477F95"/>
    <w:rsid w:val="00490847"/>
    <w:rsid w:val="00492B73"/>
    <w:rsid w:val="00494DE9"/>
    <w:rsid w:val="004A0392"/>
    <w:rsid w:val="004A071B"/>
    <w:rsid w:val="004A20AE"/>
    <w:rsid w:val="004A3296"/>
    <w:rsid w:val="004A46CC"/>
    <w:rsid w:val="004B0D54"/>
    <w:rsid w:val="004B7360"/>
    <w:rsid w:val="004C06F1"/>
    <w:rsid w:val="004D17A2"/>
    <w:rsid w:val="004D62CD"/>
    <w:rsid w:val="004E1013"/>
    <w:rsid w:val="004E7D79"/>
    <w:rsid w:val="004F0B74"/>
    <w:rsid w:val="004F493C"/>
    <w:rsid w:val="004F5CEA"/>
    <w:rsid w:val="004F7785"/>
    <w:rsid w:val="0050683E"/>
    <w:rsid w:val="00514703"/>
    <w:rsid w:val="00525772"/>
    <w:rsid w:val="00531424"/>
    <w:rsid w:val="0053313E"/>
    <w:rsid w:val="005337EB"/>
    <w:rsid w:val="00537F22"/>
    <w:rsid w:val="00542523"/>
    <w:rsid w:val="00557FE1"/>
    <w:rsid w:val="005604DC"/>
    <w:rsid w:val="005630C3"/>
    <w:rsid w:val="005637D0"/>
    <w:rsid w:val="005640F5"/>
    <w:rsid w:val="0056487B"/>
    <w:rsid w:val="00564E98"/>
    <w:rsid w:val="00575C05"/>
    <w:rsid w:val="00576C4F"/>
    <w:rsid w:val="005811B3"/>
    <w:rsid w:val="00581EE2"/>
    <w:rsid w:val="00582CD2"/>
    <w:rsid w:val="00583141"/>
    <w:rsid w:val="00584664"/>
    <w:rsid w:val="0058753C"/>
    <w:rsid w:val="00590590"/>
    <w:rsid w:val="00590C51"/>
    <w:rsid w:val="00591AE6"/>
    <w:rsid w:val="00591DCA"/>
    <w:rsid w:val="005926A5"/>
    <w:rsid w:val="00592E1A"/>
    <w:rsid w:val="005944EC"/>
    <w:rsid w:val="00594C8E"/>
    <w:rsid w:val="005977C1"/>
    <w:rsid w:val="00597C9C"/>
    <w:rsid w:val="00597FEB"/>
    <w:rsid w:val="005A19C0"/>
    <w:rsid w:val="005A3631"/>
    <w:rsid w:val="005A3D02"/>
    <w:rsid w:val="005A4E2C"/>
    <w:rsid w:val="005A52EB"/>
    <w:rsid w:val="005A66CB"/>
    <w:rsid w:val="005B0472"/>
    <w:rsid w:val="005B40EA"/>
    <w:rsid w:val="005B5478"/>
    <w:rsid w:val="005B73BF"/>
    <w:rsid w:val="005C228F"/>
    <w:rsid w:val="005C272F"/>
    <w:rsid w:val="005D01A8"/>
    <w:rsid w:val="005E1375"/>
    <w:rsid w:val="005E4A26"/>
    <w:rsid w:val="005E7695"/>
    <w:rsid w:val="005F162C"/>
    <w:rsid w:val="005F430F"/>
    <w:rsid w:val="005F53E1"/>
    <w:rsid w:val="00600494"/>
    <w:rsid w:val="006150A8"/>
    <w:rsid w:val="00615B15"/>
    <w:rsid w:val="00624553"/>
    <w:rsid w:val="0062522C"/>
    <w:rsid w:val="00625ACD"/>
    <w:rsid w:val="00626C58"/>
    <w:rsid w:val="00632C3A"/>
    <w:rsid w:val="00635EC3"/>
    <w:rsid w:val="00636860"/>
    <w:rsid w:val="00637A61"/>
    <w:rsid w:val="00637E4C"/>
    <w:rsid w:val="0064008B"/>
    <w:rsid w:val="00641AC0"/>
    <w:rsid w:val="00645FA6"/>
    <w:rsid w:val="00656171"/>
    <w:rsid w:val="006571CE"/>
    <w:rsid w:val="00657CFD"/>
    <w:rsid w:val="00666769"/>
    <w:rsid w:val="00670070"/>
    <w:rsid w:val="00670448"/>
    <w:rsid w:val="006714AC"/>
    <w:rsid w:val="00671E2B"/>
    <w:rsid w:val="00672F90"/>
    <w:rsid w:val="00673118"/>
    <w:rsid w:val="0067684B"/>
    <w:rsid w:val="00677BF6"/>
    <w:rsid w:val="00682BCD"/>
    <w:rsid w:val="006830D1"/>
    <w:rsid w:val="0068692D"/>
    <w:rsid w:val="00690B57"/>
    <w:rsid w:val="006959AF"/>
    <w:rsid w:val="00696C5E"/>
    <w:rsid w:val="006A3DE8"/>
    <w:rsid w:val="006A5367"/>
    <w:rsid w:val="006A65E7"/>
    <w:rsid w:val="006A7614"/>
    <w:rsid w:val="006A77D8"/>
    <w:rsid w:val="006B0652"/>
    <w:rsid w:val="006B2B5D"/>
    <w:rsid w:val="006B43E8"/>
    <w:rsid w:val="006B48AF"/>
    <w:rsid w:val="006C4E38"/>
    <w:rsid w:val="006C5B99"/>
    <w:rsid w:val="006C5F78"/>
    <w:rsid w:val="006D413F"/>
    <w:rsid w:val="006D4428"/>
    <w:rsid w:val="006D44FA"/>
    <w:rsid w:val="006D67B8"/>
    <w:rsid w:val="006D6B4E"/>
    <w:rsid w:val="006E2AEF"/>
    <w:rsid w:val="006E3DE1"/>
    <w:rsid w:val="006E64B4"/>
    <w:rsid w:val="006F053F"/>
    <w:rsid w:val="006F0832"/>
    <w:rsid w:val="006F168E"/>
    <w:rsid w:val="006F44FE"/>
    <w:rsid w:val="006F712B"/>
    <w:rsid w:val="00702D34"/>
    <w:rsid w:val="00707664"/>
    <w:rsid w:val="00711CA6"/>
    <w:rsid w:val="00711E10"/>
    <w:rsid w:val="0071244B"/>
    <w:rsid w:val="00712A21"/>
    <w:rsid w:val="00716508"/>
    <w:rsid w:val="00717B10"/>
    <w:rsid w:val="0072052D"/>
    <w:rsid w:val="00720A3E"/>
    <w:rsid w:val="00720F11"/>
    <w:rsid w:val="007214EF"/>
    <w:rsid w:val="007215FA"/>
    <w:rsid w:val="00723C00"/>
    <w:rsid w:val="00726DD4"/>
    <w:rsid w:val="00730042"/>
    <w:rsid w:val="00730892"/>
    <w:rsid w:val="00731A4C"/>
    <w:rsid w:val="00737858"/>
    <w:rsid w:val="00742342"/>
    <w:rsid w:val="00742C8C"/>
    <w:rsid w:val="00744CFB"/>
    <w:rsid w:val="0074653C"/>
    <w:rsid w:val="00747001"/>
    <w:rsid w:val="0074778F"/>
    <w:rsid w:val="00747B99"/>
    <w:rsid w:val="007525FD"/>
    <w:rsid w:val="007533A6"/>
    <w:rsid w:val="00754E03"/>
    <w:rsid w:val="00763A57"/>
    <w:rsid w:val="007665CA"/>
    <w:rsid w:val="00771733"/>
    <w:rsid w:val="00772611"/>
    <w:rsid w:val="00773734"/>
    <w:rsid w:val="007761AF"/>
    <w:rsid w:val="0078127B"/>
    <w:rsid w:val="00781C0D"/>
    <w:rsid w:val="0078382E"/>
    <w:rsid w:val="00783C51"/>
    <w:rsid w:val="00784BA2"/>
    <w:rsid w:val="007906CE"/>
    <w:rsid w:val="00791D74"/>
    <w:rsid w:val="007959C1"/>
    <w:rsid w:val="007A5803"/>
    <w:rsid w:val="007B0A29"/>
    <w:rsid w:val="007B1275"/>
    <w:rsid w:val="007B1FE1"/>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4100"/>
    <w:rsid w:val="007F58E6"/>
    <w:rsid w:val="007F686C"/>
    <w:rsid w:val="007F6F77"/>
    <w:rsid w:val="007F76BA"/>
    <w:rsid w:val="00806376"/>
    <w:rsid w:val="00813568"/>
    <w:rsid w:val="00815170"/>
    <w:rsid w:val="00815ABB"/>
    <w:rsid w:val="00816432"/>
    <w:rsid w:val="008169DF"/>
    <w:rsid w:val="00816DF1"/>
    <w:rsid w:val="00821DD9"/>
    <w:rsid w:val="00832BE1"/>
    <w:rsid w:val="00833128"/>
    <w:rsid w:val="00840E7C"/>
    <w:rsid w:val="008421A1"/>
    <w:rsid w:val="00842366"/>
    <w:rsid w:val="008432EE"/>
    <w:rsid w:val="00843740"/>
    <w:rsid w:val="008456E7"/>
    <w:rsid w:val="00850CF2"/>
    <w:rsid w:val="00851DFB"/>
    <w:rsid w:val="00855573"/>
    <w:rsid w:val="00857845"/>
    <w:rsid w:val="0086314C"/>
    <w:rsid w:val="0086519F"/>
    <w:rsid w:val="00865D38"/>
    <w:rsid w:val="008663FA"/>
    <w:rsid w:val="008732FA"/>
    <w:rsid w:val="00873713"/>
    <w:rsid w:val="00874265"/>
    <w:rsid w:val="00874E05"/>
    <w:rsid w:val="008751D5"/>
    <w:rsid w:val="00883BD4"/>
    <w:rsid w:val="008840EE"/>
    <w:rsid w:val="00887172"/>
    <w:rsid w:val="00887348"/>
    <w:rsid w:val="00887A63"/>
    <w:rsid w:val="0089036A"/>
    <w:rsid w:val="0089320A"/>
    <w:rsid w:val="00893B1D"/>
    <w:rsid w:val="00894485"/>
    <w:rsid w:val="00895A2A"/>
    <w:rsid w:val="008A0BDE"/>
    <w:rsid w:val="008A3B53"/>
    <w:rsid w:val="008B032B"/>
    <w:rsid w:val="008B1F5A"/>
    <w:rsid w:val="008B43D6"/>
    <w:rsid w:val="008C0EA3"/>
    <w:rsid w:val="008C4666"/>
    <w:rsid w:val="008D0DC0"/>
    <w:rsid w:val="008D129A"/>
    <w:rsid w:val="008D5B53"/>
    <w:rsid w:val="008E07C0"/>
    <w:rsid w:val="008E12AE"/>
    <w:rsid w:val="008E27F1"/>
    <w:rsid w:val="008E52A2"/>
    <w:rsid w:val="008E602B"/>
    <w:rsid w:val="008E7E30"/>
    <w:rsid w:val="008F0865"/>
    <w:rsid w:val="008F312B"/>
    <w:rsid w:val="008F5A8F"/>
    <w:rsid w:val="008F6DDF"/>
    <w:rsid w:val="009009D0"/>
    <w:rsid w:val="009029B7"/>
    <w:rsid w:val="00902B68"/>
    <w:rsid w:val="00903CAA"/>
    <w:rsid w:val="00912344"/>
    <w:rsid w:val="009156D2"/>
    <w:rsid w:val="0092134D"/>
    <w:rsid w:val="00931BDB"/>
    <w:rsid w:val="00936037"/>
    <w:rsid w:val="00944D67"/>
    <w:rsid w:val="00945642"/>
    <w:rsid w:val="00945D20"/>
    <w:rsid w:val="00947281"/>
    <w:rsid w:val="009511D1"/>
    <w:rsid w:val="00952494"/>
    <w:rsid w:val="009527CF"/>
    <w:rsid w:val="00952FE4"/>
    <w:rsid w:val="00955CD5"/>
    <w:rsid w:val="00956F27"/>
    <w:rsid w:val="0095754B"/>
    <w:rsid w:val="00957791"/>
    <w:rsid w:val="009603FE"/>
    <w:rsid w:val="009615E4"/>
    <w:rsid w:val="009672E4"/>
    <w:rsid w:val="00972701"/>
    <w:rsid w:val="00980DB0"/>
    <w:rsid w:val="00984B0B"/>
    <w:rsid w:val="00994EDD"/>
    <w:rsid w:val="0099693F"/>
    <w:rsid w:val="00997375"/>
    <w:rsid w:val="009A1591"/>
    <w:rsid w:val="009A5A42"/>
    <w:rsid w:val="009B20BD"/>
    <w:rsid w:val="009B4174"/>
    <w:rsid w:val="009B61A1"/>
    <w:rsid w:val="009C0EAF"/>
    <w:rsid w:val="009C1F87"/>
    <w:rsid w:val="009C4947"/>
    <w:rsid w:val="009C67C5"/>
    <w:rsid w:val="009E7EE8"/>
    <w:rsid w:val="009F0F58"/>
    <w:rsid w:val="009F3745"/>
    <w:rsid w:val="00A00F00"/>
    <w:rsid w:val="00A01202"/>
    <w:rsid w:val="00A0718C"/>
    <w:rsid w:val="00A10ACD"/>
    <w:rsid w:val="00A129F1"/>
    <w:rsid w:val="00A13B72"/>
    <w:rsid w:val="00A13EB9"/>
    <w:rsid w:val="00A26CF0"/>
    <w:rsid w:val="00A274D2"/>
    <w:rsid w:val="00A31BC3"/>
    <w:rsid w:val="00A3304F"/>
    <w:rsid w:val="00A342E6"/>
    <w:rsid w:val="00A356E7"/>
    <w:rsid w:val="00A36752"/>
    <w:rsid w:val="00A37976"/>
    <w:rsid w:val="00A42745"/>
    <w:rsid w:val="00A43B1C"/>
    <w:rsid w:val="00A467CE"/>
    <w:rsid w:val="00A468CB"/>
    <w:rsid w:val="00A5366E"/>
    <w:rsid w:val="00A54DCE"/>
    <w:rsid w:val="00A55276"/>
    <w:rsid w:val="00A553D5"/>
    <w:rsid w:val="00A56BB5"/>
    <w:rsid w:val="00A56C6B"/>
    <w:rsid w:val="00A60FFF"/>
    <w:rsid w:val="00A61A2C"/>
    <w:rsid w:val="00A6306A"/>
    <w:rsid w:val="00A63890"/>
    <w:rsid w:val="00A678FC"/>
    <w:rsid w:val="00A71B7A"/>
    <w:rsid w:val="00A72CF0"/>
    <w:rsid w:val="00A73CEC"/>
    <w:rsid w:val="00A80A4F"/>
    <w:rsid w:val="00A82430"/>
    <w:rsid w:val="00A85DDE"/>
    <w:rsid w:val="00A91891"/>
    <w:rsid w:val="00A9613A"/>
    <w:rsid w:val="00A973B2"/>
    <w:rsid w:val="00AA0DA7"/>
    <w:rsid w:val="00AA373E"/>
    <w:rsid w:val="00AA7DA8"/>
    <w:rsid w:val="00AB0D7B"/>
    <w:rsid w:val="00AB0F92"/>
    <w:rsid w:val="00AB2A32"/>
    <w:rsid w:val="00AB4B33"/>
    <w:rsid w:val="00AB567E"/>
    <w:rsid w:val="00AB78AE"/>
    <w:rsid w:val="00AC08A8"/>
    <w:rsid w:val="00AC12C9"/>
    <w:rsid w:val="00AC3943"/>
    <w:rsid w:val="00AC3AA2"/>
    <w:rsid w:val="00AC4317"/>
    <w:rsid w:val="00AC47DD"/>
    <w:rsid w:val="00AC5EBF"/>
    <w:rsid w:val="00AC6981"/>
    <w:rsid w:val="00AD0C9A"/>
    <w:rsid w:val="00AD4163"/>
    <w:rsid w:val="00AE3A26"/>
    <w:rsid w:val="00AE6EDE"/>
    <w:rsid w:val="00AF1B2F"/>
    <w:rsid w:val="00AF66DF"/>
    <w:rsid w:val="00B13000"/>
    <w:rsid w:val="00B20019"/>
    <w:rsid w:val="00B21550"/>
    <w:rsid w:val="00B2354B"/>
    <w:rsid w:val="00B24137"/>
    <w:rsid w:val="00B31FEF"/>
    <w:rsid w:val="00B325E1"/>
    <w:rsid w:val="00B33079"/>
    <w:rsid w:val="00B3588C"/>
    <w:rsid w:val="00B37EED"/>
    <w:rsid w:val="00B43736"/>
    <w:rsid w:val="00B525DB"/>
    <w:rsid w:val="00B528FB"/>
    <w:rsid w:val="00B559AA"/>
    <w:rsid w:val="00B564BC"/>
    <w:rsid w:val="00B62E57"/>
    <w:rsid w:val="00B63270"/>
    <w:rsid w:val="00B64400"/>
    <w:rsid w:val="00B65228"/>
    <w:rsid w:val="00B70CD9"/>
    <w:rsid w:val="00B71319"/>
    <w:rsid w:val="00B714B7"/>
    <w:rsid w:val="00B74E28"/>
    <w:rsid w:val="00B82337"/>
    <w:rsid w:val="00B82E71"/>
    <w:rsid w:val="00B83493"/>
    <w:rsid w:val="00B940DD"/>
    <w:rsid w:val="00B95847"/>
    <w:rsid w:val="00B966ED"/>
    <w:rsid w:val="00BA268A"/>
    <w:rsid w:val="00BA3D8F"/>
    <w:rsid w:val="00BA65A5"/>
    <w:rsid w:val="00BB6193"/>
    <w:rsid w:val="00BB6A0B"/>
    <w:rsid w:val="00BB756B"/>
    <w:rsid w:val="00BC15E4"/>
    <w:rsid w:val="00BC3208"/>
    <w:rsid w:val="00BC4331"/>
    <w:rsid w:val="00BD1A05"/>
    <w:rsid w:val="00BD1B80"/>
    <w:rsid w:val="00BD5FBC"/>
    <w:rsid w:val="00BD7F1D"/>
    <w:rsid w:val="00BE335A"/>
    <w:rsid w:val="00BE483F"/>
    <w:rsid w:val="00BF187B"/>
    <w:rsid w:val="00BF799F"/>
    <w:rsid w:val="00C02961"/>
    <w:rsid w:val="00C02B5E"/>
    <w:rsid w:val="00C057EF"/>
    <w:rsid w:val="00C07274"/>
    <w:rsid w:val="00C12991"/>
    <w:rsid w:val="00C14296"/>
    <w:rsid w:val="00C16B6E"/>
    <w:rsid w:val="00C17516"/>
    <w:rsid w:val="00C21519"/>
    <w:rsid w:val="00C2333D"/>
    <w:rsid w:val="00C23477"/>
    <w:rsid w:val="00C2452C"/>
    <w:rsid w:val="00C25387"/>
    <w:rsid w:val="00C2695D"/>
    <w:rsid w:val="00C32246"/>
    <w:rsid w:val="00C336F6"/>
    <w:rsid w:val="00C368C7"/>
    <w:rsid w:val="00C41693"/>
    <w:rsid w:val="00C4260B"/>
    <w:rsid w:val="00C43792"/>
    <w:rsid w:val="00C450AE"/>
    <w:rsid w:val="00C453A7"/>
    <w:rsid w:val="00C510A3"/>
    <w:rsid w:val="00C513EB"/>
    <w:rsid w:val="00C53387"/>
    <w:rsid w:val="00C54209"/>
    <w:rsid w:val="00C546B7"/>
    <w:rsid w:val="00C552D6"/>
    <w:rsid w:val="00C56ED2"/>
    <w:rsid w:val="00C6623A"/>
    <w:rsid w:val="00C673E2"/>
    <w:rsid w:val="00C70000"/>
    <w:rsid w:val="00C70B6C"/>
    <w:rsid w:val="00C74089"/>
    <w:rsid w:val="00C7481C"/>
    <w:rsid w:val="00C758F5"/>
    <w:rsid w:val="00C77C15"/>
    <w:rsid w:val="00C901B4"/>
    <w:rsid w:val="00C90E85"/>
    <w:rsid w:val="00C92E5D"/>
    <w:rsid w:val="00C93509"/>
    <w:rsid w:val="00C9777C"/>
    <w:rsid w:val="00CA0455"/>
    <w:rsid w:val="00CA0EA3"/>
    <w:rsid w:val="00CA142A"/>
    <w:rsid w:val="00CA4A39"/>
    <w:rsid w:val="00CA4C69"/>
    <w:rsid w:val="00CA58CB"/>
    <w:rsid w:val="00CA5BC7"/>
    <w:rsid w:val="00CB0B54"/>
    <w:rsid w:val="00CB137C"/>
    <w:rsid w:val="00CB1D6B"/>
    <w:rsid w:val="00CB4E54"/>
    <w:rsid w:val="00CB6AA7"/>
    <w:rsid w:val="00CC19F0"/>
    <w:rsid w:val="00CC215D"/>
    <w:rsid w:val="00CC2969"/>
    <w:rsid w:val="00CC3F2F"/>
    <w:rsid w:val="00CC4A3E"/>
    <w:rsid w:val="00CC602E"/>
    <w:rsid w:val="00CC62E0"/>
    <w:rsid w:val="00CC6708"/>
    <w:rsid w:val="00CD0D45"/>
    <w:rsid w:val="00CD0EB5"/>
    <w:rsid w:val="00CD6D27"/>
    <w:rsid w:val="00CD6F65"/>
    <w:rsid w:val="00CE048B"/>
    <w:rsid w:val="00CE16E0"/>
    <w:rsid w:val="00CE4DE1"/>
    <w:rsid w:val="00CF1131"/>
    <w:rsid w:val="00CF3E4E"/>
    <w:rsid w:val="00CF5581"/>
    <w:rsid w:val="00D06F77"/>
    <w:rsid w:val="00D11C16"/>
    <w:rsid w:val="00D1214E"/>
    <w:rsid w:val="00D14FDB"/>
    <w:rsid w:val="00D150CA"/>
    <w:rsid w:val="00D15D3F"/>
    <w:rsid w:val="00D20BD0"/>
    <w:rsid w:val="00D2311D"/>
    <w:rsid w:val="00D27605"/>
    <w:rsid w:val="00D277DF"/>
    <w:rsid w:val="00D33912"/>
    <w:rsid w:val="00D348F0"/>
    <w:rsid w:val="00D3638A"/>
    <w:rsid w:val="00D36521"/>
    <w:rsid w:val="00D42C39"/>
    <w:rsid w:val="00D451FE"/>
    <w:rsid w:val="00D50E23"/>
    <w:rsid w:val="00D531A3"/>
    <w:rsid w:val="00D61BF4"/>
    <w:rsid w:val="00D627AE"/>
    <w:rsid w:val="00D62AA3"/>
    <w:rsid w:val="00D62DF9"/>
    <w:rsid w:val="00D67274"/>
    <w:rsid w:val="00D7028D"/>
    <w:rsid w:val="00D7142E"/>
    <w:rsid w:val="00D739C0"/>
    <w:rsid w:val="00D767EC"/>
    <w:rsid w:val="00D7723A"/>
    <w:rsid w:val="00D77566"/>
    <w:rsid w:val="00D90DB4"/>
    <w:rsid w:val="00D94283"/>
    <w:rsid w:val="00DA1BC2"/>
    <w:rsid w:val="00DA371A"/>
    <w:rsid w:val="00DA39C5"/>
    <w:rsid w:val="00DA621C"/>
    <w:rsid w:val="00DB2E7D"/>
    <w:rsid w:val="00DB3842"/>
    <w:rsid w:val="00DB4896"/>
    <w:rsid w:val="00DB4CA9"/>
    <w:rsid w:val="00DB5A55"/>
    <w:rsid w:val="00DB6227"/>
    <w:rsid w:val="00DB625D"/>
    <w:rsid w:val="00DB67A2"/>
    <w:rsid w:val="00DB783D"/>
    <w:rsid w:val="00DC05C1"/>
    <w:rsid w:val="00DD1285"/>
    <w:rsid w:val="00DD2F76"/>
    <w:rsid w:val="00DD3BBA"/>
    <w:rsid w:val="00DE1DED"/>
    <w:rsid w:val="00DE264C"/>
    <w:rsid w:val="00DE3EF3"/>
    <w:rsid w:val="00DE4156"/>
    <w:rsid w:val="00DE4584"/>
    <w:rsid w:val="00DE5628"/>
    <w:rsid w:val="00DE5B6E"/>
    <w:rsid w:val="00DE6AD2"/>
    <w:rsid w:val="00DE6E1C"/>
    <w:rsid w:val="00DF4385"/>
    <w:rsid w:val="00E008D5"/>
    <w:rsid w:val="00E03491"/>
    <w:rsid w:val="00E04753"/>
    <w:rsid w:val="00E0544B"/>
    <w:rsid w:val="00E11479"/>
    <w:rsid w:val="00E12C39"/>
    <w:rsid w:val="00E13871"/>
    <w:rsid w:val="00E167A5"/>
    <w:rsid w:val="00E16A37"/>
    <w:rsid w:val="00E25796"/>
    <w:rsid w:val="00E3155F"/>
    <w:rsid w:val="00E33FB4"/>
    <w:rsid w:val="00E353D6"/>
    <w:rsid w:val="00E35802"/>
    <w:rsid w:val="00E36FE2"/>
    <w:rsid w:val="00E44455"/>
    <w:rsid w:val="00E51427"/>
    <w:rsid w:val="00E51F41"/>
    <w:rsid w:val="00E5691B"/>
    <w:rsid w:val="00E601F3"/>
    <w:rsid w:val="00E61505"/>
    <w:rsid w:val="00E6158B"/>
    <w:rsid w:val="00E63ACD"/>
    <w:rsid w:val="00E673D2"/>
    <w:rsid w:val="00E701E0"/>
    <w:rsid w:val="00E71821"/>
    <w:rsid w:val="00E72220"/>
    <w:rsid w:val="00E72C34"/>
    <w:rsid w:val="00E74213"/>
    <w:rsid w:val="00E760AA"/>
    <w:rsid w:val="00E76CD9"/>
    <w:rsid w:val="00E80549"/>
    <w:rsid w:val="00E85272"/>
    <w:rsid w:val="00E8586B"/>
    <w:rsid w:val="00E90A66"/>
    <w:rsid w:val="00E91E19"/>
    <w:rsid w:val="00E95106"/>
    <w:rsid w:val="00E95F26"/>
    <w:rsid w:val="00EA023E"/>
    <w:rsid w:val="00EA0EBF"/>
    <w:rsid w:val="00EB2350"/>
    <w:rsid w:val="00EB78E1"/>
    <w:rsid w:val="00EC0B2E"/>
    <w:rsid w:val="00EC183A"/>
    <w:rsid w:val="00EC74D6"/>
    <w:rsid w:val="00ED1CC5"/>
    <w:rsid w:val="00ED47C6"/>
    <w:rsid w:val="00ED74EC"/>
    <w:rsid w:val="00ED79BB"/>
    <w:rsid w:val="00EE0957"/>
    <w:rsid w:val="00EE0E4E"/>
    <w:rsid w:val="00EE5848"/>
    <w:rsid w:val="00EE682A"/>
    <w:rsid w:val="00EF0715"/>
    <w:rsid w:val="00EF0B95"/>
    <w:rsid w:val="00EF1732"/>
    <w:rsid w:val="00EF1FC6"/>
    <w:rsid w:val="00EF267F"/>
    <w:rsid w:val="00EF3ABF"/>
    <w:rsid w:val="00EF636A"/>
    <w:rsid w:val="00EF6795"/>
    <w:rsid w:val="00EF776D"/>
    <w:rsid w:val="00EF7F86"/>
    <w:rsid w:val="00F03412"/>
    <w:rsid w:val="00F11FE7"/>
    <w:rsid w:val="00F129BC"/>
    <w:rsid w:val="00F142BF"/>
    <w:rsid w:val="00F1508D"/>
    <w:rsid w:val="00F16138"/>
    <w:rsid w:val="00F22B21"/>
    <w:rsid w:val="00F24DE6"/>
    <w:rsid w:val="00F30F6D"/>
    <w:rsid w:val="00F31F97"/>
    <w:rsid w:val="00F336F6"/>
    <w:rsid w:val="00F35860"/>
    <w:rsid w:val="00F36C1D"/>
    <w:rsid w:val="00F40E54"/>
    <w:rsid w:val="00F4150F"/>
    <w:rsid w:val="00F42C01"/>
    <w:rsid w:val="00F45261"/>
    <w:rsid w:val="00F5243D"/>
    <w:rsid w:val="00F552B2"/>
    <w:rsid w:val="00F570F0"/>
    <w:rsid w:val="00F5755F"/>
    <w:rsid w:val="00F62807"/>
    <w:rsid w:val="00F647CA"/>
    <w:rsid w:val="00F731D3"/>
    <w:rsid w:val="00F84994"/>
    <w:rsid w:val="00F86263"/>
    <w:rsid w:val="00F96808"/>
    <w:rsid w:val="00F968DD"/>
    <w:rsid w:val="00FA2139"/>
    <w:rsid w:val="00FA3655"/>
    <w:rsid w:val="00FA63D5"/>
    <w:rsid w:val="00FA7F74"/>
    <w:rsid w:val="00FB0335"/>
    <w:rsid w:val="00FB1EF9"/>
    <w:rsid w:val="00FB3929"/>
    <w:rsid w:val="00FB59C8"/>
    <w:rsid w:val="00FB6B35"/>
    <w:rsid w:val="00FB6B9E"/>
    <w:rsid w:val="00FC0EF5"/>
    <w:rsid w:val="00FC3C7E"/>
    <w:rsid w:val="00FC5611"/>
    <w:rsid w:val="00FC5F8C"/>
    <w:rsid w:val="00FC79B6"/>
    <w:rsid w:val="00FD1CCB"/>
    <w:rsid w:val="00FD6CEB"/>
    <w:rsid w:val="00FD6F93"/>
    <w:rsid w:val="00FD76CF"/>
    <w:rsid w:val="00FE130F"/>
    <w:rsid w:val="00FE2767"/>
    <w:rsid w:val="00FE56DB"/>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Emphasis">
    <w:name w:val="Emphasis"/>
    <w:basedOn w:val="DefaultParagraphFont"/>
    <w:uiPriority w:val="99"/>
    <w:qFormat/>
    <w:rsid w:val="0023364C"/>
    <w:rPr>
      <w:rFonts w:cs="Times New Roman"/>
      <w:i/>
      <w:iCs/>
    </w:rPr>
  </w:style>
  <w:style w:type="paragraph" w:customStyle="1" w:styleId="NormalSS12">
    <w:name w:val="NormalSS 12"/>
    <w:basedOn w:val="Normal"/>
    <w:rsid w:val="0023364C"/>
    <w:pPr>
      <w:spacing w:after="240" w:line="240" w:lineRule="auto"/>
    </w:pPr>
  </w:style>
  <w:style w:type="character" w:styleId="CommentReference">
    <w:name w:val="annotation reference"/>
    <w:basedOn w:val="DefaultParagraphFont"/>
    <w:uiPriority w:val="99"/>
    <w:semiHidden/>
    <w:unhideWhenUsed/>
    <w:rsid w:val="0023364C"/>
    <w:rPr>
      <w:sz w:val="16"/>
      <w:szCs w:val="16"/>
    </w:rPr>
  </w:style>
  <w:style w:type="paragraph" w:styleId="CommentText">
    <w:name w:val="annotation text"/>
    <w:basedOn w:val="Normal"/>
    <w:link w:val="CommentTextChar"/>
    <w:uiPriority w:val="99"/>
    <w:semiHidden/>
    <w:unhideWhenUsed/>
    <w:rsid w:val="0023364C"/>
    <w:pPr>
      <w:tabs>
        <w:tab w:val="clear" w:pos="432"/>
      </w:tabs>
      <w:spacing w:after="200" w:line="240" w:lineRule="auto"/>
      <w:ind w:firstLine="0"/>
      <w:jc w:val="left"/>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23364C"/>
    <w:rPr>
      <w:rFonts w:ascii="Calibri" w:eastAsia="Calibri" w:hAnsi="Calibri"/>
      <w:sz w:val="20"/>
      <w:szCs w:val="20"/>
    </w:rPr>
  </w:style>
  <w:style w:type="character" w:customStyle="1" w:styleId="FootnoteTextChar">
    <w:name w:val="Footnote Text Char"/>
    <w:aliases w:val="F1 Char"/>
    <w:basedOn w:val="DefaultParagraphFont"/>
    <w:link w:val="FootnoteText"/>
    <w:rsid w:val="0023364C"/>
    <w:rPr>
      <w:sz w:val="20"/>
    </w:rPr>
  </w:style>
  <w:style w:type="paragraph" w:styleId="CommentSubject">
    <w:name w:val="annotation subject"/>
    <w:basedOn w:val="CommentText"/>
    <w:next w:val="CommentText"/>
    <w:link w:val="CommentSubjectChar"/>
    <w:uiPriority w:val="99"/>
    <w:semiHidden/>
    <w:unhideWhenUsed/>
    <w:rsid w:val="00DB2E7D"/>
    <w:pPr>
      <w:tabs>
        <w:tab w:val="left" w:pos="432"/>
      </w:tabs>
      <w:spacing w:after="0"/>
      <w:ind w:firstLine="432"/>
      <w:jc w:val="both"/>
    </w:pPr>
    <w:rPr>
      <w:rFonts w:ascii="Garamond" w:eastAsia="Times New Roman" w:hAnsi="Garamond"/>
      <w:b/>
      <w:bCs/>
    </w:rPr>
  </w:style>
  <w:style w:type="character" w:customStyle="1" w:styleId="CommentSubjectChar">
    <w:name w:val="Comment Subject Char"/>
    <w:basedOn w:val="CommentTextChar"/>
    <w:link w:val="CommentSubject"/>
    <w:uiPriority w:val="99"/>
    <w:semiHidden/>
    <w:rsid w:val="00DB2E7D"/>
    <w:rPr>
      <w:rFonts w:ascii="Calibri" w:eastAsia="Calibri" w:hAnsi="Calibri"/>
      <w:b/>
      <w:bCs/>
      <w:sz w:val="20"/>
      <w:szCs w:val="20"/>
    </w:rPr>
  </w:style>
  <w:style w:type="character" w:customStyle="1" w:styleId="FooterChar">
    <w:name w:val="Footer Char"/>
    <w:basedOn w:val="DefaultParagraphFont"/>
    <w:link w:val="Footer"/>
    <w:uiPriority w:val="99"/>
    <w:rsid w:val="00BC32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Emphasis">
    <w:name w:val="Emphasis"/>
    <w:basedOn w:val="DefaultParagraphFont"/>
    <w:uiPriority w:val="99"/>
    <w:qFormat/>
    <w:rsid w:val="0023364C"/>
    <w:rPr>
      <w:rFonts w:cs="Times New Roman"/>
      <w:i/>
      <w:iCs/>
    </w:rPr>
  </w:style>
  <w:style w:type="paragraph" w:customStyle="1" w:styleId="NormalSS12">
    <w:name w:val="NormalSS 12"/>
    <w:basedOn w:val="Normal"/>
    <w:rsid w:val="0023364C"/>
    <w:pPr>
      <w:spacing w:after="240" w:line="240" w:lineRule="auto"/>
    </w:pPr>
  </w:style>
  <w:style w:type="character" w:styleId="CommentReference">
    <w:name w:val="annotation reference"/>
    <w:basedOn w:val="DefaultParagraphFont"/>
    <w:uiPriority w:val="99"/>
    <w:semiHidden/>
    <w:unhideWhenUsed/>
    <w:rsid w:val="0023364C"/>
    <w:rPr>
      <w:sz w:val="16"/>
      <w:szCs w:val="16"/>
    </w:rPr>
  </w:style>
  <w:style w:type="paragraph" w:styleId="CommentText">
    <w:name w:val="annotation text"/>
    <w:basedOn w:val="Normal"/>
    <w:link w:val="CommentTextChar"/>
    <w:uiPriority w:val="99"/>
    <w:semiHidden/>
    <w:unhideWhenUsed/>
    <w:rsid w:val="0023364C"/>
    <w:pPr>
      <w:tabs>
        <w:tab w:val="clear" w:pos="432"/>
      </w:tabs>
      <w:spacing w:after="200" w:line="240" w:lineRule="auto"/>
      <w:ind w:firstLine="0"/>
      <w:jc w:val="left"/>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23364C"/>
    <w:rPr>
      <w:rFonts w:ascii="Calibri" w:eastAsia="Calibri" w:hAnsi="Calibri"/>
      <w:sz w:val="20"/>
      <w:szCs w:val="20"/>
    </w:rPr>
  </w:style>
  <w:style w:type="character" w:customStyle="1" w:styleId="FootnoteTextChar">
    <w:name w:val="Footnote Text Char"/>
    <w:aliases w:val="F1 Char"/>
    <w:basedOn w:val="DefaultParagraphFont"/>
    <w:link w:val="FootnoteText"/>
    <w:rsid w:val="0023364C"/>
    <w:rPr>
      <w:sz w:val="20"/>
    </w:rPr>
  </w:style>
  <w:style w:type="paragraph" w:styleId="CommentSubject">
    <w:name w:val="annotation subject"/>
    <w:basedOn w:val="CommentText"/>
    <w:next w:val="CommentText"/>
    <w:link w:val="CommentSubjectChar"/>
    <w:uiPriority w:val="99"/>
    <w:semiHidden/>
    <w:unhideWhenUsed/>
    <w:rsid w:val="00DB2E7D"/>
    <w:pPr>
      <w:tabs>
        <w:tab w:val="left" w:pos="432"/>
      </w:tabs>
      <w:spacing w:after="0"/>
      <w:ind w:firstLine="432"/>
      <w:jc w:val="both"/>
    </w:pPr>
    <w:rPr>
      <w:rFonts w:ascii="Garamond" w:eastAsia="Times New Roman" w:hAnsi="Garamond"/>
      <w:b/>
      <w:bCs/>
    </w:rPr>
  </w:style>
  <w:style w:type="character" w:customStyle="1" w:styleId="CommentSubjectChar">
    <w:name w:val="Comment Subject Char"/>
    <w:basedOn w:val="CommentTextChar"/>
    <w:link w:val="CommentSubject"/>
    <w:uiPriority w:val="99"/>
    <w:semiHidden/>
    <w:rsid w:val="00DB2E7D"/>
    <w:rPr>
      <w:rFonts w:ascii="Calibri" w:eastAsia="Calibri" w:hAnsi="Calibri"/>
      <w:b/>
      <w:bCs/>
      <w:sz w:val="20"/>
      <w:szCs w:val="20"/>
    </w:rPr>
  </w:style>
  <w:style w:type="character" w:customStyle="1" w:styleId="FooterChar">
    <w:name w:val="Footer Char"/>
    <w:basedOn w:val="DefaultParagraphFont"/>
    <w:link w:val="Footer"/>
    <w:uiPriority w:val="99"/>
    <w:rsid w:val="00BC3208"/>
  </w:style>
</w:styles>
</file>

<file path=word/webSettings.xml><?xml version="1.0" encoding="utf-8"?>
<w:webSettings xmlns:r="http://schemas.openxmlformats.org/officeDocument/2006/relationships" xmlns:w="http://schemas.openxmlformats.org/wordprocessingml/2006/main">
  <w:divs>
    <w:div w:id="1715032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6662FE1A491D4B8CA7B5A4AD4C8845" ma:contentTypeVersion="0" ma:contentTypeDescription="Create a new document." ma:contentTypeScope="" ma:versionID="7f1a575dc765b06c90589970e4952b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B66E8-69D4-47E2-B3E0-DAF4BB685A9D}">
  <ds:schemaRefs>
    <ds:schemaRef ds:uri="http://schemas.microsoft.com/sharepoint/v3/contenttype/forms"/>
  </ds:schemaRefs>
</ds:datastoreItem>
</file>

<file path=customXml/itemProps2.xml><?xml version="1.0" encoding="utf-8"?>
<ds:datastoreItem xmlns:ds="http://schemas.openxmlformats.org/officeDocument/2006/customXml" ds:itemID="{3EE6B2AC-4FAF-46B5-B637-5B7A382D7702}">
  <ds:schemaRefs>
    <ds:schemaRef ds:uri="http://schemas.openxmlformats.org/package/2006/metadata/core-properties"/>
    <ds:schemaRef ds:uri="http://purl.org/dc/dcmitype/"/>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8D7AF0BE-B9E8-4CBD-A4F4-2AE24D44D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AB2E846-0F27-4520-9102-24F952D71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2749</Words>
  <Characters>15959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18671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bgoesling</dc:creator>
  <cp:lastModifiedBy>DHHS</cp:lastModifiedBy>
  <cp:revision>2</cp:revision>
  <cp:lastPrinted>2012-11-16T16:44:00Z</cp:lastPrinted>
  <dcterms:created xsi:type="dcterms:W3CDTF">2013-03-12T15:14:00Z</dcterms:created>
  <dcterms:modified xsi:type="dcterms:W3CDTF">2013-03-12T15:14:00Z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0x0101004D6662FE1A491D4B8CA7B5A4AD4C8845</vt:lpwstr>
  </property>
</Properties>
</file>