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6A9" w:rsidRDefault="00F906A9" w:rsidP="00F906A9">
      <w:pPr>
        <w:pStyle w:val="Heading2Black"/>
        <w:jc w:val="center"/>
      </w:pPr>
      <w:bookmarkStart w:id="0" w:name="_GoBack"/>
      <w:bookmarkEnd w:id="0"/>
    </w:p>
    <w:p w:rsidR="00223CF8" w:rsidRDefault="00223CF8" w:rsidP="00223CF8">
      <w:pPr>
        <w:spacing w:line="312" w:lineRule="auto"/>
        <w:ind w:left="5580" w:firstLine="0"/>
        <w:jc w:val="left"/>
        <w:rPr>
          <w:rFonts w:cs="Arial"/>
          <w:b/>
        </w:rPr>
      </w:pPr>
    </w:p>
    <w:p w:rsidR="00223CF8" w:rsidRPr="00E53379" w:rsidRDefault="00223CF8" w:rsidP="00223CF8">
      <w:pPr>
        <w:spacing w:line="312" w:lineRule="auto"/>
        <w:ind w:left="5580" w:firstLine="0"/>
        <w:jc w:val="left"/>
        <w:rPr>
          <w:rFonts w:cs="Arial"/>
          <w:b/>
        </w:rPr>
      </w:pPr>
      <w:r w:rsidRPr="00E53379">
        <w:rPr>
          <w:rFonts w:cs="Arial"/>
          <w:b/>
        </w:rPr>
        <w:t xml:space="preserve">PART </w:t>
      </w:r>
      <w:r>
        <w:rPr>
          <w:rFonts w:cs="Arial"/>
          <w:b/>
        </w:rPr>
        <w:t>B</w:t>
      </w:r>
    </w:p>
    <w:p w:rsidR="00223CF8" w:rsidRPr="00615AC2" w:rsidRDefault="00223CF8" w:rsidP="00223CF8">
      <w:pPr>
        <w:spacing w:line="312" w:lineRule="auto"/>
        <w:ind w:left="5580" w:firstLine="0"/>
        <w:jc w:val="left"/>
        <w:rPr>
          <w:rFonts w:cs="Arial"/>
        </w:rPr>
      </w:pPr>
    </w:p>
    <w:p w:rsidR="00223CF8" w:rsidRPr="00241617" w:rsidRDefault="00223CF8" w:rsidP="00223CF8">
      <w:pPr>
        <w:spacing w:after="144" w:line="360" w:lineRule="exact"/>
        <w:ind w:left="5580" w:firstLine="0"/>
        <w:jc w:val="left"/>
        <w:rPr>
          <w:rFonts w:cs="Arial"/>
          <w:b/>
        </w:rPr>
      </w:pPr>
      <w:bookmarkStart w:id="1" w:name="RepTitle"/>
      <w:bookmarkEnd w:id="1"/>
      <w:r>
        <w:rPr>
          <w:rFonts w:cs="Arial"/>
          <w:b/>
        </w:rPr>
        <w:t xml:space="preserve">For-Profit PACE Study </w:t>
      </w:r>
    </w:p>
    <w:p w:rsidR="00223CF8" w:rsidRPr="007F2781" w:rsidRDefault="00223CF8" w:rsidP="00223CF8">
      <w:pPr>
        <w:spacing w:before="144" w:line="360" w:lineRule="exact"/>
        <w:ind w:left="5580" w:firstLine="0"/>
        <w:jc w:val="left"/>
        <w:rPr>
          <w:rFonts w:cs="Arial"/>
          <w:b/>
        </w:rPr>
      </w:pPr>
      <w:bookmarkStart w:id="2" w:name="RepType"/>
      <w:bookmarkEnd w:id="2"/>
      <w:r w:rsidRPr="007F2781">
        <w:rPr>
          <w:rFonts w:cs="Arial"/>
          <w:b/>
        </w:rPr>
        <w:t xml:space="preserve">Supporting Statement for </w:t>
      </w:r>
      <w:r>
        <w:rPr>
          <w:rFonts w:cs="Arial"/>
          <w:b/>
        </w:rPr>
        <w:t>Collection of</w:t>
      </w:r>
      <w:r w:rsidRPr="00223CF8">
        <w:rPr>
          <w:rFonts w:cs="Arial"/>
          <w:b/>
        </w:rPr>
        <w:t xml:space="preserve"> Information Employing Statistical Methods</w:t>
      </w:r>
    </w:p>
    <w:p w:rsidR="00223CF8" w:rsidRPr="00241617" w:rsidRDefault="00777C03" w:rsidP="00223CF8">
      <w:pPr>
        <w:spacing w:before="144" w:after="288" w:line="360" w:lineRule="exact"/>
        <w:ind w:left="5580" w:firstLine="0"/>
        <w:rPr>
          <w:rFonts w:cs="Arial"/>
        </w:rPr>
      </w:pPr>
      <w:bookmarkStart w:id="3" w:name="DateMark"/>
      <w:bookmarkEnd w:id="3"/>
      <w:r>
        <w:rPr>
          <w:rFonts w:cs="Arial"/>
        </w:rPr>
        <w:t>June 20, 2012</w:t>
      </w:r>
    </w:p>
    <w:p w:rsidR="00223CF8" w:rsidRPr="00241617" w:rsidRDefault="00223CF8" w:rsidP="00223CF8">
      <w:pPr>
        <w:spacing w:line="280" w:lineRule="exact"/>
        <w:ind w:left="5580" w:firstLine="0"/>
        <w:rPr>
          <w:rFonts w:cs="Arial"/>
          <w:sz w:val="20"/>
          <w:szCs w:val="20"/>
        </w:rPr>
      </w:pPr>
      <w:bookmarkStart w:id="4" w:name="StartingPoint"/>
      <w:bookmarkEnd w:id="4"/>
      <w:r>
        <w:rPr>
          <w:rFonts w:cs="Arial"/>
          <w:sz w:val="20"/>
          <w:szCs w:val="20"/>
        </w:rPr>
        <w:t>Nancy Duda</w:t>
      </w:r>
    </w:p>
    <w:p w:rsidR="00223CF8" w:rsidRDefault="00223CF8" w:rsidP="00223CF8">
      <w:pPr>
        <w:spacing w:line="280" w:lineRule="exact"/>
        <w:ind w:left="5580" w:firstLine="0"/>
        <w:rPr>
          <w:rFonts w:cs="Arial"/>
          <w:sz w:val="20"/>
          <w:szCs w:val="20"/>
        </w:rPr>
      </w:pPr>
      <w:r>
        <w:rPr>
          <w:rFonts w:cs="Arial"/>
          <w:sz w:val="20"/>
          <w:szCs w:val="20"/>
        </w:rPr>
        <w:t>David Jones</w:t>
      </w:r>
    </w:p>
    <w:p w:rsidR="00223CF8" w:rsidRDefault="00223CF8" w:rsidP="00223CF8">
      <w:pPr>
        <w:spacing w:line="280" w:lineRule="exact"/>
        <w:ind w:left="5580" w:firstLine="0"/>
        <w:rPr>
          <w:rFonts w:cs="Arial"/>
          <w:sz w:val="20"/>
          <w:szCs w:val="20"/>
        </w:rPr>
      </w:pPr>
      <w:r>
        <w:rPr>
          <w:rFonts w:cs="Arial"/>
          <w:sz w:val="20"/>
          <w:szCs w:val="20"/>
        </w:rPr>
        <w:t>Frank Yoon</w:t>
      </w:r>
    </w:p>
    <w:p w:rsidR="00223CF8" w:rsidRPr="00241617" w:rsidRDefault="00223CF8" w:rsidP="00223CF8">
      <w:pPr>
        <w:spacing w:line="280" w:lineRule="exact"/>
        <w:ind w:left="5580" w:firstLine="0"/>
        <w:rPr>
          <w:rFonts w:cs="Arial"/>
          <w:sz w:val="20"/>
          <w:szCs w:val="20"/>
        </w:rPr>
      </w:pPr>
      <w:r>
        <w:rPr>
          <w:rFonts w:cs="Arial"/>
          <w:sz w:val="20"/>
          <w:szCs w:val="20"/>
        </w:rPr>
        <w:t>Jennifer Ott</w:t>
      </w:r>
    </w:p>
    <w:p w:rsidR="00223CF8" w:rsidRDefault="00223CF8" w:rsidP="00223CF8">
      <w:pPr>
        <w:spacing w:line="280" w:lineRule="exact"/>
        <w:ind w:left="5225" w:firstLine="0"/>
        <w:rPr>
          <w:rFonts w:ascii="Lucida Sans" w:hAnsi="Lucida Sans"/>
          <w:sz w:val="20"/>
          <w:szCs w:val="20"/>
        </w:rPr>
      </w:pPr>
      <w:r>
        <w:rPr>
          <w:rFonts w:ascii="Lucida Sans" w:hAnsi="Lucida Sans"/>
          <w:noProof/>
          <w:sz w:val="20"/>
          <w:szCs w:val="20"/>
        </w:rPr>
        <w:drawing>
          <wp:anchor distT="0" distB="0" distL="114300" distR="114300" simplePos="0" relativeHeight="251673600" behindDoc="0" locked="1" layoutInCell="1" allowOverlap="1">
            <wp:simplePos x="0" y="0"/>
            <wp:positionH relativeFrom="page">
              <wp:posOffset>4105275</wp:posOffset>
            </wp:positionH>
            <wp:positionV relativeFrom="page">
              <wp:posOffset>7086600</wp:posOffset>
            </wp:positionV>
            <wp:extent cx="1809750" cy="577850"/>
            <wp:effectExtent l="19050" t="0" r="0" b="0"/>
            <wp:wrapThrough wrapText="bothSides">
              <wp:wrapPolygon edited="0">
                <wp:start x="-227" y="0"/>
                <wp:lineTo x="-227" y="20651"/>
                <wp:lineTo x="21600" y="20651"/>
                <wp:lineTo x="21600" y="12818"/>
                <wp:lineTo x="19326" y="11393"/>
                <wp:lineTo x="21600" y="9257"/>
                <wp:lineTo x="21600" y="0"/>
                <wp:lineTo x="-227" y="0"/>
              </wp:wrapPolygon>
            </wp:wrapThrough>
            <wp:docPr id="3"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9" cstate="print"/>
                    <a:stretch>
                      <a:fillRect/>
                    </a:stretch>
                  </pic:blipFill>
                  <pic:spPr bwMode="auto">
                    <a:xfrm>
                      <a:off x="0" y="0"/>
                      <a:ext cx="1809750" cy="577850"/>
                    </a:xfrm>
                    <a:prstGeom prst="rect">
                      <a:avLst/>
                    </a:prstGeom>
                    <a:noFill/>
                  </pic:spPr>
                </pic:pic>
              </a:graphicData>
            </a:graphic>
          </wp:anchor>
        </w:drawing>
      </w:r>
      <w:r>
        <w:rPr>
          <w:rFonts w:ascii="Lucida Sans" w:hAnsi="Lucida Sans"/>
          <w:noProof/>
          <w:sz w:val="20"/>
          <w:szCs w:val="20"/>
        </w:rPr>
        <w:drawing>
          <wp:anchor distT="0" distB="0" distL="114300" distR="114300" simplePos="0" relativeHeight="251671552"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6" name="Picture 5" descr="Multi-colored band acros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7802880" cy="2562225"/>
                    </a:xfrm>
                    <a:prstGeom prst="rect">
                      <a:avLst/>
                    </a:prstGeom>
                    <a:noFill/>
                  </pic:spPr>
                </pic:pic>
              </a:graphicData>
            </a:graphic>
          </wp:anchor>
        </w:drawing>
      </w:r>
      <w:r>
        <w:rPr>
          <w:rFonts w:ascii="Lucida Sans" w:hAnsi="Lucida Sans"/>
          <w:sz w:val="20"/>
          <w:szCs w:val="20"/>
        </w:rPr>
        <w:t xml:space="preserve"> </w:t>
      </w:r>
    </w:p>
    <w:p w:rsidR="00223CF8" w:rsidRDefault="00223CF8" w:rsidP="00223CF8">
      <w:pPr>
        <w:spacing w:line="264" w:lineRule="auto"/>
        <w:ind w:left="5040" w:firstLine="0"/>
        <w:rPr>
          <w:rFonts w:ascii="Lucida Sans" w:hAnsi="Lucida Sans"/>
          <w:sz w:val="20"/>
          <w:szCs w:val="20"/>
        </w:rPr>
        <w:sectPr w:rsidR="00223CF8" w:rsidSect="00B1511F">
          <w:footerReference w:type="default" r:id="rId11"/>
          <w:endnotePr>
            <w:numFmt w:val="decimal"/>
          </w:endnotePr>
          <w:pgSz w:w="12240" w:h="15840" w:code="1"/>
          <w:pgMar w:top="2160" w:right="1440" w:bottom="576" w:left="1440" w:header="720" w:footer="576" w:gutter="0"/>
          <w:cols w:space="720"/>
          <w:docGrid w:linePitch="150"/>
        </w:sectPr>
      </w:pPr>
    </w:p>
    <w:tbl>
      <w:tblPr>
        <w:tblpPr w:leftFromText="187" w:rightFromText="187" w:vertAnchor="page" w:tblpY="2881"/>
        <w:tblOverlap w:val="never"/>
        <w:tblW w:w="0" w:type="dxa"/>
        <w:tblInd w:w="1440" w:type="dxa"/>
        <w:tblLayout w:type="fixed"/>
        <w:tblCellMar>
          <w:left w:w="115" w:type="dxa"/>
          <w:right w:w="115" w:type="dxa"/>
        </w:tblCellMar>
        <w:tblLook w:val="04A0" w:firstRow="1" w:lastRow="0" w:firstColumn="1" w:lastColumn="0" w:noHBand="0" w:noVBand="1"/>
      </w:tblPr>
      <w:tblGrid>
        <w:gridCol w:w="4003"/>
        <w:gridCol w:w="4003"/>
      </w:tblGrid>
      <w:tr w:rsidR="00223CF8" w:rsidTr="00223CF8">
        <w:tc>
          <w:tcPr>
            <w:tcW w:w="4003" w:type="dxa"/>
          </w:tcPr>
          <w:p w:rsidR="00223CF8" w:rsidRPr="00241617" w:rsidRDefault="00223CF8" w:rsidP="00223CF8">
            <w:pPr>
              <w:spacing w:line="240" w:lineRule="exact"/>
              <w:ind w:firstLine="0"/>
              <w:jc w:val="left"/>
              <w:rPr>
                <w:rFonts w:cs="Arial"/>
                <w:sz w:val="17"/>
                <w:szCs w:val="16"/>
              </w:rPr>
            </w:pPr>
            <w:r w:rsidRPr="00241617">
              <w:rPr>
                <w:rFonts w:cs="Arial"/>
                <w:sz w:val="17"/>
                <w:szCs w:val="16"/>
              </w:rPr>
              <w:lastRenderedPageBreak/>
              <w:t>Contract Number:</w:t>
            </w:r>
          </w:p>
          <w:p w:rsidR="00223CF8" w:rsidRPr="00241617" w:rsidRDefault="00223CF8" w:rsidP="00223CF8">
            <w:pPr>
              <w:spacing w:after="180" w:line="240" w:lineRule="exact"/>
              <w:ind w:firstLine="0"/>
              <w:jc w:val="left"/>
              <w:rPr>
                <w:rFonts w:cs="Arial"/>
                <w:sz w:val="17"/>
                <w:szCs w:val="16"/>
              </w:rPr>
            </w:pPr>
            <w:bookmarkStart w:id="5" w:name="Contract"/>
            <w:bookmarkEnd w:id="5"/>
            <w:r>
              <w:rPr>
                <w:rFonts w:cs="Arial"/>
                <w:sz w:val="17"/>
                <w:szCs w:val="16"/>
              </w:rPr>
              <w:t>HHSM-500-2005-00025I/HHSM-500-T0005</w:t>
            </w:r>
          </w:p>
          <w:p w:rsidR="00223CF8" w:rsidRPr="00241617" w:rsidRDefault="00223CF8" w:rsidP="00223CF8">
            <w:pPr>
              <w:spacing w:line="240" w:lineRule="exact"/>
              <w:ind w:firstLine="0"/>
              <w:jc w:val="left"/>
              <w:rPr>
                <w:rFonts w:cs="Arial"/>
                <w:sz w:val="17"/>
                <w:szCs w:val="16"/>
              </w:rPr>
            </w:pPr>
            <w:r w:rsidRPr="00241617">
              <w:rPr>
                <w:rFonts w:cs="Arial"/>
                <w:sz w:val="17"/>
                <w:szCs w:val="16"/>
              </w:rPr>
              <w:t>Mathematica Reference Number:</w:t>
            </w:r>
          </w:p>
          <w:p w:rsidR="00223CF8" w:rsidRPr="00241617" w:rsidRDefault="00223CF8" w:rsidP="00223CF8">
            <w:pPr>
              <w:spacing w:after="180" w:line="240" w:lineRule="exact"/>
              <w:ind w:firstLine="0"/>
              <w:jc w:val="left"/>
              <w:rPr>
                <w:rFonts w:cs="Arial"/>
                <w:sz w:val="17"/>
                <w:szCs w:val="16"/>
              </w:rPr>
            </w:pPr>
            <w:bookmarkStart w:id="6" w:name="MPRRef"/>
            <w:bookmarkEnd w:id="6"/>
            <w:r>
              <w:rPr>
                <w:rFonts w:cs="Arial"/>
                <w:sz w:val="17"/>
                <w:szCs w:val="16"/>
              </w:rPr>
              <w:t>06965.400</w:t>
            </w:r>
          </w:p>
          <w:p w:rsidR="00223CF8" w:rsidRPr="00241617" w:rsidRDefault="00223CF8" w:rsidP="00223CF8">
            <w:pPr>
              <w:spacing w:line="240" w:lineRule="exact"/>
              <w:ind w:firstLine="0"/>
              <w:jc w:val="left"/>
              <w:rPr>
                <w:rFonts w:cs="Arial"/>
                <w:sz w:val="17"/>
                <w:szCs w:val="16"/>
              </w:rPr>
            </w:pPr>
            <w:r w:rsidRPr="00241617">
              <w:rPr>
                <w:rFonts w:cs="Arial"/>
                <w:sz w:val="17"/>
                <w:szCs w:val="16"/>
              </w:rPr>
              <w:t>Submitted to:</w:t>
            </w:r>
          </w:p>
          <w:p w:rsidR="00223CF8" w:rsidRPr="00241617" w:rsidRDefault="00223CF8" w:rsidP="00223CF8">
            <w:pPr>
              <w:spacing w:line="240" w:lineRule="exact"/>
              <w:ind w:firstLine="0"/>
              <w:jc w:val="left"/>
              <w:rPr>
                <w:rFonts w:cs="Arial"/>
                <w:sz w:val="17"/>
                <w:szCs w:val="16"/>
              </w:rPr>
            </w:pPr>
            <w:bookmarkStart w:id="7" w:name="Agency"/>
            <w:bookmarkEnd w:id="7"/>
            <w:r>
              <w:rPr>
                <w:rFonts w:cs="Arial"/>
                <w:sz w:val="17"/>
                <w:szCs w:val="16"/>
              </w:rPr>
              <w:t>Centers for Medicare &amp; Medicaid Services</w:t>
            </w:r>
          </w:p>
          <w:p w:rsidR="00223CF8" w:rsidRDefault="00223CF8" w:rsidP="00223CF8">
            <w:pPr>
              <w:spacing w:line="240" w:lineRule="exact"/>
              <w:ind w:firstLine="0"/>
              <w:jc w:val="left"/>
              <w:rPr>
                <w:rFonts w:cs="Arial"/>
                <w:sz w:val="17"/>
                <w:szCs w:val="16"/>
              </w:rPr>
            </w:pPr>
            <w:bookmarkStart w:id="8" w:name="Address"/>
            <w:bookmarkEnd w:id="8"/>
            <w:r>
              <w:rPr>
                <w:rFonts w:cs="Arial"/>
                <w:sz w:val="17"/>
                <w:szCs w:val="16"/>
              </w:rPr>
              <w:t>7500 Security Boulevard, WB-06-05</w:t>
            </w:r>
          </w:p>
          <w:p w:rsidR="00223CF8" w:rsidRDefault="00223CF8" w:rsidP="00223CF8">
            <w:pPr>
              <w:spacing w:line="240" w:lineRule="exact"/>
              <w:ind w:firstLine="0"/>
              <w:jc w:val="left"/>
              <w:rPr>
                <w:rFonts w:cs="Arial"/>
                <w:sz w:val="17"/>
                <w:szCs w:val="16"/>
              </w:rPr>
            </w:pPr>
            <w:r>
              <w:rPr>
                <w:rFonts w:cs="Arial"/>
                <w:sz w:val="17"/>
                <w:szCs w:val="16"/>
              </w:rPr>
              <w:t>Baltimore, MD 21244</w:t>
            </w:r>
          </w:p>
          <w:p w:rsidR="00223CF8" w:rsidRPr="00241617" w:rsidRDefault="00223CF8" w:rsidP="00223CF8">
            <w:pPr>
              <w:spacing w:after="180" w:line="240" w:lineRule="exact"/>
              <w:ind w:firstLine="0"/>
              <w:jc w:val="left"/>
              <w:rPr>
                <w:rFonts w:cs="Arial"/>
                <w:sz w:val="17"/>
                <w:szCs w:val="16"/>
              </w:rPr>
            </w:pPr>
            <w:r w:rsidRPr="00241617">
              <w:rPr>
                <w:rFonts w:cs="Arial"/>
                <w:sz w:val="17"/>
                <w:szCs w:val="16"/>
              </w:rPr>
              <w:t xml:space="preserve">Project Officer: </w:t>
            </w:r>
            <w:bookmarkStart w:id="9" w:name="ProjOff"/>
            <w:bookmarkEnd w:id="9"/>
            <w:r>
              <w:rPr>
                <w:rFonts w:cs="Arial"/>
                <w:sz w:val="17"/>
                <w:szCs w:val="16"/>
              </w:rPr>
              <w:t>Julia A. Zucco</w:t>
            </w:r>
          </w:p>
          <w:p w:rsidR="00223CF8" w:rsidRPr="00241617" w:rsidRDefault="00223CF8" w:rsidP="00223CF8">
            <w:pPr>
              <w:spacing w:line="240" w:lineRule="exact"/>
              <w:ind w:firstLine="0"/>
              <w:jc w:val="left"/>
              <w:rPr>
                <w:rFonts w:cs="Arial"/>
                <w:sz w:val="17"/>
                <w:szCs w:val="16"/>
              </w:rPr>
            </w:pPr>
            <w:r w:rsidRPr="00241617">
              <w:rPr>
                <w:rFonts w:cs="Arial"/>
                <w:sz w:val="17"/>
                <w:szCs w:val="16"/>
              </w:rPr>
              <w:t>Submitted by:</w:t>
            </w:r>
          </w:p>
          <w:p w:rsidR="00223CF8" w:rsidRPr="00241617" w:rsidRDefault="00223CF8" w:rsidP="00223CF8">
            <w:pPr>
              <w:spacing w:line="240" w:lineRule="exact"/>
              <w:ind w:firstLine="0"/>
              <w:jc w:val="left"/>
              <w:rPr>
                <w:rFonts w:cs="Arial"/>
                <w:sz w:val="17"/>
                <w:szCs w:val="16"/>
              </w:rPr>
            </w:pPr>
            <w:r w:rsidRPr="00241617">
              <w:rPr>
                <w:rFonts w:cs="Arial"/>
                <w:sz w:val="17"/>
                <w:szCs w:val="16"/>
              </w:rPr>
              <w:t>Mathematica Policy Research</w:t>
            </w:r>
          </w:p>
          <w:p w:rsidR="00223CF8" w:rsidRDefault="00223CF8" w:rsidP="00223CF8">
            <w:pPr>
              <w:spacing w:line="240" w:lineRule="exact"/>
              <w:ind w:firstLine="0"/>
              <w:jc w:val="left"/>
              <w:rPr>
                <w:rFonts w:cs="Arial"/>
                <w:sz w:val="17"/>
                <w:szCs w:val="16"/>
              </w:rPr>
            </w:pPr>
            <w:bookmarkStart w:id="10" w:name="MPRAddress2"/>
            <w:bookmarkEnd w:id="10"/>
            <w:r>
              <w:rPr>
                <w:rFonts w:cs="Arial"/>
                <w:sz w:val="17"/>
                <w:szCs w:val="16"/>
              </w:rPr>
              <w:t>P.O. Box 2393</w:t>
            </w:r>
          </w:p>
          <w:p w:rsidR="00223CF8" w:rsidRDefault="00223CF8" w:rsidP="00223CF8">
            <w:pPr>
              <w:spacing w:line="240" w:lineRule="exact"/>
              <w:ind w:firstLine="0"/>
              <w:jc w:val="left"/>
              <w:rPr>
                <w:rFonts w:cs="Arial"/>
                <w:sz w:val="17"/>
                <w:szCs w:val="16"/>
              </w:rPr>
            </w:pPr>
            <w:r>
              <w:rPr>
                <w:rFonts w:cs="Arial"/>
                <w:sz w:val="17"/>
                <w:szCs w:val="16"/>
              </w:rPr>
              <w:t>Princeton, NJ 08543-2393</w:t>
            </w:r>
          </w:p>
          <w:p w:rsidR="00223CF8" w:rsidRDefault="00223CF8" w:rsidP="00223CF8">
            <w:pPr>
              <w:spacing w:line="240" w:lineRule="exact"/>
              <w:ind w:firstLine="0"/>
              <w:jc w:val="left"/>
              <w:rPr>
                <w:rFonts w:cs="Arial"/>
                <w:sz w:val="17"/>
                <w:szCs w:val="16"/>
              </w:rPr>
            </w:pPr>
            <w:r>
              <w:rPr>
                <w:rFonts w:cs="Arial"/>
                <w:sz w:val="17"/>
                <w:szCs w:val="16"/>
              </w:rPr>
              <w:t>Telephone: (609) 799-3535</w:t>
            </w:r>
          </w:p>
          <w:p w:rsidR="00223CF8" w:rsidRPr="00241617" w:rsidRDefault="00223CF8" w:rsidP="00223CF8">
            <w:pPr>
              <w:spacing w:line="240" w:lineRule="exact"/>
              <w:ind w:firstLine="0"/>
              <w:jc w:val="left"/>
              <w:rPr>
                <w:rFonts w:cs="Arial"/>
                <w:sz w:val="17"/>
                <w:szCs w:val="16"/>
              </w:rPr>
            </w:pPr>
            <w:r>
              <w:rPr>
                <w:rFonts w:cs="Arial"/>
                <w:sz w:val="17"/>
                <w:szCs w:val="16"/>
              </w:rPr>
              <w:t>Facsimile: (609) 799-0005</w:t>
            </w:r>
          </w:p>
          <w:p w:rsidR="00223CF8" w:rsidRPr="00241617" w:rsidRDefault="00223CF8" w:rsidP="00223CF8">
            <w:pPr>
              <w:spacing w:after="180" w:line="240" w:lineRule="exact"/>
              <w:ind w:firstLine="0"/>
              <w:jc w:val="left"/>
              <w:rPr>
                <w:rFonts w:cs="Arial"/>
                <w:sz w:val="16"/>
                <w:szCs w:val="16"/>
              </w:rPr>
            </w:pPr>
            <w:r w:rsidRPr="00241617">
              <w:rPr>
                <w:rFonts w:cs="Arial"/>
                <w:sz w:val="17"/>
                <w:szCs w:val="16"/>
              </w:rPr>
              <w:t xml:space="preserve">Project Director: </w:t>
            </w:r>
            <w:bookmarkStart w:id="11" w:name="ProjDir"/>
            <w:bookmarkEnd w:id="11"/>
            <w:r>
              <w:rPr>
                <w:rFonts w:cs="Arial"/>
                <w:sz w:val="17"/>
                <w:szCs w:val="16"/>
              </w:rPr>
              <w:t>David Jones</w:t>
            </w:r>
          </w:p>
        </w:tc>
        <w:tc>
          <w:tcPr>
            <w:tcW w:w="4003" w:type="dxa"/>
          </w:tcPr>
          <w:p w:rsidR="00223CF8" w:rsidRDefault="00223CF8" w:rsidP="00223CF8">
            <w:pPr>
              <w:spacing w:after="144" w:line="360" w:lineRule="exact"/>
              <w:ind w:left="58" w:firstLine="0"/>
              <w:jc w:val="left"/>
              <w:rPr>
                <w:rFonts w:cs="Arial"/>
                <w:b/>
              </w:rPr>
            </w:pPr>
            <w:bookmarkStart w:id="12" w:name="RepTitle2"/>
            <w:bookmarkEnd w:id="12"/>
            <w:r>
              <w:rPr>
                <w:rFonts w:cs="Arial"/>
                <w:b/>
              </w:rPr>
              <w:t>PART B</w:t>
            </w:r>
          </w:p>
          <w:p w:rsidR="00223CF8" w:rsidRPr="00A04DB3" w:rsidRDefault="00223CF8" w:rsidP="00223CF8">
            <w:pPr>
              <w:spacing w:after="144" w:line="360" w:lineRule="exact"/>
              <w:ind w:left="58" w:firstLine="0"/>
              <w:jc w:val="left"/>
              <w:rPr>
                <w:rFonts w:cs="Arial"/>
                <w:b/>
              </w:rPr>
            </w:pPr>
            <w:r>
              <w:rPr>
                <w:rFonts w:cs="Arial"/>
                <w:b/>
              </w:rPr>
              <w:t>For-Profit Pace Study</w:t>
            </w:r>
          </w:p>
          <w:p w:rsidR="00223CF8" w:rsidRPr="007F2781" w:rsidRDefault="00223CF8" w:rsidP="00223CF8">
            <w:pPr>
              <w:spacing w:before="144" w:line="360" w:lineRule="exact"/>
              <w:ind w:left="58" w:firstLine="0"/>
              <w:jc w:val="left"/>
              <w:rPr>
                <w:rFonts w:cs="Arial"/>
                <w:b/>
              </w:rPr>
            </w:pPr>
            <w:bookmarkStart w:id="13" w:name="RepType2"/>
            <w:bookmarkEnd w:id="13"/>
            <w:r w:rsidRPr="007F2781">
              <w:rPr>
                <w:rFonts w:cs="Arial"/>
                <w:b/>
              </w:rPr>
              <w:t xml:space="preserve">Supporting Statement for </w:t>
            </w:r>
            <w:r w:rsidRPr="00223CF8">
              <w:rPr>
                <w:rFonts w:cs="Arial"/>
                <w:b/>
              </w:rPr>
              <w:t xml:space="preserve">Collection </w:t>
            </w:r>
            <w:r>
              <w:rPr>
                <w:rFonts w:cs="Arial"/>
                <w:b/>
              </w:rPr>
              <w:t>o</w:t>
            </w:r>
            <w:r w:rsidRPr="00223CF8">
              <w:rPr>
                <w:rFonts w:cs="Arial"/>
                <w:b/>
              </w:rPr>
              <w:t>f Information Employing Statistical Methods</w:t>
            </w:r>
          </w:p>
          <w:p w:rsidR="00223CF8" w:rsidRPr="00A04DB3" w:rsidRDefault="00777C03" w:rsidP="00223CF8">
            <w:pPr>
              <w:spacing w:before="144" w:after="288" w:line="360" w:lineRule="exact"/>
              <w:ind w:left="58" w:firstLine="0"/>
              <w:jc w:val="left"/>
              <w:rPr>
                <w:rFonts w:cs="Arial"/>
              </w:rPr>
            </w:pPr>
            <w:bookmarkStart w:id="14" w:name="DateMark2"/>
            <w:bookmarkEnd w:id="14"/>
            <w:r>
              <w:rPr>
                <w:rFonts w:cs="Arial"/>
              </w:rPr>
              <w:t>June 20</w:t>
            </w:r>
            <w:r w:rsidR="00223CF8">
              <w:rPr>
                <w:rFonts w:cs="Arial"/>
              </w:rPr>
              <w:t>, 2012</w:t>
            </w:r>
          </w:p>
          <w:p w:rsidR="00223CF8" w:rsidRPr="00241617" w:rsidRDefault="00223CF8" w:rsidP="00223CF8">
            <w:pPr>
              <w:spacing w:line="280" w:lineRule="exact"/>
              <w:ind w:left="58" w:firstLine="0"/>
              <w:jc w:val="left"/>
              <w:rPr>
                <w:rFonts w:cs="Arial"/>
                <w:sz w:val="20"/>
                <w:szCs w:val="20"/>
              </w:rPr>
            </w:pPr>
            <w:r>
              <w:rPr>
                <w:rFonts w:cs="Arial"/>
                <w:sz w:val="20"/>
                <w:szCs w:val="20"/>
              </w:rPr>
              <w:t>Nancy Duda</w:t>
            </w:r>
          </w:p>
          <w:p w:rsidR="00223CF8" w:rsidRPr="00241617" w:rsidRDefault="00223CF8" w:rsidP="00223CF8">
            <w:pPr>
              <w:spacing w:line="280" w:lineRule="exact"/>
              <w:ind w:left="58" w:firstLine="0"/>
              <w:jc w:val="left"/>
              <w:rPr>
                <w:rFonts w:cs="Arial"/>
                <w:sz w:val="20"/>
                <w:szCs w:val="20"/>
              </w:rPr>
            </w:pPr>
            <w:r>
              <w:rPr>
                <w:rFonts w:cs="Arial"/>
                <w:sz w:val="20"/>
                <w:szCs w:val="20"/>
              </w:rPr>
              <w:t>David Jones</w:t>
            </w:r>
          </w:p>
          <w:p w:rsidR="00223CF8" w:rsidRDefault="00223CF8" w:rsidP="00223CF8">
            <w:pPr>
              <w:spacing w:line="264" w:lineRule="auto"/>
              <w:ind w:left="58" w:firstLine="0"/>
              <w:jc w:val="left"/>
              <w:rPr>
                <w:rFonts w:cs="Arial"/>
                <w:sz w:val="20"/>
                <w:szCs w:val="20"/>
              </w:rPr>
            </w:pPr>
            <w:r>
              <w:rPr>
                <w:rFonts w:cs="Arial"/>
                <w:sz w:val="20"/>
                <w:szCs w:val="20"/>
              </w:rPr>
              <w:t>Frank Yoon</w:t>
            </w:r>
          </w:p>
          <w:p w:rsidR="00223CF8" w:rsidRPr="00241617" w:rsidRDefault="00223CF8" w:rsidP="00223CF8">
            <w:pPr>
              <w:spacing w:line="264" w:lineRule="auto"/>
              <w:ind w:left="58" w:firstLine="0"/>
              <w:jc w:val="left"/>
              <w:rPr>
                <w:rFonts w:cs="Arial"/>
                <w:sz w:val="20"/>
                <w:szCs w:val="20"/>
              </w:rPr>
            </w:pPr>
            <w:r>
              <w:rPr>
                <w:rFonts w:cs="Arial"/>
                <w:sz w:val="20"/>
                <w:szCs w:val="20"/>
              </w:rPr>
              <w:t>Jennifer Ott</w:t>
            </w:r>
          </w:p>
          <w:p w:rsidR="00223CF8" w:rsidRPr="00241617" w:rsidRDefault="00223CF8" w:rsidP="00223CF8">
            <w:pPr>
              <w:spacing w:line="264" w:lineRule="auto"/>
              <w:ind w:left="58" w:firstLine="0"/>
              <w:jc w:val="left"/>
              <w:rPr>
                <w:rFonts w:cs="Arial"/>
                <w:sz w:val="22"/>
                <w:szCs w:val="22"/>
              </w:rPr>
            </w:pPr>
          </w:p>
        </w:tc>
      </w:tr>
    </w:tbl>
    <w:p w:rsidR="00223CF8" w:rsidRDefault="00223CF8" w:rsidP="00223CF8">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223CF8" w:rsidRDefault="00223CF8" w:rsidP="00223CF8">
      <w:pPr>
        <w:spacing w:line="264" w:lineRule="auto"/>
        <w:ind w:firstLine="0"/>
        <w:rPr>
          <w:rFonts w:ascii="Lucida Sans" w:hAnsi="Lucida Sans"/>
          <w:sz w:val="22"/>
          <w:szCs w:val="22"/>
        </w:rPr>
      </w:pPr>
      <w:r>
        <w:rPr>
          <w:rFonts w:ascii="Lucida Sans" w:hAnsi="Lucida Sans"/>
          <w:noProof/>
        </w:rPr>
        <w:drawing>
          <wp:anchor distT="0" distB="0" distL="114300" distR="114300" simplePos="0" relativeHeight="251674624" behindDoc="0" locked="1" layoutInCell="1" allowOverlap="1">
            <wp:simplePos x="0" y="0"/>
            <wp:positionH relativeFrom="page">
              <wp:posOffset>4100195</wp:posOffset>
            </wp:positionH>
            <wp:positionV relativeFrom="page">
              <wp:posOffset>7086600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8"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9" cstate="print"/>
                    <a:stretch>
                      <a:fillRect/>
                    </a:stretch>
                  </pic:blipFill>
                  <pic:spPr bwMode="auto">
                    <a:xfrm>
                      <a:off x="0" y="0"/>
                      <a:ext cx="1819275" cy="581025"/>
                    </a:xfrm>
                    <a:prstGeom prst="rect">
                      <a:avLst/>
                    </a:prstGeom>
                    <a:noFill/>
                  </pic:spPr>
                </pic:pic>
              </a:graphicData>
            </a:graphic>
          </wp:anchor>
        </w:drawing>
      </w:r>
      <w:r>
        <w:rPr>
          <w:rFonts w:ascii="Lucida Sans" w:hAnsi="Lucida Sans"/>
          <w:noProof/>
          <w:sz w:val="22"/>
          <w:szCs w:val="22"/>
        </w:rPr>
        <w:drawing>
          <wp:anchor distT="0" distB="0" distL="114300" distR="114300" simplePos="0" relativeHeight="251672576"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9" name="Picture 6" descr="Multi-colored band acros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7802880" cy="2562225"/>
                    </a:xfrm>
                    <a:prstGeom prst="rect">
                      <a:avLst/>
                    </a:prstGeom>
                    <a:noFill/>
                  </pic:spPr>
                </pic:pic>
              </a:graphicData>
            </a:graphic>
          </wp:anchor>
        </w:drawing>
      </w:r>
    </w:p>
    <w:p w:rsidR="00223CF8" w:rsidRDefault="00223CF8" w:rsidP="00223CF8">
      <w:pPr>
        <w:spacing w:line="264" w:lineRule="auto"/>
        <w:ind w:firstLine="0"/>
        <w:rPr>
          <w:rFonts w:ascii="Lucida Sans" w:hAnsi="Lucida Sans"/>
          <w:sz w:val="22"/>
          <w:szCs w:val="22"/>
        </w:rPr>
        <w:sectPr w:rsidR="00223CF8" w:rsidSect="003A1506">
          <w:endnotePr>
            <w:numFmt w:val="decimal"/>
          </w:endnotePr>
          <w:pgSz w:w="12240" w:h="15840" w:code="1"/>
          <w:pgMar w:top="1440" w:right="1440" w:bottom="576" w:left="1440" w:header="720" w:footer="576" w:gutter="0"/>
          <w:cols w:space="720"/>
          <w:docGrid w:linePitch="150"/>
        </w:sectPr>
      </w:pPr>
    </w:p>
    <w:p w:rsidR="00223CF8" w:rsidRDefault="00223CF8" w:rsidP="00223CF8">
      <w:pPr>
        <w:pStyle w:val="Heading1Black"/>
        <w:sectPr w:rsidR="00223CF8" w:rsidSect="007C0CD8">
          <w:headerReference w:type="default" r:id="rId13"/>
          <w:footerReference w:type="default" r:id="rId14"/>
          <w:endnotePr>
            <w:numFmt w:val="decimal"/>
          </w:endnotePr>
          <w:pgSz w:w="12240" w:h="15840" w:code="1"/>
          <w:pgMar w:top="1440" w:right="1440" w:bottom="576" w:left="1440" w:header="720" w:footer="576" w:gutter="0"/>
          <w:cols w:space="720"/>
          <w:docGrid w:linePitch="326"/>
        </w:sectPr>
      </w:pPr>
    </w:p>
    <w:p w:rsidR="00360740" w:rsidRDefault="00360740" w:rsidP="00360740">
      <w:pPr>
        <w:spacing w:after="840" w:line="240" w:lineRule="auto"/>
        <w:ind w:firstLine="0"/>
        <w:jc w:val="center"/>
        <w:rPr>
          <w:b/>
        </w:rPr>
      </w:pPr>
      <w:r>
        <w:rPr>
          <w:b/>
        </w:rPr>
        <w:lastRenderedPageBreak/>
        <w:t>CONTENTS</w:t>
      </w:r>
    </w:p>
    <w:p w:rsidR="00360740" w:rsidRDefault="00D213D5" w:rsidP="00360740">
      <w:pPr>
        <w:tabs>
          <w:tab w:val="clear" w:pos="432"/>
          <w:tab w:val="right" w:pos="9360"/>
        </w:tabs>
        <w:spacing w:after="240" w:line="240" w:lineRule="auto"/>
        <w:ind w:firstLine="0"/>
        <w:jc w:val="center"/>
        <w:rPr>
          <w:b/>
        </w:rPr>
      </w:pPr>
      <w:r>
        <w:rPr>
          <w:b/>
        </w:rPr>
        <w:t>Chapter</w:t>
      </w:r>
      <w:r w:rsidR="00360740">
        <w:rPr>
          <w:b/>
        </w:rPr>
        <w:tab/>
        <w:t>Page</w:t>
      </w:r>
    </w:p>
    <w:p w:rsidR="005E3A2F" w:rsidRDefault="00060598">
      <w:pPr>
        <w:pStyle w:val="TOC1"/>
        <w:rPr>
          <w:rFonts w:asciiTheme="minorHAnsi" w:eastAsiaTheme="minorEastAsia" w:hAnsiTheme="minorHAnsi" w:cstheme="minorBidi"/>
          <w:caps w:val="0"/>
          <w:noProof/>
          <w:sz w:val="22"/>
          <w:szCs w:val="22"/>
        </w:rPr>
      </w:pPr>
      <w:r>
        <w:rPr>
          <w:b/>
          <w:noProof/>
        </w:rPr>
        <w:fldChar w:fldCharType="begin"/>
      </w:r>
      <w:r w:rsidR="00360740">
        <w:rPr>
          <w:b/>
        </w:rPr>
        <w:instrText xml:space="preserve"> TOC \o "1-3" </w:instrText>
      </w:r>
      <w:r>
        <w:rPr>
          <w:b/>
          <w:noProof/>
        </w:rPr>
        <w:fldChar w:fldCharType="separate"/>
      </w:r>
      <w:r w:rsidR="005E3A2F">
        <w:rPr>
          <w:noProof/>
        </w:rPr>
        <w:t>PART B.</w:t>
      </w:r>
      <w:r w:rsidR="005E3A2F">
        <w:rPr>
          <w:rFonts w:asciiTheme="minorHAnsi" w:eastAsiaTheme="minorEastAsia" w:hAnsiTheme="minorHAnsi" w:cstheme="minorBidi"/>
          <w:caps w:val="0"/>
          <w:noProof/>
          <w:sz w:val="22"/>
          <w:szCs w:val="22"/>
        </w:rPr>
        <w:tab/>
      </w:r>
      <w:r w:rsidR="005E3A2F">
        <w:rPr>
          <w:noProof/>
        </w:rPr>
        <w:t>Supporting Statement for Paperwork Reduction Act Submission</w:t>
      </w:r>
      <w:r w:rsidR="005E3A2F">
        <w:rPr>
          <w:noProof/>
        </w:rPr>
        <w:tab/>
      </w:r>
      <w:r>
        <w:rPr>
          <w:noProof/>
        </w:rPr>
        <w:fldChar w:fldCharType="begin"/>
      </w:r>
      <w:r w:rsidR="005E3A2F">
        <w:rPr>
          <w:noProof/>
        </w:rPr>
        <w:instrText xml:space="preserve"> PAGEREF _Toc318291333 \h </w:instrText>
      </w:r>
      <w:r>
        <w:rPr>
          <w:noProof/>
        </w:rPr>
      </w:r>
      <w:r>
        <w:rPr>
          <w:noProof/>
        </w:rPr>
        <w:fldChar w:fldCharType="separate"/>
      </w:r>
      <w:r w:rsidR="005E3A2F">
        <w:rPr>
          <w:noProof/>
        </w:rPr>
        <w:t>1</w:t>
      </w:r>
      <w:r>
        <w:rPr>
          <w:noProof/>
        </w:rPr>
        <w:fldChar w:fldCharType="end"/>
      </w:r>
    </w:p>
    <w:p w:rsidR="005E3A2F" w:rsidRDefault="005E3A2F" w:rsidP="005E3A2F">
      <w:pPr>
        <w:pStyle w:val="TOC2"/>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Collection of Information Employing Statistical Methods</w:t>
      </w:r>
      <w:r>
        <w:tab/>
      </w:r>
      <w:r w:rsidR="00060598">
        <w:fldChar w:fldCharType="begin"/>
      </w:r>
      <w:r>
        <w:instrText xml:space="preserve"> PAGEREF _Toc318291334 \h </w:instrText>
      </w:r>
      <w:r w:rsidR="00060598">
        <w:fldChar w:fldCharType="separate"/>
      </w:r>
      <w:r>
        <w:t>1</w:t>
      </w:r>
      <w:r w:rsidR="00060598">
        <w:fldChar w:fldCharType="end"/>
      </w:r>
    </w:p>
    <w:p w:rsidR="005E3A2F" w:rsidRDefault="005E3A2F">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Respondent Universe and Sampling Methods</w:t>
      </w:r>
      <w:r>
        <w:rPr>
          <w:noProof/>
        </w:rPr>
        <w:tab/>
      </w:r>
      <w:r w:rsidR="00060598">
        <w:rPr>
          <w:noProof/>
        </w:rPr>
        <w:fldChar w:fldCharType="begin"/>
      </w:r>
      <w:r>
        <w:rPr>
          <w:noProof/>
        </w:rPr>
        <w:instrText xml:space="preserve"> PAGEREF _Toc318291335 \h </w:instrText>
      </w:r>
      <w:r w:rsidR="00060598">
        <w:rPr>
          <w:noProof/>
        </w:rPr>
      </w:r>
      <w:r w:rsidR="00060598">
        <w:rPr>
          <w:noProof/>
        </w:rPr>
        <w:fldChar w:fldCharType="separate"/>
      </w:r>
      <w:r>
        <w:rPr>
          <w:noProof/>
        </w:rPr>
        <w:t>1</w:t>
      </w:r>
      <w:r w:rsidR="00060598">
        <w:rPr>
          <w:noProof/>
        </w:rPr>
        <w:fldChar w:fldCharType="end"/>
      </w:r>
    </w:p>
    <w:p w:rsidR="005E3A2F" w:rsidRDefault="005E3A2F">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Procedures for the Collection of Information</w:t>
      </w:r>
      <w:r>
        <w:rPr>
          <w:noProof/>
        </w:rPr>
        <w:tab/>
      </w:r>
      <w:r w:rsidR="00060598">
        <w:rPr>
          <w:noProof/>
        </w:rPr>
        <w:fldChar w:fldCharType="begin"/>
      </w:r>
      <w:r>
        <w:rPr>
          <w:noProof/>
        </w:rPr>
        <w:instrText xml:space="preserve"> PAGEREF _Toc318291336 \h </w:instrText>
      </w:r>
      <w:r w:rsidR="00060598">
        <w:rPr>
          <w:noProof/>
        </w:rPr>
      </w:r>
      <w:r w:rsidR="00060598">
        <w:rPr>
          <w:noProof/>
        </w:rPr>
        <w:fldChar w:fldCharType="separate"/>
      </w:r>
      <w:r>
        <w:rPr>
          <w:noProof/>
        </w:rPr>
        <w:t>4</w:t>
      </w:r>
      <w:r w:rsidR="00060598">
        <w:rPr>
          <w:noProof/>
        </w:rPr>
        <w:fldChar w:fldCharType="end"/>
      </w:r>
    </w:p>
    <w:p w:rsidR="005E3A2F" w:rsidRDefault="005E3A2F">
      <w:pPr>
        <w:pStyle w:val="TOC3"/>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Methods to Maximize Response Rates and Deal with Issues of Nonresponse</w:t>
      </w:r>
      <w:r>
        <w:rPr>
          <w:noProof/>
        </w:rPr>
        <w:tab/>
      </w:r>
      <w:r w:rsidR="00060598">
        <w:rPr>
          <w:noProof/>
        </w:rPr>
        <w:fldChar w:fldCharType="begin"/>
      </w:r>
      <w:r>
        <w:rPr>
          <w:noProof/>
        </w:rPr>
        <w:instrText xml:space="preserve"> PAGEREF _Toc318291337 \h </w:instrText>
      </w:r>
      <w:r w:rsidR="00060598">
        <w:rPr>
          <w:noProof/>
        </w:rPr>
      </w:r>
      <w:r w:rsidR="00060598">
        <w:rPr>
          <w:noProof/>
        </w:rPr>
        <w:fldChar w:fldCharType="separate"/>
      </w:r>
      <w:r>
        <w:rPr>
          <w:noProof/>
        </w:rPr>
        <w:t>6</w:t>
      </w:r>
      <w:r w:rsidR="00060598">
        <w:rPr>
          <w:noProof/>
        </w:rPr>
        <w:fldChar w:fldCharType="end"/>
      </w:r>
    </w:p>
    <w:p w:rsidR="005E3A2F" w:rsidRDefault="005E3A2F">
      <w:pPr>
        <w:pStyle w:val="TOC3"/>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Test of Procedures or Methods to be Undertaken</w:t>
      </w:r>
      <w:r>
        <w:rPr>
          <w:noProof/>
        </w:rPr>
        <w:tab/>
      </w:r>
      <w:r w:rsidR="00060598">
        <w:rPr>
          <w:noProof/>
        </w:rPr>
        <w:fldChar w:fldCharType="begin"/>
      </w:r>
      <w:r>
        <w:rPr>
          <w:noProof/>
        </w:rPr>
        <w:instrText xml:space="preserve"> PAGEREF _Toc318291338 \h </w:instrText>
      </w:r>
      <w:r w:rsidR="00060598">
        <w:rPr>
          <w:noProof/>
        </w:rPr>
      </w:r>
      <w:r w:rsidR="00060598">
        <w:rPr>
          <w:noProof/>
        </w:rPr>
        <w:fldChar w:fldCharType="separate"/>
      </w:r>
      <w:r>
        <w:rPr>
          <w:noProof/>
        </w:rPr>
        <w:t>8</w:t>
      </w:r>
      <w:r w:rsidR="00060598">
        <w:rPr>
          <w:noProof/>
        </w:rPr>
        <w:fldChar w:fldCharType="end"/>
      </w:r>
    </w:p>
    <w:p w:rsidR="005E3A2F" w:rsidRDefault="005E3A2F">
      <w:pPr>
        <w:pStyle w:val="TOC3"/>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Individuals Consulted on Statistical Aspects of Design and Individuals Collecting and/or Analyzing Data</w:t>
      </w:r>
      <w:r>
        <w:rPr>
          <w:noProof/>
        </w:rPr>
        <w:tab/>
      </w:r>
      <w:r w:rsidR="00060598">
        <w:rPr>
          <w:noProof/>
        </w:rPr>
        <w:fldChar w:fldCharType="begin"/>
      </w:r>
      <w:r>
        <w:rPr>
          <w:noProof/>
        </w:rPr>
        <w:instrText xml:space="preserve"> PAGEREF _Toc318291339 \h </w:instrText>
      </w:r>
      <w:r w:rsidR="00060598">
        <w:rPr>
          <w:noProof/>
        </w:rPr>
      </w:r>
      <w:r w:rsidR="00060598">
        <w:rPr>
          <w:noProof/>
        </w:rPr>
        <w:fldChar w:fldCharType="separate"/>
      </w:r>
      <w:r>
        <w:rPr>
          <w:noProof/>
        </w:rPr>
        <w:t>9</w:t>
      </w:r>
      <w:r w:rsidR="00060598">
        <w:rPr>
          <w:noProof/>
        </w:rPr>
        <w:fldChar w:fldCharType="end"/>
      </w:r>
    </w:p>
    <w:p w:rsidR="00360740" w:rsidRDefault="00060598" w:rsidP="00360740">
      <w:pPr>
        <w:tabs>
          <w:tab w:val="clear" w:pos="432"/>
          <w:tab w:val="right" w:pos="9360"/>
        </w:tabs>
        <w:spacing w:after="240" w:line="240" w:lineRule="auto"/>
        <w:ind w:firstLine="0"/>
        <w:jc w:val="center"/>
        <w:rPr>
          <w:b/>
        </w:rPr>
      </w:pPr>
      <w:r>
        <w:rPr>
          <w:b/>
        </w:rPr>
        <w:fldChar w:fldCharType="end"/>
      </w:r>
    </w:p>
    <w:p w:rsidR="00D36CE7" w:rsidRDefault="00A3104B" w:rsidP="00FB4E15">
      <w:pPr>
        <w:tabs>
          <w:tab w:val="clear" w:pos="432"/>
          <w:tab w:val="left" w:pos="720"/>
        </w:tabs>
        <w:spacing w:after="120" w:line="240" w:lineRule="auto"/>
        <w:ind w:left="1008" w:hanging="1008"/>
        <w:jc w:val="left"/>
        <w:rPr>
          <w:rFonts w:ascii="Arial" w:hAnsi="Arial"/>
          <w:caps/>
          <w:noProof/>
        </w:rPr>
      </w:pPr>
      <w:r>
        <w:rPr>
          <w:rFonts w:ascii="Arial" w:hAnsi="Arial"/>
          <w:caps/>
          <w:noProof/>
        </w:rPr>
        <w:t>APPENDIX A</w:t>
      </w:r>
      <w:r w:rsidR="00D36CE7">
        <w:rPr>
          <w:rFonts w:ascii="Arial" w:hAnsi="Arial"/>
          <w:caps/>
          <w:noProof/>
        </w:rPr>
        <w:t>1: Advance MAILING to pace enrollees</w:t>
      </w:r>
    </w:p>
    <w:p w:rsidR="00D36CE7" w:rsidRDefault="00D36CE7" w:rsidP="00FB4E15">
      <w:pPr>
        <w:tabs>
          <w:tab w:val="clear" w:pos="432"/>
          <w:tab w:val="left" w:pos="720"/>
        </w:tabs>
        <w:spacing w:after="120" w:line="240" w:lineRule="auto"/>
        <w:ind w:left="1008" w:hanging="1008"/>
        <w:jc w:val="left"/>
        <w:rPr>
          <w:rFonts w:ascii="Arial" w:hAnsi="Arial"/>
          <w:caps/>
          <w:noProof/>
        </w:rPr>
      </w:pPr>
      <w:r>
        <w:rPr>
          <w:rFonts w:ascii="Arial" w:hAnsi="Arial"/>
          <w:caps/>
          <w:noProof/>
        </w:rPr>
        <w:t>APPENdix A2: Information Brochure for pace enrollee</w:t>
      </w:r>
    </w:p>
    <w:p w:rsidR="00D36CE7" w:rsidRDefault="00D36CE7" w:rsidP="00FB4E15">
      <w:pPr>
        <w:tabs>
          <w:tab w:val="clear" w:pos="432"/>
          <w:tab w:val="left" w:pos="720"/>
        </w:tabs>
        <w:spacing w:after="120" w:line="240" w:lineRule="auto"/>
        <w:ind w:left="1008" w:hanging="1008"/>
        <w:jc w:val="left"/>
        <w:rPr>
          <w:rFonts w:ascii="Arial" w:hAnsi="Arial"/>
          <w:caps/>
          <w:noProof/>
        </w:rPr>
      </w:pPr>
      <w:r>
        <w:rPr>
          <w:rFonts w:ascii="Arial" w:hAnsi="Arial"/>
          <w:caps/>
          <w:noProof/>
        </w:rPr>
        <w:t>Appendix B: For Profit Pace survey</w:t>
      </w:r>
    </w:p>
    <w:p w:rsidR="00D36CE7" w:rsidRDefault="00D36CE7" w:rsidP="00360740">
      <w:pPr>
        <w:tabs>
          <w:tab w:val="clear" w:pos="432"/>
          <w:tab w:val="right" w:pos="9360"/>
        </w:tabs>
        <w:spacing w:after="240" w:line="240" w:lineRule="auto"/>
        <w:ind w:firstLine="0"/>
        <w:jc w:val="center"/>
        <w:rPr>
          <w:b/>
        </w:rPr>
      </w:pPr>
    </w:p>
    <w:p w:rsidR="00360740" w:rsidRDefault="00360740" w:rsidP="00360740">
      <w:pPr>
        <w:tabs>
          <w:tab w:val="clear" w:pos="432"/>
          <w:tab w:val="right" w:pos="9360"/>
        </w:tabs>
        <w:spacing w:after="240" w:line="240" w:lineRule="auto"/>
        <w:ind w:firstLine="0"/>
        <w:jc w:val="center"/>
        <w:rPr>
          <w:b/>
        </w:rPr>
      </w:pPr>
      <w:r>
        <w:rPr>
          <w:b/>
        </w:rPr>
        <w:t>TABLES</w:t>
      </w:r>
    </w:p>
    <w:p w:rsidR="00360740" w:rsidRDefault="00060598" w:rsidP="00360740">
      <w:pPr>
        <w:pStyle w:val="TableofFigures"/>
        <w:rPr>
          <w:rFonts w:asciiTheme="minorHAnsi" w:eastAsiaTheme="minorEastAsia" w:hAnsiTheme="minorHAnsi" w:cstheme="minorBidi"/>
          <w:noProof/>
          <w:szCs w:val="22"/>
        </w:rPr>
      </w:pPr>
      <w:r>
        <w:rPr>
          <w:b/>
        </w:rPr>
        <w:fldChar w:fldCharType="begin"/>
      </w:r>
      <w:r w:rsidR="00360740">
        <w:rPr>
          <w:b/>
        </w:rPr>
        <w:instrText xml:space="preserve"> TOC \t "Mark for Table Heading" \c </w:instrText>
      </w:r>
      <w:r>
        <w:rPr>
          <w:b/>
        </w:rPr>
        <w:fldChar w:fldCharType="separate"/>
      </w:r>
      <w:r w:rsidR="00360740">
        <w:rPr>
          <w:noProof/>
        </w:rPr>
        <w:t>B.1</w:t>
      </w:r>
      <w:r w:rsidR="00360740">
        <w:rPr>
          <w:noProof/>
        </w:rPr>
        <w:tab/>
        <w:t>Pace Enrollees by For-Profit Versus Not-For-Profit Status</w:t>
      </w:r>
      <w:r w:rsidR="00360740">
        <w:rPr>
          <w:noProof/>
        </w:rPr>
        <w:tab/>
      </w:r>
      <w:r>
        <w:rPr>
          <w:noProof/>
        </w:rPr>
        <w:fldChar w:fldCharType="begin"/>
      </w:r>
      <w:r w:rsidR="00360740">
        <w:rPr>
          <w:noProof/>
        </w:rPr>
        <w:instrText xml:space="preserve"> PAGEREF _Toc318279323 \h </w:instrText>
      </w:r>
      <w:r>
        <w:rPr>
          <w:noProof/>
        </w:rPr>
      </w:r>
      <w:r>
        <w:rPr>
          <w:noProof/>
        </w:rPr>
        <w:fldChar w:fldCharType="separate"/>
      </w:r>
      <w:r w:rsidR="00360740">
        <w:rPr>
          <w:noProof/>
        </w:rPr>
        <w:t>2</w:t>
      </w:r>
      <w:r>
        <w:rPr>
          <w:noProof/>
        </w:rPr>
        <w:fldChar w:fldCharType="end"/>
      </w:r>
    </w:p>
    <w:p w:rsidR="00360740" w:rsidRDefault="00360740" w:rsidP="00360740">
      <w:pPr>
        <w:pStyle w:val="TableofFigures"/>
        <w:rPr>
          <w:rFonts w:asciiTheme="minorHAnsi" w:eastAsiaTheme="minorEastAsia" w:hAnsiTheme="minorHAnsi" w:cstheme="minorBidi"/>
          <w:noProof/>
          <w:szCs w:val="22"/>
        </w:rPr>
      </w:pPr>
      <w:r>
        <w:rPr>
          <w:noProof/>
        </w:rPr>
        <w:t>B.2</w:t>
      </w:r>
      <w:r>
        <w:rPr>
          <w:noProof/>
        </w:rPr>
        <w:tab/>
        <w:t>Target PACE Samples</w:t>
      </w:r>
      <w:r>
        <w:rPr>
          <w:noProof/>
        </w:rPr>
        <w:tab/>
      </w:r>
      <w:r w:rsidR="00060598">
        <w:rPr>
          <w:noProof/>
        </w:rPr>
        <w:fldChar w:fldCharType="begin"/>
      </w:r>
      <w:r>
        <w:rPr>
          <w:noProof/>
        </w:rPr>
        <w:instrText xml:space="preserve"> PAGEREF _Toc318279324 \h </w:instrText>
      </w:r>
      <w:r w:rsidR="00060598">
        <w:rPr>
          <w:noProof/>
        </w:rPr>
      </w:r>
      <w:r w:rsidR="00060598">
        <w:rPr>
          <w:noProof/>
        </w:rPr>
        <w:fldChar w:fldCharType="separate"/>
      </w:r>
      <w:r>
        <w:rPr>
          <w:noProof/>
        </w:rPr>
        <w:t>3</w:t>
      </w:r>
      <w:r w:rsidR="00060598">
        <w:rPr>
          <w:noProof/>
        </w:rPr>
        <w:fldChar w:fldCharType="end"/>
      </w:r>
    </w:p>
    <w:p w:rsidR="00360740" w:rsidRDefault="00360740" w:rsidP="00360740">
      <w:pPr>
        <w:pStyle w:val="TableofFigures"/>
        <w:rPr>
          <w:rFonts w:asciiTheme="minorHAnsi" w:eastAsiaTheme="minorEastAsia" w:hAnsiTheme="minorHAnsi" w:cstheme="minorBidi"/>
          <w:noProof/>
          <w:szCs w:val="22"/>
        </w:rPr>
      </w:pPr>
      <w:r>
        <w:rPr>
          <w:noProof/>
        </w:rPr>
        <w:t>B.3</w:t>
      </w:r>
      <w:r>
        <w:rPr>
          <w:noProof/>
        </w:rPr>
        <w:tab/>
        <w:t>Design effects, Statistical Power, and Detectable Differences</w:t>
      </w:r>
      <w:r>
        <w:rPr>
          <w:noProof/>
        </w:rPr>
        <w:tab/>
      </w:r>
      <w:r w:rsidR="00060598">
        <w:rPr>
          <w:noProof/>
        </w:rPr>
        <w:fldChar w:fldCharType="begin"/>
      </w:r>
      <w:r>
        <w:rPr>
          <w:noProof/>
        </w:rPr>
        <w:instrText xml:space="preserve"> PAGEREF _Toc318279325 \h </w:instrText>
      </w:r>
      <w:r w:rsidR="00060598">
        <w:rPr>
          <w:noProof/>
        </w:rPr>
      </w:r>
      <w:r w:rsidR="00060598">
        <w:rPr>
          <w:noProof/>
        </w:rPr>
        <w:fldChar w:fldCharType="separate"/>
      </w:r>
      <w:r>
        <w:rPr>
          <w:noProof/>
        </w:rPr>
        <w:t>6</w:t>
      </w:r>
      <w:r w:rsidR="00060598">
        <w:rPr>
          <w:noProof/>
        </w:rPr>
        <w:fldChar w:fldCharType="end"/>
      </w:r>
    </w:p>
    <w:p w:rsidR="00F906A9" w:rsidRDefault="00060598" w:rsidP="00360740">
      <w:r>
        <w:rPr>
          <w:b/>
        </w:rPr>
        <w:fldChar w:fldCharType="end"/>
      </w:r>
    </w:p>
    <w:p w:rsidR="00F906A9" w:rsidRDefault="00F906A9" w:rsidP="00360740"/>
    <w:p w:rsidR="00F906A9" w:rsidRDefault="00F906A9" w:rsidP="00360740"/>
    <w:p w:rsidR="00F906A9" w:rsidRDefault="00F906A9" w:rsidP="00360740"/>
    <w:p w:rsidR="00F906A9" w:rsidRDefault="00F906A9" w:rsidP="00F906A9">
      <w:pPr>
        <w:pStyle w:val="Heading2Black"/>
        <w:jc w:val="center"/>
      </w:pPr>
    </w:p>
    <w:p w:rsidR="00223CF8" w:rsidRDefault="00223CF8" w:rsidP="00F906A9">
      <w:pPr>
        <w:pStyle w:val="Heading2Black"/>
        <w:jc w:val="center"/>
        <w:sectPr w:rsidR="00223CF8" w:rsidSect="00360740">
          <w:headerReference w:type="default" r:id="rId15"/>
          <w:footerReference w:type="default" r:id="rId16"/>
          <w:endnotePr>
            <w:numFmt w:val="decimal"/>
          </w:endnotePr>
          <w:pgSz w:w="12240" w:h="15840" w:code="1"/>
          <w:pgMar w:top="1440" w:right="1440" w:bottom="576" w:left="1440" w:header="720" w:footer="576" w:gutter="0"/>
          <w:pgNumType w:fmt="lowerRoman"/>
          <w:cols w:space="720"/>
          <w:docGrid w:linePitch="326"/>
        </w:sectPr>
      </w:pPr>
    </w:p>
    <w:p w:rsidR="004F27CC" w:rsidRPr="005E3A2F" w:rsidRDefault="00F906A9" w:rsidP="005E3A2F">
      <w:pPr>
        <w:pStyle w:val="Heading1Black"/>
      </w:pPr>
      <w:bookmarkStart w:id="15" w:name="_Toc318291333"/>
      <w:r w:rsidRPr="005E3A2F">
        <w:lastRenderedPageBreak/>
        <w:t xml:space="preserve">PART </w:t>
      </w:r>
      <w:r w:rsidR="004F27CC" w:rsidRPr="005E3A2F">
        <w:t>B.</w:t>
      </w:r>
      <w:r w:rsidR="004F27CC" w:rsidRPr="005E3A2F">
        <w:tab/>
      </w:r>
      <w:r w:rsidR="005E3A2F" w:rsidRPr="005E3A2F">
        <w:t>Supporting Statement for Paperwork Reduction Act Submission</w:t>
      </w:r>
      <w:bookmarkEnd w:id="15"/>
      <w:r w:rsidR="005E3A2F" w:rsidRPr="005E3A2F">
        <w:t xml:space="preserve"> </w:t>
      </w:r>
    </w:p>
    <w:p w:rsidR="00A3104B" w:rsidRPr="005E3A2F" w:rsidRDefault="00A3104B" w:rsidP="005E3A2F">
      <w:pPr>
        <w:pStyle w:val="Heading2Black"/>
      </w:pPr>
      <w:bookmarkStart w:id="16" w:name="_Toc318291334"/>
      <w:r w:rsidRPr="005E3A2F">
        <w:t>B.</w:t>
      </w:r>
      <w:r w:rsidRPr="005E3A2F">
        <w:tab/>
      </w:r>
      <w:r w:rsidR="005E3A2F" w:rsidRPr="005E3A2F">
        <w:t xml:space="preserve">Collection </w:t>
      </w:r>
      <w:r w:rsidR="005E3A2F">
        <w:t>o</w:t>
      </w:r>
      <w:r w:rsidR="005E3A2F" w:rsidRPr="005E3A2F">
        <w:t>f Information Employing Statistical Methods</w:t>
      </w:r>
      <w:bookmarkEnd w:id="16"/>
      <w:r w:rsidR="005E3A2F" w:rsidRPr="005E3A2F">
        <w:t xml:space="preserve"> </w:t>
      </w:r>
    </w:p>
    <w:p w:rsidR="004F27CC" w:rsidRDefault="004F27CC" w:rsidP="009029F2">
      <w:pPr>
        <w:pStyle w:val="Heading3"/>
      </w:pPr>
      <w:bookmarkStart w:id="17" w:name="_Toc318291335"/>
      <w:r>
        <w:t>1.</w:t>
      </w:r>
      <w:r>
        <w:tab/>
        <w:t xml:space="preserve">Respondent Universe and </w:t>
      </w:r>
      <w:r w:rsidR="00FD5E3A">
        <w:t>Sampling Methods</w:t>
      </w:r>
      <w:bookmarkEnd w:id="17"/>
    </w:p>
    <w:p w:rsidR="00E51BED" w:rsidRDefault="00E51BED" w:rsidP="00467A56">
      <w:pPr>
        <w:tabs>
          <w:tab w:val="clear" w:pos="432"/>
        </w:tabs>
        <w:autoSpaceDE w:val="0"/>
        <w:autoSpaceDN w:val="0"/>
        <w:adjustRightInd w:val="0"/>
        <w:jc w:val="left"/>
      </w:pPr>
      <w:r>
        <w:t xml:space="preserve">The </w:t>
      </w:r>
      <w:r w:rsidR="0017301C">
        <w:t xml:space="preserve">study </w:t>
      </w:r>
      <w:r>
        <w:t xml:space="preserve">of for-profit PACE is designed to determine whether there are differences in access to and quality of care delivered to enrollees in for-profit PACE plans </w:t>
      </w:r>
      <w:r w:rsidR="0017301C">
        <w:t xml:space="preserve">taking part in the for-profit demonstration </w:t>
      </w:r>
      <w:r>
        <w:t xml:space="preserve">compared to those in not-for-profit PACE plans. We will estimate differences in access and quality </w:t>
      </w:r>
      <w:r w:rsidR="0017301C">
        <w:t xml:space="preserve">of care at these sites </w:t>
      </w:r>
      <w:r>
        <w:t>by com</w:t>
      </w:r>
      <w:r>
        <w:softHyphen/>
        <w:t xml:space="preserve">paring </w:t>
      </w:r>
      <w:r w:rsidRPr="005B0B7D">
        <w:t>the experience of for-profit PACE enrollees with that of not-for-profit enrollees. Because the only PACE plans</w:t>
      </w:r>
      <w:r>
        <w:t xml:space="preserve"> participating in the for-profit demonstration</w:t>
      </w:r>
      <w:r w:rsidRPr="005B0B7D">
        <w:t xml:space="preserve"> are in</w:t>
      </w:r>
      <w:r>
        <w:t xml:space="preserve"> Pennsylvania, we will compare the experiences of enrollees in these plans (</w:t>
      </w:r>
      <w:r w:rsidR="0048279F">
        <w:t xml:space="preserve">four </w:t>
      </w:r>
      <w:r>
        <w:t xml:space="preserve">total sites operated by </w:t>
      </w:r>
      <w:r w:rsidR="0048279F">
        <w:t xml:space="preserve">a common </w:t>
      </w:r>
      <w:r>
        <w:t>organization) to not- for-profit enrollees also in Pennsylvania.</w:t>
      </w:r>
      <w:r w:rsidR="00245C66">
        <w:rPr>
          <w:rStyle w:val="FootnoteReference"/>
        </w:rPr>
        <w:footnoteReference w:id="2"/>
      </w:r>
      <w:r>
        <w:t xml:space="preserve">   </w:t>
      </w:r>
      <w:r w:rsidR="00467A56">
        <w:t>Because of the small number of plans in the demonstration and their common ownership, this is essentially a case study of these plans, which limits the generalizability of the findings, but may provide useful insights into potential differences between for-profit and non-profit PACE plans</w:t>
      </w:r>
      <w:r w:rsidR="00467A56" w:rsidRPr="004F3C0B">
        <w:t>.</w:t>
      </w:r>
      <w:r w:rsidR="00467A56">
        <w:t xml:space="preserve"> </w:t>
      </w:r>
    </w:p>
    <w:p w:rsidR="00E51BED" w:rsidRDefault="00E51BED" w:rsidP="00223CF8">
      <w:r>
        <w:t xml:space="preserve">The general strategy is to (1) identify all PACE plans in Pennsylvania, (2) identify the universe of enrollees in the for-profit and not-for-profit PACE plans, (3) select a sample of for-profit PACE enrollees from the 5 for-profit sites with data that </w:t>
      </w:r>
      <w:r w:rsidR="00AF0A17">
        <w:t>will allow them to</w:t>
      </w:r>
      <w:r>
        <w:t xml:space="preserve"> be matched to enrollees at the not-for-profit sites, (4) select not-for-profit plans operating in areas with similar population demographics to the five for-profit sites, and (5) use propensity score matching to form strata to select a comparison group of not-for-profit enrollees that distributionally match the characteristics of for-profit PACE enrollees in Pennsylvania.   </w:t>
      </w:r>
    </w:p>
    <w:p w:rsidR="00E51BED" w:rsidRPr="009029F2" w:rsidRDefault="00E51BED" w:rsidP="009029F2">
      <w:pPr>
        <w:ind w:firstLine="0"/>
        <w:rPr>
          <w:b/>
        </w:rPr>
      </w:pPr>
      <w:r w:rsidRPr="009029F2">
        <w:rPr>
          <w:b/>
        </w:rPr>
        <w:t>a.</w:t>
      </w:r>
      <w:r w:rsidRPr="009029F2">
        <w:rPr>
          <w:b/>
        </w:rPr>
        <w:tab/>
        <w:t>Selection of For-Profit PACE Enrollees</w:t>
      </w:r>
    </w:p>
    <w:p w:rsidR="00E51BED" w:rsidRDefault="00E51BED" w:rsidP="000A4D5F">
      <w:pPr>
        <w:ind w:firstLine="446"/>
      </w:pPr>
      <w:r>
        <w:lastRenderedPageBreak/>
        <w:t>The sampling frame for the for-profit PACE enrollees includes all individuals who are enrolled in for-profit PACE plans in Pennsylvania when the sample is drawn in 2012 and who are alive when the initial survey is administered. Because the target sample of for-profit enrollees is close to the total number of enrollees (reported later in Tables B.1 and B.2)  in for-profit plans and there are no major systematic differences between for-profit and not-for-profit enrollees that would lead us to take a targeted sample of for-profit enrollees, we will draw a random sample from the for-profit frame.</w:t>
      </w:r>
      <w:r w:rsidRPr="000A4D5F">
        <w:rPr>
          <w:vertAlign w:val="superscript"/>
        </w:rPr>
        <w:footnoteReference w:id="3"/>
      </w:r>
      <w:r>
        <w:t xml:space="preserve"> </w:t>
      </w:r>
    </w:p>
    <w:p w:rsidR="00E51BED" w:rsidRPr="008367CB" w:rsidRDefault="00AE6186" w:rsidP="00E51BED">
      <w:pPr>
        <w:ind w:firstLine="0"/>
        <w:rPr>
          <w:b/>
        </w:rPr>
      </w:pPr>
      <w:r>
        <w:rPr>
          <w:b/>
        </w:rPr>
        <w:t>b.</w:t>
      </w:r>
      <w:r>
        <w:rPr>
          <w:b/>
        </w:rPr>
        <w:tab/>
      </w:r>
      <w:r w:rsidR="00E51BED" w:rsidRPr="008367CB">
        <w:rPr>
          <w:b/>
        </w:rPr>
        <w:t xml:space="preserve">Comparison Group </w:t>
      </w:r>
    </w:p>
    <w:p w:rsidR="00E51BED" w:rsidRDefault="00E51BED" w:rsidP="00E51BED">
      <w:pPr>
        <w:ind w:firstLine="450"/>
      </w:pPr>
      <w:r>
        <w:t>Similar to the for-profit sample, the sampling frame for the comparison group consists of individuals who enrolled in not-for-profit PACE plans in Pennsylvania when the sample is drawn in 2012 and who are alive when the initial survey is administered. The comparison sample will be drawn from a subset of not-for-profit sites in Pennsylvania that have similar population demographics to the for-profit sites.</w:t>
      </w:r>
      <w:r w:rsidR="00AF0A17">
        <w:t xml:space="preserve"> We will use urban/rural status, the racial composition of the local population, and the percentage living in poverty to identify the not-for-profit sites to be included in the study.</w:t>
      </w:r>
      <w:r>
        <w:t xml:space="preserve"> We will obtain the local population demographics data from the U.S. Census Bureau decennial census and the American Community Survey.</w:t>
      </w:r>
    </w:p>
    <w:p w:rsidR="00E51BED" w:rsidRDefault="00E51BED" w:rsidP="00E51BED">
      <w:pPr>
        <w:pStyle w:val="ParagraphLAST"/>
        <w:spacing w:line="480" w:lineRule="auto"/>
        <w:rPr>
          <w:szCs w:val="24"/>
        </w:rPr>
      </w:pPr>
      <w:r w:rsidRPr="00E51BED">
        <w:rPr>
          <w:szCs w:val="24"/>
        </w:rPr>
        <w:t xml:space="preserve">We </w:t>
      </w:r>
      <w:r w:rsidR="00602161">
        <w:rPr>
          <w:szCs w:val="24"/>
        </w:rPr>
        <w:t>will use</w:t>
      </w:r>
      <w:r w:rsidRPr="00E51BED">
        <w:rPr>
          <w:szCs w:val="24"/>
        </w:rPr>
        <w:t xml:space="preserve"> the MARx database (Medicare Advantage Prescription Drug System) to identify all individuals enrolled in PACE plans in Pennsylvania. The number of enrollees in the state </w:t>
      </w:r>
      <w:r w:rsidR="00602161">
        <w:rPr>
          <w:szCs w:val="24"/>
        </w:rPr>
        <w:t xml:space="preserve">as of the fourth quarter of 2011 </w:t>
      </w:r>
      <w:r w:rsidRPr="00E51BED">
        <w:rPr>
          <w:szCs w:val="24"/>
        </w:rPr>
        <w:t xml:space="preserve">by for-profit versus not-for-profit plan status is shown in Table B.1.  </w:t>
      </w:r>
    </w:p>
    <w:p w:rsidR="00E51BED" w:rsidRPr="00881F3D" w:rsidRDefault="009029F2" w:rsidP="009029F2">
      <w:pPr>
        <w:pStyle w:val="MarkforTableHeading"/>
        <w:rPr>
          <w:sz w:val="18"/>
          <w:szCs w:val="18"/>
        </w:rPr>
      </w:pPr>
      <w:bookmarkStart w:id="18" w:name="_Toc318279323"/>
      <w:r w:rsidRPr="00881F3D">
        <w:rPr>
          <w:sz w:val="18"/>
          <w:szCs w:val="18"/>
        </w:rPr>
        <w:lastRenderedPageBreak/>
        <w:t>Table B.1. Pace Enrollees by For-Profit Versus Not-For-Profit Status</w:t>
      </w:r>
      <w:bookmarkEnd w:id="18"/>
    </w:p>
    <w:tbl>
      <w:tblPr>
        <w:tblW w:w="5000" w:type="pct"/>
        <w:tblCellMar>
          <w:left w:w="0" w:type="dxa"/>
          <w:right w:w="0" w:type="dxa"/>
        </w:tblCellMar>
        <w:tblLook w:val="0000" w:firstRow="0" w:lastRow="0" w:firstColumn="0" w:lastColumn="0" w:noHBand="0" w:noVBand="0"/>
      </w:tblPr>
      <w:tblGrid>
        <w:gridCol w:w="3289"/>
        <w:gridCol w:w="6088"/>
      </w:tblGrid>
      <w:tr w:rsidR="00E51BED" w:rsidRPr="00881F3D" w:rsidTr="00360740">
        <w:trPr>
          <w:cantSplit/>
          <w:tblHeader/>
        </w:trPr>
        <w:tc>
          <w:tcPr>
            <w:tcW w:w="1754" w:type="pct"/>
            <w:tcBorders>
              <w:top w:val="single" w:sz="4" w:space="0" w:color="auto"/>
              <w:left w:val="nil"/>
              <w:bottom w:val="single" w:sz="4" w:space="0" w:color="auto"/>
              <w:right w:val="nil"/>
            </w:tcBorders>
            <w:noWrap/>
            <w:tcMar>
              <w:top w:w="17" w:type="dxa"/>
              <w:left w:w="17" w:type="dxa"/>
              <w:bottom w:w="0" w:type="dxa"/>
              <w:right w:w="17" w:type="dxa"/>
            </w:tcMar>
            <w:vAlign w:val="bottom"/>
          </w:tcPr>
          <w:p w:rsidR="00E51BED" w:rsidRPr="00881F3D" w:rsidRDefault="00E51BED" w:rsidP="009029F2">
            <w:pPr>
              <w:pStyle w:val="TableHeaderCenter"/>
              <w:rPr>
                <w:sz w:val="18"/>
                <w:szCs w:val="18"/>
              </w:rPr>
            </w:pPr>
          </w:p>
        </w:tc>
        <w:tc>
          <w:tcPr>
            <w:tcW w:w="3246" w:type="pct"/>
            <w:tcBorders>
              <w:top w:val="single" w:sz="4" w:space="0" w:color="auto"/>
              <w:left w:val="nil"/>
              <w:bottom w:val="single" w:sz="4" w:space="0" w:color="auto"/>
              <w:right w:val="nil"/>
            </w:tcBorders>
            <w:vAlign w:val="bottom"/>
          </w:tcPr>
          <w:p w:rsidR="00E51BED" w:rsidRPr="00881F3D" w:rsidRDefault="00E51BED" w:rsidP="00CE6EDC">
            <w:pPr>
              <w:pStyle w:val="TableHeaderCenter"/>
              <w:rPr>
                <w:sz w:val="18"/>
                <w:szCs w:val="18"/>
              </w:rPr>
            </w:pPr>
            <w:r w:rsidRPr="00881F3D">
              <w:rPr>
                <w:sz w:val="18"/>
                <w:szCs w:val="18"/>
              </w:rPr>
              <w:t>Total</w:t>
            </w:r>
            <w:r w:rsidR="00CE6EDC" w:rsidRPr="00881F3D">
              <w:rPr>
                <w:sz w:val="18"/>
                <w:szCs w:val="18"/>
              </w:rPr>
              <w:t xml:space="preserve"> </w:t>
            </w:r>
            <w:r w:rsidRPr="00881F3D">
              <w:rPr>
                <w:sz w:val="18"/>
                <w:szCs w:val="18"/>
              </w:rPr>
              <w:t>Enrollees</w:t>
            </w:r>
          </w:p>
        </w:tc>
      </w:tr>
      <w:tr w:rsidR="00E51BED" w:rsidRPr="00881F3D" w:rsidTr="00360740">
        <w:trPr>
          <w:trHeight w:val="255"/>
        </w:trPr>
        <w:tc>
          <w:tcPr>
            <w:tcW w:w="1754" w:type="pct"/>
            <w:tcBorders>
              <w:top w:val="single" w:sz="4" w:space="0" w:color="auto"/>
              <w:left w:val="nil"/>
              <w:right w:val="nil"/>
            </w:tcBorders>
            <w:noWrap/>
            <w:tcMar>
              <w:top w:w="17" w:type="dxa"/>
              <w:left w:w="17" w:type="dxa"/>
              <w:bottom w:w="0" w:type="dxa"/>
              <w:right w:w="17" w:type="dxa"/>
            </w:tcMar>
          </w:tcPr>
          <w:p w:rsidR="00E51BED" w:rsidRPr="00881F3D" w:rsidRDefault="00E51BED" w:rsidP="009029F2">
            <w:pPr>
              <w:pStyle w:val="TableText"/>
              <w:spacing w:before="60"/>
              <w:rPr>
                <w:bCs/>
                <w:sz w:val="18"/>
                <w:szCs w:val="18"/>
              </w:rPr>
            </w:pPr>
            <w:r w:rsidRPr="00881F3D">
              <w:rPr>
                <w:sz w:val="18"/>
                <w:szCs w:val="18"/>
              </w:rPr>
              <w:t>For-Profit PACE Enrollees</w:t>
            </w:r>
          </w:p>
        </w:tc>
        <w:tc>
          <w:tcPr>
            <w:tcW w:w="3246" w:type="pct"/>
            <w:tcBorders>
              <w:top w:val="single" w:sz="4" w:space="0" w:color="auto"/>
              <w:left w:val="nil"/>
              <w:right w:val="nil"/>
            </w:tcBorders>
          </w:tcPr>
          <w:p w:rsidR="00E51BED" w:rsidRPr="00881F3D" w:rsidRDefault="008D0585" w:rsidP="00CE6EDC">
            <w:pPr>
              <w:pStyle w:val="TableText"/>
              <w:tabs>
                <w:tab w:val="decimal" w:pos="3256"/>
              </w:tabs>
              <w:spacing w:before="60"/>
              <w:rPr>
                <w:bCs/>
                <w:sz w:val="18"/>
                <w:szCs w:val="18"/>
              </w:rPr>
            </w:pPr>
            <w:r w:rsidRPr="00881F3D">
              <w:rPr>
                <w:bCs/>
                <w:sz w:val="18"/>
                <w:szCs w:val="18"/>
              </w:rPr>
              <w:t>512</w:t>
            </w:r>
          </w:p>
        </w:tc>
      </w:tr>
      <w:tr w:rsidR="00E51BED" w:rsidRPr="00881F3D" w:rsidTr="00360740">
        <w:trPr>
          <w:trHeight w:val="255"/>
        </w:trPr>
        <w:tc>
          <w:tcPr>
            <w:tcW w:w="1754" w:type="pct"/>
            <w:tcBorders>
              <w:left w:val="nil"/>
              <w:right w:val="nil"/>
            </w:tcBorders>
            <w:noWrap/>
            <w:tcMar>
              <w:top w:w="17" w:type="dxa"/>
              <w:left w:w="17" w:type="dxa"/>
              <w:bottom w:w="0" w:type="dxa"/>
              <w:right w:w="17" w:type="dxa"/>
            </w:tcMar>
          </w:tcPr>
          <w:p w:rsidR="00E51BED" w:rsidRPr="00881F3D" w:rsidRDefault="00E51BED" w:rsidP="009029F2">
            <w:pPr>
              <w:pStyle w:val="TableText"/>
              <w:spacing w:before="60"/>
              <w:rPr>
                <w:bCs/>
                <w:sz w:val="18"/>
                <w:szCs w:val="18"/>
              </w:rPr>
            </w:pPr>
            <w:r w:rsidRPr="00881F3D">
              <w:rPr>
                <w:sz w:val="18"/>
                <w:szCs w:val="18"/>
              </w:rPr>
              <w:t>Not-For-Profit PACE Enrollees</w:t>
            </w:r>
          </w:p>
        </w:tc>
        <w:tc>
          <w:tcPr>
            <w:tcW w:w="3246" w:type="pct"/>
            <w:tcBorders>
              <w:left w:val="nil"/>
              <w:right w:val="nil"/>
            </w:tcBorders>
          </w:tcPr>
          <w:p w:rsidR="00E51BED" w:rsidRPr="00881F3D" w:rsidRDefault="00E51BED" w:rsidP="00CE6EDC">
            <w:pPr>
              <w:pStyle w:val="TableText"/>
              <w:tabs>
                <w:tab w:val="decimal" w:pos="3256"/>
              </w:tabs>
              <w:spacing w:before="60"/>
              <w:rPr>
                <w:bCs/>
                <w:sz w:val="18"/>
                <w:szCs w:val="18"/>
              </w:rPr>
            </w:pPr>
            <w:r w:rsidRPr="00881F3D">
              <w:rPr>
                <w:bCs/>
                <w:sz w:val="18"/>
                <w:szCs w:val="18"/>
              </w:rPr>
              <w:t>2,428</w:t>
            </w:r>
          </w:p>
        </w:tc>
      </w:tr>
      <w:tr w:rsidR="00E51BED" w:rsidRPr="00881F3D" w:rsidTr="00360740">
        <w:trPr>
          <w:trHeight w:val="255"/>
        </w:trPr>
        <w:tc>
          <w:tcPr>
            <w:tcW w:w="1754" w:type="pct"/>
            <w:tcBorders>
              <w:top w:val="single" w:sz="4" w:space="0" w:color="auto"/>
              <w:left w:val="nil"/>
              <w:bottom w:val="single" w:sz="4" w:space="0" w:color="auto"/>
              <w:right w:val="nil"/>
            </w:tcBorders>
            <w:noWrap/>
            <w:tcMar>
              <w:top w:w="17" w:type="dxa"/>
              <w:left w:w="17" w:type="dxa"/>
              <w:bottom w:w="0" w:type="dxa"/>
              <w:right w:w="17" w:type="dxa"/>
            </w:tcMar>
            <w:vAlign w:val="bottom"/>
          </w:tcPr>
          <w:p w:rsidR="00E51BED" w:rsidRPr="00881F3D" w:rsidRDefault="00E51BED" w:rsidP="009029F2">
            <w:pPr>
              <w:pStyle w:val="TableText"/>
              <w:spacing w:before="60"/>
              <w:rPr>
                <w:b/>
                <w:sz w:val="18"/>
                <w:szCs w:val="18"/>
              </w:rPr>
            </w:pPr>
            <w:r w:rsidRPr="00881F3D">
              <w:rPr>
                <w:b/>
                <w:sz w:val="18"/>
                <w:szCs w:val="18"/>
              </w:rPr>
              <w:t>Total</w:t>
            </w:r>
          </w:p>
        </w:tc>
        <w:tc>
          <w:tcPr>
            <w:tcW w:w="3246" w:type="pct"/>
            <w:tcBorders>
              <w:top w:val="single" w:sz="4" w:space="0" w:color="auto"/>
              <w:left w:val="nil"/>
              <w:bottom w:val="single" w:sz="4" w:space="0" w:color="auto"/>
              <w:right w:val="nil"/>
            </w:tcBorders>
          </w:tcPr>
          <w:p w:rsidR="00E51BED" w:rsidRPr="00881F3D" w:rsidRDefault="00E51BED" w:rsidP="00CE6EDC">
            <w:pPr>
              <w:pStyle w:val="TableText"/>
              <w:tabs>
                <w:tab w:val="decimal" w:pos="3256"/>
              </w:tabs>
              <w:spacing w:before="60"/>
              <w:rPr>
                <w:rFonts w:cs="Arial"/>
                <w:b/>
                <w:sz w:val="18"/>
                <w:szCs w:val="18"/>
              </w:rPr>
            </w:pPr>
            <w:r w:rsidRPr="00881F3D">
              <w:rPr>
                <w:rFonts w:cs="Arial"/>
                <w:b/>
                <w:sz w:val="18"/>
                <w:szCs w:val="18"/>
              </w:rPr>
              <w:t>3,078</w:t>
            </w:r>
          </w:p>
        </w:tc>
      </w:tr>
    </w:tbl>
    <w:p w:rsidR="00360740" w:rsidRPr="00881F3D" w:rsidRDefault="00E51BED" w:rsidP="00881F3D">
      <w:pPr>
        <w:pStyle w:val="TableFootnoteCaption"/>
        <w:spacing w:after="0"/>
        <w:rPr>
          <w:sz w:val="18"/>
          <w:szCs w:val="18"/>
        </w:rPr>
      </w:pPr>
      <w:r w:rsidRPr="00881F3D">
        <w:rPr>
          <w:sz w:val="18"/>
          <w:szCs w:val="18"/>
          <w:vertAlign w:val="superscript"/>
        </w:rPr>
        <w:t xml:space="preserve">a </w:t>
      </w:r>
      <w:r w:rsidRPr="00881F3D">
        <w:rPr>
          <w:sz w:val="18"/>
          <w:szCs w:val="18"/>
        </w:rPr>
        <w:t>Enrolled in PACE in Pennsylvania and alive as of the 4th quarter of calendar year 2011.</w:t>
      </w:r>
      <w:r w:rsidR="00360740">
        <w:br w:type="page"/>
      </w:r>
    </w:p>
    <w:p w:rsidR="00E51BED" w:rsidRPr="009029F2" w:rsidRDefault="00E51BED" w:rsidP="009029F2">
      <w:pPr>
        <w:ind w:left="72" w:hanging="72"/>
        <w:rPr>
          <w:b/>
        </w:rPr>
      </w:pPr>
      <w:r w:rsidRPr="009029F2">
        <w:rPr>
          <w:b/>
        </w:rPr>
        <w:lastRenderedPageBreak/>
        <w:t>c.</w:t>
      </w:r>
      <w:r w:rsidRPr="009029F2">
        <w:rPr>
          <w:b/>
        </w:rPr>
        <w:tab/>
        <w:t>Allocation of the Survey Sample</w:t>
      </w:r>
    </w:p>
    <w:p w:rsidR="00E51BED" w:rsidRDefault="00E51BED" w:rsidP="00E51BED">
      <w:pPr>
        <w:ind w:firstLine="450"/>
      </w:pPr>
      <w:r>
        <w:t xml:space="preserve">The sample design and allocation is based on the primary analytic objective:  to compare access to and quality of care for enrollees in </w:t>
      </w:r>
      <w:r w:rsidR="00883C65">
        <w:t xml:space="preserve">the </w:t>
      </w:r>
      <w:r>
        <w:t xml:space="preserve">for-profit PACE plans </w:t>
      </w:r>
      <w:r w:rsidR="00883C65">
        <w:t xml:space="preserve">taking part in the for-profit demonstration </w:t>
      </w:r>
      <w:r>
        <w:t>to those in not-for-profit PACE plans</w:t>
      </w:r>
      <w:r w:rsidR="00883C65">
        <w:t xml:space="preserve"> in Pennsylvania</w:t>
      </w:r>
      <w:r>
        <w:t>. To make this comparison, the sample of for-profit PACE enrollees needs to match characteristics of the not-for-profit PACE enrollees.</w:t>
      </w:r>
      <w:r w:rsidRPr="00876C72">
        <w:t xml:space="preserve"> </w:t>
      </w:r>
      <w:r>
        <w:t xml:space="preserve">For the not-for-profit PACE comparison sample, the sample allocation will be based on strata formed on the basis of the propensity scoring of the for-profit PACE enrollees. </w:t>
      </w:r>
    </w:p>
    <w:p w:rsidR="00E51BED" w:rsidRDefault="00E51BED" w:rsidP="00E51BED">
      <w:pPr>
        <w:ind w:firstLine="450"/>
      </w:pPr>
      <w:r>
        <w:t>We will target 650 completed interviews, 325 for-profit enrollees and 325 not-for-profit enrollees. Assuming an 80 percent response rate, the initial sample size will be set at 813 enrollees (Table B.2). The universe of for-profit PACE enrollees is large enough (</w:t>
      </w:r>
      <w:r w:rsidR="008D0585">
        <w:t>512</w:t>
      </w:r>
      <w:r w:rsidR="008D0585" w:rsidRPr="006B3914">
        <w:t xml:space="preserve"> </w:t>
      </w:r>
      <w:r w:rsidRPr="006B3914">
        <w:t>from Table B.</w:t>
      </w:r>
      <w:r>
        <w:t>1) to support the initial target sample of 406 enrollees. In addition, the number of comparison group members available (</w:t>
      </w:r>
      <w:r w:rsidRPr="006B3914">
        <w:t>2,428 from Table B.</w:t>
      </w:r>
      <w:r>
        <w:t xml:space="preserve">1) substantially exceeds the sample of for-profit PACE enrollees. </w:t>
      </w:r>
    </w:p>
    <w:p w:rsidR="00E51BED" w:rsidRDefault="00E51BED" w:rsidP="009029F2">
      <w:pPr>
        <w:pStyle w:val="MarkforTableHeading"/>
      </w:pPr>
      <w:bookmarkStart w:id="19" w:name="_Toc318279324"/>
      <w:r>
        <w:t>Table B</w:t>
      </w:r>
      <w:r w:rsidR="009029F2">
        <w:t xml:space="preserve">.2. </w:t>
      </w:r>
      <w:r>
        <w:t>T</w:t>
      </w:r>
      <w:r w:rsidR="009029F2">
        <w:t>arget</w:t>
      </w:r>
      <w:r>
        <w:t xml:space="preserve"> P</w:t>
      </w:r>
      <w:r w:rsidR="009029F2">
        <w:t>ACE</w:t>
      </w:r>
      <w:r>
        <w:t xml:space="preserve"> S</w:t>
      </w:r>
      <w:r w:rsidR="009029F2">
        <w:t>amples</w:t>
      </w:r>
      <w:bookmarkEnd w:id="19"/>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843"/>
        <w:gridCol w:w="4747"/>
      </w:tblGrid>
      <w:tr w:rsidR="00E51BED" w:rsidTr="001D6D46">
        <w:tc>
          <w:tcPr>
            <w:tcW w:w="2525" w:type="pct"/>
            <w:tcBorders>
              <w:top w:val="single" w:sz="4" w:space="0" w:color="auto"/>
              <w:left w:val="nil"/>
              <w:bottom w:val="single" w:sz="4" w:space="0" w:color="auto"/>
              <w:right w:val="nil"/>
            </w:tcBorders>
          </w:tcPr>
          <w:p w:rsidR="00E51BED" w:rsidRDefault="00E51BED" w:rsidP="009029F2">
            <w:pPr>
              <w:pStyle w:val="TableHeaderCenter"/>
            </w:pPr>
          </w:p>
        </w:tc>
        <w:tc>
          <w:tcPr>
            <w:tcW w:w="2475" w:type="pct"/>
            <w:tcBorders>
              <w:top w:val="single" w:sz="4" w:space="0" w:color="auto"/>
              <w:left w:val="nil"/>
              <w:bottom w:val="single" w:sz="4" w:space="0" w:color="auto"/>
              <w:right w:val="nil"/>
            </w:tcBorders>
          </w:tcPr>
          <w:p w:rsidR="00E51BED" w:rsidRDefault="00E51BED" w:rsidP="001D6D46">
            <w:pPr>
              <w:pStyle w:val="TableHeaderCenter"/>
              <w:tabs>
                <w:tab w:val="clear" w:pos="432"/>
                <w:tab w:val="left" w:pos="-73"/>
              </w:tabs>
            </w:pPr>
            <w:r>
              <w:t>Target</w:t>
            </w:r>
            <w:r w:rsidR="00F71B48">
              <w:t xml:space="preserve"> </w:t>
            </w:r>
            <w:r>
              <w:t>Sample</w:t>
            </w:r>
          </w:p>
        </w:tc>
      </w:tr>
      <w:tr w:rsidR="00E51BED" w:rsidTr="001D6D46">
        <w:tc>
          <w:tcPr>
            <w:tcW w:w="2525" w:type="pct"/>
            <w:tcBorders>
              <w:top w:val="single" w:sz="4" w:space="0" w:color="auto"/>
              <w:left w:val="nil"/>
              <w:bottom w:val="nil"/>
              <w:right w:val="nil"/>
            </w:tcBorders>
          </w:tcPr>
          <w:p w:rsidR="00E51BED" w:rsidRDefault="00E51BED" w:rsidP="009029F2">
            <w:pPr>
              <w:pStyle w:val="TableText"/>
              <w:spacing w:before="60"/>
            </w:pPr>
            <w:r>
              <w:t xml:space="preserve">For-Profit PACE </w:t>
            </w:r>
          </w:p>
        </w:tc>
        <w:tc>
          <w:tcPr>
            <w:tcW w:w="2475" w:type="pct"/>
            <w:tcBorders>
              <w:top w:val="single" w:sz="4" w:space="0" w:color="auto"/>
              <w:left w:val="nil"/>
              <w:bottom w:val="nil"/>
              <w:right w:val="nil"/>
            </w:tcBorders>
          </w:tcPr>
          <w:p w:rsidR="00E51BED" w:rsidRDefault="00E51BED" w:rsidP="001D6D46">
            <w:pPr>
              <w:pStyle w:val="TableText"/>
              <w:tabs>
                <w:tab w:val="decimal" w:pos="2357"/>
              </w:tabs>
              <w:spacing w:before="60"/>
            </w:pPr>
            <w:r>
              <w:t>406</w:t>
            </w:r>
          </w:p>
        </w:tc>
      </w:tr>
      <w:tr w:rsidR="00E51BED" w:rsidTr="001D6D46">
        <w:tc>
          <w:tcPr>
            <w:tcW w:w="2525" w:type="pct"/>
            <w:tcBorders>
              <w:top w:val="nil"/>
              <w:left w:val="nil"/>
              <w:bottom w:val="nil"/>
              <w:right w:val="nil"/>
            </w:tcBorders>
          </w:tcPr>
          <w:p w:rsidR="00E51BED" w:rsidRDefault="00E51BED" w:rsidP="009029F2">
            <w:pPr>
              <w:pStyle w:val="TableText"/>
              <w:spacing w:before="60"/>
            </w:pPr>
            <w:r>
              <w:t xml:space="preserve">Not-For-Profit PACE </w:t>
            </w:r>
          </w:p>
        </w:tc>
        <w:tc>
          <w:tcPr>
            <w:tcW w:w="2475" w:type="pct"/>
            <w:tcBorders>
              <w:top w:val="nil"/>
              <w:left w:val="nil"/>
              <w:bottom w:val="nil"/>
              <w:right w:val="nil"/>
            </w:tcBorders>
          </w:tcPr>
          <w:p w:rsidR="00E51BED" w:rsidRDefault="00E51BED" w:rsidP="001D6D46">
            <w:pPr>
              <w:pStyle w:val="TableText"/>
              <w:tabs>
                <w:tab w:val="decimal" w:pos="2357"/>
              </w:tabs>
              <w:spacing w:before="60"/>
            </w:pPr>
            <w:r>
              <w:t>407</w:t>
            </w:r>
          </w:p>
        </w:tc>
      </w:tr>
      <w:tr w:rsidR="00E51BED" w:rsidTr="001D6D46">
        <w:tc>
          <w:tcPr>
            <w:tcW w:w="2525" w:type="pct"/>
            <w:tcBorders>
              <w:top w:val="single" w:sz="4" w:space="0" w:color="auto"/>
              <w:left w:val="nil"/>
              <w:bottom w:val="single" w:sz="4" w:space="0" w:color="auto"/>
              <w:right w:val="nil"/>
            </w:tcBorders>
          </w:tcPr>
          <w:p w:rsidR="00E51BED" w:rsidRDefault="00E51BED" w:rsidP="009029F2">
            <w:pPr>
              <w:pStyle w:val="TableText"/>
              <w:spacing w:before="60"/>
              <w:rPr>
                <w:b/>
                <w:bCs/>
              </w:rPr>
            </w:pPr>
            <w:r>
              <w:rPr>
                <w:b/>
                <w:bCs/>
              </w:rPr>
              <w:t>Total</w:t>
            </w:r>
          </w:p>
        </w:tc>
        <w:tc>
          <w:tcPr>
            <w:tcW w:w="2475" w:type="pct"/>
            <w:tcBorders>
              <w:top w:val="single" w:sz="4" w:space="0" w:color="auto"/>
              <w:left w:val="nil"/>
              <w:bottom w:val="single" w:sz="4" w:space="0" w:color="auto"/>
              <w:right w:val="nil"/>
            </w:tcBorders>
          </w:tcPr>
          <w:p w:rsidR="00E51BED" w:rsidRDefault="00E51BED" w:rsidP="001D6D46">
            <w:pPr>
              <w:pStyle w:val="TableText"/>
              <w:tabs>
                <w:tab w:val="decimal" w:pos="2357"/>
              </w:tabs>
              <w:spacing w:before="60"/>
              <w:rPr>
                <w:b/>
                <w:bCs/>
              </w:rPr>
            </w:pPr>
            <w:r>
              <w:rPr>
                <w:b/>
                <w:bCs/>
              </w:rPr>
              <w:t>813</w:t>
            </w:r>
          </w:p>
        </w:tc>
      </w:tr>
    </w:tbl>
    <w:p w:rsidR="00E51BED" w:rsidRDefault="00E51BED" w:rsidP="009029F2">
      <w:pPr>
        <w:spacing w:line="240" w:lineRule="auto"/>
      </w:pPr>
    </w:p>
    <w:p w:rsidR="00E51BED" w:rsidRDefault="00E51BED" w:rsidP="00E51BED">
      <w:pPr>
        <w:ind w:firstLine="450"/>
      </w:pPr>
      <w:r>
        <w:t>To match the not-for-profit PACE sample to the for-profit PACE sample, we will distributionally match com</w:t>
      </w:r>
      <w:r>
        <w:softHyphen/>
        <w:t xml:space="preserve">parison group members to be similar to the for-profit PACE enrollees in the sample. We do this matching by computing propensity scores of for-profit PACE enrollees and not-for-profit PACE enrollees using the following variables:  </w:t>
      </w:r>
    </w:p>
    <w:p w:rsidR="00E51BED" w:rsidRDefault="00E51BED" w:rsidP="009029F2">
      <w:pPr>
        <w:pStyle w:val="BulletBlack"/>
      </w:pPr>
      <w:r>
        <w:t xml:space="preserve">Age </w:t>
      </w:r>
    </w:p>
    <w:p w:rsidR="00E51BED" w:rsidRDefault="00E51BED" w:rsidP="009029F2">
      <w:pPr>
        <w:pStyle w:val="BulletBlack"/>
      </w:pPr>
      <w:r>
        <w:t>Gender</w:t>
      </w:r>
    </w:p>
    <w:p w:rsidR="00E51BED" w:rsidRDefault="00E51BED" w:rsidP="009029F2">
      <w:pPr>
        <w:pStyle w:val="BulletBlack"/>
      </w:pPr>
      <w:r>
        <w:t>Medicaid enrollment</w:t>
      </w:r>
    </w:p>
    <w:p w:rsidR="00AF0A17" w:rsidRDefault="00AF0A17" w:rsidP="009029F2">
      <w:pPr>
        <w:pStyle w:val="BulletBlack"/>
      </w:pPr>
      <w:r>
        <w:t>Original reason for entitlement</w:t>
      </w:r>
    </w:p>
    <w:p w:rsidR="00E51BED" w:rsidRDefault="00E51BED" w:rsidP="009029F2">
      <w:pPr>
        <w:pStyle w:val="BulletBlackLastDS"/>
      </w:pPr>
      <w:r>
        <w:lastRenderedPageBreak/>
        <w:t>HCC score</w:t>
      </w:r>
      <w:r w:rsidR="00AF0A17">
        <w:t xml:space="preserve"> (or other available risk variables)</w:t>
      </w:r>
    </w:p>
    <w:p w:rsidR="00E51BED" w:rsidRDefault="00E51BED" w:rsidP="00E51BED">
      <w:pPr>
        <w:ind w:firstLine="450"/>
      </w:pPr>
      <w:r>
        <w:t xml:space="preserve">Using this information, we will compute probability of for-profit PACE entry for </w:t>
      </w:r>
      <w:r w:rsidR="00883C65">
        <w:t xml:space="preserve">enrollees </w:t>
      </w:r>
      <w:r>
        <w:t>in for-profit</w:t>
      </w:r>
      <w:r w:rsidR="00883C65">
        <w:t xml:space="preserve"> plans and enrollees in </w:t>
      </w:r>
      <w:r>
        <w:t>not-for-profit</w:t>
      </w:r>
      <w:r w:rsidR="00883C65">
        <w:t xml:space="preserve"> plans</w:t>
      </w:r>
      <w:r>
        <w:t xml:space="preserve"> using logistic regression. Next, we will order the for-profit PACE sample by the propensity score to identify levels of the scores to form th</w:t>
      </w:r>
      <w:r w:rsidR="00457E77">
        <w:t>e sampling strata for matching.</w:t>
      </w:r>
      <w:r>
        <w:t xml:space="preserve"> For example, assuming all PACE enrollees have a propensity score between 0.95 and 0.50, four strata may be formed based on propensity score values: (1) 0.95 to 0.80, (2) 0.80 to 0.70 (3) 0</w:t>
      </w:r>
      <w:r w:rsidR="00457E77">
        <w:t>.70 to 0.60, (4) 0.60 to 0.50.</w:t>
      </w:r>
      <w:r w:rsidR="00AF0A17">
        <w:rPr>
          <w:rStyle w:val="FootnoteReference"/>
        </w:rPr>
        <w:footnoteReference w:id="4"/>
      </w:r>
      <w:r w:rsidR="00457E77">
        <w:t xml:space="preserve"> </w:t>
      </w:r>
      <w:r>
        <w:t>We will form 5 strata of not-for-profit enrollees based on their propensity scores with the fifth stratum including not-for-profit enrollees with scores less than 0.50 (these not-for-profit enrollees will be excluded from further sample selection). The assumption is that not-for-profit enrollees who have a score between 0.95 and 0.80 are essentially comparable (based on the model) to the PACE enrollees with a score in that same range. Therefore, a random sample of the not-for-profit enrollees in this propensity score stratum will be comparable to the for-profit sample from the same stratum. We will proportionally allocate the not-for-profit sample across the propensity score strata to match the distribution of the for-profit enrollees in these same strata. That is, if 50 percent of the for-profit enrollee sample is from the propensity score stratum of 0.80 to 0.70 than 50 percent of the not-for-profit enrollee sample will be allocated to this stratum. Ultimately, the not-for-profit enrollee sample will match, in distribution, across propensity score strata to the for-profit enrollee sample.</w:t>
      </w:r>
    </w:p>
    <w:p w:rsidR="0045386D" w:rsidRDefault="0045386D" w:rsidP="009029F2">
      <w:pPr>
        <w:pStyle w:val="Heading3"/>
      </w:pPr>
      <w:bookmarkStart w:id="20" w:name="_Toc318291336"/>
      <w:r>
        <w:t>2.</w:t>
      </w:r>
      <w:r>
        <w:tab/>
        <w:t>Procedures for the Collection of Information</w:t>
      </w:r>
      <w:bookmarkEnd w:id="20"/>
    </w:p>
    <w:p w:rsidR="0045386D" w:rsidRDefault="0045386D" w:rsidP="0045386D">
      <w:r>
        <w:t>In this section, we consider several issues relevant to the patient interviews: unusual operation issues and statistical precision and minimum detectable differences.</w:t>
      </w:r>
    </w:p>
    <w:p w:rsidR="0045386D" w:rsidRPr="009029F2" w:rsidRDefault="0045386D" w:rsidP="009029F2">
      <w:pPr>
        <w:ind w:firstLine="0"/>
        <w:rPr>
          <w:b/>
        </w:rPr>
      </w:pPr>
      <w:r w:rsidRPr="009029F2">
        <w:rPr>
          <w:b/>
        </w:rPr>
        <w:lastRenderedPageBreak/>
        <w:t>a.</w:t>
      </w:r>
      <w:r w:rsidRPr="009029F2">
        <w:rPr>
          <w:b/>
        </w:rPr>
        <w:tab/>
        <w:t>Unusual Operation Issues</w:t>
      </w:r>
    </w:p>
    <w:p w:rsidR="00B623B0" w:rsidRPr="00B623B0" w:rsidRDefault="00B623B0" w:rsidP="00B623B0">
      <w:r>
        <w:t>We do not expect any unusual operation issues.</w:t>
      </w:r>
    </w:p>
    <w:p w:rsidR="00FE66AA" w:rsidRPr="00CE6EDC" w:rsidRDefault="0045386D" w:rsidP="00CE6EDC">
      <w:pPr>
        <w:ind w:firstLine="0"/>
        <w:rPr>
          <w:b/>
        </w:rPr>
      </w:pPr>
      <w:r w:rsidRPr="00CE6EDC">
        <w:rPr>
          <w:b/>
        </w:rPr>
        <w:t>b.</w:t>
      </w:r>
      <w:r w:rsidRPr="00CE6EDC">
        <w:rPr>
          <w:b/>
        </w:rPr>
        <w:tab/>
        <w:t>Statistical Precision and Minimum Detectable Differences</w:t>
      </w:r>
    </w:p>
    <w:p w:rsidR="00FE66AA" w:rsidRDefault="00FE66AA" w:rsidP="00FE66AA">
      <w:r>
        <w:t xml:space="preserve">The </w:t>
      </w:r>
      <w:r w:rsidR="00A94605">
        <w:t xml:space="preserve">study </w:t>
      </w:r>
      <w:r>
        <w:t xml:space="preserve">will assess differences in </w:t>
      </w:r>
      <w:r w:rsidR="00A94605">
        <w:t xml:space="preserve">the </w:t>
      </w:r>
      <w:r>
        <w:t xml:space="preserve">for-profit and not-for-profit PACE plans </w:t>
      </w:r>
      <w:r w:rsidR="00A94605">
        <w:t xml:space="preserve">in Pennsylvania </w:t>
      </w:r>
      <w:r>
        <w:t>using continuous and discrete outcome measures. In this section, we calculate statistical power for binary outcomes, for example, whether or not enrollees indicated high satisfaction with care. Table B.3 shows the detectable differences of a one-sample test on a binary response along various combinations of power and the design effect. Here, the one-sample test of a proportion compares the sample of not-for-profit enrollees against the population of for-profit enrollees; under the null hypothesis half of the for-profit enrollees in the population (p0=0.5) answer that they have high satisfaction with care. For a fixed level and power of the test and design effect under sampling, the detectable difference suggests the observed response from the 325 not-for-profit enrollees that would lead to rejection of the null hypothesis. For example, at the nominal 5% level with no design effect (=1.0), we would need an affirmative response by 57.7 percent (0.577) of the not-for-profit enrollees in order to correctly reject the null hypothesis with 80% power.</w:t>
      </w:r>
    </w:p>
    <w:p w:rsidR="00FE66AA" w:rsidRDefault="00564EF6" w:rsidP="00FE66AA">
      <w:r>
        <w:t>The table</w:t>
      </w:r>
      <w:r w:rsidR="00FE66AA">
        <w:t xml:space="preserve"> below illustrate</w:t>
      </w:r>
      <w:r>
        <w:t>s</w:t>
      </w:r>
      <w:r w:rsidR="00FE66AA">
        <w:t xml:space="preserve"> power and detectable differences under sampling designs that have: no effect on the variance of the estimated proportion (design effect = 1.0); an effect that increases the variance by 50 percent (design effect = 1.5); and an effect that doubles the variance (design effect = 2.0). These hypothetical values for the design effect are considered reasonable under a clustered sampling design in which not-for-profit enrollees will be sampled at the </w:t>
      </w:r>
      <w:r w:rsidR="00764C7A">
        <w:t xml:space="preserve">eleven </w:t>
      </w:r>
      <w:r w:rsidR="00FE66AA">
        <w:t>not-for-profit PACE sites. Additionally, while the intraclass correlation coefficient can induce large design effects, these can be captured in logistic regression models at the sacrifice of two or three degrees of freedom and thus trivial loss in power.</w:t>
      </w:r>
    </w:p>
    <w:p w:rsidR="00FE66AA" w:rsidRDefault="00FE66AA" w:rsidP="00CE6EDC">
      <w:pPr>
        <w:pStyle w:val="MarkforTableHeading"/>
      </w:pPr>
      <w:bookmarkStart w:id="21" w:name="_Toc318279325"/>
      <w:r w:rsidRPr="00FE66AA">
        <w:lastRenderedPageBreak/>
        <w:t>Table B.3</w:t>
      </w:r>
      <w:r w:rsidR="00CE6EDC">
        <w:t>. Design effects, S</w:t>
      </w:r>
      <w:r w:rsidRPr="00FE66AA">
        <w:t xml:space="preserve">tatistical </w:t>
      </w:r>
      <w:r w:rsidR="00CE6EDC">
        <w:t>Power, and D</w:t>
      </w:r>
      <w:r w:rsidRPr="00FE66AA">
        <w:t xml:space="preserve">etectable </w:t>
      </w:r>
      <w:r w:rsidR="00CE6EDC">
        <w:t>D</w:t>
      </w:r>
      <w:r w:rsidRPr="00FE66AA">
        <w:t>ifferences</w:t>
      </w:r>
      <w:bookmarkEnd w:id="21"/>
    </w:p>
    <w:tbl>
      <w:tblPr>
        <w:tblStyle w:val="SMPRTableBlack"/>
        <w:tblW w:w="5000" w:type="pct"/>
        <w:tblInd w:w="0" w:type="dxa"/>
        <w:tblLook w:val="04A0" w:firstRow="1" w:lastRow="0" w:firstColumn="1" w:lastColumn="0" w:noHBand="0" w:noVBand="1"/>
      </w:tblPr>
      <w:tblGrid>
        <w:gridCol w:w="2391"/>
        <w:gridCol w:w="1799"/>
        <w:gridCol w:w="2649"/>
        <w:gridCol w:w="2737"/>
      </w:tblGrid>
      <w:tr w:rsidR="00FE66AA" w:rsidTr="00360740">
        <w:trPr>
          <w:cnfStyle w:val="100000000000" w:firstRow="1" w:lastRow="0" w:firstColumn="0" w:lastColumn="0" w:oddVBand="0" w:evenVBand="0" w:oddHBand="0" w:evenHBand="0" w:firstRowFirstColumn="0" w:firstRowLastColumn="0" w:lastRowFirstColumn="0" w:lastRowLastColumn="0"/>
          <w:tblHeader/>
        </w:trPr>
        <w:tc>
          <w:tcPr>
            <w:tcW w:w="1248" w:type="pct"/>
          </w:tcPr>
          <w:p w:rsidR="00FE66AA" w:rsidRDefault="00FE66AA" w:rsidP="00CE6EDC">
            <w:pPr>
              <w:pStyle w:val="TableHeaderCenter"/>
            </w:pPr>
            <w:r>
              <w:t>Significance level*</w:t>
            </w:r>
          </w:p>
        </w:tc>
        <w:tc>
          <w:tcPr>
            <w:tcW w:w="939" w:type="pct"/>
          </w:tcPr>
          <w:p w:rsidR="00FE66AA" w:rsidRDefault="00FE66AA" w:rsidP="00CE6EDC">
            <w:pPr>
              <w:pStyle w:val="TableHeaderCenter"/>
            </w:pPr>
            <w:r>
              <w:t>Design effect</w:t>
            </w:r>
          </w:p>
        </w:tc>
        <w:tc>
          <w:tcPr>
            <w:tcW w:w="1383" w:type="pct"/>
          </w:tcPr>
          <w:p w:rsidR="00FE66AA" w:rsidRDefault="00FE66AA" w:rsidP="00CE6EDC">
            <w:pPr>
              <w:pStyle w:val="TableHeaderCenter"/>
            </w:pPr>
            <w:r>
              <w:t>Statistical power (%)</w:t>
            </w:r>
          </w:p>
        </w:tc>
        <w:tc>
          <w:tcPr>
            <w:tcW w:w="1429" w:type="pct"/>
          </w:tcPr>
          <w:p w:rsidR="00FE66AA" w:rsidRDefault="00FE66AA" w:rsidP="00CE6EDC">
            <w:pPr>
              <w:pStyle w:val="TableHeaderCenter"/>
            </w:pPr>
            <w:r>
              <w:t>Detectable difference</w:t>
            </w:r>
          </w:p>
        </w:tc>
      </w:tr>
      <w:tr w:rsidR="00FE66AA" w:rsidTr="00360740">
        <w:tc>
          <w:tcPr>
            <w:tcW w:w="1248" w:type="pct"/>
            <w:vMerge w:val="restart"/>
            <w:tcBorders>
              <w:top w:val="single" w:sz="2" w:space="0" w:color="auto"/>
              <w:bottom w:val="nil"/>
            </w:tcBorders>
          </w:tcPr>
          <w:p w:rsidR="00FE66AA" w:rsidRDefault="00FE66AA" w:rsidP="00217D68">
            <w:pPr>
              <w:pStyle w:val="TableText"/>
              <w:spacing w:beforeLines="60" w:before="144"/>
            </w:pPr>
            <w:r>
              <w:t>5%</w:t>
            </w:r>
          </w:p>
        </w:tc>
        <w:tc>
          <w:tcPr>
            <w:tcW w:w="939" w:type="pct"/>
            <w:vMerge w:val="restart"/>
            <w:tcBorders>
              <w:top w:val="single" w:sz="2" w:space="0" w:color="auto"/>
              <w:bottom w:val="nil"/>
            </w:tcBorders>
          </w:tcPr>
          <w:p w:rsidR="00FE66AA" w:rsidRDefault="00FE66AA" w:rsidP="00217D68">
            <w:pPr>
              <w:pStyle w:val="TableText"/>
              <w:tabs>
                <w:tab w:val="decimal" w:pos="698"/>
              </w:tabs>
              <w:spacing w:beforeLines="60" w:before="144"/>
            </w:pPr>
            <w:r>
              <w:t>1.0</w:t>
            </w:r>
          </w:p>
        </w:tc>
        <w:tc>
          <w:tcPr>
            <w:tcW w:w="1383" w:type="pct"/>
          </w:tcPr>
          <w:p w:rsidR="00FE66AA" w:rsidRDefault="00FE66AA" w:rsidP="00217D68">
            <w:pPr>
              <w:pStyle w:val="TableText"/>
              <w:tabs>
                <w:tab w:val="decimal" w:pos="1060"/>
              </w:tabs>
              <w:spacing w:beforeLines="60" w:before="144"/>
            </w:pPr>
            <w:r>
              <w:t>60</w:t>
            </w:r>
          </w:p>
        </w:tc>
        <w:tc>
          <w:tcPr>
            <w:tcW w:w="1429" w:type="pct"/>
          </w:tcPr>
          <w:p w:rsidR="00FE66AA" w:rsidRDefault="00FE66AA" w:rsidP="00217D68">
            <w:pPr>
              <w:pStyle w:val="TableText"/>
              <w:tabs>
                <w:tab w:val="decimal" w:pos="947"/>
              </w:tabs>
              <w:spacing w:beforeLines="60" w:before="144"/>
            </w:pPr>
            <w:r>
              <w:t>0.061</w:t>
            </w:r>
          </w:p>
        </w:tc>
      </w:tr>
      <w:tr w:rsidR="00FE66AA" w:rsidTr="00360740">
        <w:tc>
          <w:tcPr>
            <w:tcW w:w="1248" w:type="pct"/>
            <w:vMerge/>
            <w:tcBorders>
              <w:top w:val="nil"/>
            </w:tcBorders>
          </w:tcPr>
          <w:p w:rsidR="00FE66AA" w:rsidRDefault="00FE66AA" w:rsidP="00217D68">
            <w:pPr>
              <w:pStyle w:val="TableText"/>
              <w:spacing w:beforeLines="60" w:before="144"/>
            </w:pPr>
          </w:p>
        </w:tc>
        <w:tc>
          <w:tcPr>
            <w:tcW w:w="939" w:type="pct"/>
            <w:vMerge/>
            <w:tcBorders>
              <w:top w:val="nil"/>
            </w:tcBorders>
          </w:tcPr>
          <w:p w:rsidR="00FE66AA" w:rsidRDefault="00FE66AA" w:rsidP="00217D68">
            <w:pPr>
              <w:pStyle w:val="TableText"/>
              <w:tabs>
                <w:tab w:val="decimal" w:pos="698"/>
              </w:tabs>
              <w:spacing w:beforeLines="60" w:before="144"/>
            </w:pPr>
          </w:p>
        </w:tc>
        <w:tc>
          <w:tcPr>
            <w:tcW w:w="1383" w:type="pct"/>
          </w:tcPr>
          <w:p w:rsidR="00FE66AA" w:rsidRDefault="00FE66AA" w:rsidP="00217D68">
            <w:pPr>
              <w:pStyle w:val="TableText"/>
              <w:tabs>
                <w:tab w:val="decimal" w:pos="1060"/>
              </w:tabs>
              <w:spacing w:beforeLines="60" w:before="144"/>
            </w:pPr>
            <w:r>
              <w:t>70</w:t>
            </w:r>
          </w:p>
        </w:tc>
        <w:tc>
          <w:tcPr>
            <w:tcW w:w="1429" w:type="pct"/>
          </w:tcPr>
          <w:p w:rsidR="00FE66AA" w:rsidRDefault="00FE66AA" w:rsidP="00217D68">
            <w:pPr>
              <w:pStyle w:val="TableText"/>
              <w:tabs>
                <w:tab w:val="decimal" w:pos="947"/>
              </w:tabs>
              <w:spacing w:beforeLines="60" w:before="144"/>
            </w:pPr>
            <w:r>
              <w:t>0.069</w:t>
            </w:r>
          </w:p>
        </w:tc>
      </w:tr>
      <w:tr w:rsidR="00FE66AA" w:rsidTr="00360740">
        <w:tc>
          <w:tcPr>
            <w:tcW w:w="1248" w:type="pct"/>
            <w:vMerge/>
          </w:tcPr>
          <w:p w:rsidR="00FE66AA" w:rsidRDefault="00FE66AA" w:rsidP="00217D68">
            <w:pPr>
              <w:pStyle w:val="TableText"/>
              <w:spacing w:beforeLines="60" w:before="144"/>
            </w:pPr>
          </w:p>
        </w:tc>
        <w:tc>
          <w:tcPr>
            <w:tcW w:w="939" w:type="pct"/>
            <w:vMerge/>
          </w:tcPr>
          <w:p w:rsidR="00FE66AA" w:rsidRDefault="00FE66AA" w:rsidP="00217D68">
            <w:pPr>
              <w:pStyle w:val="TableText"/>
              <w:tabs>
                <w:tab w:val="decimal" w:pos="698"/>
              </w:tabs>
              <w:spacing w:beforeLines="60" w:before="144"/>
            </w:pPr>
          </w:p>
        </w:tc>
        <w:tc>
          <w:tcPr>
            <w:tcW w:w="1383" w:type="pct"/>
          </w:tcPr>
          <w:p w:rsidR="00FE66AA" w:rsidRDefault="00FE66AA" w:rsidP="00217D68">
            <w:pPr>
              <w:pStyle w:val="TableText"/>
              <w:tabs>
                <w:tab w:val="decimal" w:pos="1060"/>
              </w:tabs>
              <w:spacing w:beforeLines="60" w:before="144"/>
            </w:pPr>
            <w:r>
              <w:t>80</w:t>
            </w:r>
          </w:p>
        </w:tc>
        <w:tc>
          <w:tcPr>
            <w:tcW w:w="1429" w:type="pct"/>
          </w:tcPr>
          <w:p w:rsidR="00FE66AA" w:rsidRDefault="00FE66AA" w:rsidP="00217D68">
            <w:pPr>
              <w:pStyle w:val="TableText"/>
              <w:tabs>
                <w:tab w:val="decimal" w:pos="947"/>
              </w:tabs>
              <w:spacing w:beforeLines="60" w:before="144"/>
            </w:pPr>
            <w:r>
              <w:t>0.077</w:t>
            </w:r>
          </w:p>
        </w:tc>
      </w:tr>
      <w:tr w:rsidR="00FE66AA" w:rsidTr="00360740">
        <w:tc>
          <w:tcPr>
            <w:tcW w:w="1248" w:type="pct"/>
            <w:vMerge/>
          </w:tcPr>
          <w:p w:rsidR="00FE66AA" w:rsidRDefault="00FE66AA" w:rsidP="00217D68">
            <w:pPr>
              <w:pStyle w:val="TableText"/>
              <w:spacing w:beforeLines="60" w:before="144"/>
            </w:pPr>
          </w:p>
        </w:tc>
        <w:tc>
          <w:tcPr>
            <w:tcW w:w="939" w:type="pct"/>
            <w:vMerge w:val="restart"/>
          </w:tcPr>
          <w:p w:rsidR="00FE66AA" w:rsidRDefault="00FE66AA" w:rsidP="00217D68">
            <w:pPr>
              <w:pStyle w:val="TableText"/>
              <w:tabs>
                <w:tab w:val="decimal" w:pos="698"/>
              </w:tabs>
              <w:spacing w:beforeLines="60" w:before="144"/>
            </w:pPr>
            <w:r>
              <w:t>1.5</w:t>
            </w:r>
          </w:p>
        </w:tc>
        <w:tc>
          <w:tcPr>
            <w:tcW w:w="1383" w:type="pct"/>
          </w:tcPr>
          <w:p w:rsidR="00FE66AA" w:rsidRDefault="00FE66AA" w:rsidP="00217D68">
            <w:pPr>
              <w:pStyle w:val="TableText"/>
              <w:tabs>
                <w:tab w:val="decimal" w:pos="1060"/>
              </w:tabs>
              <w:spacing w:beforeLines="60" w:before="144"/>
            </w:pPr>
            <w:r>
              <w:t>60</w:t>
            </w:r>
          </w:p>
        </w:tc>
        <w:tc>
          <w:tcPr>
            <w:tcW w:w="1429" w:type="pct"/>
          </w:tcPr>
          <w:p w:rsidR="00FE66AA" w:rsidRDefault="00FE66AA" w:rsidP="00217D68">
            <w:pPr>
              <w:pStyle w:val="TableText"/>
              <w:tabs>
                <w:tab w:val="decimal" w:pos="947"/>
              </w:tabs>
              <w:spacing w:beforeLines="60" w:before="144"/>
            </w:pPr>
            <w:r>
              <w:t>0.075</w:t>
            </w:r>
          </w:p>
        </w:tc>
      </w:tr>
      <w:tr w:rsidR="00FE66AA" w:rsidTr="00360740">
        <w:tc>
          <w:tcPr>
            <w:tcW w:w="1248" w:type="pct"/>
            <w:vMerge/>
          </w:tcPr>
          <w:p w:rsidR="00FE66AA" w:rsidRDefault="00FE66AA" w:rsidP="00217D68">
            <w:pPr>
              <w:pStyle w:val="TableText"/>
              <w:spacing w:beforeLines="60" w:before="144"/>
            </w:pPr>
          </w:p>
        </w:tc>
        <w:tc>
          <w:tcPr>
            <w:tcW w:w="939" w:type="pct"/>
            <w:vMerge/>
          </w:tcPr>
          <w:p w:rsidR="00FE66AA" w:rsidRDefault="00FE66AA" w:rsidP="00217D68">
            <w:pPr>
              <w:pStyle w:val="TableText"/>
              <w:tabs>
                <w:tab w:val="decimal" w:pos="698"/>
              </w:tabs>
              <w:spacing w:beforeLines="60" w:before="144"/>
            </w:pPr>
          </w:p>
        </w:tc>
        <w:tc>
          <w:tcPr>
            <w:tcW w:w="1383" w:type="pct"/>
          </w:tcPr>
          <w:p w:rsidR="00FE66AA" w:rsidRDefault="00FE66AA" w:rsidP="00217D68">
            <w:pPr>
              <w:pStyle w:val="TableText"/>
              <w:tabs>
                <w:tab w:val="decimal" w:pos="1060"/>
              </w:tabs>
              <w:spacing w:beforeLines="60" w:before="144"/>
            </w:pPr>
            <w:r>
              <w:t>70</w:t>
            </w:r>
          </w:p>
        </w:tc>
        <w:tc>
          <w:tcPr>
            <w:tcW w:w="1429" w:type="pct"/>
          </w:tcPr>
          <w:p w:rsidR="00FE66AA" w:rsidRDefault="00FE66AA" w:rsidP="00217D68">
            <w:pPr>
              <w:pStyle w:val="TableText"/>
              <w:tabs>
                <w:tab w:val="decimal" w:pos="947"/>
              </w:tabs>
              <w:spacing w:beforeLines="60" w:before="144"/>
            </w:pPr>
            <w:r>
              <w:t>0.084</w:t>
            </w:r>
          </w:p>
        </w:tc>
      </w:tr>
      <w:tr w:rsidR="00FE66AA" w:rsidTr="00360740">
        <w:tc>
          <w:tcPr>
            <w:tcW w:w="1248" w:type="pct"/>
            <w:vMerge/>
          </w:tcPr>
          <w:p w:rsidR="00FE66AA" w:rsidRDefault="00FE66AA" w:rsidP="00217D68">
            <w:pPr>
              <w:pStyle w:val="TableText"/>
              <w:spacing w:beforeLines="60" w:before="144"/>
            </w:pPr>
          </w:p>
        </w:tc>
        <w:tc>
          <w:tcPr>
            <w:tcW w:w="939" w:type="pct"/>
            <w:vMerge/>
          </w:tcPr>
          <w:p w:rsidR="00FE66AA" w:rsidRDefault="00FE66AA" w:rsidP="00217D68">
            <w:pPr>
              <w:pStyle w:val="TableText"/>
              <w:tabs>
                <w:tab w:val="decimal" w:pos="698"/>
              </w:tabs>
              <w:spacing w:beforeLines="60" w:before="144"/>
            </w:pPr>
          </w:p>
        </w:tc>
        <w:tc>
          <w:tcPr>
            <w:tcW w:w="1383" w:type="pct"/>
          </w:tcPr>
          <w:p w:rsidR="00FE66AA" w:rsidRDefault="00FE66AA" w:rsidP="00217D68">
            <w:pPr>
              <w:pStyle w:val="TableText"/>
              <w:tabs>
                <w:tab w:val="decimal" w:pos="1060"/>
              </w:tabs>
              <w:spacing w:beforeLines="60" w:before="144"/>
            </w:pPr>
            <w:r>
              <w:t>80</w:t>
            </w:r>
          </w:p>
        </w:tc>
        <w:tc>
          <w:tcPr>
            <w:tcW w:w="1429" w:type="pct"/>
          </w:tcPr>
          <w:p w:rsidR="00FE66AA" w:rsidRDefault="00FE66AA" w:rsidP="00217D68">
            <w:pPr>
              <w:pStyle w:val="TableText"/>
              <w:tabs>
                <w:tab w:val="decimal" w:pos="947"/>
              </w:tabs>
              <w:spacing w:beforeLines="60" w:before="144"/>
            </w:pPr>
            <w:r>
              <w:t>0.095</w:t>
            </w:r>
          </w:p>
        </w:tc>
      </w:tr>
      <w:tr w:rsidR="00FE66AA" w:rsidTr="00360740">
        <w:tc>
          <w:tcPr>
            <w:tcW w:w="1248" w:type="pct"/>
            <w:vMerge/>
          </w:tcPr>
          <w:p w:rsidR="00FE66AA" w:rsidRDefault="00FE66AA" w:rsidP="00217D68">
            <w:pPr>
              <w:pStyle w:val="TableText"/>
              <w:spacing w:beforeLines="60" w:before="144"/>
            </w:pPr>
          </w:p>
        </w:tc>
        <w:tc>
          <w:tcPr>
            <w:tcW w:w="939" w:type="pct"/>
            <w:vMerge w:val="restart"/>
          </w:tcPr>
          <w:p w:rsidR="00FE66AA" w:rsidRDefault="00FE66AA" w:rsidP="00217D68">
            <w:pPr>
              <w:pStyle w:val="TableText"/>
              <w:keepLines/>
              <w:tabs>
                <w:tab w:val="decimal" w:pos="698"/>
              </w:tabs>
              <w:spacing w:beforeLines="60" w:before="144"/>
            </w:pPr>
            <w:r>
              <w:t>2.0</w:t>
            </w:r>
          </w:p>
        </w:tc>
        <w:tc>
          <w:tcPr>
            <w:tcW w:w="1383" w:type="pct"/>
          </w:tcPr>
          <w:p w:rsidR="00FE66AA" w:rsidRDefault="00FE66AA" w:rsidP="00217D68">
            <w:pPr>
              <w:pStyle w:val="TableText"/>
              <w:keepLines/>
              <w:tabs>
                <w:tab w:val="decimal" w:pos="1060"/>
              </w:tabs>
              <w:spacing w:beforeLines="60" w:before="144"/>
            </w:pPr>
            <w:r>
              <w:t>60</w:t>
            </w:r>
          </w:p>
        </w:tc>
        <w:tc>
          <w:tcPr>
            <w:tcW w:w="1429" w:type="pct"/>
          </w:tcPr>
          <w:p w:rsidR="00FE66AA" w:rsidRDefault="00FE66AA" w:rsidP="00217D68">
            <w:pPr>
              <w:pStyle w:val="TableText"/>
              <w:keepLines/>
              <w:tabs>
                <w:tab w:val="decimal" w:pos="947"/>
              </w:tabs>
              <w:spacing w:beforeLines="60" w:before="144"/>
            </w:pPr>
            <w:r>
              <w:t>0.087</w:t>
            </w:r>
          </w:p>
        </w:tc>
      </w:tr>
      <w:tr w:rsidR="00FE66AA" w:rsidTr="00360740">
        <w:tc>
          <w:tcPr>
            <w:tcW w:w="1248" w:type="pct"/>
            <w:vMerge/>
          </w:tcPr>
          <w:p w:rsidR="00FE66AA" w:rsidRDefault="00FE66AA" w:rsidP="00217D68">
            <w:pPr>
              <w:pStyle w:val="TableText"/>
              <w:spacing w:beforeLines="60" w:before="144"/>
            </w:pPr>
          </w:p>
        </w:tc>
        <w:tc>
          <w:tcPr>
            <w:tcW w:w="939" w:type="pct"/>
            <w:vMerge/>
          </w:tcPr>
          <w:p w:rsidR="00FE66AA" w:rsidRDefault="00FE66AA" w:rsidP="00217D68">
            <w:pPr>
              <w:pStyle w:val="TableText"/>
              <w:keepLines/>
              <w:tabs>
                <w:tab w:val="decimal" w:pos="698"/>
              </w:tabs>
              <w:spacing w:beforeLines="60" w:before="144"/>
            </w:pPr>
          </w:p>
        </w:tc>
        <w:tc>
          <w:tcPr>
            <w:tcW w:w="1383" w:type="pct"/>
          </w:tcPr>
          <w:p w:rsidR="00FE66AA" w:rsidRDefault="00FE66AA" w:rsidP="00217D68">
            <w:pPr>
              <w:pStyle w:val="TableText"/>
              <w:keepLines/>
              <w:tabs>
                <w:tab w:val="decimal" w:pos="1060"/>
              </w:tabs>
              <w:spacing w:beforeLines="60" w:before="144"/>
            </w:pPr>
            <w:r>
              <w:t>70</w:t>
            </w:r>
          </w:p>
        </w:tc>
        <w:tc>
          <w:tcPr>
            <w:tcW w:w="1429" w:type="pct"/>
          </w:tcPr>
          <w:p w:rsidR="00FE66AA" w:rsidRDefault="00FE66AA" w:rsidP="00217D68">
            <w:pPr>
              <w:pStyle w:val="TableText"/>
              <w:keepLines/>
              <w:tabs>
                <w:tab w:val="decimal" w:pos="947"/>
              </w:tabs>
              <w:spacing w:beforeLines="60" w:before="144"/>
            </w:pPr>
            <w:r>
              <w:t>0.097</w:t>
            </w:r>
          </w:p>
        </w:tc>
      </w:tr>
      <w:tr w:rsidR="00FE66AA" w:rsidTr="00360740">
        <w:tc>
          <w:tcPr>
            <w:tcW w:w="1248" w:type="pct"/>
            <w:vMerge/>
          </w:tcPr>
          <w:p w:rsidR="00FE66AA" w:rsidRDefault="00FE66AA" w:rsidP="00217D68">
            <w:pPr>
              <w:pStyle w:val="TableText"/>
              <w:spacing w:beforeLines="60" w:before="144"/>
            </w:pPr>
          </w:p>
        </w:tc>
        <w:tc>
          <w:tcPr>
            <w:tcW w:w="939" w:type="pct"/>
            <w:vMerge/>
          </w:tcPr>
          <w:p w:rsidR="00FE66AA" w:rsidRDefault="00FE66AA" w:rsidP="00217D68">
            <w:pPr>
              <w:pStyle w:val="TableText"/>
              <w:keepLines/>
              <w:tabs>
                <w:tab w:val="decimal" w:pos="698"/>
              </w:tabs>
              <w:spacing w:beforeLines="60" w:before="144"/>
            </w:pPr>
          </w:p>
        </w:tc>
        <w:tc>
          <w:tcPr>
            <w:tcW w:w="1383" w:type="pct"/>
          </w:tcPr>
          <w:p w:rsidR="00FE66AA" w:rsidRDefault="00FE66AA" w:rsidP="00217D68">
            <w:pPr>
              <w:pStyle w:val="TableText"/>
              <w:keepLines/>
              <w:tabs>
                <w:tab w:val="decimal" w:pos="1060"/>
              </w:tabs>
              <w:spacing w:beforeLines="60" w:before="144"/>
            </w:pPr>
            <w:r>
              <w:t>80</w:t>
            </w:r>
          </w:p>
        </w:tc>
        <w:tc>
          <w:tcPr>
            <w:tcW w:w="1429" w:type="pct"/>
          </w:tcPr>
          <w:p w:rsidR="00FE66AA" w:rsidRDefault="00FE66AA" w:rsidP="00217D68">
            <w:pPr>
              <w:pStyle w:val="TableText"/>
              <w:keepLines/>
              <w:tabs>
                <w:tab w:val="decimal" w:pos="947"/>
              </w:tabs>
              <w:spacing w:beforeLines="60" w:before="144"/>
            </w:pPr>
            <w:r>
              <w:t>0.109</w:t>
            </w:r>
          </w:p>
        </w:tc>
      </w:tr>
      <w:tr w:rsidR="00FE66AA" w:rsidTr="00360740">
        <w:tc>
          <w:tcPr>
            <w:tcW w:w="1248" w:type="pct"/>
            <w:vMerge w:val="restart"/>
          </w:tcPr>
          <w:p w:rsidR="00FE66AA" w:rsidRDefault="00FE66AA" w:rsidP="00217D68">
            <w:pPr>
              <w:pStyle w:val="TableText"/>
              <w:spacing w:beforeLines="60" w:before="144"/>
            </w:pPr>
            <w:r>
              <w:t>10%</w:t>
            </w:r>
          </w:p>
        </w:tc>
        <w:tc>
          <w:tcPr>
            <w:tcW w:w="939" w:type="pct"/>
            <w:vMerge w:val="restart"/>
          </w:tcPr>
          <w:p w:rsidR="00FE66AA" w:rsidRDefault="00FE66AA" w:rsidP="00217D68">
            <w:pPr>
              <w:pStyle w:val="TableText"/>
              <w:tabs>
                <w:tab w:val="decimal" w:pos="698"/>
              </w:tabs>
              <w:spacing w:beforeLines="60" w:before="144"/>
            </w:pPr>
            <w:r>
              <w:t>1.0</w:t>
            </w:r>
          </w:p>
        </w:tc>
        <w:tc>
          <w:tcPr>
            <w:tcW w:w="1383" w:type="pct"/>
          </w:tcPr>
          <w:p w:rsidR="00FE66AA" w:rsidRDefault="00FE66AA" w:rsidP="00217D68">
            <w:pPr>
              <w:pStyle w:val="TableText"/>
              <w:tabs>
                <w:tab w:val="decimal" w:pos="1060"/>
              </w:tabs>
              <w:spacing w:beforeLines="60" w:before="144"/>
            </w:pPr>
            <w:r>
              <w:t>60</w:t>
            </w:r>
          </w:p>
        </w:tc>
        <w:tc>
          <w:tcPr>
            <w:tcW w:w="1429" w:type="pct"/>
          </w:tcPr>
          <w:p w:rsidR="00FE66AA" w:rsidRDefault="00FE66AA" w:rsidP="00217D68">
            <w:pPr>
              <w:pStyle w:val="TableText"/>
              <w:tabs>
                <w:tab w:val="decimal" w:pos="947"/>
              </w:tabs>
              <w:spacing w:beforeLines="60" w:before="144"/>
            </w:pPr>
            <w:r>
              <w:t>0.055</w:t>
            </w:r>
          </w:p>
        </w:tc>
      </w:tr>
      <w:tr w:rsidR="00FE66AA" w:rsidTr="00360740">
        <w:tc>
          <w:tcPr>
            <w:tcW w:w="1248" w:type="pct"/>
            <w:vMerge/>
          </w:tcPr>
          <w:p w:rsidR="00FE66AA" w:rsidRDefault="00FE66AA" w:rsidP="00217D68">
            <w:pPr>
              <w:pStyle w:val="TableText"/>
              <w:spacing w:beforeLines="60" w:before="144"/>
            </w:pPr>
          </w:p>
        </w:tc>
        <w:tc>
          <w:tcPr>
            <w:tcW w:w="939" w:type="pct"/>
            <w:vMerge/>
          </w:tcPr>
          <w:p w:rsidR="00FE66AA" w:rsidRDefault="00FE66AA" w:rsidP="00217D68">
            <w:pPr>
              <w:pStyle w:val="TableText"/>
              <w:tabs>
                <w:tab w:val="decimal" w:pos="698"/>
              </w:tabs>
              <w:spacing w:beforeLines="60" w:before="144"/>
            </w:pPr>
          </w:p>
        </w:tc>
        <w:tc>
          <w:tcPr>
            <w:tcW w:w="1383" w:type="pct"/>
          </w:tcPr>
          <w:p w:rsidR="00FE66AA" w:rsidRDefault="00FE66AA" w:rsidP="00217D68">
            <w:pPr>
              <w:pStyle w:val="TableText"/>
              <w:tabs>
                <w:tab w:val="decimal" w:pos="1060"/>
              </w:tabs>
              <w:spacing w:beforeLines="60" w:before="144"/>
            </w:pPr>
            <w:r>
              <w:t>70</w:t>
            </w:r>
          </w:p>
        </w:tc>
        <w:tc>
          <w:tcPr>
            <w:tcW w:w="1429" w:type="pct"/>
          </w:tcPr>
          <w:p w:rsidR="00FE66AA" w:rsidRDefault="00FE66AA" w:rsidP="00217D68">
            <w:pPr>
              <w:pStyle w:val="TableText"/>
              <w:tabs>
                <w:tab w:val="decimal" w:pos="947"/>
              </w:tabs>
              <w:spacing w:beforeLines="60" w:before="144"/>
            </w:pPr>
            <w:r>
              <w:t>0.060</w:t>
            </w:r>
          </w:p>
        </w:tc>
      </w:tr>
      <w:tr w:rsidR="00FE66AA" w:rsidTr="00360740">
        <w:tc>
          <w:tcPr>
            <w:tcW w:w="1248" w:type="pct"/>
            <w:vMerge/>
          </w:tcPr>
          <w:p w:rsidR="00FE66AA" w:rsidRDefault="00FE66AA" w:rsidP="00217D68">
            <w:pPr>
              <w:pStyle w:val="TableText"/>
              <w:spacing w:beforeLines="60" w:before="144"/>
            </w:pPr>
          </w:p>
        </w:tc>
        <w:tc>
          <w:tcPr>
            <w:tcW w:w="939" w:type="pct"/>
            <w:vMerge/>
          </w:tcPr>
          <w:p w:rsidR="00FE66AA" w:rsidRDefault="00FE66AA" w:rsidP="00217D68">
            <w:pPr>
              <w:pStyle w:val="TableText"/>
              <w:tabs>
                <w:tab w:val="decimal" w:pos="698"/>
              </w:tabs>
              <w:spacing w:beforeLines="60" w:before="144"/>
            </w:pPr>
          </w:p>
        </w:tc>
        <w:tc>
          <w:tcPr>
            <w:tcW w:w="1383" w:type="pct"/>
          </w:tcPr>
          <w:p w:rsidR="00FE66AA" w:rsidRDefault="00FE66AA" w:rsidP="00217D68">
            <w:pPr>
              <w:pStyle w:val="TableText"/>
              <w:tabs>
                <w:tab w:val="decimal" w:pos="1060"/>
              </w:tabs>
              <w:spacing w:beforeLines="60" w:before="144"/>
            </w:pPr>
            <w:r>
              <w:t>80</w:t>
            </w:r>
          </w:p>
        </w:tc>
        <w:tc>
          <w:tcPr>
            <w:tcW w:w="1429" w:type="pct"/>
          </w:tcPr>
          <w:p w:rsidR="00FE66AA" w:rsidRDefault="00FE66AA" w:rsidP="00217D68">
            <w:pPr>
              <w:pStyle w:val="TableText"/>
              <w:tabs>
                <w:tab w:val="decimal" w:pos="947"/>
              </w:tabs>
              <w:spacing w:beforeLines="60" w:before="144"/>
            </w:pPr>
            <w:r>
              <w:t>0.069</w:t>
            </w:r>
          </w:p>
        </w:tc>
      </w:tr>
      <w:tr w:rsidR="00FE66AA" w:rsidTr="00360740">
        <w:tc>
          <w:tcPr>
            <w:tcW w:w="1248" w:type="pct"/>
            <w:vMerge/>
          </w:tcPr>
          <w:p w:rsidR="00FE66AA" w:rsidRDefault="00FE66AA" w:rsidP="00217D68">
            <w:pPr>
              <w:pStyle w:val="TableText"/>
              <w:spacing w:beforeLines="60" w:before="144"/>
            </w:pPr>
          </w:p>
        </w:tc>
        <w:tc>
          <w:tcPr>
            <w:tcW w:w="939" w:type="pct"/>
            <w:vMerge w:val="restart"/>
          </w:tcPr>
          <w:p w:rsidR="00FE66AA" w:rsidRDefault="00FE66AA" w:rsidP="00217D68">
            <w:pPr>
              <w:pStyle w:val="TableText"/>
              <w:tabs>
                <w:tab w:val="decimal" w:pos="698"/>
              </w:tabs>
              <w:spacing w:beforeLines="60" w:before="144"/>
            </w:pPr>
            <w:r>
              <w:t>1.5</w:t>
            </w:r>
          </w:p>
        </w:tc>
        <w:tc>
          <w:tcPr>
            <w:tcW w:w="1383" w:type="pct"/>
          </w:tcPr>
          <w:p w:rsidR="00FE66AA" w:rsidRDefault="00FE66AA" w:rsidP="00217D68">
            <w:pPr>
              <w:pStyle w:val="TableText"/>
              <w:tabs>
                <w:tab w:val="decimal" w:pos="1060"/>
              </w:tabs>
              <w:spacing w:beforeLines="60" w:before="144"/>
            </w:pPr>
            <w:r>
              <w:t>60</w:t>
            </w:r>
          </w:p>
        </w:tc>
        <w:tc>
          <w:tcPr>
            <w:tcW w:w="1429" w:type="pct"/>
          </w:tcPr>
          <w:p w:rsidR="00FE66AA" w:rsidRDefault="00FE66AA" w:rsidP="00217D68">
            <w:pPr>
              <w:pStyle w:val="TableText"/>
              <w:tabs>
                <w:tab w:val="decimal" w:pos="947"/>
              </w:tabs>
              <w:spacing w:beforeLines="60" w:before="144"/>
            </w:pPr>
            <w:r>
              <w:t>0.064</w:t>
            </w:r>
          </w:p>
        </w:tc>
      </w:tr>
      <w:tr w:rsidR="00FE66AA" w:rsidTr="00360740">
        <w:tc>
          <w:tcPr>
            <w:tcW w:w="1248" w:type="pct"/>
            <w:vMerge/>
          </w:tcPr>
          <w:p w:rsidR="00FE66AA" w:rsidRDefault="00FE66AA" w:rsidP="00217D68">
            <w:pPr>
              <w:pStyle w:val="TableText"/>
              <w:spacing w:beforeLines="60" w:before="144"/>
            </w:pPr>
          </w:p>
        </w:tc>
        <w:tc>
          <w:tcPr>
            <w:tcW w:w="939" w:type="pct"/>
            <w:vMerge/>
          </w:tcPr>
          <w:p w:rsidR="00FE66AA" w:rsidRDefault="00FE66AA" w:rsidP="00217D68">
            <w:pPr>
              <w:pStyle w:val="TableText"/>
              <w:tabs>
                <w:tab w:val="decimal" w:pos="698"/>
              </w:tabs>
              <w:spacing w:beforeLines="60" w:before="144"/>
            </w:pPr>
          </w:p>
        </w:tc>
        <w:tc>
          <w:tcPr>
            <w:tcW w:w="1383" w:type="pct"/>
          </w:tcPr>
          <w:p w:rsidR="00FE66AA" w:rsidRDefault="00FE66AA" w:rsidP="00217D68">
            <w:pPr>
              <w:pStyle w:val="TableText"/>
              <w:tabs>
                <w:tab w:val="decimal" w:pos="1060"/>
              </w:tabs>
              <w:spacing w:beforeLines="60" w:before="144"/>
            </w:pPr>
            <w:r>
              <w:t>70</w:t>
            </w:r>
          </w:p>
        </w:tc>
        <w:tc>
          <w:tcPr>
            <w:tcW w:w="1429" w:type="pct"/>
          </w:tcPr>
          <w:p w:rsidR="00FE66AA" w:rsidRDefault="00FE66AA" w:rsidP="00217D68">
            <w:pPr>
              <w:pStyle w:val="TableText"/>
              <w:tabs>
                <w:tab w:val="decimal" w:pos="947"/>
              </w:tabs>
              <w:spacing w:beforeLines="60" w:before="144"/>
            </w:pPr>
            <w:r>
              <w:t>0.074</w:t>
            </w:r>
          </w:p>
        </w:tc>
      </w:tr>
      <w:tr w:rsidR="00FE66AA" w:rsidTr="00360740">
        <w:tc>
          <w:tcPr>
            <w:tcW w:w="1248" w:type="pct"/>
            <w:vMerge/>
          </w:tcPr>
          <w:p w:rsidR="00FE66AA" w:rsidRDefault="00FE66AA" w:rsidP="00217D68">
            <w:pPr>
              <w:pStyle w:val="TableText"/>
              <w:spacing w:beforeLines="60" w:before="144"/>
            </w:pPr>
          </w:p>
        </w:tc>
        <w:tc>
          <w:tcPr>
            <w:tcW w:w="939" w:type="pct"/>
            <w:vMerge/>
          </w:tcPr>
          <w:p w:rsidR="00FE66AA" w:rsidRDefault="00FE66AA" w:rsidP="00217D68">
            <w:pPr>
              <w:pStyle w:val="TableText"/>
              <w:tabs>
                <w:tab w:val="decimal" w:pos="698"/>
              </w:tabs>
              <w:spacing w:beforeLines="60" w:before="144"/>
            </w:pPr>
          </w:p>
        </w:tc>
        <w:tc>
          <w:tcPr>
            <w:tcW w:w="1383" w:type="pct"/>
          </w:tcPr>
          <w:p w:rsidR="00FE66AA" w:rsidRDefault="00FE66AA" w:rsidP="00217D68">
            <w:pPr>
              <w:pStyle w:val="TableText"/>
              <w:tabs>
                <w:tab w:val="decimal" w:pos="1060"/>
              </w:tabs>
              <w:spacing w:beforeLines="60" w:before="144"/>
            </w:pPr>
            <w:r>
              <w:t>80</w:t>
            </w:r>
          </w:p>
        </w:tc>
        <w:tc>
          <w:tcPr>
            <w:tcW w:w="1429" w:type="pct"/>
          </w:tcPr>
          <w:p w:rsidR="00FE66AA" w:rsidRDefault="00FE66AA" w:rsidP="00217D68">
            <w:pPr>
              <w:pStyle w:val="TableText"/>
              <w:tabs>
                <w:tab w:val="decimal" w:pos="947"/>
              </w:tabs>
              <w:spacing w:beforeLines="60" w:before="144"/>
            </w:pPr>
            <w:r>
              <w:t>0.084</w:t>
            </w:r>
          </w:p>
        </w:tc>
      </w:tr>
      <w:tr w:rsidR="00FE66AA" w:rsidTr="00360740">
        <w:tc>
          <w:tcPr>
            <w:tcW w:w="1248" w:type="pct"/>
            <w:vMerge/>
          </w:tcPr>
          <w:p w:rsidR="00FE66AA" w:rsidRDefault="00FE66AA" w:rsidP="00217D68">
            <w:pPr>
              <w:pStyle w:val="TableText"/>
              <w:spacing w:beforeLines="60" w:before="144"/>
            </w:pPr>
          </w:p>
        </w:tc>
        <w:tc>
          <w:tcPr>
            <w:tcW w:w="939" w:type="pct"/>
            <w:vMerge w:val="restart"/>
          </w:tcPr>
          <w:p w:rsidR="00FE66AA" w:rsidRDefault="00FE66AA" w:rsidP="00217D68">
            <w:pPr>
              <w:pStyle w:val="TableText"/>
              <w:tabs>
                <w:tab w:val="decimal" w:pos="698"/>
              </w:tabs>
              <w:spacing w:beforeLines="60" w:before="144"/>
            </w:pPr>
            <w:r>
              <w:t>2.0</w:t>
            </w:r>
          </w:p>
        </w:tc>
        <w:tc>
          <w:tcPr>
            <w:tcW w:w="1383" w:type="pct"/>
          </w:tcPr>
          <w:p w:rsidR="00FE66AA" w:rsidRDefault="00FE66AA" w:rsidP="00217D68">
            <w:pPr>
              <w:pStyle w:val="TableText"/>
              <w:tabs>
                <w:tab w:val="decimal" w:pos="1060"/>
              </w:tabs>
              <w:spacing w:beforeLines="60" w:before="144"/>
            </w:pPr>
            <w:r>
              <w:t>60</w:t>
            </w:r>
          </w:p>
        </w:tc>
        <w:tc>
          <w:tcPr>
            <w:tcW w:w="1429" w:type="pct"/>
          </w:tcPr>
          <w:p w:rsidR="00FE66AA" w:rsidRDefault="00FE66AA" w:rsidP="00217D68">
            <w:pPr>
              <w:pStyle w:val="TableText"/>
              <w:tabs>
                <w:tab w:val="decimal" w:pos="947"/>
              </w:tabs>
              <w:spacing w:beforeLines="60" w:before="144"/>
            </w:pPr>
            <w:r>
              <w:t>0.074</w:t>
            </w:r>
          </w:p>
        </w:tc>
      </w:tr>
      <w:tr w:rsidR="00FE66AA" w:rsidTr="00360740">
        <w:tc>
          <w:tcPr>
            <w:tcW w:w="1248" w:type="pct"/>
            <w:vMerge/>
          </w:tcPr>
          <w:p w:rsidR="00FE66AA" w:rsidRDefault="00FE66AA" w:rsidP="00217D68">
            <w:pPr>
              <w:pStyle w:val="TableText"/>
              <w:spacing w:beforeLines="60" w:before="144"/>
            </w:pPr>
          </w:p>
        </w:tc>
        <w:tc>
          <w:tcPr>
            <w:tcW w:w="939" w:type="pct"/>
            <w:vMerge/>
          </w:tcPr>
          <w:p w:rsidR="00FE66AA" w:rsidRDefault="00FE66AA" w:rsidP="00217D68">
            <w:pPr>
              <w:pStyle w:val="TableText"/>
              <w:spacing w:beforeLines="60" w:before="144"/>
            </w:pPr>
          </w:p>
        </w:tc>
        <w:tc>
          <w:tcPr>
            <w:tcW w:w="1383" w:type="pct"/>
          </w:tcPr>
          <w:p w:rsidR="00FE66AA" w:rsidRDefault="00FE66AA" w:rsidP="00217D68">
            <w:pPr>
              <w:pStyle w:val="TableText"/>
              <w:tabs>
                <w:tab w:val="decimal" w:pos="1060"/>
              </w:tabs>
              <w:spacing w:beforeLines="60" w:before="144"/>
            </w:pPr>
            <w:r>
              <w:t>70</w:t>
            </w:r>
          </w:p>
        </w:tc>
        <w:tc>
          <w:tcPr>
            <w:tcW w:w="1429" w:type="pct"/>
          </w:tcPr>
          <w:p w:rsidR="00FE66AA" w:rsidRDefault="00FE66AA" w:rsidP="00217D68">
            <w:pPr>
              <w:pStyle w:val="TableText"/>
              <w:tabs>
                <w:tab w:val="decimal" w:pos="947"/>
              </w:tabs>
              <w:spacing w:beforeLines="60" w:before="144"/>
            </w:pPr>
            <w:r>
              <w:t>0.085</w:t>
            </w:r>
          </w:p>
        </w:tc>
      </w:tr>
      <w:tr w:rsidR="00FE66AA" w:rsidTr="00360740">
        <w:tc>
          <w:tcPr>
            <w:tcW w:w="1248" w:type="pct"/>
            <w:vMerge/>
          </w:tcPr>
          <w:p w:rsidR="00FE66AA" w:rsidRDefault="00FE66AA" w:rsidP="00217D68">
            <w:pPr>
              <w:pStyle w:val="TableText"/>
              <w:spacing w:beforeLines="60" w:before="144"/>
            </w:pPr>
          </w:p>
        </w:tc>
        <w:tc>
          <w:tcPr>
            <w:tcW w:w="939" w:type="pct"/>
            <w:vMerge/>
          </w:tcPr>
          <w:p w:rsidR="00FE66AA" w:rsidRDefault="00FE66AA" w:rsidP="00217D68">
            <w:pPr>
              <w:pStyle w:val="TableText"/>
              <w:spacing w:beforeLines="60" w:before="144"/>
            </w:pPr>
          </w:p>
        </w:tc>
        <w:tc>
          <w:tcPr>
            <w:tcW w:w="1383" w:type="pct"/>
          </w:tcPr>
          <w:p w:rsidR="00FE66AA" w:rsidRDefault="00FE66AA" w:rsidP="00217D68">
            <w:pPr>
              <w:pStyle w:val="TableText"/>
              <w:tabs>
                <w:tab w:val="decimal" w:pos="1060"/>
              </w:tabs>
              <w:spacing w:beforeLines="60" w:before="144"/>
            </w:pPr>
            <w:r>
              <w:t>80</w:t>
            </w:r>
          </w:p>
        </w:tc>
        <w:tc>
          <w:tcPr>
            <w:tcW w:w="1429" w:type="pct"/>
          </w:tcPr>
          <w:p w:rsidR="00FE66AA" w:rsidRDefault="00FE66AA" w:rsidP="00217D68">
            <w:pPr>
              <w:pStyle w:val="TableText"/>
              <w:tabs>
                <w:tab w:val="decimal" w:pos="947"/>
              </w:tabs>
              <w:spacing w:beforeLines="60" w:before="144"/>
            </w:pPr>
            <w:r>
              <w:t>0.097</w:t>
            </w:r>
          </w:p>
        </w:tc>
      </w:tr>
    </w:tbl>
    <w:p w:rsidR="00457E77" w:rsidRDefault="00457E77" w:rsidP="00360740"/>
    <w:p w:rsidR="00C359D5" w:rsidRDefault="00C359D5" w:rsidP="00407419">
      <w:pPr>
        <w:pStyle w:val="Heading3"/>
      </w:pPr>
      <w:bookmarkStart w:id="22" w:name="_Toc318291337"/>
      <w:r>
        <w:t>3.</w:t>
      </w:r>
      <w:r>
        <w:tab/>
        <w:t>Methods to Maximize Response Rates and Deal with Issues of Nonresponse</w:t>
      </w:r>
      <w:bookmarkEnd w:id="22"/>
    </w:p>
    <w:p w:rsidR="00704D33" w:rsidRDefault="00704D33" w:rsidP="00704D33">
      <w:r>
        <w:t>Access to accurate and complete contact information for the sample is critical to achieving a high response rate. While we will use the MARx database to select the enrollee samples, w</w:t>
      </w:r>
      <w:r w:rsidR="00BA0A1E">
        <w:t xml:space="preserve">e </w:t>
      </w:r>
      <w:r>
        <w:t>do not expect that it can provide reliable contact data. The</w:t>
      </w:r>
      <w:r w:rsidR="00BA0A1E">
        <w:t xml:space="preserve"> addresses in the MARx database are typically where the explanation of benefits and</w:t>
      </w:r>
      <w:r w:rsidR="00ED67DB">
        <w:t xml:space="preserve"> </w:t>
      </w:r>
      <w:r w:rsidR="00BA0A1E">
        <w:t>reimbursements are sent and might not correspond to the actual residence of the sample member.</w:t>
      </w:r>
      <w:r w:rsidR="00ED67DB">
        <w:t xml:space="preserve"> </w:t>
      </w:r>
      <w:r w:rsidR="00BA0A1E">
        <w:t xml:space="preserve">Moreover, MARx data do not include telephone numbers. </w:t>
      </w:r>
      <w:r>
        <w:t>To ensure that we have updated, comprehensive contact information for the sample, we wi</w:t>
      </w:r>
      <w:r w:rsidR="00D36BBE">
        <w:t>ll use a multi-pronged approach that draws upon multiple sources of contact data.</w:t>
      </w:r>
    </w:p>
    <w:p w:rsidR="00704D33" w:rsidRDefault="00D36BBE" w:rsidP="00704D33">
      <w:r>
        <w:t>Because the PACE site</w:t>
      </w:r>
      <w:r w:rsidR="00597EC5">
        <w:t>s</w:t>
      </w:r>
      <w:r>
        <w:t xml:space="preserve"> </w:t>
      </w:r>
      <w:r w:rsidR="00597EC5">
        <w:t>are</w:t>
      </w:r>
      <w:r>
        <w:t xml:space="preserve"> likely to </w:t>
      </w:r>
      <w:r w:rsidR="00597EC5">
        <w:t>have the most accurate contact</w:t>
      </w:r>
      <w:r>
        <w:t xml:space="preserve"> information, we will first</w:t>
      </w:r>
      <w:r w:rsidR="00704D33">
        <w:t xml:space="preserve"> work with the PACE sites to </w:t>
      </w:r>
      <w:r>
        <w:t>collect contact data for the enrollees</w:t>
      </w:r>
      <w:r w:rsidR="00597EC5">
        <w:t xml:space="preserve"> and their caregivers</w:t>
      </w:r>
      <w:r>
        <w:t xml:space="preserve">. </w:t>
      </w:r>
      <w:r w:rsidR="002769FA">
        <w:t xml:space="preserve">This </w:t>
      </w:r>
      <w:r w:rsidR="002769FA">
        <w:lastRenderedPageBreak/>
        <w:t xml:space="preserve">data will help us identify the caregiver who is most involved with the healthcare of the sample member and therefore the most reliable source of information about the sample member. </w:t>
      </w:r>
      <w:r w:rsidR="00597EC5">
        <w:t>We anticipate that the PACE sites will cooperate with this effort as t</w:t>
      </w:r>
      <w:r>
        <w:t xml:space="preserve">he National Pace Association has </w:t>
      </w:r>
      <w:r w:rsidR="000F42D8">
        <w:t>indicated they will help</w:t>
      </w:r>
      <w:r>
        <w:t xml:space="preserve"> to encourage the PACE sites to provide this information. </w:t>
      </w:r>
    </w:p>
    <w:p w:rsidR="00597EC5" w:rsidRDefault="00597EC5" w:rsidP="00704D33">
      <w:r>
        <w:t xml:space="preserve">For the sample members </w:t>
      </w:r>
      <w:r w:rsidR="004E1814">
        <w:t xml:space="preserve">for </w:t>
      </w:r>
      <w:r>
        <w:t>who</w:t>
      </w:r>
      <w:r w:rsidR="004E1814">
        <w:t>m</w:t>
      </w:r>
      <w:r>
        <w:t xml:space="preserve"> we are unable to obtain contact data from the PACE sites, the locating specialists at Mathematica will work with a national telephone and address look-up company and other online databases to conduct multiple rounds of searches for contact data. </w:t>
      </w:r>
    </w:p>
    <w:p w:rsidR="00C359D5" w:rsidRDefault="00C359D5" w:rsidP="00C359D5">
      <w:r>
        <w:t xml:space="preserve">Advance letters </w:t>
      </w:r>
      <w:r w:rsidR="00597EC5">
        <w:t>will also support the</w:t>
      </w:r>
      <w:r>
        <w:t xml:space="preserve"> locating </w:t>
      </w:r>
      <w:r w:rsidR="00597EC5">
        <w:t>proces</w:t>
      </w:r>
      <w:r>
        <w:t xml:space="preserve">s. Prior to be start of data collection, Mathematica will mail advance letters </w:t>
      </w:r>
      <w:r w:rsidR="00BA0A1E">
        <w:t xml:space="preserve">on CMS letterhead </w:t>
      </w:r>
      <w:r>
        <w:t xml:space="preserve">and information brochures to sample members </w:t>
      </w:r>
      <w:r w:rsidR="00597EC5">
        <w:t>with confirmed addresses. The letter and brochure will emphasize the importance of their feedback on the PACE program and encourage participation from the sample member (</w:t>
      </w:r>
      <w:r w:rsidR="002769FA">
        <w:t>Appendix A</w:t>
      </w:r>
      <w:r w:rsidR="00597EC5">
        <w:t>). We will ask for</w:t>
      </w:r>
      <w:r>
        <w:t xml:space="preserve"> </w:t>
      </w:r>
      <w:r w:rsidRPr="00C359D5">
        <w:rPr>
          <w:i/>
        </w:rPr>
        <w:t>ADDRESS SERVICE REQUESTED</w:t>
      </w:r>
      <w:r>
        <w:t xml:space="preserve"> to obtain up-to-date addresses for those who may have moved. Letters returned with no additional postal information will be sent directly to Mathematica’s locating experts for additional electronic and telephone locating.</w:t>
      </w:r>
      <w:r w:rsidR="00597EC5">
        <w:t xml:space="preserve"> Mathematica will maintain locating efforts and monitor locating success throughout the survey field period.</w:t>
      </w:r>
    </w:p>
    <w:p w:rsidR="00540591" w:rsidRDefault="00597EC5" w:rsidP="00A460A0">
      <w:r>
        <w:t xml:space="preserve">To increase </w:t>
      </w:r>
      <w:r w:rsidR="002769FA">
        <w:t>participation</w:t>
      </w:r>
      <w:r>
        <w:t xml:space="preserve"> from a sample that is likely to suffer from physical, emotional, and cognitive impairments that can limit survey response, th</w:t>
      </w:r>
      <w:r w:rsidR="00154627" w:rsidRPr="00154627">
        <w:t xml:space="preserve">e interviewer staff, composed of experienced telephone </w:t>
      </w:r>
      <w:r>
        <w:t xml:space="preserve">interviewers, will be trained to use </w:t>
      </w:r>
      <w:r w:rsidR="00154627" w:rsidRPr="00154627">
        <w:t>procedures developed specifically to interview elderly and functionally impaired individuals. In</w:t>
      </w:r>
      <w:r>
        <w:t xml:space="preserve"> </w:t>
      </w:r>
      <w:r w:rsidR="00154627" w:rsidRPr="00154627">
        <w:t xml:space="preserve">particular, </w:t>
      </w:r>
      <w:r w:rsidR="003C44BD">
        <w:t xml:space="preserve">we will familiarize </w:t>
      </w:r>
      <w:r w:rsidR="00154627" w:rsidRPr="00154627">
        <w:t>the interviewers with the range of physical, emotional, and</w:t>
      </w:r>
      <w:r>
        <w:t xml:space="preserve"> </w:t>
      </w:r>
      <w:r w:rsidR="00154627" w:rsidRPr="00154627">
        <w:t>cognitive impairments they might encounter, discuss how these impairments can affect the</w:t>
      </w:r>
      <w:r>
        <w:t xml:space="preserve"> </w:t>
      </w:r>
      <w:r w:rsidR="00154627">
        <w:t>i</w:t>
      </w:r>
      <w:r w:rsidR="00154627" w:rsidRPr="00154627">
        <w:t>nterview process, and explain what they as interviewers can do to deal with these problems. For</w:t>
      </w:r>
      <w:r>
        <w:t xml:space="preserve"> </w:t>
      </w:r>
      <w:r w:rsidR="00154627" w:rsidRPr="00154627">
        <w:t xml:space="preserve">example, interviewers might have to </w:t>
      </w:r>
      <w:r w:rsidR="00154627" w:rsidRPr="00154627">
        <w:lastRenderedPageBreak/>
        <w:t>adjust the pace of the interview to accommodate the</w:t>
      </w:r>
      <w:r>
        <w:t xml:space="preserve"> </w:t>
      </w:r>
      <w:r w:rsidR="00154627" w:rsidRPr="00154627">
        <w:t>respondent’s health and functional status. Interviewers will receive training on strategies or</w:t>
      </w:r>
      <w:r>
        <w:t xml:space="preserve"> </w:t>
      </w:r>
      <w:r w:rsidR="00154627" w:rsidRPr="00154627">
        <w:t>approaches to encourage individuals to participate and begin the survey as well as ways to</w:t>
      </w:r>
      <w:r>
        <w:t xml:space="preserve"> </w:t>
      </w:r>
      <w:r w:rsidR="00154627" w:rsidRPr="00154627">
        <w:t xml:space="preserve">support the completion of the survey. </w:t>
      </w:r>
      <w:r w:rsidR="00A460A0">
        <w:t>Interviewers will be trained</w:t>
      </w:r>
      <w:r w:rsidR="00154627" w:rsidRPr="00154627">
        <w:t xml:space="preserve"> to recognize when fatigue</w:t>
      </w:r>
      <w:r>
        <w:t xml:space="preserve"> </w:t>
      </w:r>
      <w:r w:rsidR="00154627" w:rsidRPr="00154627">
        <w:t>affects responses and to apply techniques to handle this situation, such as offering respondents</w:t>
      </w:r>
      <w:r>
        <w:t xml:space="preserve"> </w:t>
      </w:r>
      <w:r w:rsidR="00154627" w:rsidRPr="00154627">
        <w:t xml:space="preserve">the option to take a break or schedule another time to continue the survey. </w:t>
      </w:r>
      <w:r w:rsidR="00A460A0">
        <w:t xml:space="preserve">Finally, with proxy respondents expected to account for a considerable proportion of the survey respondents, interviewers will be trained on how </w:t>
      </w:r>
      <w:r w:rsidR="00154627" w:rsidRPr="00154627">
        <w:t>to recognize</w:t>
      </w:r>
      <w:r w:rsidR="00A460A0">
        <w:t xml:space="preserve"> </w:t>
      </w:r>
      <w:r w:rsidR="00154627" w:rsidRPr="00154627">
        <w:t>situations in which the sample member is cognitively unable to participate meaningfully in the</w:t>
      </w:r>
      <w:r w:rsidR="00A460A0">
        <w:t xml:space="preserve"> </w:t>
      </w:r>
      <w:r w:rsidR="00154627" w:rsidRPr="00154627">
        <w:t>survey, identify the appropriate proxy respondent, and gain the proxy respondent’s cooperation.</w:t>
      </w:r>
    </w:p>
    <w:p w:rsidR="00540591" w:rsidRDefault="00154627" w:rsidP="00407419">
      <w:r w:rsidRPr="00154627">
        <w:t>We will meet the needs of Spanish-speaking sample members by using bilingual</w:t>
      </w:r>
      <w:r w:rsidR="00407419">
        <w:t xml:space="preserve"> </w:t>
      </w:r>
      <w:r w:rsidRPr="00154627">
        <w:t>interviewers to administer a Spanish translation of the survey. We will train interviewers to offer</w:t>
      </w:r>
      <w:r w:rsidR="00407419">
        <w:t xml:space="preserve"> </w:t>
      </w:r>
      <w:r w:rsidRPr="00154627">
        <w:t>Spanish speakers the option to speak with a Spanish interviewer and to flag these cases so they</w:t>
      </w:r>
      <w:r w:rsidR="00407419">
        <w:t xml:space="preserve"> </w:t>
      </w:r>
      <w:r w:rsidRPr="00154627">
        <w:t>will be routed to a Spanish interviewer. Our Spanish interviewers are trained to build rapport and</w:t>
      </w:r>
      <w:r w:rsidR="00407419">
        <w:t xml:space="preserve"> </w:t>
      </w:r>
      <w:r w:rsidRPr="00154627">
        <w:t>address fears stemming from participation.</w:t>
      </w:r>
    </w:p>
    <w:p w:rsidR="00C359D5" w:rsidRDefault="00C359D5" w:rsidP="00407419">
      <w:pPr>
        <w:pStyle w:val="Heading3"/>
      </w:pPr>
      <w:bookmarkStart w:id="23" w:name="_Toc318291338"/>
      <w:r>
        <w:t>4.</w:t>
      </w:r>
      <w:r>
        <w:tab/>
        <w:t>Test of Procedures or Methods to be Undertaken</w:t>
      </w:r>
      <w:bookmarkEnd w:id="23"/>
    </w:p>
    <w:p w:rsidR="00C359D5" w:rsidRDefault="009F3AE6" w:rsidP="00C359D5">
      <w:r>
        <w:t>The surve</w:t>
      </w:r>
      <w:r w:rsidR="00A460A0">
        <w:t xml:space="preserve">y developed for this </w:t>
      </w:r>
      <w:r w:rsidR="00A94605">
        <w:t xml:space="preserve">study </w:t>
      </w:r>
      <w:r w:rsidR="00A460A0">
        <w:t>draws</w:t>
      </w:r>
      <w:r>
        <w:t xml:space="preserve"> heavily upon the survey instrument that was designed and administered in 2005 </w:t>
      </w:r>
      <w:r w:rsidR="008367CB">
        <w:t>for</w:t>
      </w:r>
      <w:r>
        <w:t xml:space="preserve"> the evaluation of the not-for-profit PACE programs</w:t>
      </w:r>
      <w:r w:rsidR="002769FA">
        <w:t xml:space="preserve"> (Appendix B)</w:t>
      </w:r>
      <w:r>
        <w:t xml:space="preserve">. </w:t>
      </w:r>
      <w:r w:rsidR="00661BCF">
        <w:t>A</w:t>
      </w:r>
      <w:r>
        <w:t>s the original survey was administered to a comparison group of non-PACE enrollees, many of the questio</w:t>
      </w:r>
      <w:r w:rsidR="00661BCF">
        <w:t xml:space="preserve">ns were more general in nature. We modified several of these questions to refer specifically to the PACE programs. </w:t>
      </w:r>
      <w:r w:rsidR="008367CB">
        <w:t>To minimize respondent burden, we</w:t>
      </w:r>
      <w:r>
        <w:t xml:space="preserve"> removed questions about the source and use of caregivers that were not relevant to the research questions of this </w:t>
      </w:r>
      <w:r w:rsidR="00A94605">
        <w:t>study</w:t>
      </w:r>
      <w:r>
        <w:t xml:space="preserve">. We added </w:t>
      </w:r>
      <w:r w:rsidR="00457E77">
        <w:t>several</w:t>
      </w:r>
      <w:r w:rsidR="008367CB">
        <w:t xml:space="preserve"> </w:t>
      </w:r>
      <w:r>
        <w:t xml:space="preserve">questions, </w:t>
      </w:r>
      <w:r w:rsidR="004C2FB6">
        <w:t xml:space="preserve">adapted from the Consumer Assessment of Healthcare Providers and Systems (CAHPS) Adult Commercial </w:t>
      </w:r>
      <w:r w:rsidR="00146013">
        <w:t>Questionnaire</w:t>
      </w:r>
      <w:r w:rsidR="004C2FB6">
        <w:t xml:space="preserve"> and Supplemental </w:t>
      </w:r>
      <w:r w:rsidR="004C2FB6">
        <w:lastRenderedPageBreak/>
        <w:t xml:space="preserve">Items, </w:t>
      </w:r>
      <w:r>
        <w:t xml:space="preserve">to measure satisfaction with other services, including use of rehabilitative care, care delivered by specialist doctors, and transportation services. </w:t>
      </w:r>
      <w:r w:rsidR="00C359D5">
        <w:t>Prior to data collection,</w:t>
      </w:r>
      <w:r w:rsidR="00661BCF">
        <w:t xml:space="preserve"> the</w:t>
      </w:r>
      <w:r w:rsidR="00C359D5">
        <w:t xml:space="preserve"> CATI instruments will be tested by project staff to ensure accuracy of flow, consistency checking, and ranges.</w:t>
      </w:r>
    </w:p>
    <w:p w:rsidR="00C359D5" w:rsidRDefault="00C359D5" w:rsidP="00407419">
      <w:pPr>
        <w:pStyle w:val="Heading3"/>
      </w:pPr>
      <w:bookmarkStart w:id="24" w:name="_Toc318291339"/>
      <w:r>
        <w:t>5.</w:t>
      </w:r>
      <w:r>
        <w:tab/>
        <w:t>Individuals Consulted on Statistical Aspects of Design</w:t>
      </w:r>
      <w:r w:rsidR="00FD5E3A">
        <w:t xml:space="preserve"> and Individuals Collecting and/or Analyzing Data</w:t>
      </w:r>
      <w:bookmarkEnd w:id="24"/>
    </w:p>
    <w:p w:rsidR="00C359D5" w:rsidRDefault="00C359D5" w:rsidP="00C359D5">
      <w:r>
        <w:t>The following staff worked on the statistical aspects of the sample design:</w:t>
      </w:r>
    </w:p>
    <w:p w:rsidR="00E51BED" w:rsidRDefault="00E51BED" w:rsidP="00407419">
      <w:pPr>
        <w:pStyle w:val="BulletBlack"/>
      </w:pPr>
      <w:r>
        <w:t>David Jones, Ph.D.</w:t>
      </w:r>
      <w:r w:rsidR="007370CA">
        <w:t>,</w:t>
      </w:r>
      <w:r>
        <w:t xml:space="preserve"> Mathematica Policy Research, Inc., (617) 674-8531</w:t>
      </w:r>
    </w:p>
    <w:p w:rsidR="003E5036" w:rsidRDefault="00E51BED" w:rsidP="00407419">
      <w:pPr>
        <w:pStyle w:val="BulletBlack"/>
      </w:pPr>
      <w:r>
        <w:t>R</w:t>
      </w:r>
      <w:r w:rsidR="00C359D5">
        <w:t>obert Schmitz, Ph.D.</w:t>
      </w:r>
      <w:r w:rsidR="00A460A0">
        <w:t>,</w:t>
      </w:r>
      <w:r w:rsidR="00C359D5">
        <w:t xml:space="preserve"> </w:t>
      </w:r>
      <w:r w:rsidR="0042559D">
        <w:t>Mathematica Policy Research</w:t>
      </w:r>
      <w:r w:rsidR="007370CA">
        <w:t>,</w:t>
      </w:r>
      <w:r w:rsidR="00C359D5">
        <w:t xml:space="preserve"> </w:t>
      </w:r>
      <w:r w:rsidR="007370CA">
        <w:t xml:space="preserve">Inc., </w:t>
      </w:r>
      <w:r w:rsidR="00C359D5">
        <w:t xml:space="preserve">(617) </w:t>
      </w:r>
      <w:r w:rsidR="00BD6A3E">
        <w:t>301-8976</w:t>
      </w:r>
    </w:p>
    <w:p w:rsidR="003E5036" w:rsidRDefault="00E51BED" w:rsidP="00407419">
      <w:pPr>
        <w:pStyle w:val="BulletBlack"/>
      </w:pPr>
      <w:r>
        <w:t>Frank Yoon, Ph.D.</w:t>
      </w:r>
      <w:r w:rsidR="007370CA">
        <w:t>,</w:t>
      </w:r>
      <w:r>
        <w:t xml:space="preserve"> Mathematica Po</w:t>
      </w:r>
      <w:r w:rsidR="007370CA">
        <w:t>li</w:t>
      </w:r>
      <w:r>
        <w:t xml:space="preserve">cy Research, Inc., </w:t>
      </w:r>
      <w:r w:rsidRPr="00D22C1E">
        <w:t>(212) 554-</w:t>
      </w:r>
      <w:r>
        <w:t>7518</w:t>
      </w:r>
    </w:p>
    <w:p w:rsidR="003E5036" w:rsidRDefault="00661BCF" w:rsidP="00407419">
      <w:pPr>
        <w:pStyle w:val="BulletBlack"/>
      </w:pPr>
      <w:r>
        <w:t>Barbara Carlson, Mathematica Policy Research</w:t>
      </w:r>
      <w:r w:rsidR="007370CA">
        <w:t>,</w:t>
      </w:r>
      <w:r>
        <w:t xml:space="preserve"> </w:t>
      </w:r>
      <w:r w:rsidR="007370CA">
        <w:t xml:space="preserve">Inc., </w:t>
      </w:r>
      <w:r w:rsidR="00BD6A3E">
        <w:t>(617) 674-8372</w:t>
      </w:r>
    </w:p>
    <w:p w:rsidR="00C359D5" w:rsidRDefault="00C359D5" w:rsidP="00407419">
      <w:pPr>
        <w:pStyle w:val="BulletBlack"/>
      </w:pPr>
      <w:r>
        <w:t>Frank Potter, Ph.D., Mathematica Policy Research</w:t>
      </w:r>
      <w:r w:rsidR="007370CA">
        <w:t>,</w:t>
      </w:r>
      <w:r>
        <w:t xml:space="preserve"> </w:t>
      </w:r>
      <w:r w:rsidR="007370CA">
        <w:t xml:space="preserve">Inc., </w:t>
      </w:r>
      <w:r>
        <w:t>(</w:t>
      </w:r>
      <w:r w:rsidR="00BD6A3E">
        <w:t>293) 558-5956</w:t>
      </w:r>
    </w:p>
    <w:p w:rsidR="003E5036" w:rsidRDefault="003E5036" w:rsidP="00407419">
      <w:pPr>
        <w:pStyle w:val="BulletBlackLastDS"/>
      </w:pPr>
      <w:r w:rsidRPr="00D22C1E">
        <w:t>Valerie Cheh, Ph.D.</w:t>
      </w:r>
      <w:r w:rsidR="007370CA">
        <w:t>,</w:t>
      </w:r>
      <w:r w:rsidRPr="00D22C1E">
        <w:t xml:space="preserve"> Mathematica Policy Research, Inc., (609) 275-2385</w:t>
      </w:r>
    </w:p>
    <w:p w:rsidR="003E5036" w:rsidRDefault="006C74FD" w:rsidP="00407419">
      <w:r>
        <w:t>The following staff will oversee the data collection:</w:t>
      </w:r>
    </w:p>
    <w:p w:rsidR="006C74FD" w:rsidRDefault="006C74FD" w:rsidP="00407419">
      <w:pPr>
        <w:pStyle w:val="BulletBlackLastDS"/>
      </w:pPr>
      <w:r>
        <w:t>Nancy Duda, Ph.D., Mathematica Policy Research</w:t>
      </w:r>
      <w:r w:rsidR="00F71B48">
        <w:t>, Inc.,</w:t>
      </w:r>
      <w:r>
        <w:t xml:space="preserve"> (609) 945-3340</w:t>
      </w:r>
      <w:r>
        <w:tab/>
      </w:r>
    </w:p>
    <w:p w:rsidR="003E5036" w:rsidRDefault="006C74FD" w:rsidP="00407419">
      <w:r>
        <w:t>The following staff will oversee the analysis of the data:</w:t>
      </w:r>
    </w:p>
    <w:p w:rsidR="006C74FD" w:rsidRDefault="006C74FD" w:rsidP="00407419">
      <w:pPr>
        <w:pStyle w:val="BulletBlackLastDS"/>
      </w:pPr>
      <w:r>
        <w:t>David Jones, Ph.D., Mathematica Policy Research</w:t>
      </w:r>
      <w:r w:rsidR="00F71B48">
        <w:t>,</w:t>
      </w:r>
      <w:r w:rsidR="00F71B48" w:rsidRPr="00F71B48">
        <w:t xml:space="preserve"> </w:t>
      </w:r>
      <w:r w:rsidR="00F71B48">
        <w:t>Inc.,</w:t>
      </w:r>
      <w:r>
        <w:t xml:space="preserve"> (617) 674-8351</w:t>
      </w:r>
    </w:p>
    <w:p w:rsidR="00360740" w:rsidRDefault="00360740" w:rsidP="00360740">
      <w:pPr>
        <w:sectPr w:rsidR="00360740" w:rsidSect="00360740">
          <w:headerReference w:type="default" r:id="rId17"/>
          <w:footerReference w:type="default" r:id="rId18"/>
          <w:endnotePr>
            <w:numFmt w:val="decimal"/>
          </w:endnotePr>
          <w:pgSz w:w="12240" w:h="15840" w:code="1"/>
          <w:pgMar w:top="1440" w:right="1440" w:bottom="576" w:left="1440" w:header="720" w:footer="576" w:gutter="0"/>
          <w:pgNumType w:start="1"/>
          <w:cols w:space="720"/>
          <w:docGrid w:linePitch="326"/>
        </w:sectPr>
      </w:pPr>
    </w:p>
    <w:p w:rsidR="00360740" w:rsidRPr="00360740" w:rsidRDefault="00360740" w:rsidP="00360740">
      <w:pPr>
        <w:tabs>
          <w:tab w:val="clear" w:pos="432"/>
          <w:tab w:val="right" w:pos="9360"/>
        </w:tabs>
        <w:spacing w:after="240" w:line="240" w:lineRule="auto"/>
        <w:ind w:firstLine="0"/>
        <w:jc w:val="center"/>
        <w:rPr>
          <w:b/>
        </w:rPr>
      </w:pPr>
    </w:p>
    <w:p w:rsidR="00A26AF8" w:rsidRDefault="00A26AF8" w:rsidP="00A26AF8">
      <w:pPr>
        <w:sectPr w:rsidR="00A26AF8" w:rsidSect="00360740">
          <w:headerReference w:type="default" r:id="rId19"/>
          <w:footerReference w:type="default" r:id="rId20"/>
          <w:endnotePr>
            <w:numFmt w:val="decimal"/>
          </w:endnotePr>
          <w:pgSz w:w="12240" w:h="15840" w:code="1"/>
          <w:pgMar w:top="1440" w:right="1440" w:bottom="576" w:left="1440" w:header="720" w:footer="576" w:gutter="0"/>
          <w:pgNumType w:start="1"/>
          <w:cols w:space="720"/>
          <w:docGrid w:linePitch="326"/>
        </w:sectPr>
      </w:pPr>
    </w:p>
    <w:p w:rsidR="00A26AF8" w:rsidRPr="00A26AF8" w:rsidRDefault="00ED4DED" w:rsidP="00A3104B">
      <w:pPr>
        <w:spacing w:after="960" w:line="264" w:lineRule="auto"/>
        <w:ind w:firstLine="0"/>
      </w:pPr>
      <w:r>
        <w:rPr>
          <w:rFonts w:ascii="Lucida Sans" w:hAnsi="Lucida Sans"/>
          <w:noProof/>
          <w:sz w:val="22"/>
          <w:szCs w:val="22"/>
        </w:rPr>
        <w:lastRenderedPageBreak/>
        <w:pict>
          <v:shapetype id="_x0000_t202" coordsize="21600,21600" o:spt="202" path="m,l,21600r21600,l21600,xe">
            <v:stroke joinstyle="miter"/>
            <v:path gradientshapeok="t" o:connecttype="rect"/>
          </v:shapetype>
          <v:shape id="Text Box 4" o:spid="_x0000_s1026" type="#_x0000_t202" style="position:absolute;left:0;text-align:left;margin-left:-56.95pt;margin-top:476.25pt;width:581.9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PfsQIAALY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" filled="f" stroked="f" strokeweight="0">
            <v:textbox>
              <w:txbxContent>
                <w:p w:rsidR="0048279F" w:rsidRPr="00241617" w:rsidRDefault="0048279F" w:rsidP="00A26AF8">
                  <w:pPr>
                    <w:tabs>
                      <w:tab w:val="clear" w:pos="432"/>
                    </w:tabs>
                    <w:spacing w:after="200" w:line="264" w:lineRule="auto"/>
                    <w:ind w:firstLine="0"/>
                    <w:jc w:val="center"/>
                    <w:rPr>
                      <w:rFonts w:cs="Arial"/>
                      <w:sz w:val="17"/>
                      <w:szCs w:val="18"/>
                    </w:rPr>
                  </w:pPr>
                  <w:r w:rsidRPr="00241617">
                    <w:rPr>
                      <w:rFonts w:cs="Arial"/>
                      <w:sz w:val="17"/>
                      <w:szCs w:val="18"/>
                    </w:rPr>
                    <w:t>Improving public well-being by conducting high-quality, objective research and surveys</w:t>
                  </w:r>
                </w:p>
                <w:p w:rsidR="0048279F" w:rsidRPr="00241617" w:rsidRDefault="0048279F" w:rsidP="00A26AF8">
                  <w:pPr>
                    <w:tabs>
                      <w:tab w:val="clear" w:pos="432"/>
                    </w:tabs>
                    <w:spacing w:line="264" w:lineRule="auto"/>
                    <w:ind w:firstLine="0"/>
                    <w:jc w:val="center"/>
                    <w:rPr>
                      <w:rFonts w:cs="Arial"/>
                      <w:sz w:val="17"/>
                      <w:szCs w:val="18"/>
                    </w:rPr>
                  </w:pPr>
                  <w:r w:rsidRPr="00241617">
                    <w:rPr>
                      <w:rFonts w:cs="Arial"/>
                      <w:sz w:val="17"/>
                      <w:szCs w:val="18"/>
                    </w:rPr>
                    <w:t xml:space="preserve">Princeton, NJ  </w:t>
                  </w:r>
                  <w:r w:rsidRPr="00241617">
                    <w:rPr>
                      <w:sz w:val="17"/>
                      <w:szCs w:val="16"/>
                    </w:rPr>
                    <w:t>■</w:t>
                  </w:r>
                  <w:r w:rsidRPr="00241617">
                    <w:rPr>
                      <w:rFonts w:cs="Arial"/>
                      <w:sz w:val="17"/>
                      <w:szCs w:val="18"/>
                    </w:rPr>
                    <w:t xml:space="preserve">  Ann Arbor, MI  </w:t>
                  </w:r>
                  <w:r w:rsidRPr="00241617">
                    <w:rPr>
                      <w:sz w:val="17"/>
                      <w:szCs w:val="18"/>
                    </w:rPr>
                    <w:t>■</w:t>
                  </w:r>
                  <w:r w:rsidRPr="00241617">
                    <w:rPr>
                      <w:rFonts w:cs="Arial"/>
                      <w:sz w:val="17"/>
                      <w:szCs w:val="18"/>
                    </w:rPr>
                    <w:t xml:space="preserve">  Cambridge, MA  </w:t>
                  </w:r>
                  <w:r w:rsidRPr="00241617">
                    <w:rPr>
                      <w:sz w:val="17"/>
                      <w:szCs w:val="18"/>
                    </w:rPr>
                    <w:t>■</w:t>
                  </w:r>
                  <w:r w:rsidRPr="00241617">
                    <w:rPr>
                      <w:rFonts w:cs="Arial"/>
                      <w:sz w:val="17"/>
                      <w:szCs w:val="18"/>
                    </w:rPr>
                    <w:t xml:space="preserve">  Chicago, IL  </w:t>
                  </w:r>
                  <w:r w:rsidRPr="00241617">
                    <w:rPr>
                      <w:sz w:val="17"/>
                      <w:szCs w:val="18"/>
                    </w:rPr>
                    <w:t>■</w:t>
                  </w:r>
                  <w:r w:rsidRPr="00241617">
                    <w:rPr>
                      <w:rFonts w:cs="Arial"/>
                      <w:sz w:val="17"/>
                      <w:szCs w:val="18"/>
                    </w:rPr>
                    <w:t xml:space="preserve">  Oakland, CA  </w:t>
                  </w:r>
                  <w:r w:rsidRPr="00241617">
                    <w:rPr>
                      <w:sz w:val="17"/>
                      <w:szCs w:val="18"/>
                    </w:rPr>
                    <w:t xml:space="preserve">■ </w:t>
                  </w:r>
                  <w:r w:rsidRPr="00241617">
                    <w:rPr>
                      <w:rFonts w:cs="Arial"/>
                      <w:sz w:val="17"/>
                      <w:szCs w:val="18"/>
                    </w:rPr>
                    <w:t xml:space="preserve"> Washington, DC</w:t>
                  </w:r>
                </w:p>
                <w:p w:rsidR="0048279F" w:rsidRPr="00241617" w:rsidRDefault="0048279F" w:rsidP="00A26AF8">
                  <w:pPr>
                    <w:tabs>
                      <w:tab w:val="clear" w:pos="432"/>
                    </w:tabs>
                    <w:spacing w:line="264" w:lineRule="auto"/>
                    <w:ind w:firstLine="0"/>
                    <w:jc w:val="center"/>
                    <w:rPr>
                      <w:rFonts w:cs="Arial"/>
                      <w:sz w:val="17"/>
                      <w:szCs w:val="18"/>
                    </w:rPr>
                  </w:pPr>
                </w:p>
                <w:p w:rsidR="0048279F" w:rsidRPr="00241617" w:rsidRDefault="0048279F" w:rsidP="00A26AF8">
                  <w:pPr>
                    <w:tabs>
                      <w:tab w:val="clear" w:pos="432"/>
                    </w:tabs>
                    <w:spacing w:line="264" w:lineRule="auto"/>
                    <w:ind w:firstLine="0"/>
                    <w:jc w:val="center"/>
                    <w:rPr>
                      <w:rFonts w:cs="Arial"/>
                      <w:sz w:val="17"/>
                      <w:szCs w:val="18"/>
                    </w:rPr>
                  </w:pPr>
                  <w:r w:rsidRPr="00241617">
                    <w:rPr>
                      <w:rFonts w:cs="Arial"/>
                      <w:sz w:val="17"/>
                      <w:szCs w:val="18"/>
                    </w:rPr>
                    <w:t>Mathematica</w:t>
                  </w:r>
                  <w:r w:rsidRPr="00241617">
                    <w:rPr>
                      <w:rFonts w:cs="Arial"/>
                      <w:sz w:val="16"/>
                      <w:szCs w:val="18"/>
                      <w:vertAlign w:val="superscript"/>
                    </w:rPr>
                    <w:t>®</w:t>
                  </w:r>
                  <w:r w:rsidRPr="00241617">
                    <w:rPr>
                      <w:rFonts w:cs="Arial"/>
                      <w:sz w:val="17"/>
                      <w:szCs w:val="18"/>
                    </w:rPr>
                    <w:t xml:space="preserve"> is a registered trademark of Mathematica Policy Research</w:t>
                  </w:r>
                </w:p>
              </w:txbxContent>
            </v:textbox>
          </v:shape>
        </w:pict>
      </w:r>
      <w:r>
        <w:rPr>
          <w:rFonts w:ascii="Lucida Sans" w:hAnsi="Lucida Sans"/>
          <w:noProof/>
          <w:sz w:val="22"/>
          <w:szCs w:val="22"/>
        </w:rPr>
        <w:pict>
          <v:shape id="Text Box 5" o:spid="_x0000_s1027" type="#_x0000_t202" style="position:absolute;left:0;text-align:left;margin-left:333.25pt;margin-top:412.55pt;width:154.45pt;height:27.9pt;z-index:-25164697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INtwIAAMA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" filled="f" stroked="f">
            <v:textbox style="mso-fit-shape-to-text:t">
              <w:txbxContent>
                <w:p w:rsidR="0048279F" w:rsidRPr="008A4033" w:rsidRDefault="0048279F" w:rsidP="00A26AF8">
                  <w:pPr>
                    <w:tabs>
                      <w:tab w:val="clear" w:pos="432"/>
                    </w:tabs>
                    <w:ind w:firstLine="0"/>
                    <w:rPr>
                      <w:rFonts w:cs="Arial"/>
                      <w:b/>
                      <w:sz w:val="18"/>
                      <w:szCs w:val="18"/>
                    </w:rPr>
                  </w:pPr>
                  <w:r w:rsidRPr="008A4033">
                    <w:rPr>
                      <w:rFonts w:cs="Arial"/>
                      <w:b/>
                      <w:sz w:val="18"/>
                      <w:szCs w:val="18"/>
                    </w:rPr>
                    <w:t>www.mathematica-mpr.com</w:t>
                  </w:r>
                </w:p>
              </w:txbxContent>
            </v:textbox>
            <w10:wrap type="through" anchorx="page" anchory="page"/>
          </v:shape>
        </w:pict>
      </w:r>
      <w:r w:rsidR="00A26AF8">
        <w:rPr>
          <w:rFonts w:ascii="Lucida Sans" w:hAnsi="Lucida Sans"/>
          <w:noProof/>
          <w:sz w:val="22"/>
          <w:szCs w:val="22"/>
        </w:rPr>
        <w:drawing>
          <wp:anchor distT="0" distB="0" distL="114300" distR="114300" simplePos="0" relativeHeight="251668480" behindDoc="0" locked="1" layoutInCell="1" allowOverlap="1">
            <wp:simplePos x="0" y="0"/>
            <wp:positionH relativeFrom="page">
              <wp:posOffset>4204970</wp:posOffset>
            </wp:positionH>
            <wp:positionV relativeFrom="page">
              <wp:posOffset>4572000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4"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9" cstate="print"/>
                    <a:stretch>
                      <a:fillRect/>
                    </a:stretch>
                  </pic:blipFill>
                  <pic:spPr bwMode="auto">
                    <a:xfrm>
                      <a:off x="0" y="0"/>
                      <a:ext cx="1819275" cy="581025"/>
                    </a:xfrm>
                    <a:prstGeom prst="rect">
                      <a:avLst/>
                    </a:prstGeom>
                    <a:noFill/>
                  </pic:spPr>
                </pic:pic>
              </a:graphicData>
            </a:graphic>
          </wp:anchor>
        </w:drawing>
      </w:r>
      <w:r w:rsidR="00A26AF8">
        <w:rPr>
          <w:rFonts w:ascii="Lucida Sans" w:hAnsi="Lucida Sans"/>
          <w:noProof/>
          <w:sz w:val="22"/>
          <w:szCs w:val="22"/>
        </w:rPr>
        <w:drawing>
          <wp:anchor distT="0" distB="0" distL="114300" distR="114300" simplePos="0" relativeHeight="251666432" behindDoc="0" locked="1" layoutInCell="1" allowOverlap="1">
            <wp:simplePos x="0" y="0"/>
            <wp:positionH relativeFrom="page">
              <wp:posOffset>-27305</wp:posOffset>
            </wp:positionH>
            <wp:positionV relativeFrom="page">
              <wp:posOffset>6172200</wp:posOffset>
            </wp:positionV>
            <wp:extent cx="7879080" cy="2562225"/>
            <wp:effectExtent l="19050" t="0" r="7620" b="0"/>
            <wp:wrapThrough wrapText="bothSides">
              <wp:wrapPolygon edited="0">
                <wp:start x="-52" y="0"/>
                <wp:lineTo x="-52" y="21520"/>
                <wp:lineTo x="21621" y="21520"/>
                <wp:lineTo x="21621" y="0"/>
                <wp:lineTo x="-52" y="0"/>
              </wp:wrapPolygon>
            </wp:wrapThrough>
            <wp:docPr id="5" name="Picture 7" descr="Multi-colored band acros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7879080" cy="2562225"/>
                    </a:xfrm>
                    <a:prstGeom prst="rect">
                      <a:avLst/>
                    </a:prstGeom>
                    <a:noFill/>
                  </pic:spPr>
                </pic:pic>
              </a:graphicData>
            </a:graphic>
          </wp:anchor>
        </w:drawing>
      </w:r>
    </w:p>
    <w:sectPr w:rsidR="00A26AF8" w:rsidRPr="00A26AF8" w:rsidSect="007C0CD8">
      <w:headerReference w:type="default" r:id="rId22"/>
      <w:footerReference w:type="default" r:id="rId23"/>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DED" w:rsidRDefault="00ED4DED">
      <w:pPr>
        <w:spacing w:line="240" w:lineRule="auto"/>
        <w:ind w:firstLine="0"/>
      </w:pPr>
    </w:p>
  </w:endnote>
  <w:endnote w:type="continuationSeparator" w:id="0">
    <w:p w:rsidR="00ED4DED" w:rsidRDefault="00ED4DED">
      <w:pPr>
        <w:spacing w:line="240" w:lineRule="auto"/>
        <w:ind w:firstLine="0"/>
      </w:pPr>
    </w:p>
  </w:endnote>
  <w:endnote w:type="continuationNotice" w:id="1">
    <w:p w:rsidR="00ED4DED" w:rsidRDefault="00ED4DED">
      <w:pPr>
        <w:spacing w:line="240" w:lineRule="auto"/>
        <w:ind w:firstLine="0"/>
      </w:pPr>
    </w:p>
    <w:p w:rsidR="00ED4DED" w:rsidRDefault="00ED4DED"/>
    <w:p w:rsidR="00ED4DED" w:rsidRDefault="00ED4DE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N:\Shared-NJ1\06965_PACE\OMB Package\06965_PACE_OMB_draft.docx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9F" w:rsidRPr="008F1A3F" w:rsidRDefault="0048279F" w:rsidP="00B1511F">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9F" w:rsidRDefault="0048279F" w:rsidP="00223CF8">
    <w:pPr>
      <w:pStyle w:val="Footer"/>
      <w:spacing w:before="120"/>
      <w:ind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9645"/>
      <w:docPartObj>
        <w:docPartGallery w:val="Page Numbers (Bottom of Page)"/>
        <w:docPartUnique/>
      </w:docPartObj>
    </w:sdtPr>
    <w:sdtEndPr/>
    <w:sdtContent>
      <w:p w:rsidR="0048279F" w:rsidRDefault="00060598">
        <w:pPr>
          <w:pStyle w:val="Footer"/>
          <w:jc w:val="center"/>
        </w:pPr>
        <w:r>
          <w:fldChar w:fldCharType="begin"/>
        </w:r>
        <w:r w:rsidR="00467A56">
          <w:instrText xml:space="preserve"> PAGE   \* MERGEFORMAT </w:instrText>
        </w:r>
        <w:r>
          <w:fldChar w:fldCharType="separate"/>
        </w:r>
        <w:r w:rsidR="00217D68">
          <w:rPr>
            <w:noProof/>
          </w:rPr>
          <w:t>iv</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9F" w:rsidRPr="00C6696F" w:rsidRDefault="0048279F" w:rsidP="00CB3959">
    <w:pPr>
      <w:pStyle w:val="Footer"/>
      <w:tabs>
        <w:tab w:val="clear" w:pos="432"/>
        <w:tab w:val="clear" w:pos="4320"/>
        <w:tab w:val="clear" w:pos="8640"/>
        <w:tab w:val="center" w:pos="4770"/>
        <w:tab w:val="right" w:pos="9360"/>
      </w:tabs>
      <w:spacing w:before="120"/>
      <w:ind w:firstLine="0"/>
      <w:rPr>
        <w:rStyle w:val="PageNumber"/>
        <w:rFonts w:ascii="Arial" w:hAnsi="Arial" w:cs="Arial"/>
        <w:b/>
        <w:sz w:val="17"/>
      </w:rPr>
    </w:pPr>
    <w:r w:rsidRPr="00C6696F">
      <w:rPr>
        <w:rFonts w:cs="Arial"/>
        <w:sz w:val="16"/>
      </w:rPr>
      <w:tab/>
    </w:r>
    <w:r w:rsidR="00060598" w:rsidRPr="00057253">
      <w:rPr>
        <w:rStyle w:val="PageNumber"/>
      </w:rPr>
      <w:fldChar w:fldCharType="begin"/>
    </w:r>
    <w:r w:rsidRPr="00057253">
      <w:rPr>
        <w:rStyle w:val="PageNumber"/>
      </w:rPr>
      <w:instrText xml:space="preserve"> PAGE </w:instrText>
    </w:r>
    <w:r w:rsidR="00060598" w:rsidRPr="00057253">
      <w:rPr>
        <w:rStyle w:val="PageNumber"/>
      </w:rPr>
      <w:fldChar w:fldCharType="separate"/>
    </w:r>
    <w:r w:rsidR="00217D68">
      <w:rPr>
        <w:rStyle w:val="PageNumber"/>
        <w:noProof/>
      </w:rPr>
      <w:t>10</w:t>
    </w:r>
    <w:r w:rsidR="00060598" w:rsidRPr="00057253">
      <w:rPr>
        <w:rStyle w:val="PageNumber"/>
      </w:rPr>
      <w:fldChar w:fldCharType="end"/>
    </w:r>
    <w:r w:rsidRPr="00057253">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9F" w:rsidRPr="00A3104B" w:rsidRDefault="0048279F" w:rsidP="00A3104B">
    <w:pPr>
      <w:pStyle w:val="Foote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9F" w:rsidRPr="00A26AF8" w:rsidRDefault="0048279F" w:rsidP="00A26AF8">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DED" w:rsidRDefault="00ED4DED">
      <w:pPr>
        <w:spacing w:line="240" w:lineRule="auto"/>
        <w:ind w:firstLine="0"/>
      </w:pPr>
      <w:r>
        <w:separator/>
      </w:r>
    </w:p>
  </w:footnote>
  <w:footnote w:type="continuationSeparator" w:id="0">
    <w:p w:rsidR="00ED4DED" w:rsidRDefault="00ED4DED">
      <w:pPr>
        <w:spacing w:line="240" w:lineRule="auto"/>
        <w:ind w:firstLine="0"/>
      </w:pPr>
      <w:r>
        <w:separator/>
      </w:r>
    </w:p>
    <w:p w:rsidR="00ED4DED" w:rsidRDefault="00ED4DED">
      <w:pPr>
        <w:spacing w:line="240" w:lineRule="auto"/>
        <w:ind w:firstLine="0"/>
        <w:rPr>
          <w:i/>
        </w:rPr>
      </w:pPr>
      <w:r>
        <w:rPr>
          <w:i/>
        </w:rPr>
        <w:t>(continued)</w:t>
      </w:r>
    </w:p>
  </w:footnote>
  <w:footnote w:type="continuationNotice" w:id="1">
    <w:p w:rsidR="00ED4DED" w:rsidRDefault="00ED4DED">
      <w:pPr>
        <w:pStyle w:val="Footer"/>
      </w:pPr>
    </w:p>
  </w:footnote>
  <w:footnote w:id="2">
    <w:p w:rsidR="0048279F" w:rsidRDefault="0048279F">
      <w:pPr>
        <w:pStyle w:val="FootnoteText"/>
      </w:pPr>
      <w:r>
        <w:rPr>
          <w:rStyle w:val="FootnoteReference"/>
        </w:rPr>
        <w:footnoteRef/>
      </w:r>
      <w:r>
        <w:t xml:space="preserve"> A fifth for-profit site, Life at Home, </w:t>
      </w:r>
      <w:r w:rsidRPr="00245C66">
        <w:t xml:space="preserve">terminated on May 1, 2012. </w:t>
      </w:r>
    </w:p>
  </w:footnote>
  <w:footnote w:id="3">
    <w:p w:rsidR="0048279F" w:rsidRDefault="0048279F" w:rsidP="00E51BED">
      <w:pPr>
        <w:pStyle w:val="FootnoteText"/>
      </w:pPr>
      <w:r>
        <w:rPr>
          <w:rStyle w:val="FootnoteReference"/>
        </w:rPr>
        <w:footnoteRef/>
      </w:r>
      <w:r>
        <w:t xml:space="preserve"> An example of a systematic difference that would lead us to take a targeted sample of for-profit enrollees would be if the comparison group was comprised of fee-for-service Medicare beneficiaries that could be systematically different from PACE enrollees. Because both groups are comprised of PACE enrollees, such a targeted sampling of the for-profit enrollees is not required. Other differences between the two groups, such as age, gender, and basic health status, will be accounted for in the matching process described in the following sections.</w:t>
      </w:r>
    </w:p>
  </w:footnote>
  <w:footnote w:id="4">
    <w:p w:rsidR="0048279F" w:rsidRDefault="0048279F">
      <w:pPr>
        <w:pStyle w:val="FootnoteText"/>
      </w:pPr>
      <w:r>
        <w:rPr>
          <w:rStyle w:val="FootnoteReference"/>
        </w:rPr>
        <w:footnoteRef/>
      </w:r>
      <w:r>
        <w:t xml:space="preserve"> Distributional matching is preferred to nearest neighbor matching in this case since we are not certain which sample members will respond to the survey, i.e., individuals in matched pairs under the nearest neighbor method might not be part of the final sample.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9F" w:rsidRPr="00EF7F57" w:rsidRDefault="0048279F" w:rsidP="00223CF8">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9F" w:rsidRPr="00360740" w:rsidRDefault="0048279F" w:rsidP="00360740">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9F" w:rsidRPr="00755ABC" w:rsidRDefault="0048279F" w:rsidP="006C5B99">
    <w:pPr>
      <w:pStyle w:val="Header"/>
      <w:rPr>
        <w:rFonts w:cs="Arial"/>
        <w:sz w:val="20"/>
        <w:szCs w:val="20"/>
      </w:rPr>
    </w:pPr>
    <w:r>
      <w:rPr>
        <w:rFonts w:cs="Arial"/>
        <w:sz w:val="20"/>
        <w:szCs w:val="20"/>
      </w:rPr>
      <w:t>06965 PACE OMB Package</w:t>
    </w:r>
    <w:r w:rsidRPr="00755ABC">
      <w:rPr>
        <w:rFonts w:cs="Arial"/>
        <w:sz w:val="20"/>
        <w:szCs w:val="20"/>
      </w:rPr>
      <w:tab/>
    </w:r>
    <w:r w:rsidRPr="00755ABC">
      <w:rPr>
        <w:rFonts w:cs="Arial"/>
        <w:sz w:val="20"/>
        <w:szCs w:val="20"/>
      </w:rPr>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9F" w:rsidRPr="00A3104B" w:rsidRDefault="0048279F" w:rsidP="00A3104B">
    <w:pPr>
      <w:pStyle w:val="Header"/>
      <w:rPr>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9F" w:rsidRPr="00A26AF8" w:rsidRDefault="0048279F" w:rsidP="00A26AF8">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A4584304"/>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95E1101"/>
    <w:multiLevelType w:val="singleLevel"/>
    <w:tmpl w:val="0FAA7088"/>
    <w:lvl w:ilvl="0">
      <w:start w:val="3"/>
      <w:numFmt w:val="decimal"/>
      <w:lvlText w:val="%1)"/>
      <w:legacy w:legacy="1" w:legacySpace="120" w:legacyIndent="360"/>
      <w:lvlJc w:val="left"/>
      <w:pPr>
        <w:ind w:left="360" w:hanging="360"/>
      </w:pPr>
    </w:lvl>
  </w:abstractNum>
  <w:abstractNum w:abstractNumId="18">
    <w:nsid w:val="462B16FC"/>
    <w:multiLevelType w:val="singleLevel"/>
    <w:tmpl w:val="98D46B0A"/>
    <w:lvl w:ilvl="0">
      <w:start w:val="1"/>
      <w:numFmt w:val="bullet"/>
      <w:pStyle w:val="bullet"/>
      <w:lvlText w:val=""/>
      <w:lvlJc w:val="left"/>
      <w:pPr>
        <w:tabs>
          <w:tab w:val="num" w:pos="720"/>
        </w:tabs>
        <w:ind w:left="720" w:hanging="360"/>
      </w:pPr>
      <w:rPr>
        <w:rFonts w:ascii="Symbol" w:hAnsi="Symbol" w:hint="default"/>
      </w:r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BB962E3"/>
    <w:multiLevelType w:val="hybridMultilevel"/>
    <w:tmpl w:val="AE40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7831F8C"/>
    <w:multiLevelType w:val="singleLevel"/>
    <w:tmpl w:val="45367618"/>
    <w:lvl w:ilvl="0">
      <w:start w:val="2"/>
      <w:numFmt w:val="decimal"/>
      <w:lvlText w:val="%1."/>
      <w:lvlJc w:val="left"/>
      <w:pPr>
        <w:tabs>
          <w:tab w:val="num" w:pos="1440"/>
        </w:tabs>
        <w:ind w:left="1440" w:hanging="720"/>
      </w:pPr>
      <w:rPr>
        <w:rFonts w:hint="default"/>
        <w:u w:val="none"/>
      </w:rPr>
    </w:lvl>
  </w:abstractNum>
  <w:abstractNum w:abstractNumId="27">
    <w:nsid w:val="78A075D6"/>
    <w:multiLevelType w:val="hybridMultilevel"/>
    <w:tmpl w:val="49CE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25"/>
  </w:num>
  <w:num w:numId="3">
    <w:abstractNumId w:val="21"/>
  </w:num>
  <w:num w:numId="4">
    <w:abstractNumId w:val="11"/>
  </w:num>
  <w:num w:numId="5">
    <w:abstractNumId w:val="10"/>
  </w:num>
  <w:num w:numId="6">
    <w:abstractNumId w:val="29"/>
  </w:num>
  <w:num w:numId="7">
    <w:abstractNumId w:val="23"/>
  </w:num>
  <w:num w:numId="8">
    <w:abstractNumId w:val="14"/>
  </w:num>
  <w:num w:numId="9">
    <w:abstractNumId w:val="15"/>
  </w:num>
  <w:num w:numId="10">
    <w:abstractNumId w:val="16"/>
  </w:num>
  <w:num w:numId="11">
    <w:abstractNumId w:val="12"/>
  </w:num>
  <w:num w:numId="12">
    <w:abstractNumId w:val="22"/>
  </w:num>
  <w:num w:numId="13">
    <w:abstractNumId w:val="13"/>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4"/>
  </w:num>
  <w:num w:numId="26">
    <w:abstractNumId w:val="28"/>
  </w:num>
  <w:num w:numId="27">
    <w:abstractNumId w:val="26"/>
  </w:num>
  <w:num w:numId="28">
    <w:abstractNumId w:val="17"/>
  </w:num>
  <w:num w:numId="29">
    <w:abstractNumId w:val="18"/>
  </w:num>
  <w:num w:numId="30">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D14026"/>
    <w:rsid w:val="00001501"/>
    <w:rsid w:val="000015FB"/>
    <w:rsid w:val="00007CA0"/>
    <w:rsid w:val="0001036F"/>
    <w:rsid w:val="00012372"/>
    <w:rsid w:val="00017DD1"/>
    <w:rsid w:val="00021A62"/>
    <w:rsid w:val="00021E5C"/>
    <w:rsid w:val="00022AF3"/>
    <w:rsid w:val="00027F71"/>
    <w:rsid w:val="0003672D"/>
    <w:rsid w:val="00037098"/>
    <w:rsid w:val="00052499"/>
    <w:rsid w:val="00057253"/>
    <w:rsid w:val="00060598"/>
    <w:rsid w:val="00060EAC"/>
    <w:rsid w:val="00066AB9"/>
    <w:rsid w:val="00066BD3"/>
    <w:rsid w:val="00071D32"/>
    <w:rsid w:val="000769A1"/>
    <w:rsid w:val="00076CF0"/>
    <w:rsid w:val="00080DFA"/>
    <w:rsid w:val="000812AE"/>
    <w:rsid w:val="00081D47"/>
    <w:rsid w:val="0008777C"/>
    <w:rsid w:val="00090529"/>
    <w:rsid w:val="00095187"/>
    <w:rsid w:val="000A4439"/>
    <w:rsid w:val="000A4D5F"/>
    <w:rsid w:val="000A544F"/>
    <w:rsid w:val="000B0721"/>
    <w:rsid w:val="000B3A77"/>
    <w:rsid w:val="000C0118"/>
    <w:rsid w:val="000C70DC"/>
    <w:rsid w:val="000C72F8"/>
    <w:rsid w:val="000C78EB"/>
    <w:rsid w:val="000C7E92"/>
    <w:rsid w:val="000D4368"/>
    <w:rsid w:val="000D47C3"/>
    <w:rsid w:val="000E080A"/>
    <w:rsid w:val="000E612C"/>
    <w:rsid w:val="000E6D11"/>
    <w:rsid w:val="000F42D8"/>
    <w:rsid w:val="000F60BB"/>
    <w:rsid w:val="000F79B9"/>
    <w:rsid w:val="00105D23"/>
    <w:rsid w:val="001073C9"/>
    <w:rsid w:val="0011380B"/>
    <w:rsid w:val="00125797"/>
    <w:rsid w:val="00130424"/>
    <w:rsid w:val="00130EB9"/>
    <w:rsid w:val="0013282C"/>
    <w:rsid w:val="00132E2F"/>
    <w:rsid w:val="00135AF5"/>
    <w:rsid w:val="00136DC1"/>
    <w:rsid w:val="00141646"/>
    <w:rsid w:val="00141705"/>
    <w:rsid w:val="00142AE3"/>
    <w:rsid w:val="00144DA7"/>
    <w:rsid w:val="00146013"/>
    <w:rsid w:val="001473A6"/>
    <w:rsid w:val="00154627"/>
    <w:rsid w:val="00156F07"/>
    <w:rsid w:val="00160E09"/>
    <w:rsid w:val="00162191"/>
    <w:rsid w:val="001643D8"/>
    <w:rsid w:val="00171BE7"/>
    <w:rsid w:val="0017301C"/>
    <w:rsid w:val="0017768D"/>
    <w:rsid w:val="00181F53"/>
    <w:rsid w:val="001834B0"/>
    <w:rsid w:val="0018564C"/>
    <w:rsid w:val="001868D8"/>
    <w:rsid w:val="00191420"/>
    <w:rsid w:val="001928D7"/>
    <w:rsid w:val="001933B1"/>
    <w:rsid w:val="001975AC"/>
    <w:rsid w:val="001A07D4"/>
    <w:rsid w:val="001A5130"/>
    <w:rsid w:val="001B360E"/>
    <w:rsid w:val="001C08D2"/>
    <w:rsid w:val="001C45B9"/>
    <w:rsid w:val="001C6D08"/>
    <w:rsid w:val="001D247C"/>
    <w:rsid w:val="001D3C41"/>
    <w:rsid w:val="001D634E"/>
    <w:rsid w:val="001D6D46"/>
    <w:rsid w:val="001E3614"/>
    <w:rsid w:val="001E41EA"/>
    <w:rsid w:val="001F5410"/>
    <w:rsid w:val="00200B10"/>
    <w:rsid w:val="00202036"/>
    <w:rsid w:val="0020247E"/>
    <w:rsid w:val="002077ED"/>
    <w:rsid w:val="002100A0"/>
    <w:rsid w:val="002145BE"/>
    <w:rsid w:val="00217D68"/>
    <w:rsid w:val="00221755"/>
    <w:rsid w:val="0022186C"/>
    <w:rsid w:val="00223CF8"/>
    <w:rsid w:val="00236122"/>
    <w:rsid w:val="00241207"/>
    <w:rsid w:val="00243909"/>
    <w:rsid w:val="00243DEE"/>
    <w:rsid w:val="002449AE"/>
    <w:rsid w:val="00245C66"/>
    <w:rsid w:val="0025182E"/>
    <w:rsid w:val="00252B95"/>
    <w:rsid w:val="00253208"/>
    <w:rsid w:val="002567F8"/>
    <w:rsid w:val="002613D2"/>
    <w:rsid w:val="002622FB"/>
    <w:rsid w:val="00264769"/>
    <w:rsid w:val="00266D05"/>
    <w:rsid w:val="00267F6C"/>
    <w:rsid w:val="00271B2B"/>
    <w:rsid w:val="002721B9"/>
    <w:rsid w:val="002724A1"/>
    <w:rsid w:val="002769FA"/>
    <w:rsid w:val="00280AB2"/>
    <w:rsid w:val="00282FD0"/>
    <w:rsid w:val="00284557"/>
    <w:rsid w:val="002849EE"/>
    <w:rsid w:val="00287FD7"/>
    <w:rsid w:val="002903A7"/>
    <w:rsid w:val="002921C5"/>
    <w:rsid w:val="002942FB"/>
    <w:rsid w:val="002A1ADA"/>
    <w:rsid w:val="002A28C9"/>
    <w:rsid w:val="002B1593"/>
    <w:rsid w:val="002B248F"/>
    <w:rsid w:val="002B68A5"/>
    <w:rsid w:val="002C02D7"/>
    <w:rsid w:val="002C2577"/>
    <w:rsid w:val="002C413C"/>
    <w:rsid w:val="002C5D51"/>
    <w:rsid w:val="002C734A"/>
    <w:rsid w:val="002D0A34"/>
    <w:rsid w:val="002D279D"/>
    <w:rsid w:val="002E1E09"/>
    <w:rsid w:val="002E6ADB"/>
    <w:rsid w:val="002F2899"/>
    <w:rsid w:val="002F440B"/>
    <w:rsid w:val="002F6545"/>
    <w:rsid w:val="002F71D4"/>
    <w:rsid w:val="002F7C83"/>
    <w:rsid w:val="003007C8"/>
    <w:rsid w:val="00300CE3"/>
    <w:rsid w:val="00303CF8"/>
    <w:rsid w:val="00305C91"/>
    <w:rsid w:val="00313671"/>
    <w:rsid w:val="00313E69"/>
    <w:rsid w:val="003142E6"/>
    <w:rsid w:val="00315C21"/>
    <w:rsid w:val="0031657D"/>
    <w:rsid w:val="00317EDA"/>
    <w:rsid w:val="00320EB3"/>
    <w:rsid w:val="003229D3"/>
    <w:rsid w:val="003257EE"/>
    <w:rsid w:val="00333E75"/>
    <w:rsid w:val="003356A7"/>
    <w:rsid w:val="00336A60"/>
    <w:rsid w:val="00342CD8"/>
    <w:rsid w:val="00343A0C"/>
    <w:rsid w:val="00350E63"/>
    <w:rsid w:val="00353E51"/>
    <w:rsid w:val="00354942"/>
    <w:rsid w:val="0036039D"/>
    <w:rsid w:val="00360740"/>
    <w:rsid w:val="003607F3"/>
    <w:rsid w:val="00362133"/>
    <w:rsid w:val="00372AB1"/>
    <w:rsid w:val="003746D1"/>
    <w:rsid w:val="00380270"/>
    <w:rsid w:val="00380383"/>
    <w:rsid w:val="00381928"/>
    <w:rsid w:val="00381A96"/>
    <w:rsid w:val="00386508"/>
    <w:rsid w:val="00386AA4"/>
    <w:rsid w:val="00390669"/>
    <w:rsid w:val="00394752"/>
    <w:rsid w:val="003951BF"/>
    <w:rsid w:val="0039769F"/>
    <w:rsid w:val="00397FB2"/>
    <w:rsid w:val="003A0B82"/>
    <w:rsid w:val="003A1506"/>
    <w:rsid w:val="003A1774"/>
    <w:rsid w:val="003A17E0"/>
    <w:rsid w:val="003A26BB"/>
    <w:rsid w:val="003B1D61"/>
    <w:rsid w:val="003B1FFC"/>
    <w:rsid w:val="003B303A"/>
    <w:rsid w:val="003C0A5F"/>
    <w:rsid w:val="003C44BD"/>
    <w:rsid w:val="003C57EB"/>
    <w:rsid w:val="003D1F4A"/>
    <w:rsid w:val="003D462C"/>
    <w:rsid w:val="003D77B2"/>
    <w:rsid w:val="003E4DE6"/>
    <w:rsid w:val="003E5036"/>
    <w:rsid w:val="003E5E3A"/>
    <w:rsid w:val="003E7083"/>
    <w:rsid w:val="003F0ECE"/>
    <w:rsid w:val="003F106A"/>
    <w:rsid w:val="003F244A"/>
    <w:rsid w:val="003F6674"/>
    <w:rsid w:val="00401627"/>
    <w:rsid w:val="004020E2"/>
    <w:rsid w:val="00407419"/>
    <w:rsid w:val="0040757F"/>
    <w:rsid w:val="00407630"/>
    <w:rsid w:val="0040780A"/>
    <w:rsid w:val="00410D8F"/>
    <w:rsid w:val="00410F60"/>
    <w:rsid w:val="004118E0"/>
    <w:rsid w:val="00412D08"/>
    <w:rsid w:val="00413490"/>
    <w:rsid w:val="00414735"/>
    <w:rsid w:val="004178CB"/>
    <w:rsid w:val="00417B7A"/>
    <w:rsid w:val="00420145"/>
    <w:rsid w:val="00423BE5"/>
    <w:rsid w:val="0042461E"/>
    <w:rsid w:val="0042559D"/>
    <w:rsid w:val="004313B7"/>
    <w:rsid w:val="00431F8A"/>
    <w:rsid w:val="00437E97"/>
    <w:rsid w:val="0044551C"/>
    <w:rsid w:val="00446472"/>
    <w:rsid w:val="00446CE2"/>
    <w:rsid w:val="0045221A"/>
    <w:rsid w:val="0045386D"/>
    <w:rsid w:val="00457E77"/>
    <w:rsid w:val="0046610B"/>
    <w:rsid w:val="00467A56"/>
    <w:rsid w:val="00474405"/>
    <w:rsid w:val="0047478B"/>
    <w:rsid w:val="00475483"/>
    <w:rsid w:val="00476CB1"/>
    <w:rsid w:val="00481A04"/>
    <w:rsid w:val="0048279F"/>
    <w:rsid w:val="00490847"/>
    <w:rsid w:val="004917C9"/>
    <w:rsid w:val="00492B73"/>
    <w:rsid w:val="00494A68"/>
    <w:rsid w:val="004A0392"/>
    <w:rsid w:val="004A0ECA"/>
    <w:rsid w:val="004A46CC"/>
    <w:rsid w:val="004A5D73"/>
    <w:rsid w:val="004A788C"/>
    <w:rsid w:val="004B0D54"/>
    <w:rsid w:val="004B6316"/>
    <w:rsid w:val="004B67C6"/>
    <w:rsid w:val="004B6A7C"/>
    <w:rsid w:val="004C03B7"/>
    <w:rsid w:val="004C2FB6"/>
    <w:rsid w:val="004D62CD"/>
    <w:rsid w:val="004E1814"/>
    <w:rsid w:val="004F0B74"/>
    <w:rsid w:val="004F27CC"/>
    <w:rsid w:val="004F3C0B"/>
    <w:rsid w:val="004F493C"/>
    <w:rsid w:val="00501569"/>
    <w:rsid w:val="005017AF"/>
    <w:rsid w:val="00501B56"/>
    <w:rsid w:val="00502024"/>
    <w:rsid w:val="005063AA"/>
    <w:rsid w:val="005136F6"/>
    <w:rsid w:val="00514703"/>
    <w:rsid w:val="00517551"/>
    <w:rsid w:val="00520A45"/>
    <w:rsid w:val="005253DE"/>
    <w:rsid w:val="00525772"/>
    <w:rsid w:val="00526CB3"/>
    <w:rsid w:val="0052701E"/>
    <w:rsid w:val="00531424"/>
    <w:rsid w:val="00537AD0"/>
    <w:rsid w:val="00537F22"/>
    <w:rsid w:val="00540591"/>
    <w:rsid w:val="00542DFE"/>
    <w:rsid w:val="00547C2D"/>
    <w:rsid w:val="005604DC"/>
    <w:rsid w:val="005623FF"/>
    <w:rsid w:val="005637D0"/>
    <w:rsid w:val="0056487B"/>
    <w:rsid w:val="00564EF6"/>
    <w:rsid w:val="00566811"/>
    <w:rsid w:val="0056709E"/>
    <w:rsid w:val="00581EE2"/>
    <w:rsid w:val="00582CD2"/>
    <w:rsid w:val="00583141"/>
    <w:rsid w:val="00584664"/>
    <w:rsid w:val="0058753C"/>
    <w:rsid w:val="00590900"/>
    <w:rsid w:val="00591AE6"/>
    <w:rsid w:val="00597C9C"/>
    <w:rsid w:val="00597EC5"/>
    <w:rsid w:val="00597FEB"/>
    <w:rsid w:val="005A19C0"/>
    <w:rsid w:val="005A3D02"/>
    <w:rsid w:val="005A492B"/>
    <w:rsid w:val="005A52EB"/>
    <w:rsid w:val="005A66CB"/>
    <w:rsid w:val="005B26BF"/>
    <w:rsid w:val="005B5D17"/>
    <w:rsid w:val="005C272F"/>
    <w:rsid w:val="005D01A8"/>
    <w:rsid w:val="005E3A2F"/>
    <w:rsid w:val="005E7695"/>
    <w:rsid w:val="005F162C"/>
    <w:rsid w:val="005F233E"/>
    <w:rsid w:val="005F53E1"/>
    <w:rsid w:val="00602161"/>
    <w:rsid w:val="006113E2"/>
    <w:rsid w:val="006125EC"/>
    <w:rsid w:val="0061414E"/>
    <w:rsid w:val="006150A8"/>
    <w:rsid w:val="00615C17"/>
    <w:rsid w:val="00622175"/>
    <w:rsid w:val="0062522C"/>
    <w:rsid w:val="00626C58"/>
    <w:rsid w:val="006328D7"/>
    <w:rsid w:val="00635E66"/>
    <w:rsid w:val="00635EC3"/>
    <w:rsid w:val="00636860"/>
    <w:rsid w:val="00637A61"/>
    <w:rsid w:val="00637F34"/>
    <w:rsid w:val="00641AC0"/>
    <w:rsid w:val="00645FA6"/>
    <w:rsid w:val="00655172"/>
    <w:rsid w:val="00656171"/>
    <w:rsid w:val="006603A5"/>
    <w:rsid w:val="006607D0"/>
    <w:rsid w:val="00661BCF"/>
    <w:rsid w:val="00663646"/>
    <w:rsid w:val="00670448"/>
    <w:rsid w:val="006714AC"/>
    <w:rsid w:val="00671E2B"/>
    <w:rsid w:val="00672F90"/>
    <w:rsid w:val="0067684B"/>
    <w:rsid w:val="00677BF6"/>
    <w:rsid w:val="00680E43"/>
    <w:rsid w:val="00682BCD"/>
    <w:rsid w:val="0068372E"/>
    <w:rsid w:val="00690B57"/>
    <w:rsid w:val="006959AF"/>
    <w:rsid w:val="006A3DE8"/>
    <w:rsid w:val="006A7614"/>
    <w:rsid w:val="006B0652"/>
    <w:rsid w:val="006B2B5D"/>
    <w:rsid w:val="006B43E8"/>
    <w:rsid w:val="006B6DE3"/>
    <w:rsid w:val="006C0FBB"/>
    <w:rsid w:val="006C4262"/>
    <w:rsid w:val="006C5B99"/>
    <w:rsid w:val="006C5F78"/>
    <w:rsid w:val="006C74FD"/>
    <w:rsid w:val="006D44FA"/>
    <w:rsid w:val="006D62CC"/>
    <w:rsid w:val="006D6B4E"/>
    <w:rsid w:val="006E0662"/>
    <w:rsid w:val="006E2AEF"/>
    <w:rsid w:val="006E3DE1"/>
    <w:rsid w:val="006F053F"/>
    <w:rsid w:val="006F44BE"/>
    <w:rsid w:val="006F4D9E"/>
    <w:rsid w:val="00704D33"/>
    <w:rsid w:val="00705220"/>
    <w:rsid w:val="00707664"/>
    <w:rsid w:val="00707C0A"/>
    <w:rsid w:val="00711B1C"/>
    <w:rsid w:val="00712A21"/>
    <w:rsid w:val="00713DD1"/>
    <w:rsid w:val="00717B10"/>
    <w:rsid w:val="00720A3E"/>
    <w:rsid w:val="007214EF"/>
    <w:rsid w:val="00723C00"/>
    <w:rsid w:val="00726DD4"/>
    <w:rsid w:val="00730892"/>
    <w:rsid w:val="00732EF3"/>
    <w:rsid w:val="007343C0"/>
    <w:rsid w:val="007370CA"/>
    <w:rsid w:val="00742342"/>
    <w:rsid w:val="0074261D"/>
    <w:rsid w:val="00742C8C"/>
    <w:rsid w:val="00744CFB"/>
    <w:rsid w:val="0074653C"/>
    <w:rsid w:val="00747001"/>
    <w:rsid w:val="00747B99"/>
    <w:rsid w:val="007525FD"/>
    <w:rsid w:val="00752780"/>
    <w:rsid w:val="00754E03"/>
    <w:rsid w:val="00755ABC"/>
    <w:rsid w:val="00762981"/>
    <w:rsid w:val="00763A57"/>
    <w:rsid w:val="00763C71"/>
    <w:rsid w:val="00764C7A"/>
    <w:rsid w:val="00773734"/>
    <w:rsid w:val="00777C03"/>
    <w:rsid w:val="0078127B"/>
    <w:rsid w:val="00783E84"/>
    <w:rsid w:val="007846D8"/>
    <w:rsid w:val="00784BA2"/>
    <w:rsid w:val="007959C1"/>
    <w:rsid w:val="007B0B23"/>
    <w:rsid w:val="007B1068"/>
    <w:rsid w:val="007B2015"/>
    <w:rsid w:val="007B28B5"/>
    <w:rsid w:val="007B5799"/>
    <w:rsid w:val="007B59C3"/>
    <w:rsid w:val="007B6D9E"/>
    <w:rsid w:val="007B705F"/>
    <w:rsid w:val="007C0CD8"/>
    <w:rsid w:val="007C1E2F"/>
    <w:rsid w:val="007C21D9"/>
    <w:rsid w:val="007C3668"/>
    <w:rsid w:val="007C4167"/>
    <w:rsid w:val="007C474C"/>
    <w:rsid w:val="007C4A20"/>
    <w:rsid w:val="007C5524"/>
    <w:rsid w:val="007C59C4"/>
    <w:rsid w:val="007D4181"/>
    <w:rsid w:val="007D4918"/>
    <w:rsid w:val="007D49F6"/>
    <w:rsid w:val="007D6480"/>
    <w:rsid w:val="007D64C8"/>
    <w:rsid w:val="007E1553"/>
    <w:rsid w:val="007E1728"/>
    <w:rsid w:val="007E4044"/>
    <w:rsid w:val="007E4168"/>
    <w:rsid w:val="007E4B90"/>
    <w:rsid w:val="007E5BD4"/>
    <w:rsid w:val="007E6625"/>
    <w:rsid w:val="007F0DA1"/>
    <w:rsid w:val="007F1C0F"/>
    <w:rsid w:val="007F2742"/>
    <w:rsid w:val="007F2781"/>
    <w:rsid w:val="007F2AF5"/>
    <w:rsid w:val="007F3E0A"/>
    <w:rsid w:val="007F58E6"/>
    <w:rsid w:val="007F686C"/>
    <w:rsid w:val="007F76BA"/>
    <w:rsid w:val="00806376"/>
    <w:rsid w:val="00813568"/>
    <w:rsid w:val="00814D62"/>
    <w:rsid w:val="00815ABB"/>
    <w:rsid w:val="008169DF"/>
    <w:rsid w:val="00816DF1"/>
    <w:rsid w:val="00823057"/>
    <w:rsid w:val="00827088"/>
    <w:rsid w:val="00831149"/>
    <w:rsid w:val="00833128"/>
    <w:rsid w:val="008367CB"/>
    <w:rsid w:val="00837959"/>
    <w:rsid w:val="00840E7C"/>
    <w:rsid w:val="008421A1"/>
    <w:rsid w:val="008428C1"/>
    <w:rsid w:val="008432EE"/>
    <w:rsid w:val="00850CF2"/>
    <w:rsid w:val="00851DFB"/>
    <w:rsid w:val="00852EC4"/>
    <w:rsid w:val="0086314C"/>
    <w:rsid w:val="00863410"/>
    <w:rsid w:val="0086519F"/>
    <w:rsid w:val="00865D38"/>
    <w:rsid w:val="00866499"/>
    <w:rsid w:val="00867A3B"/>
    <w:rsid w:val="00870313"/>
    <w:rsid w:val="00871C7C"/>
    <w:rsid w:val="0087340C"/>
    <w:rsid w:val="00877F00"/>
    <w:rsid w:val="00880FB6"/>
    <w:rsid w:val="00881F3D"/>
    <w:rsid w:val="00883C65"/>
    <w:rsid w:val="00893B1D"/>
    <w:rsid w:val="00894485"/>
    <w:rsid w:val="00895A2A"/>
    <w:rsid w:val="00897013"/>
    <w:rsid w:val="008A0DB7"/>
    <w:rsid w:val="008A3B53"/>
    <w:rsid w:val="008B032B"/>
    <w:rsid w:val="008B1F5A"/>
    <w:rsid w:val="008B43D6"/>
    <w:rsid w:val="008B5444"/>
    <w:rsid w:val="008C0EA3"/>
    <w:rsid w:val="008C1C94"/>
    <w:rsid w:val="008C4666"/>
    <w:rsid w:val="008D0585"/>
    <w:rsid w:val="008D0DC0"/>
    <w:rsid w:val="008D129A"/>
    <w:rsid w:val="008D44A2"/>
    <w:rsid w:val="008D5B53"/>
    <w:rsid w:val="008E12AE"/>
    <w:rsid w:val="008E27F1"/>
    <w:rsid w:val="008F06E5"/>
    <w:rsid w:val="008F312B"/>
    <w:rsid w:val="008F5A8F"/>
    <w:rsid w:val="008F76A7"/>
    <w:rsid w:val="009009D0"/>
    <w:rsid w:val="00900B05"/>
    <w:rsid w:val="009029F2"/>
    <w:rsid w:val="00902B68"/>
    <w:rsid w:val="00910A58"/>
    <w:rsid w:val="00912344"/>
    <w:rsid w:val="00913503"/>
    <w:rsid w:val="009156D2"/>
    <w:rsid w:val="0092134D"/>
    <w:rsid w:val="00921BF1"/>
    <w:rsid w:val="00931BDB"/>
    <w:rsid w:val="009326BA"/>
    <w:rsid w:val="00935C74"/>
    <w:rsid w:val="00944D67"/>
    <w:rsid w:val="009527CF"/>
    <w:rsid w:val="00952FE4"/>
    <w:rsid w:val="00954612"/>
    <w:rsid w:val="00955CD5"/>
    <w:rsid w:val="0095754B"/>
    <w:rsid w:val="009603FE"/>
    <w:rsid w:val="00972701"/>
    <w:rsid w:val="00974E37"/>
    <w:rsid w:val="00980DB0"/>
    <w:rsid w:val="00993F21"/>
    <w:rsid w:val="0099482A"/>
    <w:rsid w:val="00994EDD"/>
    <w:rsid w:val="00997375"/>
    <w:rsid w:val="009A320C"/>
    <w:rsid w:val="009A6A53"/>
    <w:rsid w:val="009B20BD"/>
    <w:rsid w:val="009B61A1"/>
    <w:rsid w:val="009C0EAF"/>
    <w:rsid w:val="009C1F87"/>
    <w:rsid w:val="009C4947"/>
    <w:rsid w:val="009D5AAC"/>
    <w:rsid w:val="009F3745"/>
    <w:rsid w:val="009F3AE6"/>
    <w:rsid w:val="009F4014"/>
    <w:rsid w:val="00A01202"/>
    <w:rsid w:val="00A03E73"/>
    <w:rsid w:val="00A0459B"/>
    <w:rsid w:val="00A04AA8"/>
    <w:rsid w:val="00A06CC3"/>
    <w:rsid w:val="00A10ACD"/>
    <w:rsid w:val="00A129F1"/>
    <w:rsid w:val="00A1571E"/>
    <w:rsid w:val="00A24D04"/>
    <w:rsid w:val="00A26AF8"/>
    <w:rsid w:val="00A26CF0"/>
    <w:rsid w:val="00A3104B"/>
    <w:rsid w:val="00A31BC3"/>
    <w:rsid w:val="00A3304F"/>
    <w:rsid w:val="00A36752"/>
    <w:rsid w:val="00A37976"/>
    <w:rsid w:val="00A41A84"/>
    <w:rsid w:val="00A42FB4"/>
    <w:rsid w:val="00A43B1C"/>
    <w:rsid w:val="00A43EB8"/>
    <w:rsid w:val="00A460A0"/>
    <w:rsid w:val="00A467CE"/>
    <w:rsid w:val="00A47C9B"/>
    <w:rsid w:val="00A50811"/>
    <w:rsid w:val="00A553D5"/>
    <w:rsid w:val="00A56BB5"/>
    <w:rsid w:val="00A56C6B"/>
    <w:rsid w:val="00A60FFF"/>
    <w:rsid w:val="00A61A2C"/>
    <w:rsid w:val="00A6265D"/>
    <w:rsid w:val="00A6306A"/>
    <w:rsid w:val="00A633BC"/>
    <w:rsid w:val="00A63890"/>
    <w:rsid w:val="00A72CF0"/>
    <w:rsid w:val="00A73DFC"/>
    <w:rsid w:val="00A74DEB"/>
    <w:rsid w:val="00A80909"/>
    <w:rsid w:val="00A80A4F"/>
    <w:rsid w:val="00A91891"/>
    <w:rsid w:val="00A94605"/>
    <w:rsid w:val="00AA548B"/>
    <w:rsid w:val="00AB0F92"/>
    <w:rsid w:val="00AB567E"/>
    <w:rsid w:val="00AC08A8"/>
    <w:rsid w:val="00AC2E5F"/>
    <w:rsid w:val="00AC3943"/>
    <w:rsid w:val="00AC4317"/>
    <w:rsid w:val="00AC5EBF"/>
    <w:rsid w:val="00AD4163"/>
    <w:rsid w:val="00AD4FAF"/>
    <w:rsid w:val="00AE2004"/>
    <w:rsid w:val="00AE2F08"/>
    <w:rsid w:val="00AE3A26"/>
    <w:rsid w:val="00AE6186"/>
    <w:rsid w:val="00AF0A17"/>
    <w:rsid w:val="00AF1B2F"/>
    <w:rsid w:val="00AF50B9"/>
    <w:rsid w:val="00AF7461"/>
    <w:rsid w:val="00B06AB0"/>
    <w:rsid w:val="00B13000"/>
    <w:rsid w:val="00B146BF"/>
    <w:rsid w:val="00B1511F"/>
    <w:rsid w:val="00B21550"/>
    <w:rsid w:val="00B24137"/>
    <w:rsid w:val="00B248AF"/>
    <w:rsid w:val="00B31FEF"/>
    <w:rsid w:val="00B325E1"/>
    <w:rsid w:val="00B3375B"/>
    <w:rsid w:val="00B34899"/>
    <w:rsid w:val="00B3588C"/>
    <w:rsid w:val="00B43736"/>
    <w:rsid w:val="00B528FB"/>
    <w:rsid w:val="00B52C12"/>
    <w:rsid w:val="00B55061"/>
    <w:rsid w:val="00B559AA"/>
    <w:rsid w:val="00B564BC"/>
    <w:rsid w:val="00B623B0"/>
    <w:rsid w:val="00B63270"/>
    <w:rsid w:val="00B64400"/>
    <w:rsid w:val="00B6467A"/>
    <w:rsid w:val="00B656AF"/>
    <w:rsid w:val="00B66067"/>
    <w:rsid w:val="00B670D7"/>
    <w:rsid w:val="00B70CD9"/>
    <w:rsid w:val="00B714B7"/>
    <w:rsid w:val="00B74A75"/>
    <w:rsid w:val="00B7786A"/>
    <w:rsid w:val="00B801F8"/>
    <w:rsid w:val="00B80E38"/>
    <w:rsid w:val="00B82E71"/>
    <w:rsid w:val="00B83493"/>
    <w:rsid w:val="00B85C7D"/>
    <w:rsid w:val="00B901C0"/>
    <w:rsid w:val="00B925FB"/>
    <w:rsid w:val="00B940DD"/>
    <w:rsid w:val="00B95AC6"/>
    <w:rsid w:val="00B966ED"/>
    <w:rsid w:val="00BA0A1E"/>
    <w:rsid w:val="00BA268A"/>
    <w:rsid w:val="00BA65A5"/>
    <w:rsid w:val="00BA7CD7"/>
    <w:rsid w:val="00BB2787"/>
    <w:rsid w:val="00BB3D8B"/>
    <w:rsid w:val="00BB585A"/>
    <w:rsid w:val="00BB6A0B"/>
    <w:rsid w:val="00BB7D3B"/>
    <w:rsid w:val="00BC1002"/>
    <w:rsid w:val="00BC7DB1"/>
    <w:rsid w:val="00BD1A05"/>
    <w:rsid w:val="00BD20AA"/>
    <w:rsid w:val="00BD4D36"/>
    <w:rsid w:val="00BD6A3E"/>
    <w:rsid w:val="00BE055B"/>
    <w:rsid w:val="00BE335A"/>
    <w:rsid w:val="00BE3AB3"/>
    <w:rsid w:val="00BE40B3"/>
    <w:rsid w:val="00C02961"/>
    <w:rsid w:val="00C02B5E"/>
    <w:rsid w:val="00C051E9"/>
    <w:rsid w:val="00C057EF"/>
    <w:rsid w:val="00C14296"/>
    <w:rsid w:val="00C16B6E"/>
    <w:rsid w:val="00C2071C"/>
    <w:rsid w:val="00C2333D"/>
    <w:rsid w:val="00C2452C"/>
    <w:rsid w:val="00C2514C"/>
    <w:rsid w:val="00C2695D"/>
    <w:rsid w:val="00C32246"/>
    <w:rsid w:val="00C33B6B"/>
    <w:rsid w:val="00C359D5"/>
    <w:rsid w:val="00C35E5A"/>
    <w:rsid w:val="00C40C9D"/>
    <w:rsid w:val="00C4260B"/>
    <w:rsid w:val="00C450AE"/>
    <w:rsid w:val="00C509FD"/>
    <w:rsid w:val="00C546B7"/>
    <w:rsid w:val="00C551E5"/>
    <w:rsid w:val="00C627F4"/>
    <w:rsid w:val="00C63500"/>
    <w:rsid w:val="00C6623A"/>
    <w:rsid w:val="00C6696F"/>
    <w:rsid w:val="00C673E2"/>
    <w:rsid w:val="00C67663"/>
    <w:rsid w:val="00C72183"/>
    <w:rsid w:val="00C7314A"/>
    <w:rsid w:val="00C74089"/>
    <w:rsid w:val="00C741E6"/>
    <w:rsid w:val="00C758F5"/>
    <w:rsid w:val="00C7668E"/>
    <w:rsid w:val="00C81C72"/>
    <w:rsid w:val="00C820A0"/>
    <w:rsid w:val="00C84E83"/>
    <w:rsid w:val="00C8538C"/>
    <w:rsid w:val="00C867D3"/>
    <w:rsid w:val="00C90A08"/>
    <w:rsid w:val="00C90E85"/>
    <w:rsid w:val="00C92E5D"/>
    <w:rsid w:val="00C93509"/>
    <w:rsid w:val="00C96A12"/>
    <w:rsid w:val="00C9777C"/>
    <w:rsid w:val="00CA0455"/>
    <w:rsid w:val="00CA4A39"/>
    <w:rsid w:val="00CA4C69"/>
    <w:rsid w:val="00CA58CB"/>
    <w:rsid w:val="00CB137C"/>
    <w:rsid w:val="00CB3959"/>
    <w:rsid w:val="00CB4511"/>
    <w:rsid w:val="00CB4E54"/>
    <w:rsid w:val="00CB65B3"/>
    <w:rsid w:val="00CC215D"/>
    <w:rsid w:val="00CC3F2F"/>
    <w:rsid w:val="00CC602E"/>
    <w:rsid w:val="00CC62E0"/>
    <w:rsid w:val="00CC6C3F"/>
    <w:rsid w:val="00CD0AA5"/>
    <w:rsid w:val="00CD0EB5"/>
    <w:rsid w:val="00CD3FCC"/>
    <w:rsid w:val="00CD4C35"/>
    <w:rsid w:val="00CD6F65"/>
    <w:rsid w:val="00CE1415"/>
    <w:rsid w:val="00CE16E0"/>
    <w:rsid w:val="00CE507C"/>
    <w:rsid w:val="00CE6EDC"/>
    <w:rsid w:val="00CF2BC1"/>
    <w:rsid w:val="00CF76CE"/>
    <w:rsid w:val="00D04861"/>
    <w:rsid w:val="00D11C16"/>
    <w:rsid w:val="00D1214E"/>
    <w:rsid w:val="00D14026"/>
    <w:rsid w:val="00D14FDB"/>
    <w:rsid w:val="00D16C5A"/>
    <w:rsid w:val="00D20BD0"/>
    <w:rsid w:val="00D213D5"/>
    <w:rsid w:val="00D2311D"/>
    <w:rsid w:val="00D231F4"/>
    <w:rsid w:val="00D3638A"/>
    <w:rsid w:val="00D36521"/>
    <w:rsid w:val="00D36BBE"/>
    <w:rsid w:val="00D36CE7"/>
    <w:rsid w:val="00D42696"/>
    <w:rsid w:val="00D42C39"/>
    <w:rsid w:val="00D451FE"/>
    <w:rsid w:val="00D57028"/>
    <w:rsid w:val="00D602EF"/>
    <w:rsid w:val="00D62AA3"/>
    <w:rsid w:val="00D62DF9"/>
    <w:rsid w:val="00D63257"/>
    <w:rsid w:val="00D67274"/>
    <w:rsid w:val="00D70907"/>
    <w:rsid w:val="00D732D5"/>
    <w:rsid w:val="00D77566"/>
    <w:rsid w:val="00D8532D"/>
    <w:rsid w:val="00D87242"/>
    <w:rsid w:val="00D94283"/>
    <w:rsid w:val="00DA0705"/>
    <w:rsid w:val="00DA39C5"/>
    <w:rsid w:val="00DA621C"/>
    <w:rsid w:val="00DB4896"/>
    <w:rsid w:val="00DB5A55"/>
    <w:rsid w:val="00DB6227"/>
    <w:rsid w:val="00DB6704"/>
    <w:rsid w:val="00DB783D"/>
    <w:rsid w:val="00DC05C1"/>
    <w:rsid w:val="00DC14CA"/>
    <w:rsid w:val="00DC14F6"/>
    <w:rsid w:val="00DC2AF2"/>
    <w:rsid w:val="00DC41CB"/>
    <w:rsid w:val="00DD66EB"/>
    <w:rsid w:val="00DD6944"/>
    <w:rsid w:val="00DE176C"/>
    <w:rsid w:val="00DE1DED"/>
    <w:rsid w:val="00DE264C"/>
    <w:rsid w:val="00DE6AD2"/>
    <w:rsid w:val="00DF243D"/>
    <w:rsid w:val="00DF2C0B"/>
    <w:rsid w:val="00E03491"/>
    <w:rsid w:val="00E04753"/>
    <w:rsid w:val="00E0544B"/>
    <w:rsid w:val="00E12C39"/>
    <w:rsid w:val="00E13871"/>
    <w:rsid w:val="00E16A37"/>
    <w:rsid w:val="00E16E99"/>
    <w:rsid w:val="00E27DDA"/>
    <w:rsid w:val="00E30228"/>
    <w:rsid w:val="00E329E9"/>
    <w:rsid w:val="00E33C27"/>
    <w:rsid w:val="00E33FB4"/>
    <w:rsid w:val="00E3488E"/>
    <w:rsid w:val="00E35802"/>
    <w:rsid w:val="00E36B7B"/>
    <w:rsid w:val="00E36FE2"/>
    <w:rsid w:val="00E51BED"/>
    <w:rsid w:val="00E56274"/>
    <w:rsid w:val="00E57FE5"/>
    <w:rsid w:val="00E6158B"/>
    <w:rsid w:val="00E63ACD"/>
    <w:rsid w:val="00E701E0"/>
    <w:rsid w:val="00E72220"/>
    <w:rsid w:val="00E726E9"/>
    <w:rsid w:val="00E730F5"/>
    <w:rsid w:val="00E74213"/>
    <w:rsid w:val="00E76CD9"/>
    <w:rsid w:val="00E80DC8"/>
    <w:rsid w:val="00E8548B"/>
    <w:rsid w:val="00E86CC7"/>
    <w:rsid w:val="00E9273F"/>
    <w:rsid w:val="00E93EA4"/>
    <w:rsid w:val="00E9784E"/>
    <w:rsid w:val="00EA023E"/>
    <w:rsid w:val="00EA0EBF"/>
    <w:rsid w:val="00EA288D"/>
    <w:rsid w:val="00EA3263"/>
    <w:rsid w:val="00EA710B"/>
    <w:rsid w:val="00EB0A7C"/>
    <w:rsid w:val="00EB2ABE"/>
    <w:rsid w:val="00EC0B2E"/>
    <w:rsid w:val="00EC58D1"/>
    <w:rsid w:val="00EC5912"/>
    <w:rsid w:val="00ED1CC5"/>
    <w:rsid w:val="00ED47C6"/>
    <w:rsid w:val="00ED4DED"/>
    <w:rsid w:val="00ED67DB"/>
    <w:rsid w:val="00EE0957"/>
    <w:rsid w:val="00EE0E4E"/>
    <w:rsid w:val="00EE7991"/>
    <w:rsid w:val="00EF0715"/>
    <w:rsid w:val="00EF1732"/>
    <w:rsid w:val="00EF24A5"/>
    <w:rsid w:val="00EF28AE"/>
    <w:rsid w:val="00EF3ABF"/>
    <w:rsid w:val="00EF636A"/>
    <w:rsid w:val="00EF72DB"/>
    <w:rsid w:val="00EF776D"/>
    <w:rsid w:val="00F03412"/>
    <w:rsid w:val="00F03D0F"/>
    <w:rsid w:val="00F04073"/>
    <w:rsid w:val="00F10FC2"/>
    <w:rsid w:val="00F11FE7"/>
    <w:rsid w:val="00F13D3C"/>
    <w:rsid w:val="00F142BF"/>
    <w:rsid w:val="00F14BFA"/>
    <w:rsid w:val="00F1508D"/>
    <w:rsid w:val="00F225A6"/>
    <w:rsid w:val="00F26F18"/>
    <w:rsid w:val="00F3125D"/>
    <w:rsid w:val="00F3269F"/>
    <w:rsid w:val="00F36C1D"/>
    <w:rsid w:val="00F40E54"/>
    <w:rsid w:val="00F42C01"/>
    <w:rsid w:val="00F45261"/>
    <w:rsid w:val="00F473B7"/>
    <w:rsid w:val="00F51CB8"/>
    <w:rsid w:val="00F5243D"/>
    <w:rsid w:val="00F570F0"/>
    <w:rsid w:val="00F5755F"/>
    <w:rsid w:val="00F6258C"/>
    <w:rsid w:val="00F62807"/>
    <w:rsid w:val="00F64165"/>
    <w:rsid w:val="00F647CA"/>
    <w:rsid w:val="00F71B48"/>
    <w:rsid w:val="00F72A85"/>
    <w:rsid w:val="00F75089"/>
    <w:rsid w:val="00F770A3"/>
    <w:rsid w:val="00F8297E"/>
    <w:rsid w:val="00F906A9"/>
    <w:rsid w:val="00F96808"/>
    <w:rsid w:val="00F968DD"/>
    <w:rsid w:val="00FA2139"/>
    <w:rsid w:val="00FA242E"/>
    <w:rsid w:val="00FA63D5"/>
    <w:rsid w:val="00FA7F74"/>
    <w:rsid w:val="00FB0335"/>
    <w:rsid w:val="00FB05AB"/>
    <w:rsid w:val="00FB4E15"/>
    <w:rsid w:val="00FB6B35"/>
    <w:rsid w:val="00FB6B9E"/>
    <w:rsid w:val="00FC0EF5"/>
    <w:rsid w:val="00FC2B21"/>
    <w:rsid w:val="00FC5611"/>
    <w:rsid w:val="00FC79B6"/>
    <w:rsid w:val="00FD522A"/>
    <w:rsid w:val="00FD5E3A"/>
    <w:rsid w:val="00FE2767"/>
    <w:rsid w:val="00FE2EF2"/>
    <w:rsid w:val="00FE66AA"/>
    <w:rsid w:val="00FF0DCF"/>
    <w:rsid w:val="00FF2E22"/>
    <w:rsid w:val="00FF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annotation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5E3A2F"/>
    <w:pPr>
      <w:tabs>
        <w:tab w:val="left" w:pos="1440"/>
        <w:tab w:val="left" w:pos="1890"/>
        <w:tab w:val="right" w:leader="dot" w:pos="9360"/>
      </w:tabs>
      <w:spacing w:after="240"/>
      <w:ind w:left="1440" w:right="1080" w:hanging="432"/>
    </w:pPr>
    <w:rPr>
      <w:rFonts w:ascii="Arial" w:hAnsi="Arial"/>
      <w:noProof/>
    </w:rPr>
  </w:style>
  <w:style w:type="paragraph" w:styleId="TOC3">
    <w:name w:val="toc 3"/>
    <w:next w:val="Normal"/>
    <w:autoRedefine/>
    <w:uiPriority w:val="39"/>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uiPriority w:val="99"/>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paragraph" w:customStyle="1" w:styleId="Center">
    <w:name w:val="Center"/>
    <w:basedOn w:val="Normal"/>
    <w:rsid w:val="0045386D"/>
    <w:pPr>
      <w:ind w:firstLine="0"/>
      <w:jc w:val="center"/>
    </w:pPr>
    <w:rPr>
      <w:szCs w:val="20"/>
    </w:rPr>
  </w:style>
  <w:style w:type="paragraph" w:customStyle="1" w:styleId="MarkforTable">
    <w:name w:val="Mark for Table"/>
    <w:next w:val="Normal"/>
    <w:rsid w:val="0045386D"/>
    <w:pPr>
      <w:spacing w:line="480" w:lineRule="auto"/>
      <w:jc w:val="center"/>
    </w:pPr>
    <w:rPr>
      <w:rFonts w:ascii="Times New Roman" w:hAnsi="Times New Roman"/>
      <w:caps/>
      <w:szCs w:val="20"/>
    </w:rPr>
  </w:style>
  <w:style w:type="paragraph" w:customStyle="1" w:styleId="Table">
    <w:name w:val="Table"/>
    <w:next w:val="Normal"/>
    <w:rsid w:val="00C359D5"/>
    <w:pPr>
      <w:jc w:val="center"/>
    </w:pPr>
    <w:rPr>
      <w:rFonts w:ascii="Times New Roman" w:hAnsi="Times New Roman"/>
      <w:sz w:val="20"/>
      <w:szCs w:val="20"/>
    </w:rPr>
  </w:style>
  <w:style w:type="character" w:styleId="CommentReference">
    <w:name w:val="annotation reference"/>
    <w:basedOn w:val="DefaultParagraphFont"/>
    <w:semiHidden/>
    <w:unhideWhenUsed/>
    <w:rsid w:val="00B80E38"/>
    <w:rPr>
      <w:sz w:val="16"/>
      <w:szCs w:val="16"/>
    </w:rPr>
  </w:style>
  <w:style w:type="paragraph" w:styleId="CommentText">
    <w:name w:val="annotation text"/>
    <w:basedOn w:val="Normal"/>
    <w:link w:val="CommentTextChar"/>
    <w:semiHidden/>
    <w:unhideWhenUsed/>
    <w:rsid w:val="00B80E38"/>
    <w:pPr>
      <w:spacing w:line="240" w:lineRule="auto"/>
    </w:pPr>
    <w:rPr>
      <w:sz w:val="20"/>
      <w:szCs w:val="20"/>
    </w:rPr>
  </w:style>
  <w:style w:type="character" w:customStyle="1" w:styleId="CommentTextChar">
    <w:name w:val="Comment Text Char"/>
    <w:basedOn w:val="DefaultParagraphFont"/>
    <w:link w:val="CommentText"/>
    <w:semiHidden/>
    <w:rsid w:val="00B80E3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80E38"/>
    <w:rPr>
      <w:b/>
      <w:bCs/>
    </w:rPr>
  </w:style>
  <w:style w:type="character" w:customStyle="1" w:styleId="CommentSubjectChar">
    <w:name w:val="Comment Subject Char"/>
    <w:basedOn w:val="CommentTextChar"/>
    <w:link w:val="CommentSubject"/>
    <w:uiPriority w:val="99"/>
    <w:semiHidden/>
    <w:rsid w:val="00B80E38"/>
    <w:rPr>
      <w:rFonts w:ascii="Times New Roman" w:hAnsi="Times New Roman"/>
      <w:b/>
      <w:bCs/>
      <w:sz w:val="20"/>
      <w:szCs w:val="20"/>
    </w:rPr>
  </w:style>
  <w:style w:type="paragraph" w:customStyle="1" w:styleId="ParagraphLAST">
    <w:name w:val="Paragraph (LAST)"/>
    <w:basedOn w:val="Normal"/>
    <w:next w:val="Normal"/>
    <w:rsid w:val="004313B7"/>
    <w:pPr>
      <w:tabs>
        <w:tab w:val="left" w:pos="5995"/>
      </w:tabs>
      <w:spacing w:line="468" w:lineRule="auto"/>
    </w:pPr>
    <w:rPr>
      <w:szCs w:val="20"/>
    </w:rPr>
  </w:style>
  <w:style w:type="character" w:customStyle="1" w:styleId="Heading4Char">
    <w:name w:val="Heading 4 Char"/>
    <w:aliases w:val="Heading 4 (business proposal only) Char"/>
    <w:basedOn w:val="DefaultParagraphFont"/>
    <w:link w:val="Heading4"/>
    <w:rsid w:val="00E51BED"/>
    <w:rPr>
      <w:rFonts w:ascii="Times New Roman" w:hAnsi="Times New Roman"/>
      <w:b/>
    </w:rPr>
  </w:style>
  <w:style w:type="character" w:customStyle="1" w:styleId="FootnoteTextChar">
    <w:name w:val="Footnote Text Char"/>
    <w:basedOn w:val="DefaultParagraphFont"/>
    <w:link w:val="FootnoteText"/>
    <w:rsid w:val="00E51BED"/>
    <w:rPr>
      <w:rFonts w:ascii="Times New Roman" w:hAnsi="Times New Roman"/>
      <w:sz w:val="20"/>
    </w:rPr>
  </w:style>
  <w:style w:type="paragraph" w:customStyle="1" w:styleId="Bullet0">
    <w:name w:val="Bullet"/>
    <w:qFormat/>
    <w:rsid w:val="00E51BED"/>
    <w:pPr>
      <w:tabs>
        <w:tab w:val="left" w:pos="360"/>
      </w:tabs>
      <w:spacing w:after="180"/>
      <w:ind w:left="720" w:right="360" w:hanging="288"/>
      <w:jc w:val="both"/>
    </w:pPr>
    <w:rPr>
      <w:rFonts w:ascii="Times New Roman" w:hAnsi="Times New Roman"/>
    </w:rPr>
  </w:style>
  <w:style w:type="paragraph" w:customStyle="1" w:styleId="bullet">
    <w:name w:val="bullet"/>
    <w:rsid w:val="00E51BED"/>
    <w:pPr>
      <w:numPr>
        <w:numId w:val="29"/>
      </w:numPr>
      <w:spacing w:after="180"/>
      <w:ind w:right="360" w:hanging="288"/>
      <w:jc w:val="both"/>
    </w:pPr>
    <w:rPr>
      <w:rFonts w:ascii="Times New Roman" w:hAnsi="Times New Roman"/>
      <w:szCs w:val="20"/>
    </w:rPr>
  </w:style>
  <w:style w:type="character" w:customStyle="1" w:styleId="FooterChar">
    <w:name w:val="Footer Char"/>
    <w:basedOn w:val="DefaultParagraphFont"/>
    <w:link w:val="Footer"/>
    <w:uiPriority w:val="99"/>
    <w:rsid w:val="00223CF8"/>
    <w:rPr>
      <w:rFonts w:ascii="Times New Roman" w:hAnsi="Times New Roman"/>
    </w:rPr>
  </w:style>
  <w:style w:type="paragraph" w:styleId="Revision">
    <w:name w:val="Revision"/>
    <w:hidden/>
    <w:uiPriority w:val="99"/>
    <w:semiHidden/>
    <w:rsid w:val="00156F07"/>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footnote text" w:uiPriority="0"/>
    <w:lsdException w:name="annotation text" w:uiPriority="0"/>
    <w:lsdException w:name="header" w:uiPriority="0" w:qFormat="1"/>
    <w:lsdException w:name="footer" w:qFormat="1"/>
    <w:lsdException w:name="caption" w:uiPriority="35" w:qFormat="1"/>
    <w:lsdException w:name="footnote reference" w:uiPriority="0"/>
    <w:lsdException w:name="annotation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5E3A2F"/>
    <w:pPr>
      <w:tabs>
        <w:tab w:val="left" w:pos="1440"/>
        <w:tab w:val="left" w:pos="1890"/>
        <w:tab w:val="right" w:leader="dot" w:pos="9360"/>
      </w:tabs>
      <w:spacing w:after="240"/>
      <w:ind w:left="1440" w:right="1080" w:hanging="432"/>
    </w:pPr>
    <w:rPr>
      <w:rFonts w:ascii="Arial" w:hAnsi="Arial"/>
      <w:noProof/>
    </w:rPr>
  </w:style>
  <w:style w:type="paragraph" w:styleId="TOC3">
    <w:name w:val="toc 3"/>
    <w:next w:val="Normal"/>
    <w:autoRedefine/>
    <w:uiPriority w:val="39"/>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uiPriority w:val="99"/>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paragraph" w:customStyle="1" w:styleId="Center">
    <w:name w:val="Center"/>
    <w:basedOn w:val="Normal"/>
    <w:rsid w:val="0045386D"/>
    <w:pPr>
      <w:ind w:firstLine="0"/>
      <w:jc w:val="center"/>
    </w:pPr>
    <w:rPr>
      <w:szCs w:val="20"/>
    </w:rPr>
  </w:style>
  <w:style w:type="paragraph" w:customStyle="1" w:styleId="MarkforTable">
    <w:name w:val="Mark for Table"/>
    <w:next w:val="Normal"/>
    <w:rsid w:val="0045386D"/>
    <w:pPr>
      <w:spacing w:line="480" w:lineRule="auto"/>
      <w:jc w:val="center"/>
    </w:pPr>
    <w:rPr>
      <w:rFonts w:ascii="Times New Roman" w:hAnsi="Times New Roman"/>
      <w:caps/>
      <w:szCs w:val="20"/>
    </w:rPr>
  </w:style>
  <w:style w:type="paragraph" w:customStyle="1" w:styleId="Table">
    <w:name w:val="Table"/>
    <w:next w:val="Normal"/>
    <w:rsid w:val="00C359D5"/>
    <w:pPr>
      <w:jc w:val="center"/>
    </w:pPr>
    <w:rPr>
      <w:rFonts w:ascii="Times New Roman" w:hAnsi="Times New Roman"/>
      <w:sz w:val="20"/>
      <w:szCs w:val="20"/>
    </w:rPr>
  </w:style>
  <w:style w:type="character" w:styleId="CommentReference">
    <w:name w:val="annotation reference"/>
    <w:basedOn w:val="DefaultParagraphFont"/>
    <w:semiHidden/>
    <w:unhideWhenUsed/>
    <w:rsid w:val="00B80E38"/>
    <w:rPr>
      <w:sz w:val="16"/>
      <w:szCs w:val="16"/>
    </w:rPr>
  </w:style>
  <w:style w:type="paragraph" w:styleId="CommentText">
    <w:name w:val="annotation text"/>
    <w:basedOn w:val="Normal"/>
    <w:link w:val="CommentTextChar"/>
    <w:semiHidden/>
    <w:unhideWhenUsed/>
    <w:rsid w:val="00B80E38"/>
    <w:pPr>
      <w:spacing w:line="240" w:lineRule="auto"/>
    </w:pPr>
    <w:rPr>
      <w:sz w:val="20"/>
      <w:szCs w:val="20"/>
    </w:rPr>
  </w:style>
  <w:style w:type="character" w:customStyle="1" w:styleId="CommentTextChar">
    <w:name w:val="Comment Text Char"/>
    <w:basedOn w:val="DefaultParagraphFont"/>
    <w:link w:val="CommentText"/>
    <w:semiHidden/>
    <w:rsid w:val="00B80E3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80E38"/>
    <w:rPr>
      <w:b/>
      <w:bCs/>
    </w:rPr>
  </w:style>
  <w:style w:type="character" w:customStyle="1" w:styleId="CommentSubjectChar">
    <w:name w:val="Comment Subject Char"/>
    <w:basedOn w:val="CommentTextChar"/>
    <w:link w:val="CommentSubject"/>
    <w:uiPriority w:val="99"/>
    <w:semiHidden/>
    <w:rsid w:val="00B80E38"/>
    <w:rPr>
      <w:rFonts w:ascii="Times New Roman" w:hAnsi="Times New Roman"/>
      <w:b/>
      <w:bCs/>
      <w:sz w:val="20"/>
      <w:szCs w:val="20"/>
    </w:rPr>
  </w:style>
  <w:style w:type="paragraph" w:customStyle="1" w:styleId="ParagraphLAST">
    <w:name w:val="Paragraph (LAST)"/>
    <w:basedOn w:val="Normal"/>
    <w:next w:val="Normal"/>
    <w:rsid w:val="004313B7"/>
    <w:pPr>
      <w:tabs>
        <w:tab w:val="left" w:pos="5995"/>
      </w:tabs>
      <w:spacing w:line="468" w:lineRule="auto"/>
    </w:pPr>
    <w:rPr>
      <w:szCs w:val="20"/>
    </w:rPr>
  </w:style>
  <w:style w:type="character" w:customStyle="1" w:styleId="Heading4Char">
    <w:name w:val="Heading 4 Char"/>
    <w:aliases w:val="Heading 4 (business proposal only) Char"/>
    <w:basedOn w:val="DefaultParagraphFont"/>
    <w:link w:val="Heading4"/>
    <w:rsid w:val="00E51BED"/>
    <w:rPr>
      <w:rFonts w:ascii="Times New Roman" w:hAnsi="Times New Roman"/>
      <w:b/>
    </w:rPr>
  </w:style>
  <w:style w:type="character" w:customStyle="1" w:styleId="FootnoteTextChar">
    <w:name w:val="Footnote Text Char"/>
    <w:basedOn w:val="DefaultParagraphFont"/>
    <w:link w:val="FootnoteText"/>
    <w:rsid w:val="00E51BED"/>
    <w:rPr>
      <w:rFonts w:ascii="Times New Roman" w:hAnsi="Times New Roman"/>
      <w:sz w:val="20"/>
    </w:rPr>
  </w:style>
  <w:style w:type="paragraph" w:customStyle="1" w:styleId="Bullet0">
    <w:name w:val="Bullet"/>
    <w:qFormat/>
    <w:rsid w:val="00E51BED"/>
    <w:pPr>
      <w:tabs>
        <w:tab w:val="left" w:pos="360"/>
      </w:tabs>
      <w:spacing w:after="180"/>
      <w:ind w:left="720" w:right="360" w:hanging="288"/>
      <w:jc w:val="both"/>
    </w:pPr>
    <w:rPr>
      <w:rFonts w:ascii="Times New Roman" w:hAnsi="Times New Roman"/>
    </w:rPr>
  </w:style>
  <w:style w:type="paragraph" w:customStyle="1" w:styleId="bullet">
    <w:name w:val="bullet"/>
    <w:rsid w:val="00E51BED"/>
    <w:pPr>
      <w:numPr>
        <w:numId w:val="29"/>
      </w:numPr>
      <w:spacing w:after="180"/>
      <w:ind w:right="360" w:hanging="288"/>
      <w:jc w:val="both"/>
    </w:pPr>
    <w:rPr>
      <w:rFonts w:ascii="Times New Roman" w:hAnsi="Times New Roman"/>
      <w:szCs w:val="20"/>
    </w:rPr>
  </w:style>
  <w:style w:type="character" w:customStyle="1" w:styleId="FooterChar">
    <w:name w:val="Footer Char"/>
    <w:basedOn w:val="DefaultParagraphFont"/>
    <w:link w:val="Footer"/>
    <w:uiPriority w:val="99"/>
    <w:rsid w:val="00223CF8"/>
    <w:rPr>
      <w:rFonts w:ascii="Times New Roman" w:hAnsi="Times New Roman"/>
    </w:rPr>
  </w:style>
  <w:style w:type="paragraph" w:styleId="Revision">
    <w:name w:val="Revision"/>
    <w:hidden/>
    <w:uiPriority w:val="99"/>
    <w:semiHidden/>
    <w:rsid w:val="00156F0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1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image" Target="media/image2.jpe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0733A-C1FC-4339-9794-4CEE5A72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2012-10-24T17:50:00Z</dcterms:created>
  <dcterms:modified xsi:type="dcterms:W3CDTF">2012-10-24T17:50:00Z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-551034509</vt:i4>
  </property>
  <property fmtid="{D5CDD505-2E9C-101B-9397-08002B2CF9AE}" pid="3" name="_NewReviewCycle">
    <vt:lpwstr/>
  </property>
  <property fmtid="{D5CDD505-2E9C-101B-9397-08002B2CF9AE}" pid="4" name="_PreviousAdHocReviewCycleID">
    <vt:i4>-1227986942</vt:i4>
  </property>
  <property fmtid="{D5CDD505-2E9C-101B-9397-08002B2CF9AE}" pid="5" name="_ReviewingToolsShownOnce">
    <vt:lpwstr/>
  </property>
</Properties>
</file>