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29" w:rsidRPr="0043596B" w:rsidRDefault="00C91C29" w:rsidP="00FC633E">
      <w:pPr>
        <w:jc w:val="center"/>
        <w:rPr>
          <w:i/>
          <w:sz w:val="28"/>
          <w:szCs w:val="28"/>
        </w:rPr>
      </w:pPr>
    </w:p>
    <w:p w:rsidR="00FC633E" w:rsidRPr="00FC633E" w:rsidRDefault="00FC633E" w:rsidP="005453AD">
      <w:pPr>
        <w:jc w:val="center"/>
        <w:rPr>
          <w:sz w:val="28"/>
          <w:szCs w:val="28"/>
        </w:rPr>
      </w:pPr>
    </w:p>
    <w:p w:rsidR="00FC633E" w:rsidRDefault="00FC633E" w:rsidP="005453AD">
      <w:pPr>
        <w:jc w:val="center"/>
        <w:rPr>
          <w:b/>
          <w:sz w:val="28"/>
          <w:szCs w:val="28"/>
        </w:rPr>
      </w:pPr>
    </w:p>
    <w:p w:rsidR="005453AD" w:rsidRDefault="005453AD" w:rsidP="005453AD">
      <w:pPr>
        <w:jc w:val="center"/>
        <w:rPr>
          <w:b/>
          <w:sz w:val="28"/>
          <w:szCs w:val="28"/>
        </w:rPr>
      </w:pPr>
      <w:r w:rsidRPr="00456179">
        <w:rPr>
          <w:b/>
          <w:sz w:val="28"/>
          <w:szCs w:val="28"/>
        </w:rPr>
        <w:t>SUPPORTING STATEMENT</w:t>
      </w:r>
    </w:p>
    <w:p w:rsidR="00FC633E" w:rsidRDefault="00FC633E" w:rsidP="005453AD">
      <w:pPr>
        <w:jc w:val="center"/>
        <w:rPr>
          <w:b/>
          <w:sz w:val="28"/>
          <w:szCs w:val="28"/>
        </w:rPr>
      </w:pPr>
    </w:p>
    <w:p w:rsidR="005453AD" w:rsidRDefault="005453AD" w:rsidP="005453AD">
      <w:pPr>
        <w:jc w:val="center"/>
        <w:rPr>
          <w:sz w:val="28"/>
          <w:szCs w:val="28"/>
        </w:rPr>
      </w:pPr>
      <w:r>
        <w:rPr>
          <w:b/>
          <w:sz w:val="28"/>
          <w:szCs w:val="28"/>
        </w:rPr>
        <w:t>Part B</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8772DB" w:rsidRDefault="008772DB" w:rsidP="008772DB">
      <w:pPr>
        <w:jc w:val="center"/>
        <w:rPr>
          <w:b/>
          <w:sz w:val="28"/>
          <w:szCs w:val="28"/>
        </w:rPr>
      </w:pPr>
      <w:r w:rsidRPr="008772DB">
        <w:rPr>
          <w:b/>
          <w:sz w:val="28"/>
          <w:szCs w:val="28"/>
        </w:rPr>
        <w:t xml:space="preserve"> </w:t>
      </w:r>
      <w:r w:rsidRPr="001815F9">
        <w:rPr>
          <w:b/>
          <w:sz w:val="28"/>
          <w:szCs w:val="28"/>
        </w:rPr>
        <w:t xml:space="preserve">American Recovery and Reinvestment Act </w:t>
      </w:r>
    </w:p>
    <w:p w:rsidR="008772DB" w:rsidRDefault="008772DB" w:rsidP="008772DB">
      <w:pPr>
        <w:jc w:val="center"/>
        <w:rPr>
          <w:b/>
          <w:sz w:val="28"/>
          <w:szCs w:val="28"/>
        </w:rPr>
      </w:pPr>
      <w:r w:rsidRPr="001815F9">
        <w:rPr>
          <w:b/>
          <w:sz w:val="28"/>
          <w:szCs w:val="28"/>
        </w:rPr>
        <w:t xml:space="preserve">“Developing a Registry of Registries” </w:t>
      </w:r>
    </w:p>
    <w:p w:rsidR="00FC633E" w:rsidRPr="008772DB" w:rsidRDefault="008772DB" w:rsidP="008772DB">
      <w:pPr>
        <w:jc w:val="center"/>
        <w:rPr>
          <w:b/>
          <w:sz w:val="28"/>
          <w:szCs w:val="28"/>
        </w:rPr>
      </w:pPr>
      <w:r w:rsidRPr="001815F9">
        <w:rPr>
          <w:b/>
          <w:sz w:val="28"/>
          <w:szCs w:val="28"/>
        </w:rPr>
        <w:t>Contract No. HHSA290200500351</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FC633E" w:rsidRPr="00C4006D" w:rsidRDefault="00C91C29" w:rsidP="00FC633E">
      <w:pPr>
        <w:jc w:val="center"/>
        <w:rPr>
          <w:i/>
          <w:sz w:val="28"/>
          <w:szCs w:val="28"/>
        </w:rPr>
      </w:pPr>
      <w:r w:rsidRPr="00C91C29">
        <w:rPr>
          <w:b/>
          <w:sz w:val="28"/>
          <w:szCs w:val="28"/>
        </w:rPr>
        <w:t>Version</w:t>
      </w:r>
      <w:r>
        <w:rPr>
          <w:sz w:val="28"/>
          <w:szCs w:val="28"/>
        </w:rPr>
        <w:t xml:space="preserve"> [</w:t>
      </w:r>
      <w:r w:rsidR="00FD38CE">
        <w:rPr>
          <w:sz w:val="28"/>
          <w:szCs w:val="28"/>
        </w:rPr>
        <w:t>2 December 2011</w:t>
      </w:r>
      <w:r>
        <w:rPr>
          <w:sz w:val="28"/>
          <w:szCs w:val="28"/>
        </w:rPr>
        <w:t>]</w:t>
      </w: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p>
    <w:p w:rsidR="005453AD" w:rsidRDefault="005453AD" w:rsidP="005453AD">
      <w:pPr>
        <w:jc w:val="center"/>
        <w:rPr>
          <w:sz w:val="28"/>
          <w:szCs w:val="28"/>
        </w:rPr>
      </w:pPr>
      <w:r w:rsidRPr="00677A0B">
        <w:rPr>
          <w:sz w:val="28"/>
          <w:szCs w:val="28"/>
        </w:rPr>
        <w:t xml:space="preserve">Agency </w:t>
      </w:r>
      <w:r w:rsidR="007247C9">
        <w:rPr>
          <w:sz w:val="28"/>
          <w:szCs w:val="28"/>
        </w:rPr>
        <w:t>for</w:t>
      </w:r>
      <w:r w:rsidRPr="00677A0B">
        <w:rPr>
          <w:sz w:val="28"/>
          <w:szCs w:val="28"/>
        </w:rPr>
        <w:t xml:space="preserve"> Healthcare Research and Quality (AHRQ)</w:t>
      </w:r>
    </w:p>
    <w:p w:rsidR="005453AD" w:rsidRDefault="005453AD" w:rsidP="005453AD">
      <w:pPr>
        <w:rPr>
          <w:sz w:val="28"/>
          <w:szCs w:val="28"/>
        </w:rPr>
      </w:pPr>
    </w:p>
    <w:p w:rsidR="005453AD" w:rsidRDefault="005453AD" w:rsidP="005453AD">
      <w:pPr>
        <w:rPr>
          <w:sz w:val="28"/>
          <w:szCs w:val="28"/>
        </w:rPr>
      </w:pPr>
    </w:p>
    <w:p w:rsidR="005453AD" w:rsidRDefault="005453AD" w:rsidP="005453AD">
      <w:pPr>
        <w:jc w:val="center"/>
        <w:rPr>
          <w:b/>
        </w:rPr>
      </w:pPr>
      <w:r>
        <w:br w:type="page"/>
      </w:r>
      <w:r w:rsidRPr="001D0454">
        <w:rPr>
          <w:b/>
        </w:rPr>
        <w:lastRenderedPageBreak/>
        <w:t>Table of contents</w:t>
      </w:r>
    </w:p>
    <w:p w:rsidR="005453AD" w:rsidRDefault="005453AD" w:rsidP="00FC633E"/>
    <w:bookmarkStart w:id="0" w:name="_Toc158526234" w:displacedByCustomXml="next"/>
    <w:bookmarkStart w:id="1" w:name="_Toc151782198" w:displacedByCustomXml="next"/>
    <w:sdt>
      <w:sdtPr>
        <w:rPr>
          <w:rFonts w:ascii="Times New Roman" w:eastAsia="Times New Roman" w:hAnsi="Times New Roman" w:cs="Times New Roman"/>
          <w:b w:val="0"/>
          <w:bCs w:val="0"/>
          <w:color w:val="auto"/>
          <w:sz w:val="24"/>
          <w:szCs w:val="24"/>
          <w:lang w:eastAsia="en-US"/>
        </w:rPr>
        <w:id w:val="-1688216835"/>
        <w:docPartObj>
          <w:docPartGallery w:val="Table of Contents"/>
          <w:docPartUnique/>
        </w:docPartObj>
      </w:sdtPr>
      <w:sdtEndPr>
        <w:rPr>
          <w:noProof/>
        </w:rPr>
      </w:sdtEndPr>
      <w:sdtContent>
        <w:p w:rsidR="009F0ADE" w:rsidRDefault="009F0ADE">
          <w:pPr>
            <w:pStyle w:val="TOCHeading"/>
          </w:pPr>
          <w:r>
            <w:t>Contents</w:t>
          </w:r>
        </w:p>
        <w:p w:rsidR="0080126E" w:rsidRDefault="003868CA">
          <w:pPr>
            <w:pStyle w:val="TOC1"/>
            <w:tabs>
              <w:tab w:val="right" w:leader="dot" w:pos="8630"/>
            </w:tabs>
            <w:rPr>
              <w:rFonts w:asciiTheme="minorHAnsi" w:eastAsiaTheme="minorEastAsia" w:hAnsiTheme="minorHAnsi" w:cstheme="minorBidi"/>
              <w:noProof/>
              <w:sz w:val="22"/>
              <w:szCs w:val="22"/>
            </w:rPr>
          </w:pPr>
          <w:r w:rsidRPr="003868CA">
            <w:fldChar w:fldCharType="begin"/>
          </w:r>
          <w:r w:rsidR="009F0ADE">
            <w:instrText xml:space="preserve"> TOC \o "1-3" \h \z \u </w:instrText>
          </w:r>
          <w:r w:rsidRPr="003868CA">
            <w:fldChar w:fldCharType="separate"/>
          </w:r>
          <w:hyperlink w:anchor="_Toc310582378" w:history="1">
            <w:r w:rsidR="0080126E" w:rsidRPr="002B4917">
              <w:rPr>
                <w:rStyle w:val="Hyperlink"/>
                <w:noProof/>
              </w:rPr>
              <w:t>B. Collections of Information Employing Statistical Methods</w:t>
            </w:r>
            <w:r w:rsidR="0080126E">
              <w:rPr>
                <w:noProof/>
                <w:webHidden/>
              </w:rPr>
              <w:tab/>
            </w:r>
            <w:r>
              <w:rPr>
                <w:noProof/>
                <w:webHidden/>
              </w:rPr>
              <w:fldChar w:fldCharType="begin"/>
            </w:r>
            <w:r w:rsidR="0080126E">
              <w:rPr>
                <w:noProof/>
                <w:webHidden/>
              </w:rPr>
              <w:instrText xml:space="preserve"> PAGEREF _Toc310582378 \h </w:instrText>
            </w:r>
            <w:r>
              <w:rPr>
                <w:noProof/>
                <w:webHidden/>
              </w:rPr>
            </w:r>
            <w:r>
              <w:rPr>
                <w:noProof/>
                <w:webHidden/>
              </w:rPr>
              <w:fldChar w:fldCharType="separate"/>
            </w:r>
            <w:r w:rsidR="0080126E">
              <w:rPr>
                <w:noProof/>
                <w:webHidden/>
              </w:rPr>
              <w:t>3</w:t>
            </w:r>
            <w:r>
              <w:rPr>
                <w:noProof/>
                <w:webHidden/>
              </w:rPr>
              <w:fldChar w:fldCharType="end"/>
            </w:r>
          </w:hyperlink>
        </w:p>
        <w:p w:rsidR="0080126E" w:rsidRDefault="003868CA">
          <w:pPr>
            <w:pStyle w:val="TOC2"/>
            <w:tabs>
              <w:tab w:val="right" w:leader="dot" w:pos="8630"/>
            </w:tabs>
            <w:rPr>
              <w:rFonts w:asciiTheme="minorHAnsi" w:eastAsiaTheme="minorEastAsia" w:hAnsiTheme="minorHAnsi" w:cstheme="minorBidi"/>
              <w:noProof/>
              <w:sz w:val="22"/>
              <w:szCs w:val="22"/>
            </w:rPr>
          </w:pPr>
          <w:hyperlink w:anchor="_Toc310582379" w:history="1">
            <w:r w:rsidR="0080126E" w:rsidRPr="002B4917">
              <w:rPr>
                <w:rStyle w:val="Hyperlink"/>
                <w:noProof/>
              </w:rPr>
              <w:t>1. Respondent universe and sampling methods</w:t>
            </w:r>
            <w:r w:rsidR="0080126E">
              <w:rPr>
                <w:noProof/>
                <w:webHidden/>
              </w:rPr>
              <w:tab/>
            </w:r>
            <w:r>
              <w:rPr>
                <w:noProof/>
                <w:webHidden/>
              </w:rPr>
              <w:fldChar w:fldCharType="begin"/>
            </w:r>
            <w:r w:rsidR="0080126E">
              <w:rPr>
                <w:noProof/>
                <w:webHidden/>
              </w:rPr>
              <w:instrText xml:space="preserve"> PAGEREF _Toc310582379 \h </w:instrText>
            </w:r>
            <w:r>
              <w:rPr>
                <w:noProof/>
                <w:webHidden/>
              </w:rPr>
            </w:r>
            <w:r>
              <w:rPr>
                <w:noProof/>
                <w:webHidden/>
              </w:rPr>
              <w:fldChar w:fldCharType="separate"/>
            </w:r>
            <w:r w:rsidR="0080126E">
              <w:rPr>
                <w:noProof/>
                <w:webHidden/>
              </w:rPr>
              <w:t>3</w:t>
            </w:r>
            <w:r>
              <w:rPr>
                <w:noProof/>
                <w:webHidden/>
              </w:rPr>
              <w:fldChar w:fldCharType="end"/>
            </w:r>
          </w:hyperlink>
        </w:p>
        <w:p w:rsidR="0080126E" w:rsidRDefault="003868CA">
          <w:pPr>
            <w:pStyle w:val="TOC2"/>
            <w:tabs>
              <w:tab w:val="right" w:leader="dot" w:pos="8630"/>
            </w:tabs>
            <w:rPr>
              <w:rFonts w:asciiTheme="minorHAnsi" w:eastAsiaTheme="minorEastAsia" w:hAnsiTheme="minorHAnsi" w:cstheme="minorBidi"/>
              <w:noProof/>
              <w:sz w:val="22"/>
              <w:szCs w:val="22"/>
            </w:rPr>
          </w:pPr>
          <w:hyperlink w:anchor="_Toc310582380" w:history="1">
            <w:r w:rsidR="0080126E" w:rsidRPr="002B4917">
              <w:rPr>
                <w:rStyle w:val="Hyperlink"/>
                <w:noProof/>
              </w:rPr>
              <w:t>2. Information Collection Procedures</w:t>
            </w:r>
            <w:r w:rsidR="0080126E">
              <w:rPr>
                <w:noProof/>
                <w:webHidden/>
              </w:rPr>
              <w:tab/>
            </w:r>
            <w:r>
              <w:rPr>
                <w:noProof/>
                <w:webHidden/>
              </w:rPr>
              <w:fldChar w:fldCharType="begin"/>
            </w:r>
            <w:r w:rsidR="0080126E">
              <w:rPr>
                <w:noProof/>
                <w:webHidden/>
              </w:rPr>
              <w:instrText xml:space="preserve"> PAGEREF _Toc310582380 \h </w:instrText>
            </w:r>
            <w:r>
              <w:rPr>
                <w:noProof/>
                <w:webHidden/>
              </w:rPr>
            </w:r>
            <w:r>
              <w:rPr>
                <w:noProof/>
                <w:webHidden/>
              </w:rPr>
              <w:fldChar w:fldCharType="separate"/>
            </w:r>
            <w:r w:rsidR="0080126E">
              <w:rPr>
                <w:noProof/>
                <w:webHidden/>
              </w:rPr>
              <w:t>3</w:t>
            </w:r>
            <w:r>
              <w:rPr>
                <w:noProof/>
                <w:webHidden/>
              </w:rPr>
              <w:fldChar w:fldCharType="end"/>
            </w:r>
          </w:hyperlink>
        </w:p>
        <w:p w:rsidR="0080126E" w:rsidRDefault="003868CA">
          <w:pPr>
            <w:pStyle w:val="TOC2"/>
            <w:tabs>
              <w:tab w:val="right" w:leader="dot" w:pos="8630"/>
            </w:tabs>
            <w:rPr>
              <w:rFonts w:asciiTheme="minorHAnsi" w:eastAsiaTheme="minorEastAsia" w:hAnsiTheme="minorHAnsi" w:cstheme="minorBidi"/>
              <w:noProof/>
              <w:sz w:val="22"/>
              <w:szCs w:val="22"/>
            </w:rPr>
          </w:pPr>
          <w:hyperlink w:anchor="_Toc310582381" w:history="1">
            <w:r w:rsidR="0080126E" w:rsidRPr="002B4917">
              <w:rPr>
                <w:rStyle w:val="Hyperlink"/>
                <w:noProof/>
              </w:rPr>
              <w:t>3. Methods to Maximize Response Rates</w:t>
            </w:r>
            <w:r w:rsidR="0080126E">
              <w:rPr>
                <w:noProof/>
                <w:webHidden/>
              </w:rPr>
              <w:tab/>
            </w:r>
            <w:r>
              <w:rPr>
                <w:noProof/>
                <w:webHidden/>
              </w:rPr>
              <w:fldChar w:fldCharType="begin"/>
            </w:r>
            <w:r w:rsidR="0080126E">
              <w:rPr>
                <w:noProof/>
                <w:webHidden/>
              </w:rPr>
              <w:instrText xml:space="preserve"> PAGEREF _Toc310582381 \h </w:instrText>
            </w:r>
            <w:r>
              <w:rPr>
                <w:noProof/>
                <w:webHidden/>
              </w:rPr>
            </w:r>
            <w:r>
              <w:rPr>
                <w:noProof/>
                <w:webHidden/>
              </w:rPr>
              <w:fldChar w:fldCharType="separate"/>
            </w:r>
            <w:r w:rsidR="0080126E">
              <w:rPr>
                <w:noProof/>
                <w:webHidden/>
              </w:rPr>
              <w:t>4</w:t>
            </w:r>
            <w:r>
              <w:rPr>
                <w:noProof/>
                <w:webHidden/>
              </w:rPr>
              <w:fldChar w:fldCharType="end"/>
            </w:r>
          </w:hyperlink>
        </w:p>
        <w:p w:rsidR="0080126E" w:rsidRDefault="003868CA">
          <w:pPr>
            <w:pStyle w:val="TOC3"/>
            <w:tabs>
              <w:tab w:val="right" w:leader="dot" w:pos="8630"/>
            </w:tabs>
            <w:rPr>
              <w:rFonts w:asciiTheme="minorHAnsi" w:eastAsiaTheme="minorEastAsia" w:hAnsiTheme="minorHAnsi" w:cstheme="minorBidi"/>
              <w:noProof/>
              <w:sz w:val="22"/>
              <w:szCs w:val="22"/>
            </w:rPr>
          </w:pPr>
          <w:hyperlink w:anchor="_Toc310582382" w:history="1">
            <w:r w:rsidR="0080126E" w:rsidRPr="002B4917">
              <w:rPr>
                <w:rStyle w:val="Hyperlink"/>
                <w:noProof/>
              </w:rPr>
              <w:t>Additional Incentives for Consideration</w:t>
            </w:r>
            <w:r w:rsidR="0080126E">
              <w:rPr>
                <w:noProof/>
                <w:webHidden/>
              </w:rPr>
              <w:tab/>
            </w:r>
            <w:r>
              <w:rPr>
                <w:noProof/>
                <w:webHidden/>
              </w:rPr>
              <w:fldChar w:fldCharType="begin"/>
            </w:r>
            <w:r w:rsidR="0080126E">
              <w:rPr>
                <w:noProof/>
                <w:webHidden/>
              </w:rPr>
              <w:instrText xml:space="preserve"> PAGEREF _Toc310582382 \h </w:instrText>
            </w:r>
            <w:r>
              <w:rPr>
                <w:noProof/>
                <w:webHidden/>
              </w:rPr>
            </w:r>
            <w:r>
              <w:rPr>
                <w:noProof/>
                <w:webHidden/>
              </w:rPr>
              <w:fldChar w:fldCharType="separate"/>
            </w:r>
            <w:r w:rsidR="0080126E">
              <w:rPr>
                <w:noProof/>
                <w:webHidden/>
              </w:rPr>
              <w:t>6</w:t>
            </w:r>
            <w:r>
              <w:rPr>
                <w:noProof/>
                <w:webHidden/>
              </w:rPr>
              <w:fldChar w:fldCharType="end"/>
            </w:r>
          </w:hyperlink>
        </w:p>
        <w:p w:rsidR="0080126E" w:rsidRDefault="003868CA">
          <w:pPr>
            <w:pStyle w:val="TOC3"/>
            <w:tabs>
              <w:tab w:val="right" w:leader="dot" w:pos="8630"/>
            </w:tabs>
            <w:rPr>
              <w:rFonts w:asciiTheme="minorHAnsi" w:eastAsiaTheme="minorEastAsia" w:hAnsiTheme="minorHAnsi" w:cstheme="minorBidi"/>
              <w:noProof/>
              <w:sz w:val="22"/>
              <w:szCs w:val="22"/>
            </w:rPr>
          </w:pPr>
          <w:hyperlink w:anchor="_Toc310582383" w:history="1">
            <w:r w:rsidR="0080126E" w:rsidRPr="002B4917">
              <w:rPr>
                <w:rStyle w:val="Hyperlink"/>
                <w:noProof/>
              </w:rPr>
              <w:t>Potential Outreach Activities</w:t>
            </w:r>
            <w:r w:rsidR="0080126E">
              <w:rPr>
                <w:noProof/>
                <w:webHidden/>
              </w:rPr>
              <w:tab/>
            </w:r>
            <w:r>
              <w:rPr>
                <w:noProof/>
                <w:webHidden/>
              </w:rPr>
              <w:fldChar w:fldCharType="begin"/>
            </w:r>
            <w:r w:rsidR="0080126E">
              <w:rPr>
                <w:noProof/>
                <w:webHidden/>
              </w:rPr>
              <w:instrText xml:space="preserve"> PAGEREF _Toc310582383 \h </w:instrText>
            </w:r>
            <w:r>
              <w:rPr>
                <w:noProof/>
                <w:webHidden/>
              </w:rPr>
            </w:r>
            <w:r>
              <w:rPr>
                <w:noProof/>
                <w:webHidden/>
              </w:rPr>
              <w:fldChar w:fldCharType="separate"/>
            </w:r>
            <w:r w:rsidR="0080126E">
              <w:rPr>
                <w:noProof/>
                <w:webHidden/>
              </w:rPr>
              <w:t>6</w:t>
            </w:r>
            <w:r>
              <w:rPr>
                <w:noProof/>
                <w:webHidden/>
              </w:rPr>
              <w:fldChar w:fldCharType="end"/>
            </w:r>
          </w:hyperlink>
        </w:p>
        <w:p w:rsidR="0080126E" w:rsidRDefault="003868CA">
          <w:pPr>
            <w:pStyle w:val="TOC2"/>
            <w:tabs>
              <w:tab w:val="right" w:leader="dot" w:pos="8630"/>
            </w:tabs>
            <w:rPr>
              <w:rFonts w:asciiTheme="minorHAnsi" w:eastAsiaTheme="minorEastAsia" w:hAnsiTheme="minorHAnsi" w:cstheme="minorBidi"/>
              <w:noProof/>
              <w:sz w:val="22"/>
              <w:szCs w:val="22"/>
            </w:rPr>
          </w:pPr>
          <w:hyperlink w:anchor="_Toc310582384" w:history="1">
            <w:r w:rsidR="0080126E" w:rsidRPr="002B4917">
              <w:rPr>
                <w:rStyle w:val="Hyperlink"/>
                <w:noProof/>
              </w:rPr>
              <w:t>4. Tests of Procedures</w:t>
            </w:r>
            <w:r w:rsidR="0080126E">
              <w:rPr>
                <w:noProof/>
                <w:webHidden/>
              </w:rPr>
              <w:tab/>
            </w:r>
            <w:r>
              <w:rPr>
                <w:noProof/>
                <w:webHidden/>
              </w:rPr>
              <w:fldChar w:fldCharType="begin"/>
            </w:r>
            <w:r w:rsidR="0080126E">
              <w:rPr>
                <w:noProof/>
                <w:webHidden/>
              </w:rPr>
              <w:instrText xml:space="preserve"> PAGEREF _Toc310582384 \h </w:instrText>
            </w:r>
            <w:r>
              <w:rPr>
                <w:noProof/>
                <w:webHidden/>
              </w:rPr>
            </w:r>
            <w:r>
              <w:rPr>
                <w:noProof/>
                <w:webHidden/>
              </w:rPr>
              <w:fldChar w:fldCharType="separate"/>
            </w:r>
            <w:r w:rsidR="0080126E">
              <w:rPr>
                <w:noProof/>
                <w:webHidden/>
              </w:rPr>
              <w:t>7</w:t>
            </w:r>
            <w:r>
              <w:rPr>
                <w:noProof/>
                <w:webHidden/>
              </w:rPr>
              <w:fldChar w:fldCharType="end"/>
            </w:r>
          </w:hyperlink>
        </w:p>
        <w:p w:rsidR="0080126E" w:rsidRDefault="003868CA">
          <w:pPr>
            <w:pStyle w:val="TOC2"/>
            <w:tabs>
              <w:tab w:val="right" w:leader="dot" w:pos="8630"/>
            </w:tabs>
            <w:rPr>
              <w:rFonts w:asciiTheme="minorHAnsi" w:eastAsiaTheme="minorEastAsia" w:hAnsiTheme="minorHAnsi" w:cstheme="minorBidi"/>
              <w:noProof/>
              <w:sz w:val="22"/>
              <w:szCs w:val="22"/>
            </w:rPr>
          </w:pPr>
          <w:hyperlink w:anchor="_Toc310582385" w:history="1">
            <w:r w:rsidR="0080126E" w:rsidRPr="002B4917">
              <w:rPr>
                <w:rStyle w:val="Hyperlink"/>
                <w:noProof/>
              </w:rPr>
              <w:t>5. Statistical Consultants</w:t>
            </w:r>
            <w:r w:rsidR="0080126E">
              <w:rPr>
                <w:noProof/>
                <w:webHidden/>
              </w:rPr>
              <w:tab/>
            </w:r>
            <w:r>
              <w:rPr>
                <w:noProof/>
                <w:webHidden/>
              </w:rPr>
              <w:fldChar w:fldCharType="begin"/>
            </w:r>
            <w:r w:rsidR="0080126E">
              <w:rPr>
                <w:noProof/>
                <w:webHidden/>
              </w:rPr>
              <w:instrText xml:space="preserve"> PAGEREF _Toc310582385 \h </w:instrText>
            </w:r>
            <w:r>
              <w:rPr>
                <w:noProof/>
                <w:webHidden/>
              </w:rPr>
            </w:r>
            <w:r>
              <w:rPr>
                <w:noProof/>
                <w:webHidden/>
              </w:rPr>
              <w:fldChar w:fldCharType="separate"/>
            </w:r>
            <w:r w:rsidR="0080126E">
              <w:rPr>
                <w:noProof/>
                <w:webHidden/>
              </w:rPr>
              <w:t>7</w:t>
            </w:r>
            <w:r>
              <w:rPr>
                <w:noProof/>
                <w:webHidden/>
              </w:rPr>
              <w:fldChar w:fldCharType="end"/>
            </w:r>
          </w:hyperlink>
        </w:p>
        <w:p w:rsidR="009F0ADE" w:rsidRDefault="003868CA">
          <w:r>
            <w:rPr>
              <w:b/>
              <w:bCs/>
              <w:noProof/>
            </w:rPr>
            <w:fldChar w:fldCharType="end"/>
          </w:r>
        </w:p>
      </w:sdtContent>
    </w:sdt>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5453AD" w:rsidRPr="00FC633E" w:rsidRDefault="005453AD" w:rsidP="005453AD">
      <w:pPr>
        <w:pStyle w:val="Heading1"/>
        <w:rPr>
          <w:sz w:val="24"/>
          <w:szCs w:val="24"/>
        </w:rPr>
      </w:pPr>
      <w:bookmarkStart w:id="2" w:name="_Toc310582378"/>
      <w:r w:rsidRPr="00FC633E">
        <w:rPr>
          <w:sz w:val="24"/>
          <w:szCs w:val="24"/>
        </w:rPr>
        <w:lastRenderedPageBreak/>
        <w:t>B. Collections of Information Employing Statistical Methods</w:t>
      </w:r>
      <w:bookmarkEnd w:id="2"/>
      <w:bookmarkEnd w:id="1"/>
      <w:bookmarkEnd w:id="0"/>
    </w:p>
    <w:p w:rsidR="00874B68" w:rsidRDefault="00874B68" w:rsidP="00874B68"/>
    <w:p w:rsidR="005453AD" w:rsidRPr="001D0454" w:rsidRDefault="005453AD" w:rsidP="005453AD">
      <w:pPr>
        <w:pStyle w:val="Heading2"/>
        <w:spacing w:before="0" w:after="0"/>
        <w:rPr>
          <w:sz w:val="24"/>
        </w:rPr>
      </w:pPr>
      <w:bookmarkStart w:id="3" w:name="_Toc151782199"/>
      <w:bookmarkStart w:id="4" w:name="_Toc158526235"/>
      <w:bookmarkStart w:id="5" w:name="_Toc310582379"/>
      <w:r w:rsidRPr="001D0454">
        <w:rPr>
          <w:sz w:val="24"/>
        </w:rPr>
        <w:t>1. Respondent universe and sampling methods</w:t>
      </w:r>
      <w:bookmarkEnd w:id="3"/>
      <w:bookmarkEnd w:id="4"/>
      <w:bookmarkEnd w:id="5"/>
    </w:p>
    <w:p w:rsidR="00490A95" w:rsidRDefault="00D46F01" w:rsidP="00D46F01">
      <w:pPr>
        <w:rPr>
          <w:rStyle w:val="Strong"/>
          <w:b w:val="0"/>
        </w:rPr>
      </w:pPr>
      <w:r>
        <w:rPr>
          <w:rStyle w:val="Strong"/>
          <w:b w:val="0"/>
        </w:rPr>
        <w:t>Participation in t</w:t>
      </w:r>
      <w:r w:rsidRPr="00D46F01">
        <w:rPr>
          <w:rStyle w:val="Strong"/>
          <w:b w:val="0"/>
        </w:rPr>
        <w:t xml:space="preserve">he RoPR </w:t>
      </w:r>
      <w:r>
        <w:rPr>
          <w:rStyle w:val="Strong"/>
          <w:b w:val="0"/>
        </w:rPr>
        <w:t>will be voluntary, and will be</w:t>
      </w:r>
      <w:r w:rsidRPr="00D46F01">
        <w:rPr>
          <w:rStyle w:val="Strong"/>
          <w:b w:val="0"/>
        </w:rPr>
        <w:t xml:space="preserve"> available to any entity conducting a patient registry</w:t>
      </w:r>
      <w:r>
        <w:rPr>
          <w:rStyle w:val="Strong"/>
          <w:b w:val="0"/>
        </w:rPr>
        <w:t>.  Therefore</w:t>
      </w:r>
      <w:r w:rsidRPr="00D46F01">
        <w:rPr>
          <w:rStyle w:val="Strong"/>
          <w:b w:val="0"/>
        </w:rPr>
        <w:t xml:space="preserve">, it is not possible to determine </w:t>
      </w:r>
      <w:r w:rsidR="00490A95">
        <w:rPr>
          <w:rStyle w:val="Strong"/>
          <w:b w:val="0"/>
        </w:rPr>
        <w:t xml:space="preserve">with certainty </w:t>
      </w:r>
      <w:r w:rsidRPr="00D46F01">
        <w:rPr>
          <w:rStyle w:val="Strong"/>
          <w:b w:val="0"/>
        </w:rPr>
        <w:t xml:space="preserve">the </w:t>
      </w:r>
      <w:r>
        <w:rPr>
          <w:rStyle w:val="Strong"/>
          <w:b w:val="0"/>
        </w:rPr>
        <w:t>size of the respondent universe</w:t>
      </w:r>
      <w:r w:rsidRPr="00D46F01">
        <w:rPr>
          <w:rStyle w:val="Strong"/>
          <w:b w:val="0"/>
        </w:rPr>
        <w:t xml:space="preserve">.  </w:t>
      </w:r>
    </w:p>
    <w:p w:rsidR="00490A95" w:rsidRDefault="00490A95" w:rsidP="00D46F01">
      <w:pPr>
        <w:rPr>
          <w:rStyle w:val="Strong"/>
          <w:b w:val="0"/>
        </w:rPr>
      </w:pPr>
    </w:p>
    <w:p w:rsidR="00D46F01" w:rsidRDefault="00D46F01" w:rsidP="00D46F01">
      <w:pPr>
        <w:rPr>
          <w:rStyle w:val="Strong"/>
          <w:b w:val="0"/>
        </w:rPr>
      </w:pPr>
      <w:r w:rsidRPr="00D46F01">
        <w:rPr>
          <w:rStyle w:val="Strong"/>
          <w:b w:val="0"/>
        </w:rPr>
        <w:t>We do know that over 3,800 new</w:t>
      </w:r>
      <w:r w:rsidR="00335721">
        <w:rPr>
          <w:rStyle w:val="Strong"/>
          <w:b w:val="0"/>
        </w:rPr>
        <w:t>ly</w:t>
      </w:r>
      <w:r w:rsidRPr="00D46F01">
        <w:rPr>
          <w:rStyle w:val="Strong"/>
          <w:b w:val="0"/>
        </w:rPr>
        <w:t xml:space="preserve"> </w:t>
      </w:r>
      <w:r w:rsidR="00335721">
        <w:rPr>
          <w:rStyle w:val="Strong"/>
          <w:b w:val="0"/>
        </w:rPr>
        <w:t xml:space="preserve">registered records </w:t>
      </w:r>
      <w:r w:rsidRPr="00D46F01">
        <w:rPr>
          <w:rStyle w:val="Strong"/>
          <w:b w:val="0"/>
        </w:rPr>
        <w:t xml:space="preserve">designated as “observational studies” were entered into ClinicalTrials.gov in 2010.  Only a subset of this number (which we will estimate at </w:t>
      </w:r>
      <w:r w:rsidR="00CD36A1">
        <w:rPr>
          <w:rStyle w:val="Strong"/>
          <w:b w:val="0"/>
        </w:rPr>
        <w:t xml:space="preserve">a maximum of </w:t>
      </w:r>
      <w:r w:rsidRPr="00D46F01">
        <w:rPr>
          <w:rStyle w:val="Strong"/>
          <w:b w:val="0"/>
        </w:rPr>
        <w:t>40%) would qualify as patient registries and would likely be regist</w:t>
      </w:r>
      <w:r w:rsidR="00896104">
        <w:rPr>
          <w:rStyle w:val="Strong"/>
          <w:b w:val="0"/>
        </w:rPr>
        <w:t>ered in the RoPR.  Therefore,</w:t>
      </w:r>
      <w:r w:rsidRPr="00D46F01">
        <w:rPr>
          <w:rStyle w:val="Strong"/>
          <w:b w:val="0"/>
        </w:rPr>
        <w:t xml:space="preserve"> </w:t>
      </w:r>
      <w:r w:rsidR="00490A95">
        <w:rPr>
          <w:rStyle w:val="Strong"/>
          <w:b w:val="0"/>
        </w:rPr>
        <w:t>we can provide a very rough</w:t>
      </w:r>
      <w:r w:rsidR="005A34A0">
        <w:rPr>
          <w:rStyle w:val="Strong"/>
          <w:b w:val="0"/>
        </w:rPr>
        <w:t>, but high,</w:t>
      </w:r>
      <w:r w:rsidR="00490A95">
        <w:rPr>
          <w:rStyle w:val="Strong"/>
          <w:b w:val="0"/>
        </w:rPr>
        <w:t xml:space="preserve"> estimate of </w:t>
      </w:r>
      <w:r w:rsidRPr="00D46F01">
        <w:rPr>
          <w:rStyle w:val="Strong"/>
          <w:b w:val="0"/>
        </w:rPr>
        <w:t>1,520 (3,800*0.40) potential respondents who will enter registries into the RoPR during its first year of operation.  The actual number of respondents will depend on a variety of factors and could vary widely.</w:t>
      </w:r>
    </w:p>
    <w:p w:rsidR="00490A95" w:rsidRDefault="00490A95" w:rsidP="00D46F01">
      <w:pPr>
        <w:rPr>
          <w:rStyle w:val="Strong"/>
          <w:b w:val="0"/>
        </w:rPr>
      </w:pPr>
    </w:p>
    <w:p w:rsidR="00490A95" w:rsidRDefault="00490A95" w:rsidP="00D46F01">
      <w:pPr>
        <w:rPr>
          <w:rStyle w:val="Strong"/>
          <w:b w:val="0"/>
        </w:rPr>
      </w:pPr>
      <w:r>
        <w:rPr>
          <w:rStyle w:val="Strong"/>
          <w:b w:val="0"/>
        </w:rPr>
        <w:t xml:space="preserve">There will be no sampling or respondent </w:t>
      </w:r>
      <w:r w:rsidR="00D6771A">
        <w:rPr>
          <w:rStyle w:val="Strong"/>
          <w:b w:val="0"/>
        </w:rPr>
        <w:t xml:space="preserve">selection </w:t>
      </w:r>
      <w:r>
        <w:rPr>
          <w:rStyle w:val="Strong"/>
          <w:b w:val="0"/>
        </w:rPr>
        <w:t xml:space="preserve">method employed </w:t>
      </w:r>
      <w:r w:rsidR="00D6771A">
        <w:rPr>
          <w:rStyle w:val="Strong"/>
          <w:b w:val="0"/>
        </w:rPr>
        <w:t>by</w:t>
      </w:r>
      <w:r>
        <w:rPr>
          <w:rStyle w:val="Strong"/>
          <w:b w:val="0"/>
        </w:rPr>
        <w:t xml:space="preserve"> the RoPR, aside from the self-selection that respondents will exercise when deciding to enter an eligible study in the RoPR.  </w:t>
      </w:r>
    </w:p>
    <w:p w:rsidR="005453AD" w:rsidRDefault="005453AD" w:rsidP="005453AD">
      <w:pPr>
        <w:jc w:val="both"/>
        <w:rPr>
          <w:b/>
          <w:bCs/>
          <w:szCs w:val="22"/>
        </w:rPr>
      </w:pPr>
    </w:p>
    <w:p w:rsidR="005453AD" w:rsidRPr="001D0454" w:rsidRDefault="005453AD" w:rsidP="005453AD">
      <w:pPr>
        <w:pStyle w:val="Heading2"/>
        <w:spacing w:before="0" w:after="0"/>
        <w:rPr>
          <w:sz w:val="24"/>
        </w:rPr>
      </w:pPr>
      <w:bookmarkStart w:id="6" w:name="_Toc151782200"/>
      <w:bookmarkStart w:id="7" w:name="_Toc158526236"/>
      <w:bookmarkStart w:id="8" w:name="_Toc310582380"/>
      <w:r w:rsidRPr="001D0454">
        <w:rPr>
          <w:sz w:val="24"/>
        </w:rPr>
        <w:t>2. Information Collection Procedures</w:t>
      </w:r>
      <w:bookmarkEnd w:id="6"/>
      <w:bookmarkEnd w:id="7"/>
      <w:bookmarkEnd w:id="8"/>
    </w:p>
    <w:p w:rsidR="00CF779D" w:rsidRDefault="005A34A0" w:rsidP="002837E3">
      <w:pPr>
        <w:spacing w:after="240"/>
      </w:pPr>
      <w:r>
        <w:t>Based on stakeholder feedback, t</w:t>
      </w:r>
      <w:r w:rsidR="00D6771A">
        <w:t>he RoPR will integrate with ClinicalTrials.gov to present a seamless user interface</w:t>
      </w:r>
      <w:r w:rsidR="007103BD">
        <w:t xml:space="preserve"> and as low a response burden as possible</w:t>
      </w:r>
      <w:r w:rsidR="00D6771A">
        <w:t xml:space="preserve">.  Users who </w:t>
      </w:r>
      <w:r w:rsidR="00335721">
        <w:t>register</w:t>
      </w:r>
      <w:r w:rsidR="00335721" w:rsidRPr="00E81A20">
        <w:t xml:space="preserve"> </w:t>
      </w:r>
      <w:r>
        <w:t>a record as</w:t>
      </w:r>
      <w:r w:rsidR="00D6771A">
        <w:t xml:space="preserve"> </w:t>
      </w:r>
      <w:r w:rsidR="00335721">
        <w:t xml:space="preserve">a </w:t>
      </w:r>
      <w:r w:rsidR="00D6771A">
        <w:t>“</w:t>
      </w:r>
      <w:r>
        <w:t>Patient Registry</w:t>
      </w:r>
      <w:r w:rsidR="00D6771A">
        <w:t xml:space="preserve">” </w:t>
      </w:r>
      <w:r w:rsidR="00335721">
        <w:t xml:space="preserve">under the Study Type data element at </w:t>
      </w:r>
      <w:r w:rsidR="00D6771A">
        <w:t xml:space="preserve">ClinicalTrials.gov will be </w:t>
      </w:r>
      <w:r w:rsidR="00335721">
        <w:t xml:space="preserve">provided with an option to complete </w:t>
      </w:r>
      <w:r w:rsidR="00335721" w:rsidRPr="00E81A20">
        <w:t>a blank RoPR record</w:t>
      </w:r>
      <w:r w:rsidR="00335721">
        <w:t xml:space="preserve"> at</w:t>
      </w:r>
      <w:r w:rsidR="00335721" w:rsidDel="00335721">
        <w:t xml:space="preserve"> </w:t>
      </w:r>
      <w:r w:rsidR="00D6771A">
        <w:t xml:space="preserve">the RoPR website.  The RoPR record is comprised of </w:t>
      </w:r>
      <w:r w:rsidR="005911AC">
        <w:t>1</w:t>
      </w:r>
      <w:r w:rsidR="00FE7884">
        <w:t>1</w:t>
      </w:r>
      <w:r w:rsidR="00D6771A">
        <w:t xml:space="preserve"> required data elements and </w:t>
      </w:r>
      <w:r w:rsidR="00FE7884">
        <w:t>34</w:t>
      </w:r>
      <w:r w:rsidR="005911AC">
        <w:t xml:space="preserve"> </w:t>
      </w:r>
      <w:r w:rsidR="00D6771A">
        <w:t>optional data elements</w:t>
      </w:r>
      <w:r w:rsidR="00FE7884">
        <w:t xml:space="preserve"> (of which 11 may be required conditionally)</w:t>
      </w:r>
      <w:r w:rsidR="00D6771A">
        <w:t>.</w:t>
      </w:r>
      <w:r w:rsidR="007103BD">
        <w:t xml:space="preserve">  Respondents will not be able to submit their record until all required data elements are completed.  Once a respondent has completed and </w:t>
      </w:r>
      <w:r w:rsidR="005911AC">
        <w:t>released</w:t>
      </w:r>
      <w:r w:rsidR="007103BD">
        <w:t xml:space="preserve"> a RoPR record, that record is available for the public to view through the RoPR search.</w:t>
      </w:r>
    </w:p>
    <w:p w:rsidR="00490A95" w:rsidRDefault="00490A95" w:rsidP="002837E3">
      <w:pPr>
        <w:spacing w:after="240"/>
      </w:pPr>
      <w:r>
        <w:t xml:space="preserve">Describe </w:t>
      </w:r>
      <w:r w:rsidR="008827D6">
        <w:t xml:space="preserve">any </w:t>
      </w:r>
      <w:r>
        <w:t xml:space="preserve">QC methods </w:t>
      </w:r>
    </w:p>
    <w:p w:rsidR="005911AC" w:rsidRDefault="005911AC" w:rsidP="002837E3">
      <w:pPr>
        <w:spacing w:after="240"/>
      </w:pPr>
      <w:r>
        <w:t>RoPR records which are either missing required data elements or have invalid entries (e.g. an email address in a non-standard format), will not be able to be released for view on the RoPR search site. The RoPR will clearly display errors for any such missing or invalid data elements. Additional prompts for incomplete records will display for the respondent on attempting to release a record with errors.</w:t>
      </w:r>
    </w:p>
    <w:p w:rsidR="00490A95" w:rsidRDefault="00934D9B" w:rsidP="002837E3">
      <w:pPr>
        <w:spacing w:after="240"/>
      </w:pPr>
      <w:r>
        <w:t xml:space="preserve">Respondents who register a study in the RoPR will be contacted via email if their registry record has not been updated for one year.  The RoPR system will send them an automated email message informing them that it has been one year since their registry record was updated, and prompting them to return to the RoPR website, review their registry record, and update it if necessary.  The text of this email </w:t>
      </w:r>
      <w:r w:rsidR="00FE7884">
        <w:t>follows</w:t>
      </w:r>
      <w:r>
        <w:t>.  It is estimated that the time burden for reviewing and updating a registry record will be about 15 minutes.</w:t>
      </w:r>
    </w:p>
    <w:p w:rsidR="00FE7884" w:rsidRDefault="00FE7884" w:rsidP="002837E3">
      <w:pPr>
        <w:spacing w:after="240"/>
      </w:pPr>
      <w:r>
        <w:t>Automated email message text:</w:t>
      </w:r>
    </w:p>
    <w:p w:rsidR="00FE7884" w:rsidRDefault="00FE7884" w:rsidP="00FE7884">
      <w:pPr>
        <w:ind w:left="720"/>
      </w:pPr>
      <w:r>
        <w:lastRenderedPageBreak/>
        <w:t>To:  [Registry Holder]</w:t>
      </w:r>
    </w:p>
    <w:p w:rsidR="00FE7884" w:rsidRDefault="00FE7884" w:rsidP="00FE7884">
      <w:pPr>
        <w:ind w:left="720"/>
      </w:pPr>
      <w:r>
        <w:t>From:  [</w:t>
      </w:r>
      <w:proofErr w:type="spellStart"/>
      <w:r>
        <w:t>RoPR@tbd</w:t>
      </w:r>
      <w:proofErr w:type="spellEnd"/>
      <w:r>
        <w:t>]</w:t>
      </w:r>
    </w:p>
    <w:p w:rsidR="00FE7884" w:rsidRDefault="00FE7884" w:rsidP="00FE7884">
      <w:pPr>
        <w:ind w:left="720"/>
      </w:pPr>
      <w:r>
        <w:t xml:space="preserve">Subject:  RoPR Record [Registry Title] </w:t>
      </w:r>
    </w:p>
    <w:p w:rsidR="00FE7884" w:rsidRDefault="00FE7884" w:rsidP="00FE7884">
      <w:pPr>
        <w:ind w:left="720"/>
      </w:pPr>
    </w:p>
    <w:p w:rsidR="00FE7884" w:rsidRPr="00FE7884" w:rsidRDefault="00FE7884" w:rsidP="00FE7884">
      <w:pPr>
        <w:ind w:left="720"/>
        <w:rPr>
          <w:i/>
        </w:rPr>
      </w:pPr>
      <w:r w:rsidRPr="00FE7884">
        <w:rPr>
          <w:i/>
        </w:rPr>
        <w:t>Body:</w:t>
      </w:r>
    </w:p>
    <w:p w:rsidR="00FE7884" w:rsidRDefault="00FE7884" w:rsidP="00FE7884">
      <w:pPr>
        <w:ind w:left="720"/>
      </w:pPr>
      <w:r>
        <w:t>To Whom It May Concern:</w:t>
      </w:r>
    </w:p>
    <w:p w:rsidR="00FE7884" w:rsidRDefault="00FE7884" w:rsidP="00FE7884">
      <w:pPr>
        <w:ind w:left="720"/>
      </w:pPr>
    </w:p>
    <w:p w:rsidR="00FE7884" w:rsidRDefault="00FE7884" w:rsidP="00FE7884">
      <w:pPr>
        <w:ind w:left="720"/>
      </w:pPr>
      <w:r>
        <w:t>The record [Registry Title], currently posted on RoPR (The Registry of Patient Registries] has not been updated in one year.</w:t>
      </w:r>
    </w:p>
    <w:p w:rsidR="00FE7884" w:rsidRDefault="00FE7884" w:rsidP="00FE7884">
      <w:pPr>
        <w:ind w:left="720"/>
      </w:pPr>
    </w:p>
    <w:p w:rsidR="00FE7884" w:rsidRDefault="00FE7884" w:rsidP="00FE7884">
      <w:pPr>
        <w:ind w:left="720"/>
      </w:pPr>
      <w:r>
        <w:t xml:space="preserve">Please log into PRS at </w:t>
      </w:r>
      <w:r w:rsidR="00335721" w:rsidRPr="00335721">
        <w:t>https://register.clinicaltrials.gov/</w:t>
      </w:r>
      <w:r>
        <w:t xml:space="preserve"> to make any updates to the ClinicalTrials.gov record as necessary.  From the links present on either the Study Design section or the Release page of PRS, please navigate to the RoPR Registration System and make any updates to your RoPR record.</w:t>
      </w:r>
    </w:p>
    <w:p w:rsidR="00FE7884" w:rsidRDefault="00FE7884" w:rsidP="00FE7884">
      <w:pPr>
        <w:ind w:left="720"/>
      </w:pPr>
    </w:p>
    <w:p w:rsidR="00FE7884" w:rsidRDefault="00FE7884" w:rsidP="00FE7884">
      <w:pPr>
        <w:ind w:left="720"/>
      </w:pPr>
      <w:r>
        <w:t xml:space="preserve">If no updates are made to the record after </w:t>
      </w:r>
      <w:r w:rsidR="00CD36A1">
        <w:t>four</w:t>
      </w:r>
      <w:r>
        <w:t xml:space="preserve"> years, it will be set to an Archived status.  Archived records will still be available on the RoPR search site, but </w:t>
      </w:r>
      <w:r w:rsidR="00CD36A1">
        <w:t>the public may choose to filter them out of</w:t>
      </w:r>
      <w:r>
        <w:t xml:space="preserve"> search </w:t>
      </w:r>
      <w:r w:rsidR="00CD36A1">
        <w:t>results</w:t>
      </w:r>
      <w:r>
        <w:t>.</w:t>
      </w:r>
    </w:p>
    <w:p w:rsidR="00FE7884" w:rsidRDefault="00FE7884" w:rsidP="00FE7884">
      <w:pPr>
        <w:ind w:left="720"/>
      </w:pPr>
    </w:p>
    <w:p w:rsidR="00FE7884" w:rsidRDefault="00FE7884" w:rsidP="00FE7884">
      <w:pPr>
        <w:ind w:left="720"/>
      </w:pPr>
      <w:r>
        <w:t>Thank you for your support,</w:t>
      </w:r>
    </w:p>
    <w:p w:rsidR="00FE7884" w:rsidRDefault="00FE7884" w:rsidP="00FE7884">
      <w:pPr>
        <w:ind w:left="720"/>
      </w:pPr>
      <w:r>
        <w:t>The RoPR team</w:t>
      </w:r>
    </w:p>
    <w:p w:rsidR="00FE7884" w:rsidRDefault="00FE7884" w:rsidP="002837E3">
      <w:pPr>
        <w:spacing w:after="240"/>
      </w:pPr>
    </w:p>
    <w:p w:rsidR="00CF779D" w:rsidRDefault="007103BD" w:rsidP="002837E3">
      <w:pPr>
        <w:spacing w:after="240"/>
      </w:pPr>
      <w:r>
        <w:t>T</w:t>
      </w:r>
      <w:r w:rsidR="00CF779D">
        <w:t>he RoPR will not impute any missing data</w:t>
      </w:r>
      <w:r>
        <w:t xml:space="preserve"> for any optional data elements that are not completed</w:t>
      </w:r>
      <w:r w:rsidR="00CF779D">
        <w:t xml:space="preserve">. </w:t>
      </w:r>
    </w:p>
    <w:p w:rsidR="005453AD" w:rsidRDefault="00C32AA3" w:rsidP="005453AD">
      <w:r>
        <w:t>Because of the nature of the RoPR –</w:t>
      </w:r>
      <w:r w:rsidR="00521574">
        <w:t xml:space="preserve"> it will be an optional, publicly-available, </w:t>
      </w:r>
      <w:r w:rsidR="00521574" w:rsidRPr="001815F9">
        <w:t xml:space="preserve">central point of collection for </w:t>
      </w:r>
      <w:r w:rsidR="00521574">
        <w:t xml:space="preserve">information about </w:t>
      </w:r>
      <w:r w:rsidR="00521574" w:rsidRPr="001815F9">
        <w:t>patient registries in the United States</w:t>
      </w:r>
      <w:r w:rsidR="00521574">
        <w:t xml:space="preserve"> – there is no need </w:t>
      </w:r>
      <w:r w:rsidR="003438C7">
        <w:t xml:space="preserve">to reach </w:t>
      </w:r>
      <w:r w:rsidR="00521574">
        <w:t xml:space="preserve">a particular “sample size” of respondents that would power analysis around answering </w:t>
      </w:r>
      <w:r w:rsidR="003438C7">
        <w:t>a particular</w:t>
      </w:r>
      <w:r w:rsidR="00521574">
        <w:t xml:space="preserve"> research question.  </w:t>
      </w:r>
    </w:p>
    <w:p w:rsidR="00FD38CE" w:rsidRDefault="00FD38CE" w:rsidP="005453AD"/>
    <w:p w:rsidR="005453AD" w:rsidRDefault="005453AD" w:rsidP="005453AD">
      <w:pPr>
        <w:pStyle w:val="Heading2"/>
        <w:spacing w:before="0" w:after="0"/>
        <w:rPr>
          <w:sz w:val="24"/>
        </w:rPr>
      </w:pPr>
      <w:bookmarkStart w:id="9" w:name="_Toc151782201"/>
      <w:bookmarkStart w:id="10" w:name="_Toc158526237"/>
      <w:bookmarkStart w:id="11" w:name="_Toc310582381"/>
      <w:r w:rsidRPr="001D0454">
        <w:rPr>
          <w:sz w:val="24"/>
        </w:rPr>
        <w:t>3. Methods to Maximize Response Rates</w:t>
      </w:r>
      <w:bookmarkEnd w:id="9"/>
      <w:bookmarkEnd w:id="10"/>
      <w:bookmarkEnd w:id="11"/>
    </w:p>
    <w:p w:rsidR="003438C7" w:rsidRPr="00037EC5" w:rsidRDefault="003438C7" w:rsidP="00AE71CB">
      <w:r w:rsidRPr="00037EC5">
        <w:t xml:space="preserve">As described above, the RoPR will not be a data collection effort aimed at answering a specific research question.  </w:t>
      </w:r>
      <w:r w:rsidR="001971E9" w:rsidRPr="00037EC5">
        <w:t>Therefore</w:t>
      </w:r>
      <w:r w:rsidRPr="00037EC5">
        <w:t>,</w:t>
      </w:r>
      <w:r w:rsidR="001971E9" w:rsidRPr="00037EC5">
        <w:t xml:space="preserve"> there is no need for a particular sample size of respondents to power analysis of respondent data.  Nonetheless, AHRQ is committed to maximizing response rates by lowering respondent burden and raising awareness of RoPR as a resource for registry holders and seekers of information about registr</w:t>
      </w:r>
      <w:r w:rsidR="007511A2">
        <w:t>ies</w:t>
      </w:r>
      <w:r w:rsidR="001971E9" w:rsidRPr="00037EC5">
        <w:t>.</w:t>
      </w:r>
      <w:r w:rsidRPr="00037EC5">
        <w:t xml:space="preserve"> </w:t>
      </w:r>
      <w:r w:rsidR="001971E9" w:rsidRPr="00037EC5">
        <w:t xml:space="preserve">AHRQ’s efforts to lower the response burden have been discussed in Part A of this supporting statement.  AHRQ has attempted to raise public awareness of the RoPR by affiliating it with ClinicalTrials.gov, which will have a similar (although not identical) user base as the RoPR. </w:t>
      </w:r>
      <w:r w:rsidR="00B857C6">
        <w:t xml:space="preserve">The National Library of Medicine will add new data elements to ClinicalTrials.gov to support Patient Registry records </w:t>
      </w:r>
      <w:r w:rsidR="00FE7884">
        <w:t>and their data element definiti</w:t>
      </w:r>
      <w:r w:rsidR="00B857C6">
        <w:t xml:space="preserve">ons will serve as means to make their community aware of the RoPR. </w:t>
      </w:r>
      <w:r w:rsidR="006C6193">
        <w:t>Additional awareness may be achieved via actions described below under Potential Outreach Activities.</w:t>
      </w:r>
    </w:p>
    <w:p w:rsidR="003438C7" w:rsidRDefault="003438C7" w:rsidP="00AE71CB">
      <w:pPr>
        <w:rPr>
          <w:color w:val="FF0000"/>
        </w:rPr>
      </w:pPr>
    </w:p>
    <w:p w:rsidR="00FD38CE" w:rsidRDefault="00AE71CB" w:rsidP="00AE71CB">
      <w:bookmarkStart w:id="12" w:name="_GoBack"/>
      <w:bookmarkEnd w:id="12"/>
      <w:r w:rsidRPr="003438C7">
        <w:lastRenderedPageBreak/>
        <w:t xml:space="preserve">Beyond inclusion and exclusion criteria, a key question is which registries (if any) will be required to be listed in the RoPR.  For this question, there are several important perspectives.  </w:t>
      </w:r>
    </w:p>
    <w:p w:rsidR="00FD38CE" w:rsidRDefault="00FD38CE" w:rsidP="00AE71CB"/>
    <w:p w:rsidR="00AE71CB" w:rsidRPr="003438C7" w:rsidRDefault="00AE71CB" w:rsidP="00AE71CB">
      <w:r w:rsidRPr="003438C7">
        <w:t>First, from a regulatory and legal perspective, the RoPR does not currently have the authority to require any registry to be listed in the RoPR system.  However, other groups could require listing of registries in the RoPR system.  For example, it is recommended that certain funding sources, such as government agencies, strongly consider requiring the listing of registries that they fund in the RoPR through their contract terms.  Such a requirement would benefit the funding agency by increasing the transparency of the registries that they fund.</w:t>
      </w:r>
      <w:r w:rsidR="007511A2">
        <w:t xml:space="preserve">  </w:t>
      </w:r>
      <w:r w:rsidRPr="003438C7">
        <w:t xml:space="preserve">    </w:t>
      </w:r>
    </w:p>
    <w:p w:rsidR="00FD38CE" w:rsidRDefault="00FD38CE" w:rsidP="007511A2"/>
    <w:p w:rsidR="00AE71CB" w:rsidRPr="003438C7" w:rsidRDefault="00AE71CB" w:rsidP="007511A2">
      <w:r w:rsidRPr="003438C7">
        <w:t xml:space="preserve">Second, the issue </w:t>
      </w:r>
      <w:r w:rsidR="007511A2">
        <w:t>can also be</w:t>
      </w:r>
      <w:r w:rsidR="007511A2" w:rsidRPr="003438C7">
        <w:t xml:space="preserve"> </w:t>
      </w:r>
      <w:r w:rsidRPr="003438C7">
        <w:t>considered from a health care journal perspective</w:t>
      </w:r>
      <w:r w:rsidR="007511A2">
        <w:t>,</w:t>
      </w:r>
      <w:r w:rsidRPr="003438C7">
        <w:t xml:space="preserve"> since the decision by the International Committee of Medical Journal Editors to require ClinicalTrials.gov listing of interventional studies for publication as part of their Uniform Requirements for Manuscripts policy was critical to the rapid growth of ClinicalTrials.gov as a trials registry.</w:t>
      </w:r>
      <w:r w:rsidRPr="003438C7">
        <w:rPr>
          <w:rStyle w:val="Heading4Char"/>
        </w:rPr>
        <w:t xml:space="preserve"> </w:t>
      </w:r>
      <w:r w:rsidRPr="003438C7">
        <w:rPr>
          <w:rStyle w:val="FootnoteReference"/>
        </w:rPr>
        <w:footnoteReference w:id="1"/>
      </w:r>
      <w:r w:rsidRPr="003438C7">
        <w:rPr>
          <w:vertAlign w:val="superscript"/>
        </w:rPr>
        <w:t>,</w:t>
      </w:r>
      <w:r w:rsidRPr="003438C7">
        <w:rPr>
          <w:rStyle w:val="FootnoteReference"/>
        </w:rPr>
        <w:footnoteReference w:id="2"/>
      </w:r>
      <w:r w:rsidRPr="003438C7">
        <w:t xml:space="preserve">  While it is a clear advantage to both reviewers and publishers of peer-reviewed journals to have patient registries listed in the RoPR, the predominant view of the editors participating in the development of these </w:t>
      </w:r>
      <w:r w:rsidR="00037EC5">
        <w:t>the RoPR</w:t>
      </w:r>
      <w:r w:rsidR="00037EC5" w:rsidRPr="003438C7">
        <w:t xml:space="preserve"> </w:t>
      </w:r>
      <w:r w:rsidRPr="003438C7">
        <w:t xml:space="preserve">policies and procedures is that the compelling moral rationale that justified requiring registration of interventional trials does not exist for observational studies.  </w:t>
      </w:r>
    </w:p>
    <w:p w:rsidR="009F0ADE" w:rsidRDefault="00AE71CB" w:rsidP="00AE71CB">
      <w:r w:rsidRPr="003438C7">
        <w:t xml:space="preserve">Despite the lack of requirements, there are very strong motivations for registry holders to list their registries.  </w:t>
      </w:r>
    </w:p>
    <w:p w:rsidR="009F0ADE" w:rsidRDefault="009F0ADE" w:rsidP="00AE71CB"/>
    <w:p w:rsidR="00AE71CB" w:rsidRPr="003438C7" w:rsidRDefault="00AE71CB" w:rsidP="00AE71CB">
      <w:r w:rsidRPr="003438C7">
        <w:t>Some of the specific motivations cited by stakeholders include:</w:t>
      </w:r>
    </w:p>
    <w:p w:rsidR="00AE71CB" w:rsidRPr="009F0ADE" w:rsidRDefault="00FD38CE" w:rsidP="009F0ADE">
      <w:pPr>
        <w:pStyle w:val="ListParagraph"/>
        <w:numPr>
          <w:ilvl w:val="0"/>
          <w:numId w:val="9"/>
        </w:numPr>
        <w:rPr>
          <w:rFonts w:ascii="Times New Roman" w:hAnsi="Times New Roman"/>
          <w:sz w:val="24"/>
          <w:szCs w:val="24"/>
        </w:rPr>
      </w:pPr>
      <w:r w:rsidRPr="009F0ADE">
        <w:rPr>
          <w:rFonts w:ascii="Times New Roman" w:hAnsi="Times New Roman"/>
          <w:sz w:val="24"/>
          <w:szCs w:val="24"/>
        </w:rPr>
        <w:t>To contribute</w:t>
      </w:r>
      <w:r w:rsidR="00AE71CB" w:rsidRPr="009F0ADE">
        <w:rPr>
          <w:rFonts w:ascii="Times New Roman" w:hAnsi="Times New Roman"/>
          <w:sz w:val="24"/>
          <w:szCs w:val="24"/>
        </w:rPr>
        <w:t xml:space="preserve"> to the common good</w:t>
      </w:r>
      <w:r w:rsidR="007511A2" w:rsidRPr="009F0ADE">
        <w:rPr>
          <w:rFonts w:ascii="Times New Roman" w:hAnsi="Times New Roman"/>
          <w:sz w:val="24"/>
          <w:szCs w:val="24"/>
        </w:rPr>
        <w:t xml:space="preserve">; </w:t>
      </w:r>
    </w:p>
    <w:p w:rsidR="00AE71CB" w:rsidRPr="009F0ADE" w:rsidRDefault="00AE71CB" w:rsidP="009F0ADE">
      <w:pPr>
        <w:pStyle w:val="ListParagraph"/>
        <w:numPr>
          <w:ilvl w:val="0"/>
          <w:numId w:val="9"/>
        </w:numPr>
        <w:rPr>
          <w:rFonts w:ascii="Times New Roman" w:hAnsi="Times New Roman"/>
          <w:sz w:val="24"/>
          <w:szCs w:val="24"/>
        </w:rPr>
      </w:pPr>
      <w:r w:rsidRPr="009F0ADE">
        <w:rPr>
          <w:rFonts w:ascii="Times New Roman" w:hAnsi="Times New Roman"/>
          <w:sz w:val="24"/>
          <w:szCs w:val="24"/>
        </w:rPr>
        <w:t>To increa</w:t>
      </w:r>
      <w:r w:rsidR="00FD38CE" w:rsidRPr="009F0ADE">
        <w:rPr>
          <w:rFonts w:ascii="Times New Roman" w:hAnsi="Times New Roman"/>
          <w:sz w:val="24"/>
          <w:szCs w:val="24"/>
        </w:rPr>
        <w:t>s</w:t>
      </w:r>
      <w:r w:rsidRPr="009F0ADE">
        <w:rPr>
          <w:rFonts w:ascii="Times New Roman" w:hAnsi="Times New Roman"/>
          <w:sz w:val="24"/>
          <w:szCs w:val="24"/>
        </w:rPr>
        <w:t>e general awareness about the existence of the registry, which may support the registry’s goals or the goals of the sponsoring organizations</w:t>
      </w:r>
      <w:r w:rsidR="00FD38CE" w:rsidRPr="009F0ADE">
        <w:rPr>
          <w:rFonts w:ascii="Times New Roman" w:hAnsi="Times New Roman"/>
          <w:sz w:val="24"/>
          <w:szCs w:val="24"/>
        </w:rPr>
        <w:t>;</w:t>
      </w:r>
    </w:p>
    <w:p w:rsidR="00AE71CB" w:rsidRPr="009F0ADE" w:rsidRDefault="00AE71CB" w:rsidP="009F0ADE">
      <w:pPr>
        <w:pStyle w:val="ListParagraph"/>
        <w:numPr>
          <w:ilvl w:val="0"/>
          <w:numId w:val="9"/>
        </w:numPr>
        <w:rPr>
          <w:rFonts w:ascii="Times New Roman" w:hAnsi="Times New Roman"/>
          <w:sz w:val="24"/>
          <w:szCs w:val="24"/>
        </w:rPr>
      </w:pPr>
      <w:r w:rsidRPr="009F0ADE">
        <w:rPr>
          <w:rFonts w:ascii="Times New Roman" w:hAnsi="Times New Roman"/>
          <w:sz w:val="24"/>
          <w:szCs w:val="24"/>
        </w:rPr>
        <w:t>To increase awareness of the registry in order to improve investigator and, in some cases, participant enrollment, which could reduce time to completion for time-sensitive registries</w:t>
      </w:r>
      <w:r w:rsidR="007511A2" w:rsidRPr="009F0ADE">
        <w:rPr>
          <w:rFonts w:ascii="Times New Roman" w:hAnsi="Times New Roman"/>
          <w:sz w:val="24"/>
          <w:szCs w:val="24"/>
        </w:rPr>
        <w:t>;</w:t>
      </w:r>
    </w:p>
    <w:p w:rsidR="00AE71CB" w:rsidRPr="009F0ADE" w:rsidRDefault="00AE71CB" w:rsidP="009F0ADE">
      <w:pPr>
        <w:pStyle w:val="ListParagraph"/>
        <w:numPr>
          <w:ilvl w:val="0"/>
          <w:numId w:val="9"/>
        </w:numPr>
        <w:rPr>
          <w:rFonts w:ascii="Times New Roman" w:hAnsi="Times New Roman"/>
          <w:sz w:val="24"/>
          <w:szCs w:val="24"/>
        </w:rPr>
      </w:pPr>
      <w:r w:rsidRPr="009F0ADE">
        <w:rPr>
          <w:rFonts w:ascii="Times New Roman" w:hAnsi="Times New Roman"/>
          <w:sz w:val="24"/>
          <w:szCs w:val="24"/>
        </w:rPr>
        <w:t>To find other groups with whom to collaborate</w:t>
      </w:r>
      <w:r w:rsidR="00FD38CE" w:rsidRPr="009F0ADE">
        <w:rPr>
          <w:rFonts w:ascii="Times New Roman" w:hAnsi="Times New Roman"/>
          <w:sz w:val="24"/>
          <w:szCs w:val="24"/>
        </w:rPr>
        <w:t>;</w:t>
      </w:r>
    </w:p>
    <w:p w:rsidR="00AE71CB" w:rsidRPr="009F0ADE" w:rsidRDefault="00AE71CB" w:rsidP="009F0ADE">
      <w:pPr>
        <w:pStyle w:val="ListParagraph"/>
        <w:numPr>
          <w:ilvl w:val="0"/>
          <w:numId w:val="9"/>
        </w:numPr>
        <w:rPr>
          <w:rFonts w:ascii="Times New Roman" w:hAnsi="Times New Roman"/>
          <w:sz w:val="24"/>
          <w:szCs w:val="24"/>
        </w:rPr>
      </w:pPr>
      <w:r w:rsidRPr="009F0ADE">
        <w:rPr>
          <w:rFonts w:ascii="Times New Roman" w:hAnsi="Times New Roman"/>
          <w:sz w:val="24"/>
          <w:szCs w:val="24"/>
        </w:rPr>
        <w:t>To facilitate research</w:t>
      </w:r>
      <w:r w:rsidR="007511A2" w:rsidRPr="009F0ADE">
        <w:rPr>
          <w:rFonts w:ascii="Times New Roman" w:hAnsi="Times New Roman"/>
          <w:sz w:val="24"/>
          <w:szCs w:val="24"/>
        </w:rPr>
        <w:t xml:space="preserve">; and </w:t>
      </w:r>
    </w:p>
    <w:p w:rsidR="0080126E" w:rsidRDefault="00AE71CB" w:rsidP="009F0ADE">
      <w:pPr>
        <w:pStyle w:val="ListParagraph"/>
        <w:numPr>
          <w:ilvl w:val="0"/>
          <w:numId w:val="9"/>
        </w:numPr>
        <w:rPr>
          <w:rFonts w:ascii="Times New Roman" w:hAnsi="Times New Roman"/>
          <w:sz w:val="24"/>
          <w:szCs w:val="24"/>
          <w:lang w:bidi="ar-SA"/>
        </w:rPr>
      </w:pPr>
      <w:r w:rsidRPr="009F0ADE">
        <w:rPr>
          <w:rFonts w:ascii="Times New Roman" w:hAnsi="Times New Roman"/>
          <w:sz w:val="24"/>
          <w:szCs w:val="24"/>
          <w:lang w:bidi="ar-SA"/>
        </w:rPr>
        <w:t>To meet requirements that may exist as a condition of funding.</w:t>
      </w:r>
    </w:p>
    <w:p w:rsidR="00AE71CB" w:rsidRPr="0080126E" w:rsidRDefault="0080126E" w:rsidP="0080126E">
      <w:r w:rsidRPr="0080126E">
        <w:t xml:space="preserve">Stakeholders also noted that, as more patient registries are listed over time, the RoPR will likely become the key source for identifying registries for systematic reviews and </w:t>
      </w:r>
      <w:proofErr w:type="gramStart"/>
      <w:r w:rsidRPr="0080126E">
        <w:t>meta</w:t>
      </w:r>
      <w:proofErr w:type="gramEnd"/>
      <w:r w:rsidRPr="0080126E">
        <w:t xml:space="preserve"> analyses.  Therefore, listing will be increasingly important for a registry to have an impact on evidence development.</w:t>
      </w:r>
    </w:p>
    <w:p w:rsidR="00AE71CB" w:rsidRPr="009F0ADE" w:rsidRDefault="00AE71CB" w:rsidP="00AE71CB">
      <w:pPr>
        <w:pStyle w:val="Heading3"/>
        <w:keepLines/>
        <w:spacing w:before="200" w:after="0" w:line="276" w:lineRule="auto"/>
      </w:pPr>
      <w:bookmarkStart w:id="13" w:name="_Toc308706693"/>
      <w:bookmarkStart w:id="14" w:name="_Toc310582382"/>
      <w:r w:rsidRPr="009F0ADE">
        <w:lastRenderedPageBreak/>
        <w:t>Additional Incentives for Consideration</w:t>
      </w:r>
      <w:bookmarkEnd w:id="13"/>
      <w:bookmarkEnd w:id="14"/>
    </w:p>
    <w:p w:rsidR="00AE71CB" w:rsidRPr="003438C7" w:rsidRDefault="00AE71CB" w:rsidP="00AE71CB">
      <w:r w:rsidRPr="003438C7">
        <w:t>In discussions with stakeholders, it became clear that there are several explicit incentives that could be established to motivate registry holders to list their registries in the RoPR.  For example, the RoPR could provide tools that give direct benefit to listed registries, such as notifications when the listed registry is included in a publication posted on PubMed; updates about other similar registries as they are posted on the RoPR; or tools that enable and facilitate collaboration opportunities between interested organizations and the listed registries.  The RoPR could also offer a ‘community of practice’ program (e.g., a learning network) to support registry holders in improving the registries listed in the RoPR and/or developing new registries.  As described earlier, funding organizations, both public and private, might require registration as part of their funding agreements.  This might be justified by the likelihood that visibility in the RoPR may improve the overall evidentiary impact of the funded registry.  Negative incentives might also be established by journals, institutional review boards, Congress, or others.  Such negative incentives are viewed as less likely to be enacted.</w:t>
      </w:r>
    </w:p>
    <w:p w:rsidR="00AE71CB" w:rsidRPr="003438C7" w:rsidRDefault="00AE71CB" w:rsidP="00AE71CB">
      <w:pPr>
        <w:pStyle w:val="Heading3"/>
        <w:keepLines/>
        <w:spacing w:before="200" w:after="0" w:line="276" w:lineRule="auto"/>
      </w:pPr>
      <w:bookmarkStart w:id="15" w:name="_Toc308706694"/>
      <w:bookmarkStart w:id="16" w:name="_Toc310582383"/>
      <w:r w:rsidRPr="003438C7">
        <w:t>Potential Outreach Activities</w:t>
      </w:r>
      <w:bookmarkEnd w:id="15"/>
      <w:bookmarkEnd w:id="16"/>
    </w:p>
    <w:p w:rsidR="00AE71CB" w:rsidRPr="003438C7" w:rsidRDefault="00AE71CB" w:rsidP="00AE71CB">
      <w:pPr>
        <w:spacing w:after="120"/>
      </w:pPr>
      <w:r w:rsidRPr="003438C7">
        <w:t>The RoPR would benefit from a targeted campaign after launch to generate awareness of the system and urgency to register.  The utility of the system for registry seekers will depend on the number of registries that are listed.  Therefore, the initial campaign would need to reach a broad set of current and future registry holders and secondarily, likely users of the RoPR system.  Stakeholders suggested a number of activities that could be undertaken, such as:</w:t>
      </w:r>
    </w:p>
    <w:p w:rsidR="00AE71CB" w:rsidRPr="00FD38CE" w:rsidRDefault="00AE71CB" w:rsidP="00AE71CB">
      <w:pPr>
        <w:pStyle w:val="ListParagraph"/>
        <w:numPr>
          <w:ilvl w:val="0"/>
          <w:numId w:val="8"/>
        </w:numPr>
        <w:rPr>
          <w:rFonts w:ascii="Times New Roman" w:hAnsi="Times New Roman"/>
        </w:rPr>
      </w:pPr>
      <w:r w:rsidRPr="00FD38CE">
        <w:rPr>
          <w:rFonts w:ascii="Times New Roman" w:hAnsi="Times New Roman"/>
        </w:rPr>
        <w:t xml:space="preserve">Soliciting organizations with likely registry holders as members, including the Council of Medical Specialty Societies; International Society for </w:t>
      </w:r>
      <w:proofErr w:type="spellStart"/>
      <w:r w:rsidRPr="00FD38CE">
        <w:rPr>
          <w:rFonts w:ascii="Times New Roman" w:hAnsi="Times New Roman"/>
        </w:rPr>
        <w:t>Pharmacoeconomics</w:t>
      </w:r>
      <w:proofErr w:type="spellEnd"/>
      <w:r w:rsidRPr="00FD38CE">
        <w:rPr>
          <w:rFonts w:ascii="Times New Roman" w:hAnsi="Times New Roman"/>
        </w:rPr>
        <w:t xml:space="preserve"> and Outcomes Research (ISPOR); International Society for </w:t>
      </w:r>
      <w:proofErr w:type="spellStart"/>
      <w:r w:rsidRPr="00FD38CE">
        <w:rPr>
          <w:rFonts w:ascii="Times New Roman" w:hAnsi="Times New Roman"/>
        </w:rPr>
        <w:t>Pharmacoepidemiology</w:t>
      </w:r>
      <w:proofErr w:type="spellEnd"/>
      <w:r w:rsidRPr="00FD38CE">
        <w:rPr>
          <w:rFonts w:ascii="Times New Roman" w:hAnsi="Times New Roman"/>
        </w:rPr>
        <w:t xml:space="preserve"> (ISPE); manufacturer trade associations (e.g., Pharmaceutical Research and Manufacturers of America (</w:t>
      </w:r>
      <w:proofErr w:type="spellStart"/>
      <w:r w:rsidRPr="00FD38CE">
        <w:rPr>
          <w:rFonts w:ascii="Times New Roman" w:hAnsi="Times New Roman"/>
        </w:rPr>
        <w:t>PhRMA</w:t>
      </w:r>
      <w:proofErr w:type="spellEnd"/>
      <w:r w:rsidRPr="00FD38CE">
        <w:rPr>
          <w:rFonts w:ascii="Times New Roman" w:hAnsi="Times New Roman"/>
        </w:rPr>
        <w:t xml:space="preserve">), </w:t>
      </w:r>
      <w:proofErr w:type="spellStart"/>
      <w:r w:rsidRPr="00FD38CE">
        <w:rPr>
          <w:rFonts w:ascii="Times New Roman" w:hAnsi="Times New Roman"/>
        </w:rPr>
        <w:t>AdvaMed</w:t>
      </w:r>
      <w:proofErr w:type="spellEnd"/>
      <w:r w:rsidRPr="00FD38CE">
        <w:rPr>
          <w:rFonts w:ascii="Times New Roman" w:hAnsi="Times New Roman"/>
        </w:rPr>
        <w:t>, Drug Information Association (DIA)); associations of patient organizations; academic institutions; public health agencies; and government agencies (e.g., National Institutes of Health (NIH), Food and Drug Administration (FDA), Centers for Disease Control and Prevention (CDC)).</w:t>
      </w:r>
    </w:p>
    <w:p w:rsidR="00AE71CB" w:rsidRPr="00FD38CE" w:rsidRDefault="00AE71CB" w:rsidP="00AE71CB">
      <w:pPr>
        <w:pStyle w:val="ListParagraph"/>
        <w:numPr>
          <w:ilvl w:val="0"/>
          <w:numId w:val="8"/>
        </w:numPr>
        <w:rPr>
          <w:rFonts w:ascii="Times New Roman" w:hAnsi="Times New Roman"/>
        </w:rPr>
      </w:pPr>
      <w:r w:rsidRPr="00FD38CE">
        <w:rPr>
          <w:rFonts w:ascii="Times New Roman" w:hAnsi="Times New Roman"/>
        </w:rPr>
        <w:t>Performing research on existing registries through standard sources and soliciting those registry holders to participate.</w:t>
      </w:r>
    </w:p>
    <w:p w:rsidR="00AE71CB" w:rsidRPr="00FD38CE" w:rsidRDefault="00AE71CB" w:rsidP="00AE71CB">
      <w:pPr>
        <w:pStyle w:val="ListParagraph"/>
        <w:numPr>
          <w:ilvl w:val="0"/>
          <w:numId w:val="8"/>
        </w:numPr>
        <w:rPr>
          <w:rFonts w:ascii="Times New Roman" w:hAnsi="Times New Roman"/>
        </w:rPr>
      </w:pPr>
      <w:r w:rsidRPr="00FD38CE">
        <w:rPr>
          <w:rFonts w:ascii="Times New Roman" w:hAnsi="Times New Roman"/>
        </w:rPr>
        <w:t>Presenting the RoPR at conferences attended by registry developers and sponsors and researchers who may be interested in using the RoPR.</w:t>
      </w:r>
    </w:p>
    <w:p w:rsidR="00AE71CB" w:rsidRPr="009F0ADE" w:rsidRDefault="00AE71CB" w:rsidP="00AE71CB">
      <w:pPr>
        <w:pStyle w:val="ListParagraph"/>
        <w:numPr>
          <w:ilvl w:val="0"/>
          <w:numId w:val="8"/>
        </w:numPr>
        <w:rPr>
          <w:rFonts w:ascii="Times New Roman" w:hAnsi="Times New Roman"/>
        </w:rPr>
      </w:pPr>
      <w:r w:rsidRPr="00FD38CE">
        <w:rPr>
          <w:rFonts w:ascii="Times New Roman" w:hAnsi="Times New Roman"/>
        </w:rPr>
        <w:t>Adding a section on the RoPR to the AHRQ publication, “Registries for Evaluating Patient Outcomes:  A User’s Guide”, since it is already widely used in the community of registry developers and owners.</w:t>
      </w:r>
    </w:p>
    <w:p w:rsidR="005453AD" w:rsidRDefault="005453AD" w:rsidP="005453AD">
      <w:pPr>
        <w:jc w:val="both"/>
        <w:rPr>
          <w:highlight w:val="lightGray"/>
        </w:rPr>
      </w:pPr>
    </w:p>
    <w:p w:rsidR="005453AD" w:rsidRPr="00A265FD" w:rsidRDefault="005453AD" w:rsidP="005453AD">
      <w:pPr>
        <w:pStyle w:val="Heading2"/>
        <w:spacing w:before="0" w:after="0"/>
        <w:rPr>
          <w:sz w:val="24"/>
        </w:rPr>
      </w:pPr>
      <w:bookmarkStart w:id="17" w:name="_Toc151782202"/>
      <w:bookmarkStart w:id="18" w:name="_Toc158526238"/>
      <w:bookmarkStart w:id="19" w:name="_Toc310582384"/>
      <w:r w:rsidRPr="001D0454">
        <w:rPr>
          <w:sz w:val="24"/>
        </w:rPr>
        <w:t>4. Tests of Procedures</w:t>
      </w:r>
      <w:bookmarkStart w:id="20" w:name="_Toc151782203"/>
      <w:bookmarkStart w:id="21" w:name="_Toc158526239"/>
      <w:bookmarkEnd w:id="17"/>
      <w:bookmarkEnd w:id="18"/>
      <w:bookmarkEnd w:id="19"/>
    </w:p>
    <w:p w:rsidR="00037EC5" w:rsidRPr="00037EC5" w:rsidRDefault="00037EC5" w:rsidP="009F0ADE">
      <w:pPr>
        <w:spacing w:after="100" w:afterAutospacing="1"/>
        <w:rPr>
          <w:i/>
        </w:rPr>
      </w:pPr>
      <w:r>
        <w:t xml:space="preserve">As part of the RoPR development process, </w:t>
      </w:r>
      <w:r w:rsidR="00E85588">
        <w:t>usability testing</w:t>
      </w:r>
      <w:r>
        <w:t xml:space="preserve"> was conducted</w:t>
      </w:r>
      <w:r w:rsidR="00E85588">
        <w:t xml:space="preserve"> on a prototype of the data collection system</w:t>
      </w:r>
      <w:r>
        <w:t xml:space="preserve">.  </w:t>
      </w:r>
      <w:r w:rsidR="00E85588">
        <w:t>Nine</w:t>
      </w:r>
      <w:r>
        <w:t xml:space="preserve"> individuals </w:t>
      </w:r>
      <w:r w:rsidR="001F0CDD">
        <w:t xml:space="preserve">took part in </w:t>
      </w:r>
      <w:r w:rsidR="00E85588">
        <w:t>8 separate sessions</w:t>
      </w:r>
      <w:r w:rsidR="001F0CDD">
        <w:t xml:space="preserve"> that were </w:t>
      </w:r>
      <w:r w:rsidR="00E85588">
        <w:t>a minimum of</w:t>
      </w:r>
      <w:r w:rsidR="009F0ADE">
        <w:t xml:space="preserve"> 1</w:t>
      </w:r>
      <w:r w:rsidR="00E85588">
        <w:t xml:space="preserve"> </w:t>
      </w:r>
      <w:r w:rsidR="001F0CDD">
        <w:t>hour long</w:t>
      </w:r>
      <w:r w:rsidR="00E85588">
        <w:t>.</w:t>
      </w:r>
      <w:r w:rsidR="001F0CDD">
        <w:t xml:space="preserve">  Based on feedback obtained from </w:t>
      </w:r>
      <w:r w:rsidR="00E85588">
        <w:t>these sessions</w:t>
      </w:r>
      <w:r w:rsidR="001F0CDD">
        <w:t>, changes were made to the RoPR system</w:t>
      </w:r>
      <w:r w:rsidR="00E85588">
        <w:t xml:space="preserve"> to improve navigation and ease of use</w:t>
      </w:r>
      <w:r w:rsidR="001F0CDD">
        <w:t xml:space="preserve">.  </w:t>
      </w:r>
      <w:r w:rsidR="00E85588">
        <w:t xml:space="preserve">Several changes </w:t>
      </w:r>
      <w:r w:rsidR="00E85588">
        <w:lastRenderedPageBreak/>
        <w:t xml:space="preserve">were made to the wording of the </w:t>
      </w:r>
      <w:r w:rsidR="009F0ADE">
        <w:t>data elements</w:t>
      </w:r>
      <w:r w:rsidR="00E85588">
        <w:t xml:space="preserve">, to clarify intent and improve user understanding.  All development on the RoPR system as it moves beyond the prototype is subject to software quality assurance testing, load testing, performance testing, and additional user acceptance testing.  The user acceptance testing will include a minimum of </w:t>
      </w:r>
      <w:r w:rsidR="00FD38CE">
        <w:t>12</w:t>
      </w:r>
      <w:r w:rsidR="00E85588">
        <w:t xml:space="preserve"> sessions of 5-8 stakeholders</w:t>
      </w:r>
      <w:r w:rsidR="00FD38CE">
        <w:t xml:space="preserve"> representing various actor roles to</w:t>
      </w:r>
      <w:r w:rsidR="00E85588">
        <w:t xml:space="preserve"> review different sections of the system.  Their feedback will be incorporated in an additional round of revisions to ensure ease of use, and to decrease user burden.  The documentation associated with these testing efforts will be shared with AHRQ. </w:t>
      </w:r>
    </w:p>
    <w:p w:rsidR="005453AD" w:rsidRDefault="005453AD" w:rsidP="00F34C93">
      <w:pPr>
        <w:pStyle w:val="Heading2"/>
        <w:rPr>
          <w:sz w:val="24"/>
        </w:rPr>
      </w:pPr>
      <w:bookmarkStart w:id="22" w:name="_Toc310582385"/>
      <w:r w:rsidRPr="001D0454">
        <w:rPr>
          <w:sz w:val="24"/>
        </w:rPr>
        <w:t>5. Statistical Consultants</w:t>
      </w:r>
      <w:bookmarkEnd w:id="20"/>
      <w:bookmarkEnd w:id="21"/>
      <w:bookmarkEnd w:id="22"/>
    </w:p>
    <w:p w:rsidR="001F0CDD" w:rsidRPr="001F0CDD" w:rsidRDefault="001F0CDD" w:rsidP="00F34C93">
      <w:pPr>
        <w:spacing w:after="240"/>
      </w:pPr>
      <w:r>
        <w:t>The RoPR was designed and will be built by the Outcome DEcIDE Center under contract to the Agency for Healthcare Research and Quality (AHRQ).  Outcome is contracted to maintain the RoPR system through 29 September</w:t>
      </w:r>
      <w:r w:rsidR="00A772A2">
        <w:t xml:space="preserve"> 2013.  It is not yet known who will be the entity maintaining the RoPR system past that date.</w:t>
      </w:r>
      <w:r w:rsidR="00FD38CE">
        <w:t xml:space="preserve"> The Outcome DEcIDE Center’s point of contact for the RoPR system will be the Chief Technology Officer, currently Dan Levy.</w:t>
      </w:r>
    </w:p>
    <w:p w:rsidR="00F34C93" w:rsidRPr="00F34C93" w:rsidRDefault="00F34C93" w:rsidP="00F34C93"/>
    <w:sectPr w:rsidR="00F34C93" w:rsidRPr="00F34C93" w:rsidSect="00874B68">
      <w:footerReference w:type="even" r:id="rId11"/>
      <w:footerReference w:type="default" r:id="rId12"/>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CAE" w:rsidRDefault="00FA3CAE">
      <w:r>
        <w:separator/>
      </w:r>
    </w:p>
  </w:endnote>
  <w:endnote w:type="continuationSeparator" w:id="0">
    <w:p w:rsidR="00FA3CAE" w:rsidRDefault="00FA3C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CAE" w:rsidRDefault="003868CA" w:rsidP="00874B68">
    <w:pPr>
      <w:pStyle w:val="Footer"/>
      <w:framePr w:wrap="around" w:vAnchor="text" w:hAnchor="margin" w:xAlign="center" w:y="1"/>
      <w:rPr>
        <w:rStyle w:val="PageNumber"/>
      </w:rPr>
    </w:pPr>
    <w:r>
      <w:rPr>
        <w:rStyle w:val="PageNumber"/>
      </w:rPr>
      <w:fldChar w:fldCharType="begin"/>
    </w:r>
    <w:r w:rsidR="00FA3CAE">
      <w:rPr>
        <w:rStyle w:val="PageNumber"/>
      </w:rPr>
      <w:instrText xml:space="preserve">PAGE  </w:instrText>
    </w:r>
    <w:r>
      <w:rPr>
        <w:rStyle w:val="PageNumber"/>
      </w:rPr>
      <w:fldChar w:fldCharType="end"/>
    </w:r>
  </w:p>
  <w:p w:rsidR="00FA3CAE" w:rsidRDefault="00FA3C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CAE" w:rsidRDefault="003868CA" w:rsidP="00874B68">
    <w:pPr>
      <w:pStyle w:val="Footer"/>
      <w:framePr w:wrap="around" w:vAnchor="text" w:hAnchor="margin" w:xAlign="center" w:y="1"/>
      <w:rPr>
        <w:rStyle w:val="PageNumber"/>
      </w:rPr>
    </w:pPr>
    <w:r>
      <w:rPr>
        <w:rStyle w:val="PageNumber"/>
      </w:rPr>
      <w:fldChar w:fldCharType="begin"/>
    </w:r>
    <w:r w:rsidR="00FA3CAE">
      <w:rPr>
        <w:rStyle w:val="PageNumber"/>
      </w:rPr>
      <w:instrText xml:space="preserve">PAGE  </w:instrText>
    </w:r>
    <w:r>
      <w:rPr>
        <w:rStyle w:val="PageNumber"/>
      </w:rPr>
      <w:fldChar w:fldCharType="separate"/>
    </w:r>
    <w:r w:rsidR="00761DF5">
      <w:rPr>
        <w:rStyle w:val="PageNumber"/>
        <w:noProof/>
      </w:rPr>
      <w:t>4</w:t>
    </w:r>
    <w:r>
      <w:rPr>
        <w:rStyle w:val="PageNumber"/>
      </w:rPr>
      <w:fldChar w:fldCharType="end"/>
    </w:r>
  </w:p>
  <w:p w:rsidR="00FA3CAE" w:rsidRDefault="00FA3C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CAE" w:rsidRDefault="00FA3CAE">
      <w:r>
        <w:separator/>
      </w:r>
    </w:p>
  </w:footnote>
  <w:footnote w:type="continuationSeparator" w:id="0">
    <w:p w:rsidR="00FA3CAE" w:rsidRDefault="00FA3CAE">
      <w:r>
        <w:continuationSeparator/>
      </w:r>
    </w:p>
  </w:footnote>
  <w:footnote w:id="1">
    <w:p w:rsidR="00FA3CAE" w:rsidRDefault="00FA3CAE" w:rsidP="00AE71CB">
      <w:pPr>
        <w:autoSpaceDE w:val="0"/>
        <w:autoSpaceDN w:val="0"/>
        <w:adjustRightInd w:val="0"/>
      </w:pPr>
      <w:r>
        <w:rPr>
          <w:rStyle w:val="FootnoteReference"/>
          <w:rFonts w:cs="Calibri"/>
          <w:sz w:val="20"/>
          <w:szCs w:val="20"/>
        </w:rPr>
        <w:footnoteRef/>
      </w:r>
      <w:r>
        <w:rPr>
          <w:rFonts w:cs="Calibri"/>
          <w:sz w:val="20"/>
          <w:szCs w:val="20"/>
        </w:rPr>
        <w:t xml:space="preserve"> </w:t>
      </w:r>
      <w:r>
        <w:rPr>
          <w:rFonts w:cs="Calibri"/>
          <w:bCs/>
          <w:sz w:val="20"/>
          <w:szCs w:val="20"/>
        </w:rPr>
        <w:t xml:space="preserve">Clinical Trial Registration: A Statement from the International Committee of Medical Journal Editors, </w:t>
      </w:r>
      <w:r>
        <w:rPr>
          <w:rFonts w:cs="Calibri"/>
          <w:sz w:val="20"/>
          <w:szCs w:val="20"/>
        </w:rPr>
        <w:t>(September 2004);</w:t>
      </w:r>
      <w:r>
        <w:rPr>
          <w:rFonts w:cs="Calibri"/>
          <w:bCs/>
          <w:sz w:val="20"/>
          <w:szCs w:val="20"/>
        </w:rPr>
        <w:t xml:space="preserve"> </w:t>
      </w:r>
      <w:hyperlink r:id="rId1" w:history="1">
        <w:r>
          <w:rPr>
            <w:rStyle w:val="Hyperlink"/>
            <w:rFonts w:cs="Calibri"/>
            <w:bCs/>
            <w:sz w:val="20"/>
            <w:szCs w:val="20"/>
          </w:rPr>
          <w:t>http://www.icmje.org/clin_trial.pdf</w:t>
        </w:r>
      </w:hyperlink>
      <w:r>
        <w:rPr>
          <w:rFonts w:cs="Calibri"/>
          <w:bCs/>
          <w:sz w:val="20"/>
          <w:szCs w:val="20"/>
        </w:rPr>
        <w:t>.</w:t>
      </w:r>
    </w:p>
  </w:footnote>
  <w:footnote w:id="2">
    <w:p w:rsidR="00FA3CAE" w:rsidRDefault="00FA3CAE" w:rsidP="00AE71CB">
      <w:r>
        <w:rPr>
          <w:rStyle w:val="FootnoteReference"/>
          <w:rFonts w:cs="Calibri"/>
          <w:sz w:val="20"/>
          <w:szCs w:val="20"/>
        </w:rPr>
        <w:footnoteRef/>
      </w:r>
      <w:r>
        <w:rPr>
          <w:rFonts w:cs="Calibri"/>
          <w:sz w:val="20"/>
          <w:szCs w:val="20"/>
        </w:rPr>
        <w:t xml:space="preserve"> Update on Trials Registration: Clinical Trial Registration: Looking Back and Moving Ahead, (June 2007); </w:t>
      </w:r>
      <w:hyperlink r:id="rId2" w:history="1">
        <w:r w:rsidRPr="0067538F">
          <w:rPr>
            <w:rStyle w:val="Hyperlink"/>
            <w:rFonts w:cs="Calibri"/>
            <w:sz w:val="20"/>
            <w:szCs w:val="20"/>
          </w:rPr>
          <w:t>http://www.icmje.org/update_june07.html</w:t>
        </w:r>
      </w:hyperlink>
      <w:r>
        <w:rPr>
          <w:rFonts w:cs="Calibr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32A69"/>
    <w:multiLevelType w:val="hybridMultilevel"/>
    <w:tmpl w:val="6DCC9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453D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81CFC"/>
    <w:multiLevelType w:val="hybridMultilevel"/>
    <w:tmpl w:val="431A88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CA521B"/>
    <w:multiLevelType w:val="hybridMultilevel"/>
    <w:tmpl w:val="4860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453AD"/>
    <w:rsid w:val="000028E6"/>
    <w:rsid w:val="00003726"/>
    <w:rsid w:val="00007C23"/>
    <w:rsid w:val="0001418A"/>
    <w:rsid w:val="00022B2F"/>
    <w:rsid w:val="00023905"/>
    <w:rsid w:val="0002688B"/>
    <w:rsid w:val="00027931"/>
    <w:rsid w:val="00033ED1"/>
    <w:rsid w:val="000375C3"/>
    <w:rsid w:val="00037EC5"/>
    <w:rsid w:val="00040D98"/>
    <w:rsid w:val="0004144A"/>
    <w:rsid w:val="00042F92"/>
    <w:rsid w:val="00050229"/>
    <w:rsid w:val="00053B30"/>
    <w:rsid w:val="000733EB"/>
    <w:rsid w:val="0008338A"/>
    <w:rsid w:val="00084D1F"/>
    <w:rsid w:val="000A3642"/>
    <w:rsid w:val="000B246F"/>
    <w:rsid w:val="000B2925"/>
    <w:rsid w:val="000B51D2"/>
    <w:rsid w:val="000C052D"/>
    <w:rsid w:val="000C26A4"/>
    <w:rsid w:val="000C273C"/>
    <w:rsid w:val="000D1071"/>
    <w:rsid w:val="000D68E0"/>
    <w:rsid w:val="000E5B21"/>
    <w:rsid w:val="000F1C4B"/>
    <w:rsid w:val="00100BBC"/>
    <w:rsid w:val="001277A0"/>
    <w:rsid w:val="00133642"/>
    <w:rsid w:val="0013418E"/>
    <w:rsid w:val="00144014"/>
    <w:rsid w:val="00160B30"/>
    <w:rsid w:val="001623B4"/>
    <w:rsid w:val="00172665"/>
    <w:rsid w:val="00175DB3"/>
    <w:rsid w:val="00184281"/>
    <w:rsid w:val="001851A6"/>
    <w:rsid w:val="001914B6"/>
    <w:rsid w:val="00193D98"/>
    <w:rsid w:val="001961A5"/>
    <w:rsid w:val="001971E9"/>
    <w:rsid w:val="001A5FF7"/>
    <w:rsid w:val="001B5D6F"/>
    <w:rsid w:val="001C2248"/>
    <w:rsid w:val="001C3D9E"/>
    <w:rsid w:val="001C78FD"/>
    <w:rsid w:val="001F0CDD"/>
    <w:rsid w:val="001F5E2E"/>
    <w:rsid w:val="00202661"/>
    <w:rsid w:val="0020740B"/>
    <w:rsid w:val="0021483A"/>
    <w:rsid w:val="00220C60"/>
    <w:rsid w:val="00222258"/>
    <w:rsid w:val="00224620"/>
    <w:rsid w:val="002343F0"/>
    <w:rsid w:val="0023595D"/>
    <w:rsid w:val="00240615"/>
    <w:rsid w:val="00243021"/>
    <w:rsid w:val="00250F6D"/>
    <w:rsid w:val="00260A01"/>
    <w:rsid w:val="00262FCA"/>
    <w:rsid w:val="00265C70"/>
    <w:rsid w:val="00266D37"/>
    <w:rsid w:val="00274E60"/>
    <w:rsid w:val="00277CEA"/>
    <w:rsid w:val="002837E3"/>
    <w:rsid w:val="002A5262"/>
    <w:rsid w:val="002B0F78"/>
    <w:rsid w:val="002B51BE"/>
    <w:rsid w:val="002F344F"/>
    <w:rsid w:val="003004BA"/>
    <w:rsid w:val="00307CE1"/>
    <w:rsid w:val="00314B99"/>
    <w:rsid w:val="0031502F"/>
    <w:rsid w:val="00325BC9"/>
    <w:rsid w:val="003331E9"/>
    <w:rsid w:val="003338AE"/>
    <w:rsid w:val="00335721"/>
    <w:rsid w:val="003438C7"/>
    <w:rsid w:val="00353007"/>
    <w:rsid w:val="00365067"/>
    <w:rsid w:val="00367D62"/>
    <w:rsid w:val="00381C57"/>
    <w:rsid w:val="00383034"/>
    <w:rsid w:val="00384745"/>
    <w:rsid w:val="003868CA"/>
    <w:rsid w:val="00393005"/>
    <w:rsid w:val="0039446D"/>
    <w:rsid w:val="00396B62"/>
    <w:rsid w:val="003B376A"/>
    <w:rsid w:val="003B3C70"/>
    <w:rsid w:val="003B7C56"/>
    <w:rsid w:val="003C1C77"/>
    <w:rsid w:val="003C3103"/>
    <w:rsid w:val="003C312C"/>
    <w:rsid w:val="003C6E1D"/>
    <w:rsid w:val="003C73E8"/>
    <w:rsid w:val="003D369A"/>
    <w:rsid w:val="003D3B9C"/>
    <w:rsid w:val="003D6AE8"/>
    <w:rsid w:val="003E5535"/>
    <w:rsid w:val="003F0960"/>
    <w:rsid w:val="003F223C"/>
    <w:rsid w:val="003F4F2F"/>
    <w:rsid w:val="00401B00"/>
    <w:rsid w:val="00413710"/>
    <w:rsid w:val="00415138"/>
    <w:rsid w:val="00422B2A"/>
    <w:rsid w:val="004230CE"/>
    <w:rsid w:val="00426BAE"/>
    <w:rsid w:val="00431F3A"/>
    <w:rsid w:val="0043295B"/>
    <w:rsid w:val="00451EBF"/>
    <w:rsid w:val="004543F7"/>
    <w:rsid w:val="00460D1B"/>
    <w:rsid w:val="00461D98"/>
    <w:rsid w:val="00474DB9"/>
    <w:rsid w:val="00490A95"/>
    <w:rsid w:val="0049545C"/>
    <w:rsid w:val="00497C66"/>
    <w:rsid w:val="004A0508"/>
    <w:rsid w:val="004A111A"/>
    <w:rsid w:val="004A58E2"/>
    <w:rsid w:val="004B06E4"/>
    <w:rsid w:val="004B5BD6"/>
    <w:rsid w:val="004B64D5"/>
    <w:rsid w:val="004C7F3B"/>
    <w:rsid w:val="004D6C5F"/>
    <w:rsid w:val="004F153D"/>
    <w:rsid w:val="004F1950"/>
    <w:rsid w:val="004F7C29"/>
    <w:rsid w:val="0050069A"/>
    <w:rsid w:val="0050472C"/>
    <w:rsid w:val="00506B7C"/>
    <w:rsid w:val="00520D8D"/>
    <w:rsid w:val="00521574"/>
    <w:rsid w:val="00536106"/>
    <w:rsid w:val="00543AF4"/>
    <w:rsid w:val="005453AD"/>
    <w:rsid w:val="00552C85"/>
    <w:rsid w:val="00555B00"/>
    <w:rsid w:val="00555B8A"/>
    <w:rsid w:val="005723A1"/>
    <w:rsid w:val="005772BD"/>
    <w:rsid w:val="005911AC"/>
    <w:rsid w:val="005A34A0"/>
    <w:rsid w:val="005B7E1A"/>
    <w:rsid w:val="005C05C8"/>
    <w:rsid w:val="005C5779"/>
    <w:rsid w:val="005E3686"/>
    <w:rsid w:val="005E5170"/>
    <w:rsid w:val="005F08FA"/>
    <w:rsid w:val="005F6627"/>
    <w:rsid w:val="006051E2"/>
    <w:rsid w:val="00607E4C"/>
    <w:rsid w:val="006106C1"/>
    <w:rsid w:val="00620AC7"/>
    <w:rsid w:val="00631667"/>
    <w:rsid w:val="00635512"/>
    <w:rsid w:val="0063714F"/>
    <w:rsid w:val="00656C4F"/>
    <w:rsid w:val="0065798D"/>
    <w:rsid w:val="0066058A"/>
    <w:rsid w:val="006653E4"/>
    <w:rsid w:val="00666C20"/>
    <w:rsid w:val="006751F3"/>
    <w:rsid w:val="0069068A"/>
    <w:rsid w:val="00694254"/>
    <w:rsid w:val="00697067"/>
    <w:rsid w:val="006A09B7"/>
    <w:rsid w:val="006A23A7"/>
    <w:rsid w:val="006B417B"/>
    <w:rsid w:val="006B65D6"/>
    <w:rsid w:val="006C0C47"/>
    <w:rsid w:val="006C6193"/>
    <w:rsid w:val="006D2949"/>
    <w:rsid w:val="006D2A3E"/>
    <w:rsid w:val="006D548C"/>
    <w:rsid w:val="007017C8"/>
    <w:rsid w:val="00701B9B"/>
    <w:rsid w:val="007033D7"/>
    <w:rsid w:val="007050B6"/>
    <w:rsid w:val="007103BD"/>
    <w:rsid w:val="00712B0A"/>
    <w:rsid w:val="00714C76"/>
    <w:rsid w:val="007247C9"/>
    <w:rsid w:val="007257EA"/>
    <w:rsid w:val="00726E4F"/>
    <w:rsid w:val="0072702F"/>
    <w:rsid w:val="007511A2"/>
    <w:rsid w:val="007519A8"/>
    <w:rsid w:val="00752720"/>
    <w:rsid w:val="00761DF5"/>
    <w:rsid w:val="00766ABD"/>
    <w:rsid w:val="00772E70"/>
    <w:rsid w:val="00775880"/>
    <w:rsid w:val="00777546"/>
    <w:rsid w:val="007855F5"/>
    <w:rsid w:val="00790A3B"/>
    <w:rsid w:val="00792830"/>
    <w:rsid w:val="00793E46"/>
    <w:rsid w:val="007A011B"/>
    <w:rsid w:val="007A17F0"/>
    <w:rsid w:val="007C0D40"/>
    <w:rsid w:val="007C39E4"/>
    <w:rsid w:val="007C49D3"/>
    <w:rsid w:val="007C5905"/>
    <w:rsid w:val="007D53AA"/>
    <w:rsid w:val="007F2387"/>
    <w:rsid w:val="007F2F72"/>
    <w:rsid w:val="0080126E"/>
    <w:rsid w:val="00812673"/>
    <w:rsid w:val="00826B80"/>
    <w:rsid w:val="00834A30"/>
    <w:rsid w:val="008452A3"/>
    <w:rsid w:val="00852C36"/>
    <w:rsid w:val="00854B3A"/>
    <w:rsid w:val="00864C0A"/>
    <w:rsid w:val="00871DAE"/>
    <w:rsid w:val="00873091"/>
    <w:rsid w:val="008741AB"/>
    <w:rsid w:val="00874B68"/>
    <w:rsid w:val="008772DB"/>
    <w:rsid w:val="008827D6"/>
    <w:rsid w:val="00890667"/>
    <w:rsid w:val="0089215C"/>
    <w:rsid w:val="00892197"/>
    <w:rsid w:val="008933F8"/>
    <w:rsid w:val="00894559"/>
    <w:rsid w:val="00894CB3"/>
    <w:rsid w:val="00895461"/>
    <w:rsid w:val="00896104"/>
    <w:rsid w:val="008A5586"/>
    <w:rsid w:val="008B59A2"/>
    <w:rsid w:val="008B5CFB"/>
    <w:rsid w:val="008C5771"/>
    <w:rsid w:val="008E06B8"/>
    <w:rsid w:val="008E0DFC"/>
    <w:rsid w:val="008E5F75"/>
    <w:rsid w:val="008F18CD"/>
    <w:rsid w:val="008F197F"/>
    <w:rsid w:val="008F23F5"/>
    <w:rsid w:val="008F6C41"/>
    <w:rsid w:val="008F74FC"/>
    <w:rsid w:val="0090111B"/>
    <w:rsid w:val="00903DBE"/>
    <w:rsid w:val="00915652"/>
    <w:rsid w:val="00916AA3"/>
    <w:rsid w:val="0093202A"/>
    <w:rsid w:val="00934D9B"/>
    <w:rsid w:val="00936450"/>
    <w:rsid w:val="00944F8E"/>
    <w:rsid w:val="009607AD"/>
    <w:rsid w:val="00962495"/>
    <w:rsid w:val="009631D2"/>
    <w:rsid w:val="009659F5"/>
    <w:rsid w:val="00986127"/>
    <w:rsid w:val="00986FB6"/>
    <w:rsid w:val="009A12A8"/>
    <w:rsid w:val="009A13F5"/>
    <w:rsid w:val="009A1506"/>
    <w:rsid w:val="009B7B44"/>
    <w:rsid w:val="009C00DB"/>
    <w:rsid w:val="009D5632"/>
    <w:rsid w:val="009D5E90"/>
    <w:rsid w:val="009E070F"/>
    <w:rsid w:val="009E226C"/>
    <w:rsid w:val="009E749B"/>
    <w:rsid w:val="009F0517"/>
    <w:rsid w:val="009F0ADE"/>
    <w:rsid w:val="009F5807"/>
    <w:rsid w:val="00A00D79"/>
    <w:rsid w:val="00A04FB9"/>
    <w:rsid w:val="00A15B3E"/>
    <w:rsid w:val="00A15E19"/>
    <w:rsid w:val="00A175C7"/>
    <w:rsid w:val="00A31DBC"/>
    <w:rsid w:val="00A35E11"/>
    <w:rsid w:val="00A400AF"/>
    <w:rsid w:val="00A433E3"/>
    <w:rsid w:val="00A44148"/>
    <w:rsid w:val="00A4499C"/>
    <w:rsid w:val="00A51A46"/>
    <w:rsid w:val="00A772A2"/>
    <w:rsid w:val="00AB0020"/>
    <w:rsid w:val="00AB5F7C"/>
    <w:rsid w:val="00AB72C0"/>
    <w:rsid w:val="00AC6AA6"/>
    <w:rsid w:val="00AC7A69"/>
    <w:rsid w:val="00AD7038"/>
    <w:rsid w:val="00AE5089"/>
    <w:rsid w:val="00AE71CB"/>
    <w:rsid w:val="00AF135C"/>
    <w:rsid w:val="00AF4804"/>
    <w:rsid w:val="00B03A17"/>
    <w:rsid w:val="00B4384C"/>
    <w:rsid w:val="00B47BB0"/>
    <w:rsid w:val="00B50549"/>
    <w:rsid w:val="00B51988"/>
    <w:rsid w:val="00B51FC6"/>
    <w:rsid w:val="00B6413F"/>
    <w:rsid w:val="00B73EBB"/>
    <w:rsid w:val="00B75953"/>
    <w:rsid w:val="00B767FC"/>
    <w:rsid w:val="00B81108"/>
    <w:rsid w:val="00B81128"/>
    <w:rsid w:val="00B83341"/>
    <w:rsid w:val="00B857C6"/>
    <w:rsid w:val="00B91F14"/>
    <w:rsid w:val="00B9477A"/>
    <w:rsid w:val="00BA2394"/>
    <w:rsid w:val="00BA3FA4"/>
    <w:rsid w:val="00BB24C6"/>
    <w:rsid w:val="00BB46DF"/>
    <w:rsid w:val="00BE46D9"/>
    <w:rsid w:val="00BF1A41"/>
    <w:rsid w:val="00C10145"/>
    <w:rsid w:val="00C21143"/>
    <w:rsid w:val="00C32AA3"/>
    <w:rsid w:val="00C418BD"/>
    <w:rsid w:val="00C67B2A"/>
    <w:rsid w:val="00C76DEC"/>
    <w:rsid w:val="00C819BF"/>
    <w:rsid w:val="00C828BE"/>
    <w:rsid w:val="00C84426"/>
    <w:rsid w:val="00C91C29"/>
    <w:rsid w:val="00C94DE8"/>
    <w:rsid w:val="00CA149B"/>
    <w:rsid w:val="00CA2FB9"/>
    <w:rsid w:val="00CA6A4B"/>
    <w:rsid w:val="00CB2F8B"/>
    <w:rsid w:val="00CB660A"/>
    <w:rsid w:val="00CB7615"/>
    <w:rsid w:val="00CC3A9B"/>
    <w:rsid w:val="00CC42B4"/>
    <w:rsid w:val="00CC72ED"/>
    <w:rsid w:val="00CD03FF"/>
    <w:rsid w:val="00CD269E"/>
    <w:rsid w:val="00CD36A1"/>
    <w:rsid w:val="00CE49C8"/>
    <w:rsid w:val="00CE74B4"/>
    <w:rsid w:val="00CF779D"/>
    <w:rsid w:val="00D10174"/>
    <w:rsid w:val="00D1193F"/>
    <w:rsid w:val="00D224DD"/>
    <w:rsid w:val="00D2506E"/>
    <w:rsid w:val="00D254A2"/>
    <w:rsid w:val="00D3003B"/>
    <w:rsid w:val="00D360FA"/>
    <w:rsid w:val="00D3751D"/>
    <w:rsid w:val="00D43EDA"/>
    <w:rsid w:val="00D459FF"/>
    <w:rsid w:val="00D45ABC"/>
    <w:rsid w:val="00D46F01"/>
    <w:rsid w:val="00D47F26"/>
    <w:rsid w:val="00D6771A"/>
    <w:rsid w:val="00D67DD8"/>
    <w:rsid w:val="00D77619"/>
    <w:rsid w:val="00D83209"/>
    <w:rsid w:val="00DB042D"/>
    <w:rsid w:val="00DB4DF8"/>
    <w:rsid w:val="00DC3784"/>
    <w:rsid w:val="00DD691C"/>
    <w:rsid w:val="00DE0C8F"/>
    <w:rsid w:val="00DE0C9B"/>
    <w:rsid w:val="00DE5C7A"/>
    <w:rsid w:val="00DF2AE2"/>
    <w:rsid w:val="00E00AFB"/>
    <w:rsid w:val="00E059FC"/>
    <w:rsid w:val="00E1093E"/>
    <w:rsid w:val="00E11A8D"/>
    <w:rsid w:val="00E24AFA"/>
    <w:rsid w:val="00E2602E"/>
    <w:rsid w:val="00E33E06"/>
    <w:rsid w:val="00E35BA9"/>
    <w:rsid w:val="00E35C34"/>
    <w:rsid w:val="00E466CE"/>
    <w:rsid w:val="00E524A1"/>
    <w:rsid w:val="00E54BE4"/>
    <w:rsid w:val="00E5761E"/>
    <w:rsid w:val="00E61391"/>
    <w:rsid w:val="00E734A9"/>
    <w:rsid w:val="00E75ADF"/>
    <w:rsid w:val="00E8231E"/>
    <w:rsid w:val="00E85588"/>
    <w:rsid w:val="00E87504"/>
    <w:rsid w:val="00E8787A"/>
    <w:rsid w:val="00E92A8D"/>
    <w:rsid w:val="00E95E30"/>
    <w:rsid w:val="00EA20B6"/>
    <w:rsid w:val="00EA5256"/>
    <w:rsid w:val="00EA73B4"/>
    <w:rsid w:val="00EB1431"/>
    <w:rsid w:val="00EB2F7F"/>
    <w:rsid w:val="00ED13F6"/>
    <w:rsid w:val="00EE1A8B"/>
    <w:rsid w:val="00EE4C82"/>
    <w:rsid w:val="00EF15A6"/>
    <w:rsid w:val="00F01D8D"/>
    <w:rsid w:val="00F102B7"/>
    <w:rsid w:val="00F2241C"/>
    <w:rsid w:val="00F253F0"/>
    <w:rsid w:val="00F332EC"/>
    <w:rsid w:val="00F34C93"/>
    <w:rsid w:val="00F429B2"/>
    <w:rsid w:val="00F43735"/>
    <w:rsid w:val="00F47BB1"/>
    <w:rsid w:val="00F61E26"/>
    <w:rsid w:val="00F72A6E"/>
    <w:rsid w:val="00F760C2"/>
    <w:rsid w:val="00F82E6F"/>
    <w:rsid w:val="00F877D8"/>
    <w:rsid w:val="00F91489"/>
    <w:rsid w:val="00F963FE"/>
    <w:rsid w:val="00FA3CAE"/>
    <w:rsid w:val="00FB13AD"/>
    <w:rsid w:val="00FB7518"/>
    <w:rsid w:val="00FC12A3"/>
    <w:rsid w:val="00FC224E"/>
    <w:rsid w:val="00FC633E"/>
    <w:rsid w:val="00FD38CE"/>
    <w:rsid w:val="00FD3D7E"/>
    <w:rsid w:val="00FD5A20"/>
    <w:rsid w:val="00FE299D"/>
    <w:rsid w:val="00FE2ABC"/>
    <w:rsid w:val="00FE2F78"/>
    <w:rsid w:val="00FE3549"/>
    <w:rsid w:val="00FE5BCD"/>
    <w:rsid w:val="00FE7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AE71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E71C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character" w:styleId="CommentReference">
    <w:name w:val="annotation reference"/>
    <w:rsid w:val="00AE71CB"/>
    <w:rPr>
      <w:sz w:val="16"/>
      <w:szCs w:val="16"/>
    </w:rPr>
  </w:style>
  <w:style w:type="paragraph" w:styleId="CommentText">
    <w:name w:val="annotation text"/>
    <w:basedOn w:val="Normal"/>
    <w:link w:val="CommentTextChar"/>
    <w:rsid w:val="00AE71CB"/>
    <w:rPr>
      <w:sz w:val="20"/>
      <w:szCs w:val="20"/>
    </w:rPr>
  </w:style>
  <w:style w:type="character" w:customStyle="1" w:styleId="CommentTextChar">
    <w:name w:val="Comment Text Char"/>
    <w:basedOn w:val="DefaultParagraphFont"/>
    <w:link w:val="CommentText"/>
    <w:rsid w:val="00AE71CB"/>
  </w:style>
  <w:style w:type="paragraph" w:styleId="CommentSubject">
    <w:name w:val="annotation subject"/>
    <w:basedOn w:val="CommentText"/>
    <w:next w:val="CommentText"/>
    <w:link w:val="CommentSubjectChar"/>
    <w:rsid w:val="00AE71CB"/>
    <w:rPr>
      <w:b/>
      <w:bCs/>
    </w:rPr>
  </w:style>
  <w:style w:type="character" w:customStyle="1" w:styleId="CommentSubjectChar">
    <w:name w:val="Comment Subject Char"/>
    <w:link w:val="CommentSubject"/>
    <w:rsid w:val="00AE71CB"/>
    <w:rPr>
      <w:b/>
      <w:bCs/>
    </w:rPr>
  </w:style>
  <w:style w:type="paragraph" w:styleId="BalloonText">
    <w:name w:val="Balloon Text"/>
    <w:basedOn w:val="Normal"/>
    <w:link w:val="BalloonTextChar"/>
    <w:rsid w:val="00AE71CB"/>
    <w:rPr>
      <w:rFonts w:ascii="Tahoma" w:hAnsi="Tahoma" w:cs="Tahoma"/>
      <w:sz w:val="16"/>
      <w:szCs w:val="16"/>
    </w:rPr>
  </w:style>
  <w:style w:type="character" w:customStyle="1" w:styleId="BalloonTextChar">
    <w:name w:val="Balloon Text Char"/>
    <w:link w:val="BalloonText"/>
    <w:rsid w:val="00AE71CB"/>
    <w:rPr>
      <w:rFonts w:ascii="Tahoma" w:hAnsi="Tahoma" w:cs="Tahoma"/>
      <w:sz w:val="16"/>
      <w:szCs w:val="16"/>
    </w:rPr>
  </w:style>
  <w:style w:type="character" w:customStyle="1" w:styleId="Heading3Char">
    <w:name w:val="Heading 3 Char"/>
    <w:link w:val="Heading3"/>
    <w:semiHidden/>
    <w:rsid w:val="00AE71CB"/>
    <w:rPr>
      <w:rFonts w:ascii="Cambria" w:eastAsia="Times New Roman" w:hAnsi="Cambria" w:cs="Times New Roman"/>
      <w:b/>
      <w:bCs/>
      <w:sz w:val="26"/>
      <w:szCs w:val="26"/>
    </w:rPr>
  </w:style>
  <w:style w:type="character" w:customStyle="1" w:styleId="Heading4Char">
    <w:name w:val="Heading 4 Char"/>
    <w:link w:val="Heading4"/>
    <w:uiPriority w:val="9"/>
    <w:rsid w:val="00AE71CB"/>
    <w:rPr>
      <w:rFonts w:ascii="Calibri" w:eastAsia="Times New Roman" w:hAnsi="Calibri" w:cs="Times New Roman"/>
      <w:b/>
      <w:bCs/>
      <w:sz w:val="28"/>
      <w:szCs w:val="28"/>
    </w:rPr>
  </w:style>
  <w:style w:type="paragraph" w:styleId="ListParagraph">
    <w:name w:val="List Paragraph"/>
    <w:basedOn w:val="Normal"/>
    <w:uiPriority w:val="34"/>
    <w:qFormat/>
    <w:rsid w:val="00AE71CB"/>
    <w:pPr>
      <w:spacing w:after="200" w:line="276" w:lineRule="auto"/>
      <w:ind w:left="720"/>
      <w:contextualSpacing/>
    </w:pPr>
    <w:rPr>
      <w:rFonts w:ascii="Calibri" w:hAnsi="Calibri"/>
      <w:sz w:val="22"/>
      <w:szCs w:val="22"/>
      <w:lang w:bidi="en-US"/>
    </w:rPr>
  </w:style>
  <w:style w:type="character" w:styleId="FootnoteReference">
    <w:name w:val="footnote reference"/>
    <w:rsid w:val="00AE71CB"/>
    <w:rPr>
      <w:vertAlign w:val="superscript"/>
    </w:rPr>
  </w:style>
  <w:style w:type="paragraph" w:styleId="Revision">
    <w:name w:val="Revision"/>
    <w:hidden/>
    <w:uiPriority w:val="99"/>
    <w:semiHidden/>
    <w:rsid w:val="00896104"/>
    <w:rPr>
      <w:sz w:val="24"/>
      <w:szCs w:val="24"/>
    </w:rPr>
  </w:style>
  <w:style w:type="paragraph" w:styleId="TOCHeading">
    <w:name w:val="TOC Heading"/>
    <w:basedOn w:val="Heading1"/>
    <w:next w:val="Normal"/>
    <w:uiPriority w:val="39"/>
    <w:semiHidden/>
    <w:unhideWhenUsed/>
    <w:qFormat/>
    <w:rsid w:val="009F0AD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3">
    <w:name w:val="toc 3"/>
    <w:basedOn w:val="Normal"/>
    <w:next w:val="Normal"/>
    <w:autoRedefine/>
    <w:uiPriority w:val="39"/>
    <w:rsid w:val="009F0ADE"/>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AE71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E71C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character" w:styleId="CommentReference">
    <w:name w:val="annotation reference"/>
    <w:rsid w:val="00AE71CB"/>
    <w:rPr>
      <w:sz w:val="16"/>
      <w:szCs w:val="16"/>
    </w:rPr>
  </w:style>
  <w:style w:type="paragraph" w:styleId="CommentText">
    <w:name w:val="annotation text"/>
    <w:basedOn w:val="Normal"/>
    <w:link w:val="CommentTextChar"/>
    <w:rsid w:val="00AE71CB"/>
    <w:rPr>
      <w:sz w:val="20"/>
      <w:szCs w:val="20"/>
    </w:rPr>
  </w:style>
  <w:style w:type="character" w:customStyle="1" w:styleId="CommentTextChar">
    <w:name w:val="Comment Text Char"/>
    <w:basedOn w:val="DefaultParagraphFont"/>
    <w:link w:val="CommentText"/>
    <w:rsid w:val="00AE71CB"/>
  </w:style>
  <w:style w:type="paragraph" w:styleId="CommentSubject">
    <w:name w:val="annotation subject"/>
    <w:basedOn w:val="CommentText"/>
    <w:next w:val="CommentText"/>
    <w:link w:val="CommentSubjectChar"/>
    <w:rsid w:val="00AE71CB"/>
    <w:rPr>
      <w:b/>
      <w:bCs/>
    </w:rPr>
  </w:style>
  <w:style w:type="character" w:customStyle="1" w:styleId="CommentSubjectChar">
    <w:name w:val="Comment Subject Char"/>
    <w:link w:val="CommentSubject"/>
    <w:rsid w:val="00AE71CB"/>
    <w:rPr>
      <w:b/>
      <w:bCs/>
    </w:rPr>
  </w:style>
  <w:style w:type="paragraph" w:styleId="BalloonText">
    <w:name w:val="Balloon Text"/>
    <w:basedOn w:val="Normal"/>
    <w:link w:val="BalloonTextChar"/>
    <w:rsid w:val="00AE71CB"/>
    <w:rPr>
      <w:rFonts w:ascii="Tahoma" w:hAnsi="Tahoma" w:cs="Tahoma"/>
      <w:sz w:val="16"/>
      <w:szCs w:val="16"/>
    </w:rPr>
  </w:style>
  <w:style w:type="character" w:customStyle="1" w:styleId="BalloonTextChar">
    <w:name w:val="Balloon Text Char"/>
    <w:link w:val="BalloonText"/>
    <w:rsid w:val="00AE71CB"/>
    <w:rPr>
      <w:rFonts w:ascii="Tahoma" w:hAnsi="Tahoma" w:cs="Tahoma"/>
      <w:sz w:val="16"/>
      <w:szCs w:val="16"/>
    </w:rPr>
  </w:style>
  <w:style w:type="character" w:customStyle="1" w:styleId="Heading3Char">
    <w:name w:val="Heading 3 Char"/>
    <w:link w:val="Heading3"/>
    <w:semiHidden/>
    <w:rsid w:val="00AE71CB"/>
    <w:rPr>
      <w:rFonts w:ascii="Cambria" w:eastAsia="Times New Roman" w:hAnsi="Cambria" w:cs="Times New Roman"/>
      <w:b/>
      <w:bCs/>
      <w:sz w:val="26"/>
      <w:szCs w:val="26"/>
    </w:rPr>
  </w:style>
  <w:style w:type="character" w:customStyle="1" w:styleId="Heading4Char">
    <w:name w:val="Heading 4 Char"/>
    <w:link w:val="Heading4"/>
    <w:uiPriority w:val="9"/>
    <w:rsid w:val="00AE71CB"/>
    <w:rPr>
      <w:rFonts w:ascii="Calibri" w:eastAsia="Times New Roman" w:hAnsi="Calibri" w:cs="Times New Roman"/>
      <w:b/>
      <w:bCs/>
      <w:sz w:val="28"/>
      <w:szCs w:val="28"/>
    </w:rPr>
  </w:style>
  <w:style w:type="paragraph" w:styleId="ListParagraph">
    <w:name w:val="List Paragraph"/>
    <w:basedOn w:val="Normal"/>
    <w:uiPriority w:val="34"/>
    <w:qFormat/>
    <w:rsid w:val="00AE71CB"/>
    <w:pPr>
      <w:spacing w:after="200" w:line="276" w:lineRule="auto"/>
      <w:ind w:left="720"/>
      <w:contextualSpacing/>
    </w:pPr>
    <w:rPr>
      <w:rFonts w:ascii="Calibri" w:hAnsi="Calibri"/>
      <w:sz w:val="22"/>
      <w:szCs w:val="22"/>
      <w:lang w:bidi="en-US"/>
    </w:rPr>
  </w:style>
  <w:style w:type="character" w:styleId="FootnoteReference">
    <w:name w:val="footnote reference"/>
    <w:rsid w:val="00AE71CB"/>
    <w:rPr>
      <w:vertAlign w:val="superscript"/>
    </w:rPr>
  </w:style>
  <w:style w:type="paragraph" w:styleId="Revision">
    <w:name w:val="Revision"/>
    <w:hidden/>
    <w:uiPriority w:val="99"/>
    <w:semiHidden/>
    <w:rsid w:val="00896104"/>
    <w:rPr>
      <w:sz w:val="24"/>
      <w:szCs w:val="24"/>
    </w:rPr>
  </w:style>
  <w:style w:type="paragraph" w:styleId="TOCHeading">
    <w:name w:val="TOC Heading"/>
    <w:basedOn w:val="Heading1"/>
    <w:next w:val="Normal"/>
    <w:uiPriority w:val="39"/>
    <w:semiHidden/>
    <w:unhideWhenUsed/>
    <w:qFormat/>
    <w:rsid w:val="009F0AD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3">
    <w:name w:val="toc 3"/>
    <w:basedOn w:val="Normal"/>
    <w:next w:val="Normal"/>
    <w:autoRedefine/>
    <w:uiPriority w:val="39"/>
    <w:rsid w:val="009F0ADE"/>
    <w:pPr>
      <w:spacing w:after="100"/>
      <w:ind w:left="480"/>
    </w:pPr>
  </w:style>
</w:styles>
</file>

<file path=word/webSettings.xml><?xml version="1.0" encoding="utf-8"?>
<w:webSettings xmlns:r="http://schemas.openxmlformats.org/officeDocument/2006/relationships" xmlns:w="http://schemas.openxmlformats.org/wordprocessingml/2006/main">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mje.org/update_june07.html" TargetMode="External"/><Relationship Id="rId1" Type="http://schemas.openxmlformats.org/officeDocument/2006/relationships/hyperlink" Target="http://www.icmje.org/clin_tri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C032C90917F4D8883AB48ED203DA7" ma:contentTypeVersion="0" ma:contentTypeDescription="Create a new document." ma:contentTypeScope="" ma:versionID="1dd90c2dca1bd3fd51a15b823be99574">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1B9A-4C66-4A34-AB4C-8911FF1AC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424637-52F1-45F6-931C-F58AD6ED2CC1}">
  <ds:schemaRefs>
    <ds:schemaRef ds:uri="http://schemas.microsoft.com/sharepoint/v3/contenttype/forms"/>
  </ds:schemaRefs>
</ds:datastoreItem>
</file>

<file path=customXml/itemProps3.xml><?xml version="1.0" encoding="utf-8"?>
<ds:datastoreItem xmlns:ds="http://schemas.openxmlformats.org/officeDocument/2006/customXml" ds:itemID="{B52606A4-0AB6-4C7A-923E-C0827EEC8DC2}">
  <ds:schemaRef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758EC27-3614-40D8-9B50-7FEBE16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1926</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Outcome Sciences, Inc.</Company>
  <LinksUpToDate>false</LinksUpToDate>
  <CharactersWithSpaces>13072</CharactersWithSpaces>
  <SharedDoc>false</SharedDoc>
  <HLinks>
    <vt:vector size="12" baseType="variant">
      <vt:variant>
        <vt:i4>5898288</vt:i4>
      </vt:variant>
      <vt:variant>
        <vt:i4>3</vt:i4>
      </vt:variant>
      <vt:variant>
        <vt:i4>0</vt:i4>
      </vt:variant>
      <vt:variant>
        <vt:i4>5</vt:i4>
      </vt:variant>
      <vt:variant>
        <vt:lpwstr>http://www.icmje.org/update_june07.html</vt:lpwstr>
      </vt:variant>
      <vt:variant>
        <vt:lpwstr/>
      </vt:variant>
      <vt:variant>
        <vt:i4>5111849</vt:i4>
      </vt:variant>
      <vt:variant>
        <vt:i4>0</vt:i4>
      </vt:variant>
      <vt:variant>
        <vt:i4>0</vt:i4>
      </vt:variant>
      <vt:variant>
        <vt:i4>5</vt:i4>
      </vt:variant>
      <vt:variant>
        <vt:lpwstr>http://www.icmje.org/clin_trial.pdf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subject>&amp;lt;p&amp;gt;(Supporting Statement Template and Instructions; instructions are in italics)      SUPPORTING STATEMENT    Part B              (Insert project title here)          (Insert date: month and year)                  Agency of Healthcare Research and Q</dc:subject>
  <dc:creator>Heather Nalls</dc:creator>
  <cp:lastModifiedBy>DHHS</cp:lastModifiedBy>
  <cp:revision>4</cp:revision>
  <cp:lastPrinted>2007-07-09T20:45:00Z</cp:lastPrinted>
  <dcterms:created xsi:type="dcterms:W3CDTF">2012-03-02T20:11:00Z</dcterms:created>
  <dcterms:modified xsi:type="dcterms:W3CDTF">2012-03-19T18:42:00Z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DownloadAsset.aspx?id=6316</vt:lpwstr>
  </property>
  <property fmtid="{D5CDD505-2E9C-101B-9397-08002B2CF9AE}" pid="4" name="EktContentType">
    <vt:i4>101</vt:i4>
  </property>
  <property fmtid="{D5CDD505-2E9C-101B-9397-08002B2CF9AE}" pid="5" name="EktFolderName">
    <vt:lpwstr/>
  </property>
  <property fmtid="{D5CDD505-2E9C-101B-9397-08002B2CF9AE}" pid="6" name="EktCmsPath">
    <vt:lpwstr>&amp;lt;p&amp;gt;(Supporting Statement Template and Instructions; instructions are in italics)      SUPPORTING STATEMENT    Part B              (Insert project title here)          (Insert date: month and year)                  Agency of Healthcare Research and Q</vt:lpwstr>
  </property>
  <property fmtid="{D5CDD505-2E9C-101B-9397-08002B2CF9AE}" pid="7" name="EktExpiryType">
    <vt:i4>1</vt:i4>
  </property>
  <property fmtid="{D5CDD505-2E9C-101B-9397-08002B2CF9AE}" pid="8" name="EktDateCreated">
    <vt:filetime>2009-06-08T16:04:38Z</vt:filetime>
  </property>
  <property fmtid="{D5CDD505-2E9C-101B-9397-08002B2CF9AE}" pid="9" name="EktDateModified">
    <vt:filetime>2009-06-10T18:10:58Z</vt:filetime>
  </property>
  <property fmtid="{D5CDD505-2E9C-101B-9397-08002B2CF9AE}" pid="10" name="EktTaxCategory">
    <vt:lpwstr/>
  </property>
  <property fmtid="{D5CDD505-2E9C-101B-9397-08002B2CF9AE}" pid="11" name="EktCmsSize">
    <vt:i4>46592</vt:i4>
  </property>
  <property fmtid="{D5CDD505-2E9C-101B-9397-08002B2CF9AE}" pid="12" name="EktSearchable">
    <vt:i4>1</vt:i4>
  </property>
  <property fmtid="{D5CDD505-2E9C-101B-9397-08002B2CF9AE}" pid="13" name="EktEDescription">
    <vt:lpwstr>Summary &amp;lt;p&amp;gt;(Supporting Statement Template and Instructions; instructions are in italics)      SUPPORTING STATEMENT    Part B              (Insert project title here)          (Insert date: month and year)                  Agency of Healthcare Resear</vt:lpwstr>
  </property>
  <property fmtid="{D5CDD505-2E9C-101B-9397-08002B2CF9AE}" pid="14" name="EktContentSubType">
    <vt:i4>0</vt:i4>
  </property>
  <property fmtid="{D5CDD505-2E9C-101B-9397-08002B2CF9AE}" pid="15" name="ContentTypeId">
    <vt:lpwstr>0x0101001CBC032C90917F4D8883AB48ED203DA7</vt:lpwstr>
  </property>
</Properties>
</file>