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09" w:rsidRPr="00DA5009" w:rsidRDefault="00DA5009" w:rsidP="00DA5009">
      <w:pPr>
        <w:jc w:val="center"/>
        <w:rPr>
          <w:b/>
        </w:rPr>
      </w:pPr>
      <w:r w:rsidRPr="00DA5009">
        <w:rPr>
          <w:b/>
        </w:rPr>
        <w:t>OMB No. 0704-0255</w:t>
      </w:r>
    </w:p>
    <w:p w:rsidR="00DA5009" w:rsidRPr="00DA5009" w:rsidRDefault="00DA5009" w:rsidP="00DA5009">
      <w:pPr>
        <w:jc w:val="center"/>
        <w:rPr>
          <w:b/>
        </w:rPr>
      </w:pPr>
      <w:r w:rsidRPr="00DA5009">
        <w:rPr>
          <w:b/>
        </w:rPr>
        <w:t>Supporting Statement</w:t>
      </w:r>
    </w:p>
    <w:p w:rsidR="00DA5009" w:rsidRPr="00DA5009" w:rsidRDefault="00DA5009" w:rsidP="00DA5009">
      <w:pPr>
        <w:jc w:val="center"/>
      </w:pPr>
    </w:p>
    <w:p w:rsidR="00DA5009" w:rsidRPr="00DA5009" w:rsidRDefault="00DA5009" w:rsidP="00DA5009">
      <w:pPr>
        <w:jc w:val="center"/>
        <w:rPr>
          <w:b/>
        </w:rPr>
      </w:pPr>
      <w:r w:rsidRPr="00DA5009">
        <w:rPr>
          <w:b/>
        </w:rPr>
        <w:t>DFARS Part 236 – Construction and Architect-Engineer Contracts</w:t>
      </w:r>
    </w:p>
    <w:p w:rsidR="00DA5009" w:rsidRPr="00DA5009" w:rsidRDefault="00DA5009" w:rsidP="002F495E">
      <w:pPr>
        <w:jc w:val="center"/>
        <w:rPr>
          <w:b/>
        </w:rPr>
      </w:pPr>
    </w:p>
    <w:p w:rsidR="002F495E" w:rsidRPr="00DA5009" w:rsidRDefault="002F495E" w:rsidP="002F495E">
      <w:pPr>
        <w:jc w:val="center"/>
        <w:rPr>
          <w:b/>
        </w:rPr>
      </w:pPr>
    </w:p>
    <w:p w:rsidR="002F495E" w:rsidRPr="00DA5009" w:rsidRDefault="002F495E" w:rsidP="002F495E">
      <w:pPr>
        <w:rPr>
          <w:b/>
        </w:rPr>
      </w:pPr>
      <w:r w:rsidRPr="00DA5009">
        <w:rPr>
          <w:b/>
        </w:rPr>
        <w:t>A.  JUSTIFICATION</w:t>
      </w:r>
    </w:p>
    <w:p w:rsidR="002F495E" w:rsidRPr="00DA5009" w:rsidRDefault="002F495E" w:rsidP="002F495E">
      <w:pPr>
        <w:rPr>
          <w:b/>
        </w:rPr>
      </w:pPr>
    </w:p>
    <w:p w:rsidR="002F495E" w:rsidRPr="00391352" w:rsidRDefault="002F495E" w:rsidP="002F495E">
      <w:r w:rsidRPr="00391352">
        <w:rPr>
          <w:b/>
        </w:rPr>
        <w:t xml:space="preserve">1.  </w:t>
      </w:r>
      <w:r w:rsidR="00DA5009" w:rsidRPr="00391352">
        <w:rPr>
          <w:b/>
        </w:rPr>
        <w:t>Requirement</w:t>
      </w:r>
      <w:r w:rsidR="00DA5009" w:rsidRPr="00391352">
        <w:t xml:space="preserve">.  </w:t>
      </w:r>
      <w:r w:rsidRPr="00391352">
        <w:t xml:space="preserve">This is a request for </w:t>
      </w:r>
      <w:r w:rsidR="00CF6FD3">
        <w:t>reinstatement</w:t>
      </w:r>
      <w:r w:rsidRPr="00391352">
        <w:t xml:space="preserve"> of the information collection requirement</w:t>
      </w:r>
      <w:r w:rsidR="00DA5009" w:rsidRPr="00391352">
        <w:t>s in the Department of Defense (</w:t>
      </w:r>
      <w:proofErr w:type="gramStart"/>
      <w:r w:rsidR="00DA5009" w:rsidRPr="00391352">
        <w:t>DoD</w:t>
      </w:r>
      <w:proofErr w:type="gramEnd"/>
      <w:r w:rsidR="00DA5009" w:rsidRPr="00391352">
        <w:t>)</w:t>
      </w:r>
      <w:r w:rsidRPr="00391352">
        <w:t xml:space="preserve"> currently approved under OMB Control Number 0704-0255</w:t>
      </w:r>
      <w:r w:rsidR="00DA5009" w:rsidRPr="00391352">
        <w:t xml:space="preserve"> for DFARS Part 236 and the related provisions and clauses at Part 252</w:t>
      </w:r>
      <w:r w:rsidR="001870AF">
        <w:t xml:space="preserve">.236.  </w:t>
      </w:r>
      <w:r w:rsidR="001870AF" w:rsidRPr="00487DEB">
        <w:t>After review of fiscal year 2010</w:t>
      </w:r>
      <w:r w:rsidR="00DA5009" w:rsidRPr="00487DEB">
        <w:t xml:space="preserve"> Federal Procurement Data System (FPDS) </w:t>
      </w:r>
      <w:r w:rsidRPr="00487DEB">
        <w:t xml:space="preserve">data, </w:t>
      </w:r>
      <w:r w:rsidR="00DA5009" w:rsidRPr="00487DEB">
        <w:t xml:space="preserve">this extension increases the total number of annual burden hours from </w:t>
      </w:r>
      <w:r w:rsidR="00487DEB" w:rsidRPr="00487DEB">
        <w:t>263,281</w:t>
      </w:r>
      <w:r w:rsidR="00DA5009" w:rsidRPr="00487DEB">
        <w:t xml:space="preserve"> to </w:t>
      </w:r>
      <w:r w:rsidR="00487DEB" w:rsidRPr="00487DEB">
        <w:t>359,015</w:t>
      </w:r>
      <w:r w:rsidR="00DA5009" w:rsidRPr="00487DEB">
        <w:t xml:space="preserve">, an increase of </w:t>
      </w:r>
      <w:r w:rsidR="00487DEB" w:rsidRPr="00487DEB">
        <w:t>95,734</w:t>
      </w:r>
      <w:r w:rsidR="00DA5009" w:rsidRPr="00487DEB">
        <w:t xml:space="preserve"> hours.</w:t>
      </w:r>
      <w:r w:rsidR="00DA5009" w:rsidRPr="00391352">
        <w:t xml:space="preserve"> </w:t>
      </w:r>
    </w:p>
    <w:p w:rsidR="002F495E" w:rsidRPr="00391352" w:rsidRDefault="002F495E" w:rsidP="002F495E"/>
    <w:p w:rsidR="002F495E" w:rsidRPr="00391352" w:rsidRDefault="002F495E" w:rsidP="002F495E">
      <w:r w:rsidRPr="00391352">
        <w:tab/>
        <w:t>This request covers the following requirements in 48 CFR Chapter 2 (DFARS), as prescribed in DFARS 236.570, applicable to fixed-price construction contracts:</w:t>
      </w:r>
    </w:p>
    <w:p w:rsidR="002F495E" w:rsidRPr="00391352" w:rsidRDefault="002F495E" w:rsidP="002F495E"/>
    <w:p w:rsidR="002F495E" w:rsidRPr="00DA5009" w:rsidRDefault="002F495E" w:rsidP="002F495E">
      <w:r w:rsidRPr="00DA5009">
        <w:tab/>
        <w:t>a.  DFARS 252.236-7000, Modification Proposals-Price Breakdown, requires contractors to submit a price breakdown with any proposal for a contract modification.</w:t>
      </w:r>
    </w:p>
    <w:p w:rsidR="002F495E" w:rsidRPr="00DA5009" w:rsidRDefault="002F495E" w:rsidP="002F495E"/>
    <w:p w:rsidR="002F495E" w:rsidRPr="00DA5009" w:rsidRDefault="002F495E" w:rsidP="002F495E">
      <w:r w:rsidRPr="00DA5009">
        <w:tab/>
        <w:t>b.  DFARS 252.236-7002, Obstruction of Navigable Waterways, requires contractors to notify the contracting officer of obstructions in navigable waterways.</w:t>
      </w:r>
    </w:p>
    <w:p w:rsidR="002F495E" w:rsidRPr="00DA5009" w:rsidRDefault="002F495E" w:rsidP="002F495E"/>
    <w:p w:rsidR="00313AA2" w:rsidRDefault="002F495E" w:rsidP="002F495E">
      <w:r w:rsidRPr="00DA5009">
        <w:tab/>
        <w:t xml:space="preserve">c.  DFARS 252.236-7003, Payment for Mobilization and Preparatory Work, requires contractors to provide supporting documentation when submitting requests for payment for mobilization and preparatory work.  </w:t>
      </w:r>
    </w:p>
    <w:p w:rsidR="00313AA2" w:rsidRDefault="00313AA2" w:rsidP="002F495E"/>
    <w:p w:rsidR="002F495E" w:rsidRPr="00DA5009" w:rsidRDefault="00313AA2" w:rsidP="00313AA2">
      <w:pPr>
        <w:ind w:firstLine="720"/>
      </w:pPr>
      <w:r>
        <w:t xml:space="preserve">d.  DFARS </w:t>
      </w:r>
      <w:r w:rsidR="002F495E" w:rsidRPr="00DA5009">
        <w:t>252.236-7004, Payment for Mobilization and Demobilization, permits contracting officers to require contractors to furnish cost data justifying the percentage of the cost split between mobilization and demobilization, if the Contracting officer believes that the proposed percentages do not bear a reasonable relation to the cost of the work.</w:t>
      </w:r>
    </w:p>
    <w:p w:rsidR="002F495E" w:rsidRPr="00DA5009" w:rsidRDefault="002F495E" w:rsidP="002F495E"/>
    <w:p w:rsidR="005F38FF" w:rsidRPr="00DA5009" w:rsidRDefault="005F38FF" w:rsidP="002F495E">
      <w:r w:rsidRPr="00DA5009">
        <w:tab/>
      </w:r>
      <w:r w:rsidR="00313AA2">
        <w:t>e</w:t>
      </w:r>
      <w:r w:rsidRPr="00DA5009">
        <w:t xml:space="preserve">.  DFARS 252.236-7010, Overseas Military Construction, and DFARS 252.236-7012, Military Construction on Kwajalein Atoll-Evaluation Preference, require contractors to identify their status as a </w:t>
      </w:r>
      <w:smartTag w:uri="urn:schemas-microsoft-com:office:smarttags" w:element="place">
        <w:smartTag w:uri="urn:schemas-microsoft-com:office:smarttags" w:element="country-region">
          <w:r w:rsidRPr="00DA5009">
            <w:t>U.S.</w:t>
          </w:r>
        </w:smartTag>
      </w:smartTag>
      <w:r w:rsidRPr="00DA5009">
        <w:t xml:space="preserve"> firm, or, on Kwajalein Atoll, status as a Marshallese firm.  This requirement implements Section 112 of the Fiscal Year 1998 Military Construction Appropriations Act (Pub. </w:t>
      </w:r>
      <w:proofErr w:type="gramStart"/>
      <w:r w:rsidRPr="00DA5009">
        <w:t>L. 104-45).</w:t>
      </w:r>
      <w:proofErr w:type="gramEnd"/>
    </w:p>
    <w:p w:rsidR="005F38FF" w:rsidRPr="00DA5009" w:rsidRDefault="005F38FF" w:rsidP="002F495E"/>
    <w:p w:rsidR="005F38FF" w:rsidRPr="00DA5009" w:rsidRDefault="005F38FF" w:rsidP="002F495E">
      <w:r w:rsidRPr="00DA5009">
        <w:rPr>
          <w:b/>
        </w:rPr>
        <w:t xml:space="preserve">2.  </w:t>
      </w:r>
      <w:r w:rsidR="00DA5009" w:rsidRPr="00DA5009">
        <w:rPr>
          <w:b/>
        </w:rPr>
        <w:t>Purpose</w:t>
      </w:r>
      <w:r w:rsidR="00DA5009">
        <w:t xml:space="preserve">.  </w:t>
      </w:r>
      <w:r w:rsidRPr="00DA5009">
        <w:t>DFARS Part 236 prescribes policies and procedures for contracting for construction and architect-engineer services.  Government personnel use the information generated by these requirements to (a) evaluate contractor offers for modifications, (b) determine that the contractor has removed all obstructions to navigation, (c) review contractor requests for payment for mobilization and determine reasonableness of allocation costs between mobilization and demobilization, and (d) determine eligibility for the 20 percent preference for U.S. firms in some overseas construction contracts.</w:t>
      </w:r>
    </w:p>
    <w:p w:rsidR="005F38FF" w:rsidRPr="00DA5009" w:rsidRDefault="005F38FF" w:rsidP="002F495E">
      <w:pPr>
        <w:rPr>
          <w:b/>
        </w:rPr>
      </w:pPr>
    </w:p>
    <w:p w:rsidR="005F38FF" w:rsidRPr="00DA5009" w:rsidRDefault="005F38FF" w:rsidP="002F495E">
      <w:r w:rsidRPr="00DA5009">
        <w:rPr>
          <w:b/>
        </w:rPr>
        <w:t xml:space="preserve">3.  </w:t>
      </w:r>
      <w:r w:rsidR="00DA5009" w:rsidRPr="00DA5009">
        <w:rPr>
          <w:b/>
        </w:rPr>
        <w:t>Information Technology</w:t>
      </w:r>
      <w:r w:rsidR="00DA5009">
        <w:t xml:space="preserve">.  </w:t>
      </w:r>
      <w:r w:rsidRPr="00DA5009">
        <w:t>Improved information technology is used to the maximum extent practicable.  This information collection complies with the Government Paperwork Elimination Act (Pub. L. 105-277, Title XVII).</w:t>
      </w:r>
    </w:p>
    <w:p w:rsidR="005F38FF" w:rsidRPr="00DA5009" w:rsidRDefault="005F38FF" w:rsidP="002F495E"/>
    <w:p w:rsidR="005F38FF" w:rsidRPr="00DA5009" w:rsidRDefault="005F38FF" w:rsidP="002F495E">
      <w:r w:rsidRPr="00C823CE">
        <w:rPr>
          <w:b/>
        </w:rPr>
        <w:t xml:space="preserve">4.  </w:t>
      </w:r>
      <w:r w:rsidR="00C823CE" w:rsidRPr="00C823CE">
        <w:rPr>
          <w:b/>
        </w:rPr>
        <w:t>Duplication</w:t>
      </w:r>
      <w:r w:rsidR="00C823CE">
        <w:t xml:space="preserve">.  </w:t>
      </w:r>
      <w:r w:rsidRPr="00DA5009">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5F38FF" w:rsidRPr="00DA5009" w:rsidRDefault="005F38FF" w:rsidP="002F495E"/>
    <w:p w:rsidR="005F38FF" w:rsidRPr="00DA5009" w:rsidRDefault="005F38FF" w:rsidP="002F495E">
      <w:r w:rsidRPr="00C823CE">
        <w:rPr>
          <w:b/>
        </w:rPr>
        <w:t xml:space="preserve">5.  </w:t>
      </w:r>
      <w:r w:rsidR="00C823CE" w:rsidRPr="00C823CE">
        <w:rPr>
          <w:b/>
        </w:rPr>
        <w:t>Small Business</w:t>
      </w:r>
      <w:r w:rsidR="00C823CE">
        <w:t>.  The collection of this information is not expected to have a significant impact on a substantial number of small businesses or other small entities.  The requirements for information collection are only occasional, as the circumstances dictate, and t</w:t>
      </w:r>
      <w:r w:rsidRPr="00DA5009">
        <w:t xml:space="preserve">he burden applied to </w:t>
      </w:r>
      <w:r w:rsidR="00C823CE">
        <w:t xml:space="preserve">large and </w:t>
      </w:r>
      <w:r w:rsidRPr="00DA5009">
        <w:t xml:space="preserve">small </w:t>
      </w:r>
      <w:r w:rsidR="00C823CE">
        <w:t>entities</w:t>
      </w:r>
      <w:r w:rsidRPr="00DA5009">
        <w:t xml:space="preserve"> is the minimum consistent with applicable laws, Executive Orders, regulations and prudent business practices.</w:t>
      </w:r>
    </w:p>
    <w:p w:rsidR="005F38FF" w:rsidRPr="00DA5009" w:rsidRDefault="005F38FF" w:rsidP="002F495E"/>
    <w:p w:rsidR="005F38FF" w:rsidRPr="00DA5009" w:rsidRDefault="005F38FF" w:rsidP="002F495E">
      <w:r w:rsidRPr="00C823CE">
        <w:rPr>
          <w:b/>
        </w:rPr>
        <w:t xml:space="preserve">6.  </w:t>
      </w:r>
      <w:r w:rsidR="00C823CE" w:rsidRPr="00C823CE">
        <w:rPr>
          <w:b/>
        </w:rPr>
        <w:t>Consequences for non-collection.</w:t>
      </w:r>
      <w:r w:rsidR="00C823CE">
        <w:t xml:space="preserve">  </w:t>
      </w:r>
      <w:r w:rsidRPr="00DA5009">
        <w:t xml:space="preserve">The proposed collection of information will be conducted on an occasional basis when offerors submit bids or when contractors request payment or obstruct navigable waterways.  Less frequent </w:t>
      </w:r>
      <w:r w:rsidR="00CF1759" w:rsidRPr="00DA5009">
        <w:t xml:space="preserve">collection or no collection of information would impede contracting officers from performing their administrative functions in an effective and efficient manner and would make it impossible to enforce the statutory preference for </w:t>
      </w:r>
      <w:smartTag w:uri="urn:schemas-microsoft-com:office:smarttags" w:element="country-region">
        <w:smartTag w:uri="urn:schemas-microsoft-com:office:smarttags" w:element="place">
          <w:r w:rsidR="00CF1759" w:rsidRPr="00DA5009">
            <w:t>U.S.</w:t>
          </w:r>
        </w:smartTag>
      </w:smartTag>
      <w:r w:rsidR="00CF1759" w:rsidRPr="00DA5009">
        <w:t xml:space="preserve"> firms.</w:t>
      </w:r>
    </w:p>
    <w:p w:rsidR="00CF1759" w:rsidRPr="00DA5009" w:rsidRDefault="00CF1759" w:rsidP="002F495E"/>
    <w:p w:rsidR="00CF1759" w:rsidRPr="00DA5009" w:rsidRDefault="00CF1759" w:rsidP="002F495E">
      <w:r w:rsidRPr="00C823CE">
        <w:rPr>
          <w:b/>
        </w:rPr>
        <w:t xml:space="preserve">7.  </w:t>
      </w:r>
      <w:r w:rsidR="00C823CE" w:rsidRPr="00C823CE">
        <w:rPr>
          <w:b/>
        </w:rPr>
        <w:t>Special circumstances</w:t>
      </w:r>
      <w:r w:rsidR="00C823CE">
        <w:t xml:space="preserve">.  </w:t>
      </w:r>
      <w:r w:rsidRPr="00DA5009">
        <w:t>There are no special circumstances for collection. Collection is consistent with the guidelines in 5 CR 1320.5(d)(2).</w:t>
      </w:r>
    </w:p>
    <w:p w:rsidR="00CF1759" w:rsidRPr="00DA5009" w:rsidRDefault="00CF1759" w:rsidP="002F495E"/>
    <w:p w:rsidR="00CF1759" w:rsidRPr="00DA5009" w:rsidRDefault="00CF1759" w:rsidP="002F495E">
      <w:r w:rsidRPr="00D81EED">
        <w:rPr>
          <w:b/>
        </w:rPr>
        <w:t xml:space="preserve">8.  </w:t>
      </w:r>
      <w:r w:rsidR="00C823CE" w:rsidRPr="00D81EED">
        <w:rPr>
          <w:b/>
        </w:rPr>
        <w:t>Public comments and consultation</w:t>
      </w:r>
      <w:r w:rsidR="00C823CE" w:rsidRPr="00D81EED">
        <w:t xml:space="preserve">.  </w:t>
      </w:r>
      <w:r w:rsidRPr="00D81EED">
        <w:t>Public comments on the information collection requirement were solicited in the Federal Register on</w:t>
      </w:r>
      <w:r w:rsidR="00855B9C" w:rsidRPr="00D81EED">
        <w:t xml:space="preserve"> </w:t>
      </w:r>
      <w:r w:rsidR="00875CFA" w:rsidRPr="00D81EED">
        <w:t>June 17, 2</w:t>
      </w:r>
      <w:r w:rsidR="00855B9C" w:rsidRPr="00D81EED">
        <w:t>0</w:t>
      </w:r>
      <w:r w:rsidR="004E7E58" w:rsidRPr="00D81EED">
        <w:t>11</w:t>
      </w:r>
      <w:r w:rsidRPr="00D81EED">
        <w:t xml:space="preserve"> (</w:t>
      </w:r>
      <w:r w:rsidR="00855B9C" w:rsidRPr="00D81EED">
        <w:t>7</w:t>
      </w:r>
      <w:r w:rsidR="00875CFA" w:rsidRPr="00D81EED">
        <w:t>6</w:t>
      </w:r>
      <w:r w:rsidRPr="00D81EED">
        <w:t xml:space="preserve"> FR </w:t>
      </w:r>
      <w:r w:rsidR="00D81EED" w:rsidRPr="00545BC7">
        <w:t>35424</w:t>
      </w:r>
      <w:r w:rsidRPr="00545BC7">
        <w:t>)</w:t>
      </w:r>
      <w:r w:rsidR="00CD534C">
        <w:t>,</w:t>
      </w:r>
      <w:r w:rsidR="00545BC7" w:rsidRPr="00545BC7">
        <w:rPr>
          <w:rFonts w:ascii="Book Antiqua" w:hAnsi="Book Antiqua"/>
        </w:rPr>
        <w:t xml:space="preserve"> as required by 5 CFR 1320.8(d).</w:t>
      </w:r>
      <w:r w:rsidR="004E7E58" w:rsidRPr="00D81EED">
        <w:t xml:space="preserve"> </w:t>
      </w:r>
      <w:r w:rsidR="009052F6" w:rsidRPr="00D81EED">
        <w:t xml:space="preserve"> No </w:t>
      </w:r>
      <w:r w:rsidR="00D81EED" w:rsidRPr="00D81EED">
        <w:t xml:space="preserve">public </w:t>
      </w:r>
      <w:r w:rsidR="009052F6" w:rsidRPr="00D81EED">
        <w:t>comments were received in response to the Federal Register Notice.</w:t>
      </w:r>
    </w:p>
    <w:p w:rsidR="00CF1759" w:rsidRPr="00DA5009" w:rsidRDefault="00CF1759" w:rsidP="002F495E"/>
    <w:p w:rsidR="00CF1759" w:rsidRPr="00DA5009" w:rsidRDefault="00CF1759" w:rsidP="002F495E">
      <w:r w:rsidRPr="00C823CE">
        <w:rPr>
          <w:b/>
        </w:rPr>
        <w:t xml:space="preserve">9.  </w:t>
      </w:r>
      <w:r w:rsidR="00C823CE" w:rsidRPr="00C823CE">
        <w:rPr>
          <w:b/>
        </w:rPr>
        <w:t>Payment to respondents</w:t>
      </w:r>
      <w:r w:rsidR="00C823CE">
        <w:t xml:space="preserve">.  </w:t>
      </w:r>
      <w:r w:rsidRPr="00DA5009">
        <w:t>There will be no payment or gifts to respondents, other than remuneration of contractors.</w:t>
      </w:r>
    </w:p>
    <w:p w:rsidR="00CF1759" w:rsidRPr="00DA5009" w:rsidRDefault="00CF1759" w:rsidP="002F495E"/>
    <w:p w:rsidR="00CF1759" w:rsidRPr="00DA5009" w:rsidRDefault="00CF1759" w:rsidP="002F495E">
      <w:r w:rsidRPr="00C823CE">
        <w:rPr>
          <w:b/>
        </w:rPr>
        <w:t xml:space="preserve">10.  </w:t>
      </w:r>
      <w:r w:rsidR="00C823CE" w:rsidRPr="00C823CE">
        <w:rPr>
          <w:b/>
        </w:rPr>
        <w:t>Confidentiality</w:t>
      </w:r>
      <w:r w:rsidR="00C823CE">
        <w:t xml:space="preserve">.  </w:t>
      </w:r>
      <w:r w:rsidRPr="00DA5009">
        <w:t>This information is disclosed only to the extent consistent with prudent business practices, and current regulations, and in accordance with the requirements of the Freedom of Information Act.</w:t>
      </w:r>
    </w:p>
    <w:p w:rsidR="00CF1759" w:rsidRPr="00DA5009" w:rsidRDefault="00CF1759" w:rsidP="002F495E"/>
    <w:p w:rsidR="00CF1759" w:rsidRPr="00DA5009" w:rsidRDefault="00CF1759" w:rsidP="002F495E">
      <w:r w:rsidRPr="00C823CE">
        <w:rPr>
          <w:b/>
        </w:rPr>
        <w:t xml:space="preserve">11.  </w:t>
      </w:r>
      <w:r w:rsidR="00C823CE" w:rsidRPr="00C823CE">
        <w:rPr>
          <w:b/>
        </w:rPr>
        <w:t>Sensitive questions</w:t>
      </w:r>
      <w:r w:rsidR="00C823CE">
        <w:t xml:space="preserve">.  </w:t>
      </w:r>
      <w:r w:rsidRPr="00DA5009">
        <w:t>There are no questions of sensitive nature.</w:t>
      </w:r>
    </w:p>
    <w:p w:rsidR="00CF1759" w:rsidRPr="00DA5009" w:rsidRDefault="00CF1759" w:rsidP="002F495E"/>
    <w:p w:rsidR="00CF1759" w:rsidRPr="00C823CE" w:rsidRDefault="00CF1759" w:rsidP="002F495E">
      <w:pPr>
        <w:rPr>
          <w:b/>
        </w:rPr>
      </w:pPr>
      <w:r w:rsidRPr="00C823CE">
        <w:rPr>
          <w:b/>
        </w:rPr>
        <w:t>12.  Estimates of Public Burden Hours and Associated Annualized Cost.</w:t>
      </w:r>
    </w:p>
    <w:p w:rsidR="00CF1759" w:rsidRPr="00DA5009" w:rsidRDefault="00CF1759" w:rsidP="002F495E"/>
    <w:p w:rsidR="00561629" w:rsidRDefault="00CF1759" w:rsidP="002F495E">
      <w:r w:rsidRPr="00DA5009">
        <w:tab/>
        <w:t xml:space="preserve">The </w:t>
      </w:r>
      <w:r w:rsidR="00C823CE">
        <w:t>burden associated with t</w:t>
      </w:r>
      <w:r w:rsidR="0098271D">
        <w:t>he requirements of DFARS 252.236</w:t>
      </w:r>
      <w:r w:rsidR="00C823CE">
        <w:t xml:space="preserve"> were </w:t>
      </w:r>
      <w:r w:rsidRPr="00DA5009">
        <w:t>developed</w:t>
      </w:r>
      <w:r w:rsidR="00BB3275" w:rsidRPr="00DA5009">
        <w:t xml:space="preserve"> </w:t>
      </w:r>
      <w:r w:rsidR="00561629">
        <w:t xml:space="preserve">using </w:t>
      </w:r>
      <w:r w:rsidR="00DD1AF2">
        <w:t>fiscal year 2010</w:t>
      </w:r>
      <w:r w:rsidR="00C823CE">
        <w:t xml:space="preserve"> FPDS</w:t>
      </w:r>
      <w:r w:rsidRPr="00DA5009">
        <w:t xml:space="preserve"> database figures and </w:t>
      </w:r>
      <w:r w:rsidR="00561629">
        <w:t xml:space="preserve">through </w:t>
      </w:r>
      <w:r w:rsidRPr="00DA5009">
        <w:t>discussion</w:t>
      </w:r>
      <w:r w:rsidR="00561629">
        <w:t>s</w:t>
      </w:r>
      <w:r w:rsidRPr="00DA5009">
        <w:t xml:space="preserve"> with contracting professionals who are familiar with construction contracting. </w:t>
      </w:r>
      <w:r w:rsidR="00332206">
        <w:t xml:space="preserve"> </w:t>
      </w:r>
    </w:p>
    <w:p w:rsidR="00B475D8" w:rsidRDefault="00B475D8" w:rsidP="002F495E"/>
    <w:p w:rsidR="00561629" w:rsidRDefault="00561629" w:rsidP="002F495E"/>
    <w:tbl>
      <w:tblPr>
        <w:tblStyle w:val="TableGrid"/>
        <w:tblW w:w="10800" w:type="dxa"/>
        <w:tblInd w:w="-972" w:type="dxa"/>
        <w:tblLayout w:type="fixed"/>
        <w:tblLook w:val="01E0"/>
      </w:tblPr>
      <w:tblGrid>
        <w:gridCol w:w="2700"/>
        <w:gridCol w:w="720"/>
        <w:gridCol w:w="1452"/>
        <w:gridCol w:w="1608"/>
        <w:gridCol w:w="1440"/>
        <w:gridCol w:w="1440"/>
        <w:gridCol w:w="1440"/>
      </w:tblGrid>
      <w:tr w:rsidR="001F5730" w:rsidRPr="00561629" w:rsidTr="00DA76F0">
        <w:tc>
          <w:tcPr>
            <w:tcW w:w="2700" w:type="dxa"/>
          </w:tcPr>
          <w:p w:rsidR="001F5730" w:rsidRPr="00561629" w:rsidRDefault="001F5730" w:rsidP="00DA76F0">
            <w:pPr>
              <w:jc w:val="center"/>
              <w:rPr>
                <w:sz w:val="22"/>
                <w:szCs w:val="22"/>
              </w:rPr>
            </w:pPr>
          </w:p>
        </w:tc>
        <w:tc>
          <w:tcPr>
            <w:tcW w:w="720" w:type="dxa"/>
          </w:tcPr>
          <w:p w:rsidR="001F5730" w:rsidRPr="00561629" w:rsidRDefault="001F5730" w:rsidP="00DA76F0">
            <w:pPr>
              <w:jc w:val="center"/>
              <w:rPr>
                <w:sz w:val="22"/>
                <w:szCs w:val="22"/>
              </w:rPr>
            </w:pPr>
            <w:r w:rsidRPr="00561629">
              <w:rPr>
                <w:sz w:val="22"/>
                <w:szCs w:val="22"/>
              </w:rPr>
              <w:t>Note</w:t>
            </w:r>
          </w:p>
        </w:tc>
        <w:tc>
          <w:tcPr>
            <w:tcW w:w="1452" w:type="dxa"/>
          </w:tcPr>
          <w:p w:rsidR="001F5730" w:rsidRPr="0045145C" w:rsidRDefault="001F5730" w:rsidP="00DA76F0">
            <w:pPr>
              <w:jc w:val="center"/>
              <w:rPr>
                <w:sz w:val="22"/>
                <w:szCs w:val="22"/>
              </w:rPr>
            </w:pPr>
            <w:r w:rsidRPr="0045145C">
              <w:rPr>
                <w:sz w:val="22"/>
                <w:szCs w:val="22"/>
              </w:rPr>
              <w:t>252.236-7000</w:t>
            </w:r>
          </w:p>
        </w:tc>
        <w:tc>
          <w:tcPr>
            <w:tcW w:w="1608" w:type="dxa"/>
          </w:tcPr>
          <w:p w:rsidR="001F5730" w:rsidRPr="00561629" w:rsidRDefault="001F5730" w:rsidP="00DA76F0">
            <w:pPr>
              <w:jc w:val="center"/>
              <w:rPr>
                <w:sz w:val="22"/>
                <w:szCs w:val="22"/>
              </w:rPr>
            </w:pPr>
            <w:r w:rsidRPr="00561629">
              <w:rPr>
                <w:sz w:val="22"/>
                <w:szCs w:val="22"/>
              </w:rPr>
              <w:t>252.236-7002</w:t>
            </w:r>
          </w:p>
        </w:tc>
        <w:tc>
          <w:tcPr>
            <w:tcW w:w="1440" w:type="dxa"/>
          </w:tcPr>
          <w:p w:rsidR="001F5730" w:rsidRPr="00850D59" w:rsidRDefault="001F5730" w:rsidP="00DA76F0">
            <w:pPr>
              <w:jc w:val="center"/>
              <w:rPr>
                <w:sz w:val="22"/>
                <w:szCs w:val="22"/>
              </w:rPr>
            </w:pPr>
            <w:r w:rsidRPr="00850D59">
              <w:rPr>
                <w:sz w:val="22"/>
                <w:szCs w:val="22"/>
              </w:rPr>
              <w:t>252.236-7003 &amp; 7004</w:t>
            </w:r>
          </w:p>
        </w:tc>
        <w:tc>
          <w:tcPr>
            <w:tcW w:w="1440" w:type="dxa"/>
          </w:tcPr>
          <w:p w:rsidR="001F5730" w:rsidRPr="00561629" w:rsidRDefault="001F5730" w:rsidP="00DA76F0">
            <w:pPr>
              <w:jc w:val="center"/>
              <w:rPr>
                <w:sz w:val="22"/>
                <w:szCs w:val="22"/>
              </w:rPr>
            </w:pPr>
            <w:r w:rsidRPr="00561629">
              <w:rPr>
                <w:sz w:val="22"/>
                <w:szCs w:val="22"/>
              </w:rPr>
              <w:t>252.236-7010 &amp; 701</w:t>
            </w:r>
            <w:r>
              <w:rPr>
                <w:sz w:val="22"/>
                <w:szCs w:val="22"/>
              </w:rPr>
              <w:t>2</w:t>
            </w:r>
          </w:p>
        </w:tc>
        <w:tc>
          <w:tcPr>
            <w:tcW w:w="1440" w:type="dxa"/>
          </w:tcPr>
          <w:p w:rsidR="001F5730" w:rsidRPr="00561629" w:rsidRDefault="001F5730" w:rsidP="00DA76F0">
            <w:pPr>
              <w:jc w:val="center"/>
              <w:rPr>
                <w:sz w:val="22"/>
                <w:szCs w:val="22"/>
              </w:rPr>
            </w:pPr>
            <w:r w:rsidRPr="00561629">
              <w:rPr>
                <w:sz w:val="22"/>
                <w:szCs w:val="22"/>
              </w:rPr>
              <w:t>Total</w:t>
            </w:r>
          </w:p>
          <w:p w:rsidR="001F5730" w:rsidRPr="00561629" w:rsidRDefault="001F5730" w:rsidP="00DA76F0">
            <w:pPr>
              <w:jc w:val="center"/>
              <w:rPr>
                <w:sz w:val="22"/>
                <w:szCs w:val="22"/>
              </w:rPr>
            </w:pPr>
          </w:p>
        </w:tc>
      </w:tr>
      <w:tr w:rsidR="001F5730" w:rsidRPr="00561629" w:rsidTr="00DA76F0">
        <w:tc>
          <w:tcPr>
            <w:tcW w:w="2700" w:type="dxa"/>
          </w:tcPr>
          <w:p w:rsidR="001F5730" w:rsidRPr="00561629" w:rsidRDefault="001F5730" w:rsidP="00DA76F0">
            <w:pPr>
              <w:rPr>
                <w:sz w:val="22"/>
                <w:szCs w:val="22"/>
              </w:rPr>
            </w:pPr>
            <w:r w:rsidRPr="00561629">
              <w:rPr>
                <w:sz w:val="22"/>
                <w:szCs w:val="22"/>
              </w:rPr>
              <w:t>Number of Respondents</w:t>
            </w:r>
          </w:p>
        </w:tc>
        <w:tc>
          <w:tcPr>
            <w:tcW w:w="720" w:type="dxa"/>
          </w:tcPr>
          <w:p w:rsidR="001F5730" w:rsidRPr="00561629" w:rsidRDefault="001F5730" w:rsidP="00DA76F0">
            <w:pPr>
              <w:rPr>
                <w:sz w:val="22"/>
                <w:szCs w:val="22"/>
              </w:rPr>
            </w:pPr>
            <w:r>
              <w:rPr>
                <w:sz w:val="22"/>
                <w:szCs w:val="22"/>
              </w:rPr>
              <w:t>(1)</w:t>
            </w:r>
          </w:p>
        </w:tc>
        <w:tc>
          <w:tcPr>
            <w:tcW w:w="1452" w:type="dxa"/>
          </w:tcPr>
          <w:p w:rsidR="001F5730" w:rsidRPr="0045145C" w:rsidRDefault="001F5730" w:rsidP="00DA76F0">
            <w:pPr>
              <w:jc w:val="right"/>
              <w:rPr>
                <w:sz w:val="22"/>
                <w:szCs w:val="22"/>
              </w:rPr>
            </w:pPr>
            <w:r w:rsidRPr="0045145C">
              <w:rPr>
                <w:sz w:val="22"/>
                <w:szCs w:val="22"/>
              </w:rPr>
              <w:t>3409</w:t>
            </w:r>
          </w:p>
        </w:tc>
        <w:tc>
          <w:tcPr>
            <w:tcW w:w="1608" w:type="dxa"/>
          </w:tcPr>
          <w:p w:rsidR="001F5730" w:rsidRPr="0045145C" w:rsidRDefault="001F5730" w:rsidP="00DA76F0">
            <w:pPr>
              <w:jc w:val="right"/>
              <w:rPr>
                <w:sz w:val="22"/>
                <w:szCs w:val="22"/>
              </w:rPr>
            </w:pPr>
            <w:r w:rsidRPr="0045145C">
              <w:rPr>
                <w:sz w:val="22"/>
                <w:szCs w:val="22"/>
              </w:rPr>
              <w:t>34</w:t>
            </w:r>
          </w:p>
        </w:tc>
        <w:tc>
          <w:tcPr>
            <w:tcW w:w="1440" w:type="dxa"/>
          </w:tcPr>
          <w:p w:rsidR="001F5730" w:rsidRPr="00850D59" w:rsidRDefault="001F5730" w:rsidP="00DA76F0">
            <w:pPr>
              <w:jc w:val="right"/>
              <w:rPr>
                <w:sz w:val="22"/>
                <w:szCs w:val="22"/>
              </w:rPr>
            </w:pPr>
            <w:r w:rsidRPr="00850D59">
              <w:rPr>
                <w:sz w:val="22"/>
                <w:szCs w:val="22"/>
              </w:rPr>
              <w:t>48</w:t>
            </w:r>
          </w:p>
        </w:tc>
        <w:tc>
          <w:tcPr>
            <w:tcW w:w="1440" w:type="dxa"/>
          </w:tcPr>
          <w:p w:rsidR="001F5730" w:rsidRPr="00CE0D47" w:rsidRDefault="001F5730" w:rsidP="00DA76F0">
            <w:pPr>
              <w:jc w:val="right"/>
              <w:rPr>
                <w:sz w:val="22"/>
                <w:szCs w:val="22"/>
              </w:rPr>
            </w:pPr>
            <w:r w:rsidRPr="00CE0D47">
              <w:rPr>
                <w:sz w:val="22"/>
                <w:szCs w:val="22"/>
              </w:rPr>
              <w:t>48</w:t>
            </w:r>
          </w:p>
        </w:tc>
        <w:tc>
          <w:tcPr>
            <w:tcW w:w="1440" w:type="dxa"/>
          </w:tcPr>
          <w:p w:rsidR="001F5730" w:rsidRPr="00CE0D47" w:rsidRDefault="001F5730" w:rsidP="00DA76F0">
            <w:pPr>
              <w:jc w:val="right"/>
              <w:rPr>
                <w:sz w:val="22"/>
                <w:szCs w:val="22"/>
              </w:rPr>
            </w:pPr>
            <w:r w:rsidRPr="00CE0D47">
              <w:rPr>
                <w:sz w:val="22"/>
                <w:szCs w:val="22"/>
              </w:rPr>
              <w:t>3,539</w:t>
            </w:r>
          </w:p>
        </w:tc>
      </w:tr>
      <w:tr w:rsidR="001F5730" w:rsidRPr="00561629" w:rsidTr="00DA76F0">
        <w:tc>
          <w:tcPr>
            <w:tcW w:w="2700" w:type="dxa"/>
          </w:tcPr>
          <w:p w:rsidR="001F5730" w:rsidRPr="00561629" w:rsidRDefault="001F5730" w:rsidP="00DA76F0">
            <w:pPr>
              <w:rPr>
                <w:sz w:val="22"/>
                <w:szCs w:val="22"/>
              </w:rPr>
            </w:pPr>
            <w:r>
              <w:rPr>
                <w:sz w:val="22"/>
                <w:szCs w:val="22"/>
              </w:rPr>
              <w:t>Responses per Respondent</w:t>
            </w:r>
          </w:p>
        </w:tc>
        <w:tc>
          <w:tcPr>
            <w:tcW w:w="720" w:type="dxa"/>
          </w:tcPr>
          <w:p w:rsidR="001F5730" w:rsidRPr="00561629" w:rsidRDefault="001F5730" w:rsidP="00DA76F0">
            <w:pPr>
              <w:rPr>
                <w:sz w:val="22"/>
                <w:szCs w:val="22"/>
              </w:rPr>
            </w:pPr>
            <w:r>
              <w:rPr>
                <w:sz w:val="22"/>
                <w:szCs w:val="22"/>
              </w:rPr>
              <w:t>(1)</w:t>
            </w:r>
          </w:p>
        </w:tc>
        <w:tc>
          <w:tcPr>
            <w:tcW w:w="1452" w:type="dxa"/>
          </w:tcPr>
          <w:p w:rsidR="001F5730" w:rsidRPr="0045145C" w:rsidRDefault="001F5730" w:rsidP="00DA76F0">
            <w:pPr>
              <w:jc w:val="right"/>
              <w:rPr>
                <w:sz w:val="22"/>
                <w:szCs w:val="22"/>
              </w:rPr>
            </w:pPr>
            <w:r w:rsidRPr="0045145C">
              <w:rPr>
                <w:sz w:val="22"/>
                <w:szCs w:val="22"/>
              </w:rPr>
              <w:t>1</w:t>
            </w:r>
          </w:p>
        </w:tc>
        <w:tc>
          <w:tcPr>
            <w:tcW w:w="1608" w:type="dxa"/>
          </w:tcPr>
          <w:p w:rsidR="001F5730" w:rsidRPr="0045145C" w:rsidRDefault="001F5730" w:rsidP="00DA76F0">
            <w:pPr>
              <w:jc w:val="right"/>
              <w:rPr>
                <w:sz w:val="22"/>
                <w:szCs w:val="22"/>
              </w:rPr>
            </w:pPr>
            <w:r w:rsidRPr="0045145C">
              <w:rPr>
                <w:sz w:val="22"/>
                <w:szCs w:val="22"/>
              </w:rPr>
              <w:t>1</w:t>
            </w:r>
          </w:p>
        </w:tc>
        <w:tc>
          <w:tcPr>
            <w:tcW w:w="1440" w:type="dxa"/>
          </w:tcPr>
          <w:p w:rsidR="001F5730" w:rsidRPr="00850D59" w:rsidRDefault="001F5730" w:rsidP="00DA76F0">
            <w:pPr>
              <w:jc w:val="right"/>
              <w:rPr>
                <w:sz w:val="22"/>
                <w:szCs w:val="22"/>
              </w:rPr>
            </w:pPr>
            <w:r w:rsidRPr="00850D59">
              <w:rPr>
                <w:sz w:val="22"/>
                <w:szCs w:val="22"/>
              </w:rPr>
              <w:t>1</w:t>
            </w:r>
          </w:p>
        </w:tc>
        <w:tc>
          <w:tcPr>
            <w:tcW w:w="1440" w:type="dxa"/>
          </w:tcPr>
          <w:p w:rsidR="001F5730" w:rsidRPr="00CE0D47" w:rsidRDefault="001F5730" w:rsidP="00DA76F0">
            <w:pPr>
              <w:jc w:val="right"/>
              <w:rPr>
                <w:sz w:val="22"/>
                <w:szCs w:val="22"/>
              </w:rPr>
            </w:pPr>
            <w:r w:rsidRPr="00CE0D47">
              <w:rPr>
                <w:sz w:val="22"/>
                <w:szCs w:val="22"/>
              </w:rPr>
              <w:t>2</w:t>
            </w:r>
          </w:p>
        </w:tc>
        <w:tc>
          <w:tcPr>
            <w:tcW w:w="1440" w:type="dxa"/>
          </w:tcPr>
          <w:p w:rsidR="001F5730" w:rsidRPr="00CE0D47" w:rsidRDefault="001F5730" w:rsidP="00DA76F0">
            <w:pPr>
              <w:jc w:val="right"/>
              <w:rPr>
                <w:sz w:val="22"/>
                <w:szCs w:val="22"/>
              </w:rPr>
            </w:pPr>
            <w:r w:rsidRPr="00CE0D47">
              <w:rPr>
                <w:sz w:val="22"/>
                <w:szCs w:val="22"/>
              </w:rPr>
              <w:t>1.01</w:t>
            </w:r>
          </w:p>
        </w:tc>
      </w:tr>
      <w:tr w:rsidR="001F5730" w:rsidRPr="00561629" w:rsidTr="00DA76F0">
        <w:tc>
          <w:tcPr>
            <w:tcW w:w="2700" w:type="dxa"/>
          </w:tcPr>
          <w:p w:rsidR="001F5730" w:rsidRPr="00561629" w:rsidRDefault="001F5730" w:rsidP="00DA76F0">
            <w:pPr>
              <w:rPr>
                <w:sz w:val="22"/>
                <w:szCs w:val="22"/>
              </w:rPr>
            </w:pPr>
            <w:r>
              <w:rPr>
                <w:sz w:val="22"/>
                <w:szCs w:val="22"/>
              </w:rPr>
              <w:t>Annual Responses</w:t>
            </w:r>
          </w:p>
        </w:tc>
        <w:tc>
          <w:tcPr>
            <w:tcW w:w="720" w:type="dxa"/>
          </w:tcPr>
          <w:p w:rsidR="001F5730" w:rsidRPr="00561629" w:rsidRDefault="001F5730" w:rsidP="00DA76F0">
            <w:pPr>
              <w:rPr>
                <w:sz w:val="22"/>
                <w:szCs w:val="22"/>
              </w:rPr>
            </w:pPr>
          </w:p>
        </w:tc>
        <w:tc>
          <w:tcPr>
            <w:tcW w:w="1452" w:type="dxa"/>
          </w:tcPr>
          <w:p w:rsidR="001F5730" w:rsidRPr="0045145C" w:rsidRDefault="001F5730" w:rsidP="00DA76F0">
            <w:pPr>
              <w:jc w:val="right"/>
              <w:rPr>
                <w:sz w:val="22"/>
                <w:szCs w:val="22"/>
              </w:rPr>
            </w:pPr>
            <w:r w:rsidRPr="0045145C">
              <w:rPr>
                <w:sz w:val="22"/>
                <w:szCs w:val="22"/>
              </w:rPr>
              <w:t>3409</w:t>
            </w:r>
          </w:p>
          <w:p w:rsidR="001F5730" w:rsidRPr="0045145C" w:rsidRDefault="001F5730" w:rsidP="00DA76F0">
            <w:pPr>
              <w:jc w:val="right"/>
              <w:rPr>
                <w:sz w:val="22"/>
                <w:szCs w:val="22"/>
              </w:rPr>
            </w:pPr>
          </w:p>
        </w:tc>
        <w:tc>
          <w:tcPr>
            <w:tcW w:w="1608" w:type="dxa"/>
          </w:tcPr>
          <w:p w:rsidR="001F5730" w:rsidRPr="0045145C" w:rsidRDefault="001F5730" w:rsidP="00DA76F0">
            <w:pPr>
              <w:jc w:val="right"/>
              <w:rPr>
                <w:sz w:val="22"/>
                <w:szCs w:val="22"/>
              </w:rPr>
            </w:pPr>
            <w:r w:rsidRPr="0045145C">
              <w:rPr>
                <w:sz w:val="22"/>
                <w:szCs w:val="22"/>
              </w:rPr>
              <w:t>34</w:t>
            </w:r>
          </w:p>
        </w:tc>
        <w:tc>
          <w:tcPr>
            <w:tcW w:w="1440" w:type="dxa"/>
          </w:tcPr>
          <w:p w:rsidR="001F5730" w:rsidRPr="00850D59" w:rsidRDefault="001F5730" w:rsidP="00DA76F0">
            <w:pPr>
              <w:jc w:val="right"/>
              <w:rPr>
                <w:sz w:val="22"/>
                <w:szCs w:val="22"/>
              </w:rPr>
            </w:pPr>
            <w:r w:rsidRPr="00850D59">
              <w:rPr>
                <w:sz w:val="22"/>
                <w:szCs w:val="22"/>
              </w:rPr>
              <w:t>48</w:t>
            </w:r>
          </w:p>
        </w:tc>
        <w:tc>
          <w:tcPr>
            <w:tcW w:w="1440" w:type="dxa"/>
          </w:tcPr>
          <w:p w:rsidR="001F5730" w:rsidRPr="00CE0D47" w:rsidRDefault="001F5730" w:rsidP="00DA76F0">
            <w:pPr>
              <w:jc w:val="right"/>
              <w:rPr>
                <w:sz w:val="22"/>
                <w:szCs w:val="22"/>
              </w:rPr>
            </w:pPr>
            <w:r w:rsidRPr="00CE0D47">
              <w:rPr>
                <w:sz w:val="22"/>
                <w:szCs w:val="22"/>
              </w:rPr>
              <w:t>96</w:t>
            </w:r>
          </w:p>
        </w:tc>
        <w:tc>
          <w:tcPr>
            <w:tcW w:w="1440" w:type="dxa"/>
          </w:tcPr>
          <w:p w:rsidR="001F5730" w:rsidRPr="00CE0D47" w:rsidRDefault="001F5730" w:rsidP="00DA76F0">
            <w:pPr>
              <w:jc w:val="right"/>
              <w:rPr>
                <w:sz w:val="22"/>
                <w:szCs w:val="22"/>
              </w:rPr>
            </w:pPr>
            <w:r w:rsidRPr="00CE0D47">
              <w:rPr>
                <w:sz w:val="22"/>
                <w:szCs w:val="22"/>
              </w:rPr>
              <w:t>3,587</w:t>
            </w:r>
          </w:p>
        </w:tc>
      </w:tr>
      <w:tr w:rsidR="001F5730" w:rsidRPr="00561629" w:rsidTr="00DA76F0">
        <w:tc>
          <w:tcPr>
            <w:tcW w:w="2700" w:type="dxa"/>
          </w:tcPr>
          <w:p w:rsidR="001F5730" w:rsidRPr="00561629" w:rsidRDefault="001F5730" w:rsidP="00DA76F0">
            <w:pPr>
              <w:rPr>
                <w:sz w:val="22"/>
                <w:szCs w:val="22"/>
              </w:rPr>
            </w:pPr>
            <w:r>
              <w:rPr>
                <w:sz w:val="22"/>
                <w:szCs w:val="22"/>
              </w:rPr>
              <w:t>Hours Per Response</w:t>
            </w:r>
          </w:p>
        </w:tc>
        <w:tc>
          <w:tcPr>
            <w:tcW w:w="720" w:type="dxa"/>
          </w:tcPr>
          <w:p w:rsidR="001F5730" w:rsidRPr="00561629" w:rsidRDefault="001F5730" w:rsidP="00DA76F0">
            <w:pPr>
              <w:rPr>
                <w:sz w:val="22"/>
                <w:szCs w:val="22"/>
              </w:rPr>
            </w:pPr>
            <w:r>
              <w:rPr>
                <w:sz w:val="22"/>
                <w:szCs w:val="22"/>
              </w:rPr>
              <w:t>(1)</w:t>
            </w:r>
          </w:p>
        </w:tc>
        <w:tc>
          <w:tcPr>
            <w:tcW w:w="1452" w:type="dxa"/>
          </w:tcPr>
          <w:p w:rsidR="001F5730" w:rsidRPr="0045145C" w:rsidRDefault="001F5730" w:rsidP="00DA76F0">
            <w:pPr>
              <w:jc w:val="right"/>
              <w:rPr>
                <w:sz w:val="22"/>
                <w:szCs w:val="22"/>
              </w:rPr>
            </w:pPr>
            <w:r w:rsidRPr="0045145C">
              <w:rPr>
                <w:sz w:val="22"/>
                <w:szCs w:val="22"/>
              </w:rPr>
              <w:t>105</w:t>
            </w:r>
          </w:p>
        </w:tc>
        <w:tc>
          <w:tcPr>
            <w:tcW w:w="1608" w:type="dxa"/>
          </w:tcPr>
          <w:p w:rsidR="001F5730" w:rsidRPr="0045145C" w:rsidRDefault="001F5730" w:rsidP="00DA76F0">
            <w:pPr>
              <w:jc w:val="right"/>
              <w:rPr>
                <w:sz w:val="22"/>
                <w:szCs w:val="22"/>
              </w:rPr>
            </w:pPr>
            <w:r w:rsidRPr="0045145C">
              <w:rPr>
                <w:sz w:val="22"/>
                <w:szCs w:val="22"/>
              </w:rPr>
              <w:t>3</w:t>
            </w:r>
          </w:p>
        </w:tc>
        <w:tc>
          <w:tcPr>
            <w:tcW w:w="1440" w:type="dxa"/>
          </w:tcPr>
          <w:p w:rsidR="001F5730" w:rsidRPr="00850D59" w:rsidRDefault="001F5730" w:rsidP="00DA76F0">
            <w:pPr>
              <w:jc w:val="right"/>
              <w:rPr>
                <w:sz w:val="22"/>
                <w:szCs w:val="22"/>
              </w:rPr>
            </w:pPr>
            <w:r w:rsidRPr="00850D59">
              <w:rPr>
                <w:sz w:val="22"/>
                <w:szCs w:val="22"/>
              </w:rPr>
              <w:t>20</w:t>
            </w:r>
          </w:p>
        </w:tc>
        <w:tc>
          <w:tcPr>
            <w:tcW w:w="1440" w:type="dxa"/>
          </w:tcPr>
          <w:p w:rsidR="001F5730" w:rsidRPr="00CE0D47" w:rsidRDefault="001F5730" w:rsidP="00DA76F0">
            <w:pPr>
              <w:jc w:val="right"/>
              <w:rPr>
                <w:sz w:val="22"/>
                <w:szCs w:val="22"/>
              </w:rPr>
            </w:pPr>
            <w:r w:rsidRPr="00CE0D47">
              <w:rPr>
                <w:sz w:val="22"/>
                <w:szCs w:val="22"/>
              </w:rPr>
              <w:t>.08</w:t>
            </w:r>
          </w:p>
        </w:tc>
        <w:tc>
          <w:tcPr>
            <w:tcW w:w="1440" w:type="dxa"/>
          </w:tcPr>
          <w:p w:rsidR="001F5730" w:rsidRPr="00CE0D47" w:rsidRDefault="001F5730" w:rsidP="00DA76F0">
            <w:pPr>
              <w:jc w:val="right"/>
              <w:rPr>
                <w:sz w:val="22"/>
                <w:szCs w:val="22"/>
              </w:rPr>
            </w:pPr>
            <w:r w:rsidRPr="00CE0D47">
              <w:rPr>
                <w:sz w:val="22"/>
                <w:szCs w:val="22"/>
              </w:rPr>
              <w:t>100.</w:t>
            </w:r>
            <w:r>
              <w:rPr>
                <w:sz w:val="22"/>
                <w:szCs w:val="22"/>
              </w:rPr>
              <w:t>09</w:t>
            </w:r>
          </w:p>
        </w:tc>
      </w:tr>
      <w:tr w:rsidR="001F5730" w:rsidRPr="00561629" w:rsidTr="00DA76F0">
        <w:tc>
          <w:tcPr>
            <w:tcW w:w="2700" w:type="dxa"/>
          </w:tcPr>
          <w:p w:rsidR="001F5730" w:rsidRPr="00561629" w:rsidRDefault="001F5730" w:rsidP="00DA76F0">
            <w:pPr>
              <w:rPr>
                <w:sz w:val="22"/>
                <w:szCs w:val="22"/>
              </w:rPr>
            </w:pPr>
            <w:r>
              <w:rPr>
                <w:sz w:val="22"/>
                <w:szCs w:val="22"/>
              </w:rPr>
              <w:t>Total Hours</w:t>
            </w:r>
          </w:p>
        </w:tc>
        <w:tc>
          <w:tcPr>
            <w:tcW w:w="720" w:type="dxa"/>
          </w:tcPr>
          <w:p w:rsidR="001F5730" w:rsidRPr="00561629" w:rsidRDefault="001F5730" w:rsidP="00DA76F0">
            <w:pPr>
              <w:rPr>
                <w:sz w:val="22"/>
                <w:szCs w:val="22"/>
              </w:rPr>
            </w:pPr>
          </w:p>
        </w:tc>
        <w:tc>
          <w:tcPr>
            <w:tcW w:w="1452" w:type="dxa"/>
          </w:tcPr>
          <w:p w:rsidR="001F5730" w:rsidRPr="0045145C" w:rsidRDefault="001F5730" w:rsidP="00DA76F0">
            <w:pPr>
              <w:jc w:val="right"/>
              <w:rPr>
                <w:sz w:val="22"/>
                <w:szCs w:val="22"/>
              </w:rPr>
            </w:pPr>
            <w:r w:rsidRPr="0045145C">
              <w:rPr>
                <w:sz w:val="22"/>
                <w:szCs w:val="22"/>
              </w:rPr>
              <w:t>357,945</w:t>
            </w:r>
          </w:p>
        </w:tc>
        <w:tc>
          <w:tcPr>
            <w:tcW w:w="1608" w:type="dxa"/>
          </w:tcPr>
          <w:p w:rsidR="001F5730" w:rsidRPr="0045145C" w:rsidRDefault="001F5730" w:rsidP="00DA76F0">
            <w:pPr>
              <w:jc w:val="right"/>
              <w:rPr>
                <w:sz w:val="22"/>
                <w:szCs w:val="22"/>
              </w:rPr>
            </w:pPr>
            <w:r w:rsidRPr="0045145C">
              <w:rPr>
                <w:sz w:val="22"/>
                <w:szCs w:val="22"/>
              </w:rPr>
              <w:t>102</w:t>
            </w:r>
          </w:p>
        </w:tc>
        <w:tc>
          <w:tcPr>
            <w:tcW w:w="1440" w:type="dxa"/>
          </w:tcPr>
          <w:p w:rsidR="001F5730" w:rsidRPr="00850D59" w:rsidRDefault="001F5730" w:rsidP="00DA76F0">
            <w:pPr>
              <w:jc w:val="right"/>
              <w:rPr>
                <w:sz w:val="22"/>
                <w:szCs w:val="22"/>
              </w:rPr>
            </w:pPr>
            <w:r w:rsidRPr="00850D59">
              <w:rPr>
                <w:sz w:val="22"/>
                <w:szCs w:val="22"/>
              </w:rPr>
              <w:t>960</w:t>
            </w:r>
          </w:p>
        </w:tc>
        <w:tc>
          <w:tcPr>
            <w:tcW w:w="1440" w:type="dxa"/>
          </w:tcPr>
          <w:p w:rsidR="001F5730" w:rsidRPr="00CE0D47" w:rsidRDefault="001F5730" w:rsidP="00DA76F0">
            <w:pPr>
              <w:jc w:val="right"/>
              <w:rPr>
                <w:sz w:val="22"/>
                <w:szCs w:val="22"/>
              </w:rPr>
            </w:pPr>
            <w:r w:rsidRPr="00CE0D47">
              <w:rPr>
                <w:sz w:val="22"/>
                <w:szCs w:val="22"/>
              </w:rPr>
              <w:t>8</w:t>
            </w:r>
          </w:p>
        </w:tc>
        <w:tc>
          <w:tcPr>
            <w:tcW w:w="1440" w:type="dxa"/>
          </w:tcPr>
          <w:p w:rsidR="001F5730" w:rsidRPr="00CE0D47" w:rsidRDefault="001F5730" w:rsidP="00DA76F0">
            <w:pPr>
              <w:jc w:val="right"/>
              <w:rPr>
                <w:sz w:val="22"/>
                <w:szCs w:val="22"/>
              </w:rPr>
            </w:pPr>
            <w:r>
              <w:rPr>
                <w:sz w:val="22"/>
                <w:szCs w:val="22"/>
              </w:rPr>
              <w:t>359,015</w:t>
            </w:r>
          </w:p>
        </w:tc>
      </w:tr>
      <w:tr w:rsidR="001F5730" w:rsidRPr="00561629" w:rsidTr="00DA76F0">
        <w:tc>
          <w:tcPr>
            <w:tcW w:w="2700" w:type="dxa"/>
          </w:tcPr>
          <w:p w:rsidR="001F5730" w:rsidRPr="00561629" w:rsidRDefault="001F5730" w:rsidP="00DA76F0">
            <w:pPr>
              <w:rPr>
                <w:sz w:val="22"/>
                <w:szCs w:val="22"/>
              </w:rPr>
            </w:pPr>
            <w:r>
              <w:rPr>
                <w:sz w:val="22"/>
                <w:szCs w:val="22"/>
              </w:rPr>
              <w:t>Cost Per Hour</w:t>
            </w:r>
          </w:p>
        </w:tc>
        <w:tc>
          <w:tcPr>
            <w:tcW w:w="720" w:type="dxa"/>
          </w:tcPr>
          <w:p w:rsidR="001F5730" w:rsidRPr="00561629" w:rsidRDefault="001F5730" w:rsidP="00DA76F0">
            <w:pPr>
              <w:rPr>
                <w:sz w:val="22"/>
                <w:szCs w:val="22"/>
              </w:rPr>
            </w:pPr>
            <w:r>
              <w:rPr>
                <w:sz w:val="22"/>
                <w:szCs w:val="22"/>
              </w:rPr>
              <w:t>(2)</w:t>
            </w:r>
          </w:p>
        </w:tc>
        <w:tc>
          <w:tcPr>
            <w:tcW w:w="1452" w:type="dxa"/>
          </w:tcPr>
          <w:p w:rsidR="001F5730" w:rsidRPr="0045145C" w:rsidRDefault="001F5730" w:rsidP="00DA76F0">
            <w:pPr>
              <w:jc w:val="right"/>
              <w:rPr>
                <w:sz w:val="22"/>
                <w:szCs w:val="22"/>
              </w:rPr>
            </w:pPr>
            <w:r w:rsidRPr="0045145C">
              <w:rPr>
                <w:sz w:val="22"/>
                <w:szCs w:val="22"/>
              </w:rPr>
              <w:t>$38.20</w:t>
            </w:r>
          </w:p>
        </w:tc>
        <w:tc>
          <w:tcPr>
            <w:tcW w:w="1608" w:type="dxa"/>
          </w:tcPr>
          <w:p w:rsidR="001F5730" w:rsidRPr="0045145C" w:rsidRDefault="001F5730" w:rsidP="00DA76F0">
            <w:pPr>
              <w:jc w:val="right"/>
              <w:rPr>
                <w:sz w:val="22"/>
                <w:szCs w:val="22"/>
              </w:rPr>
            </w:pPr>
            <w:r w:rsidRPr="0045145C">
              <w:rPr>
                <w:sz w:val="22"/>
                <w:szCs w:val="22"/>
              </w:rPr>
              <w:t>$38.20</w:t>
            </w:r>
          </w:p>
        </w:tc>
        <w:tc>
          <w:tcPr>
            <w:tcW w:w="1440" w:type="dxa"/>
          </w:tcPr>
          <w:p w:rsidR="001F5730" w:rsidRPr="00850D59" w:rsidRDefault="001F5730" w:rsidP="00DA76F0">
            <w:pPr>
              <w:jc w:val="right"/>
              <w:rPr>
                <w:sz w:val="22"/>
                <w:szCs w:val="22"/>
              </w:rPr>
            </w:pPr>
            <w:r w:rsidRPr="00850D59">
              <w:rPr>
                <w:sz w:val="22"/>
                <w:szCs w:val="22"/>
              </w:rPr>
              <w:t>$38.20</w:t>
            </w:r>
          </w:p>
        </w:tc>
        <w:tc>
          <w:tcPr>
            <w:tcW w:w="1440" w:type="dxa"/>
          </w:tcPr>
          <w:p w:rsidR="001F5730" w:rsidRPr="00CE0D47" w:rsidRDefault="001F5730" w:rsidP="00DA76F0">
            <w:pPr>
              <w:jc w:val="right"/>
              <w:rPr>
                <w:sz w:val="22"/>
                <w:szCs w:val="22"/>
              </w:rPr>
            </w:pPr>
            <w:r w:rsidRPr="00CE0D47">
              <w:rPr>
                <w:sz w:val="22"/>
                <w:szCs w:val="22"/>
              </w:rPr>
              <w:t>$38.20</w:t>
            </w:r>
          </w:p>
        </w:tc>
        <w:tc>
          <w:tcPr>
            <w:tcW w:w="1440" w:type="dxa"/>
          </w:tcPr>
          <w:p w:rsidR="001F5730" w:rsidRPr="00CE0D47" w:rsidRDefault="001F5730" w:rsidP="00DA76F0">
            <w:pPr>
              <w:jc w:val="right"/>
              <w:rPr>
                <w:sz w:val="22"/>
                <w:szCs w:val="22"/>
              </w:rPr>
            </w:pPr>
            <w:r w:rsidRPr="00CE0D47">
              <w:rPr>
                <w:sz w:val="22"/>
                <w:szCs w:val="22"/>
              </w:rPr>
              <w:t>$38.20</w:t>
            </w:r>
          </w:p>
        </w:tc>
      </w:tr>
      <w:tr w:rsidR="001F5730" w:rsidRPr="00561629" w:rsidTr="00DA76F0">
        <w:tc>
          <w:tcPr>
            <w:tcW w:w="2700" w:type="dxa"/>
          </w:tcPr>
          <w:p w:rsidR="001F5730" w:rsidRPr="00561629" w:rsidRDefault="001F5730" w:rsidP="00DA76F0">
            <w:pPr>
              <w:rPr>
                <w:sz w:val="22"/>
                <w:szCs w:val="22"/>
              </w:rPr>
            </w:pPr>
            <w:r>
              <w:rPr>
                <w:sz w:val="22"/>
                <w:szCs w:val="22"/>
              </w:rPr>
              <w:t>Total Annual Cost to Public</w:t>
            </w:r>
          </w:p>
        </w:tc>
        <w:tc>
          <w:tcPr>
            <w:tcW w:w="720" w:type="dxa"/>
          </w:tcPr>
          <w:p w:rsidR="001F5730" w:rsidRPr="00561629" w:rsidRDefault="001F5730" w:rsidP="00DA76F0">
            <w:pPr>
              <w:rPr>
                <w:sz w:val="22"/>
                <w:szCs w:val="22"/>
              </w:rPr>
            </w:pPr>
          </w:p>
        </w:tc>
        <w:tc>
          <w:tcPr>
            <w:tcW w:w="1452" w:type="dxa"/>
          </w:tcPr>
          <w:p w:rsidR="001F5730" w:rsidRPr="0045145C" w:rsidRDefault="001F5730" w:rsidP="00DA76F0">
            <w:pPr>
              <w:jc w:val="right"/>
              <w:rPr>
                <w:sz w:val="22"/>
                <w:szCs w:val="22"/>
              </w:rPr>
            </w:pPr>
            <w:r w:rsidRPr="0045145C">
              <w:rPr>
                <w:sz w:val="22"/>
                <w:szCs w:val="22"/>
              </w:rPr>
              <w:t>$13,673,499</w:t>
            </w:r>
          </w:p>
        </w:tc>
        <w:tc>
          <w:tcPr>
            <w:tcW w:w="1608" w:type="dxa"/>
          </w:tcPr>
          <w:p w:rsidR="001F5730" w:rsidRPr="0045145C" w:rsidRDefault="001F5730" w:rsidP="00DA76F0">
            <w:pPr>
              <w:jc w:val="right"/>
              <w:rPr>
                <w:sz w:val="22"/>
                <w:szCs w:val="22"/>
              </w:rPr>
            </w:pPr>
            <w:r w:rsidRPr="0045145C">
              <w:rPr>
                <w:sz w:val="22"/>
                <w:szCs w:val="22"/>
              </w:rPr>
              <w:t>$3,896</w:t>
            </w:r>
          </w:p>
        </w:tc>
        <w:tc>
          <w:tcPr>
            <w:tcW w:w="1440" w:type="dxa"/>
          </w:tcPr>
          <w:p w:rsidR="001F5730" w:rsidRPr="00850D59" w:rsidRDefault="001F5730" w:rsidP="00DA76F0">
            <w:pPr>
              <w:jc w:val="right"/>
              <w:rPr>
                <w:sz w:val="22"/>
                <w:szCs w:val="22"/>
              </w:rPr>
            </w:pPr>
            <w:r w:rsidRPr="00850D59">
              <w:rPr>
                <w:sz w:val="22"/>
                <w:szCs w:val="22"/>
              </w:rPr>
              <w:t>$</w:t>
            </w:r>
            <w:r>
              <w:rPr>
                <w:sz w:val="22"/>
                <w:szCs w:val="22"/>
              </w:rPr>
              <w:t>36,672</w:t>
            </w:r>
          </w:p>
        </w:tc>
        <w:tc>
          <w:tcPr>
            <w:tcW w:w="1440" w:type="dxa"/>
          </w:tcPr>
          <w:p w:rsidR="001F5730" w:rsidRPr="00CE0D47" w:rsidRDefault="001F5730" w:rsidP="00DA76F0">
            <w:pPr>
              <w:jc w:val="right"/>
              <w:rPr>
                <w:sz w:val="22"/>
                <w:szCs w:val="22"/>
              </w:rPr>
            </w:pPr>
            <w:r w:rsidRPr="00CE0D47">
              <w:rPr>
                <w:sz w:val="22"/>
                <w:szCs w:val="22"/>
              </w:rPr>
              <w:t>$304</w:t>
            </w:r>
          </w:p>
        </w:tc>
        <w:tc>
          <w:tcPr>
            <w:tcW w:w="1440" w:type="dxa"/>
          </w:tcPr>
          <w:p w:rsidR="001F5730" w:rsidRPr="00CE0D47" w:rsidRDefault="001F5730" w:rsidP="00DA76F0">
            <w:pPr>
              <w:jc w:val="right"/>
              <w:rPr>
                <w:sz w:val="22"/>
                <w:szCs w:val="22"/>
              </w:rPr>
            </w:pPr>
            <w:r w:rsidRPr="00CE0D47">
              <w:rPr>
                <w:sz w:val="22"/>
                <w:szCs w:val="22"/>
              </w:rPr>
              <w:t>$13,714,372</w:t>
            </w:r>
          </w:p>
        </w:tc>
      </w:tr>
    </w:tbl>
    <w:p w:rsidR="00561629" w:rsidRPr="00DA5009" w:rsidRDefault="00561629" w:rsidP="002F495E"/>
    <w:p w:rsidR="001F5730" w:rsidRPr="006A457D" w:rsidRDefault="001F5730" w:rsidP="001F5730">
      <w:r w:rsidRPr="006A457D">
        <w:rPr>
          <w:u w:val="single"/>
        </w:rPr>
        <w:t>Notes</w:t>
      </w:r>
      <w:r w:rsidRPr="006A457D">
        <w:t>:</w:t>
      </w:r>
    </w:p>
    <w:p w:rsidR="001F5730" w:rsidRDefault="001F5730" w:rsidP="001F5730"/>
    <w:p w:rsidR="001F5730" w:rsidRPr="006A457D" w:rsidRDefault="001F5730" w:rsidP="001F5730">
      <w:r w:rsidRPr="006A457D">
        <w:t>(1)  The estimates of hour burdens for this information collection requirement are based on the DoD FPDS database of contr</w:t>
      </w:r>
      <w:r>
        <w:t>act actions for fiscal year 2010</w:t>
      </w:r>
      <w:r w:rsidRPr="006A457D">
        <w:t xml:space="preserve"> and consultations with DoD personnel.  </w:t>
      </w:r>
      <w:r>
        <w:t xml:space="preserve">In FY 2010, there were 17,045 contract actions relating to construction.  We estimate that 3,409 (20%) of these contract actions were contract modifications requiring submission of a price breakdown.  </w:t>
      </w:r>
      <w:r w:rsidRPr="006A457D">
        <w:t>The total burdens are summarized in TAB A.</w:t>
      </w:r>
      <w:r>
        <w:t xml:space="preserve">  These percentages have not been updated since 2008 due to the moratorium on public-private competition (A-76).</w:t>
      </w:r>
    </w:p>
    <w:p w:rsidR="001F5730" w:rsidRDefault="001F5730" w:rsidP="001F5730"/>
    <w:p w:rsidR="001F5730" w:rsidRPr="006A457D" w:rsidRDefault="001F5730" w:rsidP="001F5730">
      <w:r w:rsidRPr="006A457D">
        <w:t>(2)  Based on GS-09 step 5 salary ($</w:t>
      </w:r>
      <w:r>
        <w:t xml:space="preserve">58,511) plus 36.25% </w:t>
      </w:r>
      <w:r w:rsidRPr="006A457D">
        <w:t>benefits ($</w:t>
      </w:r>
      <w:r>
        <w:t>21,211</w:t>
      </w:r>
      <w:r w:rsidRPr="006A457D">
        <w:t>), divided by 2,087 hours equals $</w:t>
      </w:r>
      <w:r>
        <w:t>38.20.  The 36.2</w:t>
      </w:r>
      <w:r w:rsidRPr="006A457D">
        <w:t>5% fringe benefit rate is derived from Circular No. A-76, Revised Supple</w:t>
      </w:r>
      <w:r>
        <w:t>mental Handbook (Memorandum M-08-13</w:t>
      </w:r>
      <w:r w:rsidRPr="006A457D">
        <w:t xml:space="preserve"> dated </w:t>
      </w:r>
      <w:r>
        <w:t>March 11, 2008</w:t>
      </w:r>
      <w:r w:rsidRPr="006A457D">
        <w:t>) as follows:</w:t>
      </w:r>
    </w:p>
    <w:p w:rsidR="001F5730" w:rsidRPr="006A457D" w:rsidRDefault="001F5730" w:rsidP="001F5730"/>
    <w:p w:rsidR="001F5730" w:rsidRPr="006A457D" w:rsidRDefault="001F5730" w:rsidP="001F5730">
      <w:r w:rsidRPr="006A457D">
        <w:tab/>
        <w:t>Base Payroll</w:t>
      </w:r>
      <w:r w:rsidRPr="006A457D">
        <w:tab/>
      </w:r>
      <w:r w:rsidRPr="006A457D">
        <w:tab/>
      </w:r>
      <w:r w:rsidRPr="006A457D">
        <w:tab/>
        <w:t xml:space="preserve">            </w:t>
      </w:r>
      <w:r w:rsidRPr="006A457D">
        <w:tab/>
      </w:r>
      <w:r>
        <w:t xml:space="preserve"> 26.1</w:t>
      </w:r>
      <w:r w:rsidRPr="006A457D">
        <w:t>%</w:t>
      </w:r>
    </w:p>
    <w:p w:rsidR="001F5730" w:rsidRPr="006A457D" w:rsidRDefault="001F5730" w:rsidP="001F5730">
      <w:r w:rsidRPr="006A457D">
        <w:tab/>
        <w:t>Insurance and health benefits</w:t>
      </w:r>
      <w:r w:rsidRPr="006A457D">
        <w:tab/>
        <w:t xml:space="preserve">  </w:t>
      </w:r>
      <w:r w:rsidRPr="006A457D">
        <w:tab/>
        <w:t xml:space="preserve"> </w:t>
      </w:r>
      <w:r>
        <w:tab/>
        <w:t xml:space="preserve">   </w:t>
      </w:r>
      <w:r w:rsidRPr="006A457D">
        <w:t>7</w:t>
      </w:r>
      <w:r>
        <w:t>.0</w:t>
      </w:r>
      <w:r w:rsidRPr="006A457D">
        <w:t>%</w:t>
      </w:r>
    </w:p>
    <w:p w:rsidR="001F5730" w:rsidRPr="00C379A9" w:rsidRDefault="001F5730" w:rsidP="001F5730">
      <w:r w:rsidRPr="006A457D">
        <w:tab/>
        <w:t>Medicare</w:t>
      </w:r>
      <w:r w:rsidRPr="006A457D">
        <w:tab/>
      </w:r>
      <w:r w:rsidRPr="006A457D">
        <w:tab/>
      </w:r>
      <w:r w:rsidRPr="006A457D">
        <w:tab/>
      </w:r>
      <w:r w:rsidRPr="006A457D">
        <w:tab/>
      </w:r>
      <w:r w:rsidRPr="006A457D">
        <w:tab/>
      </w:r>
      <w:r>
        <w:t xml:space="preserve">  </w:t>
      </w:r>
      <w:r w:rsidRPr="00C379A9">
        <w:t xml:space="preserve"> 1.45%</w:t>
      </w:r>
    </w:p>
    <w:p w:rsidR="001F5730" w:rsidRPr="00C379A9" w:rsidRDefault="001F5730" w:rsidP="001F5730">
      <w:r w:rsidRPr="00C379A9">
        <w:tab/>
        <w:t>Misc</w:t>
      </w:r>
      <w:r>
        <w:tab/>
      </w:r>
      <w:r>
        <w:tab/>
      </w:r>
      <w:r>
        <w:tab/>
      </w:r>
      <w:r>
        <w:tab/>
      </w:r>
      <w:r>
        <w:tab/>
      </w:r>
      <w:r>
        <w:tab/>
      </w:r>
      <w:r>
        <w:rPr>
          <w:u w:val="single"/>
        </w:rPr>
        <w:t xml:space="preserve">   </w:t>
      </w:r>
      <w:r w:rsidRPr="00C379A9">
        <w:rPr>
          <w:u w:val="single"/>
        </w:rPr>
        <w:t>1.7%</w:t>
      </w:r>
      <w:r>
        <w:tab/>
      </w:r>
    </w:p>
    <w:p w:rsidR="001F5730" w:rsidRPr="006A457D" w:rsidRDefault="001F5730" w:rsidP="001F5730">
      <w:r>
        <w:tab/>
      </w:r>
      <w:r>
        <w:tab/>
      </w:r>
      <w:r>
        <w:tab/>
      </w:r>
      <w:r>
        <w:tab/>
      </w:r>
      <w:r>
        <w:tab/>
      </w:r>
      <w:r>
        <w:tab/>
      </w:r>
      <w:r>
        <w:tab/>
        <w:t xml:space="preserve"> 36.2</w:t>
      </w:r>
      <w:r w:rsidRPr="006A457D">
        <w:t>5%</w:t>
      </w:r>
    </w:p>
    <w:p w:rsidR="00CB6AC7" w:rsidRPr="006A457D" w:rsidRDefault="00CB6AC7" w:rsidP="002F495E"/>
    <w:p w:rsidR="00CB6AC7" w:rsidRDefault="00CC16CB" w:rsidP="002F495E">
      <w:r w:rsidRPr="00CC16CB">
        <w:rPr>
          <w:b/>
        </w:rPr>
        <w:t>13.  Estimated nonrecurring costs</w:t>
      </w:r>
      <w:r w:rsidRPr="00CC16CB">
        <w:t>.  We estimate that there are no nonrecurring costs, i.e., capital and start-up operation and maintenance costs other than the hour burden detailed in section 12.</w:t>
      </w:r>
    </w:p>
    <w:p w:rsidR="001E5353" w:rsidRDefault="001E5353">
      <w:r>
        <w:br w:type="page"/>
      </w:r>
    </w:p>
    <w:p w:rsidR="00CC16CB" w:rsidRPr="00CC16CB" w:rsidRDefault="00CC16CB" w:rsidP="002F495E"/>
    <w:p w:rsidR="00CB6AC7" w:rsidRPr="00DA5009" w:rsidRDefault="00CB6AC7" w:rsidP="002F495E">
      <w:r w:rsidRPr="00CC16CB">
        <w:rPr>
          <w:b/>
        </w:rPr>
        <w:t>14.  Estimate</w:t>
      </w:r>
      <w:r w:rsidR="00CC16CB" w:rsidRPr="00CC16CB">
        <w:rPr>
          <w:b/>
        </w:rPr>
        <w:t xml:space="preserve">d cost to </w:t>
      </w:r>
      <w:r w:rsidRPr="00CC16CB">
        <w:rPr>
          <w:b/>
        </w:rPr>
        <w:t>Government.</w:t>
      </w:r>
      <w:r w:rsidRPr="00DA5009">
        <w:t xml:space="preserve">  The time required for the Government to review the requirements of Part 236 is estimated to be approximately </w:t>
      </w:r>
      <w:r w:rsidR="005C6AB0">
        <w:t>272,988</w:t>
      </w:r>
      <w:r w:rsidRPr="00DA5009">
        <w:t xml:space="preserve"> hours.</w:t>
      </w:r>
      <w:r w:rsidR="004F3E41" w:rsidRPr="00DA5009">
        <w:t xml:space="preserve">  This estimate is based on receiving</w:t>
      </w:r>
      <w:r w:rsidRPr="00DA5009">
        <w:t xml:space="preserve"> reviewing and analyzing the information submitted by the contractor and was developed as a result of discussions with contracting specialists who are familiar with construction contracting.  (See matrix at TAB A for details)</w:t>
      </w:r>
    </w:p>
    <w:p w:rsidR="004F3E41" w:rsidRDefault="004F3E41" w:rsidP="002F495E"/>
    <w:tbl>
      <w:tblPr>
        <w:tblStyle w:val="TableGrid"/>
        <w:tblW w:w="10800" w:type="dxa"/>
        <w:tblInd w:w="-972" w:type="dxa"/>
        <w:tblLayout w:type="fixed"/>
        <w:tblLook w:val="01E0"/>
      </w:tblPr>
      <w:tblGrid>
        <w:gridCol w:w="2700"/>
        <w:gridCol w:w="720"/>
        <w:gridCol w:w="1452"/>
        <w:gridCol w:w="1608"/>
        <w:gridCol w:w="1440"/>
        <w:gridCol w:w="1440"/>
        <w:gridCol w:w="1440"/>
      </w:tblGrid>
      <w:tr w:rsidR="006A457D" w:rsidRPr="005C6AB0" w:rsidTr="00391352">
        <w:tc>
          <w:tcPr>
            <w:tcW w:w="2700" w:type="dxa"/>
          </w:tcPr>
          <w:p w:rsidR="006A457D" w:rsidRPr="005C6AB0" w:rsidRDefault="006A457D" w:rsidP="00391352">
            <w:pPr>
              <w:jc w:val="center"/>
              <w:rPr>
                <w:sz w:val="22"/>
                <w:szCs w:val="22"/>
              </w:rPr>
            </w:pPr>
          </w:p>
        </w:tc>
        <w:tc>
          <w:tcPr>
            <w:tcW w:w="720" w:type="dxa"/>
          </w:tcPr>
          <w:p w:rsidR="006A457D" w:rsidRPr="005C6AB0" w:rsidRDefault="006A457D" w:rsidP="00391352">
            <w:pPr>
              <w:jc w:val="center"/>
              <w:rPr>
                <w:sz w:val="22"/>
                <w:szCs w:val="22"/>
              </w:rPr>
            </w:pPr>
            <w:r w:rsidRPr="005C6AB0">
              <w:rPr>
                <w:sz w:val="22"/>
                <w:szCs w:val="22"/>
              </w:rPr>
              <w:t>Note</w:t>
            </w:r>
          </w:p>
        </w:tc>
        <w:tc>
          <w:tcPr>
            <w:tcW w:w="1452" w:type="dxa"/>
          </w:tcPr>
          <w:p w:rsidR="006A457D" w:rsidRPr="005C6AB0" w:rsidRDefault="006A457D" w:rsidP="00391352">
            <w:pPr>
              <w:jc w:val="center"/>
              <w:rPr>
                <w:sz w:val="22"/>
                <w:szCs w:val="22"/>
              </w:rPr>
            </w:pPr>
            <w:r w:rsidRPr="005C6AB0">
              <w:rPr>
                <w:sz w:val="22"/>
                <w:szCs w:val="22"/>
              </w:rPr>
              <w:t>252.236-7000</w:t>
            </w:r>
          </w:p>
        </w:tc>
        <w:tc>
          <w:tcPr>
            <w:tcW w:w="1608" w:type="dxa"/>
          </w:tcPr>
          <w:p w:rsidR="006A457D" w:rsidRPr="005C6AB0" w:rsidRDefault="006A457D" w:rsidP="00391352">
            <w:pPr>
              <w:jc w:val="center"/>
              <w:rPr>
                <w:sz w:val="22"/>
                <w:szCs w:val="22"/>
              </w:rPr>
            </w:pPr>
            <w:r w:rsidRPr="005C6AB0">
              <w:rPr>
                <w:sz w:val="22"/>
                <w:szCs w:val="22"/>
              </w:rPr>
              <w:t>252.236-7002</w:t>
            </w:r>
          </w:p>
        </w:tc>
        <w:tc>
          <w:tcPr>
            <w:tcW w:w="1440" w:type="dxa"/>
          </w:tcPr>
          <w:p w:rsidR="006A457D" w:rsidRPr="005C6AB0" w:rsidRDefault="006A457D" w:rsidP="00391352">
            <w:pPr>
              <w:jc w:val="center"/>
              <w:rPr>
                <w:sz w:val="22"/>
                <w:szCs w:val="22"/>
              </w:rPr>
            </w:pPr>
            <w:r w:rsidRPr="005C6AB0">
              <w:rPr>
                <w:sz w:val="22"/>
                <w:szCs w:val="22"/>
              </w:rPr>
              <w:t>252.236-7003 &amp; 7004</w:t>
            </w:r>
          </w:p>
        </w:tc>
        <w:tc>
          <w:tcPr>
            <w:tcW w:w="1440" w:type="dxa"/>
          </w:tcPr>
          <w:p w:rsidR="006A457D" w:rsidRPr="005C6AB0" w:rsidRDefault="006A457D" w:rsidP="00391352">
            <w:pPr>
              <w:jc w:val="center"/>
              <w:rPr>
                <w:sz w:val="22"/>
                <w:szCs w:val="22"/>
              </w:rPr>
            </w:pPr>
            <w:r w:rsidRPr="005C6AB0">
              <w:rPr>
                <w:sz w:val="22"/>
                <w:szCs w:val="22"/>
              </w:rPr>
              <w:t>252.236-7010 &amp; 701</w:t>
            </w:r>
            <w:r w:rsidR="00391352" w:rsidRPr="005C6AB0">
              <w:rPr>
                <w:sz w:val="22"/>
                <w:szCs w:val="22"/>
              </w:rPr>
              <w:t>2</w:t>
            </w:r>
          </w:p>
        </w:tc>
        <w:tc>
          <w:tcPr>
            <w:tcW w:w="1440" w:type="dxa"/>
          </w:tcPr>
          <w:p w:rsidR="006A457D" w:rsidRPr="005C6AB0" w:rsidRDefault="006A457D" w:rsidP="00391352">
            <w:pPr>
              <w:jc w:val="center"/>
              <w:rPr>
                <w:sz w:val="22"/>
                <w:szCs w:val="22"/>
              </w:rPr>
            </w:pPr>
            <w:r w:rsidRPr="005C6AB0">
              <w:rPr>
                <w:sz w:val="22"/>
                <w:szCs w:val="22"/>
              </w:rPr>
              <w:t>Total</w:t>
            </w:r>
          </w:p>
          <w:p w:rsidR="006A457D" w:rsidRPr="005C6AB0" w:rsidRDefault="006A457D" w:rsidP="00391352">
            <w:pPr>
              <w:jc w:val="center"/>
              <w:rPr>
                <w:sz w:val="22"/>
                <w:szCs w:val="22"/>
              </w:rPr>
            </w:pPr>
          </w:p>
        </w:tc>
      </w:tr>
      <w:tr w:rsidR="006A457D" w:rsidRPr="005C6AB0" w:rsidTr="00391352">
        <w:tc>
          <w:tcPr>
            <w:tcW w:w="2700" w:type="dxa"/>
          </w:tcPr>
          <w:p w:rsidR="006A457D" w:rsidRPr="005C6AB0" w:rsidRDefault="006A457D" w:rsidP="00391352">
            <w:pPr>
              <w:rPr>
                <w:sz w:val="22"/>
                <w:szCs w:val="22"/>
              </w:rPr>
            </w:pPr>
            <w:r w:rsidRPr="005C6AB0">
              <w:rPr>
                <w:sz w:val="22"/>
                <w:szCs w:val="22"/>
              </w:rPr>
              <w:t>Total annual responses</w:t>
            </w:r>
          </w:p>
        </w:tc>
        <w:tc>
          <w:tcPr>
            <w:tcW w:w="720" w:type="dxa"/>
          </w:tcPr>
          <w:p w:rsidR="006A457D" w:rsidRPr="005C6AB0" w:rsidRDefault="006A457D" w:rsidP="00391352">
            <w:pPr>
              <w:rPr>
                <w:sz w:val="22"/>
                <w:szCs w:val="22"/>
              </w:rPr>
            </w:pPr>
            <w:r w:rsidRPr="005C6AB0">
              <w:rPr>
                <w:sz w:val="22"/>
                <w:szCs w:val="22"/>
              </w:rPr>
              <w:t>(1)</w:t>
            </w:r>
          </w:p>
        </w:tc>
        <w:tc>
          <w:tcPr>
            <w:tcW w:w="1452" w:type="dxa"/>
          </w:tcPr>
          <w:p w:rsidR="006A457D" w:rsidRPr="005C6AB0" w:rsidRDefault="00DA76F0" w:rsidP="00391352">
            <w:pPr>
              <w:jc w:val="right"/>
              <w:rPr>
                <w:sz w:val="22"/>
                <w:szCs w:val="22"/>
              </w:rPr>
            </w:pPr>
            <w:r w:rsidRPr="005C6AB0">
              <w:rPr>
                <w:sz w:val="22"/>
                <w:szCs w:val="22"/>
              </w:rPr>
              <w:t>3409</w:t>
            </w:r>
          </w:p>
        </w:tc>
        <w:tc>
          <w:tcPr>
            <w:tcW w:w="1608" w:type="dxa"/>
          </w:tcPr>
          <w:p w:rsidR="006A457D" w:rsidRPr="005C6AB0" w:rsidRDefault="00DA76F0" w:rsidP="00391352">
            <w:pPr>
              <w:jc w:val="right"/>
              <w:rPr>
                <w:sz w:val="22"/>
                <w:szCs w:val="22"/>
              </w:rPr>
            </w:pPr>
            <w:r w:rsidRPr="005C6AB0">
              <w:rPr>
                <w:sz w:val="22"/>
                <w:szCs w:val="22"/>
              </w:rPr>
              <w:t>34</w:t>
            </w:r>
          </w:p>
        </w:tc>
        <w:tc>
          <w:tcPr>
            <w:tcW w:w="1440" w:type="dxa"/>
          </w:tcPr>
          <w:p w:rsidR="006A457D" w:rsidRPr="005C6AB0" w:rsidRDefault="00DA76F0" w:rsidP="00391352">
            <w:pPr>
              <w:jc w:val="right"/>
              <w:rPr>
                <w:sz w:val="22"/>
                <w:szCs w:val="22"/>
              </w:rPr>
            </w:pPr>
            <w:r w:rsidRPr="005C6AB0">
              <w:rPr>
                <w:sz w:val="22"/>
                <w:szCs w:val="22"/>
              </w:rPr>
              <w:t>48</w:t>
            </w:r>
          </w:p>
        </w:tc>
        <w:tc>
          <w:tcPr>
            <w:tcW w:w="1440" w:type="dxa"/>
          </w:tcPr>
          <w:p w:rsidR="00DA76F0" w:rsidRPr="005C6AB0" w:rsidRDefault="00DA76F0" w:rsidP="00DA76F0">
            <w:pPr>
              <w:jc w:val="right"/>
              <w:rPr>
                <w:sz w:val="22"/>
                <w:szCs w:val="22"/>
              </w:rPr>
            </w:pPr>
            <w:r w:rsidRPr="005C6AB0">
              <w:rPr>
                <w:sz w:val="22"/>
                <w:szCs w:val="22"/>
              </w:rPr>
              <w:t>96</w:t>
            </w:r>
          </w:p>
        </w:tc>
        <w:tc>
          <w:tcPr>
            <w:tcW w:w="1440" w:type="dxa"/>
          </w:tcPr>
          <w:p w:rsidR="006A457D" w:rsidRPr="005C6AB0" w:rsidRDefault="00DA76F0" w:rsidP="00391352">
            <w:pPr>
              <w:jc w:val="right"/>
              <w:rPr>
                <w:sz w:val="22"/>
                <w:szCs w:val="22"/>
              </w:rPr>
            </w:pPr>
            <w:r w:rsidRPr="005C6AB0">
              <w:rPr>
                <w:sz w:val="22"/>
                <w:szCs w:val="22"/>
              </w:rPr>
              <w:t>3587</w:t>
            </w:r>
          </w:p>
        </w:tc>
      </w:tr>
      <w:tr w:rsidR="006A457D" w:rsidRPr="005C6AB0" w:rsidTr="00391352">
        <w:tc>
          <w:tcPr>
            <w:tcW w:w="2700" w:type="dxa"/>
          </w:tcPr>
          <w:p w:rsidR="006A457D" w:rsidRPr="005C6AB0" w:rsidRDefault="006A457D" w:rsidP="00391352">
            <w:pPr>
              <w:rPr>
                <w:sz w:val="22"/>
                <w:szCs w:val="22"/>
              </w:rPr>
            </w:pPr>
            <w:r w:rsidRPr="005C6AB0">
              <w:rPr>
                <w:sz w:val="22"/>
                <w:szCs w:val="22"/>
              </w:rPr>
              <w:t>Hours per response</w:t>
            </w:r>
          </w:p>
        </w:tc>
        <w:tc>
          <w:tcPr>
            <w:tcW w:w="720" w:type="dxa"/>
          </w:tcPr>
          <w:p w:rsidR="006A457D" w:rsidRPr="005C6AB0" w:rsidRDefault="006A457D" w:rsidP="00391352">
            <w:pPr>
              <w:rPr>
                <w:sz w:val="22"/>
                <w:szCs w:val="22"/>
              </w:rPr>
            </w:pPr>
            <w:r w:rsidRPr="005C6AB0">
              <w:rPr>
                <w:sz w:val="22"/>
                <w:szCs w:val="22"/>
              </w:rPr>
              <w:t>(2)</w:t>
            </w:r>
          </w:p>
        </w:tc>
        <w:tc>
          <w:tcPr>
            <w:tcW w:w="1452" w:type="dxa"/>
          </w:tcPr>
          <w:p w:rsidR="006A457D" w:rsidRPr="005C6AB0" w:rsidRDefault="006A457D" w:rsidP="00391352">
            <w:pPr>
              <w:jc w:val="right"/>
              <w:rPr>
                <w:sz w:val="22"/>
                <w:szCs w:val="22"/>
              </w:rPr>
            </w:pPr>
            <w:r w:rsidRPr="005C6AB0">
              <w:rPr>
                <w:sz w:val="22"/>
                <w:szCs w:val="22"/>
              </w:rPr>
              <w:t>80</w:t>
            </w:r>
          </w:p>
        </w:tc>
        <w:tc>
          <w:tcPr>
            <w:tcW w:w="1608" w:type="dxa"/>
          </w:tcPr>
          <w:p w:rsidR="006A457D" w:rsidRPr="005C6AB0" w:rsidRDefault="006A457D" w:rsidP="00391352">
            <w:pPr>
              <w:jc w:val="right"/>
              <w:rPr>
                <w:sz w:val="22"/>
                <w:szCs w:val="22"/>
              </w:rPr>
            </w:pPr>
            <w:r w:rsidRPr="005C6AB0">
              <w:rPr>
                <w:sz w:val="22"/>
                <w:szCs w:val="22"/>
              </w:rPr>
              <w:t>2</w:t>
            </w:r>
          </w:p>
        </w:tc>
        <w:tc>
          <w:tcPr>
            <w:tcW w:w="1440" w:type="dxa"/>
          </w:tcPr>
          <w:p w:rsidR="006A457D" w:rsidRPr="005C6AB0" w:rsidRDefault="006A457D" w:rsidP="00391352">
            <w:pPr>
              <w:jc w:val="right"/>
              <w:rPr>
                <w:sz w:val="22"/>
                <w:szCs w:val="22"/>
              </w:rPr>
            </w:pPr>
            <w:r w:rsidRPr="005C6AB0">
              <w:rPr>
                <w:sz w:val="22"/>
                <w:szCs w:val="22"/>
              </w:rPr>
              <w:t>4</w:t>
            </w:r>
          </w:p>
        </w:tc>
        <w:tc>
          <w:tcPr>
            <w:tcW w:w="1440" w:type="dxa"/>
          </w:tcPr>
          <w:p w:rsidR="006A457D" w:rsidRPr="005C6AB0" w:rsidRDefault="00207BE9" w:rsidP="00391352">
            <w:pPr>
              <w:jc w:val="right"/>
              <w:rPr>
                <w:sz w:val="22"/>
                <w:szCs w:val="22"/>
              </w:rPr>
            </w:pPr>
            <w:r w:rsidRPr="005C6AB0">
              <w:rPr>
                <w:sz w:val="22"/>
                <w:szCs w:val="22"/>
              </w:rPr>
              <w:t>.08</w:t>
            </w:r>
          </w:p>
        </w:tc>
        <w:tc>
          <w:tcPr>
            <w:tcW w:w="1440" w:type="dxa"/>
          </w:tcPr>
          <w:p w:rsidR="006A457D" w:rsidRPr="005C6AB0" w:rsidRDefault="00207BE9" w:rsidP="00391352">
            <w:pPr>
              <w:jc w:val="right"/>
              <w:rPr>
                <w:sz w:val="22"/>
                <w:szCs w:val="22"/>
              </w:rPr>
            </w:pPr>
            <w:r w:rsidRPr="005C6AB0">
              <w:rPr>
                <w:sz w:val="22"/>
                <w:szCs w:val="22"/>
              </w:rPr>
              <w:t>86</w:t>
            </w:r>
          </w:p>
        </w:tc>
      </w:tr>
      <w:tr w:rsidR="006A457D" w:rsidRPr="005C6AB0" w:rsidTr="00391352">
        <w:tc>
          <w:tcPr>
            <w:tcW w:w="2700" w:type="dxa"/>
          </w:tcPr>
          <w:p w:rsidR="006A457D" w:rsidRPr="005C6AB0" w:rsidRDefault="006A457D" w:rsidP="00391352">
            <w:pPr>
              <w:rPr>
                <w:sz w:val="22"/>
                <w:szCs w:val="22"/>
              </w:rPr>
            </w:pPr>
            <w:r w:rsidRPr="005C6AB0">
              <w:rPr>
                <w:sz w:val="22"/>
                <w:szCs w:val="22"/>
              </w:rPr>
              <w:t>Total annual hours</w:t>
            </w:r>
          </w:p>
        </w:tc>
        <w:tc>
          <w:tcPr>
            <w:tcW w:w="720" w:type="dxa"/>
          </w:tcPr>
          <w:p w:rsidR="006A457D" w:rsidRPr="005C6AB0" w:rsidRDefault="006A457D" w:rsidP="00391352">
            <w:pPr>
              <w:rPr>
                <w:sz w:val="22"/>
                <w:szCs w:val="22"/>
              </w:rPr>
            </w:pPr>
          </w:p>
        </w:tc>
        <w:tc>
          <w:tcPr>
            <w:tcW w:w="1452" w:type="dxa"/>
          </w:tcPr>
          <w:p w:rsidR="006A457D" w:rsidRPr="005C6AB0" w:rsidRDefault="005C6AB0" w:rsidP="00391352">
            <w:pPr>
              <w:jc w:val="right"/>
              <w:rPr>
                <w:sz w:val="22"/>
                <w:szCs w:val="22"/>
              </w:rPr>
            </w:pPr>
            <w:r w:rsidRPr="005C6AB0">
              <w:rPr>
                <w:sz w:val="22"/>
                <w:szCs w:val="22"/>
              </w:rPr>
              <w:t>272,720</w:t>
            </w:r>
          </w:p>
        </w:tc>
        <w:tc>
          <w:tcPr>
            <w:tcW w:w="1608" w:type="dxa"/>
          </w:tcPr>
          <w:p w:rsidR="006A457D" w:rsidRPr="005C6AB0" w:rsidRDefault="005C6AB0" w:rsidP="00391352">
            <w:pPr>
              <w:jc w:val="right"/>
              <w:rPr>
                <w:sz w:val="22"/>
                <w:szCs w:val="22"/>
              </w:rPr>
            </w:pPr>
            <w:r w:rsidRPr="005C6AB0">
              <w:rPr>
                <w:sz w:val="22"/>
                <w:szCs w:val="22"/>
              </w:rPr>
              <w:t>68</w:t>
            </w:r>
          </w:p>
        </w:tc>
        <w:tc>
          <w:tcPr>
            <w:tcW w:w="1440" w:type="dxa"/>
          </w:tcPr>
          <w:p w:rsidR="006A457D" w:rsidRPr="005C6AB0" w:rsidRDefault="00207BE9" w:rsidP="005C6AB0">
            <w:pPr>
              <w:jc w:val="right"/>
              <w:rPr>
                <w:sz w:val="22"/>
                <w:szCs w:val="22"/>
              </w:rPr>
            </w:pPr>
            <w:r w:rsidRPr="005C6AB0">
              <w:rPr>
                <w:sz w:val="22"/>
                <w:szCs w:val="22"/>
              </w:rPr>
              <w:t>1</w:t>
            </w:r>
            <w:r w:rsidR="005C6AB0" w:rsidRPr="005C6AB0">
              <w:rPr>
                <w:sz w:val="22"/>
                <w:szCs w:val="22"/>
              </w:rPr>
              <w:t>92</w:t>
            </w:r>
          </w:p>
        </w:tc>
        <w:tc>
          <w:tcPr>
            <w:tcW w:w="1440" w:type="dxa"/>
          </w:tcPr>
          <w:p w:rsidR="002264C1" w:rsidRPr="005C6AB0" w:rsidRDefault="00F4206B" w:rsidP="002264C1">
            <w:pPr>
              <w:jc w:val="right"/>
              <w:rPr>
                <w:sz w:val="22"/>
                <w:szCs w:val="22"/>
              </w:rPr>
            </w:pPr>
            <w:r>
              <w:rPr>
                <w:sz w:val="22"/>
                <w:szCs w:val="22"/>
              </w:rPr>
              <w:t>8</w:t>
            </w:r>
          </w:p>
        </w:tc>
        <w:tc>
          <w:tcPr>
            <w:tcW w:w="1440" w:type="dxa"/>
          </w:tcPr>
          <w:p w:rsidR="006A457D" w:rsidRPr="005C6AB0" w:rsidRDefault="005C6AB0" w:rsidP="00391352">
            <w:pPr>
              <w:jc w:val="right"/>
              <w:rPr>
                <w:sz w:val="22"/>
                <w:szCs w:val="22"/>
              </w:rPr>
            </w:pPr>
            <w:r w:rsidRPr="005C6AB0">
              <w:rPr>
                <w:sz w:val="22"/>
                <w:szCs w:val="22"/>
              </w:rPr>
              <w:t>272,988</w:t>
            </w:r>
          </w:p>
        </w:tc>
      </w:tr>
      <w:tr w:rsidR="006A457D" w:rsidRPr="005C6AB0" w:rsidTr="00391352">
        <w:tc>
          <w:tcPr>
            <w:tcW w:w="2700" w:type="dxa"/>
          </w:tcPr>
          <w:p w:rsidR="006A457D" w:rsidRPr="005C6AB0" w:rsidRDefault="006A457D" w:rsidP="00391352">
            <w:pPr>
              <w:rPr>
                <w:sz w:val="22"/>
                <w:szCs w:val="22"/>
              </w:rPr>
            </w:pPr>
            <w:r w:rsidRPr="005C6AB0">
              <w:rPr>
                <w:sz w:val="22"/>
                <w:szCs w:val="22"/>
              </w:rPr>
              <w:t>Cost per hour</w:t>
            </w:r>
          </w:p>
        </w:tc>
        <w:tc>
          <w:tcPr>
            <w:tcW w:w="720" w:type="dxa"/>
          </w:tcPr>
          <w:p w:rsidR="006A457D" w:rsidRPr="005C6AB0" w:rsidRDefault="006A457D" w:rsidP="00391352">
            <w:pPr>
              <w:rPr>
                <w:sz w:val="22"/>
                <w:szCs w:val="22"/>
              </w:rPr>
            </w:pPr>
          </w:p>
        </w:tc>
        <w:tc>
          <w:tcPr>
            <w:tcW w:w="1452" w:type="dxa"/>
          </w:tcPr>
          <w:p w:rsidR="006A457D" w:rsidRPr="005C6AB0" w:rsidRDefault="006A457D" w:rsidP="005C6AB0">
            <w:pPr>
              <w:jc w:val="right"/>
              <w:rPr>
                <w:sz w:val="22"/>
                <w:szCs w:val="22"/>
              </w:rPr>
            </w:pPr>
            <w:r w:rsidRPr="005C6AB0">
              <w:rPr>
                <w:sz w:val="22"/>
                <w:szCs w:val="22"/>
              </w:rPr>
              <w:t>$</w:t>
            </w:r>
            <w:r w:rsidR="005C6AB0" w:rsidRPr="005C6AB0">
              <w:rPr>
                <w:sz w:val="22"/>
                <w:szCs w:val="22"/>
              </w:rPr>
              <w:t>38.20</w:t>
            </w:r>
          </w:p>
        </w:tc>
        <w:tc>
          <w:tcPr>
            <w:tcW w:w="1608" w:type="dxa"/>
          </w:tcPr>
          <w:p w:rsidR="006A457D" w:rsidRPr="005C6AB0" w:rsidRDefault="006A457D" w:rsidP="005C6AB0">
            <w:pPr>
              <w:jc w:val="right"/>
              <w:rPr>
                <w:sz w:val="22"/>
                <w:szCs w:val="22"/>
              </w:rPr>
            </w:pPr>
            <w:r w:rsidRPr="005C6AB0">
              <w:rPr>
                <w:sz w:val="22"/>
                <w:szCs w:val="22"/>
              </w:rPr>
              <w:t>$</w:t>
            </w:r>
            <w:r w:rsidR="005C6AB0" w:rsidRPr="005C6AB0">
              <w:rPr>
                <w:sz w:val="22"/>
                <w:szCs w:val="22"/>
              </w:rPr>
              <w:t>38.20</w:t>
            </w:r>
          </w:p>
        </w:tc>
        <w:tc>
          <w:tcPr>
            <w:tcW w:w="1440" w:type="dxa"/>
          </w:tcPr>
          <w:p w:rsidR="006A457D" w:rsidRPr="005C6AB0" w:rsidRDefault="006A457D" w:rsidP="005C6AB0">
            <w:pPr>
              <w:jc w:val="right"/>
              <w:rPr>
                <w:sz w:val="22"/>
                <w:szCs w:val="22"/>
              </w:rPr>
            </w:pPr>
            <w:r w:rsidRPr="005C6AB0">
              <w:rPr>
                <w:sz w:val="22"/>
                <w:szCs w:val="22"/>
              </w:rPr>
              <w:t>$</w:t>
            </w:r>
            <w:r w:rsidR="005C6AB0" w:rsidRPr="005C6AB0">
              <w:rPr>
                <w:sz w:val="22"/>
                <w:szCs w:val="22"/>
              </w:rPr>
              <w:t>38.20</w:t>
            </w:r>
          </w:p>
        </w:tc>
        <w:tc>
          <w:tcPr>
            <w:tcW w:w="1440" w:type="dxa"/>
          </w:tcPr>
          <w:p w:rsidR="006A457D" w:rsidRPr="005C6AB0" w:rsidRDefault="006A457D" w:rsidP="005C6AB0">
            <w:pPr>
              <w:jc w:val="right"/>
              <w:rPr>
                <w:sz w:val="22"/>
                <w:szCs w:val="22"/>
              </w:rPr>
            </w:pPr>
            <w:r w:rsidRPr="005C6AB0">
              <w:rPr>
                <w:sz w:val="22"/>
                <w:szCs w:val="22"/>
              </w:rPr>
              <w:t>$</w:t>
            </w:r>
            <w:r w:rsidR="005C6AB0" w:rsidRPr="005C6AB0">
              <w:rPr>
                <w:sz w:val="22"/>
                <w:szCs w:val="22"/>
              </w:rPr>
              <w:t>38.20</w:t>
            </w:r>
          </w:p>
        </w:tc>
        <w:tc>
          <w:tcPr>
            <w:tcW w:w="1440" w:type="dxa"/>
          </w:tcPr>
          <w:p w:rsidR="006A457D" w:rsidRPr="005C6AB0" w:rsidRDefault="006A457D" w:rsidP="005C6AB0">
            <w:pPr>
              <w:jc w:val="right"/>
              <w:rPr>
                <w:sz w:val="22"/>
                <w:szCs w:val="22"/>
              </w:rPr>
            </w:pPr>
            <w:r w:rsidRPr="005C6AB0">
              <w:rPr>
                <w:sz w:val="22"/>
                <w:szCs w:val="22"/>
              </w:rPr>
              <w:t>$</w:t>
            </w:r>
            <w:r w:rsidR="005C6AB0" w:rsidRPr="005C6AB0">
              <w:rPr>
                <w:sz w:val="22"/>
                <w:szCs w:val="22"/>
              </w:rPr>
              <w:t>38.20</w:t>
            </w:r>
          </w:p>
        </w:tc>
      </w:tr>
      <w:tr w:rsidR="006A457D" w:rsidRPr="005C6AB0" w:rsidTr="00391352">
        <w:tc>
          <w:tcPr>
            <w:tcW w:w="2700" w:type="dxa"/>
          </w:tcPr>
          <w:p w:rsidR="006A457D" w:rsidRPr="005C6AB0" w:rsidRDefault="006A457D" w:rsidP="00391352">
            <w:pPr>
              <w:rPr>
                <w:sz w:val="22"/>
                <w:szCs w:val="22"/>
              </w:rPr>
            </w:pPr>
            <w:r w:rsidRPr="005C6AB0">
              <w:rPr>
                <w:sz w:val="22"/>
                <w:szCs w:val="22"/>
              </w:rPr>
              <w:t>Total annual cost to Gov’t</w:t>
            </w:r>
          </w:p>
        </w:tc>
        <w:tc>
          <w:tcPr>
            <w:tcW w:w="720" w:type="dxa"/>
          </w:tcPr>
          <w:p w:rsidR="006A457D" w:rsidRPr="005C6AB0" w:rsidRDefault="006A457D" w:rsidP="00391352">
            <w:pPr>
              <w:rPr>
                <w:sz w:val="22"/>
                <w:szCs w:val="22"/>
              </w:rPr>
            </w:pPr>
            <w:r w:rsidRPr="005C6AB0">
              <w:rPr>
                <w:sz w:val="22"/>
                <w:szCs w:val="22"/>
              </w:rPr>
              <w:t>(1)</w:t>
            </w:r>
          </w:p>
        </w:tc>
        <w:tc>
          <w:tcPr>
            <w:tcW w:w="1452" w:type="dxa"/>
          </w:tcPr>
          <w:p w:rsidR="006A457D" w:rsidRPr="005C6AB0" w:rsidRDefault="00207BE9" w:rsidP="005C6AB0">
            <w:pPr>
              <w:jc w:val="right"/>
              <w:rPr>
                <w:sz w:val="22"/>
                <w:szCs w:val="22"/>
              </w:rPr>
            </w:pPr>
            <w:r w:rsidRPr="005C6AB0">
              <w:rPr>
                <w:sz w:val="22"/>
                <w:szCs w:val="22"/>
              </w:rPr>
              <w:t>$</w:t>
            </w:r>
            <w:r w:rsidR="005C6AB0" w:rsidRPr="005C6AB0">
              <w:rPr>
                <w:sz w:val="22"/>
                <w:szCs w:val="22"/>
              </w:rPr>
              <w:t>10,417,904</w:t>
            </w:r>
          </w:p>
        </w:tc>
        <w:tc>
          <w:tcPr>
            <w:tcW w:w="1608" w:type="dxa"/>
          </w:tcPr>
          <w:p w:rsidR="006A457D" w:rsidRPr="005C6AB0" w:rsidRDefault="00207BE9" w:rsidP="005C6AB0">
            <w:pPr>
              <w:jc w:val="right"/>
              <w:rPr>
                <w:sz w:val="22"/>
                <w:szCs w:val="22"/>
              </w:rPr>
            </w:pPr>
            <w:r w:rsidRPr="005C6AB0">
              <w:rPr>
                <w:sz w:val="22"/>
                <w:szCs w:val="22"/>
              </w:rPr>
              <w:t>$</w:t>
            </w:r>
            <w:r w:rsidR="005C6AB0" w:rsidRPr="005C6AB0">
              <w:rPr>
                <w:sz w:val="22"/>
                <w:szCs w:val="22"/>
              </w:rPr>
              <w:t>2,598</w:t>
            </w:r>
          </w:p>
        </w:tc>
        <w:tc>
          <w:tcPr>
            <w:tcW w:w="1440" w:type="dxa"/>
          </w:tcPr>
          <w:p w:rsidR="006A457D" w:rsidRPr="005C6AB0" w:rsidRDefault="00207BE9" w:rsidP="005C6AB0">
            <w:pPr>
              <w:jc w:val="right"/>
              <w:rPr>
                <w:sz w:val="22"/>
                <w:szCs w:val="22"/>
              </w:rPr>
            </w:pPr>
            <w:r w:rsidRPr="005C6AB0">
              <w:rPr>
                <w:sz w:val="22"/>
                <w:szCs w:val="22"/>
              </w:rPr>
              <w:t>$</w:t>
            </w:r>
            <w:r w:rsidR="005C6AB0" w:rsidRPr="005C6AB0">
              <w:rPr>
                <w:sz w:val="22"/>
                <w:szCs w:val="22"/>
              </w:rPr>
              <w:t>7334</w:t>
            </w:r>
          </w:p>
        </w:tc>
        <w:tc>
          <w:tcPr>
            <w:tcW w:w="1440" w:type="dxa"/>
          </w:tcPr>
          <w:p w:rsidR="006A457D" w:rsidRPr="005C6AB0" w:rsidRDefault="00207BE9" w:rsidP="005C6AB0">
            <w:pPr>
              <w:jc w:val="right"/>
              <w:rPr>
                <w:sz w:val="22"/>
                <w:szCs w:val="22"/>
              </w:rPr>
            </w:pPr>
            <w:r w:rsidRPr="005C6AB0">
              <w:rPr>
                <w:sz w:val="22"/>
                <w:szCs w:val="22"/>
              </w:rPr>
              <w:t>$</w:t>
            </w:r>
            <w:r w:rsidR="005C6AB0" w:rsidRPr="005C6AB0">
              <w:rPr>
                <w:sz w:val="22"/>
                <w:szCs w:val="22"/>
              </w:rPr>
              <w:t>304</w:t>
            </w:r>
          </w:p>
        </w:tc>
        <w:tc>
          <w:tcPr>
            <w:tcW w:w="1440" w:type="dxa"/>
          </w:tcPr>
          <w:p w:rsidR="006A457D" w:rsidRPr="005C6AB0" w:rsidRDefault="002264C1" w:rsidP="005C6AB0">
            <w:pPr>
              <w:jc w:val="right"/>
              <w:rPr>
                <w:sz w:val="22"/>
                <w:szCs w:val="22"/>
              </w:rPr>
            </w:pPr>
            <w:r w:rsidRPr="005C6AB0">
              <w:rPr>
                <w:sz w:val="22"/>
                <w:szCs w:val="22"/>
              </w:rPr>
              <w:t>$</w:t>
            </w:r>
            <w:r w:rsidR="005C6AB0" w:rsidRPr="005C6AB0">
              <w:rPr>
                <w:sz w:val="22"/>
                <w:szCs w:val="22"/>
              </w:rPr>
              <w:t>10,428,140</w:t>
            </w:r>
          </w:p>
        </w:tc>
      </w:tr>
    </w:tbl>
    <w:p w:rsidR="006A457D" w:rsidRDefault="006A457D" w:rsidP="002F495E"/>
    <w:p w:rsidR="006A457D" w:rsidRPr="006A457D" w:rsidRDefault="006A457D" w:rsidP="006A457D">
      <w:r w:rsidRPr="006A457D">
        <w:rPr>
          <w:u w:val="single"/>
        </w:rPr>
        <w:t>Notes</w:t>
      </w:r>
      <w:r w:rsidRPr="006A457D">
        <w:t>:</w:t>
      </w:r>
    </w:p>
    <w:p w:rsidR="006A457D" w:rsidRDefault="006A457D" w:rsidP="006A457D">
      <w:r w:rsidRPr="006A457D">
        <w:t xml:space="preserve">(1)  </w:t>
      </w:r>
      <w:r>
        <w:t xml:space="preserve">Based on GS-9, step 5, salary plus </w:t>
      </w:r>
      <w:r w:rsidRPr="001E5353">
        <w:t>36.</w:t>
      </w:r>
      <w:r w:rsidR="00C51797" w:rsidRPr="001E5353">
        <w:t>2</w:t>
      </w:r>
      <w:r w:rsidRPr="001E5353">
        <w:t>5</w:t>
      </w:r>
      <w:r>
        <w:t>% fringe benefit rate.  See Note (2) under Item 12, above.</w:t>
      </w:r>
    </w:p>
    <w:p w:rsidR="006A457D" w:rsidRDefault="006A457D" w:rsidP="006A457D"/>
    <w:p w:rsidR="006A457D" w:rsidRDefault="006A457D" w:rsidP="006A457D">
      <w:r>
        <w:t>(2)  The estimated hours per response is based on the time required for Government receive, review, and analyze the information submitted by the contractor.  The estimate was developed as a result of discussions with DoD personnel.</w:t>
      </w:r>
      <w:r w:rsidRPr="006A457D">
        <w:t xml:space="preserve"> </w:t>
      </w:r>
    </w:p>
    <w:p w:rsidR="006A457D" w:rsidRDefault="006A457D" w:rsidP="006A457D"/>
    <w:p w:rsidR="004F3E41" w:rsidRPr="00DA5009" w:rsidRDefault="004F3E41" w:rsidP="002F495E">
      <w:r w:rsidRPr="007F65EC">
        <w:rPr>
          <w:b/>
        </w:rPr>
        <w:t xml:space="preserve">15.  </w:t>
      </w:r>
      <w:r w:rsidR="007F65EC" w:rsidRPr="007F65EC">
        <w:rPr>
          <w:b/>
        </w:rPr>
        <w:t>Program changes</w:t>
      </w:r>
      <w:r w:rsidR="007F65EC">
        <w:t xml:space="preserve">.  </w:t>
      </w:r>
      <w:r w:rsidR="007F65EC" w:rsidRPr="007F65EC">
        <w:t>The changes to Items 12 and 14, above, are due to using more current cost per hour data</w:t>
      </w:r>
      <w:r w:rsidR="00585F35">
        <w:t xml:space="preserve"> and an increase </w:t>
      </w:r>
      <w:r w:rsidR="00391352">
        <w:t xml:space="preserve">in the </w:t>
      </w:r>
      <w:r w:rsidR="00294BCC">
        <w:t xml:space="preserve">estimated </w:t>
      </w:r>
      <w:r w:rsidR="00391352">
        <w:t xml:space="preserve">number of </w:t>
      </w:r>
      <w:r w:rsidR="00294BCC">
        <w:t xml:space="preserve">contract modifications to </w:t>
      </w:r>
      <w:r w:rsidR="00391352">
        <w:t>construction contracts</w:t>
      </w:r>
      <w:r w:rsidR="007F65EC" w:rsidRPr="007F65EC">
        <w:t>.</w:t>
      </w:r>
    </w:p>
    <w:p w:rsidR="004F3E41" w:rsidRPr="00DA5009" w:rsidRDefault="004F3E41" w:rsidP="002F495E"/>
    <w:p w:rsidR="004F3E41" w:rsidRPr="00DA5009" w:rsidRDefault="004F3E41" w:rsidP="002F495E">
      <w:r w:rsidRPr="007F65EC">
        <w:rPr>
          <w:b/>
        </w:rPr>
        <w:t xml:space="preserve">16.  </w:t>
      </w:r>
      <w:r w:rsidR="007F65EC" w:rsidRPr="007F65EC">
        <w:rPr>
          <w:b/>
        </w:rPr>
        <w:t>Publication</w:t>
      </w:r>
      <w:r w:rsidR="007F65EC">
        <w:t xml:space="preserve">.  </w:t>
      </w:r>
      <w:r w:rsidRPr="00DA5009">
        <w:t>Results of this information collection will not be published.</w:t>
      </w:r>
    </w:p>
    <w:p w:rsidR="004F3E41" w:rsidRPr="00DA5009" w:rsidRDefault="004F3E41" w:rsidP="002F495E"/>
    <w:p w:rsidR="004F3E41" w:rsidRPr="00DA5009" w:rsidRDefault="004F3E41" w:rsidP="002F495E">
      <w:r w:rsidRPr="007F65EC">
        <w:rPr>
          <w:b/>
        </w:rPr>
        <w:t xml:space="preserve">17.  </w:t>
      </w:r>
      <w:r w:rsidR="007F65EC" w:rsidRPr="007F65EC">
        <w:rPr>
          <w:b/>
        </w:rPr>
        <w:t>Expiration Date</w:t>
      </w:r>
      <w:r w:rsidR="007F65EC">
        <w:t xml:space="preserve">.  </w:t>
      </w:r>
      <w:r w:rsidR="000A1892" w:rsidRPr="000A1892">
        <w:t>We do not seek approval not to display the expiration date for OMB approva</w:t>
      </w:r>
      <w:r w:rsidR="000A1892">
        <w:t>l of the information collection</w:t>
      </w:r>
      <w:r w:rsidR="007F65EC" w:rsidRPr="000A1892">
        <w:t>.</w:t>
      </w:r>
    </w:p>
    <w:p w:rsidR="004F3E41" w:rsidRPr="00DA5009" w:rsidRDefault="004F3E41" w:rsidP="002F495E"/>
    <w:p w:rsidR="004F3E41" w:rsidRPr="00DA5009" w:rsidRDefault="004F3E41" w:rsidP="002F495E">
      <w:r w:rsidRPr="007F65EC">
        <w:rPr>
          <w:b/>
        </w:rPr>
        <w:t xml:space="preserve">18.  </w:t>
      </w:r>
      <w:r w:rsidR="007F65EC" w:rsidRPr="007F65EC">
        <w:rPr>
          <w:b/>
        </w:rPr>
        <w:t>Certification</w:t>
      </w:r>
      <w:r w:rsidR="007F65EC">
        <w:t xml:space="preserve">.  </w:t>
      </w:r>
      <w:r w:rsidRPr="00DA5009">
        <w:t>There are no exceptions to the certificate statement identified in Item 19 of OMB Form 83-I.</w:t>
      </w:r>
    </w:p>
    <w:p w:rsidR="004F3E41" w:rsidRPr="00DA5009" w:rsidRDefault="004F3E41" w:rsidP="002F495E"/>
    <w:p w:rsidR="004F3E41" w:rsidRPr="00DA5009" w:rsidRDefault="007F65EC" w:rsidP="002F495E">
      <w:pPr>
        <w:rPr>
          <w:b/>
        </w:rPr>
      </w:pPr>
      <w:r>
        <w:rPr>
          <w:b/>
        </w:rPr>
        <w:t xml:space="preserve">B.  </w:t>
      </w:r>
      <w:r w:rsidR="004F3E41" w:rsidRPr="00DA5009">
        <w:rPr>
          <w:b/>
        </w:rPr>
        <w:t>COLLECTIONS OF INFORMATION EMPLOYING STATISTICAL METHODS</w:t>
      </w:r>
    </w:p>
    <w:p w:rsidR="004F3E41" w:rsidRPr="00DA5009" w:rsidRDefault="004F3E41" w:rsidP="002F495E">
      <w:pPr>
        <w:rPr>
          <w:b/>
        </w:rPr>
      </w:pPr>
    </w:p>
    <w:p w:rsidR="004F3E41" w:rsidRPr="00DA5009" w:rsidRDefault="007F65EC" w:rsidP="007F65EC">
      <w:pPr>
        <w:ind w:firstLine="720"/>
      </w:pPr>
      <w:r w:rsidRPr="007F65EC">
        <w:t xml:space="preserve">Results will not be tabulated.  </w:t>
      </w:r>
      <w:r w:rsidR="004F3E41" w:rsidRPr="00DA5009">
        <w:t>Statistical methods will not be employed.</w:t>
      </w:r>
    </w:p>
    <w:sectPr w:rsidR="004F3E41" w:rsidRPr="00DA5009" w:rsidSect="001D60ED">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E1F" w:rsidRDefault="00760E1F">
      <w:r>
        <w:separator/>
      </w:r>
    </w:p>
  </w:endnote>
  <w:endnote w:type="continuationSeparator" w:id="0">
    <w:p w:rsidR="00760E1F" w:rsidRDefault="00760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0F8" w:rsidRDefault="00BF1931" w:rsidP="005B755C">
    <w:pPr>
      <w:pStyle w:val="Footer"/>
      <w:framePr w:wrap="around" w:vAnchor="text" w:hAnchor="margin" w:xAlign="center" w:y="1"/>
      <w:rPr>
        <w:rStyle w:val="PageNumber"/>
      </w:rPr>
    </w:pPr>
    <w:r>
      <w:rPr>
        <w:rStyle w:val="PageNumber"/>
      </w:rPr>
      <w:fldChar w:fldCharType="begin"/>
    </w:r>
    <w:r w:rsidR="000B20F8">
      <w:rPr>
        <w:rStyle w:val="PageNumber"/>
      </w:rPr>
      <w:instrText xml:space="preserve">PAGE  </w:instrText>
    </w:r>
    <w:r>
      <w:rPr>
        <w:rStyle w:val="PageNumber"/>
      </w:rPr>
      <w:fldChar w:fldCharType="end"/>
    </w:r>
  </w:p>
  <w:p w:rsidR="000B20F8" w:rsidRDefault="000B2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58192"/>
      <w:docPartObj>
        <w:docPartGallery w:val="Page Numbers (Bottom of Page)"/>
        <w:docPartUnique/>
      </w:docPartObj>
    </w:sdtPr>
    <w:sdtContent>
      <w:sdt>
        <w:sdtPr>
          <w:id w:val="565050477"/>
          <w:docPartObj>
            <w:docPartGallery w:val="Page Numbers (Top of Page)"/>
            <w:docPartUnique/>
          </w:docPartObj>
        </w:sdtPr>
        <w:sdtContent>
          <w:p w:rsidR="000B20F8" w:rsidRDefault="000B20F8">
            <w:pPr>
              <w:pStyle w:val="Footer"/>
              <w:jc w:val="center"/>
            </w:pPr>
            <w:r>
              <w:t xml:space="preserve">Page </w:t>
            </w:r>
            <w:r w:rsidR="00BF1931">
              <w:rPr>
                <w:b/>
              </w:rPr>
              <w:fldChar w:fldCharType="begin"/>
            </w:r>
            <w:r>
              <w:rPr>
                <w:b/>
              </w:rPr>
              <w:instrText xml:space="preserve"> PAGE </w:instrText>
            </w:r>
            <w:r w:rsidR="00BF1931">
              <w:rPr>
                <w:b/>
              </w:rPr>
              <w:fldChar w:fldCharType="separate"/>
            </w:r>
            <w:r w:rsidR="000A1892">
              <w:rPr>
                <w:b/>
                <w:noProof/>
              </w:rPr>
              <w:t>1</w:t>
            </w:r>
            <w:r w:rsidR="00BF1931">
              <w:rPr>
                <w:b/>
              </w:rPr>
              <w:fldChar w:fldCharType="end"/>
            </w:r>
            <w:r>
              <w:t xml:space="preserve"> of </w:t>
            </w:r>
            <w:r w:rsidR="00BF1931">
              <w:rPr>
                <w:b/>
              </w:rPr>
              <w:fldChar w:fldCharType="begin"/>
            </w:r>
            <w:r>
              <w:rPr>
                <w:b/>
              </w:rPr>
              <w:instrText xml:space="preserve"> NUMPAGES  </w:instrText>
            </w:r>
            <w:r w:rsidR="00BF1931">
              <w:rPr>
                <w:b/>
              </w:rPr>
              <w:fldChar w:fldCharType="separate"/>
            </w:r>
            <w:r w:rsidR="000A1892">
              <w:rPr>
                <w:b/>
                <w:noProof/>
              </w:rPr>
              <w:t>4</w:t>
            </w:r>
            <w:r w:rsidR="00BF1931">
              <w:rPr>
                <w:b/>
              </w:rPr>
              <w:fldChar w:fldCharType="end"/>
            </w:r>
          </w:p>
        </w:sdtContent>
      </w:sdt>
    </w:sdtContent>
  </w:sdt>
  <w:p w:rsidR="000B20F8" w:rsidRPr="00E747CC" w:rsidRDefault="000B20F8" w:rsidP="00E74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E1F" w:rsidRDefault="00760E1F">
      <w:r>
        <w:separator/>
      </w:r>
    </w:p>
  </w:footnote>
  <w:footnote w:type="continuationSeparator" w:id="0">
    <w:p w:rsidR="00760E1F" w:rsidRDefault="00760E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F495E"/>
    <w:rsid w:val="00010253"/>
    <w:rsid w:val="000A1892"/>
    <w:rsid w:val="000B20F8"/>
    <w:rsid w:val="000C7E15"/>
    <w:rsid w:val="000F43B2"/>
    <w:rsid w:val="00135C7F"/>
    <w:rsid w:val="001870AF"/>
    <w:rsid w:val="001D60ED"/>
    <w:rsid w:val="001E5353"/>
    <w:rsid w:val="001F5730"/>
    <w:rsid w:val="00207BE9"/>
    <w:rsid w:val="002264C1"/>
    <w:rsid w:val="00294BCC"/>
    <w:rsid w:val="002F495E"/>
    <w:rsid w:val="00310200"/>
    <w:rsid w:val="00313AA2"/>
    <w:rsid w:val="00332206"/>
    <w:rsid w:val="00391352"/>
    <w:rsid w:val="00423DC1"/>
    <w:rsid w:val="00487DEB"/>
    <w:rsid w:val="004A159A"/>
    <w:rsid w:val="004B6C38"/>
    <w:rsid w:val="004E7E58"/>
    <w:rsid w:val="004F3E41"/>
    <w:rsid w:val="00532272"/>
    <w:rsid w:val="00545BC7"/>
    <w:rsid w:val="00561629"/>
    <w:rsid w:val="00585F35"/>
    <w:rsid w:val="00596305"/>
    <w:rsid w:val="005B755C"/>
    <w:rsid w:val="005C6AB0"/>
    <w:rsid w:val="005F38FF"/>
    <w:rsid w:val="00601E81"/>
    <w:rsid w:val="006537B4"/>
    <w:rsid w:val="00677F1D"/>
    <w:rsid w:val="006A457D"/>
    <w:rsid w:val="00742DBD"/>
    <w:rsid w:val="00760E1F"/>
    <w:rsid w:val="007F3D9B"/>
    <w:rsid w:val="007F65EC"/>
    <w:rsid w:val="0080648D"/>
    <w:rsid w:val="00855B9C"/>
    <w:rsid w:val="00875CFA"/>
    <w:rsid w:val="008A6411"/>
    <w:rsid w:val="009052F6"/>
    <w:rsid w:val="00916F71"/>
    <w:rsid w:val="0098271D"/>
    <w:rsid w:val="00A54485"/>
    <w:rsid w:val="00A55C61"/>
    <w:rsid w:val="00A74D18"/>
    <w:rsid w:val="00AE588F"/>
    <w:rsid w:val="00B475D8"/>
    <w:rsid w:val="00BB3275"/>
    <w:rsid w:val="00BF1931"/>
    <w:rsid w:val="00BF2021"/>
    <w:rsid w:val="00C51797"/>
    <w:rsid w:val="00C823CE"/>
    <w:rsid w:val="00CB6AC7"/>
    <w:rsid w:val="00CC16CB"/>
    <w:rsid w:val="00CD534C"/>
    <w:rsid w:val="00CF1759"/>
    <w:rsid w:val="00CF6FD3"/>
    <w:rsid w:val="00D05B60"/>
    <w:rsid w:val="00D81EED"/>
    <w:rsid w:val="00DA5009"/>
    <w:rsid w:val="00DA76F0"/>
    <w:rsid w:val="00DD1AF2"/>
    <w:rsid w:val="00E02858"/>
    <w:rsid w:val="00E52D61"/>
    <w:rsid w:val="00E747CC"/>
    <w:rsid w:val="00EB4F1C"/>
    <w:rsid w:val="00F42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0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1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0648D"/>
    <w:pPr>
      <w:tabs>
        <w:tab w:val="center" w:pos="4320"/>
        <w:tab w:val="right" w:pos="8640"/>
      </w:tabs>
    </w:pPr>
  </w:style>
  <w:style w:type="character" w:styleId="PageNumber">
    <w:name w:val="page number"/>
    <w:basedOn w:val="DefaultParagraphFont"/>
    <w:rsid w:val="0080648D"/>
  </w:style>
  <w:style w:type="paragraph" w:styleId="BalloonText">
    <w:name w:val="Balloon Text"/>
    <w:basedOn w:val="Normal"/>
    <w:link w:val="BalloonTextChar"/>
    <w:rsid w:val="00310200"/>
    <w:rPr>
      <w:rFonts w:ascii="Tahoma" w:hAnsi="Tahoma" w:cs="Tahoma"/>
      <w:sz w:val="16"/>
      <w:szCs w:val="16"/>
    </w:rPr>
  </w:style>
  <w:style w:type="character" w:customStyle="1" w:styleId="BalloonTextChar">
    <w:name w:val="Balloon Text Char"/>
    <w:basedOn w:val="DefaultParagraphFont"/>
    <w:link w:val="BalloonText"/>
    <w:rsid w:val="00310200"/>
    <w:rPr>
      <w:rFonts w:ascii="Tahoma" w:hAnsi="Tahoma" w:cs="Tahoma"/>
      <w:sz w:val="16"/>
      <w:szCs w:val="16"/>
    </w:rPr>
  </w:style>
  <w:style w:type="paragraph" w:styleId="Header">
    <w:name w:val="header"/>
    <w:basedOn w:val="Normal"/>
    <w:link w:val="HeaderChar"/>
    <w:rsid w:val="00E747CC"/>
    <w:pPr>
      <w:tabs>
        <w:tab w:val="center" w:pos="4680"/>
        <w:tab w:val="right" w:pos="9360"/>
      </w:tabs>
    </w:pPr>
  </w:style>
  <w:style w:type="character" w:customStyle="1" w:styleId="HeaderChar">
    <w:name w:val="Header Char"/>
    <w:basedOn w:val="DefaultParagraphFont"/>
    <w:link w:val="Header"/>
    <w:rsid w:val="00E747CC"/>
    <w:rPr>
      <w:sz w:val="24"/>
      <w:szCs w:val="24"/>
    </w:rPr>
  </w:style>
  <w:style w:type="character" w:customStyle="1" w:styleId="FooterChar">
    <w:name w:val="Footer Char"/>
    <w:basedOn w:val="DefaultParagraphFont"/>
    <w:link w:val="Footer"/>
    <w:uiPriority w:val="99"/>
    <w:rsid w:val="00E747C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OUSD(AT&amp;L)</dc:creator>
  <cp:keywords/>
  <dc:description/>
  <cp:lastModifiedBy>pltoppings</cp:lastModifiedBy>
  <cp:revision>3</cp:revision>
  <cp:lastPrinted>2011-06-02T17:27:00Z</cp:lastPrinted>
  <dcterms:created xsi:type="dcterms:W3CDTF">2011-08-17T16:05:00Z</dcterms:created>
  <dcterms:modified xsi:type="dcterms:W3CDTF">2012-07-30T11:34:00Z</dcterms:modified>
</cp:coreProperties>
</file>