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B28" w:rsidRDefault="00687B28" w:rsidP="00687B28">
      <w:pPr>
        <w:pStyle w:val="NoSpacing"/>
        <w:rPr>
          <w:rFonts w:asciiTheme="minorHAnsi" w:hAnsiTheme="minorHAnsi"/>
          <w:szCs w:val="24"/>
        </w:rPr>
      </w:pPr>
      <w:bookmarkStart w:id="0" w:name="_Toc168384792"/>
      <w:bookmarkStart w:id="1" w:name="_Toc168384856"/>
      <w:bookmarkStart w:id="2" w:name="_Toc168384964"/>
      <w:bookmarkStart w:id="3" w:name="_Toc168385140"/>
      <w:bookmarkStart w:id="4" w:name="_Toc168385201"/>
      <w:bookmarkStart w:id="5" w:name="_Toc168468406"/>
      <w:bookmarkStart w:id="6" w:name="_Toc287257034"/>
      <w:bookmarkStart w:id="7" w:name="_Toc287257089"/>
      <w:bookmarkStart w:id="8" w:name="_Toc290021778"/>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Default="00687B28" w:rsidP="00687B28">
      <w:pPr>
        <w:pStyle w:val="NoSpacing"/>
        <w:rPr>
          <w:rFonts w:asciiTheme="minorHAnsi" w:hAnsiTheme="minorHAnsi"/>
          <w:szCs w:val="24"/>
        </w:rPr>
      </w:pPr>
    </w:p>
    <w:p w:rsidR="00687B28" w:rsidRPr="000F00EB" w:rsidRDefault="00687B28" w:rsidP="00687B28">
      <w:pPr>
        <w:pStyle w:val="NoSpacing"/>
        <w:rPr>
          <w:rFonts w:asciiTheme="minorHAnsi" w:hAnsiTheme="minorHAnsi"/>
          <w:b w:val="0"/>
          <w:szCs w:val="24"/>
        </w:rPr>
      </w:pPr>
      <w:r w:rsidRPr="000F00EB">
        <w:rPr>
          <w:rFonts w:asciiTheme="minorHAnsi" w:hAnsiTheme="minorHAnsi"/>
          <w:szCs w:val="24"/>
        </w:rPr>
        <w:t xml:space="preserve">SUPPORTING STATEMENT </w:t>
      </w:r>
      <w:r>
        <w:rPr>
          <w:rFonts w:asciiTheme="minorHAnsi" w:hAnsiTheme="minorHAnsi"/>
          <w:szCs w:val="24"/>
        </w:rPr>
        <w:t xml:space="preserve">PART B </w:t>
      </w:r>
      <w:r w:rsidRPr="000F00EB">
        <w:rPr>
          <w:rFonts w:asciiTheme="minorHAnsi" w:hAnsiTheme="minorHAnsi"/>
          <w:szCs w:val="24"/>
        </w:rPr>
        <w:t>FOR</w:t>
      </w:r>
    </w:p>
    <w:p w:rsidR="00687B28" w:rsidRPr="000F00EB" w:rsidRDefault="00687B28" w:rsidP="00687B28">
      <w:pPr>
        <w:pStyle w:val="NoSpacing"/>
        <w:rPr>
          <w:rFonts w:asciiTheme="minorHAnsi" w:hAnsiTheme="minorHAnsi"/>
          <w:b w:val="0"/>
          <w:szCs w:val="24"/>
        </w:rPr>
      </w:pPr>
    </w:p>
    <w:p w:rsidR="00687B28" w:rsidRPr="000F00EB" w:rsidRDefault="00687B28" w:rsidP="00687B28">
      <w:pPr>
        <w:jc w:val="center"/>
        <w:rPr>
          <w:rFonts w:asciiTheme="minorHAnsi" w:hAnsiTheme="minorHAnsi"/>
          <w:b/>
          <w:szCs w:val="24"/>
        </w:rPr>
      </w:pPr>
      <w:r w:rsidRPr="000F00EB">
        <w:rPr>
          <w:rFonts w:asciiTheme="minorHAnsi" w:hAnsiTheme="minorHAnsi"/>
          <w:b/>
          <w:szCs w:val="24"/>
        </w:rPr>
        <w:t xml:space="preserve">Nutrition Assistance in Farmers markets: Understanding the Shopping Patterns </w:t>
      </w:r>
    </w:p>
    <w:p w:rsidR="00687B28" w:rsidRPr="000F00EB" w:rsidRDefault="00687B28" w:rsidP="00687B28">
      <w:pPr>
        <w:jc w:val="center"/>
        <w:rPr>
          <w:rFonts w:asciiTheme="minorHAnsi" w:hAnsiTheme="minorHAnsi"/>
          <w:b/>
          <w:szCs w:val="24"/>
        </w:rPr>
      </w:pPr>
      <w:r w:rsidRPr="000F00EB">
        <w:rPr>
          <w:rFonts w:asciiTheme="minorHAnsi" w:hAnsiTheme="minorHAnsi"/>
          <w:b/>
          <w:szCs w:val="24"/>
        </w:rPr>
        <w:t>of SNAP Participants</w:t>
      </w:r>
    </w:p>
    <w:p w:rsidR="00687B28" w:rsidRPr="000F00EB" w:rsidRDefault="00687B28" w:rsidP="00687B28">
      <w:pPr>
        <w:pStyle w:val="NoSpacing"/>
        <w:rPr>
          <w:rFonts w:asciiTheme="minorHAnsi" w:hAnsiTheme="minorHAnsi"/>
          <w:b w:val="0"/>
          <w:szCs w:val="24"/>
        </w:rPr>
      </w:pPr>
    </w:p>
    <w:p w:rsidR="00687B28" w:rsidRPr="000F00EB" w:rsidRDefault="00687B28" w:rsidP="00687B28">
      <w:pPr>
        <w:pStyle w:val="NoSpacing"/>
        <w:rPr>
          <w:rFonts w:asciiTheme="minorHAnsi" w:hAnsiTheme="minorHAnsi"/>
          <w:b w:val="0"/>
          <w:szCs w:val="24"/>
        </w:rPr>
      </w:pPr>
    </w:p>
    <w:p w:rsidR="00687B28" w:rsidRPr="000F00EB" w:rsidRDefault="00687B28" w:rsidP="00687B28">
      <w:pPr>
        <w:pStyle w:val="NoSpacing"/>
        <w:rPr>
          <w:rFonts w:asciiTheme="minorHAnsi" w:hAnsiTheme="minorHAnsi"/>
          <w:b w:val="0"/>
          <w:szCs w:val="24"/>
        </w:rPr>
      </w:pPr>
      <w:r w:rsidRPr="000F00EB">
        <w:rPr>
          <w:rFonts w:asciiTheme="minorHAnsi" w:hAnsiTheme="minorHAnsi"/>
          <w:szCs w:val="24"/>
        </w:rPr>
        <w:t>Eric Williams</w:t>
      </w:r>
    </w:p>
    <w:p w:rsidR="00687B28" w:rsidRPr="000F00EB" w:rsidRDefault="00687B28" w:rsidP="00687B28">
      <w:pPr>
        <w:pStyle w:val="NoSpacing"/>
        <w:rPr>
          <w:rFonts w:asciiTheme="minorHAnsi" w:hAnsiTheme="minorHAnsi"/>
          <w:b w:val="0"/>
          <w:szCs w:val="24"/>
        </w:rPr>
      </w:pPr>
      <w:r w:rsidRPr="000F00EB">
        <w:rPr>
          <w:rFonts w:asciiTheme="minorHAnsi" w:hAnsiTheme="minorHAnsi"/>
          <w:szCs w:val="24"/>
        </w:rPr>
        <w:t>Office of Research and Analysis</w:t>
      </w:r>
    </w:p>
    <w:p w:rsidR="00687B28" w:rsidRPr="000F00EB" w:rsidRDefault="00687B28" w:rsidP="00687B28">
      <w:pPr>
        <w:pStyle w:val="NoSpacing"/>
        <w:rPr>
          <w:rFonts w:asciiTheme="minorHAnsi" w:hAnsiTheme="minorHAnsi"/>
          <w:b w:val="0"/>
          <w:szCs w:val="24"/>
        </w:rPr>
      </w:pPr>
      <w:r w:rsidRPr="000F00EB">
        <w:rPr>
          <w:rFonts w:asciiTheme="minorHAnsi" w:hAnsiTheme="minorHAnsi"/>
          <w:szCs w:val="24"/>
        </w:rPr>
        <w:t>Food and Nutrition Service</w:t>
      </w:r>
    </w:p>
    <w:p w:rsidR="00687B28" w:rsidRPr="000F00EB" w:rsidRDefault="00687B28" w:rsidP="00687B28">
      <w:pPr>
        <w:pStyle w:val="NoSpacing"/>
        <w:rPr>
          <w:rFonts w:asciiTheme="minorHAnsi" w:hAnsiTheme="minorHAnsi"/>
          <w:b w:val="0"/>
          <w:szCs w:val="24"/>
        </w:rPr>
      </w:pPr>
      <w:r w:rsidRPr="000F00EB">
        <w:rPr>
          <w:rFonts w:asciiTheme="minorHAnsi" w:hAnsiTheme="minorHAnsi"/>
          <w:szCs w:val="24"/>
        </w:rPr>
        <w:t>US Department of Agriculture</w:t>
      </w:r>
    </w:p>
    <w:p w:rsidR="00687B28" w:rsidRPr="000F00EB" w:rsidRDefault="00687B28" w:rsidP="00687B28">
      <w:pPr>
        <w:pStyle w:val="NoSpacing"/>
        <w:rPr>
          <w:rFonts w:asciiTheme="minorHAnsi" w:hAnsiTheme="minorHAnsi"/>
          <w:b w:val="0"/>
          <w:szCs w:val="24"/>
        </w:rPr>
      </w:pPr>
      <w:r w:rsidRPr="000F00EB">
        <w:rPr>
          <w:rFonts w:asciiTheme="minorHAnsi" w:hAnsiTheme="minorHAnsi"/>
          <w:szCs w:val="24"/>
        </w:rPr>
        <w:t>3101 Park Center Drive</w:t>
      </w:r>
    </w:p>
    <w:p w:rsidR="00687B28" w:rsidRPr="000F00EB" w:rsidRDefault="00687B28" w:rsidP="00687B28">
      <w:pPr>
        <w:pStyle w:val="NoSpacing"/>
        <w:rPr>
          <w:rFonts w:asciiTheme="minorHAnsi" w:hAnsiTheme="minorHAnsi"/>
          <w:b w:val="0"/>
          <w:szCs w:val="24"/>
        </w:rPr>
      </w:pPr>
      <w:r w:rsidRPr="000F00EB">
        <w:rPr>
          <w:rFonts w:asciiTheme="minorHAnsi" w:hAnsiTheme="minorHAnsi"/>
          <w:szCs w:val="24"/>
        </w:rPr>
        <w:t>Alexandria, VA 22302</w:t>
      </w:r>
    </w:p>
    <w:p w:rsidR="00687B28" w:rsidRPr="000F00EB" w:rsidRDefault="00687B28" w:rsidP="00687B28">
      <w:pPr>
        <w:pStyle w:val="NoSpacing"/>
        <w:rPr>
          <w:rFonts w:asciiTheme="minorHAnsi" w:hAnsiTheme="minorHAnsi"/>
          <w:b w:val="0"/>
          <w:szCs w:val="24"/>
        </w:rPr>
      </w:pPr>
      <w:r w:rsidRPr="000F00EB">
        <w:rPr>
          <w:rFonts w:asciiTheme="minorHAnsi" w:hAnsiTheme="minorHAnsi"/>
          <w:szCs w:val="24"/>
        </w:rPr>
        <w:t>Phone: 703-305-2640</w:t>
      </w:r>
    </w:p>
    <w:p w:rsidR="00687B28" w:rsidRPr="000F00EB" w:rsidRDefault="00687B28" w:rsidP="00687B28">
      <w:pPr>
        <w:pStyle w:val="NoSpacing"/>
        <w:rPr>
          <w:rFonts w:asciiTheme="minorHAnsi" w:hAnsiTheme="minorHAnsi"/>
          <w:b w:val="0"/>
          <w:szCs w:val="24"/>
        </w:rPr>
      </w:pPr>
      <w:r w:rsidRPr="000F00EB">
        <w:rPr>
          <w:rFonts w:asciiTheme="minorHAnsi" w:hAnsiTheme="minorHAnsi"/>
          <w:szCs w:val="24"/>
        </w:rPr>
        <w:t>Fax: 703-305-2576</w:t>
      </w:r>
    </w:p>
    <w:p w:rsidR="00687B28" w:rsidRPr="000F00EB" w:rsidRDefault="00687B28" w:rsidP="00687B28">
      <w:pPr>
        <w:pStyle w:val="NoSpacing"/>
        <w:rPr>
          <w:rFonts w:asciiTheme="minorHAnsi" w:hAnsiTheme="minorHAnsi"/>
          <w:b w:val="0"/>
          <w:szCs w:val="24"/>
        </w:rPr>
      </w:pPr>
      <w:r w:rsidRPr="000F00EB">
        <w:rPr>
          <w:rFonts w:asciiTheme="minorHAnsi" w:hAnsiTheme="minorHAnsi"/>
          <w:szCs w:val="24"/>
        </w:rPr>
        <w:t>E-mail: Eric.Williams@fns.usda.gov</w:t>
      </w:r>
    </w:p>
    <w:p w:rsidR="00687B28" w:rsidRPr="000F00EB" w:rsidRDefault="00687B28" w:rsidP="00687B28">
      <w:pPr>
        <w:pStyle w:val="NoSpacing"/>
        <w:rPr>
          <w:rFonts w:asciiTheme="minorHAnsi" w:hAnsiTheme="minorHAnsi"/>
          <w:b w:val="0"/>
          <w:szCs w:val="24"/>
        </w:rPr>
      </w:pPr>
    </w:p>
    <w:p w:rsidR="00687B28" w:rsidRPr="000F00EB" w:rsidRDefault="00687B28" w:rsidP="00687B28">
      <w:pPr>
        <w:pStyle w:val="NoSpacing"/>
        <w:rPr>
          <w:rFonts w:asciiTheme="minorHAnsi" w:hAnsiTheme="minorHAnsi"/>
          <w:b w:val="0"/>
          <w:szCs w:val="24"/>
        </w:rPr>
      </w:pPr>
    </w:p>
    <w:p w:rsidR="00687B28" w:rsidRPr="00687B28" w:rsidRDefault="00687B28" w:rsidP="00687B28">
      <w:pPr>
        <w:spacing w:after="200" w:line="276" w:lineRule="auto"/>
        <w:jc w:val="center"/>
        <w:rPr>
          <w:b/>
        </w:rPr>
      </w:pPr>
      <w:r w:rsidRPr="00687B28">
        <w:rPr>
          <w:rFonts w:asciiTheme="minorHAnsi" w:hAnsiTheme="minorHAnsi"/>
          <w:b/>
          <w:szCs w:val="24"/>
        </w:rPr>
        <w:t>July 1</w:t>
      </w:r>
      <w:r w:rsidR="007610CD">
        <w:rPr>
          <w:rFonts w:asciiTheme="minorHAnsi" w:hAnsiTheme="minorHAnsi"/>
          <w:b/>
          <w:szCs w:val="24"/>
        </w:rPr>
        <w:t>1</w:t>
      </w:r>
      <w:r w:rsidRPr="00687B28">
        <w:rPr>
          <w:rFonts w:asciiTheme="minorHAnsi" w:hAnsiTheme="minorHAnsi"/>
          <w:b/>
          <w:szCs w:val="24"/>
        </w:rPr>
        <w:t>, 2012</w:t>
      </w:r>
      <w:r w:rsidRPr="00687B28">
        <w:rPr>
          <w:b/>
        </w:rPr>
        <w:br w:type="page"/>
      </w:r>
    </w:p>
    <w:p w:rsidR="00687B28" w:rsidRPr="00687B28" w:rsidRDefault="006B0684">
      <w:pPr>
        <w:spacing w:after="200" w:line="276" w:lineRule="auto"/>
        <w:rPr>
          <w:noProof/>
        </w:rPr>
      </w:pPr>
      <w:r w:rsidRPr="00687B28">
        <w:rPr>
          <w:spacing w:val="-20"/>
        </w:rPr>
        <w:lastRenderedPageBreak/>
        <w:fldChar w:fldCharType="begin"/>
      </w:r>
      <w:r w:rsidR="00687B28" w:rsidRPr="00687B28">
        <w:rPr>
          <w:spacing w:val="-20"/>
        </w:rPr>
        <w:instrText xml:space="preserve"> TOC \o "1-2" \h \z \u </w:instrText>
      </w:r>
      <w:r w:rsidRPr="00687B28">
        <w:rPr>
          <w:spacing w:val="-20"/>
        </w:rPr>
        <w:fldChar w:fldCharType="separate"/>
      </w:r>
    </w:p>
    <w:p w:rsidR="00687B28" w:rsidRPr="00687B28" w:rsidRDefault="006B0684">
      <w:pPr>
        <w:pStyle w:val="TOC1"/>
        <w:tabs>
          <w:tab w:val="left" w:pos="1440"/>
          <w:tab w:val="right" w:leader="dot" w:pos="9350"/>
        </w:tabs>
        <w:rPr>
          <w:rFonts w:asciiTheme="minorHAnsi" w:eastAsiaTheme="minorEastAsia" w:hAnsiTheme="minorHAnsi" w:cstheme="minorBidi"/>
          <w:noProof/>
          <w:sz w:val="22"/>
          <w:szCs w:val="22"/>
        </w:rPr>
      </w:pPr>
      <w:hyperlink w:anchor="_Toc329674959" w:history="1">
        <w:r w:rsidR="00687B28" w:rsidRPr="00687B28">
          <w:rPr>
            <w:rStyle w:val="Hyperlink"/>
            <w:noProof/>
            <w:spacing w:val="-20"/>
          </w:rPr>
          <w:t>PART</w:t>
        </w:r>
        <w:r w:rsidR="00687B28" w:rsidRPr="00687B28">
          <w:rPr>
            <w:rStyle w:val="Hyperlink"/>
            <w:noProof/>
          </w:rPr>
          <w:t xml:space="preserve"> B.</w:t>
        </w:r>
        <w:r w:rsidR="00687B28" w:rsidRPr="00687B28">
          <w:rPr>
            <w:rFonts w:asciiTheme="minorHAnsi" w:eastAsiaTheme="minorEastAsia" w:hAnsiTheme="minorHAnsi" w:cstheme="minorBidi"/>
            <w:noProof/>
            <w:sz w:val="22"/>
            <w:szCs w:val="22"/>
          </w:rPr>
          <w:tab/>
        </w:r>
        <w:r w:rsidR="00687B28" w:rsidRPr="00687B28">
          <w:rPr>
            <w:rStyle w:val="Hyperlink"/>
            <w:noProof/>
          </w:rPr>
          <w:t>COLLECTIONS OF INFORMATION EMPLOYING STATISTICAL METHODS</w:t>
        </w:r>
        <w:r w:rsidR="00687B28" w:rsidRPr="00687B28">
          <w:rPr>
            <w:noProof/>
            <w:webHidden/>
          </w:rPr>
          <w:tab/>
        </w:r>
        <w:r w:rsidRPr="00687B28">
          <w:rPr>
            <w:noProof/>
            <w:webHidden/>
          </w:rPr>
          <w:fldChar w:fldCharType="begin"/>
        </w:r>
        <w:r w:rsidR="00687B28" w:rsidRPr="00687B28">
          <w:rPr>
            <w:noProof/>
            <w:webHidden/>
          </w:rPr>
          <w:instrText xml:space="preserve"> PAGEREF _Toc329674959 \h </w:instrText>
        </w:r>
        <w:r w:rsidRPr="00687B28">
          <w:rPr>
            <w:noProof/>
            <w:webHidden/>
          </w:rPr>
        </w:r>
        <w:r w:rsidRPr="00687B28">
          <w:rPr>
            <w:noProof/>
            <w:webHidden/>
          </w:rPr>
          <w:fldChar w:fldCharType="separate"/>
        </w:r>
        <w:r w:rsidR="00687B28">
          <w:rPr>
            <w:noProof/>
            <w:webHidden/>
          </w:rPr>
          <w:t>2</w:t>
        </w:r>
        <w:r w:rsidRPr="00687B28">
          <w:rPr>
            <w:noProof/>
            <w:webHidden/>
          </w:rPr>
          <w:fldChar w:fldCharType="end"/>
        </w:r>
      </w:hyperlink>
    </w:p>
    <w:p w:rsidR="00687B28" w:rsidRPr="00687B28" w:rsidRDefault="006B0684">
      <w:pPr>
        <w:pStyle w:val="TOC2"/>
        <w:tabs>
          <w:tab w:val="left" w:pos="1440"/>
          <w:tab w:val="right" w:leader="dot" w:pos="9350"/>
        </w:tabs>
        <w:rPr>
          <w:rFonts w:asciiTheme="minorHAnsi" w:eastAsiaTheme="minorEastAsia" w:hAnsiTheme="minorHAnsi" w:cstheme="minorBidi"/>
          <w:noProof/>
          <w:sz w:val="22"/>
          <w:szCs w:val="22"/>
        </w:rPr>
      </w:pPr>
      <w:hyperlink w:anchor="_Toc329674960" w:history="1">
        <w:r w:rsidR="00687B28" w:rsidRPr="00687B28">
          <w:rPr>
            <w:rStyle w:val="Hyperlink"/>
            <w:noProof/>
          </w:rPr>
          <w:t>B.1.</w:t>
        </w:r>
        <w:r w:rsidR="00687B28" w:rsidRPr="00687B28">
          <w:rPr>
            <w:rFonts w:asciiTheme="minorHAnsi" w:eastAsiaTheme="minorEastAsia" w:hAnsiTheme="minorHAnsi" w:cstheme="minorBidi"/>
            <w:noProof/>
            <w:sz w:val="22"/>
            <w:szCs w:val="22"/>
          </w:rPr>
          <w:tab/>
        </w:r>
        <w:r w:rsidR="00687B28" w:rsidRPr="00687B28">
          <w:rPr>
            <w:rStyle w:val="Hyperlink"/>
            <w:noProof/>
          </w:rPr>
          <w:t>Potential Respondent Universe and Sampling Method to be Used.</w:t>
        </w:r>
        <w:r w:rsidR="00687B28" w:rsidRPr="00687B28">
          <w:rPr>
            <w:noProof/>
            <w:webHidden/>
          </w:rPr>
          <w:tab/>
        </w:r>
        <w:r w:rsidRPr="00687B28">
          <w:rPr>
            <w:noProof/>
            <w:webHidden/>
          </w:rPr>
          <w:fldChar w:fldCharType="begin"/>
        </w:r>
        <w:r w:rsidR="00687B28" w:rsidRPr="00687B28">
          <w:rPr>
            <w:noProof/>
            <w:webHidden/>
          </w:rPr>
          <w:instrText xml:space="preserve"> PAGEREF _Toc329674960 \h </w:instrText>
        </w:r>
        <w:r w:rsidRPr="00687B28">
          <w:rPr>
            <w:noProof/>
            <w:webHidden/>
          </w:rPr>
        </w:r>
        <w:r w:rsidRPr="00687B28">
          <w:rPr>
            <w:noProof/>
            <w:webHidden/>
          </w:rPr>
          <w:fldChar w:fldCharType="separate"/>
        </w:r>
        <w:r w:rsidR="00687B28">
          <w:rPr>
            <w:noProof/>
            <w:webHidden/>
          </w:rPr>
          <w:t>2</w:t>
        </w:r>
        <w:r w:rsidRPr="00687B28">
          <w:rPr>
            <w:noProof/>
            <w:webHidden/>
          </w:rPr>
          <w:fldChar w:fldCharType="end"/>
        </w:r>
      </w:hyperlink>
    </w:p>
    <w:p w:rsidR="00687B28" w:rsidRPr="00687B28" w:rsidRDefault="006B0684">
      <w:pPr>
        <w:pStyle w:val="TOC2"/>
        <w:tabs>
          <w:tab w:val="left" w:pos="1440"/>
          <w:tab w:val="right" w:leader="dot" w:pos="9350"/>
        </w:tabs>
        <w:rPr>
          <w:rFonts w:asciiTheme="minorHAnsi" w:eastAsiaTheme="minorEastAsia" w:hAnsiTheme="minorHAnsi" w:cstheme="minorBidi"/>
          <w:noProof/>
          <w:sz w:val="22"/>
          <w:szCs w:val="22"/>
        </w:rPr>
      </w:pPr>
      <w:hyperlink w:anchor="_Toc329674963" w:history="1">
        <w:r w:rsidR="00687B28" w:rsidRPr="00687B28">
          <w:rPr>
            <w:rStyle w:val="Hyperlink"/>
            <w:noProof/>
          </w:rPr>
          <w:t>B.2.</w:t>
        </w:r>
        <w:r w:rsidR="00687B28" w:rsidRPr="00687B28">
          <w:rPr>
            <w:rFonts w:asciiTheme="minorHAnsi" w:eastAsiaTheme="minorEastAsia" w:hAnsiTheme="minorHAnsi" w:cstheme="minorBidi"/>
            <w:noProof/>
            <w:sz w:val="22"/>
            <w:szCs w:val="22"/>
          </w:rPr>
          <w:tab/>
        </w:r>
        <w:r w:rsidR="00687B28" w:rsidRPr="00687B28">
          <w:rPr>
            <w:rStyle w:val="Hyperlink"/>
            <w:noProof/>
          </w:rPr>
          <w:t>Procedures for the Collection of Information including:</w:t>
        </w:r>
        <w:r w:rsidR="00687B28" w:rsidRPr="00687B28">
          <w:rPr>
            <w:noProof/>
            <w:webHidden/>
          </w:rPr>
          <w:tab/>
        </w:r>
        <w:r w:rsidRPr="00687B28">
          <w:rPr>
            <w:noProof/>
            <w:webHidden/>
          </w:rPr>
          <w:fldChar w:fldCharType="begin"/>
        </w:r>
        <w:r w:rsidR="00687B28" w:rsidRPr="00687B28">
          <w:rPr>
            <w:noProof/>
            <w:webHidden/>
          </w:rPr>
          <w:instrText xml:space="preserve"> PAGEREF _Toc329674963 \h </w:instrText>
        </w:r>
        <w:r w:rsidRPr="00687B28">
          <w:rPr>
            <w:noProof/>
            <w:webHidden/>
          </w:rPr>
        </w:r>
        <w:r w:rsidRPr="00687B28">
          <w:rPr>
            <w:noProof/>
            <w:webHidden/>
          </w:rPr>
          <w:fldChar w:fldCharType="separate"/>
        </w:r>
        <w:r w:rsidR="00687B28">
          <w:rPr>
            <w:noProof/>
            <w:webHidden/>
          </w:rPr>
          <w:t>7</w:t>
        </w:r>
        <w:r w:rsidRPr="00687B28">
          <w:rPr>
            <w:noProof/>
            <w:webHidden/>
          </w:rPr>
          <w:fldChar w:fldCharType="end"/>
        </w:r>
      </w:hyperlink>
    </w:p>
    <w:p w:rsidR="00687B28" w:rsidRPr="00687B28" w:rsidRDefault="006B0684">
      <w:pPr>
        <w:pStyle w:val="TOC2"/>
        <w:tabs>
          <w:tab w:val="left" w:pos="1440"/>
          <w:tab w:val="right" w:leader="dot" w:pos="9350"/>
        </w:tabs>
        <w:rPr>
          <w:rFonts w:asciiTheme="minorHAnsi" w:eastAsiaTheme="minorEastAsia" w:hAnsiTheme="minorHAnsi" w:cstheme="minorBidi"/>
          <w:noProof/>
          <w:sz w:val="22"/>
          <w:szCs w:val="22"/>
        </w:rPr>
      </w:pPr>
      <w:hyperlink w:anchor="_Toc329674999" w:history="1">
        <w:r w:rsidR="00687B28" w:rsidRPr="00687B28">
          <w:rPr>
            <w:rStyle w:val="Hyperlink"/>
            <w:noProof/>
          </w:rPr>
          <w:t>B.3.</w:t>
        </w:r>
        <w:r w:rsidR="00687B28" w:rsidRPr="00687B28">
          <w:rPr>
            <w:rFonts w:asciiTheme="minorHAnsi" w:eastAsiaTheme="minorEastAsia" w:hAnsiTheme="minorHAnsi" w:cstheme="minorBidi"/>
            <w:noProof/>
            <w:sz w:val="22"/>
            <w:szCs w:val="22"/>
          </w:rPr>
          <w:tab/>
        </w:r>
        <w:r w:rsidR="00687B28" w:rsidRPr="00687B28">
          <w:rPr>
            <w:rStyle w:val="Hyperlink"/>
            <w:noProof/>
          </w:rPr>
          <w:t>Methods to Maximize Response Rates .</w:t>
        </w:r>
        <w:r w:rsidR="00687B28" w:rsidRPr="00687B28">
          <w:rPr>
            <w:noProof/>
            <w:webHidden/>
          </w:rPr>
          <w:tab/>
        </w:r>
        <w:r w:rsidRPr="00687B28">
          <w:rPr>
            <w:noProof/>
            <w:webHidden/>
          </w:rPr>
          <w:fldChar w:fldCharType="begin"/>
        </w:r>
        <w:r w:rsidR="00687B28" w:rsidRPr="00687B28">
          <w:rPr>
            <w:noProof/>
            <w:webHidden/>
          </w:rPr>
          <w:instrText xml:space="preserve"> PAGEREF _Toc329674999 \h </w:instrText>
        </w:r>
        <w:r w:rsidRPr="00687B28">
          <w:rPr>
            <w:noProof/>
            <w:webHidden/>
          </w:rPr>
        </w:r>
        <w:r w:rsidRPr="00687B28">
          <w:rPr>
            <w:noProof/>
            <w:webHidden/>
          </w:rPr>
          <w:fldChar w:fldCharType="separate"/>
        </w:r>
        <w:r w:rsidR="00687B28">
          <w:rPr>
            <w:noProof/>
            <w:webHidden/>
          </w:rPr>
          <w:t>12</w:t>
        </w:r>
        <w:r w:rsidRPr="00687B28">
          <w:rPr>
            <w:noProof/>
            <w:webHidden/>
          </w:rPr>
          <w:fldChar w:fldCharType="end"/>
        </w:r>
      </w:hyperlink>
    </w:p>
    <w:p w:rsidR="00687B28" w:rsidRPr="00687B28" w:rsidRDefault="006B0684">
      <w:pPr>
        <w:pStyle w:val="TOC2"/>
        <w:tabs>
          <w:tab w:val="left" w:pos="1440"/>
          <w:tab w:val="right" w:leader="dot" w:pos="9350"/>
        </w:tabs>
        <w:rPr>
          <w:rFonts w:asciiTheme="minorHAnsi" w:eastAsiaTheme="minorEastAsia" w:hAnsiTheme="minorHAnsi" w:cstheme="minorBidi"/>
          <w:noProof/>
          <w:sz w:val="22"/>
          <w:szCs w:val="22"/>
        </w:rPr>
      </w:pPr>
      <w:hyperlink w:anchor="_Toc329675001" w:history="1">
        <w:r w:rsidR="00687B28" w:rsidRPr="00687B28">
          <w:rPr>
            <w:rStyle w:val="Hyperlink"/>
            <w:noProof/>
          </w:rPr>
          <w:t>B.4.</w:t>
        </w:r>
        <w:r w:rsidR="00687B28" w:rsidRPr="00687B28">
          <w:rPr>
            <w:rFonts w:asciiTheme="minorHAnsi" w:eastAsiaTheme="minorEastAsia" w:hAnsiTheme="minorHAnsi" w:cstheme="minorBidi"/>
            <w:noProof/>
            <w:sz w:val="22"/>
            <w:szCs w:val="22"/>
          </w:rPr>
          <w:tab/>
        </w:r>
        <w:r w:rsidR="00687B28" w:rsidRPr="00687B28">
          <w:rPr>
            <w:rStyle w:val="Hyperlink"/>
            <w:noProof/>
          </w:rPr>
          <w:t>Test of Procedures or Methods to be Undertaken.</w:t>
        </w:r>
        <w:r w:rsidR="00687B28" w:rsidRPr="00687B28">
          <w:rPr>
            <w:noProof/>
            <w:webHidden/>
          </w:rPr>
          <w:tab/>
        </w:r>
        <w:r w:rsidRPr="00687B28">
          <w:rPr>
            <w:noProof/>
            <w:webHidden/>
          </w:rPr>
          <w:fldChar w:fldCharType="begin"/>
        </w:r>
        <w:r w:rsidR="00687B28" w:rsidRPr="00687B28">
          <w:rPr>
            <w:noProof/>
            <w:webHidden/>
          </w:rPr>
          <w:instrText xml:space="preserve"> PAGEREF _Toc329675001 \h </w:instrText>
        </w:r>
        <w:r w:rsidRPr="00687B28">
          <w:rPr>
            <w:noProof/>
            <w:webHidden/>
          </w:rPr>
        </w:r>
        <w:r w:rsidRPr="00687B28">
          <w:rPr>
            <w:noProof/>
            <w:webHidden/>
          </w:rPr>
          <w:fldChar w:fldCharType="separate"/>
        </w:r>
        <w:r w:rsidR="00687B28">
          <w:rPr>
            <w:noProof/>
            <w:webHidden/>
          </w:rPr>
          <w:t>13</w:t>
        </w:r>
        <w:r w:rsidRPr="00687B28">
          <w:rPr>
            <w:noProof/>
            <w:webHidden/>
          </w:rPr>
          <w:fldChar w:fldCharType="end"/>
        </w:r>
      </w:hyperlink>
    </w:p>
    <w:p w:rsidR="00687B28" w:rsidRPr="00687B28" w:rsidRDefault="006B0684">
      <w:pPr>
        <w:pStyle w:val="TOC2"/>
        <w:tabs>
          <w:tab w:val="left" w:pos="1440"/>
          <w:tab w:val="right" w:leader="dot" w:pos="9350"/>
        </w:tabs>
        <w:rPr>
          <w:rFonts w:asciiTheme="minorHAnsi" w:eastAsiaTheme="minorEastAsia" w:hAnsiTheme="minorHAnsi" w:cstheme="minorBidi"/>
          <w:noProof/>
          <w:sz w:val="22"/>
          <w:szCs w:val="22"/>
        </w:rPr>
      </w:pPr>
      <w:hyperlink w:anchor="_Toc329675003" w:history="1">
        <w:r w:rsidR="00687B28" w:rsidRPr="00687B28">
          <w:rPr>
            <w:rStyle w:val="Hyperlink"/>
            <w:noProof/>
          </w:rPr>
          <w:t>B.5.</w:t>
        </w:r>
        <w:r w:rsidR="00687B28" w:rsidRPr="00687B28">
          <w:rPr>
            <w:rFonts w:asciiTheme="minorHAnsi" w:eastAsiaTheme="minorEastAsia" w:hAnsiTheme="minorHAnsi" w:cstheme="minorBidi"/>
            <w:noProof/>
            <w:sz w:val="22"/>
            <w:szCs w:val="22"/>
          </w:rPr>
          <w:tab/>
        </w:r>
        <w:r w:rsidR="00687B28" w:rsidRPr="00687B28">
          <w:rPr>
            <w:rStyle w:val="Hyperlink"/>
            <w:noProof/>
          </w:rPr>
          <w:t>Individuals Consulted on Statistical Aspects of the Design.</w:t>
        </w:r>
        <w:r w:rsidR="00687B28" w:rsidRPr="00687B28">
          <w:rPr>
            <w:noProof/>
            <w:webHidden/>
          </w:rPr>
          <w:tab/>
        </w:r>
        <w:r w:rsidRPr="00687B28">
          <w:rPr>
            <w:noProof/>
            <w:webHidden/>
          </w:rPr>
          <w:fldChar w:fldCharType="begin"/>
        </w:r>
        <w:r w:rsidR="00687B28" w:rsidRPr="00687B28">
          <w:rPr>
            <w:noProof/>
            <w:webHidden/>
          </w:rPr>
          <w:instrText xml:space="preserve"> PAGEREF _Toc329675003 \h </w:instrText>
        </w:r>
        <w:r w:rsidRPr="00687B28">
          <w:rPr>
            <w:noProof/>
            <w:webHidden/>
          </w:rPr>
        </w:r>
        <w:r w:rsidRPr="00687B28">
          <w:rPr>
            <w:noProof/>
            <w:webHidden/>
          </w:rPr>
          <w:fldChar w:fldCharType="separate"/>
        </w:r>
        <w:r w:rsidR="00687B28">
          <w:rPr>
            <w:noProof/>
            <w:webHidden/>
          </w:rPr>
          <w:t>13</w:t>
        </w:r>
        <w:r w:rsidRPr="00687B28">
          <w:rPr>
            <w:noProof/>
            <w:webHidden/>
          </w:rPr>
          <w:fldChar w:fldCharType="end"/>
        </w:r>
      </w:hyperlink>
    </w:p>
    <w:p w:rsidR="00687B28" w:rsidRPr="00687B28" w:rsidRDefault="00687B28" w:rsidP="00687B28">
      <w:pPr>
        <w:pStyle w:val="TOC1"/>
        <w:tabs>
          <w:tab w:val="left" w:pos="1440"/>
          <w:tab w:val="right" w:leader="dot" w:pos="9350"/>
        </w:tabs>
        <w:rPr>
          <w:rStyle w:val="Hyperlink"/>
          <w:noProof/>
        </w:rPr>
      </w:pPr>
    </w:p>
    <w:p w:rsidR="00687B28" w:rsidRPr="00687B28" w:rsidRDefault="006B0684" w:rsidP="00687B28">
      <w:pPr>
        <w:pStyle w:val="TOC1"/>
        <w:tabs>
          <w:tab w:val="left" w:pos="1440"/>
          <w:tab w:val="right" w:leader="dot" w:pos="9350"/>
        </w:tabs>
        <w:rPr>
          <w:rFonts w:asciiTheme="minorHAnsi" w:eastAsiaTheme="minorEastAsia" w:hAnsiTheme="minorHAnsi" w:cstheme="minorBidi"/>
          <w:noProof/>
          <w:sz w:val="22"/>
          <w:szCs w:val="22"/>
        </w:rPr>
      </w:pPr>
      <w:hyperlink w:anchor="_Toc329674962" w:history="1">
        <w:r w:rsidR="00687B28" w:rsidRPr="00687B28">
          <w:rPr>
            <w:rStyle w:val="Hyperlink"/>
            <w:noProof/>
          </w:rPr>
          <w:t>Table 1.</w:t>
        </w:r>
        <w:r w:rsidR="00687B28" w:rsidRPr="00687B28">
          <w:rPr>
            <w:rFonts w:asciiTheme="minorHAnsi" w:eastAsiaTheme="minorEastAsia" w:hAnsiTheme="minorHAnsi" w:cstheme="minorBidi"/>
            <w:noProof/>
            <w:sz w:val="22"/>
            <w:szCs w:val="22"/>
          </w:rPr>
          <w:tab/>
        </w:r>
        <w:r w:rsidR="00687B28" w:rsidRPr="00687B28">
          <w:rPr>
            <w:rStyle w:val="Hyperlink"/>
            <w:noProof/>
          </w:rPr>
          <w:t>Sample size</w:t>
        </w:r>
        <w:r w:rsidR="00687B28" w:rsidRPr="00687B28">
          <w:rPr>
            <w:noProof/>
            <w:webHidden/>
          </w:rPr>
          <w:tab/>
        </w:r>
        <w:r w:rsidRPr="00687B28">
          <w:rPr>
            <w:noProof/>
            <w:webHidden/>
          </w:rPr>
          <w:fldChar w:fldCharType="begin"/>
        </w:r>
        <w:r w:rsidR="00687B28" w:rsidRPr="00687B28">
          <w:rPr>
            <w:noProof/>
            <w:webHidden/>
          </w:rPr>
          <w:instrText xml:space="preserve"> PAGEREF _Toc329674962 \h </w:instrText>
        </w:r>
        <w:r w:rsidRPr="00687B28">
          <w:rPr>
            <w:noProof/>
            <w:webHidden/>
          </w:rPr>
        </w:r>
        <w:r w:rsidRPr="00687B28">
          <w:rPr>
            <w:noProof/>
            <w:webHidden/>
          </w:rPr>
          <w:fldChar w:fldCharType="separate"/>
        </w:r>
        <w:r w:rsidR="00687B28">
          <w:rPr>
            <w:noProof/>
            <w:webHidden/>
          </w:rPr>
          <w:t>6</w:t>
        </w:r>
        <w:r w:rsidRPr="00687B28">
          <w:rPr>
            <w:noProof/>
            <w:webHidden/>
          </w:rPr>
          <w:fldChar w:fldCharType="end"/>
        </w:r>
      </w:hyperlink>
    </w:p>
    <w:p w:rsidR="00687B28" w:rsidRPr="00687B28" w:rsidRDefault="006B0684" w:rsidP="00687B28">
      <w:pPr>
        <w:pStyle w:val="TOC1"/>
        <w:tabs>
          <w:tab w:val="left" w:pos="1440"/>
          <w:tab w:val="right" w:leader="dot" w:pos="9350"/>
        </w:tabs>
        <w:rPr>
          <w:rFonts w:asciiTheme="minorHAnsi" w:eastAsiaTheme="minorEastAsia" w:hAnsiTheme="minorHAnsi" w:cstheme="minorBidi"/>
          <w:noProof/>
          <w:sz w:val="22"/>
          <w:szCs w:val="22"/>
        </w:rPr>
      </w:pPr>
      <w:hyperlink w:anchor="_Toc329674969" w:history="1">
        <w:r w:rsidR="00687B28" w:rsidRPr="00687B28">
          <w:rPr>
            <w:rStyle w:val="Hyperlink"/>
            <w:noProof/>
          </w:rPr>
          <w:t>Table 2.</w:t>
        </w:r>
        <w:r w:rsidR="00687B28" w:rsidRPr="00687B28">
          <w:rPr>
            <w:rFonts w:asciiTheme="minorHAnsi" w:eastAsiaTheme="minorEastAsia" w:hAnsiTheme="minorHAnsi" w:cstheme="minorBidi"/>
            <w:noProof/>
            <w:sz w:val="22"/>
            <w:szCs w:val="22"/>
          </w:rPr>
          <w:tab/>
        </w:r>
        <w:r w:rsidR="00687B28" w:rsidRPr="00687B28">
          <w:rPr>
            <w:rStyle w:val="Hyperlink"/>
            <w:noProof/>
          </w:rPr>
          <w:t>Expected 95 percent confidence bounds by subgroup sample size, for selected design effects (DEFF) and prevalences (P)</w:t>
        </w:r>
        <w:r w:rsidR="00687B28" w:rsidRPr="00687B28">
          <w:rPr>
            <w:noProof/>
            <w:webHidden/>
          </w:rPr>
          <w:tab/>
        </w:r>
        <w:r w:rsidRPr="00687B28">
          <w:rPr>
            <w:noProof/>
            <w:webHidden/>
          </w:rPr>
          <w:fldChar w:fldCharType="begin"/>
        </w:r>
        <w:r w:rsidR="00687B28" w:rsidRPr="00687B28">
          <w:rPr>
            <w:noProof/>
            <w:webHidden/>
          </w:rPr>
          <w:instrText xml:space="preserve"> PAGEREF _Toc329674969 \h </w:instrText>
        </w:r>
        <w:r w:rsidRPr="00687B28">
          <w:rPr>
            <w:noProof/>
            <w:webHidden/>
          </w:rPr>
        </w:r>
        <w:r w:rsidRPr="00687B28">
          <w:rPr>
            <w:noProof/>
            <w:webHidden/>
          </w:rPr>
          <w:fldChar w:fldCharType="separate"/>
        </w:r>
        <w:r w:rsidR="00687B28">
          <w:rPr>
            <w:noProof/>
            <w:webHidden/>
          </w:rPr>
          <w:t>10</w:t>
        </w:r>
        <w:r w:rsidRPr="00687B28">
          <w:rPr>
            <w:noProof/>
            <w:webHidden/>
          </w:rPr>
          <w:fldChar w:fldCharType="end"/>
        </w:r>
      </w:hyperlink>
    </w:p>
    <w:p w:rsidR="00687B28" w:rsidRPr="00687B28" w:rsidRDefault="006B0684" w:rsidP="00687B28">
      <w:pPr>
        <w:pStyle w:val="TOC1"/>
        <w:tabs>
          <w:tab w:val="left" w:pos="1440"/>
          <w:tab w:val="right" w:leader="dot" w:pos="9350"/>
        </w:tabs>
        <w:rPr>
          <w:rFonts w:asciiTheme="minorHAnsi" w:eastAsiaTheme="minorEastAsia" w:hAnsiTheme="minorHAnsi" w:cstheme="minorBidi"/>
          <w:noProof/>
          <w:sz w:val="22"/>
          <w:szCs w:val="22"/>
        </w:rPr>
      </w:pPr>
      <w:hyperlink w:anchor="_Toc329674984" w:history="1">
        <w:r w:rsidR="00687B28" w:rsidRPr="00687B28">
          <w:rPr>
            <w:rStyle w:val="Hyperlink"/>
            <w:noProof/>
          </w:rPr>
          <w:t>Table 3.</w:t>
        </w:r>
        <w:r w:rsidR="00687B28" w:rsidRPr="00687B28">
          <w:rPr>
            <w:rFonts w:asciiTheme="minorHAnsi" w:eastAsiaTheme="minorEastAsia" w:hAnsiTheme="minorHAnsi" w:cstheme="minorBidi"/>
            <w:noProof/>
            <w:sz w:val="22"/>
            <w:szCs w:val="22"/>
          </w:rPr>
          <w:tab/>
        </w:r>
        <w:r w:rsidR="00687B28" w:rsidRPr="00687B28">
          <w:rPr>
            <w:rStyle w:val="Hyperlink"/>
            <w:noProof/>
          </w:rPr>
          <w:t>Minimum detectable difference* between subgroups for selected design effects (DEFF) and underlying prevalences (P)</w:t>
        </w:r>
        <w:r w:rsidR="00687B28" w:rsidRPr="00687B28">
          <w:rPr>
            <w:noProof/>
            <w:webHidden/>
          </w:rPr>
          <w:tab/>
        </w:r>
        <w:r w:rsidRPr="00687B28">
          <w:rPr>
            <w:noProof/>
            <w:webHidden/>
          </w:rPr>
          <w:fldChar w:fldCharType="begin"/>
        </w:r>
        <w:r w:rsidR="00687B28" w:rsidRPr="00687B28">
          <w:rPr>
            <w:noProof/>
            <w:webHidden/>
          </w:rPr>
          <w:instrText xml:space="preserve"> PAGEREF _Toc329674984 \h </w:instrText>
        </w:r>
        <w:r w:rsidRPr="00687B28">
          <w:rPr>
            <w:noProof/>
            <w:webHidden/>
          </w:rPr>
        </w:r>
        <w:r w:rsidRPr="00687B28">
          <w:rPr>
            <w:noProof/>
            <w:webHidden/>
          </w:rPr>
          <w:fldChar w:fldCharType="separate"/>
        </w:r>
        <w:r w:rsidR="00687B28">
          <w:rPr>
            <w:noProof/>
            <w:webHidden/>
          </w:rPr>
          <w:t>11</w:t>
        </w:r>
        <w:r w:rsidRPr="00687B28">
          <w:rPr>
            <w:noProof/>
            <w:webHidden/>
          </w:rPr>
          <w:fldChar w:fldCharType="end"/>
        </w:r>
      </w:hyperlink>
    </w:p>
    <w:p w:rsidR="00687B28" w:rsidRPr="00687B28" w:rsidRDefault="00687B28">
      <w:pPr>
        <w:pStyle w:val="TOC1"/>
        <w:tabs>
          <w:tab w:val="right" w:leader="dot" w:pos="9350"/>
        </w:tabs>
        <w:rPr>
          <w:rFonts w:asciiTheme="minorHAnsi" w:eastAsiaTheme="minorEastAsia" w:hAnsiTheme="minorHAnsi" w:cstheme="minorBidi"/>
          <w:noProof/>
          <w:sz w:val="22"/>
          <w:szCs w:val="22"/>
        </w:rPr>
      </w:pPr>
    </w:p>
    <w:p w:rsidR="00687B28" w:rsidRDefault="006B0684">
      <w:pPr>
        <w:spacing w:after="200" w:line="276" w:lineRule="auto"/>
        <w:rPr>
          <w:rFonts w:ascii="Franklin Gothic Medium" w:hAnsi="Franklin Gothic Medium"/>
          <w:b/>
          <w:color w:val="324162"/>
          <w:spacing w:val="-20"/>
          <w:sz w:val="32"/>
          <w:szCs w:val="32"/>
        </w:rPr>
      </w:pPr>
      <w:r w:rsidRPr="00687B28">
        <w:rPr>
          <w:spacing w:val="-20"/>
        </w:rPr>
        <w:fldChar w:fldCharType="end"/>
      </w:r>
    </w:p>
    <w:p w:rsidR="00687B28" w:rsidRDefault="00687B28">
      <w:pPr>
        <w:spacing w:after="200" w:line="276" w:lineRule="auto"/>
        <w:rPr>
          <w:rFonts w:ascii="Franklin Gothic Medium" w:hAnsi="Franklin Gothic Medium"/>
          <w:b/>
          <w:color w:val="324162"/>
          <w:spacing w:val="-20"/>
          <w:sz w:val="32"/>
          <w:szCs w:val="32"/>
        </w:rPr>
      </w:pPr>
      <w:bookmarkStart w:id="9" w:name="_Toc329674959"/>
      <w:r>
        <w:rPr>
          <w:spacing w:val="-20"/>
        </w:rPr>
        <w:br w:type="page"/>
      </w:r>
    </w:p>
    <w:p w:rsidR="00C80391" w:rsidRPr="009B2321" w:rsidRDefault="00C80391" w:rsidP="00C80391">
      <w:pPr>
        <w:pStyle w:val="Heading1"/>
      </w:pPr>
      <w:r w:rsidRPr="009B2321">
        <w:rPr>
          <w:spacing w:val="-20"/>
        </w:rPr>
        <w:lastRenderedPageBreak/>
        <w:t>PART</w:t>
      </w:r>
      <w:r w:rsidRPr="009B2321">
        <w:t xml:space="preserve"> B.</w:t>
      </w:r>
      <w:r w:rsidRPr="009B2321">
        <w:tab/>
        <w:t>COLLECTIONS OF INFORMATION EMPLOYING STATISTICAL METHODS</w:t>
      </w:r>
      <w:bookmarkEnd w:id="9"/>
    </w:p>
    <w:p w:rsidR="00C80391" w:rsidRDefault="00C80391" w:rsidP="00C80391">
      <w:pPr>
        <w:pStyle w:val="Heading2"/>
      </w:pPr>
      <w:bookmarkStart w:id="10" w:name="_Toc329674960"/>
      <w:r w:rsidRPr="007E5066">
        <w:t>B.1.</w:t>
      </w:r>
      <w:r w:rsidRPr="007E5066">
        <w:tab/>
        <w:t xml:space="preserve">Describe (including a numerical estimate) the Potential Respondent Universe and any Sampling or Other Respondent Selection Method to be </w:t>
      </w:r>
      <w:r>
        <w:t>U</w:t>
      </w:r>
      <w:r w:rsidRPr="007E5066">
        <w:t>sed.</w:t>
      </w:r>
      <w:bookmarkEnd w:id="10"/>
    </w:p>
    <w:p w:rsidR="00C80391" w:rsidRPr="009B2321" w:rsidRDefault="00C80391" w:rsidP="00C80391">
      <w:pPr>
        <w:pStyle w:val="Heading2"/>
      </w:pPr>
      <w:r>
        <w:tab/>
      </w:r>
      <w:bookmarkStart w:id="11" w:name="_Toc329674961"/>
      <w:r w:rsidRPr="009B2321">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0"/>
      <w:bookmarkEnd w:id="1"/>
      <w:bookmarkEnd w:id="2"/>
      <w:bookmarkEnd w:id="3"/>
      <w:bookmarkEnd w:id="4"/>
      <w:bookmarkEnd w:id="5"/>
      <w:bookmarkEnd w:id="6"/>
      <w:bookmarkEnd w:id="7"/>
      <w:bookmarkEnd w:id="8"/>
      <w:bookmarkEnd w:id="11"/>
    </w:p>
    <w:p w:rsidR="00C80391" w:rsidRPr="009B2321" w:rsidRDefault="00C80391" w:rsidP="00C80391">
      <w:pPr>
        <w:pStyle w:val="Heading3"/>
      </w:pPr>
      <w:bookmarkStart w:id="12" w:name="_Toc290021779"/>
      <w:r w:rsidRPr="009B2321">
        <w:t>B.1.1.</w:t>
      </w:r>
      <w:r w:rsidRPr="009B2321">
        <w:tab/>
        <w:t>Respondent Universe</w:t>
      </w:r>
      <w:bookmarkEnd w:id="12"/>
    </w:p>
    <w:p w:rsidR="004B3FFB" w:rsidRDefault="00C80391">
      <w:pPr>
        <w:pStyle w:val="P1-StandPara"/>
        <w:ind w:firstLine="0"/>
      </w:pPr>
      <w:bookmarkStart w:id="13" w:name="_Toc290021780"/>
      <w:r>
        <w:t>The respondent universe for the proposed study will include the following</w:t>
      </w:r>
      <w:r w:rsidR="00BD6158">
        <w:t xml:space="preserve"> SNAP participants</w:t>
      </w:r>
      <w:r>
        <w:t>:</w:t>
      </w:r>
    </w:p>
    <w:p w:rsidR="004B3FFB" w:rsidRPr="00825B03" w:rsidRDefault="00C80391" w:rsidP="00AA548C">
      <w:pPr>
        <w:pStyle w:val="N1-1stBullet"/>
        <w:numPr>
          <w:ilvl w:val="0"/>
          <w:numId w:val="2"/>
        </w:numPr>
        <w:spacing w:after="0" w:line="480" w:lineRule="auto"/>
        <w:ind w:left="900" w:firstLine="0"/>
      </w:pPr>
      <w:r w:rsidRPr="00825B03">
        <w:t xml:space="preserve">SNAP </w:t>
      </w:r>
      <w:r w:rsidR="00BD6158" w:rsidRPr="00825B03">
        <w:t>Participants who</w:t>
      </w:r>
      <w:r w:rsidRPr="00825B03">
        <w:t xml:space="preserve"> </w:t>
      </w:r>
      <w:r w:rsidR="008F697F" w:rsidRPr="00825B03">
        <w:t>used their Electronic Benefit Transfer (EBT) card at</w:t>
      </w:r>
      <w:r w:rsidR="00BD6158" w:rsidRPr="00825B03">
        <w:t xml:space="preserve"> a Farmers Market</w:t>
      </w:r>
      <w:r w:rsidR="008F697F" w:rsidRPr="00825B03">
        <w:t xml:space="preserve"> (FM)</w:t>
      </w:r>
      <w:r w:rsidR="00825B03" w:rsidRPr="00825B03">
        <w:t xml:space="preserve"> during the last 12 months</w:t>
      </w:r>
      <w:r w:rsidRPr="00825B03">
        <w:t>;</w:t>
      </w:r>
    </w:p>
    <w:p w:rsidR="004B3FFB" w:rsidRDefault="00C80391" w:rsidP="00AA548C">
      <w:pPr>
        <w:pStyle w:val="N1-1stBullet"/>
        <w:numPr>
          <w:ilvl w:val="0"/>
          <w:numId w:val="2"/>
        </w:numPr>
        <w:spacing w:after="0" w:line="480" w:lineRule="auto"/>
        <w:ind w:left="900" w:firstLine="0"/>
      </w:pPr>
      <w:r w:rsidRPr="00825B03">
        <w:t xml:space="preserve">SNAP </w:t>
      </w:r>
      <w:r w:rsidR="00BD6158" w:rsidRPr="00825B03">
        <w:t xml:space="preserve">Participants who did not </w:t>
      </w:r>
      <w:r w:rsidR="008F697F" w:rsidRPr="00825B03">
        <w:t>use their EBT card</w:t>
      </w:r>
      <w:r w:rsidR="00BD6158" w:rsidRPr="00825B03">
        <w:t xml:space="preserve"> at a Farmers Market</w:t>
      </w:r>
      <w:r w:rsidR="00825B03" w:rsidRPr="00825B03">
        <w:t xml:space="preserve"> during the last 12 months</w:t>
      </w:r>
      <w:r w:rsidR="00BD6158">
        <w:t xml:space="preserve">. </w:t>
      </w:r>
    </w:p>
    <w:p w:rsidR="004B3FFB" w:rsidRDefault="00C80391">
      <w:pPr>
        <w:pStyle w:val="P1-StandPara"/>
        <w:ind w:firstLine="0"/>
      </w:pPr>
      <w:r>
        <w:t>Details on the respondent universe for each of the above groups are provided below in the context of sampling methods.</w:t>
      </w:r>
    </w:p>
    <w:p w:rsidR="00C80391" w:rsidRDefault="00C80391" w:rsidP="00C80391">
      <w:pPr>
        <w:pStyle w:val="P1-StandPara"/>
      </w:pPr>
    </w:p>
    <w:p w:rsidR="00C80391" w:rsidRPr="002D63B0" w:rsidRDefault="00C80391" w:rsidP="00C80391">
      <w:pPr>
        <w:pStyle w:val="Heading3"/>
      </w:pPr>
      <w:r>
        <w:t>B.1.2.</w:t>
      </w:r>
      <w:r>
        <w:tab/>
        <w:t>Sampling Methods</w:t>
      </w:r>
    </w:p>
    <w:bookmarkEnd w:id="13"/>
    <w:p w:rsidR="004B3FFB" w:rsidRDefault="008F697F">
      <w:pPr>
        <w:pStyle w:val="L1-FlLSp12"/>
        <w:spacing w:line="480" w:lineRule="auto"/>
      </w:pPr>
      <w:r>
        <w:t xml:space="preserve"> </w:t>
      </w:r>
      <w:r>
        <w:tab/>
        <w:t xml:space="preserve">This study will implement a two stage sampling process. In Stage 1 we will select a nationally representative sample of farmer’s markets with EBT transactions greater than $1,000. In Stage 2 we will select a random sample of SNAP participants who are FM EBT users and FM EBT </w:t>
      </w:r>
      <w:r>
        <w:lastRenderedPageBreak/>
        <w:t xml:space="preserve">nonusers from all EBT transactions that were made at any authorized retailer within a predefined area surrounding the selected farmer’s markets. </w:t>
      </w:r>
    </w:p>
    <w:p w:rsidR="00D813EE" w:rsidRPr="00B94674" w:rsidRDefault="00347EC8" w:rsidP="00D813EE">
      <w:pPr>
        <w:pStyle w:val="L1-FlLSp12"/>
        <w:spacing w:line="480" w:lineRule="auto"/>
        <w:rPr>
          <w:szCs w:val="24"/>
        </w:rPr>
      </w:pPr>
      <w:r>
        <w:tab/>
      </w:r>
      <w:r w:rsidR="006E0990">
        <w:t>For stage 1, w</w:t>
      </w:r>
      <w:r w:rsidR="00200E81">
        <w:t xml:space="preserve">e plan to use the sample drawn for </w:t>
      </w:r>
      <w:r w:rsidR="00D813EE">
        <w:t>the</w:t>
      </w:r>
      <w:r w:rsidR="00200E81">
        <w:t xml:space="preserve"> </w:t>
      </w:r>
      <w:r w:rsidR="00D813EE">
        <w:t xml:space="preserve">FNS </w:t>
      </w:r>
      <w:r w:rsidR="0082463C">
        <w:t>study</w:t>
      </w:r>
      <w:r w:rsidR="00D813EE">
        <w:t>: Nutrition Assistance in Farmers Markets: Understanding Current Operations</w:t>
      </w:r>
      <w:r w:rsidR="00644101">
        <w:t xml:space="preserve"> (OMB #: </w:t>
      </w:r>
      <w:r w:rsidR="006B76BF" w:rsidRPr="006B76BF">
        <w:t>0584-0564</w:t>
      </w:r>
      <w:r w:rsidR="006E0990">
        <w:t xml:space="preserve">; </w:t>
      </w:r>
      <w:r w:rsidR="006E0990" w:rsidRPr="00A56EB9">
        <w:t xml:space="preserve">Expiration Date </w:t>
      </w:r>
      <w:r w:rsidR="006E0990">
        <w:t>November</w:t>
      </w:r>
      <w:r w:rsidR="006E0990" w:rsidRPr="00A56EB9">
        <w:t xml:space="preserve"> 3</w:t>
      </w:r>
      <w:r w:rsidR="006E0990">
        <w:t>0</w:t>
      </w:r>
      <w:r w:rsidR="006E0990" w:rsidRPr="00A56EB9">
        <w:t>,</w:t>
      </w:r>
      <w:r w:rsidR="006E0990">
        <w:t xml:space="preserve"> </w:t>
      </w:r>
      <w:r w:rsidR="006E0990" w:rsidRPr="00A56EB9">
        <w:t>20</w:t>
      </w:r>
      <w:r w:rsidR="006E0990">
        <w:t>14</w:t>
      </w:r>
      <w:r w:rsidR="00644101">
        <w:t>)</w:t>
      </w:r>
      <w:r w:rsidR="006B76BF">
        <w:t xml:space="preserve">.  </w:t>
      </w:r>
      <w:r w:rsidR="00200E81">
        <w:t xml:space="preserve">This </w:t>
      </w:r>
      <w:r w:rsidR="00644101">
        <w:t>study</w:t>
      </w:r>
      <w:r w:rsidR="00D813EE">
        <w:t xml:space="preserve"> is a survey of FM managers and includes</w:t>
      </w:r>
      <w:r w:rsidR="00200E81">
        <w:t xml:space="preserve"> a sample of FMs and direct marketing farmers (DMF) with EBT transactions in the past year (August 2010 through July 2011). We expect to have approximately 469 completed interviews from FMs. We will </w:t>
      </w:r>
      <w:r w:rsidR="00644101">
        <w:t xml:space="preserve">identify retailers from </w:t>
      </w:r>
      <w:r w:rsidR="00200E81">
        <w:t>a</w:t>
      </w:r>
      <w:r w:rsidR="00644101">
        <w:t>n extract from the USDA’s Store Tracking and Redemption System (STARS II).  This system stores information on retailers that participate in the SNAP program</w:t>
      </w:r>
      <w:r w:rsidR="006E0990">
        <w:t>.</w:t>
      </w:r>
      <w:r w:rsidR="00200E81">
        <w:t xml:space="preserve"> </w:t>
      </w:r>
      <w:r w:rsidR="006E0990">
        <w:t xml:space="preserve">The </w:t>
      </w:r>
      <w:r w:rsidR="00200E81">
        <w:t xml:space="preserve">STARS II extract </w:t>
      </w:r>
      <w:r w:rsidR="00644101">
        <w:t xml:space="preserve">will </w:t>
      </w:r>
      <w:r w:rsidR="00200E81">
        <w:t xml:space="preserve"> include only those farmer’s markets that </w:t>
      </w:r>
      <w:r w:rsidR="00200E81" w:rsidRPr="00F77B9C">
        <w:rPr>
          <w:szCs w:val="24"/>
        </w:rPr>
        <w:t>redeemed at least $1,000 in SNAP benefits in the 2011 market season; we expect this to be about 249 markets</w:t>
      </w:r>
      <w:r w:rsidR="006B76BF" w:rsidRPr="00F77B9C">
        <w:rPr>
          <w:szCs w:val="24"/>
        </w:rPr>
        <w:t xml:space="preserve">.  </w:t>
      </w:r>
      <w:r w:rsidR="00AB2A0D" w:rsidRPr="00F77B9C">
        <w:rPr>
          <w:szCs w:val="24"/>
        </w:rPr>
        <w:t>We do not intend to include markets that will be newly authorized in 2012</w:t>
      </w:r>
      <w:r w:rsidR="00200E81" w:rsidRPr="00F77B9C">
        <w:rPr>
          <w:szCs w:val="24"/>
        </w:rPr>
        <w:t xml:space="preserve"> because</w:t>
      </w:r>
      <w:r w:rsidR="00D813EE" w:rsidRPr="00F77B9C">
        <w:rPr>
          <w:szCs w:val="24"/>
        </w:rPr>
        <w:t xml:space="preserve"> we would like to study the shopping behavior of participants who had certain level of exposure to a FM. </w:t>
      </w:r>
      <w:r w:rsidR="006774F0" w:rsidRPr="00F77B9C">
        <w:rPr>
          <w:szCs w:val="24"/>
        </w:rPr>
        <w:t>To identify SNAP participants</w:t>
      </w:r>
      <w:r w:rsidR="006E0990">
        <w:rPr>
          <w:szCs w:val="24"/>
        </w:rPr>
        <w:t>,</w:t>
      </w:r>
      <w:r w:rsidR="006774F0" w:rsidRPr="00F77B9C">
        <w:rPr>
          <w:szCs w:val="24"/>
        </w:rPr>
        <w:t xml:space="preserve"> we will take extracts </w:t>
      </w:r>
      <w:r w:rsidR="006E0990">
        <w:rPr>
          <w:szCs w:val="24"/>
        </w:rPr>
        <w:t xml:space="preserve">from </w:t>
      </w:r>
      <w:r w:rsidR="006774F0" w:rsidRPr="00F77B9C">
        <w:rPr>
          <w:szCs w:val="24"/>
        </w:rPr>
        <w:t xml:space="preserve">the USDA’s Anti-Fraud Locator using EBT Retailer Transactions (ALERT).  The ALERT system records every transaction where a SNAP/EBT card is used. </w:t>
      </w:r>
      <w:r w:rsidR="00D813EE" w:rsidRPr="00F77B9C">
        <w:rPr>
          <w:szCs w:val="24"/>
        </w:rPr>
        <w:t>W</w:t>
      </w:r>
      <w:r w:rsidR="00200E81" w:rsidRPr="00F77B9C">
        <w:rPr>
          <w:szCs w:val="24"/>
        </w:rPr>
        <w:t xml:space="preserve">e </w:t>
      </w:r>
      <w:r w:rsidR="00825B03" w:rsidRPr="00F77B9C">
        <w:rPr>
          <w:szCs w:val="24"/>
        </w:rPr>
        <w:t>will</w:t>
      </w:r>
      <w:r w:rsidR="00200E81" w:rsidRPr="00F77B9C">
        <w:rPr>
          <w:szCs w:val="24"/>
        </w:rPr>
        <w:t xml:space="preserve"> analyze the ALERT data on participants from July 2011 through June 2012.</w:t>
      </w:r>
      <w:r w:rsidR="00D813EE" w:rsidRPr="00F77B9C">
        <w:rPr>
          <w:szCs w:val="24"/>
        </w:rPr>
        <w:t xml:space="preserve"> </w:t>
      </w:r>
      <w:r w:rsidR="006E0990">
        <w:rPr>
          <w:szCs w:val="24"/>
        </w:rPr>
        <w:t xml:space="preserve">The </w:t>
      </w:r>
      <w:r w:rsidR="00D813EE" w:rsidRPr="00F77B9C">
        <w:rPr>
          <w:szCs w:val="24"/>
        </w:rPr>
        <w:t xml:space="preserve">ALERT dataset includes all EBT transaction records and contains the following data items: </w:t>
      </w:r>
      <w:r w:rsidR="00C2597C">
        <w:rPr>
          <w:szCs w:val="24"/>
        </w:rPr>
        <w:t>s</w:t>
      </w:r>
      <w:r w:rsidR="00D813EE" w:rsidRPr="00F77B9C">
        <w:rPr>
          <w:szCs w:val="24"/>
        </w:rPr>
        <w:t>tore</w:t>
      </w:r>
      <w:r w:rsidR="00D813EE" w:rsidRPr="00B94674">
        <w:rPr>
          <w:szCs w:val="24"/>
        </w:rPr>
        <w:t xml:space="preserve"> ID</w:t>
      </w:r>
      <w:r w:rsidR="00D813EE">
        <w:t xml:space="preserve">, </w:t>
      </w:r>
      <w:r w:rsidR="00C2597C">
        <w:t>s</w:t>
      </w:r>
      <w:r w:rsidR="00D813EE" w:rsidRPr="00B94674">
        <w:rPr>
          <w:szCs w:val="24"/>
        </w:rPr>
        <w:t xml:space="preserve">tore </w:t>
      </w:r>
      <w:r w:rsidR="00C2597C">
        <w:rPr>
          <w:szCs w:val="24"/>
        </w:rPr>
        <w:t>s</w:t>
      </w:r>
      <w:r w:rsidR="00D813EE" w:rsidRPr="00B94674">
        <w:rPr>
          <w:szCs w:val="24"/>
        </w:rPr>
        <w:t>tate</w:t>
      </w:r>
      <w:r w:rsidR="00D813EE">
        <w:t xml:space="preserve">, </w:t>
      </w:r>
      <w:r w:rsidR="00C2597C">
        <w:t>t</w:t>
      </w:r>
      <w:r w:rsidR="00D813EE" w:rsidRPr="00B94674">
        <w:rPr>
          <w:szCs w:val="24"/>
        </w:rPr>
        <w:t>erminal ID</w:t>
      </w:r>
      <w:r w:rsidR="00D813EE">
        <w:t xml:space="preserve">, </w:t>
      </w:r>
      <w:r w:rsidR="00C2597C">
        <w:t>h</w:t>
      </w:r>
      <w:r w:rsidR="00D813EE" w:rsidRPr="00B94674">
        <w:rPr>
          <w:szCs w:val="24"/>
        </w:rPr>
        <w:t xml:space="preserve">ousehold </w:t>
      </w:r>
      <w:r w:rsidR="00C2597C">
        <w:rPr>
          <w:szCs w:val="24"/>
        </w:rPr>
        <w:t>a</w:t>
      </w:r>
      <w:r w:rsidR="00D813EE" w:rsidRPr="00B94674">
        <w:rPr>
          <w:szCs w:val="24"/>
        </w:rPr>
        <w:t xml:space="preserve">ccount </w:t>
      </w:r>
      <w:r w:rsidR="00C2597C">
        <w:rPr>
          <w:szCs w:val="24"/>
        </w:rPr>
        <w:t>n</w:t>
      </w:r>
      <w:r w:rsidR="003C7779">
        <w:rPr>
          <w:szCs w:val="24"/>
        </w:rPr>
        <w:t>umber</w:t>
      </w:r>
      <w:r w:rsidR="00D813EE">
        <w:t xml:space="preserve">, </w:t>
      </w:r>
      <w:r w:rsidR="00C2597C">
        <w:t>c</w:t>
      </w:r>
      <w:r w:rsidR="00D813EE" w:rsidRPr="00B94674">
        <w:rPr>
          <w:szCs w:val="24"/>
        </w:rPr>
        <w:t xml:space="preserve">ard </w:t>
      </w:r>
      <w:r w:rsidR="00C2597C">
        <w:rPr>
          <w:szCs w:val="24"/>
        </w:rPr>
        <w:t>a</w:t>
      </w:r>
      <w:r w:rsidR="00D813EE" w:rsidRPr="00B94674">
        <w:rPr>
          <w:szCs w:val="24"/>
        </w:rPr>
        <w:t xml:space="preserve">ccount </w:t>
      </w:r>
      <w:r w:rsidR="00C2597C">
        <w:rPr>
          <w:szCs w:val="24"/>
        </w:rPr>
        <w:t>n</w:t>
      </w:r>
      <w:r w:rsidR="003C7779">
        <w:rPr>
          <w:szCs w:val="24"/>
        </w:rPr>
        <w:t>umber</w:t>
      </w:r>
      <w:r w:rsidR="00D813EE">
        <w:t xml:space="preserve">, </w:t>
      </w:r>
      <w:r w:rsidR="00C2597C">
        <w:t>t</w:t>
      </w:r>
      <w:r w:rsidR="00D813EE" w:rsidRPr="00B94674">
        <w:rPr>
          <w:szCs w:val="24"/>
        </w:rPr>
        <w:t xml:space="preserve">ransaction </w:t>
      </w:r>
      <w:r w:rsidR="00C2597C">
        <w:rPr>
          <w:szCs w:val="24"/>
        </w:rPr>
        <w:t>d</w:t>
      </w:r>
      <w:r w:rsidR="00D813EE" w:rsidRPr="00B94674">
        <w:rPr>
          <w:szCs w:val="24"/>
        </w:rPr>
        <w:t>ate</w:t>
      </w:r>
      <w:r w:rsidR="00D813EE">
        <w:t xml:space="preserve">, </w:t>
      </w:r>
      <w:r w:rsidR="00C2597C">
        <w:t>t</w:t>
      </w:r>
      <w:r w:rsidR="00D813EE" w:rsidRPr="00B94674">
        <w:rPr>
          <w:szCs w:val="24"/>
        </w:rPr>
        <w:t xml:space="preserve">ransaction </w:t>
      </w:r>
      <w:r w:rsidR="00C2597C">
        <w:rPr>
          <w:szCs w:val="24"/>
        </w:rPr>
        <w:t>t</w:t>
      </w:r>
      <w:r w:rsidR="00D813EE" w:rsidRPr="00B94674">
        <w:rPr>
          <w:szCs w:val="24"/>
        </w:rPr>
        <w:t>ime</w:t>
      </w:r>
      <w:r w:rsidR="00D813EE">
        <w:t xml:space="preserve">, </w:t>
      </w:r>
      <w:r w:rsidR="00C2597C">
        <w:t>t</w:t>
      </w:r>
      <w:r w:rsidR="00D813EE" w:rsidRPr="00B94674">
        <w:rPr>
          <w:szCs w:val="24"/>
        </w:rPr>
        <w:t xml:space="preserve">ransaction </w:t>
      </w:r>
      <w:r w:rsidR="00C2597C">
        <w:rPr>
          <w:szCs w:val="24"/>
        </w:rPr>
        <w:t>a</w:t>
      </w:r>
      <w:r w:rsidR="00D813EE" w:rsidRPr="00B94674">
        <w:rPr>
          <w:szCs w:val="24"/>
        </w:rPr>
        <w:t>mount</w:t>
      </w:r>
      <w:r w:rsidR="00D813EE">
        <w:t xml:space="preserve">, </w:t>
      </w:r>
      <w:r w:rsidR="00C2597C">
        <w:t>t</w:t>
      </w:r>
      <w:r w:rsidR="00D813EE" w:rsidRPr="00B94674">
        <w:rPr>
          <w:szCs w:val="24"/>
        </w:rPr>
        <w:t xml:space="preserve">ransaction </w:t>
      </w:r>
      <w:r w:rsidR="00C2597C">
        <w:rPr>
          <w:szCs w:val="24"/>
        </w:rPr>
        <w:t>s</w:t>
      </w:r>
      <w:r w:rsidR="00D813EE" w:rsidRPr="00B94674">
        <w:rPr>
          <w:szCs w:val="24"/>
        </w:rPr>
        <w:t>ign</w:t>
      </w:r>
      <w:r w:rsidR="00D813EE">
        <w:t xml:space="preserve">, </w:t>
      </w:r>
      <w:r w:rsidR="00C2597C">
        <w:t>t</w:t>
      </w:r>
      <w:r w:rsidR="00D813EE" w:rsidRPr="00B94674">
        <w:rPr>
          <w:szCs w:val="24"/>
        </w:rPr>
        <w:t xml:space="preserve">ransaction </w:t>
      </w:r>
      <w:r w:rsidR="00C2597C">
        <w:rPr>
          <w:szCs w:val="24"/>
        </w:rPr>
        <w:t>t</w:t>
      </w:r>
      <w:r w:rsidR="00D813EE" w:rsidRPr="00B94674">
        <w:rPr>
          <w:szCs w:val="24"/>
        </w:rPr>
        <w:t>ype</w:t>
      </w:r>
      <w:r w:rsidR="00D813EE">
        <w:t xml:space="preserve">, </w:t>
      </w:r>
      <w:r w:rsidR="00C2597C">
        <w:t>r</w:t>
      </w:r>
      <w:r w:rsidR="00D813EE">
        <w:rPr>
          <w:szCs w:val="24"/>
        </w:rPr>
        <w:t xml:space="preserve">esponse </w:t>
      </w:r>
      <w:r w:rsidR="00C2597C">
        <w:rPr>
          <w:szCs w:val="24"/>
        </w:rPr>
        <w:t>c</w:t>
      </w:r>
      <w:r w:rsidR="00D813EE">
        <w:rPr>
          <w:szCs w:val="24"/>
        </w:rPr>
        <w:t>ode</w:t>
      </w:r>
      <w:r w:rsidR="00D813EE">
        <w:t xml:space="preserve">, </w:t>
      </w:r>
      <w:r w:rsidR="00C2597C">
        <w:t>a</w:t>
      </w:r>
      <w:r w:rsidR="00D813EE" w:rsidRPr="00B94674">
        <w:rPr>
          <w:szCs w:val="24"/>
        </w:rPr>
        <w:t xml:space="preserve">vailable </w:t>
      </w:r>
      <w:r w:rsidR="00C2597C">
        <w:rPr>
          <w:szCs w:val="24"/>
        </w:rPr>
        <w:t>b</w:t>
      </w:r>
      <w:r w:rsidR="00D813EE" w:rsidRPr="00B94674">
        <w:rPr>
          <w:szCs w:val="24"/>
        </w:rPr>
        <w:t xml:space="preserve">alance </w:t>
      </w:r>
      <w:r w:rsidR="00C2597C">
        <w:rPr>
          <w:szCs w:val="24"/>
        </w:rPr>
        <w:t>p</w:t>
      </w:r>
      <w:r w:rsidR="00D813EE" w:rsidRPr="00B94674">
        <w:rPr>
          <w:szCs w:val="24"/>
        </w:rPr>
        <w:t xml:space="preserve">rior to </w:t>
      </w:r>
      <w:r w:rsidR="00C2597C">
        <w:rPr>
          <w:szCs w:val="24"/>
        </w:rPr>
        <w:t>t</w:t>
      </w:r>
      <w:r w:rsidR="00D813EE" w:rsidRPr="00B94674">
        <w:rPr>
          <w:szCs w:val="24"/>
        </w:rPr>
        <w:t>ransaction</w:t>
      </w:r>
      <w:r w:rsidR="00D813EE">
        <w:t xml:space="preserve">, </w:t>
      </w:r>
      <w:r w:rsidR="006E0990">
        <w:t xml:space="preserve">and </w:t>
      </w:r>
      <w:r w:rsidR="00C2597C">
        <w:rPr>
          <w:szCs w:val="24"/>
        </w:rPr>
        <w:t>a</w:t>
      </w:r>
      <w:r w:rsidR="00D813EE" w:rsidRPr="00B94674">
        <w:rPr>
          <w:szCs w:val="24"/>
        </w:rPr>
        <w:t>mount</w:t>
      </w:r>
      <w:r w:rsidR="006E0990">
        <w:rPr>
          <w:szCs w:val="24"/>
        </w:rPr>
        <w:t>,</w:t>
      </w:r>
      <w:r w:rsidR="00D813EE" w:rsidRPr="00B94674">
        <w:rPr>
          <w:szCs w:val="24"/>
        </w:rPr>
        <w:t xml:space="preserve"> if the response code indicates that the transaction was accepted.</w:t>
      </w:r>
      <w:r w:rsidR="00D813EE">
        <w:rPr>
          <w:szCs w:val="24"/>
        </w:rPr>
        <w:t xml:space="preserve"> </w:t>
      </w:r>
      <w:r w:rsidR="00D813EE" w:rsidRPr="00B94674">
        <w:rPr>
          <w:szCs w:val="24"/>
        </w:rPr>
        <w:t xml:space="preserve">Data items </w:t>
      </w:r>
      <w:r w:rsidR="00D813EE">
        <w:rPr>
          <w:szCs w:val="24"/>
        </w:rPr>
        <w:t xml:space="preserve">that will be </w:t>
      </w:r>
      <w:r w:rsidR="00D813EE" w:rsidRPr="00B94674">
        <w:rPr>
          <w:szCs w:val="24"/>
        </w:rPr>
        <w:t xml:space="preserve">requested from STARS </w:t>
      </w:r>
      <w:r w:rsidR="00825B03">
        <w:rPr>
          <w:szCs w:val="24"/>
        </w:rPr>
        <w:t xml:space="preserve">II </w:t>
      </w:r>
      <w:r w:rsidR="00D813EE" w:rsidRPr="00B94674">
        <w:rPr>
          <w:szCs w:val="24"/>
        </w:rPr>
        <w:t xml:space="preserve">for the period July 2010 through June 2011 </w:t>
      </w:r>
      <w:r w:rsidR="00D813EE">
        <w:rPr>
          <w:szCs w:val="24"/>
        </w:rPr>
        <w:t xml:space="preserve">will </w:t>
      </w:r>
      <w:r w:rsidR="00D813EE" w:rsidRPr="00B94674">
        <w:rPr>
          <w:szCs w:val="24"/>
        </w:rPr>
        <w:t>include: store identifier, store name, address, telephone, business type, number of registers, average gross monthly sales, and monthly food stamp redemption by coupon and by EBT.</w:t>
      </w:r>
    </w:p>
    <w:p w:rsidR="00D813EE" w:rsidRDefault="00D813EE">
      <w:pPr>
        <w:pStyle w:val="L1-FlLSp12"/>
        <w:spacing w:line="480" w:lineRule="auto"/>
      </w:pPr>
    </w:p>
    <w:p w:rsidR="004B3FFB" w:rsidRDefault="00D813EE">
      <w:pPr>
        <w:pStyle w:val="L1-FlLSp12"/>
        <w:spacing w:line="480" w:lineRule="auto"/>
      </w:pPr>
      <w:r>
        <w:lastRenderedPageBreak/>
        <w:tab/>
      </w:r>
      <w:r w:rsidR="00200E81">
        <w:t xml:space="preserve">An important selection criterion is that the </w:t>
      </w:r>
      <w:r w:rsidR="00825B03">
        <w:t xml:space="preserve">farmers </w:t>
      </w:r>
      <w:r w:rsidR="00200E81">
        <w:t>market must have had at least $1,000 of SNAP redemptions in the 2011 FM season. After appropriate adjustments for nonresponse, the sample of 249 eligible FMs produces a nationally representative sample of the SNAP authorized (non-D</w:t>
      </w:r>
      <w:r>
        <w:t xml:space="preserve">irect </w:t>
      </w:r>
      <w:r w:rsidR="00200E81">
        <w:t>M</w:t>
      </w:r>
      <w:r>
        <w:t>arketing Farmers</w:t>
      </w:r>
      <w:r w:rsidR="00200E81">
        <w:t xml:space="preserve">) farmer’s markets with more than $1,000 in </w:t>
      </w:r>
      <w:r w:rsidR="008B37BB">
        <w:t xml:space="preserve">annual </w:t>
      </w:r>
      <w:r w:rsidR="00200E81">
        <w:t xml:space="preserve">redemptions. </w:t>
      </w:r>
      <w:r w:rsidR="00347EC8">
        <w:t>G</w:t>
      </w:r>
      <w:r w:rsidR="00200E81">
        <w:t xml:space="preserve">iven the limited field period, and the time associated with obtaining participant names and contact information for SNAP recipients from the State/local agencies, we </w:t>
      </w:r>
      <w:r w:rsidR="00347EC8">
        <w:t>will</w:t>
      </w:r>
      <w:r w:rsidR="00200E81">
        <w:t xml:space="preserve"> select a representative subsample of 50-70 FMs, which we project will </w:t>
      </w:r>
      <w:r w:rsidR="00D91994">
        <w:t xml:space="preserve">be located in </w:t>
      </w:r>
      <w:r w:rsidR="00200E81">
        <w:t xml:space="preserve">10-15 States. The FMs will be selected with probabilities proportionate to a composite measure of size that takes into account the number of EBT transactions at the FM as well as the number of EBT transactions at other stores within the catchment area of the corresponding FM. With proper weighting, the resulting sample of FMs will provide </w:t>
      </w:r>
      <w:r>
        <w:t>an</w:t>
      </w:r>
      <w:r w:rsidR="00200E81">
        <w:t xml:space="preserve"> unbiased representation of the eligible farmer’s markets</w:t>
      </w:r>
      <w:r>
        <w:t xml:space="preserve"> that redeemed SNAP benefits in 2011 with annual EBT transactions greater than $1,000.</w:t>
      </w:r>
      <w:r w:rsidR="00200E81">
        <w:t xml:space="preserve"> </w:t>
      </w:r>
    </w:p>
    <w:p w:rsidR="004B3FFB" w:rsidRDefault="00347EC8">
      <w:pPr>
        <w:pStyle w:val="L1-FlLSp12"/>
        <w:spacing w:line="480" w:lineRule="auto"/>
      </w:pPr>
      <w:r>
        <w:tab/>
      </w:r>
      <w:r w:rsidR="00200E81">
        <w:t xml:space="preserve">In Stage 2, the areas surrounding the FMs will be defined by a set of ZIP Codes that are in close proximity to each market; we define this to be the “catchment area” for each of the selected farmer’s market.  The ALERT data will contain transaction information for each EBT card that was used at retailers in those ZIP Codes during the period from July, 2011 through June, 2012.  </w:t>
      </w:r>
      <w:r w:rsidR="00D813EE">
        <w:t xml:space="preserve">Using </w:t>
      </w:r>
      <w:r w:rsidR="00200E81">
        <w:t>a list of all EBT card numbers that were used in the catchment areas surrounding the targeted FMs</w:t>
      </w:r>
      <w:r w:rsidR="00825B03">
        <w:t xml:space="preserve"> during that period</w:t>
      </w:r>
      <w:r w:rsidR="00200E81">
        <w:t xml:space="preserve">, we will request the contact information and individual and household characteristics from </w:t>
      </w:r>
      <w:r w:rsidR="00FF5BF7">
        <w:t>the</w:t>
      </w:r>
      <w:r w:rsidR="00200E81">
        <w:t xml:space="preserve"> SNAP State office or local agency for each EBT card number. </w:t>
      </w:r>
      <w:r w:rsidR="009F2B03">
        <w:t xml:space="preserve">We will work with States to identify their preferred method of data transfer. Westat follows </w:t>
      </w:r>
      <w:r w:rsidR="009F2B03" w:rsidRPr="00D2026F">
        <w:t>information technology</w:t>
      </w:r>
      <w:r w:rsidR="009F2B03">
        <w:t xml:space="preserve"> (IT)</w:t>
      </w:r>
      <w:r w:rsidR="009F2B03" w:rsidRPr="00D2026F">
        <w:t xml:space="preserve"> and systems security policies and best practices, and monitors conformance to these policies and best practices throughout the organization.</w:t>
      </w:r>
      <w:r w:rsidR="009F2B03">
        <w:t xml:space="preserve">  </w:t>
      </w:r>
      <w:r w:rsidR="009F2B03" w:rsidRPr="00D2026F">
        <w:t xml:space="preserve"> </w:t>
      </w:r>
      <w:r w:rsidR="00200E81">
        <w:t xml:space="preserve">From the list provided by the State and local agencies we will identify all SNAP clients who have shopped at an authorized retailer in the catchment area; this will serve as the sampling frame for both FM EBT users and nonusers within </w:t>
      </w:r>
      <w:r w:rsidR="00200E81">
        <w:lastRenderedPageBreak/>
        <w:t>the catchment areas of the farmer’s markets selected at Stage 1.  Once the sampling frame is created</w:t>
      </w:r>
      <w:r w:rsidR="007D62F9">
        <w:t>,</w:t>
      </w:r>
      <w:r w:rsidR="00200E81">
        <w:t xml:space="preserve"> we will randomly select FM EBT users and nonusers for the client survey to meet the analytic objectives of the study. The samples will be stratified to ensure that adequate numbers of households with children under 5 years and seniors over 60 years of age are selected.  </w:t>
      </w:r>
    </w:p>
    <w:p w:rsidR="00C80391" w:rsidRPr="00F03601" w:rsidRDefault="00C80391" w:rsidP="00C80391">
      <w:pPr>
        <w:pStyle w:val="Heading4"/>
      </w:pPr>
      <w:bookmarkStart w:id="14" w:name="_Toc290021781"/>
      <w:r>
        <w:tab/>
      </w:r>
      <w:r w:rsidRPr="00F03601">
        <w:t>Focus Group with SNAP Recipients</w:t>
      </w:r>
    </w:p>
    <w:p w:rsidR="004B3FFB" w:rsidRDefault="00347EC8">
      <w:pPr>
        <w:pStyle w:val="L1-FlLSp12"/>
        <w:spacing w:line="480" w:lineRule="auto"/>
      </w:pPr>
      <w:r>
        <w:tab/>
      </w:r>
      <w:r w:rsidR="00223227">
        <w:t>W</w:t>
      </w:r>
      <w:r w:rsidR="00223227" w:rsidRPr="00905BE3">
        <w:t xml:space="preserve">e will conduct </w:t>
      </w:r>
      <w:r w:rsidR="007D62F9">
        <w:t>12</w:t>
      </w:r>
      <w:r w:rsidR="007D62F9" w:rsidRPr="00905BE3">
        <w:t xml:space="preserve"> </w:t>
      </w:r>
      <w:r w:rsidR="00223227" w:rsidRPr="00905BE3">
        <w:t xml:space="preserve">in-person </w:t>
      </w:r>
      <w:r w:rsidR="00223227">
        <w:t>f</w:t>
      </w:r>
      <w:r w:rsidR="00223227" w:rsidRPr="00905BE3">
        <w:t xml:space="preserve">ocus group sessions with </w:t>
      </w:r>
      <w:r w:rsidR="00223227">
        <w:t xml:space="preserve">English-speaking and Spanish-speaking SNAP recipients </w:t>
      </w:r>
      <w:r w:rsidR="00200E81">
        <w:t>to develop a further understanding of shopping decisions of users and non-users of SNAP benefits.  The knowledge gained from a focus group will allow for a more in-depth understanding of attitudes than the survey can provide.</w:t>
      </w:r>
      <w:r w:rsidR="00223227">
        <w:t xml:space="preserve"> </w:t>
      </w:r>
      <w:r w:rsidR="00200E81">
        <w:t xml:space="preserve">Westat will identify a purposive sample of </w:t>
      </w:r>
      <w:r w:rsidR="00825B03">
        <w:t>three</w:t>
      </w:r>
      <w:r w:rsidR="00200E81">
        <w:t xml:space="preserve"> farmer’s markets, selected to provide insights into issues that affect SNAP participants’ FM shopping decisions.  Once the </w:t>
      </w:r>
      <w:r w:rsidR="00825B03">
        <w:t>three</w:t>
      </w:r>
      <w:r w:rsidR="00200E81">
        <w:t xml:space="preserve"> farmer’s market locations are chosen, we will exclude SNAP clients from the sampling frame who were selected for the SNAP Client Survey. SNAP clients who are interested in participating will be asked a series of screening questions to determine if they are eligible for one of the four groups (e.g., English- or Spanish-language; shopper or non-shopper) and are able to attend at the specified time and location. For each scheduled discussion, we will recruit up to 12 participants who meet the criteria.</w:t>
      </w:r>
      <w:r w:rsidR="00C80391">
        <w:t xml:space="preserve"> </w:t>
      </w:r>
      <w:r w:rsidR="00B15952" w:rsidRPr="00DF42B7">
        <w:rPr>
          <w:b/>
        </w:rPr>
        <w:t>Appendix E1-E</w:t>
      </w:r>
      <w:r w:rsidR="00E610EF">
        <w:rPr>
          <w:b/>
        </w:rPr>
        <w:t>12</w:t>
      </w:r>
      <w:r w:rsidR="00C80391" w:rsidRPr="005B19E9">
        <w:rPr>
          <w:b/>
        </w:rPr>
        <w:t xml:space="preserve"> </w:t>
      </w:r>
      <w:r w:rsidR="00C80391" w:rsidRPr="006B0539">
        <w:t>presents the procedures for recruiting participants and</w:t>
      </w:r>
      <w:r w:rsidR="00C80391">
        <w:t xml:space="preserve"> conducting</w:t>
      </w:r>
      <w:r w:rsidR="00C80391" w:rsidRPr="00905BE3">
        <w:t xml:space="preserve"> </w:t>
      </w:r>
      <w:r w:rsidR="00C80391">
        <w:t xml:space="preserve">the </w:t>
      </w:r>
      <w:r w:rsidR="00C80391" w:rsidRPr="00905BE3">
        <w:t>focus group</w:t>
      </w:r>
      <w:r w:rsidR="00C80391">
        <w:t>s</w:t>
      </w:r>
      <w:r w:rsidR="00C80391" w:rsidRPr="00905BE3">
        <w:t>.</w:t>
      </w:r>
    </w:p>
    <w:p w:rsidR="00C80391" w:rsidRDefault="00C80391" w:rsidP="00C80391">
      <w:pPr>
        <w:pStyle w:val="P1-StandPara"/>
      </w:pPr>
    </w:p>
    <w:p w:rsidR="00C80391" w:rsidRPr="0067297F" w:rsidRDefault="00C80391" w:rsidP="00C80391">
      <w:pPr>
        <w:pStyle w:val="Heading3"/>
      </w:pPr>
      <w:r>
        <w:t>B.1.3.</w:t>
      </w:r>
      <w:r>
        <w:tab/>
      </w:r>
      <w:r w:rsidRPr="0067297F">
        <w:t xml:space="preserve">Response Rates and </w:t>
      </w:r>
      <w:bookmarkEnd w:id="14"/>
      <w:r w:rsidR="00C52541">
        <w:t>Sample Size</w:t>
      </w:r>
    </w:p>
    <w:p w:rsidR="004B3FFB" w:rsidRDefault="00FF5548">
      <w:pPr>
        <w:pStyle w:val="L1-FlLSp12"/>
        <w:spacing w:line="480" w:lineRule="auto"/>
      </w:pPr>
      <w:r>
        <w:rPr>
          <w:rFonts w:ascii="Arial" w:hAnsi="Arial" w:cs="Arial"/>
          <w:sz w:val="20"/>
        </w:rPr>
        <w:tab/>
      </w:r>
      <w:r w:rsidR="003F4207">
        <w:t xml:space="preserve">We </w:t>
      </w:r>
      <w:r w:rsidR="005036E5">
        <w:t xml:space="preserve">will start with initial sample of 4,625 participants and we </w:t>
      </w:r>
      <w:r w:rsidR="003F4207">
        <w:t xml:space="preserve">are expecting </w:t>
      </w:r>
      <w:r w:rsidR="005036E5">
        <w:t xml:space="preserve">completed surveys from </w:t>
      </w:r>
      <w:r w:rsidR="007D62F9">
        <w:t xml:space="preserve">a </w:t>
      </w:r>
      <w:r w:rsidR="003F4207">
        <w:t>sample of approximately 3,700 SNAP</w:t>
      </w:r>
      <w:r w:rsidR="005036E5">
        <w:t xml:space="preserve"> participants (shown in Table 1</w:t>
      </w:r>
      <w:r w:rsidR="003F4207">
        <w:t xml:space="preserve">). This assumes an 80 percent response rate, which will be achieved by multiple mailings and telephone follow-up </w:t>
      </w:r>
      <w:r w:rsidR="003F4207">
        <w:lastRenderedPageBreak/>
        <w:t>for non-response. We also assume a 3-month attrition rate of 11% for SNAP participants to estimate the sample draw needed to achieve the target sample size.</w:t>
      </w:r>
    </w:p>
    <w:p w:rsidR="003F4207" w:rsidRDefault="003F4207" w:rsidP="003F4207">
      <w:pPr>
        <w:pStyle w:val="TT-TableTitle"/>
      </w:pPr>
      <w:bookmarkStart w:id="15" w:name="_Toc313346559"/>
    </w:p>
    <w:p w:rsidR="003F4207" w:rsidRDefault="003F4207" w:rsidP="003F4207">
      <w:pPr>
        <w:pStyle w:val="TT-TableTitle"/>
      </w:pPr>
      <w:bookmarkStart w:id="16" w:name="_Toc329674962"/>
      <w:r>
        <w:t>Table 1.</w:t>
      </w:r>
      <w:r>
        <w:tab/>
      </w:r>
      <w:r w:rsidRPr="00213E55">
        <w:t>Sample size</w:t>
      </w:r>
      <w:bookmarkEnd w:id="15"/>
      <w:bookmarkEnd w:id="16"/>
    </w:p>
    <w:p w:rsidR="003F4207" w:rsidRDefault="003F4207" w:rsidP="003F4207">
      <w:pPr>
        <w:pStyle w:val="TT-TableTitle"/>
      </w:pP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1800"/>
        <w:gridCol w:w="1623"/>
        <w:gridCol w:w="1801"/>
        <w:gridCol w:w="2176"/>
        <w:gridCol w:w="1979"/>
      </w:tblGrid>
      <w:tr w:rsidR="003F4207" w:rsidRPr="00C22B49" w:rsidTr="003F4207">
        <w:trPr>
          <w:trHeight w:val="575"/>
        </w:trPr>
        <w:tc>
          <w:tcPr>
            <w:tcW w:w="960" w:type="pct"/>
            <w:vMerge w:val="restart"/>
            <w:shd w:val="clear" w:color="auto" w:fill="auto"/>
            <w:hideMark/>
          </w:tcPr>
          <w:p w:rsidR="003F4207" w:rsidRPr="00C22B49" w:rsidRDefault="003F4207" w:rsidP="003F4207"/>
        </w:tc>
        <w:tc>
          <w:tcPr>
            <w:tcW w:w="1825" w:type="pct"/>
            <w:gridSpan w:val="2"/>
            <w:shd w:val="clear" w:color="auto" w:fill="auto"/>
            <w:hideMark/>
          </w:tcPr>
          <w:p w:rsidR="003F4207" w:rsidRPr="00C22B49" w:rsidRDefault="003F4207" w:rsidP="003F4207">
            <w:pPr>
              <w:jc w:val="center"/>
            </w:pPr>
            <w:r w:rsidRPr="00C22B49">
              <w:rPr>
                <w:b/>
                <w:bCs/>
              </w:rPr>
              <w:t>FM EBT Users</w:t>
            </w:r>
          </w:p>
          <w:p w:rsidR="003F4207" w:rsidRPr="00C22B49" w:rsidRDefault="003F4207" w:rsidP="003F4207">
            <w:pPr>
              <w:jc w:val="center"/>
            </w:pPr>
            <w:r w:rsidRPr="00C22B49">
              <w:rPr>
                <w:b/>
                <w:bCs/>
              </w:rPr>
              <w:t>(1,700 Completes)</w:t>
            </w:r>
          </w:p>
        </w:tc>
        <w:tc>
          <w:tcPr>
            <w:tcW w:w="1160" w:type="pct"/>
            <w:vMerge w:val="restart"/>
            <w:shd w:val="clear" w:color="auto" w:fill="auto"/>
            <w:vAlign w:val="bottom"/>
            <w:hideMark/>
          </w:tcPr>
          <w:p w:rsidR="003F4207" w:rsidRPr="00C22B49" w:rsidRDefault="003F4207" w:rsidP="003F4207">
            <w:pPr>
              <w:jc w:val="center"/>
            </w:pPr>
            <w:r w:rsidRPr="00C22B49">
              <w:rPr>
                <w:b/>
                <w:bCs/>
              </w:rPr>
              <w:t>FM EBT Nonusers</w:t>
            </w:r>
          </w:p>
          <w:p w:rsidR="003F4207" w:rsidRPr="00C22B49" w:rsidRDefault="003F4207" w:rsidP="003F4207">
            <w:pPr>
              <w:jc w:val="center"/>
            </w:pPr>
            <w:r w:rsidRPr="00C22B49">
              <w:rPr>
                <w:b/>
                <w:bCs/>
              </w:rPr>
              <w:t>(2,000 Completes)</w:t>
            </w:r>
          </w:p>
        </w:tc>
        <w:tc>
          <w:tcPr>
            <w:tcW w:w="1055" w:type="pct"/>
            <w:vMerge w:val="restart"/>
            <w:shd w:val="clear" w:color="auto" w:fill="auto"/>
            <w:vAlign w:val="bottom"/>
            <w:hideMark/>
          </w:tcPr>
          <w:p w:rsidR="003F4207" w:rsidRPr="00C22B49" w:rsidRDefault="003F4207" w:rsidP="003F4207">
            <w:pPr>
              <w:jc w:val="center"/>
            </w:pPr>
            <w:r w:rsidRPr="00C22B49">
              <w:rPr>
                <w:b/>
                <w:bCs/>
              </w:rPr>
              <w:t>TOTAL</w:t>
            </w:r>
          </w:p>
        </w:tc>
      </w:tr>
      <w:tr w:rsidR="003F4207" w:rsidRPr="00C22B49" w:rsidTr="003F4207">
        <w:trPr>
          <w:trHeight w:val="485"/>
        </w:trPr>
        <w:tc>
          <w:tcPr>
            <w:tcW w:w="960" w:type="pct"/>
            <w:vMerge/>
            <w:shd w:val="clear" w:color="auto" w:fill="auto"/>
            <w:hideMark/>
          </w:tcPr>
          <w:p w:rsidR="003F4207" w:rsidRPr="00C22B49" w:rsidRDefault="003F4207" w:rsidP="003F4207"/>
        </w:tc>
        <w:tc>
          <w:tcPr>
            <w:tcW w:w="865" w:type="pct"/>
            <w:shd w:val="clear" w:color="auto" w:fill="auto"/>
            <w:hideMark/>
          </w:tcPr>
          <w:p w:rsidR="003F4207" w:rsidRPr="00C22B49" w:rsidRDefault="003F4207" w:rsidP="003F4207">
            <w:pPr>
              <w:jc w:val="center"/>
              <w:rPr>
                <w:b/>
              </w:rPr>
            </w:pPr>
            <w:r w:rsidRPr="00C22B49">
              <w:rPr>
                <w:b/>
              </w:rPr>
              <w:t>With Incentives</w:t>
            </w:r>
          </w:p>
        </w:tc>
        <w:tc>
          <w:tcPr>
            <w:tcW w:w="960" w:type="pct"/>
            <w:shd w:val="clear" w:color="auto" w:fill="auto"/>
            <w:hideMark/>
          </w:tcPr>
          <w:p w:rsidR="003F4207" w:rsidRPr="00C22B49" w:rsidRDefault="003F4207" w:rsidP="003F4207">
            <w:pPr>
              <w:jc w:val="center"/>
              <w:rPr>
                <w:b/>
              </w:rPr>
            </w:pPr>
            <w:r w:rsidRPr="00C22B49">
              <w:rPr>
                <w:b/>
              </w:rPr>
              <w:t>W/O Incentives</w:t>
            </w:r>
          </w:p>
        </w:tc>
        <w:tc>
          <w:tcPr>
            <w:tcW w:w="1160" w:type="pct"/>
            <w:vMerge/>
            <w:shd w:val="clear" w:color="auto" w:fill="auto"/>
            <w:hideMark/>
          </w:tcPr>
          <w:p w:rsidR="003F4207" w:rsidRPr="00C22B49" w:rsidRDefault="003F4207" w:rsidP="003F4207"/>
        </w:tc>
        <w:tc>
          <w:tcPr>
            <w:tcW w:w="1055" w:type="pct"/>
            <w:vMerge/>
            <w:shd w:val="clear" w:color="auto" w:fill="auto"/>
            <w:hideMark/>
          </w:tcPr>
          <w:p w:rsidR="003F4207" w:rsidRPr="00C22B49" w:rsidRDefault="003F4207" w:rsidP="003F4207"/>
        </w:tc>
      </w:tr>
      <w:tr w:rsidR="003F4207" w:rsidRPr="00C22B49" w:rsidTr="003F4207">
        <w:trPr>
          <w:trHeight w:val="585"/>
        </w:trPr>
        <w:tc>
          <w:tcPr>
            <w:tcW w:w="960" w:type="pct"/>
            <w:shd w:val="clear" w:color="auto" w:fill="auto"/>
            <w:hideMark/>
          </w:tcPr>
          <w:p w:rsidR="003F4207" w:rsidRPr="00C22B49" w:rsidRDefault="003F4207" w:rsidP="003F4207">
            <w:r w:rsidRPr="00C22B49">
              <w:t xml:space="preserve">Sample draw </w:t>
            </w:r>
          </w:p>
        </w:tc>
        <w:tc>
          <w:tcPr>
            <w:tcW w:w="865" w:type="pct"/>
            <w:shd w:val="clear" w:color="auto" w:fill="auto"/>
            <w:vAlign w:val="center"/>
            <w:hideMark/>
          </w:tcPr>
          <w:p w:rsidR="003F4207" w:rsidRDefault="003F4207" w:rsidP="003F4207">
            <w:pPr>
              <w:jc w:val="center"/>
              <w:rPr>
                <w:rFonts w:cs="Calibri"/>
                <w:color w:val="000000"/>
              </w:rPr>
            </w:pPr>
            <w:r>
              <w:rPr>
                <w:rFonts w:cs="Calibri"/>
                <w:color w:val="000000"/>
              </w:rPr>
              <w:t>1,405</w:t>
            </w:r>
          </w:p>
        </w:tc>
        <w:tc>
          <w:tcPr>
            <w:tcW w:w="960" w:type="pct"/>
            <w:shd w:val="clear" w:color="auto" w:fill="auto"/>
            <w:vAlign w:val="center"/>
            <w:hideMark/>
          </w:tcPr>
          <w:p w:rsidR="003F4207" w:rsidRDefault="003F4207" w:rsidP="003F4207">
            <w:pPr>
              <w:jc w:val="center"/>
              <w:rPr>
                <w:rFonts w:cs="Calibri"/>
                <w:color w:val="000000"/>
              </w:rPr>
            </w:pPr>
            <w:r>
              <w:rPr>
                <w:rFonts w:cs="Calibri"/>
                <w:color w:val="000000"/>
              </w:rPr>
              <w:t>983</w:t>
            </w:r>
          </w:p>
        </w:tc>
        <w:tc>
          <w:tcPr>
            <w:tcW w:w="1160" w:type="pct"/>
            <w:shd w:val="clear" w:color="auto" w:fill="auto"/>
            <w:vAlign w:val="center"/>
            <w:hideMark/>
          </w:tcPr>
          <w:p w:rsidR="003F4207" w:rsidRDefault="003F4207" w:rsidP="003F4207">
            <w:pPr>
              <w:jc w:val="center"/>
              <w:rPr>
                <w:rFonts w:cs="Calibri"/>
                <w:color w:val="000000"/>
              </w:rPr>
            </w:pPr>
            <w:r>
              <w:rPr>
                <w:rFonts w:cs="Calibri"/>
                <w:color w:val="000000"/>
              </w:rPr>
              <w:t>2,809</w:t>
            </w:r>
          </w:p>
        </w:tc>
        <w:tc>
          <w:tcPr>
            <w:tcW w:w="1055" w:type="pct"/>
            <w:shd w:val="clear" w:color="auto" w:fill="auto"/>
            <w:vAlign w:val="center"/>
            <w:hideMark/>
          </w:tcPr>
          <w:p w:rsidR="003F4207" w:rsidRDefault="003F4207" w:rsidP="003F4207">
            <w:pPr>
              <w:jc w:val="center"/>
              <w:rPr>
                <w:rFonts w:cs="Calibri"/>
                <w:color w:val="000000"/>
              </w:rPr>
            </w:pPr>
            <w:r>
              <w:rPr>
                <w:rFonts w:cs="Calibri"/>
                <w:color w:val="000000"/>
              </w:rPr>
              <w:t>5,197</w:t>
            </w:r>
          </w:p>
        </w:tc>
      </w:tr>
      <w:tr w:rsidR="003F4207" w:rsidRPr="00C22B49" w:rsidTr="003F4207">
        <w:trPr>
          <w:trHeight w:val="585"/>
        </w:trPr>
        <w:tc>
          <w:tcPr>
            <w:tcW w:w="960" w:type="pct"/>
            <w:shd w:val="clear" w:color="auto" w:fill="auto"/>
            <w:hideMark/>
          </w:tcPr>
          <w:p w:rsidR="003F4207" w:rsidRPr="00C22B49" w:rsidRDefault="003F4207" w:rsidP="003F4207">
            <w:r w:rsidRPr="00C22B49">
              <w:t xml:space="preserve">Attrition (11%) </w:t>
            </w:r>
          </w:p>
        </w:tc>
        <w:tc>
          <w:tcPr>
            <w:tcW w:w="865" w:type="pct"/>
            <w:shd w:val="clear" w:color="auto" w:fill="auto"/>
            <w:vAlign w:val="center"/>
            <w:hideMark/>
          </w:tcPr>
          <w:p w:rsidR="003F4207" w:rsidRDefault="003F4207" w:rsidP="003F4207">
            <w:pPr>
              <w:jc w:val="center"/>
              <w:rPr>
                <w:rFonts w:cs="Calibri"/>
                <w:color w:val="000000"/>
              </w:rPr>
            </w:pPr>
            <w:r>
              <w:rPr>
                <w:rFonts w:cs="Calibri"/>
                <w:color w:val="000000"/>
              </w:rPr>
              <w:t>155</w:t>
            </w:r>
          </w:p>
        </w:tc>
        <w:tc>
          <w:tcPr>
            <w:tcW w:w="960" w:type="pct"/>
            <w:shd w:val="clear" w:color="auto" w:fill="auto"/>
            <w:vAlign w:val="center"/>
            <w:hideMark/>
          </w:tcPr>
          <w:p w:rsidR="003F4207" w:rsidRDefault="003F4207" w:rsidP="003F4207">
            <w:pPr>
              <w:jc w:val="center"/>
              <w:rPr>
                <w:rFonts w:cs="Calibri"/>
                <w:color w:val="000000"/>
              </w:rPr>
            </w:pPr>
            <w:r>
              <w:rPr>
                <w:rFonts w:cs="Calibri"/>
                <w:color w:val="000000"/>
              </w:rPr>
              <w:t>108</w:t>
            </w:r>
          </w:p>
        </w:tc>
        <w:tc>
          <w:tcPr>
            <w:tcW w:w="1160" w:type="pct"/>
            <w:shd w:val="clear" w:color="auto" w:fill="auto"/>
            <w:vAlign w:val="center"/>
            <w:hideMark/>
          </w:tcPr>
          <w:p w:rsidR="003F4207" w:rsidRDefault="003F4207" w:rsidP="003F4207">
            <w:pPr>
              <w:jc w:val="center"/>
              <w:rPr>
                <w:rFonts w:cs="Calibri"/>
                <w:color w:val="000000"/>
              </w:rPr>
            </w:pPr>
            <w:r>
              <w:rPr>
                <w:rFonts w:cs="Calibri"/>
                <w:color w:val="000000"/>
              </w:rPr>
              <w:t>309</w:t>
            </w:r>
          </w:p>
        </w:tc>
        <w:tc>
          <w:tcPr>
            <w:tcW w:w="1055" w:type="pct"/>
            <w:shd w:val="clear" w:color="auto" w:fill="auto"/>
            <w:vAlign w:val="center"/>
            <w:hideMark/>
          </w:tcPr>
          <w:p w:rsidR="003F4207" w:rsidRDefault="003F4207" w:rsidP="003F4207">
            <w:pPr>
              <w:jc w:val="center"/>
              <w:rPr>
                <w:rFonts w:cs="Calibri"/>
                <w:color w:val="000000"/>
              </w:rPr>
            </w:pPr>
            <w:r>
              <w:rPr>
                <w:rFonts w:cs="Calibri"/>
                <w:color w:val="000000"/>
              </w:rPr>
              <w:t>572</w:t>
            </w:r>
          </w:p>
        </w:tc>
      </w:tr>
      <w:tr w:rsidR="003F4207" w:rsidRPr="00C22B49" w:rsidTr="003F4207">
        <w:trPr>
          <w:trHeight w:val="585"/>
        </w:trPr>
        <w:tc>
          <w:tcPr>
            <w:tcW w:w="960" w:type="pct"/>
            <w:shd w:val="clear" w:color="auto" w:fill="auto"/>
            <w:hideMark/>
          </w:tcPr>
          <w:p w:rsidR="003F4207" w:rsidRPr="00C22B49" w:rsidRDefault="003F4207" w:rsidP="003F4207">
            <w:r w:rsidRPr="00C22B49">
              <w:t>Sample</w:t>
            </w:r>
          </w:p>
        </w:tc>
        <w:tc>
          <w:tcPr>
            <w:tcW w:w="865" w:type="pct"/>
            <w:shd w:val="clear" w:color="auto" w:fill="auto"/>
            <w:vAlign w:val="center"/>
            <w:hideMark/>
          </w:tcPr>
          <w:p w:rsidR="003F4207" w:rsidRDefault="003F4207" w:rsidP="003F4207">
            <w:pPr>
              <w:jc w:val="center"/>
              <w:rPr>
                <w:rFonts w:cs="Calibri"/>
                <w:color w:val="000000"/>
              </w:rPr>
            </w:pPr>
            <w:r>
              <w:rPr>
                <w:rFonts w:cs="Calibri"/>
                <w:color w:val="000000"/>
              </w:rPr>
              <w:t>1,250</w:t>
            </w:r>
          </w:p>
        </w:tc>
        <w:tc>
          <w:tcPr>
            <w:tcW w:w="960" w:type="pct"/>
            <w:shd w:val="clear" w:color="auto" w:fill="auto"/>
            <w:vAlign w:val="center"/>
            <w:hideMark/>
          </w:tcPr>
          <w:p w:rsidR="003F4207" w:rsidRDefault="003F4207" w:rsidP="003F4207">
            <w:pPr>
              <w:jc w:val="center"/>
              <w:rPr>
                <w:rFonts w:cs="Calibri"/>
                <w:color w:val="000000"/>
              </w:rPr>
            </w:pPr>
            <w:r>
              <w:rPr>
                <w:rFonts w:cs="Calibri"/>
                <w:color w:val="000000"/>
              </w:rPr>
              <w:t>875</w:t>
            </w:r>
          </w:p>
        </w:tc>
        <w:tc>
          <w:tcPr>
            <w:tcW w:w="1160" w:type="pct"/>
            <w:shd w:val="clear" w:color="auto" w:fill="auto"/>
            <w:vAlign w:val="center"/>
            <w:hideMark/>
          </w:tcPr>
          <w:p w:rsidR="003F4207" w:rsidRDefault="003F4207" w:rsidP="003F4207">
            <w:pPr>
              <w:jc w:val="center"/>
              <w:rPr>
                <w:rFonts w:cs="Calibri"/>
                <w:color w:val="000000"/>
              </w:rPr>
            </w:pPr>
            <w:r>
              <w:rPr>
                <w:rFonts w:cs="Calibri"/>
                <w:color w:val="000000"/>
              </w:rPr>
              <w:t>2,500</w:t>
            </w:r>
          </w:p>
        </w:tc>
        <w:tc>
          <w:tcPr>
            <w:tcW w:w="1055" w:type="pct"/>
            <w:shd w:val="clear" w:color="auto" w:fill="auto"/>
            <w:vAlign w:val="center"/>
            <w:hideMark/>
          </w:tcPr>
          <w:p w:rsidR="003F4207" w:rsidRDefault="003F4207" w:rsidP="003F4207">
            <w:pPr>
              <w:jc w:val="center"/>
              <w:rPr>
                <w:rFonts w:cs="Calibri"/>
                <w:color w:val="000000"/>
              </w:rPr>
            </w:pPr>
            <w:r>
              <w:rPr>
                <w:rFonts w:cs="Calibri"/>
                <w:color w:val="000000"/>
              </w:rPr>
              <w:t>4,625</w:t>
            </w:r>
          </w:p>
        </w:tc>
      </w:tr>
      <w:tr w:rsidR="003F4207" w:rsidRPr="00C22B49" w:rsidTr="003F4207">
        <w:trPr>
          <w:trHeight w:val="585"/>
        </w:trPr>
        <w:tc>
          <w:tcPr>
            <w:tcW w:w="960" w:type="pct"/>
            <w:shd w:val="clear" w:color="auto" w:fill="auto"/>
            <w:hideMark/>
          </w:tcPr>
          <w:p w:rsidR="003F4207" w:rsidRPr="00C22B49" w:rsidRDefault="003F4207" w:rsidP="003F4207">
            <w:r w:rsidRPr="00C22B49">
              <w:t>Completes</w:t>
            </w:r>
            <w:r>
              <w:t xml:space="preserve"> </w:t>
            </w:r>
            <w:r w:rsidRPr="00C22B49">
              <w:t>(</w:t>
            </w:r>
            <w:r>
              <w:t>8</w:t>
            </w:r>
            <w:r w:rsidRPr="00C22B49">
              <w:t>0%)</w:t>
            </w:r>
          </w:p>
        </w:tc>
        <w:tc>
          <w:tcPr>
            <w:tcW w:w="865" w:type="pct"/>
            <w:shd w:val="clear" w:color="auto" w:fill="auto"/>
            <w:hideMark/>
          </w:tcPr>
          <w:p w:rsidR="003F4207" w:rsidRPr="00C22B49" w:rsidRDefault="003F4207" w:rsidP="003F4207">
            <w:pPr>
              <w:jc w:val="center"/>
            </w:pPr>
            <w:r w:rsidRPr="00C22B49">
              <w:t>1,000</w:t>
            </w:r>
          </w:p>
        </w:tc>
        <w:tc>
          <w:tcPr>
            <w:tcW w:w="960" w:type="pct"/>
            <w:shd w:val="clear" w:color="auto" w:fill="auto"/>
            <w:hideMark/>
          </w:tcPr>
          <w:p w:rsidR="003F4207" w:rsidRPr="00C22B49" w:rsidRDefault="003F4207" w:rsidP="003F4207">
            <w:pPr>
              <w:jc w:val="center"/>
            </w:pPr>
            <w:r w:rsidRPr="00C22B49">
              <w:t>700</w:t>
            </w:r>
          </w:p>
        </w:tc>
        <w:tc>
          <w:tcPr>
            <w:tcW w:w="1160" w:type="pct"/>
            <w:shd w:val="clear" w:color="auto" w:fill="auto"/>
            <w:hideMark/>
          </w:tcPr>
          <w:p w:rsidR="003F4207" w:rsidRPr="00C22B49" w:rsidRDefault="003F4207" w:rsidP="003F4207">
            <w:pPr>
              <w:jc w:val="center"/>
            </w:pPr>
            <w:r w:rsidRPr="00C22B49">
              <w:t>2,000</w:t>
            </w:r>
          </w:p>
        </w:tc>
        <w:tc>
          <w:tcPr>
            <w:tcW w:w="1055" w:type="pct"/>
            <w:shd w:val="clear" w:color="auto" w:fill="auto"/>
            <w:hideMark/>
          </w:tcPr>
          <w:p w:rsidR="003F4207" w:rsidRPr="00C22B49" w:rsidRDefault="003F4207" w:rsidP="003F4207">
            <w:pPr>
              <w:jc w:val="center"/>
            </w:pPr>
            <w:r w:rsidRPr="00C22B49">
              <w:t xml:space="preserve">3,700 </w:t>
            </w:r>
          </w:p>
        </w:tc>
      </w:tr>
    </w:tbl>
    <w:p w:rsidR="003F4207" w:rsidRDefault="003F4207" w:rsidP="003F4207">
      <w:pPr>
        <w:pStyle w:val="L1-FlLSp12"/>
      </w:pPr>
    </w:p>
    <w:p w:rsidR="004B3FFB" w:rsidRDefault="00347EC8">
      <w:pPr>
        <w:pStyle w:val="L1-FlLSp12"/>
        <w:spacing w:line="480" w:lineRule="auto"/>
      </w:pPr>
      <w:r>
        <w:tab/>
      </w:r>
      <w:r w:rsidR="003F4207">
        <w:t xml:space="preserve">It is important to emphasize that the SNAP participants are considered </w:t>
      </w:r>
      <w:r w:rsidR="007B1CE5">
        <w:t>to be a</w:t>
      </w:r>
      <w:r w:rsidR="003F4207">
        <w:t xml:space="preserve"> hard to reach population for </w:t>
      </w:r>
      <w:r w:rsidR="007B1CE5">
        <w:t>studies such as this one</w:t>
      </w:r>
      <w:r w:rsidR="003F4207">
        <w:t xml:space="preserve">. </w:t>
      </w:r>
      <w:r w:rsidR="007B1CE5">
        <w:t>Frequently, the data from State agencies have</w:t>
      </w:r>
      <w:r w:rsidR="003F4207">
        <w:t xml:space="preserve"> incomplete, missing, o</w:t>
      </w:r>
      <w:r w:rsidR="005036E5">
        <w:t xml:space="preserve">r incorrect information on mailing address and telephone numbers. In addition, SNAP </w:t>
      </w:r>
      <w:r w:rsidR="00825B03">
        <w:t xml:space="preserve">participants </w:t>
      </w:r>
      <w:r w:rsidR="005036E5">
        <w:t>are more likely to be using temporary (pre-paid) telephones and they may change numbers more often than the population average. Considering all the information on difficulties of reaching this population</w:t>
      </w:r>
      <w:r w:rsidR="007D62F9">
        <w:t>,</w:t>
      </w:r>
      <w:r w:rsidR="005036E5">
        <w:t xml:space="preserve"> to ensure 3,700 complete interviews, we will also have a reserve sample </w:t>
      </w:r>
      <w:r w:rsidR="00825B03">
        <w:t xml:space="preserve">of </w:t>
      </w:r>
      <w:r w:rsidR="005036E5">
        <w:t xml:space="preserve">1,295 SNAP participants that will be released if </w:t>
      </w:r>
      <w:r w:rsidR="007B1CE5">
        <w:t>it appears that we will not achieve an</w:t>
      </w:r>
      <w:r w:rsidR="005036E5">
        <w:t xml:space="preserve"> 80% response rate with the original release.</w:t>
      </w:r>
    </w:p>
    <w:p w:rsidR="00C80391" w:rsidRDefault="00C80391" w:rsidP="00C80391">
      <w:pPr>
        <w:pStyle w:val="P1-StandPara"/>
      </w:pPr>
    </w:p>
    <w:p w:rsidR="00C80391" w:rsidRPr="00E83B21" w:rsidRDefault="00AB2A0D" w:rsidP="00C80391">
      <w:pPr>
        <w:pStyle w:val="Heading2"/>
      </w:pPr>
      <w:bookmarkStart w:id="17" w:name="_Toc287257036"/>
      <w:bookmarkStart w:id="18" w:name="_Toc287257090"/>
      <w:bookmarkStart w:id="19" w:name="_Toc290021782"/>
      <w:bookmarkStart w:id="20" w:name="_Toc329674963"/>
      <w:r w:rsidRPr="00D82921">
        <w:lastRenderedPageBreak/>
        <w:t>B.2.</w:t>
      </w:r>
      <w:r w:rsidRPr="00D82921">
        <w:tab/>
        <w:t>Describe the Procedures for the Collection of Information</w:t>
      </w:r>
      <w:bookmarkEnd w:id="17"/>
      <w:bookmarkEnd w:id="18"/>
      <w:bookmarkEnd w:id="19"/>
      <w:r w:rsidRPr="00D82921">
        <w:t xml:space="preserve"> including:</w:t>
      </w:r>
      <w:bookmarkEnd w:id="20"/>
    </w:p>
    <w:p w:rsidR="00C80391" w:rsidRPr="003D6F33" w:rsidRDefault="00C80391" w:rsidP="00C80391">
      <w:pPr>
        <w:pStyle w:val="Heading2"/>
        <w:numPr>
          <w:ilvl w:val="0"/>
          <w:numId w:val="3"/>
        </w:numPr>
        <w:tabs>
          <w:tab w:val="clear" w:pos="1152"/>
          <w:tab w:val="left" w:pos="1530"/>
        </w:tabs>
        <w:spacing w:after="0"/>
        <w:ind w:left="1526"/>
      </w:pPr>
      <w:bookmarkStart w:id="21" w:name="_Toc329674964"/>
      <w:r w:rsidRPr="003D6F33">
        <w:t>Statistical methodology for stratification and sample selection,</w:t>
      </w:r>
      <w:bookmarkEnd w:id="21"/>
    </w:p>
    <w:p w:rsidR="00C80391" w:rsidRPr="003D6F33" w:rsidRDefault="00C80391" w:rsidP="00C80391">
      <w:pPr>
        <w:pStyle w:val="Heading2"/>
        <w:numPr>
          <w:ilvl w:val="0"/>
          <w:numId w:val="3"/>
        </w:numPr>
        <w:tabs>
          <w:tab w:val="clear" w:pos="1152"/>
          <w:tab w:val="left" w:pos="1530"/>
        </w:tabs>
        <w:spacing w:after="0"/>
        <w:ind w:left="1526"/>
      </w:pPr>
      <w:bookmarkStart w:id="22" w:name="_Toc329674965"/>
      <w:r w:rsidRPr="003D6F33">
        <w:t>Estimation procedure,</w:t>
      </w:r>
      <w:bookmarkEnd w:id="22"/>
    </w:p>
    <w:p w:rsidR="00C80391" w:rsidRPr="0098663D" w:rsidRDefault="00C80391" w:rsidP="00C80391">
      <w:pPr>
        <w:pStyle w:val="Heading2"/>
        <w:numPr>
          <w:ilvl w:val="0"/>
          <w:numId w:val="3"/>
        </w:numPr>
        <w:tabs>
          <w:tab w:val="clear" w:pos="1152"/>
          <w:tab w:val="left" w:pos="1530"/>
        </w:tabs>
        <w:spacing w:after="0"/>
        <w:ind w:left="1526"/>
      </w:pPr>
      <w:bookmarkStart w:id="23" w:name="_Toc329674966"/>
      <w:r w:rsidRPr="003D6F33">
        <w:t xml:space="preserve">Degree of accuracy needed for the purpose described in the </w:t>
      </w:r>
      <w:r w:rsidRPr="0098663D">
        <w:t>justification,</w:t>
      </w:r>
      <w:bookmarkEnd w:id="23"/>
    </w:p>
    <w:p w:rsidR="00C80391" w:rsidRPr="0098663D" w:rsidRDefault="00C80391" w:rsidP="00C80391">
      <w:pPr>
        <w:pStyle w:val="Heading2"/>
        <w:numPr>
          <w:ilvl w:val="0"/>
          <w:numId w:val="3"/>
        </w:numPr>
        <w:tabs>
          <w:tab w:val="clear" w:pos="1152"/>
          <w:tab w:val="left" w:pos="1530"/>
        </w:tabs>
        <w:spacing w:after="0"/>
        <w:ind w:left="1526"/>
      </w:pPr>
      <w:bookmarkStart w:id="24" w:name="_Toc329674967"/>
      <w:r w:rsidRPr="0098663D">
        <w:t>Unusual problems requiring specialized sampling procedures, and</w:t>
      </w:r>
      <w:bookmarkEnd w:id="24"/>
    </w:p>
    <w:p w:rsidR="00C80391" w:rsidRPr="00363813" w:rsidRDefault="00C80391" w:rsidP="00C80391">
      <w:pPr>
        <w:pStyle w:val="Heading2"/>
        <w:numPr>
          <w:ilvl w:val="0"/>
          <w:numId w:val="3"/>
        </w:numPr>
        <w:tabs>
          <w:tab w:val="clear" w:pos="1152"/>
          <w:tab w:val="left" w:pos="1530"/>
        </w:tabs>
        <w:ind w:left="1530"/>
      </w:pPr>
      <w:bookmarkStart w:id="25" w:name="_Toc329674968"/>
      <w:r w:rsidRPr="0098663D">
        <w:t>Any use of periodic (less frequent than annual) data collection cycles to reduce burden.</w:t>
      </w:r>
      <w:bookmarkEnd w:id="25"/>
    </w:p>
    <w:p w:rsidR="00C80391" w:rsidRDefault="00C80391" w:rsidP="00C80391">
      <w:pPr>
        <w:pStyle w:val="Heading3"/>
      </w:pPr>
      <w:bookmarkStart w:id="26" w:name="_Toc280185474"/>
      <w:bookmarkStart w:id="27" w:name="_Toc290021783"/>
      <w:r>
        <w:t>B.2.1.</w:t>
      </w:r>
      <w:r>
        <w:tab/>
        <w:t>Statistical M</w:t>
      </w:r>
      <w:r w:rsidRPr="00081A7D">
        <w:t xml:space="preserve">ethodology for </w:t>
      </w:r>
      <w:r>
        <w:t>S</w:t>
      </w:r>
      <w:r w:rsidRPr="00081A7D">
        <w:t xml:space="preserve">tratification and </w:t>
      </w:r>
      <w:r>
        <w:t>S</w:t>
      </w:r>
      <w:r w:rsidRPr="00081A7D">
        <w:t xml:space="preserve">ample </w:t>
      </w:r>
      <w:r>
        <w:t>S</w:t>
      </w:r>
      <w:r w:rsidRPr="00081A7D">
        <w:t>election</w:t>
      </w:r>
      <w:bookmarkEnd w:id="26"/>
      <w:bookmarkEnd w:id="27"/>
    </w:p>
    <w:p w:rsidR="00C80391" w:rsidRDefault="00C80391" w:rsidP="00AD0CA7">
      <w:pPr>
        <w:pStyle w:val="P1-StandPara"/>
        <w:rPr>
          <w:rFonts w:eastAsiaTheme="minorHAnsi"/>
        </w:rPr>
      </w:pPr>
      <w:r>
        <w:t>As noted above, we will</w:t>
      </w:r>
      <w:r w:rsidR="006470F8">
        <w:t xml:space="preserve"> </w:t>
      </w:r>
      <w:r w:rsidR="009A2615">
        <w:t>use</w:t>
      </w:r>
      <w:r w:rsidR="003F2448">
        <w:t xml:space="preserve"> the </w:t>
      </w:r>
      <w:r w:rsidR="006B76BF" w:rsidRPr="006B76BF">
        <w:t xml:space="preserve">Nutrition Assistance in Farmers’ Markets: Understanding Current Operations </w:t>
      </w:r>
      <w:r w:rsidR="006B76BF">
        <w:t xml:space="preserve">study </w:t>
      </w:r>
      <w:r w:rsidR="006B76BF" w:rsidRPr="006B76BF">
        <w:t xml:space="preserve">(FM Ops) </w:t>
      </w:r>
      <w:r w:rsidR="003F2448">
        <w:t xml:space="preserve">responding </w:t>
      </w:r>
      <w:r w:rsidR="009A2615">
        <w:t xml:space="preserve">farmer’s markets as the </w:t>
      </w:r>
      <w:r w:rsidR="009423B6">
        <w:t xml:space="preserve">Stage 1 </w:t>
      </w:r>
      <w:r w:rsidR="009A2615">
        <w:t>sampling frame</w:t>
      </w:r>
      <w:r w:rsidR="003F2448">
        <w:t xml:space="preserve">, which will be explicitly </w:t>
      </w:r>
      <w:r w:rsidR="006470F8">
        <w:t>stratif</w:t>
      </w:r>
      <w:r w:rsidR="003F2448">
        <w:t>ied by</w:t>
      </w:r>
      <w:r w:rsidR="006470F8">
        <w:t xml:space="preserve"> the </w:t>
      </w:r>
      <w:r w:rsidR="003F2448">
        <w:t>census region</w:t>
      </w:r>
      <w:r w:rsidR="009A2615">
        <w:t>,</w:t>
      </w:r>
      <w:r w:rsidR="003F2448">
        <w:t xml:space="preserve"> urban/rural status</w:t>
      </w:r>
      <w:r w:rsidR="009A2615">
        <w:t>, and</w:t>
      </w:r>
      <w:r w:rsidR="009A2615" w:rsidRPr="009A2615">
        <w:t xml:space="preserve"> </w:t>
      </w:r>
      <w:r w:rsidR="009A2615">
        <w:t>incentive program status</w:t>
      </w:r>
      <w:r>
        <w:t xml:space="preserve">. Within each </w:t>
      </w:r>
      <w:r w:rsidR="003F2448">
        <w:t xml:space="preserve">explicit </w:t>
      </w:r>
      <w:r w:rsidR="00544E22">
        <w:t>stratum,</w:t>
      </w:r>
      <w:r>
        <w:t xml:space="preserve"> we will implicitly stratify </w:t>
      </w:r>
      <w:r w:rsidR="003F2448">
        <w:t xml:space="preserve">the FMs </w:t>
      </w:r>
      <w:r>
        <w:t>by</w:t>
      </w:r>
      <w:r w:rsidR="003F2448">
        <w:t xml:space="preserve"> </w:t>
      </w:r>
      <w:r>
        <w:t xml:space="preserve">market size </w:t>
      </w:r>
      <w:r w:rsidR="003F2448">
        <w:t>(</w:t>
      </w:r>
      <w:r>
        <w:t>measure</w:t>
      </w:r>
      <w:r w:rsidR="003F2448">
        <w:t xml:space="preserve">d by </w:t>
      </w:r>
      <w:r w:rsidR="009403CE">
        <w:t xml:space="preserve">the </w:t>
      </w:r>
      <w:r w:rsidR="003F2448">
        <w:t xml:space="preserve">redemption value of </w:t>
      </w:r>
      <w:r w:rsidR="00B447D6">
        <w:t>EBT</w:t>
      </w:r>
      <w:r w:rsidR="003F2448">
        <w:t xml:space="preserve"> transactions)</w:t>
      </w:r>
      <w:r>
        <w:t xml:space="preserve">. This will be accomplished by sorting the </w:t>
      </w:r>
      <w:r w:rsidR="003F2448">
        <w:t xml:space="preserve">FM </w:t>
      </w:r>
      <w:r>
        <w:t xml:space="preserve">frame by </w:t>
      </w:r>
      <w:r w:rsidR="00544E22">
        <w:t xml:space="preserve">market size </w:t>
      </w:r>
      <w:r>
        <w:t>and selecting the samples using systematic sampling with a random start. Implicit stratification will ensure good representation of markets across the sort variables and is likely to improve the precision of survey estimates.</w:t>
      </w:r>
      <w:r w:rsidR="00B447D6">
        <w:t xml:space="preserve"> In </w:t>
      </w:r>
      <w:r w:rsidR="00AD0CA7">
        <w:t>S</w:t>
      </w:r>
      <w:r w:rsidR="00B447D6">
        <w:t>tage</w:t>
      </w:r>
      <w:r w:rsidR="00AD0CA7">
        <w:t xml:space="preserve"> 2, </w:t>
      </w:r>
      <w:r w:rsidR="004B5EE7">
        <w:t>o</w:t>
      </w:r>
      <w:r w:rsidR="00AD0CA7">
        <w:t>nce the frame of participants is created it will be divided into two strata: SNAP participants who redeemed their SNAP benefits at a targeted FM and SNAP participants who did not redeem their benefits at a targeted FM, but who did redeem benefits at a food store in the catchment area.</w:t>
      </w:r>
    </w:p>
    <w:p w:rsidR="00C80391" w:rsidRPr="00DE389E" w:rsidRDefault="00C80391" w:rsidP="00C80391">
      <w:pPr>
        <w:pStyle w:val="P1-StandPara"/>
      </w:pPr>
    </w:p>
    <w:p w:rsidR="00C80391" w:rsidRDefault="00C80391" w:rsidP="00C80391">
      <w:pPr>
        <w:pStyle w:val="Heading3"/>
      </w:pPr>
      <w:bookmarkStart w:id="28" w:name="_Toc290021784"/>
      <w:r>
        <w:t>B.2.2.</w:t>
      </w:r>
      <w:r>
        <w:tab/>
        <w:t>Estimation P</w:t>
      </w:r>
      <w:r w:rsidRPr="005F0A96">
        <w:t>rocedures</w:t>
      </w:r>
      <w:bookmarkEnd w:id="28"/>
    </w:p>
    <w:p w:rsidR="004B3FFB" w:rsidRDefault="00AB2A0D">
      <w:pPr>
        <w:pStyle w:val="P1-StandPara"/>
        <w:rPr>
          <w:b/>
        </w:rPr>
      </w:pPr>
      <w:r w:rsidRPr="00AB2A0D">
        <w:rPr>
          <w:b/>
        </w:rPr>
        <w:t>Sample Weights</w:t>
      </w:r>
    </w:p>
    <w:p w:rsidR="004B3FFB" w:rsidRDefault="00AB2A0D">
      <w:pPr>
        <w:pStyle w:val="P1-StandPara"/>
      </w:pPr>
      <w:r w:rsidRPr="00AB2A0D">
        <w:lastRenderedPageBreak/>
        <w:t xml:space="preserve">Sample weights will be developed for </w:t>
      </w:r>
      <w:r w:rsidR="00EE2533">
        <w:t>SNAP participants</w:t>
      </w:r>
      <w:r w:rsidRPr="00AB2A0D">
        <w:t xml:space="preserve"> responding to the survey for estimation purposes.  Each sampled </w:t>
      </w:r>
      <w:r w:rsidR="00EE2533">
        <w:t>SNAP participant</w:t>
      </w:r>
      <w:r w:rsidR="009423B6">
        <w:t xml:space="preserve"> will be assigned a base weight,</w:t>
      </w:r>
      <w:r w:rsidRPr="00AB2A0D">
        <w:t xml:space="preserve"> therefore, reflecting each </w:t>
      </w:r>
      <w:r w:rsidR="00EE2533">
        <w:t>SNAP participant</w:t>
      </w:r>
      <w:r w:rsidRPr="00AB2A0D">
        <w:t xml:space="preserve">’s chance of selection.  </w:t>
      </w:r>
      <w:r w:rsidR="00B137BC" w:rsidRPr="00B33AC0">
        <w:t xml:space="preserve">To compensate for unit nonresponse, a standard approach is to calculate adjustment factors within selected weighting classes, </w:t>
      </w:r>
      <w:r w:rsidR="0025476E">
        <w:t xml:space="preserve">where the adjustment factor is </w:t>
      </w:r>
      <w:r w:rsidR="0025476E" w:rsidRPr="00F26572">
        <w:t>the ratio of the sum of the weights (using the base weights) of both respondents and nonrespondents to the sum of the weights for respondents alone</w:t>
      </w:r>
      <w:r w:rsidR="0025476E">
        <w:t xml:space="preserve"> in </w:t>
      </w:r>
      <w:r w:rsidR="00CF279E">
        <w:t>each</w:t>
      </w:r>
      <w:r w:rsidR="0025476E">
        <w:t xml:space="preserve"> weighting class</w:t>
      </w:r>
      <w:r w:rsidR="0025476E" w:rsidRPr="00F26572">
        <w:t xml:space="preserve">. </w:t>
      </w:r>
      <w:r w:rsidR="0025476E">
        <w:t>T</w:t>
      </w:r>
      <w:r w:rsidR="00B137BC" w:rsidRPr="00B33AC0">
        <w:t>hese factors</w:t>
      </w:r>
      <w:r w:rsidR="0025476E">
        <w:t xml:space="preserve"> will be used</w:t>
      </w:r>
      <w:r w:rsidR="00B137BC" w:rsidRPr="00B33AC0">
        <w:t xml:space="preserve"> to inflate the base weights</w:t>
      </w:r>
      <w:r w:rsidR="0025476E">
        <w:t xml:space="preserve">, </w:t>
      </w:r>
      <w:r w:rsidR="0025476E" w:rsidRPr="00F26572">
        <w:t xml:space="preserve">so that estimates from </w:t>
      </w:r>
      <w:r w:rsidR="0025476E">
        <w:t>respond</w:t>
      </w:r>
      <w:r w:rsidR="0025476E" w:rsidRPr="00F26572">
        <w:t xml:space="preserve">ing </w:t>
      </w:r>
      <w:r w:rsidR="0025476E">
        <w:t>SNAP participants</w:t>
      </w:r>
      <w:r w:rsidR="0025476E" w:rsidRPr="00F26572">
        <w:t xml:space="preserve"> can be used to make appropriate inference to the </w:t>
      </w:r>
      <w:r w:rsidR="0025476E">
        <w:t>SNAP participant</w:t>
      </w:r>
      <w:r w:rsidR="0025476E" w:rsidRPr="00F26572">
        <w:t xml:space="preserve"> population.  </w:t>
      </w:r>
      <w:r w:rsidR="00B137BC" w:rsidRPr="00B33AC0">
        <w:t xml:space="preserve">The weighting classes may be the same as the original sampling strata, or they may be defined </w:t>
      </w:r>
      <w:r w:rsidR="0025476E" w:rsidRPr="00B33AC0">
        <w:t>based on</w:t>
      </w:r>
      <w:r w:rsidR="00B137BC" w:rsidRPr="00B33AC0">
        <w:t xml:space="preserve"> other relevant characteristics that are available for both responding and nonresponding units</w:t>
      </w:r>
      <w:r w:rsidR="006B76BF" w:rsidRPr="00B33AC0">
        <w:t xml:space="preserve">.  </w:t>
      </w:r>
      <w:r w:rsidR="00CF279E" w:rsidRPr="007C17D3">
        <w:t xml:space="preserve">Analyses of differential nonresponses (e.g., using a software package such as CHAID) are planned which will help to identify </w:t>
      </w:r>
      <w:r w:rsidR="00CF279E">
        <w:t>classe</w:t>
      </w:r>
      <w:r w:rsidR="00CF279E" w:rsidRPr="007C17D3">
        <w:t>s with important differences in response propensity, a critical criterion in the formation of useful nonresponse adjustment c</w:t>
      </w:r>
      <w:r w:rsidR="00CF279E">
        <w:t>lasses</w:t>
      </w:r>
      <w:r w:rsidR="00CF279E" w:rsidRPr="007C17D3">
        <w:t>.</w:t>
      </w:r>
      <w:r w:rsidR="00CF279E">
        <w:t xml:space="preserve"> </w:t>
      </w:r>
      <w:r w:rsidR="00B137BC" w:rsidRPr="00B33AC0">
        <w:t>The sum of the weights of the respondents</w:t>
      </w:r>
      <w:r w:rsidR="00E54469">
        <w:t>,</w:t>
      </w:r>
      <w:r w:rsidR="00B137BC" w:rsidRPr="00B33AC0">
        <w:t xml:space="preserve"> after the adjustment</w:t>
      </w:r>
      <w:r w:rsidR="00E54469">
        <w:t>,</w:t>
      </w:r>
      <w:r w:rsidR="00B137BC" w:rsidRPr="00B33AC0">
        <w:t xml:space="preserve"> will equal the sum of the weights of the respondents and nonrespondents before the adjustment.</w:t>
      </w:r>
      <w:r w:rsidR="0025476E">
        <w:t xml:space="preserve"> </w:t>
      </w:r>
    </w:p>
    <w:p w:rsidR="004B3FFB" w:rsidRDefault="00261DA0">
      <w:pPr>
        <w:pStyle w:val="P1-StandPara"/>
        <w:rPr>
          <w:b/>
        </w:rPr>
      </w:pPr>
      <w:r>
        <w:rPr>
          <w:b/>
        </w:rPr>
        <w:t>Sampling Error Estimation</w:t>
      </w:r>
    </w:p>
    <w:p w:rsidR="00C80391" w:rsidRDefault="00C80391" w:rsidP="00C80391">
      <w:pPr>
        <w:pStyle w:val="P1-StandPara"/>
      </w:pPr>
      <w:r w:rsidRPr="00EE2533">
        <w:t>When a survey is conducted using a complex sample design, the design must be taken explicitly into account to produce unbiased estimates and standard</w:t>
      </w:r>
      <w:r>
        <w:t xml:space="preserve"> errors for these estimates. This is accomplished by dividing the complete sample into a number of subsamples known as replicates so that each replicate sample, when properly weighted, will provide appropriate estimates of population characteristics of interest. In general, replicate samples are formed to mirror the original sampling of primary sampling units.</w:t>
      </w:r>
      <w:r w:rsidR="005E0357">
        <w:t xml:space="preserve"> In this study</w:t>
      </w:r>
      <w:r w:rsidR="00AB2A0D" w:rsidRPr="00AB2A0D">
        <w:t>, replicate weights using the jackknife methodology will be developed as part of the weighting process</w:t>
      </w:r>
      <w:r>
        <w:t xml:space="preserve"> to calculate sampling errors of survey estimates and to conduct statistical significance tests of survey findings. WesVar Software for Complex Survey </w:t>
      </w:r>
      <w:r>
        <w:lastRenderedPageBreak/>
        <w:t>Analysis will be used with replicate weights to take the sample design into account when calculating point estimates, correlation</w:t>
      </w:r>
      <w:r w:rsidR="00230B11">
        <w:t>,</w:t>
      </w:r>
      <w:r>
        <w:t xml:space="preserve"> and regression coefficients and their associated standard errors. </w:t>
      </w:r>
      <w:r w:rsidR="00F462FA">
        <w:t>A</w:t>
      </w:r>
      <w:r w:rsidR="00F462FA" w:rsidRPr="002301A6">
        <w:t xml:space="preserve"> series of jackknife replicate weights will be created and attached to each data record for variance estimation purposes.</w:t>
      </w:r>
      <w:r w:rsidR="00F462FA">
        <w:t xml:space="preserve"> </w:t>
      </w:r>
      <w:r w:rsidR="00F462FA" w:rsidRPr="002301A6">
        <w:t>The</w:t>
      </w:r>
      <w:r w:rsidR="00F462FA">
        <w:t>se</w:t>
      </w:r>
      <w:r w:rsidR="00F462FA" w:rsidRPr="002301A6">
        <w:t xml:space="preserve"> replicate weights </w:t>
      </w:r>
      <w:r w:rsidR="00F462FA">
        <w:t>will then</w:t>
      </w:r>
      <w:r w:rsidR="00F462FA" w:rsidRPr="002301A6">
        <w:t xml:space="preserve"> be imported into </w:t>
      </w:r>
      <w:r w:rsidR="00F462FA">
        <w:t>WesVar</w:t>
      </w:r>
      <w:r w:rsidR="00F462FA" w:rsidRPr="002301A6">
        <w:t xml:space="preserve"> to calculate </w:t>
      </w:r>
      <w:r w:rsidR="00F462FA">
        <w:t xml:space="preserve">appropriate </w:t>
      </w:r>
      <w:r w:rsidR="00F462FA" w:rsidRPr="002301A6">
        <w:t xml:space="preserve">standard errors </w:t>
      </w:r>
      <w:r w:rsidR="00F462FA">
        <w:t>for</w:t>
      </w:r>
      <w:r w:rsidR="00F462FA" w:rsidRPr="002301A6">
        <w:t xml:space="preserve"> survey-based estimates.</w:t>
      </w:r>
    </w:p>
    <w:p w:rsidR="005E0357" w:rsidRDefault="005E0357" w:rsidP="00C80391">
      <w:pPr>
        <w:pStyle w:val="P1-StandPara"/>
      </w:pPr>
    </w:p>
    <w:p w:rsidR="00C80391" w:rsidRDefault="00C80391" w:rsidP="00C80391">
      <w:pPr>
        <w:pStyle w:val="Heading3"/>
      </w:pPr>
      <w:bookmarkStart w:id="29" w:name="_Toc290021785"/>
      <w:r>
        <w:t>B.2.3.</w:t>
      </w:r>
      <w:r>
        <w:tab/>
        <w:t xml:space="preserve">Degree of </w:t>
      </w:r>
      <w:r w:rsidR="00501D71">
        <w:t>P</w:t>
      </w:r>
      <w:r w:rsidR="00501D71" w:rsidRPr="00095DDA">
        <w:t>recision</w:t>
      </w:r>
      <w:r>
        <w:t xml:space="preserve"> Needed</w:t>
      </w:r>
      <w:bookmarkEnd w:id="29"/>
      <w:r>
        <w:t xml:space="preserve"> for the Purpose Described in the Justification</w:t>
      </w:r>
    </w:p>
    <w:p w:rsidR="004B3FFB" w:rsidRDefault="00AB2A0D">
      <w:pPr>
        <w:ind w:firstLine="720"/>
      </w:pPr>
      <w:r w:rsidRPr="00AB2A0D">
        <w:rPr>
          <w:b/>
          <w:szCs w:val="24"/>
        </w:rPr>
        <w:t>Margin of Error</w:t>
      </w:r>
    </w:p>
    <w:p w:rsidR="004B3FFB" w:rsidRDefault="004B3FFB"/>
    <w:p w:rsidR="00C80391" w:rsidRPr="0015627D" w:rsidRDefault="00C80391" w:rsidP="00C80391">
      <w:pPr>
        <w:pStyle w:val="P1-StandPara"/>
        <w:rPr>
          <w:szCs w:val="24"/>
        </w:rPr>
      </w:pPr>
      <w:r w:rsidRPr="0015627D">
        <w:rPr>
          <w:szCs w:val="24"/>
        </w:rPr>
        <w:t xml:space="preserve">The </w:t>
      </w:r>
      <w:r w:rsidR="005719FC">
        <w:t>SNAP participant</w:t>
      </w:r>
      <w:r w:rsidR="005719FC" w:rsidRPr="00224302">
        <w:rPr>
          <w:szCs w:val="24"/>
        </w:rPr>
        <w:t xml:space="preserve"> </w:t>
      </w:r>
      <w:r w:rsidRPr="0015627D">
        <w:rPr>
          <w:szCs w:val="24"/>
        </w:rPr>
        <w:t xml:space="preserve">sample has been designed to estimate response proportions in each of the </w:t>
      </w:r>
      <w:r w:rsidR="00E701FB" w:rsidRPr="0015627D">
        <w:rPr>
          <w:szCs w:val="24"/>
        </w:rPr>
        <w:t>four</w:t>
      </w:r>
      <w:r w:rsidR="006E4A5E" w:rsidRPr="0015627D">
        <w:rPr>
          <w:szCs w:val="24"/>
        </w:rPr>
        <w:t xml:space="preserve"> subgroups</w:t>
      </w:r>
      <w:r w:rsidR="00AB168C" w:rsidRPr="0015627D">
        <w:rPr>
          <w:szCs w:val="24"/>
        </w:rPr>
        <w:t>:</w:t>
      </w:r>
      <w:r w:rsidR="006E4A5E" w:rsidRPr="0015627D">
        <w:rPr>
          <w:szCs w:val="24"/>
        </w:rPr>
        <w:t xml:space="preserve"> (</w:t>
      </w:r>
      <w:r w:rsidR="00AB168C" w:rsidRPr="0015627D">
        <w:rPr>
          <w:szCs w:val="24"/>
        </w:rPr>
        <w:t xml:space="preserve">1) </w:t>
      </w:r>
      <w:r w:rsidR="006E4A5E" w:rsidRPr="0015627D">
        <w:rPr>
          <w:szCs w:val="24"/>
        </w:rPr>
        <w:t xml:space="preserve">EBT users of FMs with incentives, </w:t>
      </w:r>
      <w:r w:rsidR="00AB168C" w:rsidRPr="0015627D">
        <w:rPr>
          <w:szCs w:val="24"/>
        </w:rPr>
        <w:t xml:space="preserve">(2) </w:t>
      </w:r>
      <w:r w:rsidR="006E4A5E" w:rsidRPr="0015627D">
        <w:rPr>
          <w:szCs w:val="24"/>
        </w:rPr>
        <w:t xml:space="preserve">EBT users of FMs without incentives, </w:t>
      </w:r>
      <w:r w:rsidR="00AB168C" w:rsidRPr="0015627D">
        <w:rPr>
          <w:szCs w:val="24"/>
        </w:rPr>
        <w:t xml:space="preserve">(3) </w:t>
      </w:r>
      <w:r w:rsidR="00427957" w:rsidRPr="0015627D">
        <w:rPr>
          <w:szCs w:val="24"/>
        </w:rPr>
        <w:t>all EBT users of FMs with and without incentives</w:t>
      </w:r>
      <w:r w:rsidR="00AB168C" w:rsidRPr="0015627D">
        <w:rPr>
          <w:szCs w:val="24"/>
        </w:rPr>
        <w:t xml:space="preserve"> combined</w:t>
      </w:r>
      <w:r w:rsidR="00427957" w:rsidRPr="0015627D">
        <w:rPr>
          <w:szCs w:val="24"/>
        </w:rPr>
        <w:t xml:space="preserve">, </w:t>
      </w:r>
      <w:r w:rsidR="006E4A5E" w:rsidRPr="0015627D">
        <w:rPr>
          <w:szCs w:val="24"/>
        </w:rPr>
        <w:t xml:space="preserve">and </w:t>
      </w:r>
      <w:r w:rsidR="00AB168C" w:rsidRPr="0015627D">
        <w:rPr>
          <w:szCs w:val="24"/>
        </w:rPr>
        <w:t xml:space="preserve">(4) </w:t>
      </w:r>
      <w:r w:rsidR="006E4A5E" w:rsidRPr="0015627D">
        <w:rPr>
          <w:szCs w:val="24"/>
        </w:rPr>
        <w:t>FM EBT nonusers</w:t>
      </w:r>
      <w:r w:rsidR="00AB168C" w:rsidRPr="0015627D">
        <w:rPr>
          <w:szCs w:val="24"/>
        </w:rPr>
        <w:t xml:space="preserve"> who shop within the selected FM catchment areas,</w:t>
      </w:r>
      <w:r w:rsidR="006E4A5E" w:rsidRPr="0015627D">
        <w:rPr>
          <w:szCs w:val="24"/>
        </w:rPr>
        <w:t xml:space="preserve"> </w:t>
      </w:r>
      <w:r w:rsidRPr="0015627D">
        <w:rPr>
          <w:szCs w:val="24"/>
        </w:rPr>
        <w:t xml:space="preserve">within a </w:t>
      </w:r>
      <w:r w:rsidR="00AB168C" w:rsidRPr="0015627D">
        <w:rPr>
          <w:szCs w:val="24"/>
        </w:rPr>
        <w:t xml:space="preserve">precision requirement of </w:t>
      </w:r>
      <w:r w:rsidR="006E4A5E" w:rsidRPr="0015627D">
        <w:rPr>
          <w:szCs w:val="24"/>
        </w:rPr>
        <w:t>five</w:t>
      </w:r>
      <w:r w:rsidRPr="0015627D">
        <w:rPr>
          <w:szCs w:val="24"/>
        </w:rPr>
        <w:t>-percentage point margin of error</w:t>
      </w:r>
      <w:r w:rsidR="00121A8E" w:rsidRPr="0015627D">
        <w:rPr>
          <w:szCs w:val="24"/>
        </w:rPr>
        <w:t xml:space="preserve"> at a 95 percent confidence level</w:t>
      </w:r>
      <w:r w:rsidRPr="0015627D">
        <w:rPr>
          <w:szCs w:val="24"/>
        </w:rPr>
        <w:t xml:space="preserve">. </w:t>
      </w:r>
    </w:p>
    <w:p w:rsidR="003C77D2" w:rsidRDefault="006E4A5E" w:rsidP="006E4A5E">
      <w:pPr>
        <w:pStyle w:val="P1-StandPara"/>
      </w:pPr>
      <w:r w:rsidRPr="0015627D">
        <w:rPr>
          <w:szCs w:val="24"/>
        </w:rPr>
        <w:t xml:space="preserve">Table 2 provides estimates of the levels of precision to be expected under the proposed design for subgroup sample sizes ranging from </w:t>
      </w:r>
      <w:r w:rsidR="000F5A5D" w:rsidRPr="0015627D">
        <w:rPr>
          <w:szCs w:val="24"/>
        </w:rPr>
        <w:t>7</w:t>
      </w:r>
      <w:r w:rsidRPr="0015627D">
        <w:rPr>
          <w:szCs w:val="24"/>
        </w:rPr>
        <w:t>00</w:t>
      </w:r>
      <w:r w:rsidR="000F5A5D" w:rsidRPr="0015627D">
        <w:rPr>
          <w:szCs w:val="24"/>
        </w:rPr>
        <w:t xml:space="preserve"> (sample size for </w:t>
      </w:r>
      <w:r w:rsidR="008114D1" w:rsidRPr="0015627D">
        <w:rPr>
          <w:szCs w:val="24"/>
        </w:rPr>
        <w:t xml:space="preserve">FM </w:t>
      </w:r>
      <w:r w:rsidR="000F5A5D" w:rsidRPr="0015627D">
        <w:rPr>
          <w:szCs w:val="24"/>
        </w:rPr>
        <w:t>EBT users without incentives)</w:t>
      </w:r>
      <w:r w:rsidRPr="0015627D">
        <w:rPr>
          <w:szCs w:val="24"/>
        </w:rPr>
        <w:t xml:space="preserve"> to </w:t>
      </w:r>
      <w:r w:rsidR="000F5A5D" w:rsidRPr="0015627D">
        <w:rPr>
          <w:szCs w:val="24"/>
        </w:rPr>
        <w:t>2</w:t>
      </w:r>
      <w:r w:rsidRPr="0015627D">
        <w:rPr>
          <w:szCs w:val="24"/>
        </w:rPr>
        <w:t>,</w:t>
      </w:r>
      <w:r w:rsidR="000F5A5D" w:rsidRPr="0015627D">
        <w:rPr>
          <w:szCs w:val="24"/>
        </w:rPr>
        <w:t>0</w:t>
      </w:r>
      <w:r w:rsidRPr="0015627D">
        <w:rPr>
          <w:szCs w:val="24"/>
        </w:rPr>
        <w:t xml:space="preserve">00 </w:t>
      </w:r>
      <w:r w:rsidR="000F5A5D" w:rsidRPr="0015627D">
        <w:rPr>
          <w:szCs w:val="24"/>
        </w:rPr>
        <w:t xml:space="preserve">(sample size for FM EBT nonusers), </w:t>
      </w:r>
      <w:r w:rsidRPr="0015627D">
        <w:rPr>
          <w:szCs w:val="24"/>
        </w:rPr>
        <w:t>and design effects ranging from 1.10 to 1.50. The design effects reflect the increase in sampling variance due to the variation in sampling rates resulting from disproportionate stratified sampling</w:t>
      </w:r>
      <w:r w:rsidR="000F5A5D" w:rsidRPr="0015627D">
        <w:rPr>
          <w:szCs w:val="24"/>
        </w:rPr>
        <w:t xml:space="preserve"> and clustering of sample SNAP participants</w:t>
      </w:r>
      <w:r w:rsidRPr="0015627D">
        <w:rPr>
          <w:szCs w:val="24"/>
        </w:rPr>
        <w:t>.</w:t>
      </w:r>
      <w:r w:rsidR="008114D1" w:rsidRPr="0015627D">
        <w:rPr>
          <w:szCs w:val="24"/>
        </w:rPr>
        <w:t xml:space="preserve"> </w:t>
      </w:r>
      <w:r w:rsidR="00AB2A0D" w:rsidRPr="00AB2A0D">
        <w:rPr>
          <w:szCs w:val="24"/>
        </w:rPr>
        <w:t xml:space="preserve">The expected level precision in Table 2 were estimated with effective sample sizes under different design effect assumptions, where </w:t>
      </w:r>
      <w:r w:rsidR="00CF279E">
        <w:rPr>
          <w:szCs w:val="24"/>
        </w:rPr>
        <w:t xml:space="preserve">the </w:t>
      </w:r>
      <w:r w:rsidR="00AB2A0D" w:rsidRPr="00AB2A0D">
        <w:rPr>
          <w:szCs w:val="24"/>
        </w:rPr>
        <w:t xml:space="preserve">effective sample size is defined as the ratio of the actual sample size to the overall design effect associated with a given estimate. </w:t>
      </w:r>
      <w:r w:rsidRPr="0015627D">
        <w:rPr>
          <w:szCs w:val="24"/>
        </w:rPr>
        <w:t xml:space="preserve"> Thus</w:t>
      </w:r>
      <w:r w:rsidR="000F5A5D" w:rsidRPr="0015627D">
        <w:rPr>
          <w:szCs w:val="24"/>
        </w:rPr>
        <w:t xml:space="preserve">, for a </w:t>
      </w:r>
      <w:r w:rsidR="00230014" w:rsidRPr="0015627D">
        <w:rPr>
          <w:szCs w:val="24"/>
        </w:rPr>
        <w:t>subgroup</w:t>
      </w:r>
      <w:r w:rsidR="000F5A5D" w:rsidRPr="0015627D">
        <w:rPr>
          <w:szCs w:val="24"/>
        </w:rPr>
        <w:t xml:space="preserve"> sample size of 1,0</w:t>
      </w:r>
      <w:r w:rsidRPr="0015627D">
        <w:rPr>
          <w:szCs w:val="24"/>
        </w:rPr>
        <w:t xml:space="preserve">00 responding </w:t>
      </w:r>
      <w:r w:rsidR="000F5A5D" w:rsidRPr="0015627D">
        <w:rPr>
          <w:szCs w:val="24"/>
        </w:rPr>
        <w:t>EBT users of FMs with incentives</w:t>
      </w:r>
      <w:r w:rsidRPr="0015627D">
        <w:rPr>
          <w:szCs w:val="24"/>
        </w:rPr>
        <w:t>, the margin of error on an estimated 50-percent characteristic (P = 50%) can be expected to range from ±3.</w:t>
      </w:r>
      <w:r w:rsidR="000F5A5D" w:rsidRPr="0015627D">
        <w:rPr>
          <w:szCs w:val="24"/>
        </w:rPr>
        <w:t>3</w:t>
      </w:r>
      <w:r w:rsidRPr="0015627D">
        <w:rPr>
          <w:szCs w:val="24"/>
        </w:rPr>
        <w:t xml:space="preserve"> percent to </w:t>
      </w:r>
      <w:r w:rsidR="00230014" w:rsidRPr="0015627D">
        <w:rPr>
          <w:szCs w:val="24"/>
        </w:rPr>
        <w:lastRenderedPageBreak/>
        <w:t>±</w:t>
      </w:r>
      <w:r w:rsidRPr="0015627D">
        <w:rPr>
          <w:szCs w:val="24"/>
        </w:rPr>
        <w:t>3.</w:t>
      </w:r>
      <w:r w:rsidR="000F5A5D" w:rsidRPr="0015627D">
        <w:rPr>
          <w:szCs w:val="24"/>
        </w:rPr>
        <w:t>8</w:t>
      </w:r>
      <w:r w:rsidRPr="0015627D">
        <w:rPr>
          <w:szCs w:val="24"/>
        </w:rPr>
        <w:t xml:space="preserve"> percent at the 95 percent confidence level depending on the magnitude of the design effect. </w:t>
      </w:r>
      <w:r w:rsidR="00230014" w:rsidRPr="0015627D">
        <w:rPr>
          <w:szCs w:val="24"/>
        </w:rPr>
        <w:t>For a subgroup</w:t>
      </w:r>
      <w:r w:rsidR="00230014" w:rsidRPr="00095DDA">
        <w:t xml:space="preserve"> consisting of </w:t>
      </w:r>
      <w:r w:rsidR="00230014">
        <w:t>1,7</w:t>
      </w:r>
      <w:r w:rsidR="00230014" w:rsidRPr="00095DDA">
        <w:t>00 respondents (</w:t>
      </w:r>
      <w:r w:rsidR="00230014">
        <w:t>all FM EBT users</w:t>
      </w:r>
      <w:r w:rsidR="00230014" w:rsidRPr="00095DDA">
        <w:t>), the corresponding margins of error are expected to range from ±</w:t>
      </w:r>
      <w:r w:rsidR="00230014">
        <w:t>2.</w:t>
      </w:r>
      <w:r w:rsidR="00230014" w:rsidRPr="00095DDA">
        <w:t>5 percent to ±</w:t>
      </w:r>
      <w:r w:rsidR="00230014">
        <w:t>2.9</w:t>
      </w:r>
      <w:r w:rsidR="00230014" w:rsidRPr="00095DDA">
        <w:t> percent depending on the design effect.</w:t>
      </w:r>
    </w:p>
    <w:p w:rsidR="006E4A5E" w:rsidRPr="00095DDA" w:rsidRDefault="006E4A5E" w:rsidP="006E4A5E">
      <w:pPr>
        <w:pStyle w:val="TT-TableTitle"/>
        <w:rPr>
          <w:rFonts w:ascii="Garamond" w:hAnsi="Garamond"/>
          <w:b/>
        </w:rPr>
      </w:pPr>
      <w:bookmarkStart w:id="30" w:name="_Toc329674969"/>
      <w:r w:rsidRPr="00095DDA">
        <w:rPr>
          <w:rFonts w:ascii="Garamond" w:hAnsi="Garamond"/>
          <w:b/>
        </w:rPr>
        <w:t>Table 2.</w:t>
      </w:r>
      <w:r w:rsidRPr="00095DDA">
        <w:rPr>
          <w:rFonts w:ascii="Garamond" w:hAnsi="Garamond"/>
          <w:b/>
        </w:rPr>
        <w:tab/>
        <w:t xml:space="preserve">Expected 95 percent confidence bounds </w:t>
      </w:r>
      <w:r w:rsidR="005719FC">
        <w:rPr>
          <w:rFonts w:ascii="Garamond" w:hAnsi="Garamond"/>
          <w:b/>
        </w:rPr>
        <w:t xml:space="preserve">by subgroup </w:t>
      </w:r>
      <w:r w:rsidR="005719FC" w:rsidRPr="00095DDA">
        <w:rPr>
          <w:rFonts w:ascii="Garamond" w:hAnsi="Garamond"/>
          <w:b/>
        </w:rPr>
        <w:t>sample size</w:t>
      </w:r>
      <w:r w:rsidR="005719FC">
        <w:rPr>
          <w:rFonts w:ascii="Garamond" w:hAnsi="Garamond"/>
          <w:b/>
        </w:rPr>
        <w:t>,</w:t>
      </w:r>
      <w:r w:rsidR="005719FC" w:rsidRPr="00095DDA">
        <w:rPr>
          <w:rFonts w:ascii="Garamond" w:hAnsi="Garamond"/>
          <w:b/>
        </w:rPr>
        <w:t xml:space="preserve"> </w:t>
      </w:r>
      <w:r w:rsidRPr="00095DDA">
        <w:rPr>
          <w:rFonts w:ascii="Garamond" w:hAnsi="Garamond"/>
          <w:b/>
        </w:rPr>
        <w:t>for selected design effects (DEFF) and prevalences (P)</w:t>
      </w:r>
      <w:bookmarkEnd w:id="30"/>
    </w:p>
    <w:p w:rsidR="006E4A5E" w:rsidRPr="00095DDA" w:rsidRDefault="006E4A5E" w:rsidP="006E4A5E">
      <w:pPr>
        <w:pStyle w:val="TT-TableTitle"/>
        <w:rPr>
          <w:rFonts w:ascii="Garamond" w:hAnsi="Garamond"/>
        </w:rPr>
      </w:pPr>
    </w:p>
    <w:tbl>
      <w:tblPr>
        <w:tblW w:w="10620" w:type="dxa"/>
        <w:tblInd w:w="-252" w:type="dxa"/>
        <w:tblBorders>
          <w:bottom w:val="single" w:sz="4" w:space="0" w:color="auto"/>
        </w:tblBorders>
        <w:tblLayout w:type="fixed"/>
        <w:tblLook w:val="04A0"/>
      </w:tblPr>
      <w:tblGrid>
        <w:gridCol w:w="1440"/>
        <w:gridCol w:w="900"/>
        <w:gridCol w:w="990"/>
        <w:gridCol w:w="900"/>
        <w:gridCol w:w="990"/>
        <w:gridCol w:w="990"/>
        <w:gridCol w:w="900"/>
        <w:gridCol w:w="900"/>
        <w:gridCol w:w="990"/>
        <w:gridCol w:w="822"/>
        <w:gridCol w:w="798"/>
      </w:tblGrid>
      <w:tr w:rsidR="003B5A45" w:rsidRPr="005D648A" w:rsidTr="008B2274">
        <w:trPr>
          <w:cantSplit/>
        </w:trPr>
        <w:tc>
          <w:tcPr>
            <w:tcW w:w="1440" w:type="dxa"/>
            <w:vMerge w:val="restart"/>
            <w:tcBorders>
              <w:top w:val="single" w:sz="4" w:space="0" w:color="auto"/>
              <w:left w:val="nil"/>
              <w:right w:val="single" w:sz="4" w:space="0" w:color="auto"/>
              <w:tl2br w:val="nil"/>
              <w:tr2bl w:val="nil"/>
            </w:tcBorders>
            <w:shd w:val="clear" w:color="auto" w:fill="AFBED7"/>
          </w:tcPr>
          <w:p w:rsidR="003B5A45" w:rsidRPr="005D648A" w:rsidRDefault="003B5A45" w:rsidP="00D47264">
            <w:pPr>
              <w:pStyle w:val="TH-TableHeading"/>
              <w:ind w:left="-72" w:right="-72"/>
              <w:rPr>
                <w:rFonts w:ascii="Garamond" w:hAnsi="Garamond"/>
              </w:rPr>
            </w:pPr>
            <w:bookmarkStart w:id="31" w:name="_Toc329674970"/>
            <w:r>
              <w:rPr>
                <w:rFonts w:ascii="Garamond" w:hAnsi="Garamond"/>
              </w:rPr>
              <w:t>Subgroup</w:t>
            </w:r>
            <w:bookmarkEnd w:id="31"/>
          </w:p>
        </w:tc>
        <w:tc>
          <w:tcPr>
            <w:tcW w:w="90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FBED7"/>
            <w:vAlign w:val="bottom"/>
          </w:tcPr>
          <w:p w:rsidR="003B5A45" w:rsidRPr="005D648A" w:rsidRDefault="003B5A45">
            <w:pPr>
              <w:pStyle w:val="TH-TableHeading"/>
              <w:ind w:left="-72" w:right="-72"/>
              <w:rPr>
                <w:rFonts w:ascii="Garamond" w:hAnsi="Garamond"/>
              </w:rPr>
            </w:pPr>
            <w:bookmarkStart w:id="32" w:name="_Toc329674971"/>
            <w:r w:rsidRPr="005D648A">
              <w:rPr>
                <w:rFonts w:ascii="Garamond" w:hAnsi="Garamond"/>
              </w:rPr>
              <w:t>Sample size</w:t>
            </w:r>
            <w:r w:rsidR="006B03C5">
              <w:rPr>
                <w:rFonts w:ascii="Garamond" w:hAnsi="Garamond"/>
              </w:rPr>
              <w:t>*</w:t>
            </w:r>
            <w:bookmarkEnd w:id="32"/>
          </w:p>
        </w:tc>
        <w:tc>
          <w:tcPr>
            <w:tcW w:w="2880" w:type="dxa"/>
            <w:gridSpan w:val="3"/>
            <w:tcBorders>
              <w:top w:val="single" w:sz="4" w:space="0" w:color="auto"/>
              <w:left w:val="single" w:sz="4" w:space="0" w:color="auto"/>
              <w:bottom w:val="nil"/>
              <w:right w:val="single" w:sz="4" w:space="0" w:color="auto"/>
              <w:tl2br w:val="nil"/>
              <w:tr2bl w:val="nil"/>
            </w:tcBorders>
            <w:shd w:val="clear" w:color="auto" w:fill="AFBED7"/>
            <w:vAlign w:val="bottom"/>
          </w:tcPr>
          <w:p w:rsidR="003B5A45" w:rsidRPr="005D648A" w:rsidRDefault="003B5A45" w:rsidP="00D47264">
            <w:pPr>
              <w:pStyle w:val="TH-TableHeading"/>
              <w:pBdr>
                <w:bottom w:val="single" w:sz="4" w:space="1" w:color="auto"/>
              </w:pBdr>
              <w:ind w:left="-72"/>
              <w:rPr>
                <w:rFonts w:ascii="Garamond" w:hAnsi="Garamond"/>
              </w:rPr>
            </w:pPr>
            <w:bookmarkStart w:id="33" w:name="_Toc329674972"/>
            <w:r w:rsidRPr="005D648A">
              <w:rPr>
                <w:rFonts w:ascii="Garamond" w:hAnsi="Garamond"/>
              </w:rPr>
              <w:t>DEFF = 1.10</w:t>
            </w:r>
            <w:bookmarkEnd w:id="33"/>
          </w:p>
        </w:tc>
        <w:tc>
          <w:tcPr>
            <w:tcW w:w="2790" w:type="dxa"/>
            <w:gridSpan w:val="3"/>
            <w:tcBorders>
              <w:top w:val="single" w:sz="4" w:space="0" w:color="auto"/>
              <w:left w:val="single" w:sz="4" w:space="0" w:color="auto"/>
              <w:bottom w:val="nil"/>
              <w:right w:val="single" w:sz="4" w:space="0" w:color="auto"/>
              <w:tl2br w:val="nil"/>
              <w:tr2bl w:val="nil"/>
            </w:tcBorders>
            <w:shd w:val="clear" w:color="auto" w:fill="AFBED7"/>
            <w:vAlign w:val="bottom"/>
          </w:tcPr>
          <w:p w:rsidR="003B5A45" w:rsidRPr="005D648A" w:rsidRDefault="003B5A45" w:rsidP="00D47264">
            <w:pPr>
              <w:pStyle w:val="TH-TableHeading"/>
              <w:pBdr>
                <w:bottom w:val="single" w:sz="4" w:space="1" w:color="auto"/>
              </w:pBdr>
              <w:rPr>
                <w:rFonts w:ascii="Garamond" w:hAnsi="Garamond"/>
              </w:rPr>
            </w:pPr>
            <w:bookmarkStart w:id="34" w:name="_Toc329674973"/>
            <w:r w:rsidRPr="005D648A">
              <w:rPr>
                <w:rFonts w:ascii="Garamond" w:hAnsi="Garamond"/>
              </w:rPr>
              <w:t>DEFF = 1.25</w:t>
            </w:r>
            <w:bookmarkEnd w:id="34"/>
          </w:p>
        </w:tc>
        <w:tc>
          <w:tcPr>
            <w:tcW w:w="2610" w:type="dxa"/>
            <w:gridSpan w:val="3"/>
            <w:tcBorders>
              <w:top w:val="single" w:sz="4" w:space="0" w:color="auto"/>
              <w:left w:val="single" w:sz="4" w:space="0" w:color="auto"/>
              <w:bottom w:val="nil"/>
              <w:right w:val="nil"/>
              <w:tl2br w:val="nil"/>
              <w:tr2bl w:val="nil"/>
            </w:tcBorders>
            <w:shd w:val="clear" w:color="auto" w:fill="AFBED7"/>
            <w:vAlign w:val="bottom"/>
          </w:tcPr>
          <w:p w:rsidR="003B5A45" w:rsidRPr="005D648A" w:rsidRDefault="003B5A45" w:rsidP="00D47264">
            <w:pPr>
              <w:pStyle w:val="TH-TableHeading"/>
              <w:pBdr>
                <w:bottom w:val="single" w:sz="4" w:space="1" w:color="auto"/>
              </w:pBdr>
              <w:ind w:right="-72"/>
              <w:rPr>
                <w:rFonts w:ascii="Garamond" w:hAnsi="Garamond"/>
              </w:rPr>
            </w:pPr>
            <w:bookmarkStart w:id="35" w:name="_Toc329674974"/>
            <w:r w:rsidRPr="005D648A">
              <w:rPr>
                <w:rFonts w:ascii="Garamond" w:hAnsi="Garamond"/>
              </w:rPr>
              <w:t>DEFF = 1.50</w:t>
            </w:r>
            <w:bookmarkEnd w:id="35"/>
          </w:p>
        </w:tc>
      </w:tr>
      <w:tr w:rsidR="007B2910" w:rsidRPr="005D648A" w:rsidTr="008B2274">
        <w:trPr>
          <w:cantSplit/>
        </w:trPr>
        <w:tc>
          <w:tcPr>
            <w:tcW w:w="1440" w:type="dxa"/>
            <w:vMerge/>
            <w:tcBorders>
              <w:bottom w:val="single" w:sz="4" w:space="0" w:color="auto"/>
              <w:right w:val="single" w:sz="4" w:space="0" w:color="auto"/>
            </w:tcBorders>
            <w:shd w:val="clear" w:color="auto" w:fill="AFBED7"/>
          </w:tcPr>
          <w:p w:rsidR="003B5A45" w:rsidRPr="005D648A" w:rsidRDefault="003B5A45" w:rsidP="00D47264">
            <w:pPr>
              <w:pStyle w:val="TH-TableHeading"/>
              <w:ind w:left="-72" w:right="-72"/>
              <w:rPr>
                <w:rFonts w:ascii="Garamond" w:hAnsi="Garamond"/>
              </w:rPr>
            </w:pPr>
          </w:p>
        </w:tc>
        <w:tc>
          <w:tcPr>
            <w:tcW w:w="900" w:type="dxa"/>
            <w:vMerge/>
            <w:tcBorders>
              <w:top w:val="single" w:sz="4" w:space="0" w:color="auto"/>
              <w:left w:val="single" w:sz="4" w:space="0" w:color="auto"/>
              <w:bottom w:val="single" w:sz="4" w:space="0" w:color="auto"/>
              <w:right w:val="single" w:sz="4" w:space="0" w:color="auto"/>
            </w:tcBorders>
            <w:shd w:val="clear" w:color="auto" w:fill="AFBED7"/>
          </w:tcPr>
          <w:p w:rsidR="003B5A45" w:rsidRPr="005D648A" w:rsidRDefault="003B5A45" w:rsidP="00D47264">
            <w:pPr>
              <w:pStyle w:val="TH-TableHeading"/>
              <w:ind w:left="-72" w:right="-72"/>
              <w:rPr>
                <w:rFonts w:ascii="Garamond" w:hAnsi="Garamond"/>
              </w:rPr>
            </w:pPr>
          </w:p>
        </w:tc>
        <w:tc>
          <w:tcPr>
            <w:tcW w:w="990" w:type="dxa"/>
            <w:tcBorders>
              <w:top w:val="nil"/>
              <w:left w:val="single" w:sz="4" w:space="0" w:color="auto"/>
              <w:bottom w:val="single" w:sz="4" w:space="0" w:color="auto"/>
            </w:tcBorders>
            <w:shd w:val="clear" w:color="auto" w:fill="AFBED7"/>
          </w:tcPr>
          <w:p w:rsidR="003B5A45" w:rsidRPr="005D648A" w:rsidRDefault="003B5A45" w:rsidP="00D47264">
            <w:pPr>
              <w:pStyle w:val="TH-TableHeading"/>
              <w:ind w:left="-72" w:right="-72"/>
              <w:rPr>
                <w:rFonts w:ascii="Garamond" w:hAnsi="Garamond"/>
              </w:rPr>
            </w:pPr>
            <w:bookmarkStart w:id="36" w:name="_Toc329674975"/>
            <w:r w:rsidRPr="005D648A">
              <w:rPr>
                <w:rFonts w:ascii="Garamond" w:hAnsi="Garamond"/>
              </w:rPr>
              <w:t>P = 20%</w:t>
            </w:r>
            <w:bookmarkEnd w:id="36"/>
          </w:p>
        </w:tc>
        <w:tc>
          <w:tcPr>
            <w:tcW w:w="900" w:type="dxa"/>
            <w:tcBorders>
              <w:top w:val="nil"/>
              <w:bottom w:val="single" w:sz="4" w:space="0" w:color="auto"/>
            </w:tcBorders>
            <w:shd w:val="clear" w:color="auto" w:fill="AFBED7"/>
          </w:tcPr>
          <w:p w:rsidR="003B5A45" w:rsidRPr="005D648A" w:rsidRDefault="003B5A45" w:rsidP="00D47264">
            <w:pPr>
              <w:pStyle w:val="TH-TableHeading"/>
              <w:ind w:left="-72" w:right="-72"/>
              <w:rPr>
                <w:rFonts w:ascii="Garamond" w:hAnsi="Garamond"/>
              </w:rPr>
            </w:pPr>
            <w:bookmarkStart w:id="37" w:name="_Toc329674976"/>
            <w:r w:rsidRPr="005D648A">
              <w:rPr>
                <w:rFonts w:ascii="Garamond" w:hAnsi="Garamond"/>
              </w:rPr>
              <w:t>P = 33%</w:t>
            </w:r>
            <w:bookmarkEnd w:id="37"/>
          </w:p>
        </w:tc>
        <w:tc>
          <w:tcPr>
            <w:tcW w:w="990" w:type="dxa"/>
            <w:tcBorders>
              <w:top w:val="nil"/>
              <w:bottom w:val="single" w:sz="4" w:space="0" w:color="auto"/>
              <w:right w:val="single" w:sz="4" w:space="0" w:color="auto"/>
            </w:tcBorders>
            <w:shd w:val="clear" w:color="auto" w:fill="AFBED7"/>
          </w:tcPr>
          <w:p w:rsidR="003B5A45" w:rsidRPr="005D648A" w:rsidRDefault="003B5A45" w:rsidP="00D47264">
            <w:pPr>
              <w:pStyle w:val="TH-TableHeading"/>
              <w:ind w:left="-72" w:right="-72"/>
              <w:rPr>
                <w:rFonts w:ascii="Garamond" w:hAnsi="Garamond"/>
              </w:rPr>
            </w:pPr>
            <w:bookmarkStart w:id="38" w:name="_Toc329674977"/>
            <w:r w:rsidRPr="005D648A">
              <w:rPr>
                <w:rFonts w:ascii="Garamond" w:hAnsi="Garamond"/>
              </w:rPr>
              <w:t>P = 50%</w:t>
            </w:r>
            <w:bookmarkEnd w:id="38"/>
          </w:p>
        </w:tc>
        <w:tc>
          <w:tcPr>
            <w:tcW w:w="990" w:type="dxa"/>
            <w:tcBorders>
              <w:top w:val="nil"/>
              <w:left w:val="single" w:sz="4" w:space="0" w:color="auto"/>
              <w:bottom w:val="single" w:sz="4" w:space="0" w:color="auto"/>
            </w:tcBorders>
            <w:shd w:val="clear" w:color="auto" w:fill="AFBED7"/>
          </w:tcPr>
          <w:p w:rsidR="003B5A45" w:rsidRPr="005D648A" w:rsidRDefault="003B5A45" w:rsidP="00D47264">
            <w:pPr>
              <w:pStyle w:val="TH-TableHeading"/>
              <w:ind w:left="-72" w:right="-72"/>
              <w:rPr>
                <w:rFonts w:ascii="Garamond" w:hAnsi="Garamond"/>
              </w:rPr>
            </w:pPr>
            <w:bookmarkStart w:id="39" w:name="_Toc329674978"/>
            <w:r w:rsidRPr="005D648A">
              <w:rPr>
                <w:rFonts w:ascii="Garamond" w:hAnsi="Garamond"/>
              </w:rPr>
              <w:t>P = 20%</w:t>
            </w:r>
            <w:bookmarkEnd w:id="39"/>
          </w:p>
        </w:tc>
        <w:tc>
          <w:tcPr>
            <w:tcW w:w="900" w:type="dxa"/>
            <w:tcBorders>
              <w:top w:val="nil"/>
              <w:bottom w:val="single" w:sz="4" w:space="0" w:color="auto"/>
            </w:tcBorders>
            <w:shd w:val="clear" w:color="auto" w:fill="AFBED7"/>
          </w:tcPr>
          <w:p w:rsidR="003B5A45" w:rsidRPr="005D648A" w:rsidRDefault="003B5A45" w:rsidP="00D47264">
            <w:pPr>
              <w:pStyle w:val="TH-TableHeading"/>
              <w:ind w:left="-72" w:right="-72"/>
              <w:rPr>
                <w:rFonts w:ascii="Garamond" w:hAnsi="Garamond"/>
              </w:rPr>
            </w:pPr>
            <w:bookmarkStart w:id="40" w:name="_Toc329674979"/>
            <w:r w:rsidRPr="005D648A">
              <w:rPr>
                <w:rFonts w:ascii="Garamond" w:hAnsi="Garamond"/>
              </w:rPr>
              <w:t>P = 33%</w:t>
            </w:r>
            <w:bookmarkEnd w:id="40"/>
          </w:p>
        </w:tc>
        <w:tc>
          <w:tcPr>
            <w:tcW w:w="900" w:type="dxa"/>
            <w:tcBorders>
              <w:top w:val="nil"/>
              <w:bottom w:val="single" w:sz="4" w:space="0" w:color="auto"/>
              <w:right w:val="single" w:sz="4" w:space="0" w:color="auto"/>
            </w:tcBorders>
            <w:shd w:val="clear" w:color="auto" w:fill="AFBED7"/>
          </w:tcPr>
          <w:p w:rsidR="003B5A45" w:rsidRPr="005D648A" w:rsidRDefault="003B5A45" w:rsidP="00D47264">
            <w:pPr>
              <w:pStyle w:val="TH-TableHeading"/>
              <w:ind w:left="-72" w:right="-72"/>
              <w:rPr>
                <w:rFonts w:ascii="Garamond" w:hAnsi="Garamond"/>
              </w:rPr>
            </w:pPr>
            <w:bookmarkStart w:id="41" w:name="_Toc329674980"/>
            <w:r w:rsidRPr="005D648A">
              <w:rPr>
                <w:rFonts w:ascii="Garamond" w:hAnsi="Garamond"/>
              </w:rPr>
              <w:t>P = 50%</w:t>
            </w:r>
            <w:bookmarkEnd w:id="41"/>
          </w:p>
        </w:tc>
        <w:tc>
          <w:tcPr>
            <w:tcW w:w="990" w:type="dxa"/>
            <w:tcBorders>
              <w:top w:val="nil"/>
              <w:left w:val="single" w:sz="4" w:space="0" w:color="auto"/>
              <w:bottom w:val="single" w:sz="4" w:space="0" w:color="auto"/>
            </w:tcBorders>
            <w:shd w:val="clear" w:color="auto" w:fill="AFBED7"/>
          </w:tcPr>
          <w:p w:rsidR="003B5A45" w:rsidRPr="005D648A" w:rsidRDefault="003B5A45" w:rsidP="00D47264">
            <w:pPr>
              <w:pStyle w:val="TH-TableHeading"/>
              <w:ind w:left="-72" w:right="-72"/>
              <w:rPr>
                <w:rFonts w:ascii="Garamond" w:hAnsi="Garamond"/>
              </w:rPr>
            </w:pPr>
            <w:bookmarkStart w:id="42" w:name="_Toc329674981"/>
            <w:r w:rsidRPr="005D648A">
              <w:rPr>
                <w:rFonts w:ascii="Garamond" w:hAnsi="Garamond"/>
              </w:rPr>
              <w:t>P = 20%</w:t>
            </w:r>
            <w:bookmarkEnd w:id="42"/>
          </w:p>
        </w:tc>
        <w:tc>
          <w:tcPr>
            <w:tcW w:w="822" w:type="dxa"/>
            <w:tcBorders>
              <w:top w:val="nil"/>
              <w:bottom w:val="single" w:sz="4" w:space="0" w:color="auto"/>
            </w:tcBorders>
            <w:shd w:val="clear" w:color="auto" w:fill="AFBED7"/>
          </w:tcPr>
          <w:p w:rsidR="003B5A45" w:rsidRPr="005D648A" w:rsidRDefault="003B5A45" w:rsidP="00D47264">
            <w:pPr>
              <w:pStyle w:val="TH-TableHeading"/>
              <w:ind w:left="-72" w:right="-72"/>
              <w:rPr>
                <w:rFonts w:ascii="Garamond" w:hAnsi="Garamond"/>
              </w:rPr>
            </w:pPr>
            <w:bookmarkStart w:id="43" w:name="_Toc329674982"/>
            <w:r w:rsidRPr="005D648A">
              <w:rPr>
                <w:rFonts w:ascii="Garamond" w:hAnsi="Garamond"/>
              </w:rPr>
              <w:t>P = 33%</w:t>
            </w:r>
            <w:bookmarkEnd w:id="43"/>
          </w:p>
        </w:tc>
        <w:tc>
          <w:tcPr>
            <w:tcW w:w="798" w:type="dxa"/>
            <w:tcBorders>
              <w:top w:val="nil"/>
              <w:bottom w:val="single" w:sz="4" w:space="0" w:color="auto"/>
            </w:tcBorders>
            <w:shd w:val="clear" w:color="auto" w:fill="AFBED7"/>
          </w:tcPr>
          <w:p w:rsidR="003B5A45" w:rsidRPr="005D648A" w:rsidRDefault="003B5A45" w:rsidP="00D47264">
            <w:pPr>
              <w:pStyle w:val="TH-TableHeading"/>
              <w:ind w:left="-72" w:right="-72"/>
              <w:rPr>
                <w:rFonts w:ascii="Garamond" w:hAnsi="Garamond"/>
              </w:rPr>
            </w:pPr>
            <w:bookmarkStart w:id="44" w:name="_Toc329674983"/>
            <w:r w:rsidRPr="005D648A">
              <w:rPr>
                <w:rFonts w:ascii="Garamond" w:hAnsi="Garamond"/>
              </w:rPr>
              <w:t>P = 50%</w:t>
            </w:r>
            <w:bookmarkEnd w:id="44"/>
          </w:p>
        </w:tc>
      </w:tr>
      <w:tr w:rsidR="003B5A45" w:rsidRPr="005D648A" w:rsidTr="008B2274">
        <w:trPr>
          <w:cantSplit/>
        </w:trPr>
        <w:tc>
          <w:tcPr>
            <w:tcW w:w="1440" w:type="dxa"/>
            <w:tcBorders>
              <w:top w:val="single" w:sz="4" w:space="0" w:color="auto"/>
              <w:bottom w:val="single" w:sz="4" w:space="0" w:color="auto"/>
              <w:right w:val="single" w:sz="4" w:space="0" w:color="auto"/>
            </w:tcBorders>
          </w:tcPr>
          <w:p w:rsidR="003B5A45" w:rsidRPr="005D648A" w:rsidRDefault="003B5A45" w:rsidP="00447D88">
            <w:pPr>
              <w:pStyle w:val="TX-TableText"/>
              <w:keepNext/>
              <w:keepLines/>
              <w:tabs>
                <w:tab w:val="decimal" w:pos="648"/>
              </w:tabs>
              <w:rPr>
                <w:rFonts w:ascii="Garamond" w:hAnsi="Garamond"/>
              </w:rPr>
            </w:pPr>
            <w:r>
              <w:rPr>
                <w:rFonts w:ascii="Garamond" w:hAnsi="Garamond"/>
              </w:rPr>
              <w:t>FM EBT users, w/o incentives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3B5A45" w:rsidRPr="005D648A" w:rsidRDefault="003B5A45" w:rsidP="00D47264">
            <w:pPr>
              <w:pStyle w:val="TX-TableText"/>
              <w:keepNext/>
              <w:keepLines/>
              <w:tabs>
                <w:tab w:val="decimal" w:pos="648"/>
              </w:tabs>
              <w:rPr>
                <w:rFonts w:ascii="Garamond" w:hAnsi="Garamond"/>
              </w:rPr>
            </w:pPr>
            <w:r w:rsidRPr="005D648A">
              <w:rPr>
                <w:rFonts w:ascii="Garamond" w:hAnsi="Garamond"/>
              </w:rPr>
              <w:t>700</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±3.1%</w:t>
            </w:r>
          </w:p>
        </w:tc>
        <w:tc>
          <w:tcPr>
            <w:tcW w:w="900" w:type="dxa"/>
            <w:tcBorders>
              <w:top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±3.7%</w:t>
            </w:r>
          </w:p>
        </w:tc>
        <w:tc>
          <w:tcPr>
            <w:tcW w:w="990" w:type="dxa"/>
            <w:tcBorders>
              <w:top w:val="single" w:sz="4" w:space="0" w:color="auto"/>
              <w:bottom w:val="single" w:sz="4" w:space="0" w:color="auto"/>
              <w:right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±3.9%</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±3.3%</w:t>
            </w:r>
          </w:p>
        </w:tc>
        <w:tc>
          <w:tcPr>
            <w:tcW w:w="900" w:type="dxa"/>
            <w:tcBorders>
              <w:top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±3.9%</w:t>
            </w:r>
          </w:p>
        </w:tc>
        <w:tc>
          <w:tcPr>
            <w:tcW w:w="900" w:type="dxa"/>
            <w:tcBorders>
              <w:top w:val="single" w:sz="4" w:space="0" w:color="auto"/>
              <w:bottom w:val="single" w:sz="4" w:space="0" w:color="auto"/>
              <w:right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±4.1%</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±3.6%</w:t>
            </w:r>
          </w:p>
        </w:tc>
        <w:tc>
          <w:tcPr>
            <w:tcW w:w="822" w:type="dxa"/>
            <w:tcBorders>
              <w:top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±4.3%</w:t>
            </w:r>
          </w:p>
        </w:tc>
        <w:tc>
          <w:tcPr>
            <w:tcW w:w="798" w:type="dxa"/>
            <w:tcBorders>
              <w:top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±4.5%</w:t>
            </w:r>
          </w:p>
        </w:tc>
      </w:tr>
      <w:tr w:rsidR="003B5A45" w:rsidRPr="005D648A" w:rsidTr="008B2274">
        <w:trPr>
          <w:cantSplit/>
        </w:trPr>
        <w:tc>
          <w:tcPr>
            <w:tcW w:w="1440" w:type="dxa"/>
            <w:tcBorders>
              <w:top w:val="single" w:sz="4" w:space="0" w:color="auto"/>
              <w:bottom w:val="single" w:sz="4" w:space="0" w:color="auto"/>
              <w:right w:val="single" w:sz="4" w:space="0" w:color="auto"/>
            </w:tcBorders>
          </w:tcPr>
          <w:p w:rsidR="003B5A45" w:rsidRPr="005D648A" w:rsidRDefault="003B5A45" w:rsidP="00447D88">
            <w:pPr>
              <w:pStyle w:val="TX-TableText"/>
              <w:keepNext/>
              <w:keepLines/>
              <w:tabs>
                <w:tab w:val="decimal" w:pos="648"/>
              </w:tabs>
              <w:rPr>
                <w:rFonts w:ascii="Garamond" w:hAnsi="Garamond"/>
              </w:rPr>
            </w:pPr>
            <w:r>
              <w:rPr>
                <w:rFonts w:ascii="Garamond" w:hAnsi="Garamond"/>
              </w:rPr>
              <w:t>FM EBT users, with incentives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3B5A45" w:rsidRPr="005D648A" w:rsidRDefault="003B5A45" w:rsidP="00D47264">
            <w:pPr>
              <w:pStyle w:val="TX-TableText"/>
              <w:keepNext/>
              <w:keepLines/>
              <w:tabs>
                <w:tab w:val="decimal" w:pos="648"/>
              </w:tabs>
              <w:rPr>
                <w:rFonts w:ascii="Garamond" w:hAnsi="Garamond"/>
                <w:b/>
                <w:color w:val="324162"/>
              </w:rPr>
            </w:pPr>
            <w:r w:rsidRPr="005D648A">
              <w:rPr>
                <w:rFonts w:ascii="Garamond" w:hAnsi="Garamond"/>
              </w:rPr>
              <w:t>1,000</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±2.6%</w:t>
            </w:r>
          </w:p>
        </w:tc>
        <w:tc>
          <w:tcPr>
            <w:tcW w:w="900" w:type="dxa"/>
            <w:tcBorders>
              <w:top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±3.1%</w:t>
            </w:r>
          </w:p>
        </w:tc>
        <w:tc>
          <w:tcPr>
            <w:tcW w:w="990" w:type="dxa"/>
            <w:tcBorders>
              <w:top w:val="single" w:sz="4" w:space="0" w:color="auto"/>
              <w:bottom w:val="single" w:sz="4" w:space="0" w:color="auto"/>
              <w:right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±3.3%</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±2.8%</w:t>
            </w:r>
          </w:p>
        </w:tc>
        <w:tc>
          <w:tcPr>
            <w:tcW w:w="900" w:type="dxa"/>
            <w:tcBorders>
              <w:top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±3.3%</w:t>
            </w:r>
          </w:p>
        </w:tc>
        <w:tc>
          <w:tcPr>
            <w:tcW w:w="900" w:type="dxa"/>
            <w:tcBorders>
              <w:top w:val="single" w:sz="4" w:space="0" w:color="auto"/>
              <w:bottom w:val="single" w:sz="4" w:space="0" w:color="auto"/>
              <w:right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±3.5%</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±3.0%</w:t>
            </w:r>
          </w:p>
        </w:tc>
        <w:tc>
          <w:tcPr>
            <w:tcW w:w="822" w:type="dxa"/>
            <w:tcBorders>
              <w:top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±3.6%</w:t>
            </w:r>
          </w:p>
        </w:tc>
        <w:tc>
          <w:tcPr>
            <w:tcW w:w="798" w:type="dxa"/>
            <w:tcBorders>
              <w:top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sidRPr="005D648A">
              <w:rPr>
                <w:rFonts w:ascii="Garamond" w:hAnsi="Garamond"/>
              </w:rPr>
              <w:t>±3.8%</w:t>
            </w:r>
          </w:p>
        </w:tc>
      </w:tr>
      <w:tr w:rsidR="003B5A45" w:rsidRPr="005D648A" w:rsidTr="008B2274">
        <w:trPr>
          <w:cantSplit/>
        </w:trPr>
        <w:tc>
          <w:tcPr>
            <w:tcW w:w="1440" w:type="dxa"/>
            <w:tcBorders>
              <w:top w:val="single" w:sz="4" w:space="0" w:color="auto"/>
              <w:bottom w:val="single" w:sz="4" w:space="0" w:color="auto"/>
              <w:right w:val="single" w:sz="4" w:space="0" w:color="auto"/>
            </w:tcBorders>
          </w:tcPr>
          <w:p w:rsidR="003B5A45" w:rsidRDefault="003B5A45" w:rsidP="00447D88">
            <w:pPr>
              <w:pStyle w:val="TX-TableText"/>
              <w:keepNext/>
              <w:keepLines/>
              <w:tabs>
                <w:tab w:val="decimal" w:pos="648"/>
              </w:tabs>
              <w:rPr>
                <w:rFonts w:ascii="Garamond" w:hAnsi="Garamond"/>
              </w:rPr>
            </w:pPr>
            <w:r>
              <w:rPr>
                <w:rFonts w:ascii="Garamond" w:hAnsi="Garamond"/>
              </w:rPr>
              <w:t>All FM EBT users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3B5A45" w:rsidRPr="005D648A" w:rsidRDefault="003B5A45" w:rsidP="00D47264">
            <w:pPr>
              <w:pStyle w:val="TX-TableText"/>
              <w:keepNext/>
              <w:keepLines/>
              <w:tabs>
                <w:tab w:val="decimal" w:pos="648"/>
              </w:tabs>
              <w:rPr>
                <w:rFonts w:ascii="Garamond" w:hAnsi="Garamond"/>
              </w:rPr>
            </w:pPr>
            <w:r>
              <w:rPr>
                <w:rFonts w:ascii="Garamond" w:hAnsi="Garamond"/>
              </w:rPr>
              <w:t>1,7</w:t>
            </w:r>
            <w:r w:rsidRPr="005D648A">
              <w:rPr>
                <w:rFonts w:ascii="Garamond" w:hAnsi="Garamond"/>
              </w:rPr>
              <w:t>00</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Pr>
                <w:rFonts w:ascii="Garamond" w:hAnsi="Garamond"/>
              </w:rPr>
              <w:t>±2.0</w:t>
            </w:r>
            <w:r w:rsidRPr="005D648A">
              <w:rPr>
                <w:rFonts w:ascii="Garamond" w:hAnsi="Garamond"/>
              </w:rPr>
              <w:t>%</w:t>
            </w:r>
          </w:p>
        </w:tc>
        <w:tc>
          <w:tcPr>
            <w:tcW w:w="900" w:type="dxa"/>
            <w:tcBorders>
              <w:top w:val="single" w:sz="4" w:space="0" w:color="auto"/>
              <w:bottom w:val="single" w:sz="4" w:space="0" w:color="auto"/>
            </w:tcBorders>
            <w:shd w:val="clear" w:color="auto" w:fill="auto"/>
            <w:vAlign w:val="bottom"/>
          </w:tcPr>
          <w:p w:rsidR="003B5A45" w:rsidRPr="005D648A" w:rsidRDefault="003B5A45">
            <w:pPr>
              <w:pStyle w:val="TX-TableText"/>
              <w:keepNext/>
              <w:keepLines/>
              <w:tabs>
                <w:tab w:val="decimal" w:pos="360"/>
              </w:tabs>
              <w:rPr>
                <w:rFonts w:ascii="Garamond" w:hAnsi="Garamond"/>
              </w:rPr>
            </w:pPr>
            <w:r w:rsidRPr="005D648A">
              <w:rPr>
                <w:rFonts w:ascii="Garamond" w:hAnsi="Garamond"/>
              </w:rPr>
              <w:t>±2.</w:t>
            </w:r>
            <w:r>
              <w:rPr>
                <w:rFonts w:ascii="Garamond" w:hAnsi="Garamond"/>
              </w:rPr>
              <w:t>3</w:t>
            </w:r>
            <w:r w:rsidRPr="005D648A">
              <w:rPr>
                <w:rFonts w:ascii="Garamond" w:hAnsi="Garamond"/>
              </w:rPr>
              <w:t>%</w:t>
            </w:r>
          </w:p>
        </w:tc>
        <w:tc>
          <w:tcPr>
            <w:tcW w:w="990" w:type="dxa"/>
            <w:tcBorders>
              <w:top w:val="single" w:sz="4" w:space="0" w:color="auto"/>
              <w:bottom w:val="single" w:sz="4" w:space="0" w:color="auto"/>
              <w:right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Pr>
                <w:rFonts w:ascii="Garamond" w:hAnsi="Garamond"/>
              </w:rPr>
              <w:t>±2.5</w:t>
            </w:r>
            <w:r w:rsidRPr="005D648A">
              <w:rPr>
                <w:rFonts w:ascii="Garamond" w:hAnsi="Garamond"/>
              </w:rPr>
              <w:t>%</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Pr>
                <w:rFonts w:ascii="Garamond" w:hAnsi="Garamond"/>
              </w:rPr>
              <w:t>±2.1</w:t>
            </w:r>
            <w:r w:rsidRPr="005D648A">
              <w:rPr>
                <w:rFonts w:ascii="Garamond" w:hAnsi="Garamond"/>
              </w:rPr>
              <w:t>%</w:t>
            </w:r>
          </w:p>
        </w:tc>
        <w:tc>
          <w:tcPr>
            <w:tcW w:w="900" w:type="dxa"/>
            <w:tcBorders>
              <w:top w:val="single" w:sz="4" w:space="0" w:color="auto"/>
              <w:bottom w:val="single" w:sz="4" w:space="0" w:color="auto"/>
            </w:tcBorders>
            <w:shd w:val="clear" w:color="auto" w:fill="auto"/>
            <w:vAlign w:val="bottom"/>
          </w:tcPr>
          <w:p w:rsidR="003B5A45" w:rsidRPr="005D648A" w:rsidRDefault="003B5A45">
            <w:pPr>
              <w:pStyle w:val="TX-TableText"/>
              <w:keepNext/>
              <w:keepLines/>
              <w:tabs>
                <w:tab w:val="decimal" w:pos="360"/>
              </w:tabs>
              <w:rPr>
                <w:rFonts w:ascii="Garamond" w:hAnsi="Garamond"/>
              </w:rPr>
            </w:pPr>
            <w:r w:rsidRPr="005D648A">
              <w:rPr>
                <w:rFonts w:ascii="Garamond" w:hAnsi="Garamond"/>
              </w:rPr>
              <w:t>±2.</w:t>
            </w:r>
            <w:r>
              <w:rPr>
                <w:rFonts w:ascii="Garamond" w:hAnsi="Garamond"/>
              </w:rPr>
              <w:t>5</w:t>
            </w:r>
            <w:r w:rsidRPr="005D648A">
              <w:rPr>
                <w:rFonts w:ascii="Garamond" w:hAnsi="Garamond"/>
              </w:rPr>
              <w:t>%</w:t>
            </w:r>
          </w:p>
        </w:tc>
        <w:tc>
          <w:tcPr>
            <w:tcW w:w="900" w:type="dxa"/>
            <w:tcBorders>
              <w:top w:val="single" w:sz="4" w:space="0" w:color="auto"/>
              <w:bottom w:val="single" w:sz="4" w:space="0" w:color="auto"/>
              <w:right w:val="single" w:sz="4" w:space="0" w:color="auto"/>
            </w:tcBorders>
            <w:shd w:val="clear" w:color="auto" w:fill="auto"/>
            <w:vAlign w:val="bottom"/>
          </w:tcPr>
          <w:p w:rsidR="003B5A45" w:rsidRPr="005D648A" w:rsidRDefault="003B5A45">
            <w:pPr>
              <w:pStyle w:val="TX-TableText"/>
              <w:keepNext/>
              <w:keepLines/>
              <w:tabs>
                <w:tab w:val="decimal" w:pos="360"/>
              </w:tabs>
              <w:rPr>
                <w:rFonts w:ascii="Garamond" w:hAnsi="Garamond"/>
              </w:rPr>
            </w:pPr>
            <w:r w:rsidRPr="005D648A">
              <w:rPr>
                <w:rFonts w:ascii="Garamond" w:hAnsi="Garamond"/>
              </w:rPr>
              <w:t>±2.</w:t>
            </w:r>
            <w:r>
              <w:rPr>
                <w:rFonts w:ascii="Garamond" w:hAnsi="Garamond"/>
              </w:rPr>
              <w:t>7</w:t>
            </w:r>
            <w:r w:rsidRPr="005D648A">
              <w:rPr>
                <w:rFonts w:ascii="Garamond" w:hAnsi="Garamond"/>
              </w:rPr>
              <w:t>%</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pStyle w:val="TX-TableText"/>
              <w:keepNext/>
              <w:keepLines/>
              <w:tabs>
                <w:tab w:val="decimal" w:pos="360"/>
              </w:tabs>
              <w:rPr>
                <w:rFonts w:ascii="Garamond" w:hAnsi="Garamond"/>
              </w:rPr>
            </w:pPr>
            <w:r>
              <w:rPr>
                <w:rFonts w:ascii="Garamond" w:hAnsi="Garamond"/>
              </w:rPr>
              <w:t>±2.3</w:t>
            </w:r>
            <w:r w:rsidRPr="005D648A">
              <w:rPr>
                <w:rFonts w:ascii="Garamond" w:hAnsi="Garamond"/>
              </w:rPr>
              <w:t>%</w:t>
            </w:r>
          </w:p>
        </w:tc>
        <w:tc>
          <w:tcPr>
            <w:tcW w:w="822" w:type="dxa"/>
            <w:tcBorders>
              <w:top w:val="single" w:sz="4" w:space="0" w:color="auto"/>
              <w:bottom w:val="single" w:sz="4" w:space="0" w:color="auto"/>
            </w:tcBorders>
            <w:shd w:val="clear" w:color="auto" w:fill="auto"/>
            <w:vAlign w:val="bottom"/>
          </w:tcPr>
          <w:p w:rsidR="003B5A45" w:rsidRPr="005D648A" w:rsidRDefault="003B5A45">
            <w:pPr>
              <w:pStyle w:val="TX-TableText"/>
              <w:keepNext/>
              <w:keepLines/>
              <w:tabs>
                <w:tab w:val="decimal" w:pos="360"/>
              </w:tabs>
              <w:rPr>
                <w:rFonts w:ascii="Garamond" w:hAnsi="Garamond"/>
              </w:rPr>
            </w:pPr>
            <w:r w:rsidRPr="005D648A">
              <w:rPr>
                <w:rFonts w:ascii="Garamond" w:hAnsi="Garamond"/>
              </w:rPr>
              <w:t>±2.</w:t>
            </w:r>
            <w:r>
              <w:rPr>
                <w:rFonts w:ascii="Garamond" w:hAnsi="Garamond"/>
              </w:rPr>
              <w:t>7</w:t>
            </w:r>
            <w:r w:rsidRPr="005D648A">
              <w:rPr>
                <w:rFonts w:ascii="Garamond" w:hAnsi="Garamond"/>
              </w:rPr>
              <w:t>%</w:t>
            </w:r>
          </w:p>
        </w:tc>
        <w:tc>
          <w:tcPr>
            <w:tcW w:w="798" w:type="dxa"/>
            <w:tcBorders>
              <w:top w:val="single" w:sz="4" w:space="0" w:color="auto"/>
              <w:bottom w:val="single" w:sz="4" w:space="0" w:color="auto"/>
            </w:tcBorders>
            <w:shd w:val="clear" w:color="auto" w:fill="auto"/>
            <w:vAlign w:val="bottom"/>
          </w:tcPr>
          <w:p w:rsidR="003B5A45" w:rsidRPr="005D648A" w:rsidRDefault="003B5A45">
            <w:pPr>
              <w:pStyle w:val="TX-TableText"/>
              <w:keepNext/>
              <w:keepLines/>
              <w:tabs>
                <w:tab w:val="decimal" w:pos="360"/>
              </w:tabs>
              <w:rPr>
                <w:rFonts w:ascii="Garamond" w:hAnsi="Garamond"/>
              </w:rPr>
            </w:pPr>
            <w:r>
              <w:rPr>
                <w:rFonts w:ascii="Garamond" w:hAnsi="Garamond"/>
              </w:rPr>
              <w:t>±2</w:t>
            </w:r>
            <w:r w:rsidRPr="005D648A">
              <w:rPr>
                <w:rFonts w:ascii="Garamond" w:hAnsi="Garamond"/>
              </w:rPr>
              <w:t>.</w:t>
            </w:r>
            <w:r>
              <w:rPr>
                <w:rFonts w:ascii="Garamond" w:hAnsi="Garamond"/>
              </w:rPr>
              <w:t>9</w:t>
            </w:r>
            <w:r w:rsidRPr="005D648A">
              <w:rPr>
                <w:rFonts w:ascii="Garamond" w:hAnsi="Garamond"/>
              </w:rPr>
              <w:t>%</w:t>
            </w:r>
          </w:p>
        </w:tc>
      </w:tr>
      <w:tr w:rsidR="003B5A45" w:rsidRPr="005D648A" w:rsidTr="008B2274">
        <w:trPr>
          <w:cantSplit/>
          <w:trHeight w:val="108"/>
        </w:trPr>
        <w:tc>
          <w:tcPr>
            <w:tcW w:w="1440" w:type="dxa"/>
            <w:tcBorders>
              <w:top w:val="single" w:sz="4" w:space="0" w:color="auto"/>
              <w:right w:val="single" w:sz="4" w:space="0" w:color="auto"/>
            </w:tcBorders>
          </w:tcPr>
          <w:p w:rsidR="003B5A45" w:rsidRPr="005D648A" w:rsidRDefault="003B5A45" w:rsidP="00447D88">
            <w:pPr>
              <w:pStyle w:val="TX-TableText"/>
              <w:keepNext/>
              <w:keepLines/>
              <w:tabs>
                <w:tab w:val="decimal" w:pos="648"/>
              </w:tabs>
              <w:rPr>
                <w:rFonts w:ascii="Garamond" w:hAnsi="Garamond"/>
              </w:rPr>
            </w:pPr>
            <w:r>
              <w:rPr>
                <w:rFonts w:ascii="Garamond" w:hAnsi="Garamond"/>
              </w:rPr>
              <w:t>FM EBT nonusers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3B5A45" w:rsidRPr="005D648A" w:rsidRDefault="003B5A45" w:rsidP="00D47264">
            <w:pPr>
              <w:pStyle w:val="TX-TableText"/>
              <w:keepNext/>
              <w:keepLines/>
              <w:tabs>
                <w:tab w:val="decimal" w:pos="648"/>
              </w:tabs>
              <w:rPr>
                <w:rFonts w:ascii="Garamond" w:hAnsi="Garamond"/>
              </w:rPr>
            </w:pPr>
            <w:r w:rsidRPr="005D648A">
              <w:rPr>
                <w:rFonts w:ascii="Garamond" w:hAnsi="Garamond"/>
              </w:rPr>
              <w:t>2,000</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tabs>
                <w:tab w:val="center" w:pos="393"/>
              </w:tabs>
              <w:rPr>
                <w:rFonts w:cs="Courier New"/>
                <w:sz w:val="20"/>
              </w:rPr>
            </w:pPr>
            <w:r w:rsidRPr="005D648A">
              <w:rPr>
                <w:rFonts w:cs="Courier New"/>
                <w:sz w:val="20"/>
              </w:rPr>
              <w:tab/>
              <w:t>±1.8%</w:t>
            </w:r>
          </w:p>
        </w:tc>
        <w:tc>
          <w:tcPr>
            <w:tcW w:w="900" w:type="dxa"/>
            <w:tcBorders>
              <w:top w:val="single" w:sz="4" w:space="0" w:color="auto"/>
            </w:tcBorders>
            <w:shd w:val="clear" w:color="auto" w:fill="auto"/>
            <w:vAlign w:val="bottom"/>
          </w:tcPr>
          <w:p w:rsidR="003B5A45" w:rsidRPr="005D648A" w:rsidRDefault="003B5A45" w:rsidP="00D47264">
            <w:pPr>
              <w:tabs>
                <w:tab w:val="center" w:pos="426"/>
              </w:tabs>
              <w:rPr>
                <w:rFonts w:cs="Courier New"/>
                <w:sz w:val="20"/>
              </w:rPr>
            </w:pPr>
            <w:r w:rsidRPr="005D648A">
              <w:rPr>
                <w:rFonts w:cs="Courier New"/>
                <w:sz w:val="20"/>
              </w:rPr>
              <w:tab/>
              <w:t>±2.2%</w:t>
            </w:r>
          </w:p>
        </w:tc>
        <w:tc>
          <w:tcPr>
            <w:tcW w:w="990" w:type="dxa"/>
            <w:tcBorders>
              <w:top w:val="single" w:sz="4" w:space="0" w:color="auto"/>
              <w:right w:val="single" w:sz="4" w:space="0" w:color="auto"/>
            </w:tcBorders>
            <w:shd w:val="clear" w:color="auto" w:fill="auto"/>
            <w:vAlign w:val="bottom"/>
          </w:tcPr>
          <w:p w:rsidR="003B5A45" w:rsidRPr="005D648A" w:rsidRDefault="003B5A45" w:rsidP="00D47264">
            <w:pPr>
              <w:tabs>
                <w:tab w:val="center" w:pos="369"/>
              </w:tabs>
              <w:rPr>
                <w:rFonts w:cs="Courier New"/>
                <w:sz w:val="20"/>
              </w:rPr>
            </w:pPr>
            <w:r w:rsidRPr="005D648A">
              <w:rPr>
                <w:rFonts w:cs="Courier New"/>
                <w:sz w:val="20"/>
              </w:rPr>
              <w:tab/>
              <w:t>±2.3%</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tabs>
                <w:tab w:val="center" w:pos="369"/>
              </w:tabs>
              <w:rPr>
                <w:rFonts w:cs="Courier New"/>
                <w:sz w:val="20"/>
              </w:rPr>
            </w:pPr>
            <w:r w:rsidRPr="005D648A">
              <w:rPr>
                <w:rFonts w:cs="Courier New"/>
                <w:sz w:val="20"/>
              </w:rPr>
              <w:tab/>
              <w:t>±2.0%</w:t>
            </w:r>
          </w:p>
        </w:tc>
        <w:tc>
          <w:tcPr>
            <w:tcW w:w="900" w:type="dxa"/>
            <w:tcBorders>
              <w:top w:val="single" w:sz="4" w:space="0" w:color="auto"/>
              <w:bottom w:val="single" w:sz="4" w:space="0" w:color="auto"/>
            </w:tcBorders>
            <w:shd w:val="clear" w:color="auto" w:fill="auto"/>
            <w:vAlign w:val="bottom"/>
          </w:tcPr>
          <w:p w:rsidR="003B5A45" w:rsidRPr="005D648A" w:rsidRDefault="003B5A45" w:rsidP="00D47264">
            <w:pPr>
              <w:tabs>
                <w:tab w:val="center" w:pos="369"/>
              </w:tabs>
              <w:rPr>
                <w:rFonts w:cs="Courier New"/>
                <w:sz w:val="20"/>
              </w:rPr>
            </w:pPr>
            <w:r w:rsidRPr="005D648A">
              <w:rPr>
                <w:rFonts w:cs="Courier New"/>
                <w:sz w:val="20"/>
              </w:rPr>
              <w:tab/>
              <w:t>±2.3%</w:t>
            </w:r>
          </w:p>
        </w:tc>
        <w:tc>
          <w:tcPr>
            <w:tcW w:w="900" w:type="dxa"/>
            <w:tcBorders>
              <w:top w:val="single" w:sz="4" w:space="0" w:color="auto"/>
              <w:bottom w:val="single" w:sz="4" w:space="0" w:color="auto"/>
              <w:right w:val="single" w:sz="4" w:space="0" w:color="auto"/>
            </w:tcBorders>
            <w:shd w:val="clear" w:color="auto" w:fill="auto"/>
            <w:vAlign w:val="bottom"/>
          </w:tcPr>
          <w:p w:rsidR="003B5A45" w:rsidRPr="005D648A" w:rsidRDefault="003B5A45" w:rsidP="00D47264">
            <w:pPr>
              <w:tabs>
                <w:tab w:val="center" w:pos="369"/>
              </w:tabs>
              <w:rPr>
                <w:rFonts w:cs="Courier New"/>
                <w:sz w:val="20"/>
              </w:rPr>
            </w:pPr>
            <w:r w:rsidRPr="005D648A">
              <w:rPr>
                <w:rFonts w:cs="Courier New"/>
                <w:sz w:val="20"/>
              </w:rPr>
              <w:tab/>
              <w:t>±2.5%</w:t>
            </w:r>
          </w:p>
        </w:tc>
        <w:tc>
          <w:tcPr>
            <w:tcW w:w="990" w:type="dxa"/>
            <w:tcBorders>
              <w:top w:val="single" w:sz="4" w:space="0" w:color="auto"/>
              <w:left w:val="single" w:sz="4" w:space="0" w:color="auto"/>
              <w:bottom w:val="single" w:sz="4" w:space="0" w:color="auto"/>
            </w:tcBorders>
            <w:shd w:val="clear" w:color="auto" w:fill="auto"/>
            <w:vAlign w:val="bottom"/>
          </w:tcPr>
          <w:p w:rsidR="003B5A45" w:rsidRPr="005D648A" w:rsidRDefault="003B5A45" w:rsidP="00D47264">
            <w:pPr>
              <w:tabs>
                <w:tab w:val="center" w:pos="369"/>
              </w:tabs>
              <w:rPr>
                <w:rFonts w:cs="Courier New"/>
                <w:sz w:val="20"/>
              </w:rPr>
            </w:pPr>
            <w:r w:rsidRPr="005D648A">
              <w:rPr>
                <w:rFonts w:cs="Courier New"/>
                <w:sz w:val="20"/>
              </w:rPr>
              <w:tab/>
              <w:t>±2.1%</w:t>
            </w:r>
          </w:p>
        </w:tc>
        <w:tc>
          <w:tcPr>
            <w:tcW w:w="822" w:type="dxa"/>
            <w:tcBorders>
              <w:top w:val="single" w:sz="4" w:space="0" w:color="auto"/>
              <w:bottom w:val="single" w:sz="4" w:space="0" w:color="auto"/>
            </w:tcBorders>
            <w:shd w:val="clear" w:color="auto" w:fill="auto"/>
            <w:vAlign w:val="bottom"/>
          </w:tcPr>
          <w:p w:rsidR="003B5A45" w:rsidRPr="005D648A" w:rsidRDefault="003B5A45" w:rsidP="00D47264">
            <w:pPr>
              <w:tabs>
                <w:tab w:val="center" w:pos="369"/>
              </w:tabs>
              <w:rPr>
                <w:rFonts w:cs="Courier New"/>
                <w:sz w:val="20"/>
              </w:rPr>
            </w:pPr>
            <w:r w:rsidRPr="005D648A">
              <w:rPr>
                <w:rFonts w:cs="Courier New"/>
                <w:sz w:val="20"/>
              </w:rPr>
              <w:tab/>
              <w:t>±2.5%</w:t>
            </w:r>
          </w:p>
        </w:tc>
        <w:tc>
          <w:tcPr>
            <w:tcW w:w="798" w:type="dxa"/>
            <w:tcBorders>
              <w:top w:val="single" w:sz="4" w:space="0" w:color="auto"/>
              <w:bottom w:val="single" w:sz="4" w:space="0" w:color="auto"/>
            </w:tcBorders>
            <w:shd w:val="clear" w:color="auto" w:fill="auto"/>
            <w:vAlign w:val="bottom"/>
          </w:tcPr>
          <w:p w:rsidR="003B5A45" w:rsidRPr="005D648A" w:rsidRDefault="003B5A45" w:rsidP="00D47264">
            <w:pPr>
              <w:tabs>
                <w:tab w:val="center" w:pos="369"/>
              </w:tabs>
              <w:rPr>
                <w:rFonts w:cs="Courier New"/>
                <w:sz w:val="20"/>
              </w:rPr>
            </w:pPr>
            <w:r w:rsidRPr="005D648A">
              <w:rPr>
                <w:rFonts w:cs="Courier New"/>
                <w:sz w:val="20"/>
              </w:rPr>
              <w:tab/>
              <w:t>±2.7%</w:t>
            </w:r>
          </w:p>
        </w:tc>
      </w:tr>
    </w:tbl>
    <w:p w:rsidR="006E4A5E" w:rsidRPr="00095DDA" w:rsidRDefault="006E4A5E" w:rsidP="006E4A5E">
      <w:pPr>
        <w:pStyle w:val="TF-TblFN"/>
        <w:rPr>
          <w:rFonts w:ascii="Garamond" w:hAnsi="Garamond"/>
        </w:rPr>
      </w:pPr>
      <w:r w:rsidRPr="00095DDA">
        <w:rPr>
          <w:rFonts w:ascii="Garamond" w:hAnsi="Garamond"/>
        </w:rPr>
        <w:t>*</w:t>
      </w:r>
      <w:r w:rsidRPr="00095DDA">
        <w:rPr>
          <w:rFonts w:ascii="Garamond" w:hAnsi="Garamond"/>
        </w:rPr>
        <w:tab/>
        <w:t xml:space="preserve">Sample size </w:t>
      </w:r>
      <w:r w:rsidR="003B5A45">
        <w:rPr>
          <w:rFonts w:ascii="Garamond" w:hAnsi="Garamond"/>
        </w:rPr>
        <w:t xml:space="preserve">of completes </w:t>
      </w:r>
      <w:r w:rsidRPr="00095DDA">
        <w:rPr>
          <w:rFonts w:ascii="Garamond" w:hAnsi="Garamond"/>
        </w:rPr>
        <w:t xml:space="preserve">per </w:t>
      </w:r>
      <w:r w:rsidR="003B5A45">
        <w:rPr>
          <w:rFonts w:ascii="Garamond" w:hAnsi="Garamond"/>
        </w:rPr>
        <w:t>sub</w:t>
      </w:r>
      <w:r w:rsidRPr="00095DDA">
        <w:rPr>
          <w:rFonts w:ascii="Garamond" w:hAnsi="Garamond"/>
        </w:rPr>
        <w:t>group.</w:t>
      </w:r>
    </w:p>
    <w:p w:rsidR="00C80391" w:rsidRDefault="00C80391" w:rsidP="00C80391">
      <w:pPr>
        <w:pStyle w:val="P1-StandPara"/>
      </w:pPr>
    </w:p>
    <w:p w:rsidR="00224302" w:rsidRDefault="00224302" w:rsidP="00C80391">
      <w:pPr>
        <w:pStyle w:val="P1-StandPara"/>
      </w:pPr>
      <w:r w:rsidRPr="00095DDA">
        <w:rPr>
          <w:b/>
        </w:rPr>
        <w:t>Minimum Detectable Difference</w:t>
      </w:r>
    </w:p>
    <w:p w:rsidR="000B1ED8" w:rsidRDefault="00997B28" w:rsidP="00997B28">
      <w:pPr>
        <w:pStyle w:val="P1-StandPara"/>
      </w:pPr>
      <w:r w:rsidRPr="00095DDA">
        <w:t xml:space="preserve">In addition to calculating descriptive statistics of the </w:t>
      </w:r>
      <w:r w:rsidR="005719FC">
        <w:t>SNAP participant</w:t>
      </w:r>
      <w:r w:rsidRPr="00095DDA">
        <w:t xml:space="preserve"> population, comparisons will be made between</w:t>
      </w:r>
      <w:r w:rsidR="002B657A">
        <w:t xml:space="preserve"> subgroups</w:t>
      </w:r>
      <w:r w:rsidRPr="00095DDA">
        <w:t>. Table 3 provides estimates of the minimum detectable difference</w:t>
      </w:r>
      <w:r w:rsidR="002B657A">
        <w:t>s</w:t>
      </w:r>
      <w:r w:rsidRPr="00095DDA">
        <w:t xml:space="preserve"> </w:t>
      </w:r>
      <w:r w:rsidR="00CC225D">
        <w:t xml:space="preserve">(MDD) </w:t>
      </w:r>
      <w:r w:rsidR="00BA3EC9">
        <w:t>for two pairs of comparisons</w:t>
      </w:r>
      <w:r w:rsidR="00BA3EC9" w:rsidRPr="00BA3EC9">
        <w:t xml:space="preserve"> </w:t>
      </w:r>
      <w:r w:rsidR="003B256C">
        <w:t xml:space="preserve">of proportions </w:t>
      </w:r>
      <w:r w:rsidR="00BA3EC9" w:rsidRPr="00095DDA">
        <w:t>under the proposed design for subgroup sample sizes</w:t>
      </w:r>
      <w:r w:rsidR="00BA3EC9">
        <w:t xml:space="preserve">. The </w:t>
      </w:r>
      <w:r w:rsidR="00CC225D">
        <w:t>first row in the table</w:t>
      </w:r>
      <w:r w:rsidR="00BA3EC9">
        <w:t xml:space="preserve"> </w:t>
      </w:r>
      <w:r w:rsidR="00CC225D">
        <w:t>shows</w:t>
      </w:r>
      <w:r w:rsidR="00BA3EC9">
        <w:t xml:space="preserve"> the </w:t>
      </w:r>
      <w:r w:rsidR="00CC225D">
        <w:t xml:space="preserve">MDDs for the </w:t>
      </w:r>
      <w:r w:rsidR="002B657A">
        <w:t>comparison</w:t>
      </w:r>
      <w:r w:rsidR="00BA3EC9">
        <w:t xml:space="preserve"> between </w:t>
      </w:r>
      <w:r w:rsidR="002B657A" w:rsidRPr="00095DDA">
        <w:t>FM EBT users</w:t>
      </w:r>
      <w:r w:rsidR="003B256C">
        <w:t xml:space="preserve"> with incentives (n=1,000) and </w:t>
      </w:r>
      <w:r w:rsidR="003B256C" w:rsidRPr="00095DDA">
        <w:t>FM EBT users</w:t>
      </w:r>
      <w:r w:rsidR="00AB168C">
        <w:t xml:space="preserve"> </w:t>
      </w:r>
      <w:r w:rsidR="003B256C">
        <w:t>without incentives (n=700)</w:t>
      </w:r>
      <w:r w:rsidR="00CC225D">
        <w:t>;</w:t>
      </w:r>
      <w:r w:rsidR="00BA3EC9">
        <w:t xml:space="preserve"> and the second </w:t>
      </w:r>
      <w:r w:rsidR="00CC225D">
        <w:t>row in the table shows</w:t>
      </w:r>
      <w:r w:rsidR="00BA3EC9">
        <w:t xml:space="preserve"> the </w:t>
      </w:r>
      <w:r w:rsidR="00CC225D">
        <w:t xml:space="preserve">MDDs for the comparison </w:t>
      </w:r>
      <w:r w:rsidRPr="00095DDA">
        <w:t xml:space="preserve">between </w:t>
      </w:r>
      <w:r w:rsidR="002B657A" w:rsidRPr="00095DDA">
        <w:t>FM EBT users</w:t>
      </w:r>
      <w:r w:rsidR="00BA3EC9">
        <w:t xml:space="preserve"> (n=1,700)</w:t>
      </w:r>
      <w:r w:rsidRPr="00095DDA">
        <w:t xml:space="preserve"> and </w:t>
      </w:r>
      <w:r w:rsidR="002B657A" w:rsidRPr="00095DDA">
        <w:t xml:space="preserve">FM EBT </w:t>
      </w:r>
      <w:r w:rsidRPr="00095DDA">
        <w:t>nonusers</w:t>
      </w:r>
      <w:r w:rsidR="00BA3EC9">
        <w:t xml:space="preserve"> (n=2,000)</w:t>
      </w:r>
      <w:r w:rsidR="002B657A">
        <w:t>.</w:t>
      </w:r>
      <w:r w:rsidRPr="00095DDA">
        <w:t xml:space="preserve"> The detectable differences are for a one-sided test with significance level of 0.05 and power of 0.80. </w:t>
      </w:r>
      <w:r w:rsidR="000B1ED8">
        <w:t>These values show</w:t>
      </w:r>
      <w:r w:rsidR="004C4675">
        <w:t>,</w:t>
      </w:r>
      <w:r w:rsidR="000B1ED8">
        <w:t xml:space="preserve"> for example</w:t>
      </w:r>
      <w:r w:rsidR="004C4675">
        <w:t>,</w:t>
      </w:r>
      <w:r w:rsidR="000B1ED8">
        <w:t xml:space="preserve"> that if Deff=1.25, for p</w:t>
      </w:r>
      <w:r w:rsidR="000B1ED8">
        <w:rPr>
          <w:vertAlign w:val="subscript"/>
        </w:rPr>
        <w:t>0</w:t>
      </w:r>
      <w:r w:rsidR="000B1ED8">
        <w:t xml:space="preserve"> = 2</w:t>
      </w:r>
      <w:r w:rsidR="003A062E">
        <w:t>0%</w:t>
      </w:r>
      <w:r w:rsidR="000B1ED8">
        <w:t xml:space="preserve"> observed in the subgroup of </w:t>
      </w:r>
      <w:r w:rsidR="000B1ED8" w:rsidRPr="00095DDA">
        <w:t>FM EBT users</w:t>
      </w:r>
      <w:r w:rsidR="000B1ED8">
        <w:t>, a value of p</w:t>
      </w:r>
      <w:r w:rsidR="000B1ED8">
        <w:rPr>
          <w:vertAlign w:val="subscript"/>
        </w:rPr>
        <w:t>1</w:t>
      </w:r>
      <w:r w:rsidR="000B1ED8">
        <w:t xml:space="preserve"> = 23</w:t>
      </w:r>
      <w:r w:rsidR="003A062E">
        <w:t>.</w:t>
      </w:r>
      <w:r w:rsidR="000B1ED8">
        <w:t>8</w:t>
      </w:r>
      <w:r w:rsidR="003A062E">
        <w:t>%</w:t>
      </w:r>
      <w:r w:rsidR="000B1ED8">
        <w:t xml:space="preserve"> or larger observed in the subgroup of </w:t>
      </w:r>
      <w:r w:rsidR="000B1ED8" w:rsidRPr="00095DDA">
        <w:t>FM EBT nonusers</w:t>
      </w:r>
      <w:r w:rsidR="000B1ED8">
        <w:t xml:space="preserve"> would be considered statistically significant. Alternatively, for a value of p</w:t>
      </w:r>
      <w:r w:rsidR="000B1ED8">
        <w:rPr>
          <w:vertAlign w:val="subscript"/>
        </w:rPr>
        <w:t>0</w:t>
      </w:r>
      <w:r w:rsidR="000B1ED8">
        <w:t xml:space="preserve"> = 5</w:t>
      </w:r>
      <w:r w:rsidR="003A062E">
        <w:t>0%</w:t>
      </w:r>
      <w:r w:rsidR="000B1ED8">
        <w:t xml:space="preserve"> in the </w:t>
      </w:r>
      <w:r w:rsidR="000B1ED8" w:rsidRPr="00095DDA">
        <w:t>FM EBT users</w:t>
      </w:r>
      <w:r w:rsidR="000B1ED8">
        <w:t xml:space="preserve"> subgroup, a value of 54</w:t>
      </w:r>
      <w:r w:rsidR="003A062E">
        <w:t>.</w:t>
      </w:r>
      <w:r w:rsidR="000B1ED8">
        <w:t>6</w:t>
      </w:r>
      <w:r w:rsidR="003A062E">
        <w:t>%</w:t>
      </w:r>
      <w:r w:rsidR="000B1ED8">
        <w:t xml:space="preserve"> or larger in the </w:t>
      </w:r>
      <w:r w:rsidR="000B1ED8" w:rsidRPr="00095DDA">
        <w:t>FM EBT nonuser</w:t>
      </w:r>
      <w:r w:rsidR="000B1ED8">
        <w:t xml:space="preserve">s </w:t>
      </w:r>
      <w:r w:rsidR="000B1ED8" w:rsidRPr="00095DDA">
        <w:t>s</w:t>
      </w:r>
      <w:r w:rsidR="000B1ED8">
        <w:t>ubgroup would be considered statistically significant.</w:t>
      </w:r>
    </w:p>
    <w:p w:rsidR="009D2C61" w:rsidRDefault="009D2C61" w:rsidP="00997B28">
      <w:pPr>
        <w:pStyle w:val="P1-StandPara"/>
      </w:pPr>
    </w:p>
    <w:p w:rsidR="00997B28" w:rsidRPr="005719FC" w:rsidRDefault="00AB2A0D" w:rsidP="00997B28">
      <w:pPr>
        <w:pStyle w:val="TT-TableTitle"/>
        <w:rPr>
          <w:rFonts w:ascii="Garamond" w:hAnsi="Garamond"/>
          <w:b/>
          <w:sz w:val="24"/>
          <w:szCs w:val="24"/>
        </w:rPr>
      </w:pPr>
      <w:bookmarkStart w:id="45" w:name="_Toc329674984"/>
      <w:r w:rsidRPr="00AB2A0D">
        <w:rPr>
          <w:rFonts w:ascii="Garamond" w:hAnsi="Garamond"/>
          <w:b/>
          <w:sz w:val="24"/>
          <w:szCs w:val="24"/>
        </w:rPr>
        <w:t>Table 3.</w:t>
      </w:r>
      <w:r w:rsidRPr="00AB2A0D">
        <w:rPr>
          <w:rFonts w:ascii="Garamond" w:hAnsi="Garamond"/>
          <w:b/>
          <w:sz w:val="24"/>
          <w:szCs w:val="24"/>
        </w:rPr>
        <w:tab/>
        <w:t>Minimum detectable difference* between subgroups for selected design effects (DEFF) and underlying prevalences (P)</w:t>
      </w:r>
      <w:bookmarkEnd w:id="45"/>
    </w:p>
    <w:p w:rsidR="00997B28" w:rsidRPr="00095DDA" w:rsidRDefault="00997B28" w:rsidP="00997B28">
      <w:pPr>
        <w:pStyle w:val="TT-TableTitle"/>
        <w:rPr>
          <w:rFonts w:ascii="Garamond" w:hAnsi="Garamond"/>
          <w:b/>
          <w:szCs w:val="24"/>
        </w:rPr>
      </w:pPr>
    </w:p>
    <w:tbl>
      <w:tblPr>
        <w:tblW w:w="10440" w:type="dxa"/>
        <w:tblInd w:w="-252" w:type="dxa"/>
        <w:tblBorders>
          <w:bottom w:val="single" w:sz="4" w:space="0" w:color="auto"/>
        </w:tblBorders>
        <w:tblLayout w:type="fixed"/>
        <w:tblLook w:val="04A0"/>
      </w:tblPr>
      <w:tblGrid>
        <w:gridCol w:w="1170"/>
        <w:gridCol w:w="1080"/>
        <w:gridCol w:w="873"/>
        <w:gridCol w:w="927"/>
        <w:gridCol w:w="900"/>
        <w:gridCol w:w="900"/>
        <w:gridCol w:w="900"/>
        <w:gridCol w:w="900"/>
        <w:gridCol w:w="990"/>
        <w:gridCol w:w="900"/>
        <w:gridCol w:w="900"/>
      </w:tblGrid>
      <w:tr w:rsidR="00600F0A" w:rsidRPr="005D648A" w:rsidTr="00600F0A">
        <w:trPr>
          <w:cantSplit/>
        </w:trPr>
        <w:tc>
          <w:tcPr>
            <w:tcW w:w="1170" w:type="dxa"/>
            <w:vMerge w:val="restart"/>
            <w:tcBorders>
              <w:top w:val="single" w:sz="4" w:space="0" w:color="auto"/>
              <w:left w:val="nil"/>
              <w:right w:val="nil"/>
              <w:tl2br w:val="nil"/>
              <w:tr2bl w:val="nil"/>
            </w:tcBorders>
            <w:shd w:val="clear" w:color="auto" w:fill="AFBED7"/>
          </w:tcPr>
          <w:p w:rsidR="00F21928" w:rsidRPr="005D648A" w:rsidRDefault="001A30EB">
            <w:pPr>
              <w:pStyle w:val="TH-TableHeading"/>
              <w:ind w:left="-72" w:right="-72"/>
              <w:rPr>
                <w:rFonts w:ascii="Garamond" w:hAnsi="Garamond"/>
              </w:rPr>
            </w:pPr>
            <w:bookmarkStart w:id="46" w:name="_Toc329674985"/>
            <w:r>
              <w:rPr>
                <w:rFonts w:ascii="Garamond" w:hAnsi="Garamond"/>
              </w:rPr>
              <w:t>Subgroup</w:t>
            </w:r>
            <w:r w:rsidRPr="005D648A">
              <w:rPr>
                <w:rFonts w:ascii="Garamond" w:hAnsi="Garamond"/>
              </w:rPr>
              <w:t xml:space="preserve"> </w:t>
            </w:r>
            <w:r>
              <w:rPr>
                <w:rFonts w:ascii="Garamond" w:hAnsi="Garamond"/>
              </w:rPr>
              <w:t>s</w:t>
            </w:r>
            <w:r w:rsidR="00F21928" w:rsidRPr="005D648A">
              <w:rPr>
                <w:rFonts w:ascii="Garamond" w:hAnsi="Garamond"/>
              </w:rPr>
              <w:t>ample size</w:t>
            </w:r>
            <w:r w:rsidR="00F21928">
              <w:rPr>
                <w:rFonts w:ascii="Garamond" w:hAnsi="Garamond"/>
              </w:rPr>
              <w:t xml:space="preserve"> 1</w:t>
            </w:r>
            <w:r w:rsidR="00F21928" w:rsidRPr="005D648A">
              <w:rPr>
                <w:rFonts w:ascii="Garamond" w:hAnsi="Garamond"/>
              </w:rPr>
              <w:t>*</w:t>
            </w:r>
            <w:bookmarkEnd w:id="46"/>
          </w:p>
        </w:tc>
        <w:tc>
          <w:tcPr>
            <w:tcW w:w="1080" w:type="dxa"/>
            <w:vMerge w:val="restart"/>
            <w:tcBorders>
              <w:top w:val="single" w:sz="4" w:space="0" w:color="auto"/>
              <w:left w:val="nil"/>
              <w:bottom w:val="single" w:sz="4" w:space="0" w:color="auto"/>
              <w:right w:val="single" w:sz="4" w:space="0" w:color="auto"/>
              <w:tl2br w:val="nil"/>
              <w:tr2bl w:val="nil"/>
            </w:tcBorders>
            <w:shd w:val="clear" w:color="auto" w:fill="AFBED7"/>
            <w:vAlign w:val="bottom"/>
          </w:tcPr>
          <w:p w:rsidR="00F21928" w:rsidRPr="005D648A" w:rsidRDefault="001A30EB">
            <w:pPr>
              <w:pStyle w:val="TH-TableHeading"/>
              <w:ind w:left="-72" w:right="-72"/>
              <w:rPr>
                <w:rFonts w:ascii="Garamond" w:hAnsi="Garamond"/>
              </w:rPr>
            </w:pPr>
            <w:bookmarkStart w:id="47" w:name="_Toc329674986"/>
            <w:r>
              <w:rPr>
                <w:rFonts w:ascii="Garamond" w:hAnsi="Garamond"/>
              </w:rPr>
              <w:t>Subgroup</w:t>
            </w:r>
            <w:r w:rsidRPr="005D648A">
              <w:rPr>
                <w:rFonts w:ascii="Garamond" w:hAnsi="Garamond"/>
              </w:rPr>
              <w:t xml:space="preserve"> </w:t>
            </w:r>
            <w:r>
              <w:rPr>
                <w:rFonts w:ascii="Garamond" w:hAnsi="Garamond"/>
              </w:rPr>
              <w:t>s</w:t>
            </w:r>
            <w:r w:rsidR="00F21928" w:rsidRPr="005D648A">
              <w:rPr>
                <w:rFonts w:ascii="Garamond" w:hAnsi="Garamond"/>
              </w:rPr>
              <w:t>ample size</w:t>
            </w:r>
            <w:r w:rsidR="00F21928">
              <w:rPr>
                <w:rFonts w:ascii="Garamond" w:hAnsi="Garamond"/>
              </w:rPr>
              <w:t xml:space="preserve"> 2</w:t>
            </w:r>
            <w:r w:rsidR="00F21928" w:rsidRPr="005D648A">
              <w:rPr>
                <w:rFonts w:ascii="Garamond" w:hAnsi="Garamond"/>
              </w:rPr>
              <w:t>*</w:t>
            </w:r>
            <w:bookmarkEnd w:id="47"/>
          </w:p>
        </w:tc>
        <w:tc>
          <w:tcPr>
            <w:tcW w:w="2700" w:type="dxa"/>
            <w:gridSpan w:val="3"/>
            <w:tcBorders>
              <w:top w:val="single" w:sz="4" w:space="0" w:color="auto"/>
              <w:left w:val="single" w:sz="4" w:space="0" w:color="auto"/>
              <w:bottom w:val="nil"/>
              <w:right w:val="single" w:sz="4" w:space="0" w:color="auto"/>
              <w:tl2br w:val="nil"/>
              <w:tr2bl w:val="nil"/>
            </w:tcBorders>
            <w:shd w:val="clear" w:color="auto" w:fill="AFBED7"/>
            <w:vAlign w:val="bottom"/>
          </w:tcPr>
          <w:p w:rsidR="00F21928" w:rsidRPr="005D648A" w:rsidRDefault="00F21928" w:rsidP="00F91A73">
            <w:pPr>
              <w:pStyle w:val="TH-TableHeading"/>
              <w:pBdr>
                <w:bottom w:val="single" w:sz="4" w:space="1" w:color="auto"/>
              </w:pBdr>
              <w:ind w:left="-72"/>
              <w:rPr>
                <w:rFonts w:ascii="Garamond" w:hAnsi="Garamond"/>
              </w:rPr>
            </w:pPr>
            <w:bookmarkStart w:id="48" w:name="_Toc329674987"/>
            <w:r w:rsidRPr="005D648A">
              <w:rPr>
                <w:rFonts w:ascii="Garamond" w:hAnsi="Garamond"/>
              </w:rPr>
              <w:t>DEFF = 1.10</w:t>
            </w:r>
            <w:bookmarkEnd w:id="48"/>
          </w:p>
        </w:tc>
        <w:tc>
          <w:tcPr>
            <w:tcW w:w="2700" w:type="dxa"/>
            <w:gridSpan w:val="3"/>
            <w:tcBorders>
              <w:top w:val="single" w:sz="4" w:space="0" w:color="auto"/>
              <w:left w:val="single" w:sz="4" w:space="0" w:color="auto"/>
              <w:bottom w:val="nil"/>
              <w:right w:val="single" w:sz="4" w:space="0" w:color="auto"/>
              <w:tl2br w:val="nil"/>
              <w:tr2bl w:val="nil"/>
            </w:tcBorders>
            <w:shd w:val="clear" w:color="auto" w:fill="AFBED7"/>
            <w:vAlign w:val="bottom"/>
          </w:tcPr>
          <w:p w:rsidR="00F21928" w:rsidRPr="005D648A" w:rsidRDefault="00F21928" w:rsidP="00F91A73">
            <w:pPr>
              <w:pStyle w:val="TH-TableHeading"/>
              <w:pBdr>
                <w:bottom w:val="single" w:sz="4" w:space="1" w:color="auto"/>
              </w:pBdr>
              <w:rPr>
                <w:rFonts w:ascii="Garamond" w:hAnsi="Garamond"/>
              </w:rPr>
            </w:pPr>
            <w:bookmarkStart w:id="49" w:name="_Toc329674988"/>
            <w:r w:rsidRPr="005D648A">
              <w:rPr>
                <w:rFonts w:ascii="Garamond" w:hAnsi="Garamond"/>
              </w:rPr>
              <w:t>DEFF = 1.25</w:t>
            </w:r>
            <w:bookmarkEnd w:id="49"/>
          </w:p>
        </w:tc>
        <w:tc>
          <w:tcPr>
            <w:tcW w:w="2790" w:type="dxa"/>
            <w:gridSpan w:val="3"/>
            <w:tcBorders>
              <w:top w:val="single" w:sz="4" w:space="0" w:color="auto"/>
              <w:left w:val="single" w:sz="4" w:space="0" w:color="auto"/>
              <w:bottom w:val="nil"/>
              <w:right w:val="nil"/>
              <w:tl2br w:val="nil"/>
              <w:tr2bl w:val="nil"/>
            </w:tcBorders>
            <w:shd w:val="clear" w:color="auto" w:fill="AFBED7"/>
            <w:vAlign w:val="bottom"/>
          </w:tcPr>
          <w:p w:rsidR="00F21928" w:rsidRPr="005D648A" w:rsidRDefault="00F21928" w:rsidP="00F91A73">
            <w:pPr>
              <w:pStyle w:val="TH-TableHeading"/>
              <w:pBdr>
                <w:bottom w:val="single" w:sz="4" w:space="1" w:color="auto"/>
              </w:pBdr>
              <w:ind w:right="-72"/>
              <w:rPr>
                <w:rFonts w:ascii="Garamond" w:hAnsi="Garamond"/>
              </w:rPr>
            </w:pPr>
            <w:bookmarkStart w:id="50" w:name="_Toc329674989"/>
            <w:r w:rsidRPr="005D648A">
              <w:rPr>
                <w:rFonts w:ascii="Garamond" w:hAnsi="Garamond"/>
              </w:rPr>
              <w:t>DEFF = 1.50</w:t>
            </w:r>
            <w:bookmarkEnd w:id="50"/>
          </w:p>
        </w:tc>
      </w:tr>
      <w:tr w:rsidR="007B2910" w:rsidRPr="005D648A" w:rsidTr="00600F0A">
        <w:trPr>
          <w:cantSplit/>
        </w:trPr>
        <w:tc>
          <w:tcPr>
            <w:tcW w:w="1170" w:type="dxa"/>
            <w:vMerge/>
            <w:tcBorders>
              <w:bottom w:val="single" w:sz="4" w:space="0" w:color="auto"/>
            </w:tcBorders>
            <w:shd w:val="clear" w:color="auto" w:fill="AFBED7"/>
          </w:tcPr>
          <w:p w:rsidR="00F21928" w:rsidRPr="005D648A" w:rsidRDefault="00F21928" w:rsidP="00F91A73">
            <w:pPr>
              <w:pStyle w:val="TH-TableHeading"/>
              <w:ind w:left="-72" w:right="-72"/>
              <w:rPr>
                <w:rFonts w:ascii="Garamond" w:hAnsi="Garamond"/>
              </w:rPr>
            </w:pPr>
          </w:p>
        </w:tc>
        <w:tc>
          <w:tcPr>
            <w:tcW w:w="1080" w:type="dxa"/>
            <w:vMerge/>
            <w:tcBorders>
              <w:bottom w:val="single" w:sz="4" w:space="0" w:color="auto"/>
              <w:right w:val="single" w:sz="4" w:space="0" w:color="auto"/>
            </w:tcBorders>
            <w:shd w:val="clear" w:color="auto" w:fill="AFBED7"/>
          </w:tcPr>
          <w:p w:rsidR="00F21928" w:rsidRPr="005D648A" w:rsidRDefault="00F21928" w:rsidP="00F91A73">
            <w:pPr>
              <w:pStyle w:val="TH-TableHeading"/>
              <w:ind w:left="-72" w:right="-72"/>
              <w:rPr>
                <w:rFonts w:ascii="Garamond" w:hAnsi="Garamond"/>
              </w:rPr>
            </w:pPr>
          </w:p>
        </w:tc>
        <w:tc>
          <w:tcPr>
            <w:tcW w:w="873" w:type="dxa"/>
            <w:tcBorders>
              <w:top w:val="nil"/>
              <w:left w:val="single" w:sz="4" w:space="0" w:color="auto"/>
              <w:bottom w:val="single" w:sz="4" w:space="0" w:color="auto"/>
            </w:tcBorders>
            <w:shd w:val="clear" w:color="auto" w:fill="AFBED7"/>
          </w:tcPr>
          <w:p w:rsidR="00F21928" w:rsidRPr="005D648A" w:rsidRDefault="00F21928" w:rsidP="00F91A73">
            <w:pPr>
              <w:pStyle w:val="TH-TableHeading"/>
              <w:ind w:left="-72" w:right="-72"/>
              <w:rPr>
                <w:rFonts w:ascii="Garamond" w:hAnsi="Garamond"/>
              </w:rPr>
            </w:pPr>
            <w:bookmarkStart w:id="51" w:name="_Toc329674990"/>
            <w:r w:rsidRPr="005D648A">
              <w:rPr>
                <w:rFonts w:ascii="Garamond" w:hAnsi="Garamond"/>
              </w:rPr>
              <w:t>P = 20%</w:t>
            </w:r>
            <w:bookmarkEnd w:id="51"/>
          </w:p>
        </w:tc>
        <w:tc>
          <w:tcPr>
            <w:tcW w:w="927" w:type="dxa"/>
            <w:tcBorders>
              <w:top w:val="nil"/>
              <w:bottom w:val="single" w:sz="4" w:space="0" w:color="auto"/>
            </w:tcBorders>
            <w:shd w:val="clear" w:color="auto" w:fill="AFBED7"/>
          </w:tcPr>
          <w:p w:rsidR="00F21928" w:rsidRPr="005D648A" w:rsidRDefault="00F21928" w:rsidP="00F91A73">
            <w:pPr>
              <w:pStyle w:val="TH-TableHeading"/>
              <w:ind w:left="-72" w:right="-72"/>
              <w:rPr>
                <w:rFonts w:ascii="Garamond" w:hAnsi="Garamond"/>
              </w:rPr>
            </w:pPr>
            <w:bookmarkStart w:id="52" w:name="_Toc329674991"/>
            <w:r w:rsidRPr="005D648A">
              <w:rPr>
                <w:rFonts w:ascii="Garamond" w:hAnsi="Garamond"/>
              </w:rPr>
              <w:t>P = 33%</w:t>
            </w:r>
            <w:bookmarkEnd w:id="52"/>
          </w:p>
        </w:tc>
        <w:tc>
          <w:tcPr>
            <w:tcW w:w="900" w:type="dxa"/>
            <w:tcBorders>
              <w:top w:val="nil"/>
              <w:bottom w:val="single" w:sz="4" w:space="0" w:color="auto"/>
              <w:right w:val="single" w:sz="4" w:space="0" w:color="auto"/>
            </w:tcBorders>
            <w:shd w:val="clear" w:color="auto" w:fill="AFBED7"/>
          </w:tcPr>
          <w:p w:rsidR="00F21928" w:rsidRPr="005D648A" w:rsidRDefault="00F21928" w:rsidP="00F91A73">
            <w:pPr>
              <w:pStyle w:val="TH-TableHeading"/>
              <w:ind w:left="-72" w:right="-72"/>
              <w:rPr>
                <w:rFonts w:ascii="Garamond" w:hAnsi="Garamond"/>
              </w:rPr>
            </w:pPr>
            <w:bookmarkStart w:id="53" w:name="_Toc329674992"/>
            <w:r w:rsidRPr="005D648A">
              <w:rPr>
                <w:rFonts w:ascii="Garamond" w:hAnsi="Garamond"/>
              </w:rPr>
              <w:t>P = 50%</w:t>
            </w:r>
            <w:bookmarkEnd w:id="53"/>
          </w:p>
        </w:tc>
        <w:tc>
          <w:tcPr>
            <w:tcW w:w="900" w:type="dxa"/>
            <w:tcBorders>
              <w:top w:val="nil"/>
              <w:left w:val="single" w:sz="4" w:space="0" w:color="auto"/>
              <w:bottom w:val="single" w:sz="4" w:space="0" w:color="auto"/>
            </w:tcBorders>
            <w:shd w:val="clear" w:color="auto" w:fill="AFBED7"/>
          </w:tcPr>
          <w:p w:rsidR="00F21928" w:rsidRPr="005D648A" w:rsidRDefault="00F21928" w:rsidP="00F91A73">
            <w:pPr>
              <w:pStyle w:val="TH-TableHeading"/>
              <w:ind w:left="-72" w:right="-72"/>
              <w:rPr>
                <w:rFonts w:ascii="Garamond" w:hAnsi="Garamond"/>
              </w:rPr>
            </w:pPr>
            <w:bookmarkStart w:id="54" w:name="_Toc329674993"/>
            <w:r w:rsidRPr="005D648A">
              <w:rPr>
                <w:rFonts w:ascii="Garamond" w:hAnsi="Garamond"/>
              </w:rPr>
              <w:t>P = 20%</w:t>
            </w:r>
            <w:bookmarkEnd w:id="54"/>
          </w:p>
        </w:tc>
        <w:tc>
          <w:tcPr>
            <w:tcW w:w="900" w:type="dxa"/>
            <w:tcBorders>
              <w:top w:val="nil"/>
              <w:bottom w:val="single" w:sz="4" w:space="0" w:color="auto"/>
            </w:tcBorders>
            <w:shd w:val="clear" w:color="auto" w:fill="AFBED7"/>
          </w:tcPr>
          <w:p w:rsidR="00F21928" w:rsidRPr="005D648A" w:rsidRDefault="00F21928" w:rsidP="00F91A73">
            <w:pPr>
              <w:pStyle w:val="TH-TableHeading"/>
              <w:ind w:left="-72" w:right="-72"/>
              <w:rPr>
                <w:rFonts w:ascii="Garamond" w:hAnsi="Garamond"/>
              </w:rPr>
            </w:pPr>
            <w:bookmarkStart w:id="55" w:name="_Toc329674994"/>
            <w:r w:rsidRPr="005D648A">
              <w:rPr>
                <w:rFonts w:ascii="Garamond" w:hAnsi="Garamond"/>
              </w:rPr>
              <w:t>P = 33%</w:t>
            </w:r>
            <w:bookmarkEnd w:id="55"/>
          </w:p>
        </w:tc>
        <w:tc>
          <w:tcPr>
            <w:tcW w:w="900" w:type="dxa"/>
            <w:tcBorders>
              <w:top w:val="nil"/>
              <w:bottom w:val="single" w:sz="4" w:space="0" w:color="auto"/>
              <w:right w:val="single" w:sz="4" w:space="0" w:color="auto"/>
            </w:tcBorders>
            <w:shd w:val="clear" w:color="auto" w:fill="AFBED7"/>
          </w:tcPr>
          <w:p w:rsidR="00F21928" w:rsidRPr="005D648A" w:rsidRDefault="00F21928" w:rsidP="00F91A73">
            <w:pPr>
              <w:pStyle w:val="TH-TableHeading"/>
              <w:ind w:left="-72" w:right="-72"/>
              <w:rPr>
                <w:rFonts w:ascii="Garamond" w:hAnsi="Garamond"/>
              </w:rPr>
            </w:pPr>
            <w:bookmarkStart w:id="56" w:name="_Toc329674995"/>
            <w:r w:rsidRPr="005D648A">
              <w:rPr>
                <w:rFonts w:ascii="Garamond" w:hAnsi="Garamond"/>
              </w:rPr>
              <w:t>P = 50%</w:t>
            </w:r>
            <w:bookmarkEnd w:id="56"/>
          </w:p>
        </w:tc>
        <w:tc>
          <w:tcPr>
            <w:tcW w:w="990" w:type="dxa"/>
            <w:tcBorders>
              <w:top w:val="nil"/>
              <w:left w:val="single" w:sz="4" w:space="0" w:color="auto"/>
              <w:bottom w:val="single" w:sz="4" w:space="0" w:color="auto"/>
            </w:tcBorders>
            <w:shd w:val="clear" w:color="auto" w:fill="AFBED7"/>
          </w:tcPr>
          <w:p w:rsidR="00F21928" w:rsidRPr="005D648A" w:rsidRDefault="00F21928" w:rsidP="00F91A73">
            <w:pPr>
              <w:pStyle w:val="TH-TableHeading"/>
              <w:ind w:left="-72" w:right="-72"/>
              <w:rPr>
                <w:rFonts w:ascii="Garamond" w:hAnsi="Garamond"/>
              </w:rPr>
            </w:pPr>
            <w:bookmarkStart w:id="57" w:name="_Toc329674996"/>
            <w:r w:rsidRPr="005D648A">
              <w:rPr>
                <w:rFonts w:ascii="Garamond" w:hAnsi="Garamond"/>
              </w:rPr>
              <w:t>P = 20%</w:t>
            </w:r>
            <w:bookmarkEnd w:id="57"/>
          </w:p>
        </w:tc>
        <w:tc>
          <w:tcPr>
            <w:tcW w:w="900" w:type="dxa"/>
            <w:tcBorders>
              <w:top w:val="nil"/>
              <w:bottom w:val="single" w:sz="4" w:space="0" w:color="auto"/>
            </w:tcBorders>
            <w:shd w:val="clear" w:color="auto" w:fill="AFBED7"/>
          </w:tcPr>
          <w:p w:rsidR="00F21928" w:rsidRPr="005D648A" w:rsidRDefault="00F21928" w:rsidP="00F91A73">
            <w:pPr>
              <w:pStyle w:val="TH-TableHeading"/>
              <w:ind w:left="-72" w:right="-72"/>
              <w:rPr>
                <w:rFonts w:ascii="Garamond" w:hAnsi="Garamond"/>
              </w:rPr>
            </w:pPr>
            <w:bookmarkStart w:id="58" w:name="_Toc329674997"/>
            <w:r w:rsidRPr="005D648A">
              <w:rPr>
                <w:rFonts w:ascii="Garamond" w:hAnsi="Garamond"/>
              </w:rPr>
              <w:t>P = 33%</w:t>
            </w:r>
            <w:bookmarkEnd w:id="58"/>
          </w:p>
        </w:tc>
        <w:tc>
          <w:tcPr>
            <w:tcW w:w="900" w:type="dxa"/>
            <w:tcBorders>
              <w:top w:val="nil"/>
              <w:bottom w:val="single" w:sz="4" w:space="0" w:color="auto"/>
            </w:tcBorders>
            <w:shd w:val="clear" w:color="auto" w:fill="AFBED7"/>
          </w:tcPr>
          <w:p w:rsidR="00F21928" w:rsidRPr="005D648A" w:rsidRDefault="00F21928" w:rsidP="00F91A73">
            <w:pPr>
              <w:pStyle w:val="TH-TableHeading"/>
              <w:ind w:left="-72" w:right="-72"/>
              <w:rPr>
                <w:rFonts w:ascii="Garamond" w:hAnsi="Garamond"/>
              </w:rPr>
            </w:pPr>
            <w:bookmarkStart w:id="59" w:name="_Toc329674998"/>
            <w:r w:rsidRPr="005D648A">
              <w:rPr>
                <w:rFonts w:ascii="Garamond" w:hAnsi="Garamond"/>
              </w:rPr>
              <w:t>P = 50%</w:t>
            </w:r>
            <w:bookmarkEnd w:id="59"/>
          </w:p>
        </w:tc>
      </w:tr>
      <w:tr w:rsidR="00F1627D" w:rsidRPr="005D648A" w:rsidTr="00600F0A">
        <w:trPr>
          <w:cantSplit/>
        </w:trPr>
        <w:tc>
          <w:tcPr>
            <w:tcW w:w="1170" w:type="dxa"/>
            <w:tcBorders>
              <w:top w:val="single" w:sz="4" w:space="0" w:color="auto"/>
              <w:bottom w:val="single" w:sz="4" w:space="0" w:color="auto"/>
            </w:tcBorders>
          </w:tcPr>
          <w:p w:rsidR="00F21928" w:rsidRPr="005D648A" w:rsidRDefault="001A30EB">
            <w:pPr>
              <w:pStyle w:val="TX-TableText"/>
              <w:keepNext/>
              <w:keepLines/>
              <w:tabs>
                <w:tab w:val="decimal" w:pos="648"/>
              </w:tabs>
              <w:rPr>
                <w:rFonts w:ascii="Garamond" w:hAnsi="Garamond"/>
              </w:rPr>
            </w:pPr>
            <w:r>
              <w:rPr>
                <w:rFonts w:ascii="Garamond" w:hAnsi="Garamond"/>
              </w:rPr>
              <w:t>FM EBT users, w/o incentives (n=</w:t>
            </w:r>
            <w:r w:rsidR="00F21928">
              <w:rPr>
                <w:rFonts w:ascii="Garamond" w:hAnsi="Garamond"/>
              </w:rPr>
              <w:t>700</w:t>
            </w:r>
            <w:r>
              <w:rPr>
                <w:rFonts w:ascii="Garamond" w:hAnsi="Garamond"/>
              </w:rPr>
              <w:t>)</w:t>
            </w:r>
          </w:p>
        </w:tc>
        <w:tc>
          <w:tcPr>
            <w:tcW w:w="1080" w:type="dxa"/>
            <w:tcBorders>
              <w:top w:val="single" w:sz="4" w:space="0" w:color="auto"/>
              <w:bottom w:val="single" w:sz="4" w:space="0" w:color="auto"/>
              <w:right w:val="single" w:sz="4" w:space="0" w:color="auto"/>
            </w:tcBorders>
            <w:shd w:val="clear" w:color="auto" w:fill="auto"/>
            <w:vAlign w:val="bottom"/>
          </w:tcPr>
          <w:p w:rsidR="00F21928" w:rsidRPr="005D648A" w:rsidRDefault="001A30EB">
            <w:pPr>
              <w:pStyle w:val="TX-TableText"/>
              <w:keepNext/>
              <w:keepLines/>
              <w:tabs>
                <w:tab w:val="decimal" w:pos="648"/>
              </w:tabs>
              <w:rPr>
                <w:rFonts w:ascii="Garamond" w:hAnsi="Garamond"/>
              </w:rPr>
            </w:pPr>
            <w:r>
              <w:rPr>
                <w:rFonts w:ascii="Garamond" w:hAnsi="Garamond"/>
              </w:rPr>
              <w:t>FM EBT users, with incentives (n=</w:t>
            </w:r>
            <w:r w:rsidR="00F21928">
              <w:rPr>
                <w:rFonts w:ascii="Garamond" w:hAnsi="Garamond"/>
              </w:rPr>
              <w:t>1</w:t>
            </w:r>
            <w:r w:rsidR="0025329F">
              <w:rPr>
                <w:rFonts w:ascii="Garamond" w:hAnsi="Garamond"/>
              </w:rPr>
              <w:t>,</w:t>
            </w:r>
            <w:r w:rsidR="00F21928">
              <w:rPr>
                <w:rFonts w:ascii="Garamond" w:hAnsi="Garamond"/>
              </w:rPr>
              <w:t>0</w:t>
            </w:r>
            <w:r w:rsidR="00F21928" w:rsidRPr="005D648A">
              <w:rPr>
                <w:rFonts w:ascii="Garamond" w:hAnsi="Garamond"/>
              </w:rPr>
              <w:t>00</w:t>
            </w:r>
            <w:r>
              <w:rPr>
                <w:rFonts w:ascii="Garamond" w:hAnsi="Garamond"/>
              </w:rPr>
              <w:t>)</w:t>
            </w:r>
          </w:p>
        </w:tc>
        <w:tc>
          <w:tcPr>
            <w:tcW w:w="873" w:type="dxa"/>
            <w:tcBorders>
              <w:top w:val="single" w:sz="4" w:space="0" w:color="auto"/>
              <w:left w:val="single" w:sz="4" w:space="0" w:color="auto"/>
              <w:bottom w:val="single" w:sz="4" w:space="0" w:color="auto"/>
            </w:tcBorders>
            <w:shd w:val="clear" w:color="auto" w:fill="auto"/>
            <w:vAlign w:val="bottom"/>
          </w:tcPr>
          <w:p w:rsidR="00F21928" w:rsidRPr="005D648A" w:rsidRDefault="00F21928" w:rsidP="00F91A73">
            <w:pPr>
              <w:pStyle w:val="TX-TableText"/>
              <w:tabs>
                <w:tab w:val="decimal" w:pos="360"/>
              </w:tabs>
              <w:rPr>
                <w:rFonts w:ascii="Garamond" w:hAnsi="Garamond"/>
              </w:rPr>
            </w:pPr>
            <w:r>
              <w:rPr>
                <w:rFonts w:ascii="Garamond" w:hAnsi="Garamond"/>
              </w:rPr>
              <w:t>5</w:t>
            </w:r>
            <w:r w:rsidRPr="005D648A">
              <w:rPr>
                <w:rFonts w:ascii="Garamond" w:hAnsi="Garamond"/>
              </w:rPr>
              <w:t>.4%</w:t>
            </w:r>
          </w:p>
        </w:tc>
        <w:tc>
          <w:tcPr>
            <w:tcW w:w="927" w:type="dxa"/>
            <w:tcBorders>
              <w:top w:val="single" w:sz="4" w:space="0" w:color="auto"/>
              <w:bottom w:val="single" w:sz="4" w:space="0" w:color="auto"/>
            </w:tcBorders>
            <w:shd w:val="clear" w:color="auto" w:fill="auto"/>
            <w:vAlign w:val="bottom"/>
          </w:tcPr>
          <w:p w:rsidR="00F21928" w:rsidRPr="005D648A" w:rsidRDefault="0025329F">
            <w:pPr>
              <w:pStyle w:val="TX-TableText"/>
              <w:tabs>
                <w:tab w:val="decimal" w:pos="360"/>
              </w:tabs>
              <w:rPr>
                <w:rFonts w:ascii="Garamond" w:hAnsi="Garamond"/>
              </w:rPr>
            </w:pPr>
            <w:r>
              <w:rPr>
                <w:rFonts w:ascii="Garamond" w:hAnsi="Garamond"/>
              </w:rPr>
              <w:t>6.2</w:t>
            </w:r>
            <w:r w:rsidR="00F21928" w:rsidRPr="005D648A">
              <w:rPr>
                <w:rFonts w:ascii="Garamond" w:hAnsi="Garamond"/>
              </w:rPr>
              <w:t>%</w:t>
            </w:r>
          </w:p>
        </w:tc>
        <w:tc>
          <w:tcPr>
            <w:tcW w:w="900" w:type="dxa"/>
            <w:tcBorders>
              <w:top w:val="single" w:sz="4" w:space="0" w:color="auto"/>
              <w:bottom w:val="single" w:sz="4" w:space="0" w:color="auto"/>
              <w:right w:val="single" w:sz="4" w:space="0" w:color="auto"/>
            </w:tcBorders>
            <w:shd w:val="clear" w:color="auto" w:fill="auto"/>
            <w:vAlign w:val="bottom"/>
          </w:tcPr>
          <w:p w:rsidR="00F21928" w:rsidRPr="005D648A" w:rsidRDefault="0025329F" w:rsidP="00F91A73">
            <w:pPr>
              <w:pStyle w:val="TX-TableText"/>
              <w:tabs>
                <w:tab w:val="decimal" w:pos="360"/>
              </w:tabs>
              <w:rPr>
                <w:rFonts w:ascii="Garamond" w:hAnsi="Garamond"/>
              </w:rPr>
            </w:pPr>
            <w:r>
              <w:rPr>
                <w:rFonts w:ascii="Garamond" w:hAnsi="Garamond"/>
              </w:rPr>
              <w:t>6.4</w:t>
            </w:r>
            <w:r w:rsidR="00F21928" w:rsidRPr="005D648A">
              <w:rPr>
                <w:rFonts w:ascii="Garamond" w:hAnsi="Garamond"/>
              </w:rPr>
              <w:t>%</w:t>
            </w:r>
          </w:p>
        </w:tc>
        <w:tc>
          <w:tcPr>
            <w:tcW w:w="900" w:type="dxa"/>
            <w:tcBorders>
              <w:top w:val="single" w:sz="4" w:space="0" w:color="auto"/>
              <w:left w:val="single" w:sz="4" w:space="0" w:color="auto"/>
              <w:bottom w:val="single" w:sz="4" w:space="0" w:color="auto"/>
            </w:tcBorders>
            <w:shd w:val="clear" w:color="auto" w:fill="auto"/>
            <w:vAlign w:val="bottom"/>
          </w:tcPr>
          <w:p w:rsidR="00F21928" w:rsidRPr="005D648A" w:rsidRDefault="00F21928">
            <w:pPr>
              <w:pStyle w:val="TX-TableText"/>
              <w:tabs>
                <w:tab w:val="decimal" w:pos="360"/>
              </w:tabs>
              <w:rPr>
                <w:rFonts w:ascii="Garamond" w:hAnsi="Garamond"/>
              </w:rPr>
            </w:pPr>
            <w:r>
              <w:rPr>
                <w:rFonts w:ascii="Garamond" w:hAnsi="Garamond"/>
              </w:rPr>
              <w:t>5.5</w:t>
            </w:r>
            <w:r w:rsidRPr="005D648A">
              <w:rPr>
                <w:rFonts w:ascii="Garamond" w:hAnsi="Garamond"/>
              </w:rPr>
              <w:t>%</w:t>
            </w:r>
          </w:p>
        </w:tc>
        <w:tc>
          <w:tcPr>
            <w:tcW w:w="900" w:type="dxa"/>
            <w:tcBorders>
              <w:top w:val="single" w:sz="4" w:space="0" w:color="auto"/>
              <w:bottom w:val="single" w:sz="4" w:space="0" w:color="auto"/>
            </w:tcBorders>
            <w:shd w:val="clear" w:color="auto" w:fill="auto"/>
            <w:vAlign w:val="bottom"/>
          </w:tcPr>
          <w:p w:rsidR="00F21928" w:rsidRPr="005D648A" w:rsidRDefault="0025329F" w:rsidP="00F91A73">
            <w:pPr>
              <w:pStyle w:val="TX-TableText"/>
              <w:tabs>
                <w:tab w:val="decimal" w:pos="360"/>
              </w:tabs>
              <w:rPr>
                <w:rFonts w:ascii="Garamond" w:hAnsi="Garamond"/>
              </w:rPr>
            </w:pPr>
            <w:r>
              <w:rPr>
                <w:rFonts w:ascii="Garamond" w:hAnsi="Garamond"/>
              </w:rPr>
              <w:t>6.3</w:t>
            </w:r>
            <w:r w:rsidR="00F21928" w:rsidRPr="005D648A">
              <w:rPr>
                <w:rFonts w:ascii="Garamond" w:hAnsi="Garamond"/>
              </w:rPr>
              <w:t>%</w:t>
            </w:r>
          </w:p>
        </w:tc>
        <w:tc>
          <w:tcPr>
            <w:tcW w:w="900" w:type="dxa"/>
            <w:tcBorders>
              <w:top w:val="single" w:sz="4" w:space="0" w:color="auto"/>
              <w:bottom w:val="single" w:sz="4" w:space="0" w:color="auto"/>
              <w:right w:val="single" w:sz="4" w:space="0" w:color="auto"/>
            </w:tcBorders>
            <w:shd w:val="clear" w:color="auto" w:fill="auto"/>
            <w:vAlign w:val="bottom"/>
          </w:tcPr>
          <w:p w:rsidR="00F21928" w:rsidRPr="005D648A" w:rsidRDefault="0025329F" w:rsidP="00F91A73">
            <w:pPr>
              <w:pStyle w:val="TX-TableText"/>
              <w:tabs>
                <w:tab w:val="decimal" w:pos="360"/>
              </w:tabs>
              <w:rPr>
                <w:rFonts w:ascii="Garamond" w:hAnsi="Garamond"/>
              </w:rPr>
            </w:pPr>
            <w:r>
              <w:rPr>
                <w:rFonts w:ascii="Garamond" w:hAnsi="Garamond"/>
              </w:rPr>
              <w:t>6.6</w:t>
            </w:r>
            <w:r w:rsidR="00F21928" w:rsidRPr="005D648A">
              <w:rPr>
                <w:rFonts w:ascii="Garamond" w:hAnsi="Garamond"/>
              </w:rPr>
              <w:t>%</w:t>
            </w:r>
          </w:p>
        </w:tc>
        <w:tc>
          <w:tcPr>
            <w:tcW w:w="990" w:type="dxa"/>
            <w:tcBorders>
              <w:top w:val="single" w:sz="4" w:space="0" w:color="auto"/>
              <w:left w:val="single" w:sz="4" w:space="0" w:color="auto"/>
              <w:bottom w:val="single" w:sz="4" w:space="0" w:color="auto"/>
            </w:tcBorders>
            <w:shd w:val="clear" w:color="auto" w:fill="auto"/>
            <w:vAlign w:val="bottom"/>
          </w:tcPr>
          <w:p w:rsidR="00F21928" w:rsidRPr="005D648A" w:rsidRDefault="00F21928" w:rsidP="00F91A73">
            <w:pPr>
              <w:pStyle w:val="TX-TableText"/>
              <w:tabs>
                <w:tab w:val="decimal" w:pos="360"/>
              </w:tabs>
              <w:rPr>
                <w:rFonts w:ascii="Garamond" w:hAnsi="Garamond"/>
              </w:rPr>
            </w:pPr>
            <w:r>
              <w:rPr>
                <w:rFonts w:ascii="Garamond" w:hAnsi="Garamond"/>
              </w:rPr>
              <w:t>6.3</w:t>
            </w:r>
            <w:r w:rsidRPr="005D648A">
              <w:rPr>
                <w:rFonts w:ascii="Garamond" w:hAnsi="Garamond"/>
              </w:rPr>
              <w:t>%</w:t>
            </w:r>
          </w:p>
        </w:tc>
        <w:tc>
          <w:tcPr>
            <w:tcW w:w="900" w:type="dxa"/>
            <w:tcBorders>
              <w:top w:val="single" w:sz="4" w:space="0" w:color="auto"/>
              <w:bottom w:val="single" w:sz="4" w:space="0" w:color="auto"/>
            </w:tcBorders>
            <w:shd w:val="clear" w:color="auto" w:fill="auto"/>
            <w:vAlign w:val="bottom"/>
          </w:tcPr>
          <w:p w:rsidR="00F21928" w:rsidRPr="005D648A" w:rsidRDefault="0025329F" w:rsidP="00F91A73">
            <w:pPr>
              <w:pStyle w:val="TX-TableText"/>
              <w:tabs>
                <w:tab w:val="decimal" w:pos="360"/>
              </w:tabs>
              <w:rPr>
                <w:rFonts w:ascii="Garamond" w:hAnsi="Garamond"/>
              </w:rPr>
            </w:pPr>
            <w:r>
              <w:rPr>
                <w:rFonts w:ascii="Garamond" w:hAnsi="Garamond"/>
              </w:rPr>
              <w:t>7.2</w:t>
            </w:r>
            <w:r w:rsidR="00F21928" w:rsidRPr="005D648A">
              <w:rPr>
                <w:rFonts w:ascii="Garamond" w:hAnsi="Garamond"/>
              </w:rPr>
              <w:t>%</w:t>
            </w:r>
          </w:p>
        </w:tc>
        <w:tc>
          <w:tcPr>
            <w:tcW w:w="900" w:type="dxa"/>
            <w:tcBorders>
              <w:top w:val="single" w:sz="4" w:space="0" w:color="auto"/>
              <w:bottom w:val="single" w:sz="4" w:space="0" w:color="auto"/>
            </w:tcBorders>
            <w:shd w:val="clear" w:color="auto" w:fill="auto"/>
            <w:vAlign w:val="bottom"/>
          </w:tcPr>
          <w:p w:rsidR="00F21928" w:rsidRPr="005D648A" w:rsidRDefault="0025329F" w:rsidP="00F91A73">
            <w:pPr>
              <w:pStyle w:val="TX-TableText"/>
              <w:tabs>
                <w:tab w:val="decimal" w:pos="360"/>
              </w:tabs>
              <w:rPr>
                <w:rFonts w:ascii="Garamond" w:hAnsi="Garamond"/>
              </w:rPr>
            </w:pPr>
            <w:r>
              <w:rPr>
                <w:rFonts w:ascii="Garamond" w:hAnsi="Garamond"/>
              </w:rPr>
              <w:t>7.5</w:t>
            </w:r>
            <w:r w:rsidR="00F21928" w:rsidRPr="005D648A">
              <w:rPr>
                <w:rFonts w:ascii="Garamond" w:hAnsi="Garamond"/>
              </w:rPr>
              <w:t>%</w:t>
            </w:r>
          </w:p>
        </w:tc>
      </w:tr>
      <w:tr w:rsidR="00F1627D" w:rsidRPr="005D648A" w:rsidTr="00600F0A">
        <w:trPr>
          <w:cantSplit/>
        </w:trPr>
        <w:tc>
          <w:tcPr>
            <w:tcW w:w="1170" w:type="dxa"/>
            <w:tcBorders>
              <w:top w:val="single" w:sz="4" w:space="0" w:color="auto"/>
              <w:bottom w:val="single" w:sz="4" w:space="0" w:color="auto"/>
            </w:tcBorders>
          </w:tcPr>
          <w:p w:rsidR="00F21928" w:rsidRPr="005D648A" w:rsidRDefault="001A30EB" w:rsidP="00F91A73">
            <w:pPr>
              <w:pStyle w:val="TX-TableText"/>
              <w:keepNext/>
              <w:keepLines/>
              <w:tabs>
                <w:tab w:val="decimal" w:pos="648"/>
              </w:tabs>
              <w:rPr>
                <w:rFonts w:ascii="Garamond" w:hAnsi="Garamond"/>
              </w:rPr>
            </w:pPr>
            <w:r>
              <w:rPr>
                <w:rFonts w:ascii="Garamond" w:hAnsi="Garamond"/>
              </w:rPr>
              <w:t>FM EBT users (n=</w:t>
            </w:r>
            <w:r w:rsidR="0025329F">
              <w:rPr>
                <w:rFonts w:ascii="Garamond" w:hAnsi="Garamond"/>
              </w:rPr>
              <w:t>1,700</w:t>
            </w:r>
            <w:r>
              <w:rPr>
                <w:rFonts w:ascii="Garamond" w:hAnsi="Garamond"/>
              </w:rPr>
              <w:t>)</w:t>
            </w:r>
          </w:p>
        </w:tc>
        <w:tc>
          <w:tcPr>
            <w:tcW w:w="1080" w:type="dxa"/>
            <w:tcBorders>
              <w:top w:val="single" w:sz="4" w:space="0" w:color="auto"/>
              <w:bottom w:val="single" w:sz="4" w:space="0" w:color="auto"/>
              <w:right w:val="single" w:sz="4" w:space="0" w:color="auto"/>
            </w:tcBorders>
            <w:shd w:val="clear" w:color="auto" w:fill="auto"/>
            <w:vAlign w:val="bottom"/>
          </w:tcPr>
          <w:p w:rsidR="00F21928" w:rsidRPr="005D648A" w:rsidRDefault="001A30EB" w:rsidP="00F91A73">
            <w:pPr>
              <w:pStyle w:val="TX-TableText"/>
              <w:keepNext/>
              <w:keepLines/>
              <w:tabs>
                <w:tab w:val="decimal" w:pos="648"/>
              </w:tabs>
              <w:rPr>
                <w:rFonts w:ascii="Garamond" w:hAnsi="Garamond"/>
              </w:rPr>
            </w:pPr>
            <w:r>
              <w:rPr>
                <w:rFonts w:ascii="Garamond" w:hAnsi="Garamond"/>
              </w:rPr>
              <w:t>FM EBT nonusers (n=</w:t>
            </w:r>
            <w:r w:rsidR="0025329F">
              <w:rPr>
                <w:rFonts w:ascii="Garamond" w:hAnsi="Garamond"/>
              </w:rPr>
              <w:t>2,0</w:t>
            </w:r>
            <w:r w:rsidR="00F21928" w:rsidRPr="005D648A">
              <w:rPr>
                <w:rFonts w:ascii="Garamond" w:hAnsi="Garamond"/>
              </w:rPr>
              <w:t>00</w:t>
            </w:r>
            <w:r>
              <w:rPr>
                <w:rFonts w:ascii="Garamond" w:hAnsi="Garamond"/>
              </w:rPr>
              <w:t>)</w:t>
            </w:r>
          </w:p>
        </w:tc>
        <w:tc>
          <w:tcPr>
            <w:tcW w:w="873" w:type="dxa"/>
            <w:tcBorders>
              <w:top w:val="single" w:sz="4" w:space="0" w:color="auto"/>
              <w:left w:val="single" w:sz="4" w:space="0" w:color="auto"/>
              <w:bottom w:val="single" w:sz="4" w:space="0" w:color="auto"/>
            </w:tcBorders>
            <w:shd w:val="clear" w:color="auto" w:fill="auto"/>
            <w:vAlign w:val="bottom"/>
          </w:tcPr>
          <w:p w:rsidR="00F21928" w:rsidRPr="00C83C97" w:rsidRDefault="00AB2A0D" w:rsidP="00F91A73">
            <w:pPr>
              <w:pStyle w:val="TX-TableText"/>
              <w:tabs>
                <w:tab w:val="decimal" w:pos="360"/>
              </w:tabs>
              <w:rPr>
                <w:rFonts w:ascii="Garamond" w:hAnsi="Garamond"/>
                <w:highlight w:val="yellow"/>
              </w:rPr>
            </w:pPr>
            <w:r w:rsidRPr="00AB2A0D">
              <w:rPr>
                <w:rFonts w:ascii="Garamond" w:hAnsi="Garamond"/>
              </w:rPr>
              <w:t>3.6</w:t>
            </w:r>
            <w:r w:rsidR="00F21928" w:rsidRPr="0061610B">
              <w:rPr>
                <w:rFonts w:ascii="Garamond" w:hAnsi="Garamond"/>
              </w:rPr>
              <w:t>%</w:t>
            </w:r>
          </w:p>
        </w:tc>
        <w:tc>
          <w:tcPr>
            <w:tcW w:w="927" w:type="dxa"/>
            <w:tcBorders>
              <w:top w:val="single" w:sz="4" w:space="0" w:color="auto"/>
              <w:bottom w:val="single" w:sz="4" w:space="0" w:color="auto"/>
            </w:tcBorders>
            <w:shd w:val="clear" w:color="auto" w:fill="auto"/>
            <w:vAlign w:val="bottom"/>
          </w:tcPr>
          <w:p w:rsidR="00F21928" w:rsidRPr="00C83C97" w:rsidRDefault="00AB2A0D" w:rsidP="00F91A73">
            <w:pPr>
              <w:pStyle w:val="TX-TableText"/>
              <w:tabs>
                <w:tab w:val="decimal" w:pos="360"/>
              </w:tabs>
              <w:rPr>
                <w:rFonts w:ascii="Garamond" w:hAnsi="Garamond"/>
                <w:highlight w:val="yellow"/>
              </w:rPr>
            </w:pPr>
            <w:r w:rsidRPr="00AB2A0D">
              <w:rPr>
                <w:rFonts w:ascii="Garamond" w:hAnsi="Garamond"/>
              </w:rPr>
              <w:t>4.1</w:t>
            </w:r>
            <w:r w:rsidR="00F21928" w:rsidRPr="0061610B">
              <w:rPr>
                <w:rFonts w:ascii="Garamond" w:hAnsi="Garamond"/>
              </w:rPr>
              <w:t>%</w:t>
            </w:r>
          </w:p>
        </w:tc>
        <w:tc>
          <w:tcPr>
            <w:tcW w:w="900" w:type="dxa"/>
            <w:tcBorders>
              <w:top w:val="single" w:sz="4" w:space="0" w:color="auto"/>
              <w:bottom w:val="single" w:sz="4" w:space="0" w:color="auto"/>
              <w:right w:val="single" w:sz="4" w:space="0" w:color="auto"/>
            </w:tcBorders>
            <w:shd w:val="clear" w:color="auto" w:fill="auto"/>
            <w:vAlign w:val="bottom"/>
          </w:tcPr>
          <w:p w:rsidR="00F21928" w:rsidRPr="00C83C97" w:rsidRDefault="00AB2A0D" w:rsidP="00F91A73">
            <w:pPr>
              <w:pStyle w:val="TX-TableText"/>
              <w:tabs>
                <w:tab w:val="decimal" w:pos="360"/>
              </w:tabs>
              <w:rPr>
                <w:rFonts w:ascii="Garamond" w:hAnsi="Garamond"/>
                <w:highlight w:val="yellow"/>
              </w:rPr>
            </w:pPr>
            <w:r w:rsidRPr="00AB2A0D">
              <w:rPr>
                <w:rFonts w:ascii="Garamond" w:hAnsi="Garamond"/>
              </w:rPr>
              <w:t>4.3</w:t>
            </w:r>
            <w:r w:rsidR="00F21928" w:rsidRPr="00D739D0">
              <w:rPr>
                <w:rFonts w:ascii="Garamond" w:hAnsi="Garamond"/>
              </w:rPr>
              <w:t>%</w:t>
            </w:r>
          </w:p>
        </w:tc>
        <w:tc>
          <w:tcPr>
            <w:tcW w:w="900" w:type="dxa"/>
            <w:tcBorders>
              <w:top w:val="single" w:sz="4" w:space="0" w:color="auto"/>
              <w:left w:val="single" w:sz="4" w:space="0" w:color="auto"/>
              <w:bottom w:val="single" w:sz="4" w:space="0" w:color="auto"/>
            </w:tcBorders>
            <w:shd w:val="clear" w:color="auto" w:fill="auto"/>
            <w:vAlign w:val="bottom"/>
          </w:tcPr>
          <w:p w:rsidR="00F21928" w:rsidRPr="00C83C97" w:rsidRDefault="00AB2A0D" w:rsidP="00F91A73">
            <w:pPr>
              <w:pStyle w:val="TX-TableText"/>
              <w:tabs>
                <w:tab w:val="decimal" w:pos="360"/>
              </w:tabs>
              <w:rPr>
                <w:rFonts w:ascii="Garamond" w:hAnsi="Garamond"/>
                <w:highlight w:val="yellow"/>
              </w:rPr>
            </w:pPr>
            <w:r w:rsidRPr="00AB2A0D">
              <w:rPr>
                <w:rFonts w:ascii="Garamond" w:hAnsi="Garamond"/>
              </w:rPr>
              <w:t>3.8</w:t>
            </w:r>
            <w:r w:rsidR="00F21928" w:rsidRPr="0061610B">
              <w:rPr>
                <w:rFonts w:ascii="Garamond" w:hAnsi="Garamond"/>
              </w:rPr>
              <w:t>%</w:t>
            </w:r>
          </w:p>
        </w:tc>
        <w:tc>
          <w:tcPr>
            <w:tcW w:w="900" w:type="dxa"/>
            <w:tcBorders>
              <w:top w:val="single" w:sz="4" w:space="0" w:color="auto"/>
              <w:bottom w:val="single" w:sz="4" w:space="0" w:color="auto"/>
            </w:tcBorders>
            <w:shd w:val="clear" w:color="auto" w:fill="auto"/>
            <w:vAlign w:val="bottom"/>
          </w:tcPr>
          <w:p w:rsidR="00F21928" w:rsidRPr="00C83C97" w:rsidRDefault="00AB2A0D" w:rsidP="00F91A73">
            <w:pPr>
              <w:pStyle w:val="TX-TableText"/>
              <w:tabs>
                <w:tab w:val="decimal" w:pos="360"/>
              </w:tabs>
              <w:rPr>
                <w:rFonts w:ascii="Garamond" w:hAnsi="Garamond"/>
                <w:highlight w:val="yellow"/>
              </w:rPr>
            </w:pPr>
            <w:r w:rsidRPr="00AB2A0D">
              <w:rPr>
                <w:rFonts w:ascii="Garamond" w:hAnsi="Garamond"/>
              </w:rPr>
              <w:t>4.4</w:t>
            </w:r>
            <w:r w:rsidR="00F21928" w:rsidRPr="0061610B">
              <w:rPr>
                <w:rFonts w:ascii="Garamond" w:hAnsi="Garamond"/>
              </w:rPr>
              <w:t>%</w:t>
            </w:r>
          </w:p>
        </w:tc>
        <w:tc>
          <w:tcPr>
            <w:tcW w:w="900" w:type="dxa"/>
            <w:tcBorders>
              <w:top w:val="single" w:sz="4" w:space="0" w:color="auto"/>
              <w:bottom w:val="single" w:sz="4" w:space="0" w:color="auto"/>
              <w:right w:val="single" w:sz="4" w:space="0" w:color="auto"/>
            </w:tcBorders>
            <w:shd w:val="clear" w:color="auto" w:fill="auto"/>
            <w:vAlign w:val="bottom"/>
          </w:tcPr>
          <w:p w:rsidR="00F21928" w:rsidRPr="00C83C97" w:rsidRDefault="00AB2A0D" w:rsidP="00F91A73">
            <w:pPr>
              <w:pStyle w:val="TX-TableText"/>
              <w:tabs>
                <w:tab w:val="decimal" w:pos="360"/>
              </w:tabs>
              <w:rPr>
                <w:rFonts w:ascii="Garamond" w:hAnsi="Garamond"/>
                <w:highlight w:val="yellow"/>
              </w:rPr>
            </w:pPr>
            <w:r w:rsidRPr="00AB2A0D">
              <w:rPr>
                <w:rFonts w:ascii="Garamond" w:hAnsi="Garamond"/>
              </w:rPr>
              <w:t>4.6</w:t>
            </w:r>
            <w:r w:rsidR="00F21928" w:rsidRPr="00D739D0">
              <w:rPr>
                <w:rFonts w:ascii="Garamond" w:hAnsi="Garamond"/>
              </w:rPr>
              <w:t>%</w:t>
            </w:r>
          </w:p>
        </w:tc>
        <w:tc>
          <w:tcPr>
            <w:tcW w:w="990" w:type="dxa"/>
            <w:tcBorders>
              <w:top w:val="single" w:sz="4" w:space="0" w:color="auto"/>
              <w:left w:val="single" w:sz="4" w:space="0" w:color="auto"/>
              <w:bottom w:val="single" w:sz="4" w:space="0" w:color="auto"/>
            </w:tcBorders>
            <w:shd w:val="clear" w:color="auto" w:fill="auto"/>
            <w:vAlign w:val="bottom"/>
          </w:tcPr>
          <w:p w:rsidR="00F21928" w:rsidRPr="00C83C97" w:rsidRDefault="00AB2A0D" w:rsidP="00F91A73">
            <w:pPr>
              <w:pStyle w:val="TX-TableText"/>
              <w:tabs>
                <w:tab w:val="decimal" w:pos="360"/>
              </w:tabs>
              <w:rPr>
                <w:rFonts w:ascii="Garamond" w:hAnsi="Garamond"/>
                <w:highlight w:val="yellow"/>
              </w:rPr>
            </w:pPr>
            <w:r w:rsidRPr="00AB2A0D">
              <w:rPr>
                <w:rFonts w:ascii="Garamond" w:hAnsi="Garamond"/>
              </w:rPr>
              <w:t>4.2</w:t>
            </w:r>
            <w:r w:rsidR="00F21928" w:rsidRPr="0061610B">
              <w:rPr>
                <w:rFonts w:ascii="Garamond" w:hAnsi="Garamond"/>
              </w:rPr>
              <w:t>%</w:t>
            </w:r>
          </w:p>
        </w:tc>
        <w:tc>
          <w:tcPr>
            <w:tcW w:w="900" w:type="dxa"/>
            <w:tcBorders>
              <w:top w:val="single" w:sz="4" w:space="0" w:color="auto"/>
              <w:bottom w:val="single" w:sz="4" w:space="0" w:color="auto"/>
            </w:tcBorders>
            <w:shd w:val="clear" w:color="auto" w:fill="auto"/>
            <w:vAlign w:val="bottom"/>
          </w:tcPr>
          <w:p w:rsidR="00F21928" w:rsidRPr="00C83C97" w:rsidRDefault="00AB2A0D" w:rsidP="00F91A73">
            <w:pPr>
              <w:pStyle w:val="TX-TableText"/>
              <w:tabs>
                <w:tab w:val="decimal" w:pos="360"/>
              </w:tabs>
              <w:rPr>
                <w:rFonts w:ascii="Garamond" w:hAnsi="Garamond"/>
                <w:highlight w:val="yellow"/>
              </w:rPr>
            </w:pPr>
            <w:r w:rsidRPr="00AB2A0D">
              <w:rPr>
                <w:rFonts w:ascii="Garamond" w:hAnsi="Garamond"/>
              </w:rPr>
              <w:t>4.8</w:t>
            </w:r>
            <w:r w:rsidR="00F21928" w:rsidRPr="0061610B">
              <w:rPr>
                <w:rFonts w:ascii="Garamond" w:hAnsi="Garamond"/>
              </w:rPr>
              <w:t>%</w:t>
            </w:r>
          </w:p>
        </w:tc>
        <w:tc>
          <w:tcPr>
            <w:tcW w:w="900" w:type="dxa"/>
            <w:tcBorders>
              <w:top w:val="single" w:sz="4" w:space="0" w:color="auto"/>
              <w:bottom w:val="single" w:sz="4" w:space="0" w:color="auto"/>
            </w:tcBorders>
            <w:shd w:val="clear" w:color="auto" w:fill="auto"/>
            <w:vAlign w:val="bottom"/>
          </w:tcPr>
          <w:p w:rsidR="00F21928" w:rsidRPr="00C83C97" w:rsidRDefault="00AB2A0D" w:rsidP="00F91A73">
            <w:pPr>
              <w:pStyle w:val="TX-TableText"/>
              <w:tabs>
                <w:tab w:val="decimal" w:pos="360"/>
              </w:tabs>
              <w:rPr>
                <w:rFonts w:ascii="Garamond" w:hAnsi="Garamond"/>
                <w:highlight w:val="yellow"/>
              </w:rPr>
            </w:pPr>
            <w:r w:rsidRPr="00AB2A0D">
              <w:rPr>
                <w:rFonts w:ascii="Garamond" w:hAnsi="Garamond"/>
              </w:rPr>
              <w:t>5.0</w:t>
            </w:r>
            <w:r w:rsidR="00F21928" w:rsidRPr="00D739D0">
              <w:rPr>
                <w:rFonts w:ascii="Garamond" w:hAnsi="Garamond"/>
              </w:rPr>
              <w:t>%</w:t>
            </w:r>
          </w:p>
        </w:tc>
      </w:tr>
    </w:tbl>
    <w:p w:rsidR="00997B28" w:rsidRPr="00095DDA" w:rsidDel="00C07CDF" w:rsidRDefault="00997B28" w:rsidP="00997B28">
      <w:pPr>
        <w:pStyle w:val="TF-TblFN"/>
        <w:rPr>
          <w:rFonts w:ascii="Garamond" w:hAnsi="Garamond"/>
        </w:rPr>
      </w:pPr>
      <w:r w:rsidRPr="00095DDA" w:rsidDel="00C07CDF">
        <w:rPr>
          <w:rFonts w:ascii="Garamond" w:hAnsi="Garamond"/>
        </w:rPr>
        <w:t>*</w:t>
      </w:r>
      <w:r w:rsidRPr="00095DDA">
        <w:rPr>
          <w:rFonts w:ascii="Garamond" w:hAnsi="Garamond"/>
        </w:rPr>
        <w:tab/>
      </w:r>
      <w:r w:rsidRPr="00095DDA" w:rsidDel="00C07CDF">
        <w:rPr>
          <w:rFonts w:ascii="Garamond" w:hAnsi="Garamond"/>
        </w:rPr>
        <w:t>Calculations assume a one-sided test with a significance level of 0.05 and power of 0.80.</w:t>
      </w:r>
    </w:p>
    <w:p w:rsidR="006E4A5E" w:rsidRDefault="006E4A5E" w:rsidP="00C80391">
      <w:pPr>
        <w:pStyle w:val="P1-StandPara"/>
      </w:pPr>
    </w:p>
    <w:p w:rsidR="00C80391" w:rsidRDefault="00C80391" w:rsidP="00C80391">
      <w:pPr>
        <w:pStyle w:val="P1-StandPara"/>
      </w:pPr>
    </w:p>
    <w:p w:rsidR="00C80391" w:rsidRDefault="00C80391" w:rsidP="00C80391">
      <w:pPr>
        <w:pStyle w:val="Heading3"/>
      </w:pPr>
      <w:r>
        <w:t>B.2.4</w:t>
      </w:r>
      <w:r w:rsidRPr="0098663D">
        <w:t>.</w:t>
      </w:r>
      <w:r w:rsidRPr="0098663D">
        <w:tab/>
      </w:r>
      <w:r>
        <w:t>Unusual Problems Requiring Specialized Sampling Procedures</w:t>
      </w:r>
    </w:p>
    <w:p w:rsidR="00C80391" w:rsidRDefault="00C80391" w:rsidP="00C80391">
      <w:pPr>
        <w:pStyle w:val="P1-StandPara"/>
      </w:pPr>
      <w:r>
        <w:t>No specialized sampling procedures are involved.</w:t>
      </w:r>
    </w:p>
    <w:p w:rsidR="00C80391" w:rsidRDefault="00C80391" w:rsidP="00C80391">
      <w:pPr>
        <w:pStyle w:val="P1-StandPara"/>
      </w:pPr>
    </w:p>
    <w:p w:rsidR="00C80391" w:rsidRPr="0098663D" w:rsidRDefault="00C80391" w:rsidP="00C80391">
      <w:pPr>
        <w:pStyle w:val="Heading3"/>
      </w:pPr>
      <w:r>
        <w:t>B.2.5</w:t>
      </w:r>
      <w:r w:rsidRPr="0098663D">
        <w:t>.</w:t>
      </w:r>
      <w:r w:rsidRPr="0098663D">
        <w:tab/>
      </w:r>
      <w:r>
        <w:t>Any use of Periodic (less frequent than annual) Data Collection Cycles to Reduce Burden</w:t>
      </w:r>
    </w:p>
    <w:p w:rsidR="00C80391" w:rsidRDefault="00C80391" w:rsidP="00C80391">
      <w:pPr>
        <w:pStyle w:val="P1-StandPara"/>
      </w:pPr>
      <w:r w:rsidRPr="00240A0B">
        <w:t>The study design requires a one-time data collection from respondents.</w:t>
      </w:r>
      <w:r>
        <w:t xml:space="preserve"> </w:t>
      </w:r>
      <w:r w:rsidRPr="00240A0B">
        <w:t>All data collection activities will occur with</w:t>
      </w:r>
      <w:r w:rsidR="007B1CE5">
        <w:t>in a</w:t>
      </w:r>
      <w:r w:rsidRPr="00240A0B">
        <w:t xml:space="preserve"> </w:t>
      </w:r>
      <w:r w:rsidR="000454E6">
        <w:t>3</w:t>
      </w:r>
      <w:r w:rsidRPr="00240A0B">
        <w:t xml:space="preserve"> month period.</w:t>
      </w:r>
    </w:p>
    <w:p w:rsidR="00C80391" w:rsidRDefault="00C80391" w:rsidP="00C80391">
      <w:pPr>
        <w:pStyle w:val="P1-StandPara"/>
      </w:pPr>
    </w:p>
    <w:p w:rsidR="00C80391" w:rsidRPr="00E83B21" w:rsidRDefault="00C80391" w:rsidP="00C80391">
      <w:pPr>
        <w:pStyle w:val="Heading2"/>
      </w:pPr>
      <w:bookmarkStart w:id="60" w:name="_Toc287257054"/>
      <w:bookmarkStart w:id="61" w:name="_Toc287257091"/>
      <w:bookmarkStart w:id="62" w:name="_Toc290021786"/>
      <w:bookmarkStart w:id="63" w:name="_Toc329674999"/>
      <w:r w:rsidRPr="00E83B21">
        <w:lastRenderedPageBreak/>
        <w:t>B.3.</w:t>
      </w:r>
      <w:r w:rsidRPr="00E83B21">
        <w:tab/>
      </w:r>
      <w:bookmarkEnd w:id="60"/>
      <w:bookmarkEnd w:id="61"/>
      <w:bookmarkEnd w:id="62"/>
      <w:r w:rsidRPr="00E83B21">
        <w:t>Describe Methods to Maximize Response Rates and to Deal with Issues of Non-Response.</w:t>
      </w:r>
      <w:bookmarkEnd w:id="63"/>
    </w:p>
    <w:p w:rsidR="00C80391" w:rsidRPr="00E83B21" w:rsidRDefault="00C80391" w:rsidP="00C80391">
      <w:pPr>
        <w:pStyle w:val="Heading2"/>
      </w:pPr>
      <w:r w:rsidRPr="00E83B21">
        <w:tab/>
      </w:r>
      <w:bookmarkStart w:id="64" w:name="_Toc329675000"/>
      <w:r w:rsidRPr="00E83B21">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64"/>
    </w:p>
    <w:p w:rsidR="007B1CE5" w:rsidRDefault="007B1CE5" w:rsidP="007B1CE5">
      <w:pPr>
        <w:pStyle w:val="P1-StandPara"/>
      </w:pPr>
      <w:r w:rsidRPr="0069672B">
        <w:t>By explaining the importance and potential usefulness of the study findings in the introductory letters from FNS, and by implementing a series of follow-up reminders</w:t>
      </w:r>
      <w:r>
        <w:rPr>
          <w:color w:val="FF0000"/>
        </w:rPr>
        <w:t xml:space="preserve"> </w:t>
      </w:r>
      <w:r w:rsidRPr="005B19E9">
        <w:t>with a final attempt to complete the survey</w:t>
      </w:r>
      <w:r w:rsidRPr="0069672B">
        <w:t xml:space="preserve"> by telephone, we expect to achieve an overall survey response rate of </w:t>
      </w:r>
      <w:r>
        <w:rPr>
          <w:rFonts w:cs="Garamond"/>
          <w:color w:val="000000"/>
          <w:szCs w:val="24"/>
        </w:rPr>
        <w:t>80%</w:t>
      </w:r>
      <w:r>
        <w:t xml:space="preserve">. </w:t>
      </w:r>
      <w:r w:rsidRPr="0069672B">
        <w:t>Specific procedures to maximize response rates include:</w:t>
      </w:r>
    </w:p>
    <w:p w:rsidR="007B1CE5" w:rsidRPr="004C4675" w:rsidRDefault="007B1CE5" w:rsidP="007B1CE5">
      <w:pPr>
        <w:pStyle w:val="N1-1stBullet"/>
        <w:spacing w:before="240"/>
      </w:pPr>
      <w:r w:rsidRPr="004C4675">
        <w:t>A cover letter from USDA/FNS (</w:t>
      </w:r>
      <w:r w:rsidR="00B15952" w:rsidRPr="00DF42B7">
        <w:rPr>
          <w:b/>
        </w:rPr>
        <w:t>Appendix A1-A2</w:t>
      </w:r>
      <w:r w:rsidRPr="004C4675">
        <w:t>).</w:t>
      </w:r>
    </w:p>
    <w:p w:rsidR="007B1CE5" w:rsidRPr="004C4675" w:rsidRDefault="009F2B03" w:rsidP="007B1CE5">
      <w:pPr>
        <w:pStyle w:val="N1-1stBullet"/>
      </w:pPr>
      <w:r w:rsidRPr="004C4675">
        <w:t>A</w:t>
      </w:r>
      <w:r w:rsidR="007B1CE5" w:rsidRPr="004C4675">
        <w:t xml:space="preserve"> prepaid incentive included with introductory letter and survey</w:t>
      </w:r>
      <w:r w:rsidR="00F163C9">
        <w:t xml:space="preserve"> (</w:t>
      </w:r>
      <w:r w:rsidR="00F163C9" w:rsidRPr="00F163C9">
        <w:rPr>
          <w:b/>
        </w:rPr>
        <w:t>Appendix B</w:t>
      </w:r>
      <w:r w:rsidR="00F163C9">
        <w:t>).</w:t>
      </w:r>
    </w:p>
    <w:p w:rsidR="009F2B03" w:rsidRPr="004C4675" w:rsidRDefault="009F2B03" w:rsidP="009F2B03">
      <w:pPr>
        <w:pStyle w:val="N1-1stBullet"/>
      </w:pPr>
      <w:r w:rsidRPr="004C4675">
        <w:t>A promissory incentive discussed in introductory letter (</w:t>
      </w:r>
      <w:r w:rsidR="00B15952" w:rsidRPr="00DF42B7">
        <w:rPr>
          <w:b/>
        </w:rPr>
        <w:t xml:space="preserve">Appendix </w:t>
      </w:r>
      <w:r w:rsidR="00E610EF">
        <w:rPr>
          <w:b/>
        </w:rPr>
        <w:t>A</w:t>
      </w:r>
      <w:r w:rsidR="00B15952" w:rsidRPr="00DF42B7">
        <w:rPr>
          <w:b/>
        </w:rPr>
        <w:t>1-</w:t>
      </w:r>
      <w:r w:rsidR="00E610EF">
        <w:rPr>
          <w:b/>
        </w:rPr>
        <w:t>A</w:t>
      </w:r>
      <w:r w:rsidR="00B15952" w:rsidRPr="00DF42B7">
        <w:rPr>
          <w:b/>
        </w:rPr>
        <w:t>2</w:t>
      </w:r>
      <w:r w:rsidR="00B15952" w:rsidRPr="00F163C9">
        <w:t>)</w:t>
      </w:r>
      <w:r w:rsidR="00F163C9" w:rsidRPr="00F163C9">
        <w:t>.</w:t>
      </w:r>
    </w:p>
    <w:p w:rsidR="007B1CE5" w:rsidRPr="004C4675" w:rsidRDefault="007B1CE5" w:rsidP="007B1CE5">
      <w:pPr>
        <w:pStyle w:val="N1-1stBullet"/>
      </w:pPr>
      <w:r w:rsidRPr="004C4675">
        <w:t xml:space="preserve">Two </w:t>
      </w:r>
      <w:r w:rsidR="002D7BF8">
        <w:t>Interactive Voice Response (</w:t>
      </w:r>
      <w:r w:rsidR="009F2B03" w:rsidRPr="004C4675">
        <w:t>IVR</w:t>
      </w:r>
      <w:r w:rsidR="002D7BF8">
        <w:t>)</w:t>
      </w:r>
      <w:r w:rsidR="009F2B03" w:rsidRPr="004C4675">
        <w:t xml:space="preserve"> </w:t>
      </w:r>
      <w:r w:rsidR="00924581">
        <w:t>calls to respondents who have not completed the survey after two weeks of the first and second survey mailing (</w:t>
      </w:r>
      <w:r w:rsidR="00924581" w:rsidRPr="00DF42B7">
        <w:rPr>
          <w:b/>
        </w:rPr>
        <w:t>Appendix</w:t>
      </w:r>
      <w:r w:rsidR="00924581">
        <w:t xml:space="preserve"> </w:t>
      </w:r>
      <w:r w:rsidR="00B15952" w:rsidRPr="00DF42B7">
        <w:rPr>
          <w:b/>
        </w:rPr>
        <w:t>D5</w:t>
      </w:r>
      <w:r w:rsidR="00E610EF">
        <w:rPr>
          <w:b/>
        </w:rPr>
        <w:t>-D6</w:t>
      </w:r>
      <w:r w:rsidRPr="004C4675">
        <w:t>).</w:t>
      </w:r>
    </w:p>
    <w:p w:rsidR="007B1CE5" w:rsidRPr="004C4675" w:rsidRDefault="00924581" w:rsidP="007B1CE5">
      <w:pPr>
        <w:pStyle w:val="N1-1stBullet"/>
      </w:pPr>
      <w:r>
        <w:t>Two data collection modes (mail or telephone) for participants’ convenience</w:t>
      </w:r>
    </w:p>
    <w:p w:rsidR="007B1CE5" w:rsidRPr="004C4675" w:rsidRDefault="00924581" w:rsidP="007B1CE5">
      <w:pPr>
        <w:pStyle w:val="N1-1stBullet"/>
      </w:pPr>
      <w:r>
        <w:t xml:space="preserve">Telephone follow-up interview for non-responder </w:t>
      </w:r>
      <w:r w:rsidR="00B15952" w:rsidRPr="00DF42B7">
        <w:rPr>
          <w:b/>
        </w:rPr>
        <w:t>(Appendix D1-D2</w:t>
      </w:r>
      <w:r w:rsidR="007B1CE5" w:rsidRPr="004C4675">
        <w:t>).</w:t>
      </w:r>
    </w:p>
    <w:p w:rsidR="007B1CE5" w:rsidRPr="004C4675" w:rsidRDefault="00924581" w:rsidP="007B1CE5">
      <w:pPr>
        <w:pStyle w:val="N1-1stBullet"/>
      </w:pPr>
      <w:r>
        <w:t>Make up to 9 unsuccessful call attempts to a number without reaching someone before considering whether to treat the case as “unable to contact.”</w:t>
      </w:r>
    </w:p>
    <w:p w:rsidR="007B1CE5" w:rsidRPr="00DF42B7" w:rsidRDefault="00924581" w:rsidP="007B1CE5">
      <w:pPr>
        <w:pStyle w:val="N1-1stBullet"/>
        <w:rPr>
          <w:b/>
        </w:rPr>
      </w:pPr>
      <w:r>
        <w:t>Implement refusal conversion efforts for first-time refusals and use interviewers who are skilled at refusal conversion and will not unduly pressure the respondent (</w:t>
      </w:r>
      <w:r w:rsidRPr="00DF42B7">
        <w:rPr>
          <w:b/>
        </w:rPr>
        <w:t>Appendix D3-D4</w:t>
      </w:r>
      <w:r w:rsidR="007B1CE5" w:rsidRPr="004C4675">
        <w:t>).</w:t>
      </w:r>
    </w:p>
    <w:p w:rsidR="007B1CE5" w:rsidRPr="005B19E9" w:rsidRDefault="007B1CE5" w:rsidP="007B1CE5">
      <w:pPr>
        <w:pStyle w:val="N1-1stBullet"/>
      </w:pPr>
      <w:r w:rsidRPr="005B19E9">
        <w:t>Provide a toll-free number for respondents to call to verify the study</w:t>
      </w:r>
      <w:r>
        <w:t>’</w:t>
      </w:r>
      <w:r w:rsidRPr="005B19E9">
        <w:t>s legitimacy or to ask other questions about the study.</w:t>
      </w:r>
    </w:p>
    <w:p w:rsidR="007B1CE5" w:rsidRDefault="007B1CE5" w:rsidP="007B1CE5">
      <w:pPr>
        <w:pStyle w:val="N1-1stBullet"/>
      </w:pPr>
      <w:r w:rsidRPr="00141DBF">
        <w:t xml:space="preserve">Implement standardized training for </w:t>
      </w:r>
      <w:r>
        <w:t xml:space="preserve">telephone </w:t>
      </w:r>
      <w:r w:rsidRPr="00141DBF">
        <w:t>data collectors. The interviewer training will focus on basic skills of telephone interviewing, use of CATI platforms for interviews.</w:t>
      </w:r>
    </w:p>
    <w:p w:rsidR="00C80391" w:rsidRPr="00AD629E" w:rsidRDefault="00C80391" w:rsidP="00C80391">
      <w:pPr>
        <w:pStyle w:val="P1-StandPara"/>
      </w:pPr>
    </w:p>
    <w:p w:rsidR="00C80391" w:rsidRPr="00E83B21" w:rsidRDefault="00C80391" w:rsidP="00C80391">
      <w:pPr>
        <w:pStyle w:val="Heading2"/>
      </w:pPr>
      <w:bookmarkStart w:id="65" w:name="_Toc287257055"/>
      <w:bookmarkStart w:id="66" w:name="_Toc287257092"/>
      <w:bookmarkStart w:id="67" w:name="_Toc290021787"/>
      <w:bookmarkStart w:id="68" w:name="_Toc329675001"/>
      <w:r w:rsidRPr="00E83B21">
        <w:lastRenderedPageBreak/>
        <w:t>B.4.</w:t>
      </w:r>
      <w:r w:rsidRPr="00E83B21">
        <w:tab/>
        <w:t>Describe any Test of Procedures or Methods to be Undertaken</w:t>
      </w:r>
      <w:bookmarkEnd w:id="65"/>
      <w:bookmarkEnd w:id="66"/>
      <w:bookmarkEnd w:id="67"/>
      <w:r w:rsidRPr="00E83B21">
        <w:t>.</w:t>
      </w:r>
      <w:bookmarkEnd w:id="68"/>
    </w:p>
    <w:p w:rsidR="00C80391" w:rsidRPr="00E83B21" w:rsidRDefault="00C80391" w:rsidP="00C80391">
      <w:pPr>
        <w:pStyle w:val="Heading2"/>
      </w:pPr>
      <w:r w:rsidRPr="00E83B21">
        <w:tab/>
      </w:r>
      <w:bookmarkStart w:id="69" w:name="_Toc329675002"/>
      <w:r w:rsidRPr="00E83B21">
        <w:t>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69"/>
    </w:p>
    <w:p w:rsidR="007B1CE5" w:rsidRDefault="007B1CE5" w:rsidP="007B1CE5">
      <w:pPr>
        <w:pStyle w:val="L1-FlLSp12"/>
        <w:spacing w:line="480" w:lineRule="auto"/>
      </w:pPr>
      <w:r>
        <w:t xml:space="preserve">The survey instrument </w:t>
      </w:r>
      <w:r w:rsidR="0041301A">
        <w:t>has gone under two</w:t>
      </w:r>
      <w:r>
        <w:t xml:space="preserve"> </w:t>
      </w:r>
      <w:r w:rsidR="0041301A">
        <w:t xml:space="preserve">rounds of </w:t>
      </w:r>
      <w:r>
        <w:t xml:space="preserve">cognitive testing with </w:t>
      </w:r>
      <w:r w:rsidR="00A95F88">
        <w:t>24</w:t>
      </w:r>
      <w:r>
        <w:t xml:space="preserve"> </w:t>
      </w:r>
      <w:r w:rsidRPr="00A95F88">
        <w:rPr>
          <w:szCs w:val="24"/>
        </w:rPr>
        <w:t>SNAP participants</w:t>
      </w:r>
      <w:r w:rsidR="00A95F88">
        <w:rPr>
          <w:szCs w:val="24"/>
        </w:rPr>
        <w:t>, in which n</w:t>
      </w:r>
      <w:r w:rsidR="00A95F88" w:rsidRPr="00A95F88">
        <w:rPr>
          <w:szCs w:val="24"/>
        </w:rPr>
        <w:t>o more than 9 respondents were asked the same question.</w:t>
      </w:r>
      <w:r w:rsidR="00A95F88">
        <w:t xml:space="preserve"> </w:t>
      </w:r>
      <w:r>
        <w:t>In the first round, Westat cognitively test</w:t>
      </w:r>
      <w:r w:rsidR="004C4675">
        <w:t>ed</w:t>
      </w:r>
      <w:r>
        <w:t xml:space="preserve"> the </w:t>
      </w:r>
      <w:r w:rsidR="004C4675">
        <w:t>survey</w:t>
      </w:r>
      <w:r>
        <w:t xml:space="preserve"> with both users and nonusers for question flow and understandability. Users are defined as those who have been identified to have used their SNAP/EBT card at a specified farmer’s market.  Non-users are defined as those who have not been identified to have used their SNAP/EBT card at a specified farmer’s market.</w:t>
      </w:r>
      <w:r w:rsidR="0041301A">
        <w:t xml:space="preserve"> </w:t>
      </w:r>
      <w:r w:rsidRPr="002B58C6">
        <w:t xml:space="preserve">Based on the findings from </w:t>
      </w:r>
      <w:r w:rsidR="004C4675">
        <w:t>r</w:t>
      </w:r>
      <w:r w:rsidRPr="002B58C6">
        <w:t xml:space="preserve">ound </w:t>
      </w:r>
      <w:r w:rsidR="004C4675">
        <w:t>o</w:t>
      </w:r>
      <w:r w:rsidRPr="002B58C6">
        <w:t xml:space="preserve">ne, the survey </w:t>
      </w:r>
      <w:r w:rsidR="0041301A">
        <w:t xml:space="preserve">was revised to address concerns regarding the wording of </w:t>
      </w:r>
      <w:r w:rsidRPr="002B58C6">
        <w:t>questions or instructions that proved difficult for participants to comprehend.  T</w:t>
      </w:r>
      <w:r w:rsidR="0041301A">
        <w:t xml:space="preserve">hen, </w:t>
      </w:r>
      <w:r w:rsidRPr="002B58C6">
        <w:t>a second round of cognitive testing use</w:t>
      </w:r>
      <w:r w:rsidR="004C4675">
        <w:t>d</w:t>
      </w:r>
      <w:r w:rsidRPr="002B58C6">
        <w:t xml:space="preserve"> the revised survey instruments to ensure that the survey can be administered by participants with relative ease.  </w:t>
      </w:r>
      <w:r w:rsidR="0041301A">
        <w:t xml:space="preserve">The cognitive testing was conducted with both English and Spanish speaking </w:t>
      </w:r>
      <w:r w:rsidR="001748F6">
        <w:t>participants</w:t>
      </w:r>
      <w:r w:rsidR="0041301A">
        <w:t xml:space="preserve">. </w:t>
      </w:r>
      <w:r>
        <w:t>Each cognitive interview t</w:t>
      </w:r>
      <w:r w:rsidR="001748F6">
        <w:t>ook</w:t>
      </w:r>
      <w:r>
        <w:t xml:space="preserve"> approximately</w:t>
      </w:r>
      <w:r w:rsidR="001748F6">
        <w:t xml:space="preserve"> 60 minutes and the participants wer</w:t>
      </w:r>
      <w:r>
        <w:t xml:space="preserve">e given $50 </w:t>
      </w:r>
      <w:r w:rsidR="004C4675">
        <w:t xml:space="preserve">as a token of </w:t>
      </w:r>
      <w:r>
        <w:t>appreciation.</w:t>
      </w:r>
    </w:p>
    <w:p w:rsidR="00C80391" w:rsidRDefault="00C80391" w:rsidP="00C80391">
      <w:pPr>
        <w:pStyle w:val="P1-StandPara"/>
      </w:pPr>
    </w:p>
    <w:p w:rsidR="00C80391" w:rsidRDefault="00C80391" w:rsidP="00C80391">
      <w:pPr>
        <w:pStyle w:val="Heading2"/>
      </w:pPr>
      <w:bookmarkStart w:id="70" w:name="_Toc287257056"/>
      <w:bookmarkStart w:id="71" w:name="_Toc287257093"/>
      <w:bookmarkStart w:id="72" w:name="_Toc290021788"/>
      <w:bookmarkStart w:id="73" w:name="_Toc329675003"/>
      <w:r w:rsidRPr="00E83B21">
        <w:lastRenderedPageBreak/>
        <w:t>B.5.</w:t>
      </w:r>
      <w:r w:rsidRPr="00E83B21">
        <w:tab/>
      </w:r>
      <w:bookmarkEnd w:id="70"/>
      <w:bookmarkEnd w:id="71"/>
      <w:bookmarkEnd w:id="72"/>
      <w:r w:rsidRPr="00E83B21">
        <w:t>Provide the Name and Telephone Number of Individuals Consulted on Statistical Aspects of the Design and the Name of the Agency, Unit, Contractor(s), Grantee(s), or Other Person(s) Who Will Actually Collect and/or Analyze the Information for the Agency.</w:t>
      </w:r>
      <w:bookmarkEnd w:id="73"/>
    </w:p>
    <w:p w:rsidR="00597A23" w:rsidRDefault="00597A23" w:rsidP="00597A23">
      <w:pPr>
        <w:pStyle w:val="N1-1stBullet"/>
        <w:numPr>
          <w:ilvl w:val="0"/>
          <w:numId w:val="0"/>
        </w:numPr>
        <w:spacing w:line="480" w:lineRule="auto"/>
        <w:ind w:left="576"/>
      </w:pPr>
      <w:r w:rsidRPr="001109C6">
        <w:t xml:space="preserve">The information has been reviewed by </w:t>
      </w:r>
      <w:r>
        <w:t xml:space="preserve">Leanne Tang, 202-720-6957, </w:t>
      </w:r>
      <w:r w:rsidRPr="001109C6">
        <w:t>of the Methods Branch of USDA’s National Agricultural Statistics Service (NASS), with special reference to the statistical procedures</w:t>
      </w:r>
      <w:r>
        <w:t xml:space="preserve">.  See the NASS comments in </w:t>
      </w:r>
      <w:r w:rsidRPr="00FA7AE8">
        <w:rPr>
          <w:b/>
        </w:rPr>
        <w:t>Appendix F</w:t>
      </w:r>
      <w:r>
        <w:rPr>
          <w:b/>
        </w:rPr>
        <w:t>3</w:t>
      </w:r>
      <w:r w:rsidRPr="00CB230B">
        <w:rPr>
          <w:b/>
        </w:rPr>
        <w:t>.</w:t>
      </w:r>
      <w:r w:rsidRPr="003B6E5D">
        <w:t xml:space="preserve"> </w:t>
      </w:r>
      <w:r>
        <w:t xml:space="preserve"> </w:t>
      </w:r>
    </w:p>
    <w:p w:rsidR="00597A23" w:rsidRPr="000F00EB" w:rsidRDefault="00597A23" w:rsidP="00597A23">
      <w:pPr>
        <w:pStyle w:val="N1-1stBullet"/>
        <w:numPr>
          <w:ilvl w:val="0"/>
          <w:numId w:val="0"/>
        </w:numPr>
        <w:spacing w:line="480" w:lineRule="auto"/>
        <w:ind w:left="576"/>
      </w:pPr>
      <w:r>
        <w:t>Additionally, FNS consulted with the following contractors on statistical aspects of the design.  Westat will collect and analyze the information on behalf of FNS:</w:t>
      </w:r>
    </w:p>
    <w:p w:rsidR="00597A23" w:rsidRPr="00597A23" w:rsidRDefault="00597A23" w:rsidP="00597A23"/>
    <w:tbl>
      <w:tblPr>
        <w:tblW w:w="5420" w:type="pct"/>
        <w:tblBorders>
          <w:top w:val="single" w:sz="4" w:space="0" w:color="auto"/>
          <w:bottom w:val="single" w:sz="4" w:space="0" w:color="auto"/>
        </w:tblBorders>
        <w:tblLayout w:type="fixed"/>
        <w:tblLook w:val="01E0"/>
      </w:tblPr>
      <w:tblGrid>
        <w:gridCol w:w="1998"/>
        <w:gridCol w:w="2798"/>
        <w:gridCol w:w="2163"/>
        <w:gridCol w:w="3421"/>
      </w:tblGrid>
      <w:tr w:rsidR="007B1CE5" w:rsidRPr="004D5308" w:rsidTr="003C7779">
        <w:trPr>
          <w:cantSplit/>
        </w:trPr>
        <w:tc>
          <w:tcPr>
            <w:tcW w:w="962" w:type="pct"/>
            <w:tcBorders>
              <w:top w:val="single" w:sz="4" w:space="0" w:color="auto"/>
              <w:left w:val="nil"/>
              <w:bottom w:val="single" w:sz="4" w:space="0" w:color="auto"/>
              <w:right w:val="nil"/>
            </w:tcBorders>
            <w:shd w:val="clear" w:color="auto" w:fill="AFBED7"/>
            <w:vAlign w:val="bottom"/>
          </w:tcPr>
          <w:p w:rsidR="007B1CE5" w:rsidRPr="004D5308" w:rsidRDefault="007B1CE5" w:rsidP="003C7779">
            <w:pPr>
              <w:pStyle w:val="TH-TableHeading"/>
            </w:pPr>
            <w:bookmarkStart w:id="74" w:name="_Toc329675004"/>
            <w:r w:rsidRPr="004D5308">
              <w:t>Name</w:t>
            </w:r>
            <w:bookmarkEnd w:id="74"/>
          </w:p>
        </w:tc>
        <w:tc>
          <w:tcPr>
            <w:tcW w:w="1348" w:type="pct"/>
            <w:tcBorders>
              <w:top w:val="single" w:sz="4" w:space="0" w:color="auto"/>
              <w:left w:val="nil"/>
              <w:bottom w:val="single" w:sz="4" w:space="0" w:color="auto"/>
              <w:right w:val="nil"/>
            </w:tcBorders>
            <w:shd w:val="clear" w:color="auto" w:fill="AFBED7"/>
            <w:vAlign w:val="bottom"/>
          </w:tcPr>
          <w:p w:rsidR="007B1CE5" w:rsidRPr="004D5308" w:rsidRDefault="007B1CE5" w:rsidP="003C7779">
            <w:pPr>
              <w:pStyle w:val="TH-TableHeading"/>
            </w:pPr>
            <w:bookmarkStart w:id="75" w:name="_Toc329675005"/>
            <w:r w:rsidRPr="004D5308">
              <w:t>Affiliation</w:t>
            </w:r>
            <w:bookmarkEnd w:id="75"/>
          </w:p>
        </w:tc>
        <w:tc>
          <w:tcPr>
            <w:tcW w:w="1042" w:type="pct"/>
            <w:tcBorders>
              <w:top w:val="single" w:sz="4" w:space="0" w:color="auto"/>
              <w:left w:val="nil"/>
              <w:bottom w:val="single" w:sz="4" w:space="0" w:color="auto"/>
              <w:right w:val="nil"/>
            </w:tcBorders>
            <w:shd w:val="clear" w:color="auto" w:fill="AFBED7"/>
            <w:vAlign w:val="bottom"/>
          </w:tcPr>
          <w:p w:rsidR="007B1CE5" w:rsidRPr="004D5308" w:rsidRDefault="007B1CE5" w:rsidP="003C7779">
            <w:pPr>
              <w:pStyle w:val="TH-TableHeading"/>
            </w:pPr>
            <w:bookmarkStart w:id="76" w:name="_Toc329675006"/>
            <w:r w:rsidRPr="004D5308">
              <w:t>Telephone Number</w:t>
            </w:r>
            <w:bookmarkEnd w:id="76"/>
          </w:p>
        </w:tc>
        <w:tc>
          <w:tcPr>
            <w:tcW w:w="1648" w:type="pct"/>
            <w:tcBorders>
              <w:top w:val="single" w:sz="4" w:space="0" w:color="auto"/>
              <w:left w:val="nil"/>
              <w:bottom w:val="single" w:sz="4" w:space="0" w:color="auto"/>
              <w:right w:val="nil"/>
            </w:tcBorders>
            <w:shd w:val="clear" w:color="auto" w:fill="AFBED7"/>
            <w:vAlign w:val="bottom"/>
          </w:tcPr>
          <w:p w:rsidR="007B1CE5" w:rsidRPr="004D5308" w:rsidRDefault="007B1CE5" w:rsidP="003C7779">
            <w:pPr>
              <w:pStyle w:val="TH-TableHeading"/>
            </w:pPr>
            <w:bookmarkStart w:id="77" w:name="_Toc329675007"/>
            <w:r w:rsidRPr="004D5308">
              <w:t>e-mail</w:t>
            </w:r>
            <w:bookmarkEnd w:id="77"/>
          </w:p>
        </w:tc>
      </w:tr>
      <w:tr w:rsidR="007B1CE5" w:rsidRPr="00590D28" w:rsidTr="003C7779">
        <w:trPr>
          <w:cantSplit/>
        </w:trPr>
        <w:tc>
          <w:tcPr>
            <w:tcW w:w="962" w:type="pct"/>
            <w:tcBorders>
              <w:top w:val="single" w:sz="4" w:space="0" w:color="auto"/>
              <w:bottom w:val="single" w:sz="4" w:space="0" w:color="auto"/>
            </w:tcBorders>
          </w:tcPr>
          <w:p w:rsidR="007B1CE5" w:rsidRPr="00590D28" w:rsidRDefault="007B1CE5" w:rsidP="003C7779">
            <w:pPr>
              <w:pStyle w:val="TX-TableText"/>
              <w:spacing w:before="40" w:after="40" w:line="240" w:lineRule="auto"/>
            </w:pPr>
            <w:r>
              <w:t>Mustafa Karakus</w:t>
            </w:r>
          </w:p>
        </w:tc>
        <w:tc>
          <w:tcPr>
            <w:tcW w:w="1348" w:type="pct"/>
            <w:tcBorders>
              <w:top w:val="single" w:sz="4" w:space="0" w:color="auto"/>
              <w:bottom w:val="single" w:sz="4" w:space="0" w:color="auto"/>
            </w:tcBorders>
          </w:tcPr>
          <w:p w:rsidR="007B1CE5" w:rsidRDefault="007B1CE5" w:rsidP="003C7779">
            <w:pPr>
              <w:pStyle w:val="TX-TableText"/>
              <w:spacing w:before="40" w:after="40" w:line="240" w:lineRule="auto"/>
            </w:pPr>
            <w:r w:rsidRPr="00590D28">
              <w:t>Project Director</w:t>
            </w:r>
            <w:r>
              <w:t>, Westat</w:t>
            </w:r>
          </w:p>
        </w:tc>
        <w:tc>
          <w:tcPr>
            <w:tcW w:w="1042" w:type="pct"/>
            <w:tcBorders>
              <w:top w:val="single" w:sz="4" w:space="0" w:color="auto"/>
              <w:bottom w:val="single" w:sz="4" w:space="0" w:color="auto"/>
            </w:tcBorders>
          </w:tcPr>
          <w:p w:rsidR="007B1CE5" w:rsidRDefault="007B1CE5" w:rsidP="003C7779">
            <w:pPr>
              <w:pStyle w:val="TX-TableText"/>
              <w:spacing w:before="40" w:after="40" w:line="240" w:lineRule="auto"/>
            </w:pPr>
            <w:r w:rsidRPr="00590D28">
              <w:t>301-</w:t>
            </w:r>
            <w:r>
              <w:t>294-2874</w:t>
            </w:r>
          </w:p>
        </w:tc>
        <w:tc>
          <w:tcPr>
            <w:tcW w:w="1648" w:type="pct"/>
            <w:tcBorders>
              <w:top w:val="single" w:sz="4" w:space="0" w:color="auto"/>
              <w:bottom w:val="single" w:sz="4" w:space="0" w:color="auto"/>
            </w:tcBorders>
          </w:tcPr>
          <w:p w:rsidR="007B1CE5" w:rsidRDefault="007B1CE5" w:rsidP="003C7779">
            <w:pPr>
              <w:pStyle w:val="TX-TableText"/>
              <w:spacing w:before="40" w:after="40" w:line="240" w:lineRule="auto"/>
            </w:pPr>
            <w:r>
              <w:t>MustafaKarakus@westat.com</w:t>
            </w:r>
            <w:r w:rsidDel="00B51180">
              <w:t xml:space="preserve"> </w:t>
            </w:r>
          </w:p>
        </w:tc>
      </w:tr>
      <w:tr w:rsidR="007B1CE5" w:rsidRPr="00590D28" w:rsidTr="003C7779">
        <w:trPr>
          <w:cantSplit/>
        </w:trPr>
        <w:tc>
          <w:tcPr>
            <w:tcW w:w="962" w:type="pct"/>
            <w:tcBorders>
              <w:top w:val="single" w:sz="4" w:space="0" w:color="auto"/>
              <w:bottom w:val="single" w:sz="4" w:space="0" w:color="auto"/>
            </w:tcBorders>
          </w:tcPr>
          <w:p w:rsidR="007B1CE5" w:rsidRPr="00590D28" w:rsidRDefault="007B1CE5" w:rsidP="003C7779">
            <w:pPr>
              <w:pStyle w:val="TX-TableText"/>
              <w:spacing w:before="40" w:after="40" w:line="240" w:lineRule="auto"/>
            </w:pPr>
            <w:r>
              <w:t>Thomas Bosworth</w:t>
            </w:r>
          </w:p>
        </w:tc>
        <w:tc>
          <w:tcPr>
            <w:tcW w:w="1348" w:type="pct"/>
            <w:tcBorders>
              <w:top w:val="single" w:sz="4" w:space="0" w:color="auto"/>
              <w:bottom w:val="single" w:sz="4" w:space="0" w:color="auto"/>
            </w:tcBorders>
          </w:tcPr>
          <w:p w:rsidR="007B1CE5" w:rsidRDefault="007B1CE5" w:rsidP="003C7779">
            <w:pPr>
              <w:pStyle w:val="TX-TableText"/>
              <w:spacing w:before="40" w:after="40" w:line="240" w:lineRule="auto"/>
            </w:pPr>
            <w:r w:rsidRPr="00590D28">
              <w:t>Senior Study Director</w:t>
            </w:r>
            <w:r>
              <w:t>, Westat</w:t>
            </w:r>
          </w:p>
        </w:tc>
        <w:tc>
          <w:tcPr>
            <w:tcW w:w="1042" w:type="pct"/>
            <w:tcBorders>
              <w:top w:val="single" w:sz="4" w:space="0" w:color="auto"/>
              <w:bottom w:val="single" w:sz="4" w:space="0" w:color="auto"/>
            </w:tcBorders>
          </w:tcPr>
          <w:p w:rsidR="007B1CE5" w:rsidRPr="00590D28" w:rsidRDefault="007B1CE5" w:rsidP="003C7779">
            <w:pPr>
              <w:pStyle w:val="TX-TableText"/>
              <w:spacing w:before="40" w:after="40" w:line="240" w:lineRule="auto"/>
            </w:pPr>
            <w:r>
              <w:t>301-610-5542</w:t>
            </w:r>
          </w:p>
        </w:tc>
        <w:tc>
          <w:tcPr>
            <w:tcW w:w="1648" w:type="pct"/>
            <w:tcBorders>
              <w:top w:val="single" w:sz="4" w:space="0" w:color="auto"/>
              <w:bottom w:val="single" w:sz="4" w:space="0" w:color="auto"/>
            </w:tcBorders>
          </w:tcPr>
          <w:p w:rsidR="007B1CE5" w:rsidRPr="00590D28" w:rsidRDefault="006B0684" w:rsidP="003C7779">
            <w:pPr>
              <w:pStyle w:val="TX-TableText"/>
              <w:spacing w:before="40" w:after="40" w:line="240" w:lineRule="auto"/>
            </w:pPr>
            <w:hyperlink r:id="rId8" w:history="1"/>
            <w:r w:rsidR="007B1CE5">
              <w:t>ThomasBosworth@westat.com</w:t>
            </w:r>
          </w:p>
        </w:tc>
      </w:tr>
      <w:tr w:rsidR="007B1CE5" w:rsidRPr="00590D28" w:rsidTr="003C7779">
        <w:trPr>
          <w:cantSplit/>
        </w:trPr>
        <w:tc>
          <w:tcPr>
            <w:tcW w:w="962" w:type="pct"/>
            <w:tcBorders>
              <w:top w:val="single" w:sz="4" w:space="0" w:color="auto"/>
              <w:bottom w:val="single" w:sz="4" w:space="0" w:color="auto"/>
            </w:tcBorders>
          </w:tcPr>
          <w:p w:rsidR="007B1CE5" w:rsidRPr="00590D28" w:rsidRDefault="007B1CE5" w:rsidP="003C7779">
            <w:pPr>
              <w:pStyle w:val="TX-TableText"/>
              <w:spacing w:before="40" w:after="40" w:line="240" w:lineRule="auto"/>
            </w:pPr>
            <w:r w:rsidRPr="00590D28">
              <w:t>Cynthia Robins</w:t>
            </w:r>
          </w:p>
        </w:tc>
        <w:tc>
          <w:tcPr>
            <w:tcW w:w="1348" w:type="pct"/>
            <w:tcBorders>
              <w:top w:val="single" w:sz="4" w:space="0" w:color="auto"/>
              <w:bottom w:val="single" w:sz="4" w:space="0" w:color="auto"/>
            </w:tcBorders>
          </w:tcPr>
          <w:p w:rsidR="007B1CE5" w:rsidRDefault="007B1CE5" w:rsidP="003C7779">
            <w:pPr>
              <w:pStyle w:val="TX-TableText"/>
              <w:spacing w:before="40" w:after="40" w:line="240" w:lineRule="auto"/>
            </w:pPr>
            <w:r w:rsidRPr="00590D28">
              <w:t>Senior Study Director</w:t>
            </w:r>
            <w:r>
              <w:t>, Westat</w:t>
            </w:r>
          </w:p>
        </w:tc>
        <w:tc>
          <w:tcPr>
            <w:tcW w:w="1042" w:type="pct"/>
            <w:tcBorders>
              <w:top w:val="single" w:sz="4" w:space="0" w:color="auto"/>
              <w:bottom w:val="single" w:sz="4" w:space="0" w:color="auto"/>
            </w:tcBorders>
          </w:tcPr>
          <w:p w:rsidR="007B1CE5" w:rsidRPr="00590D28" w:rsidRDefault="007B1CE5" w:rsidP="003C7779">
            <w:pPr>
              <w:pStyle w:val="TX-TableText"/>
              <w:spacing w:before="40" w:after="40" w:line="240" w:lineRule="auto"/>
            </w:pPr>
            <w:r w:rsidRPr="00590D28">
              <w:t>301-738-5424</w:t>
            </w:r>
          </w:p>
        </w:tc>
        <w:tc>
          <w:tcPr>
            <w:tcW w:w="1648" w:type="pct"/>
            <w:tcBorders>
              <w:top w:val="single" w:sz="4" w:space="0" w:color="auto"/>
              <w:bottom w:val="single" w:sz="4" w:space="0" w:color="auto"/>
            </w:tcBorders>
          </w:tcPr>
          <w:p w:rsidR="007B1CE5" w:rsidRPr="00590D28" w:rsidRDefault="006B0684" w:rsidP="003C7779">
            <w:pPr>
              <w:pStyle w:val="TX-TableText"/>
              <w:spacing w:before="40" w:after="40" w:line="240" w:lineRule="auto"/>
            </w:pPr>
            <w:hyperlink r:id="rId9" w:history="1">
              <w:r w:rsidR="007B1CE5" w:rsidRPr="00590D28">
                <w:rPr>
                  <w:rStyle w:val="Hyperlink"/>
                </w:rPr>
                <w:t>CynthiaRobins@westat.com</w:t>
              </w:r>
            </w:hyperlink>
          </w:p>
        </w:tc>
      </w:tr>
      <w:tr w:rsidR="007B1CE5" w:rsidRPr="00590D28" w:rsidTr="003C7779">
        <w:trPr>
          <w:cantSplit/>
        </w:trPr>
        <w:tc>
          <w:tcPr>
            <w:tcW w:w="962" w:type="pct"/>
            <w:tcBorders>
              <w:top w:val="single" w:sz="4" w:space="0" w:color="auto"/>
              <w:bottom w:val="single" w:sz="4" w:space="0" w:color="auto"/>
            </w:tcBorders>
          </w:tcPr>
          <w:p w:rsidR="007B1CE5" w:rsidRPr="00590D28" w:rsidRDefault="007B1CE5" w:rsidP="003C7779">
            <w:pPr>
              <w:pStyle w:val="TX-TableText"/>
            </w:pPr>
            <w:r w:rsidRPr="00590D28">
              <w:t>John Burke</w:t>
            </w:r>
          </w:p>
        </w:tc>
        <w:tc>
          <w:tcPr>
            <w:tcW w:w="1348" w:type="pct"/>
            <w:tcBorders>
              <w:top w:val="single" w:sz="4" w:space="0" w:color="auto"/>
              <w:bottom w:val="single" w:sz="4" w:space="0" w:color="auto"/>
            </w:tcBorders>
          </w:tcPr>
          <w:p w:rsidR="007B1CE5" w:rsidRDefault="007B1CE5" w:rsidP="003C7779">
            <w:pPr>
              <w:pStyle w:val="TX-TableText"/>
            </w:pPr>
            <w:r w:rsidRPr="00590D28">
              <w:t>Senior Study Director</w:t>
            </w:r>
            <w:r>
              <w:t>, Westat</w:t>
            </w:r>
          </w:p>
        </w:tc>
        <w:tc>
          <w:tcPr>
            <w:tcW w:w="1042" w:type="pct"/>
            <w:tcBorders>
              <w:top w:val="single" w:sz="4" w:space="0" w:color="auto"/>
              <w:bottom w:val="single" w:sz="4" w:space="0" w:color="auto"/>
            </w:tcBorders>
          </w:tcPr>
          <w:p w:rsidR="007B1CE5" w:rsidRPr="00590D28" w:rsidRDefault="007B1CE5" w:rsidP="003C7779">
            <w:pPr>
              <w:pStyle w:val="TX-TableText"/>
              <w:spacing w:before="40" w:after="40" w:line="240" w:lineRule="auto"/>
            </w:pPr>
            <w:r w:rsidRPr="00590D28">
              <w:t>301-294-2057</w:t>
            </w:r>
          </w:p>
        </w:tc>
        <w:tc>
          <w:tcPr>
            <w:tcW w:w="1648" w:type="pct"/>
            <w:tcBorders>
              <w:top w:val="single" w:sz="4" w:space="0" w:color="auto"/>
              <w:bottom w:val="single" w:sz="4" w:space="0" w:color="auto"/>
            </w:tcBorders>
          </w:tcPr>
          <w:p w:rsidR="007B1CE5" w:rsidRPr="00590D28" w:rsidRDefault="006B0684" w:rsidP="003C7779">
            <w:pPr>
              <w:pStyle w:val="TX-TableText"/>
              <w:spacing w:before="40" w:after="40" w:line="240" w:lineRule="auto"/>
            </w:pPr>
            <w:hyperlink r:id="rId10" w:history="1">
              <w:r w:rsidR="007B1CE5" w:rsidRPr="00121AE2">
                <w:rPr>
                  <w:rStyle w:val="Hyperlink"/>
                </w:rPr>
                <w:t>JohnBurke@westat.com</w:t>
              </w:r>
            </w:hyperlink>
          </w:p>
        </w:tc>
      </w:tr>
    </w:tbl>
    <w:p w:rsidR="007B1CE5" w:rsidRDefault="007B1CE5" w:rsidP="007B1CE5"/>
    <w:sectPr w:rsidR="007B1CE5" w:rsidSect="00687B28">
      <w:footerReference w:type="default" r:id="rId11"/>
      <w:footerReference w:type="first" r:id="rId12"/>
      <w:footnotePr>
        <w:numStart w:val="21"/>
      </w:footnotePr>
      <w:endnotePr>
        <w:numFmt w:val="decimal"/>
      </w:endnotePr>
      <w:type w:val="continuous"/>
      <w:pgSz w:w="12240" w:h="15840" w:code="1"/>
      <w:pgMar w:top="1440" w:right="1440" w:bottom="1440" w:left="1440" w:header="720" w:footer="576" w:gutter="0"/>
      <w:pgNumType w:start="0"/>
      <w:cols w:space="720"/>
      <w:noEndnote/>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12F" w:rsidRDefault="003B212F" w:rsidP="00C80391">
      <w:pPr>
        <w:spacing w:line="240" w:lineRule="auto"/>
      </w:pPr>
      <w:r>
        <w:separator/>
      </w:r>
    </w:p>
  </w:endnote>
  <w:endnote w:type="continuationSeparator" w:id="0">
    <w:p w:rsidR="003B212F" w:rsidRDefault="003B212F" w:rsidP="00C803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10208"/>
      <w:docPartObj>
        <w:docPartGallery w:val="Page Numbers (Bottom of Page)"/>
        <w:docPartUnique/>
      </w:docPartObj>
    </w:sdtPr>
    <w:sdtContent>
      <w:p w:rsidR="00687B28" w:rsidRDefault="006B0684">
        <w:pPr>
          <w:pStyle w:val="Footer"/>
          <w:jc w:val="center"/>
        </w:pPr>
        <w:fldSimple w:instr=" PAGE   \* MERGEFORMAT ">
          <w:r w:rsidR="00597A23">
            <w:rPr>
              <w:noProof/>
            </w:rPr>
            <w:t>14</w:t>
          </w:r>
        </w:fldSimple>
      </w:p>
    </w:sdtContent>
  </w:sdt>
  <w:p w:rsidR="004C4675" w:rsidRDefault="004C467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B28" w:rsidRDefault="00687B28">
    <w:pPr>
      <w:pStyle w:val="Footer"/>
      <w:jc w:val="center"/>
    </w:pPr>
  </w:p>
  <w:p w:rsidR="004C4675" w:rsidRDefault="004C467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12F" w:rsidRDefault="003B212F" w:rsidP="00C80391">
      <w:pPr>
        <w:spacing w:line="240" w:lineRule="auto"/>
      </w:pPr>
      <w:r>
        <w:separator/>
      </w:r>
    </w:p>
  </w:footnote>
  <w:footnote w:type="continuationSeparator" w:id="0">
    <w:p w:rsidR="003B212F" w:rsidRDefault="003B212F" w:rsidP="00C8039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5CA0"/>
    <w:multiLevelType w:val="hybridMultilevel"/>
    <w:tmpl w:val="4AF6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E51817"/>
    <w:multiLevelType w:val="hybridMultilevel"/>
    <w:tmpl w:val="3CA28456"/>
    <w:lvl w:ilvl="0" w:tplc="27CC3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8129"/>
  </w:hdrShapeDefaults>
  <w:footnotePr>
    <w:numStart w:val="21"/>
    <w:footnote w:id="-1"/>
    <w:footnote w:id="0"/>
  </w:footnotePr>
  <w:endnotePr>
    <w:numFmt w:val="decimal"/>
    <w:endnote w:id="-1"/>
    <w:endnote w:id="0"/>
  </w:endnotePr>
  <w:compat/>
  <w:rsids>
    <w:rsidRoot w:val="00C80391"/>
    <w:rsid w:val="00000213"/>
    <w:rsid w:val="0000022B"/>
    <w:rsid w:val="00000CA5"/>
    <w:rsid w:val="00002DCE"/>
    <w:rsid w:val="000034A9"/>
    <w:rsid w:val="00003743"/>
    <w:rsid w:val="0000386A"/>
    <w:rsid w:val="000045E0"/>
    <w:rsid w:val="00004B58"/>
    <w:rsid w:val="0000539D"/>
    <w:rsid w:val="00005451"/>
    <w:rsid w:val="000066CC"/>
    <w:rsid w:val="000068C8"/>
    <w:rsid w:val="0000695C"/>
    <w:rsid w:val="000069E5"/>
    <w:rsid w:val="00006FB0"/>
    <w:rsid w:val="00007368"/>
    <w:rsid w:val="000073E7"/>
    <w:rsid w:val="000077EE"/>
    <w:rsid w:val="00010596"/>
    <w:rsid w:val="00011169"/>
    <w:rsid w:val="00011C39"/>
    <w:rsid w:val="00012B5E"/>
    <w:rsid w:val="00013BC5"/>
    <w:rsid w:val="000140FB"/>
    <w:rsid w:val="00014BA0"/>
    <w:rsid w:val="00014C69"/>
    <w:rsid w:val="0001585F"/>
    <w:rsid w:val="000159AA"/>
    <w:rsid w:val="00016107"/>
    <w:rsid w:val="00016FA8"/>
    <w:rsid w:val="000174F6"/>
    <w:rsid w:val="00017A17"/>
    <w:rsid w:val="00017D52"/>
    <w:rsid w:val="00020022"/>
    <w:rsid w:val="0002072B"/>
    <w:rsid w:val="000217AB"/>
    <w:rsid w:val="000224F3"/>
    <w:rsid w:val="00022CB4"/>
    <w:rsid w:val="00022E3C"/>
    <w:rsid w:val="000231E9"/>
    <w:rsid w:val="00023EF3"/>
    <w:rsid w:val="00023F08"/>
    <w:rsid w:val="000248DF"/>
    <w:rsid w:val="00024BF9"/>
    <w:rsid w:val="00024D9B"/>
    <w:rsid w:val="000254F0"/>
    <w:rsid w:val="00025EC1"/>
    <w:rsid w:val="00026D53"/>
    <w:rsid w:val="000273F5"/>
    <w:rsid w:val="00030244"/>
    <w:rsid w:val="00030469"/>
    <w:rsid w:val="00030FE6"/>
    <w:rsid w:val="0003118A"/>
    <w:rsid w:val="000315D3"/>
    <w:rsid w:val="00031E3A"/>
    <w:rsid w:val="00031EF2"/>
    <w:rsid w:val="00032324"/>
    <w:rsid w:val="00032767"/>
    <w:rsid w:val="00032E28"/>
    <w:rsid w:val="0003301F"/>
    <w:rsid w:val="0003333E"/>
    <w:rsid w:val="000333E2"/>
    <w:rsid w:val="000339E8"/>
    <w:rsid w:val="00033BFD"/>
    <w:rsid w:val="00034734"/>
    <w:rsid w:val="00035559"/>
    <w:rsid w:val="00035682"/>
    <w:rsid w:val="00036F03"/>
    <w:rsid w:val="00037C27"/>
    <w:rsid w:val="00037C9C"/>
    <w:rsid w:val="00037CC4"/>
    <w:rsid w:val="00040433"/>
    <w:rsid w:val="0004128C"/>
    <w:rsid w:val="00041BE1"/>
    <w:rsid w:val="00042293"/>
    <w:rsid w:val="0004275E"/>
    <w:rsid w:val="00042906"/>
    <w:rsid w:val="000429D8"/>
    <w:rsid w:val="00042C5E"/>
    <w:rsid w:val="0004350C"/>
    <w:rsid w:val="000435FB"/>
    <w:rsid w:val="00043845"/>
    <w:rsid w:val="000439B2"/>
    <w:rsid w:val="000439E0"/>
    <w:rsid w:val="00043C49"/>
    <w:rsid w:val="00043E6D"/>
    <w:rsid w:val="0004467F"/>
    <w:rsid w:val="00044CF8"/>
    <w:rsid w:val="000454E6"/>
    <w:rsid w:val="00046A7B"/>
    <w:rsid w:val="00046DE1"/>
    <w:rsid w:val="000470EB"/>
    <w:rsid w:val="000473AE"/>
    <w:rsid w:val="00047742"/>
    <w:rsid w:val="00047A27"/>
    <w:rsid w:val="00052336"/>
    <w:rsid w:val="00052F4F"/>
    <w:rsid w:val="00053AE6"/>
    <w:rsid w:val="00055154"/>
    <w:rsid w:val="00055A19"/>
    <w:rsid w:val="00055C66"/>
    <w:rsid w:val="0005602C"/>
    <w:rsid w:val="0005603B"/>
    <w:rsid w:val="0005626E"/>
    <w:rsid w:val="000574AC"/>
    <w:rsid w:val="00057D62"/>
    <w:rsid w:val="00057D72"/>
    <w:rsid w:val="00060AF4"/>
    <w:rsid w:val="00060D21"/>
    <w:rsid w:val="00061280"/>
    <w:rsid w:val="00061E44"/>
    <w:rsid w:val="00061F13"/>
    <w:rsid w:val="00062C4B"/>
    <w:rsid w:val="00062DF9"/>
    <w:rsid w:val="0006340F"/>
    <w:rsid w:val="00064453"/>
    <w:rsid w:val="0006490D"/>
    <w:rsid w:val="00064940"/>
    <w:rsid w:val="00064CB8"/>
    <w:rsid w:val="000655D8"/>
    <w:rsid w:val="0006561E"/>
    <w:rsid w:val="000668D1"/>
    <w:rsid w:val="00066FA6"/>
    <w:rsid w:val="00067861"/>
    <w:rsid w:val="00067B0B"/>
    <w:rsid w:val="00070278"/>
    <w:rsid w:val="000703F5"/>
    <w:rsid w:val="00070E83"/>
    <w:rsid w:val="00070F71"/>
    <w:rsid w:val="000710FD"/>
    <w:rsid w:val="00071288"/>
    <w:rsid w:val="00071444"/>
    <w:rsid w:val="000727AB"/>
    <w:rsid w:val="00073A09"/>
    <w:rsid w:val="0007406F"/>
    <w:rsid w:val="0007489D"/>
    <w:rsid w:val="000749E5"/>
    <w:rsid w:val="00074E1F"/>
    <w:rsid w:val="00074FB0"/>
    <w:rsid w:val="00075776"/>
    <w:rsid w:val="00076E3D"/>
    <w:rsid w:val="000778CC"/>
    <w:rsid w:val="00080071"/>
    <w:rsid w:val="000809DE"/>
    <w:rsid w:val="00080FD7"/>
    <w:rsid w:val="0008135F"/>
    <w:rsid w:val="00081408"/>
    <w:rsid w:val="00081636"/>
    <w:rsid w:val="00081900"/>
    <w:rsid w:val="00081912"/>
    <w:rsid w:val="00081C10"/>
    <w:rsid w:val="00081E82"/>
    <w:rsid w:val="00081F72"/>
    <w:rsid w:val="00082DF0"/>
    <w:rsid w:val="00082F5B"/>
    <w:rsid w:val="00082F9C"/>
    <w:rsid w:val="000834EA"/>
    <w:rsid w:val="000839EB"/>
    <w:rsid w:val="00084CFB"/>
    <w:rsid w:val="00084D3F"/>
    <w:rsid w:val="00084E1A"/>
    <w:rsid w:val="00084EE1"/>
    <w:rsid w:val="00085543"/>
    <w:rsid w:val="00085C05"/>
    <w:rsid w:val="00085CF0"/>
    <w:rsid w:val="00085D17"/>
    <w:rsid w:val="000860F4"/>
    <w:rsid w:val="00086102"/>
    <w:rsid w:val="000862E1"/>
    <w:rsid w:val="00086985"/>
    <w:rsid w:val="00086A02"/>
    <w:rsid w:val="00086EB2"/>
    <w:rsid w:val="000873A5"/>
    <w:rsid w:val="000874F7"/>
    <w:rsid w:val="00090028"/>
    <w:rsid w:val="0009044C"/>
    <w:rsid w:val="00091596"/>
    <w:rsid w:val="00092039"/>
    <w:rsid w:val="00093478"/>
    <w:rsid w:val="00093E4B"/>
    <w:rsid w:val="000940E6"/>
    <w:rsid w:val="0009470D"/>
    <w:rsid w:val="00094E94"/>
    <w:rsid w:val="00094F86"/>
    <w:rsid w:val="000956E5"/>
    <w:rsid w:val="00095B4B"/>
    <w:rsid w:val="00095EAA"/>
    <w:rsid w:val="00095F81"/>
    <w:rsid w:val="00095FDD"/>
    <w:rsid w:val="00096389"/>
    <w:rsid w:val="00096C78"/>
    <w:rsid w:val="00097392"/>
    <w:rsid w:val="00097C42"/>
    <w:rsid w:val="000A02B4"/>
    <w:rsid w:val="000A09F3"/>
    <w:rsid w:val="000A0B93"/>
    <w:rsid w:val="000A0C4E"/>
    <w:rsid w:val="000A0E08"/>
    <w:rsid w:val="000A1108"/>
    <w:rsid w:val="000A1391"/>
    <w:rsid w:val="000A2633"/>
    <w:rsid w:val="000A27C0"/>
    <w:rsid w:val="000A28A5"/>
    <w:rsid w:val="000A302C"/>
    <w:rsid w:val="000A30ED"/>
    <w:rsid w:val="000A3AB4"/>
    <w:rsid w:val="000A488C"/>
    <w:rsid w:val="000A5D63"/>
    <w:rsid w:val="000A635E"/>
    <w:rsid w:val="000A6C8C"/>
    <w:rsid w:val="000A6E81"/>
    <w:rsid w:val="000A7546"/>
    <w:rsid w:val="000A78A8"/>
    <w:rsid w:val="000B03A9"/>
    <w:rsid w:val="000B15AB"/>
    <w:rsid w:val="000B1ED8"/>
    <w:rsid w:val="000B25C3"/>
    <w:rsid w:val="000B26C4"/>
    <w:rsid w:val="000B28B9"/>
    <w:rsid w:val="000B2B16"/>
    <w:rsid w:val="000B2E13"/>
    <w:rsid w:val="000B37C8"/>
    <w:rsid w:val="000B3A7E"/>
    <w:rsid w:val="000B3DBB"/>
    <w:rsid w:val="000B4025"/>
    <w:rsid w:val="000B4E95"/>
    <w:rsid w:val="000B4EED"/>
    <w:rsid w:val="000B5480"/>
    <w:rsid w:val="000B5B48"/>
    <w:rsid w:val="000B650B"/>
    <w:rsid w:val="000B739B"/>
    <w:rsid w:val="000C0311"/>
    <w:rsid w:val="000C0AF0"/>
    <w:rsid w:val="000C0C28"/>
    <w:rsid w:val="000C1226"/>
    <w:rsid w:val="000C173D"/>
    <w:rsid w:val="000C17F1"/>
    <w:rsid w:val="000C1B29"/>
    <w:rsid w:val="000C2680"/>
    <w:rsid w:val="000C3649"/>
    <w:rsid w:val="000C3696"/>
    <w:rsid w:val="000C384E"/>
    <w:rsid w:val="000C44D2"/>
    <w:rsid w:val="000C525A"/>
    <w:rsid w:val="000C59FE"/>
    <w:rsid w:val="000C5EB1"/>
    <w:rsid w:val="000C5FB1"/>
    <w:rsid w:val="000C64D7"/>
    <w:rsid w:val="000C65BF"/>
    <w:rsid w:val="000C6B66"/>
    <w:rsid w:val="000C6C4D"/>
    <w:rsid w:val="000C7088"/>
    <w:rsid w:val="000C714C"/>
    <w:rsid w:val="000C7C35"/>
    <w:rsid w:val="000C7F77"/>
    <w:rsid w:val="000D04D2"/>
    <w:rsid w:val="000D0575"/>
    <w:rsid w:val="000D1437"/>
    <w:rsid w:val="000D1BA9"/>
    <w:rsid w:val="000D207F"/>
    <w:rsid w:val="000D25D4"/>
    <w:rsid w:val="000D2ACC"/>
    <w:rsid w:val="000D2CDB"/>
    <w:rsid w:val="000D2ECC"/>
    <w:rsid w:val="000D3139"/>
    <w:rsid w:val="000D41C7"/>
    <w:rsid w:val="000D4D7F"/>
    <w:rsid w:val="000D51FE"/>
    <w:rsid w:val="000D5783"/>
    <w:rsid w:val="000D590B"/>
    <w:rsid w:val="000D61D7"/>
    <w:rsid w:val="000D6314"/>
    <w:rsid w:val="000D69F2"/>
    <w:rsid w:val="000D7512"/>
    <w:rsid w:val="000D7BB1"/>
    <w:rsid w:val="000E001D"/>
    <w:rsid w:val="000E00BA"/>
    <w:rsid w:val="000E072D"/>
    <w:rsid w:val="000E177C"/>
    <w:rsid w:val="000E24BA"/>
    <w:rsid w:val="000E2A8F"/>
    <w:rsid w:val="000E2D15"/>
    <w:rsid w:val="000E3C4D"/>
    <w:rsid w:val="000E3C58"/>
    <w:rsid w:val="000E4130"/>
    <w:rsid w:val="000E44C8"/>
    <w:rsid w:val="000E5618"/>
    <w:rsid w:val="000E5F37"/>
    <w:rsid w:val="000E5F54"/>
    <w:rsid w:val="000E6382"/>
    <w:rsid w:val="000E67BD"/>
    <w:rsid w:val="000E6C7D"/>
    <w:rsid w:val="000E74FB"/>
    <w:rsid w:val="000E766C"/>
    <w:rsid w:val="000E7F79"/>
    <w:rsid w:val="000F0402"/>
    <w:rsid w:val="000F185E"/>
    <w:rsid w:val="000F1CE0"/>
    <w:rsid w:val="000F1EFC"/>
    <w:rsid w:val="000F246B"/>
    <w:rsid w:val="000F298C"/>
    <w:rsid w:val="000F2C49"/>
    <w:rsid w:val="000F307E"/>
    <w:rsid w:val="000F33D1"/>
    <w:rsid w:val="000F3D7A"/>
    <w:rsid w:val="000F3E11"/>
    <w:rsid w:val="000F424F"/>
    <w:rsid w:val="000F4367"/>
    <w:rsid w:val="000F44AA"/>
    <w:rsid w:val="000F4FF2"/>
    <w:rsid w:val="000F582F"/>
    <w:rsid w:val="000F5A5D"/>
    <w:rsid w:val="000F5A6C"/>
    <w:rsid w:val="000F5E83"/>
    <w:rsid w:val="000F674C"/>
    <w:rsid w:val="000F792F"/>
    <w:rsid w:val="000F7C7D"/>
    <w:rsid w:val="000F7DCD"/>
    <w:rsid w:val="0010014B"/>
    <w:rsid w:val="001016B1"/>
    <w:rsid w:val="00101B6D"/>
    <w:rsid w:val="00101D00"/>
    <w:rsid w:val="00102752"/>
    <w:rsid w:val="00103C3C"/>
    <w:rsid w:val="00103F66"/>
    <w:rsid w:val="00104780"/>
    <w:rsid w:val="00104837"/>
    <w:rsid w:val="001057AB"/>
    <w:rsid w:val="00107120"/>
    <w:rsid w:val="0010751C"/>
    <w:rsid w:val="00107890"/>
    <w:rsid w:val="00107C4B"/>
    <w:rsid w:val="00107F73"/>
    <w:rsid w:val="00107FFA"/>
    <w:rsid w:val="001101E9"/>
    <w:rsid w:val="001103E4"/>
    <w:rsid w:val="00111E73"/>
    <w:rsid w:val="0011263E"/>
    <w:rsid w:val="001128ED"/>
    <w:rsid w:val="00112F3A"/>
    <w:rsid w:val="00112FFB"/>
    <w:rsid w:val="00113A23"/>
    <w:rsid w:val="00114312"/>
    <w:rsid w:val="001148E1"/>
    <w:rsid w:val="001149E3"/>
    <w:rsid w:val="00114A0B"/>
    <w:rsid w:val="00114ABB"/>
    <w:rsid w:val="00114BAA"/>
    <w:rsid w:val="00115A96"/>
    <w:rsid w:val="0011606A"/>
    <w:rsid w:val="00116118"/>
    <w:rsid w:val="00116A52"/>
    <w:rsid w:val="00116B92"/>
    <w:rsid w:val="00116D0E"/>
    <w:rsid w:val="00117A7A"/>
    <w:rsid w:val="001202FB"/>
    <w:rsid w:val="001207E6"/>
    <w:rsid w:val="00120C0F"/>
    <w:rsid w:val="00121A8E"/>
    <w:rsid w:val="00121BAB"/>
    <w:rsid w:val="00121D0C"/>
    <w:rsid w:val="00122632"/>
    <w:rsid w:val="00122D43"/>
    <w:rsid w:val="00124060"/>
    <w:rsid w:val="001244F9"/>
    <w:rsid w:val="00124549"/>
    <w:rsid w:val="001258B7"/>
    <w:rsid w:val="00125BAC"/>
    <w:rsid w:val="00125D22"/>
    <w:rsid w:val="00126718"/>
    <w:rsid w:val="001267B5"/>
    <w:rsid w:val="00126A9E"/>
    <w:rsid w:val="00126EF4"/>
    <w:rsid w:val="001273E7"/>
    <w:rsid w:val="00130EEA"/>
    <w:rsid w:val="0013189C"/>
    <w:rsid w:val="00131A8F"/>
    <w:rsid w:val="00131C5B"/>
    <w:rsid w:val="0013243F"/>
    <w:rsid w:val="00132F53"/>
    <w:rsid w:val="00134763"/>
    <w:rsid w:val="00134810"/>
    <w:rsid w:val="00134D1B"/>
    <w:rsid w:val="00135D29"/>
    <w:rsid w:val="00135EDC"/>
    <w:rsid w:val="00135FD3"/>
    <w:rsid w:val="00136E83"/>
    <w:rsid w:val="00136F64"/>
    <w:rsid w:val="0013701F"/>
    <w:rsid w:val="0013752C"/>
    <w:rsid w:val="001408BF"/>
    <w:rsid w:val="0014096C"/>
    <w:rsid w:val="00140C38"/>
    <w:rsid w:val="00140FA6"/>
    <w:rsid w:val="00141593"/>
    <w:rsid w:val="00141B9C"/>
    <w:rsid w:val="001420D6"/>
    <w:rsid w:val="00142BF5"/>
    <w:rsid w:val="00142D62"/>
    <w:rsid w:val="00142FAB"/>
    <w:rsid w:val="001435A4"/>
    <w:rsid w:val="00143EE9"/>
    <w:rsid w:val="0014417E"/>
    <w:rsid w:val="00144BCE"/>
    <w:rsid w:val="00145671"/>
    <w:rsid w:val="001458A1"/>
    <w:rsid w:val="00145A95"/>
    <w:rsid w:val="00145E00"/>
    <w:rsid w:val="00145E45"/>
    <w:rsid w:val="00145E9B"/>
    <w:rsid w:val="00146F13"/>
    <w:rsid w:val="001473BD"/>
    <w:rsid w:val="00150881"/>
    <w:rsid w:val="00150EB2"/>
    <w:rsid w:val="00151671"/>
    <w:rsid w:val="0015231F"/>
    <w:rsid w:val="0015232F"/>
    <w:rsid w:val="0015241D"/>
    <w:rsid w:val="00152928"/>
    <w:rsid w:val="00152CAE"/>
    <w:rsid w:val="00152EBB"/>
    <w:rsid w:val="00153063"/>
    <w:rsid w:val="00153D59"/>
    <w:rsid w:val="001540C7"/>
    <w:rsid w:val="001542C1"/>
    <w:rsid w:val="00154A56"/>
    <w:rsid w:val="00155709"/>
    <w:rsid w:val="0015627D"/>
    <w:rsid w:val="0015669B"/>
    <w:rsid w:val="001568BA"/>
    <w:rsid w:val="0015763A"/>
    <w:rsid w:val="00157F5A"/>
    <w:rsid w:val="00160F28"/>
    <w:rsid w:val="00161889"/>
    <w:rsid w:val="00161991"/>
    <w:rsid w:val="00162062"/>
    <w:rsid w:val="00162560"/>
    <w:rsid w:val="00162865"/>
    <w:rsid w:val="00162918"/>
    <w:rsid w:val="00163C13"/>
    <w:rsid w:val="00163DA2"/>
    <w:rsid w:val="001640FB"/>
    <w:rsid w:val="00164A0E"/>
    <w:rsid w:val="00164DDF"/>
    <w:rsid w:val="001650EE"/>
    <w:rsid w:val="00165CF6"/>
    <w:rsid w:val="001661EC"/>
    <w:rsid w:val="001663EA"/>
    <w:rsid w:val="001665CF"/>
    <w:rsid w:val="00166A47"/>
    <w:rsid w:val="001679D1"/>
    <w:rsid w:val="00167B4E"/>
    <w:rsid w:val="001702BF"/>
    <w:rsid w:val="00170452"/>
    <w:rsid w:val="0017196A"/>
    <w:rsid w:val="00171E04"/>
    <w:rsid w:val="00171E4D"/>
    <w:rsid w:val="0017213B"/>
    <w:rsid w:val="0017236A"/>
    <w:rsid w:val="00172946"/>
    <w:rsid w:val="001738C8"/>
    <w:rsid w:val="00173C39"/>
    <w:rsid w:val="00174322"/>
    <w:rsid w:val="00174626"/>
    <w:rsid w:val="001748F6"/>
    <w:rsid w:val="00174E0D"/>
    <w:rsid w:val="00176202"/>
    <w:rsid w:val="00176418"/>
    <w:rsid w:val="00176491"/>
    <w:rsid w:val="00176798"/>
    <w:rsid w:val="00177785"/>
    <w:rsid w:val="00177D66"/>
    <w:rsid w:val="001806D3"/>
    <w:rsid w:val="001808F2"/>
    <w:rsid w:val="0018109E"/>
    <w:rsid w:val="001813E7"/>
    <w:rsid w:val="00181BC8"/>
    <w:rsid w:val="0018240C"/>
    <w:rsid w:val="00182D33"/>
    <w:rsid w:val="00182D6F"/>
    <w:rsid w:val="00183838"/>
    <w:rsid w:val="001839C4"/>
    <w:rsid w:val="00183D9F"/>
    <w:rsid w:val="00183EB7"/>
    <w:rsid w:val="00184010"/>
    <w:rsid w:val="001846EE"/>
    <w:rsid w:val="00184753"/>
    <w:rsid w:val="00184CE8"/>
    <w:rsid w:val="00185E07"/>
    <w:rsid w:val="00185EE9"/>
    <w:rsid w:val="001860CA"/>
    <w:rsid w:val="001862BD"/>
    <w:rsid w:val="001864A8"/>
    <w:rsid w:val="0018785A"/>
    <w:rsid w:val="00190695"/>
    <w:rsid w:val="00191BB7"/>
    <w:rsid w:val="00191D5D"/>
    <w:rsid w:val="00193773"/>
    <w:rsid w:val="00193938"/>
    <w:rsid w:val="00193AAC"/>
    <w:rsid w:val="00193B50"/>
    <w:rsid w:val="00193FB9"/>
    <w:rsid w:val="00194333"/>
    <w:rsid w:val="001946E7"/>
    <w:rsid w:val="00195307"/>
    <w:rsid w:val="001955A5"/>
    <w:rsid w:val="00195802"/>
    <w:rsid w:val="0019622A"/>
    <w:rsid w:val="0019686B"/>
    <w:rsid w:val="00196F44"/>
    <w:rsid w:val="001975E3"/>
    <w:rsid w:val="001976B8"/>
    <w:rsid w:val="001A04B2"/>
    <w:rsid w:val="001A04B9"/>
    <w:rsid w:val="001A0897"/>
    <w:rsid w:val="001A0D16"/>
    <w:rsid w:val="001A10A5"/>
    <w:rsid w:val="001A1582"/>
    <w:rsid w:val="001A1636"/>
    <w:rsid w:val="001A1A03"/>
    <w:rsid w:val="001A1B64"/>
    <w:rsid w:val="001A1E2B"/>
    <w:rsid w:val="001A28B9"/>
    <w:rsid w:val="001A30EB"/>
    <w:rsid w:val="001A3158"/>
    <w:rsid w:val="001A3AE6"/>
    <w:rsid w:val="001A5A77"/>
    <w:rsid w:val="001A6178"/>
    <w:rsid w:val="001A6FCC"/>
    <w:rsid w:val="001A76AB"/>
    <w:rsid w:val="001A7BB6"/>
    <w:rsid w:val="001A7C02"/>
    <w:rsid w:val="001B070C"/>
    <w:rsid w:val="001B15A3"/>
    <w:rsid w:val="001B18EA"/>
    <w:rsid w:val="001B1A44"/>
    <w:rsid w:val="001B1B50"/>
    <w:rsid w:val="001B1C0B"/>
    <w:rsid w:val="001B2AD4"/>
    <w:rsid w:val="001B2B33"/>
    <w:rsid w:val="001B2EF1"/>
    <w:rsid w:val="001B4021"/>
    <w:rsid w:val="001B4611"/>
    <w:rsid w:val="001B4EB0"/>
    <w:rsid w:val="001B4F98"/>
    <w:rsid w:val="001B5CAE"/>
    <w:rsid w:val="001B6036"/>
    <w:rsid w:val="001B655C"/>
    <w:rsid w:val="001B69AB"/>
    <w:rsid w:val="001B6E0D"/>
    <w:rsid w:val="001B6F60"/>
    <w:rsid w:val="001B73B7"/>
    <w:rsid w:val="001B74A4"/>
    <w:rsid w:val="001B74B0"/>
    <w:rsid w:val="001B76B5"/>
    <w:rsid w:val="001C024C"/>
    <w:rsid w:val="001C0928"/>
    <w:rsid w:val="001C1A71"/>
    <w:rsid w:val="001C2803"/>
    <w:rsid w:val="001C29FA"/>
    <w:rsid w:val="001C4022"/>
    <w:rsid w:val="001C420A"/>
    <w:rsid w:val="001C4AFD"/>
    <w:rsid w:val="001C4FD9"/>
    <w:rsid w:val="001C664A"/>
    <w:rsid w:val="001C6972"/>
    <w:rsid w:val="001C71EC"/>
    <w:rsid w:val="001C739D"/>
    <w:rsid w:val="001C7BA8"/>
    <w:rsid w:val="001D0022"/>
    <w:rsid w:val="001D00FA"/>
    <w:rsid w:val="001D054A"/>
    <w:rsid w:val="001D1466"/>
    <w:rsid w:val="001D1701"/>
    <w:rsid w:val="001D1831"/>
    <w:rsid w:val="001D1E57"/>
    <w:rsid w:val="001D3B6C"/>
    <w:rsid w:val="001D4BED"/>
    <w:rsid w:val="001D52E9"/>
    <w:rsid w:val="001D5D94"/>
    <w:rsid w:val="001D63A1"/>
    <w:rsid w:val="001D750C"/>
    <w:rsid w:val="001D7B38"/>
    <w:rsid w:val="001D7B85"/>
    <w:rsid w:val="001E0067"/>
    <w:rsid w:val="001E0831"/>
    <w:rsid w:val="001E0922"/>
    <w:rsid w:val="001E0D3C"/>
    <w:rsid w:val="001E12A6"/>
    <w:rsid w:val="001E2625"/>
    <w:rsid w:val="001E2A1F"/>
    <w:rsid w:val="001E2E12"/>
    <w:rsid w:val="001E2FFA"/>
    <w:rsid w:val="001E3CA3"/>
    <w:rsid w:val="001E3E7E"/>
    <w:rsid w:val="001E4356"/>
    <w:rsid w:val="001E508C"/>
    <w:rsid w:val="001E53AD"/>
    <w:rsid w:val="001E661A"/>
    <w:rsid w:val="001E6B20"/>
    <w:rsid w:val="001E77A1"/>
    <w:rsid w:val="001E7B0C"/>
    <w:rsid w:val="001E7D59"/>
    <w:rsid w:val="001E7DF8"/>
    <w:rsid w:val="001F0394"/>
    <w:rsid w:val="001F2332"/>
    <w:rsid w:val="001F2892"/>
    <w:rsid w:val="001F2D18"/>
    <w:rsid w:val="001F313A"/>
    <w:rsid w:val="001F35F9"/>
    <w:rsid w:val="001F3F51"/>
    <w:rsid w:val="001F4C38"/>
    <w:rsid w:val="001F4E18"/>
    <w:rsid w:val="001F53F0"/>
    <w:rsid w:val="001F55E2"/>
    <w:rsid w:val="001F57C1"/>
    <w:rsid w:val="001F5D90"/>
    <w:rsid w:val="001F6635"/>
    <w:rsid w:val="001F6945"/>
    <w:rsid w:val="001F696F"/>
    <w:rsid w:val="001F78D0"/>
    <w:rsid w:val="00200E81"/>
    <w:rsid w:val="00201822"/>
    <w:rsid w:val="00201F43"/>
    <w:rsid w:val="00202070"/>
    <w:rsid w:val="00202759"/>
    <w:rsid w:val="00202A2B"/>
    <w:rsid w:val="00203ACE"/>
    <w:rsid w:val="00203BFE"/>
    <w:rsid w:val="00204835"/>
    <w:rsid w:val="00204EBA"/>
    <w:rsid w:val="00206255"/>
    <w:rsid w:val="00206563"/>
    <w:rsid w:val="00206645"/>
    <w:rsid w:val="00206A09"/>
    <w:rsid w:val="002074A0"/>
    <w:rsid w:val="00207CD5"/>
    <w:rsid w:val="00207FF3"/>
    <w:rsid w:val="002101B7"/>
    <w:rsid w:val="00210F8A"/>
    <w:rsid w:val="00211CAD"/>
    <w:rsid w:val="00211D66"/>
    <w:rsid w:val="00211E3C"/>
    <w:rsid w:val="00211EDC"/>
    <w:rsid w:val="00212288"/>
    <w:rsid w:val="00213351"/>
    <w:rsid w:val="00214289"/>
    <w:rsid w:val="002144E1"/>
    <w:rsid w:val="002147DC"/>
    <w:rsid w:val="00215005"/>
    <w:rsid w:val="002155CF"/>
    <w:rsid w:val="0021615C"/>
    <w:rsid w:val="002168F9"/>
    <w:rsid w:val="0021751F"/>
    <w:rsid w:val="00217611"/>
    <w:rsid w:val="0021764D"/>
    <w:rsid w:val="0022043E"/>
    <w:rsid w:val="002205B2"/>
    <w:rsid w:val="00220839"/>
    <w:rsid w:val="00220A69"/>
    <w:rsid w:val="00220BA5"/>
    <w:rsid w:val="0022176C"/>
    <w:rsid w:val="002219DC"/>
    <w:rsid w:val="00221EC7"/>
    <w:rsid w:val="00222489"/>
    <w:rsid w:val="00222B57"/>
    <w:rsid w:val="002231FF"/>
    <w:rsid w:val="00223227"/>
    <w:rsid w:val="00224302"/>
    <w:rsid w:val="00224547"/>
    <w:rsid w:val="00224CDF"/>
    <w:rsid w:val="00225330"/>
    <w:rsid w:val="0022538B"/>
    <w:rsid w:val="002255C3"/>
    <w:rsid w:val="00225797"/>
    <w:rsid w:val="00226AD9"/>
    <w:rsid w:val="00226B0F"/>
    <w:rsid w:val="002272E4"/>
    <w:rsid w:val="002278C7"/>
    <w:rsid w:val="002279E5"/>
    <w:rsid w:val="00227A42"/>
    <w:rsid w:val="00227C8A"/>
    <w:rsid w:val="00230014"/>
    <w:rsid w:val="002302C9"/>
    <w:rsid w:val="00230A58"/>
    <w:rsid w:val="00230B11"/>
    <w:rsid w:val="0023234F"/>
    <w:rsid w:val="002325F4"/>
    <w:rsid w:val="00232DDA"/>
    <w:rsid w:val="00232F63"/>
    <w:rsid w:val="00234013"/>
    <w:rsid w:val="0023438E"/>
    <w:rsid w:val="00234F0F"/>
    <w:rsid w:val="0023591C"/>
    <w:rsid w:val="002360FA"/>
    <w:rsid w:val="00236564"/>
    <w:rsid w:val="00236637"/>
    <w:rsid w:val="00236722"/>
    <w:rsid w:val="0023674E"/>
    <w:rsid w:val="0023691E"/>
    <w:rsid w:val="002369DB"/>
    <w:rsid w:val="00236BEC"/>
    <w:rsid w:val="002375FC"/>
    <w:rsid w:val="00237848"/>
    <w:rsid w:val="00237978"/>
    <w:rsid w:val="00237E55"/>
    <w:rsid w:val="00237F44"/>
    <w:rsid w:val="002407FB"/>
    <w:rsid w:val="002411DE"/>
    <w:rsid w:val="00241498"/>
    <w:rsid w:val="002418DC"/>
    <w:rsid w:val="00243D6D"/>
    <w:rsid w:val="00243F37"/>
    <w:rsid w:val="0024472F"/>
    <w:rsid w:val="00244C19"/>
    <w:rsid w:val="00245021"/>
    <w:rsid w:val="00245782"/>
    <w:rsid w:val="00245985"/>
    <w:rsid w:val="00245E3B"/>
    <w:rsid w:val="002478D9"/>
    <w:rsid w:val="00247A1D"/>
    <w:rsid w:val="00247F7B"/>
    <w:rsid w:val="0025002D"/>
    <w:rsid w:val="00250242"/>
    <w:rsid w:val="00250496"/>
    <w:rsid w:val="002507FE"/>
    <w:rsid w:val="00251B6F"/>
    <w:rsid w:val="0025217D"/>
    <w:rsid w:val="00252625"/>
    <w:rsid w:val="0025262C"/>
    <w:rsid w:val="002531FC"/>
    <w:rsid w:val="0025329F"/>
    <w:rsid w:val="00253613"/>
    <w:rsid w:val="00253B93"/>
    <w:rsid w:val="0025476E"/>
    <w:rsid w:val="002547F7"/>
    <w:rsid w:val="00254968"/>
    <w:rsid w:val="00254BA9"/>
    <w:rsid w:val="00255423"/>
    <w:rsid w:val="0025572D"/>
    <w:rsid w:val="00255984"/>
    <w:rsid w:val="00255CCE"/>
    <w:rsid w:val="00255EAF"/>
    <w:rsid w:val="00256114"/>
    <w:rsid w:val="002562D6"/>
    <w:rsid w:val="002564D6"/>
    <w:rsid w:val="00256C54"/>
    <w:rsid w:val="00256DFF"/>
    <w:rsid w:val="002570FA"/>
    <w:rsid w:val="0026027F"/>
    <w:rsid w:val="00260F1E"/>
    <w:rsid w:val="002611A5"/>
    <w:rsid w:val="00261576"/>
    <w:rsid w:val="00261744"/>
    <w:rsid w:val="00261BAC"/>
    <w:rsid w:val="00261DA0"/>
    <w:rsid w:val="0026216E"/>
    <w:rsid w:val="0026241D"/>
    <w:rsid w:val="002641DC"/>
    <w:rsid w:val="0026448B"/>
    <w:rsid w:val="00264C20"/>
    <w:rsid w:val="00264E88"/>
    <w:rsid w:val="00265351"/>
    <w:rsid w:val="0026686D"/>
    <w:rsid w:val="00266BFD"/>
    <w:rsid w:val="00267BD6"/>
    <w:rsid w:val="00267C04"/>
    <w:rsid w:val="00267E35"/>
    <w:rsid w:val="00270E72"/>
    <w:rsid w:val="002710FD"/>
    <w:rsid w:val="00271BCA"/>
    <w:rsid w:val="00272420"/>
    <w:rsid w:val="002738C6"/>
    <w:rsid w:val="00273BA2"/>
    <w:rsid w:val="002740E7"/>
    <w:rsid w:val="002742A0"/>
    <w:rsid w:val="00274CCB"/>
    <w:rsid w:val="00274CD6"/>
    <w:rsid w:val="00274F2B"/>
    <w:rsid w:val="0027535A"/>
    <w:rsid w:val="00275E7E"/>
    <w:rsid w:val="002760D9"/>
    <w:rsid w:val="002765B9"/>
    <w:rsid w:val="0027660C"/>
    <w:rsid w:val="002767EF"/>
    <w:rsid w:val="00276807"/>
    <w:rsid w:val="00276C12"/>
    <w:rsid w:val="0027742E"/>
    <w:rsid w:val="00277593"/>
    <w:rsid w:val="0027771D"/>
    <w:rsid w:val="00277CF3"/>
    <w:rsid w:val="002801A0"/>
    <w:rsid w:val="002812E7"/>
    <w:rsid w:val="00282DCB"/>
    <w:rsid w:val="00283D26"/>
    <w:rsid w:val="00284AC3"/>
    <w:rsid w:val="00284FF6"/>
    <w:rsid w:val="00285515"/>
    <w:rsid w:val="00285673"/>
    <w:rsid w:val="00285C5E"/>
    <w:rsid w:val="0028633A"/>
    <w:rsid w:val="00286551"/>
    <w:rsid w:val="00287D9B"/>
    <w:rsid w:val="00287FD2"/>
    <w:rsid w:val="00290372"/>
    <w:rsid w:val="00290A74"/>
    <w:rsid w:val="00291601"/>
    <w:rsid w:val="00291EFF"/>
    <w:rsid w:val="00291F50"/>
    <w:rsid w:val="00293727"/>
    <w:rsid w:val="00294111"/>
    <w:rsid w:val="002946E1"/>
    <w:rsid w:val="00295614"/>
    <w:rsid w:val="00296ACA"/>
    <w:rsid w:val="00297036"/>
    <w:rsid w:val="00297929"/>
    <w:rsid w:val="00297B8E"/>
    <w:rsid w:val="00297BEB"/>
    <w:rsid w:val="00297F0C"/>
    <w:rsid w:val="002A01A3"/>
    <w:rsid w:val="002A02E1"/>
    <w:rsid w:val="002A040E"/>
    <w:rsid w:val="002A08DE"/>
    <w:rsid w:val="002A0A53"/>
    <w:rsid w:val="002A0DE3"/>
    <w:rsid w:val="002A2059"/>
    <w:rsid w:val="002A21FD"/>
    <w:rsid w:val="002A2F30"/>
    <w:rsid w:val="002A3055"/>
    <w:rsid w:val="002A4649"/>
    <w:rsid w:val="002A4980"/>
    <w:rsid w:val="002A6385"/>
    <w:rsid w:val="002A674E"/>
    <w:rsid w:val="002A6C27"/>
    <w:rsid w:val="002A7413"/>
    <w:rsid w:val="002A7595"/>
    <w:rsid w:val="002A7D6D"/>
    <w:rsid w:val="002B0C83"/>
    <w:rsid w:val="002B1DB5"/>
    <w:rsid w:val="002B20BA"/>
    <w:rsid w:val="002B2389"/>
    <w:rsid w:val="002B29DD"/>
    <w:rsid w:val="002B315C"/>
    <w:rsid w:val="002B32B1"/>
    <w:rsid w:val="002B333E"/>
    <w:rsid w:val="002B3763"/>
    <w:rsid w:val="002B5649"/>
    <w:rsid w:val="002B5E75"/>
    <w:rsid w:val="002B5E82"/>
    <w:rsid w:val="002B657A"/>
    <w:rsid w:val="002B68F2"/>
    <w:rsid w:val="002B6B21"/>
    <w:rsid w:val="002B743A"/>
    <w:rsid w:val="002B76BA"/>
    <w:rsid w:val="002B799D"/>
    <w:rsid w:val="002B7BCC"/>
    <w:rsid w:val="002B7D05"/>
    <w:rsid w:val="002B7DE6"/>
    <w:rsid w:val="002B7F21"/>
    <w:rsid w:val="002C00DC"/>
    <w:rsid w:val="002C0E9C"/>
    <w:rsid w:val="002C2622"/>
    <w:rsid w:val="002C3239"/>
    <w:rsid w:val="002C37B7"/>
    <w:rsid w:val="002C43B4"/>
    <w:rsid w:val="002C55E3"/>
    <w:rsid w:val="002C5946"/>
    <w:rsid w:val="002C603D"/>
    <w:rsid w:val="002C6B76"/>
    <w:rsid w:val="002C7356"/>
    <w:rsid w:val="002C7828"/>
    <w:rsid w:val="002C7BA7"/>
    <w:rsid w:val="002C7D87"/>
    <w:rsid w:val="002D01DE"/>
    <w:rsid w:val="002D051E"/>
    <w:rsid w:val="002D0DEA"/>
    <w:rsid w:val="002D273E"/>
    <w:rsid w:val="002D33E0"/>
    <w:rsid w:val="002D3AB0"/>
    <w:rsid w:val="002D41F6"/>
    <w:rsid w:val="002D4830"/>
    <w:rsid w:val="002D4DF6"/>
    <w:rsid w:val="002D4E8F"/>
    <w:rsid w:val="002D5394"/>
    <w:rsid w:val="002D5407"/>
    <w:rsid w:val="002D5792"/>
    <w:rsid w:val="002D5D53"/>
    <w:rsid w:val="002D6A13"/>
    <w:rsid w:val="002D6C18"/>
    <w:rsid w:val="002D6F83"/>
    <w:rsid w:val="002D7957"/>
    <w:rsid w:val="002D7BF8"/>
    <w:rsid w:val="002E14EB"/>
    <w:rsid w:val="002E1A78"/>
    <w:rsid w:val="002E1B21"/>
    <w:rsid w:val="002E1B48"/>
    <w:rsid w:val="002E1EAE"/>
    <w:rsid w:val="002E21EA"/>
    <w:rsid w:val="002E2267"/>
    <w:rsid w:val="002E2911"/>
    <w:rsid w:val="002E2C62"/>
    <w:rsid w:val="002E2E76"/>
    <w:rsid w:val="002E3048"/>
    <w:rsid w:val="002E4448"/>
    <w:rsid w:val="002E46BF"/>
    <w:rsid w:val="002E5081"/>
    <w:rsid w:val="002E53F7"/>
    <w:rsid w:val="002E59F6"/>
    <w:rsid w:val="002E5EAE"/>
    <w:rsid w:val="002E6000"/>
    <w:rsid w:val="002E6205"/>
    <w:rsid w:val="002E6568"/>
    <w:rsid w:val="002E665B"/>
    <w:rsid w:val="002E6ADC"/>
    <w:rsid w:val="002E6C0D"/>
    <w:rsid w:val="002E7192"/>
    <w:rsid w:val="002E7412"/>
    <w:rsid w:val="002E78C1"/>
    <w:rsid w:val="002E7F4D"/>
    <w:rsid w:val="002F0009"/>
    <w:rsid w:val="002F075B"/>
    <w:rsid w:val="002F1752"/>
    <w:rsid w:val="002F2087"/>
    <w:rsid w:val="002F328C"/>
    <w:rsid w:val="002F3538"/>
    <w:rsid w:val="002F3988"/>
    <w:rsid w:val="002F41FA"/>
    <w:rsid w:val="002F46CD"/>
    <w:rsid w:val="002F5D4C"/>
    <w:rsid w:val="002F5DD0"/>
    <w:rsid w:val="002F7325"/>
    <w:rsid w:val="002F7656"/>
    <w:rsid w:val="00300BB2"/>
    <w:rsid w:val="003018FB"/>
    <w:rsid w:val="00301D7B"/>
    <w:rsid w:val="003023EE"/>
    <w:rsid w:val="00302A67"/>
    <w:rsid w:val="00302C68"/>
    <w:rsid w:val="0030325C"/>
    <w:rsid w:val="00303DDE"/>
    <w:rsid w:val="00303F74"/>
    <w:rsid w:val="003047C1"/>
    <w:rsid w:val="00304AA6"/>
    <w:rsid w:val="00304CA8"/>
    <w:rsid w:val="00305C05"/>
    <w:rsid w:val="0030677A"/>
    <w:rsid w:val="0030714F"/>
    <w:rsid w:val="00307240"/>
    <w:rsid w:val="00307248"/>
    <w:rsid w:val="0030736A"/>
    <w:rsid w:val="003073F1"/>
    <w:rsid w:val="00307464"/>
    <w:rsid w:val="00307811"/>
    <w:rsid w:val="00310311"/>
    <w:rsid w:val="0031149C"/>
    <w:rsid w:val="003115AC"/>
    <w:rsid w:val="003115C0"/>
    <w:rsid w:val="003117C0"/>
    <w:rsid w:val="00311919"/>
    <w:rsid w:val="00311CDB"/>
    <w:rsid w:val="00311FA0"/>
    <w:rsid w:val="00312AE2"/>
    <w:rsid w:val="00312BB1"/>
    <w:rsid w:val="00312E8B"/>
    <w:rsid w:val="003138C9"/>
    <w:rsid w:val="00313BBB"/>
    <w:rsid w:val="003140B5"/>
    <w:rsid w:val="003166AC"/>
    <w:rsid w:val="00320481"/>
    <w:rsid w:val="00321D9F"/>
    <w:rsid w:val="00322804"/>
    <w:rsid w:val="003229F3"/>
    <w:rsid w:val="00322B46"/>
    <w:rsid w:val="00323297"/>
    <w:rsid w:val="00323EF7"/>
    <w:rsid w:val="003256A4"/>
    <w:rsid w:val="00325AC8"/>
    <w:rsid w:val="00325F5C"/>
    <w:rsid w:val="00326254"/>
    <w:rsid w:val="003267C9"/>
    <w:rsid w:val="003279B7"/>
    <w:rsid w:val="00327C64"/>
    <w:rsid w:val="00330134"/>
    <w:rsid w:val="003304E4"/>
    <w:rsid w:val="00330611"/>
    <w:rsid w:val="003306F7"/>
    <w:rsid w:val="00333073"/>
    <w:rsid w:val="00333279"/>
    <w:rsid w:val="00334158"/>
    <w:rsid w:val="0033434D"/>
    <w:rsid w:val="00334A79"/>
    <w:rsid w:val="00335080"/>
    <w:rsid w:val="00335518"/>
    <w:rsid w:val="003370E0"/>
    <w:rsid w:val="003375B3"/>
    <w:rsid w:val="003376CB"/>
    <w:rsid w:val="0033785B"/>
    <w:rsid w:val="00340673"/>
    <w:rsid w:val="00340B54"/>
    <w:rsid w:val="003414D4"/>
    <w:rsid w:val="003417D7"/>
    <w:rsid w:val="00341832"/>
    <w:rsid w:val="00343728"/>
    <w:rsid w:val="0034389C"/>
    <w:rsid w:val="00343BEF"/>
    <w:rsid w:val="00344297"/>
    <w:rsid w:val="003446E5"/>
    <w:rsid w:val="0034482D"/>
    <w:rsid w:val="003448E7"/>
    <w:rsid w:val="003450AE"/>
    <w:rsid w:val="0034516D"/>
    <w:rsid w:val="00345277"/>
    <w:rsid w:val="0034535A"/>
    <w:rsid w:val="00345830"/>
    <w:rsid w:val="00345ABA"/>
    <w:rsid w:val="00346DEE"/>
    <w:rsid w:val="00347778"/>
    <w:rsid w:val="00347D67"/>
    <w:rsid w:val="00347E3A"/>
    <w:rsid w:val="00347EC8"/>
    <w:rsid w:val="00350384"/>
    <w:rsid w:val="00350A3F"/>
    <w:rsid w:val="0035100A"/>
    <w:rsid w:val="00351CE4"/>
    <w:rsid w:val="003524E6"/>
    <w:rsid w:val="00352B0A"/>
    <w:rsid w:val="00352FFF"/>
    <w:rsid w:val="00353232"/>
    <w:rsid w:val="003539BC"/>
    <w:rsid w:val="00354018"/>
    <w:rsid w:val="00354670"/>
    <w:rsid w:val="00354DF0"/>
    <w:rsid w:val="0035583A"/>
    <w:rsid w:val="00356141"/>
    <w:rsid w:val="003563B2"/>
    <w:rsid w:val="0035696F"/>
    <w:rsid w:val="00356A78"/>
    <w:rsid w:val="00356EEE"/>
    <w:rsid w:val="003575F6"/>
    <w:rsid w:val="00360A4E"/>
    <w:rsid w:val="00361776"/>
    <w:rsid w:val="0036178C"/>
    <w:rsid w:val="00361A80"/>
    <w:rsid w:val="00361B6E"/>
    <w:rsid w:val="003629DD"/>
    <w:rsid w:val="00362E76"/>
    <w:rsid w:val="00363071"/>
    <w:rsid w:val="003633A6"/>
    <w:rsid w:val="00363B21"/>
    <w:rsid w:val="00363CEF"/>
    <w:rsid w:val="00363F91"/>
    <w:rsid w:val="00364DE5"/>
    <w:rsid w:val="00365095"/>
    <w:rsid w:val="0036564F"/>
    <w:rsid w:val="003656C3"/>
    <w:rsid w:val="00365708"/>
    <w:rsid w:val="00366494"/>
    <w:rsid w:val="00366840"/>
    <w:rsid w:val="00366E68"/>
    <w:rsid w:val="00371AAE"/>
    <w:rsid w:val="00371F07"/>
    <w:rsid w:val="003727ED"/>
    <w:rsid w:val="003729F6"/>
    <w:rsid w:val="00373007"/>
    <w:rsid w:val="00373395"/>
    <w:rsid w:val="003734F5"/>
    <w:rsid w:val="0037400F"/>
    <w:rsid w:val="00374685"/>
    <w:rsid w:val="00374910"/>
    <w:rsid w:val="00374959"/>
    <w:rsid w:val="00374B8F"/>
    <w:rsid w:val="00374D00"/>
    <w:rsid w:val="003751C1"/>
    <w:rsid w:val="0037549A"/>
    <w:rsid w:val="00375734"/>
    <w:rsid w:val="003758AC"/>
    <w:rsid w:val="00375A2E"/>
    <w:rsid w:val="00375D20"/>
    <w:rsid w:val="00375D4F"/>
    <w:rsid w:val="00376871"/>
    <w:rsid w:val="003771DF"/>
    <w:rsid w:val="00377350"/>
    <w:rsid w:val="00377804"/>
    <w:rsid w:val="00377BF9"/>
    <w:rsid w:val="00377F25"/>
    <w:rsid w:val="0038011D"/>
    <w:rsid w:val="00380353"/>
    <w:rsid w:val="003804F9"/>
    <w:rsid w:val="00380A93"/>
    <w:rsid w:val="00380EC1"/>
    <w:rsid w:val="003820A0"/>
    <w:rsid w:val="00382111"/>
    <w:rsid w:val="0038214D"/>
    <w:rsid w:val="003822D2"/>
    <w:rsid w:val="003824BA"/>
    <w:rsid w:val="00382E5E"/>
    <w:rsid w:val="0038386F"/>
    <w:rsid w:val="00384D12"/>
    <w:rsid w:val="003851C7"/>
    <w:rsid w:val="003851D9"/>
    <w:rsid w:val="0038702D"/>
    <w:rsid w:val="00387C5A"/>
    <w:rsid w:val="00391553"/>
    <w:rsid w:val="00391AE7"/>
    <w:rsid w:val="00392513"/>
    <w:rsid w:val="00393235"/>
    <w:rsid w:val="003937B3"/>
    <w:rsid w:val="003937D7"/>
    <w:rsid w:val="0039381A"/>
    <w:rsid w:val="0039432D"/>
    <w:rsid w:val="00394ADC"/>
    <w:rsid w:val="00394D7F"/>
    <w:rsid w:val="0039519A"/>
    <w:rsid w:val="00395CF9"/>
    <w:rsid w:val="00396237"/>
    <w:rsid w:val="003966E1"/>
    <w:rsid w:val="00396CE9"/>
    <w:rsid w:val="00397043"/>
    <w:rsid w:val="00397623"/>
    <w:rsid w:val="00397848"/>
    <w:rsid w:val="00397F4B"/>
    <w:rsid w:val="003A0447"/>
    <w:rsid w:val="003A062E"/>
    <w:rsid w:val="003A1297"/>
    <w:rsid w:val="003A1357"/>
    <w:rsid w:val="003A1DC9"/>
    <w:rsid w:val="003A28F8"/>
    <w:rsid w:val="003A2C71"/>
    <w:rsid w:val="003A40BB"/>
    <w:rsid w:val="003A4AB9"/>
    <w:rsid w:val="003A570A"/>
    <w:rsid w:val="003A5A32"/>
    <w:rsid w:val="003A5DCC"/>
    <w:rsid w:val="003A6854"/>
    <w:rsid w:val="003A6E70"/>
    <w:rsid w:val="003A6F43"/>
    <w:rsid w:val="003A7106"/>
    <w:rsid w:val="003B0A4B"/>
    <w:rsid w:val="003B0C78"/>
    <w:rsid w:val="003B0D91"/>
    <w:rsid w:val="003B0FE2"/>
    <w:rsid w:val="003B120D"/>
    <w:rsid w:val="003B14F8"/>
    <w:rsid w:val="003B1AB8"/>
    <w:rsid w:val="003B212F"/>
    <w:rsid w:val="003B2233"/>
    <w:rsid w:val="003B256C"/>
    <w:rsid w:val="003B25A7"/>
    <w:rsid w:val="003B2AAE"/>
    <w:rsid w:val="003B2BAC"/>
    <w:rsid w:val="003B2BEB"/>
    <w:rsid w:val="003B3B2E"/>
    <w:rsid w:val="003B3B9D"/>
    <w:rsid w:val="003B458F"/>
    <w:rsid w:val="003B46EE"/>
    <w:rsid w:val="003B5040"/>
    <w:rsid w:val="003B52BF"/>
    <w:rsid w:val="003B5A45"/>
    <w:rsid w:val="003B6968"/>
    <w:rsid w:val="003C0498"/>
    <w:rsid w:val="003C0D1F"/>
    <w:rsid w:val="003C1089"/>
    <w:rsid w:val="003C1338"/>
    <w:rsid w:val="003C1596"/>
    <w:rsid w:val="003C18EF"/>
    <w:rsid w:val="003C1F74"/>
    <w:rsid w:val="003C27BA"/>
    <w:rsid w:val="003C285D"/>
    <w:rsid w:val="003C317D"/>
    <w:rsid w:val="003C391B"/>
    <w:rsid w:val="003C5977"/>
    <w:rsid w:val="003C5F22"/>
    <w:rsid w:val="003C6027"/>
    <w:rsid w:val="003C6305"/>
    <w:rsid w:val="003C66BD"/>
    <w:rsid w:val="003C6EBD"/>
    <w:rsid w:val="003C76A3"/>
    <w:rsid w:val="003C7779"/>
    <w:rsid w:val="003C779B"/>
    <w:rsid w:val="003C77D2"/>
    <w:rsid w:val="003D1F8F"/>
    <w:rsid w:val="003D2680"/>
    <w:rsid w:val="003D27F6"/>
    <w:rsid w:val="003D3349"/>
    <w:rsid w:val="003D3F6D"/>
    <w:rsid w:val="003D42F0"/>
    <w:rsid w:val="003D470B"/>
    <w:rsid w:val="003D49FB"/>
    <w:rsid w:val="003D4DFB"/>
    <w:rsid w:val="003D5160"/>
    <w:rsid w:val="003D5E20"/>
    <w:rsid w:val="003D5EEC"/>
    <w:rsid w:val="003D630E"/>
    <w:rsid w:val="003D6E43"/>
    <w:rsid w:val="003D72BB"/>
    <w:rsid w:val="003D73EE"/>
    <w:rsid w:val="003D754E"/>
    <w:rsid w:val="003E01EA"/>
    <w:rsid w:val="003E0B15"/>
    <w:rsid w:val="003E0CED"/>
    <w:rsid w:val="003E0ECB"/>
    <w:rsid w:val="003E1AEE"/>
    <w:rsid w:val="003E1C09"/>
    <w:rsid w:val="003E1D6E"/>
    <w:rsid w:val="003E2E5B"/>
    <w:rsid w:val="003E31ED"/>
    <w:rsid w:val="003E3851"/>
    <w:rsid w:val="003E3C21"/>
    <w:rsid w:val="003E3E33"/>
    <w:rsid w:val="003E40DA"/>
    <w:rsid w:val="003E4108"/>
    <w:rsid w:val="003E4542"/>
    <w:rsid w:val="003E4586"/>
    <w:rsid w:val="003E4EA3"/>
    <w:rsid w:val="003E4FFD"/>
    <w:rsid w:val="003E50CF"/>
    <w:rsid w:val="003E590F"/>
    <w:rsid w:val="003E6A83"/>
    <w:rsid w:val="003E6CAF"/>
    <w:rsid w:val="003E6F86"/>
    <w:rsid w:val="003E7291"/>
    <w:rsid w:val="003E787B"/>
    <w:rsid w:val="003E7912"/>
    <w:rsid w:val="003F022A"/>
    <w:rsid w:val="003F0317"/>
    <w:rsid w:val="003F0420"/>
    <w:rsid w:val="003F052A"/>
    <w:rsid w:val="003F068E"/>
    <w:rsid w:val="003F0887"/>
    <w:rsid w:val="003F0888"/>
    <w:rsid w:val="003F100B"/>
    <w:rsid w:val="003F1A84"/>
    <w:rsid w:val="003F1E62"/>
    <w:rsid w:val="003F2448"/>
    <w:rsid w:val="003F2698"/>
    <w:rsid w:val="003F31D7"/>
    <w:rsid w:val="003F4207"/>
    <w:rsid w:val="003F4509"/>
    <w:rsid w:val="003F466C"/>
    <w:rsid w:val="003F4E83"/>
    <w:rsid w:val="003F548B"/>
    <w:rsid w:val="003F54D4"/>
    <w:rsid w:val="003F5726"/>
    <w:rsid w:val="003F57B0"/>
    <w:rsid w:val="003F5A69"/>
    <w:rsid w:val="003F5B30"/>
    <w:rsid w:val="003F6301"/>
    <w:rsid w:val="003F6A4F"/>
    <w:rsid w:val="003F7614"/>
    <w:rsid w:val="003F7A1F"/>
    <w:rsid w:val="0040031B"/>
    <w:rsid w:val="004008DB"/>
    <w:rsid w:val="0040117D"/>
    <w:rsid w:val="00401666"/>
    <w:rsid w:val="004029FD"/>
    <w:rsid w:val="00403E91"/>
    <w:rsid w:val="0040438A"/>
    <w:rsid w:val="004050A0"/>
    <w:rsid w:val="0040548C"/>
    <w:rsid w:val="00405608"/>
    <w:rsid w:val="004068C9"/>
    <w:rsid w:val="00406B71"/>
    <w:rsid w:val="00407DDB"/>
    <w:rsid w:val="00410124"/>
    <w:rsid w:val="0041076B"/>
    <w:rsid w:val="004113CF"/>
    <w:rsid w:val="00411581"/>
    <w:rsid w:val="0041301A"/>
    <w:rsid w:val="004131D3"/>
    <w:rsid w:val="0041380D"/>
    <w:rsid w:val="00413D43"/>
    <w:rsid w:val="0041415C"/>
    <w:rsid w:val="0041479F"/>
    <w:rsid w:val="00414BEC"/>
    <w:rsid w:val="00415398"/>
    <w:rsid w:val="00415402"/>
    <w:rsid w:val="004156DC"/>
    <w:rsid w:val="00415798"/>
    <w:rsid w:val="00415957"/>
    <w:rsid w:val="00415F03"/>
    <w:rsid w:val="004174B0"/>
    <w:rsid w:val="00417E51"/>
    <w:rsid w:val="0042057C"/>
    <w:rsid w:val="004209EA"/>
    <w:rsid w:val="00420CA5"/>
    <w:rsid w:val="00420DD4"/>
    <w:rsid w:val="00420F48"/>
    <w:rsid w:val="004220B1"/>
    <w:rsid w:val="004220D7"/>
    <w:rsid w:val="00422220"/>
    <w:rsid w:val="00422ADD"/>
    <w:rsid w:val="004234AF"/>
    <w:rsid w:val="00424C7A"/>
    <w:rsid w:val="0042571C"/>
    <w:rsid w:val="00425AAC"/>
    <w:rsid w:val="00425AEC"/>
    <w:rsid w:val="00425FB4"/>
    <w:rsid w:val="004261B3"/>
    <w:rsid w:val="00426790"/>
    <w:rsid w:val="004269A9"/>
    <w:rsid w:val="00426A00"/>
    <w:rsid w:val="00426A5B"/>
    <w:rsid w:val="00426A6A"/>
    <w:rsid w:val="00426DD0"/>
    <w:rsid w:val="00427237"/>
    <w:rsid w:val="0042766D"/>
    <w:rsid w:val="00427957"/>
    <w:rsid w:val="00427E0A"/>
    <w:rsid w:val="00430565"/>
    <w:rsid w:val="00430652"/>
    <w:rsid w:val="004307FC"/>
    <w:rsid w:val="00430A84"/>
    <w:rsid w:val="00430BB0"/>
    <w:rsid w:val="00430D09"/>
    <w:rsid w:val="00430D86"/>
    <w:rsid w:val="00431BE2"/>
    <w:rsid w:val="00431F4B"/>
    <w:rsid w:val="00432DC4"/>
    <w:rsid w:val="004339F5"/>
    <w:rsid w:val="00433C95"/>
    <w:rsid w:val="00433D21"/>
    <w:rsid w:val="0043440E"/>
    <w:rsid w:val="0043494C"/>
    <w:rsid w:val="0043556C"/>
    <w:rsid w:val="004375DA"/>
    <w:rsid w:val="00437F01"/>
    <w:rsid w:val="0044070C"/>
    <w:rsid w:val="0044075F"/>
    <w:rsid w:val="00440A8F"/>
    <w:rsid w:val="00440BAD"/>
    <w:rsid w:val="00442798"/>
    <w:rsid w:val="00442928"/>
    <w:rsid w:val="00442A96"/>
    <w:rsid w:val="00442C81"/>
    <w:rsid w:val="00442DFF"/>
    <w:rsid w:val="004430BF"/>
    <w:rsid w:val="004448D8"/>
    <w:rsid w:val="0044509E"/>
    <w:rsid w:val="004457AE"/>
    <w:rsid w:val="0044619D"/>
    <w:rsid w:val="00447D88"/>
    <w:rsid w:val="00450049"/>
    <w:rsid w:val="0045006E"/>
    <w:rsid w:val="0045177C"/>
    <w:rsid w:val="00451BBA"/>
    <w:rsid w:val="00451D1D"/>
    <w:rsid w:val="00452F50"/>
    <w:rsid w:val="00453A75"/>
    <w:rsid w:val="00453B02"/>
    <w:rsid w:val="00454243"/>
    <w:rsid w:val="00454424"/>
    <w:rsid w:val="00454BED"/>
    <w:rsid w:val="00454C54"/>
    <w:rsid w:val="00455279"/>
    <w:rsid w:val="004557DD"/>
    <w:rsid w:val="00455E98"/>
    <w:rsid w:val="0045602B"/>
    <w:rsid w:val="0045606E"/>
    <w:rsid w:val="0045614F"/>
    <w:rsid w:val="00456227"/>
    <w:rsid w:val="004563D6"/>
    <w:rsid w:val="00456C0D"/>
    <w:rsid w:val="004570F9"/>
    <w:rsid w:val="0045763D"/>
    <w:rsid w:val="00457ECF"/>
    <w:rsid w:val="00461A6B"/>
    <w:rsid w:val="004627B8"/>
    <w:rsid w:val="0046377D"/>
    <w:rsid w:val="004637B2"/>
    <w:rsid w:val="00463EB2"/>
    <w:rsid w:val="004640DF"/>
    <w:rsid w:val="004649C2"/>
    <w:rsid w:val="00464DF6"/>
    <w:rsid w:val="00464FC5"/>
    <w:rsid w:val="00465575"/>
    <w:rsid w:val="004657F9"/>
    <w:rsid w:val="00465F6D"/>
    <w:rsid w:val="004664A7"/>
    <w:rsid w:val="004664B9"/>
    <w:rsid w:val="00466AC6"/>
    <w:rsid w:val="00466B0D"/>
    <w:rsid w:val="00466E14"/>
    <w:rsid w:val="00467510"/>
    <w:rsid w:val="00467A3D"/>
    <w:rsid w:val="004700AC"/>
    <w:rsid w:val="00472B6A"/>
    <w:rsid w:val="00472E57"/>
    <w:rsid w:val="00474028"/>
    <w:rsid w:val="004740EF"/>
    <w:rsid w:val="00474435"/>
    <w:rsid w:val="0047473E"/>
    <w:rsid w:val="00474B77"/>
    <w:rsid w:val="0047502D"/>
    <w:rsid w:val="00475645"/>
    <w:rsid w:val="00475FCC"/>
    <w:rsid w:val="00476660"/>
    <w:rsid w:val="00476988"/>
    <w:rsid w:val="00476A78"/>
    <w:rsid w:val="00480C2D"/>
    <w:rsid w:val="00480DED"/>
    <w:rsid w:val="00481174"/>
    <w:rsid w:val="004812C6"/>
    <w:rsid w:val="0048145D"/>
    <w:rsid w:val="00481559"/>
    <w:rsid w:val="00481B3F"/>
    <w:rsid w:val="0048470C"/>
    <w:rsid w:val="00485151"/>
    <w:rsid w:val="004857F1"/>
    <w:rsid w:val="004858D0"/>
    <w:rsid w:val="00486149"/>
    <w:rsid w:val="004875B9"/>
    <w:rsid w:val="00490104"/>
    <w:rsid w:val="00490149"/>
    <w:rsid w:val="00490A72"/>
    <w:rsid w:val="00490F40"/>
    <w:rsid w:val="00491396"/>
    <w:rsid w:val="00491576"/>
    <w:rsid w:val="004915FF"/>
    <w:rsid w:val="0049170B"/>
    <w:rsid w:val="00491BDA"/>
    <w:rsid w:val="00491E21"/>
    <w:rsid w:val="004921C2"/>
    <w:rsid w:val="00493494"/>
    <w:rsid w:val="00493994"/>
    <w:rsid w:val="004939D6"/>
    <w:rsid w:val="00493C15"/>
    <w:rsid w:val="004940D7"/>
    <w:rsid w:val="0049465A"/>
    <w:rsid w:val="0049466B"/>
    <w:rsid w:val="0049564E"/>
    <w:rsid w:val="004958B7"/>
    <w:rsid w:val="00495BAE"/>
    <w:rsid w:val="004960C1"/>
    <w:rsid w:val="00496804"/>
    <w:rsid w:val="0049684A"/>
    <w:rsid w:val="00496DDC"/>
    <w:rsid w:val="004973A1"/>
    <w:rsid w:val="00497CB5"/>
    <w:rsid w:val="00497F31"/>
    <w:rsid w:val="004A03FB"/>
    <w:rsid w:val="004A0698"/>
    <w:rsid w:val="004A0C15"/>
    <w:rsid w:val="004A1454"/>
    <w:rsid w:val="004A15FA"/>
    <w:rsid w:val="004A16D4"/>
    <w:rsid w:val="004A2058"/>
    <w:rsid w:val="004A2223"/>
    <w:rsid w:val="004A24DF"/>
    <w:rsid w:val="004A2C1F"/>
    <w:rsid w:val="004A3267"/>
    <w:rsid w:val="004A328C"/>
    <w:rsid w:val="004A36A9"/>
    <w:rsid w:val="004A4242"/>
    <w:rsid w:val="004A4DB7"/>
    <w:rsid w:val="004A6D93"/>
    <w:rsid w:val="004A7909"/>
    <w:rsid w:val="004B0056"/>
    <w:rsid w:val="004B060E"/>
    <w:rsid w:val="004B068D"/>
    <w:rsid w:val="004B06D6"/>
    <w:rsid w:val="004B0C79"/>
    <w:rsid w:val="004B1568"/>
    <w:rsid w:val="004B1C70"/>
    <w:rsid w:val="004B2FA1"/>
    <w:rsid w:val="004B329D"/>
    <w:rsid w:val="004B36FC"/>
    <w:rsid w:val="004B38E6"/>
    <w:rsid w:val="004B393E"/>
    <w:rsid w:val="004B39F4"/>
    <w:rsid w:val="004B3BDB"/>
    <w:rsid w:val="004B3FFB"/>
    <w:rsid w:val="004B445D"/>
    <w:rsid w:val="004B44BB"/>
    <w:rsid w:val="004B4692"/>
    <w:rsid w:val="004B47F1"/>
    <w:rsid w:val="004B4BF2"/>
    <w:rsid w:val="004B51EF"/>
    <w:rsid w:val="004B51F9"/>
    <w:rsid w:val="004B591F"/>
    <w:rsid w:val="004B5DCB"/>
    <w:rsid w:val="004B5EE7"/>
    <w:rsid w:val="004B60A0"/>
    <w:rsid w:val="004B66C6"/>
    <w:rsid w:val="004B66DB"/>
    <w:rsid w:val="004B6EE0"/>
    <w:rsid w:val="004B75E0"/>
    <w:rsid w:val="004B7BEA"/>
    <w:rsid w:val="004C0344"/>
    <w:rsid w:val="004C03C4"/>
    <w:rsid w:val="004C0ED5"/>
    <w:rsid w:val="004C158C"/>
    <w:rsid w:val="004C15E6"/>
    <w:rsid w:val="004C1B31"/>
    <w:rsid w:val="004C273C"/>
    <w:rsid w:val="004C29BF"/>
    <w:rsid w:val="004C4601"/>
    <w:rsid w:val="004C4675"/>
    <w:rsid w:val="004C4701"/>
    <w:rsid w:val="004C49AA"/>
    <w:rsid w:val="004C4EA5"/>
    <w:rsid w:val="004C508E"/>
    <w:rsid w:val="004C5AF2"/>
    <w:rsid w:val="004C6493"/>
    <w:rsid w:val="004C6AA9"/>
    <w:rsid w:val="004C798C"/>
    <w:rsid w:val="004C7A17"/>
    <w:rsid w:val="004D043B"/>
    <w:rsid w:val="004D071B"/>
    <w:rsid w:val="004D0FCE"/>
    <w:rsid w:val="004D1175"/>
    <w:rsid w:val="004D1E0F"/>
    <w:rsid w:val="004D2067"/>
    <w:rsid w:val="004D2689"/>
    <w:rsid w:val="004D3844"/>
    <w:rsid w:val="004D4020"/>
    <w:rsid w:val="004D408E"/>
    <w:rsid w:val="004D41ED"/>
    <w:rsid w:val="004D4CDA"/>
    <w:rsid w:val="004D56E0"/>
    <w:rsid w:val="004D5C03"/>
    <w:rsid w:val="004D62F0"/>
    <w:rsid w:val="004D6409"/>
    <w:rsid w:val="004D649A"/>
    <w:rsid w:val="004D6529"/>
    <w:rsid w:val="004D6AD3"/>
    <w:rsid w:val="004D6B52"/>
    <w:rsid w:val="004D6EBD"/>
    <w:rsid w:val="004E08DE"/>
    <w:rsid w:val="004E15AF"/>
    <w:rsid w:val="004E283F"/>
    <w:rsid w:val="004E2A10"/>
    <w:rsid w:val="004E2DBD"/>
    <w:rsid w:val="004E3733"/>
    <w:rsid w:val="004E37CF"/>
    <w:rsid w:val="004E38BD"/>
    <w:rsid w:val="004E3DAC"/>
    <w:rsid w:val="004E3EC2"/>
    <w:rsid w:val="004E4462"/>
    <w:rsid w:val="004E4F3C"/>
    <w:rsid w:val="004E4FFB"/>
    <w:rsid w:val="004E565E"/>
    <w:rsid w:val="004E58DA"/>
    <w:rsid w:val="004E5D4A"/>
    <w:rsid w:val="004E753A"/>
    <w:rsid w:val="004F04C0"/>
    <w:rsid w:val="004F06E3"/>
    <w:rsid w:val="004F08C5"/>
    <w:rsid w:val="004F0A0A"/>
    <w:rsid w:val="004F0B48"/>
    <w:rsid w:val="004F0D7A"/>
    <w:rsid w:val="004F17ED"/>
    <w:rsid w:val="004F1E3E"/>
    <w:rsid w:val="004F206C"/>
    <w:rsid w:val="004F226F"/>
    <w:rsid w:val="004F307C"/>
    <w:rsid w:val="004F48B9"/>
    <w:rsid w:val="004F5661"/>
    <w:rsid w:val="004F5FBF"/>
    <w:rsid w:val="004F640A"/>
    <w:rsid w:val="004F6DDF"/>
    <w:rsid w:val="004F6EC3"/>
    <w:rsid w:val="004F7660"/>
    <w:rsid w:val="004F7B99"/>
    <w:rsid w:val="00500210"/>
    <w:rsid w:val="00500394"/>
    <w:rsid w:val="005005B3"/>
    <w:rsid w:val="005005FB"/>
    <w:rsid w:val="00501051"/>
    <w:rsid w:val="005014EB"/>
    <w:rsid w:val="00501635"/>
    <w:rsid w:val="00501D71"/>
    <w:rsid w:val="00501E1A"/>
    <w:rsid w:val="00503170"/>
    <w:rsid w:val="005036E5"/>
    <w:rsid w:val="00503F2F"/>
    <w:rsid w:val="0050498A"/>
    <w:rsid w:val="00504D93"/>
    <w:rsid w:val="00504DBB"/>
    <w:rsid w:val="00505085"/>
    <w:rsid w:val="00505DFD"/>
    <w:rsid w:val="0050613A"/>
    <w:rsid w:val="00506A90"/>
    <w:rsid w:val="00506D55"/>
    <w:rsid w:val="00506EBA"/>
    <w:rsid w:val="00507048"/>
    <w:rsid w:val="0050741D"/>
    <w:rsid w:val="0050778A"/>
    <w:rsid w:val="00507955"/>
    <w:rsid w:val="00507C3B"/>
    <w:rsid w:val="0051010A"/>
    <w:rsid w:val="00511461"/>
    <w:rsid w:val="0051209D"/>
    <w:rsid w:val="0051225A"/>
    <w:rsid w:val="00512795"/>
    <w:rsid w:val="005127FA"/>
    <w:rsid w:val="00512A30"/>
    <w:rsid w:val="00512BC0"/>
    <w:rsid w:val="00513144"/>
    <w:rsid w:val="0051334C"/>
    <w:rsid w:val="005133F3"/>
    <w:rsid w:val="00514256"/>
    <w:rsid w:val="00514734"/>
    <w:rsid w:val="0051493E"/>
    <w:rsid w:val="00514B7D"/>
    <w:rsid w:val="00515575"/>
    <w:rsid w:val="00515AA8"/>
    <w:rsid w:val="00515B6A"/>
    <w:rsid w:val="00516B61"/>
    <w:rsid w:val="00516BD9"/>
    <w:rsid w:val="00517975"/>
    <w:rsid w:val="00517D74"/>
    <w:rsid w:val="005201F8"/>
    <w:rsid w:val="005210B5"/>
    <w:rsid w:val="0052130C"/>
    <w:rsid w:val="00521868"/>
    <w:rsid w:val="00521E1D"/>
    <w:rsid w:val="00522200"/>
    <w:rsid w:val="0052352F"/>
    <w:rsid w:val="0052372D"/>
    <w:rsid w:val="005254B4"/>
    <w:rsid w:val="00525E35"/>
    <w:rsid w:val="00525F78"/>
    <w:rsid w:val="00525FC8"/>
    <w:rsid w:val="0052636E"/>
    <w:rsid w:val="00526532"/>
    <w:rsid w:val="00526FE3"/>
    <w:rsid w:val="00527028"/>
    <w:rsid w:val="00527971"/>
    <w:rsid w:val="00527EB2"/>
    <w:rsid w:val="00530900"/>
    <w:rsid w:val="00531D65"/>
    <w:rsid w:val="00532AAC"/>
    <w:rsid w:val="00532C6D"/>
    <w:rsid w:val="00532F0A"/>
    <w:rsid w:val="00533DDF"/>
    <w:rsid w:val="00534371"/>
    <w:rsid w:val="005356C0"/>
    <w:rsid w:val="005359FA"/>
    <w:rsid w:val="00535A2A"/>
    <w:rsid w:val="00535A46"/>
    <w:rsid w:val="005363F8"/>
    <w:rsid w:val="00536515"/>
    <w:rsid w:val="00536ABA"/>
    <w:rsid w:val="00536E91"/>
    <w:rsid w:val="00537280"/>
    <w:rsid w:val="0053765D"/>
    <w:rsid w:val="00537889"/>
    <w:rsid w:val="00540256"/>
    <w:rsid w:val="00540320"/>
    <w:rsid w:val="005403F2"/>
    <w:rsid w:val="005405F4"/>
    <w:rsid w:val="00540AC4"/>
    <w:rsid w:val="00540D3A"/>
    <w:rsid w:val="005411CC"/>
    <w:rsid w:val="005411E7"/>
    <w:rsid w:val="00542197"/>
    <w:rsid w:val="005429A4"/>
    <w:rsid w:val="00543AED"/>
    <w:rsid w:val="00543D70"/>
    <w:rsid w:val="00544135"/>
    <w:rsid w:val="00544606"/>
    <w:rsid w:val="00544A87"/>
    <w:rsid w:val="00544BC3"/>
    <w:rsid w:val="00544C04"/>
    <w:rsid w:val="00544E22"/>
    <w:rsid w:val="00545391"/>
    <w:rsid w:val="00545566"/>
    <w:rsid w:val="0054573E"/>
    <w:rsid w:val="005466C6"/>
    <w:rsid w:val="00547726"/>
    <w:rsid w:val="00547BDE"/>
    <w:rsid w:val="00547C66"/>
    <w:rsid w:val="0055064C"/>
    <w:rsid w:val="005507AE"/>
    <w:rsid w:val="0055152C"/>
    <w:rsid w:val="0055196E"/>
    <w:rsid w:val="00551AAA"/>
    <w:rsid w:val="00551E9F"/>
    <w:rsid w:val="005521BC"/>
    <w:rsid w:val="00553304"/>
    <w:rsid w:val="005533C4"/>
    <w:rsid w:val="00553622"/>
    <w:rsid w:val="00554137"/>
    <w:rsid w:val="00554521"/>
    <w:rsid w:val="00554879"/>
    <w:rsid w:val="005554A1"/>
    <w:rsid w:val="005559B2"/>
    <w:rsid w:val="00556435"/>
    <w:rsid w:val="00557317"/>
    <w:rsid w:val="00557B83"/>
    <w:rsid w:val="00557CD6"/>
    <w:rsid w:val="00560238"/>
    <w:rsid w:val="0056081E"/>
    <w:rsid w:val="005609C7"/>
    <w:rsid w:val="0056158C"/>
    <w:rsid w:val="00561817"/>
    <w:rsid w:val="00561920"/>
    <w:rsid w:val="005625F1"/>
    <w:rsid w:val="00562AE9"/>
    <w:rsid w:val="00562E29"/>
    <w:rsid w:val="00562F0B"/>
    <w:rsid w:val="00563709"/>
    <w:rsid w:val="00563B11"/>
    <w:rsid w:val="005641F7"/>
    <w:rsid w:val="00564905"/>
    <w:rsid w:val="00564B64"/>
    <w:rsid w:val="0056504D"/>
    <w:rsid w:val="0056534C"/>
    <w:rsid w:val="00565821"/>
    <w:rsid w:val="00566CCC"/>
    <w:rsid w:val="00566DCC"/>
    <w:rsid w:val="00567584"/>
    <w:rsid w:val="005678F5"/>
    <w:rsid w:val="00567D4A"/>
    <w:rsid w:val="005709F0"/>
    <w:rsid w:val="00571881"/>
    <w:rsid w:val="005719FC"/>
    <w:rsid w:val="00572608"/>
    <w:rsid w:val="005726BA"/>
    <w:rsid w:val="0057284F"/>
    <w:rsid w:val="005743C9"/>
    <w:rsid w:val="005748C5"/>
    <w:rsid w:val="00574B02"/>
    <w:rsid w:val="00574D60"/>
    <w:rsid w:val="00574DF9"/>
    <w:rsid w:val="00574F04"/>
    <w:rsid w:val="00575ED3"/>
    <w:rsid w:val="005767A3"/>
    <w:rsid w:val="00576C7F"/>
    <w:rsid w:val="00576ED8"/>
    <w:rsid w:val="005771B3"/>
    <w:rsid w:val="00580470"/>
    <w:rsid w:val="005804C4"/>
    <w:rsid w:val="00580570"/>
    <w:rsid w:val="00580942"/>
    <w:rsid w:val="00580ED1"/>
    <w:rsid w:val="00581526"/>
    <w:rsid w:val="00581667"/>
    <w:rsid w:val="00581795"/>
    <w:rsid w:val="0058191F"/>
    <w:rsid w:val="00581B41"/>
    <w:rsid w:val="00582A55"/>
    <w:rsid w:val="00582E13"/>
    <w:rsid w:val="0058329E"/>
    <w:rsid w:val="00583805"/>
    <w:rsid w:val="00584117"/>
    <w:rsid w:val="0058456A"/>
    <w:rsid w:val="00584A01"/>
    <w:rsid w:val="00584B48"/>
    <w:rsid w:val="00585E4F"/>
    <w:rsid w:val="00585E5F"/>
    <w:rsid w:val="0058714B"/>
    <w:rsid w:val="005877E4"/>
    <w:rsid w:val="00587DF9"/>
    <w:rsid w:val="00590166"/>
    <w:rsid w:val="00590418"/>
    <w:rsid w:val="005905A4"/>
    <w:rsid w:val="005905CD"/>
    <w:rsid w:val="005909A0"/>
    <w:rsid w:val="00590A11"/>
    <w:rsid w:val="005917E2"/>
    <w:rsid w:val="00591889"/>
    <w:rsid w:val="005918F3"/>
    <w:rsid w:val="00592116"/>
    <w:rsid w:val="00592EAE"/>
    <w:rsid w:val="005938C6"/>
    <w:rsid w:val="00593D80"/>
    <w:rsid w:val="005943AC"/>
    <w:rsid w:val="0059440E"/>
    <w:rsid w:val="005949AD"/>
    <w:rsid w:val="00594AC4"/>
    <w:rsid w:val="0059512E"/>
    <w:rsid w:val="00595764"/>
    <w:rsid w:val="00595DB4"/>
    <w:rsid w:val="00595EF6"/>
    <w:rsid w:val="0059613D"/>
    <w:rsid w:val="0059661B"/>
    <w:rsid w:val="00596BD2"/>
    <w:rsid w:val="00596E84"/>
    <w:rsid w:val="00597163"/>
    <w:rsid w:val="005971E1"/>
    <w:rsid w:val="00597759"/>
    <w:rsid w:val="00597A23"/>
    <w:rsid w:val="00597BD8"/>
    <w:rsid w:val="005A025F"/>
    <w:rsid w:val="005A027E"/>
    <w:rsid w:val="005A1169"/>
    <w:rsid w:val="005A1500"/>
    <w:rsid w:val="005A164A"/>
    <w:rsid w:val="005A18CB"/>
    <w:rsid w:val="005A1C7C"/>
    <w:rsid w:val="005A1CAD"/>
    <w:rsid w:val="005A2AED"/>
    <w:rsid w:val="005A2F32"/>
    <w:rsid w:val="005A3243"/>
    <w:rsid w:val="005A3F19"/>
    <w:rsid w:val="005A44D9"/>
    <w:rsid w:val="005A46AB"/>
    <w:rsid w:val="005A471C"/>
    <w:rsid w:val="005A47BD"/>
    <w:rsid w:val="005A49EC"/>
    <w:rsid w:val="005A49F1"/>
    <w:rsid w:val="005A4E1C"/>
    <w:rsid w:val="005A50CA"/>
    <w:rsid w:val="005A514F"/>
    <w:rsid w:val="005A5519"/>
    <w:rsid w:val="005A5BDC"/>
    <w:rsid w:val="005A61B4"/>
    <w:rsid w:val="005A6540"/>
    <w:rsid w:val="005A6FC2"/>
    <w:rsid w:val="005A7497"/>
    <w:rsid w:val="005A796C"/>
    <w:rsid w:val="005B0259"/>
    <w:rsid w:val="005B0B62"/>
    <w:rsid w:val="005B17F5"/>
    <w:rsid w:val="005B19A2"/>
    <w:rsid w:val="005B251A"/>
    <w:rsid w:val="005B2713"/>
    <w:rsid w:val="005B32A7"/>
    <w:rsid w:val="005B37BA"/>
    <w:rsid w:val="005B3BDD"/>
    <w:rsid w:val="005B3C5D"/>
    <w:rsid w:val="005B4B44"/>
    <w:rsid w:val="005B528F"/>
    <w:rsid w:val="005B5C2D"/>
    <w:rsid w:val="005B5E19"/>
    <w:rsid w:val="005B6BBF"/>
    <w:rsid w:val="005B6E44"/>
    <w:rsid w:val="005B74C5"/>
    <w:rsid w:val="005B7844"/>
    <w:rsid w:val="005C262E"/>
    <w:rsid w:val="005C287F"/>
    <w:rsid w:val="005C2E52"/>
    <w:rsid w:val="005C346B"/>
    <w:rsid w:val="005C36C7"/>
    <w:rsid w:val="005C38D8"/>
    <w:rsid w:val="005C3F60"/>
    <w:rsid w:val="005C3F92"/>
    <w:rsid w:val="005C5648"/>
    <w:rsid w:val="005C5FF5"/>
    <w:rsid w:val="005C618B"/>
    <w:rsid w:val="005C6ADB"/>
    <w:rsid w:val="005C76CC"/>
    <w:rsid w:val="005D00CF"/>
    <w:rsid w:val="005D1597"/>
    <w:rsid w:val="005D1C04"/>
    <w:rsid w:val="005D1CF0"/>
    <w:rsid w:val="005D252F"/>
    <w:rsid w:val="005D2636"/>
    <w:rsid w:val="005D4B4C"/>
    <w:rsid w:val="005D4D6A"/>
    <w:rsid w:val="005D4F78"/>
    <w:rsid w:val="005D57DA"/>
    <w:rsid w:val="005D57EB"/>
    <w:rsid w:val="005D5952"/>
    <w:rsid w:val="005D5E0B"/>
    <w:rsid w:val="005D5E2F"/>
    <w:rsid w:val="005D5F8C"/>
    <w:rsid w:val="005D6489"/>
    <w:rsid w:val="005D6DE4"/>
    <w:rsid w:val="005D6EE8"/>
    <w:rsid w:val="005D7DF1"/>
    <w:rsid w:val="005E02F3"/>
    <w:rsid w:val="005E0357"/>
    <w:rsid w:val="005E0CDE"/>
    <w:rsid w:val="005E1BFB"/>
    <w:rsid w:val="005E1D61"/>
    <w:rsid w:val="005E257C"/>
    <w:rsid w:val="005E2821"/>
    <w:rsid w:val="005E2D0D"/>
    <w:rsid w:val="005E2E36"/>
    <w:rsid w:val="005E36AE"/>
    <w:rsid w:val="005E3AFD"/>
    <w:rsid w:val="005E4130"/>
    <w:rsid w:val="005E4137"/>
    <w:rsid w:val="005E583A"/>
    <w:rsid w:val="005E6303"/>
    <w:rsid w:val="005E68F2"/>
    <w:rsid w:val="005E6BE1"/>
    <w:rsid w:val="005E6C47"/>
    <w:rsid w:val="005E73B4"/>
    <w:rsid w:val="005E7BE8"/>
    <w:rsid w:val="005F060B"/>
    <w:rsid w:val="005F0B46"/>
    <w:rsid w:val="005F0D27"/>
    <w:rsid w:val="005F12AC"/>
    <w:rsid w:val="005F1A42"/>
    <w:rsid w:val="005F1CF0"/>
    <w:rsid w:val="005F1D81"/>
    <w:rsid w:val="005F20EF"/>
    <w:rsid w:val="005F2FEC"/>
    <w:rsid w:val="005F4036"/>
    <w:rsid w:val="005F41DD"/>
    <w:rsid w:val="005F522C"/>
    <w:rsid w:val="005F5B52"/>
    <w:rsid w:val="005F604B"/>
    <w:rsid w:val="005F6E3E"/>
    <w:rsid w:val="005F6EA0"/>
    <w:rsid w:val="005F736E"/>
    <w:rsid w:val="005F7BB1"/>
    <w:rsid w:val="005F7E4E"/>
    <w:rsid w:val="006003EA"/>
    <w:rsid w:val="00600F0A"/>
    <w:rsid w:val="00601208"/>
    <w:rsid w:val="00601786"/>
    <w:rsid w:val="006035D8"/>
    <w:rsid w:val="006051A4"/>
    <w:rsid w:val="006060F5"/>
    <w:rsid w:val="0060649A"/>
    <w:rsid w:val="006066E6"/>
    <w:rsid w:val="00606AB7"/>
    <w:rsid w:val="00606DA9"/>
    <w:rsid w:val="00607F00"/>
    <w:rsid w:val="0061071B"/>
    <w:rsid w:val="00610B85"/>
    <w:rsid w:val="00611336"/>
    <w:rsid w:val="0061157C"/>
    <w:rsid w:val="006119EC"/>
    <w:rsid w:val="00611C6F"/>
    <w:rsid w:val="006128A1"/>
    <w:rsid w:val="00612B9D"/>
    <w:rsid w:val="00612D30"/>
    <w:rsid w:val="00613294"/>
    <w:rsid w:val="00613331"/>
    <w:rsid w:val="00613811"/>
    <w:rsid w:val="00613F32"/>
    <w:rsid w:val="0061418E"/>
    <w:rsid w:val="006142B3"/>
    <w:rsid w:val="00614AE3"/>
    <w:rsid w:val="0061610B"/>
    <w:rsid w:val="0061731E"/>
    <w:rsid w:val="00617741"/>
    <w:rsid w:val="00620AB7"/>
    <w:rsid w:val="006223B9"/>
    <w:rsid w:val="00622CF4"/>
    <w:rsid w:val="00622D9D"/>
    <w:rsid w:val="00623D0B"/>
    <w:rsid w:val="00623E1A"/>
    <w:rsid w:val="0062435F"/>
    <w:rsid w:val="00624414"/>
    <w:rsid w:val="00624625"/>
    <w:rsid w:val="00624901"/>
    <w:rsid w:val="00625B35"/>
    <w:rsid w:val="00625D95"/>
    <w:rsid w:val="00626A13"/>
    <w:rsid w:val="00626D39"/>
    <w:rsid w:val="006271E5"/>
    <w:rsid w:val="0062769D"/>
    <w:rsid w:val="00627715"/>
    <w:rsid w:val="00627982"/>
    <w:rsid w:val="00627BB2"/>
    <w:rsid w:val="00627E15"/>
    <w:rsid w:val="00630A6D"/>
    <w:rsid w:val="006310D2"/>
    <w:rsid w:val="006315AB"/>
    <w:rsid w:val="006315C1"/>
    <w:rsid w:val="00632508"/>
    <w:rsid w:val="00633DF7"/>
    <w:rsid w:val="00633E92"/>
    <w:rsid w:val="00634B68"/>
    <w:rsid w:val="00634FC0"/>
    <w:rsid w:val="00635A6D"/>
    <w:rsid w:val="00635C55"/>
    <w:rsid w:val="006362D9"/>
    <w:rsid w:val="00637229"/>
    <w:rsid w:val="006373F2"/>
    <w:rsid w:val="00637BEA"/>
    <w:rsid w:val="00637DF4"/>
    <w:rsid w:val="0064012F"/>
    <w:rsid w:val="00640639"/>
    <w:rsid w:val="00640D3B"/>
    <w:rsid w:val="006410AD"/>
    <w:rsid w:val="00641872"/>
    <w:rsid w:val="00641996"/>
    <w:rsid w:val="00642144"/>
    <w:rsid w:val="00642C25"/>
    <w:rsid w:val="00643393"/>
    <w:rsid w:val="006435AF"/>
    <w:rsid w:val="006437B0"/>
    <w:rsid w:val="00643861"/>
    <w:rsid w:val="00644045"/>
    <w:rsid w:val="00644101"/>
    <w:rsid w:val="006441FC"/>
    <w:rsid w:val="0064491D"/>
    <w:rsid w:val="0064495F"/>
    <w:rsid w:val="00644B8D"/>
    <w:rsid w:val="00644FD0"/>
    <w:rsid w:val="00645384"/>
    <w:rsid w:val="006453F8"/>
    <w:rsid w:val="00645DFA"/>
    <w:rsid w:val="00645E09"/>
    <w:rsid w:val="00646266"/>
    <w:rsid w:val="006470F8"/>
    <w:rsid w:val="00647355"/>
    <w:rsid w:val="0064769B"/>
    <w:rsid w:val="00647BF8"/>
    <w:rsid w:val="0065064E"/>
    <w:rsid w:val="00650A81"/>
    <w:rsid w:val="00650F9D"/>
    <w:rsid w:val="00651203"/>
    <w:rsid w:val="00651499"/>
    <w:rsid w:val="00651B82"/>
    <w:rsid w:val="00651D68"/>
    <w:rsid w:val="00652F65"/>
    <w:rsid w:val="0065326E"/>
    <w:rsid w:val="00654081"/>
    <w:rsid w:val="006540AC"/>
    <w:rsid w:val="00654113"/>
    <w:rsid w:val="00654139"/>
    <w:rsid w:val="00654616"/>
    <w:rsid w:val="006547D6"/>
    <w:rsid w:val="00654857"/>
    <w:rsid w:val="00654A24"/>
    <w:rsid w:val="00654B20"/>
    <w:rsid w:val="00654F92"/>
    <w:rsid w:val="006556C3"/>
    <w:rsid w:val="006558F4"/>
    <w:rsid w:val="006559F0"/>
    <w:rsid w:val="006565F3"/>
    <w:rsid w:val="00656B7A"/>
    <w:rsid w:val="0065777A"/>
    <w:rsid w:val="00657FDC"/>
    <w:rsid w:val="00660840"/>
    <w:rsid w:val="006608C8"/>
    <w:rsid w:val="006616B9"/>
    <w:rsid w:val="00663795"/>
    <w:rsid w:val="006641B7"/>
    <w:rsid w:val="00664347"/>
    <w:rsid w:val="006643FF"/>
    <w:rsid w:val="00664428"/>
    <w:rsid w:val="00665367"/>
    <w:rsid w:val="0066589B"/>
    <w:rsid w:val="006658DE"/>
    <w:rsid w:val="00665F62"/>
    <w:rsid w:val="00666F63"/>
    <w:rsid w:val="0066726A"/>
    <w:rsid w:val="0066731E"/>
    <w:rsid w:val="00667934"/>
    <w:rsid w:val="00667FE5"/>
    <w:rsid w:val="006708D2"/>
    <w:rsid w:val="00670A6B"/>
    <w:rsid w:val="00670AA6"/>
    <w:rsid w:val="00670CF9"/>
    <w:rsid w:val="00671A6A"/>
    <w:rsid w:val="00671E34"/>
    <w:rsid w:val="00671E96"/>
    <w:rsid w:val="006742C3"/>
    <w:rsid w:val="00674578"/>
    <w:rsid w:val="00674585"/>
    <w:rsid w:val="00675078"/>
    <w:rsid w:val="006750AA"/>
    <w:rsid w:val="00675A5D"/>
    <w:rsid w:val="00675B50"/>
    <w:rsid w:val="00676612"/>
    <w:rsid w:val="00677034"/>
    <w:rsid w:val="006774F0"/>
    <w:rsid w:val="00677AFB"/>
    <w:rsid w:val="00680734"/>
    <w:rsid w:val="00680D4B"/>
    <w:rsid w:val="00680F2B"/>
    <w:rsid w:val="0068181B"/>
    <w:rsid w:val="00681A32"/>
    <w:rsid w:val="00681BEE"/>
    <w:rsid w:val="00681FBB"/>
    <w:rsid w:val="006824EC"/>
    <w:rsid w:val="00682A74"/>
    <w:rsid w:val="00682E2C"/>
    <w:rsid w:val="006832DE"/>
    <w:rsid w:val="00683571"/>
    <w:rsid w:val="00683D69"/>
    <w:rsid w:val="00684232"/>
    <w:rsid w:val="006842A5"/>
    <w:rsid w:val="0068436B"/>
    <w:rsid w:val="00685C70"/>
    <w:rsid w:val="00685CD0"/>
    <w:rsid w:val="00686502"/>
    <w:rsid w:val="00686C9C"/>
    <w:rsid w:val="00686D77"/>
    <w:rsid w:val="00686FF6"/>
    <w:rsid w:val="00687B28"/>
    <w:rsid w:val="00687B5E"/>
    <w:rsid w:val="00690863"/>
    <w:rsid w:val="00690B3C"/>
    <w:rsid w:val="00692472"/>
    <w:rsid w:val="0069255A"/>
    <w:rsid w:val="00692B08"/>
    <w:rsid w:val="00693627"/>
    <w:rsid w:val="00693647"/>
    <w:rsid w:val="00693C01"/>
    <w:rsid w:val="006942C0"/>
    <w:rsid w:val="00694970"/>
    <w:rsid w:val="00694DA1"/>
    <w:rsid w:val="00695734"/>
    <w:rsid w:val="00695E82"/>
    <w:rsid w:val="00696F6C"/>
    <w:rsid w:val="006970FE"/>
    <w:rsid w:val="006978F7"/>
    <w:rsid w:val="00697A2C"/>
    <w:rsid w:val="00697F68"/>
    <w:rsid w:val="006A02EB"/>
    <w:rsid w:val="006A04A0"/>
    <w:rsid w:val="006A079E"/>
    <w:rsid w:val="006A17F8"/>
    <w:rsid w:val="006A2091"/>
    <w:rsid w:val="006A23C3"/>
    <w:rsid w:val="006A26B3"/>
    <w:rsid w:val="006A3780"/>
    <w:rsid w:val="006A3B12"/>
    <w:rsid w:val="006A3B58"/>
    <w:rsid w:val="006A3F4A"/>
    <w:rsid w:val="006A4258"/>
    <w:rsid w:val="006A426C"/>
    <w:rsid w:val="006A4D89"/>
    <w:rsid w:val="006A4DA7"/>
    <w:rsid w:val="006A5117"/>
    <w:rsid w:val="006A51CF"/>
    <w:rsid w:val="006A5371"/>
    <w:rsid w:val="006A5B58"/>
    <w:rsid w:val="006A644D"/>
    <w:rsid w:val="006A651F"/>
    <w:rsid w:val="006A6CB2"/>
    <w:rsid w:val="006A707C"/>
    <w:rsid w:val="006A74BF"/>
    <w:rsid w:val="006B03C5"/>
    <w:rsid w:val="006B0684"/>
    <w:rsid w:val="006B0770"/>
    <w:rsid w:val="006B1405"/>
    <w:rsid w:val="006B14A0"/>
    <w:rsid w:val="006B1DBA"/>
    <w:rsid w:val="006B2B4A"/>
    <w:rsid w:val="006B2E4C"/>
    <w:rsid w:val="006B32B0"/>
    <w:rsid w:val="006B377F"/>
    <w:rsid w:val="006B398D"/>
    <w:rsid w:val="006B39FE"/>
    <w:rsid w:val="006B40A8"/>
    <w:rsid w:val="006B4704"/>
    <w:rsid w:val="006B4ABB"/>
    <w:rsid w:val="006B4C6A"/>
    <w:rsid w:val="006B5153"/>
    <w:rsid w:val="006B55DC"/>
    <w:rsid w:val="006B5A15"/>
    <w:rsid w:val="006B5E4E"/>
    <w:rsid w:val="006B60CA"/>
    <w:rsid w:val="006B6B7C"/>
    <w:rsid w:val="006B7125"/>
    <w:rsid w:val="006B76BF"/>
    <w:rsid w:val="006B76E6"/>
    <w:rsid w:val="006B7C0B"/>
    <w:rsid w:val="006C0530"/>
    <w:rsid w:val="006C0BC7"/>
    <w:rsid w:val="006C156D"/>
    <w:rsid w:val="006C15A2"/>
    <w:rsid w:val="006C16C1"/>
    <w:rsid w:val="006C18DE"/>
    <w:rsid w:val="006C198E"/>
    <w:rsid w:val="006C1C32"/>
    <w:rsid w:val="006C2445"/>
    <w:rsid w:val="006C272D"/>
    <w:rsid w:val="006C2BBE"/>
    <w:rsid w:val="006C2CFC"/>
    <w:rsid w:val="006C33A6"/>
    <w:rsid w:val="006C3766"/>
    <w:rsid w:val="006C4143"/>
    <w:rsid w:val="006C468C"/>
    <w:rsid w:val="006C47AE"/>
    <w:rsid w:val="006C4A97"/>
    <w:rsid w:val="006C4D46"/>
    <w:rsid w:val="006C5E45"/>
    <w:rsid w:val="006C6A3C"/>
    <w:rsid w:val="006C7244"/>
    <w:rsid w:val="006C7539"/>
    <w:rsid w:val="006C7928"/>
    <w:rsid w:val="006D00DB"/>
    <w:rsid w:val="006D0AFA"/>
    <w:rsid w:val="006D3932"/>
    <w:rsid w:val="006D4568"/>
    <w:rsid w:val="006D7324"/>
    <w:rsid w:val="006E0017"/>
    <w:rsid w:val="006E0057"/>
    <w:rsid w:val="006E0990"/>
    <w:rsid w:val="006E0AE5"/>
    <w:rsid w:val="006E19D4"/>
    <w:rsid w:val="006E1E19"/>
    <w:rsid w:val="006E316E"/>
    <w:rsid w:val="006E3963"/>
    <w:rsid w:val="006E3BBF"/>
    <w:rsid w:val="006E4565"/>
    <w:rsid w:val="006E4A5E"/>
    <w:rsid w:val="006E5670"/>
    <w:rsid w:val="006E5A1E"/>
    <w:rsid w:val="006E5D23"/>
    <w:rsid w:val="006E5DBB"/>
    <w:rsid w:val="006E5EFA"/>
    <w:rsid w:val="006E624C"/>
    <w:rsid w:val="006E6F34"/>
    <w:rsid w:val="006E7292"/>
    <w:rsid w:val="006E73C5"/>
    <w:rsid w:val="006E764F"/>
    <w:rsid w:val="006F0443"/>
    <w:rsid w:val="006F0962"/>
    <w:rsid w:val="006F0A90"/>
    <w:rsid w:val="006F0BA5"/>
    <w:rsid w:val="006F1202"/>
    <w:rsid w:val="006F18F2"/>
    <w:rsid w:val="006F1B04"/>
    <w:rsid w:val="006F272A"/>
    <w:rsid w:val="006F2923"/>
    <w:rsid w:val="006F2E1A"/>
    <w:rsid w:val="006F2E61"/>
    <w:rsid w:val="006F2F97"/>
    <w:rsid w:val="006F3429"/>
    <w:rsid w:val="006F355C"/>
    <w:rsid w:val="006F4358"/>
    <w:rsid w:val="006F4D5D"/>
    <w:rsid w:val="006F4EFD"/>
    <w:rsid w:val="006F5207"/>
    <w:rsid w:val="006F58F7"/>
    <w:rsid w:val="006F68A1"/>
    <w:rsid w:val="006F74C0"/>
    <w:rsid w:val="006F7750"/>
    <w:rsid w:val="006F781E"/>
    <w:rsid w:val="006F7DD7"/>
    <w:rsid w:val="006F7DFB"/>
    <w:rsid w:val="0070006A"/>
    <w:rsid w:val="007014EE"/>
    <w:rsid w:val="00701610"/>
    <w:rsid w:val="00702491"/>
    <w:rsid w:val="007028CB"/>
    <w:rsid w:val="00703D08"/>
    <w:rsid w:val="00704E73"/>
    <w:rsid w:val="00705268"/>
    <w:rsid w:val="00706110"/>
    <w:rsid w:val="0070787E"/>
    <w:rsid w:val="00707983"/>
    <w:rsid w:val="00707C0C"/>
    <w:rsid w:val="007114A3"/>
    <w:rsid w:val="00711773"/>
    <w:rsid w:val="0071187F"/>
    <w:rsid w:val="007118F6"/>
    <w:rsid w:val="00711A64"/>
    <w:rsid w:val="00712C6D"/>
    <w:rsid w:val="00712F42"/>
    <w:rsid w:val="007132B8"/>
    <w:rsid w:val="00713452"/>
    <w:rsid w:val="00713C11"/>
    <w:rsid w:val="007140B3"/>
    <w:rsid w:val="00714462"/>
    <w:rsid w:val="00714485"/>
    <w:rsid w:val="0071498E"/>
    <w:rsid w:val="007149BC"/>
    <w:rsid w:val="00714CD6"/>
    <w:rsid w:val="00715CA1"/>
    <w:rsid w:val="00716192"/>
    <w:rsid w:val="00716A37"/>
    <w:rsid w:val="00717554"/>
    <w:rsid w:val="00717C8D"/>
    <w:rsid w:val="00720420"/>
    <w:rsid w:val="00720765"/>
    <w:rsid w:val="00721301"/>
    <w:rsid w:val="007216F9"/>
    <w:rsid w:val="007217D1"/>
    <w:rsid w:val="00721955"/>
    <w:rsid w:val="00721CF0"/>
    <w:rsid w:val="00722428"/>
    <w:rsid w:val="00723634"/>
    <w:rsid w:val="00723989"/>
    <w:rsid w:val="00723AE6"/>
    <w:rsid w:val="00723C90"/>
    <w:rsid w:val="00723D57"/>
    <w:rsid w:val="00723D6A"/>
    <w:rsid w:val="00724449"/>
    <w:rsid w:val="00725958"/>
    <w:rsid w:val="00725D26"/>
    <w:rsid w:val="00726A8B"/>
    <w:rsid w:val="00726B13"/>
    <w:rsid w:val="00726D89"/>
    <w:rsid w:val="007270D8"/>
    <w:rsid w:val="00730FDC"/>
    <w:rsid w:val="0073213B"/>
    <w:rsid w:val="00733B22"/>
    <w:rsid w:val="00733FCC"/>
    <w:rsid w:val="007344B3"/>
    <w:rsid w:val="00734947"/>
    <w:rsid w:val="00734C14"/>
    <w:rsid w:val="00735B5A"/>
    <w:rsid w:val="00736970"/>
    <w:rsid w:val="00736BC1"/>
    <w:rsid w:val="00736E4B"/>
    <w:rsid w:val="0073721E"/>
    <w:rsid w:val="007378E5"/>
    <w:rsid w:val="00740009"/>
    <w:rsid w:val="007412E7"/>
    <w:rsid w:val="00742488"/>
    <w:rsid w:val="007425E9"/>
    <w:rsid w:val="007428AC"/>
    <w:rsid w:val="00742F53"/>
    <w:rsid w:val="00743489"/>
    <w:rsid w:val="00743B36"/>
    <w:rsid w:val="00745094"/>
    <w:rsid w:val="00745126"/>
    <w:rsid w:val="00745380"/>
    <w:rsid w:val="007464A7"/>
    <w:rsid w:val="00746550"/>
    <w:rsid w:val="00746677"/>
    <w:rsid w:val="00746BFE"/>
    <w:rsid w:val="00746F80"/>
    <w:rsid w:val="00746FB2"/>
    <w:rsid w:val="007473E4"/>
    <w:rsid w:val="00747412"/>
    <w:rsid w:val="0074754C"/>
    <w:rsid w:val="00747BCD"/>
    <w:rsid w:val="00750048"/>
    <w:rsid w:val="0075093E"/>
    <w:rsid w:val="00750B43"/>
    <w:rsid w:val="007516F8"/>
    <w:rsid w:val="00752232"/>
    <w:rsid w:val="007524BD"/>
    <w:rsid w:val="0075322C"/>
    <w:rsid w:val="00753357"/>
    <w:rsid w:val="00753FFD"/>
    <w:rsid w:val="007553B5"/>
    <w:rsid w:val="00755DBD"/>
    <w:rsid w:val="00756010"/>
    <w:rsid w:val="00756017"/>
    <w:rsid w:val="00756B05"/>
    <w:rsid w:val="00756B15"/>
    <w:rsid w:val="00756B61"/>
    <w:rsid w:val="00757098"/>
    <w:rsid w:val="00757788"/>
    <w:rsid w:val="007600A5"/>
    <w:rsid w:val="0076018D"/>
    <w:rsid w:val="007607D0"/>
    <w:rsid w:val="007610CD"/>
    <w:rsid w:val="00761211"/>
    <w:rsid w:val="0076166D"/>
    <w:rsid w:val="00761E86"/>
    <w:rsid w:val="007625C3"/>
    <w:rsid w:val="00763873"/>
    <w:rsid w:val="007638EA"/>
    <w:rsid w:val="00763DC1"/>
    <w:rsid w:val="007640FA"/>
    <w:rsid w:val="0076459E"/>
    <w:rsid w:val="00764853"/>
    <w:rsid w:val="00764B02"/>
    <w:rsid w:val="00764F45"/>
    <w:rsid w:val="00765412"/>
    <w:rsid w:val="0076642A"/>
    <w:rsid w:val="0076653F"/>
    <w:rsid w:val="007668C4"/>
    <w:rsid w:val="007672D5"/>
    <w:rsid w:val="0076739F"/>
    <w:rsid w:val="00767599"/>
    <w:rsid w:val="00767CF0"/>
    <w:rsid w:val="00767D8A"/>
    <w:rsid w:val="00770C18"/>
    <w:rsid w:val="00770D87"/>
    <w:rsid w:val="0077147E"/>
    <w:rsid w:val="007720AE"/>
    <w:rsid w:val="00772C26"/>
    <w:rsid w:val="007730B3"/>
    <w:rsid w:val="007738E7"/>
    <w:rsid w:val="0077398C"/>
    <w:rsid w:val="00773D59"/>
    <w:rsid w:val="00774290"/>
    <w:rsid w:val="007747F8"/>
    <w:rsid w:val="00775593"/>
    <w:rsid w:val="007773ED"/>
    <w:rsid w:val="00777A9E"/>
    <w:rsid w:val="00777B22"/>
    <w:rsid w:val="00777B68"/>
    <w:rsid w:val="00780959"/>
    <w:rsid w:val="00780FBC"/>
    <w:rsid w:val="007817B2"/>
    <w:rsid w:val="0078219D"/>
    <w:rsid w:val="00782A12"/>
    <w:rsid w:val="00782C31"/>
    <w:rsid w:val="00783799"/>
    <w:rsid w:val="007840F0"/>
    <w:rsid w:val="007849D0"/>
    <w:rsid w:val="0078530A"/>
    <w:rsid w:val="00785413"/>
    <w:rsid w:val="007855B9"/>
    <w:rsid w:val="007867AA"/>
    <w:rsid w:val="00786826"/>
    <w:rsid w:val="00786A66"/>
    <w:rsid w:val="0078710E"/>
    <w:rsid w:val="0078771E"/>
    <w:rsid w:val="00787B5F"/>
    <w:rsid w:val="00787BB1"/>
    <w:rsid w:val="00790D96"/>
    <w:rsid w:val="00791374"/>
    <w:rsid w:val="0079137C"/>
    <w:rsid w:val="00791536"/>
    <w:rsid w:val="0079162D"/>
    <w:rsid w:val="00791D80"/>
    <w:rsid w:val="00792354"/>
    <w:rsid w:val="00792A78"/>
    <w:rsid w:val="00792ACB"/>
    <w:rsid w:val="00792C5C"/>
    <w:rsid w:val="00792EE5"/>
    <w:rsid w:val="00793B23"/>
    <w:rsid w:val="00793B89"/>
    <w:rsid w:val="00793BDC"/>
    <w:rsid w:val="00793D86"/>
    <w:rsid w:val="007956AC"/>
    <w:rsid w:val="00795761"/>
    <w:rsid w:val="007959D3"/>
    <w:rsid w:val="00795A11"/>
    <w:rsid w:val="00796544"/>
    <w:rsid w:val="00796F05"/>
    <w:rsid w:val="00796F42"/>
    <w:rsid w:val="00796FA7"/>
    <w:rsid w:val="00797C5A"/>
    <w:rsid w:val="00797E3B"/>
    <w:rsid w:val="007A0902"/>
    <w:rsid w:val="007A10D3"/>
    <w:rsid w:val="007A16F4"/>
    <w:rsid w:val="007A1992"/>
    <w:rsid w:val="007A2293"/>
    <w:rsid w:val="007A2873"/>
    <w:rsid w:val="007A2C95"/>
    <w:rsid w:val="007A3CBD"/>
    <w:rsid w:val="007A409F"/>
    <w:rsid w:val="007A412E"/>
    <w:rsid w:val="007A4265"/>
    <w:rsid w:val="007A55E6"/>
    <w:rsid w:val="007A62DF"/>
    <w:rsid w:val="007A63C1"/>
    <w:rsid w:val="007A6AA9"/>
    <w:rsid w:val="007A7D36"/>
    <w:rsid w:val="007B0516"/>
    <w:rsid w:val="007B0F1A"/>
    <w:rsid w:val="007B13BA"/>
    <w:rsid w:val="007B145F"/>
    <w:rsid w:val="007B1CE5"/>
    <w:rsid w:val="007B23C8"/>
    <w:rsid w:val="007B2777"/>
    <w:rsid w:val="007B2910"/>
    <w:rsid w:val="007B2C66"/>
    <w:rsid w:val="007B3753"/>
    <w:rsid w:val="007B44BB"/>
    <w:rsid w:val="007B46F8"/>
    <w:rsid w:val="007B5440"/>
    <w:rsid w:val="007B6008"/>
    <w:rsid w:val="007B60D3"/>
    <w:rsid w:val="007B60E5"/>
    <w:rsid w:val="007B6952"/>
    <w:rsid w:val="007B6FE3"/>
    <w:rsid w:val="007B71B1"/>
    <w:rsid w:val="007B747D"/>
    <w:rsid w:val="007B7581"/>
    <w:rsid w:val="007C0572"/>
    <w:rsid w:val="007C0D39"/>
    <w:rsid w:val="007C3FC9"/>
    <w:rsid w:val="007C4ED4"/>
    <w:rsid w:val="007C63F7"/>
    <w:rsid w:val="007C6441"/>
    <w:rsid w:val="007C6463"/>
    <w:rsid w:val="007C66B3"/>
    <w:rsid w:val="007C6DCC"/>
    <w:rsid w:val="007C77CA"/>
    <w:rsid w:val="007C7B1C"/>
    <w:rsid w:val="007C7D68"/>
    <w:rsid w:val="007C7E8D"/>
    <w:rsid w:val="007D19CB"/>
    <w:rsid w:val="007D1F86"/>
    <w:rsid w:val="007D2C36"/>
    <w:rsid w:val="007D2EAE"/>
    <w:rsid w:val="007D359D"/>
    <w:rsid w:val="007D3846"/>
    <w:rsid w:val="007D38F1"/>
    <w:rsid w:val="007D4CFA"/>
    <w:rsid w:val="007D5915"/>
    <w:rsid w:val="007D5EE6"/>
    <w:rsid w:val="007D62F9"/>
    <w:rsid w:val="007D68CD"/>
    <w:rsid w:val="007D7155"/>
    <w:rsid w:val="007D777E"/>
    <w:rsid w:val="007D7799"/>
    <w:rsid w:val="007D7A9E"/>
    <w:rsid w:val="007D7D60"/>
    <w:rsid w:val="007E0722"/>
    <w:rsid w:val="007E0AAA"/>
    <w:rsid w:val="007E0ED3"/>
    <w:rsid w:val="007E12BA"/>
    <w:rsid w:val="007E1B7D"/>
    <w:rsid w:val="007E1E29"/>
    <w:rsid w:val="007E249B"/>
    <w:rsid w:val="007E2931"/>
    <w:rsid w:val="007E29D4"/>
    <w:rsid w:val="007E3835"/>
    <w:rsid w:val="007E4206"/>
    <w:rsid w:val="007E49E5"/>
    <w:rsid w:val="007E5352"/>
    <w:rsid w:val="007E5D6D"/>
    <w:rsid w:val="007E70B6"/>
    <w:rsid w:val="007E77A8"/>
    <w:rsid w:val="007F106C"/>
    <w:rsid w:val="007F14CB"/>
    <w:rsid w:val="007F25DD"/>
    <w:rsid w:val="007F3FB8"/>
    <w:rsid w:val="007F3FED"/>
    <w:rsid w:val="007F4A1D"/>
    <w:rsid w:val="007F5404"/>
    <w:rsid w:val="007F5F4C"/>
    <w:rsid w:val="007F7072"/>
    <w:rsid w:val="007F7EDF"/>
    <w:rsid w:val="008002DB"/>
    <w:rsid w:val="0080043A"/>
    <w:rsid w:val="00800C15"/>
    <w:rsid w:val="008010D7"/>
    <w:rsid w:val="00801A0F"/>
    <w:rsid w:val="00802640"/>
    <w:rsid w:val="00802644"/>
    <w:rsid w:val="00802966"/>
    <w:rsid w:val="00802B70"/>
    <w:rsid w:val="00802E69"/>
    <w:rsid w:val="00803933"/>
    <w:rsid w:val="00804470"/>
    <w:rsid w:val="00804559"/>
    <w:rsid w:val="00804E15"/>
    <w:rsid w:val="0080536B"/>
    <w:rsid w:val="008054D2"/>
    <w:rsid w:val="00805B0E"/>
    <w:rsid w:val="00807C5D"/>
    <w:rsid w:val="00807DF1"/>
    <w:rsid w:val="0081070A"/>
    <w:rsid w:val="00810C33"/>
    <w:rsid w:val="008114D1"/>
    <w:rsid w:val="00812193"/>
    <w:rsid w:val="00812727"/>
    <w:rsid w:val="00812B9C"/>
    <w:rsid w:val="00812BE9"/>
    <w:rsid w:val="00813BF1"/>
    <w:rsid w:val="0081409A"/>
    <w:rsid w:val="00814182"/>
    <w:rsid w:val="008147D4"/>
    <w:rsid w:val="008148A6"/>
    <w:rsid w:val="00814E2D"/>
    <w:rsid w:val="00814F9B"/>
    <w:rsid w:val="00814F9F"/>
    <w:rsid w:val="00815BC1"/>
    <w:rsid w:val="008164D2"/>
    <w:rsid w:val="00816640"/>
    <w:rsid w:val="008167DC"/>
    <w:rsid w:val="0081772D"/>
    <w:rsid w:val="00817B62"/>
    <w:rsid w:val="00817C5F"/>
    <w:rsid w:val="008203C8"/>
    <w:rsid w:val="0082047A"/>
    <w:rsid w:val="008204AC"/>
    <w:rsid w:val="0082077F"/>
    <w:rsid w:val="0082131C"/>
    <w:rsid w:val="00821720"/>
    <w:rsid w:val="00821ACF"/>
    <w:rsid w:val="00821F2B"/>
    <w:rsid w:val="0082212B"/>
    <w:rsid w:val="00823037"/>
    <w:rsid w:val="0082305C"/>
    <w:rsid w:val="008230CB"/>
    <w:rsid w:val="0082364F"/>
    <w:rsid w:val="00823BC2"/>
    <w:rsid w:val="008240A6"/>
    <w:rsid w:val="00824334"/>
    <w:rsid w:val="0082463C"/>
    <w:rsid w:val="00824C1D"/>
    <w:rsid w:val="00825B03"/>
    <w:rsid w:val="00825D8F"/>
    <w:rsid w:val="00826180"/>
    <w:rsid w:val="008275EF"/>
    <w:rsid w:val="0082775E"/>
    <w:rsid w:val="00827B1A"/>
    <w:rsid w:val="008309A5"/>
    <w:rsid w:val="00831171"/>
    <w:rsid w:val="00832089"/>
    <w:rsid w:val="00832124"/>
    <w:rsid w:val="008323FB"/>
    <w:rsid w:val="008332EA"/>
    <w:rsid w:val="00833413"/>
    <w:rsid w:val="0083379B"/>
    <w:rsid w:val="008347A6"/>
    <w:rsid w:val="00834A6C"/>
    <w:rsid w:val="008352F2"/>
    <w:rsid w:val="0083533D"/>
    <w:rsid w:val="008356DE"/>
    <w:rsid w:val="00835884"/>
    <w:rsid w:val="00836384"/>
    <w:rsid w:val="008364B0"/>
    <w:rsid w:val="008364CA"/>
    <w:rsid w:val="0083655D"/>
    <w:rsid w:val="00837401"/>
    <w:rsid w:val="00837A0A"/>
    <w:rsid w:val="00837D72"/>
    <w:rsid w:val="00840FF3"/>
    <w:rsid w:val="00841113"/>
    <w:rsid w:val="00841D45"/>
    <w:rsid w:val="008441C3"/>
    <w:rsid w:val="00844673"/>
    <w:rsid w:val="008455A0"/>
    <w:rsid w:val="00845699"/>
    <w:rsid w:val="00845ACC"/>
    <w:rsid w:val="008474BD"/>
    <w:rsid w:val="00847814"/>
    <w:rsid w:val="00847A8C"/>
    <w:rsid w:val="008500EB"/>
    <w:rsid w:val="008503DA"/>
    <w:rsid w:val="008507D5"/>
    <w:rsid w:val="00851B46"/>
    <w:rsid w:val="00852A26"/>
    <w:rsid w:val="0085320F"/>
    <w:rsid w:val="00853783"/>
    <w:rsid w:val="00854158"/>
    <w:rsid w:val="00854C5F"/>
    <w:rsid w:val="008551D7"/>
    <w:rsid w:val="0085567E"/>
    <w:rsid w:val="00855B8E"/>
    <w:rsid w:val="00855C74"/>
    <w:rsid w:val="0085636D"/>
    <w:rsid w:val="00856733"/>
    <w:rsid w:val="00857140"/>
    <w:rsid w:val="00857914"/>
    <w:rsid w:val="00857AB0"/>
    <w:rsid w:val="00857AEC"/>
    <w:rsid w:val="008606CD"/>
    <w:rsid w:val="00861943"/>
    <w:rsid w:val="00862094"/>
    <w:rsid w:val="00862805"/>
    <w:rsid w:val="00862A59"/>
    <w:rsid w:val="00863157"/>
    <w:rsid w:val="00863B15"/>
    <w:rsid w:val="00863CC0"/>
    <w:rsid w:val="00864A68"/>
    <w:rsid w:val="00865249"/>
    <w:rsid w:val="0086641C"/>
    <w:rsid w:val="00866578"/>
    <w:rsid w:val="008665DF"/>
    <w:rsid w:val="00866BCB"/>
    <w:rsid w:val="00866CA4"/>
    <w:rsid w:val="00867328"/>
    <w:rsid w:val="008673F4"/>
    <w:rsid w:val="00867921"/>
    <w:rsid w:val="00867C58"/>
    <w:rsid w:val="00867FF9"/>
    <w:rsid w:val="008701C4"/>
    <w:rsid w:val="00871296"/>
    <w:rsid w:val="00871A48"/>
    <w:rsid w:val="008728A5"/>
    <w:rsid w:val="008731A7"/>
    <w:rsid w:val="008733D7"/>
    <w:rsid w:val="00873749"/>
    <w:rsid w:val="00873A1C"/>
    <w:rsid w:val="00873DD3"/>
    <w:rsid w:val="00874A0C"/>
    <w:rsid w:val="00874E53"/>
    <w:rsid w:val="00875001"/>
    <w:rsid w:val="008750C3"/>
    <w:rsid w:val="0087590F"/>
    <w:rsid w:val="0087601A"/>
    <w:rsid w:val="00876428"/>
    <w:rsid w:val="00876576"/>
    <w:rsid w:val="008777F6"/>
    <w:rsid w:val="0088089F"/>
    <w:rsid w:val="00882056"/>
    <w:rsid w:val="00882482"/>
    <w:rsid w:val="008825EA"/>
    <w:rsid w:val="008834BF"/>
    <w:rsid w:val="00883F91"/>
    <w:rsid w:val="008845B6"/>
    <w:rsid w:val="00884B78"/>
    <w:rsid w:val="00884C62"/>
    <w:rsid w:val="00885214"/>
    <w:rsid w:val="00885288"/>
    <w:rsid w:val="00885A1E"/>
    <w:rsid w:val="00885B00"/>
    <w:rsid w:val="00885C0A"/>
    <w:rsid w:val="0088643D"/>
    <w:rsid w:val="00886E14"/>
    <w:rsid w:val="0088711E"/>
    <w:rsid w:val="00887214"/>
    <w:rsid w:val="0088781B"/>
    <w:rsid w:val="00887CC9"/>
    <w:rsid w:val="00887D2B"/>
    <w:rsid w:val="0089059B"/>
    <w:rsid w:val="00890DB4"/>
    <w:rsid w:val="00891769"/>
    <w:rsid w:val="008927CB"/>
    <w:rsid w:val="00894219"/>
    <w:rsid w:val="008947EF"/>
    <w:rsid w:val="008956C9"/>
    <w:rsid w:val="00896137"/>
    <w:rsid w:val="0089639E"/>
    <w:rsid w:val="008966BB"/>
    <w:rsid w:val="008967B7"/>
    <w:rsid w:val="00896C1A"/>
    <w:rsid w:val="00896D79"/>
    <w:rsid w:val="00896FDF"/>
    <w:rsid w:val="00897818"/>
    <w:rsid w:val="0089794E"/>
    <w:rsid w:val="00897F0B"/>
    <w:rsid w:val="00897F78"/>
    <w:rsid w:val="008A04FB"/>
    <w:rsid w:val="008A0F2A"/>
    <w:rsid w:val="008A3B68"/>
    <w:rsid w:val="008A3C39"/>
    <w:rsid w:val="008A3D80"/>
    <w:rsid w:val="008A50D7"/>
    <w:rsid w:val="008A5611"/>
    <w:rsid w:val="008A5790"/>
    <w:rsid w:val="008A5E81"/>
    <w:rsid w:val="008A62CD"/>
    <w:rsid w:val="008A6AA6"/>
    <w:rsid w:val="008A75EA"/>
    <w:rsid w:val="008B00E6"/>
    <w:rsid w:val="008B05C5"/>
    <w:rsid w:val="008B063A"/>
    <w:rsid w:val="008B224E"/>
    <w:rsid w:val="008B2274"/>
    <w:rsid w:val="008B28D1"/>
    <w:rsid w:val="008B32E5"/>
    <w:rsid w:val="008B37BB"/>
    <w:rsid w:val="008B3F7E"/>
    <w:rsid w:val="008B4871"/>
    <w:rsid w:val="008B4B06"/>
    <w:rsid w:val="008B4D0F"/>
    <w:rsid w:val="008B5B8A"/>
    <w:rsid w:val="008B5E83"/>
    <w:rsid w:val="008B6909"/>
    <w:rsid w:val="008B7586"/>
    <w:rsid w:val="008B768E"/>
    <w:rsid w:val="008B7F40"/>
    <w:rsid w:val="008C02D5"/>
    <w:rsid w:val="008C03D3"/>
    <w:rsid w:val="008C0718"/>
    <w:rsid w:val="008C1263"/>
    <w:rsid w:val="008C1A15"/>
    <w:rsid w:val="008C1CD3"/>
    <w:rsid w:val="008C2AF7"/>
    <w:rsid w:val="008C2DB9"/>
    <w:rsid w:val="008C32F8"/>
    <w:rsid w:val="008C33B6"/>
    <w:rsid w:val="008C378C"/>
    <w:rsid w:val="008C3CEB"/>
    <w:rsid w:val="008C4265"/>
    <w:rsid w:val="008C46DB"/>
    <w:rsid w:val="008C48F1"/>
    <w:rsid w:val="008C4CB9"/>
    <w:rsid w:val="008C55F5"/>
    <w:rsid w:val="008C5CDA"/>
    <w:rsid w:val="008C68F0"/>
    <w:rsid w:val="008C6B98"/>
    <w:rsid w:val="008D0407"/>
    <w:rsid w:val="008D045D"/>
    <w:rsid w:val="008D13A9"/>
    <w:rsid w:val="008D1628"/>
    <w:rsid w:val="008D195F"/>
    <w:rsid w:val="008D257C"/>
    <w:rsid w:val="008D5079"/>
    <w:rsid w:val="008D528E"/>
    <w:rsid w:val="008D592D"/>
    <w:rsid w:val="008D5AE8"/>
    <w:rsid w:val="008D5D56"/>
    <w:rsid w:val="008D5F06"/>
    <w:rsid w:val="008D6560"/>
    <w:rsid w:val="008D6916"/>
    <w:rsid w:val="008D6954"/>
    <w:rsid w:val="008D6AB8"/>
    <w:rsid w:val="008D6E0A"/>
    <w:rsid w:val="008D7B09"/>
    <w:rsid w:val="008E00E2"/>
    <w:rsid w:val="008E05A7"/>
    <w:rsid w:val="008E07C4"/>
    <w:rsid w:val="008E0F03"/>
    <w:rsid w:val="008E11DE"/>
    <w:rsid w:val="008E18DC"/>
    <w:rsid w:val="008E1993"/>
    <w:rsid w:val="008E1CFD"/>
    <w:rsid w:val="008E22BF"/>
    <w:rsid w:val="008E2A1A"/>
    <w:rsid w:val="008E2BD5"/>
    <w:rsid w:val="008E384A"/>
    <w:rsid w:val="008E388B"/>
    <w:rsid w:val="008E3AA5"/>
    <w:rsid w:val="008E3FA3"/>
    <w:rsid w:val="008E44CD"/>
    <w:rsid w:val="008E473A"/>
    <w:rsid w:val="008E4AC9"/>
    <w:rsid w:val="008E4C16"/>
    <w:rsid w:val="008E515B"/>
    <w:rsid w:val="008E56B2"/>
    <w:rsid w:val="008E5F58"/>
    <w:rsid w:val="008E6AD8"/>
    <w:rsid w:val="008E6F47"/>
    <w:rsid w:val="008E7427"/>
    <w:rsid w:val="008E75E8"/>
    <w:rsid w:val="008F1959"/>
    <w:rsid w:val="008F28F9"/>
    <w:rsid w:val="008F29C7"/>
    <w:rsid w:val="008F37B3"/>
    <w:rsid w:val="008F4296"/>
    <w:rsid w:val="008F4ADC"/>
    <w:rsid w:val="008F4D2B"/>
    <w:rsid w:val="008F5EE8"/>
    <w:rsid w:val="008F640B"/>
    <w:rsid w:val="008F6707"/>
    <w:rsid w:val="008F697F"/>
    <w:rsid w:val="0090001B"/>
    <w:rsid w:val="0090028F"/>
    <w:rsid w:val="009003EC"/>
    <w:rsid w:val="009004BC"/>
    <w:rsid w:val="009004DA"/>
    <w:rsid w:val="009009DA"/>
    <w:rsid w:val="009017CB"/>
    <w:rsid w:val="00901C03"/>
    <w:rsid w:val="009021BD"/>
    <w:rsid w:val="0090279D"/>
    <w:rsid w:val="00903159"/>
    <w:rsid w:val="00903586"/>
    <w:rsid w:val="009036CB"/>
    <w:rsid w:val="00903737"/>
    <w:rsid w:val="009038EF"/>
    <w:rsid w:val="00903919"/>
    <w:rsid w:val="00903A0E"/>
    <w:rsid w:val="00903D45"/>
    <w:rsid w:val="00904043"/>
    <w:rsid w:val="0090439F"/>
    <w:rsid w:val="0090574B"/>
    <w:rsid w:val="009057D9"/>
    <w:rsid w:val="00905BE5"/>
    <w:rsid w:val="00905C68"/>
    <w:rsid w:val="00905FB3"/>
    <w:rsid w:val="00906100"/>
    <w:rsid w:val="00910462"/>
    <w:rsid w:val="009107C4"/>
    <w:rsid w:val="0091089D"/>
    <w:rsid w:val="00910CF4"/>
    <w:rsid w:val="0091102D"/>
    <w:rsid w:val="00911231"/>
    <w:rsid w:val="0091127D"/>
    <w:rsid w:val="009118F2"/>
    <w:rsid w:val="00911A89"/>
    <w:rsid w:val="00911C45"/>
    <w:rsid w:val="00911C87"/>
    <w:rsid w:val="00911F83"/>
    <w:rsid w:val="009125EF"/>
    <w:rsid w:val="009126D8"/>
    <w:rsid w:val="00912BAD"/>
    <w:rsid w:val="00912D52"/>
    <w:rsid w:val="00912FB4"/>
    <w:rsid w:val="00913EC3"/>
    <w:rsid w:val="009140D5"/>
    <w:rsid w:val="009146CD"/>
    <w:rsid w:val="00914B1B"/>
    <w:rsid w:val="00914B6F"/>
    <w:rsid w:val="00914C49"/>
    <w:rsid w:val="00915119"/>
    <w:rsid w:val="009157A3"/>
    <w:rsid w:val="00916391"/>
    <w:rsid w:val="009172B4"/>
    <w:rsid w:val="0091760D"/>
    <w:rsid w:val="00917649"/>
    <w:rsid w:val="009179DE"/>
    <w:rsid w:val="0092082A"/>
    <w:rsid w:val="00920B18"/>
    <w:rsid w:val="00920DEA"/>
    <w:rsid w:val="009220A2"/>
    <w:rsid w:val="009230DB"/>
    <w:rsid w:val="009232BA"/>
    <w:rsid w:val="00923C66"/>
    <w:rsid w:val="00924581"/>
    <w:rsid w:val="00924F81"/>
    <w:rsid w:val="00925084"/>
    <w:rsid w:val="0092515E"/>
    <w:rsid w:val="00925337"/>
    <w:rsid w:val="00927C8B"/>
    <w:rsid w:val="00930120"/>
    <w:rsid w:val="0093093E"/>
    <w:rsid w:val="00930D7F"/>
    <w:rsid w:val="00930F60"/>
    <w:rsid w:val="00931A2A"/>
    <w:rsid w:val="00931AA2"/>
    <w:rsid w:val="009321DB"/>
    <w:rsid w:val="00934521"/>
    <w:rsid w:val="00934719"/>
    <w:rsid w:val="009348CB"/>
    <w:rsid w:val="00934B1F"/>
    <w:rsid w:val="00934CA6"/>
    <w:rsid w:val="00934DAB"/>
    <w:rsid w:val="0093566C"/>
    <w:rsid w:val="00935713"/>
    <w:rsid w:val="00935C2E"/>
    <w:rsid w:val="00935DA8"/>
    <w:rsid w:val="009362BC"/>
    <w:rsid w:val="009362CA"/>
    <w:rsid w:val="00936306"/>
    <w:rsid w:val="009367BE"/>
    <w:rsid w:val="00936FBE"/>
    <w:rsid w:val="009372CE"/>
    <w:rsid w:val="009374F3"/>
    <w:rsid w:val="00937729"/>
    <w:rsid w:val="0094007D"/>
    <w:rsid w:val="009403CE"/>
    <w:rsid w:val="009408BA"/>
    <w:rsid w:val="00940E22"/>
    <w:rsid w:val="00941390"/>
    <w:rsid w:val="009418B4"/>
    <w:rsid w:val="00941E40"/>
    <w:rsid w:val="00942027"/>
    <w:rsid w:val="009423B6"/>
    <w:rsid w:val="0094244F"/>
    <w:rsid w:val="009424BD"/>
    <w:rsid w:val="00942A00"/>
    <w:rsid w:val="00942A2F"/>
    <w:rsid w:val="00942E34"/>
    <w:rsid w:val="00942E5C"/>
    <w:rsid w:val="0094320F"/>
    <w:rsid w:val="00943813"/>
    <w:rsid w:val="00943F6C"/>
    <w:rsid w:val="009444F2"/>
    <w:rsid w:val="00944866"/>
    <w:rsid w:val="00944B01"/>
    <w:rsid w:val="00945522"/>
    <w:rsid w:val="00945BF2"/>
    <w:rsid w:val="00945EDA"/>
    <w:rsid w:val="0094660E"/>
    <w:rsid w:val="00946C19"/>
    <w:rsid w:val="00947159"/>
    <w:rsid w:val="009479B0"/>
    <w:rsid w:val="00947A71"/>
    <w:rsid w:val="00947F78"/>
    <w:rsid w:val="00950305"/>
    <w:rsid w:val="00950678"/>
    <w:rsid w:val="00950908"/>
    <w:rsid w:val="00950BF0"/>
    <w:rsid w:val="00950F69"/>
    <w:rsid w:val="00951327"/>
    <w:rsid w:val="0095194B"/>
    <w:rsid w:val="0095262C"/>
    <w:rsid w:val="00953113"/>
    <w:rsid w:val="00954089"/>
    <w:rsid w:val="009540B2"/>
    <w:rsid w:val="00954107"/>
    <w:rsid w:val="00954524"/>
    <w:rsid w:val="00954576"/>
    <w:rsid w:val="009545EF"/>
    <w:rsid w:val="0095620A"/>
    <w:rsid w:val="00956AEB"/>
    <w:rsid w:val="00957568"/>
    <w:rsid w:val="0095767E"/>
    <w:rsid w:val="00957A30"/>
    <w:rsid w:val="00957B28"/>
    <w:rsid w:val="00960578"/>
    <w:rsid w:val="009606AE"/>
    <w:rsid w:val="009607CB"/>
    <w:rsid w:val="00960925"/>
    <w:rsid w:val="009612A9"/>
    <w:rsid w:val="00961BF6"/>
    <w:rsid w:val="00961E32"/>
    <w:rsid w:val="00961F4F"/>
    <w:rsid w:val="00962235"/>
    <w:rsid w:val="00963336"/>
    <w:rsid w:val="0096342B"/>
    <w:rsid w:val="00964037"/>
    <w:rsid w:val="009644AF"/>
    <w:rsid w:val="00964808"/>
    <w:rsid w:val="00964FC0"/>
    <w:rsid w:val="00965150"/>
    <w:rsid w:val="009657C5"/>
    <w:rsid w:val="00965A8C"/>
    <w:rsid w:val="00965AB4"/>
    <w:rsid w:val="0096632F"/>
    <w:rsid w:val="00966BB2"/>
    <w:rsid w:val="00966DDB"/>
    <w:rsid w:val="00967176"/>
    <w:rsid w:val="00967178"/>
    <w:rsid w:val="009677DC"/>
    <w:rsid w:val="00967909"/>
    <w:rsid w:val="00967CA0"/>
    <w:rsid w:val="00970005"/>
    <w:rsid w:val="0097071F"/>
    <w:rsid w:val="00971DE1"/>
    <w:rsid w:val="00972757"/>
    <w:rsid w:val="0097344F"/>
    <w:rsid w:val="00973B25"/>
    <w:rsid w:val="00973B28"/>
    <w:rsid w:val="00973D3B"/>
    <w:rsid w:val="00974E33"/>
    <w:rsid w:val="00974F5B"/>
    <w:rsid w:val="00975CA8"/>
    <w:rsid w:val="00975E73"/>
    <w:rsid w:val="009766EF"/>
    <w:rsid w:val="009768E5"/>
    <w:rsid w:val="00976979"/>
    <w:rsid w:val="00977A5C"/>
    <w:rsid w:val="00977BA4"/>
    <w:rsid w:val="00977DB1"/>
    <w:rsid w:val="009801D0"/>
    <w:rsid w:val="0098119C"/>
    <w:rsid w:val="009812B0"/>
    <w:rsid w:val="00981691"/>
    <w:rsid w:val="00981774"/>
    <w:rsid w:val="00981A06"/>
    <w:rsid w:val="009822F1"/>
    <w:rsid w:val="00982B5A"/>
    <w:rsid w:val="00984207"/>
    <w:rsid w:val="009844DE"/>
    <w:rsid w:val="00985CE2"/>
    <w:rsid w:val="009869EC"/>
    <w:rsid w:val="00986B7D"/>
    <w:rsid w:val="00986F29"/>
    <w:rsid w:val="0098738F"/>
    <w:rsid w:val="00987F90"/>
    <w:rsid w:val="0099054C"/>
    <w:rsid w:val="00990841"/>
    <w:rsid w:val="00991011"/>
    <w:rsid w:val="009913AD"/>
    <w:rsid w:val="0099170A"/>
    <w:rsid w:val="00991837"/>
    <w:rsid w:val="00991976"/>
    <w:rsid w:val="00991AD2"/>
    <w:rsid w:val="00991F04"/>
    <w:rsid w:val="00992C7C"/>
    <w:rsid w:val="00993715"/>
    <w:rsid w:val="00993DBC"/>
    <w:rsid w:val="00994182"/>
    <w:rsid w:val="00997083"/>
    <w:rsid w:val="00997224"/>
    <w:rsid w:val="009978F6"/>
    <w:rsid w:val="00997B28"/>
    <w:rsid w:val="00997BEC"/>
    <w:rsid w:val="00997EAB"/>
    <w:rsid w:val="00997F89"/>
    <w:rsid w:val="009A0386"/>
    <w:rsid w:val="009A03D3"/>
    <w:rsid w:val="009A0672"/>
    <w:rsid w:val="009A067B"/>
    <w:rsid w:val="009A0EEF"/>
    <w:rsid w:val="009A1088"/>
    <w:rsid w:val="009A1A16"/>
    <w:rsid w:val="009A1A31"/>
    <w:rsid w:val="009A1C4E"/>
    <w:rsid w:val="009A1D6C"/>
    <w:rsid w:val="009A2615"/>
    <w:rsid w:val="009A268D"/>
    <w:rsid w:val="009A2AA5"/>
    <w:rsid w:val="009A2FDF"/>
    <w:rsid w:val="009A3374"/>
    <w:rsid w:val="009A337E"/>
    <w:rsid w:val="009A3869"/>
    <w:rsid w:val="009A3AD3"/>
    <w:rsid w:val="009A3FF8"/>
    <w:rsid w:val="009A4BA1"/>
    <w:rsid w:val="009A5120"/>
    <w:rsid w:val="009A53F8"/>
    <w:rsid w:val="009A587C"/>
    <w:rsid w:val="009A6007"/>
    <w:rsid w:val="009A68EA"/>
    <w:rsid w:val="009A6B36"/>
    <w:rsid w:val="009A764E"/>
    <w:rsid w:val="009B1459"/>
    <w:rsid w:val="009B17CD"/>
    <w:rsid w:val="009B1E3B"/>
    <w:rsid w:val="009B2887"/>
    <w:rsid w:val="009B3059"/>
    <w:rsid w:val="009B30FC"/>
    <w:rsid w:val="009B384D"/>
    <w:rsid w:val="009B4E01"/>
    <w:rsid w:val="009B51C4"/>
    <w:rsid w:val="009B51EA"/>
    <w:rsid w:val="009B5AB1"/>
    <w:rsid w:val="009B60CC"/>
    <w:rsid w:val="009B6954"/>
    <w:rsid w:val="009B6B09"/>
    <w:rsid w:val="009B7170"/>
    <w:rsid w:val="009B72E6"/>
    <w:rsid w:val="009B743D"/>
    <w:rsid w:val="009B7CC4"/>
    <w:rsid w:val="009C160F"/>
    <w:rsid w:val="009C1A7D"/>
    <w:rsid w:val="009C2A13"/>
    <w:rsid w:val="009C2CE2"/>
    <w:rsid w:val="009C3491"/>
    <w:rsid w:val="009C5B98"/>
    <w:rsid w:val="009C6722"/>
    <w:rsid w:val="009C6BEF"/>
    <w:rsid w:val="009C7A8D"/>
    <w:rsid w:val="009C7E9F"/>
    <w:rsid w:val="009D07B1"/>
    <w:rsid w:val="009D094A"/>
    <w:rsid w:val="009D1317"/>
    <w:rsid w:val="009D17F6"/>
    <w:rsid w:val="009D1BB8"/>
    <w:rsid w:val="009D2425"/>
    <w:rsid w:val="009D2693"/>
    <w:rsid w:val="009D288C"/>
    <w:rsid w:val="009D2985"/>
    <w:rsid w:val="009D2C61"/>
    <w:rsid w:val="009D2EF9"/>
    <w:rsid w:val="009D33E0"/>
    <w:rsid w:val="009D3946"/>
    <w:rsid w:val="009D45ED"/>
    <w:rsid w:val="009D4DF8"/>
    <w:rsid w:val="009D523D"/>
    <w:rsid w:val="009D5951"/>
    <w:rsid w:val="009D5B8D"/>
    <w:rsid w:val="009D5D06"/>
    <w:rsid w:val="009D625D"/>
    <w:rsid w:val="009D6496"/>
    <w:rsid w:val="009D662E"/>
    <w:rsid w:val="009D71C0"/>
    <w:rsid w:val="009D7784"/>
    <w:rsid w:val="009E078E"/>
    <w:rsid w:val="009E0DC5"/>
    <w:rsid w:val="009E0EA2"/>
    <w:rsid w:val="009E1753"/>
    <w:rsid w:val="009E1791"/>
    <w:rsid w:val="009E1E92"/>
    <w:rsid w:val="009E2424"/>
    <w:rsid w:val="009E2567"/>
    <w:rsid w:val="009E2911"/>
    <w:rsid w:val="009E2C38"/>
    <w:rsid w:val="009E2E84"/>
    <w:rsid w:val="009E3399"/>
    <w:rsid w:val="009E33E9"/>
    <w:rsid w:val="009E3ECF"/>
    <w:rsid w:val="009E3F03"/>
    <w:rsid w:val="009E4102"/>
    <w:rsid w:val="009E4334"/>
    <w:rsid w:val="009E4C38"/>
    <w:rsid w:val="009E4DE6"/>
    <w:rsid w:val="009E53C0"/>
    <w:rsid w:val="009E6131"/>
    <w:rsid w:val="009F0060"/>
    <w:rsid w:val="009F034A"/>
    <w:rsid w:val="009F1243"/>
    <w:rsid w:val="009F2B03"/>
    <w:rsid w:val="009F2EC0"/>
    <w:rsid w:val="009F339F"/>
    <w:rsid w:val="009F34B0"/>
    <w:rsid w:val="009F37A2"/>
    <w:rsid w:val="009F48D3"/>
    <w:rsid w:val="009F4929"/>
    <w:rsid w:val="009F525C"/>
    <w:rsid w:val="009F5A7C"/>
    <w:rsid w:val="009F6ECF"/>
    <w:rsid w:val="009F6EE6"/>
    <w:rsid w:val="009F743F"/>
    <w:rsid w:val="009F765F"/>
    <w:rsid w:val="00A00190"/>
    <w:rsid w:val="00A00965"/>
    <w:rsid w:val="00A00B1D"/>
    <w:rsid w:val="00A0122D"/>
    <w:rsid w:val="00A01ADE"/>
    <w:rsid w:val="00A02C3E"/>
    <w:rsid w:val="00A02F66"/>
    <w:rsid w:val="00A0400B"/>
    <w:rsid w:val="00A04465"/>
    <w:rsid w:val="00A04DC9"/>
    <w:rsid w:val="00A05F0F"/>
    <w:rsid w:val="00A06548"/>
    <w:rsid w:val="00A06A63"/>
    <w:rsid w:val="00A06C1A"/>
    <w:rsid w:val="00A07723"/>
    <w:rsid w:val="00A1011F"/>
    <w:rsid w:val="00A1091A"/>
    <w:rsid w:val="00A109E7"/>
    <w:rsid w:val="00A10AA7"/>
    <w:rsid w:val="00A10E3A"/>
    <w:rsid w:val="00A11E2F"/>
    <w:rsid w:val="00A12ACF"/>
    <w:rsid w:val="00A12BA4"/>
    <w:rsid w:val="00A12BD8"/>
    <w:rsid w:val="00A12D40"/>
    <w:rsid w:val="00A12F67"/>
    <w:rsid w:val="00A14118"/>
    <w:rsid w:val="00A145D2"/>
    <w:rsid w:val="00A14B2A"/>
    <w:rsid w:val="00A14F9C"/>
    <w:rsid w:val="00A152E3"/>
    <w:rsid w:val="00A15B98"/>
    <w:rsid w:val="00A168ED"/>
    <w:rsid w:val="00A16B93"/>
    <w:rsid w:val="00A16D81"/>
    <w:rsid w:val="00A172FA"/>
    <w:rsid w:val="00A17B3B"/>
    <w:rsid w:val="00A207A0"/>
    <w:rsid w:val="00A20C70"/>
    <w:rsid w:val="00A20FAE"/>
    <w:rsid w:val="00A21C74"/>
    <w:rsid w:val="00A21D89"/>
    <w:rsid w:val="00A220BA"/>
    <w:rsid w:val="00A22814"/>
    <w:rsid w:val="00A238CC"/>
    <w:rsid w:val="00A2396A"/>
    <w:rsid w:val="00A24316"/>
    <w:rsid w:val="00A2431C"/>
    <w:rsid w:val="00A2468F"/>
    <w:rsid w:val="00A24DC9"/>
    <w:rsid w:val="00A259C7"/>
    <w:rsid w:val="00A25A94"/>
    <w:rsid w:val="00A25DB9"/>
    <w:rsid w:val="00A26329"/>
    <w:rsid w:val="00A26663"/>
    <w:rsid w:val="00A26BFD"/>
    <w:rsid w:val="00A27037"/>
    <w:rsid w:val="00A27600"/>
    <w:rsid w:val="00A304F5"/>
    <w:rsid w:val="00A30C42"/>
    <w:rsid w:val="00A3179C"/>
    <w:rsid w:val="00A32369"/>
    <w:rsid w:val="00A32B77"/>
    <w:rsid w:val="00A335EE"/>
    <w:rsid w:val="00A33657"/>
    <w:rsid w:val="00A339A1"/>
    <w:rsid w:val="00A34BC2"/>
    <w:rsid w:val="00A34CD5"/>
    <w:rsid w:val="00A34D1C"/>
    <w:rsid w:val="00A34DB1"/>
    <w:rsid w:val="00A34FEB"/>
    <w:rsid w:val="00A366BD"/>
    <w:rsid w:val="00A36946"/>
    <w:rsid w:val="00A36C28"/>
    <w:rsid w:val="00A37024"/>
    <w:rsid w:val="00A37716"/>
    <w:rsid w:val="00A37E24"/>
    <w:rsid w:val="00A4057B"/>
    <w:rsid w:val="00A40DD2"/>
    <w:rsid w:val="00A414C7"/>
    <w:rsid w:val="00A41D3E"/>
    <w:rsid w:val="00A41F67"/>
    <w:rsid w:val="00A4249D"/>
    <w:rsid w:val="00A43333"/>
    <w:rsid w:val="00A44301"/>
    <w:rsid w:val="00A44B2C"/>
    <w:rsid w:val="00A44BA9"/>
    <w:rsid w:val="00A450FD"/>
    <w:rsid w:val="00A453FB"/>
    <w:rsid w:val="00A4582B"/>
    <w:rsid w:val="00A4599B"/>
    <w:rsid w:val="00A459B8"/>
    <w:rsid w:val="00A45CFA"/>
    <w:rsid w:val="00A460CE"/>
    <w:rsid w:val="00A46A8C"/>
    <w:rsid w:val="00A471F8"/>
    <w:rsid w:val="00A47746"/>
    <w:rsid w:val="00A47CD0"/>
    <w:rsid w:val="00A50FC7"/>
    <w:rsid w:val="00A5134E"/>
    <w:rsid w:val="00A51998"/>
    <w:rsid w:val="00A51DB1"/>
    <w:rsid w:val="00A51E52"/>
    <w:rsid w:val="00A51FDE"/>
    <w:rsid w:val="00A528CA"/>
    <w:rsid w:val="00A53852"/>
    <w:rsid w:val="00A54CA6"/>
    <w:rsid w:val="00A54DDD"/>
    <w:rsid w:val="00A558D0"/>
    <w:rsid w:val="00A565AA"/>
    <w:rsid w:val="00A57893"/>
    <w:rsid w:val="00A57F1A"/>
    <w:rsid w:val="00A61567"/>
    <w:rsid w:val="00A615D3"/>
    <w:rsid w:val="00A62011"/>
    <w:rsid w:val="00A622DE"/>
    <w:rsid w:val="00A6287E"/>
    <w:rsid w:val="00A62BFD"/>
    <w:rsid w:val="00A63DB1"/>
    <w:rsid w:val="00A63E49"/>
    <w:rsid w:val="00A640B2"/>
    <w:rsid w:val="00A641CF"/>
    <w:rsid w:val="00A646E0"/>
    <w:rsid w:val="00A64CDF"/>
    <w:rsid w:val="00A65644"/>
    <w:rsid w:val="00A65985"/>
    <w:rsid w:val="00A659C0"/>
    <w:rsid w:val="00A659FA"/>
    <w:rsid w:val="00A6659B"/>
    <w:rsid w:val="00A66D7D"/>
    <w:rsid w:val="00A67A3B"/>
    <w:rsid w:val="00A67B97"/>
    <w:rsid w:val="00A67D52"/>
    <w:rsid w:val="00A700E3"/>
    <w:rsid w:val="00A70300"/>
    <w:rsid w:val="00A704BC"/>
    <w:rsid w:val="00A707D3"/>
    <w:rsid w:val="00A70955"/>
    <w:rsid w:val="00A70EAF"/>
    <w:rsid w:val="00A718CE"/>
    <w:rsid w:val="00A71981"/>
    <w:rsid w:val="00A71DC1"/>
    <w:rsid w:val="00A7224E"/>
    <w:rsid w:val="00A722A9"/>
    <w:rsid w:val="00A724A8"/>
    <w:rsid w:val="00A72591"/>
    <w:rsid w:val="00A729DE"/>
    <w:rsid w:val="00A73371"/>
    <w:rsid w:val="00A736AB"/>
    <w:rsid w:val="00A73DA5"/>
    <w:rsid w:val="00A74295"/>
    <w:rsid w:val="00A74D31"/>
    <w:rsid w:val="00A75199"/>
    <w:rsid w:val="00A7606D"/>
    <w:rsid w:val="00A760AA"/>
    <w:rsid w:val="00A764F1"/>
    <w:rsid w:val="00A76CD3"/>
    <w:rsid w:val="00A7713B"/>
    <w:rsid w:val="00A77159"/>
    <w:rsid w:val="00A7776A"/>
    <w:rsid w:val="00A77D97"/>
    <w:rsid w:val="00A77E2F"/>
    <w:rsid w:val="00A80415"/>
    <w:rsid w:val="00A80E6A"/>
    <w:rsid w:val="00A8159F"/>
    <w:rsid w:val="00A818D3"/>
    <w:rsid w:val="00A81C89"/>
    <w:rsid w:val="00A822F3"/>
    <w:rsid w:val="00A83384"/>
    <w:rsid w:val="00A83685"/>
    <w:rsid w:val="00A83A9D"/>
    <w:rsid w:val="00A83DAD"/>
    <w:rsid w:val="00A8401A"/>
    <w:rsid w:val="00A84402"/>
    <w:rsid w:val="00A84899"/>
    <w:rsid w:val="00A85B9E"/>
    <w:rsid w:val="00A86017"/>
    <w:rsid w:val="00A87234"/>
    <w:rsid w:val="00A87C8C"/>
    <w:rsid w:val="00A87D0B"/>
    <w:rsid w:val="00A9098B"/>
    <w:rsid w:val="00A911AA"/>
    <w:rsid w:val="00A92124"/>
    <w:rsid w:val="00A92B2F"/>
    <w:rsid w:val="00A92FAB"/>
    <w:rsid w:val="00A93294"/>
    <w:rsid w:val="00A935CE"/>
    <w:rsid w:val="00A93624"/>
    <w:rsid w:val="00A93D80"/>
    <w:rsid w:val="00A942B7"/>
    <w:rsid w:val="00A951B1"/>
    <w:rsid w:val="00A95573"/>
    <w:rsid w:val="00A95836"/>
    <w:rsid w:val="00A959C3"/>
    <w:rsid w:val="00A95A36"/>
    <w:rsid w:val="00A95F88"/>
    <w:rsid w:val="00A9614A"/>
    <w:rsid w:val="00A96E18"/>
    <w:rsid w:val="00A96EB0"/>
    <w:rsid w:val="00A974CC"/>
    <w:rsid w:val="00AA0251"/>
    <w:rsid w:val="00AA03BD"/>
    <w:rsid w:val="00AA0F97"/>
    <w:rsid w:val="00AA24A3"/>
    <w:rsid w:val="00AA2A50"/>
    <w:rsid w:val="00AA2DF2"/>
    <w:rsid w:val="00AA2EDE"/>
    <w:rsid w:val="00AA30F8"/>
    <w:rsid w:val="00AA36A4"/>
    <w:rsid w:val="00AA3AE5"/>
    <w:rsid w:val="00AA44C0"/>
    <w:rsid w:val="00AA5133"/>
    <w:rsid w:val="00AA5203"/>
    <w:rsid w:val="00AA53DA"/>
    <w:rsid w:val="00AA548C"/>
    <w:rsid w:val="00AA6E54"/>
    <w:rsid w:val="00AA7795"/>
    <w:rsid w:val="00AA7C3E"/>
    <w:rsid w:val="00AB08A1"/>
    <w:rsid w:val="00AB0BDE"/>
    <w:rsid w:val="00AB168C"/>
    <w:rsid w:val="00AB194F"/>
    <w:rsid w:val="00AB25AF"/>
    <w:rsid w:val="00AB25D5"/>
    <w:rsid w:val="00AB274F"/>
    <w:rsid w:val="00AB2A0D"/>
    <w:rsid w:val="00AB2B4D"/>
    <w:rsid w:val="00AB3006"/>
    <w:rsid w:val="00AB38C9"/>
    <w:rsid w:val="00AB38F4"/>
    <w:rsid w:val="00AB3B88"/>
    <w:rsid w:val="00AB4115"/>
    <w:rsid w:val="00AB4B9D"/>
    <w:rsid w:val="00AB4CDF"/>
    <w:rsid w:val="00AB616E"/>
    <w:rsid w:val="00AB6AE0"/>
    <w:rsid w:val="00AB6C52"/>
    <w:rsid w:val="00AC0CAA"/>
    <w:rsid w:val="00AC0CE0"/>
    <w:rsid w:val="00AC0F6D"/>
    <w:rsid w:val="00AC18F0"/>
    <w:rsid w:val="00AC247A"/>
    <w:rsid w:val="00AC2FDA"/>
    <w:rsid w:val="00AC31D4"/>
    <w:rsid w:val="00AC32D2"/>
    <w:rsid w:val="00AC3BBB"/>
    <w:rsid w:val="00AC3E29"/>
    <w:rsid w:val="00AC4386"/>
    <w:rsid w:val="00AC4B94"/>
    <w:rsid w:val="00AC5253"/>
    <w:rsid w:val="00AC5EF2"/>
    <w:rsid w:val="00AC65DD"/>
    <w:rsid w:val="00AD01EB"/>
    <w:rsid w:val="00AD0762"/>
    <w:rsid w:val="00AD0CA7"/>
    <w:rsid w:val="00AD111C"/>
    <w:rsid w:val="00AD12C4"/>
    <w:rsid w:val="00AD18E1"/>
    <w:rsid w:val="00AD1BB7"/>
    <w:rsid w:val="00AD1D23"/>
    <w:rsid w:val="00AD211D"/>
    <w:rsid w:val="00AD2212"/>
    <w:rsid w:val="00AD239E"/>
    <w:rsid w:val="00AD2562"/>
    <w:rsid w:val="00AD27C2"/>
    <w:rsid w:val="00AD32D3"/>
    <w:rsid w:val="00AD3CB7"/>
    <w:rsid w:val="00AD3D67"/>
    <w:rsid w:val="00AD3FD2"/>
    <w:rsid w:val="00AD4AAC"/>
    <w:rsid w:val="00AD4D86"/>
    <w:rsid w:val="00AD4F8D"/>
    <w:rsid w:val="00AD6103"/>
    <w:rsid w:val="00AD6811"/>
    <w:rsid w:val="00AD68D8"/>
    <w:rsid w:val="00AD6F94"/>
    <w:rsid w:val="00AD7812"/>
    <w:rsid w:val="00AE16C7"/>
    <w:rsid w:val="00AE1AD1"/>
    <w:rsid w:val="00AE21D0"/>
    <w:rsid w:val="00AE24C3"/>
    <w:rsid w:val="00AE3834"/>
    <w:rsid w:val="00AE41BF"/>
    <w:rsid w:val="00AE4451"/>
    <w:rsid w:val="00AE4E24"/>
    <w:rsid w:val="00AE4F2D"/>
    <w:rsid w:val="00AE55D1"/>
    <w:rsid w:val="00AE625E"/>
    <w:rsid w:val="00AE6999"/>
    <w:rsid w:val="00AE7318"/>
    <w:rsid w:val="00AE7542"/>
    <w:rsid w:val="00AE7642"/>
    <w:rsid w:val="00AE7E39"/>
    <w:rsid w:val="00AE7F23"/>
    <w:rsid w:val="00AF099A"/>
    <w:rsid w:val="00AF1915"/>
    <w:rsid w:val="00AF1AAC"/>
    <w:rsid w:val="00AF1FBA"/>
    <w:rsid w:val="00AF203A"/>
    <w:rsid w:val="00AF2572"/>
    <w:rsid w:val="00AF2A39"/>
    <w:rsid w:val="00AF3564"/>
    <w:rsid w:val="00AF3C38"/>
    <w:rsid w:val="00AF3E78"/>
    <w:rsid w:val="00AF401F"/>
    <w:rsid w:val="00AF40C9"/>
    <w:rsid w:val="00AF440E"/>
    <w:rsid w:val="00AF44D7"/>
    <w:rsid w:val="00AF50E9"/>
    <w:rsid w:val="00AF587C"/>
    <w:rsid w:val="00AF62EB"/>
    <w:rsid w:val="00AF6424"/>
    <w:rsid w:val="00AF64A5"/>
    <w:rsid w:val="00AF64B4"/>
    <w:rsid w:val="00AF6B1F"/>
    <w:rsid w:val="00AF6DAC"/>
    <w:rsid w:val="00AF7A95"/>
    <w:rsid w:val="00AF7C82"/>
    <w:rsid w:val="00AF7F0C"/>
    <w:rsid w:val="00B00098"/>
    <w:rsid w:val="00B016B0"/>
    <w:rsid w:val="00B0205C"/>
    <w:rsid w:val="00B0275D"/>
    <w:rsid w:val="00B02E37"/>
    <w:rsid w:val="00B0560D"/>
    <w:rsid w:val="00B05902"/>
    <w:rsid w:val="00B05F27"/>
    <w:rsid w:val="00B06D90"/>
    <w:rsid w:val="00B06F87"/>
    <w:rsid w:val="00B07039"/>
    <w:rsid w:val="00B101F6"/>
    <w:rsid w:val="00B114E6"/>
    <w:rsid w:val="00B1178E"/>
    <w:rsid w:val="00B1186F"/>
    <w:rsid w:val="00B11A7B"/>
    <w:rsid w:val="00B11CFA"/>
    <w:rsid w:val="00B11DE7"/>
    <w:rsid w:val="00B129D1"/>
    <w:rsid w:val="00B12D25"/>
    <w:rsid w:val="00B137BC"/>
    <w:rsid w:val="00B1399E"/>
    <w:rsid w:val="00B13B8F"/>
    <w:rsid w:val="00B145AA"/>
    <w:rsid w:val="00B146F4"/>
    <w:rsid w:val="00B14E01"/>
    <w:rsid w:val="00B15025"/>
    <w:rsid w:val="00B158B4"/>
    <w:rsid w:val="00B15938"/>
    <w:rsid w:val="00B15952"/>
    <w:rsid w:val="00B1599C"/>
    <w:rsid w:val="00B17A81"/>
    <w:rsid w:val="00B17B54"/>
    <w:rsid w:val="00B17FF4"/>
    <w:rsid w:val="00B20936"/>
    <w:rsid w:val="00B212C6"/>
    <w:rsid w:val="00B21602"/>
    <w:rsid w:val="00B21E39"/>
    <w:rsid w:val="00B21E6C"/>
    <w:rsid w:val="00B221C9"/>
    <w:rsid w:val="00B22301"/>
    <w:rsid w:val="00B22E30"/>
    <w:rsid w:val="00B238A4"/>
    <w:rsid w:val="00B23B46"/>
    <w:rsid w:val="00B23E9E"/>
    <w:rsid w:val="00B2405F"/>
    <w:rsid w:val="00B240C8"/>
    <w:rsid w:val="00B242C7"/>
    <w:rsid w:val="00B246AF"/>
    <w:rsid w:val="00B250D1"/>
    <w:rsid w:val="00B25428"/>
    <w:rsid w:val="00B260FF"/>
    <w:rsid w:val="00B26122"/>
    <w:rsid w:val="00B27340"/>
    <w:rsid w:val="00B30516"/>
    <w:rsid w:val="00B310C3"/>
    <w:rsid w:val="00B31B21"/>
    <w:rsid w:val="00B31CA7"/>
    <w:rsid w:val="00B31E5B"/>
    <w:rsid w:val="00B32388"/>
    <w:rsid w:val="00B32945"/>
    <w:rsid w:val="00B32F73"/>
    <w:rsid w:val="00B33616"/>
    <w:rsid w:val="00B3388E"/>
    <w:rsid w:val="00B3425B"/>
    <w:rsid w:val="00B35378"/>
    <w:rsid w:val="00B35DFB"/>
    <w:rsid w:val="00B41149"/>
    <w:rsid w:val="00B4178C"/>
    <w:rsid w:val="00B4233A"/>
    <w:rsid w:val="00B43B55"/>
    <w:rsid w:val="00B43D22"/>
    <w:rsid w:val="00B4400F"/>
    <w:rsid w:val="00B4450E"/>
    <w:rsid w:val="00B447D6"/>
    <w:rsid w:val="00B44D05"/>
    <w:rsid w:val="00B45211"/>
    <w:rsid w:val="00B4645B"/>
    <w:rsid w:val="00B465D0"/>
    <w:rsid w:val="00B46A30"/>
    <w:rsid w:val="00B46B2F"/>
    <w:rsid w:val="00B47373"/>
    <w:rsid w:val="00B4743E"/>
    <w:rsid w:val="00B47825"/>
    <w:rsid w:val="00B47B8F"/>
    <w:rsid w:val="00B47E6E"/>
    <w:rsid w:val="00B5026F"/>
    <w:rsid w:val="00B50362"/>
    <w:rsid w:val="00B50B51"/>
    <w:rsid w:val="00B51038"/>
    <w:rsid w:val="00B515F4"/>
    <w:rsid w:val="00B52865"/>
    <w:rsid w:val="00B5369D"/>
    <w:rsid w:val="00B540FE"/>
    <w:rsid w:val="00B54137"/>
    <w:rsid w:val="00B54358"/>
    <w:rsid w:val="00B55D50"/>
    <w:rsid w:val="00B55DDE"/>
    <w:rsid w:val="00B56607"/>
    <w:rsid w:val="00B56699"/>
    <w:rsid w:val="00B567F8"/>
    <w:rsid w:val="00B56BD4"/>
    <w:rsid w:val="00B575A3"/>
    <w:rsid w:val="00B5785D"/>
    <w:rsid w:val="00B60066"/>
    <w:rsid w:val="00B60AD6"/>
    <w:rsid w:val="00B60B19"/>
    <w:rsid w:val="00B61BC8"/>
    <w:rsid w:val="00B62C33"/>
    <w:rsid w:val="00B62C79"/>
    <w:rsid w:val="00B63180"/>
    <w:rsid w:val="00B63432"/>
    <w:rsid w:val="00B64417"/>
    <w:rsid w:val="00B64825"/>
    <w:rsid w:val="00B64A07"/>
    <w:rsid w:val="00B64FDD"/>
    <w:rsid w:val="00B652FF"/>
    <w:rsid w:val="00B65307"/>
    <w:rsid w:val="00B65584"/>
    <w:rsid w:val="00B65E3C"/>
    <w:rsid w:val="00B66115"/>
    <w:rsid w:val="00B6640D"/>
    <w:rsid w:val="00B668ED"/>
    <w:rsid w:val="00B66B8C"/>
    <w:rsid w:val="00B705C1"/>
    <w:rsid w:val="00B71074"/>
    <w:rsid w:val="00B7131B"/>
    <w:rsid w:val="00B713C4"/>
    <w:rsid w:val="00B713C6"/>
    <w:rsid w:val="00B7177E"/>
    <w:rsid w:val="00B7237F"/>
    <w:rsid w:val="00B72736"/>
    <w:rsid w:val="00B731B2"/>
    <w:rsid w:val="00B732C6"/>
    <w:rsid w:val="00B7457F"/>
    <w:rsid w:val="00B751B7"/>
    <w:rsid w:val="00B755CA"/>
    <w:rsid w:val="00B756CB"/>
    <w:rsid w:val="00B75991"/>
    <w:rsid w:val="00B75B01"/>
    <w:rsid w:val="00B7624B"/>
    <w:rsid w:val="00B77637"/>
    <w:rsid w:val="00B77D3A"/>
    <w:rsid w:val="00B77F9A"/>
    <w:rsid w:val="00B8040D"/>
    <w:rsid w:val="00B823E2"/>
    <w:rsid w:val="00B825A8"/>
    <w:rsid w:val="00B82D9D"/>
    <w:rsid w:val="00B8460A"/>
    <w:rsid w:val="00B8532B"/>
    <w:rsid w:val="00B85605"/>
    <w:rsid w:val="00B8573F"/>
    <w:rsid w:val="00B86ADC"/>
    <w:rsid w:val="00B87B2F"/>
    <w:rsid w:val="00B90C04"/>
    <w:rsid w:val="00B90F30"/>
    <w:rsid w:val="00B91338"/>
    <w:rsid w:val="00B91E2A"/>
    <w:rsid w:val="00B9228E"/>
    <w:rsid w:val="00B923AB"/>
    <w:rsid w:val="00B92657"/>
    <w:rsid w:val="00B93D1D"/>
    <w:rsid w:val="00B94070"/>
    <w:rsid w:val="00B94190"/>
    <w:rsid w:val="00B94542"/>
    <w:rsid w:val="00B94B8C"/>
    <w:rsid w:val="00B95554"/>
    <w:rsid w:val="00B959DD"/>
    <w:rsid w:val="00B9604C"/>
    <w:rsid w:val="00B96397"/>
    <w:rsid w:val="00B966D8"/>
    <w:rsid w:val="00B96A2B"/>
    <w:rsid w:val="00B97423"/>
    <w:rsid w:val="00B97FE8"/>
    <w:rsid w:val="00BA008D"/>
    <w:rsid w:val="00BA019A"/>
    <w:rsid w:val="00BA0598"/>
    <w:rsid w:val="00BA0802"/>
    <w:rsid w:val="00BA0DAF"/>
    <w:rsid w:val="00BA1335"/>
    <w:rsid w:val="00BA1451"/>
    <w:rsid w:val="00BA1658"/>
    <w:rsid w:val="00BA1DD7"/>
    <w:rsid w:val="00BA2A06"/>
    <w:rsid w:val="00BA2BC9"/>
    <w:rsid w:val="00BA36C5"/>
    <w:rsid w:val="00BA3B9F"/>
    <w:rsid w:val="00BA3EC9"/>
    <w:rsid w:val="00BA3F59"/>
    <w:rsid w:val="00BA41CD"/>
    <w:rsid w:val="00BA487B"/>
    <w:rsid w:val="00BA5360"/>
    <w:rsid w:val="00BA53DB"/>
    <w:rsid w:val="00BA5432"/>
    <w:rsid w:val="00BA5F9D"/>
    <w:rsid w:val="00BA7420"/>
    <w:rsid w:val="00BB088A"/>
    <w:rsid w:val="00BB0E1F"/>
    <w:rsid w:val="00BB0F59"/>
    <w:rsid w:val="00BB1424"/>
    <w:rsid w:val="00BB18EC"/>
    <w:rsid w:val="00BB1C57"/>
    <w:rsid w:val="00BB2711"/>
    <w:rsid w:val="00BB312D"/>
    <w:rsid w:val="00BB32FE"/>
    <w:rsid w:val="00BB3871"/>
    <w:rsid w:val="00BB4161"/>
    <w:rsid w:val="00BB48F2"/>
    <w:rsid w:val="00BB4A6E"/>
    <w:rsid w:val="00BB54C4"/>
    <w:rsid w:val="00BB557F"/>
    <w:rsid w:val="00BB5BD7"/>
    <w:rsid w:val="00BB6141"/>
    <w:rsid w:val="00BB633D"/>
    <w:rsid w:val="00BB6AD9"/>
    <w:rsid w:val="00BC0545"/>
    <w:rsid w:val="00BC0873"/>
    <w:rsid w:val="00BC0F21"/>
    <w:rsid w:val="00BC0F68"/>
    <w:rsid w:val="00BC13AC"/>
    <w:rsid w:val="00BC16AD"/>
    <w:rsid w:val="00BC1D38"/>
    <w:rsid w:val="00BC1D48"/>
    <w:rsid w:val="00BC1DD3"/>
    <w:rsid w:val="00BC2C99"/>
    <w:rsid w:val="00BC4CF2"/>
    <w:rsid w:val="00BC50FE"/>
    <w:rsid w:val="00BC5BE0"/>
    <w:rsid w:val="00BC5FAE"/>
    <w:rsid w:val="00BC62D5"/>
    <w:rsid w:val="00BC7521"/>
    <w:rsid w:val="00BC79B0"/>
    <w:rsid w:val="00BD063C"/>
    <w:rsid w:val="00BD0E8C"/>
    <w:rsid w:val="00BD1052"/>
    <w:rsid w:val="00BD16BB"/>
    <w:rsid w:val="00BD1D96"/>
    <w:rsid w:val="00BD265C"/>
    <w:rsid w:val="00BD26CE"/>
    <w:rsid w:val="00BD2890"/>
    <w:rsid w:val="00BD32C6"/>
    <w:rsid w:val="00BD3599"/>
    <w:rsid w:val="00BD3994"/>
    <w:rsid w:val="00BD3BFA"/>
    <w:rsid w:val="00BD432A"/>
    <w:rsid w:val="00BD453D"/>
    <w:rsid w:val="00BD4E83"/>
    <w:rsid w:val="00BD4F18"/>
    <w:rsid w:val="00BD5F38"/>
    <w:rsid w:val="00BD6158"/>
    <w:rsid w:val="00BD652C"/>
    <w:rsid w:val="00BD660F"/>
    <w:rsid w:val="00BD66E6"/>
    <w:rsid w:val="00BE01F4"/>
    <w:rsid w:val="00BE1603"/>
    <w:rsid w:val="00BE1883"/>
    <w:rsid w:val="00BE1CB5"/>
    <w:rsid w:val="00BE1F5F"/>
    <w:rsid w:val="00BE250D"/>
    <w:rsid w:val="00BE2B6C"/>
    <w:rsid w:val="00BE2DAB"/>
    <w:rsid w:val="00BE40AA"/>
    <w:rsid w:val="00BE461B"/>
    <w:rsid w:val="00BE4748"/>
    <w:rsid w:val="00BE4CB6"/>
    <w:rsid w:val="00BE5068"/>
    <w:rsid w:val="00BE55D9"/>
    <w:rsid w:val="00BE5C41"/>
    <w:rsid w:val="00BE5FDC"/>
    <w:rsid w:val="00BE6717"/>
    <w:rsid w:val="00BE7045"/>
    <w:rsid w:val="00BE7130"/>
    <w:rsid w:val="00BE7B04"/>
    <w:rsid w:val="00BF1175"/>
    <w:rsid w:val="00BF15C7"/>
    <w:rsid w:val="00BF18D4"/>
    <w:rsid w:val="00BF21E9"/>
    <w:rsid w:val="00BF2E4A"/>
    <w:rsid w:val="00BF2F0C"/>
    <w:rsid w:val="00BF3451"/>
    <w:rsid w:val="00BF3BD9"/>
    <w:rsid w:val="00BF420D"/>
    <w:rsid w:val="00BF49EB"/>
    <w:rsid w:val="00BF4B2F"/>
    <w:rsid w:val="00BF4E4A"/>
    <w:rsid w:val="00BF52C4"/>
    <w:rsid w:val="00BF538C"/>
    <w:rsid w:val="00BF5921"/>
    <w:rsid w:val="00BF597B"/>
    <w:rsid w:val="00BF609E"/>
    <w:rsid w:val="00BF64EC"/>
    <w:rsid w:val="00BF6DED"/>
    <w:rsid w:val="00BF74CC"/>
    <w:rsid w:val="00BF785D"/>
    <w:rsid w:val="00C0027C"/>
    <w:rsid w:val="00C01A50"/>
    <w:rsid w:val="00C0286E"/>
    <w:rsid w:val="00C02B53"/>
    <w:rsid w:val="00C02DE9"/>
    <w:rsid w:val="00C05400"/>
    <w:rsid w:val="00C058AF"/>
    <w:rsid w:val="00C05D6F"/>
    <w:rsid w:val="00C05FE4"/>
    <w:rsid w:val="00C0666C"/>
    <w:rsid w:val="00C06E8A"/>
    <w:rsid w:val="00C0737E"/>
    <w:rsid w:val="00C07E69"/>
    <w:rsid w:val="00C10151"/>
    <w:rsid w:val="00C10CEE"/>
    <w:rsid w:val="00C10D8F"/>
    <w:rsid w:val="00C110B4"/>
    <w:rsid w:val="00C114E9"/>
    <w:rsid w:val="00C12178"/>
    <w:rsid w:val="00C122EA"/>
    <w:rsid w:val="00C123B2"/>
    <w:rsid w:val="00C13113"/>
    <w:rsid w:val="00C133EC"/>
    <w:rsid w:val="00C14698"/>
    <w:rsid w:val="00C14B6B"/>
    <w:rsid w:val="00C1535B"/>
    <w:rsid w:val="00C15767"/>
    <w:rsid w:val="00C15F73"/>
    <w:rsid w:val="00C164B7"/>
    <w:rsid w:val="00C16BFF"/>
    <w:rsid w:val="00C17139"/>
    <w:rsid w:val="00C17271"/>
    <w:rsid w:val="00C17E99"/>
    <w:rsid w:val="00C2030A"/>
    <w:rsid w:val="00C203CE"/>
    <w:rsid w:val="00C20AA5"/>
    <w:rsid w:val="00C216CC"/>
    <w:rsid w:val="00C21BC4"/>
    <w:rsid w:val="00C223F9"/>
    <w:rsid w:val="00C22BE8"/>
    <w:rsid w:val="00C23741"/>
    <w:rsid w:val="00C245CD"/>
    <w:rsid w:val="00C249B0"/>
    <w:rsid w:val="00C2597C"/>
    <w:rsid w:val="00C260A5"/>
    <w:rsid w:val="00C268D3"/>
    <w:rsid w:val="00C274E8"/>
    <w:rsid w:val="00C306D9"/>
    <w:rsid w:val="00C307B8"/>
    <w:rsid w:val="00C3195C"/>
    <w:rsid w:val="00C31C86"/>
    <w:rsid w:val="00C31FD0"/>
    <w:rsid w:val="00C320B4"/>
    <w:rsid w:val="00C32323"/>
    <w:rsid w:val="00C32356"/>
    <w:rsid w:val="00C329A6"/>
    <w:rsid w:val="00C32A6C"/>
    <w:rsid w:val="00C32E52"/>
    <w:rsid w:val="00C33410"/>
    <w:rsid w:val="00C33421"/>
    <w:rsid w:val="00C33CB3"/>
    <w:rsid w:val="00C33DF0"/>
    <w:rsid w:val="00C33DF7"/>
    <w:rsid w:val="00C343F5"/>
    <w:rsid w:val="00C34DE7"/>
    <w:rsid w:val="00C358C5"/>
    <w:rsid w:val="00C35CAE"/>
    <w:rsid w:val="00C3781B"/>
    <w:rsid w:val="00C37DB1"/>
    <w:rsid w:val="00C40690"/>
    <w:rsid w:val="00C40943"/>
    <w:rsid w:val="00C41007"/>
    <w:rsid w:val="00C41019"/>
    <w:rsid w:val="00C41E3C"/>
    <w:rsid w:val="00C4206D"/>
    <w:rsid w:val="00C4235C"/>
    <w:rsid w:val="00C427F8"/>
    <w:rsid w:val="00C42919"/>
    <w:rsid w:val="00C4340D"/>
    <w:rsid w:val="00C44105"/>
    <w:rsid w:val="00C44A14"/>
    <w:rsid w:val="00C44A45"/>
    <w:rsid w:val="00C44BA9"/>
    <w:rsid w:val="00C45117"/>
    <w:rsid w:val="00C4597B"/>
    <w:rsid w:val="00C45BA1"/>
    <w:rsid w:val="00C45CC2"/>
    <w:rsid w:val="00C50399"/>
    <w:rsid w:val="00C51956"/>
    <w:rsid w:val="00C51FA8"/>
    <w:rsid w:val="00C5225A"/>
    <w:rsid w:val="00C52541"/>
    <w:rsid w:val="00C52610"/>
    <w:rsid w:val="00C52E0A"/>
    <w:rsid w:val="00C53130"/>
    <w:rsid w:val="00C53526"/>
    <w:rsid w:val="00C5380B"/>
    <w:rsid w:val="00C5398C"/>
    <w:rsid w:val="00C54043"/>
    <w:rsid w:val="00C56490"/>
    <w:rsid w:val="00C566B2"/>
    <w:rsid w:val="00C56719"/>
    <w:rsid w:val="00C56885"/>
    <w:rsid w:val="00C573AB"/>
    <w:rsid w:val="00C604DF"/>
    <w:rsid w:val="00C6076A"/>
    <w:rsid w:val="00C609AB"/>
    <w:rsid w:val="00C610A7"/>
    <w:rsid w:val="00C615DF"/>
    <w:rsid w:val="00C61ADA"/>
    <w:rsid w:val="00C61D18"/>
    <w:rsid w:val="00C61FF2"/>
    <w:rsid w:val="00C62B1F"/>
    <w:rsid w:val="00C63920"/>
    <w:rsid w:val="00C63D8C"/>
    <w:rsid w:val="00C63DB4"/>
    <w:rsid w:val="00C64903"/>
    <w:rsid w:val="00C654FB"/>
    <w:rsid w:val="00C661FC"/>
    <w:rsid w:val="00C662AD"/>
    <w:rsid w:val="00C66983"/>
    <w:rsid w:val="00C675F2"/>
    <w:rsid w:val="00C70110"/>
    <w:rsid w:val="00C701A0"/>
    <w:rsid w:val="00C70331"/>
    <w:rsid w:val="00C70730"/>
    <w:rsid w:val="00C70737"/>
    <w:rsid w:val="00C7076F"/>
    <w:rsid w:val="00C70BFF"/>
    <w:rsid w:val="00C70C06"/>
    <w:rsid w:val="00C70D6D"/>
    <w:rsid w:val="00C70EA6"/>
    <w:rsid w:val="00C71716"/>
    <w:rsid w:val="00C727F5"/>
    <w:rsid w:val="00C7416B"/>
    <w:rsid w:val="00C75333"/>
    <w:rsid w:val="00C756BA"/>
    <w:rsid w:val="00C75F93"/>
    <w:rsid w:val="00C76229"/>
    <w:rsid w:val="00C7697C"/>
    <w:rsid w:val="00C76ADD"/>
    <w:rsid w:val="00C7755A"/>
    <w:rsid w:val="00C77C3B"/>
    <w:rsid w:val="00C80391"/>
    <w:rsid w:val="00C80E84"/>
    <w:rsid w:val="00C813DB"/>
    <w:rsid w:val="00C81421"/>
    <w:rsid w:val="00C8269E"/>
    <w:rsid w:val="00C83C97"/>
    <w:rsid w:val="00C8404E"/>
    <w:rsid w:val="00C8582C"/>
    <w:rsid w:val="00C85E77"/>
    <w:rsid w:val="00C86E19"/>
    <w:rsid w:val="00C900A1"/>
    <w:rsid w:val="00C900CF"/>
    <w:rsid w:val="00C9010B"/>
    <w:rsid w:val="00C904D2"/>
    <w:rsid w:val="00C90781"/>
    <w:rsid w:val="00C9288D"/>
    <w:rsid w:val="00C92B36"/>
    <w:rsid w:val="00C92F07"/>
    <w:rsid w:val="00C92FDC"/>
    <w:rsid w:val="00C9304C"/>
    <w:rsid w:val="00C9334C"/>
    <w:rsid w:val="00C936B2"/>
    <w:rsid w:val="00C93C15"/>
    <w:rsid w:val="00C94788"/>
    <w:rsid w:val="00C952F8"/>
    <w:rsid w:val="00C95795"/>
    <w:rsid w:val="00C9596E"/>
    <w:rsid w:val="00C95A87"/>
    <w:rsid w:val="00C95B3F"/>
    <w:rsid w:val="00C95D73"/>
    <w:rsid w:val="00C95EF6"/>
    <w:rsid w:val="00C96A83"/>
    <w:rsid w:val="00C96B24"/>
    <w:rsid w:val="00C96BF3"/>
    <w:rsid w:val="00C97E2D"/>
    <w:rsid w:val="00CA10B9"/>
    <w:rsid w:val="00CA18FC"/>
    <w:rsid w:val="00CA1A93"/>
    <w:rsid w:val="00CA2611"/>
    <w:rsid w:val="00CA2965"/>
    <w:rsid w:val="00CA3FC9"/>
    <w:rsid w:val="00CA41AE"/>
    <w:rsid w:val="00CA4439"/>
    <w:rsid w:val="00CA4492"/>
    <w:rsid w:val="00CA4A51"/>
    <w:rsid w:val="00CA517F"/>
    <w:rsid w:val="00CA6462"/>
    <w:rsid w:val="00CA6499"/>
    <w:rsid w:val="00CA6AD7"/>
    <w:rsid w:val="00CA7926"/>
    <w:rsid w:val="00CA7BCA"/>
    <w:rsid w:val="00CA7E08"/>
    <w:rsid w:val="00CB01B1"/>
    <w:rsid w:val="00CB0E07"/>
    <w:rsid w:val="00CB0E1A"/>
    <w:rsid w:val="00CB29C1"/>
    <w:rsid w:val="00CB2CFA"/>
    <w:rsid w:val="00CB33F2"/>
    <w:rsid w:val="00CB370B"/>
    <w:rsid w:val="00CB38E5"/>
    <w:rsid w:val="00CB3E8B"/>
    <w:rsid w:val="00CB4702"/>
    <w:rsid w:val="00CB508C"/>
    <w:rsid w:val="00CB57E6"/>
    <w:rsid w:val="00CB5C57"/>
    <w:rsid w:val="00CB70C4"/>
    <w:rsid w:val="00CB758F"/>
    <w:rsid w:val="00CB7AB8"/>
    <w:rsid w:val="00CC0036"/>
    <w:rsid w:val="00CC0752"/>
    <w:rsid w:val="00CC0FC6"/>
    <w:rsid w:val="00CC1586"/>
    <w:rsid w:val="00CC18AD"/>
    <w:rsid w:val="00CC1C73"/>
    <w:rsid w:val="00CC225D"/>
    <w:rsid w:val="00CC2609"/>
    <w:rsid w:val="00CC2664"/>
    <w:rsid w:val="00CC2B3A"/>
    <w:rsid w:val="00CC2F5C"/>
    <w:rsid w:val="00CC3727"/>
    <w:rsid w:val="00CC3897"/>
    <w:rsid w:val="00CC466D"/>
    <w:rsid w:val="00CC4950"/>
    <w:rsid w:val="00CC529E"/>
    <w:rsid w:val="00CC5A15"/>
    <w:rsid w:val="00CC5C57"/>
    <w:rsid w:val="00CC5D7B"/>
    <w:rsid w:val="00CC6163"/>
    <w:rsid w:val="00CC66D0"/>
    <w:rsid w:val="00CC6B8A"/>
    <w:rsid w:val="00CC72B5"/>
    <w:rsid w:val="00CC74F2"/>
    <w:rsid w:val="00CC7AF7"/>
    <w:rsid w:val="00CC7B07"/>
    <w:rsid w:val="00CD093F"/>
    <w:rsid w:val="00CD0AAF"/>
    <w:rsid w:val="00CD12D8"/>
    <w:rsid w:val="00CD2449"/>
    <w:rsid w:val="00CD3C7A"/>
    <w:rsid w:val="00CD4967"/>
    <w:rsid w:val="00CD4EBF"/>
    <w:rsid w:val="00CD4FD9"/>
    <w:rsid w:val="00CD659B"/>
    <w:rsid w:val="00CD66E6"/>
    <w:rsid w:val="00CD675C"/>
    <w:rsid w:val="00CD6B49"/>
    <w:rsid w:val="00CD6CA4"/>
    <w:rsid w:val="00CD6F09"/>
    <w:rsid w:val="00CD7364"/>
    <w:rsid w:val="00CD73F3"/>
    <w:rsid w:val="00CD75E2"/>
    <w:rsid w:val="00CE0ACC"/>
    <w:rsid w:val="00CE1A86"/>
    <w:rsid w:val="00CE1D0F"/>
    <w:rsid w:val="00CE2672"/>
    <w:rsid w:val="00CE3166"/>
    <w:rsid w:val="00CE37DE"/>
    <w:rsid w:val="00CE37F3"/>
    <w:rsid w:val="00CE3B56"/>
    <w:rsid w:val="00CE3F6A"/>
    <w:rsid w:val="00CE40C0"/>
    <w:rsid w:val="00CE43DC"/>
    <w:rsid w:val="00CE4A91"/>
    <w:rsid w:val="00CE5045"/>
    <w:rsid w:val="00CE5425"/>
    <w:rsid w:val="00CE6439"/>
    <w:rsid w:val="00CE6532"/>
    <w:rsid w:val="00CE6549"/>
    <w:rsid w:val="00CE750A"/>
    <w:rsid w:val="00CE79D8"/>
    <w:rsid w:val="00CE7CDD"/>
    <w:rsid w:val="00CF007A"/>
    <w:rsid w:val="00CF03E2"/>
    <w:rsid w:val="00CF061F"/>
    <w:rsid w:val="00CF09E6"/>
    <w:rsid w:val="00CF11FB"/>
    <w:rsid w:val="00CF279E"/>
    <w:rsid w:val="00CF2D83"/>
    <w:rsid w:val="00CF3062"/>
    <w:rsid w:val="00CF335A"/>
    <w:rsid w:val="00CF34F5"/>
    <w:rsid w:val="00CF3F67"/>
    <w:rsid w:val="00CF4428"/>
    <w:rsid w:val="00CF5059"/>
    <w:rsid w:val="00CF52D9"/>
    <w:rsid w:val="00CF5AE7"/>
    <w:rsid w:val="00CF5D81"/>
    <w:rsid w:val="00CF6018"/>
    <w:rsid w:val="00CF66E6"/>
    <w:rsid w:val="00CF68CE"/>
    <w:rsid w:val="00CF6A39"/>
    <w:rsid w:val="00CF6AE7"/>
    <w:rsid w:val="00CF6E6A"/>
    <w:rsid w:val="00CF74F3"/>
    <w:rsid w:val="00CF785F"/>
    <w:rsid w:val="00CF78E9"/>
    <w:rsid w:val="00CF79E2"/>
    <w:rsid w:val="00CF7C3D"/>
    <w:rsid w:val="00D00375"/>
    <w:rsid w:val="00D00446"/>
    <w:rsid w:val="00D0053C"/>
    <w:rsid w:val="00D00C3E"/>
    <w:rsid w:val="00D00D2F"/>
    <w:rsid w:val="00D01AE6"/>
    <w:rsid w:val="00D01F33"/>
    <w:rsid w:val="00D02641"/>
    <w:rsid w:val="00D02731"/>
    <w:rsid w:val="00D02A7F"/>
    <w:rsid w:val="00D02F2B"/>
    <w:rsid w:val="00D03479"/>
    <w:rsid w:val="00D0424A"/>
    <w:rsid w:val="00D046DF"/>
    <w:rsid w:val="00D04722"/>
    <w:rsid w:val="00D0559D"/>
    <w:rsid w:val="00D06765"/>
    <w:rsid w:val="00D068D6"/>
    <w:rsid w:val="00D075BE"/>
    <w:rsid w:val="00D07F48"/>
    <w:rsid w:val="00D108F0"/>
    <w:rsid w:val="00D10C5B"/>
    <w:rsid w:val="00D1167D"/>
    <w:rsid w:val="00D117ED"/>
    <w:rsid w:val="00D11889"/>
    <w:rsid w:val="00D11E03"/>
    <w:rsid w:val="00D11E97"/>
    <w:rsid w:val="00D1333E"/>
    <w:rsid w:val="00D13CDE"/>
    <w:rsid w:val="00D1448E"/>
    <w:rsid w:val="00D14A90"/>
    <w:rsid w:val="00D14AC2"/>
    <w:rsid w:val="00D1522D"/>
    <w:rsid w:val="00D1549F"/>
    <w:rsid w:val="00D1632B"/>
    <w:rsid w:val="00D1733E"/>
    <w:rsid w:val="00D175A7"/>
    <w:rsid w:val="00D20A18"/>
    <w:rsid w:val="00D20B6D"/>
    <w:rsid w:val="00D20D08"/>
    <w:rsid w:val="00D20E82"/>
    <w:rsid w:val="00D21980"/>
    <w:rsid w:val="00D21ED9"/>
    <w:rsid w:val="00D22064"/>
    <w:rsid w:val="00D2293F"/>
    <w:rsid w:val="00D22C0F"/>
    <w:rsid w:val="00D2318C"/>
    <w:rsid w:val="00D241C3"/>
    <w:rsid w:val="00D2491E"/>
    <w:rsid w:val="00D24FC7"/>
    <w:rsid w:val="00D258CC"/>
    <w:rsid w:val="00D30F34"/>
    <w:rsid w:val="00D32AD6"/>
    <w:rsid w:val="00D334B4"/>
    <w:rsid w:val="00D33878"/>
    <w:rsid w:val="00D33921"/>
    <w:rsid w:val="00D347DA"/>
    <w:rsid w:val="00D3574E"/>
    <w:rsid w:val="00D35D12"/>
    <w:rsid w:val="00D35DF4"/>
    <w:rsid w:val="00D37291"/>
    <w:rsid w:val="00D403A7"/>
    <w:rsid w:val="00D409C3"/>
    <w:rsid w:val="00D40E70"/>
    <w:rsid w:val="00D4185E"/>
    <w:rsid w:val="00D42154"/>
    <w:rsid w:val="00D4288C"/>
    <w:rsid w:val="00D436CE"/>
    <w:rsid w:val="00D43CE9"/>
    <w:rsid w:val="00D46476"/>
    <w:rsid w:val="00D4694A"/>
    <w:rsid w:val="00D46D1D"/>
    <w:rsid w:val="00D47264"/>
    <w:rsid w:val="00D47990"/>
    <w:rsid w:val="00D47D61"/>
    <w:rsid w:val="00D507A0"/>
    <w:rsid w:val="00D51642"/>
    <w:rsid w:val="00D520D0"/>
    <w:rsid w:val="00D524C9"/>
    <w:rsid w:val="00D524CF"/>
    <w:rsid w:val="00D526E5"/>
    <w:rsid w:val="00D5423C"/>
    <w:rsid w:val="00D54357"/>
    <w:rsid w:val="00D544C6"/>
    <w:rsid w:val="00D54745"/>
    <w:rsid w:val="00D547E9"/>
    <w:rsid w:val="00D54A1E"/>
    <w:rsid w:val="00D54F0D"/>
    <w:rsid w:val="00D54FEA"/>
    <w:rsid w:val="00D550CE"/>
    <w:rsid w:val="00D56123"/>
    <w:rsid w:val="00D5621D"/>
    <w:rsid w:val="00D56F40"/>
    <w:rsid w:val="00D606BD"/>
    <w:rsid w:val="00D60F9E"/>
    <w:rsid w:val="00D611DC"/>
    <w:rsid w:val="00D611E6"/>
    <w:rsid w:val="00D622FD"/>
    <w:rsid w:val="00D628E0"/>
    <w:rsid w:val="00D637CD"/>
    <w:rsid w:val="00D637EE"/>
    <w:rsid w:val="00D638BE"/>
    <w:rsid w:val="00D63B39"/>
    <w:rsid w:val="00D63D07"/>
    <w:rsid w:val="00D6416F"/>
    <w:rsid w:val="00D6417C"/>
    <w:rsid w:val="00D64366"/>
    <w:rsid w:val="00D64750"/>
    <w:rsid w:val="00D65460"/>
    <w:rsid w:val="00D65EDF"/>
    <w:rsid w:val="00D660F9"/>
    <w:rsid w:val="00D6655E"/>
    <w:rsid w:val="00D66B26"/>
    <w:rsid w:val="00D66B51"/>
    <w:rsid w:val="00D670E9"/>
    <w:rsid w:val="00D6786F"/>
    <w:rsid w:val="00D679EB"/>
    <w:rsid w:val="00D7086C"/>
    <w:rsid w:val="00D7093F"/>
    <w:rsid w:val="00D70C80"/>
    <w:rsid w:val="00D70F79"/>
    <w:rsid w:val="00D71937"/>
    <w:rsid w:val="00D72B64"/>
    <w:rsid w:val="00D731DA"/>
    <w:rsid w:val="00D73870"/>
    <w:rsid w:val="00D739D0"/>
    <w:rsid w:val="00D73E48"/>
    <w:rsid w:val="00D746B0"/>
    <w:rsid w:val="00D74971"/>
    <w:rsid w:val="00D74CC8"/>
    <w:rsid w:val="00D75C7C"/>
    <w:rsid w:val="00D75CF4"/>
    <w:rsid w:val="00D75E57"/>
    <w:rsid w:val="00D76410"/>
    <w:rsid w:val="00D765D9"/>
    <w:rsid w:val="00D76D06"/>
    <w:rsid w:val="00D76D66"/>
    <w:rsid w:val="00D76EC7"/>
    <w:rsid w:val="00D76F88"/>
    <w:rsid w:val="00D7753C"/>
    <w:rsid w:val="00D77AA9"/>
    <w:rsid w:val="00D80258"/>
    <w:rsid w:val="00D813EE"/>
    <w:rsid w:val="00D81745"/>
    <w:rsid w:val="00D82303"/>
    <w:rsid w:val="00D8236C"/>
    <w:rsid w:val="00D82509"/>
    <w:rsid w:val="00D82921"/>
    <w:rsid w:val="00D82EA0"/>
    <w:rsid w:val="00D82F6D"/>
    <w:rsid w:val="00D83DB1"/>
    <w:rsid w:val="00D8418B"/>
    <w:rsid w:val="00D843D3"/>
    <w:rsid w:val="00D8448B"/>
    <w:rsid w:val="00D8459C"/>
    <w:rsid w:val="00D847FB"/>
    <w:rsid w:val="00D858B9"/>
    <w:rsid w:val="00D859B7"/>
    <w:rsid w:val="00D85E55"/>
    <w:rsid w:val="00D866A8"/>
    <w:rsid w:val="00D87653"/>
    <w:rsid w:val="00D87952"/>
    <w:rsid w:val="00D879A7"/>
    <w:rsid w:val="00D87E6E"/>
    <w:rsid w:val="00D90134"/>
    <w:rsid w:val="00D90783"/>
    <w:rsid w:val="00D9113C"/>
    <w:rsid w:val="00D911A7"/>
    <w:rsid w:val="00D912FC"/>
    <w:rsid w:val="00D91573"/>
    <w:rsid w:val="00D91994"/>
    <w:rsid w:val="00D91E9F"/>
    <w:rsid w:val="00D92575"/>
    <w:rsid w:val="00D92AFA"/>
    <w:rsid w:val="00D93D22"/>
    <w:rsid w:val="00D93EA6"/>
    <w:rsid w:val="00D94A99"/>
    <w:rsid w:val="00D95440"/>
    <w:rsid w:val="00D95BE1"/>
    <w:rsid w:val="00D95E59"/>
    <w:rsid w:val="00D95F27"/>
    <w:rsid w:val="00D96774"/>
    <w:rsid w:val="00D97212"/>
    <w:rsid w:val="00D97EE9"/>
    <w:rsid w:val="00DA07EA"/>
    <w:rsid w:val="00DA1ABF"/>
    <w:rsid w:val="00DA2408"/>
    <w:rsid w:val="00DA2612"/>
    <w:rsid w:val="00DA2B5F"/>
    <w:rsid w:val="00DA43FD"/>
    <w:rsid w:val="00DA478D"/>
    <w:rsid w:val="00DA4AB7"/>
    <w:rsid w:val="00DA52B2"/>
    <w:rsid w:val="00DA54DA"/>
    <w:rsid w:val="00DA57F3"/>
    <w:rsid w:val="00DA5AB4"/>
    <w:rsid w:val="00DA5BE3"/>
    <w:rsid w:val="00DA5EEF"/>
    <w:rsid w:val="00DA5F9C"/>
    <w:rsid w:val="00DA76FA"/>
    <w:rsid w:val="00DA77BA"/>
    <w:rsid w:val="00DA7844"/>
    <w:rsid w:val="00DA7B4F"/>
    <w:rsid w:val="00DB002C"/>
    <w:rsid w:val="00DB0093"/>
    <w:rsid w:val="00DB1578"/>
    <w:rsid w:val="00DB15E5"/>
    <w:rsid w:val="00DB19CE"/>
    <w:rsid w:val="00DB1F0C"/>
    <w:rsid w:val="00DB25EA"/>
    <w:rsid w:val="00DB2623"/>
    <w:rsid w:val="00DB2B40"/>
    <w:rsid w:val="00DB2B8C"/>
    <w:rsid w:val="00DB3C31"/>
    <w:rsid w:val="00DB3CCA"/>
    <w:rsid w:val="00DB4D7C"/>
    <w:rsid w:val="00DB5C80"/>
    <w:rsid w:val="00DB5D57"/>
    <w:rsid w:val="00DB5ECE"/>
    <w:rsid w:val="00DB6128"/>
    <w:rsid w:val="00DB6416"/>
    <w:rsid w:val="00DB680B"/>
    <w:rsid w:val="00DB6D94"/>
    <w:rsid w:val="00DB74FD"/>
    <w:rsid w:val="00DB7595"/>
    <w:rsid w:val="00DB793D"/>
    <w:rsid w:val="00DB798C"/>
    <w:rsid w:val="00DB7B88"/>
    <w:rsid w:val="00DC0339"/>
    <w:rsid w:val="00DC06B9"/>
    <w:rsid w:val="00DC07A6"/>
    <w:rsid w:val="00DC08DF"/>
    <w:rsid w:val="00DC0D21"/>
    <w:rsid w:val="00DC1850"/>
    <w:rsid w:val="00DC1CA2"/>
    <w:rsid w:val="00DC1F9F"/>
    <w:rsid w:val="00DC208F"/>
    <w:rsid w:val="00DC268F"/>
    <w:rsid w:val="00DC29F7"/>
    <w:rsid w:val="00DC4509"/>
    <w:rsid w:val="00DC5FB8"/>
    <w:rsid w:val="00DC616C"/>
    <w:rsid w:val="00DC6539"/>
    <w:rsid w:val="00DC6555"/>
    <w:rsid w:val="00DC65B5"/>
    <w:rsid w:val="00DC7488"/>
    <w:rsid w:val="00DC7AE5"/>
    <w:rsid w:val="00DC7BBA"/>
    <w:rsid w:val="00DC7E7E"/>
    <w:rsid w:val="00DD0691"/>
    <w:rsid w:val="00DD0AF6"/>
    <w:rsid w:val="00DD0B9C"/>
    <w:rsid w:val="00DD0F75"/>
    <w:rsid w:val="00DD10C4"/>
    <w:rsid w:val="00DD121A"/>
    <w:rsid w:val="00DD15EA"/>
    <w:rsid w:val="00DD1ACD"/>
    <w:rsid w:val="00DD2143"/>
    <w:rsid w:val="00DD2580"/>
    <w:rsid w:val="00DD3354"/>
    <w:rsid w:val="00DD3FC1"/>
    <w:rsid w:val="00DD4296"/>
    <w:rsid w:val="00DD4833"/>
    <w:rsid w:val="00DD4BC5"/>
    <w:rsid w:val="00DD5DCD"/>
    <w:rsid w:val="00DD6BE7"/>
    <w:rsid w:val="00DD729E"/>
    <w:rsid w:val="00DD741F"/>
    <w:rsid w:val="00DE0406"/>
    <w:rsid w:val="00DE0721"/>
    <w:rsid w:val="00DE082B"/>
    <w:rsid w:val="00DE09EE"/>
    <w:rsid w:val="00DE0AC8"/>
    <w:rsid w:val="00DE0EEA"/>
    <w:rsid w:val="00DE11AF"/>
    <w:rsid w:val="00DE13DE"/>
    <w:rsid w:val="00DE27FE"/>
    <w:rsid w:val="00DE2EAA"/>
    <w:rsid w:val="00DE428A"/>
    <w:rsid w:val="00DE43E8"/>
    <w:rsid w:val="00DE4509"/>
    <w:rsid w:val="00DE4F45"/>
    <w:rsid w:val="00DE5616"/>
    <w:rsid w:val="00DE5769"/>
    <w:rsid w:val="00DE59BD"/>
    <w:rsid w:val="00DE5BB4"/>
    <w:rsid w:val="00DE6039"/>
    <w:rsid w:val="00DE60B7"/>
    <w:rsid w:val="00DE7017"/>
    <w:rsid w:val="00DE7302"/>
    <w:rsid w:val="00DE73CF"/>
    <w:rsid w:val="00DE7C57"/>
    <w:rsid w:val="00DF0817"/>
    <w:rsid w:val="00DF08E6"/>
    <w:rsid w:val="00DF0B6F"/>
    <w:rsid w:val="00DF1243"/>
    <w:rsid w:val="00DF15C8"/>
    <w:rsid w:val="00DF2422"/>
    <w:rsid w:val="00DF2B6A"/>
    <w:rsid w:val="00DF321F"/>
    <w:rsid w:val="00DF336D"/>
    <w:rsid w:val="00DF35AB"/>
    <w:rsid w:val="00DF39FE"/>
    <w:rsid w:val="00DF3AAC"/>
    <w:rsid w:val="00DF3CA0"/>
    <w:rsid w:val="00DF3E34"/>
    <w:rsid w:val="00DF3E74"/>
    <w:rsid w:val="00DF42B7"/>
    <w:rsid w:val="00DF584E"/>
    <w:rsid w:val="00DF677A"/>
    <w:rsid w:val="00DF6E55"/>
    <w:rsid w:val="00DF6FC4"/>
    <w:rsid w:val="00DF7EB0"/>
    <w:rsid w:val="00E0005C"/>
    <w:rsid w:val="00E0026F"/>
    <w:rsid w:val="00E0060D"/>
    <w:rsid w:val="00E00A3A"/>
    <w:rsid w:val="00E00A4F"/>
    <w:rsid w:val="00E00D8B"/>
    <w:rsid w:val="00E01F9F"/>
    <w:rsid w:val="00E022F0"/>
    <w:rsid w:val="00E02449"/>
    <w:rsid w:val="00E0333A"/>
    <w:rsid w:val="00E035DD"/>
    <w:rsid w:val="00E03B38"/>
    <w:rsid w:val="00E04870"/>
    <w:rsid w:val="00E04F7F"/>
    <w:rsid w:val="00E0554F"/>
    <w:rsid w:val="00E056D8"/>
    <w:rsid w:val="00E0637C"/>
    <w:rsid w:val="00E07527"/>
    <w:rsid w:val="00E07633"/>
    <w:rsid w:val="00E10C23"/>
    <w:rsid w:val="00E11686"/>
    <w:rsid w:val="00E11747"/>
    <w:rsid w:val="00E11F0F"/>
    <w:rsid w:val="00E12087"/>
    <w:rsid w:val="00E12784"/>
    <w:rsid w:val="00E139D8"/>
    <w:rsid w:val="00E13C9A"/>
    <w:rsid w:val="00E14197"/>
    <w:rsid w:val="00E16C72"/>
    <w:rsid w:val="00E207BF"/>
    <w:rsid w:val="00E20B95"/>
    <w:rsid w:val="00E21821"/>
    <w:rsid w:val="00E21E7C"/>
    <w:rsid w:val="00E22642"/>
    <w:rsid w:val="00E23E62"/>
    <w:rsid w:val="00E24321"/>
    <w:rsid w:val="00E243E1"/>
    <w:rsid w:val="00E248A3"/>
    <w:rsid w:val="00E253FE"/>
    <w:rsid w:val="00E256A1"/>
    <w:rsid w:val="00E26557"/>
    <w:rsid w:val="00E26BBB"/>
    <w:rsid w:val="00E27060"/>
    <w:rsid w:val="00E27821"/>
    <w:rsid w:val="00E27BCE"/>
    <w:rsid w:val="00E27DA9"/>
    <w:rsid w:val="00E300A9"/>
    <w:rsid w:val="00E302E7"/>
    <w:rsid w:val="00E304B3"/>
    <w:rsid w:val="00E30DA9"/>
    <w:rsid w:val="00E30FCF"/>
    <w:rsid w:val="00E30FF3"/>
    <w:rsid w:val="00E31D4C"/>
    <w:rsid w:val="00E320CE"/>
    <w:rsid w:val="00E3222A"/>
    <w:rsid w:val="00E32F56"/>
    <w:rsid w:val="00E33A0B"/>
    <w:rsid w:val="00E33A45"/>
    <w:rsid w:val="00E33D98"/>
    <w:rsid w:val="00E3448D"/>
    <w:rsid w:val="00E34D32"/>
    <w:rsid w:val="00E3580C"/>
    <w:rsid w:val="00E35B27"/>
    <w:rsid w:val="00E3614E"/>
    <w:rsid w:val="00E36952"/>
    <w:rsid w:val="00E37267"/>
    <w:rsid w:val="00E379AE"/>
    <w:rsid w:val="00E404CD"/>
    <w:rsid w:val="00E407C6"/>
    <w:rsid w:val="00E40EF9"/>
    <w:rsid w:val="00E4113F"/>
    <w:rsid w:val="00E41673"/>
    <w:rsid w:val="00E418BA"/>
    <w:rsid w:val="00E42480"/>
    <w:rsid w:val="00E42B5C"/>
    <w:rsid w:val="00E42F4E"/>
    <w:rsid w:val="00E4323C"/>
    <w:rsid w:val="00E43747"/>
    <w:rsid w:val="00E437B3"/>
    <w:rsid w:val="00E439C3"/>
    <w:rsid w:val="00E43ACB"/>
    <w:rsid w:val="00E43EA6"/>
    <w:rsid w:val="00E43FBD"/>
    <w:rsid w:val="00E444FC"/>
    <w:rsid w:val="00E44534"/>
    <w:rsid w:val="00E449CF"/>
    <w:rsid w:val="00E4601E"/>
    <w:rsid w:val="00E460C2"/>
    <w:rsid w:val="00E460EC"/>
    <w:rsid w:val="00E4716A"/>
    <w:rsid w:val="00E476A1"/>
    <w:rsid w:val="00E476EF"/>
    <w:rsid w:val="00E4792E"/>
    <w:rsid w:val="00E47CF3"/>
    <w:rsid w:val="00E51847"/>
    <w:rsid w:val="00E52C3C"/>
    <w:rsid w:val="00E52E5F"/>
    <w:rsid w:val="00E5316C"/>
    <w:rsid w:val="00E5338F"/>
    <w:rsid w:val="00E53A88"/>
    <w:rsid w:val="00E53D56"/>
    <w:rsid w:val="00E5406C"/>
    <w:rsid w:val="00E5408A"/>
    <w:rsid w:val="00E54469"/>
    <w:rsid w:val="00E5509C"/>
    <w:rsid w:val="00E555EE"/>
    <w:rsid w:val="00E5624C"/>
    <w:rsid w:val="00E567F5"/>
    <w:rsid w:val="00E57029"/>
    <w:rsid w:val="00E57BA6"/>
    <w:rsid w:val="00E57BE2"/>
    <w:rsid w:val="00E602AD"/>
    <w:rsid w:val="00E602D4"/>
    <w:rsid w:val="00E603DA"/>
    <w:rsid w:val="00E604C9"/>
    <w:rsid w:val="00E60DB5"/>
    <w:rsid w:val="00E610EF"/>
    <w:rsid w:val="00E6115E"/>
    <w:rsid w:val="00E618F8"/>
    <w:rsid w:val="00E61C49"/>
    <w:rsid w:val="00E61F45"/>
    <w:rsid w:val="00E62787"/>
    <w:rsid w:val="00E637F5"/>
    <w:rsid w:val="00E63DCD"/>
    <w:rsid w:val="00E64A3C"/>
    <w:rsid w:val="00E64D99"/>
    <w:rsid w:val="00E66248"/>
    <w:rsid w:val="00E66426"/>
    <w:rsid w:val="00E66E06"/>
    <w:rsid w:val="00E6771B"/>
    <w:rsid w:val="00E701FB"/>
    <w:rsid w:val="00E70290"/>
    <w:rsid w:val="00E70741"/>
    <w:rsid w:val="00E707B2"/>
    <w:rsid w:val="00E70A62"/>
    <w:rsid w:val="00E71410"/>
    <w:rsid w:val="00E71B9C"/>
    <w:rsid w:val="00E72227"/>
    <w:rsid w:val="00E727B6"/>
    <w:rsid w:val="00E72AF2"/>
    <w:rsid w:val="00E72ED4"/>
    <w:rsid w:val="00E73338"/>
    <w:rsid w:val="00E73889"/>
    <w:rsid w:val="00E738C5"/>
    <w:rsid w:val="00E73A7B"/>
    <w:rsid w:val="00E74151"/>
    <w:rsid w:val="00E746FD"/>
    <w:rsid w:val="00E748CF"/>
    <w:rsid w:val="00E74C60"/>
    <w:rsid w:val="00E74E08"/>
    <w:rsid w:val="00E75179"/>
    <w:rsid w:val="00E7565F"/>
    <w:rsid w:val="00E75C37"/>
    <w:rsid w:val="00E76572"/>
    <w:rsid w:val="00E76CE3"/>
    <w:rsid w:val="00E77910"/>
    <w:rsid w:val="00E7794F"/>
    <w:rsid w:val="00E77F72"/>
    <w:rsid w:val="00E8034F"/>
    <w:rsid w:val="00E8047C"/>
    <w:rsid w:val="00E80B77"/>
    <w:rsid w:val="00E81DCA"/>
    <w:rsid w:val="00E82241"/>
    <w:rsid w:val="00E82882"/>
    <w:rsid w:val="00E82AB8"/>
    <w:rsid w:val="00E82FC8"/>
    <w:rsid w:val="00E8319F"/>
    <w:rsid w:val="00E83C9A"/>
    <w:rsid w:val="00E83CBC"/>
    <w:rsid w:val="00E84C24"/>
    <w:rsid w:val="00E84E7D"/>
    <w:rsid w:val="00E855C2"/>
    <w:rsid w:val="00E85687"/>
    <w:rsid w:val="00E859AB"/>
    <w:rsid w:val="00E85E6C"/>
    <w:rsid w:val="00E86B03"/>
    <w:rsid w:val="00E86E70"/>
    <w:rsid w:val="00E87256"/>
    <w:rsid w:val="00E878E3"/>
    <w:rsid w:val="00E90396"/>
    <w:rsid w:val="00E9184D"/>
    <w:rsid w:val="00E920E5"/>
    <w:rsid w:val="00E92160"/>
    <w:rsid w:val="00E926AB"/>
    <w:rsid w:val="00E92E42"/>
    <w:rsid w:val="00E93251"/>
    <w:rsid w:val="00E93898"/>
    <w:rsid w:val="00E938F3"/>
    <w:rsid w:val="00E939B7"/>
    <w:rsid w:val="00E942E1"/>
    <w:rsid w:val="00E950CC"/>
    <w:rsid w:val="00E9638B"/>
    <w:rsid w:val="00E96452"/>
    <w:rsid w:val="00E967C4"/>
    <w:rsid w:val="00E96852"/>
    <w:rsid w:val="00E96BA5"/>
    <w:rsid w:val="00E97D2F"/>
    <w:rsid w:val="00EA03C9"/>
    <w:rsid w:val="00EA0BAD"/>
    <w:rsid w:val="00EA1239"/>
    <w:rsid w:val="00EA1FF4"/>
    <w:rsid w:val="00EA20C1"/>
    <w:rsid w:val="00EA223F"/>
    <w:rsid w:val="00EA22C2"/>
    <w:rsid w:val="00EA25E1"/>
    <w:rsid w:val="00EA274F"/>
    <w:rsid w:val="00EA2B19"/>
    <w:rsid w:val="00EA2CAB"/>
    <w:rsid w:val="00EA2EDD"/>
    <w:rsid w:val="00EA3046"/>
    <w:rsid w:val="00EA336C"/>
    <w:rsid w:val="00EA3A11"/>
    <w:rsid w:val="00EA3C69"/>
    <w:rsid w:val="00EA4C46"/>
    <w:rsid w:val="00EA5F29"/>
    <w:rsid w:val="00EA6C1F"/>
    <w:rsid w:val="00EA702F"/>
    <w:rsid w:val="00EA71D3"/>
    <w:rsid w:val="00EA72D6"/>
    <w:rsid w:val="00EB0072"/>
    <w:rsid w:val="00EB14B3"/>
    <w:rsid w:val="00EB1E0E"/>
    <w:rsid w:val="00EB211E"/>
    <w:rsid w:val="00EB2B50"/>
    <w:rsid w:val="00EB345E"/>
    <w:rsid w:val="00EB3A1E"/>
    <w:rsid w:val="00EB4864"/>
    <w:rsid w:val="00EB5A7C"/>
    <w:rsid w:val="00EB5A99"/>
    <w:rsid w:val="00EB5E38"/>
    <w:rsid w:val="00EB67DA"/>
    <w:rsid w:val="00EB6A9A"/>
    <w:rsid w:val="00EB6DB6"/>
    <w:rsid w:val="00EB6FC1"/>
    <w:rsid w:val="00EB7F96"/>
    <w:rsid w:val="00EC0338"/>
    <w:rsid w:val="00EC05DD"/>
    <w:rsid w:val="00EC0817"/>
    <w:rsid w:val="00EC2549"/>
    <w:rsid w:val="00EC2876"/>
    <w:rsid w:val="00EC3404"/>
    <w:rsid w:val="00EC3482"/>
    <w:rsid w:val="00EC3650"/>
    <w:rsid w:val="00EC3954"/>
    <w:rsid w:val="00EC3C57"/>
    <w:rsid w:val="00EC3E33"/>
    <w:rsid w:val="00EC3EB8"/>
    <w:rsid w:val="00EC4546"/>
    <w:rsid w:val="00EC4569"/>
    <w:rsid w:val="00EC56C3"/>
    <w:rsid w:val="00EC5B6B"/>
    <w:rsid w:val="00EC6007"/>
    <w:rsid w:val="00EC6B28"/>
    <w:rsid w:val="00EC6C30"/>
    <w:rsid w:val="00EC715F"/>
    <w:rsid w:val="00EC76DE"/>
    <w:rsid w:val="00EC79BE"/>
    <w:rsid w:val="00EC7DF4"/>
    <w:rsid w:val="00EC7E58"/>
    <w:rsid w:val="00ED0566"/>
    <w:rsid w:val="00ED101C"/>
    <w:rsid w:val="00ED1963"/>
    <w:rsid w:val="00ED1C60"/>
    <w:rsid w:val="00ED2AEB"/>
    <w:rsid w:val="00ED2FAC"/>
    <w:rsid w:val="00ED377E"/>
    <w:rsid w:val="00ED386E"/>
    <w:rsid w:val="00ED4A93"/>
    <w:rsid w:val="00ED5013"/>
    <w:rsid w:val="00ED5329"/>
    <w:rsid w:val="00ED597B"/>
    <w:rsid w:val="00ED5DB7"/>
    <w:rsid w:val="00ED66C9"/>
    <w:rsid w:val="00ED7302"/>
    <w:rsid w:val="00ED73D7"/>
    <w:rsid w:val="00ED7529"/>
    <w:rsid w:val="00ED770C"/>
    <w:rsid w:val="00EE024D"/>
    <w:rsid w:val="00EE0293"/>
    <w:rsid w:val="00EE0772"/>
    <w:rsid w:val="00EE1A02"/>
    <w:rsid w:val="00EE1D9E"/>
    <w:rsid w:val="00EE2042"/>
    <w:rsid w:val="00EE2533"/>
    <w:rsid w:val="00EE2CEE"/>
    <w:rsid w:val="00EE3D19"/>
    <w:rsid w:val="00EE5613"/>
    <w:rsid w:val="00EE563E"/>
    <w:rsid w:val="00EE5D86"/>
    <w:rsid w:val="00EE637C"/>
    <w:rsid w:val="00EE64C4"/>
    <w:rsid w:val="00EE747E"/>
    <w:rsid w:val="00EE7AE1"/>
    <w:rsid w:val="00EF0CE6"/>
    <w:rsid w:val="00EF1A00"/>
    <w:rsid w:val="00EF1F05"/>
    <w:rsid w:val="00EF2274"/>
    <w:rsid w:val="00EF25F1"/>
    <w:rsid w:val="00EF29FF"/>
    <w:rsid w:val="00EF2A06"/>
    <w:rsid w:val="00EF2D14"/>
    <w:rsid w:val="00EF39E3"/>
    <w:rsid w:val="00EF3A18"/>
    <w:rsid w:val="00EF3BED"/>
    <w:rsid w:val="00EF3ED3"/>
    <w:rsid w:val="00EF44AA"/>
    <w:rsid w:val="00EF4E45"/>
    <w:rsid w:val="00EF52E4"/>
    <w:rsid w:val="00EF535F"/>
    <w:rsid w:val="00EF65F6"/>
    <w:rsid w:val="00EF6B9E"/>
    <w:rsid w:val="00EF6CFC"/>
    <w:rsid w:val="00EF7B41"/>
    <w:rsid w:val="00EF7CDE"/>
    <w:rsid w:val="00F0027D"/>
    <w:rsid w:val="00F014E4"/>
    <w:rsid w:val="00F02164"/>
    <w:rsid w:val="00F02B07"/>
    <w:rsid w:val="00F03194"/>
    <w:rsid w:val="00F03216"/>
    <w:rsid w:val="00F033FE"/>
    <w:rsid w:val="00F0340B"/>
    <w:rsid w:val="00F03579"/>
    <w:rsid w:val="00F03C09"/>
    <w:rsid w:val="00F040CD"/>
    <w:rsid w:val="00F04336"/>
    <w:rsid w:val="00F0439E"/>
    <w:rsid w:val="00F04E9C"/>
    <w:rsid w:val="00F05753"/>
    <w:rsid w:val="00F06A80"/>
    <w:rsid w:val="00F06B7E"/>
    <w:rsid w:val="00F07574"/>
    <w:rsid w:val="00F0773D"/>
    <w:rsid w:val="00F07D7F"/>
    <w:rsid w:val="00F100A1"/>
    <w:rsid w:val="00F1039C"/>
    <w:rsid w:val="00F10957"/>
    <w:rsid w:val="00F10C2D"/>
    <w:rsid w:val="00F10E3D"/>
    <w:rsid w:val="00F10ECE"/>
    <w:rsid w:val="00F12227"/>
    <w:rsid w:val="00F12FA3"/>
    <w:rsid w:val="00F130B4"/>
    <w:rsid w:val="00F132A9"/>
    <w:rsid w:val="00F1371A"/>
    <w:rsid w:val="00F14ED1"/>
    <w:rsid w:val="00F1627D"/>
    <w:rsid w:val="00F163C9"/>
    <w:rsid w:val="00F164C7"/>
    <w:rsid w:val="00F164D5"/>
    <w:rsid w:val="00F166B9"/>
    <w:rsid w:val="00F16F43"/>
    <w:rsid w:val="00F17307"/>
    <w:rsid w:val="00F1762B"/>
    <w:rsid w:val="00F17694"/>
    <w:rsid w:val="00F178F9"/>
    <w:rsid w:val="00F179C2"/>
    <w:rsid w:val="00F17A12"/>
    <w:rsid w:val="00F17C23"/>
    <w:rsid w:val="00F20954"/>
    <w:rsid w:val="00F21392"/>
    <w:rsid w:val="00F215FF"/>
    <w:rsid w:val="00F21816"/>
    <w:rsid w:val="00F21928"/>
    <w:rsid w:val="00F21D8C"/>
    <w:rsid w:val="00F22049"/>
    <w:rsid w:val="00F22073"/>
    <w:rsid w:val="00F22860"/>
    <w:rsid w:val="00F22951"/>
    <w:rsid w:val="00F22DA9"/>
    <w:rsid w:val="00F235A8"/>
    <w:rsid w:val="00F2362F"/>
    <w:rsid w:val="00F23C3B"/>
    <w:rsid w:val="00F24A97"/>
    <w:rsid w:val="00F254B4"/>
    <w:rsid w:val="00F26799"/>
    <w:rsid w:val="00F26D0C"/>
    <w:rsid w:val="00F2731F"/>
    <w:rsid w:val="00F2738A"/>
    <w:rsid w:val="00F275CA"/>
    <w:rsid w:val="00F278B4"/>
    <w:rsid w:val="00F306D2"/>
    <w:rsid w:val="00F30824"/>
    <w:rsid w:val="00F30866"/>
    <w:rsid w:val="00F309D5"/>
    <w:rsid w:val="00F31452"/>
    <w:rsid w:val="00F316D9"/>
    <w:rsid w:val="00F3187A"/>
    <w:rsid w:val="00F319B6"/>
    <w:rsid w:val="00F31D35"/>
    <w:rsid w:val="00F32251"/>
    <w:rsid w:val="00F327E1"/>
    <w:rsid w:val="00F32B3C"/>
    <w:rsid w:val="00F32F17"/>
    <w:rsid w:val="00F33912"/>
    <w:rsid w:val="00F3397C"/>
    <w:rsid w:val="00F33C67"/>
    <w:rsid w:val="00F33FC2"/>
    <w:rsid w:val="00F348C3"/>
    <w:rsid w:val="00F349EB"/>
    <w:rsid w:val="00F34D53"/>
    <w:rsid w:val="00F34DE9"/>
    <w:rsid w:val="00F35EF2"/>
    <w:rsid w:val="00F3600E"/>
    <w:rsid w:val="00F36353"/>
    <w:rsid w:val="00F36A4F"/>
    <w:rsid w:val="00F374FB"/>
    <w:rsid w:val="00F37C7E"/>
    <w:rsid w:val="00F416BD"/>
    <w:rsid w:val="00F42043"/>
    <w:rsid w:val="00F4239E"/>
    <w:rsid w:val="00F436D2"/>
    <w:rsid w:val="00F43D8E"/>
    <w:rsid w:val="00F44627"/>
    <w:rsid w:val="00F44667"/>
    <w:rsid w:val="00F44BB2"/>
    <w:rsid w:val="00F44F29"/>
    <w:rsid w:val="00F461B0"/>
    <w:rsid w:val="00F462FA"/>
    <w:rsid w:val="00F4708F"/>
    <w:rsid w:val="00F47090"/>
    <w:rsid w:val="00F4771A"/>
    <w:rsid w:val="00F47D47"/>
    <w:rsid w:val="00F50147"/>
    <w:rsid w:val="00F50A62"/>
    <w:rsid w:val="00F50D44"/>
    <w:rsid w:val="00F50E7D"/>
    <w:rsid w:val="00F5184D"/>
    <w:rsid w:val="00F51D7F"/>
    <w:rsid w:val="00F53B13"/>
    <w:rsid w:val="00F53B7C"/>
    <w:rsid w:val="00F53F27"/>
    <w:rsid w:val="00F54021"/>
    <w:rsid w:val="00F543FD"/>
    <w:rsid w:val="00F54908"/>
    <w:rsid w:val="00F54D2E"/>
    <w:rsid w:val="00F54F1B"/>
    <w:rsid w:val="00F55F49"/>
    <w:rsid w:val="00F56512"/>
    <w:rsid w:val="00F56587"/>
    <w:rsid w:val="00F56970"/>
    <w:rsid w:val="00F57A60"/>
    <w:rsid w:val="00F57D1C"/>
    <w:rsid w:val="00F57EE0"/>
    <w:rsid w:val="00F6039D"/>
    <w:rsid w:val="00F609D1"/>
    <w:rsid w:val="00F61171"/>
    <w:rsid w:val="00F616A4"/>
    <w:rsid w:val="00F61C12"/>
    <w:rsid w:val="00F6201F"/>
    <w:rsid w:val="00F623C1"/>
    <w:rsid w:val="00F623E2"/>
    <w:rsid w:val="00F62BD4"/>
    <w:rsid w:val="00F6314A"/>
    <w:rsid w:val="00F632C5"/>
    <w:rsid w:val="00F635EB"/>
    <w:rsid w:val="00F6388F"/>
    <w:rsid w:val="00F63FD3"/>
    <w:rsid w:val="00F640EE"/>
    <w:rsid w:val="00F64706"/>
    <w:rsid w:val="00F6525B"/>
    <w:rsid w:val="00F652E2"/>
    <w:rsid w:val="00F65630"/>
    <w:rsid w:val="00F656B8"/>
    <w:rsid w:val="00F65A6E"/>
    <w:rsid w:val="00F66BF8"/>
    <w:rsid w:val="00F66E68"/>
    <w:rsid w:val="00F66FE4"/>
    <w:rsid w:val="00F67269"/>
    <w:rsid w:val="00F67423"/>
    <w:rsid w:val="00F67428"/>
    <w:rsid w:val="00F6779A"/>
    <w:rsid w:val="00F70062"/>
    <w:rsid w:val="00F70165"/>
    <w:rsid w:val="00F70504"/>
    <w:rsid w:val="00F70B96"/>
    <w:rsid w:val="00F71696"/>
    <w:rsid w:val="00F72444"/>
    <w:rsid w:val="00F72946"/>
    <w:rsid w:val="00F73A59"/>
    <w:rsid w:val="00F73E3C"/>
    <w:rsid w:val="00F744E9"/>
    <w:rsid w:val="00F747C3"/>
    <w:rsid w:val="00F74B5E"/>
    <w:rsid w:val="00F753FB"/>
    <w:rsid w:val="00F75484"/>
    <w:rsid w:val="00F75CAC"/>
    <w:rsid w:val="00F7767D"/>
    <w:rsid w:val="00F777DC"/>
    <w:rsid w:val="00F77A02"/>
    <w:rsid w:val="00F77AAB"/>
    <w:rsid w:val="00F77B9C"/>
    <w:rsid w:val="00F77C19"/>
    <w:rsid w:val="00F80862"/>
    <w:rsid w:val="00F809E1"/>
    <w:rsid w:val="00F80F1B"/>
    <w:rsid w:val="00F813EE"/>
    <w:rsid w:val="00F815F7"/>
    <w:rsid w:val="00F81E83"/>
    <w:rsid w:val="00F82580"/>
    <w:rsid w:val="00F82CBE"/>
    <w:rsid w:val="00F82EFE"/>
    <w:rsid w:val="00F82FC4"/>
    <w:rsid w:val="00F8321D"/>
    <w:rsid w:val="00F8335C"/>
    <w:rsid w:val="00F83A2F"/>
    <w:rsid w:val="00F83A62"/>
    <w:rsid w:val="00F84599"/>
    <w:rsid w:val="00F84A4C"/>
    <w:rsid w:val="00F84D69"/>
    <w:rsid w:val="00F85711"/>
    <w:rsid w:val="00F85E2A"/>
    <w:rsid w:val="00F85ECF"/>
    <w:rsid w:val="00F861EC"/>
    <w:rsid w:val="00F86339"/>
    <w:rsid w:val="00F86353"/>
    <w:rsid w:val="00F86508"/>
    <w:rsid w:val="00F86591"/>
    <w:rsid w:val="00F8684D"/>
    <w:rsid w:val="00F869ED"/>
    <w:rsid w:val="00F86A2B"/>
    <w:rsid w:val="00F86C7D"/>
    <w:rsid w:val="00F877E6"/>
    <w:rsid w:val="00F90587"/>
    <w:rsid w:val="00F909B4"/>
    <w:rsid w:val="00F91173"/>
    <w:rsid w:val="00F9117B"/>
    <w:rsid w:val="00F911D1"/>
    <w:rsid w:val="00F91A73"/>
    <w:rsid w:val="00F92003"/>
    <w:rsid w:val="00F925E7"/>
    <w:rsid w:val="00F92857"/>
    <w:rsid w:val="00F92B94"/>
    <w:rsid w:val="00F92BFD"/>
    <w:rsid w:val="00F92FC0"/>
    <w:rsid w:val="00F934F0"/>
    <w:rsid w:val="00F935FA"/>
    <w:rsid w:val="00F93E96"/>
    <w:rsid w:val="00F945A1"/>
    <w:rsid w:val="00F94853"/>
    <w:rsid w:val="00F94C55"/>
    <w:rsid w:val="00F95128"/>
    <w:rsid w:val="00F95F70"/>
    <w:rsid w:val="00F962FB"/>
    <w:rsid w:val="00F970BF"/>
    <w:rsid w:val="00F97577"/>
    <w:rsid w:val="00F97AC0"/>
    <w:rsid w:val="00F97AC6"/>
    <w:rsid w:val="00FA093F"/>
    <w:rsid w:val="00FA148D"/>
    <w:rsid w:val="00FA1AE2"/>
    <w:rsid w:val="00FA1BA1"/>
    <w:rsid w:val="00FA271E"/>
    <w:rsid w:val="00FA2A8C"/>
    <w:rsid w:val="00FA376B"/>
    <w:rsid w:val="00FA3E79"/>
    <w:rsid w:val="00FA578E"/>
    <w:rsid w:val="00FA5B6F"/>
    <w:rsid w:val="00FA5EF7"/>
    <w:rsid w:val="00FA6747"/>
    <w:rsid w:val="00FA68A0"/>
    <w:rsid w:val="00FA70D5"/>
    <w:rsid w:val="00FA71B6"/>
    <w:rsid w:val="00FA794D"/>
    <w:rsid w:val="00FB0142"/>
    <w:rsid w:val="00FB01FD"/>
    <w:rsid w:val="00FB0770"/>
    <w:rsid w:val="00FB0ABB"/>
    <w:rsid w:val="00FB0C2B"/>
    <w:rsid w:val="00FB0E35"/>
    <w:rsid w:val="00FB1ABF"/>
    <w:rsid w:val="00FB1EE8"/>
    <w:rsid w:val="00FB2A59"/>
    <w:rsid w:val="00FB32F2"/>
    <w:rsid w:val="00FB3A2E"/>
    <w:rsid w:val="00FB5779"/>
    <w:rsid w:val="00FB620D"/>
    <w:rsid w:val="00FB6580"/>
    <w:rsid w:val="00FB6A0F"/>
    <w:rsid w:val="00FB6B39"/>
    <w:rsid w:val="00FB7A49"/>
    <w:rsid w:val="00FC00CA"/>
    <w:rsid w:val="00FC0325"/>
    <w:rsid w:val="00FC03A8"/>
    <w:rsid w:val="00FC042B"/>
    <w:rsid w:val="00FC0EBF"/>
    <w:rsid w:val="00FC15E9"/>
    <w:rsid w:val="00FC19FE"/>
    <w:rsid w:val="00FC1D0E"/>
    <w:rsid w:val="00FC36E8"/>
    <w:rsid w:val="00FC36E9"/>
    <w:rsid w:val="00FC3CD8"/>
    <w:rsid w:val="00FC44AF"/>
    <w:rsid w:val="00FC4781"/>
    <w:rsid w:val="00FC4C88"/>
    <w:rsid w:val="00FC4CDB"/>
    <w:rsid w:val="00FC5540"/>
    <w:rsid w:val="00FC76B9"/>
    <w:rsid w:val="00FD0155"/>
    <w:rsid w:val="00FD07FE"/>
    <w:rsid w:val="00FD1130"/>
    <w:rsid w:val="00FD1168"/>
    <w:rsid w:val="00FD1CA0"/>
    <w:rsid w:val="00FD1DCD"/>
    <w:rsid w:val="00FD357C"/>
    <w:rsid w:val="00FD3C97"/>
    <w:rsid w:val="00FD4A67"/>
    <w:rsid w:val="00FD4FC9"/>
    <w:rsid w:val="00FD5262"/>
    <w:rsid w:val="00FD54CB"/>
    <w:rsid w:val="00FD5A0F"/>
    <w:rsid w:val="00FD5D66"/>
    <w:rsid w:val="00FD5F55"/>
    <w:rsid w:val="00FD5FDA"/>
    <w:rsid w:val="00FD6380"/>
    <w:rsid w:val="00FD6C39"/>
    <w:rsid w:val="00FD71A4"/>
    <w:rsid w:val="00FD79E7"/>
    <w:rsid w:val="00FD7F48"/>
    <w:rsid w:val="00FE0103"/>
    <w:rsid w:val="00FE039D"/>
    <w:rsid w:val="00FE07FC"/>
    <w:rsid w:val="00FE142E"/>
    <w:rsid w:val="00FE25A5"/>
    <w:rsid w:val="00FE27CD"/>
    <w:rsid w:val="00FE2F51"/>
    <w:rsid w:val="00FE374C"/>
    <w:rsid w:val="00FE375F"/>
    <w:rsid w:val="00FE4317"/>
    <w:rsid w:val="00FE4D2B"/>
    <w:rsid w:val="00FE50D2"/>
    <w:rsid w:val="00FE5893"/>
    <w:rsid w:val="00FE5D93"/>
    <w:rsid w:val="00FE6782"/>
    <w:rsid w:val="00FE7081"/>
    <w:rsid w:val="00FE7BA4"/>
    <w:rsid w:val="00FF0358"/>
    <w:rsid w:val="00FF0AFC"/>
    <w:rsid w:val="00FF0EA1"/>
    <w:rsid w:val="00FF1668"/>
    <w:rsid w:val="00FF1889"/>
    <w:rsid w:val="00FF1979"/>
    <w:rsid w:val="00FF1ACE"/>
    <w:rsid w:val="00FF267D"/>
    <w:rsid w:val="00FF2746"/>
    <w:rsid w:val="00FF281E"/>
    <w:rsid w:val="00FF2D40"/>
    <w:rsid w:val="00FF30CC"/>
    <w:rsid w:val="00FF3399"/>
    <w:rsid w:val="00FF3DA8"/>
    <w:rsid w:val="00FF4425"/>
    <w:rsid w:val="00FF4E9E"/>
    <w:rsid w:val="00FF4FD7"/>
    <w:rsid w:val="00FF5050"/>
    <w:rsid w:val="00FF5548"/>
    <w:rsid w:val="00FF5A7B"/>
    <w:rsid w:val="00FF5BEA"/>
    <w:rsid w:val="00FF5BF7"/>
    <w:rsid w:val="00FF5FF0"/>
    <w:rsid w:val="00FF62A1"/>
    <w:rsid w:val="00FF6579"/>
    <w:rsid w:val="00FF67FC"/>
    <w:rsid w:val="00FF70EE"/>
    <w:rsid w:val="00FF79CF"/>
    <w:rsid w:val="00FF7DB6"/>
    <w:rsid w:val="00FF7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C80391"/>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C80391"/>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Normal"/>
    <w:link w:val="Heading2Char"/>
    <w:qFormat/>
    <w:rsid w:val="00C80391"/>
    <w:pPr>
      <w:numPr>
        <w:ilvl w:val="1"/>
      </w:numPr>
      <w:ind w:left="1152" w:hanging="1152"/>
      <w:outlineLvl w:val="1"/>
    </w:pPr>
    <w:rPr>
      <w:sz w:val="28"/>
    </w:rPr>
  </w:style>
  <w:style w:type="paragraph" w:styleId="Heading3">
    <w:name w:val="heading 3"/>
    <w:aliases w:val="H3-Sec. Head"/>
    <w:basedOn w:val="Heading2"/>
    <w:next w:val="Normal"/>
    <w:link w:val="Heading3Char"/>
    <w:qFormat/>
    <w:rsid w:val="00C80391"/>
    <w:pPr>
      <w:numPr>
        <w:ilvl w:val="2"/>
      </w:numPr>
      <w:ind w:left="1152" w:hanging="1152"/>
      <w:outlineLvl w:val="2"/>
    </w:pPr>
  </w:style>
  <w:style w:type="paragraph" w:styleId="Heading4">
    <w:name w:val="heading 4"/>
    <w:aliases w:val="H4 Sec.Heading"/>
    <w:basedOn w:val="Heading1"/>
    <w:next w:val="Normal"/>
    <w:link w:val="Heading4Char"/>
    <w:qFormat/>
    <w:rsid w:val="00C80391"/>
    <w:pPr>
      <w:outlineLvl w:val="3"/>
    </w:pPr>
    <w:rPr>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autoRedefine/>
    <w:unhideWhenUsed/>
    <w:rsid w:val="00442DFF"/>
    <w:pPr>
      <w:tabs>
        <w:tab w:val="left" w:pos="1440"/>
        <w:tab w:val="right" w:leader="dot" w:pos="8208"/>
        <w:tab w:val="left" w:pos="8640"/>
      </w:tabs>
      <w:ind w:left="1440" w:right="1800" w:hanging="1152"/>
    </w:pPr>
  </w:style>
  <w:style w:type="table" w:styleId="TableGrid">
    <w:name w:val="Table Grid"/>
    <w:basedOn w:val="TableNormal"/>
    <w:uiPriority w:val="59"/>
    <w:rsid w:val="00442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C80391"/>
    <w:rPr>
      <w:rFonts w:ascii="Franklin Gothic Medium" w:eastAsia="Times New Roman" w:hAnsi="Franklin Gothic Medium" w:cs="Times New Roman"/>
      <w:b/>
      <w:color w:val="324162"/>
      <w:sz w:val="32"/>
      <w:szCs w:val="32"/>
    </w:rPr>
  </w:style>
  <w:style w:type="character" w:customStyle="1" w:styleId="Heading2Char">
    <w:name w:val="Heading 2 Char"/>
    <w:aliases w:val="H2-Sec. Head Char"/>
    <w:basedOn w:val="DefaultParagraphFont"/>
    <w:link w:val="Heading2"/>
    <w:rsid w:val="00C80391"/>
    <w:rPr>
      <w:rFonts w:ascii="Franklin Gothic Medium" w:eastAsia="Times New Roman" w:hAnsi="Franklin Gothic Medium" w:cs="Times New Roman"/>
      <w:b/>
      <w:color w:val="324162"/>
      <w:sz w:val="28"/>
      <w:szCs w:val="32"/>
    </w:rPr>
  </w:style>
  <w:style w:type="character" w:customStyle="1" w:styleId="Heading3Char">
    <w:name w:val="Heading 3 Char"/>
    <w:aliases w:val="H3-Sec. Head Char"/>
    <w:basedOn w:val="DefaultParagraphFont"/>
    <w:link w:val="Heading3"/>
    <w:rsid w:val="00C80391"/>
    <w:rPr>
      <w:rFonts w:ascii="Franklin Gothic Medium" w:eastAsia="Times New Roman" w:hAnsi="Franklin Gothic Medium" w:cs="Times New Roman"/>
      <w:b/>
      <w:color w:val="324162"/>
      <w:sz w:val="28"/>
      <w:szCs w:val="32"/>
    </w:rPr>
  </w:style>
  <w:style w:type="character" w:customStyle="1" w:styleId="Heading4Char">
    <w:name w:val="Heading 4 Char"/>
    <w:aliases w:val="H4 Sec.Heading Char"/>
    <w:basedOn w:val="DefaultParagraphFont"/>
    <w:link w:val="Heading4"/>
    <w:rsid w:val="00C80391"/>
    <w:rPr>
      <w:rFonts w:ascii="Franklin Gothic Medium" w:eastAsia="Times New Roman" w:hAnsi="Franklin Gothic Medium" w:cs="Times New Roman"/>
      <w:b/>
      <w:i/>
      <w:sz w:val="24"/>
      <w:szCs w:val="32"/>
    </w:rPr>
  </w:style>
  <w:style w:type="paragraph" w:customStyle="1" w:styleId="E1-Equation">
    <w:name w:val="E1-Equation"/>
    <w:basedOn w:val="Normal"/>
    <w:rsid w:val="00C80391"/>
    <w:pPr>
      <w:tabs>
        <w:tab w:val="center" w:pos="4680"/>
        <w:tab w:val="right" w:pos="9360"/>
      </w:tabs>
    </w:pPr>
  </w:style>
  <w:style w:type="paragraph" w:styleId="Footer">
    <w:name w:val="footer"/>
    <w:basedOn w:val="Normal"/>
    <w:link w:val="FooterChar"/>
    <w:uiPriority w:val="99"/>
    <w:rsid w:val="00C80391"/>
  </w:style>
  <w:style w:type="character" w:customStyle="1" w:styleId="FooterChar">
    <w:name w:val="Footer Char"/>
    <w:basedOn w:val="DefaultParagraphFont"/>
    <w:link w:val="Footer"/>
    <w:uiPriority w:val="99"/>
    <w:rsid w:val="00C80391"/>
    <w:rPr>
      <w:rFonts w:ascii="Garamond" w:eastAsia="Times New Roman" w:hAnsi="Garamond" w:cs="Times New Roman"/>
      <w:sz w:val="24"/>
      <w:szCs w:val="20"/>
    </w:rPr>
  </w:style>
  <w:style w:type="paragraph" w:styleId="FootnoteText">
    <w:name w:val="footnote text"/>
    <w:aliases w:val="F1"/>
    <w:link w:val="FootnoteTextChar"/>
    <w:rsid w:val="00C80391"/>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rsid w:val="00C80391"/>
    <w:rPr>
      <w:rFonts w:ascii="Garamond" w:eastAsia="Times New Roman" w:hAnsi="Garamond" w:cs="Times New Roman"/>
      <w:sz w:val="16"/>
      <w:szCs w:val="20"/>
    </w:rPr>
  </w:style>
  <w:style w:type="paragraph" w:styleId="Header">
    <w:name w:val="header"/>
    <w:basedOn w:val="Normal"/>
    <w:link w:val="HeaderChar"/>
    <w:uiPriority w:val="99"/>
    <w:rsid w:val="00C80391"/>
    <w:rPr>
      <w:sz w:val="16"/>
    </w:rPr>
  </w:style>
  <w:style w:type="character" w:customStyle="1" w:styleId="HeaderChar">
    <w:name w:val="Header Char"/>
    <w:basedOn w:val="DefaultParagraphFont"/>
    <w:link w:val="Header"/>
    <w:uiPriority w:val="99"/>
    <w:rsid w:val="00C80391"/>
    <w:rPr>
      <w:rFonts w:ascii="Garamond" w:eastAsia="Times New Roman" w:hAnsi="Garamond" w:cs="Times New Roman"/>
      <w:sz w:val="16"/>
      <w:szCs w:val="20"/>
    </w:rPr>
  </w:style>
  <w:style w:type="paragraph" w:customStyle="1" w:styleId="N1-1stBullet">
    <w:name w:val="N1-1st Bullet"/>
    <w:basedOn w:val="Normal"/>
    <w:link w:val="N1-1stBulletChar"/>
    <w:rsid w:val="00C80391"/>
    <w:pPr>
      <w:numPr>
        <w:numId w:val="1"/>
      </w:numPr>
      <w:spacing w:after="240"/>
    </w:pPr>
  </w:style>
  <w:style w:type="paragraph" w:customStyle="1" w:styleId="P1-StandPara">
    <w:name w:val="P1-Stand Para"/>
    <w:basedOn w:val="Normal"/>
    <w:link w:val="P1-StandParaChar"/>
    <w:rsid w:val="00C80391"/>
    <w:pPr>
      <w:spacing w:line="480" w:lineRule="auto"/>
      <w:ind w:firstLine="1152"/>
    </w:pPr>
  </w:style>
  <w:style w:type="paragraph" w:customStyle="1" w:styleId="TT-TableTitle">
    <w:name w:val="TT-Table Title"/>
    <w:basedOn w:val="Heading1"/>
    <w:rsid w:val="00C80391"/>
    <w:pPr>
      <w:tabs>
        <w:tab w:val="clear" w:pos="1152"/>
        <w:tab w:val="left" w:pos="1440"/>
      </w:tabs>
      <w:spacing w:after="0" w:line="240" w:lineRule="atLeast"/>
      <w:ind w:left="0" w:firstLine="0"/>
    </w:pPr>
    <w:rPr>
      <w:b w:val="0"/>
      <w:color w:val="auto"/>
      <w:sz w:val="22"/>
    </w:rPr>
  </w:style>
  <w:style w:type="table" w:customStyle="1" w:styleId="TableWestatStandardFormat">
    <w:name w:val="Table Westat Standard Format"/>
    <w:basedOn w:val="TableNormal"/>
    <w:rsid w:val="00C80391"/>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C80391"/>
    <w:rPr>
      <w:rFonts w:ascii="Franklin Gothic Medium" w:hAnsi="Franklin Gothic Medium"/>
      <w:sz w:val="18"/>
    </w:rPr>
  </w:style>
  <w:style w:type="paragraph" w:customStyle="1" w:styleId="TH-TableHeading">
    <w:name w:val="TH-Table Heading"/>
    <w:basedOn w:val="Heading1"/>
    <w:rsid w:val="00C80391"/>
    <w:pPr>
      <w:spacing w:after="0" w:line="240" w:lineRule="atLeast"/>
      <w:ind w:left="0" w:firstLine="0"/>
      <w:jc w:val="center"/>
    </w:pPr>
    <w:rPr>
      <w:color w:val="auto"/>
      <w:sz w:val="20"/>
    </w:rPr>
  </w:style>
  <w:style w:type="paragraph" w:customStyle="1" w:styleId="TX-TableText">
    <w:name w:val="TX-Table Text"/>
    <w:basedOn w:val="Normal"/>
    <w:rsid w:val="00C80391"/>
    <w:rPr>
      <w:rFonts w:ascii="Franklin Gothic Medium" w:hAnsi="Franklin Gothic Medium"/>
      <w:sz w:val="20"/>
    </w:rPr>
  </w:style>
  <w:style w:type="character" w:customStyle="1" w:styleId="P1-StandParaChar">
    <w:name w:val="P1-Stand Para Char"/>
    <w:basedOn w:val="DefaultParagraphFont"/>
    <w:link w:val="P1-StandPara"/>
    <w:rsid w:val="00C80391"/>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C80391"/>
    <w:rPr>
      <w:rFonts w:ascii="Garamond" w:eastAsia="Times New Roman" w:hAnsi="Garamond" w:cs="Times New Roman"/>
      <w:sz w:val="24"/>
      <w:szCs w:val="20"/>
    </w:rPr>
  </w:style>
  <w:style w:type="character" w:styleId="Hyperlink">
    <w:name w:val="Hyperlink"/>
    <w:basedOn w:val="DefaultParagraphFont"/>
    <w:uiPriority w:val="99"/>
    <w:rsid w:val="00C80391"/>
    <w:rPr>
      <w:rFonts w:cs="Times New Roman"/>
      <w:color w:val="000000"/>
    </w:rPr>
  </w:style>
  <w:style w:type="character" w:styleId="FootnoteReference">
    <w:name w:val="footnote reference"/>
    <w:basedOn w:val="DefaultParagraphFont"/>
    <w:uiPriority w:val="99"/>
    <w:rsid w:val="00C80391"/>
    <w:rPr>
      <w:rFonts w:cs="Times New Roman"/>
      <w:color w:val="000000"/>
    </w:rPr>
  </w:style>
  <w:style w:type="character" w:styleId="CommentReference">
    <w:name w:val="annotation reference"/>
    <w:basedOn w:val="DefaultParagraphFont"/>
    <w:uiPriority w:val="99"/>
    <w:semiHidden/>
    <w:unhideWhenUsed/>
    <w:rsid w:val="003A5A32"/>
    <w:rPr>
      <w:sz w:val="16"/>
      <w:szCs w:val="16"/>
    </w:rPr>
  </w:style>
  <w:style w:type="paragraph" w:styleId="CommentText">
    <w:name w:val="annotation text"/>
    <w:basedOn w:val="Normal"/>
    <w:link w:val="CommentTextChar"/>
    <w:uiPriority w:val="99"/>
    <w:semiHidden/>
    <w:unhideWhenUsed/>
    <w:rsid w:val="003A5A32"/>
    <w:pPr>
      <w:spacing w:line="240" w:lineRule="auto"/>
    </w:pPr>
    <w:rPr>
      <w:sz w:val="20"/>
    </w:rPr>
  </w:style>
  <w:style w:type="character" w:customStyle="1" w:styleId="CommentTextChar">
    <w:name w:val="Comment Text Char"/>
    <w:basedOn w:val="DefaultParagraphFont"/>
    <w:link w:val="CommentText"/>
    <w:uiPriority w:val="99"/>
    <w:semiHidden/>
    <w:rsid w:val="003A5A3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A5A32"/>
    <w:rPr>
      <w:b/>
      <w:bCs/>
    </w:rPr>
  </w:style>
  <w:style w:type="character" w:customStyle="1" w:styleId="CommentSubjectChar">
    <w:name w:val="Comment Subject Char"/>
    <w:basedOn w:val="CommentTextChar"/>
    <w:link w:val="CommentSubject"/>
    <w:uiPriority w:val="99"/>
    <w:semiHidden/>
    <w:rsid w:val="003A5A32"/>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A5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32"/>
    <w:rPr>
      <w:rFonts w:ascii="Tahoma" w:eastAsia="Times New Roman" w:hAnsi="Tahoma" w:cs="Tahoma"/>
      <w:sz w:val="16"/>
      <w:szCs w:val="16"/>
    </w:rPr>
  </w:style>
  <w:style w:type="paragraph" w:styleId="ListParagraph">
    <w:name w:val="List Paragraph"/>
    <w:basedOn w:val="Normal"/>
    <w:uiPriority w:val="34"/>
    <w:qFormat/>
    <w:rsid w:val="00F35EF2"/>
    <w:pPr>
      <w:spacing w:line="240" w:lineRule="auto"/>
      <w:ind w:left="720"/>
    </w:pPr>
    <w:rPr>
      <w:rFonts w:ascii="Calibri" w:eastAsiaTheme="minorHAnsi" w:hAnsi="Calibri"/>
      <w:sz w:val="22"/>
      <w:szCs w:val="22"/>
    </w:rPr>
  </w:style>
  <w:style w:type="paragraph" w:customStyle="1" w:styleId="L1-FlLSp12">
    <w:name w:val="L1-FlL Sp&amp;1/2"/>
    <w:basedOn w:val="Normal"/>
    <w:uiPriority w:val="99"/>
    <w:rsid w:val="008F697F"/>
    <w:pPr>
      <w:tabs>
        <w:tab w:val="left" w:pos="1152"/>
      </w:tabs>
      <w:spacing w:line="360" w:lineRule="atLeast"/>
    </w:pPr>
  </w:style>
  <w:style w:type="paragraph" w:styleId="Revision">
    <w:name w:val="Revision"/>
    <w:hidden/>
    <w:uiPriority w:val="99"/>
    <w:semiHidden/>
    <w:rsid w:val="0015627D"/>
    <w:pPr>
      <w:spacing w:after="0" w:line="240" w:lineRule="auto"/>
    </w:pPr>
    <w:rPr>
      <w:rFonts w:ascii="Garamond" w:eastAsia="Times New Roman" w:hAnsi="Garamond" w:cs="Times New Roman"/>
      <w:sz w:val="24"/>
      <w:szCs w:val="20"/>
    </w:rPr>
  </w:style>
  <w:style w:type="character" w:styleId="PageNumber">
    <w:name w:val="page number"/>
    <w:basedOn w:val="DefaultParagraphFont"/>
    <w:rsid w:val="00D813EE"/>
  </w:style>
  <w:style w:type="paragraph" w:customStyle="1" w:styleId="NormalSS">
    <w:name w:val="NormalSS"/>
    <w:basedOn w:val="Normal"/>
    <w:qFormat/>
    <w:rsid w:val="00D813EE"/>
    <w:pPr>
      <w:tabs>
        <w:tab w:val="left" w:pos="432"/>
      </w:tabs>
      <w:spacing w:line="240" w:lineRule="auto"/>
      <w:ind w:firstLine="432"/>
      <w:jc w:val="both"/>
    </w:pPr>
    <w:rPr>
      <w:rFonts w:ascii="Times New Roman" w:hAnsi="Times New Roman"/>
      <w:szCs w:val="24"/>
    </w:rPr>
  </w:style>
  <w:style w:type="paragraph" w:styleId="TOC1">
    <w:name w:val="toc 1"/>
    <w:basedOn w:val="Normal"/>
    <w:next w:val="Normal"/>
    <w:autoRedefine/>
    <w:uiPriority w:val="39"/>
    <w:unhideWhenUsed/>
    <w:rsid w:val="00687B28"/>
    <w:pPr>
      <w:spacing w:after="100"/>
    </w:pPr>
  </w:style>
  <w:style w:type="paragraph" w:styleId="TOC2">
    <w:name w:val="toc 2"/>
    <w:basedOn w:val="Normal"/>
    <w:next w:val="Normal"/>
    <w:autoRedefine/>
    <w:uiPriority w:val="39"/>
    <w:unhideWhenUsed/>
    <w:rsid w:val="00687B28"/>
    <w:pPr>
      <w:spacing w:after="100"/>
      <w:ind w:left="240"/>
    </w:pPr>
  </w:style>
  <w:style w:type="paragraph" w:styleId="TOC3">
    <w:name w:val="toc 3"/>
    <w:basedOn w:val="Normal"/>
    <w:next w:val="Normal"/>
    <w:autoRedefine/>
    <w:uiPriority w:val="39"/>
    <w:semiHidden/>
    <w:unhideWhenUsed/>
    <w:rsid w:val="00687B28"/>
    <w:pPr>
      <w:spacing w:after="100"/>
      <w:ind w:left="480"/>
    </w:pPr>
  </w:style>
  <w:style w:type="paragraph" w:customStyle="1" w:styleId="T0-ChapPgHd">
    <w:name w:val="T0-Chap/Pg Hd"/>
    <w:basedOn w:val="Normal"/>
    <w:rsid w:val="00687B28"/>
    <w:pPr>
      <w:tabs>
        <w:tab w:val="left" w:pos="8640"/>
      </w:tabs>
    </w:pPr>
    <w:rPr>
      <w:rFonts w:ascii="Franklin Gothic Medium" w:hAnsi="Franklin Gothic Medium"/>
      <w:u w:val="words"/>
    </w:rPr>
  </w:style>
  <w:style w:type="paragraph" w:styleId="NoSpacing">
    <w:name w:val="No Spacing"/>
    <w:link w:val="NoSpacingChar"/>
    <w:uiPriority w:val="1"/>
    <w:qFormat/>
    <w:rsid w:val="00687B28"/>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687B28"/>
    <w:rPr>
      <w:rFonts w:ascii="Calibri" w:eastAsia="Times New Roman" w:hAnsi="Calibri"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C80391"/>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C80391"/>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Normal"/>
    <w:link w:val="Heading2Char"/>
    <w:qFormat/>
    <w:rsid w:val="00C80391"/>
    <w:pPr>
      <w:numPr>
        <w:ilvl w:val="1"/>
      </w:numPr>
      <w:ind w:left="1152" w:hanging="1152"/>
      <w:outlineLvl w:val="1"/>
    </w:pPr>
    <w:rPr>
      <w:sz w:val="28"/>
    </w:rPr>
  </w:style>
  <w:style w:type="paragraph" w:styleId="Heading3">
    <w:name w:val="heading 3"/>
    <w:aliases w:val="H3-Sec. Head"/>
    <w:basedOn w:val="Heading2"/>
    <w:next w:val="Normal"/>
    <w:link w:val="Heading3Char"/>
    <w:qFormat/>
    <w:rsid w:val="00C80391"/>
    <w:pPr>
      <w:numPr>
        <w:ilvl w:val="2"/>
      </w:numPr>
      <w:ind w:left="1152" w:hanging="1152"/>
      <w:outlineLvl w:val="2"/>
    </w:pPr>
  </w:style>
  <w:style w:type="paragraph" w:styleId="Heading4">
    <w:name w:val="heading 4"/>
    <w:aliases w:val="H4 Sec.Heading"/>
    <w:basedOn w:val="Heading1"/>
    <w:next w:val="Normal"/>
    <w:link w:val="Heading4Char"/>
    <w:qFormat/>
    <w:rsid w:val="00C80391"/>
    <w:pPr>
      <w:outlineLvl w:val="3"/>
    </w:pPr>
    <w:rPr>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autoRedefine/>
    <w:unhideWhenUsed/>
    <w:rsid w:val="00442DFF"/>
    <w:pPr>
      <w:tabs>
        <w:tab w:val="left" w:pos="1440"/>
        <w:tab w:val="right" w:leader="dot" w:pos="8208"/>
        <w:tab w:val="left" w:pos="8640"/>
      </w:tabs>
      <w:ind w:left="1440" w:right="1800" w:hanging="1152"/>
    </w:pPr>
  </w:style>
  <w:style w:type="table" w:styleId="TableGrid">
    <w:name w:val="Table Grid"/>
    <w:basedOn w:val="TableNormal"/>
    <w:uiPriority w:val="59"/>
    <w:rsid w:val="00442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C80391"/>
    <w:rPr>
      <w:rFonts w:ascii="Franklin Gothic Medium" w:eastAsia="Times New Roman" w:hAnsi="Franklin Gothic Medium" w:cs="Times New Roman"/>
      <w:b/>
      <w:color w:val="324162"/>
      <w:sz w:val="32"/>
      <w:szCs w:val="32"/>
    </w:rPr>
  </w:style>
  <w:style w:type="character" w:customStyle="1" w:styleId="Heading2Char">
    <w:name w:val="Heading 2 Char"/>
    <w:aliases w:val="H2-Sec. Head Char"/>
    <w:basedOn w:val="DefaultParagraphFont"/>
    <w:link w:val="Heading2"/>
    <w:rsid w:val="00C80391"/>
    <w:rPr>
      <w:rFonts w:ascii="Franklin Gothic Medium" w:eastAsia="Times New Roman" w:hAnsi="Franklin Gothic Medium" w:cs="Times New Roman"/>
      <w:b/>
      <w:color w:val="324162"/>
      <w:sz w:val="28"/>
      <w:szCs w:val="32"/>
    </w:rPr>
  </w:style>
  <w:style w:type="character" w:customStyle="1" w:styleId="Heading3Char">
    <w:name w:val="Heading 3 Char"/>
    <w:aliases w:val="H3-Sec. Head Char"/>
    <w:basedOn w:val="DefaultParagraphFont"/>
    <w:link w:val="Heading3"/>
    <w:rsid w:val="00C80391"/>
    <w:rPr>
      <w:rFonts w:ascii="Franklin Gothic Medium" w:eastAsia="Times New Roman" w:hAnsi="Franklin Gothic Medium" w:cs="Times New Roman"/>
      <w:b/>
      <w:color w:val="324162"/>
      <w:sz w:val="28"/>
      <w:szCs w:val="32"/>
    </w:rPr>
  </w:style>
  <w:style w:type="character" w:customStyle="1" w:styleId="Heading4Char">
    <w:name w:val="Heading 4 Char"/>
    <w:aliases w:val="H4 Sec.Heading Char"/>
    <w:basedOn w:val="DefaultParagraphFont"/>
    <w:link w:val="Heading4"/>
    <w:rsid w:val="00C80391"/>
    <w:rPr>
      <w:rFonts w:ascii="Franklin Gothic Medium" w:eastAsia="Times New Roman" w:hAnsi="Franklin Gothic Medium" w:cs="Times New Roman"/>
      <w:b/>
      <w:i/>
      <w:sz w:val="24"/>
      <w:szCs w:val="32"/>
    </w:rPr>
  </w:style>
  <w:style w:type="paragraph" w:customStyle="1" w:styleId="E1-Equation">
    <w:name w:val="E1-Equation"/>
    <w:basedOn w:val="Normal"/>
    <w:rsid w:val="00C80391"/>
    <w:pPr>
      <w:tabs>
        <w:tab w:val="center" w:pos="4680"/>
        <w:tab w:val="right" w:pos="9360"/>
      </w:tabs>
    </w:pPr>
  </w:style>
  <w:style w:type="paragraph" w:styleId="Footer">
    <w:name w:val="footer"/>
    <w:basedOn w:val="Normal"/>
    <w:link w:val="FooterChar"/>
    <w:rsid w:val="00C80391"/>
  </w:style>
  <w:style w:type="character" w:customStyle="1" w:styleId="FooterChar">
    <w:name w:val="Footer Char"/>
    <w:basedOn w:val="DefaultParagraphFont"/>
    <w:link w:val="Footer"/>
    <w:rsid w:val="00C80391"/>
    <w:rPr>
      <w:rFonts w:ascii="Garamond" w:eastAsia="Times New Roman" w:hAnsi="Garamond" w:cs="Times New Roman"/>
      <w:sz w:val="24"/>
      <w:szCs w:val="20"/>
    </w:rPr>
  </w:style>
  <w:style w:type="paragraph" w:styleId="FootnoteText">
    <w:name w:val="footnote text"/>
    <w:aliases w:val="F1"/>
    <w:link w:val="FootnoteTextChar"/>
    <w:rsid w:val="00C80391"/>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rsid w:val="00C80391"/>
    <w:rPr>
      <w:rFonts w:ascii="Garamond" w:eastAsia="Times New Roman" w:hAnsi="Garamond" w:cs="Times New Roman"/>
      <w:sz w:val="16"/>
      <w:szCs w:val="20"/>
    </w:rPr>
  </w:style>
  <w:style w:type="paragraph" w:styleId="Header">
    <w:name w:val="header"/>
    <w:basedOn w:val="Normal"/>
    <w:link w:val="HeaderChar"/>
    <w:rsid w:val="00C80391"/>
    <w:rPr>
      <w:sz w:val="16"/>
    </w:rPr>
  </w:style>
  <w:style w:type="character" w:customStyle="1" w:styleId="HeaderChar">
    <w:name w:val="Header Char"/>
    <w:basedOn w:val="DefaultParagraphFont"/>
    <w:link w:val="Header"/>
    <w:rsid w:val="00C80391"/>
    <w:rPr>
      <w:rFonts w:ascii="Garamond" w:eastAsia="Times New Roman" w:hAnsi="Garamond" w:cs="Times New Roman"/>
      <w:sz w:val="16"/>
      <w:szCs w:val="20"/>
    </w:rPr>
  </w:style>
  <w:style w:type="paragraph" w:customStyle="1" w:styleId="N1-1stBullet">
    <w:name w:val="N1-1st Bullet"/>
    <w:basedOn w:val="Normal"/>
    <w:link w:val="N1-1stBulletChar"/>
    <w:rsid w:val="00C80391"/>
    <w:pPr>
      <w:numPr>
        <w:numId w:val="1"/>
      </w:numPr>
      <w:spacing w:after="240"/>
    </w:pPr>
  </w:style>
  <w:style w:type="paragraph" w:customStyle="1" w:styleId="P1-StandPara">
    <w:name w:val="P1-Stand Para"/>
    <w:basedOn w:val="Normal"/>
    <w:link w:val="P1-StandParaChar"/>
    <w:rsid w:val="00C80391"/>
    <w:pPr>
      <w:spacing w:line="480" w:lineRule="auto"/>
      <w:ind w:firstLine="1152"/>
    </w:pPr>
  </w:style>
  <w:style w:type="paragraph" w:customStyle="1" w:styleId="TT-TableTitle">
    <w:name w:val="TT-Table Title"/>
    <w:basedOn w:val="Heading1"/>
    <w:rsid w:val="00C80391"/>
    <w:pPr>
      <w:tabs>
        <w:tab w:val="clear" w:pos="1152"/>
        <w:tab w:val="left" w:pos="1440"/>
      </w:tabs>
      <w:spacing w:after="0" w:line="240" w:lineRule="atLeast"/>
      <w:ind w:left="0" w:firstLine="0"/>
    </w:pPr>
    <w:rPr>
      <w:b w:val="0"/>
      <w:color w:val="auto"/>
      <w:sz w:val="22"/>
    </w:rPr>
  </w:style>
  <w:style w:type="table" w:customStyle="1" w:styleId="TableWestatStandardFormat">
    <w:name w:val="Table Westat Standard Format"/>
    <w:basedOn w:val="TableNormal"/>
    <w:rsid w:val="00C80391"/>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C80391"/>
    <w:rPr>
      <w:rFonts w:ascii="Franklin Gothic Medium" w:hAnsi="Franklin Gothic Medium"/>
      <w:sz w:val="18"/>
    </w:rPr>
  </w:style>
  <w:style w:type="paragraph" w:customStyle="1" w:styleId="TH-TableHeading">
    <w:name w:val="TH-Table Heading"/>
    <w:basedOn w:val="Heading1"/>
    <w:rsid w:val="00C80391"/>
    <w:pPr>
      <w:spacing w:after="0" w:line="240" w:lineRule="atLeast"/>
      <w:ind w:left="0" w:firstLine="0"/>
      <w:jc w:val="center"/>
    </w:pPr>
    <w:rPr>
      <w:color w:val="auto"/>
      <w:sz w:val="20"/>
    </w:rPr>
  </w:style>
  <w:style w:type="paragraph" w:customStyle="1" w:styleId="TX-TableText">
    <w:name w:val="TX-Table Text"/>
    <w:basedOn w:val="Normal"/>
    <w:rsid w:val="00C80391"/>
    <w:rPr>
      <w:rFonts w:ascii="Franklin Gothic Medium" w:hAnsi="Franklin Gothic Medium"/>
      <w:sz w:val="20"/>
    </w:rPr>
  </w:style>
  <w:style w:type="character" w:customStyle="1" w:styleId="P1-StandParaChar">
    <w:name w:val="P1-Stand Para Char"/>
    <w:basedOn w:val="DefaultParagraphFont"/>
    <w:link w:val="P1-StandPara"/>
    <w:rsid w:val="00C80391"/>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C80391"/>
    <w:rPr>
      <w:rFonts w:ascii="Garamond" w:eastAsia="Times New Roman" w:hAnsi="Garamond" w:cs="Times New Roman"/>
      <w:sz w:val="24"/>
      <w:szCs w:val="20"/>
    </w:rPr>
  </w:style>
  <w:style w:type="character" w:styleId="Hyperlink">
    <w:name w:val="Hyperlink"/>
    <w:basedOn w:val="DefaultParagraphFont"/>
    <w:uiPriority w:val="99"/>
    <w:rsid w:val="00C80391"/>
    <w:rPr>
      <w:rFonts w:cs="Times New Roman"/>
      <w:color w:val="000000"/>
    </w:rPr>
  </w:style>
  <w:style w:type="character" w:styleId="FootnoteReference">
    <w:name w:val="footnote reference"/>
    <w:basedOn w:val="DefaultParagraphFont"/>
    <w:uiPriority w:val="99"/>
    <w:rsid w:val="00C80391"/>
    <w:rPr>
      <w:rFonts w:cs="Times New Roman"/>
      <w:color w:val="000000"/>
    </w:rPr>
  </w:style>
  <w:style w:type="character" w:styleId="CommentReference">
    <w:name w:val="annotation reference"/>
    <w:basedOn w:val="DefaultParagraphFont"/>
    <w:uiPriority w:val="99"/>
    <w:semiHidden/>
    <w:unhideWhenUsed/>
    <w:rsid w:val="003A5A32"/>
    <w:rPr>
      <w:sz w:val="16"/>
      <w:szCs w:val="16"/>
    </w:rPr>
  </w:style>
  <w:style w:type="paragraph" w:styleId="CommentText">
    <w:name w:val="annotation text"/>
    <w:basedOn w:val="Normal"/>
    <w:link w:val="CommentTextChar"/>
    <w:uiPriority w:val="99"/>
    <w:semiHidden/>
    <w:unhideWhenUsed/>
    <w:rsid w:val="003A5A32"/>
    <w:pPr>
      <w:spacing w:line="240" w:lineRule="auto"/>
    </w:pPr>
    <w:rPr>
      <w:sz w:val="20"/>
    </w:rPr>
  </w:style>
  <w:style w:type="character" w:customStyle="1" w:styleId="CommentTextChar">
    <w:name w:val="Comment Text Char"/>
    <w:basedOn w:val="DefaultParagraphFont"/>
    <w:link w:val="CommentText"/>
    <w:uiPriority w:val="99"/>
    <w:semiHidden/>
    <w:rsid w:val="003A5A32"/>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A5A32"/>
    <w:rPr>
      <w:b/>
      <w:bCs/>
    </w:rPr>
  </w:style>
  <w:style w:type="character" w:customStyle="1" w:styleId="CommentSubjectChar">
    <w:name w:val="Comment Subject Char"/>
    <w:basedOn w:val="CommentTextChar"/>
    <w:link w:val="CommentSubject"/>
    <w:uiPriority w:val="99"/>
    <w:semiHidden/>
    <w:rsid w:val="003A5A32"/>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A5A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A32"/>
    <w:rPr>
      <w:rFonts w:ascii="Tahoma" w:eastAsia="Times New Roman" w:hAnsi="Tahoma" w:cs="Tahoma"/>
      <w:sz w:val="16"/>
      <w:szCs w:val="16"/>
    </w:rPr>
  </w:style>
  <w:style w:type="paragraph" w:styleId="ListParagraph">
    <w:name w:val="List Paragraph"/>
    <w:basedOn w:val="Normal"/>
    <w:uiPriority w:val="34"/>
    <w:qFormat/>
    <w:rsid w:val="00F35EF2"/>
    <w:pPr>
      <w:spacing w:line="240" w:lineRule="auto"/>
      <w:ind w:left="720"/>
    </w:pPr>
    <w:rPr>
      <w:rFonts w:ascii="Calibri" w:eastAsiaTheme="minorHAnsi" w:hAnsi="Calibri"/>
      <w:sz w:val="22"/>
      <w:szCs w:val="22"/>
    </w:rPr>
  </w:style>
  <w:style w:type="paragraph" w:customStyle="1" w:styleId="L1-FlLSp12">
    <w:name w:val="L1-FlL Sp&amp;1/2"/>
    <w:basedOn w:val="Normal"/>
    <w:uiPriority w:val="99"/>
    <w:rsid w:val="008F697F"/>
    <w:pPr>
      <w:tabs>
        <w:tab w:val="left" w:pos="1152"/>
      </w:tabs>
      <w:spacing w:line="360" w:lineRule="atLeast"/>
    </w:pPr>
  </w:style>
  <w:style w:type="paragraph" w:styleId="Revision">
    <w:name w:val="Revision"/>
    <w:hidden/>
    <w:uiPriority w:val="99"/>
    <w:semiHidden/>
    <w:rsid w:val="0015627D"/>
    <w:pPr>
      <w:spacing w:after="0" w:line="240" w:lineRule="auto"/>
    </w:pPr>
    <w:rPr>
      <w:rFonts w:ascii="Garamond" w:eastAsia="Times New Roman" w:hAnsi="Garamond" w:cs="Times New Roman"/>
      <w:sz w:val="24"/>
      <w:szCs w:val="20"/>
    </w:rPr>
  </w:style>
</w:styles>
</file>

<file path=word/webSettings.xml><?xml version="1.0" encoding="utf-8"?>
<w:webSettings xmlns:r="http://schemas.openxmlformats.org/officeDocument/2006/relationships" xmlns:w="http://schemas.openxmlformats.org/wordprocessingml/2006/main">
  <w:divs>
    <w:div w:id="563609908">
      <w:bodyDiv w:val="1"/>
      <w:marLeft w:val="0"/>
      <w:marRight w:val="0"/>
      <w:marTop w:val="0"/>
      <w:marBottom w:val="0"/>
      <w:divBdr>
        <w:top w:val="none" w:sz="0" w:space="0" w:color="auto"/>
        <w:left w:val="none" w:sz="0" w:space="0" w:color="auto"/>
        <w:bottom w:val="none" w:sz="0" w:space="0" w:color="auto"/>
        <w:right w:val="none" w:sz="0" w:space="0" w:color="auto"/>
      </w:divBdr>
    </w:div>
    <w:div w:id="632440764">
      <w:bodyDiv w:val="1"/>
      <w:marLeft w:val="0"/>
      <w:marRight w:val="0"/>
      <w:marTop w:val="0"/>
      <w:marBottom w:val="0"/>
      <w:divBdr>
        <w:top w:val="none" w:sz="0" w:space="0" w:color="auto"/>
        <w:left w:val="none" w:sz="0" w:space="0" w:color="auto"/>
        <w:bottom w:val="none" w:sz="0" w:space="0" w:color="auto"/>
        <w:right w:val="none" w:sz="0" w:space="0" w:color="auto"/>
      </w:divBdr>
    </w:div>
    <w:div w:id="20323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hnBurke@westat.com" TargetMode="External"/><Relationship Id="rId4" Type="http://schemas.openxmlformats.org/officeDocument/2006/relationships/settings" Target="settings.xml"/><Relationship Id="rId9" Type="http://schemas.openxmlformats.org/officeDocument/2006/relationships/hyperlink" Target="mailto:CynthiaRobins@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B180-B95F-4CF4-BEBB-939E493F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lywilliams</cp:lastModifiedBy>
  <cp:revision>2</cp:revision>
  <cp:lastPrinted>2012-07-06T13:32:00Z</cp:lastPrinted>
  <dcterms:created xsi:type="dcterms:W3CDTF">2012-08-15T20:11:00Z</dcterms:created>
  <dcterms:modified xsi:type="dcterms:W3CDTF">2012-08-15T20:11:00Z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-1813812305</vt:i4>
  </property>
</Properties>
</file>