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E83" w:rsidRPr="00774C9B" w:rsidRDefault="00367E83" w:rsidP="00367E83">
      <w:pPr>
        <w:jc w:val="center"/>
      </w:pPr>
      <w:bookmarkStart w:id="0" w:name="_GoBack"/>
      <w:bookmarkEnd w:id="0"/>
      <w:r w:rsidRPr="00774C9B">
        <w:t>SUPPORTING STATEMENT FOR NEW INFORMATION COLLECTIONS</w:t>
      </w:r>
      <w:r w:rsidRPr="00774C9B">
        <w:fldChar w:fldCharType="begin"/>
      </w:r>
      <w:r w:rsidRPr="00774C9B">
        <w:instrText xml:space="preserve">PRIVATE </w:instrText>
      </w:r>
      <w:r w:rsidRPr="00774C9B">
        <w:fldChar w:fldCharType="end"/>
      </w:r>
    </w:p>
    <w:p w:rsidR="00367E83" w:rsidRPr="00774C9B" w:rsidRDefault="00367E83" w:rsidP="00367E83">
      <w:pPr>
        <w:jc w:val="center"/>
      </w:pPr>
    </w:p>
    <w:p w:rsidR="00367E83" w:rsidRPr="00836D8D" w:rsidRDefault="00367E83" w:rsidP="00367E83">
      <w:pPr>
        <w:pStyle w:val="WW-Default"/>
        <w:rPr>
          <w:rFonts w:ascii="Times New Roman" w:hAnsi="Times New Roman" w:cs="Times New Roman"/>
        </w:rPr>
      </w:pPr>
      <w:r w:rsidRPr="00836D8D">
        <w:rPr>
          <w:rFonts w:ascii="Times New Roman" w:hAnsi="Times New Roman" w:cs="Times New Roman"/>
        </w:rPr>
        <w:t>AGGREGATION UNDER PART 151, POSITION LIMITS FOR FUTURES AND SWAPS</w:t>
      </w:r>
    </w:p>
    <w:p w:rsidR="00367E83" w:rsidRPr="00836D8D" w:rsidRDefault="00367E83" w:rsidP="00367E83">
      <w:pPr>
        <w:jc w:val="center"/>
      </w:pPr>
    </w:p>
    <w:p w:rsidR="00367E83" w:rsidRPr="00774C9B" w:rsidRDefault="00367E83" w:rsidP="00367E83">
      <w:pPr>
        <w:jc w:val="center"/>
      </w:pPr>
      <w:r w:rsidRPr="00774C9B">
        <w:t>OMB CONTROL NUMBER 3038-</w:t>
      </w:r>
      <w:r>
        <w:t>0077</w:t>
      </w:r>
    </w:p>
    <w:p w:rsidR="00367E83" w:rsidRPr="00774C9B" w:rsidRDefault="00367E83" w:rsidP="00367E83"/>
    <w:p w:rsidR="00367E83" w:rsidRPr="00774C9B" w:rsidRDefault="00367E83" w:rsidP="00367E83">
      <w:pPr>
        <w:tabs>
          <w:tab w:val="left" w:pos="-720"/>
        </w:tabs>
        <w:suppressAutoHyphens/>
      </w:pPr>
      <w:r w:rsidRPr="00774C9B">
        <w:rPr>
          <w:u w:val="single"/>
        </w:rPr>
        <w:t>Justification</w:t>
      </w:r>
    </w:p>
    <w:p w:rsidR="00367E83" w:rsidRPr="00774C9B" w:rsidRDefault="00367E83" w:rsidP="00367E83">
      <w:pPr>
        <w:tabs>
          <w:tab w:val="left" w:pos="-720"/>
        </w:tabs>
        <w:suppressAutoHyphens/>
      </w:pPr>
    </w:p>
    <w:p w:rsidR="00367E83" w:rsidRPr="00774C9B" w:rsidRDefault="00367E83" w:rsidP="00367E83">
      <w:pPr>
        <w:pStyle w:val="ListParagraph"/>
        <w:numPr>
          <w:ilvl w:val="0"/>
          <w:numId w:val="1"/>
        </w:numPr>
        <w:tabs>
          <w:tab w:val="left" w:pos="-720"/>
          <w:tab w:val="left" w:pos="0"/>
        </w:tabs>
        <w:suppressAutoHyphens/>
      </w:pPr>
      <w:r w:rsidRPr="00774C9B">
        <w:rPr>
          <w:u w:val="single"/>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774C9B">
        <w:t>.</w:t>
      </w:r>
    </w:p>
    <w:p w:rsidR="00367E83" w:rsidRPr="00774C9B" w:rsidRDefault="00367E83" w:rsidP="00367E83">
      <w:pPr>
        <w:tabs>
          <w:tab w:val="left" w:pos="-720"/>
          <w:tab w:val="left" w:pos="0"/>
        </w:tabs>
        <w:suppressAutoHyphens/>
      </w:pPr>
    </w:p>
    <w:p w:rsidR="00367E83" w:rsidRDefault="00367E83" w:rsidP="00367E83">
      <w:pPr>
        <w:tabs>
          <w:tab w:val="left" w:pos="-720"/>
          <w:tab w:val="left" w:pos="0"/>
        </w:tabs>
        <w:suppressAutoHyphens/>
      </w:pPr>
      <w:r w:rsidRPr="00774C9B">
        <w:tab/>
        <w:t>On July 21, 2010, the Dodd-Frank Wall Street Reform and Consumer Protection Act (“Dodd-Frank Act”) went into effect.</w:t>
      </w:r>
      <w:r w:rsidRPr="00774C9B">
        <w:rPr>
          <w:rStyle w:val="FootnoteReference"/>
        </w:rPr>
        <w:footnoteReference w:id="1"/>
      </w:r>
      <w:r w:rsidRPr="00774C9B">
        <w:t xml:space="preserve">  Title VII of the Dodd-Frank Act amends the Commodity Exchange Act (“CEA”</w:t>
      </w:r>
      <w:r>
        <w:t xml:space="preserve"> or “Act”</w:t>
      </w:r>
      <w:r w:rsidRPr="00774C9B">
        <w:t>)</w:t>
      </w:r>
      <w:r w:rsidRPr="00774C9B">
        <w:rPr>
          <w:rStyle w:val="FootnoteReference"/>
        </w:rPr>
        <w:footnoteReference w:id="2"/>
      </w:r>
      <w:r w:rsidRPr="00774C9B">
        <w:t xml:space="preserve"> to establish a comprehensive new regulatory framework for swaps and security-based swaps.  In Section 737 of the Do</w:t>
      </w:r>
      <w:r>
        <w:t>dd</w:t>
      </w:r>
      <w:r w:rsidRPr="00774C9B">
        <w:t xml:space="preserve">-Frank Act, Congress </w:t>
      </w:r>
      <w:r>
        <w:t>mandated that the Commodity Futures Trading Commission (“CFTC” or “Commission”) establish position limits on futures contracts (and options on futures contracts) and swaps that are economically equivalent to such futures contracts.  On November 18, 2011, the Commission finalized in part 151, position limits for 28 core referenced futures contracts as well as aggregate limits for contracts and transactions that are economically equivalent to such core referenced futures contracts (collectively “referenced contracts”).  The position limits rule includes standards for the aggregation of accounts under part 151.7.  The account aggregation provisions included certain collections of information under the Paperwork Reduction Act (“PRA”), and those collections fall under OMB control number 3038-0077.</w:t>
      </w:r>
    </w:p>
    <w:p w:rsidR="00367E83" w:rsidRDefault="00367E83" w:rsidP="00367E83">
      <w:pPr>
        <w:tabs>
          <w:tab w:val="left" w:pos="-720"/>
          <w:tab w:val="left" w:pos="0"/>
        </w:tabs>
        <w:suppressAutoHyphens/>
      </w:pPr>
    </w:p>
    <w:p w:rsidR="00367E83" w:rsidRDefault="00367E83" w:rsidP="00367E83">
      <w:pPr>
        <w:tabs>
          <w:tab w:val="left" w:pos="-720"/>
          <w:tab w:val="left" w:pos="0"/>
        </w:tabs>
        <w:suppressAutoHyphens/>
      </w:pPr>
      <w:r>
        <w:t xml:space="preserve">In January of 2012, the Commission received a petition requesting relief under section </w:t>
      </w:r>
      <w:proofErr w:type="gramStart"/>
      <w:r>
        <w:t>4a(</w:t>
      </w:r>
      <w:proofErr w:type="gramEnd"/>
      <w:r>
        <w:t>a)(7) of the (“Commodity Exchange Act” and clarification of certain aggregation requirements in 151.7.  In response to that petition, the Commission is proposing to clarify certain aspects of the aggregation standards, and to expand the scope of certain exemptions from aggregation.  The proposed expansion, if adopted, would result in additional claims for an exemption from aggregation, and therefore result in an increase the paperwork burden associated with OMB control number 3038-0077.  As discussed in the notice of proposed rulemaking (“NPRM” or “proposed rule”), at this time the Commission anticipates that the expansion of aggregation exemptions will result in a lower cost to market participants compared to the existing rules, but should not jeopardize the effectiveness of the part 151 position limits regime.</w:t>
      </w:r>
    </w:p>
    <w:p w:rsidR="00367E83" w:rsidRDefault="00367E83" w:rsidP="00367E83">
      <w:pPr>
        <w:tabs>
          <w:tab w:val="left" w:pos="-720"/>
          <w:tab w:val="left" w:pos="0"/>
        </w:tabs>
        <w:suppressAutoHyphens/>
      </w:pPr>
    </w:p>
    <w:p w:rsidR="00367E83" w:rsidRDefault="00367E83" w:rsidP="00367E83">
      <w:pPr>
        <w:tabs>
          <w:tab w:val="left" w:pos="-720"/>
          <w:tab w:val="left" w:pos="0"/>
        </w:tabs>
        <w:suppressAutoHyphens/>
      </w:pPr>
      <w:r>
        <w:t xml:space="preserve">The increase in the collections of information will result from the Commission proposing to expand an exemption from the ownership prong for aggregation and to expand the exemption for situations where aggregation would result in the sharing of information in violation of federal law to include state and foreign law.     </w:t>
      </w:r>
    </w:p>
    <w:p w:rsidR="00367E83" w:rsidRPr="00774C9B" w:rsidRDefault="00367E83" w:rsidP="00367E83">
      <w:pPr>
        <w:tabs>
          <w:tab w:val="left" w:pos="-720"/>
          <w:tab w:val="left" w:pos="0"/>
        </w:tabs>
        <w:suppressAutoHyphens/>
      </w:pPr>
      <w:r>
        <w:lastRenderedPageBreak/>
        <w:t xml:space="preserve">  </w:t>
      </w:r>
    </w:p>
    <w:p w:rsidR="00367E83" w:rsidRPr="00774C9B" w:rsidRDefault="00367E83" w:rsidP="00367E83">
      <w:pPr>
        <w:tabs>
          <w:tab w:val="left" w:pos="-720"/>
          <w:tab w:val="left" w:pos="0"/>
        </w:tabs>
        <w:suppressAutoHyphens/>
      </w:pPr>
    </w:p>
    <w:p w:rsidR="00367E83" w:rsidRPr="00774C9B" w:rsidRDefault="00367E83" w:rsidP="00367E83">
      <w:pPr>
        <w:pStyle w:val="ListParagraph"/>
        <w:numPr>
          <w:ilvl w:val="0"/>
          <w:numId w:val="1"/>
        </w:numPr>
        <w:tabs>
          <w:tab w:val="left" w:pos="-720"/>
        </w:tabs>
        <w:suppressAutoHyphens/>
      </w:pPr>
      <w:r w:rsidRPr="00774C9B">
        <w:rPr>
          <w:u w:val="single"/>
        </w:rPr>
        <w:t>Indicate how, by whom, and for what purpose the data would be used.  Except for a new collection, indicate the actual use the agency has made of the information received from the current collection</w:t>
      </w:r>
      <w:r w:rsidRPr="00774C9B">
        <w:t>.</w:t>
      </w:r>
    </w:p>
    <w:p w:rsidR="00367E83" w:rsidRPr="00774C9B" w:rsidRDefault="00367E83" w:rsidP="00367E83">
      <w:pPr>
        <w:tabs>
          <w:tab w:val="left" w:pos="-720"/>
        </w:tabs>
        <w:suppressAutoHyphens/>
      </w:pPr>
    </w:p>
    <w:p w:rsidR="00367E83" w:rsidRDefault="00367E83" w:rsidP="00367E83">
      <w:pPr>
        <w:tabs>
          <w:tab w:val="left" w:pos="-720"/>
        </w:tabs>
        <w:suppressAutoHyphens/>
      </w:pPr>
      <w:r w:rsidRPr="00774C9B">
        <w:tab/>
      </w:r>
      <w:r>
        <w:t>The reporting and record-keeping requirements proposed herein would be used by the Commission generally and by Commission surveillance staff in particular to verify the aggregation of positions across multiple entities, and for general surveillance purposes.  T</w:t>
      </w:r>
      <w:r w:rsidRPr="00774C9B">
        <w:t>his additional data</w:t>
      </w:r>
      <w:r>
        <w:t xml:space="preserve"> would allow the Commission to understand how market participants are applying exemptions, ensure the proper application of such exemptions, and provide the Commission with information to adjust exemptions in the future.   Toward these ends, the proposed amendments to the part 151 rules provide for the following specific reporting and record-keeping requirements:</w:t>
      </w:r>
    </w:p>
    <w:p w:rsidR="00367E83" w:rsidRDefault="00367E83" w:rsidP="00367E83">
      <w:pPr>
        <w:tabs>
          <w:tab w:val="left" w:pos="-720"/>
        </w:tabs>
        <w:suppressAutoHyphens/>
      </w:pPr>
    </w:p>
    <w:p w:rsidR="00367E83" w:rsidRDefault="00367E83" w:rsidP="00367E83">
      <w:pPr>
        <w:pStyle w:val="ListParagraph"/>
        <w:numPr>
          <w:ilvl w:val="0"/>
          <w:numId w:val="4"/>
        </w:numPr>
      </w:pPr>
      <w:r>
        <w:t>Proposed rule 151.7(b</w:t>
      </w:r>
      <w:proofErr w:type="gramStart"/>
      <w:r>
        <w:t>)(</w:t>
      </w:r>
      <w:proofErr w:type="gramEnd"/>
      <w:r>
        <w:t>1) establishes an exemption for a person to disaggregate the positions of a separately organized entity (“owned entity”).  To claim the exemption, a person would need to meet certain criteria and file a notice with the Commission in accordance with regulation 151.7(h).  The notice filing would need to demonstrate compliance with certain conditions set forth in regulations 151.7(b</w:t>
      </w:r>
      <w:proofErr w:type="gramStart"/>
      <w:r>
        <w:t>)(</w:t>
      </w:r>
      <w:proofErr w:type="gramEnd"/>
      <w:r>
        <w:t>1)(i)-(vii).  Similar to other exemptions from aggregation, the notice filing would be effective upon submission to the Commission, but the Commission may call for addition information as well as reject, modify or otherwise condition such relief.  Further, such person is obligated to amend the notice filing in the event of a material change to the filing.</w:t>
      </w:r>
    </w:p>
    <w:p w:rsidR="00367E83" w:rsidRDefault="00367E83" w:rsidP="00367E83">
      <w:pPr>
        <w:pStyle w:val="ListParagraph"/>
      </w:pPr>
    </w:p>
    <w:p w:rsidR="00367E83" w:rsidRDefault="00367E83" w:rsidP="00367E83">
      <w:pPr>
        <w:numPr>
          <w:ilvl w:val="0"/>
          <w:numId w:val="4"/>
        </w:numPr>
      </w:pPr>
      <w:r>
        <w:t>The proposed rules also amend regulation 151.7(i), which provides an exemption from aggregation where the sharing of information between persons would cause either person to violate federal law.  The proposed amendments clarify that the exemption would apply to a situation where the sharing of information creates a reasonable risk of a violation of federal law or regulations adopted thereunder, and not solely a per se violation.  For the same reasons the Commission adopted the exemption for information sharing restrictions for federal law, the Commission expanded the exemption in regulation 151.7(i) to generally extend to the state law and the law of a foreign jurisdiction.  The proposed rules also retain the requirement that market participants file a notice demonstrating compliance with the condition and an opinion of counsel that the sharing of information could create a reasonable risk of a violation of state or federal law or the law of a foreign jurisdiction.</w:t>
      </w:r>
    </w:p>
    <w:p w:rsidR="00367E83" w:rsidRDefault="00367E83" w:rsidP="00367E83">
      <w:pPr>
        <w:pStyle w:val="ListParagraph"/>
      </w:pPr>
    </w:p>
    <w:p w:rsidR="00367E83" w:rsidRDefault="00367E83" w:rsidP="00367E83">
      <w:pPr>
        <w:numPr>
          <w:ilvl w:val="0"/>
          <w:numId w:val="4"/>
        </w:numPr>
      </w:pPr>
      <w:r>
        <w:rPr>
          <w:color w:val="000000"/>
        </w:rPr>
        <w:t>The Commission is also proposing to amend the definition eligible entity and independent account controller in part 151.1 to specifically provide for regulation 4.13 commodity pools established as limited liability companies.</w:t>
      </w:r>
    </w:p>
    <w:p w:rsidR="00367E83" w:rsidRDefault="00367E83" w:rsidP="00367E83">
      <w:pPr>
        <w:pStyle w:val="ListParagraph"/>
      </w:pPr>
    </w:p>
    <w:p w:rsidR="00367E83" w:rsidRDefault="00367E83" w:rsidP="00367E83">
      <w:pPr>
        <w:numPr>
          <w:ilvl w:val="0"/>
          <w:numId w:val="4"/>
        </w:numPr>
      </w:pPr>
      <w:r>
        <w:t>The proposed rules include relief from notice filings for “higher-tier” entities, which, under proposed regulation 151.7(j), may rely on the filings submitted by owned entities</w:t>
      </w:r>
    </w:p>
    <w:p w:rsidR="00367E83" w:rsidRDefault="00367E83" w:rsidP="00367E83">
      <w:pPr>
        <w:pStyle w:val="ListParagraph"/>
      </w:pPr>
    </w:p>
    <w:p w:rsidR="00367E83" w:rsidRDefault="00367E83" w:rsidP="00367E83">
      <w:pPr>
        <w:pStyle w:val="ListParagraph"/>
      </w:pPr>
    </w:p>
    <w:p w:rsidR="00367E83" w:rsidRPr="00422CCF" w:rsidRDefault="00367E83" w:rsidP="00367E83">
      <w:pPr>
        <w:pStyle w:val="ListParagraph"/>
      </w:pPr>
    </w:p>
    <w:p w:rsidR="00367E83" w:rsidRPr="00774C9B" w:rsidRDefault="00367E83" w:rsidP="00367E83">
      <w:pPr>
        <w:tabs>
          <w:tab w:val="left" w:pos="-720"/>
        </w:tabs>
        <w:suppressAutoHyphens/>
      </w:pPr>
    </w:p>
    <w:p w:rsidR="00367E83" w:rsidRPr="00774C9B" w:rsidRDefault="00367E83" w:rsidP="00367E83">
      <w:pPr>
        <w:pStyle w:val="ListParagraph"/>
        <w:numPr>
          <w:ilvl w:val="0"/>
          <w:numId w:val="1"/>
        </w:numPr>
        <w:tabs>
          <w:tab w:val="left" w:pos="-720"/>
          <w:tab w:val="left" w:pos="0"/>
        </w:tabs>
        <w:suppressAutoHyphens/>
        <w:rPr>
          <w:u w:val="single"/>
        </w:rPr>
      </w:pPr>
      <w:r w:rsidRPr="00774C9B">
        <w:rPr>
          <w:u w:val="single"/>
        </w:rPr>
        <w:t>Describe whether, and to what extent, the collection of information involves the use of automated, electronic, mechanical, or other technological collection techniques or other forms of information technology, e.g.</w:t>
      </w:r>
      <w:r>
        <w:rPr>
          <w:u w:val="single"/>
        </w:rPr>
        <w:t>,</w:t>
      </w:r>
      <w:r w:rsidRPr="00774C9B">
        <w:rPr>
          <w:u w:val="single"/>
        </w:rPr>
        <w:t xml:space="preserve"> permitting electronic submission of responses, and the basis for the decision for adopting this means of collection.  Also describe any consideration of using information technology to reduce burden.</w:t>
      </w:r>
    </w:p>
    <w:p w:rsidR="00367E83" w:rsidRPr="00774C9B" w:rsidRDefault="00367E83" w:rsidP="00367E83">
      <w:pPr>
        <w:tabs>
          <w:tab w:val="left" w:pos="-720"/>
          <w:tab w:val="left" w:pos="0"/>
        </w:tabs>
        <w:suppressAutoHyphens/>
      </w:pPr>
    </w:p>
    <w:p w:rsidR="00367E83" w:rsidRPr="00774C9B" w:rsidRDefault="00367E83" w:rsidP="00367E83">
      <w:pPr>
        <w:tabs>
          <w:tab w:val="left" w:pos="-720"/>
          <w:tab w:val="left" w:pos="0"/>
        </w:tabs>
        <w:suppressAutoHyphens/>
      </w:pPr>
      <w:r w:rsidRPr="00774C9B">
        <w:tab/>
        <w:t xml:space="preserve">The Commission is committed to utilizing technology in order to reduce reporting burdens for respondents.  Accordingly, the Commission has provided for the electronic transmission of the required submissions.  </w:t>
      </w:r>
      <w:r>
        <w:t xml:space="preserve">The Commission anticipates that nearly 100% of the collection of information would be submitted electronically.  </w:t>
      </w:r>
    </w:p>
    <w:p w:rsidR="00367E83" w:rsidRPr="00774C9B" w:rsidRDefault="00367E83" w:rsidP="00367E83">
      <w:pPr>
        <w:tabs>
          <w:tab w:val="left" w:pos="-720"/>
        </w:tabs>
        <w:suppressAutoHyphens/>
      </w:pPr>
    </w:p>
    <w:p w:rsidR="00367E83" w:rsidRPr="00774C9B" w:rsidRDefault="00367E83" w:rsidP="00367E83">
      <w:pPr>
        <w:pStyle w:val="ListParagraph"/>
        <w:numPr>
          <w:ilvl w:val="0"/>
          <w:numId w:val="1"/>
        </w:numPr>
        <w:tabs>
          <w:tab w:val="left" w:pos="-720"/>
          <w:tab w:val="left" w:pos="0"/>
        </w:tabs>
        <w:suppressAutoHyphens/>
      </w:pPr>
      <w:r w:rsidRPr="00774C9B">
        <w:rPr>
          <w:u w:val="single"/>
        </w:rPr>
        <w:t>Describe efforts to identify duplication.  Show specifically why any similar information already available cannot be used or modified for use for the purposes described in Item 2 above</w:t>
      </w:r>
      <w:r w:rsidRPr="00774C9B">
        <w:t>.</w:t>
      </w:r>
    </w:p>
    <w:p w:rsidR="00367E83" w:rsidRPr="00774C9B" w:rsidRDefault="00367E83" w:rsidP="00367E83">
      <w:pPr>
        <w:tabs>
          <w:tab w:val="left" w:pos="-720"/>
          <w:tab w:val="left" w:pos="0"/>
        </w:tabs>
        <w:suppressAutoHyphens/>
      </w:pPr>
    </w:p>
    <w:p w:rsidR="00367E83" w:rsidRPr="00774C9B" w:rsidRDefault="00367E83" w:rsidP="00367E83">
      <w:pPr>
        <w:tabs>
          <w:tab w:val="left" w:pos="-720"/>
          <w:tab w:val="left" w:pos="0"/>
        </w:tabs>
        <w:suppressAutoHyphens/>
      </w:pPr>
      <w:r>
        <w:tab/>
      </w:r>
      <w:r w:rsidRPr="00774C9B">
        <w:t xml:space="preserve">This question does not apply.  </w:t>
      </w:r>
    </w:p>
    <w:p w:rsidR="00367E83" w:rsidRPr="00774C9B" w:rsidRDefault="00367E83" w:rsidP="00367E83">
      <w:pPr>
        <w:tabs>
          <w:tab w:val="left" w:pos="-720"/>
        </w:tabs>
        <w:suppressAutoHyphens/>
      </w:pPr>
    </w:p>
    <w:p w:rsidR="00367E83" w:rsidRPr="00774C9B" w:rsidRDefault="00367E83" w:rsidP="00367E83">
      <w:pPr>
        <w:pStyle w:val="ListParagraph"/>
        <w:numPr>
          <w:ilvl w:val="0"/>
          <w:numId w:val="1"/>
        </w:numPr>
        <w:tabs>
          <w:tab w:val="left" w:pos="-720"/>
          <w:tab w:val="left" w:pos="0"/>
        </w:tabs>
        <w:suppressAutoHyphens/>
      </w:pPr>
      <w:r w:rsidRPr="00774C9B">
        <w:rPr>
          <w:u w:val="single"/>
        </w:rPr>
        <w:t xml:space="preserve">If the collection of information involves small business or other small entities (Item 5 of </w:t>
      </w:r>
      <w:proofErr w:type="gramStart"/>
      <w:r w:rsidRPr="00774C9B">
        <w:rPr>
          <w:u w:val="single"/>
        </w:rPr>
        <w:t>OMB  83</w:t>
      </w:r>
      <w:proofErr w:type="gramEnd"/>
      <w:r w:rsidRPr="00774C9B">
        <w:rPr>
          <w:u w:val="single"/>
        </w:rPr>
        <w:t>-I), describe the methods used to minimize burden</w:t>
      </w:r>
      <w:r w:rsidRPr="00774C9B">
        <w:t>.</w:t>
      </w:r>
    </w:p>
    <w:p w:rsidR="00367E83" w:rsidRPr="00774C9B" w:rsidRDefault="00367E83" w:rsidP="00367E83">
      <w:pPr>
        <w:tabs>
          <w:tab w:val="left" w:pos="-720"/>
          <w:tab w:val="left" w:pos="0"/>
        </w:tabs>
        <w:suppressAutoHyphens/>
      </w:pPr>
    </w:p>
    <w:p w:rsidR="00367E83" w:rsidRPr="00774C9B" w:rsidRDefault="00367E83" w:rsidP="00367E83">
      <w:pPr>
        <w:ind w:firstLine="720"/>
      </w:pPr>
      <w:r w:rsidRPr="00774C9B">
        <w:t xml:space="preserve">Proposed CFTC regulation part </w:t>
      </w:r>
      <w:r>
        <w:t>151</w:t>
      </w:r>
      <w:r w:rsidRPr="00774C9B">
        <w:t xml:space="preserve"> would not involve small businesses or other small entities.  The Commission has previously determined that </w:t>
      </w:r>
      <w:r>
        <w:rPr>
          <w:szCs w:val="24"/>
        </w:rPr>
        <w:t>exchanges, futures commission merchants and large traders are not “small entities” for the purposes of the RFA.</w:t>
      </w:r>
      <w:r>
        <w:rPr>
          <w:rStyle w:val="FootnoteReference"/>
          <w:szCs w:val="24"/>
        </w:rPr>
        <w:footnoteReference w:id="3"/>
      </w:r>
      <w:r>
        <w:rPr>
          <w:szCs w:val="24"/>
        </w:rPr>
        <w:t xml:space="preserve">  </w:t>
      </w:r>
      <w:r w:rsidRPr="00C14DF4">
        <w:rPr>
          <w:szCs w:val="24"/>
        </w:rPr>
        <w:t>Similarly, swap dealers, clearing members, foreign brokers and traders would be subject to the proposed regulations only if carry</w:t>
      </w:r>
      <w:r>
        <w:rPr>
          <w:szCs w:val="24"/>
        </w:rPr>
        <w:t xml:space="preserve">ing or holding large positions.  </w:t>
      </w:r>
      <w:r w:rsidRPr="00774C9B">
        <w:t xml:space="preserve">  </w:t>
      </w:r>
    </w:p>
    <w:p w:rsidR="00367E83" w:rsidRPr="00774C9B" w:rsidRDefault="00367E83" w:rsidP="00367E83">
      <w:pPr>
        <w:pStyle w:val="ListParagraph"/>
        <w:tabs>
          <w:tab w:val="left" w:pos="-720"/>
          <w:tab w:val="left" w:pos="0"/>
        </w:tabs>
        <w:suppressAutoHyphens/>
      </w:pPr>
    </w:p>
    <w:p w:rsidR="00367E83" w:rsidRPr="00774C9B" w:rsidRDefault="00367E83" w:rsidP="00367E83">
      <w:pPr>
        <w:pStyle w:val="ListParagraph"/>
        <w:numPr>
          <w:ilvl w:val="0"/>
          <w:numId w:val="1"/>
        </w:numPr>
        <w:tabs>
          <w:tab w:val="left" w:pos="-720"/>
          <w:tab w:val="left" w:pos="0"/>
        </w:tabs>
        <w:suppressAutoHyphens/>
      </w:pPr>
      <w:r w:rsidRPr="00774C9B">
        <w:rPr>
          <w:u w:val="single"/>
        </w:rPr>
        <w:t xml:space="preserve">Describe the consequence to the Federal Program or policy </w:t>
      </w:r>
      <w:r w:rsidRPr="00774C9B">
        <w:tab/>
      </w:r>
      <w:r w:rsidRPr="00774C9B">
        <w:rPr>
          <w:u w:val="single"/>
        </w:rPr>
        <w:t>activities if the collection were conducted less frequently as well as any technical or legal obstacles to reducing burden</w:t>
      </w:r>
      <w:r w:rsidRPr="00774C9B">
        <w:t>.</w:t>
      </w:r>
    </w:p>
    <w:p w:rsidR="00367E83" w:rsidRPr="00774C9B" w:rsidRDefault="00367E83" w:rsidP="00367E83">
      <w:pPr>
        <w:tabs>
          <w:tab w:val="left" w:pos="-720"/>
          <w:tab w:val="left" w:pos="0"/>
        </w:tabs>
        <w:suppressAutoHyphens/>
      </w:pPr>
    </w:p>
    <w:p w:rsidR="00367E83" w:rsidRPr="00774C9B" w:rsidRDefault="00367E83" w:rsidP="00367E83">
      <w:pPr>
        <w:tabs>
          <w:tab w:val="left" w:pos="-720"/>
          <w:tab w:val="left" w:pos="0"/>
        </w:tabs>
        <w:suppressAutoHyphens/>
      </w:pPr>
      <w:r w:rsidRPr="00774C9B">
        <w:tab/>
        <w:t xml:space="preserve">The Commission would not be able to </w:t>
      </w:r>
      <w:r>
        <w:t xml:space="preserve">effectively monitor whether market participants are properly relying upon exemptions from aggregation, and would not be able to determine if modifications to the existing aggregation rules are needed.  </w:t>
      </w:r>
    </w:p>
    <w:p w:rsidR="00367E83" w:rsidRPr="00774C9B" w:rsidRDefault="00367E83" w:rsidP="00367E83">
      <w:pPr>
        <w:pStyle w:val="ListParagraph"/>
        <w:tabs>
          <w:tab w:val="left" w:pos="-720"/>
          <w:tab w:val="left" w:pos="0"/>
        </w:tabs>
        <w:suppressAutoHyphens/>
        <w:ind w:left="0"/>
      </w:pPr>
    </w:p>
    <w:p w:rsidR="00367E83" w:rsidRPr="00774C9B" w:rsidRDefault="00367E83" w:rsidP="00367E83">
      <w:pPr>
        <w:pStyle w:val="ListParagraph"/>
        <w:numPr>
          <w:ilvl w:val="0"/>
          <w:numId w:val="1"/>
        </w:numPr>
        <w:tabs>
          <w:tab w:val="left" w:pos="-720"/>
          <w:tab w:val="left" w:pos="0"/>
        </w:tabs>
        <w:suppressAutoHyphens/>
      </w:pPr>
      <w:r w:rsidRPr="00774C9B">
        <w:rPr>
          <w:u w:val="single"/>
        </w:rPr>
        <w:t>Explain any special circumstances that require the collection to be conducted in a manner</w:t>
      </w:r>
      <w:r w:rsidRPr="00774C9B">
        <w:t>:</w:t>
      </w:r>
    </w:p>
    <w:p w:rsidR="00367E83" w:rsidRPr="00774C9B" w:rsidRDefault="00367E83" w:rsidP="00367E83">
      <w:pPr>
        <w:tabs>
          <w:tab w:val="left" w:pos="-720"/>
        </w:tabs>
        <w:suppressAutoHyphens/>
      </w:pPr>
    </w:p>
    <w:p w:rsidR="00367E83" w:rsidRPr="00774C9B" w:rsidRDefault="00367E83" w:rsidP="00367E83">
      <w:pPr>
        <w:tabs>
          <w:tab w:val="left" w:pos="-720"/>
          <w:tab w:val="left" w:pos="0"/>
          <w:tab w:val="left" w:pos="720"/>
        </w:tabs>
        <w:suppressAutoHyphens/>
        <w:ind w:left="1440" w:hanging="1440"/>
        <w:rPr>
          <w:u w:val="single"/>
        </w:rPr>
      </w:pPr>
      <w:r w:rsidRPr="00774C9B">
        <w:tab/>
        <w:t>-</w:t>
      </w:r>
      <w:r w:rsidRPr="00774C9B">
        <w:tab/>
      </w:r>
      <w:proofErr w:type="gramStart"/>
      <w:r w:rsidRPr="00774C9B">
        <w:rPr>
          <w:u w:val="single"/>
        </w:rPr>
        <w:t>requiring</w:t>
      </w:r>
      <w:proofErr w:type="gramEnd"/>
      <w:r w:rsidRPr="00774C9B">
        <w:rPr>
          <w:u w:val="single"/>
        </w:rPr>
        <w:t xml:space="preserve"> respondents to report information to the agency more often than quarterly;</w:t>
      </w:r>
    </w:p>
    <w:p w:rsidR="00367E83" w:rsidRPr="00774C9B" w:rsidRDefault="00367E83" w:rsidP="00367E83">
      <w:pPr>
        <w:tabs>
          <w:tab w:val="left" w:pos="-720"/>
          <w:tab w:val="left" w:pos="0"/>
          <w:tab w:val="left" w:pos="720"/>
        </w:tabs>
        <w:suppressAutoHyphens/>
        <w:ind w:left="1440" w:hanging="1440"/>
      </w:pPr>
      <w:r w:rsidRPr="00774C9B">
        <w:tab/>
      </w:r>
      <w:r w:rsidRPr="00774C9B">
        <w:tab/>
      </w:r>
    </w:p>
    <w:p w:rsidR="00367E83" w:rsidRPr="00774C9B" w:rsidRDefault="00367E83" w:rsidP="00367E83">
      <w:pPr>
        <w:tabs>
          <w:tab w:val="left" w:pos="-720"/>
          <w:tab w:val="left" w:pos="0"/>
          <w:tab w:val="left" w:pos="720"/>
        </w:tabs>
        <w:suppressAutoHyphens/>
        <w:ind w:hanging="1440"/>
      </w:pPr>
      <w:r w:rsidRPr="00774C9B">
        <w:tab/>
      </w:r>
      <w:r w:rsidRPr="00774C9B">
        <w:tab/>
      </w:r>
      <w:r>
        <w:tab/>
        <w:t xml:space="preserve">Market participants are only required to make a notice file when they wish to rely upon the exemption.    </w:t>
      </w:r>
    </w:p>
    <w:p w:rsidR="00367E83" w:rsidRPr="00774C9B" w:rsidRDefault="00367E83" w:rsidP="00367E83">
      <w:pPr>
        <w:tabs>
          <w:tab w:val="left" w:pos="-720"/>
        </w:tabs>
        <w:suppressAutoHyphens/>
      </w:pPr>
    </w:p>
    <w:p w:rsidR="00367E83" w:rsidRPr="00774C9B" w:rsidRDefault="00367E83" w:rsidP="00367E83">
      <w:pPr>
        <w:tabs>
          <w:tab w:val="left" w:pos="-720"/>
          <w:tab w:val="left" w:pos="0"/>
          <w:tab w:val="left" w:pos="720"/>
        </w:tabs>
        <w:suppressAutoHyphens/>
        <w:ind w:left="1440" w:hanging="1440"/>
        <w:rPr>
          <w:u w:val="single"/>
        </w:rPr>
      </w:pPr>
      <w:r w:rsidRPr="00774C9B">
        <w:lastRenderedPageBreak/>
        <w:tab/>
        <w:t>-</w:t>
      </w:r>
      <w:r w:rsidRPr="00774C9B">
        <w:tab/>
      </w:r>
      <w:r w:rsidRPr="00774C9B">
        <w:rPr>
          <w:u w:val="single"/>
        </w:rPr>
        <w:t>requiring respondents to prepare a written response to a collection of information in fewer than 30 days after receipt of it:</w:t>
      </w:r>
    </w:p>
    <w:p w:rsidR="00367E83" w:rsidRPr="00774C9B" w:rsidRDefault="00367E83" w:rsidP="00367E83">
      <w:pPr>
        <w:tabs>
          <w:tab w:val="left" w:pos="-720"/>
          <w:tab w:val="left" w:pos="0"/>
          <w:tab w:val="left" w:pos="720"/>
        </w:tabs>
        <w:suppressAutoHyphens/>
        <w:ind w:left="1440" w:hanging="1440"/>
        <w:rPr>
          <w:u w:val="single"/>
        </w:rPr>
      </w:pPr>
    </w:p>
    <w:p w:rsidR="00367E83" w:rsidRPr="00774C9B" w:rsidRDefault="00367E83" w:rsidP="00367E83">
      <w:pPr>
        <w:tabs>
          <w:tab w:val="left" w:pos="-720"/>
          <w:tab w:val="left" w:pos="0"/>
          <w:tab w:val="left" w:pos="720"/>
        </w:tabs>
        <w:suppressAutoHyphens/>
      </w:pPr>
      <w:r w:rsidRPr="00774C9B">
        <w:tab/>
      </w:r>
      <w:r>
        <w:t xml:space="preserve">The proposed collections of information described herein only relate to market participants that wish to make a notice filing to rely upon an exemption.   </w:t>
      </w:r>
      <w:r w:rsidRPr="00774C9B">
        <w:t xml:space="preserve">  </w:t>
      </w:r>
    </w:p>
    <w:p w:rsidR="00367E83" w:rsidRPr="00774C9B" w:rsidRDefault="00367E83" w:rsidP="00367E83">
      <w:pPr>
        <w:tabs>
          <w:tab w:val="left" w:pos="-720"/>
        </w:tabs>
        <w:suppressAutoHyphens/>
      </w:pPr>
    </w:p>
    <w:p w:rsidR="00367E83" w:rsidRPr="00774C9B" w:rsidRDefault="00367E83" w:rsidP="00367E83">
      <w:pPr>
        <w:tabs>
          <w:tab w:val="left" w:pos="-720"/>
          <w:tab w:val="left" w:pos="0"/>
          <w:tab w:val="left" w:pos="720"/>
        </w:tabs>
        <w:suppressAutoHyphens/>
        <w:ind w:left="1440" w:hanging="1440"/>
      </w:pPr>
      <w:r w:rsidRPr="00774C9B">
        <w:tab/>
        <w:t>-</w:t>
      </w:r>
      <w:r w:rsidRPr="00774C9B">
        <w:tab/>
      </w:r>
      <w:r w:rsidRPr="00774C9B">
        <w:rPr>
          <w:u w:val="single"/>
        </w:rPr>
        <w:t>requiring respondents to submit more that an original and two copies of any document</w:t>
      </w:r>
      <w:r w:rsidRPr="00774C9B">
        <w:t>;</w:t>
      </w:r>
    </w:p>
    <w:p w:rsidR="00367E83" w:rsidRPr="00774C9B" w:rsidRDefault="00367E83" w:rsidP="00367E83">
      <w:pPr>
        <w:tabs>
          <w:tab w:val="left" w:pos="-720"/>
          <w:tab w:val="left" w:pos="0"/>
          <w:tab w:val="left" w:pos="720"/>
        </w:tabs>
        <w:suppressAutoHyphens/>
        <w:ind w:left="1440" w:hanging="1440"/>
      </w:pPr>
    </w:p>
    <w:p w:rsidR="00367E83" w:rsidRPr="00774C9B" w:rsidRDefault="00367E83" w:rsidP="00367E83">
      <w:pPr>
        <w:tabs>
          <w:tab w:val="left" w:pos="-720"/>
          <w:tab w:val="left" w:pos="0"/>
          <w:tab w:val="left" w:pos="720"/>
        </w:tabs>
        <w:suppressAutoHyphens/>
        <w:ind w:left="720" w:hanging="1440"/>
      </w:pPr>
      <w:r w:rsidRPr="00774C9B">
        <w:tab/>
        <w:t>Respondents are required to submit only a single copy to the Commission.</w:t>
      </w:r>
    </w:p>
    <w:p w:rsidR="00367E83" w:rsidRPr="00774C9B" w:rsidRDefault="00367E83" w:rsidP="00367E83">
      <w:pPr>
        <w:tabs>
          <w:tab w:val="left" w:pos="-720"/>
        </w:tabs>
        <w:suppressAutoHyphens/>
      </w:pPr>
    </w:p>
    <w:p w:rsidR="00367E83" w:rsidRPr="00774C9B" w:rsidRDefault="00367E83" w:rsidP="00367E83">
      <w:pPr>
        <w:tabs>
          <w:tab w:val="left" w:pos="-720"/>
          <w:tab w:val="left" w:pos="0"/>
          <w:tab w:val="left" w:pos="720"/>
        </w:tabs>
        <w:suppressAutoHyphens/>
        <w:ind w:left="1440" w:hanging="1440"/>
      </w:pPr>
      <w:r w:rsidRPr="00774C9B">
        <w:tab/>
        <w:t>-</w:t>
      </w:r>
      <w:r w:rsidRPr="00774C9B">
        <w:tab/>
      </w:r>
      <w:r w:rsidRPr="00774C9B">
        <w:rPr>
          <w:u w:val="single"/>
        </w:rPr>
        <w:t>requiring respondents to retain records other than health, medical, government contract, grant-in-aid, or tax records, for more than three years</w:t>
      </w:r>
      <w:r w:rsidRPr="00774C9B">
        <w:t>;</w:t>
      </w:r>
    </w:p>
    <w:p w:rsidR="00367E83" w:rsidRPr="00774C9B" w:rsidRDefault="00367E83" w:rsidP="00367E83">
      <w:pPr>
        <w:tabs>
          <w:tab w:val="left" w:pos="-720"/>
        </w:tabs>
        <w:suppressAutoHyphens/>
      </w:pPr>
    </w:p>
    <w:p w:rsidR="00367E83" w:rsidRDefault="00367E83" w:rsidP="00367E83">
      <w:pPr>
        <w:rPr>
          <w:szCs w:val="24"/>
        </w:rPr>
      </w:pPr>
      <w:r w:rsidRPr="00774C9B">
        <w:tab/>
        <w:t xml:space="preserve"> The record</w:t>
      </w:r>
      <w:r>
        <w:t>-</w:t>
      </w:r>
      <w:r w:rsidRPr="00774C9B">
        <w:t xml:space="preserve">keeping duties imposed by </w:t>
      </w:r>
      <w:r>
        <w:t xml:space="preserve">the </w:t>
      </w:r>
      <w:r w:rsidRPr="00774C9B">
        <w:t xml:space="preserve">proposed regulation are to be in accordance with regulation </w:t>
      </w:r>
      <w:r>
        <w:t>151.7(h</w:t>
      </w:r>
      <w:proofErr w:type="gramStart"/>
      <w:r>
        <w:t>)(</w:t>
      </w:r>
      <w:proofErr w:type="gramEnd"/>
      <w:r>
        <w:t xml:space="preserve">2).  This provision provides that “any person claiming an aggregation exemption under this section shall provide to the Commission such information concerning the person’s claim for exemption.  </w:t>
      </w:r>
    </w:p>
    <w:p w:rsidR="00367E83" w:rsidRPr="00774C9B" w:rsidRDefault="00367E83" w:rsidP="00367E83">
      <w:pPr>
        <w:ind w:firstLine="720"/>
      </w:pPr>
    </w:p>
    <w:p w:rsidR="00367E83" w:rsidRPr="00774C9B" w:rsidRDefault="00367E83" w:rsidP="00367E83">
      <w:pPr>
        <w:tabs>
          <w:tab w:val="left" w:pos="-720"/>
          <w:tab w:val="left" w:pos="0"/>
          <w:tab w:val="left" w:pos="720"/>
        </w:tabs>
        <w:suppressAutoHyphens/>
        <w:ind w:left="1440" w:hanging="1440"/>
      </w:pPr>
      <w:r w:rsidRPr="00774C9B">
        <w:tab/>
        <w:t>-</w:t>
      </w:r>
      <w:r w:rsidRPr="00774C9B">
        <w:tab/>
      </w:r>
      <w:r w:rsidRPr="00774C9B">
        <w:rPr>
          <w:u w:val="single"/>
        </w:rPr>
        <w:t>In connection with a statistical survey, that is not designed to produce valid and reliable results that can be generalized to the universe of study</w:t>
      </w:r>
      <w:r w:rsidRPr="00774C9B">
        <w:t>;</w:t>
      </w:r>
    </w:p>
    <w:p w:rsidR="00367E83" w:rsidRPr="00774C9B" w:rsidRDefault="00367E83" w:rsidP="00367E83">
      <w:pPr>
        <w:tabs>
          <w:tab w:val="left" w:pos="-720"/>
          <w:tab w:val="left" w:pos="0"/>
          <w:tab w:val="left" w:pos="720"/>
        </w:tabs>
        <w:suppressAutoHyphens/>
        <w:ind w:left="1440" w:hanging="1440"/>
      </w:pPr>
    </w:p>
    <w:p w:rsidR="00367E83" w:rsidRPr="00774C9B" w:rsidRDefault="00367E83" w:rsidP="00367E83">
      <w:pPr>
        <w:keepNext/>
        <w:ind w:left="-720" w:firstLine="720"/>
      </w:pPr>
      <w:r>
        <w:tab/>
      </w:r>
      <w:r w:rsidRPr="00774C9B">
        <w:t xml:space="preserve">The proposed rules do not involve statistical surveys. </w:t>
      </w:r>
    </w:p>
    <w:p w:rsidR="00367E83" w:rsidRPr="00774C9B" w:rsidRDefault="00367E83" w:rsidP="00367E83">
      <w:pPr>
        <w:tabs>
          <w:tab w:val="left" w:pos="-720"/>
        </w:tabs>
        <w:suppressAutoHyphens/>
      </w:pPr>
    </w:p>
    <w:p w:rsidR="00367E83" w:rsidRPr="00774C9B" w:rsidRDefault="00367E83" w:rsidP="00367E83">
      <w:pPr>
        <w:tabs>
          <w:tab w:val="left" w:pos="-720"/>
          <w:tab w:val="left" w:pos="0"/>
          <w:tab w:val="left" w:pos="720"/>
        </w:tabs>
        <w:suppressAutoHyphens/>
        <w:ind w:left="1440" w:hanging="1440"/>
      </w:pPr>
      <w:r w:rsidRPr="00774C9B">
        <w:tab/>
        <w:t>-</w:t>
      </w:r>
      <w:r w:rsidRPr="00774C9B">
        <w:tab/>
      </w:r>
      <w:r w:rsidRPr="00774C9B">
        <w:rPr>
          <w:u w:val="single"/>
        </w:rPr>
        <w:t>requiring the use of a statistical data classification that has not been reviewed and approved by OMB</w:t>
      </w:r>
      <w:r w:rsidRPr="00774C9B">
        <w:t>;</w:t>
      </w:r>
    </w:p>
    <w:p w:rsidR="00367E83" w:rsidRPr="00774C9B" w:rsidRDefault="00367E83" w:rsidP="00367E83">
      <w:pPr>
        <w:tabs>
          <w:tab w:val="left" w:pos="-720"/>
          <w:tab w:val="left" w:pos="0"/>
          <w:tab w:val="left" w:pos="720"/>
        </w:tabs>
        <w:suppressAutoHyphens/>
        <w:ind w:left="1440" w:hanging="1440"/>
      </w:pPr>
    </w:p>
    <w:p w:rsidR="00367E83" w:rsidRPr="00774C9B" w:rsidRDefault="00367E83" w:rsidP="00367E83">
      <w:pPr>
        <w:keepNext/>
        <w:ind w:left="-720" w:firstLine="720"/>
      </w:pPr>
      <w:r>
        <w:tab/>
      </w:r>
      <w:r w:rsidRPr="00774C9B">
        <w:t>The proposed rules do not involve statistical data classifications.</w:t>
      </w:r>
    </w:p>
    <w:p w:rsidR="00367E83" w:rsidRPr="00774C9B" w:rsidRDefault="00367E83" w:rsidP="00367E83">
      <w:pPr>
        <w:tabs>
          <w:tab w:val="left" w:pos="-720"/>
        </w:tabs>
        <w:suppressAutoHyphens/>
      </w:pPr>
    </w:p>
    <w:p w:rsidR="00367E83" w:rsidRPr="00774C9B" w:rsidRDefault="00367E83" w:rsidP="00367E83">
      <w:pPr>
        <w:tabs>
          <w:tab w:val="left" w:pos="-720"/>
          <w:tab w:val="left" w:pos="0"/>
          <w:tab w:val="left" w:pos="720"/>
        </w:tabs>
        <w:suppressAutoHyphens/>
        <w:ind w:left="1440" w:hanging="1440"/>
      </w:pPr>
      <w:r w:rsidRPr="00774C9B">
        <w:tab/>
        <w:t>-</w:t>
      </w:r>
      <w:r w:rsidRPr="00774C9B">
        <w:tab/>
      </w:r>
      <w:r w:rsidRPr="00774C9B">
        <w:rPr>
          <w:u w:val="single"/>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367E83" w:rsidRPr="00774C9B" w:rsidRDefault="00367E83" w:rsidP="00367E83">
      <w:pPr>
        <w:tabs>
          <w:tab w:val="left" w:pos="-720"/>
        </w:tabs>
        <w:suppressAutoHyphens/>
      </w:pPr>
    </w:p>
    <w:p w:rsidR="00367E83" w:rsidRPr="00774C9B" w:rsidRDefault="00367E83" w:rsidP="00367E83">
      <w:pPr>
        <w:tabs>
          <w:tab w:val="left" w:pos="-720"/>
        </w:tabs>
        <w:suppressAutoHyphens/>
      </w:pPr>
      <w:r w:rsidRPr="00774C9B">
        <w:tab/>
        <w:t>The proposed rules do not directly involve any specific pledge of confidentiality regarding the collection of data (see answer to question 10).</w:t>
      </w:r>
    </w:p>
    <w:p w:rsidR="00367E83" w:rsidRPr="00774C9B" w:rsidRDefault="00367E83" w:rsidP="00367E83">
      <w:pPr>
        <w:tabs>
          <w:tab w:val="left" w:pos="-720"/>
        </w:tabs>
        <w:suppressAutoHyphens/>
      </w:pPr>
    </w:p>
    <w:p w:rsidR="00367E83" w:rsidRPr="00774C9B" w:rsidRDefault="00367E83" w:rsidP="00367E83">
      <w:pPr>
        <w:tabs>
          <w:tab w:val="left" w:pos="-720"/>
          <w:tab w:val="left" w:pos="0"/>
          <w:tab w:val="left" w:pos="720"/>
        </w:tabs>
        <w:suppressAutoHyphens/>
        <w:ind w:left="1440" w:hanging="1440"/>
      </w:pPr>
      <w:r w:rsidRPr="00774C9B">
        <w:tab/>
        <w:t>-</w:t>
      </w:r>
      <w:r w:rsidRPr="00774C9B">
        <w:tab/>
      </w:r>
      <w:r w:rsidRPr="00774C9B">
        <w:rPr>
          <w:u w:val="single"/>
        </w:rPr>
        <w:t>requiring respondents to submit proprietary trade secrets, or other confidential information unless the agency can demonstrate that it has instituted procedures to protect the information's confidentiality to the extent permitted by law</w:t>
      </w:r>
      <w:r w:rsidRPr="00774C9B">
        <w:t>.</w:t>
      </w:r>
    </w:p>
    <w:p w:rsidR="00367E83" w:rsidRPr="00774C9B" w:rsidRDefault="00367E83" w:rsidP="00367E83">
      <w:pPr>
        <w:tabs>
          <w:tab w:val="left" w:pos="-720"/>
        </w:tabs>
        <w:suppressAutoHyphens/>
      </w:pPr>
    </w:p>
    <w:p w:rsidR="00367E83" w:rsidRPr="00774C9B" w:rsidRDefault="00367E83" w:rsidP="00367E83">
      <w:pPr>
        <w:keepNext/>
        <w:ind w:firstLine="720"/>
        <w:jc w:val="both"/>
      </w:pPr>
      <w:r w:rsidRPr="00774C9B">
        <w:t xml:space="preserve">The </w:t>
      </w:r>
      <w:r>
        <w:t>proposed rules</w:t>
      </w:r>
      <w:r w:rsidRPr="00774C9B">
        <w:t xml:space="preserve"> do require the submission of data involving confidential information or proprietary trade secrets.  The Commission would protect sensitive information according to the Freedom of Information Act and 17 CFR </w:t>
      </w:r>
      <w:proofErr w:type="gramStart"/>
      <w:r w:rsidRPr="00774C9B">
        <w:t>part</w:t>
      </w:r>
      <w:proofErr w:type="gramEnd"/>
      <w:r w:rsidRPr="00774C9B">
        <w:t xml:space="preserve"> 145, "Commission Records and Information."  In addition, the Commission fully complies with section 8(a) of the Commodity Exchange Act, which strictly prohibits the Commission, unless specifically authorized by the Commodity </w:t>
      </w:r>
      <w:r w:rsidRPr="00774C9B">
        <w:lastRenderedPageBreak/>
        <w:t>Exchange Act, from making public “data and information that would separately disclose the business transactions or market positions of any person and trade secrets or names of customers.”</w:t>
      </w:r>
    </w:p>
    <w:p w:rsidR="00367E83" w:rsidRPr="00774C9B" w:rsidRDefault="00367E83" w:rsidP="00367E83">
      <w:pPr>
        <w:tabs>
          <w:tab w:val="left" w:pos="-720"/>
        </w:tabs>
        <w:suppressAutoHyphens/>
      </w:pPr>
    </w:p>
    <w:p w:rsidR="00367E83" w:rsidRPr="00774C9B" w:rsidRDefault="00367E83" w:rsidP="00367E83">
      <w:pPr>
        <w:pStyle w:val="ListParagraph"/>
        <w:numPr>
          <w:ilvl w:val="0"/>
          <w:numId w:val="1"/>
        </w:numPr>
        <w:tabs>
          <w:tab w:val="left" w:pos="-720"/>
          <w:tab w:val="left" w:pos="0"/>
        </w:tabs>
        <w:suppressAutoHyphens/>
        <w:rPr>
          <w:u w:val="single"/>
        </w:rPr>
      </w:pPr>
      <w:r w:rsidRPr="00774C9B">
        <w:rPr>
          <w:u w:val="single"/>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67E83" w:rsidRPr="00774C9B" w:rsidRDefault="00367E83" w:rsidP="00367E83">
      <w:pPr>
        <w:tabs>
          <w:tab w:val="left" w:pos="-720"/>
          <w:tab w:val="left" w:pos="0"/>
        </w:tabs>
        <w:suppressAutoHyphens/>
      </w:pPr>
    </w:p>
    <w:p w:rsidR="00367E83" w:rsidRPr="00774C9B" w:rsidRDefault="00367E83" w:rsidP="00367E83">
      <w:pPr>
        <w:tabs>
          <w:tab w:val="left" w:pos="-720"/>
          <w:tab w:val="left" w:pos="0"/>
        </w:tabs>
        <w:suppressAutoHyphens/>
        <w:rPr>
          <w:u w:val="single"/>
        </w:rPr>
      </w:pPr>
      <w:r w:rsidRPr="00774C9B">
        <w:tab/>
        <w:t xml:space="preserve">A copy of the notice of proposed rulemaking is attached for OMB’s review.  It has been submitted for publication </w:t>
      </w:r>
      <w:r>
        <w:t>to</w:t>
      </w:r>
      <w:r w:rsidRPr="00774C9B">
        <w:t xml:space="preserve"> the Federal Register.</w:t>
      </w:r>
    </w:p>
    <w:p w:rsidR="00367E83" w:rsidRPr="00774C9B" w:rsidRDefault="00367E83" w:rsidP="00367E83">
      <w:pPr>
        <w:pStyle w:val="ListParagraph"/>
        <w:tabs>
          <w:tab w:val="left" w:pos="-720"/>
          <w:tab w:val="left" w:pos="0"/>
        </w:tabs>
        <w:suppressAutoHyphens/>
      </w:pPr>
    </w:p>
    <w:p w:rsidR="00367E83" w:rsidRPr="00774C9B" w:rsidRDefault="00367E83" w:rsidP="00367E83">
      <w:pPr>
        <w:tabs>
          <w:tab w:val="left" w:pos="-720"/>
          <w:tab w:val="left" w:pos="0"/>
        </w:tabs>
        <w:suppressAutoHyphens/>
        <w:ind w:left="360"/>
        <w:rPr>
          <w:u w:val="single"/>
        </w:rPr>
      </w:pPr>
      <w:r w:rsidRPr="00774C9B">
        <w:tab/>
      </w:r>
      <w:r w:rsidRPr="00774C9B">
        <w:rPr>
          <w:u w:val="single"/>
        </w:rPr>
        <w:t xml:space="preserve">Describe efforts to consult with persons outside the agency to obtain their views on the </w:t>
      </w:r>
      <w:r w:rsidRPr="00774C9B">
        <w:tab/>
      </w:r>
      <w:r w:rsidRPr="00774C9B">
        <w:rPr>
          <w:u w:val="single"/>
        </w:rPr>
        <w:t xml:space="preserve">availability of data, frequency of collection, the clarity of instructions and recordkeeping </w:t>
      </w:r>
      <w:r w:rsidRPr="00774C9B">
        <w:tab/>
      </w:r>
      <w:r w:rsidRPr="00774C9B">
        <w:rPr>
          <w:u w:val="single"/>
        </w:rPr>
        <w:t xml:space="preserve">disclosure, or reporting format (if any, and on the data elements to be recorded, disclosed, </w:t>
      </w:r>
      <w:r w:rsidRPr="00774C9B">
        <w:tab/>
      </w:r>
      <w:r w:rsidRPr="00774C9B">
        <w:rPr>
          <w:u w:val="single"/>
        </w:rPr>
        <w:t>or reported.</w:t>
      </w:r>
    </w:p>
    <w:p w:rsidR="00367E83" w:rsidRPr="00774C9B" w:rsidRDefault="00367E83" w:rsidP="00367E83">
      <w:pPr>
        <w:tabs>
          <w:tab w:val="left" w:pos="-720"/>
          <w:tab w:val="left" w:pos="0"/>
        </w:tabs>
        <w:suppressAutoHyphens/>
        <w:ind w:left="360"/>
        <w:rPr>
          <w:u w:val="single"/>
        </w:rPr>
      </w:pPr>
    </w:p>
    <w:p w:rsidR="00367E83" w:rsidRPr="00774C9B" w:rsidRDefault="00367E83" w:rsidP="00367E83">
      <w:pPr>
        <w:tabs>
          <w:tab w:val="left" w:pos="-720"/>
        </w:tabs>
        <w:suppressAutoHyphens/>
      </w:pPr>
      <w:r w:rsidRPr="00774C9B">
        <w:tab/>
        <w:t xml:space="preserve">Opportunity for public comment is provided when regulations are proposed or amended.    Contact with the reporting entities and </w:t>
      </w:r>
      <w:proofErr w:type="gramStart"/>
      <w:r w:rsidRPr="00774C9B">
        <w:t>market participants is</w:t>
      </w:r>
      <w:proofErr w:type="gramEnd"/>
      <w:r w:rsidRPr="00774C9B">
        <w:t xml:space="preserve"> maintained on a continuous and ongoing basis to resolve reporting problems and address concerns.  The Commission has solicited comments through publication of proposed rules in the Federal Register.  Commission staff has </w:t>
      </w:r>
      <w:r>
        <w:t xml:space="preserve">also </w:t>
      </w:r>
      <w:r w:rsidRPr="00774C9B">
        <w:t xml:space="preserve">met with various entities that could be covered in the </w:t>
      </w:r>
      <w:r>
        <w:t>proposed rules</w:t>
      </w:r>
      <w:r w:rsidRPr="00774C9B">
        <w:t xml:space="preserve"> to discuss the scope of the rulemaking.  The Commission would also, on an ongoing basis, solicit public comments through the notice required by 5 CFR 1320.8(d).</w:t>
      </w:r>
      <w:r>
        <w:t xml:space="preserve">  Finally, the Working Groups of Commercial Energy firms submitted a petition for relief from the aggregation requirements in 151.7, and the proposed rulemaking is made in response to those filings.  </w:t>
      </w:r>
    </w:p>
    <w:p w:rsidR="00367E83" w:rsidRPr="00774C9B" w:rsidRDefault="00367E83" w:rsidP="00367E83">
      <w:pPr>
        <w:tabs>
          <w:tab w:val="left" w:pos="-720"/>
        </w:tabs>
        <w:suppressAutoHyphens/>
        <w:rPr>
          <w:u w:val="single"/>
        </w:rPr>
      </w:pPr>
    </w:p>
    <w:p w:rsidR="00367E83" w:rsidRPr="00774C9B" w:rsidRDefault="00367E83" w:rsidP="00367E83">
      <w:pPr>
        <w:tabs>
          <w:tab w:val="left" w:pos="-720"/>
          <w:tab w:val="left" w:pos="0"/>
        </w:tabs>
        <w:suppressAutoHyphens/>
        <w:ind w:left="720" w:hanging="720"/>
      </w:pPr>
      <w:r w:rsidRPr="00774C9B">
        <w:tab/>
      </w:r>
      <w:r w:rsidRPr="00774C9B">
        <w:rPr>
          <w:u w:val="single"/>
        </w:rPr>
        <w:t>Consultation with representatives of those from whom information is to be obtained or those who must compile records should occur at least once every three years—even if the collection of information activity is the same as in prior periods.  There may be circumstances that may preclude consultation in a specific situation.  These circumstances should be explained</w:t>
      </w:r>
      <w:r w:rsidRPr="00774C9B">
        <w:t>.</w:t>
      </w:r>
    </w:p>
    <w:p w:rsidR="00367E83" w:rsidRPr="00774C9B" w:rsidRDefault="00367E83" w:rsidP="00367E83">
      <w:pPr>
        <w:tabs>
          <w:tab w:val="left" w:pos="-720"/>
        </w:tabs>
        <w:suppressAutoHyphens/>
      </w:pPr>
    </w:p>
    <w:p w:rsidR="00367E83" w:rsidRPr="00774C9B" w:rsidRDefault="00367E83" w:rsidP="00367E83">
      <w:r>
        <w:tab/>
      </w:r>
      <w:r w:rsidRPr="00774C9B">
        <w:t>No such circumstances are anticipated.</w:t>
      </w:r>
    </w:p>
    <w:p w:rsidR="00367E83" w:rsidRPr="00774C9B" w:rsidRDefault="00367E83" w:rsidP="00367E83">
      <w:pPr>
        <w:tabs>
          <w:tab w:val="left" w:pos="-720"/>
        </w:tabs>
        <w:suppressAutoHyphens/>
      </w:pPr>
    </w:p>
    <w:p w:rsidR="00367E83" w:rsidRPr="00774C9B" w:rsidRDefault="00367E83" w:rsidP="00367E83">
      <w:pPr>
        <w:pStyle w:val="ListParagraph"/>
        <w:numPr>
          <w:ilvl w:val="0"/>
          <w:numId w:val="1"/>
        </w:numPr>
        <w:tabs>
          <w:tab w:val="left" w:pos="-720"/>
          <w:tab w:val="left" w:pos="0"/>
        </w:tabs>
        <w:suppressAutoHyphens/>
      </w:pPr>
      <w:r w:rsidRPr="00774C9B">
        <w:rPr>
          <w:u w:val="single"/>
        </w:rPr>
        <w:t>Explain any decision to provide any payment or gift to respondents, other than remuneration of contractors or grantees</w:t>
      </w:r>
      <w:r w:rsidRPr="00774C9B">
        <w:t>.</w:t>
      </w:r>
    </w:p>
    <w:p w:rsidR="00367E83" w:rsidRDefault="00367E83" w:rsidP="00367E83">
      <w:pPr>
        <w:ind w:firstLine="720"/>
      </w:pPr>
    </w:p>
    <w:p w:rsidR="00367E83" w:rsidRPr="00774C9B" w:rsidRDefault="00367E83" w:rsidP="00367E83">
      <w:pPr>
        <w:ind w:left="-720" w:firstLine="720"/>
      </w:pPr>
      <w:r>
        <w:tab/>
      </w:r>
      <w:r w:rsidRPr="00774C9B">
        <w:t>This question does not apply.</w:t>
      </w:r>
    </w:p>
    <w:p w:rsidR="00367E83" w:rsidRPr="00774C9B" w:rsidRDefault="00367E83" w:rsidP="00367E83">
      <w:pPr>
        <w:tabs>
          <w:tab w:val="left" w:pos="-720"/>
        </w:tabs>
        <w:suppressAutoHyphens/>
      </w:pPr>
      <w:r w:rsidRPr="00774C9B">
        <w:t xml:space="preserve">  </w:t>
      </w:r>
    </w:p>
    <w:p w:rsidR="00367E83" w:rsidRPr="00774C9B" w:rsidRDefault="00367E83" w:rsidP="00367E83">
      <w:pPr>
        <w:pStyle w:val="ListParagraph"/>
        <w:numPr>
          <w:ilvl w:val="0"/>
          <w:numId w:val="1"/>
        </w:numPr>
        <w:tabs>
          <w:tab w:val="left" w:pos="-720"/>
          <w:tab w:val="left" w:pos="0"/>
        </w:tabs>
        <w:suppressAutoHyphens/>
      </w:pPr>
      <w:r w:rsidRPr="00774C9B">
        <w:rPr>
          <w:u w:val="single"/>
        </w:rPr>
        <w:t>Describe any assurance of confidentiality provided to respondents and the basis for the assurance in statute, regulations, or agency policy</w:t>
      </w:r>
      <w:r w:rsidRPr="00774C9B">
        <w:t>.</w:t>
      </w:r>
    </w:p>
    <w:p w:rsidR="00367E83" w:rsidRPr="00774C9B" w:rsidRDefault="00367E83" w:rsidP="00367E83">
      <w:pPr>
        <w:tabs>
          <w:tab w:val="left" w:pos="-720"/>
          <w:tab w:val="left" w:pos="0"/>
        </w:tabs>
        <w:suppressAutoHyphens/>
      </w:pPr>
    </w:p>
    <w:p w:rsidR="00367E83" w:rsidRPr="00774C9B" w:rsidRDefault="00367E83" w:rsidP="00367E83">
      <w:pPr>
        <w:tabs>
          <w:tab w:val="left" w:pos="-720"/>
          <w:tab w:val="left" w:pos="0"/>
        </w:tabs>
        <w:suppressAutoHyphens/>
      </w:pPr>
      <w:r w:rsidRPr="00774C9B">
        <w:tab/>
        <w:t xml:space="preserve">The Commission would protect sensitive information according to the Freedom of Information Act and 17 CFR </w:t>
      </w:r>
      <w:proofErr w:type="gramStart"/>
      <w:r w:rsidRPr="00774C9B">
        <w:t>part</w:t>
      </w:r>
      <w:proofErr w:type="gramEnd"/>
      <w:r w:rsidRPr="00774C9B">
        <w:t xml:space="preserve"> 145, "Commission Records and Information."  In addition, the </w:t>
      </w:r>
      <w:r w:rsidRPr="00774C9B">
        <w:lastRenderedPageBreak/>
        <w:t>Commission fully complies with section 8(a) of the Commodity Exchange Act, which strictly prohibits the Commission, unless specifically authorized by the Commodity Exchange Act, from making public “data and information that would separately disclose the business transactions or market positions of any person and trade secrets or names of customers.”</w:t>
      </w:r>
    </w:p>
    <w:p w:rsidR="00367E83" w:rsidRPr="00774C9B" w:rsidRDefault="00367E83" w:rsidP="00367E83">
      <w:pPr>
        <w:tabs>
          <w:tab w:val="left" w:pos="-720"/>
        </w:tabs>
        <w:suppressAutoHyphens/>
      </w:pPr>
      <w:r w:rsidRPr="00774C9B">
        <w:tab/>
        <w:t xml:space="preserve">  </w:t>
      </w:r>
    </w:p>
    <w:p w:rsidR="00367E83" w:rsidRPr="00774C9B" w:rsidRDefault="00367E83" w:rsidP="00367E83">
      <w:pPr>
        <w:pStyle w:val="ListParagraph"/>
        <w:numPr>
          <w:ilvl w:val="0"/>
          <w:numId w:val="1"/>
        </w:numPr>
        <w:tabs>
          <w:tab w:val="left" w:pos="-720"/>
        </w:tabs>
        <w:suppressAutoHyphens/>
      </w:pPr>
      <w:r w:rsidRPr="00774C9B">
        <w:rPr>
          <w:u w:val="single"/>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774C9B">
        <w:t>.</w:t>
      </w:r>
    </w:p>
    <w:p w:rsidR="00367E83" w:rsidRPr="00774C9B" w:rsidRDefault="00367E83" w:rsidP="00367E83">
      <w:pPr>
        <w:tabs>
          <w:tab w:val="left" w:pos="-720"/>
        </w:tabs>
        <w:suppressAutoHyphens/>
      </w:pPr>
    </w:p>
    <w:p w:rsidR="00367E83" w:rsidRPr="00774C9B" w:rsidRDefault="00367E83" w:rsidP="00367E83">
      <w:pPr>
        <w:tabs>
          <w:tab w:val="left" w:pos="-720"/>
        </w:tabs>
        <w:suppressAutoHyphens/>
        <w:ind w:left="-720"/>
      </w:pPr>
      <w:r w:rsidRPr="00774C9B">
        <w:tab/>
        <w:t>This question does not apply.</w:t>
      </w:r>
    </w:p>
    <w:p w:rsidR="00367E83" w:rsidRPr="00774C9B" w:rsidRDefault="00367E83" w:rsidP="00367E83">
      <w:pPr>
        <w:tabs>
          <w:tab w:val="left" w:pos="-720"/>
        </w:tabs>
        <w:suppressAutoHyphens/>
      </w:pPr>
    </w:p>
    <w:p w:rsidR="00367E83" w:rsidRPr="00774C9B" w:rsidRDefault="00367E83" w:rsidP="00367E83">
      <w:pPr>
        <w:pStyle w:val="ListParagraph"/>
        <w:numPr>
          <w:ilvl w:val="0"/>
          <w:numId w:val="1"/>
        </w:numPr>
        <w:tabs>
          <w:tab w:val="left" w:pos="-720"/>
          <w:tab w:val="left" w:pos="0"/>
        </w:tabs>
        <w:suppressAutoHyphens/>
      </w:pPr>
      <w:r w:rsidRPr="00774C9B">
        <w:rPr>
          <w:u w:val="single"/>
        </w:rPr>
        <w:t>Provide estimates of the hour burden of the collection of information.  The Statement should</w:t>
      </w:r>
      <w:r w:rsidRPr="00774C9B">
        <w:t>:</w:t>
      </w:r>
    </w:p>
    <w:p w:rsidR="00367E83" w:rsidRPr="00774C9B" w:rsidRDefault="00367E83" w:rsidP="00367E83">
      <w:pPr>
        <w:tabs>
          <w:tab w:val="left" w:pos="-720"/>
        </w:tabs>
        <w:suppressAutoHyphens/>
      </w:pPr>
    </w:p>
    <w:p w:rsidR="00367E83" w:rsidRPr="00774C9B" w:rsidRDefault="00367E83" w:rsidP="00367E83">
      <w:pPr>
        <w:numPr>
          <w:ilvl w:val="1"/>
          <w:numId w:val="2"/>
        </w:numPr>
        <w:tabs>
          <w:tab w:val="left" w:pos="-720"/>
          <w:tab w:val="left" w:pos="0"/>
          <w:tab w:val="left" w:pos="720"/>
        </w:tabs>
        <w:suppressAutoHyphens/>
        <w:rPr>
          <w:u w:val="single"/>
        </w:rPr>
      </w:pPr>
      <w:r w:rsidRPr="00774C9B">
        <w:rPr>
          <w:u w:val="single"/>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67E83" w:rsidRPr="00774C9B" w:rsidRDefault="00367E83" w:rsidP="00367E83">
      <w:pPr>
        <w:tabs>
          <w:tab w:val="left" w:pos="-720"/>
          <w:tab w:val="left" w:pos="0"/>
          <w:tab w:val="left" w:pos="720"/>
        </w:tabs>
        <w:suppressAutoHyphens/>
        <w:ind w:left="720"/>
        <w:rPr>
          <w:u w:val="single"/>
        </w:rPr>
      </w:pPr>
    </w:p>
    <w:p w:rsidR="00367E83" w:rsidRPr="00774C9B" w:rsidRDefault="00367E83" w:rsidP="00367E83">
      <w:pPr>
        <w:numPr>
          <w:ilvl w:val="1"/>
          <w:numId w:val="2"/>
        </w:numPr>
        <w:tabs>
          <w:tab w:val="left" w:pos="-720"/>
          <w:tab w:val="left" w:pos="0"/>
          <w:tab w:val="left" w:pos="720"/>
        </w:tabs>
        <w:suppressAutoHyphens/>
        <w:rPr>
          <w:u w:val="single"/>
        </w:rPr>
      </w:pPr>
      <w:r w:rsidRPr="00774C9B">
        <w:rPr>
          <w:u w:val="single"/>
        </w:rPr>
        <w:t>If the request for approval covers more than one form, provide separate hour burden estimates for each form and aggregate the hour burdens in Item 13 of OMB  83-I.</w:t>
      </w:r>
    </w:p>
    <w:p w:rsidR="00367E83" w:rsidRPr="00774C9B" w:rsidRDefault="00367E83" w:rsidP="00367E83">
      <w:pPr>
        <w:tabs>
          <w:tab w:val="left" w:pos="-720"/>
        </w:tabs>
        <w:suppressAutoHyphens/>
        <w:rPr>
          <w:u w:val="single"/>
        </w:rPr>
      </w:pPr>
    </w:p>
    <w:p w:rsidR="00367E83" w:rsidRPr="00774C9B" w:rsidRDefault="00367E83" w:rsidP="00367E83">
      <w:pPr>
        <w:numPr>
          <w:ilvl w:val="1"/>
          <w:numId w:val="2"/>
        </w:numPr>
        <w:tabs>
          <w:tab w:val="left" w:pos="-720"/>
          <w:tab w:val="left" w:pos="0"/>
          <w:tab w:val="left" w:pos="720"/>
        </w:tabs>
        <w:suppressAutoHyphens/>
        <w:rPr>
          <w:u w:val="single"/>
        </w:rPr>
      </w:pPr>
      <w:r w:rsidRPr="00774C9B">
        <w:rPr>
          <w:u w:val="single"/>
        </w:rPr>
        <w:t>Provide estimates of annualized cost to respondents for the hours burdens for collections of information, identifying and using appropriate wage rate categories.  The cost of contracting or paying outside parties for information collection activities should not be included here.  Instead, this cost should be included in Item 13.</w:t>
      </w:r>
    </w:p>
    <w:p w:rsidR="00367E83" w:rsidRDefault="00367E83" w:rsidP="00367E83">
      <w:pPr>
        <w:tabs>
          <w:tab w:val="left" w:pos="-720"/>
        </w:tabs>
        <w:suppressAutoHyphens/>
      </w:pPr>
    </w:p>
    <w:p w:rsidR="00367E83" w:rsidRDefault="00367E83" w:rsidP="00367E83">
      <w:r>
        <w:tab/>
        <w:t>The proposed amendments to part 151 would result in additional collections of information related to the aggregation of accounts for Commission set position limits.  The existing OMB control number (3038-0077) estimates a burden of 225,000 hours to comply with aggregation requirements.  The Commission believes that the proposed rules, if adopted, would result in an increase in paperwork burden of an additional 7,400 hours resulting in $582,000 in labor costs.</w:t>
      </w:r>
      <w:r w:rsidRPr="00900342">
        <w:rPr>
          <w:rStyle w:val="FootnoteReference"/>
        </w:rPr>
        <w:footnoteReference w:id="4"/>
      </w:r>
      <w:r>
        <w:t xml:space="preserve">  These estimates represent the total labor burden across 145 expected respondents.</w:t>
      </w:r>
    </w:p>
    <w:p w:rsidR="00367E83" w:rsidRDefault="00367E83" w:rsidP="00367E83"/>
    <w:p w:rsidR="00367E83" w:rsidRPr="00774C9B" w:rsidRDefault="00367E83" w:rsidP="00367E83">
      <w:pPr>
        <w:tabs>
          <w:tab w:val="left" w:pos="-720"/>
        </w:tabs>
        <w:suppressAutoHyphens/>
        <w:rPr>
          <w:szCs w:val="24"/>
        </w:rPr>
      </w:pPr>
      <w:r>
        <w:tab/>
      </w:r>
      <w:r w:rsidRPr="00A633CD">
        <w:rPr>
          <w:szCs w:val="24"/>
        </w:rPr>
        <w:t>I</w:t>
      </w:r>
      <w:r w:rsidRPr="00A633CD">
        <w:t xml:space="preserve">n </w:t>
      </w:r>
      <w:r w:rsidRPr="00A633CD">
        <w:rPr>
          <w:u w:val="single"/>
        </w:rPr>
        <w:t xml:space="preserve">Attachment </w:t>
      </w:r>
      <w:proofErr w:type="gramStart"/>
      <w:r w:rsidRPr="00A633CD">
        <w:rPr>
          <w:u w:val="single"/>
        </w:rPr>
        <w:t>A</w:t>
      </w:r>
      <w:proofErr w:type="gramEnd"/>
      <w:r w:rsidRPr="00A633CD">
        <w:t xml:space="preserve"> the Commission has provided the key assumptions and calculations used to derive labor burden estimates.</w:t>
      </w:r>
      <w:r w:rsidRPr="00774C9B">
        <w:t xml:space="preserve">  </w:t>
      </w:r>
    </w:p>
    <w:p w:rsidR="00367E83" w:rsidRPr="00774C9B" w:rsidRDefault="00367E83" w:rsidP="00367E83">
      <w:pPr>
        <w:pStyle w:val="ListParagraph"/>
        <w:ind w:left="0"/>
      </w:pPr>
    </w:p>
    <w:p w:rsidR="00367E83" w:rsidRPr="00774C9B" w:rsidRDefault="00367E83" w:rsidP="00367E83">
      <w:pPr>
        <w:pStyle w:val="ListParagraph"/>
        <w:numPr>
          <w:ilvl w:val="0"/>
          <w:numId w:val="5"/>
        </w:numPr>
        <w:tabs>
          <w:tab w:val="left" w:pos="-720"/>
          <w:tab w:val="left" w:pos="0"/>
        </w:tabs>
        <w:suppressAutoHyphens/>
      </w:pPr>
      <w:r w:rsidRPr="00774C9B">
        <w:rPr>
          <w:u w:val="single"/>
        </w:rPr>
        <w:t xml:space="preserve">Provide an estimate of the total annual cost burden to respondents or </w:t>
      </w:r>
      <w:proofErr w:type="spellStart"/>
      <w:r w:rsidRPr="00774C9B">
        <w:rPr>
          <w:u w:val="single"/>
        </w:rPr>
        <w:t>recordkeepers</w:t>
      </w:r>
      <w:proofErr w:type="spellEnd"/>
      <w:r w:rsidRPr="00774C9B">
        <w:rPr>
          <w:u w:val="single"/>
        </w:rPr>
        <w:t xml:space="preserve"> resulting from the collection of information.  (Do not include the cost of any hour burden shown in Items 12 and 14)</w:t>
      </w:r>
      <w:r w:rsidRPr="00774C9B">
        <w:t>.</w:t>
      </w:r>
    </w:p>
    <w:p w:rsidR="00367E83" w:rsidRPr="00774C9B" w:rsidRDefault="00367E83" w:rsidP="00367E83">
      <w:pPr>
        <w:tabs>
          <w:tab w:val="left" w:pos="-720"/>
        </w:tabs>
        <w:suppressAutoHyphens/>
      </w:pPr>
    </w:p>
    <w:p w:rsidR="00367E83" w:rsidRPr="00774C9B" w:rsidRDefault="00367E83" w:rsidP="00367E83">
      <w:pPr>
        <w:numPr>
          <w:ilvl w:val="1"/>
          <w:numId w:val="3"/>
        </w:numPr>
        <w:tabs>
          <w:tab w:val="left" w:pos="-720"/>
          <w:tab w:val="left" w:pos="0"/>
          <w:tab w:val="left" w:pos="720"/>
        </w:tabs>
        <w:suppressAutoHyphens/>
        <w:rPr>
          <w:u w:val="single"/>
        </w:rPr>
      </w:pPr>
      <w:r w:rsidRPr="00774C9B">
        <w:rPr>
          <w:u w:val="single"/>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367E83" w:rsidRPr="00774C9B" w:rsidRDefault="00367E83" w:rsidP="00367E83">
      <w:pPr>
        <w:tabs>
          <w:tab w:val="left" w:pos="-720"/>
        </w:tabs>
        <w:suppressAutoHyphens/>
        <w:rPr>
          <w:u w:val="single"/>
        </w:rPr>
      </w:pPr>
    </w:p>
    <w:p w:rsidR="00367E83" w:rsidRPr="00774C9B" w:rsidRDefault="00367E83" w:rsidP="00367E83">
      <w:pPr>
        <w:numPr>
          <w:ilvl w:val="1"/>
          <w:numId w:val="3"/>
        </w:numPr>
        <w:tabs>
          <w:tab w:val="left" w:pos="-720"/>
          <w:tab w:val="left" w:pos="0"/>
          <w:tab w:val="left" w:pos="720"/>
        </w:tabs>
        <w:suppressAutoHyphens/>
        <w:rPr>
          <w:u w:val="single"/>
        </w:rPr>
      </w:pPr>
      <w:r w:rsidRPr="00774C9B">
        <w:rPr>
          <w:u w:val="single"/>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367E83" w:rsidRPr="00774C9B" w:rsidRDefault="00367E83" w:rsidP="00367E83">
      <w:pPr>
        <w:tabs>
          <w:tab w:val="left" w:pos="-720"/>
        </w:tabs>
        <w:suppressAutoHyphens/>
        <w:rPr>
          <w:u w:val="single"/>
        </w:rPr>
      </w:pPr>
    </w:p>
    <w:p w:rsidR="00367E83" w:rsidRPr="00774C9B" w:rsidRDefault="00367E83" w:rsidP="00367E83">
      <w:pPr>
        <w:numPr>
          <w:ilvl w:val="1"/>
          <w:numId w:val="3"/>
        </w:numPr>
        <w:tabs>
          <w:tab w:val="left" w:pos="-720"/>
          <w:tab w:val="left" w:pos="0"/>
          <w:tab w:val="left" w:pos="720"/>
        </w:tabs>
        <w:suppressAutoHyphens/>
        <w:rPr>
          <w:u w:val="single"/>
        </w:rPr>
      </w:pPr>
      <w:r w:rsidRPr="00774C9B">
        <w:rPr>
          <w:u w:val="single"/>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774C9B">
        <w:rPr>
          <w:u w:val="single"/>
        </w:rPr>
        <w:t>government,</w:t>
      </w:r>
      <w:proofErr w:type="gramEnd"/>
      <w:r w:rsidRPr="00774C9B">
        <w:rPr>
          <w:u w:val="single"/>
        </w:rPr>
        <w:t xml:space="preserve"> or (4) as part of customary and usual business or private practices.</w:t>
      </w:r>
    </w:p>
    <w:p w:rsidR="00367E83" w:rsidRDefault="00367E83" w:rsidP="00367E83">
      <w:pPr>
        <w:tabs>
          <w:tab w:val="left" w:pos="-720"/>
          <w:tab w:val="left" w:pos="0"/>
          <w:tab w:val="left" w:pos="720"/>
        </w:tabs>
        <w:suppressAutoHyphens/>
      </w:pPr>
    </w:p>
    <w:p w:rsidR="00367E83" w:rsidRPr="00427EE5" w:rsidRDefault="00367E83" w:rsidP="00367E83">
      <w:pPr>
        <w:tabs>
          <w:tab w:val="left" w:pos="-720"/>
        </w:tabs>
        <w:suppressAutoHyphens/>
      </w:pPr>
      <w:r w:rsidRPr="00427EE5">
        <w:tab/>
        <w:t xml:space="preserve"> </w:t>
      </w:r>
    </w:p>
    <w:p w:rsidR="00367E83" w:rsidRDefault="00367E83" w:rsidP="00367E83">
      <w:pPr>
        <w:pStyle w:val="ListParagraph"/>
        <w:ind w:left="0"/>
      </w:pPr>
      <w:r>
        <w:tab/>
        <w:t xml:space="preserve">In its previous information collection related to the aggregation provisions, the Commission provided detailed information regarding the capital and start up and annual total </w:t>
      </w:r>
      <w:r>
        <w:lastRenderedPageBreak/>
        <w:t xml:space="preserve">operating and maintenance costs for entities to comply with aggregation policies.  The proposed rules expand the scope of exemptions from aggregation and thus will allow additional entities to make notice filing with the Commission to claim the exemption.  The requirements for submitting the filings are the same as for the previously implemented filings, and so the Commission does not anticipate that additional investment in capital, operational, or maintenance costs beyond those already incurred to fulfill requirements under the previous collection will be necessary as a result of the proposed rules.  </w:t>
      </w:r>
    </w:p>
    <w:p w:rsidR="00367E83" w:rsidRDefault="00367E83" w:rsidP="00367E83">
      <w:pPr>
        <w:tabs>
          <w:tab w:val="left" w:pos="-720"/>
        </w:tabs>
        <w:suppressAutoHyphens/>
      </w:pPr>
      <w:r w:rsidRPr="00774C9B">
        <w:tab/>
      </w:r>
    </w:p>
    <w:p w:rsidR="00367E83" w:rsidRPr="00774C9B" w:rsidRDefault="00367E83" w:rsidP="00367E83">
      <w:pPr>
        <w:tabs>
          <w:tab w:val="left" w:pos="-720"/>
        </w:tabs>
        <w:suppressAutoHyphens/>
      </w:pPr>
      <w:r>
        <w:tab/>
        <w:t xml:space="preserve">The Commission has submitted </w:t>
      </w:r>
      <w:r w:rsidRPr="00831B07">
        <w:rPr>
          <w:u w:val="single"/>
        </w:rPr>
        <w:t>Attachment B</w:t>
      </w:r>
      <w:r>
        <w:rPr>
          <w:u w:val="single"/>
        </w:rPr>
        <w:t>,</w:t>
      </w:r>
      <w:r>
        <w:t xml:space="preserve"> which illustrates that there is no anticipated change in cost.</w:t>
      </w:r>
      <w:r w:rsidRPr="00831B07" w:rsidDel="00635D50">
        <w:t xml:space="preserve"> </w:t>
      </w:r>
    </w:p>
    <w:p w:rsidR="00367E83" w:rsidRPr="0038474F" w:rsidRDefault="00367E83" w:rsidP="00367E83">
      <w:pPr>
        <w:pStyle w:val="ListParagraph"/>
        <w:ind w:left="0"/>
      </w:pPr>
    </w:p>
    <w:p w:rsidR="00367E83" w:rsidRPr="00774C9B" w:rsidRDefault="00367E83" w:rsidP="00367E83">
      <w:pPr>
        <w:pStyle w:val="ListParagraph"/>
        <w:numPr>
          <w:ilvl w:val="0"/>
          <w:numId w:val="5"/>
        </w:numPr>
        <w:tabs>
          <w:tab w:val="left" w:pos="-720"/>
        </w:tabs>
        <w:suppressAutoHyphens/>
      </w:pPr>
      <w:r w:rsidRPr="00774C9B">
        <w:rPr>
          <w:u w:val="single"/>
        </w:rPr>
        <w:t>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367E83" w:rsidRPr="00774C9B" w:rsidRDefault="00367E83" w:rsidP="00367E83">
      <w:pPr>
        <w:tabs>
          <w:tab w:val="left" w:pos="-720"/>
        </w:tabs>
        <w:suppressAutoHyphens/>
      </w:pPr>
    </w:p>
    <w:p w:rsidR="00367E83" w:rsidRDefault="00367E83" w:rsidP="00367E83">
      <w:pPr>
        <w:ind w:firstLine="720"/>
      </w:pPr>
      <w:r>
        <w:t xml:space="preserve">The Commission estimates that the changes to the aggregation provisions in § 151.7 will result in the review of 235 additional notices, to be reviewed by industry economists and attorneys in the Division of Market Oversight.  The Commission anticipates that the review of the additional notices will incur approximately 352.5 labor hours.  Using the average CT-13 pay grade for Commission employees in Washington, D.C. for 2010, or $106,840, multiplied by 1.3 to account for overhead and other benefits, each employee would cost the Commission approximately $138,982.  </w:t>
      </w:r>
      <w:r w:rsidRPr="00774C9B">
        <w:t xml:space="preserve"> </w:t>
      </w:r>
      <w:r>
        <w:t>Assuming a work year of approximately 1,800 hours, or an hourly wage rate of $77.16, the Commission anticipates additional labor costs of approximately $27,200 per year.</w:t>
      </w:r>
    </w:p>
    <w:p w:rsidR="00367E83" w:rsidRPr="00774C9B" w:rsidRDefault="00367E83" w:rsidP="00367E83">
      <w:pPr>
        <w:ind w:firstLine="720"/>
      </w:pPr>
      <w:r>
        <w:t xml:space="preserve">The Commission does not anticipate any other increased costs, as it has already accounted for increased capital, operational, and maintenance costs to receive and store notices filed under § 151.7 as a result of the prior collection.  </w:t>
      </w:r>
    </w:p>
    <w:p w:rsidR="00367E83" w:rsidRPr="00774C9B" w:rsidRDefault="00367E83" w:rsidP="00367E83">
      <w:pPr>
        <w:tabs>
          <w:tab w:val="left" w:pos="-720"/>
        </w:tabs>
        <w:suppressAutoHyphens/>
      </w:pPr>
    </w:p>
    <w:p w:rsidR="00367E83" w:rsidRPr="00774C9B" w:rsidRDefault="00367E83" w:rsidP="00367E83">
      <w:pPr>
        <w:pStyle w:val="ListParagraph"/>
        <w:numPr>
          <w:ilvl w:val="0"/>
          <w:numId w:val="5"/>
        </w:numPr>
        <w:tabs>
          <w:tab w:val="left" w:pos="-720"/>
          <w:tab w:val="left" w:pos="0"/>
        </w:tabs>
        <w:suppressAutoHyphens/>
      </w:pPr>
      <w:r w:rsidRPr="00774C9B">
        <w:rPr>
          <w:u w:val="single"/>
        </w:rPr>
        <w:t xml:space="preserve">Explain the reasons for any program changes or adjustments reported in Items 13 or 14 of the </w:t>
      </w:r>
      <w:proofErr w:type="gramStart"/>
      <w:r w:rsidRPr="00774C9B">
        <w:rPr>
          <w:u w:val="single"/>
        </w:rPr>
        <w:t>OMB  83</w:t>
      </w:r>
      <w:proofErr w:type="gramEnd"/>
      <w:r w:rsidRPr="00774C9B">
        <w:rPr>
          <w:u w:val="single"/>
        </w:rPr>
        <w:t>-I</w:t>
      </w:r>
      <w:r w:rsidRPr="00774C9B">
        <w:t>.</w:t>
      </w:r>
    </w:p>
    <w:p w:rsidR="00367E83" w:rsidRPr="00774C9B" w:rsidRDefault="00367E83" w:rsidP="00367E83">
      <w:pPr>
        <w:tabs>
          <w:tab w:val="left" w:pos="-720"/>
          <w:tab w:val="left" w:pos="0"/>
        </w:tabs>
        <w:suppressAutoHyphens/>
      </w:pPr>
    </w:p>
    <w:p w:rsidR="00367E83" w:rsidRPr="00774C9B" w:rsidRDefault="00367E83" w:rsidP="00367E83">
      <w:pPr>
        <w:tabs>
          <w:tab w:val="left" w:pos="-720"/>
          <w:tab w:val="left" w:pos="0"/>
        </w:tabs>
        <w:suppressAutoHyphens/>
      </w:pPr>
      <w:r>
        <w:tab/>
      </w:r>
      <w:r w:rsidRPr="00774C9B">
        <w:t>This question does not apply.</w:t>
      </w:r>
    </w:p>
    <w:p w:rsidR="00367E83" w:rsidRPr="00774C9B" w:rsidRDefault="00367E83" w:rsidP="00367E83">
      <w:pPr>
        <w:tabs>
          <w:tab w:val="left" w:pos="-720"/>
        </w:tabs>
        <w:suppressAutoHyphens/>
      </w:pPr>
    </w:p>
    <w:p w:rsidR="00367E83" w:rsidRPr="00774C9B" w:rsidRDefault="00367E83" w:rsidP="00367E83">
      <w:pPr>
        <w:pStyle w:val="ListParagraph"/>
        <w:numPr>
          <w:ilvl w:val="0"/>
          <w:numId w:val="5"/>
        </w:numPr>
        <w:tabs>
          <w:tab w:val="left" w:pos="-720"/>
          <w:tab w:val="left" w:pos="0"/>
        </w:tabs>
        <w:suppressAutoHyphens/>
      </w:pPr>
      <w:r w:rsidRPr="00774C9B">
        <w:rPr>
          <w:u w:val="single"/>
        </w:rPr>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r w:rsidRPr="00774C9B">
        <w:t>.</w:t>
      </w:r>
    </w:p>
    <w:p w:rsidR="00367E83" w:rsidRPr="00774C9B" w:rsidRDefault="00367E83" w:rsidP="00367E83">
      <w:pPr>
        <w:tabs>
          <w:tab w:val="left" w:pos="-720"/>
          <w:tab w:val="left" w:pos="0"/>
        </w:tabs>
        <w:suppressAutoHyphens/>
      </w:pPr>
    </w:p>
    <w:p w:rsidR="00367E83" w:rsidRPr="00774C9B" w:rsidRDefault="00367E83" w:rsidP="00367E83">
      <w:pPr>
        <w:tabs>
          <w:tab w:val="left" w:pos="-720"/>
          <w:tab w:val="left" w:pos="0"/>
        </w:tabs>
        <w:suppressAutoHyphens/>
      </w:pPr>
      <w:r>
        <w:tab/>
      </w:r>
      <w:r w:rsidRPr="00774C9B">
        <w:t>This question does not apply.</w:t>
      </w:r>
    </w:p>
    <w:p w:rsidR="00367E83" w:rsidRPr="00774C9B" w:rsidRDefault="00367E83" w:rsidP="00367E83">
      <w:pPr>
        <w:tabs>
          <w:tab w:val="left" w:pos="-720"/>
        </w:tabs>
        <w:suppressAutoHyphens/>
      </w:pPr>
    </w:p>
    <w:p w:rsidR="00367E83" w:rsidRDefault="00367E83" w:rsidP="00367E83">
      <w:pPr>
        <w:pStyle w:val="ListParagraph"/>
        <w:numPr>
          <w:ilvl w:val="0"/>
          <w:numId w:val="5"/>
        </w:numPr>
        <w:tabs>
          <w:tab w:val="left" w:pos="-720"/>
          <w:tab w:val="left" w:pos="0"/>
        </w:tabs>
        <w:suppressAutoHyphens/>
      </w:pPr>
      <w:r w:rsidRPr="00774C9B">
        <w:rPr>
          <w:u w:val="single"/>
        </w:rPr>
        <w:t>If seeking approval to not display the expiration date for OMB approval of the information collection, explain the reasons that display would be inappropriate</w:t>
      </w:r>
      <w:r w:rsidRPr="00774C9B">
        <w:t>.</w:t>
      </w:r>
    </w:p>
    <w:p w:rsidR="00367E83" w:rsidRDefault="00367E83" w:rsidP="00367E83">
      <w:pPr>
        <w:pStyle w:val="ListParagraph"/>
        <w:tabs>
          <w:tab w:val="left" w:pos="-720"/>
          <w:tab w:val="left" w:pos="0"/>
        </w:tabs>
        <w:suppressAutoHyphens/>
      </w:pPr>
    </w:p>
    <w:p w:rsidR="00367E83" w:rsidRPr="00774C9B" w:rsidRDefault="00367E83" w:rsidP="00367E83">
      <w:pPr>
        <w:pStyle w:val="ListParagraph"/>
        <w:tabs>
          <w:tab w:val="left" w:pos="-720"/>
          <w:tab w:val="left" w:pos="0"/>
        </w:tabs>
        <w:suppressAutoHyphens/>
        <w:ind w:left="0"/>
      </w:pPr>
      <w:r>
        <w:lastRenderedPageBreak/>
        <w:tab/>
      </w:r>
      <w:r w:rsidRPr="00774C9B">
        <w:t>This question does not apply.</w:t>
      </w:r>
    </w:p>
    <w:p w:rsidR="00367E83" w:rsidRPr="00774C9B" w:rsidRDefault="00367E83" w:rsidP="00367E83">
      <w:pPr>
        <w:tabs>
          <w:tab w:val="left" w:pos="-720"/>
        </w:tabs>
        <w:suppressAutoHyphens/>
      </w:pPr>
    </w:p>
    <w:p w:rsidR="00367E83" w:rsidRPr="00774C9B" w:rsidRDefault="00367E83" w:rsidP="00367E83">
      <w:pPr>
        <w:pStyle w:val="ListParagraph"/>
        <w:numPr>
          <w:ilvl w:val="0"/>
          <w:numId w:val="5"/>
        </w:numPr>
        <w:tabs>
          <w:tab w:val="left" w:pos="-720"/>
          <w:tab w:val="left" w:pos="0"/>
        </w:tabs>
        <w:suppressAutoHyphens/>
      </w:pPr>
      <w:r w:rsidRPr="00774C9B">
        <w:rPr>
          <w:u w:val="single"/>
        </w:rPr>
        <w:t xml:space="preserve">Explain each exception to the certification statement identified in Item 19, "Certification for Paperwork Reduction Act Submissions," of </w:t>
      </w:r>
      <w:proofErr w:type="gramStart"/>
      <w:r w:rsidRPr="00774C9B">
        <w:rPr>
          <w:u w:val="single"/>
        </w:rPr>
        <w:t>OMB  83</w:t>
      </w:r>
      <w:proofErr w:type="gramEnd"/>
      <w:r w:rsidRPr="00774C9B">
        <w:rPr>
          <w:u w:val="single"/>
        </w:rPr>
        <w:t>-I</w:t>
      </w:r>
      <w:r w:rsidRPr="00774C9B">
        <w:t>.</w:t>
      </w:r>
    </w:p>
    <w:p w:rsidR="00367E83" w:rsidRPr="00774C9B" w:rsidRDefault="00367E83" w:rsidP="00367E83">
      <w:pPr>
        <w:tabs>
          <w:tab w:val="left" w:pos="-720"/>
          <w:tab w:val="left" w:pos="0"/>
        </w:tabs>
        <w:suppressAutoHyphens/>
      </w:pPr>
    </w:p>
    <w:p w:rsidR="00367E83" w:rsidRPr="00774C9B" w:rsidRDefault="00367E83" w:rsidP="00367E83">
      <w:pPr>
        <w:tabs>
          <w:tab w:val="left" w:pos="-720"/>
          <w:tab w:val="left" w:pos="0"/>
        </w:tabs>
        <w:suppressAutoHyphens/>
      </w:pPr>
      <w:r w:rsidRPr="00774C9B">
        <w:tab/>
        <w:t>There are no exceptions to the certification statement.  The Commission is able to certify compliance with the provisions of 5 CFR 1320.9.</w:t>
      </w:r>
    </w:p>
    <w:p w:rsidR="00367E83" w:rsidRPr="00812AE3" w:rsidRDefault="00367E83" w:rsidP="00367E83">
      <w:pPr>
        <w:pStyle w:val="Title"/>
        <w:spacing w:after="240"/>
        <w:rPr>
          <w:szCs w:val="24"/>
        </w:rPr>
      </w:pPr>
      <w:r>
        <w:br w:type="page"/>
      </w:r>
      <w:r w:rsidRPr="00812AE3">
        <w:rPr>
          <w:szCs w:val="24"/>
        </w:rPr>
        <w:lastRenderedPageBreak/>
        <w:t>Attachment A</w:t>
      </w:r>
    </w:p>
    <w:p w:rsidR="00367E83" w:rsidRPr="00812AE3" w:rsidRDefault="00367E83" w:rsidP="00367E83">
      <w:pPr>
        <w:tabs>
          <w:tab w:val="center" w:pos="7200"/>
        </w:tabs>
        <w:jc w:val="center"/>
        <w:rPr>
          <w:rFonts w:eastAsia="Times New Roman"/>
          <w:b/>
          <w:szCs w:val="24"/>
        </w:rPr>
      </w:pPr>
      <w:r w:rsidRPr="00812AE3">
        <w:rPr>
          <w:rFonts w:eastAsia="Times New Roman"/>
          <w:b/>
          <w:szCs w:val="24"/>
        </w:rPr>
        <w:t>13. Annual Reporting and Recordkeeping Hour Burden</w:t>
      </w:r>
    </w:p>
    <w:p w:rsidR="00367E83" w:rsidRPr="00812AE3" w:rsidRDefault="00367E83" w:rsidP="00367E83">
      <w:pPr>
        <w:tabs>
          <w:tab w:val="center" w:pos="7200"/>
        </w:tabs>
        <w:jc w:val="center"/>
        <w:rPr>
          <w:rFonts w:eastAsia="Times New Roman"/>
          <w:b/>
          <w:szCs w:val="24"/>
        </w:rPr>
      </w:pPr>
    </w:p>
    <w:p w:rsidR="00367E83" w:rsidRPr="00812AE3" w:rsidRDefault="00367E83" w:rsidP="00367E83">
      <w:pPr>
        <w:spacing w:line="480" w:lineRule="auto"/>
        <w:jc w:val="center"/>
        <w:rPr>
          <w:rFonts w:eastAsia="Times New Roman"/>
          <w:b/>
          <w:szCs w:val="24"/>
        </w:rPr>
      </w:pPr>
      <w:r w:rsidRPr="00812AE3">
        <w:rPr>
          <w:rFonts w:eastAsia="Times New Roman"/>
          <w:b/>
          <w:szCs w:val="24"/>
        </w:rPr>
        <w:t>AGGREGATION UNDER PART 151, POSITION LIMITS FOR FUTURES AND SWAPS</w:t>
      </w:r>
    </w:p>
    <w:p w:rsidR="00367E83" w:rsidRPr="00812AE3" w:rsidRDefault="00367E83" w:rsidP="00367E83">
      <w:pPr>
        <w:spacing w:after="480"/>
        <w:jc w:val="center"/>
        <w:rPr>
          <w:rFonts w:eastAsia="Times New Roman"/>
          <w:b/>
          <w:szCs w:val="24"/>
        </w:rPr>
      </w:pPr>
      <w:r w:rsidRPr="00812AE3">
        <w:rPr>
          <w:rFonts w:eastAsia="Times New Roman"/>
          <w:b/>
          <w:szCs w:val="24"/>
        </w:rPr>
        <w:t>OMB Collection File 3038-0077</w:t>
      </w:r>
    </w:p>
    <w:tbl>
      <w:tblPr>
        <w:tblW w:w="11192" w:type="dxa"/>
        <w:tblInd w:w="-908" w:type="dxa"/>
        <w:tblLook w:val="04A0" w:firstRow="1" w:lastRow="0" w:firstColumn="1" w:lastColumn="0" w:noHBand="0" w:noVBand="1"/>
      </w:tblPr>
      <w:tblGrid>
        <w:gridCol w:w="1789"/>
        <w:gridCol w:w="1523"/>
        <w:gridCol w:w="1256"/>
        <w:gridCol w:w="692"/>
        <w:gridCol w:w="724"/>
        <w:gridCol w:w="1656"/>
        <w:gridCol w:w="1656"/>
        <w:gridCol w:w="1896"/>
      </w:tblGrid>
      <w:tr w:rsidR="00367E83" w:rsidRPr="00812AE3" w:rsidTr="007D05BD">
        <w:tc>
          <w:tcPr>
            <w:tcW w:w="5260" w:type="dxa"/>
            <w:gridSpan w:val="4"/>
          </w:tcPr>
          <w:p w:rsidR="00367E83" w:rsidRPr="00812AE3" w:rsidRDefault="00367E83" w:rsidP="007D05BD">
            <w:pPr>
              <w:spacing w:after="480"/>
              <w:rPr>
                <w:rFonts w:eastAsia="Times New Roman"/>
                <w:b/>
                <w:szCs w:val="24"/>
              </w:rPr>
            </w:pPr>
            <w:r w:rsidRPr="00812AE3">
              <w:rPr>
                <w:rFonts w:eastAsia="Times New Roman"/>
                <w:szCs w:val="24"/>
              </w:rPr>
              <w:t xml:space="preserve">Number of Respondents:                              </w:t>
            </w:r>
          </w:p>
        </w:tc>
        <w:tc>
          <w:tcPr>
            <w:tcW w:w="5932" w:type="dxa"/>
            <w:gridSpan w:val="4"/>
          </w:tcPr>
          <w:p w:rsidR="00367E83" w:rsidRPr="00812AE3" w:rsidRDefault="00367E83" w:rsidP="007D05BD">
            <w:pPr>
              <w:tabs>
                <w:tab w:val="center" w:pos="7200"/>
              </w:tabs>
              <w:spacing w:after="120"/>
              <w:rPr>
                <w:rFonts w:eastAsia="Times New Roman"/>
                <w:szCs w:val="24"/>
              </w:rPr>
            </w:pPr>
            <w:r w:rsidRPr="00812AE3">
              <w:rPr>
                <w:rFonts w:eastAsia="Times New Roman"/>
                <w:szCs w:val="24"/>
              </w:rPr>
              <w:t>145</w:t>
            </w:r>
          </w:p>
        </w:tc>
      </w:tr>
      <w:tr w:rsidR="00367E83" w:rsidRPr="00812AE3" w:rsidTr="007D05BD">
        <w:tc>
          <w:tcPr>
            <w:tcW w:w="5260" w:type="dxa"/>
            <w:gridSpan w:val="4"/>
          </w:tcPr>
          <w:p w:rsidR="00367E83" w:rsidRPr="00812AE3" w:rsidRDefault="00367E83" w:rsidP="007D05BD">
            <w:pPr>
              <w:spacing w:after="480"/>
              <w:rPr>
                <w:rFonts w:eastAsia="Times New Roman"/>
                <w:szCs w:val="24"/>
              </w:rPr>
            </w:pPr>
            <w:r w:rsidRPr="00812AE3">
              <w:rPr>
                <w:rFonts w:eastAsia="Times New Roman"/>
                <w:szCs w:val="24"/>
              </w:rPr>
              <w:t>Estimated Total Annual Responses</w:t>
            </w:r>
          </w:p>
        </w:tc>
        <w:tc>
          <w:tcPr>
            <w:tcW w:w="5932" w:type="dxa"/>
            <w:gridSpan w:val="4"/>
          </w:tcPr>
          <w:p w:rsidR="00367E83" w:rsidRPr="00812AE3" w:rsidRDefault="00367E83" w:rsidP="007D05BD">
            <w:pPr>
              <w:spacing w:after="480"/>
              <w:rPr>
                <w:rFonts w:eastAsia="Times New Roman"/>
                <w:szCs w:val="24"/>
              </w:rPr>
            </w:pPr>
            <w:r w:rsidRPr="00812AE3">
              <w:rPr>
                <w:rFonts w:eastAsia="Times New Roman"/>
                <w:szCs w:val="24"/>
              </w:rPr>
              <w:t>235</w:t>
            </w:r>
          </w:p>
        </w:tc>
      </w:tr>
      <w:tr w:rsidR="00367E83" w:rsidRPr="00812AE3" w:rsidTr="007D05BD">
        <w:tc>
          <w:tcPr>
            <w:tcW w:w="5260" w:type="dxa"/>
            <w:gridSpan w:val="4"/>
          </w:tcPr>
          <w:p w:rsidR="00367E83" w:rsidRPr="00812AE3" w:rsidRDefault="00367E83" w:rsidP="007D05BD">
            <w:pPr>
              <w:spacing w:after="480"/>
              <w:rPr>
                <w:rFonts w:eastAsia="Times New Roman"/>
                <w:b/>
                <w:szCs w:val="24"/>
              </w:rPr>
            </w:pPr>
            <w:r w:rsidRPr="00812AE3">
              <w:rPr>
                <w:rFonts w:eastAsia="Times New Roman"/>
                <w:szCs w:val="24"/>
              </w:rPr>
              <w:t xml:space="preserve">Estimated Average Hours Per Response:     </w:t>
            </w:r>
          </w:p>
        </w:tc>
        <w:tc>
          <w:tcPr>
            <w:tcW w:w="5932" w:type="dxa"/>
            <w:gridSpan w:val="4"/>
          </w:tcPr>
          <w:p w:rsidR="00367E83" w:rsidRPr="00812AE3" w:rsidRDefault="00367E83" w:rsidP="007D05BD">
            <w:pPr>
              <w:spacing w:after="480"/>
              <w:rPr>
                <w:rFonts w:eastAsia="Times New Roman"/>
                <w:szCs w:val="24"/>
              </w:rPr>
            </w:pPr>
            <w:r w:rsidRPr="00812AE3">
              <w:rPr>
                <w:rFonts w:eastAsia="Times New Roman"/>
                <w:szCs w:val="24"/>
              </w:rPr>
              <w:t>31</w:t>
            </w:r>
          </w:p>
        </w:tc>
      </w:tr>
      <w:tr w:rsidR="00367E83" w:rsidRPr="00812AE3" w:rsidTr="007D05BD">
        <w:tc>
          <w:tcPr>
            <w:tcW w:w="5260" w:type="dxa"/>
            <w:gridSpan w:val="4"/>
          </w:tcPr>
          <w:p w:rsidR="00367E83" w:rsidRPr="00812AE3" w:rsidRDefault="00367E83" w:rsidP="007D05BD">
            <w:pPr>
              <w:spacing w:after="480"/>
              <w:rPr>
                <w:rFonts w:eastAsia="Times New Roman"/>
                <w:b/>
                <w:szCs w:val="24"/>
              </w:rPr>
            </w:pPr>
            <w:r w:rsidRPr="00812AE3">
              <w:rPr>
                <w:rFonts w:eastAsia="Times New Roman"/>
                <w:szCs w:val="24"/>
              </w:rPr>
              <w:t xml:space="preserve">% of Responses Collected Electronically:    </w:t>
            </w:r>
          </w:p>
        </w:tc>
        <w:tc>
          <w:tcPr>
            <w:tcW w:w="5932" w:type="dxa"/>
            <w:gridSpan w:val="4"/>
          </w:tcPr>
          <w:p w:rsidR="00367E83" w:rsidRPr="00812AE3" w:rsidRDefault="00367E83" w:rsidP="007D05BD">
            <w:pPr>
              <w:spacing w:after="480"/>
              <w:rPr>
                <w:rFonts w:eastAsia="Times New Roman"/>
                <w:szCs w:val="24"/>
              </w:rPr>
            </w:pPr>
            <w:r w:rsidRPr="00812AE3">
              <w:rPr>
                <w:rFonts w:eastAsia="Times New Roman"/>
                <w:szCs w:val="24"/>
              </w:rPr>
              <w:t>100%</w:t>
            </w:r>
          </w:p>
        </w:tc>
      </w:tr>
      <w:tr w:rsidR="00367E83" w:rsidRPr="00812AE3" w:rsidTr="007D05BD">
        <w:tc>
          <w:tcPr>
            <w:tcW w:w="5260" w:type="dxa"/>
            <w:gridSpan w:val="4"/>
          </w:tcPr>
          <w:p w:rsidR="00367E83" w:rsidRPr="00812AE3" w:rsidRDefault="00367E83" w:rsidP="007D05BD">
            <w:pPr>
              <w:spacing w:after="480"/>
              <w:rPr>
                <w:rFonts w:eastAsia="Times New Roman"/>
                <w:b/>
                <w:szCs w:val="24"/>
              </w:rPr>
            </w:pPr>
            <w:r w:rsidRPr="00812AE3">
              <w:rPr>
                <w:rFonts w:eastAsia="Times New Roman"/>
                <w:szCs w:val="24"/>
              </w:rPr>
              <w:t>Estimated Total Annual Labor Costs:</w:t>
            </w:r>
          </w:p>
        </w:tc>
        <w:tc>
          <w:tcPr>
            <w:tcW w:w="5932" w:type="dxa"/>
            <w:gridSpan w:val="4"/>
          </w:tcPr>
          <w:p w:rsidR="00367E83" w:rsidRPr="00812AE3" w:rsidRDefault="00367E83" w:rsidP="007D05BD">
            <w:pPr>
              <w:spacing w:after="480"/>
              <w:rPr>
                <w:rFonts w:eastAsia="Times New Roman"/>
                <w:szCs w:val="24"/>
              </w:rPr>
            </w:pPr>
            <w:r w:rsidRPr="00812AE3">
              <w:rPr>
                <w:rFonts w:eastAsia="Times New Roman"/>
                <w:szCs w:val="24"/>
              </w:rPr>
              <w:t>$581,720</w:t>
            </w:r>
          </w:p>
        </w:tc>
      </w:tr>
      <w:tr w:rsidR="00367E83" w:rsidRPr="00812AE3" w:rsidTr="007D05BD">
        <w:tc>
          <w:tcPr>
            <w:tcW w:w="5260" w:type="dxa"/>
            <w:gridSpan w:val="4"/>
          </w:tcPr>
          <w:p w:rsidR="00367E83" w:rsidRPr="00812AE3" w:rsidRDefault="00367E83" w:rsidP="007D05BD">
            <w:pPr>
              <w:spacing w:after="480"/>
              <w:rPr>
                <w:rFonts w:eastAsia="Times New Roman"/>
                <w:b/>
                <w:szCs w:val="24"/>
              </w:rPr>
            </w:pPr>
            <w:r w:rsidRPr="00812AE3">
              <w:rPr>
                <w:rFonts w:eastAsia="Times New Roman"/>
                <w:szCs w:val="24"/>
              </w:rPr>
              <w:t>Frequency of Reporting:</w:t>
            </w:r>
          </w:p>
        </w:tc>
        <w:tc>
          <w:tcPr>
            <w:tcW w:w="5932" w:type="dxa"/>
            <w:gridSpan w:val="4"/>
          </w:tcPr>
          <w:p w:rsidR="00367E83" w:rsidRPr="00812AE3" w:rsidRDefault="00367E83" w:rsidP="007D05BD">
            <w:pPr>
              <w:tabs>
                <w:tab w:val="center" w:pos="7200"/>
              </w:tabs>
              <w:spacing w:after="120"/>
              <w:rPr>
                <w:rFonts w:eastAsia="Times New Roman"/>
                <w:szCs w:val="24"/>
              </w:rPr>
            </w:pPr>
            <w:r w:rsidRPr="00812AE3">
              <w:rPr>
                <w:rFonts w:eastAsia="Times New Roman"/>
                <w:szCs w:val="24"/>
              </w:rPr>
              <w:t xml:space="preserve">As needed, approximately once per year </w:t>
            </w:r>
          </w:p>
        </w:tc>
      </w:tr>
      <w:tr w:rsidR="00367E83" w:rsidRPr="00812AE3" w:rsidTr="007D05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28"/>
        </w:trPr>
        <w:tc>
          <w:tcPr>
            <w:tcW w:w="1789" w:type="dxa"/>
            <w:shd w:val="clear" w:color="auto" w:fill="auto"/>
            <w:vAlign w:val="center"/>
            <w:hideMark/>
          </w:tcPr>
          <w:p w:rsidR="00367E83" w:rsidRPr="00812AE3" w:rsidRDefault="00367E83" w:rsidP="007D05BD">
            <w:pPr>
              <w:jc w:val="center"/>
              <w:rPr>
                <w:rFonts w:eastAsia="Times New Roman"/>
                <w:b/>
                <w:bCs/>
                <w:color w:val="000000"/>
                <w:szCs w:val="24"/>
              </w:rPr>
            </w:pPr>
            <w:r w:rsidRPr="00812AE3">
              <w:rPr>
                <w:rFonts w:eastAsia="Times New Roman"/>
                <w:b/>
                <w:bCs/>
                <w:color w:val="000000"/>
                <w:szCs w:val="24"/>
              </w:rPr>
              <w:t> </w:t>
            </w:r>
          </w:p>
        </w:tc>
        <w:tc>
          <w:tcPr>
            <w:tcW w:w="1523" w:type="dxa"/>
            <w:shd w:val="clear" w:color="auto" w:fill="auto"/>
            <w:vAlign w:val="center"/>
            <w:hideMark/>
          </w:tcPr>
          <w:p w:rsidR="00367E83" w:rsidRPr="00812AE3" w:rsidRDefault="00367E83" w:rsidP="007D05BD">
            <w:pPr>
              <w:jc w:val="center"/>
              <w:rPr>
                <w:rFonts w:eastAsia="Times New Roman"/>
                <w:b/>
                <w:bCs/>
                <w:color w:val="000000"/>
                <w:szCs w:val="24"/>
              </w:rPr>
            </w:pPr>
            <w:r w:rsidRPr="00812AE3">
              <w:rPr>
                <w:rFonts w:eastAsia="Times New Roman"/>
                <w:b/>
                <w:bCs/>
                <w:color w:val="000000"/>
                <w:szCs w:val="24"/>
              </w:rPr>
              <w:t>Total Number of Respondents  (13(a))</w:t>
            </w:r>
          </w:p>
        </w:tc>
        <w:tc>
          <w:tcPr>
            <w:tcW w:w="1256" w:type="dxa"/>
            <w:shd w:val="clear" w:color="auto" w:fill="auto"/>
            <w:vAlign w:val="center"/>
            <w:hideMark/>
          </w:tcPr>
          <w:p w:rsidR="00367E83" w:rsidRPr="00812AE3" w:rsidRDefault="00367E83" w:rsidP="007D05BD">
            <w:pPr>
              <w:jc w:val="center"/>
              <w:rPr>
                <w:rFonts w:eastAsia="Times New Roman"/>
                <w:b/>
                <w:bCs/>
                <w:color w:val="000000"/>
                <w:szCs w:val="24"/>
              </w:rPr>
            </w:pPr>
            <w:r w:rsidRPr="00812AE3">
              <w:rPr>
                <w:rFonts w:eastAsia="Times New Roman"/>
                <w:b/>
                <w:bCs/>
                <w:color w:val="000000"/>
                <w:szCs w:val="24"/>
              </w:rPr>
              <w:t>Estimated Number of Hours Per Response</w:t>
            </w:r>
          </w:p>
        </w:tc>
        <w:tc>
          <w:tcPr>
            <w:tcW w:w="1416" w:type="dxa"/>
            <w:gridSpan w:val="2"/>
            <w:shd w:val="clear" w:color="auto" w:fill="auto"/>
            <w:vAlign w:val="center"/>
            <w:hideMark/>
          </w:tcPr>
          <w:p w:rsidR="00367E83" w:rsidRPr="00812AE3" w:rsidRDefault="00367E83" w:rsidP="007D05BD">
            <w:pPr>
              <w:jc w:val="center"/>
              <w:rPr>
                <w:rFonts w:eastAsia="Times New Roman"/>
                <w:b/>
                <w:bCs/>
                <w:color w:val="000000"/>
                <w:szCs w:val="24"/>
              </w:rPr>
            </w:pPr>
            <w:r w:rsidRPr="00812AE3">
              <w:rPr>
                <w:rFonts w:eastAsia="Times New Roman"/>
                <w:b/>
                <w:bCs/>
                <w:color w:val="000000"/>
                <w:szCs w:val="24"/>
              </w:rPr>
              <w:t>Total Annual Responses (13(b))</w:t>
            </w:r>
          </w:p>
        </w:tc>
        <w:tc>
          <w:tcPr>
            <w:tcW w:w="1656" w:type="dxa"/>
            <w:shd w:val="clear" w:color="auto" w:fill="auto"/>
            <w:vAlign w:val="center"/>
            <w:hideMark/>
          </w:tcPr>
          <w:p w:rsidR="00367E83" w:rsidRPr="00812AE3" w:rsidRDefault="00367E83" w:rsidP="007D05BD">
            <w:pPr>
              <w:jc w:val="center"/>
              <w:rPr>
                <w:rFonts w:eastAsia="Times New Roman"/>
                <w:b/>
                <w:bCs/>
                <w:color w:val="000000"/>
                <w:szCs w:val="24"/>
              </w:rPr>
            </w:pPr>
            <w:r w:rsidRPr="00812AE3">
              <w:rPr>
                <w:rFonts w:eastAsia="Times New Roman"/>
                <w:b/>
                <w:bCs/>
                <w:color w:val="000000"/>
                <w:szCs w:val="24"/>
              </w:rPr>
              <w:t>Total Annual Hours Requested (13(c))</w:t>
            </w:r>
          </w:p>
        </w:tc>
        <w:tc>
          <w:tcPr>
            <w:tcW w:w="1656" w:type="dxa"/>
            <w:shd w:val="clear" w:color="auto" w:fill="auto"/>
            <w:vAlign w:val="center"/>
            <w:hideMark/>
          </w:tcPr>
          <w:p w:rsidR="00367E83" w:rsidRPr="00812AE3" w:rsidRDefault="00367E83" w:rsidP="007D05BD">
            <w:pPr>
              <w:jc w:val="center"/>
              <w:rPr>
                <w:rFonts w:eastAsia="Times New Roman"/>
                <w:b/>
                <w:bCs/>
                <w:color w:val="000000"/>
                <w:szCs w:val="24"/>
              </w:rPr>
            </w:pPr>
            <w:r w:rsidRPr="00812AE3">
              <w:rPr>
                <w:rFonts w:eastAsia="Times New Roman"/>
                <w:b/>
                <w:bCs/>
                <w:color w:val="000000"/>
                <w:szCs w:val="24"/>
              </w:rPr>
              <w:t>Difference (13(e))</w:t>
            </w:r>
          </w:p>
        </w:tc>
        <w:tc>
          <w:tcPr>
            <w:tcW w:w="1896" w:type="dxa"/>
            <w:shd w:val="clear" w:color="auto" w:fill="auto"/>
            <w:vAlign w:val="center"/>
            <w:hideMark/>
          </w:tcPr>
          <w:p w:rsidR="00367E83" w:rsidRPr="00812AE3" w:rsidRDefault="00367E83" w:rsidP="007D05BD">
            <w:pPr>
              <w:jc w:val="center"/>
              <w:rPr>
                <w:rFonts w:eastAsia="Times New Roman"/>
                <w:b/>
                <w:bCs/>
                <w:color w:val="000000"/>
                <w:szCs w:val="24"/>
              </w:rPr>
            </w:pPr>
            <w:r w:rsidRPr="00812AE3">
              <w:rPr>
                <w:rFonts w:eastAsia="Times New Roman"/>
                <w:b/>
                <w:bCs/>
                <w:color w:val="000000"/>
                <w:szCs w:val="24"/>
              </w:rPr>
              <w:t>Total Annual Labor Costs</w:t>
            </w:r>
          </w:p>
        </w:tc>
      </w:tr>
      <w:tr w:rsidR="00367E83" w:rsidRPr="00812AE3" w:rsidTr="007D05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0"/>
        </w:trPr>
        <w:tc>
          <w:tcPr>
            <w:tcW w:w="1789" w:type="dxa"/>
            <w:shd w:val="clear" w:color="auto" w:fill="auto"/>
            <w:vAlign w:val="bottom"/>
            <w:hideMark/>
          </w:tcPr>
          <w:p w:rsidR="00367E83" w:rsidRPr="00812AE3" w:rsidRDefault="00367E83" w:rsidP="007D05BD">
            <w:pPr>
              <w:rPr>
                <w:rFonts w:eastAsia="Times New Roman"/>
                <w:color w:val="000000"/>
                <w:szCs w:val="24"/>
              </w:rPr>
            </w:pPr>
            <w:r w:rsidRPr="00812AE3">
              <w:rPr>
                <w:rFonts w:eastAsia="Times New Roman"/>
                <w:color w:val="000000"/>
                <w:szCs w:val="24"/>
              </w:rPr>
              <w:t>Disaggregation applications</w:t>
            </w:r>
          </w:p>
        </w:tc>
        <w:tc>
          <w:tcPr>
            <w:tcW w:w="1523" w:type="dxa"/>
            <w:shd w:val="clear" w:color="auto" w:fill="auto"/>
            <w:vAlign w:val="bottom"/>
            <w:hideMark/>
          </w:tcPr>
          <w:p w:rsidR="00367E83" w:rsidRPr="00812AE3" w:rsidRDefault="00367E83" w:rsidP="007D05BD">
            <w:pPr>
              <w:jc w:val="right"/>
              <w:rPr>
                <w:rFonts w:eastAsia="Times New Roman"/>
                <w:color w:val="000000"/>
                <w:szCs w:val="24"/>
              </w:rPr>
            </w:pPr>
            <w:r w:rsidRPr="00812AE3">
              <w:rPr>
                <w:rFonts w:eastAsia="Times New Roman"/>
                <w:color w:val="000000"/>
                <w:szCs w:val="24"/>
              </w:rPr>
              <w:t>145</w:t>
            </w:r>
          </w:p>
        </w:tc>
        <w:tc>
          <w:tcPr>
            <w:tcW w:w="1256" w:type="dxa"/>
            <w:shd w:val="clear" w:color="auto" w:fill="auto"/>
            <w:noWrap/>
            <w:vAlign w:val="bottom"/>
            <w:hideMark/>
          </w:tcPr>
          <w:p w:rsidR="00367E83" w:rsidRPr="00812AE3" w:rsidRDefault="00367E83" w:rsidP="007D05BD">
            <w:pPr>
              <w:jc w:val="right"/>
              <w:rPr>
                <w:rFonts w:eastAsia="Times New Roman"/>
                <w:color w:val="000000"/>
                <w:szCs w:val="24"/>
              </w:rPr>
            </w:pPr>
            <w:r w:rsidRPr="00812AE3">
              <w:rPr>
                <w:rFonts w:eastAsia="Times New Roman"/>
                <w:color w:val="000000"/>
                <w:szCs w:val="24"/>
              </w:rPr>
              <w:t>31</w:t>
            </w:r>
          </w:p>
        </w:tc>
        <w:tc>
          <w:tcPr>
            <w:tcW w:w="1416" w:type="dxa"/>
            <w:gridSpan w:val="2"/>
            <w:shd w:val="clear" w:color="auto" w:fill="auto"/>
            <w:vAlign w:val="bottom"/>
            <w:hideMark/>
          </w:tcPr>
          <w:p w:rsidR="00367E83" w:rsidRPr="00812AE3" w:rsidRDefault="00367E83" w:rsidP="007D05BD">
            <w:pPr>
              <w:jc w:val="right"/>
              <w:rPr>
                <w:rFonts w:eastAsia="Times New Roman"/>
                <w:color w:val="000000"/>
                <w:szCs w:val="24"/>
              </w:rPr>
            </w:pPr>
            <w:r w:rsidRPr="00812AE3">
              <w:rPr>
                <w:rFonts w:eastAsia="Times New Roman"/>
                <w:color w:val="000000"/>
                <w:szCs w:val="24"/>
              </w:rPr>
              <w:t>235</w:t>
            </w:r>
          </w:p>
        </w:tc>
        <w:tc>
          <w:tcPr>
            <w:tcW w:w="1656" w:type="dxa"/>
            <w:shd w:val="clear" w:color="auto" w:fill="auto"/>
            <w:noWrap/>
            <w:vAlign w:val="bottom"/>
            <w:hideMark/>
          </w:tcPr>
          <w:p w:rsidR="00367E83" w:rsidRPr="00812AE3" w:rsidRDefault="00367E83" w:rsidP="007D05BD">
            <w:pPr>
              <w:jc w:val="right"/>
              <w:rPr>
                <w:rFonts w:eastAsia="Times New Roman"/>
                <w:color w:val="000000"/>
                <w:szCs w:val="24"/>
              </w:rPr>
            </w:pPr>
            <w:r w:rsidRPr="00812AE3">
              <w:rPr>
                <w:rFonts w:eastAsia="Times New Roman"/>
                <w:color w:val="000000"/>
                <w:szCs w:val="24"/>
              </w:rPr>
              <w:t>7,400</w:t>
            </w:r>
          </w:p>
        </w:tc>
        <w:tc>
          <w:tcPr>
            <w:tcW w:w="1656" w:type="dxa"/>
            <w:shd w:val="clear" w:color="auto" w:fill="auto"/>
            <w:noWrap/>
            <w:vAlign w:val="bottom"/>
            <w:hideMark/>
          </w:tcPr>
          <w:p w:rsidR="00367E83" w:rsidRPr="00812AE3" w:rsidRDefault="00367E83" w:rsidP="007D05BD">
            <w:pPr>
              <w:jc w:val="right"/>
              <w:rPr>
                <w:rFonts w:eastAsia="Times New Roman"/>
                <w:bCs/>
                <w:color w:val="000000"/>
                <w:szCs w:val="24"/>
              </w:rPr>
            </w:pPr>
            <w:r w:rsidRPr="00812AE3">
              <w:rPr>
                <w:rFonts w:eastAsia="Times New Roman"/>
                <w:bCs/>
                <w:color w:val="000000"/>
                <w:szCs w:val="24"/>
              </w:rPr>
              <w:t>225,000</w:t>
            </w:r>
          </w:p>
        </w:tc>
        <w:tc>
          <w:tcPr>
            <w:tcW w:w="1896" w:type="dxa"/>
            <w:shd w:val="clear" w:color="auto" w:fill="auto"/>
            <w:noWrap/>
            <w:vAlign w:val="bottom"/>
            <w:hideMark/>
          </w:tcPr>
          <w:p w:rsidR="00367E83" w:rsidRPr="00812AE3" w:rsidRDefault="00367E83" w:rsidP="007D05BD">
            <w:pPr>
              <w:jc w:val="right"/>
              <w:rPr>
                <w:rFonts w:eastAsia="Times New Roman"/>
                <w:bCs/>
                <w:color w:val="000000"/>
                <w:szCs w:val="24"/>
              </w:rPr>
            </w:pPr>
            <w:r w:rsidRPr="00812AE3">
              <w:rPr>
                <w:rFonts w:eastAsia="Times New Roman"/>
                <w:bCs/>
                <w:color w:val="000000"/>
                <w:szCs w:val="24"/>
              </w:rPr>
              <w:t>$581,720</w:t>
            </w:r>
          </w:p>
        </w:tc>
      </w:tr>
    </w:tbl>
    <w:p w:rsidR="00367E83" w:rsidRPr="00812AE3" w:rsidRDefault="00367E83" w:rsidP="00367E83">
      <w:pPr>
        <w:tabs>
          <w:tab w:val="center" w:pos="7200"/>
        </w:tabs>
        <w:spacing w:after="480"/>
        <w:rPr>
          <w:rFonts w:eastAsia="Times New Roman"/>
          <w:szCs w:val="24"/>
        </w:rPr>
      </w:pPr>
    </w:p>
    <w:p w:rsidR="00367E83" w:rsidRPr="009B7851" w:rsidRDefault="00367E83" w:rsidP="00367E83">
      <w:pPr>
        <w:pStyle w:val="Title"/>
        <w:spacing w:after="240"/>
        <w:rPr>
          <w:szCs w:val="24"/>
        </w:rPr>
      </w:pPr>
      <w:r>
        <w:br w:type="page"/>
      </w:r>
      <w:r w:rsidRPr="009B7851">
        <w:rPr>
          <w:szCs w:val="24"/>
        </w:rPr>
        <w:lastRenderedPageBreak/>
        <w:t>Attachment B</w:t>
      </w:r>
    </w:p>
    <w:p w:rsidR="00367E83" w:rsidRPr="009B7851" w:rsidRDefault="00367E83" w:rsidP="00367E83">
      <w:pPr>
        <w:tabs>
          <w:tab w:val="center" w:pos="7200"/>
        </w:tabs>
        <w:jc w:val="center"/>
        <w:rPr>
          <w:rFonts w:eastAsia="Times New Roman"/>
          <w:b/>
          <w:szCs w:val="24"/>
        </w:rPr>
      </w:pPr>
      <w:r w:rsidRPr="009B7851">
        <w:rPr>
          <w:rFonts w:eastAsia="Times New Roman"/>
          <w:b/>
          <w:szCs w:val="24"/>
        </w:rPr>
        <w:t>14.  Annual Reporting and Recordkeeping Cost Burden</w:t>
      </w:r>
    </w:p>
    <w:p w:rsidR="00367E83" w:rsidRPr="009B7851" w:rsidRDefault="00367E83" w:rsidP="00367E83">
      <w:pPr>
        <w:tabs>
          <w:tab w:val="center" w:pos="7200"/>
        </w:tabs>
        <w:jc w:val="center"/>
        <w:rPr>
          <w:rFonts w:eastAsia="Times New Roman"/>
          <w:b/>
          <w:szCs w:val="24"/>
        </w:rPr>
      </w:pPr>
    </w:p>
    <w:p w:rsidR="00367E83" w:rsidRPr="009B7851" w:rsidRDefault="00367E83" w:rsidP="00367E83">
      <w:pPr>
        <w:spacing w:after="240"/>
        <w:jc w:val="center"/>
        <w:rPr>
          <w:rFonts w:eastAsia="Times New Roman"/>
          <w:b/>
          <w:szCs w:val="24"/>
        </w:rPr>
      </w:pPr>
      <w:r w:rsidRPr="009B7851">
        <w:rPr>
          <w:rFonts w:eastAsia="Times New Roman"/>
          <w:b/>
          <w:szCs w:val="24"/>
        </w:rPr>
        <w:t xml:space="preserve">AGGREGATION UNDER PART 151, POSITION LIMITS FOR FUTURES AND SWAPS </w:t>
      </w:r>
    </w:p>
    <w:p w:rsidR="00367E83" w:rsidRPr="009B7851" w:rsidRDefault="00367E83" w:rsidP="00367E83">
      <w:pPr>
        <w:spacing w:after="240"/>
        <w:jc w:val="center"/>
        <w:rPr>
          <w:rFonts w:eastAsia="Times New Roman"/>
          <w:b/>
          <w:szCs w:val="24"/>
        </w:rPr>
      </w:pPr>
      <w:r w:rsidRPr="009B7851">
        <w:rPr>
          <w:rFonts w:eastAsia="Times New Roman"/>
          <w:b/>
          <w:szCs w:val="24"/>
        </w:rPr>
        <w:t>OMB Collection File 3038-077</w:t>
      </w:r>
    </w:p>
    <w:p w:rsidR="00367E83" w:rsidRPr="009B7851" w:rsidRDefault="00367E83" w:rsidP="00367E83">
      <w:pPr>
        <w:spacing w:after="240"/>
        <w:jc w:val="center"/>
        <w:rPr>
          <w:rFonts w:eastAsia="Times New Roman"/>
          <w:b/>
          <w:szCs w:val="24"/>
        </w:rPr>
      </w:pPr>
    </w:p>
    <w:tbl>
      <w:tblPr>
        <w:tblW w:w="0" w:type="auto"/>
        <w:tblLook w:val="04A0" w:firstRow="1" w:lastRow="0" w:firstColumn="1" w:lastColumn="0" w:noHBand="0" w:noVBand="1"/>
      </w:tblPr>
      <w:tblGrid>
        <w:gridCol w:w="2048"/>
        <w:gridCol w:w="2054"/>
        <w:gridCol w:w="1339"/>
        <w:gridCol w:w="1339"/>
        <w:gridCol w:w="2796"/>
      </w:tblGrid>
      <w:tr w:rsidR="00367E83" w:rsidRPr="009B7851" w:rsidTr="007D05BD">
        <w:tc>
          <w:tcPr>
            <w:tcW w:w="5284" w:type="dxa"/>
            <w:gridSpan w:val="3"/>
          </w:tcPr>
          <w:p w:rsidR="00367E83" w:rsidRPr="009B7851" w:rsidRDefault="00367E83" w:rsidP="007D05BD">
            <w:pPr>
              <w:spacing w:after="480"/>
              <w:rPr>
                <w:rFonts w:eastAsia="Times New Roman"/>
                <w:b/>
                <w:szCs w:val="24"/>
              </w:rPr>
            </w:pPr>
            <w:r w:rsidRPr="009B7851">
              <w:rPr>
                <w:rFonts w:eastAsia="Times New Roman"/>
                <w:szCs w:val="24"/>
              </w:rPr>
              <w:t xml:space="preserve">Number of Respondents:                              </w:t>
            </w:r>
          </w:p>
        </w:tc>
        <w:tc>
          <w:tcPr>
            <w:tcW w:w="4292" w:type="dxa"/>
            <w:gridSpan w:val="2"/>
          </w:tcPr>
          <w:p w:rsidR="00367E83" w:rsidRPr="009B7851" w:rsidRDefault="00367E83" w:rsidP="007D05BD">
            <w:pPr>
              <w:tabs>
                <w:tab w:val="center" w:pos="7200"/>
              </w:tabs>
              <w:spacing w:after="120"/>
              <w:rPr>
                <w:rFonts w:eastAsia="Times New Roman"/>
                <w:szCs w:val="24"/>
              </w:rPr>
            </w:pPr>
            <w:r w:rsidRPr="009B7851">
              <w:rPr>
                <w:rFonts w:eastAsia="Times New Roman"/>
                <w:szCs w:val="24"/>
              </w:rPr>
              <w:t>145</w:t>
            </w:r>
          </w:p>
        </w:tc>
      </w:tr>
      <w:tr w:rsidR="00367E83" w:rsidRPr="009B7851" w:rsidTr="007D05BD">
        <w:tc>
          <w:tcPr>
            <w:tcW w:w="5284" w:type="dxa"/>
            <w:gridSpan w:val="3"/>
          </w:tcPr>
          <w:p w:rsidR="00367E83" w:rsidRPr="009B7851" w:rsidRDefault="00367E83" w:rsidP="007D05BD">
            <w:pPr>
              <w:spacing w:after="480"/>
              <w:rPr>
                <w:rFonts w:eastAsia="Times New Roman"/>
                <w:szCs w:val="24"/>
              </w:rPr>
            </w:pPr>
            <w:r w:rsidRPr="009B7851">
              <w:rPr>
                <w:rFonts w:eastAsia="Times New Roman"/>
                <w:szCs w:val="24"/>
              </w:rPr>
              <w:t xml:space="preserve">Estimated Total Annualized </w:t>
            </w:r>
            <w:proofErr w:type="spellStart"/>
            <w:r w:rsidRPr="009B7851">
              <w:rPr>
                <w:rFonts w:eastAsia="Times New Roman"/>
                <w:szCs w:val="24"/>
              </w:rPr>
              <w:t>Annualized</w:t>
            </w:r>
            <w:proofErr w:type="spellEnd"/>
            <w:r w:rsidRPr="009B7851">
              <w:rPr>
                <w:rFonts w:eastAsia="Times New Roman"/>
                <w:szCs w:val="24"/>
              </w:rPr>
              <w:t xml:space="preserve"> Capital and Start-up Costs:</w:t>
            </w:r>
          </w:p>
        </w:tc>
        <w:tc>
          <w:tcPr>
            <w:tcW w:w="4292" w:type="dxa"/>
            <w:gridSpan w:val="2"/>
          </w:tcPr>
          <w:p w:rsidR="00367E83" w:rsidRPr="009B7851" w:rsidRDefault="00367E83" w:rsidP="007D05BD">
            <w:pPr>
              <w:spacing w:after="480"/>
              <w:rPr>
                <w:rFonts w:eastAsia="Times New Roman"/>
                <w:szCs w:val="24"/>
              </w:rPr>
            </w:pPr>
            <w:r w:rsidRPr="009B7851">
              <w:rPr>
                <w:rFonts w:eastAsia="Times New Roman"/>
                <w:szCs w:val="24"/>
              </w:rPr>
              <w:t>$0</w:t>
            </w:r>
          </w:p>
        </w:tc>
      </w:tr>
      <w:tr w:rsidR="00367E83" w:rsidRPr="009B7851" w:rsidTr="007D05BD">
        <w:tc>
          <w:tcPr>
            <w:tcW w:w="5284" w:type="dxa"/>
            <w:gridSpan w:val="3"/>
          </w:tcPr>
          <w:p w:rsidR="00367E83" w:rsidRPr="009B7851" w:rsidRDefault="00367E83" w:rsidP="007D05BD">
            <w:pPr>
              <w:spacing w:after="480"/>
              <w:rPr>
                <w:rFonts w:eastAsia="Times New Roman"/>
                <w:szCs w:val="24"/>
              </w:rPr>
            </w:pPr>
            <w:r w:rsidRPr="009B7851">
              <w:rPr>
                <w:rFonts w:eastAsia="Times New Roman"/>
                <w:szCs w:val="24"/>
              </w:rPr>
              <w:t>Estimated Total Annual Operating and Maintenance Costs:</w:t>
            </w:r>
          </w:p>
        </w:tc>
        <w:tc>
          <w:tcPr>
            <w:tcW w:w="4292" w:type="dxa"/>
            <w:gridSpan w:val="2"/>
          </w:tcPr>
          <w:p w:rsidR="00367E83" w:rsidRPr="009B7851" w:rsidRDefault="00367E83" w:rsidP="007D05BD">
            <w:pPr>
              <w:spacing w:after="480"/>
              <w:rPr>
                <w:rFonts w:eastAsia="Times New Roman"/>
                <w:szCs w:val="24"/>
              </w:rPr>
            </w:pPr>
            <w:r w:rsidRPr="009B7851">
              <w:rPr>
                <w:rFonts w:eastAsia="Times New Roman"/>
                <w:szCs w:val="24"/>
              </w:rPr>
              <w:t>$0</w:t>
            </w:r>
          </w:p>
        </w:tc>
      </w:tr>
      <w:tr w:rsidR="00367E83" w:rsidRPr="009B7851" w:rsidTr="007D05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77"/>
        </w:trPr>
        <w:tc>
          <w:tcPr>
            <w:tcW w:w="0" w:type="auto"/>
            <w:shd w:val="clear" w:color="auto" w:fill="auto"/>
            <w:vAlign w:val="center"/>
            <w:hideMark/>
          </w:tcPr>
          <w:p w:rsidR="00367E83" w:rsidRPr="009B7851" w:rsidRDefault="00367E83" w:rsidP="007D05BD">
            <w:pPr>
              <w:jc w:val="center"/>
              <w:rPr>
                <w:rFonts w:eastAsia="Times New Roman"/>
                <w:b/>
                <w:bCs/>
                <w:color w:val="000000"/>
                <w:szCs w:val="24"/>
              </w:rPr>
            </w:pPr>
            <w:r w:rsidRPr="009B7851">
              <w:rPr>
                <w:rFonts w:eastAsia="Times New Roman"/>
                <w:b/>
                <w:bCs/>
                <w:color w:val="000000"/>
                <w:szCs w:val="24"/>
              </w:rPr>
              <w:t>Type of Respondent</w:t>
            </w:r>
          </w:p>
        </w:tc>
        <w:tc>
          <w:tcPr>
            <w:tcW w:w="0" w:type="auto"/>
            <w:shd w:val="clear" w:color="auto" w:fill="auto"/>
            <w:vAlign w:val="center"/>
            <w:hideMark/>
          </w:tcPr>
          <w:p w:rsidR="00367E83" w:rsidRPr="009B7851" w:rsidRDefault="00367E83" w:rsidP="007D05BD">
            <w:pPr>
              <w:jc w:val="center"/>
              <w:rPr>
                <w:rFonts w:eastAsia="Times New Roman"/>
                <w:b/>
                <w:bCs/>
                <w:color w:val="000000"/>
                <w:szCs w:val="24"/>
              </w:rPr>
            </w:pPr>
            <w:r w:rsidRPr="009B7851">
              <w:rPr>
                <w:rFonts w:eastAsia="Times New Roman"/>
                <w:b/>
                <w:bCs/>
                <w:color w:val="000000"/>
                <w:szCs w:val="24"/>
              </w:rPr>
              <w:t xml:space="preserve">Total Number of Respondents  </w:t>
            </w:r>
          </w:p>
        </w:tc>
        <w:tc>
          <w:tcPr>
            <w:tcW w:w="0" w:type="auto"/>
            <w:gridSpan w:val="2"/>
            <w:shd w:val="clear" w:color="auto" w:fill="auto"/>
            <w:vAlign w:val="center"/>
            <w:hideMark/>
          </w:tcPr>
          <w:p w:rsidR="00367E83" w:rsidRPr="009B7851" w:rsidRDefault="00367E83" w:rsidP="007D05BD">
            <w:pPr>
              <w:jc w:val="center"/>
              <w:rPr>
                <w:rFonts w:eastAsia="Times New Roman"/>
                <w:b/>
                <w:bCs/>
                <w:color w:val="000000"/>
                <w:szCs w:val="24"/>
              </w:rPr>
            </w:pPr>
            <w:r w:rsidRPr="009B7851">
              <w:rPr>
                <w:rFonts w:eastAsia="Times New Roman"/>
                <w:b/>
                <w:bCs/>
                <w:color w:val="000000"/>
                <w:szCs w:val="24"/>
              </w:rPr>
              <w:t>Total Annualized Capital/Start-up Costs (14(a))</w:t>
            </w:r>
          </w:p>
        </w:tc>
        <w:tc>
          <w:tcPr>
            <w:tcW w:w="0" w:type="auto"/>
            <w:shd w:val="clear" w:color="auto" w:fill="auto"/>
            <w:vAlign w:val="center"/>
            <w:hideMark/>
          </w:tcPr>
          <w:p w:rsidR="00367E83" w:rsidRPr="009B7851" w:rsidRDefault="00367E83" w:rsidP="007D05BD">
            <w:pPr>
              <w:jc w:val="center"/>
              <w:rPr>
                <w:rFonts w:eastAsia="Times New Roman"/>
                <w:b/>
                <w:bCs/>
                <w:color w:val="000000"/>
                <w:szCs w:val="24"/>
              </w:rPr>
            </w:pPr>
            <w:r w:rsidRPr="009B7851">
              <w:rPr>
                <w:rFonts w:eastAsia="Times New Roman"/>
                <w:b/>
                <w:bCs/>
                <w:color w:val="000000"/>
                <w:szCs w:val="24"/>
              </w:rPr>
              <w:t>Total Annual Operating &amp; Maintenance Costs (14(b))</w:t>
            </w:r>
          </w:p>
        </w:tc>
      </w:tr>
      <w:tr w:rsidR="00367E83" w:rsidRPr="009B7851" w:rsidTr="007D05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0" w:type="auto"/>
            <w:shd w:val="clear" w:color="auto" w:fill="auto"/>
            <w:vAlign w:val="bottom"/>
            <w:hideMark/>
          </w:tcPr>
          <w:p w:rsidR="00367E83" w:rsidRPr="009B7851" w:rsidRDefault="00367E83" w:rsidP="007D05BD">
            <w:pPr>
              <w:rPr>
                <w:rFonts w:eastAsia="Times New Roman"/>
                <w:color w:val="000000"/>
                <w:szCs w:val="24"/>
              </w:rPr>
            </w:pPr>
            <w:r w:rsidRPr="009B7851">
              <w:rPr>
                <w:rFonts w:eastAsia="Times New Roman"/>
                <w:color w:val="000000"/>
                <w:szCs w:val="24"/>
              </w:rPr>
              <w:t>Disaggregation applications</w:t>
            </w:r>
          </w:p>
        </w:tc>
        <w:tc>
          <w:tcPr>
            <w:tcW w:w="0" w:type="auto"/>
            <w:shd w:val="clear" w:color="auto" w:fill="auto"/>
            <w:vAlign w:val="bottom"/>
            <w:hideMark/>
          </w:tcPr>
          <w:p w:rsidR="00367E83" w:rsidRPr="009B7851" w:rsidRDefault="00367E83" w:rsidP="007D05BD">
            <w:pPr>
              <w:jc w:val="right"/>
              <w:rPr>
                <w:rFonts w:eastAsia="Times New Roman"/>
                <w:color w:val="000000"/>
                <w:szCs w:val="24"/>
              </w:rPr>
            </w:pPr>
            <w:r w:rsidRPr="009B7851">
              <w:rPr>
                <w:rFonts w:eastAsia="Times New Roman"/>
                <w:color w:val="000000"/>
                <w:szCs w:val="24"/>
              </w:rPr>
              <w:t>145</w:t>
            </w:r>
          </w:p>
        </w:tc>
        <w:tc>
          <w:tcPr>
            <w:tcW w:w="0" w:type="auto"/>
            <w:gridSpan w:val="2"/>
            <w:shd w:val="clear" w:color="auto" w:fill="auto"/>
            <w:noWrap/>
            <w:vAlign w:val="bottom"/>
          </w:tcPr>
          <w:p w:rsidR="00367E83" w:rsidRPr="009B7851" w:rsidRDefault="00367E83" w:rsidP="007D05BD">
            <w:pPr>
              <w:jc w:val="right"/>
              <w:rPr>
                <w:rFonts w:eastAsia="Times New Roman"/>
                <w:bCs/>
                <w:color w:val="000000"/>
                <w:szCs w:val="24"/>
              </w:rPr>
            </w:pPr>
            <w:r w:rsidRPr="009B7851">
              <w:rPr>
                <w:rFonts w:eastAsia="Times New Roman"/>
                <w:bCs/>
                <w:color w:val="000000"/>
                <w:szCs w:val="24"/>
              </w:rPr>
              <w:t>0</w:t>
            </w:r>
          </w:p>
        </w:tc>
        <w:tc>
          <w:tcPr>
            <w:tcW w:w="0" w:type="auto"/>
            <w:shd w:val="clear" w:color="auto" w:fill="auto"/>
            <w:vAlign w:val="bottom"/>
          </w:tcPr>
          <w:p w:rsidR="00367E83" w:rsidRPr="009B7851" w:rsidRDefault="00367E83" w:rsidP="007D05BD">
            <w:pPr>
              <w:jc w:val="right"/>
              <w:rPr>
                <w:rFonts w:eastAsia="Times New Roman"/>
                <w:bCs/>
                <w:color w:val="000000"/>
                <w:szCs w:val="24"/>
              </w:rPr>
            </w:pPr>
            <w:r w:rsidRPr="009B7851">
              <w:rPr>
                <w:rFonts w:eastAsia="Times New Roman"/>
                <w:bCs/>
                <w:color w:val="000000"/>
                <w:szCs w:val="24"/>
              </w:rPr>
              <w:t>0</w:t>
            </w:r>
          </w:p>
        </w:tc>
      </w:tr>
    </w:tbl>
    <w:p w:rsidR="00367E83" w:rsidRPr="009B7851" w:rsidRDefault="00367E83" w:rsidP="00367E83">
      <w:pPr>
        <w:tabs>
          <w:tab w:val="center" w:pos="7200"/>
        </w:tabs>
        <w:spacing w:after="480"/>
        <w:rPr>
          <w:rFonts w:eastAsia="Times New Roman"/>
          <w:szCs w:val="24"/>
        </w:rPr>
      </w:pPr>
    </w:p>
    <w:p w:rsidR="00367E83" w:rsidRPr="00774C9B" w:rsidRDefault="00367E83" w:rsidP="00367E83"/>
    <w:p w:rsidR="00585718" w:rsidRDefault="00585718"/>
    <w:sectPr w:rsidR="00585718" w:rsidSect="0058571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E83" w:rsidRDefault="00367E83" w:rsidP="00367E83">
      <w:r>
        <w:separator/>
      </w:r>
    </w:p>
  </w:endnote>
  <w:endnote w:type="continuationSeparator" w:id="0">
    <w:p w:rsidR="00367E83" w:rsidRDefault="00367E83" w:rsidP="00367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851" w:rsidRDefault="00367E83">
    <w:pPr>
      <w:pStyle w:val="Footer"/>
      <w:jc w:val="center"/>
    </w:pPr>
    <w:r>
      <w:fldChar w:fldCharType="begin"/>
    </w:r>
    <w:r>
      <w:instrText xml:space="preserve"> PAGE   \* MERGEFORMAT </w:instrText>
    </w:r>
    <w:r>
      <w:fldChar w:fldCharType="separate"/>
    </w:r>
    <w:r>
      <w:rPr>
        <w:noProof/>
      </w:rPr>
      <w:t>1</w:t>
    </w:r>
    <w:r>
      <w:fldChar w:fldCharType="end"/>
    </w:r>
  </w:p>
  <w:p w:rsidR="009B7851" w:rsidRDefault="00367E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E83" w:rsidRDefault="00367E83" w:rsidP="00367E83">
      <w:r>
        <w:separator/>
      </w:r>
    </w:p>
  </w:footnote>
  <w:footnote w:type="continuationSeparator" w:id="0">
    <w:p w:rsidR="00367E83" w:rsidRDefault="00367E83" w:rsidP="00367E83">
      <w:r>
        <w:continuationSeparator/>
      </w:r>
    </w:p>
  </w:footnote>
  <w:footnote w:id="1">
    <w:p w:rsidR="00367E83" w:rsidRPr="00742DC9" w:rsidRDefault="00367E83" w:rsidP="00367E83">
      <w:pPr>
        <w:pStyle w:val="PlainText"/>
        <w:rPr>
          <w:rFonts w:ascii="Times New Roman" w:hAnsi="Times New Roman"/>
          <w:color w:val="auto"/>
          <w:sz w:val="20"/>
          <w:szCs w:val="20"/>
        </w:rPr>
      </w:pPr>
      <w:r w:rsidRPr="00742DC9">
        <w:rPr>
          <w:rStyle w:val="FootnoteReference"/>
          <w:rFonts w:ascii="Times New Roman" w:hAnsi="Times New Roman"/>
          <w:color w:val="auto"/>
          <w:sz w:val="20"/>
          <w:szCs w:val="20"/>
        </w:rPr>
        <w:footnoteRef/>
      </w:r>
      <w:r w:rsidRPr="00742DC9">
        <w:rPr>
          <w:rFonts w:ascii="Times New Roman" w:hAnsi="Times New Roman"/>
          <w:color w:val="auto"/>
          <w:sz w:val="20"/>
          <w:szCs w:val="20"/>
        </w:rPr>
        <w:t xml:space="preserve"> </w:t>
      </w:r>
      <w:r w:rsidRPr="00742DC9">
        <w:rPr>
          <w:rFonts w:ascii="Times New Roman" w:hAnsi="Times New Roman"/>
          <w:i/>
          <w:color w:val="auto"/>
          <w:sz w:val="20"/>
          <w:szCs w:val="20"/>
        </w:rPr>
        <w:t>See</w:t>
      </w:r>
      <w:r w:rsidRPr="00742DC9">
        <w:rPr>
          <w:rFonts w:ascii="Times New Roman" w:hAnsi="Times New Roman"/>
          <w:color w:val="auto"/>
          <w:sz w:val="20"/>
          <w:szCs w:val="20"/>
        </w:rPr>
        <w:t xml:space="preserve"> Dodd-Frank Wall Street Reform and Consumer Protection Act, Pub. </w:t>
      </w:r>
      <w:proofErr w:type="gramStart"/>
      <w:r w:rsidRPr="00742DC9">
        <w:rPr>
          <w:rFonts w:ascii="Times New Roman" w:hAnsi="Times New Roman"/>
          <w:color w:val="auto"/>
          <w:sz w:val="20"/>
          <w:szCs w:val="20"/>
        </w:rPr>
        <w:t>L. No. 111-203, 124 Stat. 1376 (2010).</w:t>
      </w:r>
      <w:proofErr w:type="gramEnd"/>
      <w:r w:rsidRPr="00742DC9">
        <w:rPr>
          <w:rFonts w:ascii="Times New Roman" w:hAnsi="Times New Roman"/>
          <w:color w:val="auto"/>
          <w:sz w:val="20"/>
          <w:szCs w:val="20"/>
        </w:rPr>
        <w:t xml:space="preserve"> </w:t>
      </w:r>
    </w:p>
    <w:p w:rsidR="00367E83" w:rsidRPr="00742DC9" w:rsidRDefault="00367E83" w:rsidP="00367E83">
      <w:pPr>
        <w:pStyle w:val="PlainText"/>
        <w:rPr>
          <w:rFonts w:ascii="Times New Roman" w:hAnsi="Times New Roman"/>
          <w:color w:val="auto"/>
          <w:sz w:val="20"/>
          <w:szCs w:val="20"/>
        </w:rPr>
      </w:pPr>
      <w:r w:rsidRPr="00742DC9">
        <w:rPr>
          <w:rFonts w:ascii="Times New Roman" w:hAnsi="Times New Roman"/>
          <w:color w:val="auto"/>
          <w:sz w:val="20"/>
          <w:szCs w:val="20"/>
        </w:rPr>
        <w:t xml:space="preserve"> </w:t>
      </w:r>
    </w:p>
  </w:footnote>
  <w:footnote w:id="2">
    <w:p w:rsidR="00367E83" w:rsidRPr="00742DC9" w:rsidRDefault="00367E83" w:rsidP="00367E83">
      <w:pPr>
        <w:pStyle w:val="FootnoteText"/>
        <w:rPr>
          <w:rFonts w:ascii="Times New Roman" w:hAnsi="Times New Roman"/>
          <w:sz w:val="20"/>
        </w:rPr>
      </w:pPr>
      <w:r w:rsidRPr="00742DC9">
        <w:rPr>
          <w:rStyle w:val="FootnoteReference"/>
          <w:rFonts w:ascii="Times New Roman" w:hAnsi="Times New Roman"/>
          <w:sz w:val="20"/>
        </w:rPr>
        <w:footnoteRef/>
      </w:r>
      <w:r w:rsidRPr="00742DC9">
        <w:rPr>
          <w:rFonts w:ascii="Times New Roman" w:hAnsi="Times New Roman"/>
          <w:sz w:val="20"/>
        </w:rPr>
        <w:t xml:space="preserve"> </w:t>
      </w:r>
      <w:proofErr w:type="gramStart"/>
      <w:r w:rsidRPr="00742DC9">
        <w:rPr>
          <w:rFonts w:ascii="Times New Roman" w:hAnsi="Times New Roman"/>
          <w:sz w:val="20"/>
        </w:rPr>
        <w:t xml:space="preserve">7 U.S.C. 1 </w:t>
      </w:r>
      <w:r w:rsidRPr="00742DC9">
        <w:rPr>
          <w:rFonts w:ascii="Times New Roman" w:hAnsi="Times New Roman"/>
          <w:i/>
          <w:sz w:val="20"/>
        </w:rPr>
        <w:t>et seq.</w:t>
      </w:r>
      <w:proofErr w:type="gramEnd"/>
    </w:p>
    <w:p w:rsidR="00367E83" w:rsidRPr="00742DC9" w:rsidRDefault="00367E83" w:rsidP="00367E83">
      <w:pPr>
        <w:pStyle w:val="FootnoteText"/>
        <w:rPr>
          <w:rFonts w:ascii="Times New Roman" w:hAnsi="Times New Roman"/>
          <w:sz w:val="20"/>
        </w:rPr>
      </w:pPr>
    </w:p>
  </w:footnote>
  <w:footnote w:id="3">
    <w:p w:rsidR="00367E83" w:rsidRDefault="00367E83" w:rsidP="00367E83"/>
  </w:footnote>
  <w:footnote w:id="4">
    <w:p w:rsidR="00367E83" w:rsidRPr="00463166" w:rsidRDefault="00367E83" w:rsidP="00367E83">
      <w:pPr>
        <w:pStyle w:val="FootnoteText"/>
        <w:rPr>
          <w:rFonts w:ascii="Times New Roman" w:hAnsi="Times New Roman"/>
          <w:szCs w:val="24"/>
        </w:rPr>
      </w:pPr>
      <w:r w:rsidRPr="00463166">
        <w:rPr>
          <w:rStyle w:val="FootnoteReference"/>
          <w:rFonts w:ascii="Times New Roman" w:hAnsi="Times New Roman"/>
          <w:szCs w:val="24"/>
        </w:rPr>
        <w:footnoteRef/>
      </w:r>
      <w:r w:rsidRPr="00463166">
        <w:rPr>
          <w:rFonts w:ascii="Times New Roman" w:hAnsi="Times New Roman"/>
          <w:szCs w:val="24"/>
        </w:rPr>
        <w:t xml:space="preserve"> The Commission staff's estimates concerning the wage rates are based on salary information for the securities industry compiled by the Securities Industry and Financial Markets Association (“SIFMA”). The $74.36 per hour is derived from figures from a weighted average of salaries and bonuses across different professions from the SIFMA Report on Management &amp; Professional Earnings in the Securities Industry 20</w:t>
      </w:r>
      <w:r>
        <w:rPr>
          <w:rFonts w:ascii="Times New Roman" w:hAnsi="Times New Roman"/>
          <w:szCs w:val="24"/>
        </w:rPr>
        <w:t>10</w:t>
      </w:r>
      <w:r w:rsidRPr="00463166">
        <w:rPr>
          <w:rFonts w:ascii="Times New Roman" w:hAnsi="Times New Roman"/>
          <w:szCs w:val="24"/>
        </w:rPr>
        <w:t xml:space="preserve">, modified to account for an 1800-hour work-year and multiplied by 1.3 to account for overhead and other benefits.  The wage rate is a weighted national average of salary and bonuses for professionals with the following titles (and their relative weight); “programmer (senior)” (60% weight), “compliance advisor (intermediate)” (20%), “systems analyst” (10%), and “assistant/associate general counsel” (10%).  </w:t>
      </w:r>
    </w:p>
    <w:p w:rsidR="00367E83" w:rsidRPr="00463166" w:rsidRDefault="00367E83" w:rsidP="00367E83">
      <w:pPr>
        <w:pStyle w:val="FootnoteText"/>
        <w:rPr>
          <w:rFonts w:ascii="Times New Roman" w:hAnsi="Times New Roman"/>
          <w:szCs w:val="24"/>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C6188"/>
    <w:multiLevelType w:val="hybridMultilevel"/>
    <w:tmpl w:val="A2FE65BA"/>
    <w:lvl w:ilvl="0" w:tplc="04090001">
      <w:start w:val="1"/>
      <w:numFmt w:val="bullet"/>
      <w:lvlText w:val=""/>
      <w:lvlJc w:val="left"/>
      <w:pPr>
        <w:ind w:left="720" w:hanging="360"/>
      </w:pPr>
      <w:rPr>
        <w:rFonts w:ascii="Symbol" w:hAnsi="Symbol" w:hint="default"/>
      </w:rPr>
    </w:lvl>
    <w:lvl w:ilvl="1" w:tplc="7A267B96">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3C75B3"/>
    <w:multiLevelType w:val="hybridMultilevel"/>
    <w:tmpl w:val="2B0E3B8E"/>
    <w:lvl w:ilvl="0" w:tplc="7544287A">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705D9E"/>
    <w:multiLevelType w:val="hybridMultilevel"/>
    <w:tmpl w:val="ED4AB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C80B18"/>
    <w:multiLevelType w:val="hybridMultilevel"/>
    <w:tmpl w:val="789EC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F75B28"/>
    <w:multiLevelType w:val="hybridMultilevel"/>
    <w:tmpl w:val="7F429AFC"/>
    <w:lvl w:ilvl="0" w:tplc="7A267B96">
      <w:start w:val="1"/>
      <w:numFmt w:val="bullet"/>
      <w:lvlText w:val="­"/>
      <w:lvlJc w:val="left"/>
      <w:pPr>
        <w:ind w:left="720" w:hanging="360"/>
      </w:pPr>
      <w:rPr>
        <w:rFonts w:ascii="Courier New" w:hAnsi="Courier New" w:hint="default"/>
      </w:rPr>
    </w:lvl>
    <w:lvl w:ilvl="1" w:tplc="7A267B96">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67E83"/>
    <w:rsid w:val="000576BF"/>
    <w:rsid w:val="00072761"/>
    <w:rsid w:val="000803D6"/>
    <w:rsid w:val="00090E37"/>
    <w:rsid w:val="000B52BF"/>
    <w:rsid w:val="00307E70"/>
    <w:rsid w:val="00367E83"/>
    <w:rsid w:val="0039631F"/>
    <w:rsid w:val="005075DF"/>
    <w:rsid w:val="00511597"/>
    <w:rsid w:val="00585718"/>
    <w:rsid w:val="00607D38"/>
    <w:rsid w:val="006243BC"/>
    <w:rsid w:val="00624B76"/>
    <w:rsid w:val="0063622E"/>
    <w:rsid w:val="00667CD6"/>
    <w:rsid w:val="006A735D"/>
    <w:rsid w:val="007029A9"/>
    <w:rsid w:val="007B345F"/>
    <w:rsid w:val="00907E26"/>
    <w:rsid w:val="009309EC"/>
    <w:rsid w:val="00944B85"/>
    <w:rsid w:val="00AB45D9"/>
    <w:rsid w:val="00B91704"/>
    <w:rsid w:val="00BE6AC8"/>
    <w:rsid w:val="00C23A3C"/>
    <w:rsid w:val="00C62EF1"/>
    <w:rsid w:val="00D27AE8"/>
    <w:rsid w:val="00DB1AD1"/>
    <w:rsid w:val="00DB7297"/>
    <w:rsid w:val="00E229CB"/>
    <w:rsid w:val="00E87F90"/>
    <w:rsid w:val="00F37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E83"/>
    <w:pPr>
      <w:spacing w:after="0"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7E83"/>
    <w:pPr>
      <w:ind w:left="720"/>
      <w:contextualSpacing/>
    </w:pPr>
  </w:style>
  <w:style w:type="paragraph" w:styleId="FootnoteText">
    <w:name w:val="footnote text"/>
    <w:basedOn w:val="Normal"/>
    <w:link w:val="FootnoteTextChar"/>
    <w:rsid w:val="00367E83"/>
    <w:rPr>
      <w:rFonts w:ascii="Courier" w:eastAsia="Times New Roman" w:hAnsi="Courier"/>
      <w:szCs w:val="20"/>
    </w:rPr>
  </w:style>
  <w:style w:type="character" w:customStyle="1" w:styleId="FootnoteTextChar">
    <w:name w:val="Footnote Text Char"/>
    <w:basedOn w:val="DefaultParagraphFont"/>
    <w:link w:val="FootnoteText"/>
    <w:rsid w:val="00367E83"/>
    <w:rPr>
      <w:rFonts w:ascii="Courier" w:eastAsia="Times New Roman" w:hAnsi="Courier" w:cs="Times New Roman"/>
      <w:sz w:val="24"/>
      <w:szCs w:val="20"/>
    </w:rPr>
  </w:style>
  <w:style w:type="character" w:styleId="FootnoteReference">
    <w:name w:val="footnote reference"/>
    <w:semiHidden/>
    <w:rsid w:val="00367E83"/>
    <w:rPr>
      <w:vertAlign w:val="superscript"/>
    </w:rPr>
  </w:style>
  <w:style w:type="paragraph" w:styleId="PlainText">
    <w:name w:val="Plain Text"/>
    <w:basedOn w:val="Normal"/>
    <w:link w:val="PlainTextChar"/>
    <w:uiPriority w:val="99"/>
    <w:unhideWhenUsed/>
    <w:rsid w:val="00367E83"/>
    <w:rPr>
      <w:rFonts w:ascii="Calibri" w:eastAsia="Times New Roman" w:hAnsi="Calibri"/>
      <w:color w:val="1F497D"/>
      <w:sz w:val="22"/>
      <w:szCs w:val="21"/>
    </w:rPr>
  </w:style>
  <w:style w:type="character" w:customStyle="1" w:styleId="PlainTextChar">
    <w:name w:val="Plain Text Char"/>
    <w:basedOn w:val="DefaultParagraphFont"/>
    <w:link w:val="PlainText"/>
    <w:uiPriority w:val="99"/>
    <w:rsid w:val="00367E83"/>
    <w:rPr>
      <w:rFonts w:ascii="Calibri" w:eastAsia="Times New Roman" w:hAnsi="Calibri" w:cs="Times New Roman"/>
      <w:color w:val="1F497D"/>
      <w:szCs w:val="21"/>
    </w:rPr>
  </w:style>
  <w:style w:type="paragraph" w:styleId="Footer">
    <w:name w:val="footer"/>
    <w:basedOn w:val="Normal"/>
    <w:link w:val="FooterChar"/>
    <w:uiPriority w:val="99"/>
    <w:unhideWhenUsed/>
    <w:rsid w:val="00367E83"/>
    <w:pPr>
      <w:tabs>
        <w:tab w:val="center" w:pos="4680"/>
        <w:tab w:val="right" w:pos="9360"/>
      </w:tabs>
    </w:pPr>
  </w:style>
  <w:style w:type="character" w:customStyle="1" w:styleId="FooterChar">
    <w:name w:val="Footer Char"/>
    <w:basedOn w:val="DefaultParagraphFont"/>
    <w:link w:val="Footer"/>
    <w:uiPriority w:val="99"/>
    <w:rsid w:val="00367E83"/>
    <w:rPr>
      <w:rFonts w:ascii="Times New Roman" w:eastAsia="Calibri" w:hAnsi="Times New Roman" w:cs="Times New Roman"/>
      <w:sz w:val="24"/>
    </w:rPr>
  </w:style>
  <w:style w:type="paragraph" w:styleId="Title">
    <w:name w:val="Title"/>
    <w:basedOn w:val="Normal"/>
    <w:link w:val="TitleChar"/>
    <w:qFormat/>
    <w:rsid w:val="00367E83"/>
    <w:pPr>
      <w:jc w:val="center"/>
    </w:pPr>
    <w:rPr>
      <w:rFonts w:eastAsia="Times New Roman"/>
      <w:b/>
      <w:sz w:val="40"/>
      <w:szCs w:val="20"/>
    </w:rPr>
  </w:style>
  <w:style w:type="character" w:customStyle="1" w:styleId="TitleChar">
    <w:name w:val="Title Char"/>
    <w:basedOn w:val="DefaultParagraphFont"/>
    <w:link w:val="Title"/>
    <w:rsid w:val="00367E83"/>
    <w:rPr>
      <w:rFonts w:ascii="Times New Roman" w:eastAsia="Times New Roman" w:hAnsi="Times New Roman" w:cs="Times New Roman"/>
      <w:b/>
      <w:sz w:val="40"/>
      <w:szCs w:val="20"/>
    </w:rPr>
  </w:style>
  <w:style w:type="paragraph" w:customStyle="1" w:styleId="WW-Default">
    <w:name w:val="WW-Default"/>
    <w:rsid w:val="00367E83"/>
    <w:pPr>
      <w:suppressAutoHyphens/>
      <w:autoSpaceDE w:val="0"/>
      <w:spacing w:after="0" w:line="240" w:lineRule="auto"/>
    </w:pPr>
    <w:rPr>
      <w:rFonts w:ascii="Arial" w:eastAsia="Calibri" w:hAnsi="Arial" w:cs="Arial"/>
      <w:color w:val="000000"/>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3376</Words>
  <Characters>19249</Characters>
  <Application>Microsoft Office Word</Application>
  <DocSecurity>0</DocSecurity>
  <Lines>160</Lines>
  <Paragraphs>45</Paragraphs>
  <ScaleCrop>false</ScaleCrop>
  <Company>CFTC</Company>
  <LinksUpToDate>false</LinksUpToDate>
  <CharactersWithSpaces>22580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VHill</dc:creator>
  <cp:lastModifiedBy>VHill</cp:lastModifiedBy>
  <cp:revision>1</cp:revision>
  <dcterms:created xsi:type="dcterms:W3CDTF">2012-06-21T19:50:00Z</dcterms:created>
  <dcterms:modified xsi:type="dcterms:W3CDTF">2012-06-21T19:51:00Z</dcterms:modified>
</cp:coreProperties>
</file>