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83" w:rsidRDefault="00917A83">
      <w:pPr>
        <w:jc w:val="center"/>
      </w:pPr>
      <w:r>
        <w:rPr>
          <w:rFonts w:ascii="Helvetica" w:hAnsi="Helvetica"/>
          <w:b/>
          <w:sz w:val="28"/>
        </w:rPr>
        <w:t>Paperwork Reduction Act Submission</w:t>
      </w:r>
    </w:p>
    <w:p w:rsidR="00917A83" w:rsidRDefault="00917A8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917A83">
        <w:tc>
          <w:tcPr>
            <w:tcW w:w="7428" w:type="dxa"/>
            <w:gridSpan w:val="2"/>
            <w:tcBorders>
              <w:top w:val="single" w:sz="6" w:space="0" w:color="auto"/>
            </w:tcBorders>
          </w:tcPr>
          <w:p w:rsidR="00917A83" w:rsidRDefault="00917A83">
            <w:pPr>
              <w:rPr>
                <w:rFonts w:ascii="Helvetica" w:hAnsi="Helvetica"/>
                <w:sz w:val="14"/>
              </w:rPr>
            </w:pPr>
            <w:r>
              <w:rPr>
                <w:rFonts w:ascii="Helvetica" w:hAnsi="Helvetica"/>
                <w:sz w:val="16"/>
              </w:rPr>
              <w:t>1</w:t>
            </w:r>
            <w:r>
              <w:rPr>
                <w:rFonts w:ascii="Helvetica" w:hAnsi="Helvetica"/>
                <w:sz w:val="14"/>
              </w:rPr>
              <w:t>. Agency/Subagency Originating Request:</w:t>
            </w:r>
          </w:p>
          <w:p w:rsidR="00917A83" w:rsidRDefault="00917A83">
            <w:pPr>
              <w:ind w:left="120"/>
              <w:rPr>
                <w:rFonts w:ascii="Helvetica" w:hAnsi="Helvetica"/>
                <w:b/>
                <w:sz w:val="18"/>
              </w:rPr>
            </w:pPr>
            <w:r>
              <w:rPr>
                <w:rFonts w:ascii="Helvetica" w:hAnsi="Helvetica"/>
                <w:b/>
                <w:sz w:val="18"/>
              </w:rPr>
              <w:t>U.S. Department of Housing and Urban Development</w:t>
            </w:r>
          </w:p>
          <w:p w:rsidR="00917A83" w:rsidRDefault="00904819">
            <w:pPr>
              <w:spacing w:before="40" w:after="40"/>
              <w:ind w:left="120"/>
              <w:rPr>
                <w:rFonts w:ascii="Helvetica" w:hAnsi="Helvetica"/>
                <w:color w:val="000080"/>
                <w:sz w:val="18"/>
              </w:rPr>
            </w:pPr>
            <w:r>
              <w:rPr>
                <w:rFonts w:ascii="Helvetica" w:hAnsi="Helvetica"/>
                <w:color w:val="000080"/>
                <w:sz w:val="18"/>
              </w:rPr>
              <w:t>Office of Public and Indian Housing</w:t>
            </w:r>
          </w:p>
          <w:p w:rsidR="00917A83" w:rsidRDefault="00917A83">
            <w:pPr>
              <w:spacing w:before="40" w:after="40"/>
              <w:ind w:left="120"/>
              <w:rPr>
                <w:rFonts w:ascii="Helvetica" w:hAnsi="Helvetica"/>
                <w:sz w:val="16"/>
              </w:rPr>
            </w:pPr>
          </w:p>
        </w:tc>
        <w:tc>
          <w:tcPr>
            <w:tcW w:w="1800" w:type="dxa"/>
            <w:tcBorders>
              <w:top w:val="single" w:sz="6" w:space="0" w:color="auto"/>
              <w:left w:val="single" w:sz="6" w:space="0" w:color="auto"/>
            </w:tcBorders>
          </w:tcPr>
          <w:p w:rsidR="00917A83" w:rsidRDefault="00917A83">
            <w:pPr>
              <w:rPr>
                <w:rFonts w:ascii="Helvetica" w:hAnsi="Helvetica"/>
                <w:sz w:val="16"/>
              </w:rPr>
            </w:pPr>
            <w:r>
              <w:rPr>
                <w:rFonts w:ascii="Helvetica" w:hAnsi="Helvetica"/>
                <w:sz w:val="16"/>
              </w:rPr>
              <w:t xml:space="preserve">2. </w:t>
            </w:r>
            <w:r>
              <w:rPr>
                <w:rFonts w:ascii="Helvetica" w:hAnsi="Helvetica"/>
                <w:sz w:val="14"/>
              </w:rPr>
              <w:t>OMB Control Number:</w:t>
            </w:r>
          </w:p>
          <w:p w:rsidR="00917A83" w:rsidRDefault="00917A83">
            <w:pPr>
              <w:spacing w:before="40" w:after="40"/>
              <w:ind w:left="132"/>
              <w:rPr>
                <w:rFonts w:ascii="Helvetica" w:hAnsi="Helvetica"/>
                <w:sz w:val="16"/>
              </w:rPr>
            </w:pPr>
            <w:r>
              <w:rPr>
                <w:rFonts w:ascii="Helvetica" w:hAnsi="Helvetica"/>
                <w:sz w:val="16"/>
              </w:rPr>
              <w:t xml:space="preserve">a. </w:t>
            </w:r>
            <w:bookmarkStart w:id="0" w:name="Text2"/>
            <w:r w:rsidR="005C13F5">
              <w:rPr>
                <w:rFonts w:ascii="Helvetica" w:hAnsi="Helvetica"/>
                <w:b/>
                <w:color w:val="000080"/>
              </w:rPr>
              <w:fldChar w:fldCharType="begin">
                <w:ffData>
                  <w:name w:val="Text2"/>
                  <w:enabled/>
                  <w:calcOnExit w:val="0"/>
                  <w:textInput>
                    <w:default w:val="2577-0259"/>
                  </w:textInput>
                </w:ffData>
              </w:fldChar>
            </w:r>
            <w:r w:rsidR="00F67933">
              <w:rPr>
                <w:rFonts w:ascii="Helvetica" w:hAnsi="Helvetica"/>
                <w:b/>
                <w:color w:val="000080"/>
              </w:rPr>
              <w:instrText xml:space="preserve"> FORMTEXT </w:instrText>
            </w:r>
            <w:r w:rsidR="005C13F5">
              <w:rPr>
                <w:rFonts w:ascii="Helvetica" w:hAnsi="Helvetica"/>
                <w:b/>
                <w:color w:val="000080"/>
              </w:rPr>
            </w:r>
            <w:r w:rsidR="005C13F5">
              <w:rPr>
                <w:rFonts w:ascii="Helvetica" w:hAnsi="Helvetica"/>
                <w:b/>
                <w:color w:val="000080"/>
              </w:rPr>
              <w:fldChar w:fldCharType="separate"/>
            </w:r>
            <w:r w:rsidR="00F67933">
              <w:rPr>
                <w:rFonts w:ascii="Helvetica" w:hAnsi="Helvetica"/>
                <w:b/>
                <w:noProof/>
                <w:color w:val="000080"/>
              </w:rPr>
              <w:t>2577-0259</w:t>
            </w:r>
            <w:r w:rsidR="005C13F5">
              <w:rPr>
                <w:rFonts w:ascii="Helvetica" w:hAnsi="Helvetica"/>
                <w:b/>
                <w:color w:val="000080"/>
              </w:rPr>
              <w:fldChar w:fldCharType="end"/>
            </w:r>
            <w:bookmarkEnd w:id="0"/>
          </w:p>
          <w:p w:rsidR="00917A83" w:rsidRDefault="00917A83">
            <w:pPr>
              <w:ind w:left="-120"/>
              <w:rPr>
                <w:rFonts w:ascii="Helvetica" w:hAnsi="Helvetica"/>
                <w:sz w:val="16"/>
              </w:rPr>
            </w:pPr>
          </w:p>
        </w:tc>
        <w:tc>
          <w:tcPr>
            <w:tcW w:w="1788" w:type="dxa"/>
            <w:tcBorders>
              <w:top w:val="single" w:sz="6" w:space="0" w:color="auto"/>
            </w:tcBorders>
          </w:tcPr>
          <w:p w:rsidR="00917A83" w:rsidRDefault="00917A83">
            <w:pPr>
              <w:spacing w:before="120"/>
              <w:rPr>
                <w:rFonts w:ascii="Helvetica" w:hAnsi="Helvetica"/>
                <w:sz w:val="18"/>
              </w:rPr>
            </w:pPr>
            <w:r>
              <w:rPr>
                <w:rFonts w:ascii="Helvetica" w:hAnsi="Helvetica"/>
                <w:sz w:val="16"/>
              </w:rPr>
              <w:t xml:space="preserve">b. </w:t>
            </w:r>
            <w:r w:rsidR="005C13F5">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5C13F5">
              <w:rPr>
                <w:rFonts w:ascii="Helvetica" w:hAnsi="Helvetica"/>
                <w:b/>
                <w:color w:val="000080"/>
              </w:rPr>
            </w:r>
            <w:r w:rsidR="005C13F5">
              <w:rPr>
                <w:rFonts w:ascii="Helvetica" w:hAnsi="Helvetica"/>
                <w:b/>
                <w:color w:val="000080"/>
              </w:rPr>
              <w:fldChar w:fldCharType="separate"/>
            </w:r>
            <w:r>
              <w:rPr>
                <w:rFonts w:ascii="Helvetica" w:hAnsi="Helvetica"/>
                <w:b/>
                <w:noProof/>
                <w:color w:val="000080"/>
              </w:rPr>
              <w:t> </w:t>
            </w:r>
            <w:r w:rsidR="005C13F5">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917A83" w:rsidRDefault="00917A83">
            <w:pPr>
              <w:spacing w:before="40" w:after="40"/>
              <w:ind w:left="252"/>
              <w:rPr>
                <w:rFonts w:ascii="Helvetica" w:hAnsi="Helvetica"/>
                <w:color w:val="000080"/>
              </w:rPr>
            </w:pPr>
            <w:r>
              <w:rPr>
                <w:rFonts w:ascii="Helvetica" w:hAnsi="Helvetica"/>
                <w:sz w:val="16"/>
              </w:rPr>
              <w:t xml:space="preserve"> </w:t>
            </w:r>
            <w:r w:rsidR="005C13F5">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5C13F5">
              <w:rPr>
                <w:rFonts w:ascii="Helvetica" w:hAnsi="Helvetica"/>
                <w:b/>
                <w:color w:val="000080"/>
              </w:rPr>
            </w:r>
            <w:r w:rsidR="005C13F5">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5C13F5">
              <w:rPr>
                <w:rFonts w:ascii="Helvetica" w:hAnsi="Helvetica"/>
                <w:b/>
                <w:color w:val="000080"/>
              </w:rPr>
              <w:fldChar w:fldCharType="end"/>
            </w:r>
            <w:bookmarkEnd w:id="1"/>
          </w:p>
        </w:tc>
      </w:tr>
      <w:tr w:rsidR="00917A83">
        <w:tc>
          <w:tcPr>
            <w:tcW w:w="5508" w:type="dxa"/>
            <w:tcBorders>
              <w:top w:val="single" w:sz="6" w:space="0" w:color="auto"/>
            </w:tcBorders>
          </w:tcPr>
          <w:p w:rsidR="00917A83" w:rsidRDefault="00917A83">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17A83" w:rsidRDefault="005C13F5">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New Collection </w:t>
            </w:r>
          </w:p>
          <w:p w:rsidR="00917A83" w:rsidRDefault="005C13F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Revision of a currently approved collection</w:t>
            </w:r>
          </w:p>
          <w:p w:rsidR="00917A83" w:rsidRDefault="005C13F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Extension of a currently approved collection</w:t>
            </w:r>
          </w:p>
          <w:p w:rsidR="00917A83" w:rsidRDefault="005C13F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without change</w:t>
            </w:r>
            <w:r w:rsidR="00917A83">
              <w:rPr>
                <w:rFonts w:ascii="Helvetica" w:hAnsi="Helvetica"/>
                <w:sz w:val="16"/>
              </w:rPr>
              <w:t xml:space="preserve">, of previously approved </w:t>
            </w:r>
          </w:p>
          <w:p w:rsidR="00917A83" w:rsidRDefault="00917A83">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917A83" w:rsidRDefault="005C13F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 change</w:t>
            </w:r>
            <w:r w:rsidR="00917A83">
              <w:rPr>
                <w:rFonts w:ascii="Helvetica" w:hAnsi="Helvetica"/>
                <w:sz w:val="16"/>
              </w:rPr>
              <w:t xml:space="preserve">, of previously approved collection </w:t>
            </w:r>
          </w:p>
          <w:p w:rsidR="00917A83" w:rsidRDefault="00917A83">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917A83" w:rsidRDefault="005C13F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Existing collection in use without an OMB control number</w:t>
            </w:r>
          </w:p>
          <w:p w:rsidR="00917A83" w:rsidRDefault="00917A8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17A83" w:rsidRDefault="00917A83">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rsidR="00917A83" w:rsidRDefault="005C13F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B55F11">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2"/>
            <w:r w:rsidR="00917A83">
              <w:rPr>
                <w:rFonts w:ascii="Helvetica" w:hAnsi="Helvetica"/>
                <w:b/>
                <w:color w:val="800000"/>
              </w:rPr>
              <w:t xml:space="preserve">  </w:t>
            </w:r>
            <w:r w:rsidR="00917A83">
              <w:rPr>
                <w:rFonts w:ascii="Helvetica" w:hAnsi="Helvetica"/>
                <w:sz w:val="16"/>
              </w:rPr>
              <w:t>Regular</w:t>
            </w:r>
          </w:p>
          <w:p w:rsidR="00917A83" w:rsidRDefault="005C13F5">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sidR="00B55F11">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r w:rsidR="00917A83">
              <w:rPr>
                <w:rFonts w:ascii="Helvetica" w:hAnsi="Helvetica"/>
                <w:b/>
                <w:color w:val="800000"/>
              </w:rPr>
              <w:t xml:space="preserve">  </w:t>
            </w:r>
            <w:r w:rsidR="00917A83">
              <w:rPr>
                <w:rFonts w:ascii="Helvetica" w:hAnsi="Helvetica"/>
                <w:sz w:val="16"/>
              </w:rPr>
              <w:t xml:space="preserve">Emergency - Approval requested by  </w:t>
            </w:r>
            <w:bookmarkStart w:id="3" w:name="Text4"/>
            <w:r>
              <w:rPr>
                <w:rFonts w:ascii="Helvetica" w:hAnsi="Helvetica"/>
                <w:color w:val="000080"/>
                <w:sz w:val="18"/>
              </w:rPr>
              <w:fldChar w:fldCharType="begin">
                <w:ffData>
                  <w:name w:val="Text4"/>
                  <w:enabled/>
                  <w:calcOnExit w:val="0"/>
                  <w:textInput>
                    <w:type w:val="date"/>
                    <w:format w:val="M/d/yyyy"/>
                  </w:textInput>
                </w:ffData>
              </w:fldChar>
            </w:r>
            <w:r w:rsidR="00B55F11">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Pr>
                <w:rFonts w:ascii="Helvetica" w:hAnsi="Helvetica"/>
                <w:color w:val="000080"/>
                <w:sz w:val="18"/>
              </w:rPr>
              <w:fldChar w:fldCharType="end"/>
            </w:r>
            <w:bookmarkEnd w:id="3"/>
          </w:p>
          <w:p w:rsidR="00917A83" w:rsidRDefault="005C13F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sz w:val="18"/>
              </w:rPr>
              <w:t xml:space="preserve"> </w:t>
            </w:r>
            <w:r w:rsidR="00917A83">
              <w:rPr>
                <w:rFonts w:ascii="Helvetica" w:hAnsi="Helvetica"/>
                <w:b/>
                <w:color w:val="800000"/>
              </w:rPr>
              <w:t xml:space="preserve"> </w:t>
            </w:r>
            <w:r w:rsidR="00917A83">
              <w:rPr>
                <w:rFonts w:ascii="Helvetica" w:hAnsi="Helvetica"/>
                <w:sz w:val="16"/>
              </w:rPr>
              <w:t>Delegated</w:t>
            </w:r>
          </w:p>
          <w:p w:rsidR="00917A83" w:rsidRDefault="00917A8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17A83" w:rsidRDefault="005C13F5">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904819">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17A83" w:rsidRDefault="00917A83">
            <w:pPr>
              <w:tabs>
                <w:tab w:val="left" w:pos="240"/>
                <w:tab w:val="left" w:pos="3132"/>
              </w:tabs>
              <w:ind w:left="252"/>
              <w:rPr>
                <w:rFonts w:ascii="Helvetica" w:hAnsi="Helvetica"/>
                <w:sz w:val="16"/>
              </w:rPr>
            </w:pPr>
            <w:r>
              <w:rPr>
                <w:rFonts w:ascii="Helvetica" w:hAnsi="Helvetica"/>
                <w:sz w:val="16"/>
              </w:rPr>
              <w:t xml:space="preserve">a. </w:t>
            </w:r>
            <w:r w:rsidR="005C13F5">
              <w:rPr>
                <w:rFonts w:ascii="Helvetica" w:hAnsi="Helvetica"/>
                <w:b/>
                <w:sz w:val="18"/>
              </w:rPr>
              <w:fldChar w:fldCharType="begin">
                <w:ffData>
                  <w:name w:val=""/>
                  <w:enabled/>
                  <w:calcOnExit w:val="0"/>
                  <w:checkBox>
                    <w:sizeAuto/>
                    <w:default w:val="1"/>
                  </w:checkBox>
                </w:ffData>
              </w:fldChar>
            </w:r>
            <w:r w:rsidR="00B55F11">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5C13F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917A83" w:rsidRDefault="00917A83">
            <w:pPr>
              <w:tabs>
                <w:tab w:val="left" w:pos="3252"/>
              </w:tabs>
              <w:spacing w:after="60"/>
              <w:rPr>
                <w:rFonts w:ascii="Helvetica" w:hAnsi="Helvetica"/>
                <w:color w:val="000080"/>
                <w:sz w:val="16"/>
              </w:rPr>
            </w:pPr>
            <w:r>
              <w:rPr>
                <w:rFonts w:ascii="Helvetica" w:hAnsi="Helvetica"/>
                <w:sz w:val="18"/>
              </w:rPr>
              <w:tab/>
              <w:t xml:space="preserve"> </w:t>
            </w:r>
            <w:r w:rsidR="005C13F5">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5C13F5">
              <w:rPr>
                <w:rFonts w:ascii="Helvetica" w:hAnsi="Helvetica"/>
                <w:color w:val="000080"/>
                <w:sz w:val="18"/>
              </w:rPr>
            </w:r>
            <w:r w:rsidR="005C13F5">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5C13F5">
              <w:rPr>
                <w:rFonts w:ascii="Helvetica" w:hAnsi="Helvetica"/>
                <w:color w:val="000080"/>
                <w:sz w:val="18"/>
              </w:rPr>
              <w:fldChar w:fldCharType="end"/>
            </w:r>
            <w:bookmarkEnd w:id="4"/>
          </w:p>
        </w:tc>
      </w:tr>
    </w:tbl>
    <w:p w:rsidR="00917A83" w:rsidRDefault="00917A83">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917A83" w:rsidRDefault="006C1D8F">
      <w:pPr>
        <w:tabs>
          <w:tab w:val="left" w:pos="240"/>
        </w:tabs>
        <w:spacing w:after="40"/>
        <w:ind w:left="120" w:right="-120"/>
        <w:rPr>
          <w:rFonts w:ascii="Helvetica" w:hAnsi="Helvetica"/>
          <w:color w:val="000080"/>
          <w:sz w:val="18"/>
        </w:rPr>
      </w:pPr>
      <w:r>
        <w:rPr>
          <w:rFonts w:ascii="Helvetica" w:hAnsi="Helvetica"/>
          <w:b/>
          <w:color w:val="000080"/>
          <w:sz w:val="18"/>
        </w:rPr>
        <w:t>Family Unification Program</w:t>
      </w:r>
    </w:p>
    <w:p w:rsidR="00917A83" w:rsidRDefault="00917A83">
      <w:pPr>
        <w:tabs>
          <w:tab w:val="left" w:pos="240"/>
        </w:tabs>
        <w:spacing w:after="40"/>
        <w:ind w:left="120" w:right="-120"/>
        <w:rPr>
          <w:rFonts w:ascii="Helvetica" w:hAnsi="Helvetica"/>
          <w:sz w:val="18"/>
        </w:rPr>
      </w:pPr>
    </w:p>
    <w:p w:rsidR="00917A83" w:rsidRDefault="00917A83">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17A83" w:rsidRDefault="006C1D8F">
      <w:pPr>
        <w:spacing w:after="40"/>
        <w:ind w:left="120" w:right="-120"/>
        <w:rPr>
          <w:rFonts w:ascii="Helvetica" w:hAnsi="Helvetica"/>
          <w:color w:val="000080"/>
          <w:sz w:val="18"/>
        </w:rPr>
      </w:pPr>
      <w:r>
        <w:rPr>
          <w:rFonts w:ascii="Helvetica" w:hAnsi="Helvetica"/>
          <w:color w:val="000080"/>
          <w:sz w:val="18"/>
        </w:rPr>
        <w:t>SF424, SF LLL, HUD-96011, HUD-2993, HUD-96010, HUD 50058, HUD 52515, HUD 2880, HUD 2991</w:t>
      </w:r>
      <w:r w:rsidR="00243AF9">
        <w:rPr>
          <w:rFonts w:ascii="Helvetica" w:hAnsi="Helvetica"/>
          <w:color w:val="000080"/>
          <w:sz w:val="18"/>
        </w:rPr>
        <w:t>, HUD 2990</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917A83" w:rsidRPr="006C1D8F" w:rsidRDefault="006C1D8F">
      <w:pPr>
        <w:spacing w:after="40"/>
        <w:ind w:left="120" w:right="-120"/>
        <w:rPr>
          <w:rFonts w:ascii="Helvetica" w:hAnsi="Helvetica"/>
          <w:sz w:val="18"/>
        </w:rPr>
      </w:pPr>
      <w:r>
        <w:rPr>
          <w:rFonts w:ascii="Helvetica" w:hAnsi="Helvetica"/>
          <w:sz w:val="18"/>
        </w:rPr>
        <w:t>Housing, low-income housing, housing choice voucher, section 8, Family Unification Program, FUP, PCWA, Public Child Welfare Agency</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6C1D8F" w:rsidRDefault="006C1D8F" w:rsidP="006C1D8F">
      <w:pPr>
        <w:pStyle w:val="BlockText"/>
      </w:pPr>
      <w:r>
        <w:t xml:space="preserve">Application for the Family Unification Program:  </w:t>
      </w:r>
      <w:r w:rsidR="0034093E">
        <w:t xml:space="preserve">makes </w:t>
      </w:r>
      <w:r>
        <w:t xml:space="preserve">Housing Choice Vouchers available to eligible families </w:t>
      </w:r>
      <w:r w:rsidR="0034093E">
        <w:t>to promote family reunification.  Y</w:t>
      </w:r>
      <w:r>
        <w:t>outh</w:t>
      </w:r>
      <w:r w:rsidR="0034093E">
        <w:t>s 18 to 21 who left foster care at age 16 or older are also eligible to receive assistance under the program for a maximum of 18 months</w:t>
      </w:r>
      <w:r>
        <w:t>.  Eligible applicants are P</w:t>
      </w:r>
      <w:r w:rsidR="0034093E">
        <w:t xml:space="preserve">ublic </w:t>
      </w:r>
      <w:r>
        <w:t>H</w:t>
      </w:r>
      <w:r w:rsidR="0034093E">
        <w:t xml:space="preserve">ousing </w:t>
      </w:r>
      <w:r>
        <w:t>A</w:t>
      </w:r>
      <w:r w:rsidR="0034093E">
        <w:t>gencie</w:t>
      </w:r>
      <w:r>
        <w:t xml:space="preserve">s, who must work with a Public Child Welfare Agency to identify and assist FUP voucher recipients.  Information collected will be used to evaluate applications and award grants through the HUD SuperNOFA process.  </w:t>
      </w:r>
    </w:p>
    <w:p w:rsidR="00917A83" w:rsidRDefault="00917A83">
      <w:pPr>
        <w:tabs>
          <w:tab w:val="left" w:pos="240"/>
        </w:tabs>
        <w:spacing w:after="60"/>
        <w:ind w:left="120" w:right="-120"/>
        <w:rPr>
          <w:rFonts w:ascii="Helvetica" w:hAnsi="Helvetica"/>
          <w:color w:val="000080"/>
          <w:sz w:val="16"/>
        </w:rPr>
      </w:pPr>
    </w:p>
    <w:tbl>
      <w:tblPr>
        <w:tblW w:w="0" w:type="auto"/>
        <w:tblLayout w:type="fixed"/>
        <w:tblLook w:val="0000"/>
      </w:tblPr>
      <w:tblGrid>
        <w:gridCol w:w="4908"/>
        <w:gridCol w:w="720"/>
        <w:gridCol w:w="5388"/>
      </w:tblGrid>
      <w:tr w:rsidR="00917A83">
        <w:trPr>
          <w:trHeight w:val="1129"/>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17A83" w:rsidRDefault="00917A8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5C13F5">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Pr>
                <w:rFonts w:ascii="Helvetica" w:hAnsi="Helvetica"/>
                <w:b/>
                <w:noProof/>
                <w:sz w:val="18"/>
              </w:rPr>
              <w:t> </w:t>
            </w:r>
            <w:r w:rsidR="005C13F5">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C13F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Pr>
                <w:rFonts w:ascii="Helvetica" w:hAnsi="Helvetica"/>
                <w:b/>
                <w:noProof/>
                <w:sz w:val="18"/>
              </w:rPr>
              <w:t> </w:t>
            </w:r>
            <w:r w:rsidR="005C13F5">
              <w:rPr>
                <w:rFonts w:ascii="Helvetica" w:hAnsi="Helvetica"/>
                <w:b/>
                <w:sz w:val="18"/>
              </w:rPr>
              <w:fldChar w:fldCharType="end"/>
            </w:r>
            <w:r>
              <w:rPr>
                <w:rFonts w:ascii="Helvetica" w:hAnsi="Helvetica"/>
                <w:b/>
                <w:sz w:val="18"/>
              </w:rPr>
              <w:tab/>
            </w:r>
            <w:r>
              <w:rPr>
                <w:rFonts w:ascii="Helvetica" w:hAnsi="Helvetica"/>
                <w:sz w:val="16"/>
              </w:rPr>
              <w:t>Farms</w:t>
            </w:r>
          </w:p>
          <w:p w:rsidR="00917A83" w:rsidRDefault="00917A8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C13F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Pr>
                <w:rFonts w:ascii="Helvetica" w:hAnsi="Helvetica"/>
                <w:b/>
                <w:noProof/>
                <w:sz w:val="18"/>
              </w:rPr>
              <w:t> </w:t>
            </w:r>
            <w:r w:rsidR="005C13F5">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C13F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Pr>
                <w:rFonts w:ascii="Helvetica" w:hAnsi="Helvetica"/>
                <w:b/>
                <w:noProof/>
                <w:sz w:val="18"/>
              </w:rPr>
              <w:t> </w:t>
            </w:r>
            <w:r w:rsidR="005C13F5">
              <w:rPr>
                <w:rFonts w:ascii="Helvetica" w:hAnsi="Helvetica"/>
                <w:b/>
                <w:sz w:val="18"/>
              </w:rPr>
              <w:fldChar w:fldCharType="end"/>
            </w:r>
            <w:r>
              <w:rPr>
                <w:rFonts w:ascii="Helvetica" w:hAnsi="Helvetica"/>
                <w:b/>
                <w:sz w:val="18"/>
              </w:rPr>
              <w:tab/>
            </w:r>
            <w:r>
              <w:rPr>
                <w:rFonts w:ascii="Helvetica" w:hAnsi="Helvetica"/>
                <w:sz w:val="16"/>
              </w:rPr>
              <w:t>Federal Government</w:t>
            </w:r>
          </w:p>
          <w:p w:rsidR="00917A83" w:rsidRDefault="00917A83" w:rsidP="0097648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C13F5">
              <w:rPr>
                <w:rFonts w:ascii="Helvetica" w:hAnsi="Helvetica"/>
                <w:b/>
                <w:sz w:val="18"/>
              </w:rPr>
              <w:fldChar w:fldCharType="begin">
                <w:ffData>
                  <w:name w:val=""/>
                  <w:enabled/>
                  <w:calcOnExit w:val="0"/>
                  <w:textInput>
                    <w:maxLength w:val="1"/>
                  </w:textInput>
                </w:ffData>
              </w:fldChar>
            </w:r>
            <w:r w:rsidR="007F7F58">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sidR="007F7F58">
              <w:rPr>
                <w:rFonts w:ascii="Helvetica" w:hAnsi="Helvetica"/>
                <w:b/>
                <w:noProof/>
                <w:sz w:val="18"/>
              </w:rPr>
              <w:t> </w:t>
            </w:r>
            <w:r w:rsidR="005C13F5">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C13F5">
              <w:rPr>
                <w:rFonts w:ascii="Helvetica" w:hAnsi="Helvetica"/>
                <w:sz w:val="18"/>
              </w:rPr>
              <w:fldChar w:fldCharType="begin">
                <w:ffData>
                  <w:name w:val=""/>
                  <w:enabled/>
                  <w:calcOnExit w:val="0"/>
                  <w:textInput>
                    <w:default w:val="X"/>
                    <w:maxLength w:val="1"/>
                  </w:textInput>
                </w:ffData>
              </w:fldChar>
            </w:r>
            <w:r w:rsidR="0097648C">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sidR="0097648C">
              <w:rPr>
                <w:rFonts w:ascii="Helvetica" w:hAnsi="Helvetica"/>
                <w:noProof/>
                <w:sz w:val="18"/>
              </w:rPr>
              <w:t>X</w:t>
            </w:r>
            <w:r w:rsidR="005C13F5">
              <w:rPr>
                <w:rFonts w:ascii="Helvetica" w:hAnsi="Helvetica"/>
                <w:sz w:val="18"/>
              </w:rPr>
              <w:fldChar w:fldCharType="end"/>
            </w:r>
            <w:r w:rsidRPr="007F7F58">
              <w:rPr>
                <w:rFonts w:ascii="Helvetica" w:hAnsi="Helvetica"/>
                <w:sz w:val="18"/>
              </w:rPr>
              <w:tab/>
            </w:r>
            <w:r>
              <w:rPr>
                <w:rFonts w:ascii="Helvetica" w:hAnsi="Helvetica"/>
                <w:sz w:val="16"/>
              </w:rPr>
              <w:t>State, Local or Tribal Government</w:t>
            </w:r>
          </w:p>
        </w:tc>
        <w:tc>
          <w:tcPr>
            <w:tcW w:w="5388" w:type="dxa"/>
            <w:tcBorders>
              <w:top w:val="single" w:sz="6" w:space="0" w:color="auto"/>
              <w:left w:val="nil"/>
            </w:tcBorders>
          </w:tcPr>
          <w:p w:rsidR="00917A83" w:rsidRDefault="00917A83">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17A83" w:rsidRDefault="00917A8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C13F5">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Pr>
                <w:rFonts w:ascii="Helvetica" w:hAnsi="Helvetica"/>
                <w:b/>
                <w:noProof/>
                <w:sz w:val="18"/>
              </w:rPr>
              <w:t> </w:t>
            </w:r>
            <w:r w:rsidR="005C13F5">
              <w:rPr>
                <w:rFonts w:ascii="Helvetica" w:hAnsi="Helvetica"/>
                <w:b/>
                <w:sz w:val="18"/>
              </w:rPr>
              <w:fldChar w:fldCharType="end"/>
            </w:r>
            <w:bookmarkEnd w:id="6"/>
            <w:r>
              <w:rPr>
                <w:rFonts w:ascii="Helvetica" w:hAnsi="Helvetica"/>
                <w:sz w:val="14"/>
              </w:rPr>
              <w:tab/>
            </w:r>
            <w:r>
              <w:rPr>
                <w:rFonts w:ascii="Helvetica" w:hAnsi="Helvetica"/>
                <w:sz w:val="16"/>
              </w:rPr>
              <w:t>Voluntary</w:t>
            </w:r>
          </w:p>
          <w:p w:rsidR="00917A83" w:rsidRDefault="00917A83">
            <w:pPr>
              <w:tabs>
                <w:tab w:val="left" w:pos="492"/>
                <w:tab w:val="left" w:pos="2520"/>
              </w:tabs>
              <w:ind w:left="120"/>
              <w:rPr>
                <w:rFonts w:ascii="Helvetica" w:hAnsi="Helvetica"/>
                <w:sz w:val="16"/>
              </w:rPr>
            </w:pPr>
            <w:r>
              <w:rPr>
                <w:rFonts w:ascii="Helvetica" w:hAnsi="Helvetica"/>
                <w:sz w:val="16"/>
              </w:rPr>
              <w:t xml:space="preserve">b. </w:t>
            </w:r>
            <w:bookmarkStart w:id="7" w:name="Text26"/>
            <w:r w:rsidR="005C13F5">
              <w:rPr>
                <w:rFonts w:ascii="Helvetica" w:hAnsi="Helvetica"/>
                <w:b/>
                <w:sz w:val="18"/>
              </w:rPr>
              <w:fldChar w:fldCharType="begin">
                <w:ffData>
                  <w:name w:val="Text26"/>
                  <w:enabled/>
                  <w:calcOnExit w:val="0"/>
                  <w:textInput>
                    <w:default w:val="P"/>
                    <w:maxLength w:val="1"/>
                  </w:textInput>
                </w:ffData>
              </w:fldChar>
            </w:r>
            <w:r w:rsidR="006C1D8F">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sidR="006C1D8F">
              <w:rPr>
                <w:rFonts w:ascii="Helvetica" w:hAnsi="Helvetica"/>
                <w:b/>
                <w:noProof/>
                <w:sz w:val="18"/>
              </w:rPr>
              <w:t>P</w:t>
            </w:r>
            <w:r w:rsidR="005C13F5">
              <w:rPr>
                <w:rFonts w:ascii="Helvetica" w:hAnsi="Helvetica"/>
                <w:b/>
                <w:sz w:val="18"/>
              </w:rPr>
              <w:fldChar w:fldCharType="end"/>
            </w:r>
            <w:bookmarkEnd w:id="7"/>
            <w:r>
              <w:rPr>
                <w:rFonts w:ascii="Helvetica" w:hAnsi="Helvetica"/>
                <w:sz w:val="16"/>
              </w:rPr>
              <w:tab/>
              <w:t>Required to obtain or retain benefils</w:t>
            </w:r>
          </w:p>
          <w:p w:rsidR="00917A83" w:rsidRDefault="00917A83">
            <w:pPr>
              <w:tabs>
                <w:tab w:val="left" w:pos="492"/>
              </w:tabs>
              <w:spacing w:after="60"/>
              <w:ind w:left="120"/>
              <w:rPr>
                <w:rFonts w:ascii="Helvetica" w:hAnsi="Helvetica"/>
                <w:sz w:val="16"/>
              </w:rPr>
            </w:pPr>
            <w:r>
              <w:rPr>
                <w:rFonts w:ascii="Helvetica" w:hAnsi="Helvetica"/>
                <w:sz w:val="16"/>
              </w:rPr>
              <w:t xml:space="preserve">c. </w:t>
            </w:r>
            <w:r w:rsidR="005C13F5">
              <w:rPr>
                <w:rFonts w:ascii="Helvetica" w:hAnsi="Helvetica"/>
                <w:b/>
                <w:sz w:val="18"/>
              </w:rPr>
              <w:fldChar w:fldCharType="begin">
                <w:ffData>
                  <w:name w:val="Text27"/>
                  <w:enabled/>
                  <w:calcOnExit w:val="0"/>
                  <w:textInput>
                    <w:maxLength w:val="1"/>
                  </w:textInput>
                </w:ffData>
              </w:fldChar>
            </w:r>
            <w:bookmarkStart w:id="8" w:name="Text27"/>
            <w:r>
              <w:rPr>
                <w:rFonts w:ascii="Helvetica" w:hAnsi="Helvetica"/>
                <w:b/>
                <w:sz w:val="18"/>
              </w:rPr>
              <w:instrText xml:space="preserve"> FORMTEXT </w:instrText>
            </w:r>
            <w:r w:rsidR="005C13F5">
              <w:rPr>
                <w:rFonts w:ascii="Helvetica" w:hAnsi="Helvetica"/>
                <w:b/>
                <w:sz w:val="18"/>
              </w:rPr>
            </w:r>
            <w:r w:rsidR="005C13F5">
              <w:rPr>
                <w:rFonts w:ascii="Helvetica" w:hAnsi="Helvetica"/>
                <w:b/>
                <w:sz w:val="18"/>
              </w:rPr>
              <w:fldChar w:fldCharType="separate"/>
            </w:r>
            <w:r>
              <w:rPr>
                <w:rFonts w:ascii="Helvetica" w:hAnsi="Helvetica"/>
                <w:b/>
                <w:noProof/>
                <w:sz w:val="18"/>
              </w:rPr>
              <w:t> </w:t>
            </w:r>
            <w:r w:rsidR="005C13F5">
              <w:rPr>
                <w:rFonts w:ascii="Helvetica" w:hAnsi="Helvetica"/>
                <w:b/>
                <w:sz w:val="18"/>
              </w:rPr>
              <w:fldChar w:fldCharType="end"/>
            </w:r>
            <w:bookmarkEnd w:id="8"/>
            <w:r>
              <w:rPr>
                <w:rFonts w:ascii="Helvetica" w:hAnsi="Helvetica"/>
                <w:sz w:val="16"/>
              </w:rPr>
              <w:tab/>
              <w:t>Mandatory</w:t>
            </w:r>
          </w:p>
        </w:tc>
      </w:tr>
      <w:tr w:rsidR="00917A83">
        <w:trPr>
          <w:trHeight w:val="2146"/>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17A83" w:rsidRDefault="00917A83">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DF72BE">
              <w:rPr>
                <w:rFonts w:ascii="Helvetica" w:hAnsi="Helvetica"/>
                <w:sz w:val="18"/>
              </w:rPr>
              <w:t>335</w:t>
            </w:r>
          </w:p>
          <w:p w:rsidR="00917A83" w:rsidRDefault="00917A83">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DF72BE">
              <w:rPr>
                <w:rFonts w:ascii="Helvetica" w:hAnsi="Helvetica"/>
                <w:sz w:val="18"/>
              </w:rPr>
              <w:t>335</w:t>
            </w:r>
          </w:p>
          <w:p w:rsidR="00917A83" w:rsidRDefault="00917A83">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C1D8F">
              <w:rPr>
                <w:rFonts w:ascii="Helvetica" w:hAnsi="Helvetica"/>
                <w:sz w:val="18"/>
              </w:rPr>
              <w:t>95%</w:t>
            </w:r>
          </w:p>
          <w:p w:rsidR="00917A83" w:rsidRPr="007A462F" w:rsidRDefault="00917A83">
            <w:pPr>
              <w:keepLines/>
              <w:numPr>
                <w:ilvl w:val="12"/>
                <w:numId w:val="0"/>
              </w:numPr>
              <w:tabs>
                <w:tab w:val="left" w:pos="240"/>
                <w:tab w:val="right" w:pos="5040"/>
              </w:tabs>
              <w:ind w:left="480" w:hanging="360"/>
              <w:rPr>
                <w:rFonts w:ascii="Helvetica" w:hAnsi="Helvetica"/>
                <w:sz w:val="18"/>
                <w:szCs w:val="18"/>
              </w:rPr>
            </w:pPr>
            <w:r>
              <w:rPr>
                <w:rFonts w:ascii="Helvetica" w:hAnsi="Helvetica"/>
                <w:sz w:val="16"/>
              </w:rPr>
              <w:t>c. Total annual hours requested</w:t>
            </w:r>
            <w:r>
              <w:rPr>
                <w:rFonts w:ascii="Helvetica" w:hAnsi="Helvetica"/>
                <w:sz w:val="16"/>
              </w:rPr>
              <w:tab/>
            </w:r>
            <w:r w:rsidR="00FA06CE" w:rsidRPr="007A462F">
              <w:rPr>
                <w:rFonts w:ascii="Helvetica" w:hAnsi="Helvetica"/>
                <w:sz w:val="18"/>
                <w:szCs w:val="18"/>
              </w:rPr>
              <w:t>6,</w:t>
            </w:r>
            <w:r w:rsidR="007A462F" w:rsidRPr="007A462F">
              <w:rPr>
                <w:rFonts w:ascii="Helvetica" w:hAnsi="Helvetica"/>
                <w:sz w:val="18"/>
                <w:szCs w:val="18"/>
              </w:rPr>
              <w:t>188.45</w:t>
            </w:r>
          </w:p>
          <w:p w:rsidR="00917A83" w:rsidRDefault="00917A83">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7A462F">
              <w:rPr>
                <w:rFonts w:ascii="Helvetica" w:hAnsi="Helvetica"/>
                <w:sz w:val="18"/>
              </w:rPr>
              <w:t>6</w:t>
            </w:r>
            <w:r w:rsidR="00D40430">
              <w:rPr>
                <w:rFonts w:ascii="Helvetica" w:hAnsi="Helvetica"/>
                <w:sz w:val="18"/>
              </w:rPr>
              <w:t>258.45</w:t>
            </w:r>
          </w:p>
          <w:p w:rsidR="00917A83" w:rsidRDefault="00917A83">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0836A2" w:rsidRPr="00CB0241">
              <w:rPr>
                <w:rFonts w:ascii="Helvetica" w:hAnsi="Helvetica"/>
                <w:sz w:val="18"/>
                <w:szCs w:val="18"/>
              </w:rPr>
              <w:t>+</w:t>
            </w:r>
            <w:r w:rsidR="00DF72BE">
              <w:rPr>
                <w:rFonts w:ascii="Helvetica" w:hAnsi="Helvetica"/>
                <w:sz w:val="18"/>
              </w:rPr>
              <w:t>70</w:t>
            </w:r>
          </w:p>
          <w:p w:rsidR="00917A83" w:rsidRDefault="00917A83">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917A83" w:rsidRDefault="00917A83">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917A83" w:rsidRDefault="00917A83" w:rsidP="007A462F">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4973DD" w:rsidRPr="00CB0241">
              <w:rPr>
                <w:rFonts w:ascii="Helvetica" w:hAnsi="Helvetica"/>
                <w:sz w:val="18"/>
                <w:szCs w:val="18"/>
              </w:rPr>
              <w:t>+</w:t>
            </w:r>
            <w:r w:rsidR="00D40430">
              <w:rPr>
                <w:rFonts w:ascii="Helvetica" w:hAnsi="Helvetica"/>
                <w:sz w:val="18"/>
                <w:szCs w:val="18"/>
              </w:rPr>
              <w:t>70</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17A83" w:rsidRDefault="00917A83">
            <w:pPr>
              <w:tabs>
                <w:tab w:val="left" w:pos="240"/>
              </w:tabs>
              <w:rPr>
                <w:rFonts w:ascii="Helvetica" w:hAnsi="Helvetica"/>
                <w:sz w:val="14"/>
              </w:rPr>
            </w:pPr>
            <w:r>
              <w:rPr>
                <w:rFonts w:ascii="Helvetica" w:hAnsi="Helvetica"/>
                <w:sz w:val="14"/>
              </w:rPr>
              <w:tab/>
              <w:t>Do not include costs based on the hours in item 13.</w:t>
            </w:r>
          </w:p>
          <w:p w:rsidR="00917A83" w:rsidRDefault="00917A8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5C13F5">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sidR="00A32FD0">
              <w:rPr>
                <w:rFonts w:ascii="Helvetica" w:hAnsi="Helvetica"/>
                <w:noProof/>
                <w:sz w:val="18"/>
              </w:rPr>
              <w:t>$0.00</w:t>
            </w:r>
            <w:r w:rsidR="005C13F5">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5C13F5">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sidR="00A32FD0">
              <w:rPr>
                <w:rFonts w:ascii="Helvetica" w:hAnsi="Helvetica"/>
                <w:noProof/>
                <w:sz w:val="18"/>
              </w:rPr>
              <w:t>$0.00</w:t>
            </w:r>
            <w:r w:rsidR="005C13F5">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5C13F5">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sidR="00A32FD0">
              <w:rPr>
                <w:rFonts w:ascii="Helvetica" w:hAnsi="Helvetica"/>
                <w:noProof/>
                <w:sz w:val="18"/>
              </w:rPr>
              <w:t>$0.00</w:t>
            </w:r>
            <w:r w:rsidR="005C13F5">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5C13F5">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sidR="00A32FD0">
              <w:rPr>
                <w:rFonts w:ascii="Helvetica" w:hAnsi="Helvetica"/>
                <w:noProof/>
                <w:sz w:val="18"/>
              </w:rPr>
              <w:t>$0.00</w:t>
            </w:r>
            <w:r w:rsidR="005C13F5">
              <w:rPr>
                <w:rFonts w:ascii="Helvetica" w:hAnsi="Helvetica"/>
                <w:sz w:val="18"/>
              </w:rPr>
              <w:fldChar w:fldCharType="end"/>
            </w:r>
          </w:p>
          <w:p w:rsidR="00917A83" w:rsidRDefault="00917A83">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5C13F5">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sidR="00A32FD0">
              <w:rPr>
                <w:rFonts w:ascii="Helvetica" w:hAnsi="Helvetica"/>
                <w:noProof/>
                <w:sz w:val="18"/>
              </w:rPr>
              <w:t>$0.00</w:t>
            </w:r>
            <w:r w:rsidR="005C13F5">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f. Explanation of difference:</w:t>
            </w:r>
          </w:p>
          <w:p w:rsidR="00917A83" w:rsidRDefault="00917A83">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5C13F5">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C13F5">
              <w:rPr>
                <w:rFonts w:ascii="Helvetica" w:hAnsi="Helvetica"/>
                <w:sz w:val="18"/>
              </w:rPr>
              <w:fldChar w:fldCharType="end"/>
            </w:r>
          </w:p>
          <w:p w:rsidR="00917A83" w:rsidRDefault="00917A83">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5C13F5">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5C13F5">
              <w:rPr>
                <w:rFonts w:ascii="Helvetica" w:hAnsi="Helvetica"/>
                <w:sz w:val="18"/>
              </w:rPr>
            </w:r>
            <w:r w:rsidR="005C13F5">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C13F5">
              <w:rPr>
                <w:rFonts w:ascii="Helvetica" w:hAnsi="Helvetica"/>
                <w:sz w:val="18"/>
              </w:rPr>
              <w:fldChar w:fldCharType="end"/>
            </w:r>
          </w:p>
        </w:tc>
      </w:tr>
      <w:tr w:rsidR="00917A83">
        <w:trPr>
          <w:trHeight w:val="1474"/>
        </w:trPr>
        <w:tc>
          <w:tcPr>
            <w:tcW w:w="5628" w:type="dxa"/>
            <w:gridSpan w:val="2"/>
            <w:tcBorders>
              <w:top w:val="single" w:sz="6" w:space="0" w:color="auto"/>
              <w:right w:val="single" w:sz="6" w:space="0" w:color="auto"/>
            </w:tcBorders>
          </w:tcPr>
          <w:p w:rsidR="00917A83" w:rsidRDefault="00917A83">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5C13F5">
              <w:rPr>
                <w:rFonts w:ascii="Helvetica" w:hAnsi="Helvetica"/>
                <w:b/>
                <w:color w:val="800000"/>
              </w:rPr>
              <w:fldChar w:fldCharType="begin">
                <w:ffData>
                  <w:name w:val=""/>
                  <w:enabled/>
                  <w:calcOnExit w:val="0"/>
                  <w:textInput>
                    <w:default w:val="P"/>
                    <w:maxLength w:val="1"/>
                  </w:textInput>
                </w:ffData>
              </w:fldChar>
            </w:r>
            <w:r w:rsidR="006C1D8F">
              <w:rPr>
                <w:rFonts w:ascii="Helvetica" w:hAnsi="Helvetica"/>
                <w:b/>
                <w:color w:val="800000"/>
              </w:rPr>
              <w:instrText xml:space="preserve"> FORMTEXT </w:instrText>
            </w:r>
            <w:r w:rsidR="005C13F5">
              <w:rPr>
                <w:rFonts w:ascii="Helvetica" w:hAnsi="Helvetica"/>
                <w:b/>
                <w:color w:val="800000"/>
              </w:rPr>
            </w:r>
            <w:r w:rsidR="005C13F5">
              <w:rPr>
                <w:rFonts w:ascii="Helvetica" w:hAnsi="Helvetica"/>
                <w:b/>
                <w:color w:val="800000"/>
              </w:rPr>
              <w:fldChar w:fldCharType="separate"/>
            </w:r>
            <w:r w:rsidR="006C1D8F">
              <w:rPr>
                <w:rFonts w:ascii="Helvetica" w:hAnsi="Helvetica"/>
                <w:b/>
                <w:noProof/>
                <w:color w:val="800000"/>
              </w:rPr>
              <w:t>P</w:t>
            </w:r>
            <w:r w:rsidR="005C13F5">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5C13F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C13F5">
              <w:rPr>
                <w:rFonts w:ascii="Helvetica" w:hAnsi="Helvetica"/>
                <w:b/>
                <w:color w:val="800000"/>
              </w:rPr>
            </w:r>
            <w:r w:rsidR="005C13F5">
              <w:rPr>
                <w:rFonts w:ascii="Helvetica" w:hAnsi="Helvetica"/>
                <w:b/>
                <w:color w:val="800000"/>
              </w:rPr>
              <w:fldChar w:fldCharType="separate"/>
            </w:r>
            <w:r>
              <w:rPr>
                <w:rFonts w:ascii="Helvetica" w:hAnsi="Helvetica"/>
                <w:b/>
                <w:noProof/>
                <w:color w:val="800000"/>
              </w:rPr>
              <w:t> </w:t>
            </w:r>
            <w:r w:rsidR="005C13F5">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917A83" w:rsidRDefault="00917A8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5C13F5">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5C13F5">
              <w:rPr>
                <w:rFonts w:ascii="Helvetica" w:hAnsi="Helvetica"/>
                <w:b/>
                <w:color w:val="800000"/>
              </w:rPr>
            </w:r>
            <w:r w:rsidR="005C13F5">
              <w:rPr>
                <w:rFonts w:ascii="Helvetica" w:hAnsi="Helvetica"/>
                <w:b/>
                <w:color w:val="800000"/>
              </w:rPr>
              <w:fldChar w:fldCharType="separate"/>
            </w:r>
            <w:r w:rsidR="006C1D8F">
              <w:rPr>
                <w:rFonts w:ascii="Helvetica" w:hAnsi="Helvetica"/>
                <w:b/>
                <w:noProof/>
                <w:color w:val="800000"/>
              </w:rPr>
              <w:t>X</w:t>
            </w:r>
            <w:r w:rsidR="005C13F5">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5C13F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C13F5">
              <w:rPr>
                <w:rFonts w:ascii="Helvetica" w:hAnsi="Helvetica"/>
                <w:b/>
                <w:color w:val="800000"/>
              </w:rPr>
            </w:r>
            <w:r w:rsidR="005C13F5">
              <w:rPr>
                <w:rFonts w:ascii="Helvetica" w:hAnsi="Helvetica"/>
                <w:b/>
                <w:color w:val="800000"/>
              </w:rPr>
              <w:fldChar w:fldCharType="separate"/>
            </w:r>
            <w:r>
              <w:rPr>
                <w:rFonts w:ascii="Helvetica" w:hAnsi="Helvetica"/>
                <w:b/>
                <w:noProof/>
                <w:color w:val="800000"/>
              </w:rPr>
              <w:t> </w:t>
            </w:r>
            <w:r w:rsidR="005C13F5">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5C13F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C13F5">
              <w:rPr>
                <w:rFonts w:ascii="Helvetica" w:hAnsi="Helvetica"/>
                <w:b/>
                <w:color w:val="800000"/>
              </w:rPr>
            </w:r>
            <w:r w:rsidR="005C13F5">
              <w:rPr>
                <w:rFonts w:ascii="Helvetica" w:hAnsi="Helvetica"/>
                <w:b/>
                <w:color w:val="800000"/>
              </w:rPr>
              <w:fldChar w:fldCharType="separate"/>
            </w:r>
            <w:r>
              <w:rPr>
                <w:rFonts w:ascii="Helvetica" w:hAnsi="Helvetica"/>
                <w:b/>
                <w:noProof/>
                <w:color w:val="800000"/>
              </w:rPr>
              <w:t> </w:t>
            </w:r>
            <w:r w:rsidR="005C13F5">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5C13F5">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5C13F5">
              <w:rPr>
                <w:rFonts w:ascii="Helvetica" w:hAnsi="Helvetica"/>
                <w:b/>
                <w:color w:val="800000"/>
              </w:rPr>
            </w:r>
            <w:r w:rsidR="005C13F5">
              <w:rPr>
                <w:rFonts w:ascii="Helvetica" w:hAnsi="Helvetica"/>
                <w:b/>
                <w:color w:val="800000"/>
              </w:rPr>
              <w:fldChar w:fldCharType="separate"/>
            </w:r>
            <w:r w:rsidR="006C1D8F">
              <w:rPr>
                <w:rFonts w:ascii="Helvetica" w:hAnsi="Helvetica"/>
                <w:b/>
                <w:noProof/>
                <w:color w:val="800000"/>
              </w:rPr>
              <w:t>X</w:t>
            </w:r>
            <w:r w:rsidR="005C13F5">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rsidR="00917A83" w:rsidRDefault="00917A83">
            <w:pPr>
              <w:keepLines/>
              <w:tabs>
                <w:tab w:val="left" w:pos="480"/>
                <w:tab w:val="left" w:pos="2880"/>
              </w:tabs>
              <w:spacing w:after="60"/>
              <w:ind w:left="120"/>
              <w:rPr>
                <w:rFonts w:ascii="Helvetica" w:hAnsi="Helvetica"/>
                <w:sz w:val="16"/>
              </w:rPr>
            </w:pPr>
            <w:r>
              <w:rPr>
                <w:rFonts w:ascii="Helvetica" w:hAnsi="Helvetica"/>
                <w:sz w:val="16"/>
              </w:rPr>
              <w:t xml:space="preserve">d. </w:t>
            </w:r>
            <w:r w:rsidR="005C13F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C13F5">
              <w:rPr>
                <w:rFonts w:ascii="Helvetica" w:hAnsi="Helvetica"/>
                <w:b/>
                <w:color w:val="800000"/>
              </w:rPr>
            </w:r>
            <w:r w:rsidR="005C13F5">
              <w:rPr>
                <w:rFonts w:ascii="Helvetica" w:hAnsi="Helvetica"/>
                <w:b/>
                <w:color w:val="800000"/>
              </w:rPr>
              <w:fldChar w:fldCharType="separate"/>
            </w:r>
            <w:r>
              <w:rPr>
                <w:rFonts w:ascii="Helvetica" w:hAnsi="Helvetica"/>
                <w:b/>
                <w:noProof/>
                <w:color w:val="800000"/>
              </w:rPr>
              <w:t> </w:t>
            </w:r>
            <w:r w:rsidR="005C13F5">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17A83" w:rsidRDefault="00917A83">
            <w:pPr>
              <w:tabs>
                <w:tab w:val="left" w:pos="240"/>
                <w:tab w:val="left" w:pos="1932"/>
              </w:tabs>
              <w:ind w:left="120"/>
              <w:rPr>
                <w:rFonts w:ascii="Helvetica" w:hAnsi="Helvetica"/>
                <w:sz w:val="16"/>
              </w:rPr>
            </w:pPr>
            <w:r>
              <w:rPr>
                <w:rFonts w:ascii="Helvetica" w:hAnsi="Helvetica"/>
                <w:sz w:val="16"/>
              </w:rPr>
              <w:t xml:space="preserve">a. </w:t>
            </w:r>
            <w:r w:rsidR="005C13F5">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5C13F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917A83" w:rsidRDefault="00917A8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5C13F5">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1. </w:t>
            </w:r>
            <w:r w:rsidR="005C13F5">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5C13F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5C13F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4. </w:t>
            </w:r>
            <w:r w:rsidR="005C13F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5C13F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5C13F5">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917A83" w:rsidRDefault="00917A83">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5C13F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5C13F5">
              <w:rPr>
                <w:rFonts w:ascii="Helvetica" w:hAnsi="Helvetica"/>
                <w:b/>
                <w:sz w:val="18"/>
              </w:rPr>
              <w:fldChar w:fldCharType="begin">
                <w:ffData>
                  <w:name w:val=""/>
                  <w:enabled/>
                  <w:calcOnExit w:val="0"/>
                  <w:checkBox>
                    <w:sizeAuto/>
                    <w:default w:val="1"/>
                  </w:checkBox>
                </w:ffData>
              </w:fldChar>
            </w:r>
            <w:r w:rsidR="0097648C">
              <w:rPr>
                <w:rFonts w:ascii="Helvetica" w:hAnsi="Helvetica"/>
                <w:b/>
                <w:sz w:val="18"/>
              </w:rPr>
              <w:instrText xml:space="preserve"> FORMCHECKBOX </w:instrText>
            </w:r>
            <w:r w:rsidR="005C13F5">
              <w:rPr>
                <w:rFonts w:ascii="Helvetica" w:hAnsi="Helvetica"/>
                <w:b/>
                <w:sz w:val="18"/>
              </w:rPr>
            </w:r>
            <w:r w:rsidR="005C13F5">
              <w:rPr>
                <w:rFonts w:ascii="Helvetica" w:hAnsi="Helvetica"/>
                <w:b/>
                <w:sz w:val="18"/>
              </w:rPr>
              <w:fldChar w:fldCharType="separate"/>
            </w:r>
            <w:r w:rsidR="005C13F5">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bookmarkStart w:id="9" w:name="Text18"/>
            <w:r w:rsidR="005C13F5">
              <w:rPr>
                <w:rFonts w:ascii="Helvetica" w:hAnsi="Helvetica"/>
                <w:color w:val="000080"/>
                <w:sz w:val="16"/>
              </w:rPr>
              <w:fldChar w:fldCharType="begin">
                <w:ffData>
                  <w:name w:val="Text18"/>
                  <w:enabled/>
                  <w:calcOnExit w:val="0"/>
                  <w:textInput>
                    <w:default w:val="one-time application"/>
                  </w:textInput>
                </w:ffData>
              </w:fldChar>
            </w:r>
            <w:r w:rsidR="0097648C">
              <w:rPr>
                <w:rFonts w:ascii="Helvetica" w:hAnsi="Helvetica"/>
                <w:color w:val="000080"/>
                <w:sz w:val="16"/>
              </w:rPr>
              <w:instrText xml:space="preserve"> FORMTEXT </w:instrText>
            </w:r>
            <w:r w:rsidR="005C13F5">
              <w:rPr>
                <w:rFonts w:ascii="Helvetica" w:hAnsi="Helvetica"/>
                <w:color w:val="000080"/>
                <w:sz w:val="16"/>
              </w:rPr>
            </w:r>
            <w:r w:rsidR="005C13F5">
              <w:rPr>
                <w:rFonts w:ascii="Helvetica" w:hAnsi="Helvetica"/>
                <w:color w:val="000080"/>
                <w:sz w:val="16"/>
              </w:rPr>
              <w:fldChar w:fldCharType="separate"/>
            </w:r>
            <w:r w:rsidR="0097648C">
              <w:rPr>
                <w:rFonts w:ascii="Helvetica" w:hAnsi="Helvetica"/>
                <w:noProof/>
                <w:color w:val="000080"/>
                <w:sz w:val="16"/>
              </w:rPr>
              <w:t>one-time application</w:t>
            </w:r>
            <w:r w:rsidR="005C13F5">
              <w:rPr>
                <w:rFonts w:ascii="Helvetica" w:hAnsi="Helvetica"/>
                <w:color w:val="000080"/>
                <w:sz w:val="16"/>
              </w:rPr>
              <w:fldChar w:fldCharType="end"/>
            </w:r>
            <w:bookmarkEnd w:id="9"/>
          </w:p>
          <w:p w:rsidR="00917A83" w:rsidRDefault="00917A83">
            <w:pPr>
              <w:tabs>
                <w:tab w:val="left" w:pos="240"/>
              </w:tabs>
              <w:rPr>
                <w:rFonts w:ascii="Helvetica" w:hAnsi="Helvetica"/>
                <w:sz w:val="16"/>
              </w:rPr>
            </w:pPr>
          </w:p>
        </w:tc>
      </w:tr>
      <w:tr w:rsidR="00917A83">
        <w:tc>
          <w:tcPr>
            <w:tcW w:w="4908" w:type="dxa"/>
            <w:tcBorders>
              <w:top w:val="single" w:sz="6" w:space="0" w:color="auto"/>
              <w:bottom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17A83" w:rsidRDefault="00917A83">
            <w:pPr>
              <w:keepLines/>
              <w:ind w:left="240"/>
              <w:rPr>
                <w:rFonts w:ascii="Helvetica" w:hAnsi="Helvetica"/>
                <w:sz w:val="16"/>
              </w:rPr>
            </w:pPr>
            <w:r>
              <w:rPr>
                <w:rFonts w:ascii="Helvetica" w:hAnsi="Helvetica"/>
                <w:sz w:val="16"/>
              </w:rPr>
              <w:t>Does this information collection employ statistical methods?</w:t>
            </w:r>
          </w:p>
          <w:p w:rsidR="00917A83" w:rsidRDefault="005C13F5">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17A83" w:rsidRDefault="00917A83">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17A83" w:rsidRPr="006B5E3E" w:rsidRDefault="00917A83">
            <w:pPr>
              <w:ind w:left="252"/>
              <w:rPr>
                <w:rFonts w:ascii="Helvetica" w:hAnsi="Helvetica"/>
                <w:sz w:val="16"/>
              </w:rPr>
            </w:pPr>
            <w:r>
              <w:rPr>
                <w:rFonts w:ascii="Helvetica" w:hAnsi="Helvetica"/>
                <w:sz w:val="16"/>
              </w:rPr>
              <w:t xml:space="preserve">Name: </w:t>
            </w:r>
            <w:r w:rsidR="00F01F56">
              <w:rPr>
                <w:rFonts w:ascii="Helvetica" w:hAnsi="Helvetica"/>
                <w:sz w:val="18"/>
              </w:rPr>
              <w:t>Caroline Crouse</w:t>
            </w:r>
          </w:p>
          <w:p w:rsidR="00917A83" w:rsidRPr="006B5E3E" w:rsidRDefault="00917A83">
            <w:pPr>
              <w:ind w:left="252"/>
              <w:rPr>
                <w:rFonts w:ascii="Helvetica" w:hAnsi="Helvetica"/>
                <w:sz w:val="16"/>
              </w:rPr>
            </w:pPr>
            <w:r w:rsidRPr="006B5E3E">
              <w:rPr>
                <w:rFonts w:ascii="Helvetica" w:hAnsi="Helvetica"/>
                <w:sz w:val="16"/>
              </w:rPr>
              <w:t xml:space="preserve">Phone: </w:t>
            </w:r>
            <w:r w:rsidR="006C1D8F" w:rsidRPr="006B5E3E">
              <w:rPr>
                <w:rFonts w:ascii="Helvetica" w:hAnsi="Helvetica"/>
                <w:sz w:val="18"/>
              </w:rPr>
              <w:t>202-402-</w:t>
            </w:r>
            <w:r w:rsidR="00F01F56">
              <w:rPr>
                <w:rFonts w:ascii="Helvetica" w:hAnsi="Helvetica"/>
                <w:sz w:val="18"/>
              </w:rPr>
              <w:t>4595</w:t>
            </w:r>
          </w:p>
          <w:p w:rsidR="00917A83" w:rsidRDefault="00917A83">
            <w:pPr>
              <w:tabs>
                <w:tab w:val="left" w:pos="240"/>
              </w:tabs>
              <w:rPr>
                <w:rFonts w:ascii="Helvetica" w:hAnsi="Helvetica"/>
                <w:sz w:val="16"/>
              </w:rPr>
            </w:pPr>
          </w:p>
        </w:tc>
      </w:tr>
    </w:tbl>
    <w:p w:rsidR="00917A83" w:rsidRDefault="00917A83">
      <w:pPr>
        <w:tabs>
          <w:tab w:val="left" w:pos="240"/>
        </w:tabs>
        <w:rPr>
          <w:rFonts w:ascii="Helvetica" w:hAnsi="Helvetica"/>
          <w:sz w:val="16"/>
        </w:rPr>
      </w:pPr>
    </w:p>
    <w:p w:rsidR="00917A83" w:rsidRDefault="00917A83">
      <w:pPr>
        <w:pBdr>
          <w:top w:val="single" w:sz="6" w:space="1" w:color="auto"/>
        </w:pBdr>
        <w:tabs>
          <w:tab w:val="left" w:pos="240"/>
        </w:tabs>
        <w:jc w:val="center"/>
        <w:rPr>
          <w:rFonts w:ascii="Helvetica" w:hAnsi="Helvetica"/>
          <w:sz w:val="16"/>
        </w:rPr>
        <w:sectPr w:rsidR="00917A83" w:rsidSect="00857B49">
          <w:footerReference w:type="default" r:id="rId7"/>
          <w:pgSz w:w="12240" w:h="15840"/>
          <w:pgMar w:top="480" w:right="0" w:bottom="480" w:left="720" w:header="480" w:footer="480" w:gutter="0"/>
          <w:cols w:space="480" w:equalWidth="0">
            <w:col w:w="11520"/>
          </w:cols>
        </w:sectPr>
      </w:pPr>
    </w:p>
    <w:p w:rsidR="00917A83" w:rsidRDefault="00917A8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17A83" w:rsidRDefault="00917A8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17A83" w:rsidRDefault="00917A8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17A83" w:rsidRDefault="00917A83">
      <w:pPr>
        <w:tabs>
          <w:tab w:val="left" w:pos="240"/>
        </w:tabs>
        <w:spacing w:line="280" w:lineRule="exact"/>
        <w:rPr>
          <w:sz w:val="22"/>
        </w:rPr>
      </w:pPr>
    </w:p>
    <w:p w:rsidR="00917A83" w:rsidRDefault="00917A83">
      <w:pPr>
        <w:tabs>
          <w:tab w:val="left" w:pos="240"/>
        </w:tabs>
        <w:spacing w:line="280" w:lineRule="exact"/>
        <w:rPr>
          <w:sz w:val="22"/>
        </w:rPr>
      </w:pPr>
      <w:r>
        <w:rPr>
          <w:sz w:val="22"/>
        </w:rPr>
        <w:t>The following is a summary of the topics, regarding the proposed collections of information, that the certification covers:</w:t>
      </w:r>
    </w:p>
    <w:p w:rsidR="00917A83" w:rsidRDefault="00917A83">
      <w:pPr>
        <w:numPr>
          <w:ilvl w:val="0"/>
          <w:numId w:val="3"/>
        </w:numPr>
        <w:tabs>
          <w:tab w:val="left" w:pos="720"/>
        </w:tabs>
        <w:spacing w:line="280" w:lineRule="exact"/>
        <w:rPr>
          <w:sz w:val="22"/>
        </w:rPr>
      </w:pPr>
      <w:r>
        <w:rPr>
          <w:sz w:val="22"/>
        </w:rPr>
        <w:t>It is necessary for the proper performance of agency functions;</w:t>
      </w:r>
    </w:p>
    <w:p w:rsidR="00917A83" w:rsidRDefault="00917A83">
      <w:pPr>
        <w:numPr>
          <w:ilvl w:val="0"/>
          <w:numId w:val="3"/>
        </w:numPr>
        <w:tabs>
          <w:tab w:val="left" w:pos="720"/>
        </w:tabs>
        <w:spacing w:line="280" w:lineRule="exact"/>
        <w:rPr>
          <w:sz w:val="22"/>
        </w:rPr>
      </w:pPr>
      <w:r>
        <w:rPr>
          <w:sz w:val="22"/>
        </w:rPr>
        <w:t>It avoids unnecessary duplication;</w:t>
      </w:r>
    </w:p>
    <w:p w:rsidR="00917A83" w:rsidRDefault="00917A83">
      <w:pPr>
        <w:numPr>
          <w:ilvl w:val="0"/>
          <w:numId w:val="3"/>
        </w:numPr>
        <w:tabs>
          <w:tab w:val="left" w:pos="720"/>
        </w:tabs>
        <w:spacing w:line="280" w:lineRule="exact"/>
        <w:rPr>
          <w:sz w:val="22"/>
        </w:rPr>
      </w:pPr>
      <w:r>
        <w:rPr>
          <w:sz w:val="22"/>
        </w:rPr>
        <w:t>It reduces burden on small entities;</w:t>
      </w:r>
    </w:p>
    <w:p w:rsidR="00917A83" w:rsidRDefault="00917A83">
      <w:pPr>
        <w:numPr>
          <w:ilvl w:val="0"/>
          <w:numId w:val="3"/>
        </w:numPr>
        <w:tabs>
          <w:tab w:val="left" w:pos="720"/>
        </w:tabs>
        <w:spacing w:line="280" w:lineRule="exact"/>
        <w:rPr>
          <w:sz w:val="22"/>
        </w:rPr>
      </w:pPr>
      <w:r>
        <w:rPr>
          <w:sz w:val="22"/>
        </w:rPr>
        <w:t>It uses plain, coherent, and unambiguous terminology that is understandable to respondents;</w:t>
      </w:r>
    </w:p>
    <w:p w:rsidR="00917A83" w:rsidRDefault="00917A8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17A83" w:rsidRDefault="00917A83">
      <w:pPr>
        <w:numPr>
          <w:ilvl w:val="0"/>
          <w:numId w:val="3"/>
        </w:numPr>
        <w:tabs>
          <w:tab w:val="left" w:pos="720"/>
        </w:tabs>
        <w:spacing w:line="280" w:lineRule="exact"/>
        <w:rPr>
          <w:sz w:val="22"/>
        </w:rPr>
      </w:pPr>
      <w:r>
        <w:rPr>
          <w:sz w:val="22"/>
        </w:rPr>
        <w:t>It indicates the retention periods for recordkeeping requirements;</w:t>
      </w:r>
    </w:p>
    <w:p w:rsidR="00917A83" w:rsidRDefault="00917A83">
      <w:pPr>
        <w:numPr>
          <w:ilvl w:val="0"/>
          <w:numId w:val="3"/>
        </w:numPr>
        <w:tabs>
          <w:tab w:val="left" w:pos="720"/>
        </w:tabs>
        <w:spacing w:line="280" w:lineRule="exact"/>
        <w:rPr>
          <w:sz w:val="22"/>
        </w:rPr>
      </w:pPr>
      <w:r>
        <w:rPr>
          <w:sz w:val="22"/>
        </w:rPr>
        <w:t>It informs respondents of the information called for under 5 CFR 1320.8(b)(3):</w:t>
      </w:r>
    </w:p>
    <w:p w:rsidR="00917A83" w:rsidRDefault="00917A83">
      <w:pPr>
        <w:numPr>
          <w:ilvl w:val="0"/>
          <w:numId w:val="4"/>
        </w:numPr>
        <w:tabs>
          <w:tab w:val="left" w:pos="720"/>
        </w:tabs>
        <w:spacing w:line="280" w:lineRule="exact"/>
        <w:rPr>
          <w:sz w:val="22"/>
        </w:rPr>
      </w:pPr>
      <w:r>
        <w:rPr>
          <w:sz w:val="22"/>
        </w:rPr>
        <w:t>Why the information is being collected;</w:t>
      </w:r>
    </w:p>
    <w:p w:rsidR="00917A83" w:rsidRDefault="00917A83">
      <w:pPr>
        <w:numPr>
          <w:ilvl w:val="0"/>
          <w:numId w:val="4"/>
        </w:numPr>
        <w:tabs>
          <w:tab w:val="left" w:pos="720"/>
        </w:tabs>
        <w:spacing w:line="280" w:lineRule="exact"/>
        <w:rPr>
          <w:sz w:val="22"/>
        </w:rPr>
      </w:pPr>
      <w:r>
        <w:rPr>
          <w:sz w:val="22"/>
        </w:rPr>
        <w:t>Use of the information;</w:t>
      </w:r>
    </w:p>
    <w:p w:rsidR="00917A83" w:rsidRDefault="00917A83">
      <w:pPr>
        <w:numPr>
          <w:ilvl w:val="0"/>
          <w:numId w:val="4"/>
        </w:numPr>
        <w:tabs>
          <w:tab w:val="left" w:pos="720"/>
        </w:tabs>
        <w:spacing w:line="280" w:lineRule="exact"/>
        <w:rPr>
          <w:sz w:val="22"/>
        </w:rPr>
      </w:pPr>
      <w:r>
        <w:rPr>
          <w:sz w:val="22"/>
        </w:rPr>
        <w:t>Burden estimate;</w:t>
      </w:r>
    </w:p>
    <w:p w:rsidR="00917A83" w:rsidRDefault="00917A83">
      <w:pPr>
        <w:numPr>
          <w:ilvl w:val="0"/>
          <w:numId w:val="4"/>
        </w:numPr>
        <w:tabs>
          <w:tab w:val="left" w:pos="720"/>
        </w:tabs>
        <w:spacing w:line="280" w:lineRule="exact"/>
        <w:rPr>
          <w:sz w:val="22"/>
        </w:rPr>
      </w:pPr>
      <w:r>
        <w:rPr>
          <w:sz w:val="22"/>
        </w:rPr>
        <w:t>Nature of response (voluntary, required for a benefit, or mandatory);</w:t>
      </w:r>
    </w:p>
    <w:p w:rsidR="00917A83" w:rsidRDefault="00917A83">
      <w:pPr>
        <w:numPr>
          <w:ilvl w:val="0"/>
          <w:numId w:val="4"/>
        </w:numPr>
        <w:tabs>
          <w:tab w:val="left" w:pos="720"/>
        </w:tabs>
        <w:spacing w:line="280" w:lineRule="exact"/>
        <w:rPr>
          <w:sz w:val="22"/>
        </w:rPr>
      </w:pPr>
      <w:r>
        <w:rPr>
          <w:sz w:val="22"/>
        </w:rPr>
        <w:t>Nature and extent of confidentiality; and</w:t>
      </w:r>
    </w:p>
    <w:p w:rsidR="00917A83" w:rsidRDefault="00917A83">
      <w:pPr>
        <w:numPr>
          <w:ilvl w:val="0"/>
          <w:numId w:val="4"/>
        </w:numPr>
        <w:tabs>
          <w:tab w:val="left" w:pos="720"/>
        </w:tabs>
        <w:spacing w:line="280" w:lineRule="exact"/>
        <w:rPr>
          <w:sz w:val="22"/>
        </w:rPr>
      </w:pPr>
      <w:r>
        <w:rPr>
          <w:sz w:val="22"/>
        </w:rPr>
        <w:t>Need to display currently valid OMB control number;</w:t>
      </w:r>
    </w:p>
    <w:p w:rsidR="00917A83" w:rsidRDefault="00917A8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17A83" w:rsidRDefault="00917A83">
      <w:pPr>
        <w:numPr>
          <w:ilvl w:val="0"/>
          <w:numId w:val="6"/>
        </w:numPr>
        <w:tabs>
          <w:tab w:val="left" w:pos="720"/>
        </w:tabs>
        <w:spacing w:line="280" w:lineRule="exact"/>
        <w:rPr>
          <w:sz w:val="22"/>
        </w:rPr>
      </w:pPr>
      <w:r>
        <w:rPr>
          <w:sz w:val="22"/>
        </w:rPr>
        <w:t>It uses effective and efficient statistical survey methodology; and</w:t>
      </w:r>
    </w:p>
    <w:p w:rsidR="00917A83" w:rsidRDefault="00917A83">
      <w:pPr>
        <w:numPr>
          <w:ilvl w:val="0"/>
          <w:numId w:val="6"/>
        </w:numPr>
        <w:tabs>
          <w:tab w:val="left" w:pos="720"/>
        </w:tabs>
        <w:spacing w:line="280" w:lineRule="exact"/>
        <w:rPr>
          <w:sz w:val="22"/>
        </w:rPr>
      </w:pPr>
      <w:r>
        <w:rPr>
          <w:sz w:val="22"/>
        </w:rPr>
        <w:t>It makes appropriate use of information technology.</w:t>
      </w:r>
    </w:p>
    <w:p w:rsidR="00917A83" w:rsidRDefault="00917A83">
      <w:pPr>
        <w:tabs>
          <w:tab w:val="left" w:pos="600"/>
        </w:tabs>
        <w:spacing w:line="280" w:lineRule="exact"/>
        <w:rPr>
          <w:sz w:val="22"/>
        </w:rPr>
      </w:pPr>
    </w:p>
    <w:p w:rsidR="00917A83" w:rsidRDefault="00917A8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17A83" w:rsidRDefault="005C13F5">
      <w:pPr>
        <w:tabs>
          <w:tab w:val="left" w:pos="240"/>
        </w:tabs>
        <w:ind w:left="240"/>
      </w:pPr>
      <w:r>
        <w:fldChar w:fldCharType="begin">
          <w:ffData>
            <w:name w:val="Text20"/>
            <w:enabled/>
            <w:calcOnExit w:val="0"/>
            <w:textInput/>
          </w:ffData>
        </w:fldChar>
      </w:r>
      <w:bookmarkStart w:id="10" w:name="Text20"/>
      <w:r w:rsidR="00917A83">
        <w:instrText xml:space="preserve"> FORMTEXT </w:instrText>
      </w:r>
      <w:r>
        <w:fldChar w:fldCharType="separate"/>
      </w:r>
      <w:r w:rsidR="00917A83">
        <w:rPr>
          <w:noProof/>
        </w:rPr>
        <w:t> </w:t>
      </w:r>
      <w:r w:rsidR="00917A83">
        <w:rPr>
          <w:noProof/>
        </w:rPr>
        <w:t> </w:t>
      </w:r>
      <w:r w:rsidR="00917A83">
        <w:rPr>
          <w:noProof/>
        </w:rPr>
        <w:t> </w:t>
      </w:r>
      <w:r w:rsidR="00917A83">
        <w:rPr>
          <w:noProof/>
        </w:rPr>
        <w:t> </w:t>
      </w:r>
      <w:r w:rsidR="00917A83">
        <w:rPr>
          <w:noProof/>
        </w:rPr>
        <w:t> </w:t>
      </w:r>
      <w:r>
        <w:fldChar w:fldCharType="end"/>
      </w:r>
      <w:bookmarkEnd w:id="10"/>
    </w:p>
    <w:p w:rsidR="00917A83" w:rsidRDefault="00917A83">
      <w:pPr>
        <w:tabs>
          <w:tab w:val="left" w:pos="240"/>
        </w:tabs>
      </w:pPr>
    </w:p>
    <w:tbl>
      <w:tblPr>
        <w:tblW w:w="0" w:type="auto"/>
        <w:tblLayout w:type="fixed"/>
        <w:tblLook w:val="0000"/>
      </w:tblPr>
      <w:tblGrid>
        <w:gridCol w:w="8388"/>
        <w:gridCol w:w="2628"/>
      </w:tblGrid>
      <w:tr w:rsidR="00917A83">
        <w:tc>
          <w:tcPr>
            <w:tcW w:w="8388" w:type="dxa"/>
            <w:tcBorders>
              <w:top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Signature of Program Official:</w:t>
            </w: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r>
              <w:rPr>
                <w:rFonts w:ascii="Helvetica" w:hAnsi="Helvetica"/>
                <w:sz w:val="16"/>
              </w:rPr>
              <w:t>X</w:t>
            </w:r>
          </w:p>
          <w:p w:rsidR="00917A83" w:rsidRDefault="00014370">
            <w:pPr>
              <w:tabs>
                <w:tab w:val="left" w:pos="240"/>
              </w:tabs>
              <w:rPr>
                <w:rFonts w:ascii="Helvetica" w:hAnsi="Helvetica"/>
                <w:sz w:val="16"/>
              </w:rPr>
            </w:pPr>
            <w:r>
              <w:rPr>
                <w:rFonts w:ascii="Helvetica" w:hAnsi="Helvetica"/>
                <w:sz w:val="16"/>
              </w:rPr>
              <w:t>Milan Ozdinec, Deputy Assistant Secretary</w:t>
            </w:r>
          </w:p>
        </w:tc>
        <w:tc>
          <w:tcPr>
            <w:tcW w:w="2628" w:type="dxa"/>
            <w:tcBorders>
              <w:top w:val="single" w:sz="6" w:space="0" w:color="auto"/>
              <w:left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Date:</w:t>
            </w:r>
          </w:p>
        </w:tc>
      </w:tr>
    </w:tbl>
    <w:p w:rsidR="00A32FD0" w:rsidRDefault="00A32FD0"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CD0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D03AA" w:rsidRDefault="00CD03AA" w:rsidP="00CD03AA">
      <w:pPr>
        <w:pStyle w:val="Title"/>
        <w:tabs>
          <w:tab w:val="center" w:pos="5148"/>
        </w:tabs>
        <w:rPr>
          <w:rFonts w:ascii="Times New Roman" w:hAnsi="Times New Roman"/>
        </w:rPr>
      </w:pPr>
      <w:r>
        <w:rPr>
          <w:rFonts w:ascii="Times New Roman" w:hAnsi="Times New Roman"/>
        </w:rPr>
        <w:t>Supporting Statement for Paperwork Reduction Act Submissions</w:t>
      </w:r>
    </w:p>
    <w:p w:rsidR="00CD03AA" w:rsidRDefault="00CD03AA" w:rsidP="00CD03AA">
      <w:pPr>
        <w:tabs>
          <w:tab w:val="center" w:pos="5148"/>
        </w:tabs>
        <w:suppressAutoHyphens/>
        <w:jc w:val="center"/>
        <w:rPr>
          <w:b/>
        </w:rPr>
      </w:pPr>
      <w:r>
        <w:rPr>
          <w:b/>
        </w:rPr>
        <w:t>Information Collection:</w:t>
      </w:r>
      <w:r w:rsidR="005C13F5">
        <w:rPr>
          <w:b/>
        </w:rPr>
        <w:fldChar w:fldCharType="begin"/>
      </w:r>
      <w:r>
        <w:rPr>
          <w:b/>
        </w:rPr>
        <w:instrText xml:space="preserve"> </w:instrText>
      </w:r>
      <w:r w:rsidR="005C13F5">
        <w:rPr>
          <w:b/>
        </w:rPr>
        <w:fldChar w:fldCharType="end"/>
      </w:r>
      <w:r>
        <w:rPr>
          <w:b/>
        </w:rPr>
        <w:t xml:space="preserve"> Family Unification Program</w:t>
      </w:r>
    </w:p>
    <w:p w:rsidR="00CD03AA" w:rsidRDefault="00CD03AA" w:rsidP="00CD03AA">
      <w:pPr>
        <w:tabs>
          <w:tab w:val="center" w:pos="5148"/>
        </w:tabs>
        <w:suppressAutoHyphens/>
        <w:jc w:val="center"/>
        <w:rPr>
          <w:b/>
        </w:rPr>
      </w:pPr>
    </w:p>
    <w:p w:rsidR="00CD03AA" w:rsidRDefault="00CD03AA" w:rsidP="00CD03AA">
      <w:pPr>
        <w:pStyle w:val="BodyTextIndent2"/>
        <w:tabs>
          <w:tab w:val="clear" w:pos="0"/>
          <w:tab w:val="left" w:pos="360"/>
        </w:tabs>
        <w:spacing w:after="120" w:line="240" w:lineRule="auto"/>
        <w:ind w:hanging="360"/>
        <w:rPr>
          <w:b/>
        </w:rPr>
      </w:pPr>
      <w:r>
        <w:rPr>
          <w:b/>
        </w:rPr>
        <w:t>A.</w:t>
      </w:r>
      <w:r>
        <w:rPr>
          <w:b/>
        </w:rPr>
        <w:tab/>
        <w:t>Justification</w:t>
      </w:r>
    </w:p>
    <w:p w:rsidR="00CD03AA" w:rsidRPr="004537ED" w:rsidRDefault="00CD03AA" w:rsidP="00CD03AA">
      <w:pPr>
        <w:pStyle w:val="NoSpacing"/>
        <w:spacing w:after="120"/>
        <w:ind w:firstLine="360"/>
        <w:contextualSpacing/>
        <w:rPr>
          <w:rFonts w:ascii="Times New Roman" w:hAnsi="Times New Roman"/>
          <w:sz w:val="24"/>
          <w:szCs w:val="24"/>
        </w:rPr>
      </w:pPr>
      <w:r>
        <w:t>1.</w:t>
      </w:r>
      <w:r>
        <w:tab/>
        <w:t xml:space="preserve"> </w:t>
      </w:r>
      <w:r w:rsidRPr="005369AE">
        <w:rPr>
          <w:rFonts w:ascii="Times New Roman" w:hAnsi="Times New Roman"/>
          <w:sz w:val="24"/>
          <w:szCs w:val="24"/>
        </w:rPr>
        <w:t xml:space="preserve">The Department of Housing and Urban Development Appropriations Act, 2010 (Public Law 111-117, enacted on December 16, 2009) authorizes the HUD Secretary to use up to $15,000,000 to competitively fund new vouchers to </w:t>
      </w:r>
      <w:r w:rsidRPr="00970323">
        <w:rPr>
          <w:rFonts w:ascii="Times New Roman" w:hAnsi="Times New Roman"/>
          <w:sz w:val="24"/>
          <w:szCs w:val="24"/>
        </w:rPr>
        <w:t xml:space="preserve">be used to promote </w:t>
      </w:r>
      <w:r>
        <w:rPr>
          <w:rFonts w:ascii="Times New Roman" w:hAnsi="Times New Roman"/>
          <w:sz w:val="24"/>
          <w:szCs w:val="24"/>
        </w:rPr>
        <w:t xml:space="preserve">the </w:t>
      </w:r>
      <w:r w:rsidRPr="00970323">
        <w:rPr>
          <w:rFonts w:ascii="Times New Roman" w:hAnsi="Times New Roman"/>
          <w:sz w:val="24"/>
          <w:szCs w:val="24"/>
        </w:rPr>
        <w:t>unification of families</w:t>
      </w:r>
      <w:r w:rsidRPr="005369AE">
        <w:rPr>
          <w:rFonts w:ascii="Times New Roman" w:hAnsi="Times New Roman"/>
          <w:sz w:val="24"/>
          <w:szCs w:val="24"/>
        </w:rPr>
        <w:t xml:space="preserve"> for whom the lack of adequate housing is a primary factor in the imminent placement of </w:t>
      </w:r>
      <w:r>
        <w:rPr>
          <w:rFonts w:ascii="Times New Roman" w:hAnsi="Times New Roman"/>
          <w:sz w:val="24"/>
          <w:szCs w:val="24"/>
        </w:rPr>
        <w:t>a</w:t>
      </w:r>
      <w:r w:rsidRPr="005369AE">
        <w:rPr>
          <w:rFonts w:ascii="Times New Roman" w:hAnsi="Times New Roman"/>
          <w:sz w:val="24"/>
          <w:szCs w:val="24"/>
        </w:rPr>
        <w:t xml:space="preserve"> family's child, or children, in out-of-home care; or the delay in the discharge of the child, or children, to the family from out-of-home care.  Youths at least 18 years old and not more than 21 years old (have not reached their 22nd birthday) who left foster care at age 16 or older and who do not have adequate housing are also eligible to receive housing assistance under FUP</w:t>
      </w:r>
      <w:r>
        <w:rPr>
          <w:rFonts w:ascii="Times New Roman" w:hAnsi="Times New Roman"/>
          <w:sz w:val="24"/>
          <w:szCs w:val="24"/>
        </w:rPr>
        <w:t xml:space="preserve">.  HUD posted a </w:t>
      </w:r>
      <w:r w:rsidRPr="004537ED">
        <w:rPr>
          <w:rFonts w:ascii="Times New Roman" w:hAnsi="Times New Roman"/>
          <w:sz w:val="24"/>
          <w:szCs w:val="24"/>
        </w:rPr>
        <w:t xml:space="preserve">Notice of Funding Availability (NOFA) </w:t>
      </w:r>
      <w:r>
        <w:rPr>
          <w:rFonts w:ascii="Times New Roman" w:hAnsi="Times New Roman"/>
          <w:sz w:val="24"/>
          <w:szCs w:val="24"/>
        </w:rPr>
        <w:t>on Grants.gov on October 5, 2010 which</w:t>
      </w:r>
      <w:r w:rsidRPr="004537ED">
        <w:rPr>
          <w:rFonts w:ascii="Times New Roman" w:hAnsi="Times New Roman"/>
          <w:sz w:val="24"/>
          <w:szCs w:val="24"/>
        </w:rPr>
        <w:t xml:space="preserve"> contain</w:t>
      </w:r>
      <w:r>
        <w:rPr>
          <w:rFonts w:ascii="Times New Roman" w:hAnsi="Times New Roman"/>
          <w:sz w:val="24"/>
          <w:szCs w:val="24"/>
        </w:rPr>
        <w:t>s</w:t>
      </w:r>
      <w:r w:rsidRPr="004537ED">
        <w:rPr>
          <w:rFonts w:ascii="Times New Roman" w:hAnsi="Times New Roman"/>
          <w:sz w:val="24"/>
          <w:szCs w:val="24"/>
        </w:rPr>
        <w:t xml:space="preserve"> the selection criteria for awarding </w:t>
      </w:r>
      <w:r>
        <w:rPr>
          <w:rFonts w:ascii="Times New Roman" w:hAnsi="Times New Roman"/>
          <w:sz w:val="24"/>
          <w:szCs w:val="24"/>
        </w:rPr>
        <w:t>FUP vouchers</w:t>
      </w:r>
      <w:r w:rsidRPr="004537ED">
        <w:rPr>
          <w:rFonts w:ascii="Times New Roman" w:hAnsi="Times New Roman"/>
          <w:sz w:val="24"/>
          <w:szCs w:val="24"/>
        </w:rPr>
        <w:t xml:space="preserve"> and specific requirements that will apply to selected </w:t>
      </w:r>
      <w:r>
        <w:rPr>
          <w:rFonts w:ascii="Times New Roman" w:hAnsi="Times New Roman"/>
          <w:sz w:val="24"/>
          <w:szCs w:val="24"/>
        </w:rPr>
        <w:t>applicants</w:t>
      </w:r>
      <w:r w:rsidRPr="004537ED">
        <w:rPr>
          <w:rFonts w:ascii="Times New Roman" w:hAnsi="Times New Roman"/>
          <w:sz w:val="24"/>
          <w:szCs w:val="24"/>
        </w:rPr>
        <w:t xml:space="preserve">.  </w:t>
      </w:r>
    </w:p>
    <w:p w:rsidR="00CD03AA" w:rsidRDefault="00CD03AA" w:rsidP="00CD03AA">
      <w:pPr>
        <w:pStyle w:val="HTMLPreformatted"/>
        <w:spacing w:after="120"/>
        <w:ind w:firstLine="360"/>
        <w:contextualSpacing/>
      </w:pPr>
      <w:r w:rsidRPr="004537ED">
        <w:rPr>
          <w:rFonts w:ascii="Times New Roman" w:hAnsi="Times New Roman" w:cs="Times New Roman"/>
          <w:sz w:val="24"/>
          <w:szCs w:val="24"/>
        </w:rPr>
        <w:t xml:space="preserve">  </w:t>
      </w:r>
      <w:r w:rsidRPr="004537ED">
        <w:rPr>
          <w:rFonts w:ascii="Times New Roman" w:hAnsi="Times New Roman" w:cs="Times New Roman"/>
          <w:sz w:val="24"/>
          <w:szCs w:val="24"/>
        </w:rPr>
        <w:tab/>
      </w:r>
      <w:r>
        <w:rPr>
          <w:rFonts w:ascii="Times New Roman" w:hAnsi="Times New Roman" w:cs="Times New Roman"/>
          <w:sz w:val="24"/>
          <w:szCs w:val="24"/>
        </w:rPr>
        <w:t xml:space="preserve">The Family Unification Program </w:t>
      </w:r>
      <w:r w:rsidRPr="00970323">
        <w:rPr>
          <w:rFonts w:ascii="Times New Roman" w:hAnsi="Times New Roman" w:cs="Times New Roman"/>
          <w:sz w:val="24"/>
          <w:szCs w:val="24"/>
        </w:rPr>
        <w:t xml:space="preserve">will employ a comprehensive approach to </w:t>
      </w:r>
      <w:r>
        <w:rPr>
          <w:rFonts w:ascii="Times New Roman" w:hAnsi="Times New Roman" w:cs="Times New Roman"/>
          <w:sz w:val="24"/>
          <w:szCs w:val="24"/>
        </w:rPr>
        <w:t xml:space="preserve">assisting at-risk families </w:t>
      </w:r>
      <w:r w:rsidRPr="00970323">
        <w:rPr>
          <w:rFonts w:ascii="Times New Roman" w:hAnsi="Times New Roman" w:cs="Times New Roman"/>
          <w:sz w:val="24"/>
          <w:szCs w:val="24"/>
        </w:rPr>
        <w:t xml:space="preserve">centered on </w:t>
      </w:r>
      <w:r>
        <w:rPr>
          <w:rFonts w:ascii="Times New Roman" w:hAnsi="Times New Roman" w:cs="Times New Roman"/>
          <w:sz w:val="24"/>
          <w:szCs w:val="24"/>
        </w:rPr>
        <w:t>providing adequate housing and supportive services in partnership between Public Housing Agencies (PHAs) and Public Child Welfare Agencies (PCWAs)</w:t>
      </w:r>
      <w:r w:rsidRPr="00970323">
        <w:rPr>
          <w:rFonts w:ascii="Times New Roman" w:hAnsi="Times New Roman" w:cs="Times New Roman"/>
          <w:sz w:val="24"/>
          <w:szCs w:val="24"/>
        </w:rPr>
        <w:t xml:space="preserve">.  The program aims to </w:t>
      </w:r>
      <w:r>
        <w:rPr>
          <w:rFonts w:ascii="Times New Roman" w:hAnsi="Times New Roman" w:cs="Times New Roman"/>
          <w:sz w:val="24"/>
          <w:szCs w:val="24"/>
        </w:rPr>
        <w:t xml:space="preserve">unify families for whom the lack of adequate housing threatens to place children in out-of-home care or delays the discharge of children to the family from out-of-home care by providing Housing Choice Vouchers to allow families to obtain adequate housing in the neighborhoods of their choice.  </w:t>
      </w:r>
      <w:r w:rsidRPr="004537ED">
        <w:rPr>
          <w:rFonts w:ascii="Times New Roman" w:hAnsi="Times New Roman" w:cs="Times New Roman"/>
          <w:sz w:val="24"/>
          <w:szCs w:val="24"/>
        </w:rPr>
        <w:t xml:space="preserve">  </w:t>
      </w:r>
      <w:r>
        <w:tab/>
      </w:r>
    </w:p>
    <w:p w:rsidR="00CD03AA" w:rsidRDefault="00CD03AA" w:rsidP="00CD03AA">
      <w:pPr>
        <w:pStyle w:val="BodyTextIndent2"/>
        <w:tabs>
          <w:tab w:val="clear" w:pos="0"/>
          <w:tab w:val="left" w:pos="360"/>
        </w:tabs>
        <w:spacing w:after="120" w:line="240" w:lineRule="auto"/>
        <w:ind w:hanging="360"/>
      </w:pPr>
      <w:r>
        <w:rPr>
          <w:b/>
          <w:bCs/>
        </w:rPr>
        <w:t>2.</w:t>
      </w:r>
      <w:r>
        <w:rPr>
          <w:b/>
          <w:bCs/>
        </w:rPr>
        <w:tab/>
      </w:r>
      <w:r>
        <w:t xml:space="preserve">Eligible applicants interested in obtaining FUP funds will be required to submit applications to HUD, as explained in the FUP NOFA.  The information collection covers the information needed from applicants to determine which applicants should be funded and program reporting and recordkeeping requirements.  The information provided demonstrates the applicant plans to implement the program requirements, and includes related applicant history.  The application will include such information as an MOU between the PHA and PCWA, narrative statements related to the program rating criteria, and other statements ensuring that the applicants meet HUD requirements.  The information will be used by HUD staff to evaluate threshold requirements, rate and rank FUP voucher applications, and measure performance.  </w:t>
      </w:r>
    </w:p>
    <w:p w:rsidR="003C6C92" w:rsidRDefault="003C6C92" w:rsidP="00CD03AA">
      <w:pPr>
        <w:pStyle w:val="BodyTextIndent2"/>
        <w:tabs>
          <w:tab w:val="clear" w:pos="0"/>
          <w:tab w:val="left" w:pos="360"/>
        </w:tabs>
        <w:spacing w:after="120" w:line="240" w:lineRule="auto"/>
        <w:ind w:hanging="360"/>
        <w:rPr>
          <w:b/>
          <w:bCs/>
        </w:rPr>
      </w:pPr>
    </w:p>
    <w:p w:rsidR="003C6C92" w:rsidRDefault="00103A0E" w:rsidP="00103A0E">
      <w:pPr>
        <w:pStyle w:val="BodyTextIndent2"/>
        <w:tabs>
          <w:tab w:val="clear" w:pos="0"/>
          <w:tab w:val="left" w:pos="360"/>
        </w:tabs>
        <w:spacing w:after="120" w:line="240" w:lineRule="auto"/>
        <w:ind w:hanging="360"/>
        <w:rPr>
          <w:b/>
          <w:bCs/>
        </w:rPr>
      </w:pPr>
      <w:proofErr w:type="gramStart"/>
      <w:r>
        <w:rPr>
          <w:b/>
          <w:bCs/>
        </w:rPr>
        <w:t xml:space="preserve">3.  </w:t>
      </w:r>
      <w:r w:rsidR="00014370">
        <w:rPr>
          <w:b/>
          <w:bCs/>
        </w:rPr>
        <w:t xml:space="preserve"> </w:t>
      </w:r>
      <w:r>
        <w:rPr>
          <w:b/>
          <w:bCs/>
        </w:rPr>
        <w:t>After</w:t>
      </w:r>
      <w:proofErr w:type="gramEnd"/>
      <w:r>
        <w:rPr>
          <w:b/>
          <w:bCs/>
        </w:rPr>
        <w:t xml:space="preserve"> the award of FUP vouchers, PHAs are expected comply with reporting requirements for the HCV program, covered in PRA </w:t>
      </w:r>
      <w:r w:rsidR="006B4494">
        <w:rPr>
          <w:b/>
          <w:bCs/>
        </w:rPr>
        <w:t>2577-</w:t>
      </w:r>
      <w:r w:rsidR="00E12BF8">
        <w:rPr>
          <w:b/>
          <w:bCs/>
        </w:rPr>
        <w:t>0169</w:t>
      </w:r>
      <w:r>
        <w:rPr>
          <w:b/>
          <w:bCs/>
        </w:rPr>
        <w:t xml:space="preserve"> PHAs are also expected to inform HUD, not more than annually, if their baseline of FUP vouchers has changed.  </w:t>
      </w:r>
    </w:p>
    <w:p w:rsidR="00CD03AA" w:rsidRDefault="003C6C92" w:rsidP="00CD03AA">
      <w:pPr>
        <w:pStyle w:val="BodyTextIndent2"/>
        <w:tabs>
          <w:tab w:val="clear" w:pos="0"/>
          <w:tab w:val="left" w:pos="360"/>
        </w:tabs>
        <w:spacing w:after="120" w:line="240" w:lineRule="auto"/>
        <w:ind w:hanging="360"/>
      </w:pPr>
      <w:r>
        <w:rPr>
          <w:b/>
          <w:bCs/>
        </w:rPr>
        <w:t>4</w:t>
      </w:r>
      <w:r w:rsidR="00CD03AA">
        <w:t>.</w:t>
      </w:r>
      <w:r w:rsidR="00CD03AA">
        <w:tab/>
      </w:r>
      <w:r w:rsidR="00CD03AA">
        <w:rPr>
          <w:b/>
          <w:bCs/>
        </w:rPr>
        <w:t xml:space="preserve">Technology applied to the collection: </w:t>
      </w:r>
      <w:r w:rsidR="00CD03AA">
        <w:t xml:space="preserve">This information collection is automated in order to improve data quality and to reduce the public reporting burden.  Since FY 2005, the Department has required applications prepared in response to NOFAs to be submitted electronically via Grants.gov.  </w:t>
      </w:r>
      <w:r w:rsidR="00103A0E">
        <w:t>Submission of baseline adjustments may be done via electronic mail.</w:t>
      </w:r>
    </w:p>
    <w:p w:rsidR="00CD03AA" w:rsidRDefault="003C6C92" w:rsidP="00CD03AA">
      <w:pPr>
        <w:pStyle w:val="BodyTextIndent2"/>
        <w:tabs>
          <w:tab w:val="clear" w:pos="0"/>
          <w:tab w:val="left" w:pos="360"/>
        </w:tabs>
        <w:spacing w:after="120" w:line="240" w:lineRule="auto"/>
        <w:ind w:hanging="360"/>
        <w:rPr>
          <w:b/>
        </w:rPr>
      </w:pPr>
      <w:r>
        <w:rPr>
          <w:b/>
        </w:rPr>
        <w:t>5</w:t>
      </w:r>
      <w:r w:rsidR="00CD03AA">
        <w:rPr>
          <w:b/>
        </w:rPr>
        <w:t>.</w:t>
      </w:r>
      <w:r w:rsidR="00CD03AA">
        <w:rPr>
          <w:b/>
        </w:rPr>
        <w:tab/>
        <w:t xml:space="preserve">Duplication of Effort: </w:t>
      </w:r>
    </w:p>
    <w:p w:rsidR="00CD03AA" w:rsidRDefault="00CD03AA" w:rsidP="00CD03AA">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CD03AA" w:rsidRDefault="003C6C92" w:rsidP="00CD03AA">
      <w:pPr>
        <w:pStyle w:val="BodyTextIndent2"/>
        <w:tabs>
          <w:tab w:val="clear" w:pos="0"/>
          <w:tab w:val="left" w:pos="360"/>
        </w:tabs>
        <w:spacing w:after="120" w:line="240" w:lineRule="auto"/>
        <w:ind w:hanging="360"/>
        <w:rPr>
          <w:b/>
        </w:rPr>
      </w:pPr>
      <w:r>
        <w:rPr>
          <w:b/>
        </w:rPr>
        <w:t>6</w:t>
      </w:r>
      <w:r w:rsidR="00CD03AA">
        <w:rPr>
          <w:b/>
        </w:rPr>
        <w:t>.</w:t>
      </w:r>
      <w:r w:rsidR="00CD03AA">
        <w:rPr>
          <w:b/>
        </w:rPr>
        <w:tab/>
        <w:t xml:space="preserve">Impact on Small Business and Small Entities:  </w:t>
      </w:r>
    </w:p>
    <w:p w:rsidR="00CD03AA" w:rsidRDefault="00CD03AA" w:rsidP="00CD03AA">
      <w:pPr>
        <w:pStyle w:val="BodyTextIndent2"/>
        <w:tabs>
          <w:tab w:val="clear" w:pos="0"/>
          <w:tab w:val="left" w:pos="360"/>
        </w:tabs>
        <w:spacing w:after="120" w:line="240" w:lineRule="auto"/>
        <w:ind w:hanging="360"/>
      </w:pPr>
      <w:r>
        <w:tab/>
        <w:t>These information collections have no significant impact on small businesses or other entities.</w:t>
      </w:r>
    </w:p>
    <w:p w:rsidR="00CD03AA" w:rsidRDefault="003C6C92" w:rsidP="00CD03AA">
      <w:pPr>
        <w:pStyle w:val="BodyTextIndent2"/>
        <w:tabs>
          <w:tab w:val="clear" w:pos="0"/>
          <w:tab w:val="left" w:pos="360"/>
        </w:tabs>
        <w:spacing w:after="120" w:line="240" w:lineRule="auto"/>
        <w:ind w:hanging="360"/>
        <w:rPr>
          <w:b/>
        </w:rPr>
      </w:pPr>
      <w:r>
        <w:rPr>
          <w:b/>
        </w:rPr>
        <w:t>7</w:t>
      </w:r>
      <w:r w:rsidR="00CD03AA">
        <w:rPr>
          <w:b/>
        </w:rPr>
        <w:t>.</w:t>
      </w:r>
      <w:r w:rsidR="00CD03AA">
        <w:rPr>
          <w:b/>
        </w:rPr>
        <w:tab/>
        <w:t xml:space="preserve">Consequence of Less Frequent Collection:  </w:t>
      </w:r>
    </w:p>
    <w:p w:rsidR="00CD03AA" w:rsidRDefault="00CD03AA" w:rsidP="00CD03AA">
      <w:pPr>
        <w:pStyle w:val="BodyTextIndent2"/>
        <w:tabs>
          <w:tab w:val="clear" w:pos="0"/>
          <w:tab w:val="left" w:pos="360"/>
        </w:tabs>
        <w:spacing w:after="120" w:line="240" w:lineRule="auto"/>
        <w:ind w:hanging="360"/>
      </w:pPr>
      <w:r>
        <w:tab/>
        <w:t xml:space="preserve">The Federal statutory mandate would not be met if the collection is not conducted.  The information collection is necessary so that the available 2010 funds, per the appropriations act, may be awarded timely to successful applicants for the FUP program.  </w:t>
      </w:r>
    </w:p>
    <w:p w:rsidR="00CD03AA" w:rsidRDefault="003C6C92" w:rsidP="00CD03AA">
      <w:pPr>
        <w:pStyle w:val="BodyTextIndent2"/>
        <w:tabs>
          <w:tab w:val="clear" w:pos="0"/>
          <w:tab w:val="left" w:pos="360"/>
        </w:tabs>
        <w:spacing w:after="120" w:line="240" w:lineRule="auto"/>
        <w:ind w:hanging="360"/>
        <w:rPr>
          <w:b/>
        </w:rPr>
      </w:pPr>
      <w:r>
        <w:rPr>
          <w:b/>
        </w:rPr>
        <w:lastRenderedPageBreak/>
        <w:t>8</w:t>
      </w:r>
      <w:r w:rsidR="00CD03AA">
        <w:rPr>
          <w:b/>
        </w:rPr>
        <w:t xml:space="preserve">. </w:t>
      </w:r>
      <w:r w:rsidR="00CD03AA">
        <w:rPr>
          <w:b/>
        </w:rPr>
        <w:tab/>
        <w:t xml:space="preserve">Special Circumstances for Information Collection: </w:t>
      </w:r>
    </w:p>
    <w:p w:rsidR="00CD03AA" w:rsidRPr="000E71E4" w:rsidRDefault="00CD03AA" w:rsidP="00CD03AA">
      <w:pPr>
        <w:pStyle w:val="BodyTextIndent2"/>
        <w:tabs>
          <w:tab w:val="clear" w:pos="0"/>
          <w:tab w:val="left" w:pos="360"/>
        </w:tabs>
        <w:spacing w:after="120" w:line="240" w:lineRule="auto"/>
        <w:ind w:hanging="360"/>
      </w:pPr>
      <w:r>
        <w:tab/>
        <w:t xml:space="preserve">There are no special circumstances that would cause these information collections to be conducted </w:t>
      </w:r>
      <w:r w:rsidRPr="000E71E4">
        <w:t xml:space="preserve">inappropriately. </w:t>
      </w:r>
    </w:p>
    <w:p w:rsidR="00606C31" w:rsidRDefault="003C6C92" w:rsidP="00CD03AA">
      <w:pPr>
        <w:pStyle w:val="BodyTextIndent2"/>
        <w:tabs>
          <w:tab w:val="clear" w:pos="0"/>
          <w:tab w:val="left" w:pos="360"/>
        </w:tabs>
        <w:spacing w:after="120" w:line="240" w:lineRule="auto"/>
        <w:ind w:hanging="360"/>
      </w:pPr>
      <w:r>
        <w:rPr>
          <w:b/>
        </w:rPr>
        <w:t>9</w:t>
      </w:r>
      <w:r w:rsidR="00CD03AA" w:rsidRPr="000E71E4">
        <w:rPr>
          <w:b/>
        </w:rPr>
        <w:t>.</w:t>
      </w:r>
      <w:r w:rsidR="00CD03AA" w:rsidRPr="000E71E4">
        <w:rPr>
          <w:b/>
        </w:rPr>
        <w:tab/>
        <w:t xml:space="preserve">Federal Register Notice and Public Comments: </w:t>
      </w:r>
      <w:r w:rsidR="00CD03AA">
        <w:t xml:space="preserve">This information collection was announced in the </w:t>
      </w:r>
      <w:r w:rsidR="00CD03AA">
        <w:rPr>
          <w:i/>
        </w:rPr>
        <w:t>Federal Register</w:t>
      </w:r>
      <w:r w:rsidR="00CD03AA">
        <w:t xml:space="preserve"> </w:t>
      </w:r>
      <w:r w:rsidR="00606C31">
        <w:t>on October 26, 2011</w:t>
      </w:r>
      <w:r w:rsidR="00CD03AA">
        <w:t xml:space="preserve">, Volume </w:t>
      </w:r>
      <w:r w:rsidR="00606C31">
        <w:t>76</w:t>
      </w:r>
      <w:r w:rsidR="00CD03AA">
        <w:t xml:space="preserve">; page </w:t>
      </w:r>
      <w:r w:rsidR="00606C31">
        <w:t>66315.  No comments were received.</w:t>
      </w:r>
    </w:p>
    <w:p w:rsidR="00CD03AA" w:rsidRDefault="003C6C92" w:rsidP="00CD03AA">
      <w:pPr>
        <w:pStyle w:val="BodyTextIndent2"/>
        <w:tabs>
          <w:tab w:val="clear" w:pos="0"/>
          <w:tab w:val="left" w:pos="360"/>
        </w:tabs>
        <w:spacing w:after="120" w:line="240" w:lineRule="auto"/>
        <w:ind w:hanging="360"/>
        <w:rPr>
          <w:b/>
        </w:rPr>
      </w:pPr>
      <w:r>
        <w:rPr>
          <w:b/>
        </w:rPr>
        <w:t>10</w:t>
      </w:r>
      <w:r w:rsidR="00CD03AA">
        <w:rPr>
          <w:b/>
        </w:rPr>
        <w:t>.</w:t>
      </w:r>
      <w:r w:rsidR="00CD03AA">
        <w:rPr>
          <w:b/>
        </w:rPr>
        <w:tab/>
        <w:t xml:space="preserve">Payment/Gifts to Respondents:  </w:t>
      </w:r>
    </w:p>
    <w:p w:rsidR="00CD03AA" w:rsidRDefault="00CD03AA" w:rsidP="00CD03AA">
      <w:pPr>
        <w:pStyle w:val="BodyTextIndent2"/>
        <w:tabs>
          <w:tab w:val="clear" w:pos="0"/>
          <w:tab w:val="left" w:pos="360"/>
        </w:tabs>
        <w:spacing w:after="120" w:line="240" w:lineRule="auto"/>
        <w:ind w:hanging="360"/>
      </w:pPr>
      <w:r>
        <w:tab/>
        <w:t>No payments or gifts are provided to respondents for any of these information collections.</w:t>
      </w:r>
    </w:p>
    <w:p w:rsidR="00CD03AA" w:rsidRDefault="003C6C92" w:rsidP="00CD03AA">
      <w:pPr>
        <w:pStyle w:val="BodyTextIndent2"/>
        <w:tabs>
          <w:tab w:val="clear" w:pos="0"/>
          <w:tab w:val="left" w:pos="360"/>
        </w:tabs>
        <w:spacing w:after="120" w:line="240" w:lineRule="auto"/>
        <w:ind w:hanging="360"/>
        <w:rPr>
          <w:b/>
        </w:rPr>
      </w:pPr>
      <w:r>
        <w:rPr>
          <w:b/>
        </w:rPr>
        <w:t>11</w:t>
      </w:r>
      <w:r w:rsidR="00CD03AA">
        <w:rPr>
          <w:b/>
        </w:rPr>
        <w:t>.</w:t>
      </w:r>
      <w:r w:rsidR="00CD03AA">
        <w:rPr>
          <w:b/>
        </w:rPr>
        <w:tab/>
        <w:t xml:space="preserve">Assurances of Confidentiality:  </w:t>
      </w:r>
    </w:p>
    <w:p w:rsidR="00CD03AA" w:rsidRDefault="00CD03AA" w:rsidP="00CD03AA">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CD03AA" w:rsidRDefault="003C6C92" w:rsidP="00CD03AA">
      <w:pPr>
        <w:pStyle w:val="BodyTextIndent2"/>
        <w:tabs>
          <w:tab w:val="clear" w:pos="0"/>
          <w:tab w:val="left" w:pos="360"/>
        </w:tabs>
        <w:spacing w:after="120" w:line="240" w:lineRule="auto"/>
        <w:ind w:hanging="360"/>
        <w:rPr>
          <w:b/>
        </w:rPr>
      </w:pPr>
      <w:r>
        <w:rPr>
          <w:b/>
        </w:rPr>
        <w:t>12</w:t>
      </w:r>
      <w:r w:rsidR="00CD03AA">
        <w:rPr>
          <w:b/>
        </w:rPr>
        <w:t>.</w:t>
      </w:r>
      <w:r w:rsidR="00CD03AA">
        <w:rPr>
          <w:b/>
        </w:rPr>
        <w:tab/>
        <w:t xml:space="preserve">Questions of a Sensitive Nature:  </w:t>
      </w:r>
    </w:p>
    <w:p w:rsidR="00CD03AA" w:rsidRDefault="00CD03AA" w:rsidP="00CD03AA">
      <w:pPr>
        <w:pStyle w:val="BodyTextIndent2"/>
        <w:tabs>
          <w:tab w:val="clear" w:pos="0"/>
          <w:tab w:val="left" w:pos="360"/>
        </w:tabs>
        <w:spacing w:after="120" w:line="240" w:lineRule="auto"/>
        <w:ind w:hanging="360"/>
      </w:pPr>
      <w:r>
        <w:tab/>
        <w:t>No sensitive questions are being asked for any of these information collections.</w:t>
      </w:r>
    </w:p>
    <w:p w:rsidR="00CD03AA" w:rsidRDefault="003C6C92" w:rsidP="00CD03AA">
      <w:pPr>
        <w:pStyle w:val="BodyTextIndent2"/>
        <w:keepNext/>
        <w:keepLines/>
        <w:tabs>
          <w:tab w:val="clear" w:pos="0"/>
          <w:tab w:val="left" w:pos="360"/>
        </w:tabs>
        <w:spacing w:after="120" w:line="240" w:lineRule="auto"/>
        <w:ind w:hanging="360"/>
      </w:pPr>
      <w:r w:rsidRPr="00A32FD0">
        <w:rPr>
          <w:b/>
        </w:rPr>
        <w:t>1</w:t>
      </w:r>
      <w:r>
        <w:rPr>
          <w:b/>
        </w:rPr>
        <w:t>3</w:t>
      </w:r>
      <w:r w:rsidR="00CD03AA" w:rsidRPr="00A32FD0">
        <w:rPr>
          <w:b/>
        </w:rPr>
        <w:t>.</w:t>
      </w:r>
      <w:r w:rsidR="00CD03AA" w:rsidRPr="00A32FD0">
        <w:rPr>
          <w:b/>
        </w:rPr>
        <w:tab/>
        <w:t xml:space="preserve">Estimate of Annual Burden Hours for Information Collection:  </w:t>
      </w:r>
      <w:r w:rsidR="00CD03AA" w:rsidRPr="00A32FD0">
        <w:rPr>
          <w:bCs/>
        </w:rPr>
        <w:t>The chart below outlines</w:t>
      </w:r>
      <w:r w:rsidR="00CD03AA">
        <w:rPr>
          <w:bCs/>
        </w:rPr>
        <w:t xml:space="preserve"> the burden hours associated with the various aspects of the Family Unification Program NOFA and also includes the post-award submission of the Logic Model approved under another OMB approval to capture information associated with implementation of Area Wide Housing Opportunities sub-categories associated with HUD policy priorities.</w:t>
      </w:r>
    </w:p>
    <w:p w:rsidR="00CD03AA" w:rsidRDefault="00CD03AA" w:rsidP="00CD03AA">
      <w:pPr>
        <w:pStyle w:val="BodyTextIndent2"/>
        <w:tabs>
          <w:tab w:val="left" w:pos="360"/>
        </w:tabs>
        <w:spacing w:after="120" w:line="240" w:lineRule="auto"/>
        <w:ind w:hanging="336"/>
      </w:pPr>
      <w:r>
        <w:rPr>
          <w:b/>
        </w:rPr>
        <w:tab/>
      </w:r>
      <w:r>
        <w:t xml:space="preserve">Costs to the respondents to complete these information collections for the application process are indicated below.  </w:t>
      </w:r>
    </w:p>
    <w:p w:rsidR="00CD03AA" w:rsidRDefault="00CD03AA" w:rsidP="00CD03AA">
      <w:pPr>
        <w:pStyle w:val="BodyTextIndent2"/>
        <w:tabs>
          <w:tab w:val="left" w:pos="360"/>
        </w:tabs>
        <w:spacing w:after="120" w:line="240" w:lineRule="auto"/>
        <w:ind w:hanging="336"/>
      </w:pPr>
      <w:r>
        <w:tab/>
        <w:t xml:space="preserve">Burden hours per application response are estimated at 18.02 hours and per post-award reporting and recordkeeping at 10.5 hours.   Burden hours are estimated for 265 applicant respondents submitting NOFA applications and 42 applicants receiving funding and maintaining records and reporting on program implementation for a total burden of </w:t>
      </w:r>
      <w:r>
        <w:rPr>
          <w:rFonts w:cs="Arial"/>
        </w:rPr>
        <w:t>6,101.95</w:t>
      </w:r>
      <w:r>
        <w:t xml:space="preserve">.  Forms such as the SF 424 are not duplicative information.  These forms, while authorized under different OMB Control Numbers, are submitted as part of the FUP application process and used specific to the applications’ content. </w:t>
      </w:r>
    </w:p>
    <w:tbl>
      <w:tblPr>
        <w:tblW w:w="5000" w:type="pct"/>
        <w:tblLook w:val="04A0"/>
      </w:tblPr>
      <w:tblGrid>
        <w:gridCol w:w="4505"/>
        <w:gridCol w:w="1370"/>
        <w:gridCol w:w="1368"/>
        <w:gridCol w:w="1185"/>
        <w:gridCol w:w="1280"/>
        <w:gridCol w:w="1308"/>
      </w:tblGrid>
      <w:tr w:rsidR="00CD03AA"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rPr>
                <w:rFonts w:cs="Arial"/>
              </w:rPr>
            </w:pPr>
            <w:r>
              <w:br w:type="page"/>
            </w:r>
            <w:r w:rsidRPr="004C4D5F">
              <w:rPr>
                <w:rFonts w:cs="Arial"/>
              </w:rPr>
              <w:t>Description of Information Collection</w:t>
            </w:r>
          </w:p>
        </w:tc>
        <w:tc>
          <w:tcPr>
            <w:tcW w:w="622"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szCs w:val="18"/>
              </w:rPr>
            </w:pPr>
            <w:r w:rsidRPr="004C4D5F">
              <w:rPr>
                <w:rFonts w:cs="Arial"/>
                <w:szCs w:val="18"/>
              </w:rPr>
              <w:t>Number of Respondents</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Responses per Year</w:t>
            </w:r>
          </w:p>
        </w:tc>
        <w:tc>
          <w:tcPr>
            <w:tcW w:w="538"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Total Annual Responses</w:t>
            </w:r>
          </w:p>
        </w:tc>
        <w:tc>
          <w:tcPr>
            <w:tcW w:w="581"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Hrs per Response</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 xml:space="preserve">Total </w:t>
            </w:r>
            <w:r>
              <w:rPr>
                <w:rFonts w:cs="Arial"/>
                <w:szCs w:val="18"/>
              </w:rPr>
              <w:t xml:space="preserve">Burden </w:t>
            </w:r>
            <w:r w:rsidRPr="004C4D5F">
              <w:rPr>
                <w:rFonts w:cs="Arial"/>
                <w:szCs w:val="18"/>
              </w:rPr>
              <w:t>Hours</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4C4D5F">
              <w:rPr>
                <w:rFonts w:cs="Arial"/>
              </w:rPr>
              <w:t>SF424</w:t>
            </w:r>
            <w:r>
              <w:rPr>
                <w:rFonts w:cs="Arial"/>
              </w:rPr>
              <w:t xml:space="preserve"> (0348-0043)</w:t>
            </w:r>
          </w:p>
          <w:p w:rsidR="00CD03AA" w:rsidRPr="004C4D5F" w:rsidRDefault="00CD03AA" w:rsidP="003C6C92">
            <w:pPr>
              <w:keepNext/>
              <w:spacing w:before="40" w:after="40"/>
              <w:ind w:left="132"/>
              <w:rPr>
                <w:rFonts w:cs="Arial"/>
              </w:rPr>
            </w:pPr>
            <w:r>
              <w:rPr>
                <w:rFonts w:cs="Arial"/>
              </w:rPr>
              <w:t>Application for Federal Assistance</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tabs>
                <w:tab w:val="left" w:pos="252"/>
                <w:tab w:val="left" w:pos="897"/>
              </w:tabs>
              <w:spacing w:before="40" w:after="40"/>
              <w:ind w:left="-212" w:right="176"/>
              <w:jc w:val="right"/>
              <w:rPr>
                <w:rFonts w:cs="Arial"/>
              </w:rPr>
            </w:pPr>
            <w:r w:rsidRPr="004C4D5F">
              <w:rPr>
                <w:rFonts w:cs="Arial"/>
              </w:rPr>
              <w:t>0.75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392"/>
              <w:jc w:val="right"/>
              <w:rPr>
                <w:rFonts w:cs="Arial"/>
              </w:rPr>
            </w:pPr>
            <w:r>
              <w:rPr>
                <w:rFonts w:cs="Arial"/>
              </w:rPr>
              <w:t>198.75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4C4D5F">
              <w:rPr>
                <w:rFonts w:cs="Arial"/>
              </w:rPr>
              <w:t>SF LLL</w:t>
            </w:r>
            <w:r>
              <w:rPr>
                <w:rFonts w:cs="Arial"/>
              </w:rPr>
              <w:t xml:space="preserve"> (0348-0046)</w:t>
            </w:r>
          </w:p>
          <w:p w:rsidR="00CD03AA" w:rsidRPr="004C4D5F" w:rsidRDefault="00CD03AA" w:rsidP="003C6C92">
            <w:pPr>
              <w:keepNext/>
              <w:spacing w:before="40" w:after="40"/>
              <w:ind w:left="132"/>
              <w:rPr>
                <w:rFonts w:cs="Arial"/>
              </w:rPr>
            </w:pPr>
            <w:r>
              <w:rPr>
                <w:rFonts w:cs="Arial"/>
              </w:rPr>
              <w:t>Lobbying Form</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552"/>
              <w:jc w:val="right"/>
              <w:rPr>
                <w:rFonts w:cs="Arial"/>
              </w:rPr>
            </w:pPr>
            <w:r>
              <w:rPr>
                <w:rFonts w:cs="Arial"/>
              </w:rPr>
              <w:t>10</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252"/>
              <w:jc w:val="right"/>
              <w:rPr>
                <w:rFonts w:cs="Arial"/>
              </w:rPr>
            </w:pPr>
            <w:r>
              <w:rPr>
                <w:rFonts w:cs="Arial"/>
              </w:rPr>
              <w:t>10</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tabs>
                <w:tab w:val="left" w:pos="897"/>
              </w:tabs>
              <w:spacing w:before="40" w:after="40"/>
              <w:ind w:left="-212" w:right="176"/>
              <w:jc w:val="right"/>
              <w:rPr>
                <w:rFonts w:cs="Arial"/>
              </w:rPr>
            </w:pPr>
            <w:r w:rsidRPr="004C4D5F">
              <w:rPr>
                <w:rFonts w:cs="Arial"/>
              </w:rPr>
              <w:t>0.17</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392"/>
              <w:jc w:val="right"/>
              <w:rPr>
                <w:rFonts w:cs="Arial"/>
              </w:rPr>
            </w:pPr>
            <w:r>
              <w:rPr>
                <w:rFonts w:cs="Arial"/>
              </w:rPr>
              <w:t>1.7</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Pr>
                <w:rFonts w:cs="Arial"/>
              </w:rPr>
              <w:t>HUD-96011 (2535-0118)</w:t>
            </w:r>
          </w:p>
          <w:p w:rsidR="00CD03AA" w:rsidRDefault="00CD03AA" w:rsidP="003C6C92">
            <w:pPr>
              <w:keepNext/>
              <w:spacing w:before="40" w:after="40"/>
              <w:ind w:left="132"/>
              <w:rPr>
                <w:rFonts w:cs="Arial"/>
              </w:rPr>
            </w:pPr>
            <w:r>
              <w:rPr>
                <w:rFonts w:cs="Arial"/>
              </w:rPr>
              <w:t>3</w:t>
            </w:r>
            <w:r w:rsidRPr="00A50CEC">
              <w:rPr>
                <w:rFonts w:cs="Arial"/>
                <w:vertAlign w:val="superscript"/>
              </w:rPr>
              <w:t>rd</w:t>
            </w:r>
            <w:r>
              <w:rPr>
                <w:rFonts w:cs="Arial"/>
              </w:rPr>
              <w:t xml:space="preserve"> Party Documentation</w:t>
            </w:r>
          </w:p>
          <w:p w:rsidR="00CD03AA" w:rsidRPr="004C4D5F" w:rsidRDefault="00CD03AA" w:rsidP="003C6C92">
            <w:pPr>
              <w:keepNext/>
              <w:spacing w:before="40" w:after="40"/>
              <w:ind w:left="132"/>
              <w:rPr>
                <w:rFonts w:cs="Arial"/>
              </w:rPr>
            </w:pPr>
            <w:r>
              <w:rPr>
                <w:rFonts w:cs="Arial"/>
              </w:rPr>
              <w:t>Facsimile Transmittal</w:t>
            </w:r>
          </w:p>
        </w:tc>
        <w:tc>
          <w:tcPr>
            <w:tcW w:w="622"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tabs>
                <w:tab w:val="left" w:pos="897"/>
              </w:tabs>
              <w:spacing w:before="40" w:after="40"/>
              <w:ind w:left="-212" w:right="176"/>
              <w:jc w:val="right"/>
              <w:rPr>
                <w:rFonts w:cs="Arial"/>
              </w:rPr>
            </w:pPr>
            <w:r>
              <w:rPr>
                <w:rFonts w:cs="Arial"/>
              </w:rPr>
              <w:t>0.1</w:t>
            </w:r>
          </w:p>
        </w:tc>
        <w:tc>
          <w:tcPr>
            <w:tcW w:w="594"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392"/>
              <w:jc w:val="right"/>
              <w:rPr>
                <w:rFonts w:cs="Arial"/>
              </w:rPr>
            </w:pPr>
            <w:r>
              <w:rPr>
                <w:rFonts w:cs="Arial"/>
              </w:rPr>
              <w:t>26.5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ind w:left="132"/>
              <w:rPr>
                <w:rFonts w:cs="Arial"/>
              </w:rPr>
            </w:pPr>
            <w:r>
              <w:rPr>
                <w:rFonts w:cs="Arial"/>
              </w:rPr>
              <w:t>HUD -2993 Acknowledgement of Application Receipt (2577-0259)</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552"/>
              <w:jc w:val="right"/>
              <w:rPr>
                <w:rFonts w:cs="Arial"/>
              </w:rPr>
            </w:pPr>
            <w:r>
              <w:rPr>
                <w:rFonts w:cs="Arial"/>
              </w:rPr>
              <w:t>13</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392"/>
              <w:jc w:val="right"/>
              <w:rPr>
                <w:rFonts w:cs="Arial"/>
              </w:rPr>
            </w:pPr>
            <w:r>
              <w:rPr>
                <w:rFonts w:cs="Arial"/>
              </w:rPr>
              <w:t>0</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rPr>
                <w:rFonts w:cs="Arial"/>
              </w:rPr>
            </w:pPr>
            <w:r>
              <w:rPr>
                <w:rFonts w:cs="Arial"/>
              </w:rPr>
              <w:t>Logic Model-HUD-96010</w:t>
            </w:r>
          </w:p>
          <w:p w:rsidR="00CD03AA" w:rsidRPr="00901610" w:rsidRDefault="00CD03AA" w:rsidP="003C6C92">
            <w:pPr>
              <w:keepNext/>
              <w:spacing w:before="40" w:after="40"/>
              <w:rPr>
                <w:rFonts w:cs="Arial"/>
              </w:rPr>
            </w:pPr>
            <w:r>
              <w:rPr>
                <w:rFonts w:cs="Arial"/>
              </w:rPr>
              <w:t>(2535-0114)</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right="392"/>
              <w:jc w:val="right"/>
              <w:rPr>
                <w:rFonts w:cs="Arial"/>
              </w:rPr>
            </w:pPr>
            <w:r>
              <w:rPr>
                <w:rFonts w:cs="Arial"/>
              </w:rPr>
              <w:t>0</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Pr>
                <w:rFonts w:cs="Arial"/>
              </w:rPr>
              <w:t>PCWA Statement of Need (maximum of 5 pages)</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2</w:t>
            </w:r>
            <w:r w:rsidRPr="00C51B64">
              <w:rPr>
                <w:rFonts w:cs="Arial"/>
              </w:rPr>
              <w:t>.25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 xml:space="preserve">  596.25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ind w:left="132"/>
              <w:rPr>
                <w:rFonts w:cs="Arial"/>
              </w:rPr>
            </w:pPr>
            <w:r>
              <w:rPr>
                <w:rFonts w:cs="Arial"/>
              </w:rPr>
              <w:t>Memorandum of Understanding between PHA and PCWA</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6</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1590</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ind w:left="132"/>
              <w:rPr>
                <w:rFonts w:cs="Arial"/>
              </w:rPr>
            </w:pPr>
            <w:r w:rsidRPr="00901610">
              <w:rPr>
                <w:rFonts w:cs="Arial"/>
              </w:rPr>
              <w:t xml:space="preserve">Rating Criteria 1: </w:t>
            </w:r>
            <w:r>
              <w:rPr>
                <w:rFonts w:cs="Arial"/>
              </w:rPr>
              <w:t>Area-Wide Housing Opportunities. Narratives</w:t>
            </w:r>
            <w:r w:rsidRPr="00901610">
              <w:rPr>
                <w:rFonts w:cs="Arial"/>
              </w:rPr>
              <w:t xml:space="preserve"> (up to </w:t>
            </w:r>
            <w:r>
              <w:rPr>
                <w:rFonts w:cs="Arial"/>
              </w:rPr>
              <w:t>20</w:t>
            </w:r>
            <w:r w:rsidRPr="00901610">
              <w:rPr>
                <w:rFonts w:cs="Arial"/>
              </w:rPr>
              <w:t xml:space="preserve"> pages)</w:t>
            </w:r>
            <w:r>
              <w:rPr>
                <w:rFonts w:cs="Arial"/>
              </w:rPr>
              <w:t>. Logic Model (HUD-96010)</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3</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795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ind w:left="132"/>
              <w:rPr>
                <w:rFonts w:cs="Arial"/>
              </w:rPr>
            </w:pPr>
            <w:r w:rsidRPr="00901610">
              <w:rPr>
                <w:rFonts w:cs="Arial"/>
              </w:rPr>
              <w:t xml:space="preserve">Rating Criteria 2: </w:t>
            </w:r>
            <w:r>
              <w:rPr>
                <w:rFonts w:cs="Arial"/>
              </w:rPr>
              <w:t>PCWA Commitments. Narratives</w:t>
            </w:r>
            <w:r w:rsidRPr="00901610">
              <w:rPr>
                <w:rFonts w:cs="Arial"/>
              </w:rPr>
              <w:t xml:space="preserve"> (up to </w:t>
            </w:r>
            <w:r>
              <w:rPr>
                <w:rFonts w:cs="Arial"/>
              </w:rPr>
              <w:t>10</w:t>
            </w:r>
            <w:r w:rsidRPr="00901610">
              <w:rPr>
                <w:rFonts w:cs="Arial"/>
              </w:rPr>
              <w:t xml:space="preserve"> pages)</w:t>
            </w:r>
            <w:r>
              <w:rPr>
                <w:rFonts w:cs="Arial"/>
              </w:rPr>
              <w:t>. Other Documentation</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1.25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 xml:space="preserve">  </w:t>
            </w:r>
            <w:r w:rsidRPr="00C51B64">
              <w:rPr>
                <w:rFonts w:cs="Arial"/>
              </w:rPr>
              <w:t>331.25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901610">
              <w:rPr>
                <w:rFonts w:cs="Arial"/>
              </w:rPr>
              <w:t xml:space="preserve">Rating Criteria 3: </w:t>
            </w:r>
            <w:r>
              <w:rPr>
                <w:rFonts w:cs="Arial"/>
              </w:rPr>
              <w:t>Self-Sufficiency Programs. Narrative: (up to 6 pages)</w:t>
            </w:r>
          </w:p>
          <w:p w:rsidR="00CD03AA" w:rsidRDefault="00CD03AA" w:rsidP="003C6C92">
            <w:pPr>
              <w:keepNext/>
              <w:spacing w:before="40" w:after="40"/>
              <w:ind w:left="132"/>
              <w:rPr>
                <w:rFonts w:cs="Arial"/>
              </w:rPr>
            </w:pPr>
            <w:r>
              <w:rPr>
                <w:rFonts w:cs="Arial"/>
              </w:rPr>
              <w:t>Documentation:  Excerpt from Administrative Plan or policies manual for FSS program operations</w:t>
            </w:r>
          </w:p>
          <w:p w:rsidR="00CD03AA" w:rsidRPr="00901610" w:rsidRDefault="00CD03AA" w:rsidP="003C6C92">
            <w:pPr>
              <w:keepNext/>
              <w:spacing w:before="40" w:after="40"/>
              <w:ind w:left="132"/>
              <w:rPr>
                <w:rFonts w:cs="Arial"/>
              </w:rPr>
            </w:pPr>
            <w:r>
              <w:rPr>
                <w:rFonts w:cs="Arial"/>
              </w:rPr>
              <w:t>Certification:  FUP recipients enrolled in FSS</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0</w:t>
            </w:r>
            <w:r w:rsidRPr="00C51B64">
              <w:rPr>
                <w:rFonts w:cs="Arial"/>
              </w:rPr>
              <w:t>.5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132.5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901610">
              <w:rPr>
                <w:rFonts w:cs="Arial"/>
              </w:rPr>
              <w:t xml:space="preserve">Rating Criteria 4: </w:t>
            </w:r>
            <w:r>
              <w:rPr>
                <w:rFonts w:cs="Arial"/>
              </w:rPr>
              <w:t>Local C</w:t>
            </w:r>
            <w:r w:rsidRPr="00901610">
              <w:rPr>
                <w:rFonts w:cs="Arial"/>
              </w:rPr>
              <w:t xml:space="preserve">oordination </w:t>
            </w:r>
          </w:p>
          <w:p w:rsidR="00CD03AA" w:rsidRPr="00901610" w:rsidRDefault="00CD03AA" w:rsidP="003C6C92">
            <w:pPr>
              <w:keepNext/>
              <w:spacing w:before="40" w:after="40"/>
              <w:ind w:left="132"/>
              <w:rPr>
                <w:rFonts w:cs="Arial"/>
              </w:rPr>
            </w:pPr>
            <w:r>
              <w:rPr>
                <w:rFonts w:cs="Arial"/>
              </w:rPr>
              <w:t>Letter of Support</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265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rPr>
                <w:rFonts w:cs="Arial"/>
              </w:rPr>
            </w:pPr>
            <w:r w:rsidRPr="00901610">
              <w:rPr>
                <w:rFonts w:cs="Arial"/>
              </w:rPr>
              <w:t>PCWA Contractor Documentation</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265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rPr>
                <w:rFonts w:cs="Arial"/>
              </w:rPr>
            </w:pPr>
            <w:r>
              <w:rPr>
                <w:rFonts w:cs="Arial"/>
              </w:rPr>
              <w:t>HUD2990, Certification of Consistency with the RC/EZ/EC-IIs Strategic Plan</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0</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pPr>
            <w:r>
              <w:t>Funding Application HUD-52515 (2577-0169). Includes leasing schedule</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265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pPr>
            <w:r>
              <w:t>Affirmatively Furthering Fair Housing Statement (addendum)</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265</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pPr>
            <w:r>
              <w:t>HUD2880, Applicant/Recipient Disclosure/Update Report (</w:t>
            </w:r>
            <w:r>
              <w:rPr>
                <w:rFonts w:ascii="Arial" w:hAnsi="Arial" w:cs="Arial"/>
                <w:sz w:val="18"/>
              </w:rPr>
              <w:t>2510-0011)</w:t>
            </w:r>
          </w:p>
        </w:tc>
        <w:tc>
          <w:tcPr>
            <w:tcW w:w="622"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392"/>
              <w:jc w:val="right"/>
              <w:rPr>
                <w:rFonts w:cs="Arial"/>
              </w:rPr>
            </w:pPr>
            <w:r>
              <w:rPr>
                <w:rFonts w:cs="Arial"/>
              </w:rPr>
              <w:t>0</w:t>
            </w:r>
          </w:p>
        </w:tc>
      </w:tr>
      <w:tr w:rsidR="00CD03AA"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pPr>
            <w:r>
              <w:t>HUD2991, Certification of Consistency with the Consolidated Plan</w:t>
            </w:r>
          </w:p>
        </w:tc>
        <w:tc>
          <w:tcPr>
            <w:tcW w:w="622"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392"/>
              <w:jc w:val="right"/>
              <w:rPr>
                <w:rFonts w:cs="Arial"/>
              </w:rPr>
            </w:pPr>
            <w:r>
              <w:rPr>
                <w:rFonts w:cs="Arial"/>
              </w:rPr>
              <w:t>0</w:t>
            </w:r>
          </w:p>
        </w:tc>
      </w:tr>
      <w:tr w:rsidR="00CD03AA"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pct10" w:color="000000" w:fill="FFFFFF"/>
            <w:vAlign w:val="center"/>
            <w:hideMark/>
          </w:tcPr>
          <w:p w:rsidR="00CD03AA" w:rsidRDefault="00CD03AA" w:rsidP="003C6C92">
            <w:pPr>
              <w:keepNext/>
              <w:spacing w:before="40" w:after="40"/>
            </w:pPr>
            <w:r w:rsidRPr="004C4D5F">
              <w:rPr>
                <w:rFonts w:cs="Arial"/>
              </w:rPr>
              <w:t>Subtotal</w:t>
            </w:r>
            <w:r>
              <w:rPr>
                <w:rFonts w:cs="Arial"/>
              </w:rPr>
              <w:t xml:space="preserve"> (Application)</w:t>
            </w:r>
          </w:p>
        </w:tc>
        <w:tc>
          <w:tcPr>
            <w:tcW w:w="622"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ind w:right="552"/>
              <w:jc w:val="right"/>
              <w:rPr>
                <w:rFonts w:cs="Arial"/>
              </w:rPr>
            </w:pPr>
          </w:p>
        </w:tc>
        <w:tc>
          <w:tcPr>
            <w:tcW w:w="621"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jc w:val="center"/>
              <w:rPr>
                <w:rFonts w:cs="Arial"/>
              </w:rPr>
            </w:pPr>
          </w:p>
        </w:tc>
        <w:tc>
          <w:tcPr>
            <w:tcW w:w="538"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ind w:right="252"/>
              <w:jc w:val="right"/>
              <w:rPr>
                <w:rFonts w:cs="Arial"/>
              </w:rPr>
            </w:pPr>
          </w:p>
        </w:tc>
        <w:tc>
          <w:tcPr>
            <w:tcW w:w="581"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ind w:left="-212" w:right="416"/>
              <w:jc w:val="right"/>
              <w:rPr>
                <w:rFonts w:cs="Arial"/>
              </w:rPr>
            </w:pPr>
            <w:r>
              <w:rPr>
                <w:rFonts w:cs="Arial"/>
              </w:rPr>
              <w:t>18.02</w:t>
            </w:r>
          </w:p>
        </w:tc>
        <w:tc>
          <w:tcPr>
            <w:tcW w:w="594" w:type="pct"/>
            <w:tcBorders>
              <w:top w:val="single" w:sz="4" w:space="0" w:color="auto"/>
              <w:left w:val="nil"/>
              <w:bottom w:val="single" w:sz="4" w:space="0" w:color="auto"/>
              <w:right w:val="single" w:sz="4" w:space="0" w:color="auto"/>
            </w:tcBorders>
            <w:shd w:val="pct10" w:color="000000" w:fill="FFFFFF"/>
            <w:vAlign w:val="center"/>
            <w:hideMark/>
          </w:tcPr>
          <w:p w:rsidR="00CD03AA" w:rsidRPr="00095C3F" w:rsidRDefault="00CD03AA" w:rsidP="003C6C92">
            <w:pPr>
              <w:jc w:val="right"/>
              <w:rPr>
                <w:color w:val="000000"/>
              </w:rPr>
            </w:pPr>
            <w:r w:rsidRPr="00095C3F">
              <w:rPr>
                <w:color w:val="000000"/>
              </w:rPr>
              <w:t>4731.95</w:t>
            </w:r>
          </w:p>
          <w:p w:rsidR="00CD03AA" w:rsidRDefault="00CD03AA" w:rsidP="003C6C92">
            <w:pPr>
              <w:spacing w:before="40" w:after="40"/>
              <w:ind w:right="392"/>
              <w:jc w:val="right"/>
              <w:rPr>
                <w:rFonts w:cs="Arial"/>
              </w:rPr>
            </w:pPr>
          </w:p>
        </w:tc>
      </w:tr>
      <w:tr w:rsidR="00CD03AA"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D03AA" w:rsidRDefault="00CD03AA" w:rsidP="00DF72BE">
            <w:pPr>
              <w:keepNext/>
              <w:spacing w:before="40" w:after="40"/>
            </w:pPr>
            <w:r>
              <w:t>Logic Model, HUD96010</w:t>
            </w:r>
            <w:r w:rsidR="00DF72BE">
              <w:t xml:space="preserve"> </w:t>
            </w:r>
            <w:r>
              <w:t>(2535-0114)</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right="552"/>
              <w:jc w:val="right"/>
              <w:rPr>
                <w:rFonts w:cs="Arial"/>
              </w:rPr>
            </w:pPr>
            <w:r>
              <w:rPr>
                <w:rFonts w:cs="Arial"/>
              </w:rPr>
              <w:t>42</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jc w:val="center"/>
              <w:rPr>
                <w:rFonts w:cs="Arial"/>
              </w:rPr>
            </w:pPr>
            <w:r>
              <w:rPr>
                <w:rFonts w:cs="Arial"/>
              </w:rPr>
              <w:t>1</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right="252"/>
              <w:jc w:val="right"/>
              <w:rPr>
                <w:rFonts w:cs="Arial"/>
              </w:rPr>
            </w:pPr>
            <w:r>
              <w:rPr>
                <w:rFonts w:cs="Arial"/>
              </w:rPr>
              <w:t>42</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left="-212" w:right="416"/>
              <w:jc w:val="right"/>
              <w:rPr>
                <w:rFonts w:cs="Arial"/>
              </w:rPr>
            </w:pPr>
            <w:r>
              <w:rPr>
                <w:rFonts w:cs="Arial"/>
              </w:rPr>
              <w:t>0</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right="392"/>
              <w:jc w:val="right"/>
              <w:rPr>
                <w:rFonts w:cs="Arial"/>
              </w:rPr>
            </w:pPr>
            <w:r>
              <w:rPr>
                <w:rFonts w:cs="Arial"/>
              </w:rPr>
              <w:t>0</w:t>
            </w:r>
          </w:p>
        </w:tc>
      </w:tr>
      <w:tr w:rsidR="00CD03AA"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D03AA" w:rsidRPr="004C4D5F" w:rsidRDefault="00CD03AA" w:rsidP="003C6C92">
            <w:pPr>
              <w:keepNext/>
              <w:spacing w:before="40" w:after="40"/>
            </w:pPr>
            <w:r>
              <w:t>Family Report</w:t>
            </w:r>
          </w:p>
          <w:p w:rsidR="00CD03AA" w:rsidRPr="004C4D5F" w:rsidRDefault="00CD03AA" w:rsidP="003C6C92">
            <w:pPr>
              <w:keepNext/>
              <w:spacing w:before="40" w:after="40"/>
              <w:rPr>
                <w:rFonts w:cs="Arial"/>
              </w:rPr>
            </w:pPr>
            <w:r w:rsidRPr="004C4D5F">
              <w:t>HUD-</w:t>
            </w:r>
            <w:r>
              <w:t>50058 (2577-0083)</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right="552"/>
              <w:jc w:val="right"/>
              <w:rPr>
                <w:rFonts w:cs="Arial"/>
              </w:rPr>
            </w:pPr>
            <w:r>
              <w:rPr>
                <w:rFonts w:cs="Arial"/>
              </w:rPr>
              <w:t>42</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jc w:val="center"/>
              <w:rPr>
                <w:rFonts w:cs="Arial"/>
              </w:rPr>
            </w:pPr>
            <w:r>
              <w:rPr>
                <w:rFonts w:cs="Arial"/>
              </w:rPr>
              <w:t>45.23</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right="252"/>
              <w:jc w:val="right"/>
              <w:rPr>
                <w:rFonts w:cs="Arial"/>
              </w:rPr>
            </w:pPr>
            <w:r>
              <w:rPr>
                <w:rFonts w:cs="Arial"/>
              </w:rPr>
              <w:t>1900</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left="-212" w:right="416"/>
              <w:jc w:val="right"/>
              <w:rPr>
                <w:rFonts w:cs="Arial"/>
              </w:rPr>
            </w:pPr>
            <w:r>
              <w:rPr>
                <w:rFonts w:cs="Arial"/>
              </w:rPr>
              <w:t>.5</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right="392"/>
              <w:jc w:val="right"/>
              <w:rPr>
                <w:rFonts w:cs="Arial"/>
              </w:rPr>
            </w:pPr>
            <w:r>
              <w:rPr>
                <w:rFonts w:cs="Arial"/>
              </w:rPr>
              <w:t>950</w:t>
            </w:r>
          </w:p>
        </w:tc>
      </w:tr>
      <w:tr w:rsidR="00500358"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0358" w:rsidRDefault="00500358" w:rsidP="003C6C92">
            <w:pPr>
              <w:keepNext/>
              <w:spacing w:before="40" w:after="40"/>
            </w:pPr>
            <w:r>
              <w:t>Baseline adjustment</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552"/>
              <w:jc w:val="right"/>
              <w:rPr>
                <w:rFonts w:cs="Arial"/>
              </w:rPr>
            </w:pPr>
            <w:r>
              <w:rPr>
                <w:rFonts w:cs="Arial"/>
              </w:rPr>
              <w:t>173</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jc w:val="center"/>
              <w:rPr>
                <w:rFonts w:cs="Arial"/>
              </w:rPr>
            </w:pPr>
            <w:r>
              <w:rPr>
                <w:rFonts w:cs="Arial"/>
              </w:rPr>
              <w:t>1</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500358">
            <w:pPr>
              <w:spacing w:before="40" w:after="40"/>
              <w:ind w:right="252"/>
              <w:jc w:val="right"/>
              <w:rPr>
                <w:rFonts w:cs="Arial"/>
              </w:rPr>
            </w:pPr>
            <w:r>
              <w:rPr>
                <w:rFonts w:cs="Arial"/>
              </w:rPr>
              <w:t>173</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left="-212" w:right="416"/>
              <w:jc w:val="right"/>
              <w:rPr>
                <w:rFonts w:cs="Arial"/>
              </w:rPr>
            </w:pPr>
            <w:r>
              <w:rPr>
                <w:rFonts w:cs="Arial"/>
              </w:rPr>
              <w:t>.5</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392"/>
              <w:jc w:val="right"/>
              <w:rPr>
                <w:rFonts w:cs="Arial"/>
              </w:rPr>
            </w:pPr>
            <w:r>
              <w:rPr>
                <w:rFonts w:cs="Arial"/>
              </w:rPr>
              <w:t>86.5</w:t>
            </w:r>
          </w:p>
        </w:tc>
      </w:tr>
      <w:tr w:rsidR="00500358"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0358" w:rsidRDefault="00500358" w:rsidP="003C6C92">
            <w:pPr>
              <w:keepNext/>
              <w:spacing w:before="40" w:after="40"/>
            </w:pPr>
            <w:r>
              <w:t>Program and Accounting Recordkeeping</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552"/>
              <w:jc w:val="right"/>
              <w:rPr>
                <w:rFonts w:cs="Arial"/>
              </w:rPr>
            </w:pPr>
            <w:r>
              <w:rPr>
                <w:rFonts w:cs="Arial"/>
              </w:rPr>
              <w:t>42</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jc w:val="center"/>
              <w:rPr>
                <w:rFonts w:cs="Arial"/>
              </w:rPr>
            </w:pPr>
            <w:r>
              <w:rPr>
                <w:rFonts w:cs="Arial"/>
              </w:rPr>
              <w:t>1</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252"/>
              <w:jc w:val="right"/>
              <w:rPr>
                <w:rFonts w:cs="Arial"/>
              </w:rPr>
            </w:pPr>
            <w:r>
              <w:rPr>
                <w:rFonts w:cs="Arial"/>
              </w:rPr>
              <w:t>42</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left="-212" w:right="416"/>
              <w:jc w:val="right"/>
              <w:rPr>
                <w:rFonts w:cs="Arial"/>
              </w:rPr>
            </w:pPr>
            <w:r>
              <w:rPr>
                <w:rFonts w:cs="Arial"/>
              </w:rPr>
              <w:t>10</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392"/>
              <w:jc w:val="right"/>
              <w:rPr>
                <w:rFonts w:cs="Arial"/>
              </w:rPr>
            </w:pPr>
            <w:r>
              <w:rPr>
                <w:rFonts w:cs="Arial"/>
              </w:rPr>
              <w:t>420</w:t>
            </w:r>
          </w:p>
        </w:tc>
      </w:tr>
      <w:tr w:rsidR="00500358" w:rsidRPr="004D0425" w:rsidTr="00DF72BE">
        <w:trPr>
          <w:trHeight w:val="144"/>
          <w:tblHeader/>
        </w:trPr>
        <w:tc>
          <w:tcPr>
            <w:tcW w:w="2045" w:type="pct"/>
            <w:tcBorders>
              <w:top w:val="nil"/>
              <w:left w:val="single" w:sz="4" w:space="0" w:color="auto"/>
              <w:bottom w:val="single" w:sz="4" w:space="0" w:color="auto"/>
              <w:right w:val="single" w:sz="4" w:space="0" w:color="auto"/>
            </w:tcBorders>
            <w:shd w:val="clear" w:color="auto" w:fill="D9D9D9"/>
            <w:vAlign w:val="center"/>
            <w:hideMark/>
          </w:tcPr>
          <w:p w:rsidR="00500358" w:rsidRPr="00C3239F" w:rsidRDefault="00500358" w:rsidP="003C6C92">
            <w:pPr>
              <w:keepNext/>
              <w:spacing w:before="40" w:after="40"/>
            </w:pPr>
            <w:r w:rsidRPr="00C3239F">
              <w:t>Subtotal (Reporting/Recordkeeping)</w:t>
            </w:r>
          </w:p>
        </w:tc>
        <w:tc>
          <w:tcPr>
            <w:tcW w:w="622"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ind w:right="552"/>
              <w:jc w:val="right"/>
              <w:rPr>
                <w:rFonts w:cs="Arial"/>
              </w:rPr>
            </w:pPr>
          </w:p>
        </w:tc>
        <w:tc>
          <w:tcPr>
            <w:tcW w:w="621"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jc w:val="center"/>
              <w:rPr>
                <w:rFonts w:cs="Arial"/>
              </w:rPr>
            </w:pPr>
          </w:p>
        </w:tc>
        <w:tc>
          <w:tcPr>
            <w:tcW w:w="538"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ind w:right="252"/>
              <w:jc w:val="right"/>
              <w:rPr>
                <w:rFonts w:cs="Arial"/>
              </w:rPr>
            </w:pPr>
          </w:p>
        </w:tc>
        <w:tc>
          <w:tcPr>
            <w:tcW w:w="581"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ind w:left="-212" w:right="416"/>
              <w:jc w:val="right"/>
              <w:rPr>
                <w:rFonts w:cs="Arial"/>
              </w:rPr>
            </w:pPr>
            <w:r>
              <w:rPr>
                <w:rFonts w:cs="Arial"/>
              </w:rPr>
              <w:t>10.5</w:t>
            </w:r>
          </w:p>
        </w:tc>
        <w:tc>
          <w:tcPr>
            <w:tcW w:w="594"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500358">
            <w:pPr>
              <w:spacing w:before="40" w:after="40"/>
              <w:ind w:right="392"/>
              <w:jc w:val="right"/>
              <w:rPr>
                <w:rFonts w:cs="Arial"/>
              </w:rPr>
            </w:pPr>
            <w:r>
              <w:rPr>
                <w:rFonts w:cs="Arial"/>
              </w:rPr>
              <w:t>1,456.5</w:t>
            </w:r>
            <w:r w:rsidR="005C13F5">
              <w:rPr>
                <w:rFonts w:cs="Arial"/>
              </w:rPr>
              <w:fldChar w:fldCharType="begin"/>
            </w:r>
            <w:r>
              <w:rPr>
                <w:rFonts w:cs="Arial"/>
              </w:rPr>
              <w:instrText xml:space="preserve"> =SUM(ABOVE) </w:instrText>
            </w:r>
            <w:r w:rsidR="005C13F5">
              <w:rPr>
                <w:rFonts w:cs="Arial"/>
              </w:rPr>
              <w:fldChar w:fldCharType="end"/>
            </w:r>
          </w:p>
        </w:tc>
      </w:tr>
      <w:tr w:rsidR="00500358"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0358" w:rsidRPr="004C4D5F" w:rsidRDefault="00500358" w:rsidP="003C6C92">
            <w:pPr>
              <w:keepNext/>
              <w:spacing w:before="40" w:after="40"/>
              <w:rPr>
                <w:rFonts w:cs="Arial"/>
              </w:rPr>
            </w:pPr>
            <w:r w:rsidRPr="004C4D5F">
              <w:rPr>
                <w:rFonts w:cs="Arial"/>
              </w:rPr>
              <w:t>Total</w:t>
            </w:r>
          </w:p>
        </w:tc>
        <w:tc>
          <w:tcPr>
            <w:tcW w:w="622" w:type="pct"/>
            <w:tcBorders>
              <w:top w:val="single" w:sz="4" w:space="0" w:color="auto"/>
              <w:left w:val="nil"/>
              <w:bottom w:val="single" w:sz="4" w:space="0" w:color="auto"/>
              <w:right w:val="single" w:sz="4" w:space="0" w:color="auto"/>
            </w:tcBorders>
            <w:shd w:val="clear" w:color="000000" w:fill="FFFFFF"/>
            <w:vAlign w:val="center"/>
            <w:hideMark/>
          </w:tcPr>
          <w:p w:rsidR="00500358" w:rsidRPr="004C4D5F" w:rsidRDefault="00500358" w:rsidP="003C6C92">
            <w:pPr>
              <w:spacing w:before="40" w:after="40"/>
              <w:ind w:right="552"/>
              <w:jc w:val="right"/>
              <w:rPr>
                <w:rFonts w:cs="Arial"/>
                <w:b/>
                <w:bCs/>
              </w:rPr>
            </w:pP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500358" w:rsidRPr="004C4D5F" w:rsidRDefault="00500358" w:rsidP="003C6C92">
            <w:pPr>
              <w:spacing w:before="40" w:after="40"/>
              <w:jc w:val="center"/>
              <w:rPr>
                <w:rFonts w:cs="Arial"/>
                <w:b/>
                <w:bCs/>
              </w:rPr>
            </w:pPr>
          </w:p>
        </w:tc>
        <w:tc>
          <w:tcPr>
            <w:tcW w:w="538" w:type="pct"/>
            <w:tcBorders>
              <w:top w:val="single" w:sz="4" w:space="0" w:color="auto"/>
              <w:left w:val="nil"/>
              <w:bottom w:val="single" w:sz="4" w:space="0" w:color="auto"/>
              <w:right w:val="single" w:sz="4" w:space="0" w:color="auto"/>
            </w:tcBorders>
            <w:shd w:val="clear" w:color="000000" w:fill="FFFFFF"/>
            <w:vAlign w:val="center"/>
            <w:hideMark/>
          </w:tcPr>
          <w:p w:rsidR="00500358" w:rsidRPr="004C4D5F" w:rsidRDefault="00500358" w:rsidP="003C6C92">
            <w:pPr>
              <w:spacing w:before="40" w:after="40"/>
              <w:ind w:right="252"/>
              <w:jc w:val="right"/>
              <w:rPr>
                <w:rFonts w:cs="Arial"/>
                <w:b/>
                <w:bCs/>
              </w:rPr>
            </w:pPr>
          </w:p>
        </w:tc>
        <w:tc>
          <w:tcPr>
            <w:tcW w:w="581" w:type="pct"/>
            <w:tcBorders>
              <w:top w:val="single" w:sz="4" w:space="0" w:color="auto"/>
              <w:left w:val="nil"/>
              <w:bottom w:val="single" w:sz="4" w:space="0" w:color="auto"/>
              <w:right w:val="single" w:sz="4" w:space="0" w:color="auto"/>
            </w:tcBorders>
            <w:shd w:val="clear" w:color="000000" w:fill="FFFFFF"/>
            <w:vAlign w:val="center"/>
            <w:hideMark/>
          </w:tcPr>
          <w:p w:rsidR="00500358" w:rsidRPr="00510013" w:rsidRDefault="005C13F5" w:rsidP="003C6C92">
            <w:pPr>
              <w:spacing w:before="40" w:after="40"/>
              <w:ind w:left="-212" w:right="416"/>
              <w:jc w:val="right"/>
              <w:rPr>
                <w:rFonts w:cs="Arial"/>
                <w:bCs/>
              </w:rPr>
            </w:pPr>
            <w:r w:rsidRPr="003A0F96">
              <w:rPr>
                <w:rFonts w:cs="Arial"/>
                <w:bCs/>
              </w:rPr>
              <w:fldChar w:fldCharType="begin"/>
            </w:r>
            <w:r w:rsidR="00500358" w:rsidRPr="003A0F96">
              <w:rPr>
                <w:rFonts w:cs="Arial"/>
                <w:bCs/>
              </w:rPr>
              <w:instrText xml:space="preserve"> =SUM(ABOVE) </w:instrText>
            </w:r>
            <w:r w:rsidRPr="003A0F96">
              <w:rPr>
                <w:rFonts w:cs="Arial"/>
                <w:bCs/>
              </w:rPr>
              <w:fldChar w:fldCharType="end"/>
            </w:r>
            <w:r w:rsidR="00500358">
              <w:rPr>
                <w:rFonts w:cs="Arial"/>
              </w:rPr>
              <w:t>28.52</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500358" w:rsidRPr="00857B49" w:rsidRDefault="00FF48DD" w:rsidP="00500358">
            <w:pPr>
              <w:spacing w:before="40" w:after="40"/>
              <w:ind w:right="392"/>
              <w:jc w:val="right"/>
              <w:rPr>
                <w:rFonts w:cs="Arial"/>
                <w:bCs/>
                <w:color w:val="000000" w:themeColor="text1"/>
              </w:rPr>
            </w:pPr>
            <w:r w:rsidRPr="00857B49">
              <w:rPr>
                <w:rFonts w:cs="Arial"/>
                <w:color w:val="000000" w:themeColor="text1"/>
              </w:rPr>
              <w:t>6,188.45</w:t>
            </w:r>
          </w:p>
        </w:tc>
      </w:tr>
      <w:tr w:rsidR="00DF72BE"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F72BE" w:rsidRPr="004C4D5F" w:rsidRDefault="00DF72BE" w:rsidP="003C6C92">
            <w:pPr>
              <w:keepNext/>
              <w:spacing w:before="40" w:after="40"/>
              <w:rPr>
                <w:rFonts w:cs="Arial"/>
              </w:rPr>
            </w:pPr>
            <w:r>
              <w:rPr>
                <w:rFonts w:cs="Arial"/>
              </w:rPr>
              <w:t>Formal Agreement/MOU w/Applicant and State Health and Human Services/Medicaid Agency</w:t>
            </w:r>
          </w:p>
        </w:tc>
        <w:tc>
          <w:tcPr>
            <w:tcW w:w="622" w:type="pct"/>
            <w:tcBorders>
              <w:top w:val="single" w:sz="4" w:space="0" w:color="auto"/>
              <w:left w:val="nil"/>
              <w:bottom w:val="single" w:sz="4" w:space="0" w:color="auto"/>
              <w:right w:val="single" w:sz="4" w:space="0" w:color="auto"/>
            </w:tcBorders>
            <w:shd w:val="clear" w:color="000000" w:fill="FFFFFF"/>
            <w:vAlign w:val="center"/>
            <w:hideMark/>
          </w:tcPr>
          <w:p w:rsidR="00DF72BE" w:rsidRPr="004C4D5F" w:rsidRDefault="00DF72BE" w:rsidP="003C6C92">
            <w:pPr>
              <w:spacing w:before="40" w:after="40"/>
              <w:ind w:right="552"/>
              <w:jc w:val="right"/>
              <w:rPr>
                <w:rFonts w:cs="Arial"/>
                <w:b/>
                <w:bCs/>
              </w:rPr>
            </w:pPr>
            <w:r>
              <w:rPr>
                <w:rFonts w:cs="Arial"/>
                <w:b/>
                <w:bCs/>
              </w:rPr>
              <w:t>70</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DF72BE" w:rsidRPr="004C4D5F" w:rsidRDefault="00DF72BE" w:rsidP="003C6C92">
            <w:pPr>
              <w:spacing w:before="40" w:after="40"/>
              <w:jc w:val="center"/>
              <w:rPr>
                <w:rFonts w:cs="Arial"/>
                <w:b/>
                <w:bCs/>
              </w:rPr>
            </w:pPr>
            <w:r>
              <w:rPr>
                <w:rFonts w:cs="Arial"/>
                <w:b/>
                <w:bCs/>
              </w:rPr>
              <w:t>1</w:t>
            </w:r>
          </w:p>
        </w:tc>
        <w:tc>
          <w:tcPr>
            <w:tcW w:w="538" w:type="pct"/>
            <w:tcBorders>
              <w:top w:val="single" w:sz="4" w:space="0" w:color="auto"/>
              <w:left w:val="nil"/>
              <w:bottom w:val="single" w:sz="4" w:space="0" w:color="auto"/>
              <w:right w:val="single" w:sz="4" w:space="0" w:color="auto"/>
            </w:tcBorders>
            <w:shd w:val="clear" w:color="000000" w:fill="FFFFFF"/>
            <w:vAlign w:val="center"/>
            <w:hideMark/>
          </w:tcPr>
          <w:p w:rsidR="00DF72BE" w:rsidRPr="004C4D5F" w:rsidRDefault="00DF72BE" w:rsidP="003C6C92">
            <w:pPr>
              <w:spacing w:before="40" w:after="40"/>
              <w:ind w:right="252"/>
              <w:jc w:val="right"/>
              <w:rPr>
                <w:rFonts w:cs="Arial"/>
                <w:b/>
                <w:bCs/>
              </w:rPr>
            </w:pPr>
            <w:r>
              <w:rPr>
                <w:rFonts w:cs="Arial"/>
                <w:b/>
                <w:bCs/>
              </w:rPr>
              <w:t>70</w:t>
            </w:r>
          </w:p>
        </w:tc>
        <w:tc>
          <w:tcPr>
            <w:tcW w:w="581" w:type="pct"/>
            <w:tcBorders>
              <w:top w:val="single" w:sz="4" w:space="0" w:color="auto"/>
              <w:left w:val="nil"/>
              <w:bottom w:val="single" w:sz="4" w:space="0" w:color="auto"/>
              <w:right w:val="single" w:sz="4" w:space="0" w:color="auto"/>
            </w:tcBorders>
            <w:shd w:val="clear" w:color="000000" w:fill="FFFFFF"/>
            <w:vAlign w:val="center"/>
            <w:hideMark/>
          </w:tcPr>
          <w:p w:rsidR="00DF72BE" w:rsidRPr="003A0F96" w:rsidRDefault="00DF72BE" w:rsidP="003C6C92">
            <w:pPr>
              <w:spacing w:before="40" w:after="40"/>
              <w:ind w:left="-212" w:right="416"/>
              <w:jc w:val="right"/>
              <w:rPr>
                <w:rFonts w:cs="Arial"/>
                <w:bCs/>
              </w:rPr>
            </w:pPr>
            <w:r>
              <w:rPr>
                <w:rFonts w:cs="Arial"/>
                <w:bCs/>
              </w:rPr>
              <w:t>1</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DF72BE" w:rsidRPr="00857B49" w:rsidRDefault="00DF72BE" w:rsidP="00500358">
            <w:pPr>
              <w:spacing w:before="40" w:after="40"/>
              <w:ind w:right="392"/>
              <w:jc w:val="right"/>
              <w:rPr>
                <w:rFonts w:cs="Arial"/>
                <w:color w:val="000000" w:themeColor="text1"/>
              </w:rPr>
            </w:pPr>
            <w:r>
              <w:rPr>
                <w:rFonts w:cs="Arial"/>
                <w:color w:val="000000" w:themeColor="text1"/>
              </w:rPr>
              <w:t>70</w:t>
            </w:r>
          </w:p>
        </w:tc>
      </w:tr>
      <w:tr w:rsidR="00DF72BE" w:rsidRPr="004D0425" w:rsidTr="00DF72BE">
        <w:trPr>
          <w:trHeight w:val="144"/>
          <w:tblHeader/>
        </w:trPr>
        <w:tc>
          <w:tcPr>
            <w:tcW w:w="20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F72BE" w:rsidRDefault="00DF72BE" w:rsidP="003C6C92">
            <w:pPr>
              <w:keepNext/>
              <w:spacing w:before="40" w:after="40"/>
              <w:rPr>
                <w:rFonts w:cs="Arial"/>
              </w:rPr>
            </w:pPr>
            <w:r>
              <w:rPr>
                <w:rFonts w:cs="Arial"/>
              </w:rPr>
              <w:t>Totals</w:t>
            </w:r>
          </w:p>
        </w:tc>
        <w:tc>
          <w:tcPr>
            <w:tcW w:w="622" w:type="pct"/>
            <w:tcBorders>
              <w:top w:val="single" w:sz="4" w:space="0" w:color="auto"/>
              <w:left w:val="nil"/>
              <w:bottom w:val="single" w:sz="4" w:space="0" w:color="auto"/>
              <w:right w:val="single" w:sz="4" w:space="0" w:color="auto"/>
            </w:tcBorders>
            <w:shd w:val="clear" w:color="000000" w:fill="FFFFFF"/>
            <w:vAlign w:val="center"/>
            <w:hideMark/>
          </w:tcPr>
          <w:p w:rsidR="00DF72BE" w:rsidRDefault="00DF72BE" w:rsidP="003C6C92">
            <w:pPr>
              <w:spacing w:before="40" w:after="40"/>
              <w:ind w:right="552"/>
              <w:jc w:val="right"/>
              <w:rPr>
                <w:rFonts w:cs="Arial"/>
                <w:b/>
                <w:bCs/>
              </w:rPr>
            </w:pPr>
            <w:r>
              <w:rPr>
                <w:rFonts w:cs="Arial"/>
                <w:b/>
                <w:bCs/>
              </w:rPr>
              <w:t>335</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DF72BE" w:rsidRDefault="00DF72BE" w:rsidP="003C6C92">
            <w:pPr>
              <w:spacing w:before="40" w:after="40"/>
              <w:jc w:val="center"/>
              <w:rPr>
                <w:rFonts w:cs="Arial"/>
                <w:b/>
                <w:bCs/>
              </w:rPr>
            </w:pPr>
          </w:p>
        </w:tc>
        <w:tc>
          <w:tcPr>
            <w:tcW w:w="538" w:type="pct"/>
            <w:tcBorders>
              <w:top w:val="single" w:sz="4" w:space="0" w:color="auto"/>
              <w:left w:val="nil"/>
              <w:bottom w:val="single" w:sz="4" w:space="0" w:color="auto"/>
              <w:right w:val="single" w:sz="4" w:space="0" w:color="auto"/>
            </w:tcBorders>
            <w:shd w:val="clear" w:color="000000" w:fill="FFFFFF"/>
            <w:vAlign w:val="center"/>
            <w:hideMark/>
          </w:tcPr>
          <w:p w:rsidR="00DF72BE" w:rsidRDefault="00DF72BE" w:rsidP="003C6C92">
            <w:pPr>
              <w:spacing w:before="40" w:after="40"/>
              <w:ind w:right="252"/>
              <w:jc w:val="right"/>
              <w:rPr>
                <w:rFonts w:cs="Arial"/>
                <w:b/>
                <w:bCs/>
              </w:rPr>
            </w:pPr>
          </w:p>
        </w:tc>
        <w:tc>
          <w:tcPr>
            <w:tcW w:w="581" w:type="pct"/>
            <w:tcBorders>
              <w:top w:val="single" w:sz="4" w:space="0" w:color="auto"/>
              <w:left w:val="nil"/>
              <w:bottom w:val="single" w:sz="4" w:space="0" w:color="auto"/>
              <w:right w:val="single" w:sz="4" w:space="0" w:color="auto"/>
            </w:tcBorders>
            <w:shd w:val="clear" w:color="000000" w:fill="FFFFFF"/>
            <w:vAlign w:val="center"/>
            <w:hideMark/>
          </w:tcPr>
          <w:p w:rsidR="00DF72BE" w:rsidRDefault="00DF72BE" w:rsidP="003C6C92">
            <w:pPr>
              <w:spacing w:before="40" w:after="40"/>
              <w:ind w:left="-212" w:right="416"/>
              <w:jc w:val="right"/>
              <w:rPr>
                <w:rFonts w:cs="Arial"/>
                <w:bCs/>
              </w:rPr>
            </w:pPr>
            <w:r>
              <w:rPr>
                <w:rFonts w:cs="Arial"/>
                <w:bCs/>
              </w:rPr>
              <w:t>29.52</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DF72BE" w:rsidRDefault="00DF72BE" w:rsidP="00500358">
            <w:pPr>
              <w:spacing w:before="40" w:after="40"/>
              <w:ind w:right="392"/>
              <w:jc w:val="right"/>
              <w:rPr>
                <w:rFonts w:cs="Arial"/>
                <w:color w:val="000000" w:themeColor="text1"/>
              </w:rPr>
            </w:pPr>
            <w:r>
              <w:rPr>
                <w:rFonts w:cs="Arial"/>
                <w:color w:val="000000" w:themeColor="text1"/>
              </w:rPr>
              <w:t>6258.45</w:t>
            </w:r>
          </w:p>
        </w:tc>
      </w:tr>
    </w:tbl>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Pr="006F101B" w:rsidRDefault="00CD03AA" w:rsidP="00CD03AA">
      <w:pPr>
        <w:tabs>
          <w:tab w:val="left" w:pos="2040"/>
          <w:tab w:val="left" w:pos="3360"/>
          <w:tab w:val="left" w:pos="4680"/>
          <w:tab w:val="left" w:pos="6120"/>
          <w:tab w:val="left" w:pos="7800"/>
        </w:tabs>
        <w:ind w:left="360" w:right="120"/>
        <w:rPr>
          <w:sz w:val="24"/>
          <w:szCs w:val="24"/>
        </w:rPr>
      </w:pPr>
      <w:r w:rsidRPr="006F101B">
        <w:rPr>
          <w:sz w:val="24"/>
          <w:szCs w:val="24"/>
        </w:rPr>
        <w:t>The estimate of the total annual cost burden to respondents/recordkeepers resulting from the collection of this information is</w:t>
      </w:r>
      <w:r>
        <w:rPr>
          <w:sz w:val="24"/>
          <w:szCs w:val="24"/>
        </w:rPr>
        <w:t>: 6,101.95 burden hours x $34.34 = $209,540.96; assuming a Manager’s hourly rate at the GS-13/Step 1 level.</w:t>
      </w:r>
    </w:p>
    <w:p w:rsidR="00CD03AA" w:rsidRPr="000E7175" w:rsidRDefault="00CD03AA" w:rsidP="00CD03AA">
      <w:pPr>
        <w:tabs>
          <w:tab w:val="left" w:pos="2040"/>
          <w:tab w:val="left" w:pos="3360"/>
          <w:tab w:val="left" w:pos="4680"/>
          <w:tab w:val="left" w:pos="6120"/>
          <w:tab w:val="left" w:pos="7800"/>
        </w:tabs>
        <w:ind w:left="360" w:right="120"/>
      </w:pPr>
    </w:p>
    <w:p w:rsidR="00CD03AA" w:rsidRDefault="00CD03AA" w:rsidP="00CD03AA">
      <w:pPr>
        <w:pStyle w:val="BodyTextIndent2"/>
        <w:tabs>
          <w:tab w:val="left" w:pos="360"/>
        </w:tabs>
        <w:spacing w:after="120" w:line="240" w:lineRule="auto"/>
        <w:ind w:hanging="336"/>
        <w:rPr>
          <w:b/>
        </w:rPr>
      </w:pPr>
      <w:r>
        <w:rPr>
          <w:b/>
        </w:rPr>
        <w:t>13.</w:t>
      </w:r>
      <w:r>
        <w:rPr>
          <w:b/>
        </w:rPr>
        <w:tab/>
        <w:t xml:space="preserve">Cost Burden of Information Collection: </w:t>
      </w:r>
    </w:p>
    <w:p w:rsidR="00CD03AA" w:rsidRDefault="00CD03AA" w:rsidP="00CD03AA">
      <w:pPr>
        <w:pStyle w:val="BodyTextIndent2"/>
        <w:tabs>
          <w:tab w:val="left" w:pos="360"/>
        </w:tabs>
        <w:spacing w:after="120" w:line="240" w:lineRule="auto"/>
        <w:ind w:hanging="336"/>
      </w:pPr>
      <w:r>
        <w:tab/>
      </w:r>
      <w:r w:rsidRPr="0035477E">
        <w:t xml:space="preserve">There are no start-up or additional costs to the respondents other than those reported in Item 12 above in the Burden Cost Column.  </w:t>
      </w:r>
    </w:p>
    <w:p w:rsidR="00CD03AA" w:rsidRDefault="00CD03AA" w:rsidP="00CD03AA">
      <w:pPr>
        <w:pStyle w:val="BodyTextIndent2"/>
        <w:tabs>
          <w:tab w:val="left" w:pos="360"/>
        </w:tabs>
        <w:spacing w:after="120" w:line="240" w:lineRule="auto"/>
        <w:ind w:left="0"/>
        <w:rPr>
          <w:b/>
        </w:rPr>
      </w:pPr>
      <w:r>
        <w:rPr>
          <w:b/>
        </w:rPr>
        <w:t>14.</w:t>
      </w:r>
      <w:r>
        <w:rPr>
          <w:b/>
        </w:rPr>
        <w:tab/>
        <w:t xml:space="preserve">Annualized Cost to Federal Government:  </w:t>
      </w:r>
    </w:p>
    <w:p w:rsidR="00CD03AA" w:rsidRDefault="00CD03AA" w:rsidP="00CD03AA">
      <w:pPr>
        <w:ind w:left="360"/>
        <w:rPr>
          <w:sz w:val="24"/>
          <w:szCs w:val="24"/>
        </w:rPr>
      </w:pPr>
      <w:r w:rsidRPr="009B4B36">
        <w:rPr>
          <w:sz w:val="24"/>
          <w:szCs w:val="24"/>
        </w:rPr>
        <w:t>Estimated annualized cost to the Federal Government for this collection:</w:t>
      </w:r>
    </w:p>
    <w:p w:rsidR="00CD03AA" w:rsidRPr="006F101B" w:rsidRDefault="00CD03AA" w:rsidP="00CD03AA">
      <w:pPr>
        <w:ind w:left="360"/>
      </w:pPr>
    </w:p>
    <w:tbl>
      <w:tblPr>
        <w:tblStyle w:val="TableGrid"/>
        <w:tblW w:w="0" w:type="auto"/>
        <w:tblInd w:w="360" w:type="dxa"/>
        <w:tblLook w:val="04A0"/>
      </w:tblPr>
      <w:tblGrid>
        <w:gridCol w:w="1565"/>
        <w:gridCol w:w="1658"/>
        <w:gridCol w:w="1635"/>
        <w:gridCol w:w="1280"/>
        <w:gridCol w:w="1620"/>
        <w:gridCol w:w="1938"/>
      </w:tblGrid>
      <w:tr w:rsidR="00CD03AA" w:rsidRPr="006F101B" w:rsidTr="003C6C92">
        <w:tc>
          <w:tcPr>
            <w:tcW w:w="1565" w:type="dxa"/>
          </w:tcPr>
          <w:p w:rsidR="00CD03AA" w:rsidRPr="006F101B" w:rsidRDefault="00CD03AA" w:rsidP="003C6C92">
            <w:pPr>
              <w:rPr>
                <w:sz w:val="22"/>
                <w:szCs w:val="22"/>
              </w:rPr>
            </w:pPr>
          </w:p>
        </w:tc>
        <w:tc>
          <w:tcPr>
            <w:tcW w:w="1658" w:type="dxa"/>
          </w:tcPr>
          <w:p w:rsidR="00CD03AA" w:rsidRPr="006F101B" w:rsidRDefault="00CD03AA" w:rsidP="003C6C92">
            <w:pPr>
              <w:rPr>
                <w:sz w:val="22"/>
                <w:szCs w:val="22"/>
              </w:rPr>
            </w:pPr>
            <w:r w:rsidRPr="006F101B">
              <w:rPr>
                <w:sz w:val="22"/>
                <w:szCs w:val="22"/>
              </w:rPr>
              <w:t>No. of Respondents</w:t>
            </w:r>
          </w:p>
        </w:tc>
        <w:tc>
          <w:tcPr>
            <w:tcW w:w="1635" w:type="dxa"/>
          </w:tcPr>
          <w:p w:rsidR="00CD03AA" w:rsidRPr="006F101B" w:rsidRDefault="00CD03AA" w:rsidP="003C6C92">
            <w:pPr>
              <w:rPr>
                <w:sz w:val="22"/>
                <w:szCs w:val="22"/>
              </w:rPr>
            </w:pPr>
            <w:r w:rsidRPr="006F101B">
              <w:rPr>
                <w:sz w:val="22"/>
                <w:szCs w:val="22"/>
              </w:rPr>
              <w:t>Hrs. per Response</w:t>
            </w:r>
          </w:p>
        </w:tc>
        <w:tc>
          <w:tcPr>
            <w:tcW w:w="1280" w:type="dxa"/>
          </w:tcPr>
          <w:p w:rsidR="00CD03AA" w:rsidRPr="006F101B" w:rsidRDefault="00CD03AA" w:rsidP="003C6C92">
            <w:pPr>
              <w:rPr>
                <w:sz w:val="22"/>
                <w:szCs w:val="22"/>
              </w:rPr>
            </w:pPr>
            <w:r w:rsidRPr="006F101B">
              <w:rPr>
                <w:sz w:val="22"/>
                <w:szCs w:val="22"/>
              </w:rPr>
              <w:t>Annual Hours</w:t>
            </w:r>
          </w:p>
        </w:tc>
        <w:tc>
          <w:tcPr>
            <w:tcW w:w="1620" w:type="dxa"/>
          </w:tcPr>
          <w:p w:rsidR="00CD03AA" w:rsidRPr="006F101B" w:rsidRDefault="00CD03AA" w:rsidP="003C6C92">
            <w:pPr>
              <w:rPr>
                <w:sz w:val="22"/>
                <w:szCs w:val="22"/>
              </w:rPr>
            </w:pPr>
            <w:r w:rsidRPr="006F101B">
              <w:rPr>
                <w:sz w:val="22"/>
                <w:szCs w:val="22"/>
              </w:rPr>
              <w:t>Cost Per Hour</w:t>
            </w:r>
          </w:p>
        </w:tc>
        <w:tc>
          <w:tcPr>
            <w:tcW w:w="1938" w:type="dxa"/>
          </w:tcPr>
          <w:p w:rsidR="00CD03AA" w:rsidRPr="006F101B" w:rsidRDefault="00CD03AA" w:rsidP="003C6C92">
            <w:pPr>
              <w:rPr>
                <w:sz w:val="22"/>
                <w:szCs w:val="22"/>
              </w:rPr>
            </w:pPr>
            <w:r w:rsidRPr="006F101B">
              <w:rPr>
                <w:sz w:val="22"/>
                <w:szCs w:val="22"/>
              </w:rPr>
              <w:t>Annual Cost to Federal Gov’t</w:t>
            </w:r>
          </w:p>
        </w:tc>
      </w:tr>
      <w:tr w:rsidR="00CD03AA" w:rsidRPr="006F101B" w:rsidTr="003C6C92">
        <w:tc>
          <w:tcPr>
            <w:tcW w:w="1565" w:type="dxa"/>
          </w:tcPr>
          <w:p w:rsidR="00CD03AA" w:rsidRPr="006F101B" w:rsidRDefault="00CD03AA" w:rsidP="003C6C92">
            <w:pPr>
              <w:rPr>
                <w:sz w:val="22"/>
                <w:szCs w:val="22"/>
              </w:rPr>
            </w:pPr>
          </w:p>
        </w:tc>
        <w:tc>
          <w:tcPr>
            <w:tcW w:w="1658" w:type="dxa"/>
          </w:tcPr>
          <w:p w:rsidR="00CD03AA" w:rsidRPr="006F101B" w:rsidRDefault="00CD03AA" w:rsidP="003C6C92">
            <w:pPr>
              <w:rPr>
                <w:sz w:val="22"/>
                <w:szCs w:val="22"/>
              </w:rPr>
            </w:pPr>
          </w:p>
        </w:tc>
        <w:tc>
          <w:tcPr>
            <w:tcW w:w="1635" w:type="dxa"/>
          </w:tcPr>
          <w:p w:rsidR="00CD03AA" w:rsidRPr="006F101B" w:rsidRDefault="00CD03AA" w:rsidP="003C6C92">
            <w:pPr>
              <w:rPr>
                <w:sz w:val="22"/>
                <w:szCs w:val="22"/>
              </w:rPr>
            </w:pPr>
          </w:p>
        </w:tc>
        <w:tc>
          <w:tcPr>
            <w:tcW w:w="1280" w:type="dxa"/>
          </w:tcPr>
          <w:p w:rsidR="00CD03AA" w:rsidRPr="006F101B" w:rsidRDefault="00CD03AA" w:rsidP="003C6C92">
            <w:pPr>
              <w:rPr>
                <w:sz w:val="22"/>
                <w:szCs w:val="22"/>
              </w:rPr>
            </w:pPr>
          </w:p>
        </w:tc>
        <w:tc>
          <w:tcPr>
            <w:tcW w:w="1620" w:type="dxa"/>
          </w:tcPr>
          <w:p w:rsidR="00CD03AA" w:rsidRPr="006F101B" w:rsidRDefault="00CD03AA" w:rsidP="003C6C92">
            <w:pPr>
              <w:rPr>
                <w:sz w:val="22"/>
                <w:szCs w:val="22"/>
              </w:rPr>
            </w:pPr>
          </w:p>
        </w:tc>
        <w:tc>
          <w:tcPr>
            <w:tcW w:w="1938" w:type="dxa"/>
          </w:tcPr>
          <w:p w:rsidR="00CD03AA" w:rsidRPr="006F101B" w:rsidRDefault="00CD03AA" w:rsidP="003C6C92">
            <w:pPr>
              <w:rPr>
                <w:sz w:val="22"/>
                <w:szCs w:val="22"/>
              </w:rPr>
            </w:pPr>
          </w:p>
        </w:tc>
      </w:tr>
      <w:tr w:rsidR="00CD03AA" w:rsidRPr="006F101B" w:rsidTr="003C6C92">
        <w:tc>
          <w:tcPr>
            <w:tcW w:w="1565" w:type="dxa"/>
          </w:tcPr>
          <w:p w:rsidR="00CD03AA" w:rsidRPr="006F101B" w:rsidRDefault="00CD03AA" w:rsidP="003C6C92">
            <w:pPr>
              <w:rPr>
                <w:sz w:val="22"/>
                <w:szCs w:val="22"/>
              </w:rPr>
            </w:pPr>
            <w:r w:rsidRPr="006F101B">
              <w:rPr>
                <w:sz w:val="22"/>
                <w:szCs w:val="22"/>
              </w:rPr>
              <w:t>Receipt and processing of NOFA applications</w:t>
            </w:r>
          </w:p>
        </w:tc>
        <w:tc>
          <w:tcPr>
            <w:tcW w:w="1658" w:type="dxa"/>
          </w:tcPr>
          <w:p w:rsidR="00CD03AA" w:rsidRPr="006F101B" w:rsidRDefault="001E358B" w:rsidP="003C6C92">
            <w:pPr>
              <w:rPr>
                <w:sz w:val="22"/>
                <w:szCs w:val="22"/>
              </w:rPr>
            </w:pPr>
            <w:r>
              <w:rPr>
                <w:sz w:val="22"/>
                <w:szCs w:val="22"/>
              </w:rPr>
              <w:t>335</w:t>
            </w:r>
          </w:p>
        </w:tc>
        <w:tc>
          <w:tcPr>
            <w:tcW w:w="1635" w:type="dxa"/>
          </w:tcPr>
          <w:p w:rsidR="00CD03AA" w:rsidRPr="006F101B" w:rsidRDefault="00CD03AA" w:rsidP="003C6C92">
            <w:pPr>
              <w:rPr>
                <w:sz w:val="22"/>
                <w:szCs w:val="22"/>
              </w:rPr>
            </w:pPr>
            <w:r w:rsidRPr="006F101B">
              <w:rPr>
                <w:sz w:val="22"/>
                <w:szCs w:val="22"/>
              </w:rPr>
              <w:t>16</w:t>
            </w:r>
          </w:p>
        </w:tc>
        <w:tc>
          <w:tcPr>
            <w:tcW w:w="1280" w:type="dxa"/>
          </w:tcPr>
          <w:p w:rsidR="00CD03AA" w:rsidRPr="006F101B" w:rsidRDefault="00F30D44" w:rsidP="003C6C92">
            <w:pPr>
              <w:rPr>
                <w:sz w:val="22"/>
                <w:szCs w:val="22"/>
              </w:rPr>
            </w:pPr>
            <w:r>
              <w:rPr>
                <w:sz w:val="22"/>
                <w:szCs w:val="22"/>
              </w:rPr>
              <w:t>5360</w:t>
            </w:r>
          </w:p>
        </w:tc>
        <w:tc>
          <w:tcPr>
            <w:tcW w:w="1620" w:type="dxa"/>
          </w:tcPr>
          <w:p w:rsidR="00CD03AA" w:rsidRPr="006F101B" w:rsidRDefault="00CD03AA" w:rsidP="003C6C92">
            <w:pPr>
              <w:rPr>
                <w:sz w:val="22"/>
                <w:szCs w:val="22"/>
              </w:rPr>
            </w:pPr>
            <w:r>
              <w:rPr>
                <w:sz w:val="22"/>
                <w:szCs w:val="22"/>
              </w:rPr>
              <w:t>$34.34</w:t>
            </w:r>
            <w:r w:rsidRPr="006F101B">
              <w:rPr>
                <w:sz w:val="22"/>
                <w:szCs w:val="22"/>
              </w:rPr>
              <w:t>*</w:t>
            </w:r>
          </w:p>
        </w:tc>
        <w:tc>
          <w:tcPr>
            <w:tcW w:w="1938" w:type="dxa"/>
          </w:tcPr>
          <w:p w:rsidR="001E358B" w:rsidRPr="006F101B" w:rsidRDefault="00CD03AA" w:rsidP="003C6C92">
            <w:pPr>
              <w:rPr>
                <w:sz w:val="22"/>
                <w:szCs w:val="22"/>
              </w:rPr>
            </w:pPr>
            <w:r w:rsidRPr="006F101B">
              <w:rPr>
                <w:sz w:val="22"/>
                <w:szCs w:val="22"/>
              </w:rPr>
              <w:t>$1</w:t>
            </w:r>
            <w:r w:rsidR="001E358B">
              <w:rPr>
                <w:sz w:val="22"/>
                <w:szCs w:val="22"/>
              </w:rPr>
              <w:t>84,06.40</w:t>
            </w:r>
          </w:p>
        </w:tc>
      </w:tr>
      <w:tr w:rsidR="00CD03AA" w:rsidRPr="006F101B" w:rsidTr="003C6C92">
        <w:tc>
          <w:tcPr>
            <w:tcW w:w="1565" w:type="dxa"/>
          </w:tcPr>
          <w:p w:rsidR="00CD03AA" w:rsidRPr="006F101B" w:rsidRDefault="00CD03AA" w:rsidP="003C6C92">
            <w:pPr>
              <w:rPr>
                <w:sz w:val="22"/>
                <w:szCs w:val="22"/>
              </w:rPr>
            </w:pPr>
            <w:r w:rsidRPr="006F101B">
              <w:rPr>
                <w:sz w:val="22"/>
                <w:szCs w:val="22"/>
              </w:rPr>
              <w:t>Reviewing reports</w:t>
            </w:r>
          </w:p>
        </w:tc>
        <w:tc>
          <w:tcPr>
            <w:tcW w:w="1658" w:type="dxa"/>
          </w:tcPr>
          <w:p w:rsidR="00CD03AA" w:rsidRPr="006F101B" w:rsidRDefault="00CD03AA" w:rsidP="003C6C92">
            <w:pPr>
              <w:rPr>
                <w:sz w:val="22"/>
                <w:szCs w:val="22"/>
              </w:rPr>
            </w:pPr>
            <w:r w:rsidRPr="006F101B">
              <w:rPr>
                <w:sz w:val="22"/>
                <w:szCs w:val="22"/>
              </w:rPr>
              <w:t>42</w:t>
            </w:r>
          </w:p>
        </w:tc>
        <w:tc>
          <w:tcPr>
            <w:tcW w:w="1635" w:type="dxa"/>
          </w:tcPr>
          <w:p w:rsidR="00CD03AA" w:rsidRPr="006F101B" w:rsidRDefault="00CD03AA" w:rsidP="003C6C92">
            <w:pPr>
              <w:rPr>
                <w:sz w:val="22"/>
                <w:szCs w:val="22"/>
              </w:rPr>
            </w:pPr>
            <w:r>
              <w:rPr>
                <w:sz w:val="22"/>
                <w:szCs w:val="22"/>
              </w:rPr>
              <w:t>8</w:t>
            </w:r>
          </w:p>
        </w:tc>
        <w:tc>
          <w:tcPr>
            <w:tcW w:w="1280" w:type="dxa"/>
          </w:tcPr>
          <w:p w:rsidR="00CD03AA" w:rsidRPr="006F101B" w:rsidRDefault="00CD03AA" w:rsidP="003C6C92">
            <w:pPr>
              <w:rPr>
                <w:sz w:val="22"/>
                <w:szCs w:val="22"/>
              </w:rPr>
            </w:pPr>
            <w:r>
              <w:rPr>
                <w:sz w:val="22"/>
                <w:szCs w:val="22"/>
              </w:rPr>
              <w:t>336</w:t>
            </w:r>
          </w:p>
        </w:tc>
        <w:tc>
          <w:tcPr>
            <w:tcW w:w="1620" w:type="dxa"/>
          </w:tcPr>
          <w:p w:rsidR="00CD03AA" w:rsidRPr="006F101B" w:rsidRDefault="00CD03AA" w:rsidP="003C6C92">
            <w:pPr>
              <w:rPr>
                <w:sz w:val="22"/>
                <w:szCs w:val="22"/>
              </w:rPr>
            </w:pPr>
            <w:r>
              <w:rPr>
                <w:sz w:val="22"/>
                <w:szCs w:val="22"/>
              </w:rPr>
              <w:t>$34</w:t>
            </w:r>
            <w:r w:rsidRPr="006F101B">
              <w:rPr>
                <w:sz w:val="22"/>
                <w:szCs w:val="22"/>
              </w:rPr>
              <w:t>.</w:t>
            </w:r>
            <w:r>
              <w:rPr>
                <w:sz w:val="22"/>
                <w:szCs w:val="22"/>
              </w:rPr>
              <w:t>34</w:t>
            </w:r>
          </w:p>
        </w:tc>
        <w:tc>
          <w:tcPr>
            <w:tcW w:w="1938" w:type="dxa"/>
          </w:tcPr>
          <w:p w:rsidR="00CD03AA" w:rsidRPr="006F101B" w:rsidRDefault="00CD03AA" w:rsidP="003C6C92">
            <w:pPr>
              <w:rPr>
                <w:sz w:val="22"/>
                <w:szCs w:val="22"/>
              </w:rPr>
            </w:pPr>
            <w:r w:rsidRPr="006F101B">
              <w:rPr>
                <w:sz w:val="22"/>
                <w:szCs w:val="22"/>
              </w:rPr>
              <w:t>$</w:t>
            </w:r>
            <w:r>
              <w:rPr>
                <w:sz w:val="22"/>
                <w:szCs w:val="22"/>
              </w:rPr>
              <w:t>11,538.24</w:t>
            </w:r>
          </w:p>
        </w:tc>
      </w:tr>
      <w:tr w:rsidR="00500358" w:rsidRPr="006F101B" w:rsidTr="003C6C92">
        <w:tc>
          <w:tcPr>
            <w:tcW w:w="1565" w:type="dxa"/>
          </w:tcPr>
          <w:p w:rsidR="00500358" w:rsidRPr="006F101B" w:rsidRDefault="00500358" w:rsidP="00500358">
            <w:pPr>
              <w:rPr>
                <w:sz w:val="22"/>
                <w:szCs w:val="22"/>
              </w:rPr>
            </w:pPr>
            <w:r>
              <w:rPr>
                <w:sz w:val="22"/>
                <w:szCs w:val="22"/>
              </w:rPr>
              <w:t>Reviewing baselines</w:t>
            </w:r>
          </w:p>
        </w:tc>
        <w:tc>
          <w:tcPr>
            <w:tcW w:w="1658" w:type="dxa"/>
          </w:tcPr>
          <w:p w:rsidR="00500358" w:rsidRPr="006F101B" w:rsidRDefault="00500358" w:rsidP="003C6C92">
            <w:pPr>
              <w:rPr>
                <w:sz w:val="22"/>
                <w:szCs w:val="22"/>
              </w:rPr>
            </w:pPr>
            <w:r>
              <w:rPr>
                <w:sz w:val="22"/>
                <w:szCs w:val="22"/>
              </w:rPr>
              <w:t>173</w:t>
            </w:r>
          </w:p>
        </w:tc>
        <w:tc>
          <w:tcPr>
            <w:tcW w:w="1635" w:type="dxa"/>
          </w:tcPr>
          <w:p w:rsidR="00500358" w:rsidRDefault="00500358" w:rsidP="003C6C92">
            <w:pPr>
              <w:rPr>
                <w:sz w:val="22"/>
                <w:szCs w:val="22"/>
              </w:rPr>
            </w:pPr>
            <w:r>
              <w:rPr>
                <w:sz w:val="22"/>
                <w:szCs w:val="22"/>
              </w:rPr>
              <w:t>1</w:t>
            </w:r>
          </w:p>
        </w:tc>
        <w:tc>
          <w:tcPr>
            <w:tcW w:w="1280" w:type="dxa"/>
          </w:tcPr>
          <w:p w:rsidR="00500358" w:rsidRDefault="00500358" w:rsidP="003C6C92">
            <w:pPr>
              <w:rPr>
                <w:sz w:val="22"/>
                <w:szCs w:val="22"/>
              </w:rPr>
            </w:pPr>
            <w:r>
              <w:rPr>
                <w:sz w:val="22"/>
                <w:szCs w:val="22"/>
              </w:rPr>
              <w:t>173</w:t>
            </w:r>
          </w:p>
        </w:tc>
        <w:tc>
          <w:tcPr>
            <w:tcW w:w="1620" w:type="dxa"/>
          </w:tcPr>
          <w:p w:rsidR="00500358" w:rsidRDefault="00500358" w:rsidP="003C6C92">
            <w:pPr>
              <w:rPr>
                <w:sz w:val="22"/>
                <w:szCs w:val="22"/>
              </w:rPr>
            </w:pPr>
            <w:r>
              <w:rPr>
                <w:sz w:val="22"/>
                <w:szCs w:val="22"/>
              </w:rPr>
              <w:t>$34.34</w:t>
            </w:r>
          </w:p>
        </w:tc>
        <w:tc>
          <w:tcPr>
            <w:tcW w:w="1938" w:type="dxa"/>
          </w:tcPr>
          <w:p w:rsidR="00500358" w:rsidRPr="006F101B" w:rsidRDefault="00500358" w:rsidP="003C6C92">
            <w:pPr>
              <w:rPr>
                <w:sz w:val="22"/>
                <w:szCs w:val="22"/>
              </w:rPr>
            </w:pPr>
            <w:r>
              <w:rPr>
                <w:sz w:val="22"/>
                <w:szCs w:val="22"/>
              </w:rPr>
              <w:t>$</w:t>
            </w:r>
            <w:r w:rsidRPr="00500358">
              <w:rPr>
                <w:sz w:val="22"/>
                <w:szCs w:val="22"/>
              </w:rPr>
              <w:t>5940.82</w:t>
            </w:r>
          </w:p>
        </w:tc>
      </w:tr>
      <w:tr w:rsidR="00CD03AA" w:rsidRPr="006F101B" w:rsidTr="003C6C92">
        <w:tc>
          <w:tcPr>
            <w:tcW w:w="1565" w:type="dxa"/>
          </w:tcPr>
          <w:p w:rsidR="00CD03AA" w:rsidRPr="006F101B" w:rsidRDefault="00CD03AA" w:rsidP="003C6C92">
            <w:pPr>
              <w:rPr>
                <w:sz w:val="22"/>
                <w:szCs w:val="22"/>
              </w:rPr>
            </w:pPr>
            <w:r w:rsidRPr="006F101B">
              <w:rPr>
                <w:sz w:val="22"/>
                <w:szCs w:val="22"/>
              </w:rPr>
              <w:t>Reviewing records</w:t>
            </w:r>
          </w:p>
        </w:tc>
        <w:tc>
          <w:tcPr>
            <w:tcW w:w="1658" w:type="dxa"/>
          </w:tcPr>
          <w:p w:rsidR="00CD03AA" w:rsidRPr="006F101B" w:rsidRDefault="00CD03AA" w:rsidP="003C6C92">
            <w:pPr>
              <w:rPr>
                <w:sz w:val="22"/>
                <w:szCs w:val="22"/>
              </w:rPr>
            </w:pPr>
            <w:r w:rsidRPr="006F101B">
              <w:rPr>
                <w:sz w:val="22"/>
                <w:szCs w:val="22"/>
              </w:rPr>
              <w:t>42</w:t>
            </w:r>
          </w:p>
        </w:tc>
        <w:tc>
          <w:tcPr>
            <w:tcW w:w="1635" w:type="dxa"/>
          </w:tcPr>
          <w:p w:rsidR="00CD03AA" w:rsidRPr="006F101B" w:rsidRDefault="00CD03AA" w:rsidP="003C6C92">
            <w:pPr>
              <w:rPr>
                <w:sz w:val="22"/>
                <w:szCs w:val="22"/>
              </w:rPr>
            </w:pPr>
            <w:r>
              <w:rPr>
                <w:sz w:val="22"/>
                <w:szCs w:val="22"/>
              </w:rPr>
              <w:t>4</w:t>
            </w:r>
          </w:p>
        </w:tc>
        <w:tc>
          <w:tcPr>
            <w:tcW w:w="1280" w:type="dxa"/>
          </w:tcPr>
          <w:p w:rsidR="00CD03AA" w:rsidRPr="006F101B" w:rsidRDefault="00CD03AA" w:rsidP="003C6C92">
            <w:pPr>
              <w:rPr>
                <w:sz w:val="22"/>
                <w:szCs w:val="22"/>
              </w:rPr>
            </w:pPr>
            <w:r>
              <w:rPr>
                <w:sz w:val="22"/>
                <w:szCs w:val="22"/>
              </w:rPr>
              <w:t>168</w:t>
            </w:r>
          </w:p>
        </w:tc>
        <w:tc>
          <w:tcPr>
            <w:tcW w:w="1620" w:type="dxa"/>
          </w:tcPr>
          <w:p w:rsidR="00CD03AA" w:rsidRPr="006F101B" w:rsidRDefault="00CD03AA" w:rsidP="003C6C92">
            <w:pPr>
              <w:rPr>
                <w:sz w:val="22"/>
                <w:szCs w:val="22"/>
              </w:rPr>
            </w:pPr>
            <w:r>
              <w:rPr>
                <w:sz w:val="22"/>
                <w:szCs w:val="22"/>
              </w:rPr>
              <w:t>$34</w:t>
            </w:r>
            <w:r w:rsidRPr="006F101B">
              <w:rPr>
                <w:sz w:val="22"/>
                <w:szCs w:val="22"/>
              </w:rPr>
              <w:t>.</w:t>
            </w:r>
            <w:r>
              <w:rPr>
                <w:sz w:val="22"/>
                <w:szCs w:val="22"/>
              </w:rPr>
              <w:t>34</w:t>
            </w:r>
          </w:p>
        </w:tc>
        <w:tc>
          <w:tcPr>
            <w:tcW w:w="1938" w:type="dxa"/>
          </w:tcPr>
          <w:p w:rsidR="00CD03AA" w:rsidRPr="006F101B" w:rsidRDefault="00CD03AA" w:rsidP="003C6C92">
            <w:pPr>
              <w:rPr>
                <w:sz w:val="22"/>
                <w:szCs w:val="22"/>
              </w:rPr>
            </w:pPr>
            <w:r w:rsidRPr="006F101B">
              <w:rPr>
                <w:sz w:val="22"/>
                <w:szCs w:val="22"/>
              </w:rPr>
              <w:t>$</w:t>
            </w:r>
            <w:r>
              <w:rPr>
                <w:sz w:val="22"/>
                <w:szCs w:val="22"/>
              </w:rPr>
              <w:t>5,769.12</w:t>
            </w:r>
          </w:p>
        </w:tc>
      </w:tr>
      <w:tr w:rsidR="00CD03AA" w:rsidRPr="006F101B" w:rsidTr="003C6C92">
        <w:tc>
          <w:tcPr>
            <w:tcW w:w="1565" w:type="dxa"/>
          </w:tcPr>
          <w:p w:rsidR="00CD03AA" w:rsidRPr="006F101B" w:rsidRDefault="00CD03AA" w:rsidP="003C6C92">
            <w:pPr>
              <w:rPr>
                <w:sz w:val="22"/>
                <w:szCs w:val="22"/>
              </w:rPr>
            </w:pPr>
            <w:r w:rsidRPr="006F101B">
              <w:rPr>
                <w:sz w:val="22"/>
                <w:szCs w:val="22"/>
              </w:rPr>
              <w:t>Total Cost</w:t>
            </w:r>
          </w:p>
        </w:tc>
        <w:tc>
          <w:tcPr>
            <w:tcW w:w="6193" w:type="dxa"/>
            <w:gridSpan w:val="4"/>
          </w:tcPr>
          <w:p w:rsidR="00CD03AA" w:rsidRPr="006F101B" w:rsidRDefault="00CD03AA" w:rsidP="003C6C92">
            <w:pPr>
              <w:rPr>
                <w:sz w:val="22"/>
                <w:szCs w:val="22"/>
              </w:rPr>
            </w:pPr>
          </w:p>
        </w:tc>
        <w:tc>
          <w:tcPr>
            <w:tcW w:w="1938" w:type="dxa"/>
          </w:tcPr>
          <w:p w:rsidR="00CD03AA" w:rsidRPr="00F01F56" w:rsidRDefault="00FA06CE" w:rsidP="001E358B">
            <w:pPr>
              <w:rPr>
                <w:sz w:val="22"/>
                <w:szCs w:val="22"/>
              </w:rPr>
            </w:pPr>
            <w:r w:rsidRPr="00F01F56">
              <w:rPr>
                <w:sz w:val="22"/>
                <w:szCs w:val="22"/>
              </w:rPr>
              <w:t>$</w:t>
            </w:r>
            <w:r w:rsidR="001E358B">
              <w:rPr>
                <w:sz w:val="22"/>
                <w:szCs w:val="22"/>
              </w:rPr>
              <w:t>207,310.58</w:t>
            </w:r>
          </w:p>
        </w:tc>
      </w:tr>
    </w:tbl>
    <w:p w:rsidR="00CD03AA" w:rsidRPr="009B4B36" w:rsidRDefault="00CD03AA" w:rsidP="00CD03AA">
      <w:pPr>
        <w:ind w:left="360"/>
        <w:rPr>
          <w:sz w:val="24"/>
          <w:szCs w:val="24"/>
        </w:rPr>
      </w:pPr>
    </w:p>
    <w:p w:rsidR="00CD03AA" w:rsidRPr="00474550" w:rsidRDefault="00CD03AA" w:rsidP="00CD03AA">
      <w:pPr>
        <w:pStyle w:val="BodyTextIndent2"/>
        <w:tabs>
          <w:tab w:val="left" w:pos="360"/>
        </w:tabs>
        <w:spacing w:after="120" w:line="240" w:lineRule="auto"/>
        <w:ind w:hanging="336"/>
      </w:pPr>
      <w:r>
        <w:t>*Represents GS-13/Step 1 Program Analyst or Housing Program Specialist hourly rate.</w:t>
      </w:r>
    </w:p>
    <w:p w:rsidR="00CD03AA" w:rsidRDefault="00CD03AA" w:rsidP="00CD03AA">
      <w:pPr>
        <w:pStyle w:val="BodyTextIndent2"/>
        <w:tabs>
          <w:tab w:val="left" w:pos="360"/>
        </w:tabs>
        <w:spacing w:after="120" w:line="240" w:lineRule="auto"/>
        <w:ind w:hanging="336"/>
        <w:rPr>
          <w:b/>
        </w:rPr>
      </w:pPr>
      <w:r>
        <w:rPr>
          <w:b/>
        </w:rPr>
        <w:t>15.</w:t>
      </w:r>
      <w:r>
        <w:rPr>
          <w:b/>
        </w:rPr>
        <w:tab/>
        <w:t xml:space="preserve">Changes or Adjustments to OMB Form 83-I: </w:t>
      </w:r>
    </w:p>
    <w:p w:rsidR="00CD03AA" w:rsidRDefault="00CD03AA" w:rsidP="00CD03AA">
      <w:pPr>
        <w:pStyle w:val="BodyTextIndent2"/>
        <w:tabs>
          <w:tab w:val="left" w:pos="360"/>
        </w:tabs>
        <w:spacing w:after="120" w:line="240" w:lineRule="auto"/>
        <w:ind w:hanging="336"/>
        <w:rPr>
          <w:b/>
        </w:rPr>
      </w:pPr>
      <w:r>
        <w:rPr>
          <w:b/>
        </w:rPr>
        <w:tab/>
      </w:r>
      <w:r>
        <w:t xml:space="preserve">The change in total burden hours is attributable to the incorporation of HUD’s 2010 policy priorities into the FUP rating criteria, an expansion and refinement of criteria to be evaluated for FUP applications, and an adjustment to reflect that reporting and recordkeeping are only associated with respondents who selected to receive funding and not all applicants. </w:t>
      </w:r>
    </w:p>
    <w:p w:rsidR="00CD03AA" w:rsidRDefault="00CD03AA" w:rsidP="00CD03AA">
      <w:pPr>
        <w:pStyle w:val="BodyTextIndent2"/>
        <w:tabs>
          <w:tab w:val="left" w:pos="360"/>
        </w:tabs>
        <w:spacing w:after="120" w:line="240" w:lineRule="auto"/>
        <w:ind w:left="0"/>
        <w:rPr>
          <w:b/>
        </w:rPr>
      </w:pPr>
      <w:r>
        <w:rPr>
          <w:b/>
        </w:rPr>
        <w:t>16.</w:t>
      </w:r>
      <w:r>
        <w:rPr>
          <w:b/>
        </w:rPr>
        <w:tab/>
        <w:t xml:space="preserve">Publication of Information Collection Results:  </w:t>
      </w:r>
    </w:p>
    <w:p w:rsidR="00CD03AA" w:rsidRDefault="00CD03AA" w:rsidP="00CD03AA">
      <w:pPr>
        <w:pStyle w:val="BodyTextIndent2"/>
        <w:tabs>
          <w:tab w:val="clear" w:pos="0"/>
          <w:tab w:val="left" w:pos="360"/>
        </w:tabs>
        <w:spacing w:after="120" w:line="240" w:lineRule="auto"/>
        <w:ind w:hanging="360"/>
      </w:pPr>
      <w:r>
        <w:tab/>
        <w:t xml:space="preserve">Information collection results will not be published. </w:t>
      </w:r>
    </w:p>
    <w:p w:rsidR="00CD03AA" w:rsidRDefault="00CD03AA" w:rsidP="00CD03AA">
      <w:pPr>
        <w:pStyle w:val="BodyTextIndent2"/>
        <w:tabs>
          <w:tab w:val="clear" w:pos="0"/>
          <w:tab w:val="left" w:pos="360"/>
        </w:tabs>
        <w:spacing w:after="120" w:line="240" w:lineRule="auto"/>
        <w:ind w:hanging="360"/>
        <w:rPr>
          <w:b/>
        </w:rPr>
      </w:pPr>
      <w:r>
        <w:rPr>
          <w:b/>
        </w:rPr>
        <w:t>17.</w:t>
      </w:r>
      <w:r>
        <w:rPr>
          <w:b/>
        </w:rPr>
        <w:tab/>
        <w:t xml:space="preserve">Expiration Date:  </w:t>
      </w:r>
    </w:p>
    <w:p w:rsidR="00CD03AA" w:rsidRDefault="00CD03AA" w:rsidP="00CD03AA">
      <w:pPr>
        <w:pStyle w:val="BodyTextIndent2"/>
        <w:tabs>
          <w:tab w:val="clear" w:pos="0"/>
          <w:tab w:val="left" w:pos="360"/>
        </w:tabs>
        <w:spacing w:after="120" w:line="240" w:lineRule="auto"/>
        <w:ind w:hanging="360"/>
      </w:pPr>
      <w:r>
        <w:tab/>
        <w:t>The OMB approval number and date will appear on the HUD-prescribed forms.</w:t>
      </w:r>
    </w:p>
    <w:p w:rsidR="00CD03AA" w:rsidRDefault="00CD03AA" w:rsidP="00CD03AA">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CD03AA" w:rsidRDefault="00CD03AA" w:rsidP="00CD03AA">
      <w:pPr>
        <w:pStyle w:val="BodyTextIndent2"/>
        <w:tabs>
          <w:tab w:val="clear" w:pos="0"/>
          <w:tab w:val="left" w:pos="360"/>
        </w:tabs>
        <w:spacing w:after="120" w:line="240" w:lineRule="auto"/>
        <w:ind w:hanging="360"/>
      </w:pPr>
      <w:r>
        <w:tab/>
        <w:t>There are no exceptions to the certification statement identified in item 19.</w:t>
      </w:r>
    </w:p>
    <w:p w:rsidR="00CD03AA" w:rsidRDefault="00CD03AA" w:rsidP="00CD03AA">
      <w:pPr>
        <w:pStyle w:val="BodyTextIndent2"/>
        <w:tabs>
          <w:tab w:val="clear" w:pos="0"/>
          <w:tab w:val="left" w:pos="360"/>
        </w:tabs>
        <w:spacing w:after="120" w:line="240" w:lineRule="auto"/>
        <w:ind w:hanging="360"/>
        <w:rPr>
          <w:b/>
        </w:rPr>
      </w:pPr>
      <w:r>
        <w:rPr>
          <w:b/>
        </w:rPr>
        <w:t xml:space="preserve">B. </w:t>
      </w:r>
      <w:r>
        <w:rPr>
          <w:b/>
        </w:rPr>
        <w:tab/>
        <w:t>Collections of Information Employing Statistical Methods</w:t>
      </w:r>
    </w:p>
    <w:p w:rsidR="00CD03AA" w:rsidRPr="009621A7" w:rsidRDefault="00CD03AA" w:rsidP="00CD03AA">
      <w:pPr>
        <w:pStyle w:val="BodyTextIndent2"/>
        <w:tabs>
          <w:tab w:val="clear" w:pos="0"/>
          <w:tab w:val="left" w:pos="360"/>
        </w:tabs>
        <w:spacing w:after="120" w:line="240" w:lineRule="auto"/>
        <w:ind w:hanging="360"/>
      </w:pPr>
      <w:r>
        <w:rPr>
          <w:b/>
        </w:rPr>
        <w:tab/>
      </w:r>
      <w:r w:rsidRPr="00E1376F">
        <w:rPr>
          <w:szCs w:val="24"/>
        </w:rPr>
        <w:t>There are no collections of information that employ statistical methods.</w:t>
      </w: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Pr="009621A7"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sectPr w:rsidR="00CD03AA" w:rsidRPr="009621A7" w:rsidSect="00BD4AD9">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BE" w:rsidRDefault="00DF72BE" w:rsidP="00917A83">
      <w:r>
        <w:separator/>
      </w:r>
    </w:p>
  </w:endnote>
  <w:endnote w:type="continuationSeparator" w:id="0">
    <w:p w:rsidR="00DF72BE" w:rsidRDefault="00DF72BE" w:rsidP="00917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2BE" w:rsidRDefault="00DF72B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2BE" w:rsidRDefault="00DF72B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DF72BE">
      <w:tc>
        <w:tcPr>
          <w:tcW w:w="8388" w:type="dxa"/>
          <w:tcBorders>
            <w:top w:val="single" w:sz="6" w:space="0" w:color="auto"/>
            <w:left w:val="nil"/>
            <w:right w:val="single" w:sz="6" w:space="0" w:color="auto"/>
          </w:tcBorders>
        </w:tcPr>
        <w:p w:rsidR="00DF72BE" w:rsidRDefault="00DF72BE">
          <w:pPr>
            <w:pStyle w:val="Footer"/>
            <w:rPr>
              <w:rFonts w:ascii="Helvetica" w:hAnsi="Helvetica"/>
              <w:sz w:val="16"/>
            </w:rPr>
          </w:pPr>
          <w:r>
            <w:rPr>
              <w:rFonts w:ascii="Helvetica" w:hAnsi="Helvetica"/>
              <w:sz w:val="16"/>
            </w:rPr>
            <w:t>Signature of Senior Officer or Designee:</w:t>
          </w:r>
        </w:p>
        <w:p w:rsidR="00DF72BE" w:rsidRDefault="00DF72BE">
          <w:pPr>
            <w:pStyle w:val="Footer"/>
            <w:rPr>
              <w:rFonts w:ascii="Helvetica" w:hAnsi="Helvetica"/>
              <w:sz w:val="16"/>
            </w:rPr>
          </w:pPr>
        </w:p>
        <w:p w:rsidR="00DF72BE" w:rsidRDefault="00DF72BE">
          <w:pPr>
            <w:pStyle w:val="Footer"/>
            <w:rPr>
              <w:rFonts w:ascii="Helvetica" w:hAnsi="Helvetica"/>
              <w:sz w:val="16"/>
            </w:rPr>
          </w:pPr>
        </w:p>
        <w:p w:rsidR="00DF72BE" w:rsidRDefault="00DF72BE">
          <w:pPr>
            <w:pStyle w:val="Footer"/>
            <w:rPr>
              <w:rFonts w:ascii="Helvetica" w:hAnsi="Helvetica"/>
              <w:sz w:val="16"/>
            </w:rPr>
          </w:pPr>
          <w:r>
            <w:rPr>
              <w:rFonts w:ascii="Helvetica" w:hAnsi="Helvetica"/>
              <w:sz w:val="16"/>
            </w:rPr>
            <w:t>X</w:t>
          </w:r>
        </w:p>
        <w:p w:rsidR="00DF72BE" w:rsidRDefault="00DF72BE">
          <w:pPr>
            <w:pStyle w:val="Footer"/>
            <w:rPr>
              <w:rFonts w:ascii="Helvetica" w:hAnsi="Helvetica"/>
              <w:sz w:val="16"/>
            </w:rPr>
          </w:pPr>
          <w:r>
            <w:rPr>
              <w:rFonts w:ascii="Helvetica" w:hAnsi="Helvetica"/>
              <w:sz w:val="16"/>
            </w:rPr>
            <w:t>Colette Pollard, Departmental Reports Management Officer,</w:t>
          </w:r>
        </w:p>
        <w:p w:rsidR="00DF72BE" w:rsidRDefault="00DF72BE">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F72BE" w:rsidRDefault="00DF72BE">
          <w:pPr>
            <w:pStyle w:val="Footer"/>
            <w:rPr>
              <w:rFonts w:ascii="Helvetica" w:hAnsi="Helvetica"/>
              <w:sz w:val="16"/>
            </w:rPr>
          </w:pPr>
          <w:r>
            <w:rPr>
              <w:rFonts w:ascii="Helvetica" w:hAnsi="Helvetica"/>
              <w:sz w:val="16"/>
            </w:rPr>
            <w:t xml:space="preserve">Date: </w:t>
          </w:r>
        </w:p>
      </w:tc>
    </w:tr>
  </w:tbl>
  <w:p w:rsidR="00DF72BE" w:rsidRDefault="00DF72BE">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BE" w:rsidRDefault="00DF72BE" w:rsidP="00917A83">
      <w:r>
        <w:separator/>
      </w:r>
    </w:p>
  </w:footnote>
  <w:footnote w:type="continuationSeparator" w:id="0">
    <w:p w:rsidR="00DF72BE" w:rsidRDefault="00DF72BE" w:rsidP="00917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2BE" w:rsidRDefault="00DF72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1"/>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04819"/>
    <w:rsid w:val="00012547"/>
    <w:rsid w:val="00014370"/>
    <w:rsid w:val="00053A0C"/>
    <w:rsid w:val="000677DA"/>
    <w:rsid w:val="000836A2"/>
    <w:rsid w:val="000957C0"/>
    <w:rsid w:val="00095C3F"/>
    <w:rsid w:val="00100B62"/>
    <w:rsid w:val="00103A0E"/>
    <w:rsid w:val="00103A64"/>
    <w:rsid w:val="00181B69"/>
    <w:rsid w:val="001D134B"/>
    <w:rsid w:val="001E2641"/>
    <w:rsid w:val="001E358B"/>
    <w:rsid w:val="001F27EE"/>
    <w:rsid w:val="002239A5"/>
    <w:rsid w:val="00243AF9"/>
    <w:rsid w:val="00283D4F"/>
    <w:rsid w:val="002950A6"/>
    <w:rsid w:val="002B5E47"/>
    <w:rsid w:val="002E1BAB"/>
    <w:rsid w:val="003067A4"/>
    <w:rsid w:val="0034093E"/>
    <w:rsid w:val="003A0F96"/>
    <w:rsid w:val="003A153E"/>
    <w:rsid w:val="003C6C92"/>
    <w:rsid w:val="003F3E0D"/>
    <w:rsid w:val="00490A58"/>
    <w:rsid w:val="004973DD"/>
    <w:rsid w:val="004B19A7"/>
    <w:rsid w:val="004C4F98"/>
    <w:rsid w:val="004E16C2"/>
    <w:rsid w:val="004F2463"/>
    <w:rsid w:val="00500358"/>
    <w:rsid w:val="00510013"/>
    <w:rsid w:val="00563B30"/>
    <w:rsid w:val="00586B18"/>
    <w:rsid w:val="005C13F5"/>
    <w:rsid w:val="005F0E76"/>
    <w:rsid w:val="00606C31"/>
    <w:rsid w:val="00641032"/>
    <w:rsid w:val="006554ED"/>
    <w:rsid w:val="006B4494"/>
    <w:rsid w:val="006B5E3E"/>
    <w:rsid w:val="006C1D8F"/>
    <w:rsid w:val="006D3111"/>
    <w:rsid w:val="00714841"/>
    <w:rsid w:val="00725E48"/>
    <w:rsid w:val="007812A3"/>
    <w:rsid w:val="007A462F"/>
    <w:rsid w:val="007D3031"/>
    <w:rsid w:val="007F7F58"/>
    <w:rsid w:val="0082175B"/>
    <w:rsid w:val="00836510"/>
    <w:rsid w:val="00845456"/>
    <w:rsid w:val="00857B49"/>
    <w:rsid w:val="0087286F"/>
    <w:rsid w:val="00885C16"/>
    <w:rsid w:val="008B6297"/>
    <w:rsid w:val="00904819"/>
    <w:rsid w:val="00917A83"/>
    <w:rsid w:val="009621A7"/>
    <w:rsid w:val="0097648C"/>
    <w:rsid w:val="00A32C84"/>
    <w:rsid w:val="00A32FD0"/>
    <w:rsid w:val="00A355C6"/>
    <w:rsid w:val="00A5174C"/>
    <w:rsid w:val="00A56A23"/>
    <w:rsid w:val="00A8607B"/>
    <w:rsid w:val="00A865C5"/>
    <w:rsid w:val="00A903ED"/>
    <w:rsid w:val="00A920B1"/>
    <w:rsid w:val="00AC395B"/>
    <w:rsid w:val="00B528D5"/>
    <w:rsid w:val="00B55F11"/>
    <w:rsid w:val="00B95433"/>
    <w:rsid w:val="00BA3DB7"/>
    <w:rsid w:val="00BA7B1A"/>
    <w:rsid w:val="00BC4EB1"/>
    <w:rsid w:val="00BD4AD9"/>
    <w:rsid w:val="00C22767"/>
    <w:rsid w:val="00C360CF"/>
    <w:rsid w:val="00C73F19"/>
    <w:rsid w:val="00C8759F"/>
    <w:rsid w:val="00CB0213"/>
    <w:rsid w:val="00CB0241"/>
    <w:rsid w:val="00CD03AA"/>
    <w:rsid w:val="00D12AF6"/>
    <w:rsid w:val="00D40430"/>
    <w:rsid w:val="00D47F5D"/>
    <w:rsid w:val="00D66D46"/>
    <w:rsid w:val="00DF6997"/>
    <w:rsid w:val="00DF72BE"/>
    <w:rsid w:val="00E12BF8"/>
    <w:rsid w:val="00E1376F"/>
    <w:rsid w:val="00E94F1B"/>
    <w:rsid w:val="00F01F56"/>
    <w:rsid w:val="00F30D44"/>
    <w:rsid w:val="00F376B8"/>
    <w:rsid w:val="00F517A9"/>
    <w:rsid w:val="00F6327A"/>
    <w:rsid w:val="00F67933"/>
    <w:rsid w:val="00F708D9"/>
    <w:rsid w:val="00FA06CE"/>
    <w:rsid w:val="00FC5CC1"/>
    <w:rsid w:val="00FD5702"/>
    <w:rsid w:val="00FF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D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4AD9"/>
    <w:pPr>
      <w:tabs>
        <w:tab w:val="center" w:pos="4320"/>
        <w:tab w:val="right" w:pos="8640"/>
      </w:tabs>
    </w:pPr>
  </w:style>
  <w:style w:type="paragraph" w:styleId="Footer">
    <w:name w:val="footer"/>
    <w:basedOn w:val="Normal"/>
    <w:semiHidden/>
    <w:rsid w:val="00BD4AD9"/>
    <w:pPr>
      <w:tabs>
        <w:tab w:val="center" w:pos="4320"/>
        <w:tab w:val="right" w:pos="8640"/>
      </w:tabs>
    </w:pPr>
  </w:style>
  <w:style w:type="character" w:styleId="CommentReference">
    <w:name w:val="annotation reference"/>
    <w:basedOn w:val="DefaultParagraphFont"/>
    <w:uiPriority w:val="99"/>
    <w:semiHidden/>
    <w:unhideWhenUsed/>
    <w:rsid w:val="006C1D8F"/>
    <w:rPr>
      <w:sz w:val="16"/>
      <w:szCs w:val="16"/>
    </w:rPr>
  </w:style>
  <w:style w:type="paragraph" w:styleId="CommentText">
    <w:name w:val="annotation text"/>
    <w:basedOn w:val="Normal"/>
    <w:link w:val="CommentTextChar"/>
    <w:uiPriority w:val="99"/>
    <w:semiHidden/>
    <w:unhideWhenUsed/>
    <w:rsid w:val="006C1D8F"/>
  </w:style>
  <w:style w:type="character" w:customStyle="1" w:styleId="CommentTextChar">
    <w:name w:val="Comment Text Char"/>
    <w:basedOn w:val="DefaultParagraphFont"/>
    <w:link w:val="CommentText"/>
    <w:uiPriority w:val="99"/>
    <w:semiHidden/>
    <w:rsid w:val="006C1D8F"/>
  </w:style>
  <w:style w:type="paragraph" w:styleId="CommentSubject">
    <w:name w:val="annotation subject"/>
    <w:basedOn w:val="CommentText"/>
    <w:next w:val="CommentText"/>
    <w:link w:val="CommentSubjectChar"/>
    <w:uiPriority w:val="99"/>
    <w:semiHidden/>
    <w:unhideWhenUsed/>
    <w:rsid w:val="006C1D8F"/>
    <w:rPr>
      <w:b/>
      <w:bCs/>
    </w:rPr>
  </w:style>
  <w:style w:type="character" w:customStyle="1" w:styleId="CommentSubjectChar">
    <w:name w:val="Comment Subject Char"/>
    <w:basedOn w:val="CommentTextChar"/>
    <w:link w:val="CommentSubject"/>
    <w:uiPriority w:val="99"/>
    <w:semiHidden/>
    <w:rsid w:val="006C1D8F"/>
    <w:rPr>
      <w:b/>
      <w:bCs/>
    </w:rPr>
  </w:style>
  <w:style w:type="paragraph" w:styleId="BalloonText">
    <w:name w:val="Balloon Text"/>
    <w:basedOn w:val="Normal"/>
    <w:link w:val="BalloonTextChar"/>
    <w:uiPriority w:val="99"/>
    <w:semiHidden/>
    <w:unhideWhenUsed/>
    <w:rsid w:val="006C1D8F"/>
    <w:rPr>
      <w:rFonts w:ascii="Tahoma" w:hAnsi="Tahoma" w:cs="Tahoma"/>
      <w:sz w:val="16"/>
      <w:szCs w:val="16"/>
    </w:rPr>
  </w:style>
  <w:style w:type="character" w:customStyle="1" w:styleId="BalloonTextChar">
    <w:name w:val="Balloon Text Char"/>
    <w:basedOn w:val="DefaultParagraphFont"/>
    <w:link w:val="BalloonText"/>
    <w:uiPriority w:val="99"/>
    <w:semiHidden/>
    <w:rsid w:val="006C1D8F"/>
    <w:rPr>
      <w:rFonts w:ascii="Tahoma" w:hAnsi="Tahoma" w:cs="Tahoma"/>
      <w:sz w:val="16"/>
      <w:szCs w:val="16"/>
    </w:rPr>
  </w:style>
  <w:style w:type="paragraph" w:styleId="BlockText">
    <w:name w:val="Block Text"/>
    <w:basedOn w:val="Normal"/>
    <w:rsid w:val="006C1D8F"/>
    <w:pPr>
      <w:tabs>
        <w:tab w:val="left" w:pos="240"/>
      </w:tabs>
      <w:spacing w:after="60"/>
      <w:ind w:left="120" w:right="-120"/>
    </w:pPr>
    <w:rPr>
      <w:sz w:val="22"/>
    </w:rPr>
  </w:style>
  <w:style w:type="paragraph" w:styleId="Title">
    <w:name w:val="Title"/>
    <w:basedOn w:val="Normal"/>
    <w:link w:val="TitleChar"/>
    <w:uiPriority w:val="10"/>
    <w:qFormat/>
    <w:rsid w:val="00A32FD0"/>
    <w:pPr>
      <w:jc w:val="center"/>
    </w:pPr>
    <w:rPr>
      <w:rFonts w:ascii="Helvetica" w:hAnsi="Helvetica"/>
      <w:b/>
      <w:sz w:val="28"/>
    </w:rPr>
  </w:style>
  <w:style w:type="character" w:customStyle="1" w:styleId="TitleChar">
    <w:name w:val="Title Char"/>
    <w:basedOn w:val="DefaultParagraphFont"/>
    <w:link w:val="Title"/>
    <w:uiPriority w:val="10"/>
    <w:rsid w:val="00A32FD0"/>
    <w:rPr>
      <w:rFonts w:ascii="Helvetica" w:hAnsi="Helvetica"/>
      <w:b/>
      <w:sz w:val="28"/>
    </w:rPr>
  </w:style>
  <w:style w:type="paragraph" w:styleId="BodyTextIndent2">
    <w:name w:val="Body Text Indent 2"/>
    <w:basedOn w:val="Normal"/>
    <w:link w:val="BodyTextIndent2Char"/>
    <w:uiPriority w:val="99"/>
    <w:rsid w:val="00A32FD0"/>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uiPriority w:val="99"/>
    <w:rsid w:val="00A32FD0"/>
    <w:rPr>
      <w:sz w:val="24"/>
    </w:rPr>
  </w:style>
  <w:style w:type="paragraph" w:styleId="NoSpacing">
    <w:name w:val="No Spacing"/>
    <w:uiPriority w:val="1"/>
    <w:qFormat/>
    <w:rsid w:val="00A32FD0"/>
    <w:rPr>
      <w:rFonts w:ascii="Calibri" w:hAnsi="Calibri"/>
      <w:sz w:val="22"/>
      <w:szCs w:val="22"/>
    </w:rPr>
  </w:style>
  <w:style w:type="paragraph" w:styleId="HTMLPreformatted">
    <w:name w:val="HTML Preformatted"/>
    <w:basedOn w:val="Normal"/>
    <w:link w:val="HTMLPreformattedChar"/>
    <w:rsid w:val="00A3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A32FD0"/>
    <w:rPr>
      <w:rFonts w:ascii="Courier New" w:hAnsi="Courier New" w:cs="Courier New"/>
    </w:rPr>
  </w:style>
  <w:style w:type="table" w:styleId="TableGrid">
    <w:name w:val="Table Grid"/>
    <w:basedOn w:val="TableNormal"/>
    <w:rsid w:val="00A32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014370"/>
  </w:style>
</w:styles>
</file>

<file path=word/webSettings.xml><?xml version="1.0" encoding="utf-8"?>
<w:webSettings xmlns:r="http://schemas.openxmlformats.org/officeDocument/2006/relationships" xmlns:w="http://schemas.openxmlformats.org/wordprocessingml/2006/main">
  <w:divs>
    <w:div w:id="3856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2378</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6</cp:revision>
  <cp:lastPrinted>2011-10-14T17:54:00Z</cp:lastPrinted>
  <dcterms:created xsi:type="dcterms:W3CDTF">2011-10-14T18:03:00Z</dcterms:created>
  <dcterms:modified xsi:type="dcterms:W3CDTF">2012-06-07T16:02:00Z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1001299626</vt:i4>
  </property>
  <property fmtid="{D5CDD505-2E9C-101B-9397-08002B2CF9AE}" pid="3" name="_NewReviewCycle">
    <vt:lpwstr/>
  </property>
  <property fmtid="{D5CDD505-2E9C-101B-9397-08002B2CF9AE}" pid="4" name="_EmailSubject">
    <vt:lpwstr>PRA for FUP; 2577-0259</vt:lpwstr>
  </property>
  <property fmtid="{D5CDD505-2E9C-101B-9397-08002B2CF9AE}" pid="5" name="_AuthorEmail">
    <vt:lpwstr>Caroline.P.Crouse@hud.gov</vt:lpwstr>
  </property>
  <property fmtid="{D5CDD505-2E9C-101B-9397-08002B2CF9AE}" pid="6" name="_AuthorEmailDisplayName">
    <vt:lpwstr>Crouse, Caroline P</vt:lpwstr>
  </property>
  <property fmtid="{D5CDD505-2E9C-101B-9397-08002B2CF9AE}" pid="7" name="_PreviousAdHocReviewCycleID">
    <vt:i4>1477548551</vt:i4>
  </property>
  <property fmtid="{D5CDD505-2E9C-101B-9397-08002B2CF9AE}" pid="8" name="_ReviewingToolsShownOnce">
    <vt:lpwstr/>
  </property>
</Properties>
</file>