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92" w:rsidRDefault="00FD2392" w:rsidP="00E75F08">
      <w:pPr>
        <w:tabs>
          <w:tab w:val="center" w:pos="4680"/>
        </w:tabs>
        <w:spacing w:line="360" w:lineRule="auto"/>
        <w:contextualSpacing/>
        <w:jc w:val="center"/>
        <w:rPr>
          <w:b/>
          <w:bCs/>
        </w:rPr>
      </w:pPr>
      <w:r>
        <w:rPr>
          <w:b/>
          <w:bCs/>
        </w:rPr>
        <w:t>SUPPORTING STATEMENT</w:t>
      </w:r>
    </w:p>
    <w:p w:rsidR="00FD2392" w:rsidRDefault="00FD2392" w:rsidP="00E75F08">
      <w:pPr>
        <w:tabs>
          <w:tab w:val="center" w:pos="4680"/>
        </w:tabs>
        <w:spacing w:line="360" w:lineRule="auto"/>
        <w:contextualSpacing/>
        <w:jc w:val="center"/>
      </w:pPr>
      <w:r>
        <w:rPr>
          <w:b/>
          <w:bCs/>
        </w:rPr>
        <w:t>ENVIRONMENTAL PROTECTION AGENCY</w:t>
      </w:r>
    </w:p>
    <w:p w:rsidR="00FD2392" w:rsidRDefault="00FD2392" w:rsidP="00E75F08">
      <w:pPr>
        <w:tabs>
          <w:tab w:val="center" w:pos="4680"/>
        </w:tabs>
        <w:spacing w:line="360" w:lineRule="auto"/>
        <w:contextualSpacing/>
      </w:pPr>
    </w:p>
    <w:p w:rsidR="003E739F" w:rsidRDefault="00FD2392" w:rsidP="00E75F08">
      <w:pPr>
        <w:spacing w:line="360" w:lineRule="auto"/>
        <w:contextualSpacing/>
        <w:rPr>
          <w:b/>
          <w:bCs/>
        </w:rPr>
      </w:pPr>
      <w:r>
        <w:rPr>
          <w:b/>
          <w:bCs/>
        </w:rPr>
        <w:t>NSPS for Onshore Natural Gas Processing Plants (40 CFR Part 60, Subparts KKK and LLL) (Re</w:t>
      </w:r>
      <w:r w:rsidR="00BB49AF">
        <w:rPr>
          <w:b/>
          <w:bCs/>
        </w:rPr>
        <w:t>vised</w:t>
      </w:r>
      <w:r>
        <w:rPr>
          <w:b/>
          <w:bCs/>
        </w:rPr>
        <w:t>)</w:t>
      </w:r>
    </w:p>
    <w:p w:rsidR="003E739F" w:rsidRDefault="003E739F" w:rsidP="00E75F08">
      <w:pPr>
        <w:spacing w:line="360" w:lineRule="auto"/>
        <w:contextualSpacing/>
        <w:rPr>
          <w:b/>
          <w:bCs/>
        </w:rPr>
      </w:pPr>
    </w:p>
    <w:p w:rsidR="00FD2392" w:rsidRDefault="00FD2392" w:rsidP="00E75F08">
      <w:pPr>
        <w:spacing w:line="360" w:lineRule="auto"/>
        <w:contextualSpacing/>
        <w:rPr>
          <w:b/>
          <w:bCs/>
        </w:rPr>
      </w:pPr>
      <w:r>
        <w:rPr>
          <w:b/>
          <w:bCs/>
        </w:rPr>
        <w:t>1.  Identification of the Information Collection</w:t>
      </w:r>
    </w:p>
    <w:p w:rsidR="00FD2392" w:rsidRDefault="00FD2392" w:rsidP="00E75F08">
      <w:pPr>
        <w:spacing w:line="360" w:lineRule="auto"/>
        <w:contextualSpacing/>
        <w:rPr>
          <w:b/>
          <w:bCs/>
        </w:rPr>
      </w:pPr>
    </w:p>
    <w:p w:rsidR="00FD2392" w:rsidRDefault="00FD2392" w:rsidP="00E75F08">
      <w:pPr>
        <w:spacing w:line="360" w:lineRule="auto"/>
        <w:ind w:firstLine="720"/>
        <w:contextualSpacing/>
        <w:rPr>
          <w:b/>
          <w:bCs/>
        </w:rPr>
      </w:pPr>
      <w:r>
        <w:rPr>
          <w:b/>
          <w:bCs/>
        </w:rPr>
        <w:t>1(a)  Title of the Information Collection</w:t>
      </w:r>
    </w:p>
    <w:p w:rsidR="00FD2392" w:rsidRDefault="00FD2392" w:rsidP="00E75F08">
      <w:pPr>
        <w:spacing w:line="360" w:lineRule="auto"/>
        <w:contextualSpacing/>
        <w:rPr>
          <w:bCs/>
        </w:rPr>
      </w:pPr>
    </w:p>
    <w:p w:rsidR="00FD2392" w:rsidRDefault="00FD2392" w:rsidP="00E75F08">
      <w:pPr>
        <w:spacing w:line="360" w:lineRule="auto"/>
        <w:contextualSpacing/>
        <w:rPr>
          <w:bCs/>
        </w:rPr>
      </w:pPr>
      <w:r>
        <w:rPr>
          <w:bCs/>
        </w:rPr>
        <w:t>NSPS for Onshore Natural Gas Processing Plants (40 CFR Part 60, Subparts KKK and LLL) (Re</w:t>
      </w:r>
      <w:r w:rsidR="00BB49AF">
        <w:rPr>
          <w:bCs/>
        </w:rPr>
        <w:t>vised</w:t>
      </w:r>
      <w:r>
        <w:rPr>
          <w:bCs/>
        </w:rPr>
        <w:t>)</w:t>
      </w:r>
      <w:r w:rsidR="0073238C">
        <w:rPr>
          <w:bCs/>
        </w:rPr>
        <w:t xml:space="preserve">, </w:t>
      </w:r>
      <w:r w:rsidR="006939E2">
        <w:t xml:space="preserve">EPA ICR Number </w:t>
      </w:r>
      <w:r w:rsidR="001D1718">
        <w:t>2438.02</w:t>
      </w:r>
      <w:r w:rsidR="0073238C" w:rsidRPr="0073238C">
        <w:t xml:space="preserve">, </w:t>
      </w:r>
      <w:r w:rsidR="0073238C" w:rsidRPr="00FF0F17">
        <w:t>OMB Control Number 2060-0</w:t>
      </w:r>
      <w:r w:rsidR="00FF0F17">
        <w:t>672.</w:t>
      </w:r>
    </w:p>
    <w:p w:rsidR="00FD2392" w:rsidRDefault="00FD2392" w:rsidP="00E75F08">
      <w:pPr>
        <w:spacing w:line="360" w:lineRule="auto"/>
        <w:contextualSpacing/>
        <w:rPr>
          <w:b/>
          <w:bCs/>
        </w:rPr>
      </w:pPr>
    </w:p>
    <w:p w:rsidR="00FD2392" w:rsidRDefault="00FD2392" w:rsidP="00E75F08">
      <w:pPr>
        <w:spacing w:line="360" w:lineRule="auto"/>
        <w:ind w:firstLine="720"/>
        <w:contextualSpacing/>
      </w:pPr>
      <w:r>
        <w:rPr>
          <w:b/>
          <w:bCs/>
        </w:rPr>
        <w:t>1(b)  Short Characterization/Abstract</w:t>
      </w:r>
    </w:p>
    <w:p w:rsidR="006939E2" w:rsidRDefault="006939E2" w:rsidP="00E75F08">
      <w:pPr>
        <w:spacing w:line="360" w:lineRule="auto"/>
        <w:contextualSpacing/>
      </w:pPr>
      <w:r>
        <w:tab/>
      </w:r>
    </w:p>
    <w:p w:rsidR="00FD2392" w:rsidRDefault="00FD2392" w:rsidP="00E75F08">
      <w:pPr>
        <w:spacing w:line="360" w:lineRule="auto"/>
        <w:ind w:firstLine="720"/>
        <w:contextualSpacing/>
      </w:pPr>
      <w:r>
        <w:t>The New Source Performance Standards (NSPS) for Onshore Natural Gas Processing Plants, published at 40 CFR part 60, subpart KKK, were proposed on January 20, 1984, and</w:t>
      </w:r>
      <w:r w:rsidR="00BB49AF">
        <w:t xml:space="preserve"> promulgated on June 24, 1985. </w:t>
      </w:r>
      <w:r>
        <w:t xml:space="preserve">These standards apply to the following affected facilities located at onshore natural gas processing plants: compressors in </w:t>
      </w:r>
      <w:r w:rsidR="00A815C8">
        <w:t xml:space="preserve">equipment leaks of Volatile Organic Compound (VOC) </w:t>
      </w:r>
      <w:r>
        <w:t>service or in wet gas service, and the groups of all equipment (except compr</w:t>
      </w:r>
      <w:r w:rsidR="00BB49AF">
        <w:t xml:space="preserve">essors) within a process unit. </w:t>
      </w:r>
      <w:r>
        <w:t>Affected facilities commenced construction, modification, or reconstructi</w:t>
      </w:r>
      <w:r w:rsidR="00BB49AF">
        <w:t xml:space="preserve">on after the date of proposal. </w:t>
      </w:r>
      <w:r>
        <w:t>A process unit is defined as the equipment assembled for extraction of natural gas liquids from field gas, fractionation of liquids into natural gas products, or other proce</w:t>
      </w:r>
      <w:r w:rsidR="00BB49AF">
        <w:t xml:space="preserve">ssing of natural gas products. </w:t>
      </w:r>
      <w:r>
        <w:t>This information is being collected to assure compliance with 40 CFR part 60, subpart KKK.</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New Source Performance Standards (NSPS) for Onshore Natural Gas Processing</w:t>
      </w:r>
      <w:r w:rsidR="00A815C8">
        <w:t xml:space="preserve"> -</w:t>
      </w:r>
      <w:r>
        <w:t xml:space="preserve"> SO</w:t>
      </w:r>
      <w:r>
        <w:rPr>
          <w:vertAlign w:val="subscript"/>
        </w:rPr>
        <w:t>2</w:t>
      </w:r>
      <w:r>
        <w:t xml:space="preserve"> Emissions</w:t>
      </w:r>
      <w:r w:rsidR="00A815C8">
        <w:t>- (</w:t>
      </w:r>
      <w:r>
        <w:t>0 CFR part 60, subpart LLL</w:t>
      </w:r>
      <w:r w:rsidR="00A815C8">
        <w:t>)</w:t>
      </w:r>
      <w:r>
        <w:t xml:space="preserve"> were proposed on January 20, 1984, and p</w:t>
      </w:r>
      <w:r w:rsidR="00BB49AF">
        <w:t xml:space="preserve">romulgated on October 1, 1985. </w:t>
      </w:r>
      <w:r>
        <w:t xml:space="preserve">These standards apply to the following affected facilities located at onshore natural gas processing plants: each sweetening unit, and each sweetening unit </w:t>
      </w:r>
      <w:r>
        <w:lastRenderedPageBreak/>
        <w:t>follo</w:t>
      </w:r>
      <w:r w:rsidR="00BB49AF">
        <w:t xml:space="preserve">wed by a sulfur recovery unit. </w:t>
      </w:r>
      <w:r>
        <w:t>Affected facilities commenced construction, modification, or reconstruction after t</w:t>
      </w:r>
      <w:r w:rsidR="00BB49AF">
        <w:t xml:space="preserve">he date of proposal. </w:t>
      </w:r>
      <w:r>
        <w:t>A sweetening unit is defined as a process device that separates the hydrogen sulfide and carbon dioxide (CO</w:t>
      </w:r>
      <w:r>
        <w:rPr>
          <w:b/>
          <w:vertAlign w:val="subscript"/>
        </w:rPr>
        <w:t>2</w:t>
      </w:r>
      <w:r>
        <w:t>) contents fro</w:t>
      </w:r>
      <w:r w:rsidR="00BB49AF">
        <w:t xml:space="preserve">m the sour natural gas stream. </w:t>
      </w:r>
      <w:r>
        <w:t>The provisions of subpart LLL do not apply to sweetening facilities that produce acid gas that is completely re-injected into oil or gas bearing geologic strata or that is otherwise n</w:t>
      </w:r>
      <w:r w:rsidR="00BB49AF">
        <w:t xml:space="preserve">ot released to the atmosphere. </w:t>
      </w:r>
      <w:r>
        <w:t xml:space="preserve">The control and monitoring requirements of subpart LLL do not apply to affected facilities with design capacities of less than two long tons per day (LT/D) of hydrogen sulfide in the </w:t>
      </w:r>
      <w:r w:rsidR="00BB49AF">
        <w:t xml:space="preserve">acid gas, expressed as sulfur. </w:t>
      </w:r>
      <w:r>
        <w:t>This information is being collected to assure compliance with 40 CFR part 60, subpart LLL.</w:t>
      </w:r>
    </w:p>
    <w:p w:rsidR="006939E2" w:rsidRDefault="006939E2" w:rsidP="00E75F08">
      <w:pPr>
        <w:spacing w:line="360" w:lineRule="auto"/>
        <w:ind w:firstLine="720"/>
        <w:contextualSpacing/>
      </w:pPr>
    </w:p>
    <w:p w:rsidR="006939E2" w:rsidRPr="006939E2" w:rsidRDefault="006939E2" w:rsidP="00E75F08">
      <w:pPr>
        <w:spacing w:line="360" w:lineRule="auto"/>
        <w:ind w:firstLine="720"/>
        <w:contextualSpacing/>
        <w:rPr>
          <w:iCs/>
        </w:rPr>
      </w:pPr>
      <w:r w:rsidRPr="006939E2">
        <w:rPr>
          <w:iCs/>
        </w:rPr>
        <w:t>As part of the mandatory review of NSPS as required under the Clean Ai</w:t>
      </w:r>
      <w:r w:rsidR="00BB49AF">
        <w:rPr>
          <w:iCs/>
        </w:rPr>
        <w:t xml:space="preserve">r Act, </w:t>
      </w:r>
      <w:r w:rsidRPr="006939E2">
        <w:rPr>
          <w:iCs/>
        </w:rPr>
        <w:t xml:space="preserve">the requirements of </w:t>
      </w:r>
      <w:r w:rsidR="00D84C7D">
        <w:rPr>
          <w:iCs/>
        </w:rPr>
        <w:t xml:space="preserve">both </w:t>
      </w:r>
      <w:r w:rsidRPr="006939E2">
        <w:rPr>
          <w:iCs/>
        </w:rPr>
        <w:t xml:space="preserve">subpart KKK </w:t>
      </w:r>
      <w:r w:rsidR="00D84C7D">
        <w:rPr>
          <w:iCs/>
        </w:rPr>
        <w:t xml:space="preserve">and LLL </w:t>
      </w:r>
      <w:r w:rsidRPr="006939E2">
        <w:rPr>
          <w:iCs/>
        </w:rPr>
        <w:t>would be contained in a new sub</w:t>
      </w:r>
      <w:r w:rsidR="00BB49AF">
        <w:rPr>
          <w:iCs/>
        </w:rPr>
        <w:t xml:space="preserve">part, 40 CFR 60, subpart OOOO. </w:t>
      </w:r>
      <w:r w:rsidRPr="006939E2">
        <w:rPr>
          <w:iCs/>
        </w:rPr>
        <w:t>Subpart OOOO w</w:t>
      </w:r>
      <w:r w:rsidR="00B97EDD">
        <w:rPr>
          <w:iCs/>
        </w:rPr>
        <w:t>ill</w:t>
      </w:r>
      <w:r w:rsidRPr="006939E2">
        <w:rPr>
          <w:iCs/>
        </w:rPr>
        <w:t xml:space="preserve"> supersede subpart KKK, and the existing provisions of subpart KKK </w:t>
      </w:r>
      <w:r w:rsidR="00B97EDD">
        <w:rPr>
          <w:iCs/>
        </w:rPr>
        <w:t xml:space="preserve">and LLL </w:t>
      </w:r>
      <w:r w:rsidRPr="006939E2">
        <w:rPr>
          <w:iCs/>
        </w:rPr>
        <w:t>would be included in the new subpart OOOO along w</w:t>
      </w:r>
      <w:r>
        <w:rPr>
          <w:iCs/>
        </w:rPr>
        <w:t>ith th</w:t>
      </w:r>
      <w:r w:rsidR="00BB49AF">
        <w:rPr>
          <w:iCs/>
        </w:rPr>
        <w:t xml:space="preserve">e new proposed provisions. </w:t>
      </w:r>
      <w:r>
        <w:rPr>
          <w:iCs/>
        </w:rPr>
        <w:t>The revisions to this ICR account for the reduction in new sources estimated</w:t>
      </w:r>
      <w:r w:rsidR="00B97EDD">
        <w:rPr>
          <w:iCs/>
        </w:rPr>
        <w:t xml:space="preserve"> that will report</w:t>
      </w:r>
      <w:r>
        <w:rPr>
          <w:iCs/>
        </w:rPr>
        <w:t xml:space="preserve"> under KKK</w:t>
      </w:r>
      <w:r w:rsidR="00D84C7D">
        <w:rPr>
          <w:iCs/>
        </w:rPr>
        <w:t xml:space="preserve"> and LLL</w:t>
      </w:r>
      <w:r w:rsidR="00B97EDD">
        <w:rPr>
          <w:iCs/>
        </w:rPr>
        <w:t xml:space="preserve"> (</w:t>
      </w:r>
      <w:r w:rsidR="00D84C7D">
        <w:rPr>
          <w:iCs/>
        </w:rPr>
        <w:t xml:space="preserve">new sources </w:t>
      </w:r>
      <w:r w:rsidR="00B97EDD">
        <w:rPr>
          <w:iCs/>
        </w:rPr>
        <w:t>will</w:t>
      </w:r>
      <w:r w:rsidR="00D84C7D">
        <w:rPr>
          <w:iCs/>
        </w:rPr>
        <w:t xml:space="preserve"> now </w:t>
      </w:r>
      <w:r w:rsidR="00B97EDD">
        <w:rPr>
          <w:iCs/>
        </w:rPr>
        <w:t xml:space="preserve">report </w:t>
      </w:r>
      <w:r w:rsidR="00D84C7D">
        <w:rPr>
          <w:iCs/>
        </w:rPr>
        <w:t>under the ICR for subpart OOOO</w:t>
      </w:r>
      <w:r w:rsidR="00B97EDD">
        <w:rPr>
          <w:iCs/>
        </w:rPr>
        <w:t xml:space="preserve">). This ICR </w:t>
      </w:r>
      <w:r w:rsidR="00D84C7D">
        <w:rPr>
          <w:iCs/>
        </w:rPr>
        <w:t xml:space="preserve">accounts for the existing burden for sources still reporting under KKK and LLL. We have also updated labor cost estimates </w:t>
      </w:r>
      <w:r>
        <w:rPr>
          <w:iCs/>
        </w:rPr>
        <w:t xml:space="preserve">and </w:t>
      </w:r>
      <w:r w:rsidR="00D84C7D">
        <w:rPr>
          <w:iCs/>
        </w:rPr>
        <w:t xml:space="preserve">removed all instances of recording and reporting due to </w:t>
      </w:r>
      <w:r>
        <w:rPr>
          <w:iCs/>
        </w:rPr>
        <w:t>sta</w:t>
      </w:r>
      <w:r w:rsidR="00D84C7D">
        <w:rPr>
          <w:iCs/>
        </w:rPr>
        <w:t>rt-up, shutdown and malfunction.</w:t>
      </w:r>
    </w:p>
    <w:p w:rsidR="006939E2" w:rsidRDefault="006939E2" w:rsidP="00E75F08">
      <w:pPr>
        <w:spacing w:line="360" w:lineRule="auto"/>
        <w:contextualSpacing/>
      </w:pPr>
    </w:p>
    <w:p w:rsidR="00FD2392" w:rsidRDefault="00FD2392" w:rsidP="00E75F08">
      <w:pPr>
        <w:spacing w:line="360" w:lineRule="auto"/>
        <w:ind w:firstLine="720"/>
        <w:contextualSpacing/>
      </w:pPr>
      <w:r>
        <w:t>In general, all NSPS standards require initial notifications, performance tests, and periodic reports by the owners/operato</w:t>
      </w:r>
      <w:r w:rsidR="00BB49AF">
        <w:t xml:space="preserve">rs of the affected facilities. </w:t>
      </w:r>
      <w:r>
        <w:t>These notifications, reports, and records are essential in determining compliance, and are required of all sources subject to NSPS.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Any owner or operator subject to the provisions of this part shall maintain a file of these measurements, and retain the file for at least two years following the date of such measurements, mai</w:t>
      </w:r>
      <w:r w:rsidR="00BB49AF">
        <w:t xml:space="preserve">ntenance reports, and records. </w:t>
      </w:r>
      <w:r>
        <w:t>All reports are sent to the deleg</w:t>
      </w:r>
      <w:r w:rsidR="00BB49AF">
        <w:t xml:space="preserve">ated state or local authority. </w:t>
      </w:r>
      <w:r>
        <w:t>In the event that there is no such delegated authority, the reports are sent directly to the United States Environmental Protection Agency (EPA) regional office.</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Based on our consultations with industry representatives, there is an average of four affected facilities at each plant site for subpart KKK, along with one affected facility at each plant site for subpart LLL, and that each plant site has only one respondent (i.e., the owner/operator of the plant site).</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All of these sources subject to subpart LLL ar</w:t>
      </w:r>
      <w:r w:rsidR="00BB49AF">
        <w:t xml:space="preserve">e also subject to subpart KKK. </w:t>
      </w:r>
      <w:r>
        <w:t xml:space="preserve">Over the next three years, an average of </w:t>
      </w:r>
      <w:r w:rsidR="00BB49AF" w:rsidRPr="008D43D0">
        <w:t>507</w:t>
      </w:r>
      <w:r w:rsidRPr="008D43D0">
        <w:t xml:space="preserve"> sources per year will be subject to subpart KKK</w:t>
      </w:r>
      <w:r w:rsidR="00BB49AF" w:rsidRPr="008D43D0">
        <w:t>. Approximately 70</w:t>
      </w:r>
      <w:r w:rsidRPr="008D43D0">
        <w:t xml:space="preserve"> of </w:t>
      </w:r>
      <w:r w:rsidR="00BB49AF" w:rsidRPr="008D43D0">
        <w:t>the 50</w:t>
      </w:r>
      <w:r w:rsidR="008D43D0" w:rsidRPr="008D43D0">
        <w:t>7</w:t>
      </w:r>
      <w:r w:rsidR="00BB49AF" w:rsidRPr="008D43D0">
        <w:t xml:space="preserve">, </w:t>
      </w:r>
      <w:r w:rsidRPr="008D43D0">
        <w:t xml:space="preserve">are </w:t>
      </w:r>
      <w:r w:rsidR="00BB49AF" w:rsidRPr="008D43D0">
        <w:t xml:space="preserve">also </w:t>
      </w:r>
      <w:r w:rsidRPr="008D43D0">
        <w:t>currently subject to subpart LLL</w:t>
      </w:r>
      <w:r w:rsidR="006E7F14" w:rsidRPr="008D43D0">
        <w:t>.</w:t>
      </w:r>
      <w:r w:rsidR="006E7F14">
        <w:t xml:space="preserve"> </w:t>
      </w:r>
    </w:p>
    <w:p w:rsidR="006E7F14" w:rsidRDefault="006E7F14" w:rsidP="00E75F08">
      <w:pPr>
        <w:spacing w:line="360" w:lineRule="auto"/>
        <w:ind w:firstLine="720"/>
        <w:contextualSpacing/>
      </w:pPr>
    </w:p>
    <w:p w:rsidR="00FD2392" w:rsidRDefault="006E7F14" w:rsidP="00E75F08">
      <w:pPr>
        <w:spacing w:line="360" w:lineRule="auto"/>
        <w:ind w:firstLine="720"/>
        <w:contextualSpacing/>
      </w:pPr>
      <w:r>
        <w:t xml:space="preserve">None of the </w:t>
      </w:r>
      <w:r w:rsidR="00FD2392">
        <w:t xml:space="preserve">plants in the United States are owned by </w:t>
      </w:r>
      <w:r w:rsidR="006939E2">
        <w:t>n</w:t>
      </w:r>
      <w:r w:rsidR="00FD2392">
        <w:t xml:space="preserve">either state, local, tribal, </w:t>
      </w:r>
      <w:r w:rsidR="00B97EDD">
        <w:t xml:space="preserve">or the Federal government. </w:t>
      </w:r>
      <w:r w:rsidR="00FD2392">
        <w:t>They are all owned and operated solely by privately owned for-profit businesses.  The burden to the “Affected Public” may be found in Table 1: Annual Respondent Burden and Cost, NSPS for Onshore Natural Gas Processing Plants (40 CFR Part 60, Subparts KKK and LLL)</w:t>
      </w:r>
      <w:r w:rsidR="00B97EDD">
        <w:t xml:space="preserve"> (Revised). </w:t>
      </w:r>
      <w:r w:rsidR="00FD2392">
        <w:t>The burden to the “Federal government” is attributed entirely to work performed by Federal employees or government contractors; this burden may be found in Table 2: Annual Agency Burden and Cost, NSPS for Onshore Natural Gas Processing Plants (40 CFR Part 60, Subparts KKK and LLL)</w:t>
      </w:r>
      <w:r w:rsidR="00BB49AF">
        <w:t xml:space="preserve"> (Revised)</w:t>
      </w:r>
      <w:r w:rsidR="00FD2392">
        <w:t>.</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contextualSpacing/>
      </w:pPr>
      <w:r>
        <w:rPr>
          <w:b/>
          <w:bCs/>
        </w:rPr>
        <w:t>2.  Need for and Use of the Collection</w:t>
      </w: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rPr>
          <w:b/>
          <w:bCs/>
        </w:rPr>
      </w:pPr>
      <w:r>
        <w:rPr>
          <w:b/>
          <w:bCs/>
        </w:rPr>
        <w:t>2(a)  Need/Authority for the Collection</w:t>
      </w:r>
    </w:p>
    <w:p w:rsidR="00FD2392" w:rsidRDefault="00FD2392" w:rsidP="00E75F08">
      <w:pPr>
        <w:spacing w:line="360" w:lineRule="auto"/>
        <w:contextualSpacing/>
      </w:pPr>
    </w:p>
    <w:p w:rsidR="00FD2392" w:rsidRDefault="00FD2392" w:rsidP="00E75F08">
      <w:pPr>
        <w:spacing w:line="360" w:lineRule="auto"/>
        <w:ind w:firstLine="720"/>
        <w:contextualSpacing/>
      </w:pPr>
      <w:r>
        <w:t xml:space="preserve">The EPA is charged under section 111 of the Clean Air Act (CAA), as amended, to establish standards of performance for new stationary sources that reflect: </w:t>
      </w:r>
    </w:p>
    <w:p w:rsidR="00FD2392" w:rsidRDefault="00FD2392"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left="1440" w:right="1440"/>
        <w:contextualSpacing/>
      </w:pPr>
      <w:r>
        <w:rPr>
          <w:b/>
          <w:bCs/>
        </w:rPr>
        <w:t>. . .</w:t>
      </w:r>
      <w:r>
        <w:t xml:space="preserve"> application of the best technological system of continuous emissions reduction which (taking into consideration the cost of achieving such emissions reduction, or any non-air quality health and environmental impact and energy requirements) the </w:t>
      </w:r>
      <w:r>
        <w:lastRenderedPageBreak/>
        <w:t>Administrator determines has been adequately demonstrated.  Section 111(a)(l).</w:t>
      </w: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contextualSpacing/>
      </w:pPr>
    </w:p>
    <w:p w:rsidR="00FD2392" w:rsidRDefault="00FD2392" w:rsidP="00E75F08">
      <w:pPr>
        <w:spacing w:line="360" w:lineRule="auto"/>
        <w:contextualSpacing/>
      </w:pPr>
      <w:r>
        <w:t xml:space="preserve">The Agency refers to this charge as selecting the best demonstrated technology (BDT).  Section 111 also requires that the Administrator review and, if appropriate, revise such standards every four years. </w:t>
      </w:r>
    </w:p>
    <w:p w:rsidR="00FD2392" w:rsidRDefault="00FD2392" w:rsidP="00E75F08">
      <w:pPr>
        <w:spacing w:line="360" w:lineRule="auto"/>
        <w:contextualSpacing/>
      </w:pPr>
    </w:p>
    <w:p w:rsidR="00FD2392" w:rsidRDefault="00FD2392" w:rsidP="00E75F08">
      <w:pPr>
        <w:spacing w:line="360" w:lineRule="auto"/>
        <w:ind w:firstLine="720"/>
        <w:contextualSpacing/>
      </w:pPr>
      <w:r>
        <w:t>In addition, section 114(a) states that the Administrator may require any owner or operator subject to any requirement of this Act to:</w:t>
      </w:r>
    </w:p>
    <w:p w:rsidR="00FD2392" w:rsidRDefault="00FD2392" w:rsidP="00E75F08">
      <w:pPr>
        <w:spacing w:line="360" w:lineRule="auto"/>
        <w:contextualSpacing/>
      </w:pPr>
    </w:p>
    <w:p w:rsidR="00FD2392" w:rsidRDefault="00FD2392" w:rsidP="00E75F08">
      <w:pPr>
        <w:spacing w:line="360" w:lineRule="auto"/>
        <w:ind w:left="1440" w:right="1440"/>
        <w:contextualSpacing/>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FD2392" w:rsidRDefault="00FD2392" w:rsidP="00E75F08">
      <w:pPr>
        <w:spacing w:line="360" w:lineRule="auto"/>
        <w:contextualSpacing/>
      </w:pPr>
    </w:p>
    <w:p w:rsidR="00FD2392" w:rsidRDefault="00FD2392" w:rsidP="00E75F08">
      <w:pPr>
        <w:spacing w:line="360" w:lineRule="auto"/>
        <w:ind w:firstLine="720"/>
        <w:contextualSpacing/>
      </w:pPr>
      <w:r>
        <w:t xml:space="preserve">In the Administrator's judgment, VOC and sulfur dioxide emissions from onshore </w:t>
      </w:r>
      <w:r w:rsidR="00A815C8">
        <w:t xml:space="preserve">  </w:t>
      </w:r>
      <w:r>
        <w:t xml:space="preserve">natural gas processing plants </w:t>
      </w:r>
      <w:r w:rsidR="00A815C8">
        <w:t xml:space="preserve">either </w:t>
      </w:r>
      <w:r>
        <w:t>cause or contribute to air pollution that may reasonably be anticipated to enda</w:t>
      </w:r>
      <w:r w:rsidR="00B97EDD">
        <w:t xml:space="preserve">nger public health or welfare. </w:t>
      </w:r>
      <w:r>
        <w:t>Therefore, the NSPS was promulgated for this source category at 40 CFR part 60, subparts KKK and LLL.</w:t>
      </w:r>
    </w:p>
    <w:p w:rsidR="00FD2392" w:rsidRDefault="00FD2392"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2(b)  Practical Utility/Users of the Data</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The recordkeeping and reporting requirements in the standards ensure compliance with </w:t>
      </w:r>
      <w:r>
        <w:lastRenderedPageBreak/>
        <w:t>the applicable regulations which where promulgated in acco</w:t>
      </w:r>
      <w:r w:rsidR="00B97EDD">
        <w:t xml:space="preserve">rdance with the Clean Air Act. </w:t>
      </w:r>
      <w:r>
        <w:t>The collected information is also used for targeting inspections and as evidence in legal proceedings.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Performance tests are required in order to determine an affected facility’s initial capability to comp</w:t>
      </w:r>
      <w:r w:rsidR="00B97EDD">
        <w:t xml:space="preserve">ly with the emission standard. </w:t>
      </w:r>
      <w:r>
        <w:t>Continuous emission monitors are used to ensure compliance w</w:t>
      </w:r>
      <w:r w:rsidR="00B97EDD">
        <w:t xml:space="preserve">ith the standard at all times. </w:t>
      </w:r>
      <w:r>
        <w:t>During the performance test, a record of the operating parameters under which compliance was achieved may be recorded and used to determine compliance in place of a continuous emission monitor.</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notifications required in the standard are used to inform the Agency or delegated authority when a source becomes subject to the re</w:t>
      </w:r>
      <w:r w:rsidR="00B97EDD">
        <w:t xml:space="preserve">quirements of the regulations. </w:t>
      </w:r>
      <w:r>
        <w:t>The reviewing authority may then inspect the source to check if the pollution control devices are properly installed and operated, that leaks are being detected and repaired, and that the sta</w:t>
      </w:r>
      <w:r w:rsidR="00B97EDD">
        <w:t xml:space="preserve">ndard is being met. </w:t>
      </w:r>
      <w:r>
        <w:t>The performance test may also be observed.</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required semiannual and quarterly reports are used to determine periods of excess emissions, identify problems at the facility, verify operation/maintenance procedures, and for compliance determinations.</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contextualSpacing/>
        <w:rPr>
          <w:b/>
          <w:bCs/>
        </w:rPr>
      </w:pPr>
      <w:r>
        <w:rPr>
          <w:b/>
          <w:bCs/>
        </w:rPr>
        <w:t>3.  Non</w:t>
      </w:r>
      <w:r w:rsidR="00A815C8">
        <w:rPr>
          <w:b/>
          <w:bCs/>
        </w:rPr>
        <w:t>-</w:t>
      </w:r>
      <w:r>
        <w:rPr>
          <w:b/>
          <w:bCs/>
        </w:rPr>
        <w:t>duplication, Consultations, and Other Collection Criteria</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3(a)  Non</w:t>
      </w:r>
      <w:r w:rsidR="00A815C8">
        <w:rPr>
          <w:b/>
          <w:bCs/>
        </w:rPr>
        <w:t>-</w:t>
      </w:r>
      <w:r>
        <w:rPr>
          <w:b/>
          <w:bCs/>
        </w:rPr>
        <w:t>duplication</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If the subject standards have not been delegated, the information is sent directly to the ap</w:t>
      </w:r>
      <w:r w:rsidR="00B97EDD">
        <w:t xml:space="preserve">propriate EPA regional office. </w:t>
      </w:r>
      <w:r>
        <w:t>Otherwise, the information is sent directly to the de</w:t>
      </w:r>
      <w:r w:rsidR="00B97EDD">
        <w:t xml:space="preserve">legated state or local agency. </w:t>
      </w:r>
      <w:r>
        <w:t>If a state or local agency has adopted its own similar standards to implement the Federal standards, a copy of the report submitted to the state or local agency can be sent to the Administrator in lieu of the report requ</w:t>
      </w:r>
      <w:r w:rsidR="00B97EDD">
        <w:t xml:space="preserve">ired by the Federal standards. </w:t>
      </w:r>
      <w:r>
        <w:t>Therefore, no duplication exists.</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lastRenderedPageBreak/>
        <w:t>3(b)  Public Notice Required Prior to ICR Submission to OMB</w:t>
      </w:r>
    </w:p>
    <w:p w:rsidR="00FD2392" w:rsidRDefault="00072750" w:rsidP="00E75F08">
      <w:pPr>
        <w:spacing w:line="360" w:lineRule="auto"/>
        <w:contextualSpacing/>
      </w:pPr>
      <w:r>
        <w:tab/>
      </w:r>
    </w:p>
    <w:p w:rsidR="00072750" w:rsidRDefault="00072750" w:rsidP="00E75F08">
      <w:pPr>
        <w:spacing w:line="360" w:lineRule="auto"/>
        <w:contextualSpacing/>
      </w:pPr>
      <w:r>
        <w:tab/>
        <w:t>EPA will provide public notice of this ICR by means of a Federal Register Notice of Final Rulemaking.</w:t>
      </w:r>
    </w:p>
    <w:p w:rsidR="00433041" w:rsidRDefault="00433041"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3(c)  Consultations</w:t>
      </w:r>
    </w:p>
    <w:p w:rsidR="00FD2392" w:rsidRDefault="00FD2392" w:rsidP="00E75F08">
      <w:pPr>
        <w:spacing w:line="360" w:lineRule="auto"/>
        <w:contextualSpacing/>
      </w:pPr>
    </w:p>
    <w:p w:rsidR="00433041" w:rsidRDefault="00902E17" w:rsidP="00E75F08">
      <w:pPr>
        <w:spacing w:line="360" w:lineRule="auto"/>
        <w:ind w:firstLine="720"/>
        <w:contextualSpacing/>
      </w:pPr>
      <w:r>
        <w:t>During the previous ICR renewal, s</w:t>
      </w:r>
      <w:r w:rsidR="00FD2392">
        <w:t>everal consultations were conducted during a previous renewal of this ICR.  In estimating the affected number of sources and the growth rate of onshore natural gas processing plants subject to this standard, EPA contacted Ms. Lynn Reed at (918) 588-7380, ONEOK, Incorporated, Mr. Lance Lodes at (405) 557-6846, OGE-Enogex, Incorporated, and Mr. Johnny Dreyer, (918) 493-3872, Gas Processors Association (GPA).  These contacts, in turn, consulted a limited number of its members.  Additionally, we reviewed information available from the Online Tracking Information System (OTIS) which is the primary source of information regarding the number of existing sources.  OTIS data was used in conjunction with industry consultation to verify the number of sources and the industry growth rate.  It was d</w:t>
      </w:r>
      <w:r w:rsidR="000A4994">
        <w:t>etermined that an average of 507</w:t>
      </w:r>
      <w:r w:rsidR="00FD2392">
        <w:t xml:space="preserve"> facilities per year will be subject to the stan</w:t>
      </w:r>
      <w:r w:rsidR="000A4994">
        <w:t xml:space="preserve">dard over the next three years.  </w:t>
      </w:r>
      <w:r w:rsidR="00433041">
        <w:t>Since this revision is removing</w:t>
      </w:r>
      <w:r>
        <w:t xml:space="preserve"> new sources subject to KKK in order to account for them under subpart OOOO, </w:t>
      </w:r>
      <w:r w:rsidR="00433041">
        <w:t xml:space="preserve">no further contacts were made. </w:t>
      </w:r>
    </w:p>
    <w:p w:rsidR="00902E17" w:rsidRDefault="00902E17" w:rsidP="00E75F08">
      <w:pPr>
        <w:spacing w:line="360" w:lineRule="auto"/>
        <w:ind w:firstLine="720"/>
        <w:contextualSpacing/>
      </w:pPr>
    </w:p>
    <w:p w:rsidR="00FD2392" w:rsidRDefault="00FD2392" w:rsidP="00E75F08">
      <w:pPr>
        <w:keepNext/>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3(d)  Effects of Less Frequent Collection</w:t>
      </w:r>
    </w:p>
    <w:p w:rsidR="00FD2392" w:rsidRDefault="00FD2392" w:rsidP="00E75F08">
      <w:pPr>
        <w:spacing w:line="360" w:lineRule="auto"/>
        <w:contextualSpacing/>
      </w:pPr>
    </w:p>
    <w:p w:rsidR="00FD2392" w:rsidRDefault="00FD2392" w:rsidP="00E75F08">
      <w:pPr>
        <w:spacing w:line="360" w:lineRule="auto"/>
        <w:ind w:firstLine="720"/>
        <w:contextualSpacing/>
      </w:pPr>
      <w:r>
        <w:t>Less frequent information collection would decrease the margin of assurance that facilities are continuing</w:t>
      </w:r>
      <w:r w:rsidR="00B97EDD">
        <w:t xml:space="preserve"> to meet the standards. </w:t>
      </w:r>
      <w:r>
        <w:t>Requirements for information gathering and recordkeeping are useful techniques to ensure that good operation and maintenance practices are applied and</w:t>
      </w:r>
      <w:r w:rsidR="00B97EDD">
        <w:t xml:space="preserve"> emission limitations are met. </w:t>
      </w:r>
      <w:r>
        <w:t>If the information required by these standards was collected less frequently, the proper operation and maintenance of control equipment and the possibility of detecting violations would be less likely.</w:t>
      </w:r>
    </w:p>
    <w:p w:rsidR="00FD2392" w:rsidRDefault="00FD2392" w:rsidP="00E75F08">
      <w:pPr>
        <w:spacing w:line="360" w:lineRule="auto"/>
        <w:contextualSpacing/>
      </w:pPr>
    </w:p>
    <w:p w:rsidR="00FD2392" w:rsidRDefault="00C73B55"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br w:type="page"/>
      </w:r>
      <w:r w:rsidR="00FD2392">
        <w:rPr>
          <w:b/>
          <w:bCs/>
        </w:rPr>
        <w:lastRenderedPageBreak/>
        <w:t>3(e)  General Guidelines</w:t>
      </w:r>
    </w:p>
    <w:p w:rsidR="00FD2392" w:rsidRDefault="00FD2392" w:rsidP="00E75F08">
      <w:pPr>
        <w:spacing w:line="360" w:lineRule="auto"/>
        <w:contextualSpacing/>
      </w:pPr>
    </w:p>
    <w:p w:rsidR="00FD2392" w:rsidRDefault="00FD2392" w:rsidP="00E75F08">
      <w:pPr>
        <w:spacing w:line="360" w:lineRule="auto"/>
        <w:ind w:firstLine="720"/>
        <w:contextualSpacing/>
      </w:pPr>
      <w:r>
        <w:t>These reporting or recordkeeping requirements do not violate any of the regulations promulgated by OMB under 5 CFR part 1320, section 1320.5.</w:t>
      </w:r>
    </w:p>
    <w:p w:rsidR="00FD2392" w:rsidRDefault="00FD2392"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3(f)  Confidentiality</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Any information submitted to the Agency for which a claim of confidentiality is made will be safeguarded according to the Agency policies set forth in title 40, chapter 1, part 2, subpart B - Confidentiality of Business Information </w:t>
      </w:r>
      <w:r w:rsidR="00A815C8">
        <w:t xml:space="preserve">(CBI) </w:t>
      </w:r>
      <w:r>
        <w:t xml:space="preserve">(see 40 CFR 2; 41 </w:t>
      </w:r>
      <w:r w:rsidRPr="00446A2A">
        <w:rPr>
          <w:u w:val="single"/>
        </w:rPr>
        <w:t>FR</w:t>
      </w:r>
      <w:r>
        <w:t xml:space="preserve"> 36902, September 1, 1976; amended by 43 </w:t>
      </w:r>
      <w:r w:rsidRPr="00446A2A">
        <w:rPr>
          <w:u w:val="single"/>
        </w:rPr>
        <w:t>FR</w:t>
      </w:r>
      <w:r>
        <w:t xml:space="preserve"> 40000, September 8, 1978; 43 </w:t>
      </w:r>
      <w:r w:rsidRPr="00446A2A">
        <w:rPr>
          <w:u w:val="single"/>
        </w:rPr>
        <w:t>FR</w:t>
      </w:r>
      <w:r>
        <w:t xml:space="preserve"> 42251, September 20, 1978; 44 </w:t>
      </w:r>
      <w:r w:rsidRPr="00446A2A">
        <w:rPr>
          <w:u w:val="single"/>
        </w:rPr>
        <w:t>FR</w:t>
      </w:r>
      <w:r>
        <w:t xml:space="preserve"> 17674, March 23, 1979).</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3(g)  Sensitive Questions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reporting or recordkeeping requirements in the standard do not include sensitive questions.</w:t>
      </w:r>
    </w:p>
    <w:p w:rsidR="00FD2392" w:rsidRDefault="00FD2392" w:rsidP="00E75F08">
      <w:pPr>
        <w:spacing w:line="360" w:lineRule="auto"/>
        <w:ind w:firstLine="720"/>
        <w:contextualSpacing/>
      </w:pPr>
    </w:p>
    <w:p w:rsidR="00FD2392" w:rsidRDefault="00FD2392" w:rsidP="00E75F08">
      <w:pPr>
        <w:spacing w:line="360" w:lineRule="auto"/>
        <w:contextualSpacing/>
        <w:rPr>
          <w:b/>
        </w:rPr>
      </w:pPr>
      <w:r>
        <w:rPr>
          <w:b/>
        </w:rPr>
        <w:t>4.  The Respondents and the Information Requested</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4(a)  Respondents/SIC Codes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respondents to the recordkeeping and reporting requirements are onshore natural gas proces</w:t>
      </w:r>
      <w:r w:rsidR="00433041">
        <w:t>sing plants.  T</w:t>
      </w:r>
      <w:r>
        <w:t>he North American Industry Classification System (NAICS) codes 211111 and 211112 for onshore natural gas processing plants.</w:t>
      </w:r>
    </w:p>
    <w:p w:rsidR="00FD2392" w:rsidRDefault="00FD2392" w:rsidP="00E75F08">
      <w:pPr>
        <w:spacing w:line="360" w:lineRule="auto"/>
        <w:ind w:firstLine="720"/>
        <w:contextualSpacing/>
      </w:pPr>
    </w:p>
    <w:p w:rsidR="00FD2392" w:rsidRDefault="00FD2392" w:rsidP="00E75F08">
      <w:pPr>
        <w:keepNext/>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4(b)  Information Requested</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None of these reporting or recordkeeping requirements violate any of the regulations established by OMB at 5 CFR part 1320, section 1320.5.</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1440"/>
        <w:contextualSpacing/>
      </w:pPr>
      <w:r>
        <w:rPr>
          <w:b/>
          <w:bCs/>
        </w:rPr>
        <w:t>(i)  Data Items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In this ICR, all the data that is recorded or reported is required by the New Source Performance Standards for Onshore Natural Gas Processing Plants (40 CFR Part 60, Subparts KKK and LLL). </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A source must make the following reports:</w:t>
      </w:r>
    </w:p>
    <w:p w:rsidR="00FD2392" w:rsidRDefault="00FD2392" w:rsidP="00E75F08">
      <w:pPr>
        <w:spacing w:line="360" w:lineRule="auto"/>
        <w:ind w:firstLine="720"/>
        <w:contextualSpacing/>
      </w:pPr>
    </w:p>
    <w:tbl>
      <w:tblPr>
        <w:tblW w:w="9360" w:type="dxa"/>
        <w:jc w:val="center"/>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120" w:type="dxa"/>
          <w:right w:w="120" w:type="dxa"/>
        </w:tblCellMar>
        <w:tblLook w:val="0000"/>
      </w:tblPr>
      <w:tblGrid>
        <w:gridCol w:w="7020"/>
        <w:gridCol w:w="2340"/>
      </w:tblGrid>
      <w:tr w:rsidR="00FD2392">
        <w:trPr>
          <w:cantSplit/>
          <w:tblHeader/>
          <w:jc w:val="center"/>
        </w:trPr>
        <w:tc>
          <w:tcPr>
            <w:tcW w:w="9360" w:type="dxa"/>
            <w:gridSpan w:val="2"/>
          </w:tcPr>
          <w:p w:rsidR="00FD2392" w:rsidRDefault="00FD2392" w:rsidP="00E75F08">
            <w:pPr>
              <w:contextualSpacing/>
              <w:jc w:val="center"/>
              <w:rPr>
                <w:b/>
              </w:rPr>
            </w:pPr>
            <w:r>
              <w:rPr>
                <w:b/>
              </w:rPr>
              <w:t>Notifications</w:t>
            </w:r>
          </w:p>
        </w:tc>
      </w:tr>
      <w:tr w:rsidR="00FD2392">
        <w:trPr>
          <w:cantSplit/>
          <w:jc w:val="center"/>
        </w:trPr>
        <w:tc>
          <w:tcPr>
            <w:tcW w:w="7020" w:type="dxa"/>
          </w:tcPr>
          <w:p w:rsidR="00FD2392" w:rsidRDefault="00FD2392" w:rsidP="00E75F08">
            <w:pPr>
              <w:contextualSpacing/>
            </w:pPr>
            <w:r>
              <w:t>Semiannual reports of excess emissions (subparts KKK and LLL)</w:t>
            </w:r>
          </w:p>
        </w:tc>
        <w:tc>
          <w:tcPr>
            <w:tcW w:w="2340" w:type="dxa"/>
          </w:tcPr>
          <w:p w:rsidR="00FD2392" w:rsidRDefault="00FD2392" w:rsidP="00E75F08">
            <w:pPr>
              <w:contextualSpacing/>
            </w:pPr>
            <w:r>
              <w:t>60.7(c)</w:t>
            </w:r>
          </w:p>
        </w:tc>
      </w:tr>
      <w:tr w:rsidR="00FD2392">
        <w:trPr>
          <w:cantSplit/>
          <w:jc w:val="center"/>
        </w:trPr>
        <w:tc>
          <w:tcPr>
            <w:tcW w:w="7020" w:type="dxa"/>
          </w:tcPr>
          <w:p w:rsidR="00FD2392" w:rsidRDefault="00FD2392" w:rsidP="00E75F08">
            <w:pPr>
              <w:contextualSpacing/>
            </w:pPr>
            <w:r>
              <w:t>Performance test results (subparts KKK and LLL)</w:t>
            </w:r>
          </w:p>
        </w:tc>
        <w:tc>
          <w:tcPr>
            <w:tcW w:w="2340" w:type="dxa"/>
          </w:tcPr>
          <w:p w:rsidR="00FD2392" w:rsidRDefault="00FD2392" w:rsidP="00E75F08">
            <w:pPr>
              <w:contextualSpacing/>
            </w:pPr>
            <w:r>
              <w:t>60.8(a), 60.636(a), 60.487(e)</w:t>
            </w:r>
          </w:p>
        </w:tc>
      </w:tr>
      <w:tr w:rsidR="00FD2392">
        <w:trPr>
          <w:cantSplit/>
          <w:jc w:val="center"/>
        </w:trPr>
        <w:tc>
          <w:tcPr>
            <w:tcW w:w="7020" w:type="dxa"/>
          </w:tcPr>
          <w:p w:rsidR="00FD2392" w:rsidRDefault="00FD2392" w:rsidP="00E75F08">
            <w:pPr>
              <w:contextualSpacing/>
            </w:pPr>
            <w:r>
              <w:t>Semiannual reports (subpart KKK)</w:t>
            </w:r>
          </w:p>
        </w:tc>
        <w:tc>
          <w:tcPr>
            <w:tcW w:w="2340" w:type="dxa"/>
          </w:tcPr>
          <w:p w:rsidR="00FD2392" w:rsidRDefault="00FD2392" w:rsidP="00E75F08">
            <w:pPr>
              <w:contextualSpacing/>
            </w:pPr>
            <w:r>
              <w:t>60.636(a)-(c), 60.487(a)</w:t>
            </w:r>
          </w:p>
        </w:tc>
      </w:tr>
      <w:tr w:rsidR="00FD2392">
        <w:trPr>
          <w:cantSplit/>
          <w:jc w:val="center"/>
        </w:trPr>
        <w:tc>
          <w:tcPr>
            <w:tcW w:w="7020" w:type="dxa"/>
          </w:tcPr>
          <w:p w:rsidR="00FD2392" w:rsidRDefault="00FD2392" w:rsidP="00E75F08">
            <w:pPr>
              <w:contextualSpacing/>
            </w:pPr>
            <w:r>
              <w:t>Semiannual report on excess emissions from and performance of continuous monitoring system, and/or summary report forms (subpart LLL)</w:t>
            </w:r>
          </w:p>
        </w:tc>
        <w:tc>
          <w:tcPr>
            <w:tcW w:w="2340" w:type="dxa"/>
          </w:tcPr>
          <w:p w:rsidR="00FD2392" w:rsidRDefault="00FD2392" w:rsidP="00E75F08">
            <w:pPr>
              <w:contextualSpacing/>
            </w:pPr>
            <w:r>
              <w:t>60.647(b)</w:t>
            </w:r>
          </w:p>
        </w:tc>
      </w:tr>
    </w:tbl>
    <w:p w:rsidR="00FD2392" w:rsidRDefault="00FD2392" w:rsidP="00E75F08">
      <w:pPr>
        <w:pBdr>
          <w:top w:val="single" w:sz="6" w:space="0" w:color="FFFFFF"/>
          <w:left w:val="single" w:sz="6" w:space="0" w:color="FFFFFF"/>
          <w:bottom w:val="single" w:sz="6" w:space="0" w:color="FFFFFF"/>
          <w:right w:val="single" w:sz="6" w:space="0" w:color="FFFFFF"/>
        </w:pBdr>
        <w:contextualSpacing/>
      </w:pPr>
    </w:p>
    <w:p w:rsidR="00FD2392" w:rsidRDefault="00FD2392" w:rsidP="00E75F08">
      <w:pPr>
        <w:pBdr>
          <w:top w:val="single" w:sz="6" w:space="0" w:color="FFFFFF"/>
          <w:left w:val="single" w:sz="6" w:space="0" w:color="FFFFFF"/>
          <w:bottom w:val="single" w:sz="6" w:space="0" w:color="FFFFFF"/>
          <w:right w:val="single" w:sz="6" w:space="0" w:color="FFFFFF"/>
        </w:pBdr>
        <w:ind w:firstLine="720"/>
        <w:contextualSpacing/>
      </w:pPr>
      <w:r>
        <w:t>A source must keep the following records:</w:t>
      </w:r>
    </w:p>
    <w:p w:rsidR="00FD2392" w:rsidRDefault="00FD2392" w:rsidP="00E75F08">
      <w:pPr>
        <w:pBdr>
          <w:top w:val="single" w:sz="6" w:space="0" w:color="FFFFFF"/>
          <w:left w:val="single" w:sz="6" w:space="0" w:color="FFFFFF"/>
          <w:bottom w:val="single" w:sz="6" w:space="0" w:color="FFFFFF"/>
          <w:right w:val="single" w:sz="6" w:space="0" w:color="FFFFFF"/>
        </w:pBdr>
        <w:contextualSpacing/>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7224"/>
        <w:gridCol w:w="2136"/>
      </w:tblGrid>
      <w:tr w:rsidR="00FD2392" w:rsidTr="00433041">
        <w:trPr>
          <w:cantSplit/>
          <w:tblHeader/>
          <w:jc w:val="center"/>
        </w:trPr>
        <w:tc>
          <w:tcPr>
            <w:tcW w:w="9360" w:type="dxa"/>
            <w:gridSpan w:val="2"/>
          </w:tcPr>
          <w:p w:rsidR="00FD2392" w:rsidRDefault="00FD2392" w:rsidP="00E75F08">
            <w:pPr>
              <w:contextualSpacing/>
              <w:jc w:val="center"/>
              <w:rPr>
                <w:b/>
              </w:rPr>
            </w:pPr>
            <w:r>
              <w:rPr>
                <w:b/>
              </w:rPr>
              <w:t>Recordkeeping</w:t>
            </w:r>
          </w:p>
        </w:tc>
      </w:tr>
      <w:tr w:rsidR="00FD2392" w:rsidTr="00433041">
        <w:trPr>
          <w:cantSplit/>
          <w:jc w:val="center"/>
        </w:trPr>
        <w:tc>
          <w:tcPr>
            <w:tcW w:w="7224" w:type="dxa"/>
          </w:tcPr>
          <w:p w:rsidR="00FD2392" w:rsidRDefault="00FD2392" w:rsidP="00E75F08">
            <w:pPr>
              <w:contextualSpacing/>
            </w:pPr>
            <w:r>
              <w:t>Keep records of measurements, performance evaluations, calibration checks, adjustments and maintenance related to continuous monitoring systems.</w:t>
            </w:r>
          </w:p>
        </w:tc>
        <w:tc>
          <w:tcPr>
            <w:tcW w:w="2136" w:type="dxa"/>
          </w:tcPr>
          <w:p w:rsidR="00FD2392" w:rsidRDefault="00FD2392" w:rsidP="00E75F08">
            <w:pPr>
              <w:contextualSpacing/>
            </w:pPr>
            <w:r>
              <w:t>60.7(f)</w:t>
            </w:r>
          </w:p>
        </w:tc>
      </w:tr>
      <w:tr w:rsidR="00FD2392" w:rsidTr="00433041">
        <w:trPr>
          <w:cantSplit/>
          <w:jc w:val="center"/>
        </w:trPr>
        <w:tc>
          <w:tcPr>
            <w:tcW w:w="7224" w:type="dxa"/>
          </w:tcPr>
          <w:p w:rsidR="00FD2392" w:rsidRDefault="00FD2392" w:rsidP="00E75F08">
            <w:pPr>
              <w:contextualSpacing/>
            </w:pPr>
            <w:r>
              <w:t>Keep records of parts of closed vent systems designated as unsafe or difficult to inspect (subpart KKK).</w:t>
            </w:r>
          </w:p>
        </w:tc>
        <w:tc>
          <w:tcPr>
            <w:tcW w:w="2136" w:type="dxa"/>
          </w:tcPr>
          <w:p w:rsidR="00FD2392" w:rsidRDefault="00FD2392" w:rsidP="00E75F08">
            <w:pPr>
              <w:contextualSpacing/>
            </w:pPr>
            <w:r>
              <w:t>60.632(a), 60.482-10(l)(1), (2)</w:t>
            </w:r>
          </w:p>
        </w:tc>
      </w:tr>
      <w:tr w:rsidR="00FD2392" w:rsidTr="00433041">
        <w:trPr>
          <w:cantSplit/>
          <w:jc w:val="center"/>
        </w:trPr>
        <w:tc>
          <w:tcPr>
            <w:tcW w:w="7224" w:type="dxa"/>
          </w:tcPr>
          <w:p w:rsidR="00FD2392" w:rsidRDefault="00FD2392" w:rsidP="00E75F08">
            <w:pPr>
              <w:contextualSpacing/>
            </w:pPr>
            <w:r>
              <w:t>Keep records of inspections of closed vent systems during which no leaks are detected (subpart KKK).</w:t>
            </w:r>
          </w:p>
        </w:tc>
        <w:tc>
          <w:tcPr>
            <w:tcW w:w="2136" w:type="dxa"/>
          </w:tcPr>
          <w:p w:rsidR="00FD2392" w:rsidRDefault="00FD2392" w:rsidP="00E75F08">
            <w:pPr>
              <w:contextualSpacing/>
            </w:pPr>
            <w:r>
              <w:t>60.632(a), 60.482-10(l)(4), (5)</w:t>
            </w:r>
          </w:p>
        </w:tc>
      </w:tr>
      <w:tr w:rsidR="00FD2392" w:rsidTr="00433041">
        <w:trPr>
          <w:cantSplit/>
          <w:jc w:val="center"/>
        </w:trPr>
        <w:tc>
          <w:tcPr>
            <w:tcW w:w="7224" w:type="dxa"/>
          </w:tcPr>
          <w:p w:rsidR="00FD2392" w:rsidRDefault="00FD2392" w:rsidP="00E75F08">
            <w:pPr>
              <w:contextualSpacing/>
            </w:pPr>
            <w:r>
              <w:t>Perform attachment of identification numbers to leaking equipment (subpart KKK).</w:t>
            </w:r>
          </w:p>
        </w:tc>
        <w:tc>
          <w:tcPr>
            <w:tcW w:w="2136" w:type="dxa"/>
          </w:tcPr>
          <w:p w:rsidR="00FD2392" w:rsidRDefault="00FD2392" w:rsidP="00E75F08">
            <w:pPr>
              <w:contextualSpacing/>
            </w:pPr>
            <w:r>
              <w:t>60.635(a), (b)</w:t>
            </w:r>
          </w:p>
        </w:tc>
      </w:tr>
      <w:tr w:rsidR="00FD2392" w:rsidTr="00433041">
        <w:trPr>
          <w:cantSplit/>
          <w:jc w:val="center"/>
        </w:trPr>
        <w:tc>
          <w:tcPr>
            <w:tcW w:w="7224" w:type="dxa"/>
          </w:tcPr>
          <w:p w:rsidR="00FD2392" w:rsidRDefault="00FD2392" w:rsidP="00E75F08">
            <w:pPr>
              <w:contextualSpacing/>
            </w:pPr>
            <w:r>
              <w:t>Keep records of leak detection and repair (subpart KKK).</w:t>
            </w:r>
          </w:p>
        </w:tc>
        <w:tc>
          <w:tcPr>
            <w:tcW w:w="2136" w:type="dxa"/>
          </w:tcPr>
          <w:p w:rsidR="00FD2392" w:rsidRDefault="00FD2392" w:rsidP="00E75F08">
            <w:pPr>
              <w:contextualSpacing/>
            </w:pPr>
            <w:r>
              <w:t>60.632(a), 60.635(a), (b), 60.482-10(l)(3)</w:t>
            </w:r>
          </w:p>
          <w:p w:rsidR="00FD2392" w:rsidRDefault="00FD2392" w:rsidP="00E75F08">
            <w:pPr>
              <w:contextualSpacing/>
            </w:pPr>
            <w:r>
              <w:t>60.486(c)</w:t>
            </w:r>
          </w:p>
        </w:tc>
      </w:tr>
      <w:tr w:rsidR="00FD2392" w:rsidTr="00433041">
        <w:trPr>
          <w:cantSplit/>
          <w:jc w:val="center"/>
        </w:trPr>
        <w:tc>
          <w:tcPr>
            <w:tcW w:w="7224" w:type="dxa"/>
          </w:tcPr>
          <w:p w:rsidR="00FD2392" w:rsidRDefault="00FD2392" w:rsidP="00E75F08">
            <w:pPr>
              <w:contextualSpacing/>
            </w:pPr>
            <w:r>
              <w:t>Keep records of design requirements for and operation of closed vent systems and control devices (subpart KKK).</w:t>
            </w:r>
          </w:p>
        </w:tc>
        <w:tc>
          <w:tcPr>
            <w:tcW w:w="2136" w:type="dxa"/>
          </w:tcPr>
          <w:p w:rsidR="00FD2392" w:rsidRDefault="00FD2392" w:rsidP="00E75F08">
            <w:pPr>
              <w:contextualSpacing/>
            </w:pPr>
            <w:r>
              <w:t>60.635(a), 60.486(d)</w:t>
            </w:r>
          </w:p>
        </w:tc>
      </w:tr>
      <w:tr w:rsidR="00FD2392" w:rsidTr="00433041">
        <w:trPr>
          <w:cantSplit/>
          <w:jc w:val="center"/>
        </w:trPr>
        <w:tc>
          <w:tcPr>
            <w:tcW w:w="7224" w:type="dxa"/>
          </w:tcPr>
          <w:p w:rsidR="00FD2392" w:rsidRDefault="00FD2392" w:rsidP="00E75F08">
            <w:pPr>
              <w:contextualSpacing/>
            </w:pPr>
            <w:r>
              <w:t>Keep records listing all equipment subject to subpart KKK.</w:t>
            </w:r>
          </w:p>
        </w:tc>
        <w:tc>
          <w:tcPr>
            <w:tcW w:w="2136" w:type="dxa"/>
          </w:tcPr>
          <w:p w:rsidR="00FD2392" w:rsidRDefault="00FD2392" w:rsidP="00E75F08">
            <w:pPr>
              <w:contextualSpacing/>
            </w:pPr>
            <w:r>
              <w:t>60.635(a), (b), 60.486(e)</w:t>
            </w:r>
          </w:p>
        </w:tc>
      </w:tr>
      <w:tr w:rsidR="00FD2392" w:rsidTr="00433041">
        <w:trPr>
          <w:cantSplit/>
          <w:jc w:val="center"/>
        </w:trPr>
        <w:tc>
          <w:tcPr>
            <w:tcW w:w="7224" w:type="dxa"/>
          </w:tcPr>
          <w:p w:rsidR="00FD2392" w:rsidRDefault="00FD2392" w:rsidP="00E75F08">
            <w:pPr>
              <w:contextualSpacing/>
            </w:pPr>
            <w:r>
              <w:lastRenderedPageBreak/>
              <w:t>Keep records of compliance tests (subpart KKK).</w:t>
            </w:r>
          </w:p>
        </w:tc>
        <w:tc>
          <w:tcPr>
            <w:tcW w:w="2136" w:type="dxa"/>
          </w:tcPr>
          <w:p w:rsidR="00FD2392" w:rsidRDefault="00FD2392" w:rsidP="00E75F08">
            <w:pPr>
              <w:contextualSpacing/>
            </w:pPr>
            <w:r>
              <w:t>60635(a), 60.486(e)(4)</w:t>
            </w:r>
          </w:p>
        </w:tc>
      </w:tr>
      <w:tr w:rsidR="00FD2392" w:rsidTr="00433041">
        <w:trPr>
          <w:cantSplit/>
          <w:jc w:val="center"/>
        </w:trPr>
        <w:tc>
          <w:tcPr>
            <w:tcW w:w="7224" w:type="dxa"/>
          </w:tcPr>
          <w:p w:rsidR="00FD2392" w:rsidRDefault="00FD2392" w:rsidP="00E75F08">
            <w:pPr>
              <w:contextualSpacing/>
            </w:pPr>
            <w:r>
              <w:t>Keep records of valves designated as unsafe or difficult to monitor (subpart KKK).</w:t>
            </w:r>
          </w:p>
        </w:tc>
        <w:tc>
          <w:tcPr>
            <w:tcW w:w="2136" w:type="dxa"/>
          </w:tcPr>
          <w:p w:rsidR="00FD2392" w:rsidRDefault="00FD2392" w:rsidP="00E75F08">
            <w:pPr>
              <w:contextualSpacing/>
            </w:pPr>
            <w:r>
              <w:t>60.635(a), 60486(f)</w:t>
            </w:r>
          </w:p>
        </w:tc>
      </w:tr>
      <w:tr w:rsidR="00FD2392" w:rsidTr="00433041">
        <w:trPr>
          <w:cantSplit/>
          <w:jc w:val="center"/>
        </w:trPr>
        <w:tc>
          <w:tcPr>
            <w:tcW w:w="7224" w:type="dxa"/>
          </w:tcPr>
          <w:p w:rsidR="00FD2392" w:rsidRDefault="00FD2392" w:rsidP="00E75F08">
            <w:pPr>
              <w:contextualSpacing/>
            </w:pPr>
            <w:r>
              <w:t>Keep records of design criterion that indicate failure (subpart KKK).</w:t>
            </w:r>
          </w:p>
        </w:tc>
        <w:tc>
          <w:tcPr>
            <w:tcW w:w="2136" w:type="dxa"/>
          </w:tcPr>
          <w:p w:rsidR="00FD2392" w:rsidRDefault="00FD2392" w:rsidP="00E75F08">
            <w:pPr>
              <w:contextualSpacing/>
            </w:pPr>
            <w:r>
              <w:t>60.635(a), 60.486(h)</w:t>
            </w:r>
          </w:p>
        </w:tc>
      </w:tr>
      <w:tr w:rsidR="00FD2392" w:rsidTr="00433041">
        <w:trPr>
          <w:cantSplit/>
          <w:jc w:val="center"/>
        </w:trPr>
        <w:tc>
          <w:tcPr>
            <w:tcW w:w="7224" w:type="dxa"/>
          </w:tcPr>
          <w:p w:rsidR="00FD2392" w:rsidRDefault="00FD2392" w:rsidP="00E75F08">
            <w:pPr>
              <w:contextualSpacing/>
            </w:pPr>
            <w:r>
              <w:t>Keep records of parts not in VOC service or otherwise exempt (subpart KKK).</w:t>
            </w:r>
          </w:p>
        </w:tc>
        <w:tc>
          <w:tcPr>
            <w:tcW w:w="2136" w:type="dxa"/>
          </w:tcPr>
          <w:p w:rsidR="00FD2392" w:rsidRDefault="00FD2392" w:rsidP="00E75F08">
            <w:pPr>
              <w:contextualSpacing/>
            </w:pPr>
            <w:r>
              <w:t>60.635(a), (c), 60.486(j)</w:t>
            </w:r>
          </w:p>
        </w:tc>
      </w:tr>
      <w:tr w:rsidR="00FD2392" w:rsidTr="00433041">
        <w:trPr>
          <w:cantSplit/>
          <w:jc w:val="center"/>
        </w:trPr>
        <w:tc>
          <w:tcPr>
            <w:tcW w:w="7224" w:type="dxa"/>
          </w:tcPr>
          <w:p w:rsidR="00FD2392" w:rsidRDefault="00FD2392" w:rsidP="00E75F08">
            <w:pPr>
              <w:contextualSpacing/>
            </w:pPr>
            <w:r>
              <w:t>Keep records of calculations and measurements (subpart LLL).</w:t>
            </w:r>
          </w:p>
        </w:tc>
        <w:tc>
          <w:tcPr>
            <w:tcW w:w="2136" w:type="dxa"/>
          </w:tcPr>
          <w:p w:rsidR="00FD2392" w:rsidRDefault="00FD2392" w:rsidP="00E75F08">
            <w:pPr>
              <w:contextualSpacing/>
            </w:pPr>
            <w:r>
              <w:t>60.647(a)</w:t>
            </w:r>
          </w:p>
        </w:tc>
      </w:tr>
      <w:tr w:rsidR="00FD2392" w:rsidTr="00433041">
        <w:trPr>
          <w:cantSplit/>
          <w:jc w:val="center"/>
        </w:trPr>
        <w:tc>
          <w:tcPr>
            <w:tcW w:w="7224" w:type="dxa"/>
          </w:tcPr>
          <w:p w:rsidR="00FD2392" w:rsidRDefault="00FD2392" w:rsidP="00E75F08">
            <w:pPr>
              <w:contextualSpacing/>
            </w:pPr>
            <w:r>
              <w:t>Facilities that choose to comply with 60.646(e) shall keep, for the life of the facility, records demonstrating that the facility design capacity is less that 150 long tons per day (LT/D) of hydrogen sulfide expressed as sulfur (subpart LLL).</w:t>
            </w:r>
          </w:p>
        </w:tc>
        <w:tc>
          <w:tcPr>
            <w:tcW w:w="2136" w:type="dxa"/>
          </w:tcPr>
          <w:p w:rsidR="00FD2392" w:rsidRDefault="00FD2392" w:rsidP="00E75F08">
            <w:pPr>
              <w:contextualSpacing/>
            </w:pPr>
            <w:r>
              <w:t>60.647(d)</w:t>
            </w:r>
          </w:p>
        </w:tc>
      </w:tr>
    </w:tbl>
    <w:p w:rsidR="00FD2392" w:rsidRDefault="00FD2392" w:rsidP="00E75F08">
      <w:pPr>
        <w:contextualSpacing/>
      </w:pPr>
    </w:p>
    <w:p w:rsidR="00FD2392" w:rsidRDefault="00FD2392" w:rsidP="00E75F08">
      <w:pPr>
        <w:ind w:left="1440"/>
        <w:contextualSpacing/>
        <w:rPr>
          <w:b/>
        </w:rPr>
      </w:pPr>
      <w:r>
        <w:rPr>
          <w:b/>
        </w:rPr>
        <w:t>(ii)  Respondent Activities</w:t>
      </w:r>
    </w:p>
    <w:p w:rsidR="00FD2392" w:rsidRDefault="00FD2392" w:rsidP="00E75F08">
      <w:pPr>
        <w:contextualSpacing/>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FD2392">
        <w:trPr>
          <w:cantSplit/>
          <w:tblHeader/>
          <w:jc w:val="center"/>
        </w:trPr>
        <w:tc>
          <w:tcPr>
            <w:tcW w:w="9360" w:type="dxa"/>
          </w:tcPr>
          <w:p w:rsidR="00FD2392" w:rsidRDefault="00FD2392" w:rsidP="00E75F08">
            <w:pPr>
              <w:contextualSpacing/>
              <w:jc w:val="center"/>
              <w:rPr>
                <w:b/>
              </w:rPr>
            </w:pPr>
            <w:r>
              <w:rPr>
                <w:b/>
              </w:rPr>
              <w:t>Respondent Activities</w:t>
            </w:r>
          </w:p>
        </w:tc>
      </w:tr>
      <w:tr w:rsidR="00FD2392">
        <w:trPr>
          <w:cantSplit/>
          <w:jc w:val="center"/>
        </w:trPr>
        <w:tc>
          <w:tcPr>
            <w:tcW w:w="9360" w:type="dxa"/>
          </w:tcPr>
          <w:p w:rsidR="00FD2392" w:rsidRDefault="00FD2392" w:rsidP="00E75F08">
            <w:pPr>
              <w:contextualSpacing/>
            </w:pPr>
            <w:r>
              <w:t>Read instructions.</w:t>
            </w:r>
          </w:p>
        </w:tc>
      </w:tr>
      <w:tr w:rsidR="00FD2392">
        <w:trPr>
          <w:cantSplit/>
          <w:jc w:val="center"/>
        </w:trPr>
        <w:tc>
          <w:tcPr>
            <w:tcW w:w="9360" w:type="dxa"/>
          </w:tcPr>
          <w:p w:rsidR="00FD2392" w:rsidRDefault="00FD2392" w:rsidP="00E75F08">
            <w:pPr>
              <w:contextualSpacing/>
            </w:pPr>
            <w:r>
              <w:t>Write the notification and reports listed above.</w:t>
            </w:r>
          </w:p>
        </w:tc>
      </w:tr>
      <w:tr w:rsidR="00FD2392">
        <w:trPr>
          <w:cantSplit/>
          <w:jc w:val="center"/>
        </w:trPr>
        <w:tc>
          <w:tcPr>
            <w:tcW w:w="9360" w:type="dxa"/>
          </w:tcPr>
          <w:p w:rsidR="00FD2392" w:rsidRDefault="00FD2392" w:rsidP="00E75F08">
            <w:pPr>
              <w:contextualSpacing/>
            </w:pPr>
            <w:r>
              <w:t>Enter information required to be recorded above.</w:t>
            </w:r>
          </w:p>
        </w:tc>
      </w:tr>
      <w:tr w:rsidR="00FD2392">
        <w:trPr>
          <w:cantSplit/>
          <w:jc w:val="center"/>
        </w:trPr>
        <w:tc>
          <w:tcPr>
            <w:tcW w:w="9360" w:type="dxa"/>
          </w:tcPr>
          <w:p w:rsidR="00FD2392" w:rsidRDefault="00FD2392" w:rsidP="00E75F08">
            <w:pPr>
              <w:contextualSpacing/>
            </w:pPr>
            <w:r>
              <w:t>Submit the required reports developing, acquiring, installing, and utilizing technology and systems for the purpose of collecting, validating, and verifying information.</w:t>
            </w:r>
          </w:p>
        </w:tc>
      </w:tr>
      <w:tr w:rsidR="00FD2392">
        <w:trPr>
          <w:cantSplit/>
          <w:jc w:val="center"/>
        </w:trPr>
        <w:tc>
          <w:tcPr>
            <w:tcW w:w="9360" w:type="dxa"/>
          </w:tcPr>
          <w:p w:rsidR="00FD2392" w:rsidRDefault="00FD2392" w:rsidP="00E75F08">
            <w:pPr>
              <w:contextualSpacing/>
            </w:pPr>
            <w:r>
              <w:t>Develop, acquire, install, and utilize technology and systems for the purpose of processing and maintaining information.</w:t>
            </w:r>
          </w:p>
        </w:tc>
      </w:tr>
      <w:tr w:rsidR="00FD2392">
        <w:trPr>
          <w:cantSplit/>
          <w:jc w:val="center"/>
        </w:trPr>
        <w:tc>
          <w:tcPr>
            <w:tcW w:w="9360" w:type="dxa"/>
          </w:tcPr>
          <w:p w:rsidR="00FD2392" w:rsidRDefault="00FD2392" w:rsidP="00E75F08">
            <w:pPr>
              <w:contextualSpacing/>
            </w:pPr>
            <w:r>
              <w:t>Develop, acquire, install and utilize technology and systems for the purpose of disclosing and providing information.</w:t>
            </w:r>
          </w:p>
        </w:tc>
      </w:tr>
      <w:tr w:rsidR="00FD2392">
        <w:trPr>
          <w:cantSplit/>
          <w:jc w:val="center"/>
        </w:trPr>
        <w:tc>
          <w:tcPr>
            <w:tcW w:w="9360" w:type="dxa"/>
          </w:tcPr>
          <w:p w:rsidR="00FD2392" w:rsidRDefault="00FD2392" w:rsidP="00E75F08">
            <w:pPr>
              <w:contextualSpacing/>
            </w:pPr>
            <w:r>
              <w:t>Adjust the existing ways to comply with any previously applicable instructions and requirements.</w:t>
            </w:r>
          </w:p>
        </w:tc>
      </w:tr>
      <w:tr w:rsidR="00FD2392">
        <w:trPr>
          <w:cantSplit/>
          <w:jc w:val="center"/>
        </w:trPr>
        <w:tc>
          <w:tcPr>
            <w:tcW w:w="9360" w:type="dxa"/>
          </w:tcPr>
          <w:p w:rsidR="00FD2392" w:rsidRDefault="00FD2392" w:rsidP="00E75F08">
            <w:pPr>
              <w:contextualSpacing/>
            </w:pPr>
            <w:r>
              <w:t>Train personnel to be able to respond to a collection of information.</w:t>
            </w:r>
          </w:p>
        </w:tc>
      </w:tr>
      <w:tr w:rsidR="00FD2392">
        <w:trPr>
          <w:cantSplit/>
          <w:jc w:val="center"/>
        </w:trPr>
        <w:tc>
          <w:tcPr>
            <w:tcW w:w="9360" w:type="dxa"/>
          </w:tcPr>
          <w:p w:rsidR="00FD2392" w:rsidRDefault="00FD2392" w:rsidP="00E75F08">
            <w:pPr>
              <w:contextualSpacing/>
            </w:pPr>
            <w:r>
              <w:t>Transmit, or otherwise disclose the information.</w:t>
            </w:r>
          </w:p>
        </w:tc>
      </w:tr>
      <w:tr w:rsidR="00FD2392">
        <w:trPr>
          <w:cantSplit/>
          <w:jc w:val="center"/>
        </w:trPr>
        <w:tc>
          <w:tcPr>
            <w:tcW w:w="9360" w:type="dxa"/>
          </w:tcPr>
          <w:p w:rsidR="00FD2392" w:rsidRDefault="00FD2392" w:rsidP="00E75F08">
            <w:pPr>
              <w:contextualSpacing/>
            </w:pPr>
            <w:r>
              <w:t>Perform initial performance test, reference the methods discussed in the rule language, and repeat perfo</w:t>
            </w:r>
            <w:r w:rsidR="004D51B0">
              <w:t xml:space="preserve">rmance tests if necessary.  </w:t>
            </w:r>
            <w:r w:rsidR="008D43D0">
              <w:t>A</w:t>
            </w:r>
            <w:r>
              <w:t>pplicable if controls are used (subpart KKK).</w:t>
            </w:r>
          </w:p>
        </w:tc>
      </w:tr>
      <w:tr w:rsidR="00FD2392">
        <w:trPr>
          <w:cantSplit/>
          <w:jc w:val="center"/>
        </w:trPr>
        <w:tc>
          <w:tcPr>
            <w:tcW w:w="9360" w:type="dxa"/>
          </w:tcPr>
          <w:p w:rsidR="00FD2392" w:rsidRDefault="00FD2392" w:rsidP="00E75F08">
            <w:pPr>
              <w:contextualSpacing/>
            </w:pPr>
            <w:r>
              <w:t>Monitor control devices to ensure that they are operated and maintain</w:t>
            </w:r>
            <w:r w:rsidR="004D51B0">
              <w:t xml:space="preserve">ed in conformance with design. </w:t>
            </w:r>
            <w:r>
              <w:t>Applicable if controls are used (subpart KKK).</w:t>
            </w:r>
          </w:p>
        </w:tc>
      </w:tr>
      <w:tr w:rsidR="00FD2392">
        <w:trPr>
          <w:cantSplit/>
          <w:jc w:val="center"/>
        </w:trPr>
        <w:tc>
          <w:tcPr>
            <w:tcW w:w="9360" w:type="dxa"/>
          </w:tcPr>
          <w:p w:rsidR="00FD2392" w:rsidRDefault="00FD2392" w:rsidP="00E75F08">
            <w:pPr>
              <w:contextualSpacing/>
            </w:pPr>
            <w:r>
              <w:t>Perform monthly monitoring of pumps in light liquid service and valves in gas/vapor service or in light liquid service (subpart KKK).</w:t>
            </w:r>
          </w:p>
        </w:tc>
      </w:tr>
      <w:tr w:rsidR="00FD2392">
        <w:trPr>
          <w:cantSplit/>
          <w:jc w:val="center"/>
        </w:trPr>
        <w:tc>
          <w:tcPr>
            <w:tcW w:w="9360" w:type="dxa"/>
          </w:tcPr>
          <w:p w:rsidR="00FD2392" w:rsidRDefault="00FD2392" w:rsidP="00E75F08">
            <w:pPr>
              <w:contextualSpacing/>
            </w:pPr>
            <w:r>
              <w:t>Repair pump, compressor, valve, and vapor collection system leaks (subpart KKK).</w:t>
            </w:r>
          </w:p>
        </w:tc>
      </w:tr>
      <w:tr w:rsidR="00FD2392">
        <w:trPr>
          <w:cantSplit/>
          <w:jc w:val="center"/>
        </w:trPr>
        <w:tc>
          <w:tcPr>
            <w:tcW w:w="9360" w:type="dxa"/>
          </w:tcPr>
          <w:p w:rsidR="00FD2392" w:rsidRDefault="00FD2392" w:rsidP="00E75F08">
            <w:pPr>
              <w:contextualSpacing/>
            </w:pPr>
            <w:r>
              <w:t>Perform weekly visual inspections of pumps in light liquid service (subpart KKK).</w:t>
            </w:r>
          </w:p>
        </w:tc>
      </w:tr>
      <w:tr w:rsidR="00FD2392">
        <w:trPr>
          <w:cantSplit/>
          <w:jc w:val="center"/>
        </w:trPr>
        <w:tc>
          <w:tcPr>
            <w:tcW w:w="9360" w:type="dxa"/>
          </w:tcPr>
          <w:p w:rsidR="00FD2392" w:rsidRDefault="00FD2392" w:rsidP="00E75F08">
            <w:pPr>
              <w:contextualSpacing/>
            </w:pPr>
            <w:r>
              <w:t>Monitor pressure relief devices in gas/vapor service for no detectable emissions, following pressure release (subpart KKK).</w:t>
            </w:r>
          </w:p>
        </w:tc>
      </w:tr>
      <w:tr w:rsidR="00FD2392">
        <w:trPr>
          <w:cantSplit/>
          <w:jc w:val="center"/>
        </w:trPr>
        <w:tc>
          <w:tcPr>
            <w:tcW w:w="9360" w:type="dxa"/>
          </w:tcPr>
          <w:p w:rsidR="00FD2392" w:rsidRDefault="00FD2392" w:rsidP="00E75F08">
            <w:pPr>
              <w:contextualSpacing/>
            </w:pPr>
            <w:r>
              <w:t>Monitor or repair leaks in pumps or valves in heavy liquid service, pressure relief devices in light or heavy liquid service, and connectors (subpart KKK).</w:t>
            </w:r>
          </w:p>
        </w:tc>
      </w:tr>
      <w:tr w:rsidR="00FD2392">
        <w:trPr>
          <w:cantSplit/>
          <w:jc w:val="center"/>
        </w:trPr>
        <w:tc>
          <w:tcPr>
            <w:tcW w:w="9360" w:type="dxa"/>
          </w:tcPr>
          <w:p w:rsidR="00FD2392" w:rsidRDefault="00FD2392" w:rsidP="00E75F08">
            <w:pPr>
              <w:contextualSpacing/>
            </w:pPr>
            <w:r>
              <w:t>Conduct annual inspections of vapor collection systems (subpart KKK).</w:t>
            </w:r>
          </w:p>
        </w:tc>
      </w:tr>
      <w:tr w:rsidR="00FD2392">
        <w:trPr>
          <w:cantSplit/>
          <w:jc w:val="center"/>
        </w:trPr>
        <w:tc>
          <w:tcPr>
            <w:tcW w:w="9360" w:type="dxa"/>
          </w:tcPr>
          <w:p w:rsidR="00FD2392" w:rsidRDefault="00FD2392" w:rsidP="00E75F08">
            <w:pPr>
              <w:contextualSpacing/>
            </w:pPr>
            <w:r>
              <w:lastRenderedPageBreak/>
              <w:t>Install, calibrate, maintain and operate CMS for: (a) total sulfur emission rate; and (b) exhaust gas temperature for oxidation control systems or reduction control systems that are followed by an incinerator (subpart LLL).</w:t>
            </w:r>
          </w:p>
        </w:tc>
      </w:tr>
      <w:tr w:rsidR="00FD2392">
        <w:trPr>
          <w:cantSplit/>
          <w:jc w:val="center"/>
        </w:trPr>
        <w:tc>
          <w:tcPr>
            <w:tcW w:w="9360" w:type="dxa"/>
          </w:tcPr>
          <w:p w:rsidR="00FD2392" w:rsidRDefault="00FD2392" w:rsidP="00E75F08">
            <w:pPr>
              <w:contextualSpacing/>
            </w:pPr>
            <w:r>
              <w:t>Install, calibrate, maintain, and operate CMS for reduced sulfur compound emission rate for reduction control systems that are not followed by an incinerator (subpart LLL)</w:t>
            </w:r>
          </w:p>
        </w:tc>
      </w:tr>
      <w:tr w:rsidR="00FD2392">
        <w:trPr>
          <w:cantSplit/>
          <w:jc w:val="center"/>
        </w:trPr>
        <w:tc>
          <w:tcPr>
            <w:tcW w:w="9360" w:type="dxa"/>
          </w:tcPr>
          <w:p w:rsidR="00FD2392" w:rsidRDefault="00FD2392" w:rsidP="00E75F08">
            <w:pPr>
              <w:contextualSpacing/>
            </w:pPr>
            <w:r>
              <w:t>Perform initial performance test, reference the methods discussed in the rule language, and repeat performance tests if necessary (subpart LLL).</w:t>
            </w:r>
          </w:p>
        </w:tc>
      </w:tr>
      <w:tr w:rsidR="00FD2392">
        <w:trPr>
          <w:cantSplit/>
          <w:jc w:val="center"/>
        </w:trPr>
        <w:tc>
          <w:tcPr>
            <w:tcW w:w="9360" w:type="dxa"/>
          </w:tcPr>
          <w:p w:rsidR="00FD2392" w:rsidRDefault="00FD2392" w:rsidP="00E75F08">
            <w:pPr>
              <w:contextualSpacing/>
            </w:pPr>
            <w:r>
              <w:t>Perform daily monitoring of: (a) accumulation of sulfur product; and (b) H</w:t>
            </w:r>
            <w:r>
              <w:rPr>
                <w:b/>
                <w:vertAlign w:val="subscript"/>
              </w:rPr>
              <w:t>2</w:t>
            </w:r>
            <w:r>
              <w:t>S concentration in the acid gas from the sweetening unit (subpart LLL).</w:t>
            </w:r>
          </w:p>
        </w:tc>
      </w:tr>
      <w:tr w:rsidR="00FD2392">
        <w:trPr>
          <w:cantSplit/>
          <w:jc w:val="center"/>
        </w:trPr>
        <w:tc>
          <w:tcPr>
            <w:tcW w:w="9360" w:type="dxa"/>
          </w:tcPr>
          <w:p w:rsidR="00FD2392" w:rsidRDefault="00FD2392" w:rsidP="00E75F08">
            <w:pPr>
              <w:contextualSpacing/>
            </w:pPr>
            <w:r>
              <w:t>Perform hourly monitoring of acid gas flow rate from the sweetening unit and calculate the daily average (subpart LLL).</w:t>
            </w:r>
          </w:p>
        </w:tc>
      </w:tr>
      <w:tr w:rsidR="00FD2392">
        <w:trPr>
          <w:cantSplit/>
          <w:jc w:val="center"/>
        </w:trPr>
        <w:tc>
          <w:tcPr>
            <w:tcW w:w="9360" w:type="dxa"/>
          </w:tcPr>
          <w:p w:rsidR="00FD2392" w:rsidRDefault="00FD2392" w:rsidP="00E75F08">
            <w:pPr>
              <w:contextualSpacing/>
            </w:pPr>
            <w:r>
              <w:t>Calculate: (a) daily sulfur feed rate; and (b) daily required SO</w:t>
            </w:r>
            <w:r>
              <w:rPr>
                <w:b/>
                <w:vertAlign w:val="subscript"/>
              </w:rPr>
              <w:t>2</w:t>
            </w:r>
            <w:r>
              <w:t xml:space="preserve"> emission reduction efficiency (subpart LLL).</w:t>
            </w:r>
          </w:p>
        </w:tc>
      </w:tr>
    </w:tbl>
    <w:p w:rsidR="00FD2392" w:rsidRDefault="00FD2392" w:rsidP="00E75F08">
      <w:pPr>
        <w:spacing w:line="360" w:lineRule="auto"/>
        <w:contextualSpacing/>
      </w:pPr>
    </w:p>
    <w:p w:rsidR="00446A2A" w:rsidRDefault="00446A2A" w:rsidP="00E75F08">
      <w:pPr>
        <w:spacing w:line="360" w:lineRule="auto"/>
        <w:contextualSpacing/>
        <w:rPr>
          <w:b/>
        </w:rPr>
      </w:pPr>
    </w:p>
    <w:p w:rsidR="00FD2392" w:rsidRDefault="00FD2392" w:rsidP="00E75F08">
      <w:pPr>
        <w:spacing w:line="360" w:lineRule="auto"/>
        <w:contextualSpacing/>
        <w:rPr>
          <w:b/>
        </w:rPr>
      </w:pPr>
      <w:r>
        <w:rPr>
          <w:b/>
        </w:rPr>
        <w:t>5.  The Information Collected:  Agency Activities, Collection Methodology, and Information Management</w:t>
      </w:r>
    </w:p>
    <w:p w:rsidR="00FD2392" w:rsidRDefault="00FD2392"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5(a)  Agency Activities</w:t>
      </w:r>
    </w:p>
    <w:p w:rsidR="00FD2392" w:rsidRDefault="00FD2392" w:rsidP="00E75F08">
      <w:pPr>
        <w:spacing w:line="360" w:lineRule="auto"/>
        <w:contextualSpacing/>
      </w:pPr>
    </w:p>
    <w:p w:rsidR="00FD2392" w:rsidRDefault="00FD2392" w:rsidP="00E75F08">
      <w:pPr>
        <w:spacing w:line="360" w:lineRule="auto"/>
        <w:ind w:firstLine="720"/>
        <w:contextualSpacing/>
      </w:pPr>
      <w:r>
        <w:t>EPA conducts the following activities in connection with the acquisition, analysis, storage, and distribution of the required information.</w:t>
      </w:r>
    </w:p>
    <w:p w:rsidR="00FD2392" w:rsidRDefault="00FD2392" w:rsidP="00E75F08">
      <w:pPr>
        <w:spacing w:line="360" w:lineRule="auto"/>
        <w:contextualSpacing/>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FD2392">
        <w:trPr>
          <w:cantSplit/>
          <w:tblHeader/>
          <w:jc w:val="center"/>
        </w:trPr>
        <w:tc>
          <w:tcPr>
            <w:tcW w:w="9360" w:type="dxa"/>
          </w:tcPr>
          <w:p w:rsidR="00FD2392" w:rsidRDefault="00FD2392" w:rsidP="00E75F08">
            <w:pPr>
              <w:contextualSpacing/>
              <w:jc w:val="center"/>
              <w:rPr>
                <w:b/>
              </w:rPr>
            </w:pPr>
            <w:r>
              <w:rPr>
                <w:b/>
              </w:rPr>
              <w:t>Agency Activities</w:t>
            </w:r>
          </w:p>
        </w:tc>
      </w:tr>
      <w:tr w:rsidR="00FD2392">
        <w:trPr>
          <w:cantSplit/>
          <w:jc w:val="center"/>
        </w:trPr>
        <w:tc>
          <w:tcPr>
            <w:tcW w:w="9360" w:type="dxa"/>
          </w:tcPr>
          <w:p w:rsidR="00FD2392" w:rsidRDefault="00FD2392" w:rsidP="00E75F08">
            <w:pPr>
              <w:contextualSpacing/>
            </w:pPr>
            <w:r>
              <w:t>Review notifications and reports, including performance test reports, and excess emissions reports required to be submitted by industry.</w:t>
            </w:r>
          </w:p>
        </w:tc>
      </w:tr>
      <w:tr w:rsidR="00FD2392">
        <w:trPr>
          <w:cantSplit/>
          <w:jc w:val="center"/>
        </w:trPr>
        <w:tc>
          <w:tcPr>
            <w:tcW w:w="9360" w:type="dxa"/>
          </w:tcPr>
          <w:p w:rsidR="00FD2392" w:rsidRDefault="00FD2392" w:rsidP="00E75F08">
            <w:pPr>
              <w:contextualSpacing/>
            </w:pPr>
            <w:r>
              <w:t>Audit facility records.</w:t>
            </w:r>
          </w:p>
        </w:tc>
      </w:tr>
      <w:tr w:rsidR="00FD2392">
        <w:trPr>
          <w:cantSplit/>
          <w:jc w:val="center"/>
        </w:trPr>
        <w:tc>
          <w:tcPr>
            <w:tcW w:w="9360" w:type="dxa"/>
          </w:tcPr>
          <w:p w:rsidR="00FD2392" w:rsidRDefault="00FD2392" w:rsidP="00E75F08">
            <w:pPr>
              <w:contextualSpacing/>
            </w:pPr>
            <w:r>
              <w:t xml:space="preserve">Input, analyze, and maintain data </w:t>
            </w:r>
            <w:r w:rsidR="004D51B0">
              <w:t xml:space="preserve">in </w:t>
            </w:r>
            <w:r w:rsidR="006E7F14">
              <w:t>CDX</w:t>
            </w:r>
          </w:p>
        </w:tc>
      </w:tr>
    </w:tbl>
    <w:p w:rsidR="00FD2392" w:rsidRDefault="00FD2392" w:rsidP="00E75F08">
      <w:pPr>
        <w:contextualSpacing/>
        <w:rPr>
          <w:bCs/>
        </w:rPr>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5(b)  Collection Methodology and Management</w:t>
      </w:r>
    </w:p>
    <w:p w:rsidR="00FD2392" w:rsidRDefault="00FD2392" w:rsidP="00E75F08">
      <w:pPr>
        <w:spacing w:line="360" w:lineRule="auto"/>
        <w:contextualSpacing/>
      </w:pPr>
    </w:p>
    <w:p w:rsidR="006E7F14" w:rsidRPr="006E7F14" w:rsidRDefault="006E7F14" w:rsidP="00E75F08">
      <w:pPr>
        <w:spacing w:line="360" w:lineRule="auto"/>
        <w:ind w:firstLine="720"/>
        <w:contextualSpacing/>
      </w:pPr>
      <w:r w:rsidRPr="006E7F14">
        <w:t xml:space="preserve">Data and records maintained by the respondents are tabulated and published for use in compliance and enforcement programs of the delegated permitting authority.  Information contained in the reports will be required to submit records electronically to EPA’s Central DATA Exchange (CDX) using the Electronic Reporting Tool.  CDX enables fast, efficient and more accurate environmental data submissions from state and local governments, industry and tribes to </w:t>
      </w:r>
      <w:r w:rsidRPr="006E7F14">
        <w:lastRenderedPageBreak/>
        <w:t xml:space="preserve">the EPA and participating program offices.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 requirements. </w:t>
      </w:r>
    </w:p>
    <w:p w:rsidR="00FD2392" w:rsidRDefault="00FD2392" w:rsidP="00E75F08">
      <w:pPr>
        <w:spacing w:line="360" w:lineRule="auto"/>
        <w:contextualSpacing/>
      </w:pPr>
    </w:p>
    <w:p w:rsidR="00FD2392" w:rsidRDefault="00FD2392" w:rsidP="00E75F08">
      <w:pPr>
        <w:spacing w:line="360" w:lineRule="auto"/>
        <w:contextualSpacing/>
      </w:pPr>
      <w:r>
        <w:tab/>
        <w:t>The records required by this regulation must be retained by the owner/operator for two years.</w:t>
      </w:r>
      <w:r w:rsidR="004D51B0" w:rsidRPr="004D51B0">
        <w:t xml:space="preserve"> The semiannual reports are used for problem identification, as a check on source operation and maintenance, and for compliance determinations.</w:t>
      </w:r>
    </w:p>
    <w:p w:rsidR="00FD2392" w:rsidRDefault="00FD2392"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5(c)  Small Entity Flexibility</w:t>
      </w:r>
    </w:p>
    <w:p w:rsidR="00FD2392" w:rsidRDefault="00FD2392" w:rsidP="00E75F08">
      <w:pPr>
        <w:spacing w:line="360" w:lineRule="auto"/>
        <w:contextualSpacing/>
      </w:pPr>
    </w:p>
    <w:p w:rsidR="00FD2392" w:rsidRDefault="00FD2392" w:rsidP="00E75F08">
      <w:pPr>
        <w:spacing w:line="360" w:lineRule="auto"/>
        <w:contextualSpacing/>
      </w:pPr>
      <w:r>
        <w:tab/>
        <w:t>The majority of the respondents are large entities (i.e., large businesses).  After reviewing relevant available background documents related to the standard, an estimate of the number of small entities affected could not be determined.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FD2392" w:rsidRDefault="00FD2392" w:rsidP="00E75F08">
      <w:pPr>
        <w:spacing w:line="360" w:lineRule="auto"/>
        <w:contextualSpacing/>
        <w:rPr>
          <w:bCs/>
        </w:rPr>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5(d)  Collection Schedule</w:t>
      </w:r>
    </w:p>
    <w:p w:rsidR="00FD2392" w:rsidRDefault="00FD2392" w:rsidP="00E75F08">
      <w:pPr>
        <w:spacing w:line="360" w:lineRule="auto"/>
        <w:contextualSpacing/>
      </w:pPr>
    </w:p>
    <w:p w:rsidR="00FD2392" w:rsidRDefault="00FD2392" w:rsidP="00E75F08">
      <w:pPr>
        <w:spacing w:line="360" w:lineRule="auto"/>
        <w:ind w:firstLine="720"/>
        <w:contextualSpacing/>
        <w:rPr>
          <w:bCs/>
        </w:rPr>
      </w:pPr>
      <w:r>
        <w:t>The specific frequency for each information collection activity within this request is shown in below Table 1: Annual Respondent Burden and Cost, NSPS for Onshore Natural Gas Processing Plants (40 CFR Part 60, Subparts KKK and LLL)</w:t>
      </w:r>
      <w:r w:rsidR="00446A2A">
        <w:t xml:space="preserve"> </w:t>
      </w:r>
      <w:r w:rsidR="00446A2A" w:rsidRPr="00446A2A">
        <w:t>(Renewal)</w:t>
      </w:r>
      <w:r w:rsidRPr="00446A2A">
        <w:t>.</w:t>
      </w:r>
    </w:p>
    <w:p w:rsidR="00FD2392" w:rsidRDefault="00FD2392" w:rsidP="00E75F08">
      <w:pPr>
        <w:spacing w:line="360" w:lineRule="auto"/>
        <w:contextualSpacing/>
      </w:pPr>
    </w:p>
    <w:p w:rsidR="00FD2392" w:rsidRDefault="000A4994" w:rsidP="00E75F08">
      <w:pPr>
        <w:spacing w:line="360" w:lineRule="auto"/>
        <w:contextualSpacing/>
        <w:rPr>
          <w:b/>
        </w:rPr>
      </w:pPr>
      <w:r>
        <w:rPr>
          <w:b/>
        </w:rPr>
        <w:br w:type="page"/>
      </w:r>
      <w:r w:rsidR="00FD2392">
        <w:rPr>
          <w:b/>
        </w:rPr>
        <w:lastRenderedPageBreak/>
        <w:t>6.  Estimating the Burden and Cost of the Collection</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Table 1 documents the computation of individual burdens for the recordkeeping and reporting requirements applicable to the industry for each of the subparts included in this ICR.  The individual burdens are expressed under standardized headings believed to be consistent with the concept of burden unde</w:t>
      </w:r>
      <w:r w:rsidR="00EC4210">
        <w:t xml:space="preserve">r the Paperwork Reduction Act. </w:t>
      </w:r>
      <w:r>
        <w:t>Where appropriate, specific tasks and major ass</w:t>
      </w:r>
      <w:r w:rsidR="000A4994">
        <w:t xml:space="preserve">umptions have been identified. </w:t>
      </w:r>
      <w:r>
        <w:t>Responses to this information collection are mandatory.</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6(a)  Estimating Respondent Burden</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The average annual burden to industry over the next three years from these recordkeeping and reporting requirements is estimated to be </w:t>
      </w:r>
      <w:r w:rsidR="000A4994">
        <w:t>109,</w:t>
      </w:r>
      <w:r w:rsidR="00C73B55">
        <w:t>327</w:t>
      </w:r>
      <w:r w:rsidRPr="00D35B06">
        <w:t xml:space="preserve"> labor hours.  The recordkeeping hours shown</w:t>
      </w:r>
      <w:r w:rsidR="003E0DA4" w:rsidRPr="00D35B06">
        <w:t xml:space="preserve"> below </w:t>
      </w:r>
      <w:r w:rsidRPr="00D35B06">
        <w:t xml:space="preserve">in Table 1 are </w:t>
      </w:r>
      <w:r w:rsidR="00D35B06" w:rsidRPr="00D35B06">
        <w:t>61,959</w:t>
      </w:r>
      <w:r w:rsidRPr="00D35B06">
        <w:t>.  The reporting requirement</w:t>
      </w:r>
      <w:r>
        <w:t xml:space="preserve"> hours shown</w:t>
      </w:r>
      <w:r w:rsidR="003E0DA4">
        <w:t xml:space="preserve"> below</w:t>
      </w:r>
      <w:r>
        <w:t xml:space="preserve"> in Table 1 are </w:t>
      </w:r>
      <w:r w:rsidR="000A4994">
        <w:t>47,3</w:t>
      </w:r>
      <w:r w:rsidR="00E3671E">
        <w:t>6</w:t>
      </w:r>
      <w:r w:rsidR="000A4994">
        <w:t>8</w:t>
      </w:r>
      <w:r>
        <w:t>.  These hours are based on Agency studies and background documents from the development of the regulation, Agency knowledge and experience with the NSPS program, the previously approved ICR, and any comments received.</w:t>
      </w:r>
    </w:p>
    <w:p w:rsidR="00FD2392" w:rsidRDefault="00FD2392" w:rsidP="00E75F08">
      <w:pPr>
        <w:spacing w:line="360" w:lineRule="auto"/>
        <w:ind w:firstLine="720"/>
        <w:contextualSpacing/>
      </w:pPr>
    </w:p>
    <w:p w:rsidR="00FD2392" w:rsidRDefault="00FD2392" w:rsidP="00E75F08">
      <w:pPr>
        <w:spacing w:line="360" w:lineRule="auto"/>
        <w:ind w:left="720"/>
        <w:contextualSpacing/>
        <w:rPr>
          <w:b/>
        </w:rPr>
      </w:pPr>
      <w:r>
        <w:rPr>
          <w:b/>
        </w:rPr>
        <w:t>6(b)  Estimating Respondent Costs</w:t>
      </w:r>
    </w:p>
    <w:p w:rsidR="00FD2392" w:rsidRDefault="00FD2392" w:rsidP="00E75F08">
      <w:pPr>
        <w:spacing w:line="360" w:lineRule="auto"/>
        <w:contextualSpacing/>
      </w:pPr>
    </w:p>
    <w:p w:rsidR="00FD2392" w:rsidRDefault="00FD2392" w:rsidP="00E75F08">
      <w:pPr>
        <w:spacing w:line="360" w:lineRule="auto"/>
        <w:ind w:left="1440"/>
        <w:contextualSpacing/>
        <w:rPr>
          <w:b/>
        </w:rPr>
      </w:pPr>
      <w:r>
        <w:rPr>
          <w:b/>
        </w:rPr>
        <w:t xml:space="preserve">(i)  Estimating Labor Costs </w:t>
      </w:r>
    </w:p>
    <w:p w:rsidR="00FD2392" w:rsidRDefault="00FD2392" w:rsidP="00E75F08">
      <w:pPr>
        <w:spacing w:line="360" w:lineRule="auto"/>
        <w:contextualSpacing/>
      </w:pPr>
      <w:r>
        <w:t xml:space="preserve"> </w:t>
      </w:r>
    </w:p>
    <w:p w:rsidR="00FD2392" w:rsidRDefault="00FD2392" w:rsidP="00E75F08">
      <w:pPr>
        <w:spacing w:line="360" w:lineRule="auto"/>
        <w:ind w:firstLine="720"/>
        <w:contextualSpacing/>
      </w:pPr>
      <w:r>
        <w:t xml:space="preserve">This ICR uses the following labor rates: </w:t>
      </w:r>
    </w:p>
    <w:p w:rsidR="00FD2392" w:rsidRDefault="00FD2392"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tabs>
          <w:tab w:val="left" w:pos="-1440"/>
        </w:tabs>
        <w:spacing w:line="360" w:lineRule="auto"/>
        <w:ind w:left="2880" w:hanging="1440"/>
        <w:contextualSpacing/>
      </w:pPr>
      <w:r>
        <w:t>Managerial</w:t>
      </w:r>
      <w:r>
        <w:tab/>
        <w:t xml:space="preserve">$116.05 ($55.26 + 110%)   </w:t>
      </w:r>
    </w:p>
    <w:p w:rsidR="00FD2392" w:rsidRDefault="00FD2392" w:rsidP="00E75F08">
      <w:pPr>
        <w:pBdr>
          <w:top w:val="single" w:sz="6" w:space="0" w:color="FFFFFF"/>
          <w:left w:val="single" w:sz="6" w:space="0" w:color="FFFFFF"/>
          <w:bottom w:val="single" w:sz="6" w:space="0" w:color="FFFFFF"/>
          <w:right w:val="single" w:sz="6" w:space="0" w:color="FFFFFF"/>
        </w:pBdr>
        <w:tabs>
          <w:tab w:val="left" w:pos="-1440"/>
        </w:tabs>
        <w:spacing w:line="360" w:lineRule="auto"/>
        <w:ind w:left="2880" w:hanging="1440"/>
        <w:contextualSpacing/>
      </w:pPr>
      <w:r>
        <w:t>Technical</w:t>
      </w:r>
      <w:r>
        <w:tab/>
        <w:t>$97.21 ($46.29 + 110%)</w:t>
      </w:r>
    </w:p>
    <w:p w:rsidR="00FD2392" w:rsidRDefault="00FD2392" w:rsidP="00E75F08">
      <w:pPr>
        <w:pBdr>
          <w:top w:val="single" w:sz="6" w:space="0" w:color="FFFFFF"/>
          <w:left w:val="single" w:sz="6" w:space="0" w:color="FFFFFF"/>
          <w:bottom w:val="single" w:sz="6" w:space="0" w:color="FFFFFF"/>
          <w:right w:val="single" w:sz="6" w:space="0" w:color="FFFFFF"/>
        </w:pBdr>
        <w:tabs>
          <w:tab w:val="left" w:pos="-1440"/>
        </w:tabs>
        <w:spacing w:line="360" w:lineRule="auto"/>
        <w:ind w:left="2880" w:hanging="1440"/>
        <w:contextualSpacing/>
      </w:pPr>
      <w:r>
        <w:t>Clerical</w:t>
      </w:r>
      <w:r>
        <w:tab/>
        <w:t>$48.87 ($23.27 + 110%)</w:t>
      </w:r>
    </w:p>
    <w:p w:rsidR="00FD2392" w:rsidRDefault="00FD2392" w:rsidP="00E75F08">
      <w:pPr>
        <w:spacing w:line="360" w:lineRule="auto"/>
        <w:contextualSpacing/>
      </w:pPr>
    </w:p>
    <w:p w:rsidR="00FD2392" w:rsidRDefault="00FD2392" w:rsidP="00E75F08">
      <w:pPr>
        <w:spacing w:line="360" w:lineRule="auto"/>
        <w:contextualSpacing/>
      </w:pPr>
      <w:r>
        <w:t>These rates are from the U</w:t>
      </w:r>
      <w:r w:rsidR="003E0DA4">
        <w:t>.</w:t>
      </w:r>
      <w:r>
        <w:t xml:space="preserve"> S</w:t>
      </w:r>
      <w:r w:rsidR="003E0DA4">
        <w:t>.</w:t>
      </w:r>
      <w:r>
        <w:t xml:space="preserve"> Department of Labor, Bureau of Labor Statistics, March 2010, “Table 2. Civilian Workers, by Occupational and Industry group.”  The rates are from column 1, “Total Compensation.”  The rates have been increased by 110 percent to account for the benefit </w:t>
      </w:r>
      <w:r>
        <w:lastRenderedPageBreak/>
        <w:t>packages available to those employed by private industry.</w:t>
      </w:r>
    </w:p>
    <w:p w:rsidR="00FD2392" w:rsidRDefault="00FD2392" w:rsidP="00E75F08">
      <w:pPr>
        <w:spacing w:line="360" w:lineRule="auto"/>
        <w:contextualSpacing/>
      </w:pPr>
    </w:p>
    <w:p w:rsidR="003E0DA4" w:rsidRDefault="003E0DA4" w:rsidP="00E75F08">
      <w:pPr>
        <w:pBdr>
          <w:top w:val="single" w:sz="6" w:space="0" w:color="FFFFFF"/>
          <w:left w:val="single" w:sz="6" w:space="0" w:color="FFFFFF"/>
          <w:bottom w:val="single" w:sz="6" w:space="0" w:color="FFFFFF"/>
          <w:right w:val="single" w:sz="6" w:space="0" w:color="FFFFFF"/>
        </w:pBdr>
        <w:spacing w:line="360" w:lineRule="auto"/>
        <w:ind w:firstLine="1440"/>
        <w:contextualSpacing/>
        <w:rPr>
          <w:b/>
          <w:bCs/>
        </w:rPr>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1440"/>
        <w:contextualSpacing/>
      </w:pPr>
      <w:r>
        <w:rPr>
          <w:b/>
          <w:bCs/>
        </w:rPr>
        <w:t>(ii)  Estimating Capital/Startup and Operation and Maintenance Costs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only costs to the regulated industry resulting from information collection activities required by subpart KKK are labor costs.  There are no capital/startup or operation and maintenance costs.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type of industry costs associated with the information collection activities in subpart LLL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1440"/>
        <w:contextualSpacing/>
      </w:pPr>
      <w:r>
        <w:rPr>
          <w:b/>
          <w:bCs/>
        </w:rPr>
        <w:t>(iii)  Capital/Startup vs. Operation and Maintenance (O&amp;M) Costs</w:t>
      </w:r>
    </w:p>
    <w:p w:rsidR="00FD2392" w:rsidRDefault="00FD2392" w:rsidP="00E75F08">
      <w:pPr>
        <w:spacing w:line="360" w:lineRule="auto"/>
        <w:contextualSpacing/>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1620"/>
        <w:gridCol w:w="1440"/>
        <w:gridCol w:w="1254"/>
        <w:gridCol w:w="1446"/>
        <w:gridCol w:w="1350"/>
        <w:gridCol w:w="1260"/>
        <w:gridCol w:w="990"/>
      </w:tblGrid>
      <w:tr w:rsidR="00FD2392">
        <w:trPr>
          <w:cantSplit/>
          <w:tblHeader/>
          <w:jc w:val="center"/>
        </w:trPr>
        <w:tc>
          <w:tcPr>
            <w:tcW w:w="9360" w:type="dxa"/>
            <w:gridSpan w:val="7"/>
          </w:tcPr>
          <w:p w:rsidR="00FD2392" w:rsidRDefault="00FD2392" w:rsidP="00E75F08">
            <w:pPr>
              <w:keepNext/>
              <w:contextualSpacing/>
              <w:jc w:val="center"/>
              <w:rPr>
                <w:b/>
              </w:rPr>
            </w:pPr>
            <w:r>
              <w:rPr>
                <w:b/>
              </w:rPr>
              <w:t>Capital/Startup vs. Operation and Maintenance (O&amp;M) Costs</w:t>
            </w:r>
          </w:p>
        </w:tc>
      </w:tr>
      <w:tr w:rsidR="00FD2392">
        <w:trPr>
          <w:cantSplit/>
          <w:jc w:val="center"/>
        </w:trPr>
        <w:tc>
          <w:tcPr>
            <w:tcW w:w="1620" w:type="dxa"/>
          </w:tcPr>
          <w:p w:rsidR="00FD2392" w:rsidRDefault="00FD2392" w:rsidP="00E75F08">
            <w:pPr>
              <w:contextualSpacing/>
              <w:jc w:val="center"/>
              <w:rPr>
                <w:sz w:val="20"/>
                <w:szCs w:val="20"/>
              </w:rPr>
            </w:pPr>
            <w:r>
              <w:rPr>
                <w:sz w:val="20"/>
                <w:szCs w:val="20"/>
              </w:rPr>
              <w:t>(A)</w:t>
            </w:r>
          </w:p>
          <w:p w:rsidR="00FD2392" w:rsidRDefault="00FD2392" w:rsidP="00E75F08">
            <w:pPr>
              <w:contextualSpacing/>
              <w:jc w:val="center"/>
              <w:rPr>
                <w:sz w:val="20"/>
                <w:szCs w:val="20"/>
              </w:rPr>
            </w:pPr>
            <w:r>
              <w:rPr>
                <w:sz w:val="20"/>
                <w:szCs w:val="20"/>
              </w:rPr>
              <w:t>Continuous Monitoring Device</w:t>
            </w:r>
          </w:p>
        </w:tc>
        <w:tc>
          <w:tcPr>
            <w:tcW w:w="1440" w:type="dxa"/>
          </w:tcPr>
          <w:p w:rsidR="00FD2392" w:rsidRDefault="00FD2392" w:rsidP="00E75F08">
            <w:pPr>
              <w:contextualSpacing/>
              <w:jc w:val="center"/>
              <w:rPr>
                <w:sz w:val="20"/>
                <w:szCs w:val="20"/>
              </w:rPr>
            </w:pPr>
            <w:r>
              <w:rPr>
                <w:sz w:val="20"/>
                <w:szCs w:val="20"/>
              </w:rPr>
              <w:t>(B)</w:t>
            </w:r>
          </w:p>
          <w:p w:rsidR="00FD2392" w:rsidRDefault="00FD2392" w:rsidP="00E75F08">
            <w:pPr>
              <w:contextualSpacing/>
              <w:jc w:val="center"/>
              <w:rPr>
                <w:sz w:val="20"/>
                <w:szCs w:val="20"/>
              </w:rPr>
            </w:pPr>
            <w:r>
              <w:rPr>
                <w:sz w:val="20"/>
                <w:szCs w:val="20"/>
              </w:rPr>
              <w:t>Capital/‌Startup Cost for One Respondent</w:t>
            </w:r>
          </w:p>
        </w:tc>
        <w:tc>
          <w:tcPr>
            <w:tcW w:w="1254" w:type="dxa"/>
          </w:tcPr>
          <w:p w:rsidR="00FD2392" w:rsidRDefault="00FD2392" w:rsidP="00E75F08">
            <w:pPr>
              <w:contextualSpacing/>
              <w:jc w:val="center"/>
              <w:rPr>
                <w:sz w:val="20"/>
                <w:szCs w:val="20"/>
              </w:rPr>
            </w:pPr>
            <w:r>
              <w:rPr>
                <w:sz w:val="20"/>
                <w:szCs w:val="20"/>
              </w:rPr>
              <w:t>(C)</w:t>
            </w:r>
          </w:p>
          <w:p w:rsidR="00FD2392" w:rsidRDefault="00FD2392" w:rsidP="00E75F08">
            <w:pPr>
              <w:contextualSpacing/>
              <w:jc w:val="center"/>
              <w:rPr>
                <w:sz w:val="20"/>
                <w:szCs w:val="20"/>
              </w:rPr>
            </w:pPr>
            <w:r>
              <w:rPr>
                <w:sz w:val="20"/>
                <w:szCs w:val="20"/>
              </w:rPr>
              <w:t>Number of New Respondents</w:t>
            </w:r>
          </w:p>
        </w:tc>
        <w:tc>
          <w:tcPr>
            <w:tcW w:w="1446" w:type="dxa"/>
          </w:tcPr>
          <w:p w:rsidR="00FD2392" w:rsidRDefault="00FD2392" w:rsidP="00E75F08">
            <w:pPr>
              <w:contextualSpacing/>
              <w:jc w:val="center"/>
              <w:rPr>
                <w:sz w:val="20"/>
                <w:szCs w:val="20"/>
              </w:rPr>
            </w:pPr>
            <w:r>
              <w:rPr>
                <w:sz w:val="20"/>
                <w:szCs w:val="20"/>
              </w:rPr>
              <w:t>(D)</w:t>
            </w:r>
          </w:p>
          <w:p w:rsidR="00FD2392" w:rsidRDefault="00FD2392" w:rsidP="00E75F08">
            <w:pPr>
              <w:contextualSpacing/>
              <w:jc w:val="center"/>
              <w:rPr>
                <w:sz w:val="20"/>
                <w:szCs w:val="20"/>
              </w:rPr>
            </w:pPr>
            <w:r>
              <w:rPr>
                <w:sz w:val="20"/>
                <w:szCs w:val="20"/>
              </w:rPr>
              <w:t>Total Capital/Startup Cost, (B×C)</w:t>
            </w:r>
          </w:p>
        </w:tc>
        <w:tc>
          <w:tcPr>
            <w:tcW w:w="1350" w:type="dxa"/>
          </w:tcPr>
          <w:p w:rsidR="00FD2392" w:rsidRDefault="00FD2392" w:rsidP="00E75F08">
            <w:pPr>
              <w:contextualSpacing/>
              <w:jc w:val="center"/>
              <w:rPr>
                <w:sz w:val="20"/>
                <w:szCs w:val="20"/>
              </w:rPr>
            </w:pPr>
            <w:r>
              <w:rPr>
                <w:sz w:val="20"/>
                <w:szCs w:val="20"/>
              </w:rPr>
              <w:t>(E)</w:t>
            </w:r>
          </w:p>
          <w:p w:rsidR="00FD2392" w:rsidRDefault="00FD2392" w:rsidP="00E75F08">
            <w:pPr>
              <w:contextualSpacing/>
              <w:jc w:val="center"/>
              <w:rPr>
                <w:sz w:val="20"/>
                <w:szCs w:val="20"/>
              </w:rPr>
            </w:pPr>
            <w:r>
              <w:rPr>
                <w:sz w:val="20"/>
                <w:szCs w:val="20"/>
              </w:rPr>
              <w:t>Annual O&amp;M Costs for One Respondent</w:t>
            </w:r>
            <w:r>
              <w:rPr>
                <w:sz w:val="20"/>
                <w:szCs w:val="20"/>
                <w:vertAlign w:val="superscript"/>
              </w:rPr>
              <w:t xml:space="preserve"> a</w:t>
            </w:r>
          </w:p>
        </w:tc>
        <w:tc>
          <w:tcPr>
            <w:tcW w:w="1260" w:type="dxa"/>
          </w:tcPr>
          <w:p w:rsidR="00FD2392" w:rsidRDefault="00FD2392" w:rsidP="00E75F08">
            <w:pPr>
              <w:contextualSpacing/>
              <w:jc w:val="center"/>
              <w:rPr>
                <w:sz w:val="20"/>
                <w:szCs w:val="20"/>
              </w:rPr>
            </w:pPr>
            <w:r>
              <w:rPr>
                <w:sz w:val="20"/>
                <w:szCs w:val="20"/>
              </w:rPr>
              <w:t>(F)</w:t>
            </w:r>
          </w:p>
          <w:p w:rsidR="00FD2392" w:rsidRDefault="00FD2392" w:rsidP="00E75F08">
            <w:pPr>
              <w:contextualSpacing/>
              <w:jc w:val="center"/>
              <w:rPr>
                <w:sz w:val="20"/>
                <w:szCs w:val="20"/>
              </w:rPr>
            </w:pPr>
            <w:r>
              <w:rPr>
                <w:sz w:val="20"/>
                <w:szCs w:val="20"/>
              </w:rPr>
              <w:t>Number of Respondents with O&amp;M</w:t>
            </w:r>
            <w:r>
              <w:rPr>
                <w:sz w:val="20"/>
                <w:szCs w:val="20"/>
                <w:vertAlign w:val="superscript"/>
              </w:rPr>
              <w:t xml:space="preserve"> b</w:t>
            </w:r>
          </w:p>
        </w:tc>
        <w:tc>
          <w:tcPr>
            <w:tcW w:w="990" w:type="dxa"/>
          </w:tcPr>
          <w:p w:rsidR="00FD2392" w:rsidRDefault="00FD2392" w:rsidP="00E75F08">
            <w:pPr>
              <w:contextualSpacing/>
              <w:jc w:val="center"/>
              <w:rPr>
                <w:sz w:val="20"/>
                <w:szCs w:val="20"/>
              </w:rPr>
            </w:pPr>
            <w:r>
              <w:rPr>
                <w:sz w:val="20"/>
                <w:szCs w:val="20"/>
              </w:rPr>
              <w:t>(G)</w:t>
            </w:r>
          </w:p>
          <w:p w:rsidR="00FD2392" w:rsidRDefault="00FD2392" w:rsidP="00E75F08">
            <w:pPr>
              <w:contextualSpacing/>
              <w:jc w:val="center"/>
              <w:rPr>
                <w:sz w:val="20"/>
                <w:szCs w:val="20"/>
              </w:rPr>
            </w:pPr>
            <w:r>
              <w:rPr>
                <w:sz w:val="20"/>
                <w:szCs w:val="20"/>
              </w:rPr>
              <w:t>Total O&amp;M,</w:t>
            </w:r>
          </w:p>
          <w:p w:rsidR="00FD2392" w:rsidRDefault="00FD2392" w:rsidP="00E75F08">
            <w:pPr>
              <w:contextualSpacing/>
              <w:jc w:val="center"/>
              <w:rPr>
                <w:sz w:val="20"/>
                <w:szCs w:val="20"/>
              </w:rPr>
            </w:pPr>
            <w:r>
              <w:rPr>
                <w:sz w:val="20"/>
                <w:szCs w:val="20"/>
              </w:rPr>
              <w:t>(E×F)</w:t>
            </w:r>
          </w:p>
        </w:tc>
      </w:tr>
      <w:tr w:rsidR="00FD2392" w:rsidTr="00EC4210">
        <w:trPr>
          <w:cantSplit/>
          <w:jc w:val="center"/>
        </w:trPr>
        <w:tc>
          <w:tcPr>
            <w:tcW w:w="1620" w:type="dxa"/>
          </w:tcPr>
          <w:p w:rsidR="00FD2392" w:rsidRDefault="00FD2392" w:rsidP="00E75F08">
            <w:pPr>
              <w:contextualSpacing/>
              <w:rPr>
                <w:sz w:val="20"/>
                <w:szCs w:val="20"/>
              </w:rPr>
            </w:pPr>
            <w:r>
              <w:rPr>
                <w:sz w:val="20"/>
                <w:szCs w:val="20"/>
              </w:rPr>
              <w:t>SO</w:t>
            </w:r>
            <w:r>
              <w:rPr>
                <w:sz w:val="20"/>
                <w:szCs w:val="20"/>
                <w:vertAlign w:val="subscript"/>
              </w:rPr>
              <w:t>2</w:t>
            </w:r>
            <w:r>
              <w:rPr>
                <w:sz w:val="20"/>
                <w:szCs w:val="20"/>
              </w:rPr>
              <w:t xml:space="preserve"> CEM, control outlet (only for subpart LLL)</w:t>
            </w:r>
          </w:p>
        </w:tc>
        <w:tc>
          <w:tcPr>
            <w:tcW w:w="1440" w:type="dxa"/>
            <w:vAlign w:val="center"/>
          </w:tcPr>
          <w:p w:rsidR="00FD2392" w:rsidRDefault="00FD2392" w:rsidP="00E75F08">
            <w:pPr>
              <w:contextualSpacing/>
              <w:jc w:val="center"/>
              <w:rPr>
                <w:sz w:val="20"/>
                <w:szCs w:val="20"/>
              </w:rPr>
            </w:pPr>
            <w:r>
              <w:rPr>
                <w:sz w:val="20"/>
                <w:szCs w:val="20"/>
              </w:rPr>
              <w:t>$73,000</w:t>
            </w:r>
          </w:p>
        </w:tc>
        <w:tc>
          <w:tcPr>
            <w:tcW w:w="1254" w:type="dxa"/>
            <w:vAlign w:val="center"/>
          </w:tcPr>
          <w:p w:rsidR="00FD2392" w:rsidRDefault="006E7F14" w:rsidP="00E75F08">
            <w:pPr>
              <w:contextualSpacing/>
              <w:jc w:val="center"/>
              <w:rPr>
                <w:sz w:val="20"/>
                <w:szCs w:val="20"/>
              </w:rPr>
            </w:pPr>
            <w:r>
              <w:rPr>
                <w:sz w:val="20"/>
                <w:szCs w:val="20"/>
              </w:rPr>
              <w:t>0</w:t>
            </w:r>
          </w:p>
        </w:tc>
        <w:tc>
          <w:tcPr>
            <w:tcW w:w="1446" w:type="dxa"/>
            <w:vAlign w:val="center"/>
          </w:tcPr>
          <w:p w:rsidR="00FD2392" w:rsidRDefault="006E7F14" w:rsidP="00E75F08">
            <w:pPr>
              <w:contextualSpacing/>
              <w:jc w:val="center"/>
              <w:rPr>
                <w:sz w:val="20"/>
                <w:szCs w:val="20"/>
              </w:rPr>
            </w:pPr>
            <w:r>
              <w:rPr>
                <w:sz w:val="20"/>
                <w:szCs w:val="20"/>
              </w:rPr>
              <w:t>0</w:t>
            </w:r>
          </w:p>
        </w:tc>
        <w:tc>
          <w:tcPr>
            <w:tcW w:w="1350" w:type="dxa"/>
            <w:vAlign w:val="center"/>
          </w:tcPr>
          <w:p w:rsidR="00FD2392" w:rsidRDefault="00FD2392" w:rsidP="00E75F08">
            <w:pPr>
              <w:contextualSpacing/>
              <w:jc w:val="center"/>
              <w:rPr>
                <w:sz w:val="20"/>
                <w:szCs w:val="20"/>
              </w:rPr>
            </w:pPr>
            <w:r>
              <w:rPr>
                <w:sz w:val="20"/>
                <w:szCs w:val="20"/>
              </w:rPr>
              <w:t>$17,100</w:t>
            </w:r>
          </w:p>
        </w:tc>
        <w:tc>
          <w:tcPr>
            <w:tcW w:w="1260" w:type="dxa"/>
            <w:vAlign w:val="center"/>
          </w:tcPr>
          <w:p w:rsidR="00FD2392" w:rsidRDefault="006E7F14" w:rsidP="00E75F08">
            <w:pPr>
              <w:contextualSpacing/>
              <w:jc w:val="center"/>
              <w:rPr>
                <w:sz w:val="20"/>
                <w:szCs w:val="20"/>
              </w:rPr>
            </w:pPr>
            <w:r>
              <w:rPr>
                <w:sz w:val="20"/>
                <w:szCs w:val="20"/>
              </w:rPr>
              <w:t>4</w:t>
            </w:r>
          </w:p>
        </w:tc>
        <w:tc>
          <w:tcPr>
            <w:tcW w:w="990" w:type="dxa"/>
            <w:vAlign w:val="center"/>
          </w:tcPr>
          <w:p w:rsidR="00FD2392" w:rsidRDefault="00FD2392" w:rsidP="00E75F08">
            <w:pPr>
              <w:contextualSpacing/>
              <w:jc w:val="center"/>
              <w:rPr>
                <w:sz w:val="20"/>
                <w:szCs w:val="20"/>
              </w:rPr>
            </w:pPr>
            <w:r>
              <w:rPr>
                <w:sz w:val="20"/>
                <w:szCs w:val="20"/>
              </w:rPr>
              <w:t>$</w:t>
            </w:r>
            <w:r w:rsidR="006E7F14">
              <w:rPr>
                <w:sz w:val="20"/>
                <w:szCs w:val="20"/>
              </w:rPr>
              <w:t>68,400</w:t>
            </w:r>
          </w:p>
        </w:tc>
      </w:tr>
    </w:tbl>
    <w:p w:rsidR="00FD2392" w:rsidRDefault="00FD2392" w:rsidP="00E75F08">
      <w:pPr>
        <w:contextualSpacing/>
        <w:rPr>
          <w:b/>
          <w:sz w:val="20"/>
          <w:szCs w:val="20"/>
        </w:rPr>
      </w:pPr>
      <w:r>
        <w:rPr>
          <w:b/>
          <w:sz w:val="20"/>
          <w:szCs w:val="20"/>
        </w:rPr>
        <w:t>Assumptions:</w:t>
      </w:r>
    </w:p>
    <w:p w:rsidR="00FD2392" w:rsidRDefault="00FD2392" w:rsidP="00E75F08">
      <w:pPr>
        <w:contextualSpacing/>
        <w:rPr>
          <w:sz w:val="20"/>
          <w:szCs w:val="20"/>
        </w:rPr>
      </w:pPr>
      <w:r>
        <w:rPr>
          <w:sz w:val="20"/>
          <w:szCs w:val="20"/>
          <w:vertAlign w:val="superscript"/>
        </w:rPr>
        <w:t>a</w:t>
      </w:r>
      <w:r w:rsidR="006E7F14">
        <w:rPr>
          <w:sz w:val="20"/>
          <w:szCs w:val="20"/>
        </w:rPr>
        <w:t xml:space="preserve"> </w:t>
      </w:r>
      <w:r>
        <w:rPr>
          <w:sz w:val="20"/>
          <w:szCs w:val="20"/>
        </w:rPr>
        <w:t>Costs reflect installation and maintenance of an in-situ SO</w:t>
      </w:r>
      <w:r>
        <w:rPr>
          <w:sz w:val="20"/>
          <w:szCs w:val="20"/>
          <w:vertAlign w:val="subscript"/>
        </w:rPr>
        <w:t>2</w:t>
      </w:r>
      <w:r>
        <w:rPr>
          <w:sz w:val="20"/>
          <w:szCs w:val="20"/>
        </w:rPr>
        <w:t xml:space="preserve"> CEM after the control device and assume installation occurred during the construction of the facility.</w:t>
      </w:r>
    </w:p>
    <w:p w:rsidR="00FD2392" w:rsidRDefault="00FD2392" w:rsidP="00E75F08">
      <w:pPr>
        <w:contextualSpacing/>
        <w:rPr>
          <w:sz w:val="20"/>
          <w:szCs w:val="20"/>
        </w:rPr>
      </w:pPr>
      <w:r>
        <w:rPr>
          <w:sz w:val="20"/>
          <w:szCs w:val="20"/>
          <w:vertAlign w:val="superscript"/>
        </w:rPr>
        <w:t>b</w:t>
      </w:r>
      <w:r>
        <w:rPr>
          <w:sz w:val="20"/>
          <w:szCs w:val="20"/>
        </w:rPr>
        <w:t xml:space="preserve">  </w:t>
      </w:r>
      <w:r w:rsidR="006E7F14">
        <w:rPr>
          <w:sz w:val="20"/>
          <w:szCs w:val="20"/>
        </w:rPr>
        <w:t xml:space="preserve">We expect four existing facilities to have annual O &amp; M costs for monitoring under subpart LLL. </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total capital/startup costs for this ICR are $</w:t>
      </w:r>
      <w:r w:rsidR="006E7F14">
        <w:t>0</w:t>
      </w:r>
      <w:r>
        <w:t xml:space="preserve">.  This is the total of column D in the above table. </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total operation and maintenance (O&amp;M) costs for this ICR are $</w:t>
      </w:r>
      <w:r w:rsidR="006E7F14">
        <w:t>68,400</w:t>
      </w:r>
      <w:r>
        <w:t>.  This is the total of column G.</w:t>
      </w:r>
    </w:p>
    <w:p w:rsidR="00FD2392" w:rsidRDefault="00FD2392" w:rsidP="00E75F08">
      <w:pPr>
        <w:spacing w:line="360" w:lineRule="auto"/>
        <w:contextualSpacing/>
      </w:pPr>
    </w:p>
    <w:p w:rsidR="00E75F08" w:rsidRPr="004D74DE" w:rsidRDefault="00E75F08" w:rsidP="00E75F08">
      <w:pPr>
        <w:widowControl/>
        <w:spacing w:line="360" w:lineRule="auto"/>
        <w:ind w:left="720" w:firstLine="720"/>
        <w:contextualSpacing/>
        <w:rPr>
          <w:b/>
          <w:iCs/>
        </w:rPr>
      </w:pPr>
      <w:r w:rsidRPr="004D74DE">
        <w:rPr>
          <w:b/>
          <w:iCs/>
        </w:rPr>
        <w:t>(iv) Affirmative Defense/Root Cause Analysis/Malfunction Costs.</w:t>
      </w:r>
    </w:p>
    <w:p w:rsidR="00E75F08" w:rsidRDefault="00E75F08" w:rsidP="00E75F08">
      <w:pPr>
        <w:widowControl/>
        <w:spacing w:line="360" w:lineRule="auto"/>
        <w:ind w:firstLine="720"/>
        <w:contextualSpacing/>
      </w:pPr>
    </w:p>
    <w:p w:rsidR="00E75F08" w:rsidRPr="004D74DE" w:rsidRDefault="00E75F08" w:rsidP="00E75F08">
      <w:pPr>
        <w:widowControl/>
        <w:spacing w:line="360" w:lineRule="auto"/>
        <w:ind w:firstLine="720"/>
        <w:contextualSpacing/>
      </w:pPr>
      <w:r w:rsidRPr="004D74DE">
        <w:t xml:space="preserve">The EPA’s estimate for an affirmative defense and root cause analysis in </w:t>
      </w:r>
      <w:r>
        <w:t>the table</w:t>
      </w:r>
      <w:r w:rsidRPr="004D74DE">
        <w:t xml:space="preserve"> is based</w:t>
      </w:r>
      <w:r>
        <w:t xml:space="preserve"> </w:t>
      </w:r>
      <w:r w:rsidRPr="004D74DE">
        <w:t>on general experience to calculate the time and effort required of a source to review relevant</w:t>
      </w:r>
      <w:r>
        <w:t xml:space="preserve"> </w:t>
      </w:r>
      <w:r w:rsidRPr="004D74DE">
        <w:t>data, interview plant employees, and reconstruct the events prior to a malfunction in order to</w:t>
      </w:r>
      <w:r>
        <w:t xml:space="preserve"> </w:t>
      </w:r>
      <w:r w:rsidRPr="004D74DE">
        <w:t>determine primary and contributing causes. The level of effort also includes time to produce and</w:t>
      </w:r>
      <w:r>
        <w:t xml:space="preserve"> </w:t>
      </w:r>
      <w:r w:rsidRPr="004D74DE">
        <w:t>retain the report in document form so that the source will have it available should EPA or state</w:t>
      </w:r>
      <w:r>
        <w:t xml:space="preserve"> </w:t>
      </w:r>
      <w:r w:rsidRPr="004D74DE">
        <w:t>enforcement agencies ever request to review it.</w:t>
      </w:r>
    </w:p>
    <w:p w:rsidR="00E75F08" w:rsidRDefault="00E75F08" w:rsidP="00E75F08">
      <w:pPr>
        <w:widowControl/>
        <w:spacing w:line="360" w:lineRule="auto"/>
        <w:ind w:firstLine="720"/>
        <w:contextualSpacing/>
      </w:pPr>
    </w:p>
    <w:p w:rsidR="00E75F08" w:rsidRPr="004D74DE" w:rsidRDefault="00E75F08" w:rsidP="00E75F08">
      <w:pPr>
        <w:widowControl/>
        <w:spacing w:line="360" w:lineRule="auto"/>
        <w:ind w:firstLine="720"/>
        <w:contextualSpacing/>
      </w:pPr>
      <w:r w:rsidRPr="004D74DE">
        <w:t>The labor rates used for these costs are from the United States Department of Labor,</w:t>
      </w:r>
    </w:p>
    <w:p w:rsidR="00E75F08" w:rsidRPr="004D74DE" w:rsidRDefault="00E75F08" w:rsidP="00E75F08">
      <w:pPr>
        <w:widowControl/>
        <w:spacing w:line="360" w:lineRule="auto"/>
        <w:contextualSpacing/>
      </w:pPr>
      <w:r w:rsidRPr="004D74DE">
        <w:t>Bureau of Labor Statistics, September 2009, Table 2</w:t>
      </w:r>
      <w:r>
        <w:t>,</w:t>
      </w:r>
      <w:r w:rsidRPr="004D74DE">
        <w:t xml:space="preserve"> Civilian Workers, by occupational and</w:t>
      </w:r>
      <w:r>
        <w:t xml:space="preserve"> </w:t>
      </w:r>
      <w:r w:rsidRPr="004D74DE">
        <w:t>industry group. The rates are from column 1, Total compensation. The rates have been increased</w:t>
      </w:r>
      <w:r>
        <w:t xml:space="preserve"> </w:t>
      </w:r>
      <w:r w:rsidRPr="004D74DE">
        <w:t>by 110 percent to account for the benefit packages available to those employed by private</w:t>
      </w:r>
      <w:r>
        <w:t xml:space="preserve"> </w:t>
      </w:r>
      <w:r w:rsidRPr="004D74DE">
        <w:t>industry.</w:t>
      </w:r>
    </w:p>
    <w:p w:rsidR="00E75F08" w:rsidRDefault="00E75F08" w:rsidP="00E75F08">
      <w:pPr>
        <w:widowControl/>
        <w:spacing w:line="360" w:lineRule="auto"/>
        <w:contextualSpacing/>
        <w:rPr>
          <w:b/>
          <w:bCs/>
        </w:rPr>
      </w:pPr>
    </w:p>
    <w:p w:rsidR="00E75F08" w:rsidRDefault="00E75F08" w:rsidP="00E75F08">
      <w:pPr>
        <w:widowControl/>
        <w:spacing w:line="360" w:lineRule="auto"/>
        <w:contextualSpacing/>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1440"/>
        <w:gridCol w:w="1530"/>
        <w:gridCol w:w="1350"/>
        <w:gridCol w:w="1440"/>
        <w:gridCol w:w="1440"/>
      </w:tblGrid>
      <w:tr w:rsidR="00E75F08" w:rsidRPr="002146BA" w:rsidTr="00C73B16">
        <w:tc>
          <w:tcPr>
            <w:tcW w:w="2448" w:type="dxa"/>
            <w:shd w:val="clear" w:color="auto" w:fill="auto"/>
          </w:tcPr>
          <w:p w:rsidR="00E75F08" w:rsidRPr="002146BA" w:rsidRDefault="00E75F08" w:rsidP="00E75F08">
            <w:pPr>
              <w:widowControl/>
              <w:contextualSpacing/>
              <w:jc w:val="center"/>
              <w:rPr>
                <w:rFonts w:eastAsia="SimSun"/>
                <w:b/>
                <w:bCs/>
                <w:sz w:val="22"/>
                <w:szCs w:val="22"/>
              </w:rPr>
            </w:pPr>
            <w:r w:rsidRPr="002146BA">
              <w:rPr>
                <w:rFonts w:eastAsia="SimSun"/>
                <w:b/>
                <w:bCs/>
                <w:sz w:val="22"/>
                <w:szCs w:val="22"/>
              </w:rPr>
              <w:t>Personnel</w:t>
            </w:r>
          </w:p>
        </w:tc>
        <w:tc>
          <w:tcPr>
            <w:tcW w:w="1440" w:type="dxa"/>
            <w:shd w:val="clear" w:color="auto" w:fill="auto"/>
          </w:tcPr>
          <w:p w:rsidR="00E75F08" w:rsidRPr="002146BA" w:rsidRDefault="00E75F08" w:rsidP="00E75F08">
            <w:pPr>
              <w:widowControl/>
              <w:contextualSpacing/>
              <w:jc w:val="center"/>
              <w:rPr>
                <w:rFonts w:eastAsia="SimSun"/>
                <w:b/>
                <w:bCs/>
                <w:sz w:val="22"/>
                <w:szCs w:val="22"/>
              </w:rPr>
            </w:pPr>
            <w:r w:rsidRPr="002146BA">
              <w:rPr>
                <w:rFonts w:eastAsia="SimSun"/>
                <w:b/>
                <w:bCs/>
                <w:sz w:val="22"/>
                <w:szCs w:val="22"/>
              </w:rPr>
              <w:t>Number of Personnel</w:t>
            </w:r>
          </w:p>
        </w:tc>
        <w:tc>
          <w:tcPr>
            <w:tcW w:w="1530" w:type="dxa"/>
            <w:shd w:val="clear" w:color="auto" w:fill="auto"/>
          </w:tcPr>
          <w:p w:rsidR="00E75F08" w:rsidRPr="002146BA" w:rsidRDefault="00E75F08" w:rsidP="00E75F08">
            <w:pPr>
              <w:widowControl/>
              <w:contextualSpacing/>
              <w:jc w:val="center"/>
              <w:rPr>
                <w:rFonts w:eastAsia="SimSun"/>
                <w:b/>
                <w:bCs/>
                <w:sz w:val="22"/>
                <w:szCs w:val="22"/>
              </w:rPr>
            </w:pPr>
            <w:r w:rsidRPr="002146BA">
              <w:rPr>
                <w:rFonts w:eastAsia="SimSun"/>
                <w:b/>
                <w:bCs/>
                <w:sz w:val="22"/>
                <w:szCs w:val="22"/>
              </w:rPr>
              <w:t>Time Requirement (hours)</w:t>
            </w:r>
          </w:p>
        </w:tc>
        <w:tc>
          <w:tcPr>
            <w:tcW w:w="1350" w:type="dxa"/>
            <w:shd w:val="clear" w:color="auto" w:fill="auto"/>
          </w:tcPr>
          <w:p w:rsidR="00E75F08" w:rsidRPr="002146BA" w:rsidRDefault="00E75F08" w:rsidP="00E75F08">
            <w:pPr>
              <w:widowControl/>
              <w:contextualSpacing/>
              <w:jc w:val="center"/>
              <w:rPr>
                <w:rFonts w:eastAsia="SimSun"/>
                <w:b/>
                <w:bCs/>
                <w:sz w:val="22"/>
                <w:szCs w:val="22"/>
              </w:rPr>
            </w:pPr>
            <w:r w:rsidRPr="002146BA">
              <w:rPr>
                <w:rFonts w:eastAsia="SimSun"/>
                <w:b/>
                <w:bCs/>
                <w:sz w:val="22"/>
                <w:szCs w:val="22"/>
              </w:rPr>
              <w:t>Total Hours</w:t>
            </w:r>
          </w:p>
        </w:tc>
        <w:tc>
          <w:tcPr>
            <w:tcW w:w="1440" w:type="dxa"/>
            <w:shd w:val="clear" w:color="auto" w:fill="auto"/>
          </w:tcPr>
          <w:p w:rsidR="00E75F08" w:rsidRPr="002146BA" w:rsidRDefault="00E75F08" w:rsidP="00E75F08">
            <w:pPr>
              <w:widowControl/>
              <w:contextualSpacing/>
              <w:jc w:val="center"/>
              <w:rPr>
                <w:rFonts w:eastAsia="SimSun"/>
                <w:b/>
                <w:bCs/>
                <w:sz w:val="22"/>
                <w:szCs w:val="22"/>
              </w:rPr>
            </w:pPr>
            <w:r w:rsidRPr="002146BA">
              <w:rPr>
                <w:rFonts w:eastAsia="SimSun"/>
                <w:b/>
                <w:bCs/>
                <w:sz w:val="22"/>
                <w:szCs w:val="22"/>
              </w:rPr>
              <w:t>Hourly Rate ($/hr)</w:t>
            </w:r>
          </w:p>
        </w:tc>
        <w:tc>
          <w:tcPr>
            <w:tcW w:w="1440" w:type="dxa"/>
            <w:shd w:val="clear" w:color="auto" w:fill="auto"/>
          </w:tcPr>
          <w:p w:rsidR="00E75F08" w:rsidRPr="002146BA" w:rsidRDefault="00E75F08" w:rsidP="00E75F08">
            <w:pPr>
              <w:widowControl/>
              <w:contextualSpacing/>
              <w:jc w:val="center"/>
              <w:rPr>
                <w:rFonts w:eastAsia="SimSun"/>
                <w:b/>
                <w:bCs/>
                <w:sz w:val="22"/>
                <w:szCs w:val="22"/>
              </w:rPr>
            </w:pPr>
            <w:r w:rsidRPr="002146BA">
              <w:rPr>
                <w:rFonts w:eastAsia="SimSun"/>
                <w:b/>
                <w:bCs/>
                <w:sz w:val="22"/>
                <w:szCs w:val="22"/>
              </w:rPr>
              <w:t>Total</w:t>
            </w:r>
          </w:p>
        </w:tc>
      </w:tr>
      <w:tr w:rsidR="00E75F08" w:rsidRPr="002146BA" w:rsidTr="00C73B16">
        <w:trPr>
          <w:trHeight w:val="432"/>
        </w:trPr>
        <w:tc>
          <w:tcPr>
            <w:tcW w:w="2448" w:type="dxa"/>
            <w:shd w:val="clear" w:color="auto" w:fill="auto"/>
            <w:vAlign w:val="center"/>
          </w:tcPr>
          <w:p w:rsidR="00E75F08" w:rsidRPr="002146BA" w:rsidRDefault="00E75F08" w:rsidP="00E75F08">
            <w:pPr>
              <w:widowControl/>
              <w:contextualSpacing/>
              <w:rPr>
                <w:rFonts w:eastAsia="SimSun"/>
                <w:bCs/>
                <w:sz w:val="22"/>
                <w:szCs w:val="22"/>
              </w:rPr>
            </w:pPr>
            <w:r w:rsidRPr="002146BA">
              <w:rPr>
                <w:rFonts w:eastAsia="SimSun"/>
                <w:bCs/>
                <w:sz w:val="22"/>
                <w:szCs w:val="22"/>
              </w:rPr>
              <w:t>Technical Personnel</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3</w:t>
            </w:r>
          </w:p>
        </w:tc>
        <w:tc>
          <w:tcPr>
            <w:tcW w:w="153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6</w:t>
            </w:r>
          </w:p>
        </w:tc>
        <w:tc>
          <w:tcPr>
            <w:tcW w:w="135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18</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$98.20</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$1,768</w:t>
            </w:r>
          </w:p>
        </w:tc>
      </w:tr>
      <w:tr w:rsidR="00E75F08" w:rsidRPr="002146BA" w:rsidTr="00C73B16">
        <w:trPr>
          <w:trHeight w:val="432"/>
        </w:trPr>
        <w:tc>
          <w:tcPr>
            <w:tcW w:w="2448" w:type="dxa"/>
            <w:shd w:val="clear" w:color="auto" w:fill="auto"/>
            <w:vAlign w:val="center"/>
          </w:tcPr>
          <w:p w:rsidR="00E75F08" w:rsidRPr="002146BA" w:rsidRDefault="00E75F08" w:rsidP="00E75F08">
            <w:pPr>
              <w:widowControl/>
              <w:contextualSpacing/>
              <w:rPr>
                <w:rFonts w:eastAsia="SimSun"/>
                <w:bCs/>
                <w:sz w:val="22"/>
                <w:szCs w:val="22"/>
              </w:rPr>
            </w:pPr>
            <w:r w:rsidRPr="002146BA">
              <w:rPr>
                <w:rFonts w:eastAsia="SimSun"/>
                <w:bCs/>
                <w:sz w:val="22"/>
                <w:szCs w:val="22"/>
              </w:rPr>
              <w:t>Managerial Personnel</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2</w:t>
            </w:r>
          </w:p>
        </w:tc>
        <w:tc>
          <w:tcPr>
            <w:tcW w:w="153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6</w:t>
            </w:r>
          </w:p>
        </w:tc>
        <w:tc>
          <w:tcPr>
            <w:tcW w:w="135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12</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$114.49</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$1,374</w:t>
            </w:r>
          </w:p>
        </w:tc>
      </w:tr>
      <w:tr w:rsidR="00E75F08" w:rsidRPr="002146BA" w:rsidTr="00C73B16">
        <w:trPr>
          <w:trHeight w:val="432"/>
        </w:trPr>
        <w:tc>
          <w:tcPr>
            <w:tcW w:w="2448" w:type="dxa"/>
            <w:shd w:val="clear" w:color="auto" w:fill="auto"/>
            <w:vAlign w:val="center"/>
          </w:tcPr>
          <w:p w:rsidR="00E75F08" w:rsidRPr="002146BA" w:rsidRDefault="00E75F08" w:rsidP="00E75F08">
            <w:pPr>
              <w:widowControl/>
              <w:contextualSpacing/>
              <w:rPr>
                <w:rFonts w:eastAsia="SimSun"/>
                <w:bCs/>
                <w:sz w:val="22"/>
                <w:szCs w:val="22"/>
              </w:rPr>
            </w:pPr>
            <w:r w:rsidRPr="002146BA">
              <w:rPr>
                <w:rFonts w:eastAsia="SimSun"/>
                <w:bCs/>
                <w:sz w:val="22"/>
                <w:szCs w:val="22"/>
              </w:rPr>
              <w:t>Total</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5</w:t>
            </w:r>
          </w:p>
        </w:tc>
        <w:tc>
          <w:tcPr>
            <w:tcW w:w="1530" w:type="dxa"/>
            <w:shd w:val="clear" w:color="auto" w:fill="auto"/>
            <w:vAlign w:val="center"/>
          </w:tcPr>
          <w:p w:rsidR="00E75F08" w:rsidRPr="002146BA" w:rsidRDefault="00E75F08" w:rsidP="00E75F08">
            <w:pPr>
              <w:widowControl/>
              <w:contextualSpacing/>
              <w:jc w:val="center"/>
              <w:rPr>
                <w:rFonts w:eastAsia="SimSun"/>
                <w:bCs/>
                <w:sz w:val="22"/>
                <w:szCs w:val="22"/>
              </w:rPr>
            </w:pPr>
          </w:p>
        </w:tc>
        <w:tc>
          <w:tcPr>
            <w:tcW w:w="135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30</w:t>
            </w: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p>
        </w:tc>
        <w:tc>
          <w:tcPr>
            <w:tcW w:w="1440" w:type="dxa"/>
            <w:shd w:val="clear" w:color="auto" w:fill="auto"/>
            <w:vAlign w:val="center"/>
          </w:tcPr>
          <w:p w:rsidR="00E75F08" w:rsidRPr="002146BA" w:rsidRDefault="00E75F08" w:rsidP="00E75F08">
            <w:pPr>
              <w:widowControl/>
              <w:contextualSpacing/>
              <w:jc w:val="center"/>
              <w:rPr>
                <w:rFonts w:eastAsia="SimSun"/>
                <w:bCs/>
                <w:sz w:val="22"/>
                <w:szCs w:val="22"/>
              </w:rPr>
            </w:pPr>
            <w:r w:rsidRPr="002146BA">
              <w:rPr>
                <w:rFonts w:eastAsia="SimSun"/>
                <w:bCs/>
                <w:sz w:val="22"/>
                <w:szCs w:val="22"/>
              </w:rPr>
              <w:t>$3,141</w:t>
            </w:r>
          </w:p>
        </w:tc>
      </w:tr>
    </w:tbl>
    <w:p w:rsidR="00E75F08" w:rsidRDefault="00E75F08" w:rsidP="00E75F08">
      <w:pPr>
        <w:spacing w:line="360" w:lineRule="auto"/>
        <w:contextualSpacing/>
      </w:pPr>
    </w:p>
    <w:p w:rsidR="00E75F08" w:rsidRDefault="00E75F08" w:rsidP="00E75F08">
      <w:pPr>
        <w:spacing w:line="360" w:lineRule="auto"/>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6(c)  Estimating Agency Burden and Cost</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The only costs to the Agency are those costs associated with analysis of the reported information.  The EPA overall compliance and enforcement program includes activities such as the examination of records maintained by the respondents, periodic inspection of sources of emissions, and the publication and distribution of collected information. </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The average annual Agency cost during the three years of the ICR is estimated to be </w:t>
      </w:r>
      <w:r w:rsidRPr="00D35B06">
        <w:t>$</w:t>
      </w:r>
      <w:r w:rsidR="00D35B06" w:rsidRPr="00D35B06">
        <w:t>420,400</w:t>
      </w:r>
      <w:r w:rsidRPr="00D35B06">
        <w:t>.</w:t>
      </w:r>
      <w:r>
        <w:t xml:space="preserve">  </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This cost is based on the average hourly labor rate as follows:</w:t>
      </w:r>
    </w:p>
    <w:p w:rsidR="00FD2392" w:rsidRDefault="00FD2392" w:rsidP="00E75F08">
      <w:pPr>
        <w:spacing w:line="360" w:lineRule="auto"/>
        <w:ind w:firstLine="720"/>
        <w:contextualSpacing/>
      </w:pPr>
    </w:p>
    <w:p w:rsidR="00FD2392" w:rsidRDefault="00FD2392" w:rsidP="00E75F08">
      <w:pPr>
        <w:spacing w:line="360" w:lineRule="auto"/>
        <w:contextualSpacing/>
      </w:pPr>
      <w:r>
        <w:tab/>
      </w:r>
      <w:r>
        <w:tab/>
        <w:t>Managerial</w:t>
      </w:r>
      <w:r>
        <w:tab/>
        <w:t xml:space="preserve">$62.27 (GS-13, Step 5, $38.92 + 60%) </w:t>
      </w:r>
    </w:p>
    <w:p w:rsidR="00FD2392" w:rsidRDefault="00FD2392" w:rsidP="00E75F08">
      <w:pPr>
        <w:spacing w:line="360" w:lineRule="auto"/>
        <w:contextualSpacing/>
      </w:pPr>
      <w:r>
        <w:tab/>
      </w:r>
      <w:r>
        <w:tab/>
        <w:t>Technical</w:t>
      </w:r>
      <w:r>
        <w:tab/>
        <w:t>$46.21 (GS-12, Step 1, $28.88 + 60%)</w:t>
      </w:r>
    </w:p>
    <w:p w:rsidR="00FD2392" w:rsidRDefault="00FD2392" w:rsidP="00E75F08">
      <w:pPr>
        <w:spacing w:line="360" w:lineRule="auto"/>
        <w:contextualSpacing/>
      </w:pPr>
      <w:r>
        <w:tab/>
      </w:r>
      <w:r>
        <w:tab/>
        <w:t>Clerical</w:t>
      </w:r>
      <w:r>
        <w:tab/>
        <w:t>$25.01 (GS-6, Step 3, $15.63 + 60%)</w:t>
      </w:r>
    </w:p>
    <w:p w:rsidR="00FD2392" w:rsidRDefault="00FD2392" w:rsidP="00E75F08">
      <w:pPr>
        <w:spacing w:line="360" w:lineRule="auto"/>
        <w:contextualSpacing/>
      </w:pPr>
    </w:p>
    <w:p w:rsidR="00FD2392" w:rsidRDefault="00FD2392" w:rsidP="00E75F08">
      <w:pPr>
        <w:spacing w:line="360" w:lineRule="auto"/>
        <w:ind w:firstLine="720"/>
        <w:contextualSpacing/>
      </w:pPr>
      <w:r>
        <w:t>These rates are from the Office of Personnel Management (OPM), 2010 General Schedule, which excludes locality rates of pay.  The rates have been increased by 60 percent to account for the benefit packages available to government employees.  Details upon which this estimate is based appear below in Table 2: Annual Agency Burden and Cost, NSPS for Onshore Natural Gas Processing Plants (40 CFR Part 60, Subparts KKK and LLL)</w:t>
      </w:r>
      <w:r w:rsidR="003E0DA4">
        <w:t xml:space="preserve"> (Renewal)</w:t>
      </w:r>
      <w:r>
        <w:t>.</w:t>
      </w:r>
    </w:p>
    <w:p w:rsidR="00FD2392" w:rsidRDefault="00FD2392" w:rsidP="00E75F08">
      <w:pPr>
        <w:spacing w:line="360" w:lineRule="auto"/>
        <w:contextualSpacing/>
      </w:pPr>
    </w:p>
    <w:p w:rsidR="00FD2392" w:rsidRDefault="00FD2392" w:rsidP="00E75F08">
      <w:pPr>
        <w:spacing w:line="360" w:lineRule="auto"/>
        <w:ind w:left="720"/>
        <w:contextualSpacing/>
        <w:rPr>
          <w:b/>
        </w:rPr>
      </w:pPr>
      <w:r>
        <w:rPr>
          <w:b/>
        </w:rPr>
        <w:t>6(d)  Estimating the Respondent Universe and Total Burden and Costs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Based on our research for this ICR, on average over the next th</w:t>
      </w:r>
      <w:r w:rsidR="00B97EDD">
        <w:t>ree years, approximately 507</w:t>
      </w:r>
      <w:r>
        <w:t xml:space="preserve"> existing respondents will be subject to the standard.  It is estimated that an additional one respondent per year will become subject to subpart KKK and three for subpart LLL over the next three years.  The overall average number of respondents, as shown in the table below is 5</w:t>
      </w:r>
      <w:r w:rsidR="00B97EDD">
        <w:t>07</w:t>
      </w:r>
      <w:r>
        <w:t xml:space="preserve"> per year.</w:t>
      </w:r>
    </w:p>
    <w:p w:rsidR="00FD2392" w:rsidRDefault="00FD2392" w:rsidP="00E75F08">
      <w:pPr>
        <w:spacing w:line="360" w:lineRule="auto"/>
        <w:ind w:firstLine="720"/>
        <w:contextualSpacing/>
      </w:pPr>
    </w:p>
    <w:p w:rsidR="00E75F08" w:rsidRDefault="00FD2392" w:rsidP="00E75F08">
      <w:pPr>
        <w:spacing w:line="360" w:lineRule="auto"/>
        <w:ind w:firstLine="720"/>
        <w:contextualSpacing/>
      </w:pPr>
      <w:r>
        <w:t xml:space="preserve">The number of respondents is calculated using the following table that addresses the three years covered by this ICR.  </w:t>
      </w:r>
    </w:p>
    <w:p w:rsidR="00FD2392" w:rsidRDefault="00E75F08" w:rsidP="00E75F08">
      <w:pPr>
        <w:spacing w:line="360" w:lineRule="auto"/>
        <w:ind w:firstLine="720"/>
        <w:contextualSpacing/>
      </w:pPr>
      <w:r>
        <w:br w:type="page"/>
      </w:r>
    </w:p>
    <w:tbl>
      <w:tblPr>
        <w:tblW w:w="8100" w:type="dxa"/>
        <w:jc w:val="center"/>
        <w:tblInd w:w="93" w:type="dxa"/>
        <w:tblLook w:val="04A0"/>
      </w:tblPr>
      <w:tblGrid>
        <w:gridCol w:w="1620"/>
        <w:gridCol w:w="1620"/>
        <w:gridCol w:w="1620"/>
        <w:gridCol w:w="1620"/>
        <w:gridCol w:w="1620"/>
      </w:tblGrid>
      <w:tr w:rsidR="00433911" w:rsidRPr="00433911" w:rsidTr="00433911">
        <w:trPr>
          <w:cantSplit/>
          <w:trHeight w:val="330"/>
          <w:jc w:val="center"/>
        </w:trPr>
        <w:tc>
          <w:tcPr>
            <w:tcW w:w="81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b/>
                <w:bCs/>
              </w:rPr>
            </w:pPr>
            <w:r w:rsidRPr="00433911">
              <w:rPr>
                <w:b/>
                <w:bCs/>
              </w:rPr>
              <w:t>Number of Respondents</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 </w:t>
            </w:r>
          </w:p>
        </w:tc>
        <w:tc>
          <w:tcPr>
            <w:tcW w:w="3240" w:type="dxa"/>
            <w:gridSpan w:val="2"/>
            <w:tcBorders>
              <w:top w:val="single" w:sz="4" w:space="0" w:color="auto"/>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Respondents That Submit Reports</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 </w:t>
            </w:r>
          </w:p>
        </w:tc>
      </w:tr>
      <w:tr w:rsidR="00433911" w:rsidRPr="00433911" w:rsidTr="00433911">
        <w:trPr>
          <w:cantSplit/>
          <w:trHeight w:val="315"/>
          <w:jc w:val="center"/>
        </w:trPr>
        <w:tc>
          <w:tcPr>
            <w:tcW w:w="1620" w:type="dxa"/>
            <w:vMerge w:val="restart"/>
            <w:tcBorders>
              <w:top w:val="nil"/>
              <w:left w:val="single" w:sz="8" w:space="0" w:color="000000"/>
              <w:bottom w:val="nil"/>
              <w:right w:val="nil"/>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Year</w:t>
            </w:r>
          </w:p>
        </w:tc>
        <w:tc>
          <w:tcPr>
            <w:tcW w:w="1620" w:type="dxa"/>
            <w:tcBorders>
              <w:top w:val="nil"/>
              <w:left w:val="single" w:sz="4" w:space="0" w:color="auto"/>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(A)</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(B)</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(C)</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(D</w:t>
            </w:r>
            <w:r w:rsidRPr="00433911">
              <w:rPr>
                <w:sz w:val="20"/>
                <w:szCs w:val="20"/>
              </w:rPr>
              <w:t>)</w:t>
            </w:r>
          </w:p>
        </w:tc>
      </w:tr>
      <w:tr w:rsidR="00433911" w:rsidRPr="00433911" w:rsidTr="00433911">
        <w:trPr>
          <w:trHeight w:val="1530"/>
          <w:jc w:val="center"/>
        </w:trPr>
        <w:tc>
          <w:tcPr>
            <w:tcW w:w="1620" w:type="dxa"/>
            <w:vMerge/>
            <w:tcBorders>
              <w:top w:val="nil"/>
              <w:left w:val="single" w:sz="8" w:space="0" w:color="000000"/>
              <w:bottom w:val="nil"/>
              <w:right w:val="nil"/>
            </w:tcBorders>
            <w:vAlign w:val="center"/>
            <w:hideMark/>
          </w:tcPr>
          <w:p w:rsidR="00433911" w:rsidRPr="00433911" w:rsidRDefault="00433911" w:rsidP="00E75F08">
            <w:pPr>
              <w:widowControl/>
              <w:autoSpaceDE/>
              <w:autoSpaceDN/>
              <w:adjustRightInd/>
              <w:contextualSpacing/>
              <w:rPr>
                <w:sz w:val="20"/>
                <w:szCs w:val="20"/>
              </w:rPr>
            </w:pPr>
          </w:p>
        </w:tc>
        <w:tc>
          <w:tcPr>
            <w:tcW w:w="1620" w:type="dxa"/>
            <w:tcBorders>
              <w:top w:val="nil"/>
              <w:left w:val="single" w:sz="4" w:space="0" w:color="auto"/>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Number of Existing Respondents</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 xml:space="preserve">Number of Existing Respondents that would now Report under Subpart OOOO </w:t>
            </w:r>
            <w:r w:rsidRPr="00433911">
              <w:rPr>
                <w:vertAlign w:val="superscript"/>
              </w:rPr>
              <w:t>a</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Number of Existing Respondents that keep records but do not submit reports</w:t>
            </w:r>
          </w:p>
        </w:tc>
        <w:tc>
          <w:tcPr>
            <w:tcW w:w="1620" w:type="dxa"/>
            <w:tcBorders>
              <w:top w:val="nil"/>
              <w:left w:val="nil"/>
              <w:bottom w:val="nil"/>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Number of Respondents</w:t>
            </w:r>
          </w:p>
        </w:tc>
      </w:tr>
      <w:tr w:rsidR="00433911" w:rsidRPr="00433911" w:rsidTr="00433911">
        <w:trPr>
          <w:trHeight w:val="315"/>
          <w:jc w:val="center"/>
        </w:trPr>
        <w:tc>
          <w:tcPr>
            <w:tcW w:w="1620" w:type="dxa"/>
            <w:vMerge/>
            <w:tcBorders>
              <w:top w:val="nil"/>
              <w:left w:val="single" w:sz="8" w:space="0" w:color="000000"/>
              <w:bottom w:val="nil"/>
              <w:right w:val="nil"/>
            </w:tcBorders>
            <w:vAlign w:val="center"/>
            <w:hideMark/>
          </w:tcPr>
          <w:p w:rsidR="00433911" w:rsidRPr="00433911" w:rsidRDefault="00433911" w:rsidP="00E75F08">
            <w:pPr>
              <w:widowControl/>
              <w:autoSpaceDE/>
              <w:autoSpaceDN/>
              <w:adjustRightInd/>
              <w:contextualSpacing/>
              <w:rPr>
                <w:sz w:val="20"/>
                <w:szCs w:val="20"/>
              </w:rPr>
            </w:pPr>
          </w:p>
        </w:tc>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33911" w:rsidRPr="00433911" w:rsidRDefault="00433911" w:rsidP="00E75F08">
            <w:pPr>
              <w:widowControl/>
              <w:autoSpaceDE/>
              <w:autoSpaceDN/>
              <w:adjustRightInd/>
              <w:contextualSpacing/>
            </w:pPr>
            <w:r w:rsidRPr="00433911">
              <w:t> </w:t>
            </w:r>
          </w:p>
        </w:tc>
        <w:tc>
          <w:tcPr>
            <w:tcW w:w="1620" w:type="dxa"/>
            <w:tcBorders>
              <w:top w:val="nil"/>
              <w:left w:val="nil"/>
              <w:bottom w:val="single" w:sz="4" w:space="0" w:color="auto"/>
              <w:right w:val="single" w:sz="4" w:space="0" w:color="auto"/>
            </w:tcBorders>
            <w:shd w:val="clear" w:color="auto" w:fill="auto"/>
            <w:hideMark/>
          </w:tcPr>
          <w:p w:rsidR="00433911" w:rsidRPr="00433911" w:rsidRDefault="00433911" w:rsidP="00E75F08">
            <w:pPr>
              <w:widowControl/>
              <w:autoSpaceDE/>
              <w:autoSpaceDN/>
              <w:adjustRightInd/>
              <w:contextualSpacing/>
            </w:pPr>
            <w:r w:rsidRPr="00433911">
              <w:t> </w:t>
            </w:r>
          </w:p>
        </w:tc>
        <w:tc>
          <w:tcPr>
            <w:tcW w:w="1620" w:type="dxa"/>
            <w:tcBorders>
              <w:top w:val="nil"/>
              <w:left w:val="nil"/>
              <w:bottom w:val="single" w:sz="4" w:space="0" w:color="auto"/>
              <w:right w:val="single" w:sz="4" w:space="0" w:color="auto"/>
            </w:tcBorders>
            <w:shd w:val="clear" w:color="auto" w:fill="auto"/>
            <w:hideMark/>
          </w:tcPr>
          <w:p w:rsidR="00433911" w:rsidRPr="00433911" w:rsidRDefault="00433911" w:rsidP="00E75F08">
            <w:pPr>
              <w:widowControl/>
              <w:autoSpaceDE/>
              <w:autoSpaceDN/>
              <w:adjustRightInd/>
              <w:contextualSpacing/>
            </w:pPr>
            <w:r w:rsidRPr="00433911">
              <w:t> </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(D=A-B-C</w:t>
            </w:r>
            <w:r w:rsidRPr="00433911">
              <w:rPr>
                <w:sz w:val="20"/>
                <w:szCs w:val="20"/>
              </w:rPr>
              <w:t>)</w:t>
            </w:r>
          </w:p>
        </w:tc>
      </w:tr>
      <w:tr w:rsidR="00433911" w:rsidRPr="00433911" w:rsidTr="00433911">
        <w:trPr>
          <w:cantSplit/>
          <w:trHeight w:val="315"/>
          <w:jc w:val="center"/>
        </w:trPr>
        <w:tc>
          <w:tcPr>
            <w:tcW w:w="81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rPr>
                <w:sz w:val="20"/>
                <w:szCs w:val="20"/>
              </w:rPr>
            </w:pPr>
            <w:r w:rsidRPr="00433911">
              <w:rPr>
                <w:sz w:val="20"/>
                <w:szCs w:val="20"/>
              </w:rPr>
              <w:t xml:space="preserve">Subpart KKK </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561</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27</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534</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2</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534</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27</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507</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507</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27</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480</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Average</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534</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27</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507</w:t>
            </w:r>
          </w:p>
        </w:tc>
      </w:tr>
      <w:tr w:rsidR="00433911" w:rsidRPr="00433911" w:rsidTr="00433911">
        <w:trPr>
          <w:cantSplit/>
          <w:trHeight w:val="315"/>
          <w:jc w:val="center"/>
        </w:trPr>
        <w:tc>
          <w:tcPr>
            <w:tcW w:w="81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33911" w:rsidRPr="00433911" w:rsidRDefault="00433911" w:rsidP="00E75F08">
            <w:pPr>
              <w:widowControl/>
              <w:autoSpaceDE/>
              <w:autoSpaceDN/>
              <w:adjustRightInd/>
              <w:contextualSpacing/>
              <w:rPr>
                <w:sz w:val="20"/>
                <w:szCs w:val="20"/>
              </w:rPr>
            </w:pPr>
            <w:r w:rsidRPr="00433911">
              <w:rPr>
                <w:sz w:val="20"/>
                <w:szCs w:val="20"/>
              </w:rPr>
              <w:t xml:space="preserve">Subpart LLL </w:t>
            </w:r>
            <w:r>
              <w:rPr>
                <w:sz w:val="20"/>
                <w:szCs w:val="20"/>
                <w:vertAlign w:val="superscript"/>
              </w:rPr>
              <w:t>b</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79</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w:t>
            </w:r>
            <w:r>
              <w:rPr>
                <w:sz w:val="20"/>
                <w:szCs w:val="20"/>
              </w:rPr>
              <w:t>3</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2</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76</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w:t>
            </w:r>
            <w:r>
              <w:rPr>
                <w:sz w:val="20"/>
                <w:szCs w:val="20"/>
              </w:rPr>
              <w:t>0</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73</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67</w:t>
            </w:r>
          </w:p>
        </w:tc>
      </w:tr>
      <w:tr w:rsidR="00433911" w:rsidRPr="00433911" w:rsidTr="00433911">
        <w:trPr>
          <w:cantSplit/>
          <w:trHeight w:val="315"/>
          <w:jc w:val="center"/>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Average</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76</w:t>
            </w:r>
          </w:p>
        </w:tc>
        <w:tc>
          <w:tcPr>
            <w:tcW w:w="1620" w:type="dxa"/>
            <w:tcBorders>
              <w:top w:val="nil"/>
              <w:left w:val="nil"/>
              <w:bottom w:val="single" w:sz="4" w:space="0" w:color="auto"/>
              <w:right w:val="single" w:sz="4" w:space="0" w:color="auto"/>
            </w:tcBorders>
            <w:shd w:val="clear" w:color="auto" w:fill="auto"/>
            <w:noWrap/>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Pr>
                <w:sz w:val="20"/>
                <w:szCs w:val="20"/>
              </w:rPr>
              <w:t>3</w:t>
            </w:r>
          </w:p>
        </w:tc>
        <w:tc>
          <w:tcPr>
            <w:tcW w:w="1620" w:type="dxa"/>
            <w:tcBorders>
              <w:top w:val="nil"/>
              <w:left w:val="nil"/>
              <w:bottom w:val="single" w:sz="4" w:space="0" w:color="auto"/>
              <w:right w:val="single" w:sz="4" w:space="0" w:color="auto"/>
            </w:tcBorders>
            <w:shd w:val="clear" w:color="auto" w:fill="auto"/>
            <w:vAlign w:val="center"/>
            <w:hideMark/>
          </w:tcPr>
          <w:p w:rsidR="00433911" w:rsidRPr="00433911" w:rsidRDefault="00433911" w:rsidP="00E75F08">
            <w:pPr>
              <w:widowControl/>
              <w:autoSpaceDE/>
              <w:autoSpaceDN/>
              <w:adjustRightInd/>
              <w:contextualSpacing/>
              <w:jc w:val="center"/>
              <w:rPr>
                <w:sz w:val="20"/>
                <w:szCs w:val="20"/>
              </w:rPr>
            </w:pPr>
            <w:r w:rsidRPr="00433911">
              <w:rPr>
                <w:sz w:val="20"/>
                <w:szCs w:val="20"/>
              </w:rPr>
              <w:t>7</w:t>
            </w:r>
            <w:r>
              <w:rPr>
                <w:sz w:val="20"/>
                <w:szCs w:val="20"/>
              </w:rPr>
              <w:t>0</w:t>
            </w:r>
          </w:p>
        </w:tc>
      </w:tr>
    </w:tbl>
    <w:p w:rsidR="00FD2392" w:rsidRDefault="00FD2392" w:rsidP="00E75F08">
      <w:pPr>
        <w:ind w:firstLine="720"/>
        <w:contextualSpacing/>
      </w:pPr>
    </w:p>
    <w:p w:rsidR="000B04C9" w:rsidRDefault="000B04C9" w:rsidP="00E75F08">
      <w:pPr>
        <w:contextualSpacing/>
        <w:rPr>
          <w:b/>
          <w:sz w:val="20"/>
          <w:szCs w:val="20"/>
        </w:rPr>
      </w:pPr>
    </w:p>
    <w:p w:rsidR="00FD2392" w:rsidRDefault="00FD2392" w:rsidP="00E75F08">
      <w:pPr>
        <w:contextualSpacing/>
        <w:rPr>
          <w:b/>
          <w:sz w:val="20"/>
          <w:szCs w:val="20"/>
        </w:rPr>
      </w:pPr>
      <w:r>
        <w:rPr>
          <w:b/>
          <w:sz w:val="20"/>
          <w:szCs w:val="20"/>
        </w:rPr>
        <w:t>Assumptions:</w:t>
      </w:r>
    </w:p>
    <w:p w:rsidR="00FD2392" w:rsidRPr="00433911" w:rsidRDefault="00FD2392" w:rsidP="00E75F08">
      <w:pPr>
        <w:contextualSpacing/>
        <w:rPr>
          <w:sz w:val="20"/>
          <w:szCs w:val="20"/>
        </w:rPr>
      </w:pPr>
      <w:r w:rsidRPr="00433911">
        <w:rPr>
          <w:sz w:val="20"/>
          <w:szCs w:val="20"/>
        </w:rPr>
        <w:t>a</w:t>
      </w:r>
      <w:r w:rsidR="00433911">
        <w:rPr>
          <w:sz w:val="20"/>
          <w:szCs w:val="20"/>
        </w:rPr>
        <w:t xml:space="preserve">. </w:t>
      </w:r>
      <w:r w:rsidRPr="00433911">
        <w:rPr>
          <w:sz w:val="20"/>
          <w:szCs w:val="20"/>
        </w:rPr>
        <w:t>In this standard, existing respondents submit initial notifications.</w:t>
      </w:r>
      <w:r w:rsidR="000B04C9" w:rsidRPr="00433911">
        <w:rPr>
          <w:sz w:val="20"/>
          <w:szCs w:val="20"/>
        </w:rPr>
        <w:t xml:space="preserve"> New sources for the same affected facilities report under subpart OOOO</w:t>
      </w:r>
      <w:r w:rsidR="00433911" w:rsidRPr="00433911">
        <w:rPr>
          <w:sz w:val="20"/>
          <w:szCs w:val="20"/>
        </w:rPr>
        <w:t xml:space="preserve">. We expect 27 of the existing facilities to undergo modifications in each year , which would indicate these facilities would report under subpart OOOO and no longer report under subpart KKK. For subpart LLL, we expect three facilities to perform a modification and report under subpart OOOO. </w:t>
      </w:r>
    </w:p>
    <w:p w:rsidR="00FD2392" w:rsidRPr="00433911" w:rsidRDefault="00433911" w:rsidP="00E75F08">
      <w:pPr>
        <w:contextualSpacing/>
        <w:rPr>
          <w:sz w:val="20"/>
          <w:szCs w:val="20"/>
        </w:rPr>
      </w:pPr>
      <w:r w:rsidRPr="001D1718">
        <w:rPr>
          <w:sz w:val="20"/>
          <w:szCs w:val="20"/>
        </w:rPr>
        <w:t xml:space="preserve">b. </w:t>
      </w:r>
      <w:r w:rsidR="00FD2392" w:rsidRPr="001D1718">
        <w:rPr>
          <w:sz w:val="20"/>
          <w:szCs w:val="20"/>
        </w:rPr>
        <w:t>Affected facilities with design capacities of less than two long tons per day (LT/D) of hydrogen sulfide (H2S) in the acid gas, expressed as sulfur, have no reporting requirements pursuant to subpart LLL.  Three respondents have sources capacities below this threshold.</w:t>
      </w:r>
      <w:r w:rsidR="00FD2392" w:rsidRPr="00433911">
        <w:rPr>
          <w:sz w:val="20"/>
          <w:szCs w:val="20"/>
        </w:rPr>
        <w:t xml:space="preserve"> </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Column D is subtracted to avoid double-counting respondents.  As shown above, the average Number of Respondents over the three-year period of this ICR is 5</w:t>
      </w:r>
      <w:r w:rsidR="00433911">
        <w:t xml:space="preserve">07.  This includes the 70 respondents that also report under subpart LLL because </w:t>
      </w:r>
      <w:r>
        <w:t xml:space="preserve">all sources subject to LLL </w:t>
      </w:r>
      <w:r w:rsidR="00433911">
        <w:t>are also subject to subpart KKK</w:t>
      </w:r>
      <w:r>
        <w:t>.</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total number of annual responses per year is calculated using the following table:</w:t>
      </w:r>
    </w:p>
    <w:p w:rsidR="00FD2392" w:rsidRDefault="00FD2392" w:rsidP="00E75F08">
      <w:pPr>
        <w:spacing w:line="360" w:lineRule="auto"/>
        <w:ind w:firstLine="720"/>
        <w:contextualSpacing/>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1" w:type="dxa"/>
          <w:right w:w="111" w:type="dxa"/>
        </w:tblCellMar>
        <w:tblLook w:val="0000"/>
      </w:tblPr>
      <w:tblGrid>
        <w:gridCol w:w="3690"/>
        <w:gridCol w:w="1260"/>
        <w:gridCol w:w="1146"/>
        <w:gridCol w:w="1914"/>
        <w:gridCol w:w="1350"/>
      </w:tblGrid>
      <w:tr w:rsidR="00FD2392">
        <w:trPr>
          <w:cantSplit/>
          <w:tblHeader/>
          <w:jc w:val="center"/>
        </w:trPr>
        <w:tc>
          <w:tcPr>
            <w:tcW w:w="9360" w:type="dxa"/>
            <w:gridSpan w:val="5"/>
          </w:tcPr>
          <w:p w:rsidR="00FD2392" w:rsidRDefault="00FD2392" w:rsidP="00E75F08">
            <w:pPr>
              <w:keepNext/>
              <w:contextualSpacing/>
              <w:jc w:val="center"/>
              <w:rPr>
                <w:b/>
              </w:rPr>
            </w:pPr>
            <w:r>
              <w:rPr>
                <w:b/>
              </w:rPr>
              <w:lastRenderedPageBreak/>
              <w:t>Total Annual Responses</w:t>
            </w:r>
          </w:p>
        </w:tc>
      </w:tr>
      <w:tr w:rsidR="00FD2392">
        <w:trPr>
          <w:cantSplit/>
          <w:tblHeader/>
          <w:jc w:val="center"/>
        </w:trPr>
        <w:tc>
          <w:tcPr>
            <w:tcW w:w="3690" w:type="dxa"/>
          </w:tcPr>
          <w:p w:rsidR="00FD2392" w:rsidRDefault="00FD2392" w:rsidP="00E75F08">
            <w:pPr>
              <w:keepNext/>
              <w:contextualSpacing/>
              <w:jc w:val="center"/>
              <w:rPr>
                <w:sz w:val="20"/>
                <w:szCs w:val="20"/>
              </w:rPr>
            </w:pPr>
            <w:r>
              <w:rPr>
                <w:sz w:val="20"/>
                <w:szCs w:val="20"/>
              </w:rPr>
              <w:t>(A)</w:t>
            </w:r>
          </w:p>
          <w:p w:rsidR="00FD2392" w:rsidRDefault="00FD2392" w:rsidP="00E75F08">
            <w:pPr>
              <w:keepNext/>
              <w:contextualSpacing/>
              <w:jc w:val="center"/>
              <w:rPr>
                <w:sz w:val="20"/>
                <w:szCs w:val="20"/>
              </w:rPr>
            </w:pPr>
            <w:r>
              <w:rPr>
                <w:sz w:val="20"/>
                <w:szCs w:val="20"/>
              </w:rPr>
              <w:t>Information Collection Activity</w:t>
            </w:r>
          </w:p>
        </w:tc>
        <w:tc>
          <w:tcPr>
            <w:tcW w:w="1260" w:type="dxa"/>
          </w:tcPr>
          <w:p w:rsidR="00FD2392" w:rsidRDefault="00FD2392" w:rsidP="00E75F08">
            <w:pPr>
              <w:keepNext/>
              <w:contextualSpacing/>
              <w:jc w:val="center"/>
              <w:rPr>
                <w:sz w:val="20"/>
                <w:szCs w:val="20"/>
              </w:rPr>
            </w:pPr>
            <w:r>
              <w:rPr>
                <w:sz w:val="20"/>
                <w:szCs w:val="20"/>
              </w:rPr>
              <w:t>(B)</w:t>
            </w:r>
          </w:p>
          <w:p w:rsidR="00FD2392" w:rsidRDefault="00FD2392" w:rsidP="00E75F08">
            <w:pPr>
              <w:keepNext/>
              <w:contextualSpacing/>
              <w:jc w:val="center"/>
              <w:rPr>
                <w:sz w:val="20"/>
                <w:szCs w:val="20"/>
              </w:rPr>
            </w:pPr>
            <w:r>
              <w:rPr>
                <w:sz w:val="20"/>
                <w:szCs w:val="20"/>
              </w:rPr>
              <w:t>Number of Respondents</w:t>
            </w:r>
          </w:p>
        </w:tc>
        <w:tc>
          <w:tcPr>
            <w:tcW w:w="1146" w:type="dxa"/>
          </w:tcPr>
          <w:p w:rsidR="00FD2392" w:rsidRDefault="00FD2392" w:rsidP="00E75F08">
            <w:pPr>
              <w:keepNext/>
              <w:contextualSpacing/>
              <w:jc w:val="center"/>
              <w:rPr>
                <w:sz w:val="20"/>
                <w:szCs w:val="20"/>
              </w:rPr>
            </w:pPr>
            <w:r>
              <w:rPr>
                <w:sz w:val="20"/>
                <w:szCs w:val="20"/>
              </w:rPr>
              <w:t>(C)</w:t>
            </w:r>
          </w:p>
          <w:p w:rsidR="00FD2392" w:rsidRDefault="00FD2392" w:rsidP="00E75F08">
            <w:pPr>
              <w:keepNext/>
              <w:contextualSpacing/>
              <w:jc w:val="center"/>
              <w:rPr>
                <w:sz w:val="20"/>
                <w:szCs w:val="20"/>
              </w:rPr>
            </w:pPr>
            <w:r>
              <w:rPr>
                <w:sz w:val="20"/>
                <w:szCs w:val="20"/>
              </w:rPr>
              <w:t>Number of Responses</w:t>
            </w:r>
          </w:p>
        </w:tc>
        <w:tc>
          <w:tcPr>
            <w:tcW w:w="1914" w:type="dxa"/>
          </w:tcPr>
          <w:p w:rsidR="00FD2392" w:rsidRDefault="00FD2392" w:rsidP="00E75F08">
            <w:pPr>
              <w:keepNext/>
              <w:contextualSpacing/>
              <w:jc w:val="center"/>
              <w:rPr>
                <w:sz w:val="20"/>
                <w:szCs w:val="20"/>
              </w:rPr>
            </w:pPr>
            <w:r>
              <w:rPr>
                <w:sz w:val="20"/>
                <w:szCs w:val="20"/>
              </w:rPr>
              <w:t>(D)</w:t>
            </w:r>
          </w:p>
          <w:p w:rsidR="00FD2392" w:rsidRDefault="00FD2392" w:rsidP="00E75F08">
            <w:pPr>
              <w:keepNext/>
              <w:contextualSpacing/>
              <w:jc w:val="center"/>
              <w:rPr>
                <w:sz w:val="20"/>
                <w:szCs w:val="20"/>
              </w:rPr>
            </w:pPr>
            <w:r>
              <w:rPr>
                <w:sz w:val="20"/>
                <w:szCs w:val="20"/>
              </w:rPr>
              <w:t>Numb</w:t>
            </w:r>
            <w:r w:rsidR="00433911">
              <w:rPr>
                <w:sz w:val="20"/>
                <w:szCs w:val="20"/>
              </w:rPr>
              <w:t>er of Existing Respondents that include a report for LLL  with their report for KKK</w:t>
            </w:r>
          </w:p>
        </w:tc>
        <w:tc>
          <w:tcPr>
            <w:tcW w:w="1350" w:type="dxa"/>
          </w:tcPr>
          <w:p w:rsidR="00FD2392" w:rsidRDefault="00FD2392" w:rsidP="00E75F08">
            <w:pPr>
              <w:keepNext/>
              <w:contextualSpacing/>
              <w:jc w:val="center"/>
              <w:rPr>
                <w:sz w:val="20"/>
                <w:szCs w:val="20"/>
              </w:rPr>
            </w:pPr>
            <w:r>
              <w:rPr>
                <w:sz w:val="20"/>
                <w:szCs w:val="20"/>
              </w:rPr>
              <w:t>(E)</w:t>
            </w:r>
          </w:p>
          <w:p w:rsidR="00FD2392" w:rsidRDefault="00FD2392" w:rsidP="00E75F08">
            <w:pPr>
              <w:keepNext/>
              <w:contextualSpacing/>
              <w:jc w:val="center"/>
              <w:rPr>
                <w:sz w:val="20"/>
                <w:szCs w:val="20"/>
              </w:rPr>
            </w:pPr>
            <w:r>
              <w:rPr>
                <w:sz w:val="20"/>
                <w:szCs w:val="20"/>
              </w:rPr>
              <w:t>Total Annual Responses</w:t>
            </w:r>
          </w:p>
          <w:p w:rsidR="00FD2392" w:rsidRDefault="00433911" w:rsidP="00E75F08">
            <w:pPr>
              <w:keepNext/>
              <w:contextualSpacing/>
              <w:jc w:val="center"/>
              <w:rPr>
                <w:sz w:val="20"/>
                <w:szCs w:val="20"/>
              </w:rPr>
            </w:pPr>
            <w:r>
              <w:rPr>
                <w:sz w:val="20"/>
                <w:szCs w:val="20"/>
              </w:rPr>
              <w:t>E = (B×C)</w:t>
            </w:r>
          </w:p>
        </w:tc>
      </w:tr>
      <w:tr w:rsidR="00FD2392" w:rsidTr="00E75F08">
        <w:trPr>
          <w:cantSplit/>
          <w:trHeight w:val="432"/>
          <w:jc w:val="center"/>
        </w:trPr>
        <w:tc>
          <w:tcPr>
            <w:tcW w:w="9360" w:type="dxa"/>
            <w:gridSpan w:val="5"/>
            <w:vAlign w:val="center"/>
          </w:tcPr>
          <w:p w:rsidR="00FD2392" w:rsidRDefault="00FD2392" w:rsidP="00E75F08">
            <w:pPr>
              <w:keepNext/>
              <w:contextualSpacing/>
              <w:rPr>
                <w:sz w:val="20"/>
                <w:szCs w:val="20"/>
              </w:rPr>
            </w:pPr>
            <w:r>
              <w:rPr>
                <w:sz w:val="20"/>
                <w:szCs w:val="20"/>
              </w:rPr>
              <w:t>Subpart KKK</w:t>
            </w:r>
            <w:r w:rsidR="00433911">
              <w:rPr>
                <w:sz w:val="20"/>
                <w:szCs w:val="20"/>
              </w:rPr>
              <w:t xml:space="preserve"> and LLL</w:t>
            </w:r>
          </w:p>
        </w:tc>
      </w:tr>
      <w:tr w:rsidR="00FD2392" w:rsidTr="00E75F08">
        <w:trPr>
          <w:cantSplit/>
          <w:trHeight w:val="432"/>
          <w:jc w:val="center"/>
        </w:trPr>
        <w:tc>
          <w:tcPr>
            <w:tcW w:w="3690" w:type="dxa"/>
            <w:vAlign w:val="center"/>
          </w:tcPr>
          <w:p w:rsidR="00FD2392" w:rsidRDefault="00FD2392" w:rsidP="00E75F08">
            <w:pPr>
              <w:contextualSpacing/>
              <w:rPr>
                <w:sz w:val="20"/>
                <w:szCs w:val="20"/>
              </w:rPr>
            </w:pPr>
            <w:r>
              <w:rPr>
                <w:sz w:val="20"/>
                <w:szCs w:val="20"/>
              </w:rPr>
              <w:t>Semiannual reports</w:t>
            </w:r>
          </w:p>
        </w:tc>
        <w:tc>
          <w:tcPr>
            <w:tcW w:w="1260" w:type="dxa"/>
            <w:vAlign w:val="center"/>
          </w:tcPr>
          <w:p w:rsidR="00FD2392" w:rsidRDefault="00FD2392" w:rsidP="00E75F08">
            <w:pPr>
              <w:contextualSpacing/>
              <w:jc w:val="center"/>
              <w:rPr>
                <w:sz w:val="20"/>
                <w:szCs w:val="20"/>
              </w:rPr>
            </w:pPr>
            <w:r>
              <w:rPr>
                <w:sz w:val="20"/>
                <w:szCs w:val="20"/>
              </w:rPr>
              <w:t>5</w:t>
            </w:r>
            <w:r w:rsidR="00433911">
              <w:rPr>
                <w:sz w:val="20"/>
                <w:szCs w:val="20"/>
              </w:rPr>
              <w:t>07</w:t>
            </w:r>
          </w:p>
        </w:tc>
        <w:tc>
          <w:tcPr>
            <w:tcW w:w="1146" w:type="dxa"/>
            <w:vAlign w:val="center"/>
          </w:tcPr>
          <w:p w:rsidR="00FD2392" w:rsidRDefault="00FD2392" w:rsidP="00E75F08">
            <w:pPr>
              <w:contextualSpacing/>
              <w:jc w:val="center"/>
              <w:rPr>
                <w:sz w:val="20"/>
                <w:szCs w:val="20"/>
              </w:rPr>
            </w:pPr>
            <w:r>
              <w:rPr>
                <w:sz w:val="20"/>
                <w:szCs w:val="20"/>
              </w:rPr>
              <w:t>2</w:t>
            </w:r>
          </w:p>
        </w:tc>
        <w:tc>
          <w:tcPr>
            <w:tcW w:w="1914" w:type="dxa"/>
            <w:vAlign w:val="center"/>
          </w:tcPr>
          <w:p w:rsidR="00FD2392" w:rsidRDefault="00433911" w:rsidP="00E75F08">
            <w:pPr>
              <w:contextualSpacing/>
              <w:jc w:val="center"/>
              <w:rPr>
                <w:sz w:val="20"/>
                <w:szCs w:val="20"/>
              </w:rPr>
            </w:pPr>
            <w:r>
              <w:rPr>
                <w:sz w:val="20"/>
                <w:szCs w:val="20"/>
              </w:rPr>
              <w:t>70</w:t>
            </w:r>
          </w:p>
        </w:tc>
        <w:tc>
          <w:tcPr>
            <w:tcW w:w="1350" w:type="dxa"/>
            <w:vAlign w:val="center"/>
          </w:tcPr>
          <w:p w:rsidR="00FD2392" w:rsidRDefault="00433911" w:rsidP="00E75F08">
            <w:pPr>
              <w:contextualSpacing/>
              <w:jc w:val="center"/>
              <w:rPr>
                <w:sz w:val="20"/>
                <w:szCs w:val="20"/>
              </w:rPr>
            </w:pPr>
            <w:r>
              <w:rPr>
                <w:sz w:val="20"/>
                <w:szCs w:val="20"/>
              </w:rPr>
              <w:t>1,014</w:t>
            </w:r>
          </w:p>
        </w:tc>
      </w:tr>
      <w:tr w:rsidR="00E3671E" w:rsidTr="00E75F08">
        <w:trPr>
          <w:cantSplit/>
          <w:trHeight w:val="432"/>
          <w:jc w:val="center"/>
        </w:trPr>
        <w:tc>
          <w:tcPr>
            <w:tcW w:w="3690" w:type="dxa"/>
            <w:vAlign w:val="center"/>
          </w:tcPr>
          <w:p w:rsidR="00E3671E" w:rsidRDefault="00E3671E" w:rsidP="00E75F08">
            <w:pPr>
              <w:contextualSpacing/>
              <w:rPr>
                <w:sz w:val="20"/>
                <w:szCs w:val="20"/>
              </w:rPr>
            </w:pPr>
            <w:r>
              <w:rPr>
                <w:sz w:val="20"/>
                <w:szCs w:val="20"/>
              </w:rPr>
              <w:t>Affirmative Defense</w:t>
            </w:r>
          </w:p>
        </w:tc>
        <w:tc>
          <w:tcPr>
            <w:tcW w:w="1260" w:type="dxa"/>
            <w:vAlign w:val="center"/>
          </w:tcPr>
          <w:p w:rsidR="00E3671E" w:rsidRDefault="00E3671E" w:rsidP="00E75F08">
            <w:pPr>
              <w:contextualSpacing/>
              <w:jc w:val="center"/>
              <w:rPr>
                <w:sz w:val="20"/>
                <w:szCs w:val="20"/>
              </w:rPr>
            </w:pPr>
            <w:r>
              <w:rPr>
                <w:sz w:val="20"/>
                <w:szCs w:val="20"/>
              </w:rPr>
              <w:t>2</w:t>
            </w:r>
          </w:p>
        </w:tc>
        <w:tc>
          <w:tcPr>
            <w:tcW w:w="1146" w:type="dxa"/>
            <w:vAlign w:val="center"/>
          </w:tcPr>
          <w:p w:rsidR="00E3671E" w:rsidRDefault="00E3671E" w:rsidP="00E75F08">
            <w:pPr>
              <w:contextualSpacing/>
              <w:jc w:val="center"/>
              <w:rPr>
                <w:sz w:val="20"/>
                <w:szCs w:val="20"/>
              </w:rPr>
            </w:pPr>
            <w:r>
              <w:rPr>
                <w:sz w:val="20"/>
                <w:szCs w:val="20"/>
              </w:rPr>
              <w:t>1</w:t>
            </w:r>
          </w:p>
        </w:tc>
        <w:tc>
          <w:tcPr>
            <w:tcW w:w="1914" w:type="dxa"/>
            <w:vAlign w:val="center"/>
          </w:tcPr>
          <w:p w:rsidR="00E3671E" w:rsidRDefault="00E3671E" w:rsidP="00E75F08">
            <w:pPr>
              <w:contextualSpacing/>
              <w:jc w:val="center"/>
              <w:rPr>
                <w:sz w:val="20"/>
                <w:szCs w:val="20"/>
              </w:rPr>
            </w:pPr>
            <w:r>
              <w:rPr>
                <w:sz w:val="20"/>
                <w:szCs w:val="20"/>
              </w:rPr>
              <w:t>N/A</w:t>
            </w:r>
          </w:p>
        </w:tc>
        <w:tc>
          <w:tcPr>
            <w:tcW w:w="1350" w:type="dxa"/>
            <w:vAlign w:val="center"/>
          </w:tcPr>
          <w:p w:rsidR="00E3671E" w:rsidRDefault="00E3671E" w:rsidP="00E75F08">
            <w:pPr>
              <w:contextualSpacing/>
              <w:jc w:val="center"/>
              <w:rPr>
                <w:sz w:val="20"/>
                <w:szCs w:val="20"/>
              </w:rPr>
            </w:pPr>
            <w:r>
              <w:rPr>
                <w:sz w:val="20"/>
                <w:szCs w:val="20"/>
              </w:rPr>
              <w:t>2</w:t>
            </w:r>
          </w:p>
        </w:tc>
      </w:tr>
      <w:tr w:rsidR="00FD2392" w:rsidTr="00E75F08">
        <w:trPr>
          <w:cantSplit/>
          <w:trHeight w:val="432"/>
          <w:jc w:val="center"/>
        </w:trPr>
        <w:tc>
          <w:tcPr>
            <w:tcW w:w="3690" w:type="dxa"/>
            <w:vAlign w:val="center"/>
          </w:tcPr>
          <w:p w:rsidR="00FD2392" w:rsidRDefault="00FD2392" w:rsidP="00E75F08">
            <w:pPr>
              <w:contextualSpacing/>
              <w:rPr>
                <w:sz w:val="20"/>
                <w:szCs w:val="20"/>
              </w:rPr>
            </w:pPr>
            <w:r>
              <w:rPr>
                <w:sz w:val="20"/>
                <w:szCs w:val="20"/>
              </w:rPr>
              <w:t>TOTAL (rounded)</w:t>
            </w:r>
          </w:p>
        </w:tc>
        <w:tc>
          <w:tcPr>
            <w:tcW w:w="1260" w:type="dxa"/>
            <w:vAlign w:val="center"/>
          </w:tcPr>
          <w:p w:rsidR="00FD2392" w:rsidRDefault="00FD2392" w:rsidP="00E75F08">
            <w:pPr>
              <w:contextualSpacing/>
              <w:jc w:val="center"/>
              <w:rPr>
                <w:sz w:val="20"/>
                <w:szCs w:val="20"/>
              </w:rPr>
            </w:pPr>
          </w:p>
        </w:tc>
        <w:tc>
          <w:tcPr>
            <w:tcW w:w="1146" w:type="dxa"/>
            <w:vAlign w:val="center"/>
          </w:tcPr>
          <w:p w:rsidR="00FD2392" w:rsidRDefault="00FD2392" w:rsidP="00E75F08">
            <w:pPr>
              <w:contextualSpacing/>
              <w:jc w:val="center"/>
              <w:rPr>
                <w:sz w:val="20"/>
                <w:szCs w:val="20"/>
              </w:rPr>
            </w:pPr>
          </w:p>
        </w:tc>
        <w:tc>
          <w:tcPr>
            <w:tcW w:w="1914" w:type="dxa"/>
            <w:vAlign w:val="center"/>
          </w:tcPr>
          <w:p w:rsidR="00FD2392" w:rsidRDefault="00FD2392" w:rsidP="00E75F08">
            <w:pPr>
              <w:contextualSpacing/>
              <w:jc w:val="center"/>
              <w:rPr>
                <w:sz w:val="20"/>
                <w:szCs w:val="20"/>
              </w:rPr>
            </w:pPr>
          </w:p>
        </w:tc>
        <w:tc>
          <w:tcPr>
            <w:tcW w:w="1350" w:type="dxa"/>
            <w:vAlign w:val="center"/>
          </w:tcPr>
          <w:p w:rsidR="00FD2392" w:rsidRDefault="00433911" w:rsidP="00E3671E">
            <w:pPr>
              <w:contextualSpacing/>
              <w:jc w:val="center"/>
              <w:rPr>
                <w:sz w:val="20"/>
                <w:szCs w:val="20"/>
              </w:rPr>
            </w:pPr>
            <w:r>
              <w:rPr>
                <w:sz w:val="20"/>
                <w:szCs w:val="20"/>
              </w:rPr>
              <w:t>1,01</w:t>
            </w:r>
            <w:r w:rsidR="00E3671E">
              <w:rPr>
                <w:sz w:val="20"/>
                <w:szCs w:val="20"/>
              </w:rPr>
              <w:t>6</w:t>
            </w:r>
          </w:p>
        </w:tc>
      </w:tr>
    </w:tbl>
    <w:p w:rsidR="00FD2392" w:rsidRDefault="00FD2392" w:rsidP="00E75F08">
      <w:pPr>
        <w:pBdr>
          <w:top w:val="single" w:sz="6" w:space="0" w:color="FFFFFF"/>
          <w:left w:val="single" w:sz="6" w:space="0" w:color="FFFFFF"/>
          <w:bottom w:val="single" w:sz="6" w:space="0" w:color="FFFFFF"/>
          <w:right w:val="single" w:sz="6" w:space="0" w:color="FFFFFF"/>
        </w:pBdr>
        <w:contextualSpacing/>
        <w:rPr>
          <w:sz w:val="20"/>
          <w:szCs w:val="20"/>
        </w:rPr>
      </w:pPr>
      <w:r>
        <w:rPr>
          <w:sz w:val="20"/>
          <w:szCs w:val="20"/>
        </w:rPr>
        <w:t>N/A – Not Applicable.</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The number of</w:t>
      </w:r>
      <w:r w:rsidR="00433911">
        <w:t xml:space="preserve"> Total Annual Responses is 1,01</w:t>
      </w:r>
      <w:r w:rsidR="00974A67">
        <w:t>6</w:t>
      </w:r>
      <w:r>
        <w:t>.</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rsidRPr="00E70956">
        <w:t>The total annual labor costs are $</w:t>
      </w:r>
      <w:r w:rsidR="00E70956" w:rsidRPr="00E70956">
        <w:t>10,25</w:t>
      </w:r>
      <w:r w:rsidR="00DE7363">
        <w:t>8,245</w:t>
      </w:r>
      <w:r w:rsidRPr="00E70956">
        <w:t>.  Details regarding these estimates may be found</w:t>
      </w:r>
      <w:r w:rsidR="003E0DA4" w:rsidRPr="00E70956">
        <w:t xml:space="preserve"> below</w:t>
      </w:r>
      <w:r w:rsidRPr="00E70956">
        <w:t xml:space="preserve"> in Table 1</w:t>
      </w:r>
      <w:r w:rsidR="003E0DA4" w:rsidRPr="00E70956">
        <w:t>:</w:t>
      </w:r>
      <w:r w:rsidRPr="00E70956">
        <w:t xml:space="preserve"> Annual Respondent Burden and Cost, NSPS for Onshore Natural Gas Processing Plants (40 CFR Part 60, Subparts KKK and LLL)</w:t>
      </w:r>
      <w:r w:rsidR="003E0DA4" w:rsidRPr="00E70956">
        <w:t>(R</w:t>
      </w:r>
      <w:r w:rsidR="00E70956" w:rsidRPr="00E70956">
        <w:t>evised</w:t>
      </w:r>
      <w:r w:rsidR="003E0DA4" w:rsidRPr="00E70956">
        <w:t>)</w:t>
      </w:r>
      <w:r w:rsidRPr="00E70956">
        <w:t>.</w:t>
      </w:r>
      <w:r>
        <w:t xml:space="preserve"> </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6(e)  Bottom Line Burden Hours and Cost Tables</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The detailed bottom line burden hours and cost calculations for the respondents and the Agency are shown in Tables 1 and 2 below, respectively, and summarized below.  </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1440"/>
        <w:contextualSpacing/>
      </w:pPr>
      <w:r>
        <w:rPr>
          <w:b/>
          <w:bCs/>
        </w:rPr>
        <w:t>(i) Respondent Tally</w:t>
      </w:r>
    </w:p>
    <w:p w:rsidR="00FD2392" w:rsidRDefault="00FD2392" w:rsidP="00E75F08">
      <w:pPr>
        <w:spacing w:line="360" w:lineRule="auto"/>
        <w:ind w:firstLine="720"/>
        <w:contextualSpacing/>
      </w:pPr>
    </w:p>
    <w:p w:rsidR="00FD2392" w:rsidRPr="00D35B06" w:rsidRDefault="00FD2392" w:rsidP="00E75F08">
      <w:pPr>
        <w:spacing w:line="360" w:lineRule="auto"/>
        <w:ind w:firstLine="720"/>
        <w:contextualSpacing/>
      </w:pPr>
      <w:r w:rsidRPr="00E70956">
        <w:t xml:space="preserve">The total annual labor hours are </w:t>
      </w:r>
      <w:r w:rsidR="00E70956" w:rsidRPr="00E70956">
        <w:t>109,</w:t>
      </w:r>
      <w:r w:rsidR="00E3671E">
        <w:t>327</w:t>
      </w:r>
      <w:r w:rsidRPr="00E70956">
        <w:t xml:space="preserve">.  Details regarding these estimates may be found </w:t>
      </w:r>
      <w:r w:rsidR="003E0DA4" w:rsidRPr="00E70956">
        <w:t xml:space="preserve">below </w:t>
      </w:r>
      <w:r w:rsidRPr="00E70956">
        <w:t>in Table 1</w:t>
      </w:r>
      <w:r w:rsidR="003E0DA4" w:rsidRPr="00E70956">
        <w:t>:</w:t>
      </w:r>
      <w:r w:rsidRPr="00E70956">
        <w:t xml:space="preserve"> Annual Respondent Burden and Cost, NSPS for Onshore Natural Gas Processing Plants (40 CFR Part 60, Subparts KKK and LLL) (</w:t>
      </w:r>
      <w:r w:rsidR="003E0DA4" w:rsidRPr="00E70956">
        <w:t>R</w:t>
      </w:r>
      <w:r w:rsidR="00EC4210" w:rsidRPr="00E70956">
        <w:t>evised</w:t>
      </w:r>
      <w:r w:rsidRPr="00D35B06">
        <w:t xml:space="preserve">).  Furthermore, the annual public reporting and recordkeeping burden for this collection of information is estimated to average </w:t>
      </w:r>
      <w:r w:rsidR="00D35B06" w:rsidRPr="00D35B06">
        <w:t>10</w:t>
      </w:r>
      <w:r w:rsidR="00170241">
        <w:t>8</w:t>
      </w:r>
      <w:r w:rsidRPr="00D35B06">
        <w:t xml:space="preserve"> hours per response.</w:t>
      </w:r>
    </w:p>
    <w:p w:rsidR="00FD2392" w:rsidRPr="00EC4210" w:rsidRDefault="00FD2392" w:rsidP="00E75F08">
      <w:pPr>
        <w:spacing w:line="360" w:lineRule="auto"/>
        <w:ind w:firstLine="720"/>
        <w:contextualSpacing/>
        <w:rPr>
          <w:highlight w:val="yellow"/>
        </w:rPr>
      </w:pPr>
    </w:p>
    <w:p w:rsidR="00FD2392" w:rsidRDefault="00FD2392" w:rsidP="00E75F08">
      <w:pPr>
        <w:spacing w:line="360" w:lineRule="auto"/>
        <w:ind w:firstLine="720"/>
        <w:contextualSpacing/>
      </w:pPr>
      <w:r w:rsidRPr="00D35B06">
        <w:t>The total annual capital/startup and O&amp;M costs to the regulated entity are $</w:t>
      </w:r>
      <w:r w:rsidR="00D35B06" w:rsidRPr="00D35B06">
        <w:t>68</w:t>
      </w:r>
      <w:r w:rsidR="00E3671E">
        <w:t>,</w:t>
      </w:r>
      <w:r w:rsidR="00D35B06" w:rsidRPr="00D35B06">
        <w:t>400</w:t>
      </w:r>
      <w:r w:rsidRPr="00D35B06">
        <w:t xml:space="preserve">.  The </w:t>
      </w:r>
      <w:r w:rsidRPr="00D35B06">
        <w:lastRenderedPageBreak/>
        <w:t xml:space="preserve">cost calculations are detailed </w:t>
      </w:r>
      <w:r w:rsidR="003E0DA4" w:rsidRPr="00D35B06">
        <w:t xml:space="preserve">above </w:t>
      </w:r>
      <w:r w:rsidRPr="00D35B06">
        <w:t>in Section 6(b)(iii), Capital/Startup vs. Operation and Maintenance (O&amp;M) Costs.</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1440"/>
        <w:contextualSpacing/>
      </w:pPr>
      <w:r>
        <w:rPr>
          <w:b/>
          <w:bCs/>
        </w:rPr>
        <w:t>(ii) The Agency Tally</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rsidRPr="00E70956">
        <w:t xml:space="preserve">The average annual Agency burden and cost over next three years is estimated to be </w:t>
      </w:r>
      <w:r w:rsidR="00E70956" w:rsidRPr="00E70956">
        <w:t>9,329</w:t>
      </w:r>
      <w:r w:rsidRPr="00E70956">
        <w:t xml:space="preserve"> labor hours at a cost of $</w:t>
      </w:r>
      <w:r w:rsidR="00E70956" w:rsidRPr="00E70956">
        <w:t>420,400</w:t>
      </w:r>
      <w:r w:rsidRPr="00E70956">
        <w:t xml:space="preserve">.  See </w:t>
      </w:r>
      <w:r w:rsidR="003E0DA4" w:rsidRPr="00E70956">
        <w:t xml:space="preserve">below </w:t>
      </w:r>
      <w:r w:rsidRPr="00E70956">
        <w:t>Table 2</w:t>
      </w:r>
      <w:r w:rsidR="003E0DA4" w:rsidRPr="00E70956">
        <w:t>:</w:t>
      </w:r>
      <w:r w:rsidRPr="00E70956">
        <w:t xml:space="preserve"> Annual Agency Burden and Cost, NSPS for Onshore Natural Gas Processing Plants (40 CFR Part 60, Subparts KKK and LLL) (</w:t>
      </w:r>
      <w:r w:rsidR="003E0DA4" w:rsidRPr="00E70956">
        <w:t>Re</w:t>
      </w:r>
      <w:r w:rsidR="00EC4210" w:rsidRPr="00E70956">
        <w:t>vised</w:t>
      </w:r>
      <w:r w:rsidRPr="00E70956">
        <w:t>).</w:t>
      </w:r>
    </w:p>
    <w:p w:rsidR="00FD2392" w:rsidRDefault="00FD2392" w:rsidP="00E75F08">
      <w:pPr>
        <w:spacing w:line="360" w:lineRule="auto"/>
        <w:ind w:firstLine="720"/>
        <w:contextualSpacing/>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6(f)  Reasons for Change in Burden</w:t>
      </w:r>
    </w:p>
    <w:p w:rsidR="00FD2392" w:rsidRDefault="00FD2392" w:rsidP="00E75F08">
      <w:pPr>
        <w:spacing w:line="360" w:lineRule="auto"/>
        <w:contextualSpacing/>
      </w:pPr>
    </w:p>
    <w:p w:rsidR="00FD2392" w:rsidRDefault="00FD2392" w:rsidP="00E75F08">
      <w:pPr>
        <w:spacing w:line="360" w:lineRule="auto"/>
        <w:contextualSpacing/>
        <w:rPr>
          <w:rFonts w:cs="Helv"/>
        </w:rPr>
      </w:pPr>
      <w:r>
        <w:rPr>
          <w:rFonts w:cs="Helv"/>
        </w:rPr>
        <w:tab/>
      </w:r>
      <w:r w:rsidR="00EC4210">
        <w:rPr>
          <w:rFonts w:cs="Helv"/>
        </w:rPr>
        <w:t xml:space="preserve">The change in burden results from the development of subpart OOOO, which supersedes both subpart KKK and LLL.  Any new or modified affected facility will begin reporting under subpart OOOO instead of subpart KKK and LLL. </w:t>
      </w:r>
    </w:p>
    <w:p w:rsidR="00C73B55" w:rsidRDefault="00C73B55" w:rsidP="00E75F08">
      <w:pPr>
        <w:spacing w:line="360" w:lineRule="auto"/>
        <w:contextualSpacing/>
        <w:rPr>
          <w:rFonts w:cs="Helv"/>
        </w:rPr>
      </w:pPr>
    </w:p>
    <w:p w:rsidR="00C73B55" w:rsidRDefault="00C73B55" w:rsidP="00C73B55">
      <w:pPr>
        <w:spacing w:line="360" w:lineRule="auto"/>
        <w:ind w:firstLine="720"/>
        <w:rPr>
          <w:bCs/>
        </w:rPr>
      </w:pPr>
      <w:r w:rsidRPr="00E80735">
        <w:rPr>
          <w:bCs/>
        </w:rPr>
        <w:t>The EPA also provides an adjustment to this ICR that estimates the costs of the</w:t>
      </w:r>
      <w:r>
        <w:rPr>
          <w:bCs/>
        </w:rPr>
        <w:t xml:space="preserve"> </w:t>
      </w:r>
      <w:r w:rsidRPr="00E80735">
        <w:rPr>
          <w:bCs/>
        </w:rPr>
        <w:t>notification, recordkeeping and reporting requirements associated with the assertion of the</w:t>
      </w:r>
      <w:r>
        <w:rPr>
          <w:bCs/>
        </w:rPr>
        <w:t xml:space="preserve"> </w:t>
      </w:r>
      <w:r w:rsidRPr="00E80735">
        <w:rPr>
          <w:bCs/>
        </w:rPr>
        <w:t>affirmative defense. The EPA’s estimate for the required notification, reports and records,</w:t>
      </w:r>
      <w:r>
        <w:rPr>
          <w:bCs/>
        </w:rPr>
        <w:t xml:space="preserve"> </w:t>
      </w:r>
      <w:r w:rsidRPr="00E80735">
        <w:rPr>
          <w:bCs/>
        </w:rPr>
        <w:t>including the root cause analysis, associated with a single incident totals approximately $3,141</w:t>
      </w:r>
      <w:r>
        <w:rPr>
          <w:bCs/>
        </w:rPr>
        <w:t xml:space="preserve"> </w:t>
      </w:r>
      <w:r w:rsidRPr="00E80735">
        <w:rPr>
          <w:bCs/>
        </w:rPr>
        <w:t>and is based on the time and effort required of a source to review relevant data, interview plant</w:t>
      </w:r>
      <w:r>
        <w:rPr>
          <w:bCs/>
        </w:rPr>
        <w:t xml:space="preserve"> </w:t>
      </w:r>
      <w:r w:rsidRPr="00E80735">
        <w:rPr>
          <w:bCs/>
        </w:rPr>
        <w:t>employees, and document the events surrounding a malfunction that has caused an exceedance of</w:t>
      </w:r>
      <w:r>
        <w:rPr>
          <w:bCs/>
        </w:rPr>
        <w:t xml:space="preserve"> </w:t>
      </w:r>
      <w:r w:rsidRPr="00E80735">
        <w:rPr>
          <w:bCs/>
        </w:rPr>
        <w:t>an emission limit. The estimate also includes time to produce and retain the records and reports</w:t>
      </w:r>
      <w:r>
        <w:rPr>
          <w:bCs/>
        </w:rPr>
        <w:t xml:space="preserve"> </w:t>
      </w:r>
      <w:r w:rsidRPr="00E80735">
        <w:rPr>
          <w:bCs/>
        </w:rPr>
        <w:t>for submission to the EPA. For the purpose of estimating the annual burden, the EPA is</w:t>
      </w:r>
      <w:r>
        <w:rPr>
          <w:bCs/>
        </w:rPr>
        <w:t xml:space="preserve"> </w:t>
      </w:r>
      <w:r w:rsidRPr="00E80735">
        <w:rPr>
          <w:bCs/>
        </w:rPr>
        <w:t xml:space="preserve">attributing a total of </w:t>
      </w:r>
      <w:r>
        <w:rPr>
          <w:bCs/>
        </w:rPr>
        <w:t>6</w:t>
      </w:r>
      <w:r w:rsidRPr="00E80735">
        <w:rPr>
          <w:bCs/>
        </w:rPr>
        <w:t xml:space="preserve"> instances of affirmative defense over a 3 year period across all sources in</w:t>
      </w:r>
      <w:r>
        <w:rPr>
          <w:bCs/>
        </w:rPr>
        <w:t xml:space="preserve"> </w:t>
      </w:r>
      <w:r w:rsidRPr="00E80735">
        <w:rPr>
          <w:bCs/>
        </w:rPr>
        <w:t xml:space="preserve">the category. The EPA is using this frequency of </w:t>
      </w:r>
      <w:r>
        <w:rPr>
          <w:bCs/>
        </w:rPr>
        <w:t>6</w:t>
      </w:r>
      <w:r w:rsidRPr="00E80735">
        <w:rPr>
          <w:bCs/>
        </w:rPr>
        <w:t xml:space="preserve"> events in 3 years, because of the number of</w:t>
      </w:r>
      <w:r>
        <w:rPr>
          <w:bCs/>
        </w:rPr>
        <w:t xml:space="preserve"> </w:t>
      </w:r>
      <w:r w:rsidRPr="00E80735">
        <w:rPr>
          <w:bCs/>
        </w:rPr>
        <w:t>excess emission events reported by source operators, only a small number would be expected to</w:t>
      </w:r>
      <w:r>
        <w:rPr>
          <w:bCs/>
        </w:rPr>
        <w:t xml:space="preserve"> </w:t>
      </w:r>
      <w:r w:rsidRPr="00E80735">
        <w:rPr>
          <w:bCs/>
        </w:rPr>
        <w:t>result from a malfunction, and only a subset of excess emissions caused by malfunctions would</w:t>
      </w:r>
      <w:r>
        <w:rPr>
          <w:bCs/>
        </w:rPr>
        <w:t xml:space="preserve"> </w:t>
      </w:r>
      <w:r w:rsidRPr="00E80735">
        <w:rPr>
          <w:bCs/>
        </w:rPr>
        <w:t>result in the source choosing to assert the affirmative defense. Thus we believe the number of</w:t>
      </w:r>
      <w:r>
        <w:rPr>
          <w:bCs/>
        </w:rPr>
        <w:t xml:space="preserve"> </w:t>
      </w:r>
      <w:r w:rsidRPr="00E80735">
        <w:rPr>
          <w:bCs/>
        </w:rPr>
        <w:t>instances in which source operators might be expected to avail themselves of the affirmative</w:t>
      </w:r>
      <w:r>
        <w:rPr>
          <w:bCs/>
        </w:rPr>
        <w:t xml:space="preserve"> </w:t>
      </w:r>
      <w:r w:rsidRPr="00E80735">
        <w:rPr>
          <w:bCs/>
        </w:rPr>
        <w:t>defense will be extremely small.</w:t>
      </w:r>
    </w:p>
    <w:p w:rsidR="00C73B55" w:rsidRDefault="00C73B55" w:rsidP="00E75F08">
      <w:pPr>
        <w:spacing w:line="360" w:lineRule="auto"/>
        <w:contextualSpacing/>
        <w:rPr>
          <w:rFonts w:cs="Helv"/>
        </w:rPr>
      </w:pPr>
    </w:p>
    <w:p w:rsidR="00FD2392" w:rsidRDefault="00FD2392" w:rsidP="00E75F08">
      <w:pPr>
        <w:pBdr>
          <w:top w:val="single" w:sz="6" w:space="0" w:color="FFFFFF"/>
          <w:left w:val="single" w:sz="6" w:space="0" w:color="FFFFFF"/>
          <w:bottom w:val="single" w:sz="6" w:space="0" w:color="FFFFFF"/>
          <w:right w:val="single" w:sz="6" w:space="0" w:color="FFFFFF"/>
        </w:pBdr>
        <w:spacing w:line="360" w:lineRule="auto"/>
        <w:ind w:firstLine="720"/>
        <w:contextualSpacing/>
      </w:pPr>
      <w:r>
        <w:rPr>
          <w:b/>
          <w:bCs/>
        </w:rPr>
        <w:t>6(g)  Burden Statement</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 xml:space="preserve">The annual public reporting and recordkeeping burden for this collection of information is estimated to </w:t>
      </w:r>
      <w:r w:rsidRPr="001D1718">
        <w:t xml:space="preserve">average </w:t>
      </w:r>
      <w:r w:rsidR="00D35B06" w:rsidRPr="001D1718">
        <w:t>10</w:t>
      </w:r>
      <w:r w:rsidR="00170241">
        <w:t>8</w:t>
      </w:r>
      <w:r w:rsidR="00D35B06" w:rsidRPr="001D1718">
        <w:t xml:space="preserve"> </w:t>
      </w:r>
      <w:r w:rsidRPr="001D1718">
        <w:t>per response.  Burden means the total time, effort, or financial resources expended by persons to generate, maintain, retain, or disclose</w:t>
      </w:r>
      <w:r>
        <w:t xml:space="preserv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An agency may not conduct or sponsor, and a person is not required to respond to, a collection of information unless it displays a valid OMB Control Number.  The OMB Control Numbers for EPA regulations are listed at 40 CFR part 9 and 48 CFR chapter 15.</w:t>
      </w:r>
    </w:p>
    <w:p w:rsidR="00FD2392" w:rsidRDefault="00FD2392" w:rsidP="00E75F08">
      <w:pPr>
        <w:spacing w:line="360" w:lineRule="auto"/>
        <w:ind w:firstLine="720"/>
        <w:contextualSpacing/>
      </w:pPr>
    </w:p>
    <w:p w:rsidR="00FD2392" w:rsidRDefault="00FD2392" w:rsidP="00E75F08">
      <w:pPr>
        <w:spacing w:line="360" w:lineRule="auto"/>
        <w:ind w:firstLine="720"/>
        <w:contextualSpacing/>
      </w:pPr>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w:t>
      </w:r>
      <w:r w:rsidR="00170241">
        <w:t>AR</w:t>
      </w:r>
      <w:r>
        <w:t>-2010-</w:t>
      </w:r>
      <w:r w:rsidR="00170241">
        <w:t>0505</w:t>
      </w:r>
      <w:r>
        <w:t xml:space="preserve">.  An electronic version of the public docket is available at </w:t>
      </w:r>
      <w:r w:rsidRPr="003E0DA4">
        <w:rPr>
          <w:u w:val="single"/>
        </w:rPr>
        <w:t>http://www.regulations.gov/</w:t>
      </w:r>
      <w: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w:t>
      </w:r>
      <w:r>
        <w:lastRenderedPageBreak/>
        <w:t xml:space="preserve">holidays.  The telephone number for the Reading Room is (202) 566-1744, and the telephone number for the </w:t>
      </w:r>
      <w:r w:rsidR="00DD37DD">
        <w:t>Air and Radiation</w:t>
      </w:r>
      <w:r w:rsidR="003E0DA4">
        <w:t xml:space="preserve"> Docket and Information C</w:t>
      </w:r>
      <w:r>
        <w:t>enter is (202) 566-17</w:t>
      </w:r>
      <w:r w:rsidR="00DD37DD">
        <w:t>42</w:t>
      </w:r>
      <w:r>
        <w:t>.  Also, you can send comments to the Office of Information and Regulatory Affairs, Office of Management and Budget, 725 17th Street, NW, Washington, DC 20503, Attention: Desk Officer for EPA.  Please include the EPA Docket ID Number EPA-HQ-O</w:t>
      </w:r>
      <w:r w:rsidR="00170241">
        <w:t>AR</w:t>
      </w:r>
      <w:r>
        <w:t>-2010-</w:t>
      </w:r>
      <w:r w:rsidR="00170241">
        <w:t>0505</w:t>
      </w:r>
      <w:r>
        <w:t xml:space="preserve"> and OMB Control Number 2060-0</w:t>
      </w:r>
      <w:r w:rsidR="00170241">
        <w:t>672</w:t>
      </w:r>
      <w:r>
        <w:t xml:space="preserve"> in any correspondence. </w:t>
      </w:r>
    </w:p>
    <w:p w:rsidR="00FD2392" w:rsidRDefault="00FD2392" w:rsidP="00E75F08">
      <w:pPr>
        <w:spacing w:line="360" w:lineRule="auto"/>
        <w:ind w:firstLine="720"/>
        <w:contextualSpacing/>
      </w:pPr>
    </w:p>
    <w:p w:rsidR="00FD2392" w:rsidRDefault="00FD2392" w:rsidP="00E75F08">
      <w:pPr>
        <w:spacing w:line="360" w:lineRule="auto"/>
        <w:contextualSpacing/>
        <w:rPr>
          <w:b/>
          <w:bCs/>
        </w:rPr>
      </w:pPr>
      <w:r>
        <w:rPr>
          <w:b/>
          <w:bCs/>
        </w:rPr>
        <w:t>Part B of the Supporting Statement</w:t>
      </w:r>
    </w:p>
    <w:p w:rsidR="00FD2392" w:rsidRDefault="00FD2392" w:rsidP="00E75F08">
      <w:pPr>
        <w:spacing w:line="360" w:lineRule="auto"/>
        <w:contextualSpacing/>
        <w:rPr>
          <w:b/>
          <w:bCs/>
        </w:rPr>
      </w:pPr>
    </w:p>
    <w:p w:rsidR="00FD2392" w:rsidRDefault="00FD2392" w:rsidP="00E75F08">
      <w:pPr>
        <w:spacing w:line="360" w:lineRule="auto"/>
        <w:ind w:firstLine="720"/>
        <w:contextualSpacing/>
      </w:pPr>
      <w:r>
        <w:t>This part is not applicable because no statistical methods were used in collecting this information.</w:t>
      </w:r>
    </w:p>
    <w:p w:rsidR="00FD2392" w:rsidRDefault="00FD2392" w:rsidP="00E75F08">
      <w:pPr>
        <w:contextualSpacing/>
        <w:sectPr w:rsidR="00FD2392">
          <w:headerReference w:type="default" r:id="rId8"/>
          <w:pgSz w:w="12240" w:h="15840" w:code="1"/>
          <w:pgMar w:top="1440" w:right="1440" w:bottom="1440" w:left="1440" w:header="1008" w:footer="0" w:gutter="0"/>
          <w:cols w:space="720"/>
          <w:noEndnote/>
          <w:titlePg/>
        </w:sectPr>
      </w:pPr>
    </w:p>
    <w:p w:rsidR="00FD2392" w:rsidRDefault="00FD2392" w:rsidP="00E75F08">
      <w:pPr>
        <w:contextualSpacing/>
        <w:rPr>
          <w:b/>
          <w:bCs/>
        </w:rPr>
      </w:pPr>
      <w:r>
        <w:rPr>
          <w:b/>
          <w:bCs/>
        </w:rPr>
        <w:lastRenderedPageBreak/>
        <w:t>Table 1</w:t>
      </w:r>
      <w:r w:rsidR="003E0DA4">
        <w:rPr>
          <w:b/>
          <w:bCs/>
        </w:rPr>
        <w:t>:</w:t>
      </w:r>
      <w:r>
        <w:rPr>
          <w:b/>
          <w:bCs/>
        </w:rPr>
        <w:t xml:space="preserve">  Annual Respondent Burden and Cost, NSPS for Onshore Natural Gas Processing Plants (40 CFR Part 60, Subparts KKK and LLL)</w:t>
      </w:r>
      <w:r w:rsidR="003E0DA4">
        <w:rPr>
          <w:b/>
          <w:bCs/>
        </w:rPr>
        <w:t xml:space="preserve"> (R</w:t>
      </w:r>
      <w:r w:rsidR="000E2176">
        <w:rPr>
          <w:b/>
          <w:bCs/>
        </w:rPr>
        <w:t>evised</w:t>
      </w:r>
      <w:r w:rsidR="003E0DA4">
        <w:rPr>
          <w:b/>
          <w:bCs/>
        </w:rPr>
        <w:t>)</w:t>
      </w:r>
    </w:p>
    <w:p w:rsidR="00FD2392" w:rsidRDefault="00FD2392" w:rsidP="00E75F08">
      <w:pPr>
        <w:contextualSpacing/>
      </w:pPr>
    </w:p>
    <w:tbl>
      <w:tblPr>
        <w:tblW w:w="1062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8" w:type="dxa"/>
          <w:right w:w="58" w:type="dxa"/>
        </w:tblCellMar>
        <w:tblLook w:val="0000"/>
      </w:tblPr>
      <w:tblGrid>
        <w:gridCol w:w="3293"/>
        <w:gridCol w:w="1348"/>
        <w:gridCol w:w="1260"/>
        <w:gridCol w:w="1260"/>
        <w:gridCol w:w="1260"/>
        <w:gridCol w:w="236"/>
        <w:gridCol w:w="1020"/>
        <w:gridCol w:w="252"/>
        <w:gridCol w:w="35"/>
        <w:gridCol w:w="1067"/>
        <w:gridCol w:w="252"/>
        <w:gridCol w:w="236"/>
        <w:gridCol w:w="428"/>
        <w:gridCol w:w="1460"/>
        <w:gridCol w:w="64"/>
        <w:gridCol w:w="2028"/>
        <w:gridCol w:w="1981"/>
        <w:gridCol w:w="1981"/>
        <w:gridCol w:w="1981"/>
        <w:gridCol w:w="1981"/>
        <w:gridCol w:w="1981"/>
        <w:gridCol w:w="1981"/>
        <w:gridCol w:w="1923"/>
      </w:tblGrid>
      <w:tr w:rsidR="006F6D15" w:rsidRPr="000E2176" w:rsidTr="000E2176">
        <w:trPr>
          <w:gridAfter w:val="9"/>
          <w:wAfter w:w="2714" w:type="pct"/>
          <w:cantSplit/>
          <w:tblHeader/>
        </w:trPr>
        <w:tc>
          <w:tcPr>
            <w:tcW w:w="562" w:type="pct"/>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 </w:t>
            </w:r>
          </w:p>
        </w:tc>
        <w:tc>
          <w:tcPr>
            <w:tcW w:w="230" w:type="pct"/>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(A)</w:t>
            </w:r>
          </w:p>
        </w:tc>
        <w:tc>
          <w:tcPr>
            <w:tcW w:w="215" w:type="pct"/>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(B)</w:t>
            </w:r>
          </w:p>
        </w:tc>
        <w:tc>
          <w:tcPr>
            <w:tcW w:w="215" w:type="pct"/>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(C)</w:t>
            </w:r>
          </w:p>
        </w:tc>
        <w:tc>
          <w:tcPr>
            <w:tcW w:w="215" w:type="pct"/>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(D)</w:t>
            </w:r>
          </w:p>
        </w:tc>
        <w:tc>
          <w:tcPr>
            <w:tcW w:w="214" w:type="pct"/>
            <w:gridSpan w:val="2"/>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(E)</w:t>
            </w:r>
          </w:p>
        </w:tc>
        <w:tc>
          <w:tcPr>
            <w:tcW w:w="231" w:type="pct"/>
            <w:gridSpan w:val="3"/>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(F)</w:t>
            </w:r>
          </w:p>
        </w:tc>
        <w:tc>
          <w:tcPr>
            <w:tcW w:w="155" w:type="pct"/>
            <w:gridSpan w:val="3"/>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(G)</w:t>
            </w:r>
          </w:p>
        </w:tc>
        <w:tc>
          <w:tcPr>
            <w:tcW w:w="249" w:type="pct"/>
            <w:shd w:val="clear" w:color="auto" w:fill="auto"/>
          </w:tcPr>
          <w:p w:rsidR="006F6D15" w:rsidRPr="000E2176" w:rsidRDefault="006F6D15" w:rsidP="00E75F08">
            <w:pPr>
              <w:widowControl/>
              <w:autoSpaceDE/>
              <w:autoSpaceDN/>
              <w:adjustRightInd/>
              <w:contextualSpacing/>
              <w:jc w:val="center"/>
              <w:rPr>
                <w:b/>
                <w:sz w:val="20"/>
                <w:szCs w:val="20"/>
              </w:rPr>
            </w:pPr>
            <w:r w:rsidRPr="000E2176">
              <w:rPr>
                <w:b/>
                <w:sz w:val="20"/>
                <w:szCs w:val="20"/>
              </w:rPr>
              <w:t>(I)</w:t>
            </w:r>
          </w:p>
        </w:tc>
      </w:tr>
      <w:tr w:rsidR="006F6D15" w:rsidRPr="000E2176" w:rsidTr="000E2176">
        <w:trPr>
          <w:gridAfter w:val="9"/>
          <w:wAfter w:w="2714" w:type="pct"/>
          <w:cantSplit/>
          <w:tblHeader/>
        </w:trPr>
        <w:tc>
          <w:tcPr>
            <w:tcW w:w="562" w:type="pct"/>
            <w:shd w:val="clear" w:color="auto" w:fill="auto"/>
          </w:tcPr>
          <w:p w:rsidR="006F6D15" w:rsidRPr="000E2176" w:rsidRDefault="006F6D15" w:rsidP="00E75F08">
            <w:pPr>
              <w:widowControl/>
              <w:autoSpaceDE/>
              <w:autoSpaceDN/>
              <w:adjustRightInd/>
              <w:contextualSpacing/>
              <w:rPr>
                <w:b/>
                <w:bCs/>
                <w:sz w:val="20"/>
                <w:szCs w:val="20"/>
              </w:rPr>
            </w:pPr>
            <w:r w:rsidRPr="000E2176">
              <w:rPr>
                <w:b/>
                <w:bCs/>
                <w:sz w:val="20"/>
                <w:szCs w:val="20"/>
              </w:rPr>
              <w:t>Reporting/Recordkeeping Requirements</w:t>
            </w:r>
          </w:p>
        </w:tc>
        <w:tc>
          <w:tcPr>
            <w:tcW w:w="230" w:type="pct"/>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Person- hours </w:t>
            </w:r>
            <w:r w:rsidRPr="000E2176">
              <w:rPr>
                <w:b/>
                <w:bCs/>
                <w:sz w:val="20"/>
                <w:szCs w:val="20"/>
              </w:rPr>
              <w:br/>
              <w:t>per occurrence</w:t>
            </w:r>
          </w:p>
        </w:tc>
        <w:tc>
          <w:tcPr>
            <w:tcW w:w="215" w:type="pct"/>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No. of occurrences per respondent per year</w:t>
            </w:r>
          </w:p>
        </w:tc>
        <w:tc>
          <w:tcPr>
            <w:tcW w:w="215" w:type="pct"/>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Person- hours per respondent per year </w:t>
            </w:r>
            <w:r w:rsidRPr="000E2176">
              <w:rPr>
                <w:b/>
                <w:bCs/>
                <w:sz w:val="20"/>
                <w:szCs w:val="20"/>
              </w:rPr>
              <w:br/>
              <w:t>(C = A×B)</w:t>
            </w:r>
          </w:p>
        </w:tc>
        <w:tc>
          <w:tcPr>
            <w:tcW w:w="215" w:type="pct"/>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Respondents </w:t>
            </w:r>
            <w:r w:rsidRPr="000E2176">
              <w:rPr>
                <w:b/>
                <w:bCs/>
                <w:sz w:val="20"/>
                <w:szCs w:val="20"/>
              </w:rPr>
              <w:br/>
              <w:t xml:space="preserve">per year </w:t>
            </w:r>
            <w:r w:rsidRPr="000E2176">
              <w:rPr>
                <w:b/>
                <w:bCs/>
                <w:sz w:val="20"/>
                <w:szCs w:val="20"/>
                <w:vertAlign w:val="superscript"/>
              </w:rPr>
              <w:t>a</w:t>
            </w:r>
          </w:p>
        </w:tc>
        <w:tc>
          <w:tcPr>
            <w:tcW w:w="214" w:type="pct"/>
            <w:gridSpan w:val="2"/>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Technical person- hours per year </w:t>
            </w:r>
            <w:r w:rsidRPr="000E2176">
              <w:rPr>
                <w:b/>
                <w:bCs/>
                <w:sz w:val="20"/>
                <w:szCs w:val="20"/>
              </w:rPr>
              <w:br/>
              <w:t>(E = C×D)</w:t>
            </w:r>
          </w:p>
        </w:tc>
        <w:tc>
          <w:tcPr>
            <w:tcW w:w="231" w:type="pct"/>
            <w:gridSpan w:val="3"/>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Management person-hours </w:t>
            </w:r>
            <w:r w:rsidRPr="000E2176">
              <w:rPr>
                <w:b/>
                <w:bCs/>
                <w:sz w:val="20"/>
                <w:szCs w:val="20"/>
              </w:rPr>
              <w:br/>
              <w:t xml:space="preserve">per year </w:t>
            </w:r>
            <w:r w:rsidRPr="000E2176">
              <w:rPr>
                <w:b/>
                <w:bCs/>
                <w:sz w:val="20"/>
                <w:szCs w:val="20"/>
              </w:rPr>
              <w:br/>
              <w:t>(E×0.05)</w:t>
            </w:r>
          </w:p>
        </w:tc>
        <w:tc>
          <w:tcPr>
            <w:tcW w:w="155" w:type="pct"/>
            <w:gridSpan w:val="3"/>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Clerical person-hours per year </w:t>
            </w:r>
            <w:r w:rsidRPr="000E2176">
              <w:rPr>
                <w:b/>
                <w:bCs/>
                <w:sz w:val="20"/>
                <w:szCs w:val="20"/>
              </w:rPr>
              <w:br/>
              <w:t>(E×0.1)</w:t>
            </w:r>
          </w:p>
        </w:tc>
        <w:tc>
          <w:tcPr>
            <w:tcW w:w="249" w:type="pct"/>
            <w:shd w:val="clear" w:color="auto" w:fill="auto"/>
          </w:tcPr>
          <w:p w:rsidR="006F6D15" w:rsidRPr="000E2176" w:rsidRDefault="006F6D15" w:rsidP="00E75F08">
            <w:pPr>
              <w:widowControl/>
              <w:autoSpaceDE/>
              <w:autoSpaceDN/>
              <w:adjustRightInd/>
              <w:contextualSpacing/>
              <w:jc w:val="center"/>
              <w:rPr>
                <w:b/>
                <w:bCs/>
                <w:sz w:val="20"/>
                <w:szCs w:val="20"/>
              </w:rPr>
            </w:pPr>
            <w:r w:rsidRPr="000E2176">
              <w:rPr>
                <w:b/>
                <w:bCs/>
                <w:sz w:val="20"/>
                <w:szCs w:val="20"/>
              </w:rPr>
              <w:t xml:space="preserve">Cost ($) </w:t>
            </w:r>
            <w:r w:rsidRPr="000E2176">
              <w:rPr>
                <w:b/>
                <w:bCs/>
                <w:sz w:val="20"/>
                <w:szCs w:val="20"/>
                <w:vertAlign w:val="superscript"/>
              </w:rPr>
              <w:t>b</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rPr>
                <w:sz w:val="20"/>
                <w:szCs w:val="20"/>
              </w:rPr>
            </w:pPr>
            <w:r w:rsidRPr="006F6D15">
              <w:rPr>
                <w:sz w:val="20"/>
                <w:szCs w:val="20"/>
              </w:rPr>
              <w:t>1.  Applications</w:t>
            </w:r>
          </w:p>
        </w:tc>
        <w:tc>
          <w:tcPr>
            <w:tcW w:w="230"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r w:rsidRPr="006F6D15">
              <w:rPr>
                <w:sz w:val="20"/>
                <w:szCs w:val="20"/>
              </w:rPr>
              <w:t>N/A</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4" w:type="pct"/>
            <w:gridSpan w:val="2"/>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31" w:type="pct"/>
            <w:gridSpan w:val="3"/>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155" w:type="pct"/>
            <w:gridSpan w:val="3"/>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rPr>
                <w:sz w:val="20"/>
                <w:szCs w:val="20"/>
              </w:rPr>
            </w:pPr>
            <w:r w:rsidRPr="006F6D15">
              <w:rPr>
                <w:sz w:val="20"/>
                <w:szCs w:val="20"/>
              </w:rPr>
              <w:t>2.  Survey and Studies</w:t>
            </w:r>
          </w:p>
        </w:tc>
        <w:tc>
          <w:tcPr>
            <w:tcW w:w="230"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r w:rsidRPr="006F6D15">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rPr>
                <w:sz w:val="20"/>
                <w:szCs w:val="20"/>
              </w:rPr>
            </w:pPr>
            <w:r w:rsidRPr="006F6D15">
              <w:rPr>
                <w:sz w:val="20"/>
                <w:szCs w:val="20"/>
              </w:rPr>
              <w:t>3.  Reporting requirements</w:t>
            </w:r>
          </w:p>
        </w:tc>
        <w:tc>
          <w:tcPr>
            <w:tcW w:w="230"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rPr>
                <w:sz w:val="20"/>
                <w:szCs w:val="20"/>
              </w:rPr>
            </w:pPr>
            <w:r w:rsidRPr="006F6D15">
              <w:rPr>
                <w:sz w:val="20"/>
                <w:szCs w:val="20"/>
              </w:rPr>
              <w:t>A.  Read instructions</w:t>
            </w:r>
          </w:p>
        </w:tc>
        <w:tc>
          <w:tcPr>
            <w:tcW w:w="230"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6F6D15" w:rsidRPr="006F6D15" w:rsidRDefault="006F6D15" w:rsidP="00E75F08">
            <w:pPr>
              <w:widowControl/>
              <w:autoSpaceDE/>
              <w:autoSpaceDN/>
              <w:adjustRightInd/>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507</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25</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51</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$54,705</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70</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70</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7</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$7,553</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B.  Required activities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trHeight w:val="315"/>
        </w:trPr>
        <w:tc>
          <w:tcPr>
            <w:tcW w:w="2286" w:type="pct"/>
            <w:gridSpan w:val="14"/>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 and LLL</w:t>
            </w:r>
          </w:p>
        </w:tc>
        <w:tc>
          <w:tcPr>
            <w:tcW w:w="357" w:type="pct"/>
            <w:gridSpan w:val="2"/>
            <w:vAlign w:val="bottom"/>
          </w:tcPr>
          <w:p w:rsidR="000E2176" w:rsidRPr="000E2176" w:rsidRDefault="000E2176" w:rsidP="00E75F08">
            <w:pPr>
              <w:contextualSpacing/>
              <w:rPr>
                <w:sz w:val="20"/>
                <w:szCs w:val="20"/>
              </w:rPr>
            </w:pPr>
            <w:r w:rsidRPr="000E2176">
              <w:rPr>
                <w:sz w:val="20"/>
                <w:szCs w:val="20"/>
              </w:rPr>
              <w:t> </w:t>
            </w:r>
          </w:p>
        </w:tc>
        <w:tc>
          <w:tcPr>
            <w:tcW w:w="338" w:type="pct"/>
            <w:vAlign w:val="bottom"/>
          </w:tcPr>
          <w:p w:rsidR="000E2176" w:rsidRPr="000E2176" w:rsidRDefault="000E2176" w:rsidP="00E75F08">
            <w:pPr>
              <w:contextualSpacing/>
              <w:rPr>
                <w:sz w:val="20"/>
                <w:szCs w:val="20"/>
              </w:rPr>
            </w:pPr>
            <w:r w:rsidRPr="000E2176">
              <w:rPr>
                <w:sz w:val="20"/>
                <w:szCs w:val="20"/>
              </w:rPr>
              <w:t> </w:t>
            </w:r>
          </w:p>
        </w:tc>
        <w:tc>
          <w:tcPr>
            <w:tcW w:w="338" w:type="pct"/>
            <w:vAlign w:val="bottom"/>
          </w:tcPr>
          <w:p w:rsidR="000E2176" w:rsidRPr="000E2176" w:rsidRDefault="000E2176" w:rsidP="00E75F08">
            <w:pPr>
              <w:contextualSpacing/>
              <w:rPr>
                <w:sz w:val="20"/>
                <w:szCs w:val="20"/>
              </w:rPr>
            </w:pPr>
            <w:r w:rsidRPr="000E2176">
              <w:rPr>
                <w:sz w:val="20"/>
                <w:szCs w:val="20"/>
              </w:rPr>
              <w:t> </w:t>
            </w:r>
          </w:p>
        </w:tc>
        <w:tc>
          <w:tcPr>
            <w:tcW w:w="338" w:type="pct"/>
            <w:vAlign w:val="bottom"/>
          </w:tcPr>
          <w:p w:rsidR="000E2176" w:rsidRPr="000E2176" w:rsidRDefault="000E2176" w:rsidP="00E75F08">
            <w:pPr>
              <w:contextualSpacing/>
              <w:rPr>
                <w:sz w:val="20"/>
                <w:szCs w:val="20"/>
              </w:rPr>
            </w:pPr>
            <w:r w:rsidRPr="000E2176">
              <w:rPr>
                <w:sz w:val="20"/>
                <w:szCs w:val="20"/>
              </w:rPr>
              <w:t> </w:t>
            </w:r>
          </w:p>
        </w:tc>
        <w:tc>
          <w:tcPr>
            <w:tcW w:w="338" w:type="pct"/>
            <w:vAlign w:val="bottom"/>
          </w:tcPr>
          <w:p w:rsidR="000E2176" w:rsidRPr="000E2176" w:rsidRDefault="000E2176" w:rsidP="00E75F08">
            <w:pPr>
              <w:contextualSpacing/>
              <w:rPr>
                <w:sz w:val="20"/>
                <w:szCs w:val="20"/>
              </w:rPr>
            </w:pPr>
            <w:r w:rsidRPr="000E2176">
              <w:rPr>
                <w:sz w:val="20"/>
                <w:szCs w:val="20"/>
              </w:rPr>
              <w:t> </w:t>
            </w:r>
          </w:p>
        </w:tc>
        <w:tc>
          <w:tcPr>
            <w:tcW w:w="338" w:type="pct"/>
            <w:vAlign w:val="bottom"/>
          </w:tcPr>
          <w:p w:rsidR="000E2176" w:rsidRPr="000E2176" w:rsidRDefault="000E2176" w:rsidP="00E75F08">
            <w:pPr>
              <w:contextualSpacing/>
              <w:rPr>
                <w:sz w:val="20"/>
                <w:szCs w:val="20"/>
              </w:rPr>
            </w:pPr>
            <w:r w:rsidRPr="000E2176">
              <w:rPr>
                <w:sz w:val="20"/>
                <w:szCs w:val="20"/>
              </w:rPr>
              <w:t> </w:t>
            </w:r>
          </w:p>
        </w:tc>
        <w:tc>
          <w:tcPr>
            <w:tcW w:w="338" w:type="pct"/>
            <w:vAlign w:val="bottom"/>
          </w:tcPr>
          <w:p w:rsidR="000E2176" w:rsidRPr="000E2176" w:rsidRDefault="000E2176" w:rsidP="00E75F08">
            <w:pPr>
              <w:contextualSpacing/>
              <w:rPr>
                <w:sz w:val="20"/>
                <w:szCs w:val="20"/>
              </w:rPr>
            </w:pPr>
            <w:r w:rsidRPr="000E2176">
              <w:rPr>
                <w:sz w:val="20"/>
                <w:szCs w:val="20"/>
              </w:rPr>
              <w:t> </w:t>
            </w:r>
          </w:p>
        </w:tc>
        <w:tc>
          <w:tcPr>
            <w:tcW w:w="329" w:type="pct"/>
            <w:vAlign w:val="bottom"/>
          </w:tcPr>
          <w:p w:rsidR="000E2176" w:rsidRPr="000E2176" w:rsidRDefault="000E2176" w:rsidP="00E75F08">
            <w:pPr>
              <w:contextualSpacing/>
              <w:rPr>
                <w:sz w:val="20"/>
                <w:szCs w:val="20"/>
              </w:rPr>
            </w:pPr>
            <w:r w:rsidRPr="000E2176">
              <w:rPr>
                <w:sz w:val="20"/>
                <w:szCs w:val="20"/>
              </w:rPr>
              <w:t> </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Semiannual reports d</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80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40,560</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r>
              <w:rPr>
                <w:sz w:val="20"/>
                <w:szCs w:val="20"/>
              </w:rPr>
              <w:t>,</w:t>
            </w:r>
            <w:r w:rsidRPr="000E2176">
              <w:rPr>
                <w:sz w:val="20"/>
                <w:szCs w:val="20"/>
              </w:rPr>
              <w:t>028</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w:t>
            </w:r>
            <w:r>
              <w:rPr>
                <w:sz w:val="20"/>
                <w:szCs w:val="20"/>
              </w:rPr>
              <w:t>,</w:t>
            </w:r>
            <w:r w:rsidRPr="000E2176">
              <w:rPr>
                <w:sz w:val="20"/>
                <w:szCs w:val="20"/>
              </w:rPr>
              <w:t>056</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$4,376,404</w:t>
            </w:r>
          </w:p>
        </w:tc>
      </w:tr>
      <w:tr w:rsidR="00E61965"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tcPr>
          <w:p w:rsidR="00E61965" w:rsidRPr="006F6D15" w:rsidRDefault="00E61965" w:rsidP="00E75F08">
            <w:pPr>
              <w:widowControl/>
              <w:autoSpaceDE/>
              <w:autoSpaceDN/>
              <w:adjustRightInd/>
              <w:contextualSpacing/>
              <w:rPr>
                <w:sz w:val="20"/>
                <w:szCs w:val="20"/>
              </w:rPr>
            </w:pPr>
            <w:r>
              <w:rPr>
                <w:sz w:val="20"/>
                <w:szCs w:val="20"/>
              </w:rPr>
              <w:t>Affirmative Defense</w:t>
            </w:r>
          </w:p>
        </w:tc>
        <w:tc>
          <w:tcPr>
            <w:tcW w:w="230" w:type="pct"/>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30</w:t>
            </w:r>
          </w:p>
        </w:tc>
        <w:tc>
          <w:tcPr>
            <w:tcW w:w="215" w:type="pct"/>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1</w:t>
            </w:r>
          </w:p>
        </w:tc>
        <w:tc>
          <w:tcPr>
            <w:tcW w:w="215" w:type="pct"/>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30</w:t>
            </w:r>
          </w:p>
        </w:tc>
        <w:tc>
          <w:tcPr>
            <w:tcW w:w="215" w:type="pct"/>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2</w:t>
            </w:r>
          </w:p>
        </w:tc>
        <w:tc>
          <w:tcPr>
            <w:tcW w:w="214" w:type="pct"/>
            <w:gridSpan w:val="2"/>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36</w:t>
            </w:r>
          </w:p>
        </w:tc>
        <w:tc>
          <w:tcPr>
            <w:tcW w:w="231" w:type="pct"/>
            <w:gridSpan w:val="3"/>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24</w:t>
            </w:r>
          </w:p>
        </w:tc>
        <w:tc>
          <w:tcPr>
            <w:tcW w:w="155" w:type="pct"/>
            <w:gridSpan w:val="3"/>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0</w:t>
            </w:r>
          </w:p>
        </w:tc>
        <w:tc>
          <w:tcPr>
            <w:tcW w:w="249" w:type="pct"/>
            <w:tcBorders>
              <w:top w:val="nil"/>
              <w:left w:val="nil"/>
              <w:bottom w:val="single" w:sz="4" w:space="0" w:color="auto"/>
              <w:right w:val="single" w:sz="4" w:space="0" w:color="auto"/>
            </w:tcBorders>
            <w:shd w:val="clear" w:color="auto" w:fill="auto"/>
            <w:noWrap/>
            <w:vAlign w:val="center"/>
          </w:tcPr>
          <w:p w:rsidR="00E61965" w:rsidRPr="000E2176" w:rsidRDefault="00E61965" w:rsidP="00E75F08">
            <w:pPr>
              <w:contextualSpacing/>
              <w:jc w:val="center"/>
              <w:rPr>
                <w:sz w:val="20"/>
                <w:szCs w:val="20"/>
              </w:rPr>
            </w:pPr>
            <w:r>
              <w:rPr>
                <w:sz w:val="20"/>
                <w:szCs w:val="20"/>
              </w:rPr>
              <w:t>$6,282</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000000" w:fill="D9D9D9"/>
            <w:noWrap/>
            <w:vAlign w:val="center"/>
            <w:hideMark/>
          </w:tcPr>
          <w:p w:rsidR="000E2176" w:rsidRPr="006F6D15" w:rsidRDefault="000E2176" w:rsidP="00E75F08">
            <w:pPr>
              <w:widowControl/>
              <w:autoSpaceDE/>
              <w:autoSpaceDN/>
              <w:adjustRightInd/>
              <w:contextualSpacing/>
              <w:rPr>
                <w:b/>
                <w:bCs/>
                <w:sz w:val="20"/>
                <w:szCs w:val="20"/>
              </w:rPr>
            </w:pPr>
            <w:r w:rsidRPr="006F6D15">
              <w:rPr>
                <w:b/>
                <w:bCs/>
                <w:sz w:val="20"/>
                <w:szCs w:val="20"/>
              </w:rPr>
              <w:t>Reporting Subtotal</w:t>
            </w:r>
          </w:p>
        </w:tc>
        <w:tc>
          <w:tcPr>
            <w:tcW w:w="230"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4" w:type="pct"/>
            <w:gridSpan w:val="2"/>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FF7A66">
            <w:pPr>
              <w:contextualSpacing/>
              <w:jc w:val="center"/>
              <w:rPr>
                <w:b/>
                <w:bCs/>
                <w:sz w:val="20"/>
                <w:szCs w:val="20"/>
              </w:rPr>
            </w:pPr>
            <w:r w:rsidRPr="000E2176">
              <w:rPr>
                <w:b/>
                <w:bCs/>
                <w:sz w:val="20"/>
                <w:szCs w:val="20"/>
              </w:rPr>
              <w:t>41</w:t>
            </w:r>
            <w:r>
              <w:rPr>
                <w:b/>
                <w:bCs/>
                <w:sz w:val="20"/>
                <w:szCs w:val="20"/>
              </w:rPr>
              <w:t>,</w:t>
            </w:r>
            <w:r w:rsidRPr="000E2176">
              <w:rPr>
                <w:b/>
                <w:bCs/>
                <w:sz w:val="20"/>
                <w:szCs w:val="20"/>
              </w:rPr>
              <w:t>1</w:t>
            </w:r>
            <w:r w:rsidR="00FF7A66">
              <w:rPr>
                <w:b/>
                <w:bCs/>
                <w:sz w:val="20"/>
                <w:szCs w:val="20"/>
              </w:rPr>
              <w:t>7</w:t>
            </w:r>
            <w:r w:rsidRPr="000E2176">
              <w:rPr>
                <w:b/>
                <w:bCs/>
                <w:sz w:val="20"/>
                <w:szCs w:val="20"/>
              </w:rPr>
              <w:t>3</w:t>
            </w:r>
          </w:p>
        </w:tc>
        <w:tc>
          <w:tcPr>
            <w:tcW w:w="231" w:type="pct"/>
            <w:gridSpan w:val="3"/>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FF7A66">
            <w:pPr>
              <w:contextualSpacing/>
              <w:jc w:val="center"/>
              <w:rPr>
                <w:b/>
                <w:bCs/>
                <w:sz w:val="20"/>
                <w:szCs w:val="20"/>
              </w:rPr>
            </w:pPr>
            <w:r w:rsidRPr="000E2176">
              <w:rPr>
                <w:b/>
                <w:bCs/>
                <w:sz w:val="20"/>
                <w:szCs w:val="20"/>
              </w:rPr>
              <w:t>2</w:t>
            </w:r>
            <w:r>
              <w:rPr>
                <w:b/>
                <w:bCs/>
                <w:sz w:val="20"/>
                <w:szCs w:val="20"/>
              </w:rPr>
              <w:t>,</w:t>
            </w:r>
            <w:r w:rsidRPr="000E2176">
              <w:rPr>
                <w:b/>
                <w:bCs/>
                <w:sz w:val="20"/>
                <w:szCs w:val="20"/>
              </w:rPr>
              <w:t>0</w:t>
            </w:r>
            <w:r w:rsidR="00FF7A66">
              <w:rPr>
                <w:b/>
                <w:bCs/>
                <w:sz w:val="20"/>
                <w:szCs w:val="20"/>
              </w:rPr>
              <w:t>81</w:t>
            </w:r>
          </w:p>
        </w:tc>
        <w:tc>
          <w:tcPr>
            <w:tcW w:w="155" w:type="pct"/>
            <w:gridSpan w:val="3"/>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r w:rsidRPr="000E2176">
              <w:rPr>
                <w:b/>
                <w:bCs/>
                <w:sz w:val="20"/>
                <w:szCs w:val="20"/>
              </w:rPr>
              <w:t>4</w:t>
            </w:r>
            <w:r>
              <w:rPr>
                <w:b/>
                <w:bCs/>
                <w:sz w:val="20"/>
                <w:szCs w:val="20"/>
              </w:rPr>
              <w:t>,</w:t>
            </w:r>
            <w:r w:rsidRPr="000E2176">
              <w:rPr>
                <w:b/>
                <w:bCs/>
                <w:sz w:val="20"/>
                <w:szCs w:val="20"/>
              </w:rPr>
              <w:t>114</w:t>
            </w:r>
          </w:p>
        </w:tc>
        <w:tc>
          <w:tcPr>
            <w:tcW w:w="249"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FF7A66">
            <w:pPr>
              <w:contextualSpacing/>
              <w:jc w:val="center"/>
              <w:rPr>
                <w:b/>
                <w:bCs/>
                <w:sz w:val="20"/>
                <w:szCs w:val="20"/>
              </w:rPr>
            </w:pPr>
            <w:r w:rsidRPr="000E2176">
              <w:rPr>
                <w:b/>
                <w:bCs/>
                <w:sz w:val="20"/>
                <w:szCs w:val="20"/>
              </w:rPr>
              <w:t>$4,4</w:t>
            </w:r>
            <w:r w:rsidR="00FF7A66">
              <w:rPr>
                <w:b/>
                <w:bCs/>
                <w:sz w:val="20"/>
                <w:szCs w:val="20"/>
              </w:rPr>
              <w:t>44</w:t>
            </w:r>
            <w:r w:rsidRPr="000E2176">
              <w:rPr>
                <w:b/>
                <w:bCs/>
                <w:sz w:val="20"/>
                <w:szCs w:val="20"/>
              </w:rPr>
              <w:t>,</w:t>
            </w:r>
            <w:r w:rsidR="00FF7A66">
              <w:rPr>
                <w:b/>
                <w:bCs/>
                <w:sz w:val="20"/>
                <w:szCs w:val="20"/>
              </w:rPr>
              <w:t>944</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4.  Recordkeeping requirements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A.  Read instructions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3A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B.  Plan activities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3E</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C.  Implement activities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3E</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Filing and maintaining records e</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80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80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40,560</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r>
              <w:rPr>
                <w:sz w:val="20"/>
                <w:szCs w:val="20"/>
              </w:rPr>
              <w:t>,</w:t>
            </w:r>
            <w:r w:rsidRPr="000E2176">
              <w:rPr>
                <w:sz w:val="20"/>
                <w:szCs w:val="20"/>
              </w:rPr>
              <w:t>028</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w:t>
            </w:r>
            <w:r>
              <w:rPr>
                <w:sz w:val="20"/>
                <w:szCs w:val="20"/>
              </w:rPr>
              <w:t>,</w:t>
            </w:r>
            <w:r w:rsidRPr="000E2176">
              <w:rPr>
                <w:sz w:val="20"/>
                <w:szCs w:val="20"/>
              </w:rPr>
              <w:t>056</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$4,376,404</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Recalibrate monitors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2,028</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101</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203</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$218,820</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Method 21 performance evaluation</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507</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2,028</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101</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203</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$218,820</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lastRenderedPageBreak/>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D.  Develop record system</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40</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3</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120</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6</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12</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$12,948</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E.  Time to enter information f</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r>
              <w:rPr>
                <w:sz w:val="20"/>
                <w:szCs w:val="20"/>
              </w:rPr>
              <w:t xml:space="preserve"> and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Records of continuous recording</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0.5</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261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13</w:t>
            </w:r>
            <w:r>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70</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9,135</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457</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914</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$985,662</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Records of capacity data</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1</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2</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3</w:t>
            </w: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6</w:t>
            </w: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0.3</w:t>
            </w: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0.6</w:t>
            </w: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$647</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F.  Train personnel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See 4C</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G.  Audits</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KKK</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sz w:val="20"/>
                <w:szCs w:val="20"/>
              </w:rPr>
            </w:pPr>
            <w:r w:rsidRPr="006F6D15">
              <w:rPr>
                <w:sz w:val="20"/>
                <w:szCs w:val="20"/>
              </w:rPr>
              <w:t>Subpart LLL</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r w:rsidRPr="000E2176">
              <w:rPr>
                <w:sz w:val="20"/>
                <w:szCs w:val="20"/>
              </w:rPr>
              <w:t>N/A</w:t>
            </w: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14" w:type="pct"/>
            <w:gridSpan w:val="2"/>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31"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155" w:type="pct"/>
            <w:gridSpan w:val="3"/>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c>
          <w:tcPr>
            <w:tcW w:w="249"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000000" w:fill="D9D9D9"/>
            <w:noWrap/>
            <w:vAlign w:val="center"/>
            <w:hideMark/>
          </w:tcPr>
          <w:p w:rsidR="000E2176" w:rsidRPr="006F6D15" w:rsidRDefault="000E2176" w:rsidP="00E75F08">
            <w:pPr>
              <w:widowControl/>
              <w:autoSpaceDE/>
              <w:autoSpaceDN/>
              <w:adjustRightInd/>
              <w:contextualSpacing/>
              <w:rPr>
                <w:b/>
                <w:bCs/>
                <w:sz w:val="20"/>
                <w:szCs w:val="20"/>
              </w:rPr>
            </w:pPr>
            <w:r w:rsidRPr="006F6D15">
              <w:rPr>
                <w:b/>
                <w:bCs/>
                <w:sz w:val="20"/>
                <w:szCs w:val="20"/>
              </w:rPr>
              <w:t>Recordkeeping Subtotal</w:t>
            </w:r>
          </w:p>
        </w:tc>
        <w:tc>
          <w:tcPr>
            <w:tcW w:w="230"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p>
        </w:tc>
        <w:tc>
          <w:tcPr>
            <w:tcW w:w="214" w:type="pct"/>
            <w:gridSpan w:val="2"/>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r w:rsidRPr="000E2176">
              <w:rPr>
                <w:b/>
                <w:bCs/>
                <w:sz w:val="20"/>
                <w:szCs w:val="20"/>
              </w:rPr>
              <w:t>53,877</w:t>
            </w:r>
          </w:p>
        </w:tc>
        <w:tc>
          <w:tcPr>
            <w:tcW w:w="231" w:type="pct"/>
            <w:gridSpan w:val="3"/>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r w:rsidRPr="000E2176">
              <w:rPr>
                <w:b/>
                <w:bCs/>
                <w:sz w:val="20"/>
                <w:szCs w:val="20"/>
              </w:rPr>
              <w:t>2,694</w:t>
            </w:r>
          </w:p>
        </w:tc>
        <w:tc>
          <w:tcPr>
            <w:tcW w:w="155" w:type="pct"/>
            <w:gridSpan w:val="3"/>
            <w:tcBorders>
              <w:top w:val="nil"/>
              <w:left w:val="nil"/>
              <w:bottom w:val="single" w:sz="4" w:space="0" w:color="auto"/>
              <w:right w:val="single" w:sz="4" w:space="0" w:color="auto"/>
            </w:tcBorders>
            <w:shd w:val="clear" w:color="000000" w:fill="D9D9D9"/>
            <w:noWrap/>
            <w:vAlign w:val="center"/>
            <w:hideMark/>
          </w:tcPr>
          <w:p w:rsidR="000E2176" w:rsidRPr="000E2176" w:rsidRDefault="000E2176" w:rsidP="00E75F08">
            <w:pPr>
              <w:contextualSpacing/>
              <w:jc w:val="center"/>
              <w:rPr>
                <w:b/>
                <w:bCs/>
                <w:sz w:val="20"/>
                <w:szCs w:val="20"/>
              </w:rPr>
            </w:pPr>
            <w:r w:rsidRPr="000E2176">
              <w:rPr>
                <w:b/>
                <w:bCs/>
                <w:sz w:val="20"/>
                <w:szCs w:val="20"/>
              </w:rPr>
              <w:t>5,388</w:t>
            </w:r>
          </w:p>
        </w:tc>
        <w:tc>
          <w:tcPr>
            <w:tcW w:w="249" w:type="pct"/>
            <w:tcBorders>
              <w:top w:val="nil"/>
              <w:left w:val="nil"/>
              <w:bottom w:val="single" w:sz="4" w:space="0" w:color="auto"/>
              <w:right w:val="single" w:sz="4" w:space="0" w:color="auto"/>
            </w:tcBorders>
            <w:shd w:val="clear" w:color="000000" w:fill="D9D9D9"/>
            <w:noWrap/>
            <w:vAlign w:val="center"/>
            <w:hideMark/>
          </w:tcPr>
          <w:p w:rsidR="000E2176" w:rsidRPr="000E2176" w:rsidRDefault="00C73B55" w:rsidP="00E75F08">
            <w:pPr>
              <w:contextualSpacing/>
              <w:jc w:val="center"/>
              <w:rPr>
                <w:b/>
                <w:bCs/>
                <w:sz w:val="20"/>
                <w:szCs w:val="20"/>
              </w:rPr>
            </w:pPr>
            <w:r>
              <w:rPr>
                <w:b/>
                <w:bCs/>
                <w:sz w:val="20"/>
                <w:szCs w:val="20"/>
              </w:rPr>
              <w:t>$</w:t>
            </w:r>
            <w:r w:rsidR="000E2176" w:rsidRPr="000E2176">
              <w:rPr>
                <w:b/>
                <w:bCs/>
                <w:sz w:val="20"/>
                <w:szCs w:val="20"/>
              </w:rPr>
              <w:t>5,813,301</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9"/>
          <w:wAfter w:w="2714" w:type="pct"/>
          <w:trHeight w:val="315"/>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rsidR="000E2176" w:rsidRPr="006F6D15" w:rsidRDefault="000E2176" w:rsidP="00E75F08">
            <w:pPr>
              <w:widowControl/>
              <w:autoSpaceDE/>
              <w:autoSpaceDN/>
              <w:adjustRightInd/>
              <w:contextualSpacing/>
              <w:rPr>
                <w:b/>
                <w:bCs/>
                <w:sz w:val="20"/>
                <w:szCs w:val="20"/>
              </w:rPr>
            </w:pPr>
            <w:r w:rsidRPr="006F6D15">
              <w:rPr>
                <w:b/>
                <w:bCs/>
                <w:sz w:val="20"/>
                <w:szCs w:val="20"/>
              </w:rPr>
              <w:t>TOTAL ANNUAL BURDEN AND COST</w:t>
            </w:r>
          </w:p>
        </w:tc>
        <w:tc>
          <w:tcPr>
            <w:tcW w:w="230"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b/>
                <w:bCs/>
                <w:sz w:val="20"/>
                <w:szCs w:val="20"/>
              </w:rPr>
            </w:pPr>
          </w:p>
        </w:tc>
        <w:tc>
          <w:tcPr>
            <w:tcW w:w="215" w:type="pct"/>
            <w:tcBorders>
              <w:top w:val="nil"/>
              <w:left w:val="nil"/>
              <w:bottom w:val="single" w:sz="4" w:space="0" w:color="auto"/>
              <w:right w:val="single" w:sz="4" w:space="0" w:color="auto"/>
            </w:tcBorders>
            <w:shd w:val="clear" w:color="auto" w:fill="auto"/>
            <w:noWrap/>
            <w:vAlign w:val="center"/>
            <w:hideMark/>
          </w:tcPr>
          <w:p w:rsidR="000E2176" w:rsidRPr="000E2176" w:rsidRDefault="000E2176" w:rsidP="00E75F08">
            <w:pPr>
              <w:contextualSpacing/>
              <w:jc w:val="center"/>
              <w:rPr>
                <w:b/>
                <w:bCs/>
                <w:sz w:val="20"/>
                <w:szCs w:val="20"/>
              </w:rPr>
            </w:pPr>
          </w:p>
        </w:tc>
        <w:tc>
          <w:tcPr>
            <w:tcW w:w="601"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2176" w:rsidRPr="000E2176" w:rsidRDefault="00C73B55" w:rsidP="00E75F08">
            <w:pPr>
              <w:contextualSpacing/>
              <w:jc w:val="center"/>
              <w:rPr>
                <w:b/>
                <w:bCs/>
                <w:sz w:val="20"/>
                <w:szCs w:val="20"/>
              </w:rPr>
            </w:pPr>
            <w:r>
              <w:rPr>
                <w:b/>
                <w:bCs/>
                <w:sz w:val="20"/>
                <w:szCs w:val="20"/>
              </w:rPr>
              <w:t>109,327</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tcPr>
          <w:p w:rsidR="000E2176" w:rsidRPr="000E2176" w:rsidRDefault="000E2176" w:rsidP="00C73B55">
            <w:pPr>
              <w:contextualSpacing/>
              <w:jc w:val="center"/>
              <w:rPr>
                <w:b/>
                <w:bCs/>
                <w:sz w:val="20"/>
                <w:szCs w:val="20"/>
              </w:rPr>
            </w:pPr>
            <w:r w:rsidRPr="000E2176">
              <w:rPr>
                <w:b/>
                <w:bCs/>
                <w:sz w:val="20"/>
                <w:szCs w:val="20"/>
              </w:rPr>
              <w:t>$10,25</w:t>
            </w:r>
            <w:r w:rsidR="00C73B55">
              <w:rPr>
                <w:b/>
                <w:bCs/>
                <w:sz w:val="20"/>
                <w:szCs w:val="20"/>
              </w:rPr>
              <w:t>8</w:t>
            </w:r>
            <w:r w:rsidRPr="000E2176">
              <w:rPr>
                <w:b/>
                <w:bCs/>
                <w:sz w:val="20"/>
                <w:szCs w:val="20"/>
              </w:rPr>
              <w:t>,</w:t>
            </w:r>
            <w:r w:rsidR="00C73B55">
              <w:rPr>
                <w:b/>
                <w:bCs/>
                <w:sz w:val="20"/>
                <w:szCs w:val="20"/>
              </w:rPr>
              <w:t>245</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4"/>
          <w:wAfter w:w="3300" w:type="pct"/>
          <w:trHeight w:val="315"/>
        </w:trPr>
        <w:tc>
          <w:tcPr>
            <w:tcW w:w="562"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r w:rsidRPr="006F6D15">
              <w:rPr>
                <w:sz w:val="20"/>
                <w:szCs w:val="20"/>
              </w:rPr>
              <w:t>N/A - Not Applicable.</w:t>
            </w:r>
          </w:p>
        </w:tc>
        <w:tc>
          <w:tcPr>
            <w:tcW w:w="23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4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23"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14"/>
          <w:wAfter w:w="3300" w:type="pct"/>
          <w:trHeight w:val="180"/>
        </w:trPr>
        <w:tc>
          <w:tcPr>
            <w:tcW w:w="562" w:type="pct"/>
            <w:tcBorders>
              <w:top w:val="nil"/>
              <w:left w:val="nil"/>
              <w:bottom w:val="nil"/>
              <w:right w:val="nil"/>
            </w:tcBorders>
            <w:shd w:val="clear" w:color="auto" w:fill="auto"/>
            <w:noWrap/>
            <w:hideMark/>
          </w:tcPr>
          <w:p w:rsidR="000E2176" w:rsidRPr="006F6D15" w:rsidRDefault="000E2176" w:rsidP="00E75F08">
            <w:pPr>
              <w:widowControl/>
              <w:autoSpaceDE/>
              <w:autoSpaceDN/>
              <w:adjustRightInd/>
              <w:contextualSpacing/>
              <w:rPr>
                <w:sz w:val="20"/>
                <w:szCs w:val="20"/>
              </w:rPr>
            </w:pPr>
            <w:r w:rsidRPr="006F6D15">
              <w:rPr>
                <w:sz w:val="20"/>
                <w:szCs w:val="20"/>
              </w:rPr>
              <w:t>Assumptions:</w:t>
            </w:r>
          </w:p>
        </w:tc>
        <w:tc>
          <w:tcPr>
            <w:tcW w:w="23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15"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4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223"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315"/>
        </w:trPr>
        <w:tc>
          <w:tcPr>
            <w:tcW w:w="2298" w:type="pct"/>
            <w:gridSpan w:val="15"/>
            <w:tcBorders>
              <w:top w:val="nil"/>
              <w:left w:val="nil"/>
              <w:bottom w:val="nil"/>
            </w:tcBorders>
            <w:shd w:val="clear" w:color="auto" w:fill="auto"/>
            <w:noWrap/>
          </w:tcPr>
          <w:p w:rsidR="000E2176" w:rsidRPr="000E2176" w:rsidRDefault="000E2176" w:rsidP="00E75F08">
            <w:pPr>
              <w:widowControl/>
              <w:autoSpaceDE/>
              <w:autoSpaceDN/>
              <w:adjustRightInd/>
              <w:contextualSpacing/>
              <w:rPr>
                <w:sz w:val="20"/>
                <w:szCs w:val="20"/>
              </w:rPr>
            </w:pPr>
            <w:r w:rsidRPr="000E2176">
              <w:rPr>
                <w:sz w:val="20"/>
                <w:szCs w:val="20"/>
              </w:rPr>
              <w:t>a. We have assumed that the average number of respondents that will be subject to subpart KKK will be 507. New affected facilities will no longer report under KKK or LLL, and instead will report under subpart OOOO. It is also assumed that the average number of respondents that will be subject to subpart LLL will be 70.</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630"/>
        </w:trPr>
        <w:tc>
          <w:tcPr>
            <w:tcW w:w="2298" w:type="pct"/>
            <w:gridSpan w:val="15"/>
            <w:tcBorders>
              <w:top w:val="nil"/>
              <w:left w:val="nil"/>
              <w:bottom w:val="nil"/>
            </w:tcBorders>
            <w:shd w:val="clear" w:color="auto" w:fill="auto"/>
            <w:noWrap/>
          </w:tcPr>
          <w:p w:rsidR="000E2176" w:rsidRPr="000E2176" w:rsidRDefault="000E2176" w:rsidP="00E75F08">
            <w:pPr>
              <w:widowControl/>
              <w:autoSpaceDE/>
              <w:autoSpaceDN/>
              <w:adjustRightInd/>
              <w:contextualSpacing/>
              <w:rPr>
                <w:sz w:val="20"/>
                <w:szCs w:val="20"/>
              </w:rPr>
            </w:pPr>
            <w:r w:rsidRPr="000E2176">
              <w:rPr>
                <w:sz w:val="20"/>
                <w:szCs w:val="20"/>
              </w:rPr>
              <w:t>b. This ICR uses the following labor rates: $116.05 per hour for Executive, Administrative, and Managerial labor; $97.21 per hour for Technical labor, and $48.87 per hour for Clerical labor.  These rates are from the United States Department of Labor, Bureau of Labor Statistics, March 2010, “Table 2. Civilian Workers, by Occupational and Industry group.” The rates are from column 1, “Total Compensation.”  The rates have been increased by 110 percent to account for the benefit packages available to those employed by private industry.</w:t>
            </w: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198"/>
        </w:trPr>
        <w:tc>
          <w:tcPr>
            <w:tcW w:w="1925" w:type="pct"/>
            <w:gridSpan w:val="11"/>
            <w:tcBorders>
              <w:top w:val="nil"/>
              <w:left w:val="nil"/>
              <w:bottom w:val="nil"/>
              <w:right w:val="nil"/>
            </w:tcBorders>
            <w:shd w:val="clear" w:color="auto" w:fill="auto"/>
            <w:noWrap/>
            <w:hideMark/>
          </w:tcPr>
          <w:p w:rsidR="000E2176" w:rsidRPr="006F6D15" w:rsidRDefault="000E2176" w:rsidP="00E75F08">
            <w:pPr>
              <w:widowControl/>
              <w:autoSpaceDE/>
              <w:autoSpaceDN/>
              <w:adjustRightInd/>
              <w:contextualSpacing/>
              <w:rPr>
                <w:sz w:val="20"/>
                <w:szCs w:val="20"/>
              </w:rPr>
            </w:pPr>
            <w:r w:rsidRPr="006F6D15">
              <w:rPr>
                <w:sz w:val="20"/>
                <w:szCs w:val="20"/>
              </w:rPr>
              <w:t>c. We have assumed that each respondent will take 8 hours, two times per year to write semiannual reports.</w:t>
            </w:r>
          </w:p>
        </w:tc>
        <w:tc>
          <w:tcPr>
            <w:tcW w:w="4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333"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180"/>
        </w:trPr>
        <w:tc>
          <w:tcPr>
            <w:tcW w:w="1925" w:type="pct"/>
            <w:gridSpan w:val="11"/>
            <w:tcBorders>
              <w:top w:val="nil"/>
              <w:left w:val="nil"/>
              <w:bottom w:val="nil"/>
              <w:right w:val="nil"/>
            </w:tcBorders>
            <w:shd w:val="clear" w:color="auto" w:fill="auto"/>
            <w:noWrap/>
            <w:hideMark/>
          </w:tcPr>
          <w:p w:rsidR="000E2176" w:rsidRPr="006F6D15" w:rsidRDefault="000E2176" w:rsidP="00E75F08">
            <w:pPr>
              <w:widowControl/>
              <w:autoSpaceDE/>
              <w:autoSpaceDN/>
              <w:adjustRightInd/>
              <w:contextualSpacing/>
              <w:rPr>
                <w:sz w:val="20"/>
                <w:szCs w:val="20"/>
              </w:rPr>
            </w:pPr>
            <w:r w:rsidRPr="000E2176">
              <w:rPr>
                <w:sz w:val="20"/>
                <w:szCs w:val="20"/>
              </w:rPr>
              <w:t xml:space="preserve">d. </w:t>
            </w:r>
            <w:r w:rsidRPr="006F6D15">
              <w:rPr>
                <w:sz w:val="20"/>
                <w:szCs w:val="20"/>
              </w:rPr>
              <w:t>We have assumed that each respondent will take 40 hours, two times per year to write semiannual reports.</w:t>
            </w:r>
          </w:p>
        </w:tc>
        <w:tc>
          <w:tcPr>
            <w:tcW w:w="4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333"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r>
      <w:tr w:rsidR="000E2176" w:rsidRPr="000E2176" w:rsidTr="000E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225"/>
        </w:trPr>
        <w:tc>
          <w:tcPr>
            <w:tcW w:w="1694" w:type="pct"/>
            <w:gridSpan w:val="8"/>
            <w:tcBorders>
              <w:top w:val="nil"/>
              <w:left w:val="nil"/>
              <w:bottom w:val="nil"/>
              <w:right w:val="nil"/>
            </w:tcBorders>
            <w:shd w:val="clear" w:color="auto" w:fill="auto"/>
            <w:noWrap/>
            <w:hideMark/>
          </w:tcPr>
          <w:p w:rsidR="000E2176" w:rsidRPr="006F6D15" w:rsidRDefault="000E2176" w:rsidP="00E75F08">
            <w:pPr>
              <w:widowControl/>
              <w:autoSpaceDE/>
              <w:autoSpaceDN/>
              <w:adjustRightInd/>
              <w:contextualSpacing/>
              <w:rPr>
                <w:sz w:val="20"/>
                <w:szCs w:val="20"/>
              </w:rPr>
            </w:pPr>
            <w:r w:rsidRPr="000E2176">
              <w:rPr>
                <w:sz w:val="20"/>
                <w:szCs w:val="20"/>
              </w:rPr>
              <w:t xml:space="preserve">e. </w:t>
            </w:r>
            <w:r w:rsidRPr="006F6D15">
              <w:rPr>
                <w:sz w:val="20"/>
                <w:szCs w:val="20"/>
              </w:rPr>
              <w:t>We have assumed that each respondent will take 80 hours to file and maintain records.</w:t>
            </w:r>
          </w:p>
        </w:tc>
        <w:tc>
          <w:tcPr>
            <w:tcW w:w="231" w:type="pct"/>
            <w:gridSpan w:val="3"/>
            <w:tcBorders>
              <w:top w:val="nil"/>
              <w:left w:val="nil"/>
              <w:bottom w:val="nil"/>
              <w:right w:val="nil"/>
            </w:tcBorders>
            <w:shd w:val="clear" w:color="auto" w:fill="auto"/>
            <w:noWrap/>
            <w:hideMark/>
          </w:tcPr>
          <w:p w:rsidR="000E2176" w:rsidRPr="006F6D15" w:rsidRDefault="000E2176" w:rsidP="00E75F08">
            <w:pPr>
              <w:widowControl/>
              <w:autoSpaceDE/>
              <w:autoSpaceDN/>
              <w:adjustRightInd/>
              <w:contextualSpacing/>
              <w:rPr>
                <w:sz w:val="20"/>
                <w:szCs w:val="20"/>
              </w:rPr>
            </w:pPr>
          </w:p>
        </w:tc>
        <w:tc>
          <w:tcPr>
            <w:tcW w:w="4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333"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r>
      <w:tr w:rsidR="000E2176" w:rsidRPr="000E2176" w:rsidTr="00694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After w:val="8"/>
          <w:wAfter w:w="2702" w:type="pct"/>
          <w:trHeight w:val="180"/>
        </w:trPr>
        <w:tc>
          <w:tcPr>
            <w:tcW w:w="1694" w:type="pct"/>
            <w:gridSpan w:val="8"/>
            <w:tcBorders>
              <w:top w:val="nil"/>
              <w:left w:val="nil"/>
              <w:bottom w:val="nil"/>
              <w:right w:val="nil"/>
            </w:tcBorders>
            <w:shd w:val="clear" w:color="auto" w:fill="auto"/>
            <w:noWrap/>
            <w:hideMark/>
          </w:tcPr>
          <w:p w:rsidR="000E2176" w:rsidRPr="006F6D15" w:rsidRDefault="000E2176" w:rsidP="00E75F08">
            <w:pPr>
              <w:widowControl/>
              <w:autoSpaceDE/>
              <w:autoSpaceDN/>
              <w:adjustRightInd/>
              <w:contextualSpacing/>
              <w:rPr>
                <w:sz w:val="20"/>
                <w:szCs w:val="20"/>
              </w:rPr>
            </w:pPr>
            <w:r w:rsidRPr="000E2176">
              <w:rPr>
                <w:sz w:val="20"/>
                <w:szCs w:val="20"/>
              </w:rPr>
              <w:t xml:space="preserve">f. </w:t>
            </w:r>
            <w:r w:rsidRPr="006F6D15">
              <w:rPr>
                <w:sz w:val="20"/>
                <w:szCs w:val="20"/>
              </w:rPr>
              <w:t>We have assumed that each respondent will take 40 hours to develop record system.</w:t>
            </w:r>
          </w:p>
        </w:tc>
        <w:tc>
          <w:tcPr>
            <w:tcW w:w="231"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40" w:type="pct"/>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c>
          <w:tcPr>
            <w:tcW w:w="333" w:type="pct"/>
            <w:gridSpan w:val="3"/>
            <w:tcBorders>
              <w:top w:val="nil"/>
              <w:left w:val="nil"/>
              <w:bottom w:val="nil"/>
              <w:right w:val="nil"/>
            </w:tcBorders>
            <w:shd w:val="clear" w:color="auto" w:fill="auto"/>
            <w:noWrap/>
            <w:vAlign w:val="bottom"/>
            <w:hideMark/>
          </w:tcPr>
          <w:p w:rsidR="000E2176" w:rsidRPr="006F6D15" w:rsidRDefault="000E2176" w:rsidP="00E75F08">
            <w:pPr>
              <w:widowControl/>
              <w:autoSpaceDE/>
              <w:autoSpaceDN/>
              <w:adjustRightInd/>
              <w:contextualSpacing/>
              <w:rPr>
                <w:sz w:val="20"/>
                <w:szCs w:val="20"/>
              </w:rPr>
            </w:pPr>
          </w:p>
        </w:tc>
      </w:tr>
    </w:tbl>
    <w:p w:rsidR="00C73B55" w:rsidRDefault="000E2176" w:rsidP="00E75F08">
      <w:pPr>
        <w:contextualSpacing/>
        <w:rPr>
          <w:sz w:val="18"/>
          <w:szCs w:val="18"/>
        </w:rPr>
      </w:pPr>
      <w:r>
        <w:rPr>
          <w:sz w:val="18"/>
          <w:szCs w:val="18"/>
        </w:rPr>
        <w:lastRenderedPageBreak/>
        <w:t xml:space="preserve"> g. We have assumed continuous monitoring occurs for 0.5 hours on </w:t>
      </w:r>
      <w:r w:rsidR="00694EF9">
        <w:rPr>
          <w:sz w:val="18"/>
          <w:szCs w:val="18"/>
        </w:rPr>
        <w:t xml:space="preserve">the approximate number of </w:t>
      </w:r>
      <w:r>
        <w:rPr>
          <w:sz w:val="18"/>
          <w:szCs w:val="18"/>
        </w:rPr>
        <w:t xml:space="preserve">business days. </w:t>
      </w:r>
    </w:p>
    <w:p w:rsidR="00C73B55" w:rsidRDefault="00C73B55" w:rsidP="00E75F08">
      <w:pPr>
        <w:contextualSpacing/>
        <w:rPr>
          <w:sz w:val="18"/>
          <w:szCs w:val="18"/>
        </w:rPr>
      </w:pPr>
    </w:p>
    <w:p w:rsidR="00C73B55" w:rsidRDefault="00C73B55" w:rsidP="00E75F08">
      <w:pPr>
        <w:contextualSpacing/>
        <w:rPr>
          <w:sz w:val="18"/>
          <w:szCs w:val="18"/>
        </w:rPr>
      </w:pPr>
    </w:p>
    <w:p w:rsidR="00C73B55" w:rsidRDefault="00C73B55" w:rsidP="00E75F08">
      <w:pPr>
        <w:contextualSpacing/>
        <w:rPr>
          <w:b/>
          <w:bCs/>
        </w:rPr>
      </w:pPr>
    </w:p>
    <w:p w:rsidR="00FD2392" w:rsidRDefault="00FD2392" w:rsidP="00E75F08">
      <w:pPr>
        <w:contextualSpacing/>
        <w:rPr>
          <w:b/>
          <w:bCs/>
        </w:rPr>
      </w:pPr>
      <w:r>
        <w:rPr>
          <w:b/>
          <w:bCs/>
        </w:rPr>
        <w:t>Table 2</w:t>
      </w:r>
      <w:r w:rsidR="003E0DA4">
        <w:rPr>
          <w:b/>
          <w:bCs/>
        </w:rPr>
        <w:t>:</w:t>
      </w:r>
      <w:r>
        <w:rPr>
          <w:b/>
          <w:bCs/>
        </w:rPr>
        <w:t xml:space="preserve">  Annual Agency Burden and Cost, NSPS for Onshore Natural Gas Processing Plants (40 CFR Part 60, Subparts KKK and LLL)</w:t>
      </w:r>
      <w:r w:rsidR="003E0DA4">
        <w:rPr>
          <w:b/>
          <w:bCs/>
        </w:rPr>
        <w:t xml:space="preserve"> (Re</w:t>
      </w:r>
      <w:r w:rsidR="000E2176">
        <w:rPr>
          <w:b/>
          <w:bCs/>
        </w:rPr>
        <w:t>vised</w:t>
      </w:r>
      <w:r w:rsidR="003E0DA4">
        <w:rPr>
          <w:b/>
          <w:bCs/>
        </w:rPr>
        <w:t>)</w:t>
      </w:r>
    </w:p>
    <w:tbl>
      <w:tblPr>
        <w:tblW w:w="5000" w:type="pct"/>
        <w:tblLook w:val="04A0"/>
      </w:tblPr>
      <w:tblGrid>
        <w:gridCol w:w="3097"/>
        <w:gridCol w:w="1323"/>
        <w:gridCol w:w="1417"/>
        <w:gridCol w:w="1306"/>
        <w:gridCol w:w="1306"/>
        <w:gridCol w:w="1306"/>
        <w:gridCol w:w="1526"/>
        <w:gridCol w:w="1306"/>
        <w:gridCol w:w="1309"/>
      </w:tblGrid>
      <w:tr w:rsidR="006F6D15" w:rsidRPr="006F6D15" w:rsidTr="000E2176">
        <w:trPr>
          <w:cantSplit/>
          <w:trHeight w:val="330"/>
        </w:trPr>
        <w:tc>
          <w:tcPr>
            <w:tcW w:w="1114" w:type="pct"/>
            <w:tcBorders>
              <w:top w:val="single" w:sz="8" w:space="0" w:color="auto"/>
              <w:left w:val="single" w:sz="8" w:space="0" w:color="auto"/>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 </w:t>
            </w:r>
          </w:p>
        </w:tc>
        <w:tc>
          <w:tcPr>
            <w:tcW w:w="476"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(A)</w:t>
            </w:r>
          </w:p>
        </w:tc>
        <w:tc>
          <w:tcPr>
            <w:tcW w:w="51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(B)</w:t>
            </w:r>
          </w:p>
        </w:tc>
        <w:tc>
          <w:tcPr>
            <w:tcW w:w="47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(C)</w:t>
            </w:r>
          </w:p>
        </w:tc>
        <w:tc>
          <w:tcPr>
            <w:tcW w:w="47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(D)</w:t>
            </w:r>
          </w:p>
        </w:tc>
        <w:tc>
          <w:tcPr>
            <w:tcW w:w="47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(E)</w:t>
            </w:r>
          </w:p>
        </w:tc>
        <w:tc>
          <w:tcPr>
            <w:tcW w:w="549"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(F)</w:t>
            </w:r>
          </w:p>
        </w:tc>
        <w:tc>
          <w:tcPr>
            <w:tcW w:w="470"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(G)</w:t>
            </w:r>
          </w:p>
        </w:tc>
        <w:tc>
          <w:tcPr>
            <w:tcW w:w="471" w:type="pct"/>
            <w:tcBorders>
              <w:top w:val="single" w:sz="8" w:space="0" w:color="auto"/>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jc w:val="center"/>
              <w:rPr>
                <w:sz w:val="20"/>
                <w:szCs w:val="20"/>
              </w:rPr>
            </w:pPr>
            <w:r w:rsidRPr="006F6D15">
              <w:rPr>
                <w:sz w:val="20"/>
                <w:szCs w:val="20"/>
              </w:rPr>
              <w:t>(I)</w:t>
            </w:r>
          </w:p>
        </w:tc>
      </w:tr>
      <w:tr w:rsidR="006F6D15" w:rsidRPr="006F6D15" w:rsidTr="000E2176">
        <w:trPr>
          <w:cantSplit/>
          <w:trHeight w:val="1020"/>
        </w:trPr>
        <w:tc>
          <w:tcPr>
            <w:tcW w:w="1114"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Activity</w:t>
            </w:r>
          </w:p>
        </w:tc>
        <w:tc>
          <w:tcPr>
            <w:tcW w:w="476"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EPA person- hours per occurrence</w:t>
            </w:r>
          </w:p>
        </w:tc>
        <w:tc>
          <w:tcPr>
            <w:tcW w:w="510"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No. of occurrences per plant per year</w:t>
            </w:r>
          </w:p>
        </w:tc>
        <w:tc>
          <w:tcPr>
            <w:tcW w:w="470"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EPA person- hours per plant per year</w:t>
            </w:r>
          </w:p>
        </w:tc>
        <w:tc>
          <w:tcPr>
            <w:tcW w:w="470"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 xml:space="preserve">Plants per year </w:t>
            </w:r>
            <w:r w:rsidRPr="006F6D15">
              <w:rPr>
                <w:b/>
                <w:sz w:val="20"/>
                <w:szCs w:val="20"/>
                <w:vertAlign w:val="superscript"/>
              </w:rPr>
              <w:t>a</w:t>
            </w:r>
          </w:p>
        </w:tc>
        <w:tc>
          <w:tcPr>
            <w:tcW w:w="470"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Technical person- hours per year</w:t>
            </w:r>
          </w:p>
        </w:tc>
        <w:tc>
          <w:tcPr>
            <w:tcW w:w="549"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Management person-hours per year</w:t>
            </w:r>
          </w:p>
        </w:tc>
        <w:tc>
          <w:tcPr>
            <w:tcW w:w="470"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bCs/>
                <w:sz w:val="20"/>
                <w:szCs w:val="20"/>
              </w:rPr>
              <w:t>Clerical person-hours per year</w:t>
            </w:r>
          </w:p>
        </w:tc>
        <w:tc>
          <w:tcPr>
            <w:tcW w:w="471" w:type="pct"/>
            <w:vMerge w:val="restart"/>
            <w:tcBorders>
              <w:top w:val="nil"/>
              <w:left w:val="single" w:sz="8" w:space="0" w:color="auto"/>
              <w:bottom w:val="single" w:sz="8" w:space="0" w:color="000000"/>
              <w:right w:val="single" w:sz="8" w:space="0" w:color="auto"/>
            </w:tcBorders>
            <w:shd w:val="clear" w:color="auto" w:fill="auto"/>
            <w:hideMark/>
          </w:tcPr>
          <w:p w:rsidR="006F6D15" w:rsidRPr="006F6D15" w:rsidRDefault="006F6D15" w:rsidP="00E75F08">
            <w:pPr>
              <w:widowControl/>
              <w:autoSpaceDE/>
              <w:autoSpaceDN/>
              <w:adjustRightInd/>
              <w:contextualSpacing/>
              <w:jc w:val="center"/>
              <w:rPr>
                <w:sz w:val="20"/>
                <w:szCs w:val="20"/>
              </w:rPr>
            </w:pPr>
            <w:r w:rsidRPr="006F6D15">
              <w:rPr>
                <w:bCs/>
                <w:sz w:val="20"/>
                <w:szCs w:val="20"/>
              </w:rPr>
              <w:t xml:space="preserve">Cost ($) </w:t>
            </w:r>
            <w:r w:rsidRPr="006F6D15">
              <w:rPr>
                <w:sz w:val="20"/>
                <w:szCs w:val="20"/>
                <w:vertAlign w:val="superscript"/>
              </w:rPr>
              <w:t>b</w:t>
            </w:r>
          </w:p>
        </w:tc>
      </w:tr>
      <w:tr w:rsidR="006F6D15" w:rsidRPr="006F6D15" w:rsidTr="000E2176">
        <w:trPr>
          <w:trHeight w:val="315"/>
        </w:trPr>
        <w:tc>
          <w:tcPr>
            <w:tcW w:w="1114"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476"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510"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470"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(C = A×B)</w:t>
            </w:r>
          </w:p>
        </w:tc>
        <w:tc>
          <w:tcPr>
            <w:tcW w:w="470"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470"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(E = C×D)</w:t>
            </w:r>
          </w:p>
        </w:tc>
        <w:tc>
          <w:tcPr>
            <w:tcW w:w="549"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(E×0.05)</w:t>
            </w:r>
          </w:p>
        </w:tc>
        <w:tc>
          <w:tcPr>
            <w:tcW w:w="470" w:type="pct"/>
            <w:tcBorders>
              <w:top w:val="nil"/>
              <w:left w:val="nil"/>
              <w:bottom w:val="nil"/>
              <w:right w:val="single" w:sz="8" w:space="0" w:color="auto"/>
            </w:tcBorders>
            <w:shd w:val="clear" w:color="auto" w:fill="auto"/>
            <w:hideMark/>
          </w:tcPr>
          <w:p w:rsidR="006F6D15" w:rsidRPr="006F6D15" w:rsidRDefault="006F6D15" w:rsidP="00E75F08">
            <w:pPr>
              <w:widowControl/>
              <w:autoSpaceDE/>
              <w:autoSpaceDN/>
              <w:adjustRightInd/>
              <w:contextualSpacing/>
              <w:jc w:val="center"/>
              <w:rPr>
                <w:b/>
                <w:sz w:val="20"/>
                <w:szCs w:val="20"/>
              </w:rPr>
            </w:pPr>
            <w:r w:rsidRPr="006F6D15">
              <w:rPr>
                <w:b/>
                <w:sz w:val="20"/>
                <w:szCs w:val="20"/>
              </w:rPr>
              <w:t>(E×0.1)</w:t>
            </w:r>
          </w:p>
        </w:tc>
        <w:tc>
          <w:tcPr>
            <w:tcW w:w="471"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sz w:val="20"/>
                <w:szCs w:val="20"/>
              </w:rPr>
            </w:pPr>
          </w:p>
        </w:tc>
      </w:tr>
      <w:tr w:rsidR="006F6D15" w:rsidRPr="006F6D15" w:rsidTr="000E2176">
        <w:trPr>
          <w:trHeight w:val="330"/>
        </w:trPr>
        <w:tc>
          <w:tcPr>
            <w:tcW w:w="1114"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476"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510"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470" w:type="pct"/>
            <w:tcBorders>
              <w:top w:val="nil"/>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rPr>
                <w:b/>
              </w:rPr>
            </w:pPr>
            <w:r w:rsidRPr="006F6D15">
              <w:rPr>
                <w:b/>
              </w:rPr>
              <w:t> </w:t>
            </w:r>
          </w:p>
        </w:tc>
        <w:tc>
          <w:tcPr>
            <w:tcW w:w="470"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b/>
                <w:sz w:val="20"/>
                <w:szCs w:val="20"/>
              </w:rPr>
            </w:pPr>
          </w:p>
        </w:tc>
        <w:tc>
          <w:tcPr>
            <w:tcW w:w="470" w:type="pct"/>
            <w:tcBorders>
              <w:top w:val="nil"/>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rPr>
                <w:b/>
              </w:rPr>
            </w:pPr>
            <w:r w:rsidRPr="006F6D15">
              <w:rPr>
                <w:b/>
              </w:rPr>
              <w:t> </w:t>
            </w:r>
          </w:p>
        </w:tc>
        <w:tc>
          <w:tcPr>
            <w:tcW w:w="549" w:type="pct"/>
            <w:tcBorders>
              <w:top w:val="nil"/>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rPr>
                <w:b/>
              </w:rPr>
            </w:pPr>
            <w:r w:rsidRPr="006F6D15">
              <w:rPr>
                <w:b/>
              </w:rPr>
              <w:t> </w:t>
            </w:r>
          </w:p>
        </w:tc>
        <w:tc>
          <w:tcPr>
            <w:tcW w:w="470" w:type="pct"/>
            <w:tcBorders>
              <w:top w:val="nil"/>
              <w:left w:val="nil"/>
              <w:bottom w:val="single" w:sz="8" w:space="0" w:color="auto"/>
              <w:right w:val="single" w:sz="8" w:space="0" w:color="auto"/>
            </w:tcBorders>
            <w:shd w:val="clear" w:color="auto" w:fill="auto"/>
            <w:hideMark/>
          </w:tcPr>
          <w:p w:rsidR="006F6D15" w:rsidRPr="006F6D15" w:rsidRDefault="006F6D15" w:rsidP="00E75F08">
            <w:pPr>
              <w:widowControl/>
              <w:autoSpaceDE/>
              <w:autoSpaceDN/>
              <w:adjustRightInd/>
              <w:contextualSpacing/>
              <w:rPr>
                <w:b/>
              </w:rPr>
            </w:pPr>
            <w:r w:rsidRPr="006F6D15">
              <w:rPr>
                <w:b/>
              </w:rPr>
              <w:t> </w:t>
            </w:r>
          </w:p>
        </w:tc>
        <w:tc>
          <w:tcPr>
            <w:tcW w:w="471" w:type="pct"/>
            <w:vMerge/>
            <w:tcBorders>
              <w:top w:val="nil"/>
              <w:left w:val="single" w:sz="8" w:space="0" w:color="auto"/>
              <w:bottom w:val="single" w:sz="8" w:space="0" w:color="000000"/>
              <w:right w:val="single" w:sz="8" w:space="0" w:color="auto"/>
            </w:tcBorders>
            <w:vAlign w:val="center"/>
            <w:hideMark/>
          </w:tcPr>
          <w:p w:rsidR="006F6D15" w:rsidRPr="006F6D15" w:rsidRDefault="006F6D15" w:rsidP="00E75F08">
            <w:pPr>
              <w:widowControl/>
              <w:autoSpaceDE/>
              <w:autoSpaceDN/>
              <w:adjustRightInd/>
              <w:contextualSpacing/>
              <w:rPr>
                <w:sz w:val="20"/>
                <w:szCs w:val="20"/>
              </w:rPr>
            </w:pPr>
          </w:p>
        </w:tc>
      </w:tr>
      <w:tr w:rsidR="006F6D15" w:rsidRPr="006F6D15" w:rsidTr="006F6D15">
        <w:trPr>
          <w:cantSplit/>
          <w:trHeight w:val="33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hideMark/>
          </w:tcPr>
          <w:p w:rsidR="006F6D15" w:rsidRPr="006F6D15" w:rsidRDefault="006F6D15" w:rsidP="00E75F08">
            <w:pPr>
              <w:widowControl/>
              <w:autoSpaceDE/>
              <w:autoSpaceDN/>
              <w:adjustRightInd/>
              <w:contextualSpacing/>
              <w:rPr>
                <w:sz w:val="20"/>
                <w:szCs w:val="20"/>
              </w:rPr>
            </w:pPr>
            <w:r w:rsidRPr="006F6D15">
              <w:rPr>
                <w:bCs/>
                <w:sz w:val="20"/>
                <w:szCs w:val="20"/>
              </w:rPr>
              <w:t>Subpart KKK and LLL</w:t>
            </w:r>
          </w:p>
        </w:tc>
      </w:tr>
      <w:tr w:rsidR="00E70956" w:rsidRPr="006F6D15" w:rsidTr="000E2176">
        <w:trPr>
          <w:cantSplit/>
          <w:trHeight w:val="330"/>
        </w:trPr>
        <w:tc>
          <w:tcPr>
            <w:tcW w:w="1114" w:type="pct"/>
            <w:tcBorders>
              <w:top w:val="nil"/>
              <w:left w:val="single" w:sz="8" w:space="0" w:color="auto"/>
              <w:bottom w:val="single" w:sz="8" w:space="0" w:color="auto"/>
              <w:right w:val="single" w:sz="8" w:space="0" w:color="auto"/>
            </w:tcBorders>
            <w:shd w:val="clear" w:color="auto" w:fill="auto"/>
            <w:vAlign w:val="center"/>
            <w:hideMark/>
          </w:tcPr>
          <w:p w:rsidR="00E70956" w:rsidRPr="006F6D15" w:rsidRDefault="00E70956" w:rsidP="00E75F08">
            <w:pPr>
              <w:widowControl/>
              <w:autoSpaceDE/>
              <w:autoSpaceDN/>
              <w:adjustRightInd/>
              <w:contextualSpacing/>
              <w:jc w:val="center"/>
              <w:rPr>
                <w:sz w:val="20"/>
                <w:szCs w:val="20"/>
              </w:rPr>
            </w:pPr>
            <w:r w:rsidRPr="006F6D15">
              <w:rPr>
                <w:sz w:val="20"/>
                <w:szCs w:val="20"/>
              </w:rPr>
              <w:t xml:space="preserve">Review semiannual reports </w:t>
            </w:r>
            <w:r w:rsidRPr="006F6D15">
              <w:rPr>
                <w:sz w:val="20"/>
                <w:szCs w:val="20"/>
                <w:vertAlign w:val="superscript"/>
              </w:rPr>
              <w:t xml:space="preserve">e </w:t>
            </w:r>
            <w:r w:rsidRPr="006F6D15">
              <w:rPr>
                <w:sz w:val="20"/>
                <w:szCs w:val="20"/>
              </w:rPr>
              <w:t xml:space="preserve"> </w:t>
            </w:r>
          </w:p>
        </w:tc>
        <w:tc>
          <w:tcPr>
            <w:tcW w:w="476"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8</w:t>
            </w:r>
          </w:p>
        </w:tc>
        <w:tc>
          <w:tcPr>
            <w:tcW w:w="510"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2</w:t>
            </w:r>
          </w:p>
        </w:tc>
        <w:tc>
          <w:tcPr>
            <w:tcW w:w="470"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16</w:t>
            </w:r>
          </w:p>
        </w:tc>
        <w:tc>
          <w:tcPr>
            <w:tcW w:w="470"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507</w:t>
            </w:r>
          </w:p>
        </w:tc>
        <w:tc>
          <w:tcPr>
            <w:tcW w:w="470"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8,112</w:t>
            </w:r>
          </w:p>
        </w:tc>
        <w:tc>
          <w:tcPr>
            <w:tcW w:w="549"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406</w:t>
            </w:r>
          </w:p>
        </w:tc>
        <w:tc>
          <w:tcPr>
            <w:tcW w:w="470"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811</w:t>
            </w:r>
          </w:p>
        </w:tc>
        <w:tc>
          <w:tcPr>
            <w:tcW w:w="471" w:type="pct"/>
            <w:tcBorders>
              <w:top w:val="nil"/>
              <w:left w:val="nil"/>
              <w:bottom w:val="single" w:sz="8" w:space="0" w:color="auto"/>
              <w:right w:val="single" w:sz="8" w:space="0" w:color="auto"/>
            </w:tcBorders>
            <w:shd w:val="clear" w:color="auto" w:fill="auto"/>
            <w:vAlign w:val="center"/>
            <w:hideMark/>
          </w:tcPr>
          <w:p w:rsidR="00E70956" w:rsidRDefault="00E70956" w:rsidP="00E75F08">
            <w:pPr>
              <w:contextualSpacing/>
              <w:jc w:val="center"/>
              <w:rPr>
                <w:sz w:val="20"/>
                <w:szCs w:val="20"/>
              </w:rPr>
            </w:pPr>
            <w:r>
              <w:rPr>
                <w:sz w:val="20"/>
                <w:szCs w:val="20"/>
              </w:rPr>
              <w:t xml:space="preserve">$420,400 </w:t>
            </w:r>
          </w:p>
        </w:tc>
      </w:tr>
      <w:tr w:rsidR="00E70956" w:rsidRPr="006F6D15" w:rsidTr="00A32F28">
        <w:trPr>
          <w:cantSplit/>
          <w:trHeight w:val="525"/>
        </w:trPr>
        <w:tc>
          <w:tcPr>
            <w:tcW w:w="1114" w:type="pct"/>
            <w:tcBorders>
              <w:top w:val="nil"/>
              <w:left w:val="single" w:sz="8" w:space="0" w:color="auto"/>
              <w:bottom w:val="single" w:sz="8" w:space="0" w:color="auto"/>
              <w:right w:val="single" w:sz="8" w:space="0" w:color="auto"/>
            </w:tcBorders>
            <w:shd w:val="clear" w:color="auto" w:fill="D9D9D9"/>
            <w:vAlign w:val="center"/>
            <w:hideMark/>
          </w:tcPr>
          <w:p w:rsidR="00E70956" w:rsidRPr="006F6D15" w:rsidRDefault="00E70956" w:rsidP="00E75F08">
            <w:pPr>
              <w:widowControl/>
              <w:autoSpaceDE/>
              <w:autoSpaceDN/>
              <w:adjustRightInd/>
              <w:contextualSpacing/>
              <w:jc w:val="center"/>
              <w:rPr>
                <w:b/>
                <w:sz w:val="20"/>
                <w:szCs w:val="20"/>
              </w:rPr>
            </w:pPr>
            <w:r w:rsidRPr="006F6D15">
              <w:rPr>
                <w:b/>
                <w:bCs/>
                <w:sz w:val="20"/>
                <w:szCs w:val="20"/>
              </w:rPr>
              <w:t>TOTAL ANNUAL BURDEN</w:t>
            </w:r>
          </w:p>
        </w:tc>
        <w:tc>
          <w:tcPr>
            <w:tcW w:w="476" w:type="pct"/>
            <w:tcBorders>
              <w:top w:val="nil"/>
              <w:left w:val="nil"/>
              <w:bottom w:val="single" w:sz="8" w:space="0" w:color="auto"/>
              <w:right w:val="single" w:sz="8" w:space="0" w:color="auto"/>
            </w:tcBorders>
            <w:shd w:val="clear" w:color="auto" w:fill="D9D9D9"/>
            <w:vAlign w:val="center"/>
            <w:hideMark/>
          </w:tcPr>
          <w:p w:rsidR="00E70956" w:rsidRDefault="00E70956" w:rsidP="00E75F08">
            <w:pPr>
              <w:contextualSpacing/>
              <w:jc w:val="center"/>
              <w:rPr>
                <w:sz w:val="20"/>
                <w:szCs w:val="20"/>
              </w:rPr>
            </w:pPr>
            <w:r>
              <w:rPr>
                <w:sz w:val="20"/>
                <w:szCs w:val="20"/>
              </w:rPr>
              <w:t> </w:t>
            </w:r>
          </w:p>
        </w:tc>
        <w:tc>
          <w:tcPr>
            <w:tcW w:w="510" w:type="pct"/>
            <w:tcBorders>
              <w:top w:val="nil"/>
              <w:left w:val="nil"/>
              <w:bottom w:val="single" w:sz="8" w:space="0" w:color="auto"/>
              <w:right w:val="single" w:sz="8" w:space="0" w:color="auto"/>
            </w:tcBorders>
            <w:shd w:val="clear" w:color="auto" w:fill="D9D9D9"/>
            <w:vAlign w:val="center"/>
            <w:hideMark/>
          </w:tcPr>
          <w:p w:rsidR="00E70956" w:rsidRDefault="00E70956" w:rsidP="00E75F08">
            <w:pPr>
              <w:contextualSpacing/>
              <w:jc w:val="center"/>
              <w:rPr>
                <w:sz w:val="20"/>
                <w:szCs w:val="20"/>
              </w:rPr>
            </w:pPr>
            <w:r>
              <w:rPr>
                <w:sz w:val="20"/>
                <w:szCs w:val="20"/>
              </w:rPr>
              <w:t> </w:t>
            </w:r>
          </w:p>
        </w:tc>
        <w:tc>
          <w:tcPr>
            <w:tcW w:w="470" w:type="pct"/>
            <w:tcBorders>
              <w:top w:val="nil"/>
              <w:left w:val="nil"/>
              <w:bottom w:val="single" w:sz="8" w:space="0" w:color="auto"/>
              <w:right w:val="single" w:sz="8" w:space="0" w:color="auto"/>
            </w:tcBorders>
            <w:shd w:val="clear" w:color="auto" w:fill="D9D9D9"/>
            <w:vAlign w:val="center"/>
            <w:hideMark/>
          </w:tcPr>
          <w:p w:rsidR="00E70956" w:rsidRDefault="00E70956" w:rsidP="00E75F08">
            <w:pPr>
              <w:contextualSpacing/>
              <w:jc w:val="center"/>
              <w:rPr>
                <w:sz w:val="20"/>
                <w:szCs w:val="20"/>
              </w:rPr>
            </w:pPr>
            <w:r>
              <w:rPr>
                <w:sz w:val="20"/>
                <w:szCs w:val="20"/>
              </w:rPr>
              <w:t> </w:t>
            </w:r>
          </w:p>
        </w:tc>
        <w:tc>
          <w:tcPr>
            <w:tcW w:w="470" w:type="pct"/>
            <w:tcBorders>
              <w:top w:val="nil"/>
              <w:left w:val="nil"/>
              <w:bottom w:val="single" w:sz="8" w:space="0" w:color="auto"/>
              <w:right w:val="single" w:sz="8" w:space="0" w:color="auto"/>
            </w:tcBorders>
            <w:shd w:val="clear" w:color="auto" w:fill="D9D9D9"/>
            <w:vAlign w:val="center"/>
            <w:hideMark/>
          </w:tcPr>
          <w:p w:rsidR="00E70956" w:rsidRDefault="00E70956" w:rsidP="00E75F08">
            <w:pPr>
              <w:contextualSpacing/>
              <w:jc w:val="center"/>
              <w:rPr>
                <w:sz w:val="20"/>
                <w:szCs w:val="20"/>
              </w:rPr>
            </w:pPr>
            <w:r>
              <w:rPr>
                <w:sz w:val="20"/>
                <w:szCs w:val="20"/>
              </w:rPr>
              <w:t> </w:t>
            </w:r>
          </w:p>
        </w:tc>
        <w:tc>
          <w:tcPr>
            <w:tcW w:w="1489" w:type="pct"/>
            <w:gridSpan w:val="3"/>
            <w:tcBorders>
              <w:top w:val="single" w:sz="8" w:space="0" w:color="auto"/>
              <w:left w:val="nil"/>
              <w:bottom w:val="single" w:sz="8" w:space="0" w:color="auto"/>
              <w:right w:val="single" w:sz="8" w:space="0" w:color="000000"/>
            </w:tcBorders>
            <w:shd w:val="clear" w:color="auto" w:fill="D9D9D9"/>
            <w:vAlign w:val="center"/>
            <w:hideMark/>
          </w:tcPr>
          <w:p w:rsidR="00E70956" w:rsidRPr="00E70956" w:rsidRDefault="00E70956" w:rsidP="00E75F08">
            <w:pPr>
              <w:contextualSpacing/>
              <w:jc w:val="center"/>
              <w:rPr>
                <w:b/>
                <w:sz w:val="20"/>
                <w:szCs w:val="20"/>
              </w:rPr>
            </w:pPr>
            <w:r w:rsidRPr="00E70956">
              <w:rPr>
                <w:b/>
                <w:sz w:val="20"/>
                <w:szCs w:val="20"/>
              </w:rPr>
              <w:t>9,329</w:t>
            </w:r>
          </w:p>
        </w:tc>
        <w:tc>
          <w:tcPr>
            <w:tcW w:w="471" w:type="pct"/>
            <w:tcBorders>
              <w:top w:val="nil"/>
              <w:left w:val="nil"/>
              <w:bottom w:val="single" w:sz="8" w:space="0" w:color="auto"/>
              <w:right w:val="single" w:sz="8" w:space="0" w:color="auto"/>
            </w:tcBorders>
            <w:shd w:val="clear" w:color="auto" w:fill="D9D9D9"/>
            <w:vAlign w:val="center"/>
            <w:hideMark/>
          </w:tcPr>
          <w:p w:rsidR="00E70956" w:rsidRPr="00E70956" w:rsidRDefault="00E70956" w:rsidP="00E75F08">
            <w:pPr>
              <w:contextualSpacing/>
              <w:jc w:val="center"/>
              <w:rPr>
                <w:b/>
                <w:sz w:val="20"/>
                <w:szCs w:val="20"/>
              </w:rPr>
            </w:pPr>
            <w:r w:rsidRPr="00E70956">
              <w:rPr>
                <w:b/>
                <w:bCs/>
                <w:sz w:val="20"/>
                <w:szCs w:val="20"/>
              </w:rPr>
              <w:t xml:space="preserve">$420,400 </w:t>
            </w:r>
          </w:p>
        </w:tc>
      </w:tr>
      <w:tr w:rsidR="00E70956" w:rsidRPr="006F6D15" w:rsidTr="000E2176">
        <w:trPr>
          <w:trHeight w:val="315"/>
        </w:trPr>
        <w:tc>
          <w:tcPr>
            <w:tcW w:w="1114"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rPr>
                <w:b/>
                <w:bCs/>
                <w:sz w:val="20"/>
                <w:szCs w:val="20"/>
              </w:rPr>
            </w:pPr>
            <w:r w:rsidRPr="006F6D15">
              <w:rPr>
                <w:b/>
                <w:bCs/>
                <w:sz w:val="20"/>
                <w:szCs w:val="20"/>
              </w:rPr>
              <w:t>Assumptions:</w:t>
            </w:r>
          </w:p>
        </w:tc>
        <w:tc>
          <w:tcPr>
            <w:tcW w:w="476"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510"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470"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470"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470"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549"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470"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c>
          <w:tcPr>
            <w:tcW w:w="471" w:type="pct"/>
            <w:tcBorders>
              <w:top w:val="nil"/>
              <w:left w:val="nil"/>
              <w:bottom w:val="nil"/>
              <w:right w:val="nil"/>
            </w:tcBorders>
            <w:shd w:val="clear" w:color="auto" w:fill="auto"/>
            <w:noWrap/>
            <w:hideMark/>
          </w:tcPr>
          <w:p w:rsidR="00E70956" w:rsidRPr="006F6D15" w:rsidRDefault="00E70956" w:rsidP="00E75F08">
            <w:pPr>
              <w:widowControl/>
              <w:autoSpaceDE/>
              <w:autoSpaceDN/>
              <w:adjustRightInd/>
              <w:contextualSpacing/>
            </w:pPr>
          </w:p>
        </w:tc>
      </w:tr>
      <w:tr w:rsidR="00E70956" w:rsidRPr="006F6D15" w:rsidTr="006F6D15">
        <w:trPr>
          <w:trHeight w:val="468"/>
        </w:trPr>
        <w:tc>
          <w:tcPr>
            <w:tcW w:w="5000" w:type="pct"/>
            <w:gridSpan w:val="9"/>
            <w:tcBorders>
              <w:top w:val="nil"/>
              <w:left w:val="nil"/>
              <w:bottom w:val="nil"/>
              <w:right w:val="nil"/>
            </w:tcBorders>
            <w:shd w:val="clear" w:color="auto" w:fill="auto"/>
            <w:hideMark/>
          </w:tcPr>
          <w:p w:rsidR="00E70956" w:rsidRPr="006F6D15" w:rsidRDefault="00E70956" w:rsidP="00E75F08">
            <w:pPr>
              <w:widowControl/>
              <w:autoSpaceDE/>
              <w:autoSpaceDN/>
              <w:adjustRightInd/>
              <w:contextualSpacing/>
              <w:rPr>
                <w:sz w:val="20"/>
                <w:szCs w:val="20"/>
              </w:rPr>
            </w:pPr>
            <w:r w:rsidRPr="006F6D15">
              <w:rPr>
                <w:sz w:val="20"/>
                <w:szCs w:val="20"/>
              </w:rPr>
              <w:t>a</w:t>
            </w:r>
            <w:r>
              <w:rPr>
                <w:sz w:val="20"/>
                <w:szCs w:val="20"/>
              </w:rPr>
              <w:t xml:space="preserve">. </w:t>
            </w:r>
            <w:r w:rsidRPr="006F6D15">
              <w:rPr>
                <w:sz w:val="20"/>
                <w:szCs w:val="20"/>
              </w:rPr>
              <w:t xml:space="preserve">We have assumed that the average number of respondents that will be subject to subpart KKK will be 507. New affected facilities will no longer report under KKK or LLL, and instead will report under subpart OOOO. It is also assumed that the average number of respondents that will be subject to subpart LLL will be 70. </w:t>
            </w:r>
          </w:p>
        </w:tc>
      </w:tr>
      <w:tr w:rsidR="00E70956" w:rsidRPr="006F6D15" w:rsidTr="006F6D15">
        <w:trPr>
          <w:trHeight w:val="1335"/>
        </w:trPr>
        <w:tc>
          <w:tcPr>
            <w:tcW w:w="5000" w:type="pct"/>
            <w:gridSpan w:val="9"/>
            <w:tcBorders>
              <w:top w:val="nil"/>
              <w:left w:val="nil"/>
              <w:bottom w:val="nil"/>
              <w:right w:val="nil"/>
            </w:tcBorders>
            <w:shd w:val="clear" w:color="auto" w:fill="auto"/>
            <w:hideMark/>
          </w:tcPr>
          <w:p w:rsidR="00E70956" w:rsidRPr="006F6D15" w:rsidRDefault="00E70956" w:rsidP="00E75F08">
            <w:pPr>
              <w:widowControl/>
              <w:autoSpaceDE/>
              <w:autoSpaceDN/>
              <w:adjustRightInd/>
              <w:contextualSpacing/>
              <w:rPr>
                <w:sz w:val="20"/>
                <w:szCs w:val="20"/>
              </w:rPr>
            </w:pPr>
            <w:r>
              <w:rPr>
                <w:sz w:val="20"/>
                <w:szCs w:val="20"/>
              </w:rPr>
              <w:t xml:space="preserve">b. </w:t>
            </w:r>
            <w:r w:rsidRPr="006F6D15">
              <w:rPr>
                <w:sz w:val="20"/>
                <w:szCs w:val="20"/>
              </w:rPr>
              <w:t>The cost is based on the following labor rate which incorporates a 1.6 benefits multiplication factor to account for government overhead expenses.  Managerial rates of $62.27 (GS-13, Step 5, $38.92 × 1.6), Technical rate of $46.21 (GS-12, Step 1, $28.88 × 1.6), and Clerical rate of $25.01 (GS-6, Step 3, $15.63 × 1.6).  These rates are from the Office of Personnel Management (OPM), 2010 General Schedule, which excludes locality rates of pay.</w:t>
            </w:r>
          </w:p>
        </w:tc>
      </w:tr>
    </w:tbl>
    <w:p w:rsidR="00FD2392" w:rsidRDefault="00FD2392" w:rsidP="00E75F08">
      <w:pPr>
        <w:contextualSpacing/>
      </w:pPr>
    </w:p>
    <w:p w:rsidR="006F6D15" w:rsidRDefault="006F6D15" w:rsidP="00E75F08">
      <w:pPr>
        <w:contextualSpacing/>
        <w:rPr>
          <w:sz w:val="20"/>
          <w:szCs w:val="20"/>
        </w:rPr>
      </w:pPr>
    </w:p>
    <w:sectPr w:rsidR="006F6D15" w:rsidSect="003F7BC0">
      <w:headerReference w:type="default" r:id="rId9"/>
      <w:footerReference w:type="default" r:id="rId10"/>
      <w:pgSz w:w="15840" w:h="12240" w:orient="landscape" w:code="1"/>
      <w:pgMar w:top="1440" w:right="1080" w:bottom="1080" w:left="1080" w:header="1008"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DF3" w:rsidRDefault="00641DF3">
      <w:r>
        <w:separator/>
      </w:r>
    </w:p>
  </w:endnote>
  <w:endnote w:type="continuationSeparator" w:id="0">
    <w:p w:rsidR="00641DF3" w:rsidRDefault="00641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81" w:rsidRDefault="00BB5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DF3" w:rsidRDefault="00641DF3">
      <w:r>
        <w:separator/>
      </w:r>
    </w:p>
  </w:footnote>
  <w:footnote w:type="continuationSeparator" w:id="0">
    <w:p w:rsidR="00641DF3" w:rsidRDefault="00641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81" w:rsidRDefault="003F7BC0">
    <w:pPr>
      <w:spacing w:line="240" w:lineRule="exact"/>
      <w:jc w:val="center"/>
    </w:pPr>
    <w:r>
      <w:rPr>
        <w:rStyle w:val="PageNumber"/>
      </w:rPr>
      <w:fldChar w:fldCharType="begin"/>
    </w:r>
    <w:r w:rsidR="00BB5781">
      <w:rPr>
        <w:rStyle w:val="PageNumber"/>
      </w:rPr>
      <w:instrText xml:space="preserve"> PAGE </w:instrText>
    </w:r>
    <w:r>
      <w:rPr>
        <w:rStyle w:val="PageNumber"/>
      </w:rPr>
      <w:fldChar w:fldCharType="separate"/>
    </w:r>
    <w:r w:rsidR="00DD37DD">
      <w:rPr>
        <w:rStyle w:val="PageNumber"/>
        <w:noProof/>
      </w:rPr>
      <w:t>20</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781" w:rsidRDefault="003F7BC0">
    <w:pPr>
      <w:jc w:val="center"/>
    </w:pPr>
    <w:r>
      <w:rPr>
        <w:rStyle w:val="PageNumber"/>
      </w:rPr>
      <w:fldChar w:fldCharType="begin"/>
    </w:r>
    <w:r w:rsidR="00BB5781">
      <w:rPr>
        <w:rStyle w:val="PageNumber"/>
      </w:rPr>
      <w:instrText xml:space="preserve"> PAGE </w:instrText>
    </w:r>
    <w:r>
      <w:rPr>
        <w:rStyle w:val="PageNumber"/>
      </w:rPr>
      <w:fldChar w:fldCharType="separate"/>
    </w:r>
    <w:r w:rsidR="00DD37DD">
      <w:rPr>
        <w:rStyle w:val="PageNumber"/>
        <w:noProof/>
      </w:rPr>
      <w:t>21</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49353966"/>
    <w:multiLevelType w:val="hybridMultilevel"/>
    <w:tmpl w:val="F2E4B686"/>
    <w:lvl w:ilvl="0" w:tplc="C14064CE">
      <w:numFmt w:val="bullet"/>
      <w:lvlText w:val="-"/>
      <w:lvlJc w:val="left"/>
      <w:pPr>
        <w:tabs>
          <w:tab w:val="num" w:pos="420"/>
        </w:tabs>
        <w:ind w:left="4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238C"/>
    <w:rsid w:val="00034BDF"/>
    <w:rsid w:val="00072750"/>
    <w:rsid w:val="000A4994"/>
    <w:rsid w:val="000B04C9"/>
    <w:rsid w:val="000E2176"/>
    <w:rsid w:val="00170241"/>
    <w:rsid w:val="0019525B"/>
    <w:rsid w:val="001D1718"/>
    <w:rsid w:val="002046E3"/>
    <w:rsid w:val="00292DFE"/>
    <w:rsid w:val="0029682A"/>
    <w:rsid w:val="002C67AD"/>
    <w:rsid w:val="002E335B"/>
    <w:rsid w:val="002E65FE"/>
    <w:rsid w:val="003E0DA4"/>
    <w:rsid w:val="003E0F8E"/>
    <w:rsid w:val="003E739F"/>
    <w:rsid w:val="003F7BC0"/>
    <w:rsid w:val="00433041"/>
    <w:rsid w:val="00433911"/>
    <w:rsid w:val="00446A2A"/>
    <w:rsid w:val="00460444"/>
    <w:rsid w:val="00482B81"/>
    <w:rsid w:val="004B33E4"/>
    <w:rsid w:val="004D51B0"/>
    <w:rsid w:val="00502AE3"/>
    <w:rsid w:val="005E5697"/>
    <w:rsid w:val="00601423"/>
    <w:rsid w:val="00641DF3"/>
    <w:rsid w:val="006939E2"/>
    <w:rsid w:val="00694EF9"/>
    <w:rsid w:val="006E7F14"/>
    <w:rsid w:val="006F036D"/>
    <w:rsid w:val="006F6D15"/>
    <w:rsid w:val="007024E3"/>
    <w:rsid w:val="0073238C"/>
    <w:rsid w:val="00780567"/>
    <w:rsid w:val="0085093E"/>
    <w:rsid w:val="00861A38"/>
    <w:rsid w:val="008D43D0"/>
    <w:rsid w:val="008F2559"/>
    <w:rsid w:val="00902E17"/>
    <w:rsid w:val="00924B59"/>
    <w:rsid w:val="00934BE1"/>
    <w:rsid w:val="00963048"/>
    <w:rsid w:val="00974A67"/>
    <w:rsid w:val="009A25FA"/>
    <w:rsid w:val="00A32F28"/>
    <w:rsid w:val="00A527F0"/>
    <w:rsid w:val="00A5756F"/>
    <w:rsid w:val="00A815C8"/>
    <w:rsid w:val="00B234F2"/>
    <w:rsid w:val="00B97EDD"/>
    <w:rsid w:val="00BB41A6"/>
    <w:rsid w:val="00BB49AF"/>
    <w:rsid w:val="00BB5781"/>
    <w:rsid w:val="00C14EC1"/>
    <w:rsid w:val="00C45C5D"/>
    <w:rsid w:val="00C73B16"/>
    <w:rsid w:val="00C73B55"/>
    <w:rsid w:val="00D35B06"/>
    <w:rsid w:val="00D84C7D"/>
    <w:rsid w:val="00DD37DD"/>
    <w:rsid w:val="00DE7363"/>
    <w:rsid w:val="00DF3663"/>
    <w:rsid w:val="00E364C2"/>
    <w:rsid w:val="00E3671E"/>
    <w:rsid w:val="00E61965"/>
    <w:rsid w:val="00E70956"/>
    <w:rsid w:val="00E75F08"/>
    <w:rsid w:val="00EC4210"/>
    <w:rsid w:val="00F312B2"/>
    <w:rsid w:val="00FD2392"/>
    <w:rsid w:val="00FF0F17"/>
    <w:rsid w:val="00FF7A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BC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F7BC0"/>
  </w:style>
  <w:style w:type="character" w:customStyle="1" w:styleId="Hypertext">
    <w:name w:val="Hypertext"/>
    <w:rsid w:val="003F7BC0"/>
    <w:rPr>
      <w:color w:val="0000FF"/>
      <w:u w:val="single"/>
    </w:rPr>
  </w:style>
  <w:style w:type="paragraph" w:customStyle="1" w:styleId="Level1">
    <w:name w:val="Level 1"/>
    <w:basedOn w:val="Normal"/>
    <w:rsid w:val="003F7BC0"/>
    <w:pPr>
      <w:ind w:left="1440" w:hanging="720"/>
    </w:pPr>
  </w:style>
  <w:style w:type="character" w:customStyle="1" w:styleId="1">
    <w:name w:val="1"/>
    <w:rsid w:val="003F7BC0"/>
  </w:style>
  <w:style w:type="paragraph" w:styleId="Header">
    <w:name w:val="header"/>
    <w:basedOn w:val="Normal"/>
    <w:rsid w:val="003F7BC0"/>
    <w:pPr>
      <w:tabs>
        <w:tab w:val="center" w:pos="4320"/>
        <w:tab w:val="right" w:pos="8640"/>
      </w:tabs>
    </w:pPr>
  </w:style>
  <w:style w:type="paragraph" w:styleId="Footer">
    <w:name w:val="footer"/>
    <w:basedOn w:val="Normal"/>
    <w:rsid w:val="003F7BC0"/>
    <w:pPr>
      <w:tabs>
        <w:tab w:val="center" w:pos="4320"/>
        <w:tab w:val="right" w:pos="8640"/>
      </w:tabs>
    </w:pPr>
  </w:style>
  <w:style w:type="paragraph" w:styleId="BalloonText">
    <w:name w:val="Balloon Text"/>
    <w:basedOn w:val="Normal"/>
    <w:semiHidden/>
    <w:rsid w:val="003F7BC0"/>
    <w:rPr>
      <w:rFonts w:ascii="Tahoma" w:hAnsi="Tahoma" w:cs="Tahoma"/>
      <w:sz w:val="16"/>
      <w:szCs w:val="16"/>
    </w:rPr>
  </w:style>
  <w:style w:type="character" w:styleId="CommentReference">
    <w:name w:val="annotation reference"/>
    <w:semiHidden/>
    <w:rsid w:val="003F7BC0"/>
    <w:rPr>
      <w:sz w:val="16"/>
      <w:szCs w:val="16"/>
    </w:rPr>
  </w:style>
  <w:style w:type="paragraph" w:styleId="CommentText">
    <w:name w:val="annotation text"/>
    <w:basedOn w:val="Normal"/>
    <w:semiHidden/>
    <w:rsid w:val="003F7BC0"/>
    <w:rPr>
      <w:sz w:val="20"/>
      <w:szCs w:val="20"/>
    </w:rPr>
  </w:style>
  <w:style w:type="paragraph" w:styleId="CommentSubject">
    <w:name w:val="annotation subject"/>
    <w:basedOn w:val="CommentText"/>
    <w:next w:val="CommentText"/>
    <w:semiHidden/>
    <w:rsid w:val="003F7BC0"/>
    <w:rPr>
      <w:b/>
      <w:bCs/>
    </w:rPr>
  </w:style>
  <w:style w:type="paragraph" w:customStyle="1" w:styleId="Normal9pt">
    <w:name w:val="Normal + 9 pt"/>
    <w:aliases w:val="Black,Line spacing:  Exactly 6 pt"/>
    <w:basedOn w:val="Normal"/>
    <w:rsid w:val="003F7BC0"/>
    <w:pPr>
      <w:spacing w:line="120" w:lineRule="exact"/>
    </w:pPr>
    <w:rPr>
      <w:color w:val="000000"/>
      <w:sz w:val="18"/>
      <w:szCs w:val="18"/>
    </w:rPr>
  </w:style>
  <w:style w:type="character" w:styleId="PageNumber">
    <w:name w:val="page number"/>
    <w:basedOn w:val="DefaultParagraphFont"/>
    <w:rsid w:val="003F7BC0"/>
  </w:style>
</w:styles>
</file>

<file path=word/webSettings.xml><?xml version="1.0" encoding="utf-8"?>
<w:webSettings xmlns:r="http://schemas.openxmlformats.org/officeDocument/2006/relationships" xmlns:w="http://schemas.openxmlformats.org/wordprocessingml/2006/main">
  <w:divs>
    <w:div w:id="64452737">
      <w:bodyDiv w:val="1"/>
      <w:marLeft w:val="0"/>
      <w:marRight w:val="0"/>
      <w:marTop w:val="0"/>
      <w:marBottom w:val="0"/>
      <w:divBdr>
        <w:top w:val="none" w:sz="0" w:space="0" w:color="auto"/>
        <w:left w:val="none" w:sz="0" w:space="0" w:color="auto"/>
        <w:bottom w:val="none" w:sz="0" w:space="0" w:color="auto"/>
        <w:right w:val="none" w:sz="0" w:space="0" w:color="auto"/>
      </w:divBdr>
    </w:div>
    <w:div w:id="70272362">
      <w:bodyDiv w:val="1"/>
      <w:marLeft w:val="0"/>
      <w:marRight w:val="0"/>
      <w:marTop w:val="0"/>
      <w:marBottom w:val="0"/>
      <w:divBdr>
        <w:top w:val="none" w:sz="0" w:space="0" w:color="auto"/>
        <w:left w:val="none" w:sz="0" w:space="0" w:color="auto"/>
        <w:bottom w:val="none" w:sz="0" w:space="0" w:color="auto"/>
        <w:right w:val="none" w:sz="0" w:space="0" w:color="auto"/>
      </w:divBdr>
    </w:div>
    <w:div w:id="276761782">
      <w:bodyDiv w:val="1"/>
      <w:marLeft w:val="0"/>
      <w:marRight w:val="0"/>
      <w:marTop w:val="0"/>
      <w:marBottom w:val="0"/>
      <w:divBdr>
        <w:top w:val="none" w:sz="0" w:space="0" w:color="auto"/>
        <w:left w:val="none" w:sz="0" w:space="0" w:color="auto"/>
        <w:bottom w:val="none" w:sz="0" w:space="0" w:color="auto"/>
        <w:right w:val="none" w:sz="0" w:space="0" w:color="auto"/>
      </w:divBdr>
    </w:div>
    <w:div w:id="293491371">
      <w:bodyDiv w:val="1"/>
      <w:marLeft w:val="0"/>
      <w:marRight w:val="0"/>
      <w:marTop w:val="0"/>
      <w:marBottom w:val="0"/>
      <w:divBdr>
        <w:top w:val="none" w:sz="0" w:space="0" w:color="auto"/>
        <w:left w:val="none" w:sz="0" w:space="0" w:color="auto"/>
        <w:bottom w:val="none" w:sz="0" w:space="0" w:color="auto"/>
        <w:right w:val="none" w:sz="0" w:space="0" w:color="auto"/>
      </w:divBdr>
    </w:div>
    <w:div w:id="31236910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6777790">
      <w:bodyDiv w:val="1"/>
      <w:marLeft w:val="0"/>
      <w:marRight w:val="0"/>
      <w:marTop w:val="0"/>
      <w:marBottom w:val="0"/>
      <w:divBdr>
        <w:top w:val="none" w:sz="0" w:space="0" w:color="auto"/>
        <w:left w:val="none" w:sz="0" w:space="0" w:color="auto"/>
        <w:bottom w:val="none" w:sz="0" w:space="0" w:color="auto"/>
        <w:right w:val="none" w:sz="0" w:space="0" w:color="auto"/>
      </w:divBdr>
    </w:div>
    <w:div w:id="606933605">
      <w:bodyDiv w:val="1"/>
      <w:marLeft w:val="0"/>
      <w:marRight w:val="0"/>
      <w:marTop w:val="0"/>
      <w:marBottom w:val="0"/>
      <w:divBdr>
        <w:top w:val="none" w:sz="0" w:space="0" w:color="auto"/>
        <w:left w:val="none" w:sz="0" w:space="0" w:color="auto"/>
        <w:bottom w:val="none" w:sz="0" w:space="0" w:color="auto"/>
        <w:right w:val="none" w:sz="0" w:space="0" w:color="auto"/>
      </w:divBdr>
    </w:div>
    <w:div w:id="796722496">
      <w:bodyDiv w:val="1"/>
      <w:marLeft w:val="0"/>
      <w:marRight w:val="0"/>
      <w:marTop w:val="0"/>
      <w:marBottom w:val="0"/>
      <w:divBdr>
        <w:top w:val="none" w:sz="0" w:space="0" w:color="auto"/>
        <w:left w:val="none" w:sz="0" w:space="0" w:color="auto"/>
        <w:bottom w:val="none" w:sz="0" w:space="0" w:color="auto"/>
        <w:right w:val="none" w:sz="0" w:space="0" w:color="auto"/>
      </w:divBdr>
    </w:div>
    <w:div w:id="947741105">
      <w:bodyDiv w:val="1"/>
      <w:marLeft w:val="0"/>
      <w:marRight w:val="0"/>
      <w:marTop w:val="0"/>
      <w:marBottom w:val="0"/>
      <w:divBdr>
        <w:top w:val="none" w:sz="0" w:space="0" w:color="auto"/>
        <w:left w:val="none" w:sz="0" w:space="0" w:color="auto"/>
        <w:bottom w:val="none" w:sz="0" w:space="0" w:color="auto"/>
        <w:right w:val="none" w:sz="0" w:space="0" w:color="auto"/>
      </w:divBdr>
    </w:div>
    <w:div w:id="1146126316">
      <w:bodyDiv w:val="1"/>
      <w:marLeft w:val="0"/>
      <w:marRight w:val="0"/>
      <w:marTop w:val="0"/>
      <w:marBottom w:val="0"/>
      <w:divBdr>
        <w:top w:val="none" w:sz="0" w:space="0" w:color="auto"/>
        <w:left w:val="none" w:sz="0" w:space="0" w:color="auto"/>
        <w:bottom w:val="none" w:sz="0" w:space="0" w:color="auto"/>
        <w:right w:val="none" w:sz="0" w:space="0" w:color="auto"/>
      </w:divBdr>
    </w:div>
    <w:div w:id="1289163288">
      <w:bodyDiv w:val="1"/>
      <w:marLeft w:val="0"/>
      <w:marRight w:val="0"/>
      <w:marTop w:val="0"/>
      <w:marBottom w:val="0"/>
      <w:divBdr>
        <w:top w:val="none" w:sz="0" w:space="0" w:color="auto"/>
        <w:left w:val="none" w:sz="0" w:space="0" w:color="auto"/>
        <w:bottom w:val="none" w:sz="0" w:space="0" w:color="auto"/>
        <w:right w:val="none" w:sz="0" w:space="0" w:color="auto"/>
      </w:divBdr>
    </w:div>
    <w:div w:id="1453130452">
      <w:bodyDiv w:val="1"/>
      <w:marLeft w:val="0"/>
      <w:marRight w:val="0"/>
      <w:marTop w:val="0"/>
      <w:marBottom w:val="0"/>
      <w:divBdr>
        <w:top w:val="none" w:sz="0" w:space="0" w:color="auto"/>
        <w:left w:val="none" w:sz="0" w:space="0" w:color="auto"/>
        <w:bottom w:val="none" w:sz="0" w:space="0" w:color="auto"/>
        <w:right w:val="none" w:sz="0" w:space="0" w:color="auto"/>
      </w:divBdr>
    </w:div>
    <w:div w:id="1658727653">
      <w:bodyDiv w:val="1"/>
      <w:marLeft w:val="0"/>
      <w:marRight w:val="0"/>
      <w:marTop w:val="0"/>
      <w:marBottom w:val="0"/>
      <w:divBdr>
        <w:top w:val="none" w:sz="0" w:space="0" w:color="auto"/>
        <w:left w:val="none" w:sz="0" w:space="0" w:color="auto"/>
        <w:bottom w:val="none" w:sz="0" w:space="0" w:color="auto"/>
        <w:right w:val="none" w:sz="0" w:space="0" w:color="auto"/>
      </w:divBdr>
    </w:div>
    <w:div w:id="1909799422">
      <w:bodyDiv w:val="1"/>
      <w:marLeft w:val="0"/>
      <w:marRight w:val="0"/>
      <w:marTop w:val="0"/>
      <w:marBottom w:val="0"/>
      <w:divBdr>
        <w:top w:val="none" w:sz="0" w:space="0" w:color="auto"/>
        <w:left w:val="none" w:sz="0" w:space="0" w:color="auto"/>
        <w:bottom w:val="none" w:sz="0" w:space="0" w:color="auto"/>
        <w:right w:val="none" w:sz="0" w:space="0" w:color="auto"/>
      </w:divBdr>
    </w:div>
    <w:div w:id="20807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69224-FB69-4BE1-BDE3-18EF2D2D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5760</Words>
  <Characters>32834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cp:lastModifiedBy>Courtney Kerwin</cp:lastModifiedBy>
  <cp:revision>3</cp:revision>
  <cp:lastPrinted>2012-03-23T15:07:00Z</cp:lastPrinted>
  <dcterms:created xsi:type="dcterms:W3CDTF">2012-06-20T12:08:00Z</dcterms:created>
  <dcterms:modified xsi:type="dcterms:W3CDTF">2012-06-20T12:31:00Z</dcterms:modified>
</cp:coreProperties>
</file>