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13" w:rsidRPr="00943AE3" w:rsidRDefault="00107E13" w:rsidP="00107E13">
      <w:pPr>
        <w:pStyle w:val="Title"/>
        <w:rPr>
          <w:rFonts w:ascii="Times New Roman" w:hAnsi="Times New Roman"/>
          <w:sz w:val="24"/>
          <w:szCs w:val="24"/>
        </w:rPr>
      </w:pPr>
      <w:bookmarkStart w:id="0" w:name="_GoBack"/>
      <w:bookmarkEnd w:id="0"/>
      <w:r w:rsidRPr="00943AE3">
        <w:rPr>
          <w:rFonts w:ascii="Times New Roman" w:hAnsi="Times New Roman"/>
          <w:sz w:val="24"/>
          <w:szCs w:val="24"/>
        </w:rPr>
        <w:t>SUPPORTING STATEMENT</w:t>
      </w:r>
    </w:p>
    <w:p w:rsidR="00107E13" w:rsidRPr="00943AE3" w:rsidRDefault="00107E13" w:rsidP="00107E13">
      <w:pPr>
        <w:pStyle w:val="Title"/>
        <w:rPr>
          <w:rFonts w:ascii="Times New Roman" w:hAnsi="Times New Roman"/>
          <w:sz w:val="24"/>
          <w:szCs w:val="24"/>
        </w:rPr>
      </w:pPr>
      <w:r w:rsidRPr="00943AE3">
        <w:rPr>
          <w:rFonts w:ascii="Times New Roman" w:hAnsi="Times New Roman"/>
          <w:sz w:val="24"/>
          <w:szCs w:val="24"/>
        </w:rPr>
        <w:tab/>
        <w:t>FOR PAPERWORK REDUCTION ACT SUBMISSION</w:t>
      </w:r>
    </w:p>
    <w:p w:rsidR="00107E13" w:rsidRPr="00943AE3" w:rsidRDefault="00107E13" w:rsidP="00107E13">
      <w:pPr>
        <w:tabs>
          <w:tab w:val="left" w:pos="0"/>
        </w:tabs>
        <w:suppressAutoHyphens/>
        <w:rPr>
          <w:rFonts w:ascii="Times New Roman" w:hAnsi="Times New Roman"/>
          <w:szCs w:val="24"/>
        </w:rPr>
      </w:pPr>
    </w:p>
    <w:p w:rsidR="00107E13" w:rsidRPr="00943AE3" w:rsidRDefault="00107E13" w:rsidP="00107E13">
      <w:pPr>
        <w:tabs>
          <w:tab w:val="left" w:pos="0"/>
        </w:tabs>
        <w:suppressAutoHyphens/>
        <w:rPr>
          <w:rFonts w:ascii="Times New Roman" w:hAnsi="Times New Roman"/>
          <w:b/>
          <w:szCs w:val="24"/>
        </w:rPr>
      </w:pPr>
    </w:p>
    <w:p w:rsidR="00107E13" w:rsidRPr="00943AE3" w:rsidRDefault="00107E13" w:rsidP="00107E13">
      <w:pPr>
        <w:tabs>
          <w:tab w:val="left" w:pos="0"/>
        </w:tabs>
        <w:suppressAutoHyphens/>
        <w:rPr>
          <w:rFonts w:ascii="Times New Roman" w:hAnsi="Times New Roman"/>
          <w:szCs w:val="24"/>
        </w:rPr>
      </w:pPr>
      <w:r w:rsidRPr="00943AE3">
        <w:rPr>
          <w:rFonts w:ascii="Times New Roman" w:hAnsi="Times New Roman"/>
          <w:b/>
          <w:szCs w:val="24"/>
        </w:rPr>
        <w:t xml:space="preserve">A. Justification </w:t>
      </w:r>
    </w:p>
    <w:p w:rsidR="00943AE3" w:rsidRPr="00943AE3" w:rsidRDefault="00943AE3" w:rsidP="00943AE3">
      <w:pPr>
        <w:tabs>
          <w:tab w:val="left" w:pos="0"/>
        </w:tabs>
        <w:suppressAutoHyphens/>
        <w:rPr>
          <w:rFonts w:ascii="Times New Roman" w:hAnsi="Times New Roman"/>
          <w:szCs w:val="24"/>
        </w:rPr>
      </w:pPr>
    </w:p>
    <w:p w:rsidR="00943AE3" w:rsidRPr="00943AE3" w:rsidRDefault="00943AE3" w:rsidP="00943AE3">
      <w:pPr>
        <w:pStyle w:val="ListParagraph"/>
        <w:numPr>
          <w:ilvl w:val="0"/>
          <w:numId w:val="1"/>
        </w:numPr>
        <w:tabs>
          <w:tab w:val="left" w:pos="0"/>
        </w:tabs>
        <w:suppressAutoHyphens/>
        <w:rPr>
          <w:rFonts w:ascii="Times New Roman" w:hAnsi="Times New Roman"/>
          <w:szCs w:val="24"/>
        </w:rPr>
      </w:pPr>
      <w:r w:rsidRPr="00943AE3">
        <w:rPr>
          <w:rFonts w:ascii="Times New Roman" w:hAnsi="Times New Roman"/>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943AE3">
        <w:rPr>
          <w:rStyle w:val="FootnoteReference"/>
          <w:rFonts w:ascii="Times New Roman" w:hAnsi="Times New Roman"/>
          <w:szCs w:val="24"/>
        </w:rPr>
        <w:footnoteReference w:id="1"/>
      </w:r>
      <w:r w:rsidRPr="00943AE3">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943AE3" w:rsidRPr="00943AE3" w:rsidRDefault="00943AE3" w:rsidP="00943AE3">
      <w:pPr>
        <w:tabs>
          <w:tab w:val="left" w:pos="0"/>
        </w:tabs>
        <w:suppressAutoHyphens/>
        <w:ind w:left="360"/>
        <w:rPr>
          <w:rFonts w:ascii="Times New Roman" w:hAnsi="Times New Roman"/>
          <w:szCs w:val="24"/>
        </w:rPr>
      </w:pPr>
      <w:r w:rsidRPr="00943AE3">
        <w:rPr>
          <w:rFonts w:ascii="Times New Roman" w:hAnsi="Times New Roman"/>
          <w:szCs w:val="24"/>
        </w:rPr>
        <w:tab/>
      </w:r>
    </w:p>
    <w:p w:rsidR="00943AE3" w:rsidRPr="00943AE3" w:rsidRDefault="00943AE3" w:rsidP="00943AE3">
      <w:pPr>
        <w:tabs>
          <w:tab w:val="left" w:pos="0"/>
        </w:tabs>
        <w:suppressAutoHyphens/>
        <w:ind w:left="720"/>
        <w:rPr>
          <w:rFonts w:ascii="Times New Roman" w:hAnsi="Times New Roman"/>
          <w:b/>
          <w:szCs w:val="24"/>
        </w:rPr>
      </w:pPr>
      <w:r w:rsidRPr="00943AE3">
        <w:rPr>
          <w:rFonts w:ascii="Times New Roman" w:hAnsi="Times New Roman"/>
          <w:b/>
          <w:szCs w:val="24"/>
        </w:rPr>
        <w:t xml:space="preserve">The Comprehensive Centers program awards no less than 20 grants to provide demonstrated expertise in technical assistance, professional development, and training to </w:t>
      </w:r>
      <w:r w:rsidR="00F72889">
        <w:rPr>
          <w:rFonts w:ascii="Times New Roman" w:hAnsi="Times New Roman"/>
          <w:b/>
          <w:szCs w:val="24"/>
        </w:rPr>
        <w:t>S</w:t>
      </w:r>
      <w:r w:rsidRPr="00943AE3">
        <w:rPr>
          <w:rFonts w:ascii="Times New Roman" w:hAnsi="Times New Roman"/>
          <w:b/>
          <w:szCs w:val="24"/>
        </w:rPr>
        <w:t>tate education</w:t>
      </w:r>
      <w:r w:rsidR="00F72889">
        <w:rPr>
          <w:rFonts w:ascii="Times New Roman" w:hAnsi="Times New Roman"/>
          <w:b/>
          <w:szCs w:val="24"/>
        </w:rPr>
        <w:t>al</w:t>
      </w:r>
      <w:r w:rsidRPr="00943AE3">
        <w:rPr>
          <w:rFonts w:ascii="Times New Roman" w:hAnsi="Times New Roman"/>
          <w:b/>
          <w:szCs w:val="24"/>
        </w:rPr>
        <w:t xml:space="preserve"> agencies and local education</w:t>
      </w:r>
      <w:r w:rsidR="00F72889">
        <w:rPr>
          <w:rFonts w:ascii="Times New Roman" w:hAnsi="Times New Roman"/>
          <w:b/>
          <w:szCs w:val="24"/>
        </w:rPr>
        <w:t>al</w:t>
      </w:r>
      <w:r w:rsidRPr="00943AE3">
        <w:rPr>
          <w:rFonts w:ascii="Times New Roman" w:hAnsi="Times New Roman"/>
          <w:b/>
          <w:szCs w:val="24"/>
        </w:rPr>
        <w:t xml:space="preserve"> agencies regarding the administration and implementation of the Elementary and Secondary Education Act of 1965.  The collection of information is necessary for </w:t>
      </w:r>
      <w:r w:rsidR="00672A04">
        <w:rPr>
          <w:rFonts w:ascii="Times New Roman" w:hAnsi="Times New Roman"/>
          <w:b/>
          <w:szCs w:val="24"/>
        </w:rPr>
        <w:t>eligible applicants</w:t>
      </w:r>
      <w:r w:rsidRPr="00943AE3">
        <w:rPr>
          <w:rFonts w:ascii="Times New Roman" w:hAnsi="Times New Roman"/>
          <w:b/>
          <w:szCs w:val="24"/>
        </w:rPr>
        <w:t xml:space="preserve"> to apply and receive grants under the Comprehensive Centers program.   The information collection for fiscal year 2012 will solicit new information for the Comprehensive Centers competition.  </w:t>
      </w:r>
    </w:p>
    <w:p w:rsidR="00943AE3" w:rsidRPr="00943AE3" w:rsidRDefault="00943AE3" w:rsidP="00943AE3">
      <w:pPr>
        <w:tabs>
          <w:tab w:val="left" w:pos="0"/>
        </w:tabs>
        <w:suppressAutoHyphens/>
        <w:ind w:left="360"/>
        <w:rPr>
          <w:rFonts w:ascii="Times New Roman" w:hAnsi="Times New Roman"/>
          <w:b/>
          <w:szCs w:val="24"/>
        </w:rPr>
      </w:pPr>
    </w:p>
    <w:p w:rsidR="00943AE3" w:rsidRPr="00943AE3" w:rsidRDefault="00943AE3" w:rsidP="00943AE3">
      <w:pPr>
        <w:tabs>
          <w:tab w:val="left" w:pos="0"/>
        </w:tabs>
        <w:suppressAutoHyphens/>
        <w:ind w:left="720"/>
        <w:rPr>
          <w:rFonts w:ascii="Times New Roman" w:hAnsi="Times New Roman"/>
          <w:b/>
          <w:szCs w:val="24"/>
        </w:rPr>
      </w:pPr>
      <w:r w:rsidRPr="00943AE3">
        <w:rPr>
          <w:rFonts w:ascii="Times New Roman" w:hAnsi="Times New Roman"/>
          <w:b/>
          <w:szCs w:val="24"/>
        </w:rPr>
        <w:t xml:space="preserve">The Comprehensive Centers program is a discretionary grant program authorized under the Education Technical Assistance Act of 2002 (ETAA).  </w:t>
      </w:r>
    </w:p>
    <w:p w:rsidR="00943AE3" w:rsidRPr="00943AE3" w:rsidRDefault="00943AE3" w:rsidP="00943AE3">
      <w:pPr>
        <w:tabs>
          <w:tab w:val="left" w:pos="0"/>
        </w:tabs>
        <w:suppressAutoHyphens/>
        <w:ind w:left="720"/>
        <w:rPr>
          <w:rFonts w:ascii="Times New Roman" w:hAnsi="Times New Roman"/>
          <w:b/>
          <w:szCs w:val="24"/>
        </w:rPr>
      </w:pPr>
    </w:p>
    <w:p w:rsidR="00943AE3" w:rsidRPr="00943AE3" w:rsidRDefault="00943AE3" w:rsidP="00943AE3">
      <w:pPr>
        <w:autoSpaceDE w:val="0"/>
        <w:autoSpaceDN w:val="0"/>
        <w:adjustRightInd w:val="0"/>
        <w:ind w:firstLine="720"/>
        <w:rPr>
          <w:rFonts w:ascii="Times New Roman" w:hAnsi="Times New Roman"/>
          <w:b/>
          <w:bCs/>
          <w:szCs w:val="24"/>
        </w:rPr>
      </w:pPr>
      <w:r w:rsidRPr="00943AE3">
        <w:rPr>
          <w:rFonts w:ascii="Times New Roman" w:hAnsi="Times New Roman"/>
          <w:b/>
          <w:bCs/>
          <w:szCs w:val="24"/>
        </w:rPr>
        <w:t>SEC. 203. COMPREHENSIVE CENTERS.</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(a) AUTHORIZATION.—</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(1) IN GENERAL.—Subject to paragraph (2), beginning in fiscal year 2004, the Secretary is authorized to award not less than 20 grants to local entities, or consortia of such entities, with demonstrated expertise in providing technical assistance and professional development in reading, mathematics, science, and technology, especially to low-performing schools and districts, to establish comprehensive centers.</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(2) REGIONS.—In awarding grants under paragraph (1), the Secretary—</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(A) shall ensure that not less than 1 comprehensive center is established in each of the 10 geographic regions served by the regional educational laboratories established under section 941(h) of the Educational Research, Development, Dissemination, and Improvement Act of 1994 (as H. R. 3801—37</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such provision existed on the day before the date of enactment of this Act); and</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 xml:space="preserve">(B) after meeting the requirements of subparagraph (A), shall consider, in awarding the remainder of the grants, the school-age population, proportion of economically disadvantaged students, the increased cost burdens of service delivery in areas of sparse </w:t>
      </w:r>
      <w:r w:rsidRPr="00943AE3">
        <w:rPr>
          <w:rFonts w:ascii="Times New Roman" w:hAnsi="Times New Roman"/>
          <w:szCs w:val="24"/>
        </w:rPr>
        <w:lastRenderedPageBreak/>
        <w:t>population, and the number of schools identified for school improvement (as described in section 1116(b) of the Elementary and Secondary Education Act of 1965 (20 U.S.C. 6316(b)) in the population served by the local entity or consortium of such entities.</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(b) ELIGIBLE APPLICANTS.—</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(1) IN GENERAL.—Grants under this section may be made with research organizations, institutions, agencies, institutions of higher education, or partnerships among such entities, or individuals, with the demonstrated ability or capacity to carry out the activities described in subsection (f), including regional</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entities that carried out activities under the Educational Research, Development, Dissemination, and Improvement Act of 1994 (as such Act existed on the day before the date of enactment of this Act) and title XIII of the Elementary and Secondary Education Act of 1965 (as such title existed on the day before the date of enactment of the No Child Left Behind Act of 2001 (Public Law 107–110)).</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(2) OUTREACH.—In conducting competitions for grants under this section, the Secretary shall actively encourage potential applicants to compete for such awards by making widely available information and technical assistance relating to the competition.</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(3) OBJECTIVES AND INDICATORS.—Before awarding a grant under this section, the Secretary shall design specific objectives and measurable indicators, using the results of the assessment conducted under section 206, to be used to assess the particular programs or initiatives, and ongoing progress and performance,</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of the regional entities, in order to ensure that the educational needs of the region are being met and that the latest and best research and proven practices are being carried out as part of school improvement efforts.</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(c) APPLICATION.—</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(1) SUBMISSION.—Each local entity, or consortium of such entities, seeking a grant under this section shall submit an application at such time, in such manner, and containing such additional information as the Secretary may reasonably require.</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 xml:space="preserve">(2) PLAN.—Each application submitted under paragraph (1) shall contain a 5-year plan for carrying out the activities described in this section in a manner that addresses the priorities established under section 207 and addresses the needs of all States (and to the extent practicable, of local educational agencies) within the region to be served by the comprehensive center, on an ongoing basis.  </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(d) ALLOCATION.—Each comprehensive center established under this section shall allocate such center’s resources to and within each State in a manner which reflects the need for assistance, taking into account such factors as the proportion of economically disadvantaged students, the increased cost burden of service</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delivery in areas of sparse populations, and any special initiatives being undertaken by State, intermediate, local educational agencies, H. R. 3801—38 or Bureau-funded schools, as appropriate, which may require special assistance from the center.</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(e) SCOPE OF WORK.—Each comprehensive center established under this section shall work with State educational agencies, local educational agencies, regional educational agencies, and schools in the region where such center is located on school improvement activities that take into account factors such as the proportion of economically disadvantaged students in the region, and give priority to—</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 xml:space="preserve">(1) schools in the region with high percentages or numbers of students from low-income families, as determined under section 1113(a)(5) of the Elementary and Secondary </w:t>
      </w:r>
      <w:r w:rsidRPr="00943AE3">
        <w:rPr>
          <w:rFonts w:ascii="Times New Roman" w:hAnsi="Times New Roman"/>
          <w:szCs w:val="24"/>
        </w:rPr>
        <w:lastRenderedPageBreak/>
        <w:t>Education Act of 1965 (20 U.S.C. 6313(a)(5)), including such schools in rural and urban areas, and schools receiving assistance under</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title I of that Act (20 U.S.C. 6301 et seq.);</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(2) local educational agencies in the region in which high percentages or numbers of school-age children are from low income families, as determined under section 1124(c)(1)(A) of the Elementary and Secondary Education Act of 1965 (20 U.S.C. 6333(c)(1)(A)), including such local educational agencies in rural</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 xml:space="preserve">and urban areas; and </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(3) schools in the region that have been identified for school improvement under section 1116(b) of the Elementary and Secondary Education Act of 1965 (20 U.S.C. 6316(b)).</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(f) ACTIVITIES.—</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(1) IN GENERAL.—A comprehensive center established under this section shall support dissemination and technical assistance activities by—</w:t>
      </w:r>
    </w:p>
    <w:p w:rsidR="00943AE3" w:rsidRPr="00943AE3" w:rsidRDefault="00943AE3" w:rsidP="00810E45">
      <w:pPr>
        <w:autoSpaceDE w:val="0"/>
        <w:autoSpaceDN w:val="0"/>
        <w:adjustRightInd w:val="0"/>
        <w:ind w:left="720"/>
        <w:rPr>
          <w:rFonts w:ascii="Times New Roman" w:hAnsi="Times New Roman"/>
          <w:szCs w:val="24"/>
        </w:rPr>
      </w:pPr>
      <w:r w:rsidRPr="00943AE3">
        <w:rPr>
          <w:rFonts w:ascii="Times New Roman" w:hAnsi="Times New Roman"/>
          <w:szCs w:val="24"/>
        </w:rPr>
        <w:t>(A) providing training, professional development, and technical assistance regarding, at a minimum—</w:t>
      </w:r>
    </w:p>
    <w:p w:rsidR="00943AE3" w:rsidRPr="00943AE3" w:rsidRDefault="00943AE3" w:rsidP="00810E45">
      <w:pPr>
        <w:autoSpaceDE w:val="0"/>
        <w:autoSpaceDN w:val="0"/>
        <w:adjustRightInd w:val="0"/>
        <w:ind w:left="720"/>
        <w:rPr>
          <w:rFonts w:ascii="Times New Roman" w:hAnsi="Times New Roman"/>
          <w:szCs w:val="24"/>
        </w:rPr>
      </w:pPr>
      <w:r w:rsidRPr="00943AE3">
        <w:rPr>
          <w:rFonts w:ascii="Times New Roman" w:hAnsi="Times New Roman"/>
          <w:szCs w:val="24"/>
        </w:rPr>
        <w:t>(i) the administration and implementation of pr</w:t>
      </w:r>
      <w:r w:rsidR="00810E45">
        <w:rPr>
          <w:rFonts w:ascii="Times New Roman" w:hAnsi="Times New Roman"/>
          <w:szCs w:val="24"/>
        </w:rPr>
        <w:t xml:space="preserve">ograms under the Elementary and </w:t>
      </w:r>
      <w:r w:rsidRPr="00943AE3">
        <w:rPr>
          <w:rFonts w:ascii="Times New Roman" w:hAnsi="Times New Roman"/>
          <w:szCs w:val="24"/>
        </w:rPr>
        <w:t>Secondary Education</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Act of 1965 (20 U.S.C. 6301 et seq.);</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(ii) the use of scientifically valid teaching methods and assessment tools for use by teachers and administrators in, at a minimum—</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(I) the core academic subjects of mathematics, science, and reading or language arts;</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(II) English language acquisition; and</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(III) education technology; and</w:t>
      </w:r>
    </w:p>
    <w:p w:rsidR="00943AE3" w:rsidRPr="00943AE3" w:rsidRDefault="00943AE3" w:rsidP="00810E45">
      <w:pPr>
        <w:autoSpaceDE w:val="0"/>
        <w:autoSpaceDN w:val="0"/>
        <w:adjustRightInd w:val="0"/>
        <w:ind w:left="720"/>
        <w:rPr>
          <w:rFonts w:ascii="Times New Roman" w:hAnsi="Times New Roman"/>
          <w:szCs w:val="24"/>
        </w:rPr>
      </w:pPr>
      <w:r w:rsidRPr="00943AE3">
        <w:rPr>
          <w:rFonts w:ascii="Times New Roman" w:hAnsi="Times New Roman"/>
          <w:szCs w:val="24"/>
        </w:rPr>
        <w:t>(iii) the facilitation of communication between education experts, school officials, teachers, parents, and</w:t>
      </w:r>
      <w:r w:rsidR="00810E45">
        <w:rPr>
          <w:rFonts w:ascii="Times New Roman" w:hAnsi="Times New Roman"/>
          <w:szCs w:val="24"/>
        </w:rPr>
        <w:t xml:space="preserve"> </w:t>
      </w:r>
      <w:r w:rsidRPr="00943AE3">
        <w:rPr>
          <w:rFonts w:ascii="Times New Roman" w:hAnsi="Times New Roman"/>
          <w:szCs w:val="24"/>
        </w:rPr>
        <w:t>librarians, as appropriate; and</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(B) disseminating and providing information, reports, and publications that are usable for improving academic achievement, closing achievement gaps, and encouraging and sustaining school improvement (as described in section 1116(b) of the Elementary and Secondary Education Act of 1965 (20 U.S.C. 6316(b))), to schools, educators, parents, and policymakers within the region in which the center is located; and</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(C) developing teacher and school leader inservice and preservice training models that illustrate best practices in the use of technology in different content areas.</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(2) COORDINATION AND COLLABORATION.—Each comprehensive center established under this section shall coordinate its activities, collaborate, and regularly exchange information with H. R. 3801—39 the regional educational laboratory in the region in which the center is located, the National Center for Education Evaluation and Regional Assistance, the Office of the Secretary, the State service agency, and other technical assistance providers in the region.</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(g) COMPREHENSIVE CENTER ADVISORY BOARD.—</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(1) ESTABLISHMENT.—Each comprehensive center established under this section shall have an advisory board that shall support the priorities of such center.</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(2) DUTIES.—Each advisory board established under paragraph</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(1) shall advise the comprehensive center—</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(A) concerning the activities described in subsection (d);</w:t>
      </w:r>
    </w:p>
    <w:p w:rsidR="00943AE3" w:rsidRPr="00943AE3" w:rsidRDefault="00943AE3" w:rsidP="00810E45">
      <w:pPr>
        <w:autoSpaceDE w:val="0"/>
        <w:autoSpaceDN w:val="0"/>
        <w:adjustRightInd w:val="0"/>
        <w:ind w:left="720"/>
        <w:rPr>
          <w:rFonts w:ascii="Times New Roman" w:hAnsi="Times New Roman"/>
          <w:szCs w:val="24"/>
        </w:rPr>
      </w:pPr>
      <w:r w:rsidRPr="00943AE3">
        <w:rPr>
          <w:rFonts w:ascii="Times New Roman" w:hAnsi="Times New Roman"/>
          <w:szCs w:val="24"/>
        </w:rPr>
        <w:t>(B) on strategies for monitoring and addressing the educational needs of the region, on an ongoing basis;</w:t>
      </w:r>
    </w:p>
    <w:p w:rsidR="00943AE3" w:rsidRPr="00943AE3" w:rsidRDefault="00943AE3" w:rsidP="00810E45">
      <w:pPr>
        <w:autoSpaceDE w:val="0"/>
        <w:autoSpaceDN w:val="0"/>
        <w:adjustRightInd w:val="0"/>
        <w:ind w:left="720"/>
        <w:rPr>
          <w:rFonts w:ascii="Times New Roman" w:hAnsi="Times New Roman"/>
          <w:szCs w:val="24"/>
        </w:rPr>
      </w:pPr>
      <w:r w:rsidRPr="00943AE3">
        <w:rPr>
          <w:rFonts w:ascii="Times New Roman" w:hAnsi="Times New Roman"/>
          <w:szCs w:val="24"/>
        </w:rPr>
        <w:lastRenderedPageBreak/>
        <w:t>(C) on maintaining a high standard of quality in the performa</w:t>
      </w:r>
      <w:r w:rsidR="00810E45">
        <w:rPr>
          <w:rFonts w:ascii="Times New Roman" w:hAnsi="Times New Roman"/>
          <w:szCs w:val="24"/>
        </w:rPr>
        <w:t xml:space="preserve">nce of the center’s activities; </w:t>
      </w:r>
      <w:r w:rsidRPr="00943AE3">
        <w:rPr>
          <w:rFonts w:ascii="Times New Roman" w:hAnsi="Times New Roman"/>
          <w:szCs w:val="24"/>
        </w:rPr>
        <w:t>and</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(D) on carrying out the center’s duties in a manner that promotes progress toward improving student academic achievement.</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(3) COMPOSITION.—</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(A) IN GENERAL.—Each advisory board shall be composed of—</w:t>
      </w:r>
    </w:p>
    <w:p w:rsidR="00943AE3" w:rsidRPr="00943AE3" w:rsidRDefault="00943AE3" w:rsidP="00810E45">
      <w:pPr>
        <w:autoSpaceDE w:val="0"/>
        <w:autoSpaceDN w:val="0"/>
        <w:adjustRightInd w:val="0"/>
        <w:ind w:left="720"/>
        <w:rPr>
          <w:rFonts w:ascii="Times New Roman" w:hAnsi="Times New Roman"/>
          <w:szCs w:val="24"/>
        </w:rPr>
      </w:pPr>
      <w:r w:rsidRPr="00943AE3">
        <w:rPr>
          <w:rFonts w:ascii="Times New Roman" w:hAnsi="Times New Roman"/>
          <w:szCs w:val="24"/>
        </w:rPr>
        <w:t>(i) the chief State school officers, or such officers’ designees or other State officials, in each State served</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by the comprehensive center who have primary responsibility under State law for elementary and secondary education in the State; and</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(ii) not more than 15 other members who are representative of the educational interests in the region served by the comprehensive center and are selected jointly by the officials specified in clause (i) and the chief executive officer of each State served by the comprehensive center, including the following:</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(I) Representatives of local educational agencies and regional educational agencies, including representatives of local educational agencies serving urban and rural areas.</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(II) Representatives of institutions of higher education.</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(III) Parents.</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(IV) Practicing educators, including classroom teachers, principals, and administrators.</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(V) Representatives of business.</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(VI) Policymakers, expert practitioners, and researchers with knowledge of, and experience using, the results of research, evaluation, and statistics.</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(B) SPECIAL RULE.—In the case of a State in which the chief executive officer has the primary responsibility under State law for elementary and secondary education in the State, the chief executive officer shall consult, to the extent permitted by State law, with the State educational agency in selecting additional members of the board under subparagraph (A)(i).</w:t>
      </w:r>
    </w:p>
    <w:p w:rsidR="00943AE3" w:rsidRPr="00943AE3" w:rsidRDefault="00943AE3" w:rsidP="00847E3C">
      <w:pPr>
        <w:autoSpaceDE w:val="0"/>
        <w:autoSpaceDN w:val="0"/>
        <w:adjustRightInd w:val="0"/>
        <w:ind w:left="720"/>
        <w:rPr>
          <w:rFonts w:ascii="Times New Roman" w:hAnsi="Times New Roman"/>
          <w:szCs w:val="24"/>
        </w:rPr>
      </w:pPr>
      <w:r w:rsidRPr="00943AE3">
        <w:rPr>
          <w:rFonts w:ascii="Times New Roman" w:hAnsi="Times New Roman"/>
          <w:szCs w:val="24"/>
        </w:rPr>
        <w:t>(h) REPORT TO SECRETARY.—Each comprehensive center established under this section shall submit to the Secretary an annual H. R. 3801—40 report, at such time, in such manner, and containing such information</w:t>
      </w:r>
      <w:r w:rsidR="00847E3C">
        <w:rPr>
          <w:rFonts w:ascii="Times New Roman" w:hAnsi="Times New Roman"/>
          <w:szCs w:val="24"/>
        </w:rPr>
        <w:t xml:space="preserve"> </w:t>
      </w:r>
      <w:r w:rsidRPr="00943AE3">
        <w:rPr>
          <w:rFonts w:ascii="Times New Roman" w:hAnsi="Times New Roman"/>
          <w:szCs w:val="24"/>
        </w:rPr>
        <w:t>as the Secretary may require, which shall include the following:</w:t>
      </w:r>
    </w:p>
    <w:p w:rsidR="00943AE3" w:rsidRPr="00943AE3" w:rsidRDefault="00943AE3" w:rsidP="00943AE3">
      <w:pPr>
        <w:autoSpaceDE w:val="0"/>
        <w:autoSpaceDN w:val="0"/>
        <w:adjustRightInd w:val="0"/>
        <w:ind w:firstLine="720"/>
        <w:rPr>
          <w:rFonts w:ascii="Times New Roman" w:hAnsi="Times New Roman"/>
          <w:szCs w:val="24"/>
        </w:rPr>
      </w:pPr>
      <w:r w:rsidRPr="00943AE3">
        <w:rPr>
          <w:rFonts w:ascii="Times New Roman" w:hAnsi="Times New Roman"/>
          <w:szCs w:val="24"/>
        </w:rPr>
        <w:t>(1) A summary of the comprehensive center’s activities during the preceding year.</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(2) A listing of the States, local educational agencies, and schools the comprehensive center assisted during the preceding year.</w:t>
      </w:r>
    </w:p>
    <w:p w:rsidR="00943AE3" w:rsidRPr="00943AE3" w:rsidRDefault="00943AE3" w:rsidP="00943AE3">
      <w:pPr>
        <w:autoSpaceDE w:val="0"/>
        <w:autoSpaceDN w:val="0"/>
        <w:adjustRightInd w:val="0"/>
        <w:ind w:firstLine="720"/>
        <w:rPr>
          <w:rFonts w:ascii="Times New Roman" w:hAnsi="Times New Roman"/>
          <w:b/>
          <w:bCs/>
          <w:szCs w:val="24"/>
        </w:rPr>
      </w:pPr>
      <w:r w:rsidRPr="00943AE3">
        <w:rPr>
          <w:rFonts w:ascii="Times New Roman" w:hAnsi="Times New Roman"/>
          <w:b/>
          <w:bCs/>
          <w:szCs w:val="24"/>
        </w:rPr>
        <w:t>SEC. 204. EVALUATIONS.</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The Secretary shall provide for ongoing independent evaluations by the National Center for Education Evaluation and Regional Assistance of the comprehensive centers receiving assistance under this title, the results of which shall be transmitted to the appropriate congressional committees and the Director of the Institute of Education Sciences. Such evaluations shall include an analysis of the services provided under this title, the extent to which each of the comprehensive centers meets the objectives of its respective</w:t>
      </w:r>
    </w:p>
    <w:p w:rsidR="00943AE3" w:rsidRPr="00943AE3" w:rsidRDefault="00943AE3" w:rsidP="00943AE3">
      <w:pPr>
        <w:autoSpaceDE w:val="0"/>
        <w:autoSpaceDN w:val="0"/>
        <w:adjustRightInd w:val="0"/>
        <w:ind w:left="720"/>
        <w:rPr>
          <w:rFonts w:ascii="Times New Roman" w:hAnsi="Times New Roman"/>
          <w:szCs w:val="24"/>
        </w:rPr>
      </w:pPr>
      <w:r w:rsidRPr="00943AE3">
        <w:rPr>
          <w:rFonts w:ascii="Times New Roman" w:hAnsi="Times New Roman"/>
          <w:szCs w:val="24"/>
        </w:rPr>
        <w:t>plan, and whether such services meet the educational needs of State educational agencies, local educational agencies, and schools in the region.</w:t>
      </w:r>
    </w:p>
    <w:p w:rsidR="00943AE3" w:rsidRPr="00943AE3" w:rsidRDefault="00943AE3" w:rsidP="00943AE3">
      <w:pPr>
        <w:suppressAutoHyphens/>
        <w:rPr>
          <w:rFonts w:ascii="Times New Roman" w:hAnsi="Times New Roman"/>
          <w:szCs w:val="24"/>
        </w:rPr>
      </w:pPr>
    </w:p>
    <w:p w:rsidR="00943AE3" w:rsidRPr="00943AE3" w:rsidRDefault="00943AE3" w:rsidP="00943AE3">
      <w:pPr>
        <w:tabs>
          <w:tab w:val="left" w:pos="-720"/>
        </w:tabs>
        <w:suppressAutoHyphens/>
        <w:rPr>
          <w:rFonts w:ascii="Times New Roman" w:hAnsi="Times New Roman"/>
          <w:szCs w:val="24"/>
        </w:rPr>
      </w:pPr>
      <w:r w:rsidRPr="00943AE3">
        <w:rPr>
          <w:rFonts w:ascii="Times New Roman" w:hAnsi="Times New Roman"/>
          <w:szCs w:val="24"/>
        </w:rPr>
        <w:lastRenderedPageBreak/>
        <w:t xml:space="preserve">2.  Indicate how, by whom, and for what purpose the information is to be used.  Except for a new collection, indicate the actual use the agency has made of the information received from the current collection. </w:t>
      </w:r>
    </w:p>
    <w:p w:rsidR="00943AE3" w:rsidRPr="00943AE3" w:rsidRDefault="00943AE3" w:rsidP="00943AE3">
      <w:pPr>
        <w:tabs>
          <w:tab w:val="left" w:pos="-720"/>
        </w:tabs>
        <w:suppressAutoHyphens/>
        <w:rPr>
          <w:rFonts w:ascii="Times New Roman" w:hAnsi="Times New Roman"/>
          <w:szCs w:val="24"/>
        </w:rPr>
      </w:pPr>
    </w:p>
    <w:p w:rsidR="00943AE3" w:rsidRPr="00943AE3" w:rsidRDefault="00943AE3" w:rsidP="00943AE3">
      <w:pPr>
        <w:tabs>
          <w:tab w:val="left" w:pos="-720"/>
        </w:tabs>
        <w:suppressAutoHyphens/>
        <w:ind w:left="720"/>
        <w:rPr>
          <w:rFonts w:ascii="Times New Roman" w:hAnsi="Times New Roman"/>
          <w:b/>
          <w:szCs w:val="24"/>
        </w:rPr>
      </w:pPr>
      <w:r w:rsidRPr="00943AE3">
        <w:rPr>
          <w:rFonts w:ascii="Times New Roman" w:hAnsi="Times New Roman"/>
          <w:b/>
          <w:szCs w:val="24"/>
        </w:rPr>
        <w:t xml:space="preserve">The Department of Education (Department) will </w:t>
      </w:r>
      <w:r w:rsidR="00672A04">
        <w:rPr>
          <w:rFonts w:ascii="Times New Roman" w:hAnsi="Times New Roman"/>
          <w:b/>
          <w:szCs w:val="24"/>
        </w:rPr>
        <w:t xml:space="preserve">use the information collected to </w:t>
      </w:r>
      <w:r w:rsidRPr="00943AE3">
        <w:rPr>
          <w:rFonts w:ascii="Times New Roman" w:hAnsi="Times New Roman"/>
          <w:b/>
          <w:szCs w:val="24"/>
        </w:rPr>
        <w:t xml:space="preserve">conduct a new Comprehensive Centers grant competition </w:t>
      </w:r>
      <w:r w:rsidR="00672A04">
        <w:rPr>
          <w:rFonts w:ascii="Times New Roman" w:hAnsi="Times New Roman"/>
          <w:b/>
          <w:szCs w:val="24"/>
        </w:rPr>
        <w:t>and</w:t>
      </w:r>
      <w:r w:rsidRPr="00943AE3">
        <w:rPr>
          <w:rFonts w:ascii="Times New Roman" w:hAnsi="Times New Roman"/>
          <w:b/>
          <w:szCs w:val="24"/>
        </w:rPr>
        <w:t xml:space="preserve"> award up to 16 regional comprehensive centers to support specific states and school districts within a geographical region and up to seven content centers</w:t>
      </w:r>
      <w:r w:rsidR="00672A04">
        <w:rPr>
          <w:rFonts w:ascii="Times New Roman" w:hAnsi="Times New Roman"/>
          <w:b/>
          <w:szCs w:val="24"/>
        </w:rPr>
        <w:t>.</w:t>
      </w:r>
      <w:r w:rsidRPr="00943AE3">
        <w:rPr>
          <w:rFonts w:ascii="Times New Roman" w:hAnsi="Times New Roman"/>
          <w:b/>
          <w:szCs w:val="24"/>
        </w:rPr>
        <w:t xml:space="preserve"> </w:t>
      </w:r>
      <w:r w:rsidR="00672A04">
        <w:rPr>
          <w:rFonts w:ascii="Times New Roman" w:hAnsi="Times New Roman"/>
          <w:b/>
          <w:szCs w:val="24"/>
        </w:rPr>
        <w:t>The last time this information was collected was in 2005; the collection resulted in the award of 21 comprehensive centers.</w:t>
      </w:r>
      <w:r w:rsidRPr="00943AE3">
        <w:rPr>
          <w:rFonts w:ascii="Times New Roman" w:hAnsi="Times New Roman"/>
          <w:b/>
          <w:szCs w:val="24"/>
        </w:rPr>
        <w:t xml:space="preserve">  </w:t>
      </w:r>
    </w:p>
    <w:p w:rsidR="00943AE3" w:rsidRPr="00943AE3" w:rsidRDefault="00943AE3" w:rsidP="00943AE3">
      <w:pPr>
        <w:tabs>
          <w:tab w:val="left" w:pos="-720"/>
        </w:tabs>
        <w:suppressAutoHyphens/>
        <w:rPr>
          <w:rFonts w:ascii="Times New Roman" w:hAnsi="Times New Roman"/>
          <w:i/>
          <w:szCs w:val="24"/>
        </w:rPr>
      </w:pPr>
    </w:p>
    <w:p w:rsidR="00943AE3" w:rsidRPr="00943AE3" w:rsidRDefault="00943AE3" w:rsidP="00943AE3">
      <w:pPr>
        <w:tabs>
          <w:tab w:val="left" w:pos="-720"/>
        </w:tabs>
        <w:suppressAutoHyphens/>
        <w:rPr>
          <w:rFonts w:ascii="Times New Roman" w:hAnsi="Times New Roman"/>
          <w:szCs w:val="24"/>
        </w:rPr>
      </w:pPr>
      <w:r w:rsidRPr="00943AE3">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943AE3" w:rsidRPr="00943AE3" w:rsidRDefault="00943AE3" w:rsidP="00943AE3">
      <w:pPr>
        <w:tabs>
          <w:tab w:val="left" w:pos="-720"/>
        </w:tabs>
        <w:suppressAutoHyphens/>
        <w:rPr>
          <w:rFonts w:ascii="Times New Roman" w:hAnsi="Times New Roman"/>
          <w:szCs w:val="24"/>
        </w:rPr>
      </w:pPr>
    </w:p>
    <w:p w:rsidR="00943AE3" w:rsidRPr="00943AE3" w:rsidRDefault="00943AE3" w:rsidP="00943AE3">
      <w:pPr>
        <w:tabs>
          <w:tab w:val="left" w:pos="-720"/>
        </w:tabs>
        <w:suppressAutoHyphens/>
        <w:ind w:left="720"/>
        <w:rPr>
          <w:rFonts w:ascii="Times New Roman" w:hAnsi="Times New Roman"/>
          <w:b/>
          <w:szCs w:val="24"/>
        </w:rPr>
      </w:pPr>
      <w:r w:rsidRPr="00943AE3">
        <w:rPr>
          <w:rFonts w:ascii="Times New Roman" w:hAnsi="Times New Roman"/>
          <w:b/>
          <w:szCs w:val="24"/>
        </w:rPr>
        <w:t>The Comprehensive Centers program requires the electron</w:t>
      </w:r>
      <w:r w:rsidR="00672A04">
        <w:rPr>
          <w:rFonts w:ascii="Times New Roman" w:hAnsi="Times New Roman"/>
          <w:b/>
          <w:szCs w:val="24"/>
        </w:rPr>
        <w:t xml:space="preserve">ic submission of applications. </w:t>
      </w:r>
      <w:r w:rsidR="00F72889">
        <w:rPr>
          <w:rFonts w:ascii="Times New Roman" w:hAnsi="Times New Roman"/>
          <w:b/>
          <w:szCs w:val="24"/>
        </w:rPr>
        <w:t xml:space="preserve"> </w:t>
      </w:r>
      <w:r w:rsidRPr="00943AE3">
        <w:rPr>
          <w:rFonts w:ascii="Times New Roman" w:hAnsi="Times New Roman"/>
          <w:b/>
          <w:szCs w:val="24"/>
        </w:rPr>
        <w:t>Applicants must submit their application electronically to the Governmentwide site Grant</w:t>
      </w:r>
      <w:r w:rsidR="00F72889">
        <w:rPr>
          <w:rFonts w:ascii="Times New Roman" w:hAnsi="Times New Roman"/>
          <w:b/>
          <w:szCs w:val="24"/>
        </w:rPr>
        <w:t>s</w:t>
      </w:r>
      <w:r w:rsidRPr="00943AE3">
        <w:rPr>
          <w:rFonts w:ascii="Times New Roman" w:hAnsi="Times New Roman"/>
          <w:b/>
          <w:szCs w:val="24"/>
        </w:rPr>
        <w:t>.gov.  The Department will reject paper submission</w:t>
      </w:r>
      <w:r w:rsidR="00F72889">
        <w:rPr>
          <w:rFonts w:ascii="Times New Roman" w:hAnsi="Times New Roman"/>
          <w:b/>
          <w:szCs w:val="24"/>
        </w:rPr>
        <w:t>s</w:t>
      </w:r>
      <w:r w:rsidRPr="00943AE3">
        <w:rPr>
          <w:rFonts w:ascii="Times New Roman" w:hAnsi="Times New Roman"/>
          <w:b/>
          <w:szCs w:val="24"/>
        </w:rPr>
        <w:t xml:space="preserve"> unless an applicant qualifies for </w:t>
      </w:r>
      <w:r w:rsidR="00F72889">
        <w:rPr>
          <w:rFonts w:ascii="Times New Roman" w:hAnsi="Times New Roman"/>
          <w:b/>
          <w:szCs w:val="24"/>
        </w:rPr>
        <w:t xml:space="preserve">and requests </w:t>
      </w:r>
      <w:r w:rsidRPr="00943AE3">
        <w:rPr>
          <w:rFonts w:ascii="Times New Roman" w:hAnsi="Times New Roman"/>
          <w:b/>
          <w:szCs w:val="24"/>
        </w:rPr>
        <w:t>one of the exceptions to the electronic submission requirements.  All Department discretionary grants must submit applications through the Grant</w:t>
      </w:r>
      <w:r w:rsidR="00F72889">
        <w:rPr>
          <w:rFonts w:ascii="Times New Roman" w:hAnsi="Times New Roman"/>
          <w:b/>
          <w:szCs w:val="24"/>
        </w:rPr>
        <w:t>s</w:t>
      </w:r>
      <w:r w:rsidRPr="00943AE3">
        <w:rPr>
          <w:rFonts w:ascii="Times New Roman" w:hAnsi="Times New Roman"/>
          <w:b/>
          <w:szCs w:val="24"/>
        </w:rPr>
        <w:t xml:space="preserve">.gov portal.   </w:t>
      </w:r>
    </w:p>
    <w:p w:rsidR="00943AE3" w:rsidRPr="00943AE3" w:rsidRDefault="00943AE3" w:rsidP="00943AE3">
      <w:pPr>
        <w:tabs>
          <w:tab w:val="left" w:pos="-720"/>
        </w:tabs>
        <w:suppressAutoHyphens/>
        <w:rPr>
          <w:rFonts w:ascii="Times New Roman" w:hAnsi="Times New Roman"/>
          <w:szCs w:val="24"/>
        </w:rPr>
      </w:pPr>
    </w:p>
    <w:p w:rsidR="00943AE3" w:rsidRPr="00943AE3" w:rsidRDefault="00943AE3" w:rsidP="00943AE3">
      <w:pPr>
        <w:tabs>
          <w:tab w:val="left" w:pos="-720"/>
        </w:tabs>
        <w:suppressAutoHyphens/>
        <w:rPr>
          <w:rFonts w:ascii="Times New Roman" w:hAnsi="Times New Roman"/>
          <w:szCs w:val="24"/>
        </w:rPr>
      </w:pPr>
      <w:r w:rsidRPr="00943AE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943AE3" w:rsidRPr="00943AE3" w:rsidRDefault="00943AE3" w:rsidP="00943AE3">
      <w:pPr>
        <w:tabs>
          <w:tab w:val="left" w:pos="-720"/>
        </w:tabs>
        <w:suppressAutoHyphens/>
        <w:rPr>
          <w:rFonts w:ascii="Times New Roman" w:hAnsi="Times New Roman"/>
          <w:szCs w:val="24"/>
        </w:rPr>
      </w:pPr>
    </w:p>
    <w:p w:rsidR="00943AE3" w:rsidRPr="00943AE3" w:rsidRDefault="00943AE3" w:rsidP="00943AE3">
      <w:pPr>
        <w:tabs>
          <w:tab w:val="left" w:pos="-720"/>
        </w:tabs>
        <w:suppressAutoHyphens/>
        <w:ind w:left="720"/>
        <w:rPr>
          <w:rFonts w:ascii="Times New Roman" w:hAnsi="Times New Roman"/>
          <w:b/>
          <w:szCs w:val="24"/>
        </w:rPr>
      </w:pPr>
      <w:r w:rsidRPr="00943AE3">
        <w:rPr>
          <w:rFonts w:ascii="Times New Roman" w:hAnsi="Times New Roman"/>
          <w:b/>
          <w:szCs w:val="24"/>
        </w:rPr>
        <w:t xml:space="preserve">In 2005 the Department awarded 16 </w:t>
      </w:r>
      <w:r w:rsidR="00F72889">
        <w:rPr>
          <w:rFonts w:ascii="Times New Roman" w:hAnsi="Times New Roman"/>
          <w:b/>
          <w:szCs w:val="24"/>
        </w:rPr>
        <w:t>R</w:t>
      </w:r>
      <w:r w:rsidRPr="00943AE3">
        <w:rPr>
          <w:rFonts w:ascii="Times New Roman" w:hAnsi="Times New Roman"/>
          <w:b/>
          <w:szCs w:val="24"/>
        </w:rPr>
        <w:t xml:space="preserve">egional </w:t>
      </w:r>
      <w:r w:rsidR="00F72889">
        <w:rPr>
          <w:rFonts w:ascii="Times New Roman" w:hAnsi="Times New Roman"/>
          <w:b/>
          <w:szCs w:val="24"/>
        </w:rPr>
        <w:t>C</w:t>
      </w:r>
      <w:r w:rsidRPr="00943AE3">
        <w:rPr>
          <w:rFonts w:ascii="Times New Roman" w:hAnsi="Times New Roman"/>
          <w:b/>
          <w:szCs w:val="24"/>
        </w:rPr>
        <w:t xml:space="preserve">omprehensive </w:t>
      </w:r>
      <w:r w:rsidR="00F72889">
        <w:rPr>
          <w:rFonts w:ascii="Times New Roman" w:hAnsi="Times New Roman"/>
          <w:b/>
          <w:szCs w:val="24"/>
        </w:rPr>
        <w:t>C</w:t>
      </w:r>
      <w:r w:rsidRPr="00943AE3">
        <w:rPr>
          <w:rFonts w:ascii="Times New Roman" w:hAnsi="Times New Roman"/>
          <w:b/>
          <w:szCs w:val="24"/>
        </w:rPr>
        <w:t xml:space="preserve">enters and </w:t>
      </w:r>
      <w:r w:rsidR="00F72889">
        <w:rPr>
          <w:rFonts w:ascii="Times New Roman" w:hAnsi="Times New Roman"/>
          <w:b/>
          <w:szCs w:val="24"/>
        </w:rPr>
        <w:t>5</w:t>
      </w:r>
      <w:r w:rsidRPr="00943AE3">
        <w:rPr>
          <w:rFonts w:ascii="Times New Roman" w:hAnsi="Times New Roman"/>
          <w:b/>
          <w:szCs w:val="24"/>
        </w:rPr>
        <w:t xml:space="preserve"> </w:t>
      </w:r>
      <w:r w:rsidR="00F72889">
        <w:rPr>
          <w:rFonts w:ascii="Times New Roman" w:hAnsi="Times New Roman"/>
          <w:b/>
          <w:szCs w:val="24"/>
        </w:rPr>
        <w:t>C</w:t>
      </w:r>
      <w:r w:rsidRPr="00943AE3">
        <w:rPr>
          <w:rFonts w:ascii="Times New Roman" w:hAnsi="Times New Roman"/>
          <w:b/>
          <w:szCs w:val="24"/>
        </w:rPr>
        <w:t xml:space="preserve">ontent </w:t>
      </w:r>
      <w:r w:rsidR="00F72889">
        <w:rPr>
          <w:rFonts w:ascii="Times New Roman" w:hAnsi="Times New Roman"/>
          <w:b/>
          <w:szCs w:val="24"/>
        </w:rPr>
        <w:t>C</w:t>
      </w:r>
      <w:r w:rsidRPr="00943AE3">
        <w:rPr>
          <w:rFonts w:ascii="Times New Roman" w:hAnsi="Times New Roman"/>
          <w:b/>
          <w:szCs w:val="24"/>
        </w:rPr>
        <w:t xml:space="preserve">omprehensive </w:t>
      </w:r>
      <w:r w:rsidR="00F72889">
        <w:rPr>
          <w:rFonts w:ascii="Times New Roman" w:hAnsi="Times New Roman"/>
          <w:b/>
          <w:szCs w:val="24"/>
        </w:rPr>
        <w:t>C</w:t>
      </w:r>
      <w:r w:rsidRPr="00943AE3">
        <w:rPr>
          <w:rFonts w:ascii="Times New Roman" w:hAnsi="Times New Roman"/>
          <w:b/>
          <w:szCs w:val="24"/>
        </w:rPr>
        <w:t xml:space="preserve">enters.  Each awarded Center received a </w:t>
      </w:r>
      <w:r w:rsidR="00F72889">
        <w:rPr>
          <w:rFonts w:ascii="Times New Roman" w:hAnsi="Times New Roman"/>
          <w:b/>
          <w:szCs w:val="24"/>
        </w:rPr>
        <w:t>5-</w:t>
      </w:r>
      <w:r w:rsidRPr="00943AE3">
        <w:rPr>
          <w:rFonts w:ascii="Times New Roman" w:hAnsi="Times New Roman"/>
          <w:b/>
          <w:szCs w:val="24"/>
        </w:rPr>
        <w:t>year grant</w:t>
      </w:r>
      <w:r w:rsidR="00F72889">
        <w:rPr>
          <w:rFonts w:ascii="Times New Roman" w:hAnsi="Times New Roman"/>
          <w:b/>
          <w:szCs w:val="24"/>
        </w:rPr>
        <w:t>,</w:t>
      </w:r>
      <w:r w:rsidRPr="00943AE3">
        <w:rPr>
          <w:rFonts w:ascii="Times New Roman" w:hAnsi="Times New Roman"/>
          <w:b/>
          <w:szCs w:val="24"/>
        </w:rPr>
        <w:t xml:space="preserve"> which was extended for two additional years.  The information collected in 2005 cannot be used or modified for the upcoming competition in fiscal year 2012.  </w:t>
      </w:r>
      <w:r w:rsidR="00672A04">
        <w:rPr>
          <w:rFonts w:ascii="Times New Roman" w:hAnsi="Times New Roman"/>
          <w:b/>
          <w:szCs w:val="24"/>
        </w:rPr>
        <w:t>New</w:t>
      </w:r>
      <w:r w:rsidRPr="00943AE3">
        <w:rPr>
          <w:rFonts w:ascii="Times New Roman" w:hAnsi="Times New Roman"/>
          <w:b/>
          <w:szCs w:val="24"/>
        </w:rPr>
        <w:t xml:space="preserve"> priorities, requirements, and selection criteria will be published in the Notice of Final Priorities and Notice Inviting Applications</w:t>
      </w:r>
      <w:r w:rsidR="00672A04">
        <w:rPr>
          <w:rFonts w:ascii="Times New Roman" w:hAnsi="Times New Roman"/>
          <w:b/>
          <w:szCs w:val="24"/>
        </w:rPr>
        <w:t>.</w:t>
      </w:r>
      <w:r w:rsidRPr="00943AE3">
        <w:rPr>
          <w:rFonts w:ascii="Times New Roman" w:hAnsi="Times New Roman"/>
          <w:b/>
          <w:szCs w:val="24"/>
        </w:rPr>
        <w:t xml:space="preserve"> </w:t>
      </w:r>
    </w:p>
    <w:p w:rsidR="00943AE3" w:rsidRPr="00943AE3" w:rsidRDefault="00943AE3" w:rsidP="00943AE3">
      <w:pPr>
        <w:tabs>
          <w:tab w:val="left" w:pos="-720"/>
        </w:tabs>
        <w:suppressAutoHyphens/>
        <w:rPr>
          <w:rFonts w:ascii="Times New Roman" w:hAnsi="Times New Roman"/>
          <w:szCs w:val="24"/>
        </w:rPr>
      </w:pPr>
    </w:p>
    <w:p w:rsidR="00943AE3" w:rsidRPr="00943AE3" w:rsidRDefault="00943AE3" w:rsidP="00943AE3">
      <w:pPr>
        <w:rPr>
          <w:rFonts w:ascii="Times New Roman" w:hAnsi="Times New Roman"/>
          <w:szCs w:val="24"/>
        </w:rPr>
      </w:pPr>
      <w:r w:rsidRPr="00943AE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43AE3" w:rsidRPr="00943AE3" w:rsidRDefault="00943AE3" w:rsidP="00943AE3">
      <w:pPr>
        <w:rPr>
          <w:rFonts w:ascii="Times New Roman" w:hAnsi="Times New Roman"/>
          <w:szCs w:val="24"/>
        </w:rPr>
      </w:pPr>
    </w:p>
    <w:p w:rsidR="00943AE3" w:rsidRPr="00943AE3" w:rsidRDefault="00943AE3" w:rsidP="00943AE3">
      <w:pPr>
        <w:tabs>
          <w:tab w:val="left" w:pos="-720"/>
        </w:tabs>
        <w:suppressAutoHyphens/>
        <w:spacing w:after="100" w:afterAutospacing="1"/>
        <w:ind w:left="720"/>
        <w:rPr>
          <w:rFonts w:ascii="Times New Roman" w:hAnsi="Times New Roman"/>
          <w:b/>
          <w:szCs w:val="24"/>
        </w:rPr>
      </w:pPr>
      <w:r w:rsidRPr="00943AE3">
        <w:rPr>
          <w:rFonts w:ascii="Times New Roman" w:hAnsi="Times New Roman"/>
          <w:b/>
          <w:szCs w:val="24"/>
        </w:rPr>
        <w:t xml:space="preserve">The proposed priorities, requirements, and selection criteria impose no </w:t>
      </w:r>
      <w:r w:rsidR="00F72889">
        <w:rPr>
          <w:rFonts w:ascii="Times New Roman" w:hAnsi="Times New Roman"/>
          <w:b/>
          <w:szCs w:val="24"/>
        </w:rPr>
        <w:t xml:space="preserve">unique </w:t>
      </w:r>
      <w:r w:rsidRPr="00943AE3">
        <w:rPr>
          <w:rFonts w:ascii="Times New Roman" w:hAnsi="Times New Roman"/>
          <w:b/>
          <w:szCs w:val="24"/>
        </w:rPr>
        <w:t xml:space="preserve">burden on small entities or small businesses.  An eligible entity would evaluate the requirements of preparing an application and implementing a Comprehensive Center, </w:t>
      </w:r>
      <w:r w:rsidR="00F72889">
        <w:rPr>
          <w:rFonts w:ascii="Times New Roman" w:hAnsi="Times New Roman"/>
          <w:b/>
          <w:szCs w:val="24"/>
        </w:rPr>
        <w:t>including</w:t>
      </w:r>
      <w:r w:rsidR="00F72889" w:rsidRPr="00943AE3">
        <w:rPr>
          <w:rFonts w:ascii="Times New Roman" w:hAnsi="Times New Roman"/>
          <w:b/>
          <w:szCs w:val="24"/>
        </w:rPr>
        <w:t xml:space="preserve"> </w:t>
      </w:r>
      <w:r w:rsidRPr="00943AE3">
        <w:rPr>
          <w:rFonts w:ascii="Times New Roman" w:hAnsi="Times New Roman"/>
          <w:b/>
          <w:szCs w:val="24"/>
        </w:rPr>
        <w:t xml:space="preserve">any associated costs, and weigh them against the benefits likely to </w:t>
      </w:r>
      <w:r w:rsidRPr="00943AE3">
        <w:rPr>
          <w:rFonts w:ascii="Times New Roman" w:hAnsi="Times New Roman"/>
          <w:b/>
          <w:szCs w:val="24"/>
        </w:rPr>
        <w:lastRenderedPageBreak/>
        <w:t>be achi</w:t>
      </w:r>
      <w:r w:rsidR="00672A04">
        <w:rPr>
          <w:rFonts w:ascii="Times New Roman" w:hAnsi="Times New Roman"/>
          <w:b/>
          <w:szCs w:val="24"/>
        </w:rPr>
        <w:t xml:space="preserve">eved by implementing a Center. </w:t>
      </w:r>
      <w:r w:rsidR="00F72889">
        <w:rPr>
          <w:rFonts w:ascii="Times New Roman" w:hAnsi="Times New Roman"/>
          <w:b/>
          <w:szCs w:val="24"/>
        </w:rPr>
        <w:t xml:space="preserve"> </w:t>
      </w:r>
      <w:r w:rsidRPr="00943AE3">
        <w:rPr>
          <w:rFonts w:ascii="Times New Roman" w:hAnsi="Times New Roman"/>
          <w:b/>
          <w:szCs w:val="24"/>
        </w:rPr>
        <w:t>An eligible entity would probably apply only if it determines that the likely benefits exceed the costs of preparing an application and implementing a project.</w:t>
      </w:r>
    </w:p>
    <w:p w:rsidR="00943AE3" w:rsidRPr="00943AE3" w:rsidRDefault="00943AE3" w:rsidP="00943AE3">
      <w:pPr>
        <w:tabs>
          <w:tab w:val="left" w:pos="-720"/>
        </w:tabs>
        <w:suppressAutoHyphens/>
        <w:rPr>
          <w:rFonts w:ascii="Times New Roman" w:hAnsi="Times New Roman"/>
          <w:szCs w:val="24"/>
        </w:rPr>
      </w:pPr>
      <w:r w:rsidRPr="00943AE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943AE3" w:rsidRPr="00943AE3" w:rsidRDefault="00943AE3" w:rsidP="00943AE3">
      <w:pPr>
        <w:tabs>
          <w:tab w:val="left" w:pos="-720"/>
        </w:tabs>
        <w:suppressAutoHyphens/>
        <w:rPr>
          <w:rFonts w:ascii="Times New Roman" w:hAnsi="Times New Roman"/>
          <w:szCs w:val="24"/>
        </w:rPr>
      </w:pPr>
    </w:p>
    <w:p w:rsidR="00107E13" w:rsidRPr="00943AE3" w:rsidRDefault="00943AE3" w:rsidP="00943AE3">
      <w:pPr>
        <w:ind w:left="720"/>
        <w:rPr>
          <w:rFonts w:ascii="Times New Roman" w:hAnsi="Times New Roman"/>
          <w:b/>
          <w:szCs w:val="24"/>
        </w:rPr>
      </w:pPr>
      <w:r w:rsidRPr="00943AE3">
        <w:rPr>
          <w:rFonts w:ascii="Times New Roman" w:hAnsi="Times New Roman"/>
          <w:b/>
          <w:szCs w:val="24"/>
        </w:rPr>
        <w:t xml:space="preserve">The consequence of not collecting information for the Comprehensive Centers program would be that eligible entities would be unable to apply and receive </w:t>
      </w:r>
      <w:r w:rsidR="00672A04">
        <w:rPr>
          <w:rFonts w:ascii="Times New Roman" w:hAnsi="Times New Roman"/>
          <w:b/>
          <w:szCs w:val="24"/>
        </w:rPr>
        <w:t>up to 60 months of funding under this program</w:t>
      </w:r>
      <w:r w:rsidR="00DC7949">
        <w:rPr>
          <w:rFonts w:ascii="Times New Roman" w:hAnsi="Times New Roman"/>
          <w:b/>
          <w:szCs w:val="24"/>
        </w:rPr>
        <w:t xml:space="preserve"> and the Department would not fulfill its Congressional obligation</w:t>
      </w:r>
      <w:r w:rsidR="00672A04">
        <w:rPr>
          <w:rFonts w:ascii="Times New Roman" w:hAnsi="Times New Roman"/>
          <w:b/>
          <w:szCs w:val="24"/>
        </w:rPr>
        <w:t xml:space="preserve">. </w:t>
      </w:r>
      <w:r w:rsidR="00F72889">
        <w:rPr>
          <w:rFonts w:ascii="Times New Roman" w:hAnsi="Times New Roman"/>
          <w:b/>
          <w:szCs w:val="24"/>
        </w:rPr>
        <w:t xml:space="preserve"> </w:t>
      </w:r>
      <w:r w:rsidR="00672A04">
        <w:rPr>
          <w:rFonts w:ascii="Times New Roman" w:hAnsi="Times New Roman"/>
          <w:b/>
          <w:szCs w:val="24"/>
        </w:rPr>
        <w:t>The</w:t>
      </w:r>
      <w:r w:rsidRPr="00943AE3">
        <w:rPr>
          <w:rFonts w:ascii="Times New Roman" w:hAnsi="Times New Roman"/>
          <w:b/>
          <w:szCs w:val="24"/>
        </w:rPr>
        <w:t xml:space="preserve"> information collection for new award recipients is conducted as infrequently as possible</w:t>
      </w:r>
      <w:r w:rsidR="00672A04">
        <w:rPr>
          <w:rFonts w:ascii="Times New Roman" w:hAnsi="Times New Roman"/>
          <w:b/>
          <w:szCs w:val="24"/>
        </w:rPr>
        <w:t>.</w:t>
      </w:r>
      <w:r w:rsidRPr="00943AE3">
        <w:rPr>
          <w:rFonts w:ascii="Times New Roman" w:hAnsi="Times New Roman"/>
          <w:b/>
          <w:szCs w:val="24"/>
        </w:rPr>
        <w:t xml:space="preserve"> </w:t>
      </w:r>
    </w:p>
    <w:p w:rsidR="00107E13" w:rsidRPr="00943AE3" w:rsidRDefault="00107E13" w:rsidP="00107E13">
      <w:pPr>
        <w:rPr>
          <w:rFonts w:ascii="Times New Roman" w:hAnsi="Times New Roman"/>
          <w:szCs w:val="24"/>
        </w:rPr>
      </w:pPr>
    </w:p>
    <w:p w:rsidR="00107E13" w:rsidRPr="00943AE3" w:rsidRDefault="00107E13" w:rsidP="00107E13">
      <w:pPr>
        <w:tabs>
          <w:tab w:val="left" w:pos="-720"/>
        </w:tabs>
        <w:suppressAutoHyphens/>
        <w:rPr>
          <w:rFonts w:ascii="Times New Roman" w:hAnsi="Times New Roman"/>
          <w:szCs w:val="24"/>
        </w:rPr>
      </w:pPr>
      <w:r w:rsidRPr="00943AE3">
        <w:rPr>
          <w:rFonts w:ascii="Times New Roman" w:hAnsi="Times New Roman"/>
          <w:szCs w:val="24"/>
        </w:rPr>
        <w:t>7. Explain any special circumstances that would cause an information collection to be conducted in a manner:</w:t>
      </w:r>
    </w:p>
    <w:p w:rsidR="00107E13" w:rsidRPr="00943AE3" w:rsidRDefault="00107E13" w:rsidP="00107E13">
      <w:pPr>
        <w:tabs>
          <w:tab w:val="left" w:pos="-720"/>
        </w:tabs>
        <w:suppressAutoHyphens/>
        <w:rPr>
          <w:rFonts w:ascii="Times New Roman" w:hAnsi="Times New Roman"/>
          <w:b/>
          <w:szCs w:val="24"/>
        </w:rPr>
      </w:pPr>
    </w:p>
    <w:p w:rsidR="00107E13" w:rsidRPr="00943AE3" w:rsidRDefault="00107E13" w:rsidP="00107E13">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respondents to report information to the agency more often than quarterly;</w:t>
      </w:r>
    </w:p>
    <w:p w:rsidR="00107E13" w:rsidRPr="00943AE3" w:rsidRDefault="00107E13" w:rsidP="00107E13">
      <w:pPr>
        <w:numPr>
          <w:ilvl w:val="12"/>
          <w:numId w:val="0"/>
        </w:numPr>
        <w:tabs>
          <w:tab w:val="left" w:pos="-720"/>
        </w:tabs>
        <w:suppressAutoHyphens/>
        <w:ind w:left="340"/>
        <w:rPr>
          <w:rFonts w:ascii="Times New Roman" w:hAnsi="Times New Roman"/>
          <w:szCs w:val="24"/>
        </w:rPr>
      </w:pPr>
    </w:p>
    <w:p w:rsidR="00107E13" w:rsidRPr="00943AE3" w:rsidRDefault="00107E13" w:rsidP="00107E13">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respondents to prepare a written response to a collection of information in fewer than 30 days after receipt of it;</w:t>
      </w:r>
    </w:p>
    <w:p w:rsidR="00107E13" w:rsidRPr="00943AE3" w:rsidRDefault="00107E13" w:rsidP="00107E13">
      <w:pPr>
        <w:numPr>
          <w:ilvl w:val="12"/>
          <w:numId w:val="0"/>
        </w:numPr>
        <w:tabs>
          <w:tab w:val="left" w:pos="-720"/>
        </w:tabs>
        <w:suppressAutoHyphens/>
        <w:rPr>
          <w:rFonts w:ascii="Times New Roman" w:hAnsi="Times New Roman"/>
          <w:szCs w:val="24"/>
        </w:rPr>
      </w:pPr>
    </w:p>
    <w:p w:rsidR="00107E13" w:rsidRPr="00943AE3" w:rsidRDefault="00107E13" w:rsidP="00107E13">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respondents to submit more than an original and two copies of any document;</w:t>
      </w:r>
    </w:p>
    <w:p w:rsidR="00107E13" w:rsidRPr="00943AE3" w:rsidRDefault="00107E13" w:rsidP="00107E13">
      <w:pPr>
        <w:numPr>
          <w:ilvl w:val="12"/>
          <w:numId w:val="0"/>
        </w:numPr>
        <w:tabs>
          <w:tab w:val="left" w:pos="-720"/>
        </w:tabs>
        <w:suppressAutoHyphens/>
        <w:rPr>
          <w:rFonts w:ascii="Times New Roman" w:hAnsi="Times New Roman"/>
          <w:szCs w:val="24"/>
        </w:rPr>
      </w:pPr>
    </w:p>
    <w:p w:rsidR="00107E13" w:rsidRPr="00943AE3" w:rsidRDefault="00107E13" w:rsidP="00107E13">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respondents to retain records, other than health, medical, government contract, grant-in-aid, or tax records for more than three years;</w:t>
      </w:r>
    </w:p>
    <w:p w:rsidR="00107E13" w:rsidRPr="00943AE3" w:rsidRDefault="00107E13" w:rsidP="00107E13">
      <w:pPr>
        <w:numPr>
          <w:ilvl w:val="12"/>
          <w:numId w:val="0"/>
        </w:numPr>
        <w:tabs>
          <w:tab w:val="left" w:pos="-720"/>
        </w:tabs>
        <w:suppressAutoHyphens/>
        <w:rPr>
          <w:rFonts w:ascii="Times New Roman" w:hAnsi="Times New Roman"/>
          <w:szCs w:val="24"/>
        </w:rPr>
      </w:pPr>
    </w:p>
    <w:p w:rsidR="00107E13" w:rsidRPr="00943AE3" w:rsidRDefault="00107E13" w:rsidP="00107E13">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in connection with a statistical survey, that is not designed to produce valid and reliable results than can be generalized to the universe of study;</w:t>
      </w:r>
    </w:p>
    <w:p w:rsidR="00107E13" w:rsidRPr="00943AE3" w:rsidRDefault="00107E13" w:rsidP="00107E13">
      <w:pPr>
        <w:numPr>
          <w:ilvl w:val="12"/>
          <w:numId w:val="0"/>
        </w:numPr>
        <w:tabs>
          <w:tab w:val="left" w:pos="-720"/>
        </w:tabs>
        <w:suppressAutoHyphens/>
        <w:rPr>
          <w:rFonts w:ascii="Times New Roman" w:hAnsi="Times New Roman"/>
          <w:szCs w:val="24"/>
        </w:rPr>
      </w:pPr>
    </w:p>
    <w:p w:rsidR="00107E13" w:rsidRPr="00943AE3" w:rsidRDefault="00107E13" w:rsidP="00107E13">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the use of a statistical data classification that has not been reviewed and approved by OMB;</w:t>
      </w:r>
    </w:p>
    <w:p w:rsidR="00107E13" w:rsidRPr="00943AE3" w:rsidRDefault="00107E13" w:rsidP="00107E13">
      <w:pPr>
        <w:numPr>
          <w:ilvl w:val="12"/>
          <w:numId w:val="0"/>
        </w:numPr>
        <w:tabs>
          <w:tab w:val="left" w:pos="-720"/>
        </w:tabs>
        <w:suppressAutoHyphens/>
        <w:rPr>
          <w:rFonts w:ascii="Times New Roman" w:hAnsi="Times New Roman"/>
          <w:szCs w:val="24"/>
        </w:rPr>
      </w:pPr>
    </w:p>
    <w:p w:rsidR="00107E13" w:rsidRPr="00943AE3" w:rsidRDefault="00107E13" w:rsidP="00107E13">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107E13" w:rsidRPr="00943AE3" w:rsidRDefault="00107E13" w:rsidP="00107E13">
      <w:pPr>
        <w:numPr>
          <w:ilvl w:val="12"/>
          <w:numId w:val="0"/>
        </w:numPr>
        <w:tabs>
          <w:tab w:val="left" w:pos="-720"/>
        </w:tabs>
        <w:suppressAutoHyphens/>
        <w:rPr>
          <w:rFonts w:ascii="Times New Roman" w:hAnsi="Times New Roman"/>
          <w:szCs w:val="24"/>
        </w:rPr>
      </w:pPr>
    </w:p>
    <w:p w:rsidR="00107E13" w:rsidRPr="00943AE3" w:rsidRDefault="00107E13" w:rsidP="00107E13">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107E13" w:rsidRPr="00943AE3" w:rsidRDefault="00107E13" w:rsidP="00107E13">
      <w:pPr>
        <w:tabs>
          <w:tab w:val="left" w:pos="-720"/>
        </w:tabs>
        <w:suppressAutoHyphens/>
        <w:rPr>
          <w:rFonts w:ascii="Times New Roman" w:hAnsi="Times New Roman"/>
          <w:szCs w:val="24"/>
        </w:rPr>
      </w:pPr>
    </w:p>
    <w:p w:rsidR="00107E13" w:rsidRPr="00943AE3" w:rsidRDefault="00107E13" w:rsidP="00107E13">
      <w:pPr>
        <w:pStyle w:val="ListParagraph"/>
        <w:contextualSpacing w:val="0"/>
        <w:rPr>
          <w:rFonts w:ascii="Times New Roman" w:hAnsi="Times New Roman"/>
          <w:b/>
          <w:bCs/>
          <w:szCs w:val="24"/>
        </w:rPr>
      </w:pPr>
      <w:r w:rsidRPr="00943AE3">
        <w:rPr>
          <w:rFonts w:ascii="Times New Roman" w:hAnsi="Times New Roman"/>
          <w:b/>
          <w:bCs/>
          <w:szCs w:val="24"/>
        </w:rPr>
        <w:t>None of the special circumstances listed above apply. This collection is consistent with 5 CFR 1320.5.</w:t>
      </w:r>
    </w:p>
    <w:p w:rsidR="00107E13" w:rsidRPr="00943AE3" w:rsidRDefault="00107E13" w:rsidP="00107E13">
      <w:pPr>
        <w:tabs>
          <w:tab w:val="left" w:pos="-720"/>
        </w:tabs>
        <w:suppressAutoHyphens/>
        <w:rPr>
          <w:rFonts w:ascii="Times New Roman" w:hAnsi="Times New Roman"/>
          <w:szCs w:val="24"/>
        </w:rPr>
      </w:pPr>
    </w:p>
    <w:p w:rsidR="00107E13" w:rsidRPr="00943AE3" w:rsidRDefault="00107E13" w:rsidP="00107E13">
      <w:pPr>
        <w:numPr>
          <w:ilvl w:val="0"/>
          <w:numId w:val="2"/>
        </w:numPr>
        <w:tabs>
          <w:tab w:val="left" w:pos="-720"/>
          <w:tab w:val="left" w:pos="375"/>
        </w:tabs>
        <w:suppressAutoHyphens/>
        <w:rPr>
          <w:rFonts w:ascii="Times New Roman" w:hAnsi="Times New Roman"/>
          <w:szCs w:val="24"/>
        </w:rPr>
      </w:pPr>
      <w:r w:rsidRPr="00943AE3">
        <w:rPr>
          <w:rFonts w:ascii="Times New Roman" w:hAnsi="Times New Roman"/>
          <w:szCs w:val="24"/>
        </w:rPr>
        <w:lastRenderedPageBreak/>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07E13" w:rsidRPr="00943AE3" w:rsidRDefault="00107E13" w:rsidP="00107E13">
      <w:pPr>
        <w:tabs>
          <w:tab w:val="left" w:pos="-720"/>
        </w:tabs>
        <w:suppressAutoHyphens/>
        <w:rPr>
          <w:rStyle w:val="a"/>
          <w:rFonts w:ascii="Times New Roman" w:hAnsi="Times New Roman"/>
          <w:b/>
          <w:szCs w:val="24"/>
        </w:rPr>
      </w:pPr>
    </w:p>
    <w:p w:rsidR="00107E13" w:rsidRPr="00943AE3" w:rsidRDefault="00107E13" w:rsidP="00107E13">
      <w:pPr>
        <w:tabs>
          <w:tab w:val="left" w:pos="-720"/>
        </w:tabs>
        <w:suppressAutoHyphens/>
        <w:ind w:left="360"/>
        <w:rPr>
          <w:rStyle w:val="a"/>
          <w:rFonts w:ascii="Times New Roman" w:hAnsi="Times New Roman"/>
          <w:szCs w:val="24"/>
        </w:rPr>
      </w:pPr>
      <w:r w:rsidRPr="00943AE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07E13" w:rsidRPr="00943AE3" w:rsidRDefault="00107E13" w:rsidP="00107E13">
      <w:pPr>
        <w:tabs>
          <w:tab w:val="left" w:pos="-720"/>
        </w:tabs>
        <w:suppressAutoHyphens/>
        <w:rPr>
          <w:rStyle w:val="a"/>
          <w:rFonts w:ascii="Times New Roman" w:hAnsi="Times New Roman"/>
          <w:szCs w:val="24"/>
        </w:rPr>
      </w:pPr>
    </w:p>
    <w:p w:rsidR="00107E13" w:rsidRPr="00943AE3" w:rsidRDefault="00107E13" w:rsidP="00107E13">
      <w:pPr>
        <w:tabs>
          <w:tab w:val="left" w:pos="-720"/>
        </w:tabs>
        <w:suppressAutoHyphens/>
        <w:ind w:left="360"/>
        <w:rPr>
          <w:rFonts w:ascii="Times New Roman" w:hAnsi="Times New Roman"/>
          <w:szCs w:val="24"/>
        </w:rPr>
      </w:pPr>
      <w:r w:rsidRPr="00943AE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07E13" w:rsidRPr="00943AE3" w:rsidRDefault="00107E13" w:rsidP="00107E13">
      <w:pPr>
        <w:tabs>
          <w:tab w:val="left" w:pos="-720"/>
        </w:tabs>
        <w:suppressAutoHyphens/>
        <w:rPr>
          <w:rFonts w:ascii="Times New Roman" w:hAnsi="Times New Roman"/>
          <w:b/>
          <w:szCs w:val="24"/>
        </w:rPr>
      </w:pPr>
    </w:p>
    <w:p w:rsidR="00107E13" w:rsidRPr="00943AE3" w:rsidRDefault="00A14E7A" w:rsidP="00272F9B">
      <w:pPr>
        <w:tabs>
          <w:tab w:val="left" w:pos="-720"/>
        </w:tabs>
        <w:suppressAutoHyphens/>
        <w:ind w:left="720"/>
        <w:rPr>
          <w:rStyle w:val="a"/>
          <w:rFonts w:ascii="Times New Roman" w:hAnsi="Times New Roman"/>
          <w:b/>
          <w:szCs w:val="24"/>
        </w:rPr>
      </w:pPr>
      <w:r w:rsidRPr="00943AE3">
        <w:rPr>
          <w:rFonts w:ascii="Times New Roman" w:hAnsi="Times New Roman"/>
          <w:b/>
          <w:szCs w:val="24"/>
        </w:rPr>
        <w:t>This collection will be published</w:t>
      </w:r>
      <w:r w:rsidR="00107E13" w:rsidRPr="00943AE3">
        <w:rPr>
          <w:rFonts w:ascii="Times New Roman" w:hAnsi="Times New Roman"/>
          <w:b/>
          <w:szCs w:val="24"/>
        </w:rPr>
        <w:t xml:space="preserve"> for a 30-day public comment period. </w:t>
      </w:r>
      <w:r w:rsidR="00F72889">
        <w:rPr>
          <w:rFonts w:ascii="Times New Roman" w:hAnsi="Times New Roman"/>
          <w:b/>
          <w:szCs w:val="24"/>
        </w:rPr>
        <w:t xml:space="preserve"> </w:t>
      </w:r>
      <w:r w:rsidR="00107E13" w:rsidRPr="00943AE3">
        <w:rPr>
          <w:rFonts w:ascii="Times New Roman" w:hAnsi="Times New Roman"/>
          <w:b/>
          <w:szCs w:val="24"/>
        </w:rPr>
        <w:t xml:space="preserve">The public will have an opportunity to provide feedback </w:t>
      </w:r>
      <w:r w:rsidR="00107E13" w:rsidRPr="00943AE3">
        <w:rPr>
          <w:rStyle w:val="a"/>
          <w:rFonts w:ascii="Times New Roman" w:hAnsi="Times New Roman"/>
          <w:b/>
          <w:szCs w:val="24"/>
        </w:rPr>
        <w:t xml:space="preserve">on the availability of data, frequency of collection, the clarity of </w:t>
      </w:r>
      <w:r w:rsidR="00F72889">
        <w:rPr>
          <w:rStyle w:val="a"/>
          <w:rFonts w:ascii="Times New Roman" w:hAnsi="Times New Roman"/>
          <w:b/>
          <w:szCs w:val="24"/>
        </w:rPr>
        <w:t xml:space="preserve">the </w:t>
      </w:r>
      <w:r w:rsidR="00107E13" w:rsidRPr="00943AE3">
        <w:rPr>
          <w:rStyle w:val="a"/>
          <w:rFonts w:ascii="Times New Roman" w:hAnsi="Times New Roman"/>
          <w:b/>
          <w:szCs w:val="24"/>
        </w:rPr>
        <w:t>instruction</w:t>
      </w:r>
      <w:r w:rsidR="00F72889">
        <w:rPr>
          <w:rStyle w:val="a"/>
          <w:rFonts w:ascii="Times New Roman" w:hAnsi="Times New Roman"/>
          <w:b/>
          <w:szCs w:val="24"/>
        </w:rPr>
        <w:t>s</w:t>
      </w:r>
      <w:r w:rsidR="00107E13" w:rsidRPr="00943AE3">
        <w:rPr>
          <w:rStyle w:val="a"/>
          <w:rFonts w:ascii="Times New Roman" w:hAnsi="Times New Roman"/>
          <w:b/>
          <w:szCs w:val="24"/>
        </w:rPr>
        <w:t xml:space="preserve"> and</w:t>
      </w:r>
      <w:r w:rsidRPr="00943AE3">
        <w:rPr>
          <w:rStyle w:val="a"/>
          <w:rFonts w:ascii="Times New Roman" w:hAnsi="Times New Roman"/>
          <w:b/>
          <w:szCs w:val="24"/>
        </w:rPr>
        <w:t xml:space="preserve"> record</w:t>
      </w:r>
      <w:r w:rsidR="00F72889">
        <w:rPr>
          <w:rStyle w:val="a"/>
          <w:rFonts w:ascii="Times New Roman" w:hAnsi="Times New Roman"/>
          <w:b/>
          <w:szCs w:val="24"/>
        </w:rPr>
        <w:t>-</w:t>
      </w:r>
      <w:r w:rsidRPr="00943AE3">
        <w:rPr>
          <w:rStyle w:val="a"/>
          <w:rFonts w:ascii="Times New Roman" w:hAnsi="Times New Roman"/>
          <w:b/>
          <w:szCs w:val="24"/>
        </w:rPr>
        <w:t>keeping</w:t>
      </w:r>
      <w:r w:rsidR="00F72889">
        <w:rPr>
          <w:rStyle w:val="a"/>
          <w:rFonts w:ascii="Times New Roman" w:hAnsi="Times New Roman"/>
          <w:b/>
          <w:szCs w:val="24"/>
        </w:rPr>
        <w:t xml:space="preserve"> requirements</w:t>
      </w:r>
      <w:r w:rsidRPr="00943AE3">
        <w:rPr>
          <w:rStyle w:val="a"/>
          <w:rFonts w:ascii="Times New Roman" w:hAnsi="Times New Roman"/>
          <w:b/>
          <w:szCs w:val="24"/>
        </w:rPr>
        <w:t xml:space="preserve">, disclosure, </w:t>
      </w:r>
      <w:r w:rsidR="00F72889">
        <w:rPr>
          <w:rStyle w:val="a"/>
          <w:rFonts w:ascii="Times New Roman" w:hAnsi="Times New Roman"/>
          <w:b/>
          <w:szCs w:val="24"/>
        </w:rPr>
        <w:t xml:space="preserve">the </w:t>
      </w:r>
      <w:r w:rsidR="00107E13" w:rsidRPr="00943AE3">
        <w:rPr>
          <w:rStyle w:val="a"/>
          <w:rFonts w:ascii="Times New Roman" w:hAnsi="Times New Roman"/>
          <w:b/>
          <w:szCs w:val="24"/>
        </w:rPr>
        <w:t>reporting format</w:t>
      </w:r>
      <w:r w:rsidR="00F72889">
        <w:rPr>
          <w:rStyle w:val="a"/>
          <w:rFonts w:ascii="Times New Roman" w:hAnsi="Times New Roman"/>
          <w:b/>
          <w:szCs w:val="24"/>
        </w:rPr>
        <w:t>,</w:t>
      </w:r>
      <w:r w:rsidR="00107E13" w:rsidRPr="00943AE3">
        <w:rPr>
          <w:rStyle w:val="a"/>
          <w:rFonts w:ascii="Times New Roman" w:hAnsi="Times New Roman"/>
          <w:b/>
          <w:szCs w:val="24"/>
        </w:rPr>
        <w:t xml:space="preserve"> and the data elements to be recorded, disclosed, or reported.</w:t>
      </w:r>
    </w:p>
    <w:p w:rsidR="00107E13" w:rsidRPr="00943AE3" w:rsidRDefault="00107E13" w:rsidP="00107E13">
      <w:pPr>
        <w:tabs>
          <w:tab w:val="left" w:pos="-720"/>
        </w:tabs>
        <w:suppressAutoHyphens/>
        <w:rPr>
          <w:rFonts w:ascii="Times New Roman" w:hAnsi="Times New Roman"/>
          <w:szCs w:val="24"/>
        </w:rPr>
      </w:pPr>
    </w:p>
    <w:p w:rsidR="00107E13" w:rsidRPr="00943AE3" w:rsidRDefault="00107E13" w:rsidP="00107E13">
      <w:pPr>
        <w:tabs>
          <w:tab w:val="left" w:pos="-720"/>
        </w:tabs>
        <w:suppressAutoHyphens/>
        <w:rPr>
          <w:rFonts w:ascii="Times New Roman" w:hAnsi="Times New Roman"/>
          <w:szCs w:val="24"/>
        </w:rPr>
      </w:pPr>
      <w:r w:rsidRPr="00943AE3">
        <w:rPr>
          <w:rFonts w:ascii="Times New Roman" w:hAnsi="Times New Roman"/>
          <w:szCs w:val="24"/>
        </w:rPr>
        <w:t xml:space="preserve">9. </w:t>
      </w:r>
      <w:r w:rsidRPr="00943AE3">
        <w:rPr>
          <w:rStyle w:val="a"/>
          <w:rFonts w:ascii="Times New Roman" w:hAnsi="Times New Roman"/>
          <w:szCs w:val="24"/>
        </w:rPr>
        <w:t>Explain any decision to provide any payment or gift to respondents, other than remuneration of contractors or grantees with meaningful justification.</w:t>
      </w:r>
    </w:p>
    <w:p w:rsidR="00107E13" w:rsidRPr="00943AE3" w:rsidRDefault="00107E13" w:rsidP="00107E13">
      <w:pPr>
        <w:tabs>
          <w:tab w:val="left" w:pos="-720"/>
        </w:tabs>
        <w:suppressAutoHyphens/>
        <w:rPr>
          <w:rFonts w:ascii="Times New Roman" w:hAnsi="Times New Roman"/>
          <w:szCs w:val="24"/>
        </w:rPr>
      </w:pPr>
    </w:p>
    <w:p w:rsidR="00107E13" w:rsidRPr="00943AE3" w:rsidRDefault="007E3C46" w:rsidP="00107E13">
      <w:pPr>
        <w:tabs>
          <w:tab w:val="left" w:pos="-720"/>
        </w:tabs>
        <w:suppressAutoHyphens/>
        <w:rPr>
          <w:rFonts w:ascii="Times New Roman" w:hAnsi="Times New Roman"/>
          <w:b/>
          <w:bCs/>
          <w:szCs w:val="24"/>
        </w:rPr>
      </w:pPr>
      <w:r w:rsidRPr="00943AE3">
        <w:rPr>
          <w:rFonts w:ascii="Times New Roman" w:hAnsi="Times New Roman"/>
          <w:b/>
          <w:bCs/>
          <w:szCs w:val="24"/>
        </w:rPr>
        <w:tab/>
      </w:r>
      <w:r w:rsidR="00107E13" w:rsidRPr="00943AE3">
        <w:rPr>
          <w:rFonts w:ascii="Times New Roman" w:hAnsi="Times New Roman"/>
          <w:b/>
          <w:bCs/>
          <w:szCs w:val="24"/>
        </w:rPr>
        <w:t>No payments or gifts will be made to respondents.</w:t>
      </w:r>
    </w:p>
    <w:p w:rsidR="00A14E7A" w:rsidRPr="00943AE3" w:rsidRDefault="00A14E7A" w:rsidP="00107E13">
      <w:pPr>
        <w:tabs>
          <w:tab w:val="left" w:pos="-720"/>
        </w:tabs>
        <w:suppressAutoHyphens/>
        <w:rPr>
          <w:rFonts w:ascii="Times New Roman" w:hAnsi="Times New Roman"/>
          <w:szCs w:val="24"/>
        </w:rPr>
      </w:pPr>
    </w:p>
    <w:p w:rsidR="00107E13" w:rsidRPr="00943AE3" w:rsidRDefault="00107E13" w:rsidP="00107E13">
      <w:pPr>
        <w:tabs>
          <w:tab w:val="left" w:pos="-720"/>
        </w:tabs>
        <w:suppressAutoHyphens/>
        <w:rPr>
          <w:rFonts w:ascii="Times New Roman" w:hAnsi="Times New Roman"/>
          <w:szCs w:val="24"/>
        </w:rPr>
      </w:pPr>
      <w:r w:rsidRPr="00943AE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43AE3">
        <w:rPr>
          <w:rStyle w:val="FootnoteReference"/>
          <w:rFonts w:ascii="Times New Roman" w:hAnsi="Times New Roman"/>
          <w:szCs w:val="24"/>
        </w:rPr>
        <w:footnoteReference w:id="2"/>
      </w:r>
      <w:r w:rsidRPr="00943AE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107E13" w:rsidRPr="00943AE3" w:rsidRDefault="00107E13" w:rsidP="00107E13">
      <w:pPr>
        <w:tabs>
          <w:tab w:val="left" w:pos="-720"/>
        </w:tabs>
        <w:suppressAutoHyphens/>
        <w:rPr>
          <w:rFonts w:ascii="Times New Roman" w:hAnsi="Times New Roman"/>
          <w:szCs w:val="24"/>
        </w:rPr>
      </w:pPr>
    </w:p>
    <w:p w:rsidR="00107E13" w:rsidRPr="00943AE3" w:rsidRDefault="00107E13" w:rsidP="007E3C46">
      <w:pPr>
        <w:ind w:firstLine="720"/>
        <w:rPr>
          <w:rFonts w:ascii="Times New Roman" w:hAnsi="Times New Roman"/>
          <w:b/>
          <w:bCs/>
          <w:szCs w:val="24"/>
        </w:rPr>
      </w:pPr>
      <w:r w:rsidRPr="00943AE3">
        <w:rPr>
          <w:rFonts w:ascii="Times New Roman" w:hAnsi="Times New Roman"/>
          <w:b/>
          <w:bCs/>
          <w:szCs w:val="24"/>
        </w:rPr>
        <w:t>There are no assurances of confidentiality.</w:t>
      </w:r>
    </w:p>
    <w:p w:rsidR="00107E13" w:rsidRPr="00943AE3" w:rsidRDefault="00107E13" w:rsidP="00107E13">
      <w:pPr>
        <w:tabs>
          <w:tab w:val="left" w:pos="-720"/>
        </w:tabs>
        <w:suppressAutoHyphens/>
        <w:rPr>
          <w:rFonts w:ascii="Times New Roman" w:hAnsi="Times New Roman"/>
          <w:szCs w:val="24"/>
        </w:rPr>
      </w:pPr>
    </w:p>
    <w:p w:rsidR="00107E13" w:rsidRPr="00943AE3" w:rsidRDefault="00107E13" w:rsidP="00107E13">
      <w:pPr>
        <w:tabs>
          <w:tab w:val="left" w:pos="-720"/>
        </w:tabs>
        <w:suppressAutoHyphens/>
        <w:rPr>
          <w:rFonts w:ascii="Times New Roman" w:hAnsi="Times New Roman"/>
          <w:szCs w:val="24"/>
        </w:rPr>
      </w:pPr>
      <w:r w:rsidRPr="00943AE3">
        <w:rPr>
          <w:rFonts w:ascii="Times New Roman" w:hAnsi="Times New Roman"/>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07E13" w:rsidRPr="00943AE3" w:rsidRDefault="00107E13" w:rsidP="00107E13">
      <w:pPr>
        <w:tabs>
          <w:tab w:val="left" w:pos="-720"/>
        </w:tabs>
        <w:suppressAutoHyphens/>
        <w:rPr>
          <w:rFonts w:ascii="Times New Roman" w:hAnsi="Times New Roman"/>
          <w:szCs w:val="24"/>
        </w:rPr>
      </w:pPr>
    </w:p>
    <w:p w:rsidR="00107E13" w:rsidRPr="00943AE3" w:rsidRDefault="00107E13" w:rsidP="007E3C46">
      <w:pPr>
        <w:ind w:firstLine="720"/>
        <w:rPr>
          <w:rFonts w:ascii="Times New Roman" w:hAnsi="Times New Roman"/>
          <w:b/>
          <w:bCs/>
          <w:szCs w:val="24"/>
        </w:rPr>
      </w:pPr>
      <w:r w:rsidRPr="00943AE3">
        <w:rPr>
          <w:rFonts w:ascii="Times New Roman" w:hAnsi="Times New Roman"/>
          <w:b/>
          <w:bCs/>
          <w:szCs w:val="24"/>
        </w:rPr>
        <w:t>This collection does not include questions of a sensitive nature.</w:t>
      </w:r>
    </w:p>
    <w:p w:rsidR="00107E13" w:rsidRPr="00943AE3" w:rsidRDefault="00107E13" w:rsidP="00A14E7A">
      <w:pPr>
        <w:rPr>
          <w:rFonts w:ascii="Times New Roman" w:hAnsi="Times New Roman"/>
          <w:szCs w:val="24"/>
        </w:rPr>
      </w:pPr>
    </w:p>
    <w:p w:rsidR="00361C6B" w:rsidRPr="00943AE3" w:rsidRDefault="00361C6B" w:rsidP="00361C6B">
      <w:pPr>
        <w:jc w:val="center"/>
        <w:rPr>
          <w:rFonts w:ascii="Times New Roman" w:hAnsi="Times New Roman"/>
          <w:szCs w:val="24"/>
        </w:rPr>
      </w:pPr>
    </w:p>
    <w:p w:rsidR="00361C6B" w:rsidRPr="00943AE3" w:rsidRDefault="00361C6B" w:rsidP="00361C6B">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12. Provide estimates of the hour burden of the collection of information.  The statement should:</w:t>
      </w:r>
    </w:p>
    <w:p w:rsidR="00361C6B" w:rsidRPr="00943AE3" w:rsidRDefault="00361C6B" w:rsidP="00361C6B">
      <w:pPr>
        <w:pStyle w:val="Style"/>
        <w:tabs>
          <w:tab w:val="left" w:pos="-360"/>
          <w:tab w:val="left" w:pos="0"/>
          <w:tab w:val="left" w:pos="270"/>
          <w:tab w:val="left" w:pos="1440"/>
        </w:tabs>
        <w:ind w:left="360" w:firstLine="0"/>
        <w:jc w:val="both"/>
        <w:rPr>
          <w:szCs w:val="24"/>
        </w:rPr>
      </w:pPr>
    </w:p>
    <w:p w:rsidR="00361C6B" w:rsidRPr="00943AE3" w:rsidRDefault="00361C6B" w:rsidP="00361C6B">
      <w:pPr>
        <w:pStyle w:val="Style"/>
        <w:numPr>
          <w:ilvl w:val="0"/>
          <w:numId w:val="4"/>
        </w:numPr>
        <w:tabs>
          <w:tab w:val="left" w:pos="-360"/>
          <w:tab w:val="left" w:pos="0"/>
          <w:tab w:val="left" w:pos="270"/>
          <w:tab w:val="left" w:pos="1440"/>
        </w:tabs>
        <w:jc w:val="both"/>
        <w:rPr>
          <w:szCs w:val="24"/>
        </w:rPr>
      </w:pPr>
      <w:r w:rsidRPr="00943AE3">
        <w:rPr>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1C6B" w:rsidRPr="00943AE3" w:rsidRDefault="00361C6B" w:rsidP="00361C6B">
      <w:pPr>
        <w:pStyle w:val="Style"/>
        <w:tabs>
          <w:tab w:val="left" w:pos="-360"/>
          <w:tab w:val="left" w:pos="0"/>
          <w:tab w:val="left" w:pos="270"/>
          <w:tab w:val="left" w:pos="1440"/>
        </w:tabs>
        <w:ind w:firstLine="0"/>
        <w:jc w:val="both"/>
        <w:rPr>
          <w:szCs w:val="24"/>
        </w:rPr>
      </w:pPr>
    </w:p>
    <w:p w:rsidR="00361C6B" w:rsidRPr="00943AE3" w:rsidRDefault="00361C6B" w:rsidP="004C356E">
      <w:pPr>
        <w:ind w:left="720"/>
        <w:rPr>
          <w:rFonts w:ascii="Times New Roman" w:hAnsi="Times New Roman"/>
          <w:b/>
          <w:color w:val="1F497D"/>
          <w:szCs w:val="24"/>
        </w:rPr>
      </w:pPr>
      <w:r w:rsidRPr="00943AE3">
        <w:rPr>
          <w:rFonts w:ascii="Times New Roman" w:hAnsi="Times New Roman"/>
          <w:b/>
          <w:bCs/>
          <w:szCs w:val="24"/>
        </w:rPr>
        <w:t xml:space="preserve">In estimating the burden in this collection, the Department consulted with three previous grantees of </w:t>
      </w:r>
      <w:r w:rsidR="00F72889">
        <w:rPr>
          <w:rFonts w:ascii="Times New Roman" w:hAnsi="Times New Roman"/>
          <w:b/>
          <w:bCs/>
          <w:szCs w:val="24"/>
        </w:rPr>
        <w:t xml:space="preserve">the </w:t>
      </w:r>
      <w:r w:rsidRPr="00943AE3">
        <w:rPr>
          <w:rFonts w:ascii="Times New Roman" w:hAnsi="Times New Roman"/>
          <w:b/>
          <w:bCs/>
          <w:szCs w:val="24"/>
        </w:rPr>
        <w:t xml:space="preserve">Comprehensive Centers program to determine the estimated time to complete an application. </w:t>
      </w:r>
      <w:r w:rsidR="00F72889">
        <w:rPr>
          <w:rFonts w:ascii="Times New Roman" w:hAnsi="Times New Roman"/>
          <w:b/>
          <w:bCs/>
          <w:szCs w:val="24"/>
        </w:rPr>
        <w:t xml:space="preserve"> </w:t>
      </w:r>
      <w:r w:rsidRPr="00943AE3">
        <w:rPr>
          <w:rFonts w:ascii="Times New Roman" w:hAnsi="Times New Roman"/>
          <w:b/>
          <w:bCs/>
          <w:szCs w:val="24"/>
        </w:rPr>
        <w:t>We estimate that each applicant would spend approximately 176 hours of staff time to address the proposed priorities, requirements, and selection criteria; prepare the application; and obtain necessary clearances.</w:t>
      </w:r>
      <w:r w:rsidRPr="00943AE3">
        <w:rPr>
          <w:rFonts w:ascii="Times New Roman" w:hAnsi="Times New Roman"/>
          <w:b/>
          <w:color w:val="1F497D"/>
          <w:szCs w:val="24"/>
        </w:rPr>
        <w:t xml:space="preserve"> </w:t>
      </w:r>
      <w:r w:rsidR="00F72889">
        <w:rPr>
          <w:rFonts w:ascii="Times New Roman" w:hAnsi="Times New Roman"/>
          <w:b/>
          <w:color w:val="1F497D"/>
          <w:szCs w:val="24"/>
        </w:rPr>
        <w:t xml:space="preserve"> </w:t>
      </w:r>
      <w:r w:rsidRPr="00943AE3">
        <w:rPr>
          <w:rFonts w:ascii="Times New Roman" w:hAnsi="Times New Roman"/>
          <w:b/>
          <w:szCs w:val="24"/>
        </w:rPr>
        <w:t>Based on the number of applications the Department received in the last competition it held under this</w:t>
      </w:r>
      <w:r w:rsidRPr="00943AE3">
        <w:rPr>
          <w:rFonts w:ascii="Times New Roman" w:hAnsi="Times New Roman"/>
          <w:i/>
          <w:szCs w:val="24"/>
        </w:rPr>
        <w:t xml:space="preserve"> </w:t>
      </w:r>
      <w:r w:rsidRPr="00943AE3">
        <w:rPr>
          <w:rFonts w:ascii="Times New Roman" w:hAnsi="Times New Roman"/>
          <w:b/>
          <w:szCs w:val="24"/>
        </w:rPr>
        <w:t>program (in FY 2005), we expect to receive approximately 65 applications for these funds.</w:t>
      </w:r>
      <w:r w:rsidRPr="00943AE3">
        <w:rPr>
          <w:rFonts w:ascii="Times New Roman" w:hAnsi="Times New Roman"/>
          <w:i/>
          <w:szCs w:val="24"/>
        </w:rPr>
        <w:t xml:space="preserve">  </w:t>
      </w:r>
      <w:r w:rsidRPr="00943AE3">
        <w:rPr>
          <w:rFonts w:ascii="Times New Roman" w:hAnsi="Times New Roman"/>
          <w:b/>
          <w:szCs w:val="24"/>
        </w:rPr>
        <w:t xml:space="preserve">The total number of hours for all expected applicants is an estimated 11,440 hours.  </w:t>
      </w:r>
    </w:p>
    <w:p w:rsidR="00361C6B" w:rsidRPr="00943AE3" w:rsidRDefault="00361C6B" w:rsidP="00361C6B">
      <w:pPr>
        <w:tabs>
          <w:tab w:val="left" w:pos="-360"/>
          <w:tab w:val="left" w:pos="0"/>
          <w:tab w:val="left" w:pos="270"/>
          <w:tab w:val="left" w:pos="1440"/>
        </w:tabs>
        <w:rPr>
          <w:rFonts w:ascii="Times New Roman" w:hAnsi="Times New Roman"/>
          <w:szCs w:val="24"/>
        </w:rPr>
      </w:pPr>
    </w:p>
    <w:p w:rsidR="00361C6B" w:rsidRPr="00943AE3" w:rsidRDefault="00361C6B" w:rsidP="00361C6B">
      <w:pPr>
        <w:pStyle w:val="Style"/>
        <w:numPr>
          <w:ilvl w:val="0"/>
          <w:numId w:val="4"/>
        </w:numPr>
        <w:tabs>
          <w:tab w:val="left" w:pos="-360"/>
          <w:tab w:val="left" w:pos="0"/>
          <w:tab w:val="left" w:pos="270"/>
          <w:tab w:val="left" w:pos="1440"/>
        </w:tabs>
        <w:jc w:val="both"/>
        <w:rPr>
          <w:szCs w:val="24"/>
        </w:rPr>
      </w:pPr>
      <w:r w:rsidRPr="00943AE3">
        <w:rPr>
          <w:szCs w:val="24"/>
        </w:rPr>
        <w:t>If this request for approval covers more than one form, provide separate hour burden estimates for each form and aggregate the hour burdens in Item 16 of IC Data Part 1.</w:t>
      </w:r>
    </w:p>
    <w:p w:rsidR="00361C6B" w:rsidRPr="00943AE3" w:rsidRDefault="00361C6B" w:rsidP="00361C6B">
      <w:pPr>
        <w:pStyle w:val="Style"/>
        <w:tabs>
          <w:tab w:val="left" w:pos="-360"/>
          <w:tab w:val="left" w:pos="0"/>
          <w:tab w:val="left" w:pos="270"/>
          <w:tab w:val="left" w:pos="1440"/>
        </w:tabs>
        <w:ind w:firstLine="0"/>
        <w:jc w:val="both"/>
        <w:rPr>
          <w:szCs w:val="24"/>
        </w:rPr>
      </w:pPr>
    </w:p>
    <w:p w:rsidR="00361C6B" w:rsidRPr="00943AE3" w:rsidRDefault="007E3C46" w:rsidP="00361C6B">
      <w:pPr>
        <w:pStyle w:val="Style"/>
        <w:tabs>
          <w:tab w:val="left" w:pos="-360"/>
          <w:tab w:val="left" w:pos="0"/>
          <w:tab w:val="left" w:pos="270"/>
          <w:tab w:val="left" w:pos="1440"/>
        </w:tabs>
        <w:ind w:firstLine="0"/>
        <w:jc w:val="both"/>
        <w:rPr>
          <w:b/>
          <w:szCs w:val="24"/>
        </w:rPr>
      </w:pPr>
      <w:r w:rsidRPr="00943AE3">
        <w:rPr>
          <w:b/>
          <w:szCs w:val="24"/>
        </w:rPr>
        <w:tab/>
      </w:r>
      <w:r w:rsidR="00361C6B" w:rsidRPr="00943AE3">
        <w:rPr>
          <w:b/>
          <w:szCs w:val="24"/>
        </w:rPr>
        <w:t>The request for approval does not cover more than one form.</w:t>
      </w:r>
    </w:p>
    <w:p w:rsidR="00361C6B" w:rsidRPr="00943AE3" w:rsidRDefault="00361C6B" w:rsidP="00361C6B">
      <w:pPr>
        <w:tabs>
          <w:tab w:val="left" w:pos="-360"/>
          <w:tab w:val="left" w:pos="0"/>
          <w:tab w:val="left" w:pos="270"/>
          <w:tab w:val="left" w:pos="1440"/>
        </w:tabs>
        <w:rPr>
          <w:rFonts w:ascii="Times New Roman" w:hAnsi="Times New Roman"/>
          <w:szCs w:val="24"/>
        </w:rPr>
      </w:pPr>
    </w:p>
    <w:p w:rsidR="00361C6B" w:rsidRPr="00943AE3" w:rsidRDefault="00361C6B" w:rsidP="00361C6B">
      <w:pPr>
        <w:pStyle w:val="Style"/>
        <w:numPr>
          <w:ilvl w:val="0"/>
          <w:numId w:val="4"/>
        </w:numPr>
        <w:tabs>
          <w:tab w:val="left" w:pos="-360"/>
          <w:tab w:val="left" w:pos="0"/>
          <w:tab w:val="left" w:pos="270"/>
          <w:tab w:val="left" w:pos="1440"/>
        </w:tabs>
        <w:jc w:val="both"/>
        <w:rPr>
          <w:szCs w:val="24"/>
        </w:rPr>
      </w:pPr>
      <w:r w:rsidRPr="00943AE3">
        <w:rPr>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E3C46" w:rsidRPr="00943AE3" w:rsidRDefault="007E3C46" w:rsidP="007E3C46">
      <w:pPr>
        <w:pStyle w:val="Style"/>
        <w:tabs>
          <w:tab w:val="left" w:pos="-360"/>
          <w:tab w:val="left" w:pos="0"/>
          <w:tab w:val="left" w:pos="270"/>
          <w:tab w:val="left" w:pos="1440"/>
        </w:tabs>
        <w:jc w:val="both"/>
        <w:rPr>
          <w:szCs w:val="24"/>
        </w:rPr>
      </w:pPr>
      <w:r w:rsidRPr="00943AE3">
        <w:rPr>
          <w:szCs w:val="24"/>
        </w:rPr>
        <w:tab/>
      </w:r>
    </w:p>
    <w:p w:rsidR="007E3C46" w:rsidRPr="00943AE3" w:rsidRDefault="007E3C46" w:rsidP="007E3C46">
      <w:pPr>
        <w:pStyle w:val="Style"/>
        <w:tabs>
          <w:tab w:val="left" w:pos="-360"/>
          <w:tab w:val="left" w:pos="0"/>
          <w:tab w:val="left" w:pos="270"/>
          <w:tab w:val="left" w:pos="1440"/>
        </w:tabs>
        <w:ind w:left="1440"/>
        <w:jc w:val="both"/>
        <w:rPr>
          <w:b/>
          <w:szCs w:val="24"/>
        </w:rPr>
      </w:pPr>
      <w:r w:rsidRPr="00943AE3">
        <w:rPr>
          <w:szCs w:val="24"/>
        </w:rPr>
        <w:tab/>
      </w:r>
      <w:r w:rsidRPr="00943AE3">
        <w:rPr>
          <w:b/>
          <w:szCs w:val="24"/>
        </w:rPr>
        <w:t xml:space="preserve">The </w:t>
      </w:r>
      <w:r w:rsidR="00272F9B" w:rsidRPr="00943AE3">
        <w:rPr>
          <w:b/>
          <w:szCs w:val="24"/>
        </w:rPr>
        <w:t xml:space="preserve">table below illustrates the estimates of annualized cost to respondents of the hour burdens for collections of information </w:t>
      </w:r>
      <w:r w:rsidRPr="00943AE3">
        <w:rPr>
          <w:b/>
          <w:szCs w:val="24"/>
        </w:rPr>
        <w:t>based on the GS hourly rates from the OPM Salary Table (2011-DCB).</w:t>
      </w:r>
    </w:p>
    <w:p w:rsidR="007E3C46" w:rsidRPr="00943AE3" w:rsidRDefault="007E3C46" w:rsidP="007E3C46">
      <w:pPr>
        <w:pStyle w:val="Style"/>
        <w:tabs>
          <w:tab w:val="left" w:pos="-360"/>
          <w:tab w:val="left" w:pos="0"/>
          <w:tab w:val="left" w:pos="270"/>
          <w:tab w:val="left" w:pos="1440"/>
        </w:tabs>
        <w:ind w:left="0" w:firstLine="0"/>
        <w:jc w:val="both"/>
        <w:rPr>
          <w:b/>
          <w:szCs w:val="24"/>
        </w:rPr>
      </w:pPr>
    </w:p>
    <w:tbl>
      <w:tblPr>
        <w:tblStyle w:val="TableGrid"/>
        <w:tblW w:w="0" w:type="auto"/>
        <w:tblInd w:w="720" w:type="dxa"/>
        <w:tblLook w:val="04A0" w:firstRow="1" w:lastRow="0" w:firstColumn="1" w:lastColumn="0" w:noHBand="0" w:noVBand="1"/>
      </w:tblPr>
      <w:tblGrid>
        <w:gridCol w:w="723"/>
        <w:gridCol w:w="2266"/>
        <w:gridCol w:w="1496"/>
        <w:gridCol w:w="1456"/>
        <w:gridCol w:w="1458"/>
        <w:gridCol w:w="1457"/>
      </w:tblGrid>
      <w:tr w:rsidR="007E3C46" w:rsidRPr="00943AE3" w:rsidTr="007E3C46">
        <w:tc>
          <w:tcPr>
            <w:tcW w:w="718" w:type="dxa"/>
          </w:tcPr>
          <w:p w:rsidR="007E3C46" w:rsidRPr="00943AE3" w:rsidRDefault="007E3C46" w:rsidP="007E3C46">
            <w:pPr>
              <w:pStyle w:val="Style"/>
              <w:tabs>
                <w:tab w:val="left" w:pos="-360"/>
                <w:tab w:val="left" w:pos="0"/>
                <w:tab w:val="left" w:pos="270"/>
                <w:tab w:val="left" w:pos="1440"/>
              </w:tabs>
              <w:ind w:left="0" w:firstLine="0"/>
              <w:jc w:val="both"/>
              <w:rPr>
                <w:b/>
                <w:szCs w:val="24"/>
              </w:rPr>
            </w:pPr>
          </w:p>
        </w:tc>
        <w:tc>
          <w:tcPr>
            <w:tcW w:w="2282" w:type="dxa"/>
          </w:tcPr>
          <w:p w:rsidR="007E3C46" w:rsidRPr="00943AE3" w:rsidRDefault="007E3C46" w:rsidP="007E3C46">
            <w:pPr>
              <w:pStyle w:val="Style"/>
              <w:tabs>
                <w:tab w:val="left" w:pos="-360"/>
                <w:tab w:val="left" w:pos="0"/>
                <w:tab w:val="left" w:pos="270"/>
                <w:tab w:val="left" w:pos="1440"/>
              </w:tabs>
              <w:ind w:left="0" w:firstLine="0"/>
              <w:jc w:val="center"/>
              <w:rPr>
                <w:b/>
                <w:szCs w:val="24"/>
              </w:rPr>
            </w:pPr>
            <w:r w:rsidRPr="00943AE3">
              <w:rPr>
                <w:b/>
                <w:bCs/>
                <w:szCs w:val="24"/>
              </w:rPr>
              <w:t>Number of Employees</w:t>
            </w:r>
          </w:p>
        </w:tc>
        <w:tc>
          <w:tcPr>
            <w:tcW w:w="1464" w:type="dxa"/>
          </w:tcPr>
          <w:p w:rsidR="007E3C46" w:rsidRPr="00943AE3" w:rsidRDefault="007E3C46" w:rsidP="007E3C46">
            <w:pPr>
              <w:pStyle w:val="Style"/>
              <w:tabs>
                <w:tab w:val="left" w:pos="-360"/>
                <w:tab w:val="left" w:pos="0"/>
                <w:tab w:val="left" w:pos="270"/>
                <w:tab w:val="left" w:pos="1440"/>
              </w:tabs>
              <w:ind w:left="0" w:firstLine="0"/>
              <w:jc w:val="center"/>
              <w:rPr>
                <w:b/>
                <w:szCs w:val="24"/>
              </w:rPr>
            </w:pPr>
            <w:r w:rsidRPr="00943AE3">
              <w:rPr>
                <w:b/>
                <w:bCs/>
                <w:szCs w:val="24"/>
              </w:rPr>
              <w:t>Comparable GS-Grade</w:t>
            </w:r>
          </w:p>
        </w:tc>
        <w:tc>
          <w:tcPr>
            <w:tcW w:w="1464" w:type="dxa"/>
          </w:tcPr>
          <w:p w:rsidR="007E3C46" w:rsidRPr="00943AE3" w:rsidRDefault="007E3C46" w:rsidP="007E3C46">
            <w:pPr>
              <w:pStyle w:val="Style"/>
              <w:tabs>
                <w:tab w:val="left" w:pos="-360"/>
                <w:tab w:val="left" w:pos="0"/>
                <w:tab w:val="left" w:pos="270"/>
                <w:tab w:val="left" w:pos="1440"/>
              </w:tabs>
              <w:ind w:left="0" w:firstLine="0"/>
              <w:jc w:val="center"/>
              <w:rPr>
                <w:b/>
                <w:szCs w:val="24"/>
              </w:rPr>
            </w:pPr>
            <w:r w:rsidRPr="00943AE3">
              <w:rPr>
                <w:b/>
                <w:bCs/>
                <w:szCs w:val="24"/>
              </w:rPr>
              <w:t>Hourly Rate</w:t>
            </w:r>
          </w:p>
        </w:tc>
        <w:tc>
          <w:tcPr>
            <w:tcW w:w="1464" w:type="dxa"/>
          </w:tcPr>
          <w:p w:rsidR="007E3C46" w:rsidRPr="00943AE3" w:rsidRDefault="007E3C46" w:rsidP="007E3C46">
            <w:pPr>
              <w:pStyle w:val="Style"/>
              <w:tabs>
                <w:tab w:val="left" w:pos="-360"/>
                <w:tab w:val="left" w:pos="0"/>
                <w:tab w:val="left" w:pos="270"/>
                <w:tab w:val="left" w:pos="1440"/>
              </w:tabs>
              <w:ind w:left="0" w:firstLine="0"/>
              <w:jc w:val="center"/>
              <w:rPr>
                <w:b/>
                <w:szCs w:val="24"/>
              </w:rPr>
            </w:pPr>
            <w:r w:rsidRPr="00943AE3">
              <w:rPr>
                <w:b/>
                <w:bCs/>
                <w:szCs w:val="24"/>
              </w:rPr>
              <w:t>Number of Hours</w:t>
            </w:r>
          </w:p>
        </w:tc>
        <w:tc>
          <w:tcPr>
            <w:tcW w:w="1464" w:type="dxa"/>
          </w:tcPr>
          <w:p w:rsidR="007E3C46" w:rsidRPr="00943AE3" w:rsidRDefault="007E3C46" w:rsidP="007E3C46">
            <w:pPr>
              <w:pStyle w:val="Style"/>
              <w:tabs>
                <w:tab w:val="left" w:pos="-360"/>
                <w:tab w:val="left" w:pos="0"/>
                <w:tab w:val="left" w:pos="270"/>
                <w:tab w:val="left" w:pos="1440"/>
              </w:tabs>
              <w:ind w:left="0" w:firstLine="0"/>
              <w:jc w:val="center"/>
              <w:rPr>
                <w:b/>
                <w:szCs w:val="24"/>
              </w:rPr>
            </w:pPr>
            <w:r w:rsidRPr="00943AE3">
              <w:rPr>
                <w:b/>
                <w:bCs/>
                <w:szCs w:val="24"/>
              </w:rPr>
              <w:t>Total Cost</w:t>
            </w:r>
          </w:p>
        </w:tc>
      </w:tr>
      <w:tr w:rsidR="007E3C46" w:rsidRPr="00943AE3" w:rsidTr="007E3C46">
        <w:tc>
          <w:tcPr>
            <w:tcW w:w="718" w:type="dxa"/>
          </w:tcPr>
          <w:p w:rsidR="007E3C46" w:rsidRPr="00943AE3" w:rsidRDefault="007E3C46" w:rsidP="007E3C46">
            <w:pPr>
              <w:pStyle w:val="Style"/>
              <w:tabs>
                <w:tab w:val="left" w:pos="-360"/>
                <w:tab w:val="left" w:pos="0"/>
                <w:tab w:val="left" w:pos="270"/>
                <w:tab w:val="left" w:pos="1440"/>
              </w:tabs>
              <w:ind w:left="0" w:firstLine="0"/>
              <w:jc w:val="both"/>
              <w:rPr>
                <w:b/>
                <w:szCs w:val="24"/>
              </w:rPr>
            </w:pPr>
          </w:p>
        </w:tc>
        <w:tc>
          <w:tcPr>
            <w:tcW w:w="2282" w:type="dxa"/>
          </w:tcPr>
          <w:p w:rsidR="007E3C46" w:rsidRPr="00943AE3" w:rsidRDefault="007E3C46" w:rsidP="007E3C46">
            <w:pPr>
              <w:pStyle w:val="Style"/>
              <w:ind w:left="0" w:firstLine="0"/>
              <w:jc w:val="center"/>
              <w:rPr>
                <w:bCs/>
                <w:szCs w:val="24"/>
              </w:rPr>
            </w:pPr>
            <w:r w:rsidRPr="00943AE3">
              <w:rPr>
                <w:bCs/>
                <w:szCs w:val="24"/>
              </w:rPr>
              <w:t>2</w:t>
            </w:r>
          </w:p>
        </w:tc>
        <w:tc>
          <w:tcPr>
            <w:tcW w:w="1464" w:type="dxa"/>
          </w:tcPr>
          <w:p w:rsidR="007E3C46" w:rsidRPr="00943AE3" w:rsidRDefault="007E3C46" w:rsidP="007E3C46">
            <w:pPr>
              <w:pStyle w:val="Style"/>
              <w:ind w:left="0" w:firstLine="0"/>
              <w:jc w:val="center"/>
              <w:rPr>
                <w:bCs/>
                <w:szCs w:val="24"/>
              </w:rPr>
            </w:pPr>
            <w:r w:rsidRPr="00943AE3">
              <w:rPr>
                <w:bCs/>
                <w:szCs w:val="24"/>
              </w:rPr>
              <w:t>GS-15</w:t>
            </w:r>
          </w:p>
        </w:tc>
        <w:tc>
          <w:tcPr>
            <w:tcW w:w="1464" w:type="dxa"/>
          </w:tcPr>
          <w:p w:rsidR="007E3C46" w:rsidRPr="00943AE3" w:rsidRDefault="007E3C46" w:rsidP="007E3C46">
            <w:pPr>
              <w:pStyle w:val="Style"/>
              <w:ind w:left="0" w:firstLine="0"/>
              <w:jc w:val="center"/>
              <w:rPr>
                <w:bCs/>
                <w:szCs w:val="24"/>
              </w:rPr>
            </w:pPr>
            <w:r w:rsidRPr="00943AE3">
              <w:rPr>
                <w:bCs/>
                <w:szCs w:val="24"/>
              </w:rPr>
              <w:t>$59.30</w:t>
            </w:r>
          </w:p>
        </w:tc>
        <w:tc>
          <w:tcPr>
            <w:tcW w:w="1464" w:type="dxa"/>
          </w:tcPr>
          <w:p w:rsidR="007E3C46" w:rsidRPr="00943AE3" w:rsidRDefault="007E3C46" w:rsidP="007E3C46">
            <w:pPr>
              <w:pStyle w:val="Style"/>
              <w:ind w:left="0" w:firstLine="0"/>
              <w:jc w:val="center"/>
              <w:rPr>
                <w:bCs/>
                <w:szCs w:val="24"/>
              </w:rPr>
            </w:pPr>
            <w:r w:rsidRPr="00943AE3">
              <w:rPr>
                <w:bCs/>
                <w:szCs w:val="24"/>
              </w:rPr>
              <w:t>121</w:t>
            </w:r>
          </w:p>
        </w:tc>
        <w:tc>
          <w:tcPr>
            <w:tcW w:w="1464" w:type="dxa"/>
          </w:tcPr>
          <w:p w:rsidR="007E3C46" w:rsidRPr="00943AE3" w:rsidRDefault="007E3C46" w:rsidP="007E3C46">
            <w:pPr>
              <w:pStyle w:val="Style"/>
              <w:ind w:left="0" w:firstLine="0"/>
              <w:jc w:val="center"/>
              <w:rPr>
                <w:bCs/>
                <w:szCs w:val="24"/>
              </w:rPr>
            </w:pPr>
            <w:r w:rsidRPr="00943AE3">
              <w:rPr>
                <w:bCs/>
                <w:szCs w:val="24"/>
              </w:rPr>
              <w:t>$14,351</w:t>
            </w:r>
          </w:p>
        </w:tc>
      </w:tr>
      <w:tr w:rsidR="007E3C46" w:rsidRPr="00943AE3" w:rsidTr="007E3C46">
        <w:tc>
          <w:tcPr>
            <w:tcW w:w="718" w:type="dxa"/>
          </w:tcPr>
          <w:p w:rsidR="007E3C46" w:rsidRPr="00943AE3" w:rsidRDefault="007E3C46" w:rsidP="007E3C46">
            <w:pPr>
              <w:pStyle w:val="Style"/>
              <w:tabs>
                <w:tab w:val="left" w:pos="-360"/>
                <w:tab w:val="left" w:pos="0"/>
                <w:tab w:val="left" w:pos="270"/>
                <w:tab w:val="left" w:pos="1440"/>
              </w:tabs>
              <w:ind w:left="0" w:firstLine="0"/>
              <w:jc w:val="both"/>
              <w:rPr>
                <w:b/>
                <w:szCs w:val="24"/>
              </w:rPr>
            </w:pPr>
          </w:p>
        </w:tc>
        <w:tc>
          <w:tcPr>
            <w:tcW w:w="2282" w:type="dxa"/>
          </w:tcPr>
          <w:p w:rsidR="007E3C46" w:rsidRPr="00943AE3" w:rsidRDefault="007E3C46" w:rsidP="007E3C46">
            <w:pPr>
              <w:pStyle w:val="Style"/>
              <w:ind w:left="0" w:firstLine="0"/>
              <w:jc w:val="center"/>
              <w:rPr>
                <w:bCs/>
                <w:szCs w:val="24"/>
              </w:rPr>
            </w:pPr>
            <w:r w:rsidRPr="00943AE3">
              <w:rPr>
                <w:bCs/>
                <w:szCs w:val="24"/>
              </w:rPr>
              <w:t>4</w:t>
            </w:r>
          </w:p>
        </w:tc>
        <w:tc>
          <w:tcPr>
            <w:tcW w:w="1464" w:type="dxa"/>
          </w:tcPr>
          <w:p w:rsidR="007E3C46" w:rsidRPr="00943AE3" w:rsidRDefault="007E3C46" w:rsidP="007E3C46">
            <w:pPr>
              <w:pStyle w:val="Style"/>
              <w:ind w:left="0" w:firstLine="0"/>
              <w:jc w:val="center"/>
              <w:rPr>
                <w:bCs/>
                <w:szCs w:val="24"/>
              </w:rPr>
            </w:pPr>
            <w:r w:rsidRPr="00943AE3">
              <w:rPr>
                <w:bCs/>
                <w:szCs w:val="24"/>
              </w:rPr>
              <w:t>GS-12</w:t>
            </w:r>
          </w:p>
        </w:tc>
        <w:tc>
          <w:tcPr>
            <w:tcW w:w="1464" w:type="dxa"/>
          </w:tcPr>
          <w:p w:rsidR="007E3C46" w:rsidRPr="00943AE3" w:rsidRDefault="007E3C46" w:rsidP="007E3C46">
            <w:pPr>
              <w:pStyle w:val="Style"/>
              <w:ind w:left="0" w:firstLine="0"/>
              <w:jc w:val="center"/>
              <w:rPr>
                <w:bCs/>
                <w:szCs w:val="24"/>
              </w:rPr>
            </w:pPr>
            <w:r w:rsidRPr="00943AE3">
              <w:rPr>
                <w:bCs/>
                <w:szCs w:val="24"/>
              </w:rPr>
              <w:t>$35.88</w:t>
            </w:r>
          </w:p>
        </w:tc>
        <w:tc>
          <w:tcPr>
            <w:tcW w:w="1464" w:type="dxa"/>
          </w:tcPr>
          <w:p w:rsidR="007E3C46" w:rsidRPr="00943AE3" w:rsidRDefault="007E3C46" w:rsidP="007E3C46">
            <w:pPr>
              <w:pStyle w:val="Style"/>
              <w:ind w:left="0" w:firstLine="0"/>
              <w:jc w:val="center"/>
              <w:rPr>
                <w:bCs/>
                <w:szCs w:val="24"/>
              </w:rPr>
            </w:pPr>
            <w:r w:rsidRPr="00943AE3">
              <w:rPr>
                <w:bCs/>
                <w:szCs w:val="24"/>
              </w:rPr>
              <w:t>40</w:t>
            </w:r>
          </w:p>
        </w:tc>
        <w:tc>
          <w:tcPr>
            <w:tcW w:w="1464" w:type="dxa"/>
          </w:tcPr>
          <w:p w:rsidR="007E3C46" w:rsidRPr="00943AE3" w:rsidRDefault="007E3C46" w:rsidP="007E3C46">
            <w:pPr>
              <w:pStyle w:val="Style"/>
              <w:ind w:left="0" w:firstLine="0"/>
              <w:jc w:val="center"/>
              <w:rPr>
                <w:bCs/>
                <w:szCs w:val="24"/>
              </w:rPr>
            </w:pPr>
            <w:r w:rsidRPr="00943AE3">
              <w:rPr>
                <w:bCs/>
                <w:szCs w:val="24"/>
              </w:rPr>
              <w:t>$5,741</w:t>
            </w:r>
          </w:p>
        </w:tc>
      </w:tr>
      <w:tr w:rsidR="007E3C46" w:rsidRPr="00943AE3" w:rsidTr="007E3C46">
        <w:tc>
          <w:tcPr>
            <w:tcW w:w="718" w:type="dxa"/>
          </w:tcPr>
          <w:p w:rsidR="007E3C46" w:rsidRPr="00943AE3" w:rsidRDefault="007E3C46" w:rsidP="007E3C46">
            <w:pPr>
              <w:pStyle w:val="Style"/>
              <w:tabs>
                <w:tab w:val="left" w:pos="-360"/>
                <w:tab w:val="left" w:pos="0"/>
                <w:tab w:val="left" w:pos="270"/>
                <w:tab w:val="left" w:pos="1440"/>
              </w:tabs>
              <w:ind w:left="0" w:firstLine="0"/>
              <w:jc w:val="both"/>
              <w:rPr>
                <w:b/>
                <w:szCs w:val="24"/>
              </w:rPr>
            </w:pPr>
          </w:p>
        </w:tc>
        <w:tc>
          <w:tcPr>
            <w:tcW w:w="2282" w:type="dxa"/>
          </w:tcPr>
          <w:p w:rsidR="007E3C46" w:rsidRPr="00943AE3" w:rsidRDefault="007E3C46" w:rsidP="007E3C46">
            <w:pPr>
              <w:pStyle w:val="Style"/>
              <w:ind w:left="0" w:firstLine="0"/>
              <w:jc w:val="center"/>
              <w:rPr>
                <w:bCs/>
                <w:szCs w:val="24"/>
              </w:rPr>
            </w:pPr>
            <w:r w:rsidRPr="00943AE3">
              <w:rPr>
                <w:bCs/>
                <w:szCs w:val="24"/>
              </w:rPr>
              <w:t>1</w:t>
            </w:r>
          </w:p>
        </w:tc>
        <w:tc>
          <w:tcPr>
            <w:tcW w:w="1464" w:type="dxa"/>
          </w:tcPr>
          <w:p w:rsidR="007E3C46" w:rsidRPr="00943AE3" w:rsidRDefault="007E3C46" w:rsidP="007E3C46">
            <w:pPr>
              <w:pStyle w:val="Style"/>
              <w:ind w:left="0" w:firstLine="0"/>
              <w:jc w:val="center"/>
              <w:rPr>
                <w:bCs/>
                <w:szCs w:val="24"/>
              </w:rPr>
            </w:pPr>
            <w:r w:rsidRPr="00943AE3">
              <w:rPr>
                <w:bCs/>
                <w:szCs w:val="24"/>
              </w:rPr>
              <w:t>GS-7</w:t>
            </w:r>
          </w:p>
        </w:tc>
        <w:tc>
          <w:tcPr>
            <w:tcW w:w="1464" w:type="dxa"/>
          </w:tcPr>
          <w:p w:rsidR="007E3C46" w:rsidRPr="00943AE3" w:rsidRDefault="007E3C46" w:rsidP="007E3C46">
            <w:pPr>
              <w:pStyle w:val="Style"/>
              <w:ind w:left="0" w:firstLine="0"/>
              <w:jc w:val="center"/>
              <w:rPr>
                <w:bCs/>
                <w:szCs w:val="24"/>
              </w:rPr>
            </w:pPr>
            <w:r w:rsidRPr="00943AE3">
              <w:rPr>
                <w:bCs/>
                <w:szCs w:val="24"/>
              </w:rPr>
              <w:t>$20.22</w:t>
            </w:r>
          </w:p>
        </w:tc>
        <w:tc>
          <w:tcPr>
            <w:tcW w:w="1464" w:type="dxa"/>
          </w:tcPr>
          <w:p w:rsidR="007E3C46" w:rsidRPr="00943AE3" w:rsidRDefault="007E3C46" w:rsidP="007E3C46">
            <w:pPr>
              <w:pStyle w:val="Style"/>
              <w:ind w:left="0" w:firstLine="0"/>
              <w:jc w:val="center"/>
              <w:rPr>
                <w:bCs/>
                <w:szCs w:val="24"/>
              </w:rPr>
            </w:pPr>
            <w:r w:rsidRPr="00943AE3">
              <w:rPr>
                <w:bCs/>
                <w:szCs w:val="24"/>
              </w:rPr>
              <w:t>15</w:t>
            </w:r>
          </w:p>
        </w:tc>
        <w:tc>
          <w:tcPr>
            <w:tcW w:w="1464" w:type="dxa"/>
          </w:tcPr>
          <w:p w:rsidR="007E3C46" w:rsidRPr="00943AE3" w:rsidRDefault="007E3C46" w:rsidP="007E3C46">
            <w:pPr>
              <w:pStyle w:val="Style"/>
              <w:ind w:left="0" w:firstLine="0"/>
              <w:jc w:val="center"/>
              <w:rPr>
                <w:bCs/>
                <w:szCs w:val="24"/>
              </w:rPr>
            </w:pPr>
            <w:r w:rsidRPr="00943AE3">
              <w:rPr>
                <w:bCs/>
                <w:szCs w:val="24"/>
              </w:rPr>
              <w:t>$303</w:t>
            </w:r>
          </w:p>
        </w:tc>
      </w:tr>
      <w:tr w:rsidR="007E3C46" w:rsidRPr="00943AE3" w:rsidTr="007E3C46">
        <w:tc>
          <w:tcPr>
            <w:tcW w:w="718" w:type="dxa"/>
          </w:tcPr>
          <w:p w:rsidR="007E3C46" w:rsidRPr="00943AE3" w:rsidRDefault="007E3C46" w:rsidP="007E3C46">
            <w:pPr>
              <w:pStyle w:val="Style"/>
              <w:tabs>
                <w:tab w:val="left" w:pos="-360"/>
                <w:tab w:val="left" w:pos="0"/>
                <w:tab w:val="left" w:pos="270"/>
                <w:tab w:val="left" w:pos="1440"/>
              </w:tabs>
              <w:ind w:left="0" w:firstLine="0"/>
              <w:jc w:val="both"/>
              <w:rPr>
                <w:szCs w:val="24"/>
              </w:rPr>
            </w:pPr>
            <w:r w:rsidRPr="00943AE3">
              <w:rPr>
                <w:bCs/>
                <w:szCs w:val="24"/>
              </w:rPr>
              <w:t>Total</w:t>
            </w:r>
          </w:p>
        </w:tc>
        <w:tc>
          <w:tcPr>
            <w:tcW w:w="2282" w:type="dxa"/>
          </w:tcPr>
          <w:p w:rsidR="007E3C46" w:rsidRPr="00943AE3" w:rsidRDefault="007E3C46" w:rsidP="007E3C46">
            <w:pPr>
              <w:pStyle w:val="Style"/>
              <w:ind w:left="0" w:firstLine="0"/>
              <w:jc w:val="center"/>
              <w:rPr>
                <w:bCs/>
                <w:szCs w:val="24"/>
              </w:rPr>
            </w:pPr>
            <w:r w:rsidRPr="00943AE3">
              <w:rPr>
                <w:bCs/>
                <w:szCs w:val="24"/>
              </w:rPr>
              <w:t>7</w:t>
            </w:r>
          </w:p>
        </w:tc>
        <w:tc>
          <w:tcPr>
            <w:tcW w:w="1464" w:type="dxa"/>
          </w:tcPr>
          <w:p w:rsidR="007E3C46" w:rsidRPr="00943AE3" w:rsidRDefault="007E3C46" w:rsidP="007E3C46">
            <w:pPr>
              <w:pStyle w:val="Style"/>
              <w:ind w:left="0" w:firstLine="0"/>
              <w:jc w:val="center"/>
              <w:rPr>
                <w:bCs/>
                <w:szCs w:val="24"/>
              </w:rPr>
            </w:pPr>
          </w:p>
        </w:tc>
        <w:tc>
          <w:tcPr>
            <w:tcW w:w="1464" w:type="dxa"/>
          </w:tcPr>
          <w:p w:rsidR="007E3C46" w:rsidRPr="00943AE3" w:rsidRDefault="007E3C46" w:rsidP="007E3C46">
            <w:pPr>
              <w:pStyle w:val="Style"/>
              <w:ind w:left="0" w:firstLine="0"/>
              <w:jc w:val="center"/>
              <w:rPr>
                <w:bCs/>
                <w:szCs w:val="24"/>
              </w:rPr>
            </w:pPr>
          </w:p>
        </w:tc>
        <w:tc>
          <w:tcPr>
            <w:tcW w:w="1464" w:type="dxa"/>
          </w:tcPr>
          <w:p w:rsidR="007E3C46" w:rsidRPr="00943AE3" w:rsidRDefault="007E3C46" w:rsidP="007E3C46">
            <w:pPr>
              <w:pStyle w:val="Style"/>
              <w:ind w:left="0" w:firstLine="0"/>
              <w:jc w:val="center"/>
              <w:rPr>
                <w:bCs/>
                <w:szCs w:val="24"/>
              </w:rPr>
            </w:pPr>
            <w:r w:rsidRPr="00943AE3">
              <w:rPr>
                <w:bCs/>
                <w:szCs w:val="24"/>
              </w:rPr>
              <w:t>176</w:t>
            </w:r>
          </w:p>
        </w:tc>
        <w:tc>
          <w:tcPr>
            <w:tcW w:w="1464" w:type="dxa"/>
          </w:tcPr>
          <w:p w:rsidR="007E3C46" w:rsidRPr="00943AE3" w:rsidRDefault="007E3C46" w:rsidP="007E3C46">
            <w:pPr>
              <w:pStyle w:val="Style"/>
              <w:ind w:left="0" w:firstLine="0"/>
              <w:jc w:val="center"/>
              <w:rPr>
                <w:bCs/>
                <w:szCs w:val="24"/>
              </w:rPr>
            </w:pPr>
            <w:r w:rsidRPr="00943AE3">
              <w:rPr>
                <w:bCs/>
                <w:szCs w:val="24"/>
              </w:rPr>
              <w:t>$20,395</w:t>
            </w:r>
          </w:p>
        </w:tc>
      </w:tr>
    </w:tbl>
    <w:p w:rsidR="00361C6B" w:rsidRPr="00943AE3" w:rsidRDefault="00361C6B" w:rsidP="00DD7D86">
      <w:pPr>
        <w:pStyle w:val="Style"/>
        <w:tabs>
          <w:tab w:val="left" w:pos="-360"/>
          <w:tab w:val="left" w:pos="0"/>
          <w:tab w:val="left" w:pos="270"/>
          <w:tab w:val="left" w:pos="1440"/>
        </w:tabs>
        <w:ind w:left="0" w:firstLine="0"/>
        <w:jc w:val="both"/>
        <w:rPr>
          <w:b/>
          <w:szCs w:val="24"/>
        </w:rPr>
      </w:pPr>
    </w:p>
    <w:p w:rsidR="00361C6B" w:rsidRPr="00943AE3" w:rsidRDefault="00361C6B" w:rsidP="00361C6B">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13. Provide an estimate of the total annual cost burden to respondents or record keepers resulting from the collection of information.  (Do not include the cost of any hour burden shown in Items 12 and 14.)</w:t>
      </w:r>
    </w:p>
    <w:p w:rsidR="00361C6B" w:rsidRPr="00943AE3" w:rsidRDefault="00361C6B" w:rsidP="00361C6B">
      <w:pPr>
        <w:tabs>
          <w:tab w:val="left" w:pos="-360"/>
          <w:tab w:val="left" w:pos="0"/>
          <w:tab w:val="left" w:pos="270"/>
          <w:tab w:val="left" w:pos="1440"/>
        </w:tabs>
        <w:rPr>
          <w:rFonts w:ascii="Times New Roman" w:hAnsi="Times New Roman"/>
          <w:szCs w:val="24"/>
        </w:rPr>
      </w:pPr>
    </w:p>
    <w:p w:rsidR="00361C6B" w:rsidRPr="00943AE3" w:rsidRDefault="00361C6B" w:rsidP="00361C6B">
      <w:pPr>
        <w:pStyle w:val="Style"/>
        <w:numPr>
          <w:ilvl w:val="0"/>
          <w:numId w:val="9"/>
        </w:numPr>
        <w:tabs>
          <w:tab w:val="left" w:pos="-360"/>
          <w:tab w:val="left" w:pos="0"/>
          <w:tab w:val="left" w:pos="270"/>
          <w:tab w:val="left" w:pos="1440"/>
        </w:tabs>
        <w:jc w:val="both"/>
        <w:rPr>
          <w:szCs w:val="24"/>
        </w:rPr>
      </w:pPr>
      <w:r w:rsidRPr="00943AE3">
        <w:rPr>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1C6B" w:rsidRPr="00943AE3" w:rsidRDefault="00361C6B" w:rsidP="00361C6B">
      <w:pPr>
        <w:tabs>
          <w:tab w:val="left" w:pos="-360"/>
          <w:tab w:val="left" w:pos="0"/>
          <w:tab w:val="left" w:pos="270"/>
          <w:tab w:val="left" w:pos="1440"/>
        </w:tabs>
        <w:rPr>
          <w:rFonts w:ascii="Times New Roman" w:hAnsi="Times New Roman"/>
          <w:szCs w:val="24"/>
        </w:rPr>
      </w:pPr>
    </w:p>
    <w:p w:rsidR="00361C6B" w:rsidRPr="00943AE3" w:rsidRDefault="00361C6B" w:rsidP="00361C6B">
      <w:pPr>
        <w:pStyle w:val="Style"/>
        <w:numPr>
          <w:ilvl w:val="0"/>
          <w:numId w:val="9"/>
        </w:numPr>
        <w:tabs>
          <w:tab w:val="left" w:pos="-360"/>
          <w:tab w:val="left" w:pos="0"/>
          <w:tab w:val="left" w:pos="270"/>
          <w:tab w:val="left" w:pos="1440"/>
        </w:tabs>
        <w:jc w:val="both"/>
        <w:rPr>
          <w:szCs w:val="24"/>
        </w:rPr>
      </w:pPr>
      <w:r w:rsidRPr="00943AE3">
        <w:rPr>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1C6B" w:rsidRPr="00943AE3" w:rsidRDefault="00361C6B" w:rsidP="00772DD5">
      <w:pPr>
        <w:tabs>
          <w:tab w:val="left" w:pos="-360"/>
          <w:tab w:val="left" w:pos="0"/>
          <w:tab w:val="left" w:pos="270"/>
          <w:tab w:val="left" w:pos="1440"/>
        </w:tabs>
        <w:rPr>
          <w:rFonts w:ascii="Times New Roman" w:hAnsi="Times New Roman"/>
          <w:szCs w:val="24"/>
        </w:rPr>
      </w:pPr>
    </w:p>
    <w:p w:rsidR="00361C6B" w:rsidRPr="00943AE3" w:rsidRDefault="00361C6B" w:rsidP="00361C6B">
      <w:pPr>
        <w:pStyle w:val="Style"/>
        <w:numPr>
          <w:ilvl w:val="0"/>
          <w:numId w:val="9"/>
        </w:numPr>
        <w:tabs>
          <w:tab w:val="left" w:pos="-360"/>
          <w:tab w:val="left" w:pos="0"/>
          <w:tab w:val="left" w:pos="270"/>
          <w:tab w:val="left" w:pos="1440"/>
        </w:tabs>
        <w:jc w:val="both"/>
        <w:rPr>
          <w:szCs w:val="24"/>
        </w:rPr>
      </w:pPr>
      <w:r w:rsidRPr="00943AE3">
        <w:rPr>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61C6B" w:rsidRPr="00943AE3" w:rsidRDefault="00772DD5" w:rsidP="00772DD5">
      <w:pPr>
        <w:tabs>
          <w:tab w:val="left" w:pos="-360"/>
          <w:tab w:val="left" w:pos="0"/>
          <w:tab w:val="left" w:pos="2743"/>
        </w:tabs>
        <w:rPr>
          <w:rFonts w:ascii="Times New Roman" w:hAnsi="Times New Roman"/>
          <w:szCs w:val="24"/>
        </w:rPr>
      </w:pPr>
      <w:r>
        <w:rPr>
          <w:rFonts w:ascii="Times New Roman" w:hAnsi="Times New Roman"/>
          <w:szCs w:val="24"/>
        </w:rPr>
        <w:tab/>
      </w:r>
    </w:p>
    <w:p w:rsidR="00361C6B" w:rsidRPr="00943AE3" w:rsidRDefault="00361C6B" w:rsidP="00361C6B">
      <w:pPr>
        <w:ind w:left="720"/>
        <w:rPr>
          <w:rFonts w:ascii="Times New Roman" w:hAnsi="Times New Roman"/>
          <w:b/>
          <w:szCs w:val="24"/>
        </w:rPr>
      </w:pPr>
      <w:r w:rsidRPr="00943AE3">
        <w:rPr>
          <w:rFonts w:ascii="Times New Roman" w:hAnsi="Times New Roman"/>
          <w:b/>
          <w:szCs w:val="24"/>
        </w:rPr>
        <w:t>There are no costs that (a) meet the criteria for inclusion under this item; and (b) have not been addressed in either item #12 or item #14.</w:t>
      </w:r>
    </w:p>
    <w:p w:rsidR="00361C6B" w:rsidRPr="00943AE3" w:rsidRDefault="00361C6B" w:rsidP="00361C6B">
      <w:pPr>
        <w:ind w:left="720"/>
        <w:rPr>
          <w:rFonts w:ascii="Times New Roman" w:hAnsi="Times New Roman"/>
          <w:b/>
          <w:szCs w:val="24"/>
        </w:rPr>
      </w:pPr>
    </w:p>
    <w:p w:rsidR="00361C6B" w:rsidRPr="00943AE3" w:rsidRDefault="00361C6B" w:rsidP="00361C6B">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E3C46" w:rsidRPr="00943AE3" w:rsidRDefault="007E3C46" w:rsidP="00361C6B">
      <w:pPr>
        <w:tabs>
          <w:tab w:val="left" w:pos="-360"/>
          <w:tab w:val="left" w:pos="0"/>
          <w:tab w:val="left" w:pos="270"/>
          <w:tab w:val="left" w:pos="1440"/>
        </w:tabs>
        <w:jc w:val="both"/>
        <w:rPr>
          <w:rFonts w:ascii="Times New Roman" w:hAnsi="Times New Roman"/>
          <w:szCs w:val="24"/>
        </w:rPr>
      </w:pPr>
    </w:p>
    <w:p w:rsidR="000905F2" w:rsidRPr="00943AE3" w:rsidRDefault="00272F9B" w:rsidP="00943AE3">
      <w:pPr>
        <w:tabs>
          <w:tab w:val="left" w:pos="-360"/>
          <w:tab w:val="left" w:pos="0"/>
          <w:tab w:val="left" w:pos="270"/>
          <w:tab w:val="left" w:pos="1440"/>
        </w:tabs>
        <w:ind w:left="720"/>
        <w:jc w:val="both"/>
        <w:rPr>
          <w:rFonts w:ascii="Times New Roman" w:hAnsi="Times New Roman"/>
          <w:b/>
          <w:szCs w:val="24"/>
        </w:rPr>
      </w:pPr>
      <w:r w:rsidRPr="00943AE3">
        <w:rPr>
          <w:rFonts w:ascii="Times New Roman" w:hAnsi="Times New Roman"/>
          <w:b/>
          <w:szCs w:val="24"/>
        </w:rPr>
        <w:t xml:space="preserve">The table below illustrates the estimates of annualized cost to the Federal government. </w:t>
      </w:r>
      <w:r w:rsidR="00F72889">
        <w:rPr>
          <w:rFonts w:ascii="Times New Roman" w:hAnsi="Times New Roman"/>
          <w:b/>
          <w:szCs w:val="24"/>
        </w:rPr>
        <w:t xml:space="preserve"> A d</w:t>
      </w:r>
      <w:r w:rsidRPr="00943AE3">
        <w:rPr>
          <w:rFonts w:ascii="Times New Roman" w:hAnsi="Times New Roman"/>
          <w:b/>
          <w:szCs w:val="24"/>
        </w:rPr>
        <w:t xml:space="preserve">escription </w:t>
      </w:r>
      <w:r w:rsidR="007E3C46" w:rsidRPr="00943AE3">
        <w:rPr>
          <w:rFonts w:ascii="Times New Roman" w:hAnsi="Times New Roman"/>
          <w:b/>
          <w:szCs w:val="24"/>
        </w:rPr>
        <w:t xml:space="preserve">of the method used to estimate cost is included below </w:t>
      </w:r>
      <w:r w:rsidR="005A4690" w:rsidRPr="00943AE3">
        <w:rPr>
          <w:rFonts w:ascii="Times New Roman" w:hAnsi="Times New Roman"/>
          <w:b/>
          <w:szCs w:val="24"/>
        </w:rPr>
        <w:t xml:space="preserve">the </w:t>
      </w:r>
      <w:r w:rsidR="005A4690" w:rsidRPr="00943AE3">
        <w:rPr>
          <w:rFonts w:ascii="Times New Roman" w:hAnsi="Times New Roman"/>
          <w:b/>
          <w:szCs w:val="24"/>
        </w:rPr>
        <w:lastRenderedPageBreak/>
        <w:t xml:space="preserve">related </w:t>
      </w:r>
      <w:r w:rsidR="007E3C46" w:rsidRPr="00943AE3">
        <w:rPr>
          <w:rFonts w:ascii="Times New Roman" w:hAnsi="Times New Roman"/>
          <w:b/>
          <w:szCs w:val="24"/>
        </w:rPr>
        <w:t xml:space="preserve">table. </w:t>
      </w:r>
      <w:r w:rsidR="00F72889">
        <w:rPr>
          <w:rFonts w:ascii="Times New Roman" w:hAnsi="Times New Roman"/>
          <w:b/>
          <w:szCs w:val="24"/>
        </w:rPr>
        <w:t xml:space="preserve"> </w:t>
      </w:r>
      <w:r w:rsidR="000905F2" w:rsidRPr="00943AE3">
        <w:rPr>
          <w:rFonts w:ascii="Times New Roman" w:hAnsi="Times New Roman"/>
          <w:b/>
          <w:szCs w:val="24"/>
        </w:rPr>
        <w:t xml:space="preserve">The </w:t>
      </w:r>
      <w:r w:rsidRPr="00943AE3">
        <w:rPr>
          <w:rFonts w:ascii="Times New Roman" w:hAnsi="Times New Roman"/>
          <w:b/>
          <w:szCs w:val="24"/>
        </w:rPr>
        <w:t xml:space="preserve">estimate of the </w:t>
      </w:r>
      <w:r w:rsidR="000905F2" w:rsidRPr="00943AE3">
        <w:rPr>
          <w:rFonts w:ascii="Times New Roman" w:hAnsi="Times New Roman"/>
          <w:b/>
          <w:szCs w:val="24"/>
        </w:rPr>
        <w:t xml:space="preserve">annualized cost to the Federal government </w:t>
      </w:r>
      <w:r w:rsidR="00BB4554" w:rsidRPr="00943AE3">
        <w:rPr>
          <w:rFonts w:ascii="Times New Roman" w:hAnsi="Times New Roman"/>
          <w:b/>
          <w:szCs w:val="24"/>
        </w:rPr>
        <w:t>is $238,954.</w:t>
      </w:r>
    </w:p>
    <w:p w:rsidR="000905F2" w:rsidRPr="00943AE3" w:rsidRDefault="000905F2" w:rsidP="007E3C46">
      <w:pPr>
        <w:rPr>
          <w:rFonts w:ascii="Times New Roman" w:hAnsi="Times New Roman"/>
          <w:szCs w:val="24"/>
        </w:rPr>
      </w:pPr>
    </w:p>
    <w:tbl>
      <w:tblPr>
        <w:tblStyle w:val="TableGrid"/>
        <w:tblW w:w="0" w:type="auto"/>
        <w:tblLook w:val="04A0" w:firstRow="1" w:lastRow="0" w:firstColumn="1" w:lastColumn="0" w:noHBand="0" w:noVBand="1"/>
      </w:tblPr>
      <w:tblGrid>
        <w:gridCol w:w="9576"/>
      </w:tblGrid>
      <w:tr w:rsidR="007E3C46" w:rsidRPr="00943AE3" w:rsidTr="007E3C46">
        <w:tc>
          <w:tcPr>
            <w:tcW w:w="9576" w:type="dxa"/>
          </w:tcPr>
          <w:p w:rsidR="005A4690" w:rsidRPr="00943AE3" w:rsidRDefault="005A4690" w:rsidP="005A4690">
            <w:pPr>
              <w:jc w:val="center"/>
              <w:rPr>
                <w:rFonts w:ascii="Times New Roman" w:hAnsi="Times New Roman"/>
                <w:b/>
                <w:szCs w:val="24"/>
              </w:rPr>
            </w:pPr>
          </w:p>
          <w:p w:rsidR="007E3C46" w:rsidRPr="00943AE3" w:rsidRDefault="005A4690" w:rsidP="005A4690">
            <w:pPr>
              <w:jc w:val="center"/>
              <w:rPr>
                <w:rFonts w:ascii="Times New Roman" w:hAnsi="Times New Roman"/>
                <w:b/>
                <w:szCs w:val="24"/>
                <w:u w:val="single"/>
              </w:rPr>
            </w:pPr>
            <w:r w:rsidRPr="00943AE3">
              <w:rPr>
                <w:rFonts w:ascii="Times New Roman" w:hAnsi="Times New Roman"/>
                <w:b/>
                <w:szCs w:val="24"/>
                <w:u w:val="single"/>
              </w:rPr>
              <w:t xml:space="preserve">ED </w:t>
            </w:r>
            <w:r w:rsidR="007E3C46" w:rsidRPr="00943AE3">
              <w:rPr>
                <w:rFonts w:ascii="Times New Roman" w:hAnsi="Times New Roman"/>
                <w:b/>
                <w:szCs w:val="24"/>
                <w:u w:val="single"/>
              </w:rPr>
              <w:t>Staff Time to update application and prepare clearance package</w:t>
            </w:r>
          </w:p>
          <w:p w:rsidR="007E3C46" w:rsidRPr="00943AE3" w:rsidRDefault="007E3C46" w:rsidP="007E3C46">
            <w:pPr>
              <w:rPr>
                <w:rFonts w:ascii="Times New Roman" w:hAnsi="Times New Roman"/>
                <w:szCs w:val="24"/>
              </w:rPr>
            </w:pPr>
          </w:p>
          <w:tbl>
            <w:tblPr>
              <w:tblStyle w:val="TableGrid"/>
              <w:tblW w:w="8992" w:type="dxa"/>
              <w:tblLook w:val="04A0" w:firstRow="1" w:lastRow="0" w:firstColumn="1" w:lastColumn="0" w:noHBand="0" w:noVBand="1"/>
            </w:tblPr>
            <w:tblGrid>
              <w:gridCol w:w="956"/>
              <w:gridCol w:w="1856"/>
              <w:gridCol w:w="2099"/>
              <w:gridCol w:w="1333"/>
              <w:gridCol w:w="1501"/>
              <w:gridCol w:w="1247"/>
            </w:tblGrid>
            <w:tr w:rsidR="007E3C46" w:rsidRPr="00943AE3" w:rsidTr="007E3C46">
              <w:trPr>
                <w:trHeight w:val="272"/>
              </w:trPr>
              <w:tc>
                <w:tcPr>
                  <w:tcW w:w="956" w:type="dxa"/>
                </w:tcPr>
                <w:p w:rsidR="007E3C46" w:rsidRPr="00943AE3" w:rsidRDefault="007E3C46" w:rsidP="007E3C46">
                  <w:pPr>
                    <w:rPr>
                      <w:rFonts w:ascii="Times New Roman" w:hAnsi="Times New Roman"/>
                      <w:szCs w:val="24"/>
                    </w:rPr>
                  </w:pPr>
                </w:p>
              </w:tc>
              <w:tc>
                <w:tcPr>
                  <w:tcW w:w="1856" w:type="dxa"/>
                </w:tcPr>
                <w:p w:rsidR="007E3C46" w:rsidRPr="00943AE3" w:rsidRDefault="007E3C46" w:rsidP="007E3C46">
                  <w:pPr>
                    <w:pStyle w:val="Style"/>
                    <w:ind w:left="0" w:firstLine="0"/>
                    <w:jc w:val="center"/>
                    <w:rPr>
                      <w:b/>
                      <w:bCs/>
                      <w:szCs w:val="24"/>
                    </w:rPr>
                  </w:pPr>
                  <w:r w:rsidRPr="00943AE3">
                    <w:rPr>
                      <w:b/>
                      <w:bCs/>
                      <w:szCs w:val="24"/>
                    </w:rPr>
                    <w:t>Number of Employees</w:t>
                  </w:r>
                </w:p>
              </w:tc>
              <w:tc>
                <w:tcPr>
                  <w:tcW w:w="2099" w:type="dxa"/>
                </w:tcPr>
                <w:p w:rsidR="007E3C46" w:rsidRPr="00943AE3" w:rsidRDefault="007E3C46" w:rsidP="007E3C46">
                  <w:pPr>
                    <w:pStyle w:val="Style"/>
                    <w:ind w:left="0" w:firstLine="0"/>
                    <w:jc w:val="center"/>
                    <w:rPr>
                      <w:b/>
                      <w:bCs/>
                      <w:szCs w:val="24"/>
                    </w:rPr>
                  </w:pPr>
                  <w:r w:rsidRPr="00943AE3">
                    <w:rPr>
                      <w:b/>
                      <w:bCs/>
                      <w:szCs w:val="24"/>
                    </w:rPr>
                    <w:t>Comparable GS-Grade</w:t>
                  </w:r>
                </w:p>
              </w:tc>
              <w:tc>
                <w:tcPr>
                  <w:tcW w:w="1333" w:type="dxa"/>
                </w:tcPr>
                <w:p w:rsidR="007E3C46" w:rsidRPr="00943AE3" w:rsidRDefault="007E3C46" w:rsidP="007E3C46">
                  <w:pPr>
                    <w:pStyle w:val="Style"/>
                    <w:ind w:left="0" w:firstLine="0"/>
                    <w:jc w:val="center"/>
                    <w:rPr>
                      <w:b/>
                      <w:bCs/>
                      <w:szCs w:val="24"/>
                    </w:rPr>
                  </w:pPr>
                  <w:r w:rsidRPr="00943AE3">
                    <w:rPr>
                      <w:b/>
                      <w:bCs/>
                      <w:szCs w:val="24"/>
                    </w:rPr>
                    <w:t>Hourly Rate</w:t>
                  </w:r>
                </w:p>
              </w:tc>
              <w:tc>
                <w:tcPr>
                  <w:tcW w:w="1501" w:type="dxa"/>
                </w:tcPr>
                <w:p w:rsidR="007E3C46" w:rsidRPr="00943AE3" w:rsidRDefault="007E3C46" w:rsidP="007E3C46">
                  <w:pPr>
                    <w:pStyle w:val="Style"/>
                    <w:ind w:left="0" w:firstLine="0"/>
                    <w:jc w:val="center"/>
                    <w:rPr>
                      <w:b/>
                      <w:bCs/>
                      <w:szCs w:val="24"/>
                    </w:rPr>
                  </w:pPr>
                  <w:r w:rsidRPr="00943AE3">
                    <w:rPr>
                      <w:b/>
                      <w:bCs/>
                      <w:szCs w:val="24"/>
                    </w:rPr>
                    <w:t>Number of Hours</w:t>
                  </w:r>
                </w:p>
              </w:tc>
              <w:tc>
                <w:tcPr>
                  <w:tcW w:w="1247" w:type="dxa"/>
                </w:tcPr>
                <w:p w:rsidR="007E3C46" w:rsidRPr="00943AE3" w:rsidRDefault="007E3C46" w:rsidP="007E3C46">
                  <w:pPr>
                    <w:pStyle w:val="Style"/>
                    <w:ind w:left="0" w:firstLine="0"/>
                    <w:jc w:val="center"/>
                    <w:rPr>
                      <w:b/>
                      <w:bCs/>
                      <w:szCs w:val="24"/>
                    </w:rPr>
                  </w:pPr>
                  <w:r w:rsidRPr="00943AE3">
                    <w:rPr>
                      <w:b/>
                      <w:bCs/>
                      <w:szCs w:val="24"/>
                    </w:rPr>
                    <w:t>Total Cost</w:t>
                  </w:r>
                </w:p>
              </w:tc>
            </w:tr>
            <w:tr w:rsidR="007E3C46" w:rsidRPr="00943AE3" w:rsidTr="007E3C46">
              <w:trPr>
                <w:trHeight w:val="272"/>
              </w:trPr>
              <w:tc>
                <w:tcPr>
                  <w:tcW w:w="956" w:type="dxa"/>
                </w:tcPr>
                <w:p w:rsidR="007E3C46" w:rsidRPr="00943AE3" w:rsidRDefault="007E3C46" w:rsidP="007E3C46">
                  <w:pPr>
                    <w:rPr>
                      <w:rFonts w:ascii="Times New Roman" w:hAnsi="Times New Roman"/>
                      <w:szCs w:val="24"/>
                    </w:rPr>
                  </w:pPr>
                </w:p>
              </w:tc>
              <w:tc>
                <w:tcPr>
                  <w:tcW w:w="1856" w:type="dxa"/>
                </w:tcPr>
                <w:p w:rsidR="007E3C46" w:rsidRPr="00943AE3" w:rsidRDefault="007E3C46" w:rsidP="007E3C46">
                  <w:pPr>
                    <w:pStyle w:val="Style"/>
                    <w:ind w:left="0" w:firstLine="0"/>
                    <w:jc w:val="center"/>
                    <w:rPr>
                      <w:bCs/>
                      <w:szCs w:val="24"/>
                    </w:rPr>
                  </w:pPr>
                  <w:r w:rsidRPr="00943AE3">
                    <w:rPr>
                      <w:bCs/>
                      <w:szCs w:val="24"/>
                    </w:rPr>
                    <w:t>1</w:t>
                  </w:r>
                </w:p>
              </w:tc>
              <w:tc>
                <w:tcPr>
                  <w:tcW w:w="2099" w:type="dxa"/>
                </w:tcPr>
                <w:p w:rsidR="007E3C46" w:rsidRPr="00943AE3" w:rsidRDefault="007E3C46" w:rsidP="007E3C46">
                  <w:pPr>
                    <w:pStyle w:val="Style"/>
                    <w:ind w:left="0" w:firstLine="0"/>
                    <w:jc w:val="center"/>
                    <w:rPr>
                      <w:bCs/>
                      <w:szCs w:val="24"/>
                    </w:rPr>
                  </w:pPr>
                  <w:r w:rsidRPr="00943AE3">
                    <w:rPr>
                      <w:bCs/>
                      <w:szCs w:val="24"/>
                    </w:rPr>
                    <w:t>GS-15</w:t>
                  </w:r>
                </w:p>
              </w:tc>
              <w:tc>
                <w:tcPr>
                  <w:tcW w:w="1333" w:type="dxa"/>
                </w:tcPr>
                <w:p w:rsidR="007E3C46" w:rsidRPr="00943AE3" w:rsidRDefault="007E3C46" w:rsidP="007E3C46">
                  <w:pPr>
                    <w:pStyle w:val="Style"/>
                    <w:ind w:left="0" w:firstLine="0"/>
                    <w:jc w:val="center"/>
                    <w:rPr>
                      <w:bCs/>
                      <w:szCs w:val="24"/>
                    </w:rPr>
                  </w:pPr>
                  <w:r w:rsidRPr="00943AE3">
                    <w:rPr>
                      <w:bCs/>
                      <w:szCs w:val="24"/>
                    </w:rPr>
                    <w:t>$59.30</w:t>
                  </w:r>
                </w:p>
              </w:tc>
              <w:tc>
                <w:tcPr>
                  <w:tcW w:w="1501" w:type="dxa"/>
                </w:tcPr>
                <w:p w:rsidR="007E3C46" w:rsidRPr="00943AE3" w:rsidRDefault="007E3C46" w:rsidP="007E3C46">
                  <w:pPr>
                    <w:pStyle w:val="Style"/>
                    <w:ind w:left="0" w:firstLine="0"/>
                    <w:jc w:val="center"/>
                    <w:rPr>
                      <w:bCs/>
                      <w:szCs w:val="24"/>
                    </w:rPr>
                  </w:pPr>
                  <w:r w:rsidRPr="00943AE3">
                    <w:rPr>
                      <w:bCs/>
                      <w:szCs w:val="24"/>
                    </w:rPr>
                    <w:t>5</w:t>
                  </w:r>
                </w:p>
              </w:tc>
              <w:tc>
                <w:tcPr>
                  <w:tcW w:w="1247" w:type="dxa"/>
                </w:tcPr>
                <w:p w:rsidR="007E3C46" w:rsidRPr="00943AE3" w:rsidRDefault="007E3C46" w:rsidP="007E3C46">
                  <w:pPr>
                    <w:pStyle w:val="Style"/>
                    <w:ind w:left="0" w:firstLine="0"/>
                    <w:jc w:val="center"/>
                    <w:rPr>
                      <w:bCs/>
                      <w:szCs w:val="24"/>
                    </w:rPr>
                  </w:pPr>
                  <w:r w:rsidRPr="00943AE3">
                    <w:rPr>
                      <w:bCs/>
                      <w:szCs w:val="24"/>
                    </w:rPr>
                    <w:t>$29</w:t>
                  </w:r>
                  <w:r w:rsidR="00272F9B" w:rsidRPr="00943AE3">
                    <w:rPr>
                      <w:bCs/>
                      <w:szCs w:val="24"/>
                    </w:rPr>
                    <w:t>7</w:t>
                  </w:r>
                </w:p>
              </w:tc>
            </w:tr>
            <w:tr w:rsidR="007E3C46" w:rsidRPr="00943AE3" w:rsidTr="007E3C46">
              <w:trPr>
                <w:trHeight w:val="254"/>
              </w:trPr>
              <w:tc>
                <w:tcPr>
                  <w:tcW w:w="956" w:type="dxa"/>
                </w:tcPr>
                <w:p w:rsidR="007E3C46" w:rsidRPr="00943AE3" w:rsidRDefault="007E3C46" w:rsidP="007E3C46">
                  <w:pPr>
                    <w:rPr>
                      <w:rFonts w:ascii="Times New Roman" w:hAnsi="Times New Roman"/>
                      <w:szCs w:val="24"/>
                    </w:rPr>
                  </w:pPr>
                </w:p>
              </w:tc>
              <w:tc>
                <w:tcPr>
                  <w:tcW w:w="1856" w:type="dxa"/>
                </w:tcPr>
                <w:p w:rsidR="007E3C46" w:rsidRPr="00943AE3" w:rsidRDefault="007E3C46" w:rsidP="007E3C46">
                  <w:pPr>
                    <w:pStyle w:val="Style"/>
                    <w:ind w:left="0" w:firstLine="0"/>
                    <w:jc w:val="center"/>
                    <w:rPr>
                      <w:bCs/>
                      <w:szCs w:val="24"/>
                    </w:rPr>
                  </w:pPr>
                  <w:r w:rsidRPr="00943AE3">
                    <w:rPr>
                      <w:bCs/>
                      <w:szCs w:val="24"/>
                    </w:rPr>
                    <w:t>1</w:t>
                  </w:r>
                </w:p>
              </w:tc>
              <w:tc>
                <w:tcPr>
                  <w:tcW w:w="2099" w:type="dxa"/>
                </w:tcPr>
                <w:p w:rsidR="007E3C46" w:rsidRPr="00943AE3" w:rsidRDefault="007E3C46" w:rsidP="007E3C46">
                  <w:pPr>
                    <w:pStyle w:val="Style"/>
                    <w:ind w:left="0" w:firstLine="0"/>
                    <w:jc w:val="center"/>
                    <w:rPr>
                      <w:bCs/>
                      <w:szCs w:val="24"/>
                    </w:rPr>
                  </w:pPr>
                  <w:r w:rsidRPr="00943AE3">
                    <w:rPr>
                      <w:bCs/>
                      <w:szCs w:val="24"/>
                    </w:rPr>
                    <w:t>GS-12</w:t>
                  </w:r>
                </w:p>
              </w:tc>
              <w:tc>
                <w:tcPr>
                  <w:tcW w:w="1333" w:type="dxa"/>
                </w:tcPr>
                <w:p w:rsidR="007E3C46" w:rsidRPr="00943AE3" w:rsidRDefault="007E3C46" w:rsidP="007E3C46">
                  <w:pPr>
                    <w:pStyle w:val="Style"/>
                    <w:ind w:left="0" w:firstLine="0"/>
                    <w:jc w:val="center"/>
                    <w:rPr>
                      <w:bCs/>
                      <w:szCs w:val="24"/>
                    </w:rPr>
                  </w:pPr>
                  <w:r w:rsidRPr="00943AE3">
                    <w:rPr>
                      <w:bCs/>
                      <w:szCs w:val="24"/>
                    </w:rPr>
                    <w:t>$35.88</w:t>
                  </w:r>
                </w:p>
              </w:tc>
              <w:tc>
                <w:tcPr>
                  <w:tcW w:w="1501" w:type="dxa"/>
                </w:tcPr>
                <w:p w:rsidR="007E3C46" w:rsidRPr="00943AE3" w:rsidRDefault="007E3C46" w:rsidP="007E3C46">
                  <w:pPr>
                    <w:pStyle w:val="Style"/>
                    <w:ind w:left="0" w:firstLine="0"/>
                    <w:jc w:val="center"/>
                    <w:rPr>
                      <w:bCs/>
                      <w:szCs w:val="24"/>
                    </w:rPr>
                  </w:pPr>
                  <w:r w:rsidRPr="00943AE3">
                    <w:rPr>
                      <w:bCs/>
                      <w:szCs w:val="24"/>
                    </w:rPr>
                    <w:t>5</w:t>
                  </w:r>
                </w:p>
              </w:tc>
              <w:tc>
                <w:tcPr>
                  <w:tcW w:w="1247" w:type="dxa"/>
                </w:tcPr>
                <w:p w:rsidR="007E3C46" w:rsidRPr="00943AE3" w:rsidRDefault="007E3C46" w:rsidP="007E3C46">
                  <w:pPr>
                    <w:pStyle w:val="Style"/>
                    <w:ind w:left="0" w:firstLine="0"/>
                    <w:jc w:val="center"/>
                    <w:rPr>
                      <w:bCs/>
                      <w:szCs w:val="24"/>
                    </w:rPr>
                  </w:pPr>
                  <w:r w:rsidRPr="00943AE3">
                    <w:rPr>
                      <w:bCs/>
                      <w:szCs w:val="24"/>
                    </w:rPr>
                    <w:t>$179</w:t>
                  </w:r>
                </w:p>
              </w:tc>
            </w:tr>
            <w:tr w:rsidR="007E3C46" w:rsidRPr="00943AE3" w:rsidTr="007E3C46">
              <w:trPr>
                <w:trHeight w:val="254"/>
              </w:trPr>
              <w:tc>
                <w:tcPr>
                  <w:tcW w:w="956" w:type="dxa"/>
                </w:tcPr>
                <w:p w:rsidR="007E3C46" w:rsidRPr="00943AE3" w:rsidRDefault="007E3C46" w:rsidP="007E3C46">
                  <w:pPr>
                    <w:rPr>
                      <w:rFonts w:ascii="Times New Roman" w:hAnsi="Times New Roman"/>
                      <w:szCs w:val="24"/>
                    </w:rPr>
                  </w:pPr>
                </w:p>
              </w:tc>
              <w:tc>
                <w:tcPr>
                  <w:tcW w:w="1856" w:type="dxa"/>
                </w:tcPr>
                <w:p w:rsidR="007E3C46" w:rsidRPr="00943AE3" w:rsidRDefault="007E3C46" w:rsidP="007E3C46">
                  <w:pPr>
                    <w:pStyle w:val="Style"/>
                    <w:ind w:left="0" w:firstLine="0"/>
                    <w:jc w:val="center"/>
                    <w:rPr>
                      <w:bCs/>
                      <w:szCs w:val="24"/>
                    </w:rPr>
                  </w:pPr>
                  <w:r w:rsidRPr="00943AE3">
                    <w:rPr>
                      <w:bCs/>
                      <w:szCs w:val="24"/>
                    </w:rPr>
                    <w:t>2</w:t>
                  </w:r>
                </w:p>
              </w:tc>
              <w:tc>
                <w:tcPr>
                  <w:tcW w:w="2099" w:type="dxa"/>
                </w:tcPr>
                <w:p w:rsidR="007E3C46" w:rsidRPr="00943AE3" w:rsidRDefault="007E3C46" w:rsidP="007E3C46">
                  <w:pPr>
                    <w:pStyle w:val="Style"/>
                    <w:ind w:left="0" w:firstLine="0"/>
                    <w:jc w:val="center"/>
                    <w:rPr>
                      <w:bCs/>
                      <w:szCs w:val="24"/>
                    </w:rPr>
                  </w:pPr>
                  <w:r w:rsidRPr="00943AE3">
                    <w:rPr>
                      <w:bCs/>
                      <w:szCs w:val="24"/>
                    </w:rPr>
                    <w:t>GS-11</w:t>
                  </w:r>
                </w:p>
              </w:tc>
              <w:tc>
                <w:tcPr>
                  <w:tcW w:w="1333" w:type="dxa"/>
                </w:tcPr>
                <w:p w:rsidR="007E3C46" w:rsidRPr="00943AE3" w:rsidRDefault="007E3C46" w:rsidP="007E3C46">
                  <w:pPr>
                    <w:pStyle w:val="Style"/>
                    <w:ind w:left="0" w:firstLine="0"/>
                    <w:jc w:val="center"/>
                    <w:rPr>
                      <w:bCs/>
                      <w:szCs w:val="24"/>
                    </w:rPr>
                  </w:pPr>
                  <w:r w:rsidRPr="00943AE3">
                    <w:rPr>
                      <w:bCs/>
                      <w:szCs w:val="24"/>
                    </w:rPr>
                    <w:t>$29.93</w:t>
                  </w:r>
                </w:p>
              </w:tc>
              <w:tc>
                <w:tcPr>
                  <w:tcW w:w="1501" w:type="dxa"/>
                </w:tcPr>
                <w:p w:rsidR="007E3C46" w:rsidRPr="00943AE3" w:rsidRDefault="007E3C46" w:rsidP="007E3C46">
                  <w:pPr>
                    <w:pStyle w:val="Style"/>
                    <w:ind w:left="0" w:firstLine="0"/>
                    <w:jc w:val="center"/>
                    <w:rPr>
                      <w:bCs/>
                      <w:szCs w:val="24"/>
                    </w:rPr>
                  </w:pPr>
                  <w:r w:rsidRPr="00943AE3">
                    <w:rPr>
                      <w:bCs/>
                      <w:szCs w:val="24"/>
                    </w:rPr>
                    <w:t>10</w:t>
                  </w:r>
                </w:p>
              </w:tc>
              <w:tc>
                <w:tcPr>
                  <w:tcW w:w="1247" w:type="dxa"/>
                </w:tcPr>
                <w:p w:rsidR="007E3C46" w:rsidRPr="00943AE3" w:rsidRDefault="007E3C46" w:rsidP="007E3C46">
                  <w:pPr>
                    <w:pStyle w:val="Style"/>
                    <w:ind w:left="0" w:firstLine="0"/>
                    <w:jc w:val="center"/>
                    <w:rPr>
                      <w:bCs/>
                      <w:szCs w:val="24"/>
                    </w:rPr>
                  </w:pPr>
                  <w:r w:rsidRPr="00943AE3">
                    <w:rPr>
                      <w:bCs/>
                      <w:szCs w:val="24"/>
                    </w:rPr>
                    <w:t>$299</w:t>
                  </w:r>
                </w:p>
              </w:tc>
            </w:tr>
            <w:tr w:rsidR="007E3C46" w:rsidRPr="00943AE3" w:rsidTr="007E3C46">
              <w:trPr>
                <w:trHeight w:val="272"/>
              </w:trPr>
              <w:tc>
                <w:tcPr>
                  <w:tcW w:w="956" w:type="dxa"/>
                </w:tcPr>
                <w:p w:rsidR="007E3C46" w:rsidRPr="00943AE3" w:rsidRDefault="00272F9B" w:rsidP="00272F9B">
                  <w:pPr>
                    <w:jc w:val="right"/>
                    <w:rPr>
                      <w:rFonts w:ascii="Times New Roman" w:hAnsi="Times New Roman"/>
                      <w:szCs w:val="24"/>
                    </w:rPr>
                  </w:pPr>
                  <w:r w:rsidRPr="00943AE3">
                    <w:rPr>
                      <w:rFonts w:ascii="Times New Roman" w:hAnsi="Times New Roman"/>
                      <w:szCs w:val="24"/>
                    </w:rPr>
                    <w:t>T</w:t>
                  </w:r>
                  <w:r w:rsidR="005A4690" w:rsidRPr="00943AE3">
                    <w:rPr>
                      <w:rFonts w:ascii="Times New Roman" w:hAnsi="Times New Roman"/>
                      <w:szCs w:val="24"/>
                    </w:rPr>
                    <w:t>otal</w:t>
                  </w:r>
                </w:p>
              </w:tc>
              <w:tc>
                <w:tcPr>
                  <w:tcW w:w="1856" w:type="dxa"/>
                </w:tcPr>
                <w:p w:rsidR="007E3C46" w:rsidRPr="00943AE3" w:rsidRDefault="007E3C46" w:rsidP="007E3C46">
                  <w:pPr>
                    <w:pStyle w:val="Style"/>
                    <w:ind w:left="0" w:firstLine="0"/>
                    <w:jc w:val="center"/>
                    <w:rPr>
                      <w:bCs/>
                      <w:szCs w:val="24"/>
                    </w:rPr>
                  </w:pPr>
                  <w:r w:rsidRPr="00943AE3">
                    <w:rPr>
                      <w:bCs/>
                      <w:szCs w:val="24"/>
                    </w:rPr>
                    <w:t>4</w:t>
                  </w:r>
                </w:p>
              </w:tc>
              <w:tc>
                <w:tcPr>
                  <w:tcW w:w="2099" w:type="dxa"/>
                </w:tcPr>
                <w:p w:rsidR="007E3C46" w:rsidRPr="00943AE3" w:rsidRDefault="007E3C46" w:rsidP="007E3C46">
                  <w:pPr>
                    <w:pStyle w:val="Style"/>
                    <w:ind w:left="0" w:firstLine="0"/>
                    <w:jc w:val="center"/>
                    <w:rPr>
                      <w:bCs/>
                      <w:szCs w:val="24"/>
                    </w:rPr>
                  </w:pPr>
                </w:p>
              </w:tc>
              <w:tc>
                <w:tcPr>
                  <w:tcW w:w="1333" w:type="dxa"/>
                </w:tcPr>
                <w:p w:rsidR="007E3C46" w:rsidRPr="00943AE3" w:rsidRDefault="007E3C46" w:rsidP="007E3C46">
                  <w:pPr>
                    <w:pStyle w:val="Style"/>
                    <w:ind w:left="0" w:firstLine="0"/>
                    <w:jc w:val="center"/>
                    <w:rPr>
                      <w:bCs/>
                      <w:szCs w:val="24"/>
                    </w:rPr>
                  </w:pPr>
                </w:p>
              </w:tc>
              <w:tc>
                <w:tcPr>
                  <w:tcW w:w="1501" w:type="dxa"/>
                </w:tcPr>
                <w:p w:rsidR="007E3C46" w:rsidRPr="00943AE3" w:rsidRDefault="007E3C46" w:rsidP="007E3C46">
                  <w:pPr>
                    <w:pStyle w:val="Style"/>
                    <w:ind w:left="0" w:firstLine="0"/>
                    <w:jc w:val="center"/>
                    <w:rPr>
                      <w:bCs/>
                      <w:szCs w:val="24"/>
                    </w:rPr>
                  </w:pPr>
                  <w:r w:rsidRPr="00943AE3">
                    <w:rPr>
                      <w:bCs/>
                      <w:szCs w:val="24"/>
                    </w:rPr>
                    <w:t>20</w:t>
                  </w:r>
                </w:p>
              </w:tc>
              <w:tc>
                <w:tcPr>
                  <w:tcW w:w="1247" w:type="dxa"/>
                </w:tcPr>
                <w:p w:rsidR="007E3C46" w:rsidRPr="00943AE3" w:rsidRDefault="007E3C46" w:rsidP="007E3C46">
                  <w:pPr>
                    <w:pStyle w:val="Style"/>
                    <w:ind w:left="0" w:firstLine="0"/>
                    <w:jc w:val="center"/>
                    <w:rPr>
                      <w:bCs/>
                      <w:szCs w:val="24"/>
                    </w:rPr>
                  </w:pPr>
                  <w:r w:rsidRPr="00943AE3">
                    <w:rPr>
                      <w:bCs/>
                      <w:szCs w:val="24"/>
                    </w:rPr>
                    <w:t>$775</w:t>
                  </w:r>
                </w:p>
              </w:tc>
            </w:tr>
          </w:tbl>
          <w:p w:rsidR="000905F2" w:rsidRPr="00943AE3" w:rsidRDefault="005A4690" w:rsidP="005A4690">
            <w:pPr>
              <w:rPr>
                <w:rFonts w:ascii="Times New Roman" w:hAnsi="Times New Roman"/>
                <w:szCs w:val="24"/>
              </w:rPr>
            </w:pPr>
            <w:r w:rsidRPr="00943AE3">
              <w:rPr>
                <w:rFonts w:ascii="Times New Roman" w:hAnsi="Times New Roman"/>
                <w:szCs w:val="24"/>
              </w:rPr>
              <w:t xml:space="preserve">The </w:t>
            </w:r>
            <w:r w:rsidR="00272F9B" w:rsidRPr="00943AE3">
              <w:rPr>
                <w:rFonts w:ascii="Times New Roman" w:hAnsi="Times New Roman"/>
                <w:szCs w:val="24"/>
              </w:rPr>
              <w:t xml:space="preserve">estimate </w:t>
            </w:r>
            <w:r w:rsidRPr="00943AE3">
              <w:rPr>
                <w:rFonts w:ascii="Times New Roman" w:hAnsi="Times New Roman"/>
                <w:szCs w:val="24"/>
              </w:rPr>
              <w:t xml:space="preserve">for staff time was calculated based on twenty (20) total hours for staff to update and prepare clearance packages. </w:t>
            </w:r>
            <w:r w:rsidR="00F72889">
              <w:rPr>
                <w:rFonts w:ascii="Times New Roman" w:hAnsi="Times New Roman"/>
                <w:szCs w:val="24"/>
              </w:rPr>
              <w:t xml:space="preserve"> </w:t>
            </w:r>
            <w:r w:rsidRPr="00943AE3">
              <w:rPr>
                <w:rFonts w:ascii="Times New Roman" w:hAnsi="Times New Roman"/>
                <w:szCs w:val="24"/>
              </w:rPr>
              <w:t>The estimates are the hour</w:t>
            </w:r>
            <w:r w:rsidR="00F72889">
              <w:rPr>
                <w:rFonts w:ascii="Times New Roman" w:hAnsi="Times New Roman"/>
                <w:szCs w:val="24"/>
              </w:rPr>
              <w:t>ly</w:t>
            </w:r>
            <w:r w:rsidRPr="00943AE3">
              <w:rPr>
                <w:rFonts w:ascii="Times New Roman" w:hAnsi="Times New Roman"/>
                <w:szCs w:val="24"/>
              </w:rPr>
              <w:t xml:space="preserve"> burdens for collections of information based on the GS hourly rates from the OPM Salary Table (2011-DCB).</w:t>
            </w:r>
            <w:r w:rsidR="000905F2" w:rsidRPr="00943AE3">
              <w:rPr>
                <w:rFonts w:ascii="Times New Roman" w:hAnsi="Times New Roman"/>
                <w:szCs w:val="24"/>
              </w:rPr>
              <w:t xml:space="preserve"> </w:t>
            </w:r>
            <w:r w:rsidR="00F72889">
              <w:rPr>
                <w:rFonts w:ascii="Times New Roman" w:hAnsi="Times New Roman"/>
                <w:szCs w:val="24"/>
              </w:rPr>
              <w:t xml:space="preserve"> </w:t>
            </w:r>
            <w:r w:rsidR="000905F2" w:rsidRPr="00943AE3">
              <w:rPr>
                <w:rFonts w:ascii="Times New Roman" w:hAnsi="Times New Roman"/>
                <w:szCs w:val="24"/>
              </w:rPr>
              <w:t>The calculation was based on the twenty hours of total staff time multiplied by the hourly rate of each respective staff member.</w:t>
            </w:r>
          </w:p>
          <w:p w:rsidR="007E3C46" w:rsidRPr="00943AE3" w:rsidRDefault="007E3C46" w:rsidP="007E3C46">
            <w:pPr>
              <w:rPr>
                <w:rFonts w:ascii="Times New Roman" w:hAnsi="Times New Roman"/>
                <w:szCs w:val="24"/>
              </w:rPr>
            </w:pPr>
          </w:p>
          <w:p w:rsidR="005A4690" w:rsidRPr="00943AE3" w:rsidRDefault="005A4690" w:rsidP="005A4690">
            <w:pPr>
              <w:jc w:val="center"/>
              <w:rPr>
                <w:rFonts w:ascii="Times New Roman" w:hAnsi="Times New Roman"/>
                <w:b/>
                <w:szCs w:val="24"/>
                <w:u w:val="single"/>
              </w:rPr>
            </w:pPr>
            <w:r w:rsidRPr="00943AE3">
              <w:rPr>
                <w:rFonts w:ascii="Times New Roman" w:hAnsi="Times New Roman"/>
                <w:b/>
                <w:szCs w:val="24"/>
                <w:u w:val="single"/>
              </w:rPr>
              <w:t>ED Staff time to review applications</w:t>
            </w:r>
          </w:p>
          <w:p w:rsidR="005A4690" w:rsidRPr="00943AE3" w:rsidRDefault="005A4690" w:rsidP="007E3C46">
            <w:pPr>
              <w:rPr>
                <w:rFonts w:ascii="Times New Roman" w:hAnsi="Times New Roman"/>
                <w:szCs w:val="24"/>
              </w:rPr>
            </w:pPr>
          </w:p>
          <w:tbl>
            <w:tblPr>
              <w:tblStyle w:val="TableGrid"/>
              <w:tblW w:w="8992" w:type="dxa"/>
              <w:tblLook w:val="04A0" w:firstRow="1" w:lastRow="0" w:firstColumn="1" w:lastColumn="0" w:noHBand="0" w:noVBand="1"/>
            </w:tblPr>
            <w:tblGrid>
              <w:gridCol w:w="956"/>
              <w:gridCol w:w="1856"/>
              <w:gridCol w:w="2099"/>
              <w:gridCol w:w="1333"/>
              <w:gridCol w:w="1501"/>
              <w:gridCol w:w="1247"/>
            </w:tblGrid>
            <w:tr w:rsidR="005A4690" w:rsidRPr="00943AE3" w:rsidTr="005A4690">
              <w:trPr>
                <w:trHeight w:val="272"/>
              </w:trPr>
              <w:tc>
                <w:tcPr>
                  <w:tcW w:w="956" w:type="dxa"/>
                </w:tcPr>
                <w:p w:rsidR="005A4690" w:rsidRPr="00943AE3" w:rsidRDefault="005A4690" w:rsidP="005A4690">
                  <w:pPr>
                    <w:rPr>
                      <w:rFonts w:ascii="Times New Roman" w:hAnsi="Times New Roman"/>
                      <w:szCs w:val="24"/>
                    </w:rPr>
                  </w:pPr>
                </w:p>
              </w:tc>
              <w:tc>
                <w:tcPr>
                  <w:tcW w:w="1856" w:type="dxa"/>
                </w:tcPr>
                <w:p w:rsidR="005A4690" w:rsidRPr="00943AE3" w:rsidRDefault="005A4690" w:rsidP="005A4690">
                  <w:pPr>
                    <w:pStyle w:val="Style"/>
                    <w:ind w:left="0" w:firstLine="0"/>
                    <w:jc w:val="center"/>
                    <w:rPr>
                      <w:b/>
                      <w:bCs/>
                      <w:szCs w:val="24"/>
                    </w:rPr>
                  </w:pPr>
                  <w:r w:rsidRPr="00943AE3">
                    <w:rPr>
                      <w:b/>
                      <w:bCs/>
                      <w:szCs w:val="24"/>
                    </w:rPr>
                    <w:t>Number of Employees</w:t>
                  </w:r>
                </w:p>
              </w:tc>
              <w:tc>
                <w:tcPr>
                  <w:tcW w:w="2099" w:type="dxa"/>
                </w:tcPr>
                <w:p w:rsidR="005A4690" w:rsidRPr="00943AE3" w:rsidRDefault="005A4690" w:rsidP="005A4690">
                  <w:pPr>
                    <w:pStyle w:val="Style"/>
                    <w:ind w:left="0" w:firstLine="0"/>
                    <w:jc w:val="center"/>
                    <w:rPr>
                      <w:b/>
                      <w:bCs/>
                      <w:szCs w:val="24"/>
                    </w:rPr>
                  </w:pPr>
                  <w:r w:rsidRPr="00943AE3">
                    <w:rPr>
                      <w:b/>
                      <w:bCs/>
                      <w:szCs w:val="24"/>
                    </w:rPr>
                    <w:t>Comparable GS-Grade</w:t>
                  </w:r>
                </w:p>
              </w:tc>
              <w:tc>
                <w:tcPr>
                  <w:tcW w:w="1333" w:type="dxa"/>
                </w:tcPr>
                <w:p w:rsidR="005A4690" w:rsidRPr="00943AE3" w:rsidRDefault="005A4690" w:rsidP="005A4690">
                  <w:pPr>
                    <w:pStyle w:val="Style"/>
                    <w:ind w:left="0" w:firstLine="0"/>
                    <w:jc w:val="center"/>
                    <w:rPr>
                      <w:b/>
                      <w:bCs/>
                      <w:szCs w:val="24"/>
                    </w:rPr>
                  </w:pPr>
                  <w:r w:rsidRPr="00943AE3">
                    <w:rPr>
                      <w:b/>
                      <w:bCs/>
                      <w:szCs w:val="24"/>
                    </w:rPr>
                    <w:t>Hourly Rate</w:t>
                  </w:r>
                </w:p>
              </w:tc>
              <w:tc>
                <w:tcPr>
                  <w:tcW w:w="1501" w:type="dxa"/>
                </w:tcPr>
                <w:p w:rsidR="005A4690" w:rsidRPr="00943AE3" w:rsidRDefault="005A4690" w:rsidP="005A4690">
                  <w:pPr>
                    <w:pStyle w:val="Style"/>
                    <w:ind w:left="0" w:firstLine="0"/>
                    <w:jc w:val="center"/>
                    <w:rPr>
                      <w:b/>
                      <w:bCs/>
                      <w:szCs w:val="24"/>
                    </w:rPr>
                  </w:pPr>
                  <w:r w:rsidRPr="00943AE3">
                    <w:rPr>
                      <w:b/>
                      <w:bCs/>
                      <w:szCs w:val="24"/>
                    </w:rPr>
                    <w:t>Number of Hours</w:t>
                  </w:r>
                </w:p>
              </w:tc>
              <w:tc>
                <w:tcPr>
                  <w:tcW w:w="1247" w:type="dxa"/>
                </w:tcPr>
                <w:p w:rsidR="005A4690" w:rsidRPr="00943AE3" w:rsidRDefault="005A4690" w:rsidP="005A4690">
                  <w:pPr>
                    <w:pStyle w:val="Style"/>
                    <w:ind w:left="0" w:firstLine="0"/>
                    <w:jc w:val="center"/>
                    <w:rPr>
                      <w:b/>
                      <w:bCs/>
                      <w:szCs w:val="24"/>
                    </w:rPr>
                  </w:pPr>
                  <w:r w:rsidRPr="00943AE3">
                    <w:rPr>
                      <w:b/>
                      <w:bCs/>
                      <w:szCs w:val="24"/>
                    </w:rPr>
                    <w:t>Total Cost</w:t>
                  </w:r>
                </w:p>
              </w:tc>
            </w:tr>
            <w:tr w:rsidR="005A4690" w:rsidRPr="00943AE3" w:rsidTr="005A4690">
              <w:trPr>
                <w:trHeight w:val="272"/>
              </w:trPr>
              <w:tc>
                <w:tcPr>
                  <w:tcW w:w="956" w:type="dxa"/>
                </w:tcPr>
                <w:p w:rsidR="005A4690" w:rsidRPr="00943AE3" w:rsidRDefault="005A4690" w:rsidP="005A4690">
                  <w:pPr>
                    <w:rPr>
                      <w:rFonts w:ascii="Times New Roman" w:hAnsi="Times New Roman"/>
                      <w:szCs w:val="24"/>
                    </w:rPr>
                  </w:pPr>
                </w:p>
              </w:tc>
              <w:tc>
                <w:tcPr>
                  <w:tcW w:w="1856" w:type="dxa"/>
                </w:tcPr>
                <w:p w:rsidR="005A4690" w:rsidRPr="00943AE3" w:rsidRDefault="005A4690" w:rsidP="005A4690">
                  <w:pPr>
                    <w:pStyle w:val="Style"/>
                    <w:ind w:left="0" w:firstLine="0"/>
                    <w:jc w:val="center"/>
                    <w:rPr>
                      <w:bCs/>
                      <w:szCs w:val="24"/>
                    </w:rPr>
                  </w:pPr>
                  <w:r w:rsidRPr="00943AE3">
                    <w:rPr>
                      <w:bCs/>
                      <w:szCs w:val="24"/>
                    </w:rPr>
                    <w:t>1</w:t>
                  </w:r>
                </w:p>
              </w:tc>
              <w:tc>
                <w:tcPr>
                  <w:tcW w:w="2099" w:type="dxa"/>
                </w:tcPr>
                <w:p w:rsidR="005A4690" w:rsidRPr="00943AE3" w:rsidRDefault="005A4690" w:rsidP="005A4690">
                  <w:pPr>
                    <w:pStyle w:val="Style"/>
                    <w:ind w:left="0" w:firstLine="0"/>
                    <w:jc w:val="center"/>
                    <w:rPr>
                      <w:bCs/>
                      <w:szCs w:val="24"/>
                    </w:rPr>
                  </w:pPr>
                  <w:r w:rsidRPr="00943AE3">
                    <w:rPr>
                      <w:bCs/>
                      <w:szCs w:val="24"/>
                    </w:rPr>
                    <w:t>GS-15</w:t>
                  </w:r>
                </w:p>
              </w:tc>
              <w:tc>
                <w:tcPr>
                  <w:tcW w:w="1333" w:type="dxa"/>
                </w:tcPr>
                <w:p w:rsidR="005A4690" w:rsidRPr="00943AE3" w:rsidRDefault="005A4690" w:rsidP="005A4690">
                  <w:pPr>
                    <w:pStyle w:val="Style"/>
                    <w:ind w:left="0" w:firstLine="0"/>
                    <w:jc w:val="center"/>
                    <w:rPr>
                      <w:bCs/>
                      <w:szCs w:val="24"/>
                    </w:rPr>
                  </w:pPr>
                  <w:r w:rsidRPr="00943AE3">
                    <w:rPr>
                      <w:bCs/>
                      <w:szCs w:val="24"/>
                    </w:rPr>
                    <w:t>$59.30</w:t>
                  </w:r>
                </w:p>
              </w:tc>
              <w:tc>
                <w:tcPr>
                  <w:tcW w:w="1501" w:type="dxa"/>
                </w:tcPr>
                <w:p w:rsidR="005A4690" w:rsidRPr="00943AE3" w:rsidRDefault="005A4690" w:rsidP="005A4690">
                  <w:pPr>
                    <w:pStyle w:val="Style"/>
                    <w:ind w:left="0" w:firstLine="0"/>
                    <w:jc w:val="center"/>
                    <w:rPr>
                      <w:bCs/>
                      <w:szCs w:val="24"/>
                    </w:rPr>
                  </w:pPr>
                  <w:r w:rsidRPr="00943AE3">
                    <w:rPr>
                      <w:bCs/>
                      <w:szCs w:val="24"/>
                    </w:rPr>
                    <w:t>60</w:t>
                  </w:r>
                </w:p>
              </w:tc>
              <w:tc>
                <w:tcPr>
                  <w:tcW w:w="1247" w:type="dxa"/>
                </w:tcPr>
                <w:p w:rsidR="005A4690" w:rsidRPr="00943AE3" w:rsidRDefault="005A4690" w:rsidP="005A4690">
                  <w:pPr>
                    <w:pStyle w:val="Style"/>
                    <w:ind w:left="0" w:firstLine="0"/>
                    <w:jc w:val="center"/>
                    <w:rPr>
                      <w:bCs/>
                      <w:szCs w:val="24"/>
                    </w:rPr>
                  </w:pPr>
                  <w:r w:rsidRPr="00943AE3">
                    <w:rPr>
                      <w:bCs/>
                      <w:szCs w:val="24"/>
                    </w:rPr>
                    <w:t>$3,558</w:t>
                  </w:r>
                </w:p>
              </w:tc>
            </w:tr>
            <w:tr w:rsidR="005A4690" w:rsidRPr="00943AE3" w:rsidTr="005A4690">
              <w:trPr>
                <w:trHeight w:val="254"/>
              </w:trPr>
              <w:tc>
                <w:tcPr>
                  <w:tcW w:w="956" w:type="dxa"/>
                </w:tcPr>
                <w:p w:rsidR="005A4690" w:rsidRPr="00943AE3" w:rsidRDefault="005A4690" w:rsidP="005A4690">
                  <w:pPr>
                    <w:rPr>
                      <w:rFonts w:ascii="Times New Roman" w:hAnsi="Times New Roman"/>
                      <w:szCs w:val="24"/>
                    </w:rPr>
                  </w:pPr>
                </w:p>
              </w:tc>
              <w:tc>
                <w:tcPr>
                  <w:tcW w:w="1856" w:type="dxa"/>
                </w:tcPr>
                <w:p w:rsidR="005A4690" w:rsidRPr="00943AE3" w:rsidRDefault="005A4690" w:rsidP="005A4690">
                  <w:pPr>
                    <w:pStyle w:val="Style"/>
                    <w:ind w:left="0" w:firstLine="0"/>
                    <w:jc w:val="center"/>
                    <w:rPr>
                      <w:bCs/>
                      <w:szCs w:val="24"/>
                    </w:rPr>
                  </w:pPr>
                  <w:r w:rsidRPr="00943AE3">
                    <w:rPr>
                      <w:bCs/>
                      <w:szCs w:val="24"/>
                    </w:rPr>
                    <w:t>1</w:t>
                  </w:r>
                </w:p>
              </w:tc>
              <w:tc>
                <w:tcPr>
                  <w:tcW w:w="2099" w:type="dxa"/>
                </w:tcPr>
                <w:p w:rsidR="005A4690" w:rsidRPr="00943AE3" w:rsidRDefault="005A4690" w:rsidP="005A4690">
                  <w:pPr>
                    <w:pStyle w:val="Style"/>
                    <w:ind w:left="0" w:firstLine="0"/>
                    <w:jc w:val="center"/>
                    <w:rPr>
                      <w:bCs/>
                      <w:szCs w:val="24"/>
                    </w:rPr>
                  </w:pPr>
                  <w:r w:rsidRPr="00943AE3">
                    <w:rPr>
                      <w:bCs/>
                      <w:szCs w:val="24"/>
                    </w:rPr>
                    <w:t>GS-12</w:t>
                  </w:r>
                </w:p>
              </w:tc>
              <w:tc>
                <w:tcPr>
                  <w:tcW w:w="1333" w:type="dxa"/>
                </w:tcPr>
                <w:p w:rsidR="005A4690" w:rsidRPr="00943AE3" w:rsidRDefault="005A4690" w:rsidP="005A4690">
                  <w:pPr>
                    <w:pStyle w:val="Style"/>
                    <w:ind w:left="0" w:firstLine="0"/>
                    <w:jc w:val="center"/>
                    <w:rPr>
                      <w:bCs/>
                      <w:szCs w:val="24"/>
                    </w:rPr>
                  </w:pPr>
                  <w:r w:rsidRPr="00943AE3">
                    <w:rPr>
                      <w:bCs/>
                      <w:szCs w:val="24"/>
                    </w:rPr>
                    <w:t>$35.88</w:t>
                  </w:r>
                </w:p>
              </w:tc>
              <w:tc>
                <w:tcPr>
                  <w:tcW w:w="1501" w:type="dxa"/>
                </w:tcPr>
                <w:p w:rsidR="005A4690" w:rsidRPr="00943AE3" w:rsidRDefault="005A4690" w:rsidP="005A4690">
                  <w:pPr>
                    <w:pStyle w:val="Style"/>
                    <w:ind w:left="0" w:firstLine="0"/>
                    <w:jc w:val="center"/>
                    <w:rPr>
                      <w:bCs/>
                      <w:szCs w:val="24"/>
                    </w:rPr>
                  </w:pPr>
                  <w:r w:rsidRPr="00943AE3">
                    <w:rPr>
                      <w:bCs/>
                      <w:szCs w:val="24"/>
                    </w:rPr>
                    <w:t>60</w:t>
                  </w:r>
                </w:p>
              </w:tc>
              <w:tc>
                <w:tcPr>
                  <w:tcW w:w="1247" w:type="dxa"/>
                </w:tcPr>
                <w:p w:rsidR="005A4690" w:rsidRPr="00943AE3" w:rsidRDefault="005A4690" w:rsidP="005A4690">
                  <w:pPr>
                    <w:pStyle w:val="Style"/>
                    <w:ind w:left="0" w:firstLine="0"/>
                    <w:jc w:val="center"/>
                    <w:rPr>
                      <w:bCs/>
                      <w:szCs w:val="24"/>
                    </w:rPr>
                  </w:pPr>
                  <w:r w:rsidRPr="00943AE3">
                    <w:rPr>
                      <w:bCs/>
                      <w:szCs w:val="24"/>
                    </w:rPr>
                    <w:t>$2,153</w:t>
                  </w:r>
                </w:p>
              </w:tc>
            </w:tr>
            <w:tr w:rsidR="005A4690" w:rsidRPr="00943AE3" w:rsidTr="005A4690">
              <w:trPr>
                <w:trHeight w:val="254"/>
              </w:trPr>
              <w:tc>
                <w:tcPr>
                  <w:tcW w:w="956" w:type="dxa"/>
                </w:tcPr>
                <w:p w:rsidR="005A4690" w:rsidRPr="00943AE3" w:rsidRDefault="005A4690" w:rsidP="005A4690">
                  <w:pPr>
                    <w:rPr>
                      <w:rFonts w:ascii="Times New Roman" w:hAnsi="Times New Roman"/>
                      <w:szCs w:val="24"/>
                    </w:rPr>
                  </w:pPr>
                </w:p>
              </w:tc>
              <w:tc>
                <w:tcPr>
                  <w:tcW w:w="1856" w:type="dxa"/>
                </w:tcPr>
                <w:p w:rsidR="005A4690" w:rsidRPr="00943AE3" w:rsidRDefault="005A4690" w:rsidP="005A4690">
                  <w:pPr>
                    <w:pStyle w:val="Style"/>
                    <w:ind w:left="0" w:firstLine="0"/>
                    <w:jc w:val="center"/>
                    <w:rPr>
                      <w:bCs/>
                      <w:szCs w:val="24"/>
                    </w:rPr>
                  </w:pPr>
                  <w:r w:rsidRPr="00943AE3">
                    <w:rPr>
                      <w:bCs/>
                      <w:szCs w:val="24"/>
                    </w:rPr>
                    <w:t>2</w:t>
                  </w:r>
                </w:p>
              </w:tc>
              <w:tc>
                <w:tcPr>
                  <w:tcW w:w="2099" w:type="dxa"/>
                </w:tcPr>
                <w:p w:rsidR="005A4690" w:rsidRPr="00943AE3" w:rsidRDefault="005A4690" w:rsidP="005A4690">
                  <w:pPr>
                    <w:pStyle w:val="Style"/>
                    <w:ind w:left="0" w:firstLine="0"/>
                    <w:jc w:val="center"/>
                    <w:rPr>
                      <w:bCs/>
                      <w:szCs w:val="24"/>
                    </w:rPr>
                  </w:pPr>
                  <w:r w:rsidRPr="00943AE3">
                    <w:rPr>
                      <w:bCs/>
                      <w:szCs w:val="24"/>
                    </w:rPr>
                    <w:t>GS-11</w:t>
                  </w:r>
                </w:p>
              </w:tc>
              <w:tc>
                <w:tcPr>
                  <w:tcW w:w="1333" w:type="dxa"/>
                </w:tcPr>
                <w:p w:rsidR="005A4690" w:rsidRPr="00943AE3" w:rsidRDefault="005A4690" w:rsidP="005A4690">
                  <w:pPr>
                    <w:pStyle w:val="Style"/>
                    <w:ind w:left="0" w:firstLine="0"/>
                    <w:jc w:val="center"/>
                    <w:rPr>
                      <w:bCs/>
                      <w:szCs w:val="24"/>
                    </w:rPr>
                  </w:pPr>
                  <w:r w:rsidRPr="00943AE3">
                    <w:rPr>
                      <w:bCs/>
                      <w:szCs w:val="24"/>
                    </w:rPr>
                    <w:t>$29.93</w:t>
                  </w:r>
                </w:p>
              </w:tc>
              <w:tc>
                <w:tcPr>
                  <w:tcW w:w="1501" w:type="dxa"/>
                </w:tcPr>
                <w:p w:rsidR="005A4690" w:rsidRPr="00943AE3" w:rsidRDefault="005A4690" w:rsidP="005A4690">
                  <w:pPr>
                    <w:pStyle w:val="Style"/>
                    <w:ind w:left="0" w:firstLine="0"/>
                    <w:jc w:val="center"/>
                    <w:rPr>
                      <w:bCs/>
                      <w:szCs w:val="24"/>
                    </w:rPr>
                  </w:pPr>
                  <w:r w:rsidRPr="00943AE3">
                    <w:rPr>
                      <w:bCs/>
                      <w:szCs w:val="24"/>
                    </w:rPr>
                    <w:t>120</w:t>
                  </w:r>
                </w:p>
              </w:tc>
              <w:tc>
                <w:tcPr>
                  <w:tcW w:w="1247" w:type="dxa"/>
                </w:tcPr>
                <w:p w:rsidR="005A4690" w:rsidRPr="00943AE3" w:rsidRDefault="005A4690" w:rsidP="005A4690">
                  <w:pPr>
                    <w:pStyle w:val="Style"/>
                    <w:ind w:left="0" w:firstLine="0"/>
                    <w:jc w:val="center"/>
                    <w:rPr>
                      <w:bCs/>
                      <w:szCs w:val="24"/>
                    </w:rPr>
                  </w:pPr>
                  <w:r w:rsidRPr="00943AE3">
                    <w:rPr>
                      <w:bCs/>
                      <w:szCs w:val="24"/>
                    </w:rPr>
                    <w:t>$3,592</w:t>
                  </w:r>
                </w:p>
              </w:tc>
            </w:tr>
            <w:tr w:rsidR="005A4690" w:rsidRPr="00943AE3" w:rsidTr="005A4690">
              <w:trPr>
                <w:trHeight w:val="272"/>
              </w:trPr>
              <w:tc>
                <w:tcPr>
                  <w:tcW w:w="956" w:type="dxa"/>
                </w:tcPr>
                <w:p w:rsidR="005A4690" w:rsidRPr="00943AE3" w:rsidRDefault="005A4690" w:rsidP="005A4690">
                  <w:pPr>
                    <w:rPr>
                      <w:rFonts w:ascii="Times New Roman" w:hAnsi="Times New Roman"/>
                      <w:b/>
                      <w:szCs w:val="24"/>
                    </w:rPr>
                  </w:pPr>
                </w:p>
              </w:tc>
              <w:tc>
                <w:tcPr>
                  <w:tcW w:w="1856" w:type="dxa"/>
                </w:tcPr>
                <w:p w:rsidR="005A4690" w:rsidRPr="00943AE3" w:rsidRDefault="005A4690" w:rsidP="005A4690">
                  <w:pPr>
                    <w:pStyle w:val="Style"/>
                    <w:ind w:left="0" w:firstLine="0"/>
                    <w:jc w:val="center"/>
                    <w:rPr>
                      <w:bCs/>
                      <w:szCs w:val="24"/>
                    </w:rPr>
                  </w:pPr>
                  <w:r w:rsidRPr="00943AE3">
                    <w:rPr>
                      <w:bCs/>
                      <w:szCs w:val="24"/>
                    </w:rPr>
                    <w:t>1</w:t>
                  </w:r>
                </w:p>
              </w:tc>
              <w:tc>
                <w:tcPr>
                  <w:tcW w:w="2099" w:type="dxa"/>
                </w:tcPr>
                <w:p w:rsidR="005A4690" w:rsidRPr="00943AE3" w:rsidRDefault="005A4690" w:rsidP="005A4690">
                  <w:pPr>
                    <w:pStyle w:val="Style"/>
                    <w:ind w:left="0" w:firstLine="0"/>
                    <w:jc w:val="center"/>
                    <w:rPr>
                      <w:bCs/>
                      <w:szCs w:val="24"/>
                    </w:rPr>
                  </w:pPr>
                  <w:r w:rsidRPr="00943AE3">
                    <w:rPr>
                      <w:bCs/>
                      <w:szCs w:val="24"/>
                    </w:rPr>
                    <w:t>GS-7</w:t>
                  </w:r>
                </w:p>
              </w:tc>
              <w:tc>
                <w:tcPr>
                  <w:tcW w:w="1333" w:type="dxa"/>
                </w:tcPr>
                <w:p w:rsidR="005A4690" w:rsidRPr="00943AE3" w:rsidRDefault="005A4690" w:rsidP="005A4690">
                  <w:pPr>
                    <w:pStyle w:val="Style"/>
                    <w:ind w:left="0" w:firstLine="0"/>
                    <w:jc w:val="center"/>
                    <w:rPr>
                      <w:bCs/>
                      <w:szCs w:val="24"/>
                    </w:rPr>
                  </w:pPr>
                  <w:r w:rsidRPr="00943AE3">
                    <w:rPr>
                      <w:bCs/>
                      <w:szCs w:val="24"/>
                    </w:rPr>
                    <w:t>$20.22</w:t>
                  </w:r>
                </w:p>
              </w:tc>
              <w:tc>
                <w:tcPr>
                  <w:tcW w:w="1501" w:type="dxa"/>
                </w:tcPr>
                <w:p w:rsidR="005A4690" w:rsidRPr="00943AE3" w:rsidRDefault="005A4690" w:rsidP="005A4690">
                  <w:pPr>
                    <w:pStyle w:val="Style"/>
                    <w:ind w:left="0" w:firstLine="0"/>
                    <w:jc w:val="center"/>
                    <w:rPr>
                      <w:bCs/>
                      <w:szCs w:val="24"/>
                    </w:rPr>
                  </w:pPr>
                  <w:r w:rsidRPr="00943AE3">
                    <w:rPr>
                      <w:bCs/>
                      <w:szCs w:val="24"/>
                    </w:rPr>
                    <w:t>60</w:t>
                  </w:r>
                </w:p>
              </w:tc>
              <w:tc>
                <w:tcPr>
                  <w:tcW w:w="1247" w:type="dxa"/>
                </w:tcPr>
                <w:p w:rsidR="005A4690" w:rsidRPr="00943AE3" w:rsidRDefault="005A4690" w:rsidP="005A4690">
                  <w:pPr>
                    <w:pStyle w:val="Style"/>
                    <w:ind w:left="0" w:firstLine="0"/>
                    <w:jc w:val="center"/>
                    <w:rPr>
                      <w:bCs/>
                      <w:szCs w:val="24"/>
                    </w:rPr>
                  </w:pPr>
                  <w:r w:rsidRPr="00943AE3">
                    <w:rPr>
                      <w:bCs/>
                      <w:szCs w:val="24"/>
                    </w:rPr>
                    <w:t>$1,213</w:t>
                  </w:r>
                </w:p>
              </w:tc>
            </w:tr>
            <w:tr w:rsidR="005A4690" w:rsidRPr="00943AE3" w:rsidTr="005A4690">
              <w:trPr>
                <w:trHeight w:val="272"/>
              </w:trPr>
              <w:tc>
                <w:tcPr>
                  <w:tcW w:w="956" w:type="dxa"/>
                </w:tcPr>
                <w:p w:rsidR="005A4690" w:rsidRPr="00943AE3" w:rsidRDefault="00272F9B" w:rsidP="00272F9B">
                  <w:pPr>
                    <w:jc w:val="right"/>
                    <w:rPr>
                      <w:rFonts w:ascii="Times New Roman" w:hAnsi="Times New Roman"/>
                      <w:szCs w:val="24"/>
                    </w:rPr>
                  </w:pPr>
                  <w:r w:rsidRPr="00943AE3">
                    <w:rPr>
                      <w:rFonts w:ascii="Times New Roman" w:hAnsi="Times New Roman"/>
                      <w:szCs w:val="24"/>
                    </w:rPr>
                    <w:t>T</w:t>
                  </w:r>
                  <w:r w:rsidR="005A4690" w:rsidRPr="00943AE3">
                    <w:rPr>
                      <w:rFonts w:ascii="Times New Roman" w:hAnsi="Times New Roman"/>
                      <w:szCs w:val="24"/>
                    </w:rPr>
                    <w:t>otal</w:t>
                  </w:r>
                </w:p>
              </w:tc>
              <w:tc>
                <w:tcPr>
                  <w:tcW w:w="1856" w:type="dxa"/>
                </w:tcPr>
                <w:p w:rsidR="005A4690" w:rsidRPr="00943AE3" w:rsidRDefault="005A4690" w:rsidP="005A4690">
                  <w:pPr>
                    <w:pStyle w:val="Style"/>
                    <w:ind w:left="0" w:firstLine="0"/>
                    <w:jc w:val="center"/>
                    <w:rPr>
                      <w:bCs/>
                      <w:szCs w:val="24"/>
                    </w:rPr>
                  </w:pPr>
                  <w:r w:rsidRPr="00943AE3">
                    <w:rPr>
                      <w:bCs/>
                      <w:szCs w:val="24"/>
                    </w:rPr>
                    <w:t>5</w:t>
                  </w:r>
                </w:p>
              </w:tc>
              <w:tc>
                <w:tcPr>
                  <w:tcW w:w="2099" w:type="dxa"/>
                </w:tcPr>
                <w:p w:rsidR="005A4690" w:rsidRPr="00943AE3" w:rsidRDefault="005A4690" w:rsidP="005A4690">
                  <w:pPr>
                    <w:pStyle w:val="Style"/>
                    <w:ind w:left="0" w:firstLine="0"/>
                    <w:jc w:val="center"/>
                    <w:rPr>
                      <w:bCs/>
                      <w:szCs w:val="24"/>
                    </w:rPr>
                  </w:pPr>
                </w:p>
              </w:tc>
              <w:tc>
                <w:tcPr>
                  <w:tcW w:w="1333" w:type="dxa"/>
                </w:tcPr>
                <w:p w:rsidR="005A4690" w:rsidRPr="00943AE3" w:rsidRDefault="005A4690" w:rsidP="005A4690">
                  <w:pPr>
                    <w:pStyle w:val="Style"/>
                    <w:ind w:left="0" w:firstLine="0"/>
                    <w:jc w:val="center"/>
                    <w:rPr>
                      <w:bCs/>
                      <w:szCs w:val="24"/>
                    </w:rPr>
                  </w:pPr>
                </w:p>
              </w:tc>
              <w:tc>
                <w:tcPr>
                  <w:tcW w:w="1501" w:type="dxa"/>
                </w:tcPr>
                <w:p w:rsidR="005A4690" w:rsidRPr="00943AE3" w:rsidRDefault="005A4690" w:rsidP="005A4690">
                  <w:pPr>
                    <w:pStyle w:val="Style"/>
                    <w:ind w:left="0" w:firstLine="0"/>
                    <w:jc w:val="center"/>
                    <w:rPr>
                      <w:bCs/>
                      <w:szCs w:val="24"/>
                    </w:rPr>
                  </w:pPr>
                  <w:r w:rsidRPr="00943AE3">
                    <w:rPr>
                      <w:bCs/>
                      <w:szCs w:val="24"/>
                    </w:rPr>
                    <w:t>300</w:t>
                  </w:r>
                </w:p>
              </w:tc>
              <w:tc>
                <w:tcPr>
                  <w:tcW w:w="1247" w:type="dxa"/>
                </w:tcPr>
                <w:p w:rsidR="005A4690" w:rsidRPr="00943AE3" w:rsidRDefault="005A4690" w:rsidP="005A4690">
                  <w:pPr>
                    <w:pStyle w:val="Style"/>
                    <w:ind w:left="0" w:firstLine="0"/>
                    <w:jc w:val="center"/>
                    <w:rPr>
                      <w:bCs/>
                      <w:szCs w:val="24"/>
                    </w:rPr>
                  </w:pPr>
                  <w:r w:rsidRPr="00943AE3">
                    <w:rPr>
                      <w:bCs/>
                      <w:szCs w:val="24"/>
                    </w:rPr>
                    <w:t>$10,516</w:t>
                  </w:r>
                </w:p>
              </w:tc>
            </w:tr>
          </w:tbl>
          <w:p w:rsidR="000905F2" w:rsidRPr="00943AE3" w:rsidRDefault="000905F2" w:rsidP="000905F2">
            <w:pPr>
              <w:rPr>
                <w:rFonts w:ascii="Times New Roman" w:hAnsi="Times New Roman"/>
                <w:szCs w:val="24"/>
              </w:rPr>
            </w:pPr>
            <w:r w:rsidRPr="00943AE3">
              <w:rPr>
                <w:rFonts w:ascii="Times New Roman" w:hAnsi="Times New Roman"/>
                <w:szCs w:val="24"/>
              </w:rPr>
              <w:t xml:space="preserve">The </w:t>
            </w:r>
            <w:r w:rsidR="002F1FF3" w:rsidRPr="00943AE3">
              <w:rPr>
                <w:rFonts w:ascii="Times New Roman" w:hAnsi="Times New Roman"/>
                <w:szCs w:val="24"/>
              </w:rPr>
              <w:t xml:space="preserve">estimate </w:t>
            </w:r>
            <w:r w:rsidRPr="00943AE3">
              <w:rPr>
                <w:rFonts w:ascii="Times New Roman" w:hAnsi="Times New Roman"/>
                <w:szCs w:val="24"/>
              </w:rPr>
              <w:t>for staff time was calculated based on 300 total hours for staff to review applications. The estimates are the hour</w:t>
            </w:r>
            <w:r w:rsidR="00F72889">
              <w:rPr>
                <w:rFonts w:ascii="Times New Roman" w:hAnsi="Times New Roman"/>
                <w:szCs w:val="24"/>
              </w:rPr>
              <w:t>ly</w:t>
            </w:r>
            <w:r w:rsidRPr="00943AE3">
              <w:rPr>
                <w:rFonts w:ascii="Times New Roman" w:hAnsi="Times New Roman"/>
                <w:szCs w:val="24"/>
              </w:rPr>
              <w:t xml:space="preserve"> burdens for collections of information based on the GS hourly rates from the OPM Salary Table (2011-DCB). </w:t>
            </w:r>
            <w:r w:rsidR="00F72889">
              <w:rPr>
                <w:rFonts w:ascii="Times New Roman" w:hAnsi="Times New Roman"/>
                <w:szCs w:val="24"/>
              </w:rPr>
              <w:t xml:space="preserve"> </w:t>
            </w:r>
            <w:r w:rsidRPr="00943AE3">
              <w:rPr>
                <w:rFonts w:ascii="Times New Roman" w:hAnsi="Times New Roman"/>
                <w:szCs w:val="24"/>
              </w:rPr>
              <w:t xml:space="preserve">The calculation was based on the number of hours multiplied by the hourly rate per staff member. </w:t>
            </w:r>
          </w:p>
          <w:p w:rsidR="007E3C46" w:rsidRPr="00943AE3" w:rsidRDefault="007E3C46" w:rsidP="007E3C46">
            <w:pPr>
              <w:rPr>
                <w:rFonts w:ascii="Times New Roman" w:hAnsi="Times New Roman"/>
                <w:szCs w:val="24"/>
              </w:rPr>
            </w:pPr>
          </w:p>
          <w:p w:rsidR="00672A04" w:rsidRDefault="00672A04" w:rsidP="005A4690">
            <w:pPr>
              <w:jc w:val="center"/>
              <w:rPr>
                <w:rFonts w:ascii="Times New Roman" w:hAnsi="Times New Roman"/>
                <w:b/>
                <w:szCs w:val="24"/>
                <w:u w:val="single"/>
              </w:rPr>
            </w:pPr>
          </w:p>
          <w:p w:rsidR="00672A04" w:rsidRDefault="00672A04" w:rsidP="005A4690">
            <w:pPr>
              <w:jc w:val="center"/>
              <w:rPr>
                <w:rFonts w:ascii="Times New Roman" w:hAnsi="Times New Roman"/>
                <w:b/>
                <w:szCs w:val="24"/>
                <w:u w:val="single"/>
              </w:rPr>
            </w:pPr>
          </w:p>
          <w:p w:rsidR="007E3C46" w:rsidRPr="00943AE3" w:rsidRDefault="005A4690" w:rsidP="005A4690">
            <w:pPr>
              <w:jc w:val="center"/>
              <w:rPr>
                <w:rFonts w:ascii="Times New Roman" w:hAnsi="Times New Roman"/>
                <w:b/>
                <w:szCs w:val="24"/>
                <w:u w:val="single"/>
              </w:rPr>
            </w:pPr>
            <w:r w:rsidRPr="00943AE3">
              <w:rPr>
                <w:rFonts w:ascii="Times New Roman" w:hAnsi="Times New Roman"/>
                <w:b/>
                <w:szCs w:val="24"/>
                <w:u w:val="single"/>
              </w:rPr>
              <w:t>Review Process of Applications</w:t>
            </w:r>
          </w:p>
          <w:p w:rsidR="005A4690" w:rsidRPr="00943AE3" w:rsidRDefault="005A4690" w:rsidP="005A4690">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16"/>
              <w:gridCol w:w="3088"/>
            </w:tblGrid>
            <w:tr w:rsidR="005A4690" w:rsidRPr="00943AE3" w:rsidTr="005A4690">
              <w:tc>
                <w:tcPr>
                  <w:tcW w:w="3146" w:type="dxa"/>
                </w:tcPr>
                <w:p w:rsidR="005A4690" w:rsidRPr="00943AE3" w:rsidRDefault="005A4690" w:rsidP="000905F2">
                  <w:pPr>
                    <w:tabs>
                      <w:tab w:val="left" w:pos="-360"/>
                      <w:tab w:val="left" w:pos="0"/>
                      <w:tab w:val="left" w:pos="270"/>
                      <w:tab w:val="left" w:pos="1440"/>
                    </w:tabs>
                    <w:jc w:val="center"/>
                    <w:rPr>
                      <w:rFonts w:ascii="Times New Roman" w:hAnsi="Times New Roman"/>
                      <w:b/>
                      <w:szCs w:val="24"/>
                    </w:rPr>
                  </w:pPr>
                  <w:r w:rsidRPr="00943AE3">
                    <w:rPr>
                      <w:rFonts w:ascii="Times New Roman" w:hAnsi="Times New Roman"/>
                      <w:b/>
                      <w:szCs w:val="24"/>
                    </w:rPr>
                    <w:t>Activity</w:t>
                  </w:r>
                </w:p>
              </w:tc>
              <w:tc>
                <w:tcPr>
                  <w:tcW w:w="3116" w:type="dxa"/>
                </w:tcPr>
                <w:p w:rsidR="005A4690" w:rsidRPr="00943AE3" w:rsidRDefault="005A4690" w:rsidP="000905F2">
                  <w:pPr>
                    <w:tabs>
                      <w:tab w:val="left" w:pos="-360"/>
                      <w:tab w:val="left" w:pos="0"/>
                      <w:tab w:val="left" w:pos="270"/>
                      <w:tab w:val="left" w:pos="1440"/>
                    </w:tabs>
                    <w:jc w:val="center"/>
                    <w:rPr>
                      <w:rFonts w:ascii="Times New Roman" w:hAnsi="Times New Roman"/>
                      <w:b/>
                      <w:szCs w:val="24"/>
                    </w:rPr>
                  </w:pPr>
                  <w:r w:rsidRPr="00943AE3">
                    <w:rPr>
                      <w:rFonts w:ascii="Times New Roman" w:hAnsi="Times New Roman"/>
                      <w:b/>
                      <w:szCs w:val="24"/>
                    </w:rPr>
                    <w:t>Calculation</w:t>
                  </w:r>
                </w:p>
              </w:tc>
              <w:tc>
                <w:tcPr>
                  <w:tcW w:w="3088" w:type="dxa"/>
                </w:tcPr>
                <w:p w:rsidR="005A4690" w:rsidRPr="00943AE3" w:rsidRDefault="005A4690" w:rsidP="000905F2">
                  <w:pPr>
                    <w:tabs>
                      <w:tab w:val="left" w:pos="-360"/>
                      <w:tab w:val="left" w:pos="0"/>
                      <w:tab w:val="left" w:pos="270"/>
                      <w:tab w:val="left" w:pos="1440"/>
                    </w:tabs>
                    <w:jc w:val="center"/>
                    <w:rPr>
                      <w:rFonts w:ascii="Times New Roman" w:hAnsi="Times New Roman"/>
                      <w:b/>
                      <w:szCs w:val="24"/>
                    </w:rPr>
                  </w:pPr>
                  <w:r w:rsidRPr="00943AE3">
                    <w:rPr>
                      <w:rFonts w:ascii="Times New Roman" w:hAnsi="Times New Roman"/>
                      <w:b/>
                      <w:szCs w:val="24"/>
                    </w:rPr>
                    <w:t>Subtotal</w:t>
                  </w:r>
                </w:p>
              </w:tc>
            </w:tr>
            <w:tr w:rsidR="005A4690" w:rsidRPr="00943AE3" w:rsidTr="005A4690">
              <w:tc>
                <w:tcPr>
                  <w:tcW w:w="3146" w:type="dxa"/>
                </w:tcPr>
                <w:p w:rsidR="005A4690" w:rsidRPr="00943AE3" w:rsidRDefault="005A4690"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Mailing of grant applications to reviewers</w:t>
                  </w:r>
                </w:p>
              </w:tc>
              <w:tc>
                <w:tcPr>
                  <w:tcW w:w="311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w:t>
                  </w:r>
                  <w:r w:rsidR="005A4690" w:rsidRPr="00943AE3">
                    <w:rPr>
                      <w:rFonts w:ascii="Times New Roman" w:hAnsi="Times New Roman"/>
                      <w:szCs w:val="24"/>
                    </w:rPr>
                    <w:t xml:space="preserve"> x 5</w:t>
                  </w:r>
                  <w:r w:rsidRPr="00943AE3">
                    <w:rPr>
                      <w:rFonts w:ascii="Times New Roman" w:hAnsi="Times New Roman"/>
                      <w:szCs w:val="24"/>
                    </w:rPr>
                    <w:t xml:space="preserve"> applications</w:t>
                  </w:r>
                  <w:r w:rsidR="005A4690" w:rsidRPr="00943AE3">
                    <w:rPr>
                      <w:rFonts w:ascii="Times New Roman" w:hAnsi="Times New Roman"/>
                      <w:szCs w:val="24"/>
                    </w:rPr>
                    <w:t xml:space="preserve"> x $5.00</w:t>
                  </w:r>
                  <w:r w:rsidRPr="00943AE3">
                    <w:rPr>
                      <w:rFonts w:ascii="Times New Roman" w:hAnsi="Times New Roman"/>
                      <w:szCs w:val="24"/>
                    </w:rPr>
                    <w:t xml:space="preserve"> mailing cost</w:t>
                  </w:r>
                </w:p>
              </w:tc>
              <w:tc>
                <w:tcPr>
                  <w:tcW w:w="3088"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$1,875</w:t>
                  </w:r>
                </w:p>
              </w:tc>
            </w:tr>
            <w:tr w:rsidR="005A4690" w:rsidRPr="00943AE3" w:rsidTr="005A4690">
              <w:trPr>
                <w:trHeight w:val="86"/>
              </w:trPr>
              <w:tc>
                <w:tcPr>
                  <w:tcW w:w="314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honoraria</w:t>
                  </w:r>
                </w:p>
              </w:tc>
              <w:tc>
                <w:tcPr>
                  <w:tcW w:w="3116" w:type="dxa"/>
                </w:tcPr>
                <w:p w:rsidR="005A4690" w:rsidRPr="00943AE3" w:rsidRDefault="000905F2" w:rsidP="00713087">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 x $</w:t>
                  </w:r>
                  <w:r w:rsidR="00713087">
                    <w:rPr>
                      <w:rFonts w:ascii="Times New Roman" w:hAnsi="Times New Roman"/>
                      <w:szCs w:val="24"/>
                    </w:rPr>
                    <w:t>1050</w:t>
                  </w:r>
                  <w:r w:rsidRPr="00943AE3">
                    <w:rPr>
                      <w:rFonts w:ascii="Times New Roman" w:hAnsi="Times New Roman"/>
                      <w:szCs w:val="24"/>
                    </w:rPr>
                    <w:t>/reviewer</w:t>
                  </w:r>
                </w:p>
              </w:tc>
              <w:tc>
                <w:tcPr>
                  <w:tcW w:w="3088" w:type="dxa"/>
                </w:tcPr>
                <w:p w:rsidR="005A4690" w:rsidRPr="00943AE3" w:rsidRDefault="007F16E0" w:rsidP="00713087">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713087">
                    <w:rPr>
                      <w:rFonts w:ascii="Times New Roman" w:hAnsi="Times New Roman"/>
                      <w:szCs w:val="24"/>
                    </w:rPr>
                    <w:t>78,750</w:t>
                  </w:r>
                </w:p>
              </w:tc>
            </w:tr>
            <w:tr w:rsidR="00713087" w:rsidRPr="00943AE3" w:rsidTr="005A4690">
              <w:trPr>
                <w:trHeight w:val="86"/>
              </w:trPr>
              <w:tc>
                <w:tcPr>
                  <w:tcW w:w="3146" w:type="dxa"/>
                </w:tcPr>
                <w:p w:rsidR="00713087" w:rsidRPr="00943AE3" w:rsidRDefault="00713087" w:rsidP="000905F2">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Off site review of applications</w:t>
                  </w:r>
                </w:p>
              </w:tc>
              <w:tc>
                <w:tcPr>
                  <w:tcW w:w="3116" w:type="dxa"/>
                </w:tcPr>
                <w:p w:rsidR="00713087" w:rsidRPr="00943AE3" w:rsidRDefault="00713087" w:rsidP="00713087">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 xml:space="preserve">75 reviewers x$200x 3 apps </w:t>
                  </w:r>
                </w:p>
              </w:tc>
              <w:tc>
                <w:tcPr>
                  <w:tcW w:w="3088" w:type="dxa"/>
                </w:tcPr>
                <w:p w:rsidR="00713087" w:rsidRPr="00943AE3" w:rsidRDefault="00713087" w:rsidP="00713087">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$45,000</w:t>
                  </w:r>
                </w:p>
              </w:tc>
            </w:tr>
            <w:tr w:rsidR="00713087" w:rsidRPr="00943AE3" w:rsidTr="005A4690">
              <w:trPr>
                <w:trHeight w:val="86"/>
              </w:trPr>
              <w:tc>
                <w:tcPr>
                  <w:tcW w:w="3146" w:type="dxa"/>
                </w:tcPr>
                <w:p w:rsidR="00713087" w:rsidRPr="00943AE3" w:rsidRDefault="00713087" w:rsidP="000905F2">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Extra applications</w:t>
                  </w:r>
                </w:p>
              </w:tc>
              <w:tc>
                <w:tcPr>
                  <w:tcW w:w="3116" w:type="dxa"/>
                </w:tcPr>
                <w:p w:rsidR="00713087" w:rsidRPr="00943AE3" w:rsidRDefault="00713087" w:rsidP="00537D48">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$100/app over 3 apps x15 apps</w:t>
                  </w:r>
                </w:p>
              </w:tc>
              <w:tc>
                <w:tcPr>
                  <w:tcW w:w="3088" w:type="dxa"/>
                </w:tcPr>
                <w:p w:rsidR="00713087" w:rsidRPr="00943AE3" w:rsidRDefault="00713087" w:rsidP="000905F2">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$1,500</w:t>
                  </w:r>
                </w:p>
              </w:tc>
            </w:tr>
            <w:tr w:rsidR="005A4690" w:rsidRPr="00943AE3" w:rsidTr="005A4690">
              <w:trPr>
                <w:trHeight w:val="86"/>
              </w:trPr>
              <w:tc>
                <w:tcPr>
                  <w:tcW w:w="314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Panel Chair honoraria</w:t>
                  </w:r>
                </w:p>
              </w:tc>
              <w:tc>
                <w:tcPr>
                  <w:tcW w:w="3116" w:type="dxa"/>
                </w:tcPr>
                <w:p w:rsidR="005A4690" w:rsidRPr="00943AE3" w:rsidRDefault="000905F2" w:rsidP="00537D48">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 xml:space="preserve">15 panel chairs </w:t>
                  </w:r>
                  <w:r w:rsidR="00537D48" w:rsidRPr="00943AE3">
                    <w:rPr>
                      <w:rFonts w:ascii="Times New Roman" w:hAnsi="Times New Roman"/>
                      <w:szCs w:val="24"/>
                    </w:rPr>
                    <w:t>x</w:t>
                  </w:r>
                  <w:r w:rsidRPr="00943AE3">
                    <w:rPr>
                      <w:rFonts w:ascii="Times New Roman" w:hAnsi="Times New Roman"/>
                      <w:szCs w:val="24"/>
                    </w:rPr>
                    <w:t xml:space="preserve"> $150 x 2 days</w:t>
                  </w:r>
                </w:p>
              </w:tc>
              <w:tc>
                <w:tcPr>
                  <w:tcW w:w="3088"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$4,500</w:t>
                  </w:r>
                </w:p>
              </w:tc>
            </w:tr>
            <w:tr w:rsidR="005A4690" w:rsidRPr="00943AE3" w:rsidTr="005A4690">
              <w:trPr>
                <w:trHeight w:val="86"/>
              </w:trPr>
              <w:tc>
                <w:tcPr>
                  <w:tcW w:w="314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lastRenderedPageBreak/>
                    <w:t>Reviewer Lodging</w:t>
                  </w:r>
                </w:p>
              </w:tc>
              <w:tc>
                <w:tcPr>
                  <w:tcW w:w="311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 x $224/night x 3 nights</w:t>
                  </w:r>
                </w:p>
              </w:tc>
              <w:tc>
                <w:tcPr>
                  <w:tcW w:w="3088"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$50,400</w:t>
                  </w:r>
                </w:p>
              </w:tc>
            </w:tr>
            <w:tr w:rsidR="005A4690" w:rsidRPr="00943AE3" w:rsidTr="005A4690">
              <w:trPr>
                <w:trHeight w:val="86"/>
              </w:trPr>
              <w:tc>
                <w:tcPr>
                  <w:tcW w:w="314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Per diem</w:t>
                  </w:r>
                </w:p>
              </w:tc>
              <w:tc>
                <w:tcPr>
                  <w:tcW w:w="311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 x $71/day x 2 days</w:t>
                  </w:r>
                </w:p>
              </w:tc>
              <w:tc>
                <w:tcPr>
                  <w:tcW w:w="3088"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$10,650</w:t>
                  </w:r>
                </w:p>
              </w:tc>
            </w:tr>
            <w:tr w:rsidR="005A4690" w:rsidRPr="00943AE3" w:rsidTr="005A4690">
              <w:trPr>
                <w:trHeight w:val="86"/>
              </w:trPr>
              <w:tc>
                <w:tcPr>
                  <w:tcW w:w="314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Per diem/travel days</w:t>
                  </w:r>
                </w:p>
              </w:tc>
              <w:tc>
                <w:tcPr>
                  <w:tcW w:w="311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 x $53.25 x 2 days</w:t>
                  </w:r>
                </w:p>
              </w:tc>
              <w:tc>
                <w:tcPr>
                  <w:tcW w:w="3088"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$7,988</w:t>
                  </w:r>
                </w:p>
              </w:tc>
            </w:tr>
            <w:tr w:rsidR="005A4690" w:rsidRPr="00943AE3" w:rsidTr="005A4690">
              <w:trPr>
                <w:trHeight w:val="86"/>
              </w:trPr>
              <w:tc>
                <w:tcPr>
                  <w:tcW w:w="314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Roundtrip travel</w:t>
                  </w:r>
                </w:p>
              </w:tc>
              <w:tc>
                <w:tcPr>
                  <w:tcW w:w="311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 x $900</w:t>
                  </w:r>
                </w:p>
              </w:tc>
              <w:tc>
                <w:tcPr>
                  <w:tcW w:w="3088"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$67,500</w:t>
                  </w:r>
                </w:p>
              </w:tc>
            </w:tr>
            <w:tr w:rsidR="005A4690" w:rsidRPr="00943AE3" w:rsidTr="005A4690">
              <w:trPr>
                <w:trHeight w:val="86"/>
              </w:trPr>
              <w:tc>
                <w:tcPr>
                  <w:tcW w:w="314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ground transportation</w:t>
                  </w:r>
                </w:p>
              </w:tc>
              <w:tc>
                <w:tcPr>
                  <w:tcW w:w="311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 x $100 x 2 days</w:t>
                  </w:r>
                </w:p>
              </w:tc>
              <w:tc>
                <w:tcPr>
                  <w:tcW w:w="3088"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$15,000</w:t>
                  </w:r>
                </w:p>
              </w:tc>
            </w:tr>
            <w:tr w:rsidR="005A4690" w:rsidRPr="00943AE3" w:rsidTr="005A4690">
              <w:trPr>
                <w:trHeight w:val="86"/>
              </w:trPr>
              <w:tc>
                <w:tcPr>
                  <w:tcW w:w="314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Postage for application and return envelopes for signed forms</w:t>
                  </w:r>
                </w:p>
              </w:tc>
              <w:tc>
                <w:tcPr>
                  <w:tcW w:w="3116"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 x $30 per reviewer</w:t>
                  </w:r>
                </w:p>
              </w:tc>
              <w:tc>
                <w:tcPr>
                  <w:tcW w:w="3088" w:type="dxa"/>
                </w:tcPr>
                <w:p w:rsidR="005A4690"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$2,250</w:t>
                  </w:r>
                </w:p>
              </w:tc>
            </w:tr>
            <w:tr w:rsidR="000905F2" w:rsidRPr="00943AE3" w:rsidTr="00272F9B">
              <w:trPr>
                <w:trHeight w:val="86"/>
              </w:trPr>
              <w:tc>
                <w:tcPr>
                  <w:tcW w:w="3146" w:type="dxa"/>
                </w:tcPr>
                <w:p w:rsidR="000905F2"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Office expenses</w:t>
                  </w:r>
                </w:p>
              </w:tc>
              <w:tc>
                <w:tcPr>
                  <w:tcW w:w="3116" w:type="dxa"/>
                </w:tcPr>
                <w:p w:rsidR="000905F2"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75 reviewers x $25 per reviewer</w:t>
                  </w:r>
                </w:p>
              </w:tc>
              <w:tc>
                <w:tcPr>
                  <w:tcW w:w="3088" w:type="dxa"/>
                </w:tcPr>
                <w:p w:rsidR="000905F2" w:rsidRPr="00943AE3" w:rsidRDefault="000905F2" w:rsidP="000905F2">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$1,875</w:t>
                  </w:r>
                </w:p>
              </w:tc>
            </w:tr>
            <w:tr w:rsidR="000905F2" w:rsidRPr="00943AE3" w:rsidTr="00272F9B">
              <w:trPr>
                <w:trHeight w:val="86"/>
              </w:trPr>
              <w:tc>
                <w:tcPr>
                  <w:tcW w:w="3146" w:type="dxa"/>
                </w:tcPr>
                <w:p w:rsidR="000905F2" w:rsidRPr="00943AE3" w:rsidRDefault="00BB4554" w:rsidP="00BB4554">
                  <w:pPr>
                    <w:tabs>
                      <w:tab w:val="left" w:pos="-360"/>
                      <w:tab w:val="left" w:pos="0"/>
                      <w:tab w:val="left" w:pos="270"/>
                      <w:tab w:val="left" w:pos="1440"/>
                    </w:tabs>
                    <w:jc w:val="right"/>
                    <w:rPr>
                      <w:rFonts w:ascii="Times New Roman" w:hAnsi="Times New Roman"/>
                      <w:szCs w:val="24"/>
                    </w:rPr>
                  </w:pPr>
                  <w:r w:rsidRPr="00943AE3">
                    <w:rPr>
                      <w:rFonts w:ascii="Times New Roman" w:hAnsi="Times New Roman"/>
                      <w:szCs w:val="24"/>
                    </w:rPr>
                    <w:t>Total</w:t>
                  </w:r>
                </w:p>
              </w:tc>
              <w:tc>
                <w:tcPr>
                  <w:tcW w:w="3116" w:type="dxa"/>
                </w:tcPr>
                <w:p w:rsidR="000905F2" w:rsidRPr="00943AE3" w:rsidRDefault="000905F2" w:rsidP="00272F9B">
                  <w:pPr>
                    <w:tabs>
                      <w:tab w:val="left" w:pos="-360"/>
                      <w:tab w:val="left" w:pos="0"/>
                      <w:tab w:val="left" w:pos="270"/>
                      <w:tab w:val="left" w:pos="1440"/>
                    </w:tabs>
                    <w:jc w:val="center"/>
                    <w:rPr>
                      <w:rFonts w:ascii="Times New Roman" w:hAnsi="Times New Roman"/>
                      <w:szCs w:val="24"/>
                    </w:rPr>
                  </w:pPr>
                </w:p>
              </w:tc>
              <w:tc>
                <w:tcPr>
                  <w:tcW w:w="3088" w:type="dxa"/>
                </w:tcPr>
                <w:p w:rsidR="000905F2" w:rsidRPr="00943AE3" w:rsidRDefault="00BB4554" w:rsidP="00272F9B">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$227,663</w:t>
                  </w:r>
                </w:p>
              </w:tc>
            </w:tr>
          </w:tbl>
          <w:p w:rsidR="005A4690" w:rsidRPr="00943AE3" w:rsidRDefault="000905F2" w:rsidP="007E3C46">
            <w:pPr>
              <w:rPr>
                <w:rFonts w:ascii="Times New Roman" w:hAnsi="Times New Roman"/>
                <w:szCs w:val="24"/>
              </w:rPr>
            </w:pPr>
            <w:r w:rsidRPr="00943AE3">
              <w:rPr>
                <w:rFonts w:ascii="Times New Roman" w:hAnsi="Times New Roman"/>
                <w:szCs w:val="24"/>
              </w:rPr>
              <w:t xml:space="preserve">The </w:t>
            </w:r>
            <w:r w:rsidR="002F1FF3" w:rsidRPr="00943AE3">
              <w:rPr>
                <w:rFonts w:ascii="Times New Roman" w:hAnsi="Times New Roman"/>
                <w:szCs w:val="24"/>
              </w:rPr>
              <w:t xml:space="preserve">estimates reflect a projection of 75 reviewers for the competition. </w:t>
            </w:r>
            <w:r w:rsidR="00F72889">
              <w:rPr>
                <w:rFonts w:ascii="Times New Roman" w:hAnsi="Times New Roman"/>
                <w:szCs w:val="24"/>
              </w:rPr>
              <w:t xml:space="preserve"> </w:t>
            </w:r>
            <w:r w:rsidR="002F1FF3" w:rsidRPr="00943AE3">
              <w:rPr>
                <w:rFonts w:ascii="Times New Roman" w:hAnsi="Times New Roman"/>
                <w:szCs w:val="24"/>
              </w:rPr>
              <w:t>Each reviewer will receive an honorarium of $</w:t>
            </w:r>
            <w:r w:rsidR="00713087">
              <w:rPr>
                <w:rFonts w:ascii="Times New Roman" w:hAnsi="Times New Roman"/>
                <w:szCs w:val="24"/>
              </w:rPr>
              <w:t xml:space="preserve">1,050 </w:t>
            </w:r>
            <w:r w:rsidR="002F1FF3" w:rsidRPr="00943AE3">
              <w:rPr>
                <w:rFonts w:ascii="Times New Roman" w:hAnsi="Times New Roman"/>
                <w:szCs w:val="24"/>
              </w:rPr>
              <w:t>for the review</w:t>
            </w:r>
            <w:r w:rsidR="00DC7949">
              <w:rPr>
                <w:rFonts w:ascii="Times New Roman" w:hAnsi="Times New Roman"/>
                <w:szCs w:val="24"/>
              </w:rPr>
              <w:t xml:space="preserve">. </w:t>
            </w:r>
            <w:r w:rsidR="002F1FF3" w:rsidRPr="00943AE3">
              <w:rPr>
                <w:rFonts w:ascii="Times New Roman" w:hAnsi="Times New Roman"/>
                <w:szCs w:val="24"/>
              </w:rPr>
              <w:t>Panel chairs will receive an additional $150/day</w:t>
            </w:r>
            <w:r w:rsidR="00DC7949">
              <w:rPr>
                <w:rFonts w:ascii="Times New Roman" w:hAnsi="Times New Roman"/>
                <w:szCs w:val="24"/>
              </w:rPr>
              <w:t xml:space="preserve"> for each day of the review. </w:t>
            </w:r>
            <w:r w:rsidR="002F1FF3" w:rsidRPr="00943AE3">
              <w:rPr>
                <w:rFonts w:ascii="Times New Roman" w:hAnsi="Times New Roman"/>
                <w:szCs w:val="24"/>
              </w:rPr>
              <w:t xml:space="preserve">The additional payment to the panel chair was based on previous competitions. </w:t>
            </w:r>
            <w:r w:rsidR="00F72889">
              <w:rPr>
                <w:rFonts w:ascii="Times New Roman" w:hAnsi="Times New Roman"/>
                <w:szCs w:val="24"/>
              </w:rPr>
              <w:t xml:space="preserve"> </w:t>
            </w:r>
            <w:r w:rsidR="002F1FF3" w:rsidRPr="00943AE3">
              <w:rPr>
                <w:rFonts w:ascii="Times New Roman" w:hAnsi="Times New Roman"/>
                <w:szCs w:val="24"/>
              </w:rPr>
              <w:t>L</w:t>
            </w:r>
            <w:r w:rsidRPr="00943AE3">
              <w:rPr>
                <w:rFonts w:ascii="Times New Roman" w:hAnsi="Times New Roman"/>
                <w:szCs w:val="24"/>
              </w:rPr>
              <w:t xml:space="preserve">odging and per diem </w:t>
            </w:r>
            <w:r w:rsidR="000355F8">
              <w:rPr>
                <w:rFonts w:ascii="Times New Roman" w:hAnsi="Times New Roman"/>
                <w:szCs w:val="24"/>
              </w:rPr>
              <w:t xml:space="preserve">costs </w:t>
            </w:r>
            <w:r w:rsidRPr="00943AE3">
              <w:rPr>
                <w:rFonts w:ascii="Times New Roman" w:hAnsi="Times New Roman"/>
                <w:szCs w:val="24"/>
              </w:rPr>
              <w:t xml:space="preserve">were calculated based on FY 2012 rates for the District of Columbia. </w:t>
            </w:r>
            <w:r w:rsidR="00F72889">
              <w:rPr>
                <w:rFonts w:ascii="Times New Roman" w:hAnsi="Times New Roman"/>
                <w:szCs w:val="24"/>
              </w:rPr>
              <w:t xml:space="preserve"> </w:t>
            </w:r>
            <w:r w:rsidRPr="00943AE3">
              <w:rPr>
                <w:rFonts w:ascii="Times New Roman" w:hAnsi="Times New Roman"/>
                <w:szCs w:val="24"/>
              </w:rPr>
              <w:t xml:space="preserve">Roundtrip travel is based on </w:t>
            </w:r>
            <w:r w:rsidR="00F72889">
              <w:rPr>
                <w:rFonts w:ascii="Times New Roman" w:hAnsi="Times New Roman"/>
                <w:szCs w:val="24"/>
              </w:rPr>
              <w:t xml:space="preserve">the </w:t>
            </w:r>
            <w:r w:rsidRPr="00943AE3">
              <w:rPr>
                <w:rFonts w:ascii="Times New Roman" w:hAnsi="Times New Roman"/>
                <w:szCs w:val="24"/>
              </w:rPr>
              <w:t>maximum possible amount for airfare.</w:t>
            </w:r>
          </w:p>
          <w:p w:rsidR="000905F2" w:rsidRPr="00943AE3" w:rsidRDefault="000905F2" w:rsidP="007E3C46">
            <w:pPr>
              <w:rPr>
                <w:rFonts w:ascii="Times New Roman" w:hAnsi="Times New Roman"/>
                <w:szCs w:val="24"/>
              </w:rPr>
            </w:pPr>
          </w:p>
          <w:p w:rsidR="005A4690" w:rsidRPr="00943AE3" w:rsidRDefault="005A4690" w:rsidP="007E3C46">
            <w:pPr>
              <w:rPr>
                <w:rFonts w:ascii="Times New Roman" w:hAnsi="Times New Roman"/>
                <w:szCs w:val="24"/>
              </w:rPr>
            </w:pPr>
            <w:r w:rsidRPr="00943AE3">
              <w:rPr>
                <w:rFonts w:ascii="Times New Roman" w:hAnsi="Times New Roman"/>
                <w:b/>
                <w:szCs w:val="24"/>
              </w:rPr>
              <w:t>Estim</w:t>
            </w:r>
            <w:r w:rsidR="00537D48" w:rsidRPr="00943AE3">
              <w:rPr>
                <w:rFonts w:ascii="Times New Roman" w:hAnsi="Times New Roman"/>
                <w:b/>
                <w:szCs w:val="24"/>
              </w:rPr>
              <w:t>ated total cost to the Federal g</w:t>
            </w:r>
            <w:r w:rsidRPr="00943AE3">
              <w:rPr>
                <w:rFonts w:ascii="Times New Roman" w:hAnsi="Times New Roman"/>
                <w:b/>
                <w:szCs w:val="24"/>
              </w:rPr>
              <w:t xml:space="preserve">overnment: </w:t>
            </w:r>
            <w:r w:rsidR="00BB4554" w:rsidRPr="00943AE3">
              <w:rPr>
                <w:rFonts w:ascii="Times New Roman" w:hAnsi="Times New Roman"/>
                <w:b/>
                <w:szCs w:val="24"/>
              </w:rPr>
              <w:t>$</w:t>
            </w:r>
            <w:r w:rsidR="00713087">
              <w:rPr>
                <w:rFonts w:ascii="Times New Roman" w:hAnsi="Times New Roman"/>
                <w:b/>
                <w:szCs w:val="24"/>
              </w:rPr>
              <w:t>310, 952</w:t>
            </w:r>
          </w:p>
          <w:p w:rsidR="005A4690" w:rsidRPr="00943AE3" w:rsidRDefault="005A4690" w:rsidP="007E3C46">
            <w:pPr>
              <w:rPr>
                <w:rFonts w:ascii="Times New Roman" w:hAnsi="Times New Roman"/>
                <w:szCs w:val="24"/>
              </w:rPr>
            </w:pPr>
          </w:p>
        </w:tc>
      </w:tr>
    </w:tbl>
    <w:p w:rsidR="00BB4554" w:rsidRPr="00943AE3" w:rsidRDefault="00BB4554" w:rsidP="00361C6B">
      <w:pPr>
        <w:tabs>
          <w:tab w:val="left" w:pos="-360"/>
          <w:tab w:val="left" w:pos="0"/>
          <w:tab w:val="left" w:pos="270"/>
          <w:tab w:val="left" w:pos="1440"/>
        </w:tabs>
        <w:jc w:val="both"/>
        <w:rPr>
          <w:rFonts w:ascii="Times New Roman" w:hAnsi="Times New Roman"/>
          <w:szCs w:val="24"/>
        </w:rPr>
      </w:pPr>
    </w:p>
    <w:p w:rsidR="00361C6B" w:rsidRPr="00943AE3" w:rsidRDefault="00361C6B" w:rsidP="00361C6B">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15. Explain the reasons for any program changes or adjustments reported in Item 16 of IC Data Part 1.</w:t>
      </w:r>
    </w:p>
    <w:p w:rsidR="00361C6B" w:rsidRPr="00943AE3" w:rsidRDefault="00361C6B" w:rsidP="00361C6B">
      <w:pPr>
        <w:tabs>
          <w:tab w:val="left" w:pos="-360"/>
          <w:tab w:val="left" w:pos="0"/>
          <w:tab w:val="left" w:pos="270"/>
          <w:tab w:val="left" w:pos="1440"/>
        </w:tabs>
        <w:jc w:val="both"/>
        <w:rPr>
          <w:rFonts w:ascii="Times New Roman" w:hAnsi="Times New Roman"/>
          <w:szCs w:val="24"/>
        </w:rPr>
      </w:pPr>
    </w:p>
    <w:p w:rsidR="00361C6B" w:rsidRPr="00943AE3" w:rsidRDefault="00272F9B" w:rsidP="00361C6B">
      <w:pPr>
        <w:tabs>
          <w:tab w:val="left" w:pos="-360"/>
          <w:tab w:val="left" w:pos="0"/>
          <w:tab w:val="left" w:pos="270"/>
          <w:tab w:val="left" w:pos="1440"/>
        </w:tabs>
        <w:jc w:val="both"/>
        <w:rPr>
          <w:rFonts w:ascii="Times New Roman" w:hAnsi="Times New Roman"/>
          <w:b/>
          <w:szCs w:val="24"/>
        </w:rPr>
      </w:pPr>
      <w:r w:rsidRPr="00943AE3">
        <w:rPr>
          <w:rFonts w:ascii="Times New Roman" w:hAnsi="Times New Roman"/>
          <w:b/>
          <w:szCs w:val="24"/>
        </w:rPr>
        <w:tab/>
      </w:r>
      <w:r w:rsidR="00361C6B" w:rsidRPr="00943AE3">
        <w:rPr>
          <w:rFonts w:ascii="Times New Roman" w:hAnsi="Times New Roman"/>
          <w:b/>
          <w:szCs w:val="24"/>
        </w:rPr>
        <w:t>There are no significant program changes or adjustments.</w:t>
      </w:r>
    </w:p>
    <w:p w:rsidR="00361C6B" w:rsidRPr="00943AE3" w:rsidRDefault="00361C6B" w:rsidP="00361C6B">
      <w:pPr>
        <w:tabs>
          <w:tab w:val="left" w:pos="-360"/>
          <w:tab w:val="left" w:pos="0"/>
          <w:tab w:val="left" w:pos="270"/>
          <w:tab w:val="left" w:pos="1440"/>
        </w:tabs>
        <w:rPr>
          <w:rFonts w:ascii="Times New Roman" w:hAnsi="Times New Roman"/>
          <w:szCs w:val="24"/>
        </w:rPr>
      </w:pPr>
    </w:p>
    <w:p w:rsidR="00361C6B" w:rsidRPr="00943AE3" w:rsidRDefault="00361C6B" w:rsidP="00361C6B">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1C6B" w:rsidRPr="00943AE3" w:rsidRDefault="00361C6B" w:rsidP="00361C6B">
      <w:pPr>
        <w:tabs>
          <w:tab w:val="left" w:pos="-360"/>
          <w:tab w:val="left" w:pos="0"/>
          <w:tab w:val="left" w:pos="270"/>
          <w:tab w:val="left" w:pos="1440"/>
        </w:tabs>
        <w:jc w:val="both"/>
        <w:rPr>
          <w:rFonts w:ascii="Times New Roman" w:hAnsi="Times New Roman"/>
          <w:szCs w:val="24"/>
        </w:rPr>
      </w:pPr>
    </w:p>
    <w:p w:rsidR="00361C6B" w:rsidRPr="00943AE3" w:rsidRDefault="00272F9B" w:rsidP="00361C6B">
      <w:pPr>
        <w:tabs>
          <w:tab w:val="left" w:pos="-360"/>
          <w:tab w:val="left" w:pos="0"/>
          <w:tab w:val="left" w:pos="270"/>
          <w:tab w:val="left" w:pos="1440"/>
        </w:tabs>
        <w:jc w:val="both"/>
        <w:rPr>
          <w:rFonts w:ascii="Times New Roman" w:hAnsi="Times New Roman"/>
          <w:b/>
          <w:szCs w:val="24"/>
        </w:rPr>
      </w:pPr>
      <w:r w:rsidRPr="00943AE3">
        <w:rPr>
          <w:rFonts w:ascii="Times New Roman" w:hAnsi="Times New Roman"/>
          <w:b/>
          <w:szCs w:val="24"/>
        </w:rPr>
        <w:tab/>
      </w:r>
      <w:r w:rsidR="00361C6B" w:rsidRPr="00943AE3">
        <w:rPr>
          <w:rFonts w:ascii="Times New Roman" w:hAnsi="Times New Roman"/>
          <w:b/>
          <w:szCs w:val="24"/>
        </w:rPr>
        <w:t>There are no plans to publish the results of this data collection.</w:t>
      </w:r>
    </w:p>
    <w:p w:rsidR="00361C6B" w:rsidRPr="00943AE3" w:rsidRDefault="00361C6B" w:rsidP="00361C6B">
      <w:pPr>
        <w:tabs>
          <w:tab w:val="left" w:pos="-360"/>
          <w:tab w:val="left" w:pos="0"/>
          <w:tab w:val="left" w:pos="270"/>
          <w:tab w:val="left" w:pos="1440"/>
        </w:tabs>
        <w:rPr>
          <w:rFonts w:ascii="Times New Roman" w:hAnsi="Times New Roman"/>
          <w:szCs w:val="24"/>
        </w:rPr>
      </w:pPr>
    </w:p>
    <w:p w:rsidR="00361C6B" w:rsidRPr="00943AE3" w:rsidRDefault="00361C6B" w:rsidP="00361C6B">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17.  If seeking approval to not display the expiration date for OMB approval of the information collection, explain the reasons that display would be inappropriate.</w:t>
      </w:r>
    </w:p>
    <w:p w:rsidR="00361C6B" w:rsidRPr="00943AE3" w:rsidRDefault="00361C6B" w:rsidP="00361C6B">
      <w:pPr>
        <w:tabs>
          <w:tab w:val="left" w:pos="-360"/>
          <w:tab w:val="left" w:pos="0"/>
          <w:tab w:val="left" w:pos="270"/>
          <w:tab w:val="left" w:pos="1440"/>
        </w:tabs>
        <w:jc w:val="both"/>
        <w:rPr>
          <w:rFonts w:ascii="Times New Roman" w:hAnsi="Times New Roman"/>
          <w:szCs w:val="24"/>
        </w:rPr>
      </w:pPr>
    </w:p>
    <w:p w:rsidR="00361C6B" w:rsidRPr="00943AE3" w:rsidRDefault="00272F9B" w:rsidP="00361C6B">
      <w:pPr>
        <w:tabs>
          <w:tab w:val="left" w:pos="-360"/>
          <w:tab w:val="left" w:pos="0"/>
          <w:tab w:val="left" w:pos="270"/>
          <w:tab w:val="left" w:pos="1440"/>
        </w:tabs>
        <w:jc w:val="both"/>
        <w:rPr>
          <w:rFonts w:ascii="Times New Roman" w:hAnsi="Times New Roman"/>
          <w:b/>
          <w:szCs w:val="24"/>
        </w:rPr>
      </w:pPr>
      <w:r w:rsidRPr="00943AE3">
        <w:rPr>
          <w:rFonts w:ascii="Times New Roman" w:hAnsi="Times New Roman"/>
          <w:b/>
          <w:szCs w:val="24"/>
        </w:rPr>
        <w:tab/>
      </w:r>
      <w:r w:rsidR="00361C6B" w:rsidRPr="00943AE3">
        <w:rPr>
          <w:rFonts w:ascii="Times New Roman" w:hAnsi="Times New Roman"/>
          <w:b/>
          <w:szCs w:val="24"/>
        </w:rPr>
        <w:t>The Department is not seeking this approval.</w:t>
      </w:r>
    </w:p>
    <w:p w:rsidR="00361C6B" w:rsidRPr="00943AE3" w:rsidRDefault="00361C6B" w:rsidP="00361C6B">
      <w:pPr>
        <w:tabs>
          <w:tab w:val="left" w:pos="-360"/>
          <w:tab w:val="left" w:pos="0"/>
          <w:tab w:val="left" w:pos="270"/>
          <w:tab w:val="left" w:pos="1440"/>
        </w:tabs>
        <w:rPr>
          <w:rFonts w:ascii="Times New Roman" w:hAnsi="Times New Roman"/>
          <w:szCs w:val="24"/>
        </w:rPr>
      </w:pPr>
    </w:p>
    <w:p w:rsidR="00361C6B" w:rsidRPr="00943AE3" w:rsidRDefault="00361C6B" w:rsidP="00361C6B">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18. Explain each exception to the certification statement identified in the "Certification for Paperwork Reduction Act Submissions" Form.</w:t>
      </w:r>
    </w:p>
    <w:p w:rsidR="00361C6B" w:rsidRPr="00943AE3" w:rsidRDefault="00361C6B" w:rsidP="00361C6B">
      <w:pPr>
        <w:tabs>
          <w:tab w:val="left" w:pos="-360"/>
          <w:tab w:val="left" w:pos="0"/>
          <w:tab w:val="left" w:pos="270"/>
          <w:tab w:val="left" w:pos="1440"/>
        </w:tabs>
        <w:jc w:val="both"/>
        <w:rPr>
          <w:rFonts w:ascii="Times New Roman" w:hAnsi="Times New Roman"/>
          <w:szCs w:val="24"/>
        </w:rPr>
      </w:pPr>
    </w:p>
    <w:p w:rsidR="00361C6B" w:rsidRPr="00943AE3" w:rsidRDefault="00272F9B" w:rsidP="00361C6B">
      <w:pPr>
        <w:tabs>
          <w:tab w:val="left" w:pos="-360"/>
          <w:tab w:val="left" w:pos="0"/>
          <w:tab w:val="left" w:pos="270"/>
          <w:tab w:val="left" w:pos="1440"/>
        </w:tabs>
        <w:jc w:val="both"/>
        <w:rPr>
          <w:rFonts w:ascii="Times New Roman" w:hAnsi="Times New Roman"/>
          <w:b/>
          <w:szCs w:val="24"/>
        </w:rPr>
      </w:pPr>
      <w:r w:rsidRPr="00943AE3">
        <w:rPr>
          <w:rFonts w:ascii="Times New Roman" w:hAnsi="Times New Roman"/>
          <w:b/>
          <w:szCs w:val="24"/>
        </w:rPr>
        <w:tab/>
      </w:r>
      <w:r w:rsidR="00361C6B" w:rsidRPr="00943AE3">
        <w:rPr>
          <w:rFonts w:ascii="Times New Roman" w:hAnsi="Times New Roman"/>
          <w:b/>
          <w:szCs w:val="24"/>
        </w:rPr>
        <w:t>There are no exceptions to the referenced certification statement.</w:t>
      </w:r>
    </w:p>
    <w:p w:rsidR="00361C6B" w:rsidRPr="00943AE3" w:rsidRDefault="00361C6B" w:rsidP="00361C6B">
      <w:pPr>
        <w:rPr>
          <w:rFonts w:ascii="Times New Roman" w:hAnsi="Times New Roman"/>
          <w:color w:val="1F497D"/>
          <w:szCs w:val="24"/>
        </w:rPr>
      </w:pPr>
    </w:p>
    <w:p w:rsidR="00361C6B" w:rsidRPr="00943AE3" w:rsidRDefault="00361C6B" w:rsidP="00361C6B">
      <w:pPr>
        <w:rPr>
          <w:rFonts w:ascii="Times New Roman" w:hAnsi="Times New Roman"/>
          <w:szCs w:val="24"/>
        </w:rPr>
      </w:pPr>
    </w:p>
    <w:p w:rsidR="00107E13" w:rsidRPr="00943AE3" w:rsidRDefault="00107E13" w:rsidP="00107E13">
      <w:pPr>
        <w:rPr>
          <w:rFonts w:ascii="Times New Roman" w:hAnsi="Times New Roman"/>
          <w:szCs w:val="24"/>
        </w:rPr>
      </w:pPr>
    </w:p>
    <w:p w:rsidR="004922B1" w:rsidRPr="00943AE3" w:rsidRDefault="004922B1">
      <w:pPr>
        <w:rPr>
          <w:rFonts w:ascii="Times New Roman" w:hAnsi="Times New Roman"/>
          <w:szCs w:val="24"/>
        </w:rPr>
      </w:pPr>
    </w:p>
    <w:sectPr w:rsidR="004922B1" w:rsidRPr="00943AE3" w:rsidSect="00772D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6F5" w:rsidRDefault="003A66F5" w:rsidP="00107E13">
      <w:r>
        <w:separator/>
      </w:r>
    </w:p>
  </w:endnote>
  <w:endnote w:type="continuationSeparator" w:id="0">
    <w:p w:rsidR="003A66F5" w:rsidRDefault="003A66F5" w:rsidP="0010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04" w:rsidRDefault="00672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E0" w:rsidRDefault="00D9670A">
    <w:pPr>
      <w:pStyle w:val="Footer"/>
      <w:jc w:val="center"/>
    </w:pPr>
    <w:r w:rsidRPr="004455DD">
      <w:rPr>
        <w:rFonts w:ascii="Times New Roman" w:hAnsi="Times New Roman"/>
        <w:szCs w:val="24"/>
      </w:rPr>
      <w:fldChar w:fldCharType="begin"/>
    </w:r>
    <w:r w:rsidR="007F16E0" w:rsidRPr="004455DD">
      <w:rPr>
        <w:rFonts w:ascii="Times New Roman" w:hAnsi="Times New Roman"/>
        <w:szCs w:val="24"/>
      </w:rPr>
      <w:instrText xml:space="preserve"> PAGE   \* MERGEFORMAT </w:instrText>
    </w:r>
    <w:r w:rsidRPr="004455DD">
      <w:rPr>
        <w:rFonts w:ascii="Times New Roman" w:hAnsi="Times New Roman"/>
        <w:szCs w:val="24"/>
      </w:rPr>
      <w:fldChar w:fldCharType="separate"/>
    </w:r>
    <w:r w:rsidR="00D025DA">
      <w:rPr>
        <w:rFonts w:ascii="Times New Roman" w:hAnsi="Times New Roman"/>
        <w:noProof/>
        <w:szCs w:val="24"/>
      </w:rPr>
      <w:t>12</w:t>
    </w:r>
    <w:r w:rsidRPr="004455DD">
      <w:rPr>
        <w:rFonts w:ascii="Times New Roman" w:hAnsi="Times New Roman"/>
        <w:szCs w:val="24"/>
      </w:rPr>
      <w:fldChar w:fldCharType="end"/>
    </w:r>
  </w:p>
  <w:p w:rsidR="007F16E0" w:rsidRDefault="007F1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04" w:rsidRDefault="00672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6F5" w:rsidRDefault="003A66F5" w:rsidP="00107E13">
      <w:r>
        <w:separator/>
      </w:r>
    </w:p>
  </w:footnote>
  <w:footnote w:type="continuationSeparator" w:id="0">
    <w:p w:rsidR="003A66F5" w:rsidRDefault="003A66F5" w:rsidP="00107E13">
      <w:r>
        <w:continuationSeparator/>
      </w:r>
    </w:p>
  </w:footnote>
  <w:footnote w:id="1">
    <w:p w:rsidR="00943AE3" w:rsidRDefault="00943AE3" w:rsidP="00943AE3">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7F16E0" w:rsidRDefault="007F16E0" w:rsidP="00107E1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04" w:rsidRDefault="00D025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8pt;height:161.85pt;rotation:315;z-index:-251654144;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04" w:rsidRDefault="00D025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8pt;height:161.85pt;rotation:315;z-index:-251652096;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04" w:rsidRDefault="00672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63EFA"/>
    <w:multiLevelType w:val="hybridMultilevel"/>
    <w:tmpl w:val="A2AA0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1466E"/>
    <w:multiLevelType w:val="hybridMultilevel"/>
    <w:tmpl w:val="65027DB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38D62622"/>
    <w:multiLevelType w:val="hybridMultilevel"/>
    <w:tmpl w:val="08B6993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4">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9C19F2"/>
    <w:multiLevelType w:val="hybridMultilevel"/>
    <w:tmpl w:val="1BBE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AD20E1"/>
    <w:multiLevelType w:val="hybridMultilevel"/>
    <w:tmpl w:val="112C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13"/>
    <w:rsid w:val="00027B80"/>
    <w:rsid w:val="000355F8"/>
    <w:rsid w:val="000905F2"/>
    <w:rsid w:val="00107E13"/>
    <w:rsid w:val="00236204"/>
    <w:rsid w:val="00272F9B"/>
    <w:rsid w:val="002F1FF3"/>
    <w:rsid w:val="00361C6B"/>
    <w:rsid w:val="003A66F5"/>
    <w:rsid w:val="00444DAF"/>
    <w:rsid w:val="00487B7B"/>
    <w:rsid w:val="004922B1"/>
    <w:rsid w:val="004C356E"/>
    <w:rsid w:val="004C4647"/>
    <w:rsid w:val="004C4904"/>
    <w:rsid w:val="00537D48"/>
    <w:rsid w:val="005A4690"/>
    <w:rsid w:val="005B2A3F"/>
    <w:rsid w:val="00615306"/>
    <w:rsid w:val="00625CBD"/>
    <w:rsid w:val="00672A04"/>
    <w:rsid w:val="00713087"/>
    <w:rsid w:val="00772DD5"/>
    <w:rsid w:val="007C6817"/>
    <w:rsid w:val="007D0491"/>
    <w:rsid w:val="007E3C46"/>
    <w:rsid w:val="007F16E0"/>
    <w:rsid w:val="00810E45"/>
    <w:rsid w:val="00847E3C"/>
    <w:rsid w:val="008B2746"/>
    <w:rsid w:val="008E6F9B"/>
    <w:rsid w:val="009121C7"/>
    <w:rsid w:val="00943AE3"/>
    <w:rsid w:val="00A14E7A"/>
    <w:rsid w:val="00B27E8B"/>
    <w:rsid w:val="00B3110F"/>
    <w:rsid w:val="00B4024D"/>
    <w:rsid w:val="00BB253B"/>
    <w:rsid w:val="00BB4554"/>
    <w:rsid w:val="00D025DA"/>
    <w:rsid w:val="00D9670A"/>
    <w:rsid w:val="00DC7949"/>
    <w:rsid w:val="00DD7D86"/>
    <w:rsid w:val="00EB7B4F"/>
    <w:rsid w:val="00F1610D"/>
    <w:rsid w:val="00F72889"/>
    <w:rsid w:val="00FC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13"/>
    <w:pPr>
      <w:spacing w:after="0" w:line="240" w:lineRule="auto"/>
    </w:pPr>
    <w:rPr>
      <w:rFonts w:ascii="Courier" w:eastAsia="Times New Roman" w:hAnsi="Courier" w:cs="Times New Roman"/>
      <w:sz w:val="24"/>
      <w:szCs w:val="20"/>
    </w:rPr>
  </w:style>
  <w:style w:type="paragraph" w:styleId="Heading2">
    <w:name w:val="heading 2"/>
    <w:basedOn w:val="Normal"/>
    <w:link w:val="Heading2Char"/>
    <w:uiPriority w:val="9"/>
    <w:qFormat/>
    <w:rsid w:val="00361C6B"/>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107E13"/>
    <w:pPr>
      <w:tabs>
        <w:tab w:val="left" w:pos="-720"/>
      </w:tabs>
      <w:suppressAutoHyphens/>
    </w:pPr>
  </w:style>
  <w:style w:type="character" w:customStyle="1" w:styleId="EndnoteTextChar">
    <w:name w:val="Endnote Text Char"/>
    <w:basedOn w:val="DefaultParagraphFont"/>
    <w:link w:val="EndnoteText"/>
    <w:uiPriority w:val="99"/>
    <w:semiHidden/>
    <w:rsid w:val="00107E13"/>
    <w:rPr>
      <w:rFonts w:ascii="Courier" w:eastAsia="Times New Roman" w:hAnsi="Courier" w:cs="Times New Roman"/>
      <w:sz w:val="24"/>
      <w:szCs w:val="20"/>
    </w:rPr>
  </w:style>
  <w:style w:type="paragraph" w:styleId="FootnoteText">
    <w:name w:val="footnote text"/>
    <w:basedOn w:val="Normal"/>
    <w:link w:val="FootnoteTextChar"/>
    <w:uiPriority w:val="99"/>
    <w:semiHidden/>
    <w:rsid w:val="00107E13"/>
    <w:pPr>
      <w:tabs>
        <w:tab w:val="left" w:pos="-720"/>
      </w:tabs>
      <w:suppressAutoHyphens/>
    </w:pPr>
  </w:style>
  <w:style w:type="character" w:customStyle="1" w:styleId="FootnoteTextChar">
    <w:name w:val="Footnote Text Char"/>
    <w:basedOn w:val="DefaultParagraphFont"/>
    <w:link w:val="FootnoteText"/>
    <w:uiPriority w:val="99"/>
    <w:semiHidden/>
    <w:rsid w:val="00107E13"/>
    <w:rPr>
      <w:rFonts w:ascii="Courier" w:eastAsia="Times New Roman" w:hAnsi="Courier" w:cs="Times New Roman"/>
      <w:sz w:val="24"/>
      <w:szCs w:val="20"/>
    </w:rPr>
  </w:style>
  <w:style w:type="character" w:styleId="FootnoteReference">
    <w:name w:val="footnote reference"/>
    <w:basedOn w:val="DefaultParagraphFont"/>
    <w:uiPriority w:val="99"/>
    <w:semiHidden/>
    <w:rsid w:val="00107E13"/>
    <w:rPr>
      <w:rFonts w:ascii="Courier" w:hAnsi="Courier" w:cs="Times New Roman"/>
      <w:sz w:val="24"/>
      <w:vertAlign w:val="superscript"/>
      <w:lang w:val="en-US"/>
    </w:rPr>
  </w:style>
  <w:style w:type="paragraph" w:styleId="Title">
    <w:name w:val="Title"/>
    <w:basedOn w:val="Normal"/>
    <w:link w:val="TitleChar"/>
    <w:uiPriority w:val="99"/>
    <w:qFormat/>
    <w:rsid w:val="00107E13"/>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107E13"/>
    <w:rPr>
      <w:rFonts w:ascii="Arial" w:eastAsia="Times New Roman" w:hAnsi="Arial" w:cs="Times New Roman"/>
      <w:b/>
      <w:kern w:val="28"/>
      <w:sz w:val="32"/>
      <w:szCs w:val="20"/>
    </w:rPr>
  </w:style>
  <w:style w:type="paragraph" w:styleId="ListParagraph">
    <w:name w:val="List Paragraph"/>
    <w:basedOn w:val="Normal"/>
    <w:uiPriority w:val="34"/>
    <w:qFormat/>
    <w:rsid w:val="00107E13"/>
    <w:pPr>
      <w:ind w:left="720"/>
      <w:contextualSpacing/>
    </w:pPr>
  </w:style>
  <w:style w:type="character" w:customStyle="1" w:styleId="a">
    <w:name w:val="À"/>
    <w:basedOn w:val="DefaultParagraphFont"/>
    <w:uiPriority w:val="99"/>
    <w:rsid w:val="00107E13"/>
    <w:rPr>
      <w:rFonts w:cs="Times New Roman"/>
    </w:rPr>
  </w:style>
  <w:style w:type="paragraph" w:customStyle="1" w:styleId="Style">
    <w:name w:val="Style"/>
    <w:basedOn w:val="Normal"/>
    <w:rsid w:val="00107E13"/>
    <w:pPr>
      <w:widowControl w:val="0"/>
      <w:snapToGrid w:val="0"/>
      <w:ind w:left="720" w:hanging="720"/>
    </w:pPr>
    <w:rPr>
      <w:rFonts w:ascii="Times New Roman" w:hAnsi="Times New Roman"/>
    </w:rPr>
  </w:style>
  <w:style w:type="paragraph" w:styleId="Footer">
    <w:name w:val="footer"/>
    <w:basedOn w:val="Normal"/>
    <w:link w:val="FooterChar"/>
    <w:uiPriority w:val="99"/>
    <w:unhideWhenUsed/>
    <w:rsid w:val="00107E13"/>
    <w:pPr>
      <w:tabs>
        <w:tab w:val="center" w:pos="4680"/>
        <w:tab w:val="right" w:pos="9360"/>
      </w:tabs>
    </w:pPr>
  </w:style>
  <w:style w:type="character" w:customStyle="1" w:styleId="FooterChar">
    <w:name w:val="Footer Char"/>
    <w:basedOn w:val="DefaultParagraphFont"/>
    <w:link w:val="Footer"/>
    <w:uiPriority w:val="99"/>
    <w:rsid w:val="00107E13"/>
    <w:rPr>
      <w:rFonts w:ascii="Courier" w:eastAsia="Times New Roman" w:hAnsi="Courier" w:cs="Times New Roman"/>
      <w:sz w:val="24"/>
      <w:szCs w:val="20"/>
    </w:rPr>
  </w:style>
  <w:style w:type="table" w:styleId="TableGrid">
    <w:name w:val="Table Grid"/>
    <w:basedOn w:val="TableNormal"/>
    <w:uiPriority w:val="59"/>
    <w:rsid w:val="00EB7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61C6B"/>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672A04"/>
    <w:pPr>
      <w:tabs>
        <w:tab w:val="center" w:pos="4680"/>
        <w:tab w:val="right" w:pos="9360"/>
      </w:tabs>
    </w:pPr>
  </w:style>
  <w:style w:type="character" w:customStyle="1" w:styleId="HeaderChar">
    <w:name w:val="Header Char"/>
    <w:basedOn w:val="DefaultParagraphFont"/>
    <w:link w:val="Header"/>
    <w:uiPriority w:val="99"/>
    <w:semiHidden/>
    <w:rsid w:val="00672A0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F72889"/>
    <w:rPr>
      <w:sz w:val="16"/>
      <w:szCs w:val="16"/>
    </w:rPr>
  </w:style>
  <w:style w:type="paragraph" w:styleId="CommentText">
    <w:name w:val="annotation text"/>
    <w:basedOn w:val="Normal"/>
    <w:link w:val="CommentTextChar"/>
    <w:uiPriority w:val="99"/>
    <w:semiHidden/>
    <w:unhideWhenUsed/>
    <w:rsid w:val="00F72889"/>
    <w:rPr>
      <w:sz w:val="20"/>
    </w:rPr>
  </w:style>
  <w:style w:type="character" w:customStyle="1" w:styleId="CommentTextChar">
    <w:name w:val="Comment Text Char"/>
    <w:basedOn w:val="DefaultParagraphFont"/>
    <w:link w:val="CommentText"/>
    <w:uiPriority w:val="99"/>
    <w:semiHidden/>
    <w:rsid w:val="00F728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72889"/>
    <w:rPr>
      <w:b/>
      <w:bCs/>
    </w:rPr>
  </w:style>
  <w:style w:type="character" w:customStyle="1" w:styleId="CommentSubjectChar">
    <w:name w:val="Comment Subject Char"/>
    <w:basedOn w:val="CommentTextChar"/>
    <w:link w:val="CommentSubject"/>
    <w:uiPriority w:val="99"/>
    <w:semiHidden/>
    <w:rsid w:val="00F7288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F72889"/>
    <w:rPr>
      <w:rFonts w:ascii="Tahoma" w:hAnsi="Tahoma" w:cs="Tahoma"/>
      <w:sz w:val="16"/>
      <w:szCs w:val="16"/>
    </w:rPr>
  </w:style>
  <w:style w:type="character" w:customStyle="1" w:styleId="BalloonTextChar">
    <w:name w:val="Balloon Text Char"/>
    <w:basedOn w:val="DefaultParagraphFont"/>
    <w:link w:val="BalloonText"/>
    <w:uiPriority w:val="99"/>
    <w:semiHidden/>
    <w:rsid w:val="00F728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13"/>
    <w:pPr>
      <w:spacing w:after="0" w:line="240" w:lineRule="auto"/>
    </w:pPr>
    <w:rPr>
      <w:rFonts w:ascii="Courier" w:eastAsia="Times New Roman" w:hAnsi="Courier" w:cs="Times New Roman"/>
      <w:sz w:val="24"/>
      <w:szCs w:val="20"/>
    </w:rPr>
  </w:style>
  <w:style w:type="paragraph" w:styleId="Heading2">
    <w:name w:val="heading 2"/>
    <w:basedOn w:val="Normal"/>
    <w:link w:val="Heading2Char"/>
    <w:uiPriority w:val="9"/>
    <w:qFormat/>
    <w:rsid w:val="00361C6B"/>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107E13"/>
    <w:pPr>
      <w:tabs>
        <w:tab w:val="left" w:pos="-720"/>
      </w:tabs>
      <w:suppressAutoHyphens/>
    </w:pPr>
  </w:style>
  <w:style w:type="character" w:customStyle="1" w:styleId="EndnoteTextChar">
    <w:name w:val="Endnote Text Char"/>
    <w:basedOn w:val="DefaultParagraphFont"/>
    <w:link w:val="EndnoteText"/>
    <w:uiPriority w:val="99"/>
    <w:semiHidden/>
    <w:rsid w:val="00107E13"/>
    <w:rPr>
      <w:rFonts w:ascii="Courier" w:eastAsia="Times New Roman" w:hAnsi="Courier" w:cs="Times New Roman"/>
      <w:sz w:val="24"/>
      <w:szCs w:val="20"/>
    </w:rPr>
  </w:style>
  <w:style w:type="paragraph" w:styleId="FootnoteText">
    <w:name w:val="footnote text"/>
    <w:basedOn w:val="Normal"/>
    <w:link w:val="FootnoteTextChar"/>
    <w:uiPriority w:val="99"/>
    <w:semiHidden/>
    <w:rsid w:val="00107E13"/>
    <w:pPr>
      <w:tabs>
        <w:tab w:val="left" w:pos="-720"/>
      </w:tabs>
      <w:suppressAutoHyphens/>
    </w:pPr>
  </w:style>
  <w:style w:type="character" w:customStyle="1" w:styleId="FootnoteTextChar">
    <w:name w:val="Footnote Text Char"/>
    <w:basedOn w:val="DefaultParagraphFont"/>
    <w:link w:val="FootnoteText"/>
    <w:uiPriority w:val="99"/>
    <w:semiHidden/>
    <w:rsid w:val="00107E13"/>
    <w:rPr>
      <w:rFonts w:ascii="Courier" w:eastAsia="Times New Roman" w:hAnsi="Courier" w:cs="Times New Roman"/>
      <w:sz w:val="24"/>
      <w:szCs w:val="20"/>
    </w:rPr>
  </w:style>
  <w:style w:type="character" w:styleId="FootnoteReference">
    <w:name w:val="footnote reference"/>
    <w:basedOn w:val="DefaultParagraphFont"/>
    <w:uiPriority w:val="99"/>
    <w:semiHidden/>
    <w:rsid w:val="00107E13"/>
    <w:rPr>
      <w:rFonts w:ascii="Courier" w:hAnsi="Courier" w:cs="Times New Roman"/>
      <w:sz w:val="24"/>
      <w:vertAlign w:val="superscript"/>
      <w:lang w:val="en-US"/>
    </w:rPr>
  </w:style>
  <w:style w:type="paragraph" w:styleId="Title">
    <w:name w:val="Title"/>
    <w:basedOn w:val="Normal"/>
    <w:link w:val="TitleChar"/>
    <w:uiPriority w:val="99"/>
    <w:qFormat/>
    <w:rsid w:val="00107E13"/>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107E13"/>
    <w:rPr>
      <w:rFonts w:ascii="Arial" w:eastAsia="Times New Roman" w:hAnsi="Arial" w:cs="Times New Roman"/>
      <w:b/>
      <w:kern w:val="28"/>
      <w:sz w:val="32"/>
      <w:szCs w:val="20"/>
    </w:rPr>
  </w:style>
  <w:style w:type="paragraph" w:styleId="ListParagraph">
    <w:name w:val="List Paragraph"/>
    <w:basedOn w:val="Normal"/>
    <w:uiPriority w:val="34"/>
    <w:qFormat/>
    <w:rsid w:val="00107E13"/>
    <w:pPr>
      <w:ind w:left="720"/>
      <w:contextualSpacing/>
    </w:pPr>
  </w:style>
  <w:style w:type="character" w:customStyle="1" w:styleId="a">
    <w:name w:val="À"/>
    <w:basedOn w:val="DefaultParagraphFont"/>
    <w:uiPriority w:val="99"/>
    <w:rsid w:val="00107E13"/>
    <w:rPr>
      <w:rFonts w:cs="Times New Roman"/>
    </w:rPr>
  </w:style>
  <w:style w:type="paragraph" w:customStyle="1" w:styleId="Style">
    <w:name w:val="Style"/>
    <w:basedOn w:val="Normal"/>
    <w:rsid w:val="00107E13"/>
    <w:pPr>
      <w:widowControl w:val="0"/>
      <w:snapToGrid w:val="0"/>
      <w:ind w:left="720" w:hanging="720"/>
    </w:pPr>
    <w:rPr>
      <w:rFonts w:ascii="Times New Roman" w:hAnsi="Times New Roman"/>
    </w:rPr>
  </w:style>
  <w:style w:type="paragraph" w:styleId="Footer">
    <w:name w:val="footer"/>
    <w:basedOn w:val="Normal"/>
    <w:link w:val="FooterChar"/>
    <w:uiPriority w:val="99"/>
    <w:unhideWhenUsed/>
    <w:rsid w:val="00107E13"/>
    <w:pPr>
      <w:tabs>
        <w:tab w:val="center" w:pos="4680"/>
        <w:tab w:val="right" w:pos="9360"/>
      </w:tabs>
    </w:pPr>
  </w:style>
  <w:style w:type="character" w:customStyle="1" w:styleId="FooterChar">
    <w:name w:val="Footer Char"/>
    <w:basedOn w:val="DefaultParagraphFont"/>
    <w:link w:val="Footer"/>
    <w:uiPriority w:val="99"/>
    <w:rsid w:val="00107E13"/>
    <w:rPr>
      <w:rFonts w:ascii="Courier" w:eastAsia="Times New Roman" w:hAnsi="Courier" w:cs="Times New Roman"/>
      <w:sz w:val="24"/>
      <w:szCs w:val="20"/>
    </w:rPr>
  </w:style>
  <w:style w:type="table" w:styleId="TableGrid">
    <w:name w:val="Table Grid"/>
    <w:basedOn w:val="TableNormal"/>
    <w:uiPriority w:val="59"/>
    <w:rsid w:val="00EB7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61C6B"/>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672A04"/>
    <w:pPr>
      <w:tabs>
        <w:tab w:val="center" w:pos="4680"/>
        <w:tab w:val="right" w:pos="9360"/>
      </w:tabs>
    </w:pPr>
  </w:style>
  <w:style w:type="character" w:customStyle="1" w:styleId="HeaderChar">
    <w:name w:val="Header Char"/>
    <w:basedOn w:val="DefaultParagraphFont"/>
    <w:link w:val="Header"/>
    <w:uiPriority w:val="99"/>
    <w:semiHidden/>
    <w:rsid w:val="00672A0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F72889"/>
    <w:rPr>
      <w:sz w:val="16"/>
      <w:szCs w:val="16"/>
    </w:rPr>
  </w:style>
  <w:style w:type="paragraph" w:styleId="CommentText">
    <w:name w:val="annotation text"/>
    <w:basedOn w:val="Normal"/>
    <w:link w:val="CommentTextChar"/>
    <w:uiPriority w:val="99"/>
    <w:semiHidden/>
    <w:unhideWhenUsed/>
    <w:rsid w:val="00F72889"/>
    <w:rPr>
      <w:sz w:val="20"/>
    </w:rPr>
  </w:style>
  <w:style w:type="character" w:customStyle="1" w:styleId="CommentTextChar">
    <w:name w:val="Comment Text Char"/>
    <w:basedOn w:val="DefaultParagraphFont"/>
    <w:link w:val="CommentText"/>
    <w:uiPriority w:val="99"/>
    <w:semiHidden/>
    <w:rsid w:val="00F728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72889"/>
    <w:rPr>
      <w:b/>
      <w:bCs/>
    </w:rPr>
  </w:style>
  <w:style w:type="character" w:customStyle="1" w:styleId="CommentSubjectChar">
    <w:name w:val="Comment Subject Char"/>
    <w:basedOn w:val="CommentTextChar"/>
    <w:link w:val="CommentSubject"/>
    <w:uiPriority w:val="99"/>
    <w:semiHidden/>
    <w:rsid w:val="00F7288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F72889"/>
    <w:rPr>
      <w:rFonts w:ascii="Tahoma" w:hAnsi="Tahoma" w:cs="Tahoma"/>
      <w:sz w:val="16"/>
      <w:szCs w:val="16"/>
    </w:rPr>
  </w:style>
  <w:style w:type="character" w:customStyle="1" w:styleId="BalloonTextChar">
    <w:name w:val="Balloon Text Char"/>
    <w:basedOn w:val="DefaultParagraphFont"/>
    <w:link w:val="BalloonText"/>
    <w:uiPriority w:val="99"/>
    <w:semiHidden/>
    <w:rsid w:val="00F728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424D5-FD5B-413C-BB8A-87E8F5A0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4362</Words>
  <Characters>24865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kathy.axt</cp:lastModifiedBy>
  <cp:revision>2</cp:revision>
  <dcterms:created xsi:type="dcterms:W3CDTF">2012-05-15T15:27:00Z</dcterms:created>
  <dcterms:modified xsi:type="dcterms:W3CDTF">2012-05-15T15:27:00Z</dcterms:modified>
</cp:coreProperties>
</file>