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F4CBB" w:rsidRPr="002E3CC7" w:rsidRDefault="003F4CBB" w:rsidP="00F820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2E3CC7">
        <w:rPr>
          <w:lang w:val="en-CA"/>
        </w:rPr>
        <w:fldChar w:fldCharType="begin"/>
      </w:r>
      <w:r w:rsidRPr="002E3CC7">
        <w:rPr>
          <w:lang w:val="en-CA"/>
        </w:rPr>
        <w:instrText xml:space="preserve"> SEQ CHAPTER \h \r 1</w:instrText>
      </w:r>
      <w:r w:rsidRPr="002E3CC7">
        <w:rPr>
          <w:lang w:val="en-CA"/>
        </w:rPr>
        <w:fldChar w:fldCharType="end"/>
      </w:r>
      <w:r w:rsidRPr="002E3CC7">
        <w:rPr>
          <w:b/>
          <w:bCs/>
        </w:rPr>
        <w:t>Supporting Statement Part B</w:t>
      </w:r>
    </w:p>
    <w:p w:rsidR="003F4CBB" w:rsidRPr="002E3CC7" w:rsidRDefault="003F4CBB" w:rsidP="00F82083">
      <w:pPr>
        <w:jc w:val="center"/>
        <w:rPr>
          <w:b/>
          <w:color w:val="000000"/>
        </w:rPr>
      </w:pPr>
      <w:smartTag w:uri="urn:schemas-microsoft-com:office:smarttags" w:element="country-region">
        <w:smartTag w:uri="urn:schemas-microsoft-com:office:smarttags" w:element="place">
          <w:r w:rsidRPr="002E3CC7">
            <w:rPr>
              <w:b/>
              <w:color w:val="000000"/>
            </w:rPr>
            <w:t>USA</w:t>
          </w:r>
        </w:smartTag>
      </w:smartTag>
      <w:r w:rsidRPr="002E3CC7">
        <w:rPr>
          <w:b/>
          <w:color w:val="000000"/>
        </w:rPr>
        <w:t xml:space="preserve"> National Phenology Network – The </w:t>
      </w:r>
      <w:r w:rsidRPr="002E3CC7">
        <w:rPr>
          <w:b/>
          <w:i/>
          <w:color w:val="000000"/>
        </w:rPr>
        <w:t xml:space="preserve">Nature’s Notebook </w:t>
      </w:r>
      <w:r w:rsidRPr="002E3CC7">
        <w:rPr>
          <w:b/>
          <w:color w:val="000000"/>
        </w:rPr>
        <w:t>Plant and Animal Observing Program</w:t>
      </w:r>
    </w:p>
    <w:p w:rsidR="003F4CBB" w:rsidRPr="00303A6A" w:rsidRDefault="003F4CBB" w:rsidP="00F820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303A6A">
        <w:rPr>
          <w:b/>
          <w:bCs/>
        </w:rPr>
        <w:t xml:space="preserve">OMB Control Number: 1028-NEW </w:t>
      </w:r>
    </w:p>
    <w:p w:rsidR="003F4CBB" w:rsidRPr="00303A6A" w:rsidRDefault="003F4CBB" w:rsidP="00F820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p w:rsidR="003F4CBB" w:rsidRPr="00303A6A" w:rsidRDefault="003F4CBB" w:rsidP="00F820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Calibri"/>
          <w:b/>
        </w:rPr>
      </w:pPr>
      <w:r w:rsidRPr="00303A6A">
        <w:rPr>
          <w:b/>
          <w:bCs/>
        </w:rPr>
        <w:t>B.</w:t>
      </w:r>
      <w:r w:rsidRPr="00303A6A">
        <w:rPr>
          <w:b/>
          <w:bCs/>
        </w:rPr>
        <w:tab/>
      </w:r>
      <w:r w:rsidRPr="00303A6A">
        <w:rPr>
          <w:rFonts w:cs="Calibri"/>
          <w:b/>
          <w:bCs/>
        </w:rPr>
        <w:t>Collections of Information Employing Statistical Methods</w:t>
      </w:r>
    </w:p>
    <w:p w:rsidR="003F4CBB" w:rsidRPr="00303A6A" w:rsidRDefault="003F4CBB" w:rsidP="00F820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alibri"/>
          <w:b/>
        </w:rPr>
      </w:pPr>
      <w:r w:rsidRPr="00303A6A">
        <w:rPr>
          <w:rFonts w:cs="Calibri"/>
          <w:b/>
        </w:rPr>
        <w:t>The agency should be prepared to justify its decision not to use statistical methods in any case where such methods might reduce burden or improve accuracy of results.  When the question “Does this ICR contain surveys, censuses, or employ statistical methods?” is checked "Yes," the following documentation should be included in Supporting Statement B to the extent that it applies to the methods proposed:</w:t>
      </w:r>
    </w:p>
    <w:p w:rsidR="003F4CBB" w:rsidRPr="00303A6A" w:rsidRDefault="003F4CBB" w:rsidP="0058469E">
      <w:pPr>
        <w:widowControl w:val="0"/>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cs="Calibri"/>
          <w:b/>
        </w:rPr>
      </w:pPr>
      <w:r w:rsidRPr="00303A6A">
        <w:rPr>
          <w:rFonts w:cs="Calibri"/>
          <w:b/>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3F4CBB" w:rsidRPr="00303A6A" w:rsidRDefault="003F4CBB" w:rsidP="0058469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Pr>
          <w:rFonts w:cs="Calibri"/>
          <w:b/>
        </w:rPr>
      </w:pPr>
    </w:p>
    <w:p w:rsidR="003F4CBB" w:rsidRPr="00303A6A" w:rsidRDefault="003F4CBB" w:rsidP="00F820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Calibri"/>
        </w:rPr>
      </w:pPr>
      <w:r w:rsidRPr="00303A6A">
        <w:rPr>
          <w:rFonts w:cs="Calibri"/>
        </w:rPr>
        <w:t xml:space="preserve">Statistical methods are not used in the selection of respondents.  Qualified participants (i.e., individuals with the ability and inclination to observe and record species’ </w:t>
      </w:r>
      <w:proofErr w:type="spellStart"/>
      <w:r w:rsidRPr="00303A6A">
        <w:rPr>
          <w:rFonts w:cs="Calibri"/>
        </w:rPr>
        <w:t>phenologies</w:t>
      </w:r>
      <w:proofErr w:type="spellEnd"/>
      <w:r w:rsidRPr="00303A6A">
        <w:rPr>
          <w:rFonts w:cs="Calibri"/>
        </w:rPr>
        <w:t>) are found via targeted media outlets, collaborations with on-the-ground partners (e.g., Cooperative Extension, Great Sunflower Project, National Park Service), public talks and word-of-mouth.  Table 1 summarizes participation in the program to date.</w:t>
      </w:r>
    </w:p>
    <w:p w:rsidR="003F4CBB" w:rsidRPr="00303A6A" w:rsidRDefault="003F4CBB" w:rsidP="00F82083">
      <w:pPr>
        <w:pStyle w:val="Caption"/>
        <w:keepNext/>
        <w:rPr>
          <w:color w:val="auto"/>
          <w:sz w:val="22"/>
          <w:szCs w:val="22"/>
        </w:rPr>
      </w:pPr>
      <w:r w:rsidRPr="00303A6A">
        <w:rPr>
          <w:color w:val="auto"/>
          <w:sz w:val="22"/>
          <w:szCs w:val="22"/>
        </w:rPr>
        <w:t xml:space="preserve">Table 1. </w:t>
      </w:r>
      <w:r w:rsidRPr="00303A6A">
        <w:rPr>
          <w:b w:val="0"/>
          <w:i/>
          <w:color w:val="auto"/>
          <w:sz w:val="22"/>
          <w:szCs w:val="22"/>
        </w:rPr>
        <w:t xml:space="preserve">Nature's Notebook </w:t>
      </w:r>
      <w:r w:rsidRPr="00303A6A">
        <w:rPr>
          <w:b w:val="0"/>
          <w:color w:val="auto"/>
          <w:sz w:val="22"/>
          <w:szCs w:val="22"/>
        </w:rPr>
        <w:t>participation summary, 2008-2011 (excerpt from Kellerman et al in prep “USA-NPN Data and Participant Summary 2011).</w:t>
      </w:r>
    </w:p>
    <w:tbl>
      <w:tblPr>
        <w:tblW w:w="0" w:type="auto"/>
        <w:jc w:val="center"/>
        <w:tblLayout w:type="fixed"/>
        <w:tblLook w:val="00A0" w:firstRow="1" w:lastRow="0" w:firstColumn="1" w:lastColumn="0" w:noHBand="0" w:noVBand="0"/>
      </w:tblPr>
      <w:tblGrid>
        <w:gridCol w:w="5187"/>
        <w:gridCol w:w="1729"/>
        <w:gridCol w:w="1714"/>
        <w:gridCol w:w="1645"/>
        <w:gridCol w:w="1632"/>
        <w:gridCol w:w="1521"/>
      </w:tblGrid>
      <w:tr w:rsidR="003F4CBB" w:rsidRPr="00303A6A" w:rsidTr="002E3CC7">
        <w:trPr>
          <w:trHeight w:val="300"/>
          <w:jc w:val="center"/>
        </w:trPr>
        <w:tc>
          <w:tcPr>
            <w:tcW w:w="5187" w:type="dxa"/>
            <w:tcBorders>
              <w:top w:val="single" w:sz="12" w:space="0" w:color="auto"/>
              <w:left w:val="nil"/>
              <w:bottom w:val="single" w:sz="8" w:space="0" w:color="auto"/>
              <w:right w:val="nil"/>
            </w:tcBorders>
            <w:noWrap/>
            <w:vAlign w:val="bottom"/>
          </w:tcPr>
          <w:p w:rsidR="003F4CBB" w:rsidRPr="00303A6A" w:rsidRDefault="003F4CBB" w:rsidP="0065668C">
            <w:pPr>
              <w:spacing w:after="0" w:line="240" w:lineRule="auto"/>
              <w:rPr>
                <w:rFonts w:cs="Calibri"/>
              </w:rPr>
            </w:pPr>
          </w:p>
        </w:tc>
        <w:tc>
          <w:tcPr>
            <w:tcW w:w="1729" w:type="dxa"/>
            <w:tcBorders>
              <w:top w:val="single" w:sz="12" w:space="0" w:color="auto"/>
              <w:left w:val="nil"/>
              <w:bottom w:val="single" w:sz="8" w:space="0" w:color="auto"/>
              <w:right w:val="nil"/>
            </w:tcBorders>
            <w:noWrap/>
            <w:vAlign w:val="bottom"/>
          </w:tcPr>
          <w:p w:rsidR="003F4CBB" w:rsidRPr="00303A6A" w:rsidRDefault="003F4CBB" w:rsidP="0065668C">
            <w:pPr>
              <w:spacing w:after="0" w:line="240" w:lineRule="auto"/>
              <w:jc w:val="center"/>
              <w:rPr>
                <w:rFonts w:cs="Calibri"/>
              </w:rPr>
            </w:pPr>
            <w:r w:rsidRPr="00303A6A">
              <w:rPr>
                <w:rFonts w:cs="Calibri"/>
              </w:rPr>
              <w:t>2008</w:t>
            </w:r>
          </w:p>
        </w:tc>
        <w:tc>
          <w:tcPr>
            <w:tcW w:w="1714" w:type="dxa"/>
            <w:tcBorders>
              <w:top w:val="single" w:sz="12" w:space="0" w:color="auto"/>
              <w:left w:val="nil"/>
              <w:bottom w:val="single" w:sz="8" w:space="0" w:color="auto"/>
              <w:right w:val="nil"/>
            </w:tcBorders>
            <w:noWrap/>
            <w:vAlign w:val="bottom"/>
          </w:tcPr>
          <w:p w:rsidR="003F4CBB" w:rsidRPr="00303A6A" w:rsidRDefault="003F4CBB" w:rsidP="0065668C">
            <w:pPr>
              <w:spacing w:after="0" w:line="240" w:lineRule="auto"/>
              <w:jc w:val="center"/>
              <w:rPr>
                <w:rFonts w:cs="Calibri"/>
              </w:rPr>
            </w:pPr>
            <w:r w:rsidRPr="00303A6A">
              <w:rPr>
                <w:rFonts w:cs="Calibri"/>
              </w:rPr>
              <w:t>2009</w:t>
            </w:r>
          </w:p>
        </w:tc>
        <w:tc>
          <w:tcPr>
            <w:tcW w:w="1645" w:type="dxa"/>
            <w:tcBorders>
              <w:top w:val="single" w:sz="12" w:space="0" w:color="auto"/>
              <w:left w:val="nil"/>
              <w:bottom w:val="single" w:sz="8" w:space="0" w:color="auto"/>
              <w:right w:val="nil"/>
            </w:tcBorders>
            <w:noWrap/>
            <w:vAlign w:val="bottom"/>
          </w:tcPr>
          <w:p w:rsidR="003F4CBB" w:rsidRPr="00303A6A" w:rsidRDefault="003F4CBB" w:rsidP="0065668C">
            <w:pPr>
              <w:spacing w:after="0" w:line="240" w:lineRule="auto"/>
              <w:jc w:val="center"/>
              <w:rPr>
                <w:rFonts w:cs="Calibri"/>
              </w:rPr>
            </w:pPr>
            <w:r w:rsidRPr="00303A6A">
              <w:rPr>
                <w:rFonts w:cs="Calibri"/>
              </w:rPr>
              <w:t>2010</w:t>
            </w:r>
          </w:p>
        </w:tc>
        <w:tc>
          <w:tcPr>
            <w:tcW w:w="1632" w:type="dxa"/>
            <w:tcBorders>
              <w:top w:val="single" w:sz="12" w:space="0" w:color="auto"/>
              <w:left w:val="nil"/>
              <w:bottom w:val="single" w:sz="8" w:space="0" w:color="auto"/>
              <w:right w:val="nil"/>
            </w:tcBorders>
            <w:noWrap/>
            <w:vAlign w:val="bottom"/>
          </w:tcPr>
          <w:p w:rsidR="003F4CBB" w:rsidRPr="00303A6A" w:rsidRDefault="003F4CBB" w:rsidP="0065668C">
            <w:pPr>
              <w:spacing w:after="0" w:line="240" w:lineRule="auto"/>
              <w:jc w:val="center"/>
              <w:rPr>
                <w:rFonts w:cs="Calibri"/>
              </w:rPr>
            </w:pPr>
            <w:r w:rsidRPr="00303A6A">
              <w:rPr>
                <w:rFonts w:cs="Calibri"/>
              </w:rPr>
              <w:t>2011</w:t>
            </w:r>
          </w:p>
        </w:tc>
        <w:tc>
          <w:tcPr>
            <w:tcW w:w="1521" w:type="dxa"/>
            <w:tcBorders>
              <w:top w:val="single" w:sz="12" w:space="0" w:color="auto"/>
              <w:left w:val="nil"/>
              <w:bottom w:val="single" w:sz="8" w:space="0" w:color="auto"/>
              <w:right w:val="nil"/>
            </w:tcBorders>
            <w:noWrap/>
            <w:vAlign w:val="bottom"/>
          </w:tcPr>
          <w:p w:rsidR="003F4CBB" w:rsidRPr="00303A6A" w:rsidRDefault="003F4CBB" w:rsidP="0065668C">
            <w:pPr>
              <w:spacing w:after="0" w:line="240" w:lineRule="auto"/>
              <w:jc w:val="center"/>
              <w:rPr>
                <w:rFonts w:cs="Calibri"/>
              </w:rPr>
            </w:pPr>
            <w:r w:rsidRPr="00303A6A">
              <w:rPr>
                <w:rFonts w:cs="Calibri"/>
              </w:rPr>
              <w:t>Cumulative</w:t>
            </w:r>
          </w:p>
        </w:tc>
      </w:tr>
      <w:tr w:rsidR="003F4CBB" w:rsidRPr="00303A6A" w:rsidTr="002E3CC7">
        <w:trPr>
          <w:trHeight w:val="300"/>
          <w:jc w:val="center"/>
        </w:trPr>
        <w:tc>
          <w:tcPr>
            <w:tcW w:w="5187" w:type="dxa"/>
            <w:tcBorders>
              <w:top w:val="single" w:sz="8" w:space="0" w:color="auto"/>
              <w:left w:val="nil"/>
              <w:bottom w:val="nil"/>
              <w:right w:val="nil"/>
            </w:tcBorders>
            <w:shd w:val="clear" w:color="auto" w:fill="D9D9D9"/>
            <w:noWrap/>
            <w:vAlign w:val="bottom"/>
          </w:tcPr>
          <w:p w:rsidR="003F4CBB" w:rsidRPr="00303A6A" w:rsidRDefault="003F4CBB" w:rsidP="0065668C">
            <w:pPr>
              <w:spacing w:after="0" w:line="240" w:lineRule="auto"/>
              <w:rPr>
                <w:rFonts w:cs="Calibri"/>
              </w:rPr>
            </w:pPr>
            <w:r>
              <w:rPr>
                <w:rFonts w:cs="Calibri"/>
              </w:rPr>
              <w:t>Number of r</w:t>
            </w:r>
            <w:r w:rsidRPr="00303A6A">
              <w:rPr>
                <w:rFonts w:cs="Calibri"/>
              </w:rPr>
              <w:t>egis</w:t>
            </w:r>
            <w:r>
              <w:rPr>
                <w:rFonts w:cs="Calibri"/>
              </w:rPr>
              <w:t>trations received</w:t>
            </w:r>
          </w:p>
        </w:tc>
        <w:tc>
          <w:tcPr>
            <w:tcW w:w="1729" w:type="dxa"/>
            <w:tcBorders>
              <w:top w:val="single" w:sz="8" w:space="0" w:color="auto"/>
              <w:left w:val="nil"/>
              <w:bottom w:val="nil"/>
              <w:right w:val="nil"/>
            </w:tcBorders>
            <w:shd w:val="clear" w:color="auto" w:fill="D9D9D9"/>
            <w:noWrap/>
            <w:vAlign w:val="bottom"/>
          </w:tcPr>
          <w:p w:rsidR="003F4CBB" w:rsidRPr="00303A6A" w:rsidRDefault="003F4CBB" w:rsidP="0065668C">
            <w:pPr>
              <w:spacing w:after="0" w:line="240" w:lineRule="auto"/>
              <w:jc w:val="center"/>
              <w:rPr>
                <w:rFonts w:cs="Calibri"/>
              </w:rPr>
            </w:pPr>
            <w:r w:rsidRPr="00303A6A">
              <w:rPr>
                <w:rFonts w:cs="Calibri"/>
              </w:rPr>
              <w:t>90</w:t>
            </w:r>
          </w:p>
        </w:tc>
        <w:tc>
          <w:tcPr>
            <w:tcW w:w="1714" w:type="dxa"/>
            <w:tcBorders>
              <w:top w:val="single" w:sz="8" w:space="0" w:color="auto"/>
              <w:left w:val="nil"/>
              <w:bottom w:val="nil"/>
              <w:right w:val="nil"/>
            </w:tcBorders>
            <w:shd w:val="clear" w:color="auto" w:fill="D9D9D9"/>
            <w:noWrap/>
            <w:vAlign w:val="bottom"/>
          </w:tcPr>
          <w:p w:rsidR="003F4CBB" w:rsidRPr="00303A6A" w:rsidRDefault="003F4CBB" w:rsidP="0065668C">
            <w:pPr>
              <w:spacing w:after="0" w:line="240" w:lineRule="auto"/>
              <w:jc w:val="center"/>
              <w:rPr>
                <w:rFonts w:cs="Calibri"/>
              </w:rPr>
            </w:pPr>
            <w:r w:rsidRPr="00303A6A">
              <w:rPr>
                <w:rFonts w:cs="Calibri"/>
              </w:rPr>
              <w:t>2153</w:t>
            </w:r>
          </w:p>
        </w:tc>
        <w:tc>
          <w:tcPr>
            <w:tcW w:w="1645" w:type="dxa"/>
            <w:tcBorders>
              <w:top w:val="single" w:sz="8" w:space="0" w:color="auto"/>
              <w:left w:val="nil"/>
              <w:bottom w:val="nil"/>
              <w:right w:val="nil"/>
            </w:tcBorders>
            <w:shd w:val="clear" w:color="auto" w:fill="D9D9D9"/>
            <w:noWrap/>
            <w:vAlign w:val="bottom"/>
          </w:tcPr>
          <w:p w:rsidR="003F4CBB" w:rsidRPr="00303A6A" w:rsidRDefault="003F4CBB" w:rsidP="0065668C">
            <w:pPr>
              <w:spacing w:after="0" w:line="240" w:lineRule="auto"/>
              <w:jc w:val="center"/>
              <w:rPr>
                <w:rFonts w:cs="Calibri"/>
              </w:rPr>
            </w:pPr>
            <w:r w:rsidRPr="00303A6A">
              <w:rPr>
                <w:rFonts w:cs="Calibri"/>
              </w:rPr>
              <w:t>795</w:t>
            </w:r>
          </w:p>
        </w:tc>
        <w:tc>
          <w:tcPr>
            <w:tcW w:w="1632" w:type="dxa"/>
            <w:tcBorders>
              <w:top w:val="single" w:sz="8" w:space="0" w:color="auto"/>
              <w:left w:val="nil"/>
              <w:bottom w:val="nil"/>
              <w:right w:val="nil"/>
            </w:tcBorders>
            <w:shd w:val="clear" w:color="auto" w:fill="D9D9D9"/>
            <w:noWrap/>
            <w:vAlign w:val="bottom"/>
          </w:tcPr>
          <w:p w:rsidR="003F4CBB" w:rsidRPr="00303A6A" w:rsidRDefault="003F4CBB" w:rsidP="0065668C">
            <w:pPr>
              <w:spacing w:after="0" w:line="240" w:lineRule="auto"/>
              <w:jc w:val="center"/>
              <w:rPr>
                <w:rFonts w:cs="Calibri"/>
              </w:rPr>
            </w:pPr>
            <w:r w:rsidRPr="00303A6A">
              <w:rPr>
                <w:rFonts w:cs="Calibri"/>
              </w:rPr>
              <w:t>1069</w:t>
            </w:r>
          </w:p>
        </w:tc>
        <w:tc>
          <w:tcPr>
            <w:tcW w:w="1521" w:type="dxa"/>
            <w:tcBorders>
              <w:top w:val="single" w:sz="8" w:space="0" w:color="auto"/>
              <w:left w:val="nil"/>
              <w:bottom w:val="nil"/>
              <w:right w:val="nil"/>
            </w:tcBorders>
            <w:shd w:val="clear" w:color="auto" w:fill="D9D9D9"/>
            <w:noWrap/>
            <w:vAlign w:val="bottom"/>
          </w:tcPr>
          <w:p w:rsidR="003F4CBB" w:rsidRPr="00303A6A" w:rsidRDefault="003F4CBB" w:rsidP="0065668C">
            <w:pPr>
              <w:spacing w:after="0" w:line="240" w:lineRule="auto"/>
              <w:jc w:val="center"/>
              <w:rPr>
                <w:rFonts w:cs="Calibri"/>
              </w:rPr>
            </w:pPr>
            <w:r w:rsidRPr="00303A6A">
              <w:rPr>
                <w:rFonts w:cs="Calibri"/>
              </w:rPr>
              <w:t>4107</w:t>
            </w:r>
          </w:p>
        </w:tc>
      </w:tr>
      <w:tr w:rsidR="003F4CBB" w:rsidRPr="00303A6A" w:rsidTr="002E3CC7">
        <w:trPr>
          <w:trHeight w:val="300"/>
          <w:jc w:val="center"/>
        </w:trPr>
        <w:tc>
          <w:tcPr>
            <w:tcW w:w="5187" w:type="dxa"/>
            <w:tcBorders>
              <w:top w:val="nil"/>
              <w:left w:val="nil"/>
              <w:bottom w:val="nil"/>
              <w:right w:val="nil"/>
            </w:tcBorders>
            <w:noWrap/>
            <w:vAlign w:val="bottom"/>
          </w:tcPr>
          <w:p w:rsidR="003F4CBB" w:rsidRPr="00303A6A" w:rsidRDefault="003F4CBB" w:rsidP="0065668C">
            <w:pPr>
              <w:spacing w:after="0" w:line="240" w:lineRule="auto"/>
              <w:rPr>
                <w:rFonts w:cs="Calibri"/>
              </w:rPr>
            </w:pPr>
            <w:r w:rsidRPr="00303A6A">
              <w:rPr>
                <w:rFonts w:cs="Calibri"/>
              </w:rPr>
              <w:t>Observers reporting</w:t>
            </w:r>
          </w:p>
        </w:tc>
        <w:tc>
          <w:tcPr>
            <w:tcW w:w="1729" w:type="dxa"/>
            <w:tcBorders>
              <w:top w:val="nil"/>
              <w:left w:val="nil"/>
              <w:bottom w:val="nil"/>
              <w:right w:val="nil"/>
            </w:tcBorders>
            <w:noWrap/>
            <w:vAlign w:val="bottom"/>
          </w:tcPr>
          <w:p w:rsidR="003F4CBB" w:rsidRPr="00303A6A" w:rsidRDefault="003F4CBB" w:rsidP="0065668C">
            <w:pPr>
              <w:spacing w:after="0" w:line="240" w:lineRule="auto"/>
              <w:jc w:val="center"/>
              <w:rPr>
                <w:rFonts w:cs="Calibri"/>
              </w:rPr>
            </w:pPr>
            <w:r w:rsidRPr="00303A6A">
              <w:rPr>
                <w:rFonts w:cs="Calibri"/>
              </w:rPr>
              <w:t>40</w:t>
            </w:r>
          </w:p>
        </w:tc>
        <w:tc>
          <w:tcPr>
            <w:tcW w:w="1714" w:type="dxa"/>
            <w:tcBorders>
              <w:top w:val="nil"/>
              <w:left w:val="nil"/>
              <w:bottom w:val="nil"/>
              <w:right w:val="nil"/>
            </w:tcBorders>
            <w:noWrap/>
            <w:vAlign w:val="bottom"/>
          </w:tcPr>
          <w:p w:rsidR="003F4CBB" w:rsidRPr="00303A6A" w:rsidRDefault="003F4CBB" w:rsidP="0065668C">
            <w:pPr>
              <w:spacing w:after="0" w:line="240" w:lineRule="auto"/>
              <w:jc w:val="center"/>
              <w:rPr>
                <w:rFonts w:cs="Calibri"/>
              </w:rPr>
            </w:pPr>
            <w:r w:rsidRPr="00303A6A">
              <w:rPr>
                <w:rFonts w:cs="Calibri"/>
              </w:rPr>
              <w:t>556</w:t>
            </w:r>
          </w:p>
        </w:tc>
        <w:tc>
          <w:tcPr>
            <w:tcW w:w="1645" w:type="dxa"/>
            <w:tcBorders>
              <w:top w:val="nil"/>
              <w:left w:val="nil"/>
              <w:bottom w:val="nil"/>
              <w:right w:val="nil"/>
            </w:tcBorders>
            <w:noWrap/>
            <w:vAlign w:val="bottom"/>
          </w:tcPr>
          <w:p w:rsidR="003F4CBB" w:rsidRPr="00303A6A" w:rsidRDefault="003F4CBB" w:rsidP="0065668C">
            <w:pPr>
              <w:spacing w:after="0" w:line="240" w:lineRule="auto"/>
              <w:jc w:val="center"/>
              <w:rPr>
                <w:rFonts w:cs="Calibri"/>
              </w:rPr>
            </w:pPr>
            <w:r w:rsidRPr="00303A6A">
              <w:rPr>
                <w:rFonts w:cs="Calibri"/>
              </w:rPr>
              <w:t>437</w:t>
            </w:r>
          </w:p>
        </w:tc>
        <w:tc>
          <w:tcPr>
            <w:tcW w:w="1632" w:type="dxa"/>
            <w:tcBorders>
              <w:top w:val="nil"/>
              <w:left w:val="nil"/>
              <w:bottom w:val="nil"/>
              <w:right w:val="nil"/>
            </w:tcBorders>
            <w:noWrap/>
            <w:vAlign w:val="bottom"/>
          </w:tcPr>
          <w:p w:rsidR="003F4CBB" w:rsidRPr="00303A6A" w:rsidRDefault="003F4CBB" w:rsidP="0065668C">
            <w:pPr>
              <w:spacing w:after="0" w:line="240" w:lineRule="auto"/>
              <w:jc w:val="center"/>
              <w:rPr>
                <w:rFonts w:cs="Calibri"/>
              </w:rPr>
            </w:pPr>
            <w:r w:rsidRPr="00303A6A">
              <w:rPr>
                <w:rFonts w:cs="Calibri"/>
              </w:rPr>
              <w:t>530</w:t>
            </w:r>
          </w:p>
        </w:tc>
        <w:tc>
          <w:tcPr>
            <w:tcW w:w="1521" w:type="dxa"/>
            <w:tcBorders>
              <w:top w:val="nil"/>
              <w:left w:val="nil"/>
              <w:bottom w:val="nil"/>
              <w:right w:val="nil"/>
            </w:tcBorders>
            <w:noWrap/>
            <w:vAlign w:val="bottom"/>
          </w:tcPr>
          <w:p w:rsidR="003F4CBB" w:rsidRPr="00303A6A" w:rsidRDefault="003F4CBB" w:rsidP="0065668C">
            <w:pPr>
              <w:spacing w:after="0" w:line="240" w:lineRule="auto"/>
              <w:jc w:val="center"/>
              <w:rPr>
                <w:rFonts w:cs="Calibri"/>
              </w:rPr>
            </w:pPr>
            <w:r w:rsidRPr="00303A6A">
              <w:rPr>
                <w:rFonts w:cs="Calibri"/>
              </w:rPr>
              <w:t>1,196</w:t>
            </w:r>
            <w:r w:rsidRPr="00303A6A">
              <w:rPr>
                <w:rFonts w:cs="Calibri"/>
                <w:vertAlign w:val="superscript"/>
              </w:rPr>
              <w:t>a</w:t>
            </w:r>
          </w:p>
        </w:tc>
      </w:tr>
      <w:tr w:rsidR="003F4CBB" w:rsidRPr="00303A6A" w:rsidTr="002E3CC7">
        <w:trPr>
          <w:trHeight w:val="300"/>
          <w:jc w:val="center"/>
        </w:trPr>
        <w:tc>
          <w:tcPr>
            <w:tcW w:w="5187" w:type="dxa"/>
            <w:tcBorders>
              <w:top w:val="nil"/>
              <w:left w:val="nil"/>
              <w:bottom w:val="nil"/>
              <w:right w:val="nil"/>
            </w:tcBorders>
            <w:shd w:val="clear" w:color="auto" w:fill="D9D9D9"/>
            <w:noWrap/>
            <w:vAlign w:val="bottom"/>
          </w:tcPr>
          <w:p w:rsidR="003F4CBB" w:rsidRPr="00303A6A" w:rsidRDefault="003F4CBB" w:rsidP="0065668C">
            <w:pPr>
              <w:spacing w:after="0" w:line="240" w:lineRule="auto"/>
              <w:rPr>
                <w:rFonts w:cs="Calibri"/>
              </w:rPr>
            </w:pPr>
            <w:r w:rsidRPr="00303A6A">
              <w:rPr>
                <w:rFonts w:cs="Calibri"/>
              </w:rPr>
              <w:t xml:space="preserve">Percent of registered observers reporting </w:t>
            </w:r>
            <w:r w:rsidRPr="00303A6A">
              <w:rPr>
                <w:rFonts w:cs="Calibri"/>
                <w:vertAlign w:val="superscript"/>
              </w:rPr>
              <w:t>b</w:t>
            </w:r>
          </w:p>
        </w:tc>
        <w:tc>
          <w:tcPr>
            <w:tcW w:w="1729" w:type="dxa"/>
            <w:tcBorders>
              <w:top w:val="nil"/>
              <w:left w:val="nil"/>
              <w:bottom w:val="nil"/>
              <w:right w:val="nil"/>
            </w:tcBorders>
            <w:shd w:val="clear" w:color="auto" w:fill="D9D9D9"/>
            <w:noWrap/>
            <w:vAlign w:val="bottom"/>
          </w:tcPr>
          <w:p w:rsidR="003F4CBB" w:rsidRPr="00303A6A" w:rsidRDefault="003F4CBB" w:rsidP="0065668C">
            <w:pPr>
              <w:spacing w:after="0" w:line="240" w:lineRule="auto"/>
              <w:jc w:val="center"/>
              <w:rPr>
                <w:rFonts w:cs="Calibri"/>
              </w:rPr>
            </w:pPr>
            <w:r w:rsidRPr="00303A6A">
              <w:rPr>
                <w:rFonts w:cs="Calibri"/>
              </w:rPr>
              <w:t>11%</w:t>
            </w:r>
          </w:p>
        </w:tc>
        <w:tc>
          <w:tcPr>
            <w:tcW w:w="1714" w:type="dxa"/>
            <w:tcBorders>
              <w:top w:val="nil"/>
              <w:left w:val="nil"/>
              <w:bottom w:val="nil"/>
              <w:right w:val="nil"/>
            </w:tcBorders>
            <w:shd w:val="clear" w:color="auto" w:fill="D9D9D9"/>
            <w:noWrap/>
            <w:vAlign w:val="bottom"/>
          </w:tcPr>
          <w:p w:rsidR="003F4CBB" w:rsidRPr="00303A6A" w:rsidRDefault="003F4CBB" w:rsidP="0065668C">
            <w:pPr>
              <w:spacing w:after="0" w:line="240" w:lineRule="auto"/>
              <w:jc w:val="center"/>
              <w:rPr>
                <w:rFonts w:cs="Calibri"/>
              </w:rPr>
            </w:pPr>
            <w:r w:rsidRPr="00303A6A">
              <w:rPr>
                <w:rFonts w:cs="Calibri"/>
              </w:rPr>
              <w:t>25%</w:t>
            </w:r>
          </w:p>
        </w:tc>
        <w:tc>
          <w:tcPr>
            <w:tcW w:w="1645" w:type="dxa"/>
            <w:tcBorders>
              <w:top w:val="nil"/>
              <w:left w:val="nil"/>
              <w:bottom w:val="nil"/>
              <w:right w:val="nil"/>
            </w:tcBorders>
            <w:shd w:val="clear" w:color="auto" w:fill="D9D9D9"/>
            <w:noWrap/>
            <w:vAlign w:val="bottom"/>
          </w:tcPr>
          <w:p w:rsidR="003F4CBB" w:rsidRPr="00303A6A" w:rsidRDefault="003F4CBB" w:rsidP="0065668C">
            <w:pPr>
              <w:spacing w:after="0" w:line="240" w:lineRule="auto"/>
              <w:jc w:val="center"/>
              <w:rPr>
                <w:rFonts w:cs="Calibri"/>
              </w:rPr>
            </w:pPr>
            <w:r w:rsidRPr="00303A6A">
              <w:rPr>
                <w:rFonts w:cs="Calibri"/>
              </w:rPr>
              <w:t>31%</w:t>
            </w:r>
          </w:p>
        </w:tc>
        <w:tc>
          <w:tcPr>
            <w:tcW w:w="1632" w:type="dxa"/>
            <w:tcBorders>
              <w:top w:val="nil"/>
              <w:left w:val="nil"/>
              <w:bottom w:val="nil"/>
              <w:right w:val="nil"/>
            </w:tcBorders>
            <w:shd w:val="clear" w:color="auto" w:fill="D9D9D9"/>
            <w:noWrap/>
            <w:vAlign w:val="bottom"/>
          </w:tcPr>
          <w:p w:rsidR="003F4CBB" w:rsidRPr="00303A6A" w:rsidRDefault="003F4CBB" w:rsidP="0065668C">
            <w:pPr>
              <w:spacing w:after="0" w:line="240" w:lineRule="auto"/>
              <w:jc w:val="center"/>
              <w:rPr>
                <w:rFonts w:cs="Calibri"/>
              </w:rPr>
            </w:pPr>
            <w:r w:rsidRPr="00303A6A">
              <w:rPr>
                <w:rFonts w:cs="Calibri"/>
              </w:rPr>
              <w:t>29%</w:t>
            </w:r>
          </w:p>
        </w:tc>
        <w:tc>
          <w:tcPr>
            <w:tcW w:w="1521" w:type="dxa"/>
            <w:tcBorders>
              <w:top w:val="nil"/>
              <w:left w:val="nil"/>
              <w:bottom w:val="nil"/>
              <w:right w:val="nil"/>
            </w:tcBorders>
            <w:shd w:val="clear" w:color="auto" w:fill="D9D9D9"/>
            <w:noWrap/>
            <w:vAlign w:val="bottom"/>
          </w:tcPr>
          <w:p w:rsidR="003F4CBB" w:rsidRPr="00303A6A" w:rsidRDefault="003F4CBB" w:rsidP="0065668C">
            <w:pPr>
              <w:spacing w:after="0" w:line="240" w:lineRule="auto"/>
              <w:jc w:val="center"/>
              <w:rPr>
                <w:rFonts w:cs="Calibri"/>
              </w:rPr>
            </w:pPr>
            <w:r w:rsidRPr="00303A6A">
              <w:rPr>
                <w:rFonts w:cs="Calibri"/>
              </w:rPr>
              <w:t>29%</w:t>
            </w:r>
          </w:p>
        </w:tc>
      </w:tr>
      <w:tr w:rsidR="003F4CBB" w:rsidRPr="00303A6A" w:rsidTr="002E3CC7">
        <w:trPr>
          <w:trHeight w:val="300"/>
          <w:jc w:val="center"/>
        </w:trPr>
        <w:tc>
          <w:tcPr>
            <w:tcW w:w="5187" w:type="dxa"/>
            <w:tcBorders>
              <w:top w:val="nil"/>
              <w:left w:val="nil"/>
              <w:bottom w:val="nil"/>
              <w:right w:val="nil"/>
            </w:tcBorders>
            <w:noWrap/>
            <w:vAlign w:val="bottom"/>
          </w:tcPr>
          <w:p w:rsidR="003F4CBB" w:rsidRPr="00303A6A" w:rsidRDefault="003F4CBB" w:rsidP="0065668C">
            <w:pPr>
              <w:spacing w:after="0" w:line="240" w:lineRule="auto"/>
              <w:rPr>
                <w:rFonts w:cs="Calibri"/>
              </w:rPr>
            </w:pPr>
            <w:r w:rsidRPr="00303A6A">
              <w:rPr>
                <w:rFonts w:cs="Calibri"/>
              </w:rPr>
              <w:t>Number of days observed per observer (mean)</w:t>
            </w:r>
          </w:p>
        </w:tc>
        <w:tc>
          <w:tcPr>
            <w:tcW w:w="1729" w:type="dxa"/>
            <w:tcBorders>
              <w:top w:val="nil"/>
              <w:left w:val="nil"/>
              <w:bottom w:val="nil"/>
              <w:right w:val="nil"/>
            </w:tcBorders>
            <w:noWrap/>
            <w:vAlign w:val="bottom"/>
          </w:tcPr>
          <w:p w:rsidR="003F4CBB" w:rsidRPr="00303A6A" w:rsidRDefault="003F4CBB" w:rsidP="0065668C">
            <w:pPr>
              <w:spacing w:after="0" w:line="240" w:lineRule="auto"/>
              <w:jc w:val="center"/>
              <w:rPr>
                <w:rFonts w:cs="Calibri"/>
              </w:rPr>
            </w:pPr>
            <w:r w:rsidRPr="00303A6A">
              <w:rPr>
                <w:rFonts w:cs="Calibri"/>
              </w:rPr>
              <w:t>7.6</w:t>
            </w:r>
          </w:p>
        </w:tc>
        <w:tc>
          <w:tcPr>
            <w:tcW w:w="1714" w:type="dxa"/>
            <w:tcBorders>
              <w:top w:val="nil"/>
              <w:left w:val="nil"/>
              <w:bottom w:val="nil"/>
              <w:right w:val="nil"/>
            </w:tcBorders>
            <w:noWrap/>
            <w:vAlign w:val="bottom"/>
          </w:tcPr>
          <w:p w:rsidR="003F4CBB" w:rsidRPr="00303A6A" w:rsidRDefault="003F4CBB" w:rsidP="0065668C">
            <w:pPr>
              <w:spacing w:after="0" w:line="240" w:lineRule="auto"/>
              <w:jc w:val="center"/>
              <w:rPr>
                <w:rFonts w:cs="Calibri"/>
              </w:rPr>
            </w:pPr>
            <w:r w:rsidRPr="00303A6A">
              <w:rPr>
                <w:rFonts w:cs="Calibri"/>
              </w:rPr>
              <w:t>9.2</w:t>
            </w:r>
          </w:p>
        </w:tc>
        <w:tc>
          <w:tcPr>
            <w:tcW w:w="1645" w:type="dxa"/>
            <w:tcBorders>
              <w:top w:val="nil"/>
              <w:left w:val="nil"/>
              <w:bottom w:val="nil"/>
              <w:right w:val="nil"/>
            </w:tcBorders>
            <w:noWrap/>
            <w:vAlign w:val="bottom"/>
          </w:tcPr>
          <w:p w:rsidR="003F4CBB" w:rsidRPr="00303A6A" w:rsidRDefault="003F4CBB" w:rsidP="0065668C">
            <w:pPr>
              <w:spacing w:after="0" w:line="240" w:lineRule="auto"/>
              <w:jc w:val="center"/>
              <w:rPr>
                <w:rFonts w:cs="Calibri"/>
              </w:rPr>
            </w:pPr>
            <w:r w:rsidRPr="00303A6A">
              <w:rPr>
                <w:rFonts w:cs="Calibri"/>
              </w:rPr>
              <w:t>9.7</w:t>
            </w:r>
          </w:p>
        </w:tc>
        <w:tc>
          <w:tcPr>
            <w:tcW w:w="1632" w:type="dxa"/>
            <w:tcBorders>
              <w:top w:val="nil"/>
              <w:left w:val="nil"/>
              <w:bottom w:val="nil"/>
              <w:right w:val="nil"/>
            </w:tcBorders>
            <w:noWrap/>
            <w:vAlign w:val="bottom"/>
          </w:tcPr>
          <w:p w:rsidR="003F4CBB" w:rsidRPr="00303A6A" w:rsidRDefault="003F4CBB" w:rsidP="0065668C">
            <w:pPr>
              <w:spacing w:after="0" w:line="240" w:lineRule="auto"/>
              <w:jc w:val="center"/>
              <w:rPr>
                <w:rFonts w:cs="Calibri"/>
              </w:rPr>
            </w:pPr>
            <w:r w:rsidRPr="00303A6A">
              <w:rPr>
                <w:rFonts w:cs="Calibri"/>
              </w:rPr>
              <w:t>11.7</w:t>
            </w:r>
          </w:p>
        </w:tc>
        <w:tc>
          <w:tcPr>
            <w:tcW w:w="1521" w:type="dxa"/>
            <w:tcBorders>
              <w:top w:val="nil"/>
              <w:left w:val="nil"/>
              <w:bottom w:val="nil"/>
              <w:right w:val="nil"/>
            </w:tcBorders>
            <w:noWrap/>
            <w:vAlign w:val="bottom"/>
          </w:tcPr>
          <w:p w:rsidR="003F4CBB" w:rsidRPr="00303A6A" w:rsidRDefault="003F4CBB" w:rsidP="0065668C">
            <w:pPr>
              <w:spacing w:after="0" w:line="240" w:lineRule="auto"/>
              <w:jc w:val="center"/>
              <w:rPr>
                <w:rFonts w:cs="Calibri"/>
              </w:rPr>
            </w:pPr>
            <w:r w:rsidRPr="00303A6A">
              <w:rPr>
                <w:rFonts w:cs="Calibri"/>
              </w:rPr>
              <w:t>NA</w:t>
            </w:r>
          </w:p>
        </w:tc>
      </w:tr>
      <w:tr w:rsidR="003F4CBB" w:rsidRPr="00303A6A" w:rsidTr="002E3CC7">
        <w:trPr>
          <w:trHeight w:val="300"/>
          <w:jc w:val="center"/>
        </w:trPr>
        <w:tc>
          <w:tcPr>
            <w:tcW w:w="5187" w:type="dxa"/>
            <w:tcBorders>
              <w:top w:val="nil"/>
              <w:left w:val="nil"/>
              <w:bottom w:val="nil"/>
              <w:right w:val="nil"/>
            </w:tcBorders>
            <w:shd w:val="clear" w:color="auto" w:fill="D9D9D9"/>
            <w:noWrap/>
            <w:vAlign w:val="bottom"/>
          </w:tcPr>
          <w:p w:rsidR="003F4CBB" w:rsidRPr="00303A6A" w:rsidRDefault="003F4CBB" w:rsidP="0065668C">
            <w:pPr>
              <w:spacing w:after="0" w:line="240" w:lineRule="auto"/>
              <w:rPr>
                <w:rFonts w:cs="Calibri"/>
              </w:rPr>
            </w:pPr>
            <w:r w:rsidRPr="00303A6A">
              <w:rPr>
                <w:rFonts w:cs="Calibri"/>
              </w:rPr>
              <w:t xml:space="preserve">Registered sites </w:t>
            </w:r>
            <w:r w:rsidRPr="00303A6A">
              <w:rPr>
                <w:rFonts w:cs="Calibri"/>
                <w:vertAlign w:val="superscript"/>
              </w:rPr>
              <w:t>c</w:t>
            </w:r>
          </w:p>
        </w:tc>
        <w:tc>
          <w:tcPr>
            <w:tcW w:w="1729" w:type="dxa"/>
            <w:tcBorders>
              <w:top w:val="nil"/>
              <w:left w:val="nil"/>
              <w:bottom w:val="nil"/>
              <w:right w:val="nil"/>
            </w:tcBorders>
            <w:shd w:val="clear" w:color="auto" w:fill="D9D9D9"/>
            <w:noWrap/>
            <w:vAlign w:val="bottom"/>
          </w:tcPr>
          <w:p w:rsidR="003F4CBB" w:rsidRPr="00303A6A" w:rsidRDefault="003F4CBB" w:rsidP="0065668C">
            <w:pPr>
              <w:spacing w:after="0" w:line="240" w:lineRule="auto"/>
              <w:jc w:val="center"/>
              <w:rPr>
                <w:rFonts w:cs="Calibri"/>
              </w:rPr>
            </w:pPr>
            <w:r w:rsidRPr="00303A6A">
              <w:rPr>
                <w:rFonts w:cs="Calibri"/>
              </w:rPr>
              <w:t>-</w:t>
            </w:r>
          </w:p>
        </w:tc>
        <w:tc>
          <w:tcPr>
            <w:tcW w:w="1714" w:type="dxa"/>
            <w:tcBorders>
              <w:top w:val="nil"/>
              <w:left w:val="nil"/>
              <w:bottom w:val="nil"/>
              <w:right w:val="nil"/>
            </w:tcBorders>
            <w:shd w:val="clear" w:color="auto" w:fill="D9D9D9"/>
            <w:noWrap/>
            <w:vAlign w:val="bottom"/>
          </w:tcPr>
          <w:p w:rsidR="003F4CBB" w:rsidRPr="00303A6A" w:rsidRDefault="003F4CBB" w:rsidP="0065668C">
            <w:pPr>
              <w:spacing w:after="0" w:line="240" w:lineRule="auto"/>
              <w:jc w:val="center"/>
              <w:rPr>
                <w:rFonts w:cs="Calibri"/>
              </w:rPr>
            </w:pPr>
            <w:r w:rsidRPr="00303A6A">
              <w:rPr>
                <w:rFonts w:cs="Calibri"/>
              </w:rPr>
              <w:t>-</w:t>
            </w:r>
          </w:p>
        </w:tc>
        <w:tc>
          <w:tcPr>
            <w:tcW w:w="1645" w:type="dxa"/>
            <w:tcBorders>
              <w:top w:val="nil"/>
              <w:left w:val="nil"/>
              <w:bottom w:val="nil"/>
              <w:right w:val="nil"/>
            </w:tcBorders>
            <w:shd w:val="clear" w:color="auto" w:fill="D9D9D9"/>
            <w:noWrap/>
            <w:vAlign w:val="bottom"/>
          </w:tcPr>
          <w:p w:rsidR="003F4CBB" w:rsidRPr="00303A6A" w:rsidRDefault="003F4CBB" w:rsidP="0065668C">
            <w:pPr>
              <w:spacing w:after="0" w:line="240" w:lineRule="auto"/>
              <w:jc w:val="center"/>
              <w:rPr>
                <w:rFonts w:cs="Calibri"/>
              </w:rPr>
            </w:pPr>
            <w:r w:rsidRPr="00303A6A">
              <w:rPr>
                <w:rFonts w:cs="Calibri"/>
              </w:rPr>
              <w:t>-</w:t>
            </w:r>
          </w:p>
        </w:tc>
        <w:tc>
          <w:tcPr>
            <w:tcW w:w="1632" w:type="dxa"/>
            <w:tcBorders>
              <w:top w:val="nil"/>
              <w:left w:val="nil"/>
              <w:bottom w:val="nil"/>
              <w:right w:val="nil"/>
            </w:tcBorders>
            <w:shd w:val="clear" w:color="auto" w:fill="D9D9D9"/>
            <w:noWrap/>
            <w:vAlign w:val="bottom"/>
          </w:tcPr>
          <w:p w:rsidR="003F4CBB" w:rsidRPr="00303A6A" w:rsidRDefault="003F4CBB" w:rsidP="0065668C">
            <w:pPr>
              <w:spacing w:after="0" w:line="240" w:lineRule="auto"/>
              <w:jc w:val="center"/>
              <w:rPr>
                <w:rFonts w:cs="Calibri"/>
              </w:rPr>
            </w:pPr>
            <w:r w:rsidRPr="00303A6A">
              <w:rPr>
                <w:rFonts w:cs="Calibri"/>
              </w:rPr>
              <w:t>1,192</w:t>
            </w:r>
          </w:p>
        </w:tc>
        <w:tc>
          <w:tcPr>
            <w:tcW w:w="1521" w:type="dxa"/>
            <w:tcBorders>
              <w:top w:val="nil"/>
              <w:left w:val="nil"/>
              <w:bottom w:val="nil"/>
              <w:right w:val="nil"/>
            </w:tcBorders>
            <w:shd w:val="clear" w:color="auto" w:fill="D9D9D9"/>
            <w:noWrap/>
            <w:vAlign w:val="bottom"/>
          </w:tcPr>
          <w:p w:rsidR="003F4CBB" w:rsidRPr="00303A6A" w:rsidRDefault="003F4CBB" w:rsidP="0065668C">
            <w:pPr>
              <w:spacing w:after="0" w:line="240" w:lineRule="auto"/>
              <w:jc w:val="center"/>
              <w:rPr>
                <w:rFonts w:cs="Calibri"/>
              </w:rPr>
            </w:pPr>
            <w:r w:rsidRPr="00303A6A">
              <w:rPr>
                <w:rFonts w:cs="Calibri"/>
              </w:rPr>
              <w:t>5,526</w:t>
            </w:r>
          </w:p>
        </w:tc>
      </w:tr>
      <w:tr w:rsidR="003F4CBB" w:rsidRPr="00303A6A" w:rsidTr="002E3CC7">
        <w:trPr>
          <w:trHeight w:val="300"/>
          <w:jc w:val="center"/>
        </w:trPr>
        <w:tc>
          <w:tcPr>
            <w:tcW w:w="5187" w:type="dxa"/>
            <w:tcBorders>
              <w:top w:val="nil"/>
              <w:left w:val="nil"/>
              <w:right w:val="nil"/>
            </w:tcBorders>
            <w:noWrap/>
            <w:vAlign w:val="bottom"/>
          </w:tcPr>
          <w:p w:rsidR="003F4CBB" w:rsidRPr="00303A6A" w:rsidRDefault="003F4CBB" w:rsidP="0065668C">
            <w:pPr>
              <w:spacing w:after="0" w:line="240" w:lineRule="auto"/>
              <w:rPr>
                <w:rFonts w:cs="Calibri"/>
              </w:rPr>
            </w:pPr>
            <w:r w:rsidRPr="00303A6A">
              <w:rPr>
                <w:rFonts w:cs="Calibri"/>
              </w:rPr>
              <w:lastRenderedPageBreak/>
              <w:t>Total observations</w:t>
            </w:r>
          </w:p>
        </w:tc>
        <w:tc>
          <w:tcPr>
            <w:tcW w:w="1729" w:type="dxa"/>
            <w:tcBorders>
              <w:top w:val="nil"/>
              <w:left w:val="nil"/>
              <w:right w:val="nil"/>
            </w:tcBorders>
            <w:noWrap/>
            <w:vAlign w:val="bottom"/>
          </w:tcPr>
          <w:p w:rsidR="003F4CBB" w:rsidRPr="00303A6A" w:rsidRDefault="003F4CBB" w:rsidP="0065668C">
            <w:pPr>
              <w:spacing w:after="0" w:line="240" w:lineRule="auto"/>
              <w:jc w:val="center"/>
              <w:rPr>
                <w:rFonts w:cs="Calibri"/>
              </w:rPr>
            </w:pPr>
            <w:r w:rsidRPr="00303A6A">
              <w:rPr>
                <w:rFonts w:cs="Calibri"/>
              </w:rPr>
              <w:t>2,556</w:t>
            </w:r>
          </w:p>
        </w:tc>
        <w:tc>
          <w:tcPr>
            <w:tcW w:w="1714" w:type="dxa"/>
            <w:tcBorders>
              <w:top w:val="nil"/>
              <w:left w:val="nil"/>
              <w:right w:val="nil"/>
            </w:tcBorders>
            <w:noWrap/>
            <w:vAlign w:val="bottom"/>
          </w:tcPr>
          <w:p w:rsidR="003F4CBB" w:rsidRPr="00303A6A" w:rsidRDefault="003F4CBB" w:rsidP="0065668C">
            <w:pPr>
              <w:spacing w:after="0" w:line="240" w:lineRule="auto"/>
              <w:jc w:val="center"/>
              <w:rPr>
                <w:rFonts w:cs="Calibri"/>
              </w:rPr>
            </w:pPr>
            <w:r w:rsidRPr="00303A6A">
              <w:rPr>
                <w:rFonts w:cs="Calibri"/>
              </w:rPr>
              <w:t>17,757</w:t>
            </w:r>
          </w:p>
        </w:tc>
        <w:tc>
          <w:tcPr>
            <w:tcW w:w="1645" w:type="dxa"/>
            <w:tcBorders>
              <w:top w:val="nil"/>
              <w:left w:val="nil"/>
              <w:right w:val="nil"/>
            </w:tcBorders>
            <w:noWrap/>
            <w:vAlign w:val="bottom"/>
          </w:tcPr>
          <w:p w:rsidR="003F4CBB" w:rsidRPr="00303A6A" w:rsidRDefault="003F4CBB" w:rsidP="0065668C">
            <w:pPr>
              <w:spacing w:after="0" w:line="240" w:lineRule="auto"/>
              <w:jc w:val="center"/>
              <w:rPr>
                <w:rFonts w:cs="Calibri"/>
              </w:rPr>
            </w:pPr>
            <w:r w:rsidRPr="00303A6A">
              <w:rPr>
                <w:rFonts w:cs="Calibri"/>
              </w:rPr>
              <w:t>28,793</w:t>
            </w:r>
          </w:p>
        </w:tc>
        <w:tc>
          <w:tcPr>
            <w:tcW w:w="1632" w:type="dxa"/>
            <w:tcBorders>
              <w:top w:val="nil"/>
              <w:left w:val="nil"/>
              <w:right w:val="nil"/>
            </w:tcBorders>
            <w:noWrap/>
            <w:vAlign w:val="bottom"/>
          </w:tcPr>
          <w:p w:rsidR="003F4CBB" w:rsidRPr="00303A6A" w:rsidRDefault="003F4CBB" w:rsidP="0065668C">
            <w:pPr>
              <w:spacing w:after="0" w:line="240" w:lineRule="auto"/>
              <w:jc w:val="center"/>
              <w:rPr>
                <w:rFonts w:cs="Calibri"/>
              </w:rPr>
            </w:pPr>
            <w:r w:rsidRPr="00303A6A">
              <w:rPr>
                <w:rFonts w:cs="Calibri"/>
              </w:rPr>
              <w:t>48,131</w:t>
            </w:r>
          </w:p>
        </w:tc>
        <w:tc>
          <w:tcPr>
            <w:tcW w:w="1521" w:type="dxa"/>
            <w:tcBorders>
              <w:top w:val="nil"/>
              <w:left w:val="nil"/>
              <w:right w:val="nil"/>
            </w:tcBorders>
            <w:noWrap/>
            <w:vAlign w:val="bottom"/>
          </w:tcPr>
          <w:p w:rsidR="003F4CBB" w:rsidRPr="00303A6A" w:rsidRDefault="003F4CBB" w:rsidP="0065668C">
            <w:pPr>
              <w:spacing w:after="0" w:line="240" w:lineRule="auto"/>
              <w:jc w:val="center"/>
              <w:rPr>
                <w:rFonts w:cs="Calibri"/>
              </w:rPr>
            </w:pPr>
            <w:r w:rsidRPr="00303A6A">
              <w:rPr>
                <w:rFonts w:cs="Calibri"/>
              </w:rPr>
              <w:t>97,237</w:t>
            </w:r>
          </w:p>
        </w:tc>
      </w:tr>
      <w:tr w:rsidR="003F4CBB" w:rsidRPr="00303A6A" w:rsidTr="002E3CC7">
        <w:trPr>
          <w:trHeight w:val="300"/>
          <w:jc w:val="center"/>
        </w:trPr>
        <w:tc>
          <w:tcPr>
            <w:tcW w:w="5187" w:type="dxa"/>
            <w:tcBorders>
              <w:top w:val="nil"/>
              <w:left w:val="nil"/>
              <w:bottom w:val="single" w:sz="12" w:space="0" w:color="auto"/>
              <w:right w:val="nil"/>
            </w:tcBorders>
            <w:shd w:val="clear" w:color="auto" w:fill="D9D9D9"/>
            <w:noWrap/>
            <w:vAlign w:val="bottom"/>
          </w:tcPr>
          <w:p w:rsidR="003F4CBB" w:rsidRPr="00303A6A" w:rsidRDefault="003F4CBB" w:rsidP="0065668C">
            <w:pPr>
              <w:spacing w:after="0" w:line="240" w:lineRule="auto"/>
              <w:rPr>
                <w:rFonts w:cs="Calibri"/>
              </w:rPr>
            </w:pPr>
            <w:r w:rsidRPr="00303A6A">
              <w:rPr>
                <w:rFonts w:cs="Calibri"/>
              </w:rPr>
              <w:t xml:space="preserve">Total </w:t>
            </w:r>
            <w:proofErr w:type="spellStart"/>
            <w:r w:rsidRPr="00303A6A">
              <w:rPr>
                <w:rFonts w:cs="Calibri"/>
              </w:rPr>
              <w:t>records</w:t>
            </w:r>
            <w:r w:rsidRPr="00303A6A">
              <w:rPr>
                <w:rFonts w:cs="Calibri"/>
                <w:vertAlign w:val="superscript"/>
              </w:rPr>
              <w:t>d</w:t>
            </w:r>
            <w:proofErr w:type="spellEnd"/>
          </w:p>
        </w:tc>
        <w:tc>
          <w:tcPr>
            <w:tcW w:w="1729" w:type="dxa"/>
            <w:tcBorders>
              <w:top w:val="nil"/>
              <w:left w:val="nil"/>
              <w:bottom w:val="single" w:sz="12" w:space="0" w:color="auto"/>
              <w:right w:val="nil"/>
            </w:tcBorders>
            <w:shd w:val="clear" w:color="auto" w:fill="D9D9D9"/>
            <w:noWrap/>
            <w:vAlign w:val="bottom"/>
          </w:tcPr>
          <w:p w:rsidR="003F4CBB" w:rsidRPr="00303A6A" w:rsidRDefault="003F4CBB" w:rsidP="0065668C">
            <w:pPr>
              <w:spacing w:after="0" w:line="240" w:lineRule="auto"/>
              <w:jc w:val="center"/>
              <w:rPr>
                <w:rFonts w:cs="Calibri"/>
              </w:rPr>
            </w:pPr>
            <w:r w:rsidRPr="00303A6A">
              <w:rPr>
                <w:rFonts w:cs="Calibri"/>
              </w:rPr>
              <w:t>12,615</w:t>
            </w:r>
          </w:p>
        </w:tc>
        <w:tc>
          <w:tcPr>
            <w:tcW w:w="1714" w:type="dxa"/>
            <w:tcBorders>
              <w:top w:val="nil"/>
              <w:left w:val="nil"/>
              <w:bottom w:val="single" w:sz="12" w:space="0" w:color="auto"/>
              <w:right w:val="nil"/>
            </w:tcBorders>
            <w:shd w:val="clear" w:color="auto" w:fill="D9D9D9"/>
            <w:noWrap/>
            <w:vAlign w:val="bottom"/>
          </w:tcPr>
          <w:p w:rsidR="003F4CBB" w:rsidRPr="00303A6A" w:rsidRDefault="003F4CBB" w:rsidP="0065668C">
            <w:pPr>
              <w:spacing w:after="0" w:line="240" w:lineRule="auto"/>
              <w:jc w:val="center"/>
              <w:rPr>
                <w:rFonts w:cs="Calibri"/>
              </w:rPr>
            </w:pPr>
            <w:r w:rsidRPr="00303A6A">
              <w:rPr>
                <w:rFonts w:cs="Calibri"/>
              </w:rPr>
              <w:t>135,352</w:t>
            </w:r>
          </w:p>
        </w:tc>
        <w:tc>
          <w:tcPr>
            <w:tcW w:w="1645" w:type="dxa"/>
            <w:tcBorders>
              <w:top w:val="nil"/>
              <w:left w:val="nil"/>
              <w:bottom w:val="single" w:sz="12" w:space="0" w:color="auto"/>
              <w:right w:val="nil"/>
            </w:tcBorders>
            <w:shd w:val="clear" w:color="auto" w:fill="D9D9D9"/>
            <w:noWrap/>
            <w:vAlign w:val="bottom"/>
          </w:tcPr>
          <w:p w:rsidR="003F4CBB" w:rsidRPr="00303A6A" w:rsidRDefault="003F4CBB" w:rsidP="0065668C">
            <w:pPr>
              <w:spacing w:after="0" w:line="240" w:lineRule="auto"/>
              <w:jc w:val="center"/>
              <w:rPr>
                <w:rFonts w:cs="Calibri"/>
              </w:rPr>
            </w:pPr>
            <w:r w:rsidRPr="00303A6A">
              <w:rPr>
                <w:rFonts w:cs="Calibri"/>
              </w:rPr>
              <w:t>201,935</w:t>
            </w:r>
          </w:p>
        </w:tc>
        <w:tc>
          <w:tcPr>
            <w:tcW w:w="1632" w:type="dxa"/>
            <w:tcBorders>
              <w:top w:val="nil"/>
              <w:left w:val="nil"/>
              <w:bottom w:val="single" w:sz="12" w:space="0" w:color="auto"/>
              <w:right w:val="nil"/>
            </w:tcBorders>
            <w:shd w:val="clear" w:color="auto" w:fill="D9D9D9"/>
            <w:noWrap/>
            <w:vAlign w:val="bottom"/>
          </w:tcPr>
          <w:p w:rsidR="003F4CBB" w:rsidRPr="00303A6A" w:rsidRDefault="003F4CBB" w:rsidP="0065668C">
            <w:pPr>
              <w:spacing w:after="0" w:line="240" w:lineRule="auto"/>
              <w:jc w:val="center"/>
              <w:rPr>
                <w:rFonts w:cs="Calibri"/>
              </w:rPr>
            </w:pPr>
            <w:r w:rsidRPr="00303A6A">
              <w:rPr>
                <w:rFonts w:cs="Calibri"/>
              </w:rPr>
              <w:t>380,941</w:t>
            </w:r>
          </w:p>
        </w:tc>
        <w:tc>
          <w:tcPr>
            <w:tcW w:w="1521" w:type="dxa"/>
            <w:tcBorders>
              <w:top w:val="nil"/>
              <w:left w:val="nil"/>
              <w:bottom w:val="single" w:sz="12" w:space="0" w:color="auto"/>
              <w:right w:val="nil"/>
            </w:tcBorders>
            <w:shd w:val="clear" w:color="auto" w:fill="D9D9D9"/>
            <w:noWrap/>
            <w:vAlign w:val="bottom"/>
          </w:tcPr>
          <w:p w:rsidR="003F4CBB" w:rsidRPr="00303A6A" w:rsidRDefault="003F4CBB" w:rsidP="0065668C">
            <w:pPr>
              <w:spacing w:after="0" w:line="240" w:lineRule="auto"/>
              <w:jc w:val="center"/>
              <w:rPr>
                <w:rFonts w:cs="Calibri"/>
              </w:rPr>
            </w:pPr>
            <w:r w:rsidRPr="00303A6A">
              <w:rPr>
                <w:rFonts w:cs="Calibri"/>
              </w:rPr>
              <w:t>730,843</w:t>
            </w:r>
          </w:p>
        </w:tc>
      </w:tr>
      <w:tr w:rsidR="003F4CBB" w:rsidRPr="00303A6A" w:rsidTr="002E3CC7">
        <w:trPr>
          <w:trHeight w:val="393"/>
          <w:jc w:val="center"/>
        </w:trPr>
        <w:tc>
          <w:tcPr>
            <w:tcW w:w="13428" w:type="dxa"/>
            <w:gridSpan w:val="6"/>
            <w:tcBorders>
              <w:top w:val="single" w:sz="12" w:space="0" w:color="auto"/>
              <w:left w:val="nil"/>
              <w:right w:val="nil"/>
            </w:tcBorders>
            <w:noWrap/>
            <w:vAlign w:val="bottom"/>
          </w:tcPr>
          <w:p w:rsidR="003F4CBB" w:rsidRPr="00303A6A" w:rsidRDefault="003F4CBB" w:rsidP="0065668C">
            <w:pPr>
              <w:spacing w:after="0" w:line="240" w:lineRule="auto"/>
              <w:rPr>
                <w:rFonts w:cs="Calibri"/>
              </w:rPr>
            </w:pPr>
            <w:r w:rsidRPr="00303A6A">
              <w:rPr>
                <w:rFonts w:cs="Calibri"/>
                <w:vertAlign w:val="superscript"/>
              </w:rPr>
              <w:t xml:space="preserve">a </w:t>
            </w:r>
            <w:r w:rsidRPr="00303A6A">
              <w:rPr>
                <w:rFonts w:cs="Calibri"/>
              </w:rPr>
              <w:t>Cumulative total is less than the sum of 2008-2011 due to some observers reporting in multiple years</w:t>
            </w:r>
          </w:p>
          <w:p w:rsidR="003F4CBB" w:rsidRPr="00303A6A" w:rsidRDefault="003F4CBB" w:rsidP="0065668C">
            <w:pPr>
              <w:spacing w:after="0" w:line="240" w:lineRule="auto"/>
              <w:rPr>
                <w:rFonts w:cs="Calibri"/>
              </w:rPr>
            </w:pPr>
            <w:r w:rsidRPr="00303A6A">
              <w:rPr>
                <w:rFonts w:cs="Calibri"/>
                <w:vertAlign w:val="superscript"/>
              </w:rPr>
              <w:t xml:space="preserve">b </w:t>
            </w:r>
            <w:r w:rsidRPr="00303A6A">
              <w:rPr>
                <w:rFonts w:cs="Calibri"/>
              </w:rPr>
              <w:t>The percent of registered observers that reported data in the year that they registered</w:t>
            </w:r>
          </w:p>
          <w:p w:rsidR="003F4CBB" w:rsidRPr="00303A6A" w:rsidRDefault="003F4CBB" w:rsidP="0065668C">
            <w:pPr>
              <w:spacing w:after="0" w:line="240" w:lineRule="auto"/>
              <w:rPr>
                <w:rFonts w:cs="Calibri"/>
              </w:rPr>
            </w:pPr>
            <w:r w:rsidRPr="00303A6A">
              <w:rPr>
                <w:rFonts w:cs="Calibri"/>
                <w:vertAlign w:val="superscript"/>
              </w:rPr>
              <w:t xml:space="preserve">c </w:t>
            </w:r>
            <w:r w:rsidRPr="00303A6A">
              <w:rPr>
                <w:rFonts w:cs="Calibri"/>
              </w:rPr>
              <w:t>Prior to 2011 the date a site was registered was not recorded in the NPN database</w:t>
            </w:r>
          </w:p>
          <w:p w:rsidR="003F4CBB" w:rsidRPr="00303A6A" w:rsidRDefault="003F4CBB" w:rsidP="0065668C">
            <w:pPr>
              <w:ind w:left="90" w:hanging="90"/>
            </w:pPr>
            <w:r w:rsidRPr="00303A6A">
              <w:rPr>
                <w:rFonts w:cs="Calibri"/>
                <w:vertAlign w:val="superscript"/>
              </w:rPr>
              <w:t xml:space="preserve">d </w:t>
            </w:r>
            <w:r w:rsidRPr="00303A6A">
              <w:t xml:space="preserve">Note that an 'observation' is a suite of </w:t>
            </w:r>
            <w:proofErr w:type="spellStart"/>
            <w:r w:rsidRPr="00303A6A">
              <w:t>phenophase</w:t>
            </w:r>
            <w:proofErr w:type="spellEnd"/>
            <w:r w:rsidRPr="00303A6A">
              <w:t xml:space="preserve"> status records taken for an individual plant during a single observation event.  A single observation may contain up to 11 </w:t>
            </w:r>
            <w:proofErr w:type="spellStart"/>
            <w:r w:rsidRPr="00303A6A">
              <w:t>phenophase</w:t>
            </w:r>
            <w:proofErr w:type="spellEnd"/>
            <w:r w:rsidRPr="00303A6A">
              <w:t xml:space="preserve"> status records depending on the species.</w:t>
            </w:r>
          </w:p>
        </w:tc>
      </w:tr>
    </w:tbl>
    <w:p w:rsidR="003F4CBB" w:rsidRPr="00303A6A" w:rsidRDefault="003F4CBB" w:rsidP="00F820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Calibri"/>
        </w:rPr>
      </w:pPr>
    </w:p>
    <w:p w:rsidR="003F4CBB" w:rsidRPr="00303A6A" w:rsidRDefault="003F4CBB" w:rsidP="00F8208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alibri"/>
          <w:b/>
        </w:rPr>
      </w:pPr>
      <w:r w:rsidRPr="00303A6A">
        <w:rPr>
          <w:b/>
        </w:rPr>
        <w:t>2.</w:t>
      </w:r>
      <w:r w:rsidRPr="00303A6A">
        <w:rPr>
          <w:b/>
        </w:rPr>
        <w:tab/>
      </w:r>
      <w:r w:rsidRPr="00303A6A">
        <w:rPr>
          <w:rFonts w:cs="Calibri"/>
          <w:b/>
        </w:rPr>
        <w:t>Describe the procedures for the collection of information including:</w:t>
      </w:r>
    </w:p>
    <w:p w:rsidR="003F4CBB" w:rsidRPr="00303A6A" w:rsidRDefault="003F4CBB" w:rsidP="00F820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alibri"/>
          <w:b/>
        </w:rPr>
      </w:pPr>
      <w:r w:rsidRPr="00303A6A">
        <w:rPr>
          <w:rFonts w:cs="Calibri"/>
          <w:b/>
        </w:rPr>
        <w:tab/>
        <w:t>*</w:t>
      </w:r>
      <w:r w:rsidRPr="00303A6A">
        <w:rPr>
          <w:rFonts w:cs="Calibri"/>
          <w:b/>
        </w:rPr>
        <w:tab/>
        <w:t>Statistical methodology for stratification and sample selection,</w:t>
      </w:r>
    </w:p>
    <w:p w:rsidR="003F4CBB" w:rsidRPr="00303A6A" w:rsidRDefault="003F4CBB" w:rsidP="00F820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alibri"/>
          <w:b/>
        </w:rPr>
      </w:pPr>
      <w:r w:rsidRPr="00303A6A">
        <w:rPr>
          <w:rFonts w:cs="Calibri"/>
          <w:b/>
        </w:rPr>
        <w:tab/>
        <w:t>*</w:t>
      </w:r>
      <w:r w:rsidRPr="00303A6A">
        <w:rPr>
          <w:rFonts w:cs="Calibri"/>
          <w:b/>
        </w:rPr>
        <w:tab/>
        <w:t>Estimation procedure,</w:t>
      </w:r>
    </w:p>
    <w:p w:rsidR="003F4CBB" w:rsidRPr="00303A6A" w:rsidRDefault="003F4CBB" w:rsidP="00F820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alibri"/>
          <w:b/>
        </w:rPr>
      </w:pPr>
      <w:r w:rsidRPr="00303A6A">
        <w:rPr>
          <w:rFonts w:cs="Calibri"/>
          <w:b/>
        </w:rPr>
        <w:tab/>
        <w:t>*</w:t>
      </w:r>
      <w:r w:rsidRPr="00303A6A">
        <w:rPr>
          <w:rFonts w:cs="Calibri"/>
          <w:b/>
        </w:rPr>
        <w:tab/>
        <w:t>Degree of accuracy needed for the purpose described in the justification,</w:t>
      </w:r>
    </w:p>
    <w:p w:rsidR="003F4CBB" w:rsidRPr="00303A6A" w:rsidRDefault="003F4CBB" w:rsidP="00F820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alibri"/>
          <w:b/>
        </w:rPr>
      </w:pPr>
      <w:r w:rsidRPr="00303A6A">
        <w:rPr>
          <w:rFonts w:cs="Calibri"/>
          <w:b/>
        </w:rPr>
        <w:tab/>
        <w:t>*</w:t>
      </w:r>
      <w:r w:rsidRPr="00303A6A">
        <w:rPr>
          <w:rFonts w:cs="Calibri"/>
          <w:b/>
        </w:rPr>
        <w:tab/>
        <w:t>Unusual problems requiring specialized sampling procedures, and</w:t>
      </w:r>
    </w:p>
    <w:p w:rsidR="003F4CBB" w:rsidRPr="00303A6A" w:rsidRDefault="003F4CBB" w:rsidP="00F820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alibri"/>
          <w:b/>
        </w:rPr>
      </w:pPr>
      <w:r w:rsidRPr="00303A6A">
        <w:rPr>
          <w:rFonts w:cs="Calibri"/>
          <w:b/>
        </w:rPr>
        <w:tab/>
        <w:t>*</w:t>
      </w:r>
      <w:r w:rsidRPr="00303A6A">
        <w:rPr>
          <w:rFonts w:cs="Calibri"/>
          <w:b/>
        </w:rPr>
        <w:tab/>
        <w:t>Any use of periodic (less frequent than annual) data collection cycles to reduce burden.</w:t>
      </w:r>
    </w:p>
    <w:p w:rsidR="003F4CBB" w:rsidRPr="00303A6A" w:rsidRDefault="003F4CBB" w:rsidP="00F820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Calibri"/>
        </w:rPr>
      </w:pPr>
      <w:r w:rsidRPr="00303A6A">
        <w:rPr>
          <w:rFonts w:cs="Calibri"/>
        </w:rPr>
        <w:t xml:space="preserve">Statistical methods are not used during the selection of respondents, sample location, or sample species.  Participants opt in, and chose and/or adjust their intensity of participation at their will (e.g., number of sites, number and type of species at a site, type of </w:t>
      </w:r>
      <w:proofErr w:type="spellStart"/>
      <w:r w:rsidRPr="00303A6A">
        <w:rPr>
          <w:rFonts w:cs="Calibri"/>
        </w:rPr>
        <w:t>phenological</w:t>
      </w:r>
      <w:proofErr w:type="spellEnd"/>
      <w:r w:rsidRPr="00303A6A">
        <w:rPr>
          <w:rFonts w:cs="Calibri"/>
        </w:rPr>
        <w:t xml:space="preserve"> observations, and frequency of observation).  However, the project website provides suggestions, guidelines and criteria for observation protocols, and substantial quality assurance/quality controls tools are implemented automatically.  Training materials are provided on the project website, participants self-report their training, background and interest.  Finally, there are intentional barriers to participation embedded in the socio-cultural language of the web-site which helps ensure participation by committed individuals.</w:t>
      </w:r>
    </w:p>
    <w:p w:rsidR="003F4CBB" w:rsidRPr="00303A6A" w:rsidRDefault="003F4CBB" w:rsidP="00F820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Calibri"/>
        </w:rPr>
      </w:pPr>
      <w:r w:rsidRPr="00303A6A">
        <w:rPr>
          <w:rFonts w:cs="Calibri"/>
        </w:rPr>
        <w:t>The conceptual framework for participation is described in Supporting Statement A.  Once an observer has registered and described their background, completed optional training, selected</w:t>
      </w:r>
      <w:r>
        <w:rPr>
          <w:rFonts w:cs="Calibri"/>
        </w:rPr>
        <w:t>, marked</w:t>
      </w:r>
      <w:r w:rsidRPr="00303A6A">
        <w:rPr>
          <w:rFonts w:cs="Calibri"/>
        </w:rPr>
        <w:t xml:space="preserve"> and described a site, selected plant individuals or animal species to observe, and either printed datasheets or downloaded a mobile application, they are encouraged to make observations at least weekly.  During each sampling bout, the observer records the status of plant </w:t>
      </w:r>
      <w:proofErr w:type="spellStart"/>
      <w:r w:rsidRPr="00303A6A">
        <w:rPr>
          <w:rFonts w:cs="Calibri"/>
        </w:rPr>
        <w:t>phenophases</w:t>
      </w:r>
      <w:proofErr w:type="spellEnd"/>
      <w:r w:rsidRPr="00303A6A">
        <w:rPr>
          <w:rFonts w:cs="Calibri"/>
        </w:rPr>
        <w:t xml:space="preserve"> (e.g., leafing, flowering) as either “Yes” = occurring; “No” = not </w:t>
      </w:r>
      <w:r w:rsidRPr="00303A6A">
        <w:rPr>
          <w:rFonts w:cs="Calibri"/>
        </w:rPr>
        <w:lastRenderedPageBreak/>
        <w:t xml:space="preserve">occurring, “?” = uncertain, or blank if not checked.  Similarly, for animals, during each sampling bout the observer uses one of four predefined observation methods, records whether the animal species was observed or heard, and then records the status of animal </w:t>
      </w:r>
      <w:proofErr w:type="spellStart"/>
      <w:r w:rsidRPr="00303A6A">
        <w:rPr>
          <w:rFonts w:cs="Calibri"/>
        </w:rPr>
        <w:t>phenophases</w:t>
      </w:r>
      <w:proofErr w:type="spellEnd"/>
      <w:r w:rsidRPr="00303A6A">
        <w:rPr>
          <w:rFonts w:cs="Calibri"/>
        </w:rPr>
        <w:t xml:space="preserve"> (Y, N, ?, or blank).  For the majority of these plant or animal </w:t>
      </w:r>
      <w:proofErr w:type="spellStart"/>
      <w:r w:rsidRPr="00303A6A">
        <w:rPr>
          <w:rFonts w:cs="Calibri"/>
        </w:rPr>
        <w:t>phenophases</w:t>
      </w:r>
      <w:proofErr w:type="spellEnd"/>
      <w:r w:rsidRPr="00303A6A">
        <w:rPr>
          <w:rFonts w:cs="Calibri"/>
        </w:rPr>
        <w:t xml:space="preserve">, the observer can also enter the estimated canopy development or abundance (as proportions or counts).  Data are recorded onto datasheets for later entry into the web application, or can recorded directly into the mobile device.  Guidelines and best-practices for observation and data entry are extensive, are supplemented by FAQs, and are provided on the project website.  </w:t>
      </w:r>
    </w:p>
    <w:p w:rsidR="003F4CBB" w:rsidRPr="00303A6A" w:rsidRDefault="003F4CBB" w:rsidP="00F820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Calibri"/>
        </w:rPr>
      </w:pPr>
      <w:r w:rsidRPr="00303A6A">
        <w:rPr>
          <w:rFonts w:cs="Calibri"/>
        </w:rPr>
        <w:t xml:space="preserve">Additional details on sampling methodology are </w:t>
      </w:r>
      <w:r w:rsidRPr="00303A6A">
        <w:rPr>
          <w:rFonts w:cs="Calibri"/>
          <w:i/>
        </w:rPr>
        <w:t xml:space="preserve">Thomas, K.A., E.G. Denny, A.J. Miller-Rushing, T.M. </w:t>
      </w:r>
      <w:proofErr w:type="spellStart"/>
      <w:r w:rsidRPr="00303A6A">
        <w:rPr>
          <w:rFonts w:cs="Calibri"/>
          <w:i/>
        </w:rPr>
        <w:t>Crimmins</w:t>
      </w:r>
      <w:proofErr w:type="spellEnd"/>
      <w:r w:rsidRPr="00303A6A">
        <w:rPr>
          <w:rFonts w:cs="Calibri"/>
          <w:i/>
        </w:rPr>
        <w:t xml:space="preserve">, and J.F. </w:t>
      </w:r>
      <w:proofErr w:type="spellStart"/>
      <w:r w:rsidRPr="00303A6A">
        <w:rPr>
          <w:rFonts w:cs="Calibri"/>
          <w:i/>
        </w:rPr>
        <w:t>Weltzin</w:t>
      </w:r>
      <w:proofErr w:type="spellEnd"/>
      <w:r w:rsidRPr="00303A6A">
        <w:rPr>
          <w:rFonts w:cs="Calibri"/>
          <w:i/>
        </w:rPr>
        <w:t>. 2010. The National Phenology Monitoring System v0.1. USA-NPN Technical Series 2010-001.</w:t>
      </w:r>
      <w:r w:rsidRPr="00303A6A">
        <w:rPr>
          <w:rFonts w:cs="Calibri"/>
        </w:rPr>
        <w:t xml:space="preserve">  In addition, a more detailed methodology paper is in preparation for the peer-reviewed literature (</w:t>
      </w:r>
      <w:r w:rsidRPr="00303A6A">
        <w:rPr>
          <w:rFonts w:cs="Calibri"/>
          <w:i/>
        </w:rPr>
        <w:t>Denny et al., in prep., The USA National Phenology Network protocols: Standardized phenology monitoring methodology for plants and animals)</w:t>
      </w:r>
      <w:r w:rsidRPr="00303A6A">
        <w:rPr>
          <w:rFonts w:cs="Calibri"/>
        </w:rPr>
        <w:t>, and US National Park Service compliant SOPs (standard operating protocols) and full Protocols (following standards in Oakley et al. 2003 used by NPS Inventory &amp; Monitoring Program) are currently under development.</w:t>
      </w:r>
    </w:p>
    <w:p w:rsidR="003F4CBB" w:rsidRPr="00303A6A" w:rsidRDefault="003F4CBB" w:rsidP="005846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Calibri"/>
        </w:rPr>
      </w:pPr>
      <w:proofErr w:type="spellStart"/>
      <w:r w:rsidRPr="00303A6A">
        <w:rPr>
          <w:rFonts w:cs="Calibri"/>
        </w:rPr>
        <w:t>Phenological</w:t>
      </w:r>
      <w:proofErr w:type="spellEnd"/>
      <w:r w:rsidRPr="00303A6A">
        <w:rPr>
          <w:rFonts w:cs="Calibri"/>
        </w:rPr>
        <w:t xml:space="preserve"> status and abundance data are used to understand patterns of organismal activity (including ‘negative’ data), development and abundance by individual/species at a given site on a given date; in turn, these raw data may be summarized by researchers according to custom criteria.  Summarized data can be used to understand spatiotemporal patterns of organismal response along environmental gradients.  At this time, there are few numerical and statistical tools available through the website; rather, data winnowing, assessment of quality, analysis and summarization are conducted by the data end-user.</w:t>
      </w:r>
    </w:p>
    <w:p w:rsidR="003F4CBB" w:rsidRPr="00303A6A" w:rsidRDefault="003F4CBB" w:rsidP="005846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Calibri"/>
          <w:b/>
        </w:rPr>
      </w:pPr>
      <w:r w:rsidRPr="00303A6A">
        <w:rPr>
          <w:b/>
        </w:rPr>
        <w:t>3.</w:t>
      </w:r>
      <w:r w:rsidRPr="00303A6A">
        <w:rPr>
          <w:b/>
        </w:rPr>
        <w:tab/>
      </w:r>
      <w:r w:rsidRPr="00303A6A">
        <w:rPr>
          <w:rFonts w:cs="Calibri"/>
          <w:b/>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3F4CBB" w:rsidRPr="00303A6A" w:rsidRDefault="003F4CBB" w:rsidP="00F820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Calibri"/>
        </w:rPr>
      </w:pPr>
      <w:r w:rsidRPr="00303A6A">
        <w:rPr>
          <w:rFonts w:cs="Calibri"/>
        </w:rPr>
        <w:t>Respondents voluntarily decide to participate and report; response rates have increased (based on a variety of metrics, including number of field visits, number of observations, number of species observed), though the reporting system has been operational only since 2008.  Several engagement tactics support continued participation, and reduce non-response including newsletters with appreciation, motivation and results delivered to participants, and optional bi-weekly reminders to observe. The “status” monitoring approach enables us to determine the frequency of field visits, as well as estimate the potential and realized error around particular events (e.g., first leaf); we are working to determine probability of detection, and to estimate sampling size required to estimate a particular event at a given level of error.  We document all existing QA/QC tools and approaches utilized and provide this information on the project website.</w:t>
      </w:r>
    </w:p>
    <w:p w:rsidR="003F4CBB" w:rsidRPr="00303A6A" w:rsidRDefault="003F4CBB" w:rsidP="00F820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F4CBB" w:rsidRPr="00303A6A" w:rsidRDefault="003F4CBB" w:rsidP="005846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Calibri"/>
          <w:b/>
        </w:rPr>
      </w:pPr>
      <w:r w:rsidRPr="00303A6A">
        <w:rPr>
          <w:b/>
        </w:rPr>
        <w:lastRenderedPageBreak/>
        <w:t xml:space="preserve">4.   </w:t>
      </w:r>
      <w:r w:rsidRPr="00303A6A">
        <w:rPr>
          <w:rFonts w:cs="Calibri"/>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3F4CBB" w:rsidRPr="00303A6A" w:rsidRDefault="003F4CBB" w:rsidP="00F820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Calibri"/>
        </w:rPr>
      </w:pPr>
      <w:r w:rsidRPr="00303A6A">
        <w:rPr>
          <w:rFonts w:cs="Calibri"/>
        </w:rPr>
        <w:t>Not applicable; we do not test our observers, though we have conducted informal usability studies to improve efficiency and reduce burden.</w:t>
      </w:r>
    </w:p>
    <w:p w:rsidR="003F4CBB" w:rsidRPr="00303A6A" w:rsidRDefault="003F4CBB" w:rsidP="00F820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303A6A">
        <w:rPr>
          <w:b/>
        </w:rPr>
        <w:t>5.</w:t>
      </w:r>
      <w:r w:rsidRPr="00303A6A">
        <w:rPr>
          <w:b/>
        </w:rPr>
        <w:tab/>
      </w:r>
      <w:r w:rsidRPr="00303A6A">
        <w:rPr>
          <w:rFonts w:cs="Calibri"/>
          <w:b/>
        </w:rPr>
        <w:t>Provide the names and telephone numbers of individuals consulted on statistical aspects of the design and the name of the agency unit, contractor(s), grantee(s), or other person(s) who will actually collect and/or analyze the information for the agency.</w:t>
      </w:r>
    </w:p>
    <w:p w:rsidR="003F4CBB" w:rsidRPr="00303A6A" w:rsidRDefault="003F4CBB" w:rsidP="00F820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Calibri"/>
        </w:rPr>
      </w:pPr>
      <w:r w:rsidRPr="00303A6A">
        <w:rPr>
          <w:rFonts w:cs="Calibri"/>
        </w:rPr>
        <w:t>Statistical consultants</w:t>
      </w:r>
    </w:p>
    <w:p w:rsidR="003F4CBB" w:rsidRPr="00303A6A" w:rsidRDefault="003F4CBB" w:rsidP="00F820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cs="Calibri"/>
        </w:rPr>
      </w:pPr>
      <w:r w:rsidRPr="00303A6A">
        <w:rPr>
          <w:rFonts w:cs="Calibri"/>
        </w:rPr>
        <w:t xml:space="preserve">Dr. Katharine </w:t>
      </w:r>
      <w:proofErr w:type="spellStart"/>
      <w:r w:rsidRPr="00303A6A">
        <w:rPr>
          <w:rFonts w:cs="Calibri"/>
        </w:rPr>
        <w:t>Gerst</w:t>
      </w:r>
      <w:proofErr w:type="spellEnd"/>
      <w:r w:rsidRPr="00303A6A">
        <w:rPr>
          <w:rFonts w:cs="Calibri"/>
        </w:rPr>
        <w:t>, USA-NPN Research Associate; 520-792-0571</w:t>
      </w:r>
    </w:p>
    <w:p w:rsidR="003F4CBB" w:rsidRPr="00303A6A" w:rsidRDefault="003F4CBB" w:rsidP="00F820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cs="Calibri"/>
        </w:rPr>
      </w:pPr>
      <w:r w:rsidRPr="00303A6A">
        <w:rPr>
          <w:rFonts w:cs="Calibri"/>
        </w:rPr>
        <w:t>Dr. Abraham Miller-Rushing, Science Coordinator, Acadia National Park; 207-288-1338</w:t>
      </w:r>
    </w:p>
    <w:p w:rsidR="003F4CBB" w:rsidRPr="00303A6A" w:rsidRDefault="003F4CBB" w:rsidP="00F820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cs="Calibri"/>
        </w:rPr>
      </w:pPr>
      <w:r w:rsidRPr="00303A6A">
        <w:rPr>
          <w:rFonts w:cs="Calibri"/>
        </w:rPr>
        <w:t>John Gross, National Park Service Inventory &amp; Monitoring Program; 970-267-2111</w:t>
      </w:r>
    </w:p>
    <w:p w:rsidR="003F4CBB" w:rsidRPr="00303A6A" w:rsidRDefault="003F4CBB" w:rsidP="00F820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Calibri"/>
        </w:rPr>
      </w:pPr>
      <w:r w:rsidRPr="00303A6A">
        <w:rPr>
          <w:rFonts w:cs="Calibri"/>
        </w:rPr>
        <w:t xml:space="preserve">Collection and analysis agency: </w:t>
      </w:r>
    </w:p>
    <w:p w:rsidR="003F4CBB" w:rsidRPr="00303A6A" w:rsidRDefault="003F4CBB" w:rsidP="00F820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cs="Calibri"/>
        </w:rPr>
      </w:pPr>
      <w:r w:rsidRPr="00303A6A">
        <w:rPr>
          <w:rFonts w:cs="Calibri"/>
        </w:rPr>
        <w:t xml:space="preserve">Dr. Theresa </w:t>
      </w:r>
      <w:proofErr w:type="spellStart"/>
      <w:r w:rsidRPr="00303A6A">
        <w:rPr>
          <w:rFonts w:cs="Calibri"/>
        </w:rPr>
        <w:t>Crimmins</w:t>
      </w:r>
      <w:proofErr w:type="spellEnd"/>
      <w:r w:rsidRPr="00303A6A">
        <w:rPr>
          <w:rFonts w:cs="Calibri"/>
        </w:rPr>
        <w:t>, University of Arizona; 520-622-0363</w:t>
      </w:r>
    </w:p>
    <w:p w:rsidR="003F4CBB" w:rsidRPr="00303A6A" w:rsidRDefault="003F4CBB" w:rsidP="00F82083">
      <w:pPr>
        <w:ind w:left="360"/>
        <w:rPr>
          <w:rFonts w:cs="Calibri"/>
        </w:rPr>
      </w:pPr>
      <w:proofErr w:type="spellStart"/>
      <w:r w:rsidRPr="00303A6A">
        <w:rPr>
          <w:rFonts w:cs="Calibri"/>
        </w:rPr>
        <w:t>Jherime</w:t>
      </w:r>
      <w:proofErr w:type="spellEnd"/>
      <w:r w:rsidRPr="00303A6A">
        <w:rPr>
          <w:rFonts w:cs="Calibri"/>
        </w:rPr>
        <w:t xml:space="preserve"> Kellerman (PhD candidate), University of Arizona; 520-792-0571</w:t>
      </w:r>
    </w:p>
    <w:p w:rsidR="003F4CBB" w:rsidRPr="00303A6A" w:rsidRDefault="003F4CBB" w:rsidP="00F820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pPr>
      <w:r w:rsidRPr="00303A6A">
        <w:rPr>
          <w:rFonts w:cs="Calibri"/>
        </w:rPr>
        <w:t>Dr. John Sauer; USGS Patuxent Wildlife Research Center; 301-497-5662</w:t>
      </w:r>
    </w:p>
    <w:p w:rsidR="003F4CBB" w:rsidRPr="00303A6A" w:rsidRDefault="003F4CBB"/>
    <w:sectPr w:rsidR="003F4CBB" w:rsidRPr="00303A6A" w:rsidSect="002E3CC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B5B42"/>
    <w:multiLevelType w:val="hybridMultilevel"/>
    <w:tmpl w:val="19485B7E"/>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083"/>
    <w:rsid w:val="00050027"/>
    <w:rsid w:val="001C1E4C"/>
    <w:rsid w:val="00235462"/>
    <w:rsid w:val="00246759"/>
    <w:rsid w:val="00265ED7"/>
    <w:rsid w:val="002E3CC7"/>
    <w:rsid w:val="00303A6A"/>
    <w:rsid w:val="003466BF"/>
    <w:rsid w:val="003F4CBB"/>
    <w:rsid w:val="00496E8B"/>
    <w:rsid w:val="00577705"/>
    <w:rsid w:val="0058469E"/>
    <w:rsid w:val="005E17A1"/>
    <w:rsid w:val="0065668C"/>
    <w:rsid w:val="00783CE5"/>
    <w:rsid w:val="007A0B9C"/>
    <w:rsid w:val="007A7DC2"/>
    <w:rsid w:val="007C6C2C"/>
    <w:rsid w:val="00905E7B"/>
    <w:rsid w:val="00A9709C"/>
    <w:rsid w:val="00B67FE3"/>
    <w:rsid w:val="00C624D1"/>
    <w:rsid w:val="00C70ED9"/>
    <w:rsid w:val="00D30104"/>
    <w:rsid w:val="00D969B9"/>
    <w:rsid w:val="00DB791F"/>
    <w:rsid w:val="00F6385B"/>
    <w:rsid w:val="00F82083"/>
    <w:rsid w:val="00FD28D1"/>
    <w:rsid w:val="00FD2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08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F82083"/>
    <w:pPr>
      <w:spacing w:line="240" w:lineRule="auto"/>
    </w:pPr>
    <w:rPr>
      <w:b/>
      <w:bCs/>
      <w:color w:val="4F81BD"/>
      <w:sz w:val="18"/>
      <w:szCs w:val="18"/>
    </w:rPr>
  </w:style>
  <w:style w:type="character" w:styleId="Hyperlink">
    <w:name w:val="Hyperlink"/>
    <w:basedOn w:val="DefaultParagraphFont"/>
    <w:uiPriority w:val="99"/>
    <w:rsid w:val="00F82083"/>
    <w:rPr>
      <w:rFonts w:cs="Times New Roman"/>
      <w:color w:val="0000FF"/>
      <w:u w:val="single"/>
    </w:rPr>
  </w:style>
  <w:style w:type="paragraph" w:styleId="BalloonText">
    <w:name w:val="Balloon Text"/>
    <w:basedOn w:val="Normal"/>
    <w:link w:val="BalloonTextChar"/>
    <w:uiPriority w:val="99"/>
    <w:semiHidden/>
    <w:rsid w:val="002467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6759"/>
    <w:rPr>
      <w:rFonts w:ascii="Tahoma" w:hAnsi="Tahoma" w:cs="Tahoma"/>
      <w:sz w:val="16"/>
      <w:szCs w:val="16"/>
    </w:rPr>
  </w:style>
  <w:style w:type="character" w:styleId="CommentReference">
    <w:name w:val="annotation reference"/>
    <w:basedOn w:val="DefaultParagraphFont"/>
    <w:uiPriority w:val="99"/>
    <w:semiHidden/>
    <w:rsid w:val="00246759"/>
    <w:rPr>
      <w:rFonts w:cs="Times New Roman"/>
      <w:sz w:val="16"/>
      <w:szCs w:val="16"/>
    </w:rPr>
  </w:style>
  <w:style w:type="paragraph" w:styleId="CommentText">
    <w:name w:val="annotation text"/>
    <w:basedOn w:val="Normal"/>
    <w:link w:val="CommentTextChar"/>
    <w:uiPriority w:val="99"/>
    <w:semiHidden/>
    <w:rsid w:val="00246759"/>
    <w:rPr>
      <w:sz w:val="20"/>
      <w:szCs w:val="20"/>
    </w:rPr>
  </w:style>
  <w:style w:type="character" w:customStyle="1" w:styleId="CommentTextChar">
    <w:name w:val="Comment Text Char"/>
    <w:basedOn w:val="DefaultParagraphFont"/>
    <w:link w:val="CommentText"/>
    <w:uiPriority w:val="99"/>
    <w:semiHidden/>
    <w:locked/>
    <w:rsid w:val="00246759"/>
    <w:rPr>
      <w:rFonts w:cs="Times New Roman"/>
    </w:rPr>
  </w:style>
  <w:style w:type="paragraph" w:styleId="CommentSubject">
    <w:name w:val="annotation subject"/>
    <w:basedOn w:val="CommentText"/>
    <w:next w:val="CommentText"/>
    <w:link w:val="CommentSubjectChar"/>
    <w:uiPriority w:val="99"/>
    <w:semiHidden/>
    <w:rsid w:val="00246759"/>
    <w:rPr>
      <w:b/>
      <w:bCs/>
    </w:rPr>
  </w:style>
  <w:style w:type="character" w:customStyle="1" w:styleId="CommentSubjectChar">
    <w:name w:val="Comment Subject Char"/>
    <w:basedOn w:val="CommentTextChar"/>
    <w:link w:val="CommentSubject"/>
    <w:uiPriority w:val="99"/>
    <w:semiHidden/>
    <w:locked/>
    <w:rsid w:val="00246759"/>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08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F82083"/>
    <w:pPr>
      <w:spacing w:line="240" w:lineRule="auto"/>
    </w:pPr>
    <w:rPr>
      <w:b/>
      <w:bCs/>
      <w:color w:val="4F81BD"/>
      <w:sz w:val="18"/>
      <w:szCs w:val="18"/>
    </w:rPr>
  </w:style>
  <w:style w:type="character" w:styleId="Hyperlink">
    <w:name w:val="Hyperlink"/>
    <w:basedOn w:val="DefaultParagraphFont"/>
    <w:uiPriority w:val="99"/>
    <w:rsid w:val="00F82083"/>
    <w:rPr>
      <w:rFonts w:cs="Times New Roman"/>
      <w:color w:val="0000FF"/>
      <w:u w:val="single"/>
    </w:rPr>
  </w:style>
  <w:style w:type="paragraph" w:styleId="BalloonText">
    <w:name w:val="Balloon Text"/>
    <w:basedOn w:val="Normal"/>
    <w:link w:val="BalloonTextChar"/>
    <w:uiPriority w:val="99"/>
    <w:semiHidden/>
    <w:rsid w:val="002467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6759"/>
    <w:rPr>
      <w:rFonts w:ascii="Tahoma" w:hAnsi="Tahoma" w:cs="Tahoma"/>
      <w:sz w:val="16"/>
      <w:szCs w:val="16"/>
    </w:rPr>
  </w:style>
  <w:style w:type="character" w:styleId="CommentReference">
    <w:name w:val="annotation reference"/>
    <w:basedOn w:val="DefaultParagraphFont"/>
    <w:uiPriority w:val="99"/>
    <w:semiHidden/>
    <w:rsid w:val="00246759"/>
    <w:rPr>
      <w:rFonts w:cs="Times New Roman"/>
      <w:sz w:val="16"/>
      <w:szCs w:val="16"/>
    </w:rPr>
  </w:style>
  <w:style w:type="paragraph" w:styleId="CommentText">
    <w:name w:val="annotation text"/>
    <w:basedOn w:val="Normal"/>
    <w:link w:val="CommentTextChar"/>
    <w:uiPriority w:val="99"/>
    <w:semiHidden/>
    <w:rsid w:val="00246759"/>
    <w:rPr>
      <w:sz w:val="20"/>
      <w:szCs w:val="20"/>
    </w:rPr>
  </w:style>
  <w:style w:type="character" w:customStyle="1" w:styleId="CommentTextChar">
    <w:name w:val="Comment Text Char"/>
    <w:basedOn w:val="DefaultParagraphFont"/>
    <w:link w:val="CommentText"/>
    <w:uiPriority w:val="99"/>
    <w:semiHidden/>
    <w:locked/>
    <w:rsid w:val="00246759"/>
    <w:rPr>
      <w:rFonts w:cs="Times New Roman"/>
    </w:rPr>
  </w:style>
  <w:style w:type="paragraph" w:styleId="CommentSubject">
    <w:name w:val="annotation subject"/>
    <w:basedOn w:val="CommentText"/>
    <w:next w:val="CommentText"/>
    <w:link w:val="CommentSubjectChar"/>
    <w:uiPriority w:val="99"/>
    <w:semiHidden/>
    <w:rsid w:val="00246759"/>
    <w:rPr>
      <w:b/>
      <w:bCs/>
    </w:rPr>
  </w:style>
  <w:style w:type="character" w:customStyle="1" w:styleId="CommentSubjectChar">
    <w:name w:val="Comment Subject Char"/>
    <w:basedOn w:val="CommentTextChar"/>
    <w:link w:val="CommentSubject"/>
    <w:uiPriority w:val="99"/>
    <w:semiHidden/>
    <w:locked/>
    <w:rsid w:val="00246759"/>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1366</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Supporting Statement Part B</vt:lpstr>
    </vt:vector>
  </TitlesOfParts>
  <Company>U.S. Geological Survey</Company>
  <LinksUpToDate>false</LinksUpToDate>
  <CharactersWithSpaces>9135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dc:title>
  <dc:creator>Alyssa Rosemartin</dc:creator>
  <cp:lastModifiedBy>Baloch, Shari M.</cp:lastModifiedBy>
  <cp:revision>2</cp:revision>
  <dcterms:created xsi:type="dcterms:W3CDTF">2012-06-22T15:34:00Z</dcterms:created>
  <dcterms:modified xsi:type="dcterms:W3CDTF">2012-06-22T15:34:00Z</dcterms:modified>
</cp:coreProperties>
</file>