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186" w:rsidRDefault="00CF3186" w:rsidP="00CF3186">
      <w:pPr>
        <w:pStyle w:val="Default"/>
        <w:rPr>
          <w:sz w:val="22"/>
          <w:szCs w:val="22"/>
        </w:rPr>
      </w:pPr>
      <w:r>
        <w:t xml:space="preserve"> </w:t>
      </w:r>
      <w:r>
        <w:rPr>
          <w:b/>
          <w:bCs/>
          <w:sz w:val="22"/>
          <w:szCs w:val="22"/>
        </w:rPr>
        <w:t xml:space="preserve">To: </w:t>
      </w:r>
      <w:r w:rsidR="00A37B86">
        <w:rPr>
          <w:b/>
          <w:bCs/>
          <w:sz w:val="22"/>
          <w:szCs w:val="22"/>
        </w:rPr>
        <w:t>Joshu</w:t>
      </w:r>
      <w:r w:rsidR="00A37B86" w:rsidRPr="007A3B94">
        <w:rPr>
          <w:b/>
          <w:bCs/>
          <w:sz w:val="22"/>
          <w:szCs w:val="22"/>
        </w:rPr>
        <w:t>a</w:t>
      </w:r>
      <w:r w:rsidR="00181E43" w:rsidRPr="007A3B94">
        <w:rPr>
          <w:b/>
          <w:bCs/>
          <w:sz w:val="22"/>
          <w:szCs w:val="22"/>
        </w:rPr>
        <w:t xml:space="preserve"> </w:t>
      </w:r>
      <w:r w:rsidR="00A37B86" w:rsidRPr="007A3B94">
        <w:rPr>
          <w:b/>
          <w:bCs/>
          <w:sz w:val="22"/>
          <w:szCs w:val="22"/>
        </w:rPr>
        <w:t>Br</w:t>
      </w:r>
      <w:r w:rsidR="00A37B86" w:rsidRPr="00A37B86">
        <w:rPr>
          <w:b/>
          <w:bCs/>
          <w:sz w:val="22"/>
          <w:szCs w:val="22"/>
        </w:rPr>
        <w:t>ammer</w:t>
      </w:r>
    </w:p>
    <w:p w:rsidR="00CF3186" w:rsidRDefault="00CF3186" w:rsidP="00CF3186">
      <w:pPr>
        <w:pStyle w:val="Default"/>
        <w:rPr>
          <w:b/>
          <w:bCs/>
          <w:sz w:val="22"/>
          <w:szCs w:val="22"/>
        </w:rPr>
      </w:pPr>
    </w:p>
    <w:p w:rsidR="00CF3186" w:rsidRDefault="00CF3186" w:rsidP="00CF3186">
      <w:pPr>
        <w:pStyle w:val="Default"/>
        <w:rPr>
          <w:sz w:val="22"/>
          <w:szCs w:val="22"/>
        </w:rPr>
      </w:pPr>
      <w:r>
        <w:rPr>
          <w:b/>
          <w:bCs/>
          <w:sz w:val="22"/>
          <w:szCs w:val="22"/>
        </w:rPr>
        <w:t xml:space="preserve">From: Doris Lefkowitz </w:t>
      </w:r>
    </w:p>
    <w:p w:rsidR="00CF3186" w:rsidRDefault="00CF3186" w:rsidP="00CF3186">
      <w:pPr>
        <w:pStyle w:val="Default"/>
        <w:rPr>
          <w:b/>
          <w:bCs/>
          <w:sz w:val="22"/>
          <w:szCs w:val="22"/>
        </w:rPr>
      </w:pPr>
    </w:p>
    <w:p w:rsidR="00CF3186" w:rsidRDefault="00CF3186" w:rsidP="00CF3186">
      <w:pPr>
        <w:pStyle w:val="Default"/>
        <w:rPr>
          <w:sz w:val="22"/>
          <w:szCs w:val="22"/>
        </w:rPr>
      </w:pPr>
      <w:r>
        <w:rPr>
          <w:b/>
          <w:bCs/>
          <w:sz w:val="22"/>
          <w:szCs w:val="22"/>
        </w:rPr>
        <w:t xml:space="preserve">CC: William Munier, Director, Center for Quality Improvement and Patient Safety </w:t>
      </w:r>
    </w:p>
    <w:p w:rsidR="00CF3186" w:rsidRDefault="00CF3186" w:rsidP="00CF3186">
      <w:pPr>
        <w:pStyle w:val="Default"/>
        <w:rPr>
          <w:b/>
          <w:bCs/>
          <w:sz w:val="22"/>
          <w:szCs w:val="22"/>
        </w:rPr>
      </w:pPr>
    </w:p>
    <w:p w:rsidR="00CF3186" w:rsidRDefault="00CF3186" w:rsidP="00CF3186">
      <w:pPr>
        <w:pStyle w:val="Default"/>
        <w:rPr>
          <w:b/>
          <w:bCs/>
          <w:sz w:val="22"/>
          <w:szCs w:val="22"/>
        </w:rPr>
      </w:pPr>
      <w:proofErr w:type="gramStart"/>
      <w:r>
        <w:rPr>
          <w:b/>
          <w:bCs/>
          <w:sz w:val="22"/>
          <w:szCs w:val="22"/>
        </w:rPr>
        <w:t xml:space="preserve">Memo regarding Change Requests to Common </w:t>
      </w:r>
      <w:r w:rsidR="00D24499">
        <w:rPr>
          <w:b/>
          <w:bCs/>
          <w:sz w:val="22"/>
          <w:szCs w:val="22"/>
        </w:rPr>
        <w:t>Formats</w:t>
      </w:r>
      <w:r>
        <w:rPr>
          <w:b/>
          <w:bCs/>
          <w:sz w:val="22"/>
          <w:szCs w:val="22"/>
        </w:rPr>
        <w:t>.</w:t>
      </w:r>
      <w:proofErr w:type="gramEnd"/>
      <w:r>
        <w:rPr>
          <w:b/>
          <w:bCs/>
          <w:sz w:val="22"/>
          <w:szCs w:val="22"/>
        </w:rPr>
        <w:t xml:space="preserve"> </w:t>
      </w:r>
    </w:p>
    <w:p w:rsidR="00CF3186" w:rsidRDefault="00CF3186" w:rsidP="00CF3186">
      <w:pPr>
        <w:pStyle w:val="Default"/>
        <w:rPr>
          <w:sz w:val="22"/>
          <w:szCs w:val="22"/>
        </w:rPr>
      </w:pPr>
    </w:p>
    <w:p w:rsidR="00D24499" w:rsidRDefault="00CF3186" w:rsidP="00CF3186">
      <w:pPr>
        <w:pStyle w:val="Default"/>
        <w:rPr>
          <w:sz w:val="22"/>
          <w:szCs w:val="22"/>
        </w:rPr>
      </w:pPr>
      <w:r>
        <w:rPr>
          <w:sz w:val="22"/>
          <w:szCs w:val="22"/>
        </w:rPr>
        <w:t xml:space="preserve">As part of the implementation of the Patient Safety and Quality Improvement Act of 2005, AHRQ develops and maintains Common Formats for reporting patient safety event data and administers the Patient Safety Organization (PSO) program. </w:t>
      </w:r>
    </w:p>
    <w:p w:rsidR="00D24499" w:rsidRDefault="00D24499" w:rsidP="00CF3186">
      <w:pPr>
        <w:pStyle w:val="Default"/>
        <w:rPr>
          <w:sz w:val="22"/>
          <w:szCs w:val="22"/>
        </w:rPr>
      </w:pPr>
    </w:p>
    <w:p w:rsidR="00CF3186" w:rsidRDefault="00D24499" w:rsidP="00CF3186">
      <w:pPr>
        <w:pStyle w:val="Default"/>
        <w:rPr>
          <w:sz w:val="22"/>
          <w:szCs w:val="22"/>
        </w:rPr>
      </w:pPr>
      <w:r w:rsidRPr="00D24499">
        <w:rPr>
          <w:sz w:val="22"/>
          <w:szCs w:val="22"/>
        </w:rPr>
        <w:t>AHRQ published Common Formats, Version 1.1 on March 31, 2010.  As part of continuous quality improvement to the Formats, AHRQ receives user comments on the formats related to their implementation and use. Incorporation of user feedback enhances the accuracy, efficiency, and usability of the Formats.</w:t>
      </w:r>
    </w:p>
    <w:p w:rsidR="00D24499" w:rsidRDefault="00D24499" w:rsidP="00CF3186">
      <w:pPr>
        <w:pStyle w:val="Default"/>
        <w:rPr>
          <w:sz w:val="22"/>
          <w:szCs w:val="22"/>
        </w:rPr>
      </w:pPr>
    </w:p>
    <w:p w:rsidR="00D24499" w:rsidRDefault="00D24499" w:rsidP="00CF3186">
      <w:pPr>
        <w:pStyle w:val="Default"/>
        <w:rPr>
          <w:sz w:val="22"/>
          <w:szCs w:val="22"/>
        </w:rPr>
      </w:pPr>
      <w:r w:rsidRPr="00D24499">
        <w:rPr>
          <w:sz w:val="22"/>
          <w:szCs w:val="22"/>
        </w:rPr>
        <w:t>AHRQ received a request from the Office of the National Coordinator (ONC) to add content to the device module for adverse events related</w:t>
      </w:r>
      <w:r>
        <w:rPr>
          <w:sz w:val="22"/>
          <w:szCs w:val="22"/>
        </w:rPr>
        <w:t xml:space="preserve"> to</w:t>
      </w:r>
      <w:r w:rsidRPr="00D24499">
        <w:rPr>
          <w:sz w:val="22"/>
          <w:szCs w:val="22"/>
        </w:rPr>
        <w:t xml:space="preserve"> Health Information Technology, and AHRQ noted a need for content related to Venous </w:t>
      </w:r>
      <w:proofErr w:type="spellStart"/>
      <w:r w:rsidRPr="00D24499">
        <w:rPr>
          <w:sz w:val="22"/>
          <w:szCs w:val="22"/>
        </w:rPr>
        <w:t>Thromboembolism</w:t>
      </w:r>
      <w:proofErr w:type="spellEnd"/>
      <w:r w:rsidRPr="00D24499">
        <w:rPr>
          <w:sz w:val="22"/>
          <w:szCs w:val="22"/>
        </w:rPr>
        <w:t xml:space="preserve"> that would complement other Federal patient safety efforts (e.g., Partnership for Patients). Therefore, AHRQ published an updated version of Hospital Common Formats on April 3, 2012, and announced the availability via a Federal Register notice </w:t>
      </w:r>
      <w:hyperlink r:id="rId6" w:history="1">
        <w:r w:rsidRPr="00D24499">
          <w:rPr>
            <w:rStyle w:val="Hyperlink"/>
            <w:sz w:val="22"/>
            <w:szCs w:val="22"/>
          </w:rPr>
          <w:t>http://www.gpo.gov/fdsys/pkg/FR-2012-04-13/html/2012-8743.htm</w:t>
        </w:r>
      </w:hyperlink>
      <w:r>
        <w:rPr>
          <w:sz w:val="22"/>
          <w:szCs w:val="22"/>
        </w:rPr>
        <w:t xml:space="preserve">.  </w:t>
      </w:r>
    </w:p>
    <w:p w:rsidR="00CF3186" w:rsidRDefault="00CF3186" w:rsidP="00CF3186">
      <w:pPr>
        <w:pStyle w:val="Default"/>
        <w:rPr>
          <w:sz w:val="22"/>
          <w:szCs w:val="22"/>
        </w:rPr>
      </w:pPr>
    </w:p>
    <w:p w:rsidR="00A7486A" w:rsidRDefault="00CF3186" w:rsidP="00A7486A">
      <w:pPr>
        <w:pStyle w:val="Default"/>
        <w:rPr>
          <w:b/>
          <w:bCs/>
          <w:sz w:val="22"/>
          <w:szCs w:val="22"/>
        </w:rPr>
      </w:pPr>
      <w:r>
        <w:rPr>
          <w:sz w:val="22"/>
          <w:szCs w:val="22"/>
        </w:rPr>
        <w:t xml:space="preserve">• </w:t>
      </w:r>
      <w:r w:rsidR="00D24499" w:rsidRPr="00D24499">
        <w:rPr>
          <w:b/>
          <w:bCs/>
          <w:sz w:val="22"/>
          <w:szCs w:val="22"/>
        </w:rPr>
        <w:t>Hospital Version 1.2</w:t>
      </w:r>
    </w:p>
    <w:p w:rsidR="00A7486A" w:rsidRDefault="00A7486A" w:rsidP="00A7486A">
      <w:pPr>
        <w:pStyle w:val="Default"/>
        <w:rPr>
          <w:sz w:val="22"/>
          <w:szCs w:val="22"/>
        </w:rPr>
      </w:pPr>
    </w:p>
    <w:p w:rsidR="00D24499" w:rsidRPr="00D24499" w:rsidRDefault="00D24499" w:rsidP="00D24499">
      <w:pPr>
        <w:rPr>
          <w:rFonts w:ascii="Century Gothic" w:hAnsi="Century Gothic"/>
          <w:sz w:val="22"/>
          <w:szCs w:val="22"/>
        </w:rPr>
      </w:pPr>
      <w:r w:rsidRPr="00D24499">
        <w:rPr>
          <w:rFonts w:ascii="Century Gothic" w:hAnsi="Century Gothic"/>
          <w:sz w:val="22"/>
          <w:szCs w:val="22"/>
        </w:rPr>
        <w:t>Hospital Version 1.2 is considered a minor release of the AHRQ Common Formats; information about this minor release is available at:</w:t>
      </w:r>
    </w:p>
    <w:p w:rsidR="00D24499" w:rsidRDefault="002C2785" w:rsidP="00D24499">
      <w:pPr>
        <w:rPr>
          <w:rFonts w:ascii="Century Gothic" w:hAnsi="Century Gothic"/>
          <w:sz w:val="22"/>
          <w:szCs w:val="22"/>
        </w:rPr>
      </w:pPr>
      <w:hyperlink r:id="rId7" w:history="1">
        <w:r w:rsidR="00D24499" w:rsidRPr="00D24499">
          <w:rPr>
            <w:rStyle w:val="Hyperlink"/>
            <w:rFonts w:ascii="Century Gothic" w:hAnsi="Century Gothic"/>
            <w:sz w:val="22"/>
            <w:szCs w:val="22"/>
          </w:rPr>
          <w:t>https://www.psoppc.org/web/patientsafety/home/-/asset_publisher/C2Vf/content/376023</w:t>
        </w:r>
      </w:hyperlink>
      <w:r w:rsidR="00D24499" w:rsidRPr="00D24499">
        <w:rPr>
          <w:rFonts w:ascii="Century Gothic" w:hAnsi="Century Gothic"/>
          <w:sz w:val="22"/>
          <w:szCs w:val="22"/>
        </w:rPr>
        <w:t xml:space="preserve">. The most significant changes included in this new version are: </w:t>
      </w:r>
    </w:p>
    <w:p w:rsidR="00D24499" w:rsidRPr="00D24499" w:rsidRDefault="00D24499" w:rsidP="00D24499">
      <w:pPr>
        <w:rPr>
          <w:rFonts w:ascii="Century Gothic" w:hAnsi="Century Gothic"/>
          <w:sz w:val="22"/>
          <w:szCs w:val="22"/>
        </w:rPr>
      </w:pPr>
    </w:p>
    <w:p w:rsidR="00D24499" w:rsidRPr="00D24499" w:rsidRDefault="00D24499" w:rsidP="00D24499">
      <w:pPr>
        <w:numPr>
          <w:ilvl w:val="0"/>
          <w:numId w:val="3"/>
        </w:numPr>
        <w:rPr>
          <w:rFonts w:ascii="Century Gothic" w:hAnsi="Century Gothic"/>
          <w:sz w:val="22"/>
          <w:szCs w:val="22"/>
        </w:rPr>
      </w:pPr>
      <w:r w:rsidRPr="00D24499">
        <w:rPr>
          <w:rFonts w:ascii="Century Gothic" w:hAnsi="Century Gothic"/>
          <w:sz w:val="22"/>
          <w:szCs w:val="22"/>
        </w:rPr>
        <w:t xml:space="preserve">Incorporation of new data elements for the Device module to include content for patient safety events related to Health IT </w:t>
      </w:r>
    </w:p>
    <w:p w:rsidR="00D24499" w:rsidRPr="00D24499" w:rsidRDefault="00D24499" w:rsidP="00D24499">
      <w:pPr>
        <w:numPr>
          <w:ilvl w:val="0"/>
          <w:numId w:val="3"/>
        </w:numPr>
        <w:rPr>
          <w:rFonts w:ascii="Century Gothic" w:hAnsi="Century Gothic"/>
          <w:sz w:val="22"/>
          <w:szCs w:val="22"/>
        </w:rPr>
      </w:pPr>
      <w:r w:rsidRPr="00D24499">
        <w:rPr>
          <w:rFonts w:ascii="Century Gothic" w:hAnsi="Century Gothic"/>
          <w:sz w:val="22"/>
          <w:szCs w:val="22"/>
        </w:rPr>
        <w:t xml:space="preserve">A new module for Venous </w:t>
      </w:r>
      <w:proofErr w:type="spellStart"/>
      <w:r w:rsidRPr="00D24499">
        <w:rPr>
          <w:rFonts w:ascii="Century Gothic" w:hAnsi="Century Gothic"/>
          <w:sz w:val="22"/>
          <w:szCs w:val="22"/>
        </w:rPr>
        <w:t>Thromboembolism</w:t>
      </w:r>
      <w:proofErr w:type="spellEnd"/>
      <w:r w:rsidRPr="00D24499">
        <w:rPr>
          <w:rFonts w:ascii="Century Gothic" w:hAnsi="Century Gothic"/>
          <w:sz w:val="22"/>
          <w:szCs w:val="22"/>
        </w:rPr>
        <w:t xml:space="preserve"> events </w:t>
      </w:r>
    </w:p>
    <w:p w:rsidR="00D24499" w:rsidRPr="00D24499" w:rsidRDefault="00D24499" w:rsidP="00D24499">
      <w:pPr>
        <w:numPr>
          <w:ilvl w:val="0"/>
          <w:numId w:val="3"/>
        </w:numPr>
        <w:rPr>
          <w:rFonts w:ascii="Century Gothic" w:hAnsi="Century Gothic"/>
          <w:sz w:val="22"/>
          <w:szCs w:val="22"/>
        </w:rPr>
      </w:pPr>
      <w:r w:rsidRPr="00D24499">
        <w:rPr>
          <w:rFonts w:ascii="Century Gothic" w:hAnsi="Century Gothic"/>
          <w:sz w:val="22"/>
          <w:szCs w:val="22"/>
        </w:rPr>
        <w:t xml:space="preserve">RX Norm identifiers for Medication events </w:t>
      </w:r>
    </w:p>
    <w:p w:rsidR="00D24499" w:rsidRPr="00D24499" w:rsidRDefault="00D24499" w:rsidP="00D24499">
      <w:pPr>
        <w:numPr>
          <w:ilvl w:val="0"/>
          <w:numId w:val="3"/>
        </w:numPr>
        <w:rPr>
          <w:rFonts w:ascii="Century Gothic" w:hAnsi="Century Gothic"/>
          <w:sz w:val="22"/>
          <w:szCs w:val="22"/>
        </w:rPr>
      </w:pPr>
      <w:r w:rsidRPr="00D24499">
        <w:rPr>
          <w:rFonts w:ascii="Century Gothic" w:hAnsi="Century Gothic"/>
          <w:sz w:val="22"/>
          <w:szCs w:val="22"/>
        </w:rPr>
        <w:t xml:space="preserve">Compatibility with ICD-9 and ICD-10 </w:t>
      </w:r>
    </w:p>
    <w:p w:rsidR="00D24499" w:rsidRDefault="00D24499" w:rsidP="00D24499">
      <w:pPr>
        <w:numPr>
          <w:ilvl w:val="0"/>
          <w:numId w:val="3"/>
        </w:numPr>
        <w:rPr>
          <w:rFonts w:ascii="Century Gothic" w:hAnsi="Century Gothic"/>
          <w:sz w:val="22"/>
          <w:szCs w:val="22"/>
        </w:rPr>
      </w:pPr>
      <w:r w:rsidRPr="00D24499">
        <w:rPr>
          <w:rFonts w:ascii="Century Gothic" w:hAnsi="Century Gothic"/>
          <w:sz w:val="22"/>
          <w:szCs w:val="22"/>
        </w:rPr>
        <w:t>Revision of the AHRQ Harm Scale to include extent as well as duration</w:t>
      </w:r>
    </w:p>
    <w:p w:rsidR="00D24499" w:rsidRPr="00D24499" w:rsidRDefault="00D24499" w:rsidP="00D24499">
      <w:pPr>
        <w:ind w:left="720"/>
        <w:rPr>
          <w:rFonts w:ascii="Century Gothic" w:hAnsi="Century Gothic"/>
          <w:sz w:val="22"/>
          <w:szCs w:val="22"/>
        </w:rPr>
      </w:pPr>
    </w:p>
    <w:p w:rsidR="00D24499" w:rsidRPr="00D24499" w:rsidRDefault="007355FB" w:rsidP="00D24499">
      <w:pPr>
        <w:rPr>
          <w:rFonts w:ascii="Century Gothic" w:hAnsi="Century Gothic"/>
          <w:sz w:val="22"/>
          <w:szCs w:val="22"/>
        </w:rPr>
      </w:pPr>
      <w:r>
        <w:rPr>
          <w:rFonts w:ascii="Century Gothic" w:hAnsi="Century Gothic"/>
          <w:sz w:val="22"/>
          <w:szCs w:val="22"/>
        </w:rPr>
        <w:t>For a more</w:t>
      </w:r>
      <w:r w:rsidR="00D24499" w:rsidRPr="00D24499">
        <w:rPr>
          <w:rFonts w:ascii="Century Gothic" w:hAnsi="Century Gothic"/>
          <w:sz w:val="22"/>
          <w:szCs w:val="22"/>
        </w:rPr>
        <w:t xml:space="preserve"> detailed </w:t>
      </w:r>
      <w:r>
        <w:rPr>
          <w:rFonts w:ascii="Century Gothic" w:hAnsi="Century Gothic"/>
          <w:sz w:val="22"/>
          <w:szCs w:val="22"/>
        </w:rPr>
        <w:t>description of the changes see Attachment A.</w:t>
      </w:r>
    </w:p>
    <w:p w:rsidR="00D24499" w:rsidRPr="00D24499" w:rsidRDefault="00D24499" w:rsidP="00D24499">
      <w:pPr>
        <w:rPr>
          <w:rFonts w:ascii="Century Gothic" w:hAnsi="Century Gothic"/>
          <w:sz w:val="22"/>
          <w:szCs w:val="22"/>
        </w:rPr>
      </w:pPr>
      <w:r w:rsidRPr="00D24499">
        <w:rPr>
          <w:rFonts w:ascii="Century Gothic" w:hAnsi="Century Gothic"/>
          <w:sz w:val="22"/>
          <w:szCs w:val="22"/>
        </w:rPr>
        <w:t> </w:t>
      </w:r>
    </w:p>
    <w:p w:rsidR="00CF3186" w:rsidRDefault="00D24499" w:rsidP="00CF3186">
      <w:pPr>
        <w:pStyle w:val="Default"/>
        <w:rPr>
          <w:sz w:val="22"/>
          <w:szCs w:val="22"/>
        </w:rPr>
      </w:pPr>
      <w:bookmarkStart w:id="0" w:name="p_101_INSTANCE_Iln8"/>
      <w:bookmarkEnd w:id="0"/>
      <w:r>
        <w:rPr>
          <w:sz w:val="22"/>
          <w:szCs w:val="22"/>
        </w:rPr>
        <w:t>AHRQ</w:t>
      </w:r>
      <w:r w:rsidR="00CF3186">
        <w:rPr>
          <w:sz w:val="22"/>
          <w:szCs w:val="22"/>
        </w:rPr>
        <w:t xml:space="preserve"> believe</w:t>
      </w:r>
      <w:r>
        <w:rPr>
          <w:sz w:val="22"/>
          <w:szCs w:val="22"/>
        </w:rPr>
        <w:t>s</w:t>
      </w:r>
      <w:r w:rsidR="00CF3186">
        <w:rPr>
          <w:sz w:val="22"/>
          <w:szCs w:val="22"/>
        </w:rPr>
        <w:t xml:space="preserve"> it is most practical and efficient to complete a change request that encompasses all of these changes. Please let me know if you have any questions. </w:t>
      </w:r>
    </w:p>
    <w:p w:rsidR="00CF3186" w:rsidRDefault="00CF3186" w:rsidP="00CF3186"/>
    <w:p w:rsidR="00CF3186" w:rsidRDefault="00CF3186" w:rsidP="00CF3186">
      <w:pPr>
        <w:rPr>
          <w:rFonts w:ascii="Century Gothic" w:hAnsi="Century Gothic"/>
          <w:sz w:val="22"/>
          <w:szCs w:val="22"/>
        </w:rPr>
      </w:pPr>
      <w:r w:rsidRPr="00917965">
        <w:rPr>
          <w:rFonts w:ascii="Century Gothic" w:hAnsi="Century Gothic"/>
          <w:sz w:val="22"/>
          <w:szCs w:val="22"/>
        </w:rPr>
        <w:t>Doris Lefkowitz</w:t>
      </w:r>
    </w:p>
    <w:p w:rsidR="00ED5D60" w:rsidRPr="00917965" w:rsidRDefault="00ED5D60" w:rsidP="00CF3186">
      <w:pPr>
        <w:rPr>
          <w:rFonts w:ascii="Century Gothic" w:hAnsi="Century Gothic"/>
        </w:rPr>
      </w:pPr>
      <w:r>
        <w:rPr>
          <w:rFonts w:ascii="Century Gothic" w:hAnsi="Century Gothic"/>
          <w:sz w:val="22"/>
          <w:szCs w:val="22"/>
        </w:rPr>
        <w:t>AHRQ Reports Clearance Officer</w:t>
      </w:r>
    </w:p>
    <w:sectPr w:rsidR="00ED5D60" w:rsidRPr="00917965" w:rsidSect="00BE1BA5">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C379DA"/>
    <w:multiLevelType w:val="hybridMultilevel"/>
    <w:tmpl w:val="EEB0987A"/>
    <w:lvl w:ilvl="0" w:tplc="FFFFFFFF">
      <w:start w:val="1"/>
      <w:numFmt w:val="decimal"/>
      <w:lvlText w:val="%1."/>
      <w:lvlJc w:val="left"/>
      <w:pPr>
        <w:tabs>
          <w:tab w:val="num" w:pos="2160"/>
        </w:tabs>
        <w:ind w:left="2160" w:hanging="360"/>
      </w:pPr>
    </w:lvl>
    <w:lvl w:ilvl="1" w:tplc="FFFFFFFF">
      <w:start w:val="2"/>
      <w:numFmt w:val="lowerLetter"/>
      <w:lvlText w:val="%2."/>
      <w:lvlJc w:val="left"/>
      <w:pPr>
        <w:tabs>
          <w:tab w:val="num" w:pos="2880"/>
        </w:tabs>
        <w:ind w:left="2880" w:hanging="360"/>
      </w:pPr>
      <w:rPr>
        <w:rFonts w:hint="default"/>
      </w:rPr>
    </w:lvl>
    <w:lvl w:ilvl="2" w:tplc="FFFFFFFF" w:tentative="1">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1">
    <w:nsid w:val="334816A4"/>
    <w:multiLevelType w:val="multilevel"/>
    <w:tmpl w:val="78A6EB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79951457"/>
    <w:multiLevelType w:val="multilevel"/>
    <w:tmpl w:val="E9202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drawingGridHorizontalSpacing w:val="120"/>
  <w:displayHorizontalDrawingGridEvery w:val="2"/>
  <w:characterSpacingControl w:val="doNotCompress"/>
  <w:compat/>
  <w:rsids>
    <w:rsidRoot w:val="00CF3186"/>
    <w:rsid w:val="000B5C49"/>
    <w:rsid w:val="00171CC7"/>
    <w:rsid w:val="00181E43"/>
    <w:rsid w:val="00245294"/>
    <w:rsid w:val="002C2785"/>
    <w:rsid w:val="00380001"/>
    <w:rsid w:val="003D1344"/>
    <w:rsid w:val="003D58FA"/>
    <w:rsid w:val="004A79ED"/>
    <w:rsid w:val="005E517A"/>
    <w:rsid w:val="00684EDC"/>
    <w:rsid w:val="0070275A"/>
    <w:rsid w:val="007355FB"/>
    <w:rsid w:val="00774231"/>
    <w:rsid w:val="007A3B94"/>
    <w:rsid w:val="007B6084"/>
    <w:rsid w:val="0086420E"/>
    <w:rsid w:val="00886BBC"/>
    <w:rsid w:val="00917965"/>
    <w:rsid w:val="00972752"/>
    <w:rsid w:val="0097385F"/>
    <w:rsid w:val="009C666E"/>
    <w:rsid w:val="009D3408"/>
    <w:rsid w:val="009E3A88"/>
    <w:rsid w:val="00A23B62"/>
    <w:rsid w:val="00A37B86"/>
    <w:rsid w:val="00A57020"/>
    <w:rsid w:val="00A71588"/>
    <w:rsid w:val="00A7486A"/>
    <w:rsid w:val="00AA6D6F"/>
    <w:rsid w:val="00AC0F57"/>
    <w:rsid w:val="00B623A1"/>
    <w:rsid w:val="00BB4A19"/>
    <w:rsid w:val="00BE1BA5"/>
    <w:rsid w:val="00BE2E79"/>
    <w:rsid w:val="00BE6497"/>
    <w:rsid w:val="00C128CB"/>
    <w:rsid w:val="00C50353"/>
    <w:rsid w:val="00C620BE"/>
    <w:rsid w:val="00CA38FD"/>
    <w:rsid w:val="00CA5C30"/>
    <w:rsid w:val="00CF3186"/>
    <w:rsid w:val="00D24499"/>
    <w:rsid w:val="00D85C59"/>
    <w:rsid w:val="00DA0479"/>
    <w:rsid w:val="00E62373"/>
    <w:rsid w:val="00E72BE6"/>
    <w:rsid w:val="00E7364C"/>
    <w:rsid w:val="00EB2CB3"/>
    <w:rsid w:val="00ED5D60"/>
    <w:rsid w:val="00F12A01"/>
    <w:rsid w:val="00F16F55"/>
    <w:rsid w:val="00F363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2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F3186"/>
    <w:pPr>
      <w:autoSpaceDE w:val="0"/>
      <w:autoSpaceDN w:val="0"/>
      <w:adjustRightInd w:val="0"/>
      <w:spacing w:after="0" w:line="240" w:lineRule="auto"/>
    </w:pPr>
    <w:rPr>
      <w:rFonts w:ascii="Century Gothic" w:hAnsi="Century Gothic" w:cs="Century Gothic"/>
      <w:color w:val="000000"/>
      <w:sz w:val="24"/>
      <w:szCs w:val="24"/>
    </w:rPr>
  </w:style>
  <w:style w:type="character" w:styleId="Emphasis">
    <w:name w:val="Emphasis"/>
    <w:basedOn w:val="DefaultParagraphFont"/>
    <w:uiPriority w:val="20"/>
    <w:qFormat/>
    <w:rsid w:val="0086420E"/>
    <w:rPr>
      <w:i/>
      <w:iCs/>
    </w:rPr>
  </w:style>
  <w:style w:type="paragraph" w:styleId="NormalWeb">
    <w:name w:val="Normal (Web)"/>
    <w:basedOn w:val="Normal"/>
    <w:uiPriority w:val="99"/>
    <w:unhideWhenUsed/>
    <w:rsid w:val="00A57020"/>
    <w:pPr>
      <w:spacing w:before="100" w:beforeAutospacing="1" w:after="100" w:afterAutospacing="1" w:line="312" w:lineRule="atLeast"/>
      <w:ind w:left="150"/>
    </w:pPr>
    <w:rPr>
      <w:rFonts w:ascii="Arial" w:hAnsi="Arial" w:cs="Arial"/>
    </w:rPr>
  </w:style>
  <w:style w:type="paragraph" w:styleId="ListParagraph">
    <w:name w:val="List Paragraph"/>
    <w:basedOn w:val="Normal"/>
    <w:uiPriority w:val="34"/>
    <w:qFormat/>
    <w:rsid w:val="00F363A5"/>
    <w:pPr>
      <w:ind w:left="720"/>
    </w:pPr>
  </w:style>
  <w:style w:type="paragraph" w:styleId="BalloonText">
    <w:name w:val="Balloon Text"/>
    <w:basedOn w:val="Normal"/>
    <w:link w:val="BalloonTextChar"/>
    <w:uiPriority w:val="99"/>
    <w:semiHidden/>
    <w:unhideWhenUsed/>
    <w:rsid w:val="00245294"/>
    <w:rPr>
      <w:rFonts w:ascii="Tahoma" w:hAnsi="Tahoma" w:cs="Tahoma"/>
      <w:sz w:val="16"/>
      <w:szCs w:val="16"/>
    </w:rPr>
  </w:style>
  <w:style w:type="character" w:customStyle="1" w:styleId="BalloonTextChar">
    <w:name w:val="Balloon Text Char"/>
    <w:basedOn w:val="DefaultParagraphFont"/>
    <w:link w:val="BalloonText"/>
    <w:uiPriority w:val="99"/>
    <w:semiHidden/>
    <w:rsid w:val="0024529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50353"/>
    <w:rPr>
      <w:sz w:val="16"/>
      <w:szCs w:val="16"/>
    </w:rPr>
  </w:style>
  <w:style w:type="paragraph" w:styleId="CommentText">
    <w:name w:val="annotation text"/>
    <w:basedOn w:val="Normal"/>
    <w:link w:val="CommentTextChar"/>
    <w:uiPriority w:val="99"/>
    <w:semiHidden/>
    <w:unhideWhenUsed/>
    <w:rsid w:val="00C50353"/>
    <w:rPr>
      <w:sz w:val="20"/>
      <w:szCs w:val="20"/>
    </w:rPr>
  </w:style>
  <w:style w:type="character" w:customStyle="1" w:styleId="CommentTextChar">
    <w:name w:val="Comment Text Char"/>
    <w:basedOn w:val="DefaultParagraphFont"/>
    <w:link w:val="CommentText"/>
    <w:uiPriority w:val="99"/>
    <w:semiHidden/>
    <w:rsid w:val="00C5035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50353"/>
    <w:rPr>
      <w:b/>
      <w:bCs/>
    </w:rPr>
  </w:style>
  <w:style w:type="character" w:customStyle="1" w:styleId="CommentSubjectChar">
    <w:name w:val="Comment Subject Char"/>
    <w:basedOn w:val="CommentTextChar"/>
    <w:link w:val="CommentSubject"/>
    <w:uiPriority w:val="99"/>
    <w:semiHidden/>
    <w:rsid w:val="00C50353"/>
    <w:rPr>
      <w:b/>
      <w:bCs/>
    </w:rPr>
  </w:style>
  <w:style w:type="character" w:styleId="Hyperlink">
    <w:name w:val="Hyperlink"/>
    <w:basedOn w:val="DefaultParagraphFont"/>
    <w:uiPriority w:val="99"/>
    <w:unhideWhenUsed/>
    <w:rsid w:val="00D24499"/>
    <w:rPr>
      <w:color w:val="0000FF" w:themeColor="hyperlink"/>
      <w:u w:val="single"/>
    </w:rPr>
  </w:style>
  <w:style w:type="character" w:styleId="FollowedHyperlink">
    <w:name w:val="FollowedHyperlink"/>
    <w:basedOn w:val="DefaultParagraphFont"/>
    <w:uiPriority w:val="99"/>
    <w:semiHidden/>
    <w:unhideWhenUsed/>
    <w:rsid w:val="007355F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901482058">
      <w:bodyDiv w:val="1"/>
      <w:marLeft w:val="0"/>
      <w:marRight w:val="0"/>
      <w:marTop w:val="0"/>
      <w:marBottom w:val="0"/>
      <w:divBdr>
        <w:top w:val="none" w:sz="0" w:space="0" w:color="auto"/>
        <w:left w:val="none" w:sz="0" w:space="0" w:color="auto"/>
        <w:bottom w:val="none" w:sz="0" w:space="0" w:color="auto"/>
        <w:right w:val="none" w:sz="0" w:space="0" w:color="auto"/>
      </w:divBdr>
      <w:divsChild>
        <w:div w:id="1646740401">
          <w:marLeft w:val="0"/>
          <w:marRight w:val="0"/>
          <w:marTop w:val="1725"/>
          <w:marBottom w:val="0"/>
          <w:divBdr>
            <w:top w:val="none" w:sz="0" w:space="0" w:color="auto"/>
            <w:left w:val="none" w:sz="0" w:space="0" w:color="auto"/>
            <w:bottom w:val="none" w:sz="0" w:space="0" w:color="auto"/>
            <w:right w:val="none" w:sz="0" w:space="0" w:color="auto"/>
          </w:divBdr>
          <w:divsChild>
            <w:div w:id="1252859442">
              <w:marLeft w:val="28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psoppc.org/web/patientsafety/home/-/asset_publisher/C2Vf/content/37602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po.gov/fdsys/pkg/FR-2012-04-13/html/2012-8743.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90959-379E-4BA5-B855-CBA699505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eileen.hogan</dc:creator>
  <cp:keywords/>
  <dc:description/>
  <cp:lastModifiedBy>DHHS</cp:lastModifiedBy>
  <cp:revision>3</cp:revision>
  <cp:lastPrinted>2010-10-18T15:12:00Z</cp:lastPrinted>
  <dcterms:created xsi:type="dcterms:W3CDTF">2012-06-25T18:19:00Z</dcterms:created>
  <dcterms:modified xsi:type="dcterms:W3CDTF">2012-06-25T19:05:00Z</dcterms:modified>
</cp:coreProperties>
</file>