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6DE" w:rsidRDefault="00E606DE" w:rsidP="00EB4E20">
      <w:pPr>
        <w:jc w:val="center"/>
        <w:rPr>
          <w:b/>
          <w:bCs/>
          <w:sz w:val="28"/>
          <w:szCs w:val="28"/>
        </w:rPr>
      </w:pPr>
    </w:p>
    <w:p w:rsidR="00E606DE" w:rsidRDefault="00527297" w:rsidP="00E606DE">
      <w:r w:rsidRPr="00527297">
        <w:rPr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2386965</wp:posOffset>
            </wp:positionH>
            <wp:positionV relativeFrom="paragraph">
              <wp:posOffset>40005</wp:posOffset>
            </wp:positionV>
            <wp:extent cx="1066800" cy="1609725"/>
            <wp:effectExtent l="0" t="0" r="0" b="9525"/>
            <wp:wrapNone/>
            <wp:docPr id="2" name="Picture 2" descr="NDEP new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DEP new 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06DE" w:rsidRDefault="00E606DE" w:rsidP="00E606DE"/>
    <w:p w:rsidR="00E606DE" w:rsidRDefault="00E606DE" w:rsidP="00E606DE"/>
    <w:p w:rsidR="00E606DE" w:rsidRDefault="00E606DE" w:rsidP="00E606DE"/>
    <w:p w:rsidR="00E606DE" w:rsidRDefault="00E606DE" w:rsidP="00E606DE"/>
    <w:p w:rsidR="00E606DE" w:rsidRDefault="00E606DE" w:rsidP="00E606DE">
      <w:pPr>
        <w:jc w:val="center"/>
      </w:pPr>
    </w:p>
    <w:p w:rsidR="00E606DE" w:rsidRDefault="00E606DE" w:rsidP="00E606DE">
      <w:pPr>
        <w:jc w:val="center"/>
        <w:rPr>
          <w:rFonts w:eastAsia="Tahoma" w:cs="Calibri"/>
          <w:b/>
        </w:rPr>
      </w:pPr>
      <w:bookmarkStart w:id="0" w:name="_GoBack"/>
      <w:bookmarkEnd w:id="0"/>
    </w:p>
    <w:p w:rsidR="00E606DE" w:rsidRDefault="00E606DE" w:rsidP="00E606DE">
      <w:pPr>
        <w:jc w:val="center"/>
        <w:rPr>
          <w:rFonts w:eastAsia="Tahoma" w:cs="Calibri"/>
          <w:b/>
        </w:rPr>
      </w:pPr>
    </w:p>
    <w:p w:rsidR="00E606DE" w:rsidRDefault="00E606DE" w:rsidP="00E606DE">
      <w:pPr>
        <w:jc w:val="center"/>
        <w:rPr>
          <w:rFonts w:eastAsia="Tahoma" w:cs="Calibri"/>
          <w:b/>
        </w:rPr>
      </w:pPr>
    </w:p>
    <w:p w:rsidR="00E606DE" w:rsidRDefault="00E606DE" w:rsidP="00E606DE">
      <w:pPr>
        <w:jc w:val="center"/>
        <w:rPr>
          <w:rFonts w:eastAsia="Tahoma" w:cs="Calibri"/>
          <w:b/>
        </w:rPr>
      </w:pPr>
    </w:p>
    <w:p w:rsidR="00E606DE" w:rsidRPr="006736F2" w:rsidRDefault="00E606DE" w:rsidP="00E606DE">
      <w:pPr>
        <w:jc w:val="center"/>
        <w:rPr>
          <w:b/>
          <w:bCs/>
          <w:sz w:val="28"/>
          <w:szCs w:val="28"/>
        </w:rPr>
      </w:pPr>
      <w:r w:rsidRPr="00EB4E20">
        <w:rPr>
          <w:b/>
          <w:bCs/>
          <w:sz w:val="28"/>
          <w:szCs w:val="28"/>
        </w:rPr>
        <w:t xml:space="preserve">NDEP </w:t>
      </w:r>
      <w:r w:rsidRPr="006736F2">
        <w:rPr>
          <w:b/>
          <w:bCs/>
          <w:sz w:val="28"/>
          <w:szCs w:val="28"/>
        </w:rPr>
        <w:t xml:space="preserve">National Diabetes Survey: Initial Results  </w:t>
      </w:r>
    </w:p>
    <w:p w:rsidR="00E606DE" w:rsidRPr="006736F2" w:rsidRDefault="00E606DE" w:rsidP="00E606DE">
      <w:pPr>
        <w:jc w:val="center"/>
        <w:rPr>
          <w:b/>
          <w:bCs/>
          <w:sz w:val="28"/>
          <w:szCs w:val="28"/>
        </w:rPr>
      </w:pPr>
      <w:r w:rsidRPr="006736F2">
        <w:rPr>
          <w:b/>
          <w:bCs/>
          <w:sz w:val="28"/>
          <w:szCs w:val="28"/>
        </w:rPr>
        <w:t>Trends from Three Rounds (2006, 2008, 2011)</w:t>
      </w:r>
    </w:p>
    <w:p w:rsidR="00E606DE" w:rsidRPr="006736F2" w:rsidRDefault="00E606DE" w:rsidP="00E606DE">
      <w:pPr>
        <w:jc w:val="center"/>
        <w:rPr>
          <w:b/>
          <w:bCs/>
          <w:sz w:val="28"/>
          <w:szCs w:val="28"/>
        </w:rPr>
      </w:pPr>
      <w:r w:rsidRPr="006736F2">
        <w:rPr>
          <w:b/>
          <w:bCs/>
          <w:sz w:val="28"/>
          <w:szCs w:val="28"/>
        </w:rPr>
        <w:t>For Respondents Ages 45+</w:t>
      </w:r>
    </w:p>
    <w:p w:rsidR="00E606DE" w:rsidRPr="006736F2" w:rsidRDefault="00E606DE" w:rsidP="00E606DE">
      <w:pPr>
        <w:jc w:val="center"/>
        <w:rPr>
          <w:rFonts w:cstheme="minorHAnsi"/>
          <w:b/>
          <w:sz w:val="28"/>
          <w:szCs w:val="28"/>
        </w:rPr>
      </w:pPr>
    </w:p>
    <w:p w:rsidR="00E606DE" w:rsidRPr="006736F2" w:rsidRDefault="00E606DE" w:rsidP="00E606DE">
      <w:pPr>
        <w:jc w:val="center"/>
        <w:rPr>
          <w:rFonts w:cstheme="minorHAnsi"/>
          <w:b/>
          <w:sz w:val="28"/>
          <w:szCs w:val="28"/>
        </w:rPr>
      </w:pPr>
      <w:r w:rsidRPr="006736F2">
        <w:rPr>
          <w:rFonts w:cstheme="minorHAnsi"/>
          <w:b/>
          <w:sz w:val="28"/>
          <w:szCs w:val="28"/>
        </w:rPr>
        <w:t>May 1</w:t>
      </w:r>
      <w:r w:rsidR="006736F2">
        <w:rPr>
          <w:rFonts w:cstheme="minorHAnsi"/>
          <w:b/>
          <w:sz w:val="28"/>
          <w:szCs w:val="28"/>
        </w:rPr>
        <w:t>5</w:t>
      </w:r>
      <w:r w:rsidRPr="006736F2">
        <w:rPr>
          <w:rFonts w:cstheme="minorHAnsi"/>
          <w:b/>
          <w:sz w:val="28"/>
          <w:szCs w:val="28"/>
        </w:rPr>
        <w:t>, 2012</w:t>
      </w:r>
    </w:p>
    <w:p w:rsidR="00E606DE" w:rsidRDefault="00E606DE" w:rsidP="00E606DE">
      <w:pPr>
        <w:rPr>
          <w:rFonts w:cstheme="minorHAnsi"/>
          <w:b/>
        </w:rPr>
      </w:pPr>
    </w:p>
    <w:p w:rsidR="00E606DE" w:rsidRDefault="00E606DE" w:rsidP="00E606DE">
      <w:pPr>
        <w:rPr>
          <w:rFonts w:cstheme="minorHAnsi"/>
          <w:b/>
        </w:rPr>
      </w:pPr>
    </w:p>
    <w:p w:rsidR="00E606DE" w:rsidRDefault="00E606DE" w:rsidP="00E606DE">
      <w:r>
        <w:br w:type="page"/>
      </w:r>
    </w:p>
    <w:p w:rsidR="00EB4E20" w:rsidRDefault="00EB4E20" w:rsidP="00EB4E20">
      <w:pPr>
        <w:jc w:val="center"/>
        <w:rPr>
          <w:b/>
          <w:bCs/>
          <w:sz w:val="24"/>
          <w:szCs w:val="24"/>
        </w:rPr>
      </w:pPr>
    </w:p>
    <w:p w:rsidR="00EB4E20" w:rsidRPr="00E606DE" w:rsidRDefault="009F6751" w:rsidP="00E606DE">
      <w:pPr>
        <w:spacing w:line="240" w:lineRule="auto"/>
      </w:pPr>
      <w:r w:rsidRPr="00E606DE">
        <w:rPr>
          <w:b/>
          <w:bCs/>
        </w:rPr>
        <w:t>Introduction</w:t>
      </w:r>
    </w:p>
    <w:p w:rsidR="00EB4E20" w:rsidRDefault="001B76FC" w:rsidP="00E606DE">
      <w:pPr>
        <w:spacing w:line="240" w:lineRule="auto"/>
      </w:pPr>
      <w:r w:rsidRPr="00E606DE">
        <w:t xml:space="preserve">The following slides present selected trend results from </w:t>
      </w:r>
      <w:r w:rsidR="00EA2E5F" w:rsidRPr="00E606DE">
        <w:t xml:space="preserve">a comparison of </w:t>
      </w:r>
      <w:r w:rsidRPr="00E606DE">
        <w:t>three rounds of the NDEP National Diabetes Survey (NNDS)</w:t>
      </w:r>
      <w:r w:rsidR="00EA2E5F" w:rsidRPr="00E606DE">
        <w:t xml:space="preserve">: </w:t>
      </w:r>
      <w:r w:rsidRPr="00E606DE">
        <w:t>2006, 2008, and 2011.</w:t>
      </w:r>
    </w:p>
    <w:p w:rsidR="00E40FD1" w:rsidRPr="00E606DE" w:rsidRDefault="00E40FD1" w:rsidP="00E606DE">
      <w:pPr>
        <w:spacing w:line="240" w:lineRule="auto"/>
      </w:pPr>
    </w:p>
    <w:p w:rsidR="001B76FC" w:rsidRPr="00E606DE" w:rsidRDefault="002D3EE3" w:rsidP="00E606DE">
      <w:pPr>
        <w:spacing w:line="240" w:lineRule="auto"/>
        <w:rPr>
          <w:b/>
        </w:rPr>
      </w:pPr>
      <w:r w:rsidRPr="00E606DE">
        <w:rPr>
          <w:b/>
        </w:rPr>
        <w:t>Methodology</w:t>
      </w:r>
    </w:p>
    <w:p w:rsidR="0041428D" w:rsidRPr="00E606DE" w:rsidRDefault="00103AA8" w:rsidP="00E606DE">
      <w:pPr>
        <w:spacing w:line="240" w:lineRule="auto"/>
      </w:pPr>
      <w:r w:rsidRPr="00E606DE">
        <w:t xml:space="preserve">Telephone interviews were conducted with eligible households that were randomly dialed from a list of phone numbers with landline telephones. About 2,000 participants completed the phone survey in each of the three survey years. </w:t>
      </w:r>
      <w:r w:rsidR="00527297">
        <w:t>This included people with diabetes, prediabetes or at risk, as well as others.</w:t>
      </w:r>
      <w:r w:rsidRPr="00E606DE">
        <w:t xml:space="preserve">  </w:t>
      </w:r>
    </w:p>
    <w:p w:rsidR="00103AA8" w:rsidRPr="00E606DE" w:rsidRDefault="00103AA8" w:rsidP="00E606DE">
      <w:pPr>
        <w:spacing w:line="240" w:lineRule="auto"/>
      </w:pPr>
      <w:r w:rsidRPr="00E606DE">
        <w:t xml:space="preserve">The survey samples were designed to statistically represent the US as a whole, and oversamples of Hispanics and African-Americans were </w:t>
      </w:r>
      <w:r w:rsidR="00F5665D" w:rsidRPr="00E606DE">
        <w:t xml:space="preserve">taken to ensure </w:t>
      </w:r>
      <w:r w:rsidR="00862682" w:rsidRPr="00E606DE">
        <w:t>better</w:t>
      </w:r>
      <w:r w:rsidR="00F5665D" w:rsidRPr="00E606DE">
        <w:t xml:space="preserve"> representation in the survey by these subgroups of the population.</w:t>
      </w:r>
      <w:r w:rsidRPr="00E606DE">
        <w:t xml:space="preserve"> </w:t>
      </w:r>
    </w:p>
    <w:p w:rsidR="002D3EE3" w:rsidRDefault="00862682" w:rsidP="00E606DE">
      <w:pPr>
        <w:spacing w:line="240" w:lineRule="auto"/>
      </w:pPr>
      <w:r w:rsidRPr="00E606DE">
        <w:t>After 2006</w:t>
      </w:r>
      <w:r w:rsidR="00E606DE" w:rsidRPr="00E606DE">
        <w:t>,</w:t>
      </w:r>
      <w:r w:rsidRPr="00E606DE">
        <w:t xml:space="preserve"> the target group of the survey was broadened to include adults ages 35 to 44 years.</w:t>
      </w:r>
      <w:r w:rsidR="00FA0479" w:rsidRPr="00E606DE">
        <w:t xml:space="preserve"> </w:t>
      </w:r>
      <w:r w:rsidRPr="00E606DE">
        <w:t>In</w:t>
      </w:r>
      <w:r w:rsidR="0041428D" w:rsidRPr="00E606DE">
        <w:t xml:space="preserve"> 2008 and 2011</w:t>
      </w:r>
      <w:r w:rsidR="00E606DE" w:rsidRPr="00E606DE">
        <w:t>,</w:t>
      </w:r>
      <w:r w:rsidR="0041428D" w:rsidRPr="00E606DE">
        <w:t xml:space="preserve"> </w:t>
      </w:r>
      <w:r w:rsidRPr="00E606DE">
        <w:t xml:space="preserve">the </w:t>
      </w:r>
      <w:r w:rsidR="0041428D" w:rsidRPr="00E606DE">
        <w:t>survey</w:t>
      </w:r>
      <w:r w:rsidRPr="00E606DE">
        <w:t xml:space="preserve"> </w:t>
      </w:r>
      <w:r w:rsidR="0041428D" w:rsidRPr="00E606DE">
        <w:t xml:space="preserve">participants </w:t>
      </w:r>
      <w:r w:rsidRPr="00E606DE">
        <w:t xml:space="preserve">were </w:t>
      </w:r>
      <w:r w:rsidR="0041428D" w:rsidRPr="00E606DE">
        <w:t xml:space="preserve">ages 35 years and older, while the 2006 survey covered ages 45 years and above. For this reason, trend comparisons were </w:t>
      </w:r>
      <w:r w:rsidR="00E606DE" w:rsidRPr="00E606DE">
        <w:t xml:space="preserve">done for the </w:t>
      </w:r>
      <w:r w:rsidR="0041428D" w:rsidRPr="00E606DE">
        <w:t>age group 45 years and older.</w:t>
      </w:r>
    </w:p>
    <w:p w:rsidR="00E40FD1" w:rsidRPr="00E606DE" w:rsidRDefault="00E40FD1" w:rsidP="00E606DE">
      <w:pPr>
        <w:spacing w:line="240" w:lineRule="auto"/>
      </w:pPr>
    </w:p>
    <w:p w:rsidR="001B76FC" w:rsidRPr="00E606DE" w:rsidRDefault="002871CE" w:rsidP="00E606DE">
      <w:pPr>
        <w:spacing w:line="240" w:lineRule="auto"/>
      </w:pPr>
      <w:r w:rsidRPr="00E606DE">
        <w:rPr>
          <w:b/>
        </w:rPr>
        <w:t>Results</w:t>
      </w:r>
    </w:p>
    <w:p w:rsidR="00E606DE" w:rsidRDefault="002871CE" w:rsidP="00E606DE">
      <w:pPr>
        <w:spacing w:line="240" w:lineRule="auto"/>
      </w:pPr>
      <w:r w:rsidRPr="00E606DE">
        <w:t xml:space="preserve">The </w:t>
      </w:r>
      <w:r w:rsidR="00E606DE">
        <w:t xml:space="preserve">results </w:t>
      </w:r>
      <w:r w:rsidRPr="00E606DE">
        <w:t xml:space="preserve">in this </w:t>
      </w:r>
      <w:r w:rsidR="00E606DE">
        <w:t xml:space="preserve">document </w:t>
      </w:r>
      <w:r w:rsidRPr="00E606DE">
        <w:t xml:space="preserve">show highlights </w:t>
      </w:r>
      <w:r w:rsidR="00E606DE">
        <w:t xml:space="preserve">of </w:t>
      </w:r>
      <w:r w:rsidR="00E606DE" w:rsidRPr="00E606DE">
        <w:t xml:space="preserve">selected outcome measures </w:t>
      </w:r>
      <w:r w:rsidR="00FA3C95" w:rsidRPr="00E606DE">
        <w:t xml:space="preserve">from the NNDS </w:t>
      </w:r>
      <w:r w:rsidR="00E606DE">
        <w:t xml:space="preserve">over </w:t>
      </w:r>
      <w:r w:rsidR="00A10291" w:rsidRPr="00E606DE">
        <w:t xml:space="preserve">the </w:t>
      </w:r>
      <w:r w:rsidR="008F3B69" w:rsidRPr="00E606DE">
        <w:t>five-year period</w:t>
      </w:r>
      <w:r w:rsidRPr="00E606DE">
        <w:t>.</w:t>
      </w:r>
      <w:r w:rsidR="00E606DE">
        <w:t xml:space="preserve"> </w:t>
      </w:r>
      <w:r w:rsidR="00D5092A" w:rsidRPr="00E606DE">
        <w:t xml:space="preserve">The graphics next to each </w:t>
      </w:r>
      <w:r w:rsidR="00E40FD1">
        <w:t xml:space="preserve">outcome </w:t>
      </w:r>
      <w:r w:rsidR="00D5092A" w:rsidRPr="00E606DE">
        <w:t xml:space="preserve">measure show percentages for 2006, 2008, and 2011 (left to right). </w:t>
      </w:r>
      <w:r w:rsidR="00106418" w:rsidRPr="00E606DE">
        <w:t xml:space="preserve">The </w:t>
      </w:r>
      <w:r w:rsidR="00E606DE" w:rsidRPr="00E606DE">
        <w:t xml:space="preserve">bar graphs and line charts </w:t>
      </w:r>
      <w:r w:rsidR="00106418" w:rsidRPr="00E606DE">
        <w:t xml:space="preserve">plot </w:t>
      </w:r>
      <w:r w:rsidR="00E606DE" w:rsidRPr="00E606DE">
        <w:t xml:space="preserve">the </w:t>
      </w:r>
      <w:r w:rsidR="00106418" w:rsidRPr="00E606DE">
        <w:t xml:space="preserve">change over </w:t>
      </w:r>
      <w:r w:rsidR="00E606DE" w:rsidRPr="00E606DE">
        <w:t xml:space="preserve">the 3 </w:t>
      </w:r>
      <w:r w:rsidR="00106418" w:rsidRPr="00E606DE">
        <w:t>time</w:t>
      </w:r>
      <w:r w:rsidR="00E606DE" w:rsidRPr="00E606DE">
        <w:t xml:space="preserve"> periods</w:t>
      </w:r>
      <w:r w:rsidR="00106418" w:rsidRPr="00E606DE">
        <w:t>. T</w:t>
      </w:r>
      <w:r w:rsidR="00D5092A" w:rsidRPr="00E606DE">
        <w:t xml:space="preserve">he </w:t>
      </w:r>
      <w:r w:rsidR="00106418" w:rsidRPr="00E606DE">
        <w:t>graphs</w:t>
      </w:r>
      <w:r w:rsidR="00D5092A" w:rsidRPr="00E606DE">
        <w:t xml:space="preserve"> are color-coded to show statistically significant changes across the three survey years</w:t>
      </w:r>
      <w:r w:rsidR="00E606DE" w:rsidRPr="00E606DE">
        <w:t xml:space="preserve">: </w:t>
      </w:r>
      <w:r w:rsidR="00D5092A" w:rsidRPr="00E606DE">
        <w:t>green indicates significance in the desired direction, red means significant but not in desired the direction, and g</w:t>
      </w:r>
      <w:r w:rsidR="00E606DE" w:rsidRPr="00E606DE">
        <w:t>rey signifies no significant change.</w:t>
      </w:r>
    </w:p>
    <w:p w:rsidR="00E606DE" w:rsidRDefault="00E606DE">
      <w:r>
        <w:br w:type="page"/>
      </w:r>
    </w:p>
    <w:p w:rsidR="00E40FD1" w:rsidRPr="00E40FD1" w:rsidRDefault="00E40FD1" w:rsidP="00E40FD1">
      <w:pPr>
        <w:spacing w:line="240" w:lineRule="auto"/>
        <w:jc w:val="center"/>
      </w:pPr>
      <w:r>
        <w:object w:dxaOrig="5388" w:dyaOrig="40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7pt;height:298pt" o:ole="" o:bordertopcolor="this" o:borderleftcolor="this" o:borderbottomcolor="this" o:borderrightcolor="this">
            <v:imagedata r:id="rId7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398771838" r:id="rId8"/>
        </w:object>
      </w:r>
    </w:p>
    <w:p w:rsidR="00124CC2" w:rsidRPr="00E40FD1" w:rsidRDefault="00E40FD1" w:rsidP="00E40FD1">
      <w:pPr>
        <w:tabs>
          <w:tab w:val="left" w:pos="8451"/>
        </w:tabs>
      </w:pPr>
      <w:r>
        <w:tab/>
      </w:r>
    </w:p>
    <w:p w:rsidR="00124CC2" w:rsidRDefault="00E40FD1" w:rsidP="00E40FD1">
      <w:pPr>
        <w:spacing w:line="240" w:lineRule="auto"/>
        <w:jc w:val="center"/>
      </w:pPr>
      <w:r>
        <w:object w:dxaOrig="5388" w:dyaOrig="4044">
          <v:shape id="_x0000_i1026" type="#_x0000_t75" style="width:394pt;height:296pt" o:ole="" o:bordertopcolor="this" o:borderleftcolor="this" o:borderbottomcolor="this" o:borderrightcolor="this">
            <v:imagedata r:id="rId9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6" DrawAspect="Content" ObjectID="_1398771839" r:id="rId10"/>
        </w:object>
      </w:r>
    </w:p>
    <w:p w:rsidR="002871CE" w:rsidRDefault="0059341E" w:rsidP="00E40FD1">
      <w:pPr>
        <w:spacing w:line="240" w:lineRule="auto"/>
        <w:jc w:val="center"/>
      </w:pPr>
      <w:r>
        <w:object w:dxaOrig="5388" w:dyaOrig="4044">
          <v:shape id="_x0000_i1027" type="#_x0000_t75" style="width:385pt;height:4in" o:ole="" o:bordertopcolor="this" o:borderleftcolor="this" o:borderbottomcolor="this" o:borderrightcolor="this">
            <v:imagedata r:id="rId11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7" DrawAspect="Content" ObjectID="_1398771840" r:id="rId12"/>
        </w:object>
      </w:r>
    </w:p>
    <w:p w:rsidR="00E40FD1" w:rsidRDefault="00E40FD1" w:rsidP="00E606DE">
      <w:pPr>
        <w:spacing w:line="240" w:lineRule="auto"/>
      </w:pPr>
    </w:p>
    <w:p w:rsidR="00124CC2" w:rsidRDefault="00E40FD1" w:rsidP="00E40FD1">
      <w:pPr>
        <w:spacing w:line="240" w:lineRule="auto"/>
        <w:jc w:val="center"/>
      </w:pPr>
      <w:r>
        <w:object w:dxaOrig="5388" w:dyaOrig="4044">
          <v:shape id="_x0000_i1028" type="#_x0000_t75" style="width:394pt;height:294pt" o:ole="" o:bordertopcolor="this" o:borderleftcolor="this" o:borderbottomcolor="this" o:borderrightcolor="this">
            <v:imagedata r:id="rId13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8" DrawAspect="Content" ObjectID="_1398771841" r:id="rId14"/>
        </w:object>
      </w:r>
    </w:p>
    <w:p w:rsidR="00E40FD1" w:rsidRDefault="00E40FD1" w:rsidP="00E606DE">
      <w:pPr>
        <w:spacing w:line="240" w:lineRule="auto"/>
      </w:pPr>
    </w:p>
    <w:p w:rsidR="00124CC2" w:rsidRDefault="00E40FD1" w:rsidP="00E40FD1">
      <w:pPr>
        <w:spacing w:line="240" w:lineRule="auto"/>
        <w:jc w:val="center"/>
      </w:pPr>
      <w:r>
        <w:object w:dxaOrig="5388" w:dyaOrig="4044">
          <v:shape id="_x0000_i1029" type="#_x0000_t75" style="width:402pt;height:302pt" o:ole="" o:bordertopcolor="this" o:borderleftcolor="this" o:borderbottomcolor="this" o:borderrightcolor="this">
            <v:imagedata r:id="rId15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9" DrawAspect="Content" ObjectID="_1398771842" r:id="rId16"/>
        </w:object>
      </w:r>
    </w:p>
    <w:p w:rsidR="00E40FD1" w:rsidRDefault="00E40FD1" w:rsidP="00E40FD1">
      <w:pPr>
        <w:spacing w:line="240" w:lineRule="auto"/>
        <w:jc w:val="center"/>
      </w:pPr>
    </w:p>
    <w:p w:rsidR="0059341E" w:rsidRDefault="0059341E" w:rsidP="00E40FD1">
      <w:pPr>
        <w:spacing w:line="240" w:lineRule="auto"/>
        <w:jc w:val="center"/>
      </w:pPr>
      <w:r>
        <w:object w:dxaOrig="5388" w:dyaOrig="4044">
          <v:shape id="_x0000_i1030" type="#_x0000_t75" style="width:406pt;height:305pt" o:ole="" o:bordertopcolor="this" o:borderleftcolor="this" o:borderbottomcolor="this" o:borderrightcolor="this">
            <v:imagedata r:id="rId17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0" DrawAspect="Content" ObjectID="_1398771843" r:id="rId18"/>
        </w:object>
      </w:r>
    </w:p>
    <w:p w:rsidR="0059341E" w:rsidRDefault="0059341E">
      <w:r>
        <w:br w:type="page"/>
      </w:r>
    </w:p>
    <w:p w:rsidR="00124CC2" w:rsidRDefault="0059341E" w:rsidP="00E40FD1">
      <w:pPr>
        <w:spacing w:line="240" w:lineRule="auto"/>
        <w:jc w:val="center"/>
      </w:pPr>
      <w:r>
        <w:object w:dxaOrig="5388" w:dyaOrig="4044">
          <v:shape id="_x0000_i1031" type="#_x0000_t75" style="width:394pt;height:296pt" o:ole="" o:bordertopcolor="this" o:borderleftcolor="this" o:borderbottomcolor="this" o:borderrightcolor="this">
            <v:imagedata r:id="rId19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1" DrawAspect="Content" ObjectID="_1398771844" r:id="rId20"/>
        </w:object>
      </w:r>
    </w:p>
    <w:p w:rsidR="00E40FD1" w:rsidRDefault="00E40FD1" w:rsidP="00E606DE">
      <w:pPr>
        <w:spacing w:line="240" w:lineRule="auto"/>
      </w:pPr>
    </w:p>
    <w:p w:rsidR="00124CC2" w:rsidRDefault="00E40FD1" w:rsidP="00E40FD1">
      <w:pPr>
        <w:spacing w:line="240" w:lineRule="auto"/>
        <w:jc w:val="center"/>
      </w:pPr>
      <w:r>
        <w:object w:dxaOrig="5388" w:dyaOrig="4044">
          <v:shape id="_x0000_i1032" type="#_x0000_t75" style="width:398pt;height:298pt" o:ole="" o:bordertopcolor="this" o:borderleftcolor="this" o:borderbottomcolor="this" o:borderrightcolor="this">
            <v:imagedata r:id="rId21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2" DrawAspect="Content" ObjectID="_1398771845" r:id="rId22"/>
        </w:object>
      </w:r>
    </w:p>
    <w:p w:rsidR="00124CC2" w:rsidRDefault="00124CC2" w:rsidP="00E606DE">
      <w:pPr>
        <w:spacing w:line="240" w:lineRule="auto"/>
      </w:pPr>
    </w:p>
    <w:p w:rsidR="00124CC2" w:rsidRDefault="00E40FD1" w:rsidP="00E40FD1">
      <w:pPr>
        <w:spacing w:line="240" w:lineRule="auto"/>
        <w:jc w:val="center"/>
      </w:pPr>
      <w:r>
        <w:object w:dxaOrig="5388" w:dyaOrig="4044">
          <v:shape id="_x0000_i1033" type="#_x0000_t75" style="width:403pt;height:298pt" o:ole="" o:bordertopcolor="this" o:borderleftcolor="this" o:borderbottomcolor="this" o:borderrightcolor="this">
            <v:imagedata r:id="rId23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3" DrawAspect="Content" ObjectID="_1398771846" r:id="rId24"/>
        </w:object>
      </w:r>
    </w:p>
    <w:p w:rsidR="00124CC2" w:rsidRDefault="00124CC2" w:rsidP="00E606DE">
      <w:pPr>
        <w:spacing w:line="240" w:lineRule="auto"/>
      </w:pPr>
    </w:p>
    <w:p w:rsidR="00124CC2" w:rsidRDefault="004500CF" w:rsidP="00E40FD1">
      <w:pPr>
        <w:spacing w:line="240" w:lineRule="auto"/>
        <w:jc w:val="center"/>
      </w:pPr>
      <w:r>
        <w:object w:dxaOrig="5388" w:dyaOrig="4044">
          <v:shape id="_x0000_i1034" type="#_x0000_t75" style="width:400pt;height:298pt" o:ole="" o:bordertopcolor="this" o:borderleftcolor="this" o:borderbottomcolor="this" o:borderrightcolor="this">
            <v:imagedata r:id="rId25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4" DrawAspect="Content" ObjectID="_1398771847" r:id="rId26"/>
        </w:object>
      </w:r>
    </w:p>
    <w:p w:rsidR="00E40FD1" w:rsidRDefault="00E40FD1" w:rsidP="00E40FD1">
      <w:pPr>
        <w:spacing w:line="240" w:lineRule="auto"/>
        <w:jc w:val="center"/>
      </w:pPr>
    </w:p>
    <w:p w:rsidR="00124CC2" w:rsidRPr="00E606DE" w:rsidRDefault="00E40FD1" w:rsidP="00E40FD1">
      <w:pPr>
        <w:spacing w:line="240" w:lineRule="auto"/>
        <w:jc w:val="center"/>
      </w:pPr>
      <w:r>
        <w:object w:dxaOrig="5388" w:dyaOrig="4044">
          <v:shape id="_x0000_i1035" type="#_x0000_t75" style="width:403pt;height:302pt" o:ole="" o:bordertopcolor="this" o:borderleftcolor="this" o:borderbottomcolor="this" o:borderrightcolor="this">
            <v:imagedata r:id="rId27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5" DrawAspect="Content" ObjectID="_1398771848" r:id="rId28"/>
        </w:object>
      </w:r>
    </w:p>
    <w:sectPr w:rsidR="00124CC2" w:rsidRPr="00E606DE" w:rsidSect="006B3A8A">
      <w:headerReference w:type="default" r:id="rId29"/>
      <w:footerReference w:type="default" r:id="rId30"/>
      <w:pgSz w:w="12240" w:h="15840"/>
      <w:pgMar w:top="1080" w:right="1440" w:bottom="99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3D12" w:rsidRDefault="009E3D12" w:rsidP="00E40FD1">
      <w:pPr>
        <w:spacing w:after="0" w:line="240" w:lineRule="auto"/>
      </w:pPr>
      <w:r>
        <w:separator/>
      </w:r>
    </w:p>
  </w:endnote>
  <w:endnote w:type="continuationSeparator" w:id="0">
    <w:p w:rsidR="009E3D12" w:rsidRDefault="009E3D12" w:rsidP="00E40F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0FD1" w:rsidRDefault="006B3A8A" w:rsidP="006B3A8A">
    <w:r w:rsidRPr="006B3A8A">
      <w:rPr>
        <w:bCs/>
        <w:sz w:val="20"/>
        <w:szCs w:val="20"/>
      </w:rPr>
      <w:t xml:space="preserve">NDEP National Diabetes Survey: Initial Results  </w:t>
    </w:r>
    <w:r>
      <w:rPr>
        <w:bCs/>
        <w:sz w:val="20"/>
        <w:szCs w:val="20"/>
      </w:rPr>
      <w:tab/>
    </w:r>
    <w:r>
      <w:rPr>
        <w:bCs/>
        <w:sz w:val="20"/>
        <w:szCs w:val="20"/>
      </w:rPr>
      <w:tab/>
    </w:r>
    <w:r>
      <w:rPr>
        <w:bCs/>
        <w:sz w:val="20"/>
        <w:szCs w:val="20"/>
      </w:rPr>
      <w:tab/>
    </w:r>
    <w:r>
      <w:rPr>
        <w:bCs/>
        <w:sz w:val="20"/>
        <w:szCs w:val="20"/>
      </w:rPr>
      <w:tab/>
    </w:r>
    <w:r>
      <w:rPr>
        <w:bCs/>
        <w:sz w:val="20"/>
        <w:szCs w:val="20"/>
      </w:rPr>
      <w:tab/>
    </w:r>
    <w:r>
      <w:rPr>
        <w:bCs/>
        <w:sz w:val="20"/>
        <w:szCs w:val="20"/>
      </w:rPr>
      <w:tab/>
    </w:r>
    <w:r>
      <w:rPr>
        <w:bCs/>
        <w:sz w:val="20"/>
        <w:szCs w:val="20"/>
      </w:rPr>
      <w:tab/>
    </w:r>
    <w:r w:rsidR="00960952">
      <w:rPr>
        <w:bCs/>
        <w:sz w:val="20"/>
        <w:szCs w:val="20"/>
      </w:rPr>
      <w:fldChar w:fldCharType="begin"/>
    </w:r>
    <w:r>
      <w:rPr>
        <w:bCs/>
        <w:sz w:val="20"/>
        <w:szCs w:val="20"/>
      </w:rPr>
      <w:instrText xml:space="preserve"> PAGE   \* MERGEFORMAT </w:instrText>
    </w:r>
    <w:r w:rsidR="00960952">
      <w:rPr>
        <w:bCs/>
        <w:sz w:val="20"/>
        <w:szCs w:val="20"/>
      </w:rPr>
      <w:fldChar w:fldCharType="separate"/>
    </w:r>
    <w:r w:rsidR="002213E1">
      <w:rPr>
        <w:bCs/>
        <w:noProof/>
        <w:sz w:val="20"/>
        <w:szCs w:val="20"/>
      </w:rPr>
      <w:t>8</w:t>
    </w:r>
    <w:r w:rsidR="00960952">
      <w:rPr>
        <w:bCs/>
        <w:sz w:val="20"/>
        <w:szCs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3D12" w:rsidRDefault="009E3D12" w:rsidP="00E40FD1">
      <w:pPr>
        <w:spacing w:after="0" w:line="240" w:lineRule="auto"/>
      </w:pPr>
      <w:r>
        <w:separator/>
      </w:r>
    </w:p>
  </w:footnote>
  <w:footnote w:type="continuationSeparator" w:id="0">
    <w:p w:rsidR="009E3D12" w:rsidRDefault="009E3D12" w:rsidP="00E40F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3A1D" w:rsidRDefault="009F3A1D" w:rsidP="009F3A1D">
    <w:pPr>
      <w:pStyle w:val="Header"/>
      <w:jc w:val="right"/>
    </w:pPr>
    <w:r>
      <w:t>DO NOT CITE</w:t>
    </w:r>
  </w:p>
  <w:p w:rsidR="009F3A1D" w:rsidRDefault="009F3A1D" w:rsidP="009F3A1D">
    <w:pPr>
      <w:pStyle w:val="Header"/>
      <w:jc w:val="right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EB4E20"/>
    <w:rsid w:val="00103AA8"/>
    <w:rsid w:val="00106418"/>
    <w:rsid w:val="00124CC2"/>
    <w:rsid w:val="001B76FC"/>
    <w:rsid w:val="002213E1"/>
    <w:rsid w:val="002871CE"/>
    <w:rsid w:val="002D3EE3"/>
    <w:rsid w:val="0041428D"/>
    <w:rsid w:val="004500CF"/>
    <w:rsid w:val="00450276"/>
    <w:rsid w:val="0045171F"/>
    <w:rsid w:val="00527297"/>
    <w:rsid w:val="00531660"/>
    <w:rsid w:val="0059341E"/>
    <w:rsid w:val="0059607A"/>
    <w:rsid w:val="006736F2"/>
    <w:rsid w:val="006B3A8A"/>
    <w:rsid w:val="00862682"/>
    <w:rsid w:val="008643DE"/>
    <w:rsid w:val="008E74D4"/>
    <w:rsid w:val="008F3B69"/>
    <w:rsid w:val="00960952"/>
    <w:rsid w:val="009D59FC"/>
    <w:rsid w:val="009E3D12"/>
    <w:rsid w:val="009F3A1D"/>
    <w:rsid w:val="009F6751"/>
    <w:rsid w:val="00A10291"/>
    <w:rsid w:val="00A66367"/>
    <w:rsid w:val="00AB1BDB"/>
    <w:rsid w:val="00BD0356"/>
    <w:rsid w:val="00D5092A"/>
    <w:rsid w:val="00E40FD1"/>
    <w:rsid w:val="00E606DE"/>
    <w:rsid w:val="00E6693E"/>
    <w:rsid w:val="00E670F4"/>
    <w:rsid w:val="00EA2E5F"/>
    <w:rsid w:val="00EB4E20"/>
    <w:rsid w:val="00EC7B81"/>
    <w:rsid w:val="00F5665D"/>
    <w:rsid w:val="00F706DE"/>
    <w:rsid w:val="00FA0479"/>
    <w:rsid w:val="00FA3C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09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606DE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0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06D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40F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0FD1"/>
  </w:style>
  <w:style w:type="paragraph" w:styleId="Footer">
    <w:name w:val="footer"/>
    <w:basedOn w:val="Normal"/>
    <w:link w:val="FooterChar"/>
    <w:uiPriority w:val="99"/>
    <w:unhideWhenUsed/>
    <w:rsid w:val="00E40F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0FD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606DE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0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06D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40F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0FD1"/>
  </w:style>
  <w:style w:type="paragraph" w:styleId="Footer">
    <w:name w:val="footer"/>
    <w:basedOn w:val="Normal"/>
    <w:link w:val="FooterChar"/>
    <w:uiPriority w:val="99"/>
    <w:unhideWhenUsed/>
    <w:rsid w:val="00E40F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0FD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750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Office_PowerPoint_Slide1.sldx"/><Relationship Id="rId13" Type="http://schemas.openxmlformats.org/officeDocument/2006/relationships/image" Target="media/image5.emf"/><Relationship Id="rId18" Type="http://schemas.openxmlformats.org/officeDocument/2006/relationships/package" Target="embeddings/Microsoft_Office_PowerPoint_Slide6.sldx"/><Relationship Id="rId26" Type="http://schemas.openxmlformats.org/officeDocument/2006/relationships/package" Target="embeddings/Microsoft_Office_PowerPoint_Slide10.sldx"/><Relationship Id="rId3" Type="http://schemas.openxmlformats.org/officeDocument/2006/relationships/webSettings" Target="web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package" Target="embeddings/Microsoft_Office_PowerPoint_Slide3.sldx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package" Target="embeddings/Microsoft_Office_PowerPoint_Slide5.sldx"/><Relationship Id="rId20" Type="http://schemas.openxmlformats.org/officeDocument/2006/relationships/package" Target="embeddings/Microsoft_Office_PowerPoint_Slide7.sldx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24" Type="http://schemas.openxmlformats.org/officeDocument/2006/relationships/package" Target="embeddings/Microsoft_Office_PowerPoint_Slide9.sldx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package" Target="embeddings/Microsoft_Office_PowerPoint_Slide11.sldx"/><Relationship Id="rId10" Type="http://schemas.openxmlformats.org/officeDocument/2006/relationships/package" Target="embeddings/Microsoft_Office_PowerPoint_Slide2.sldx"/><Relationship Id="rId19" Type="http://schemas.openxmlformats.org/officeDocument/2006/relationships/image" Target="media/image8.emf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package" Target="embeddings/Microsoft_Office_PowerPoint_Slide4.sldx"/><Relationship Id="rId22" Type="http://schemas.openxmlformats.org/officeDocument/2006/relationships/package" Target="embeddings/Microsoft_Office_PowerPoint_Slide8.sldx"/><Relationship Id="rId27" Type="http://schemas.openxmlformats.org/officeDocument/2006/relationships/image" Target="media/image12.emf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311</Words>
  <Characters>1774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Social &amp; Scientific Systems, Inc.</Company>
  <LinksUpToDate>false</LinksUpToDate>
  <CharactersWithSpaces>2081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Piccinino, Linda</dc:creator>
  <cp:lastModifiedBy>gallivanj</cp:lastModifiedBy>
  <cp:revision>2</cp:revision>
  <dcterms:created xsi:type="dcterms:W3CDTF">2012-05-17T18:57:00Z</dcterms:created>
  <dcterms:modified xsi:type="dcterms:W3CDTF">2012-05-17T18:57:00Z</dcterms:modified>
</cp:coreProperties>
</file>