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C9" w:rsidRDefault="00DE35C1" w:rsidP="000358C9">
      <w:pPr>
        <w:jc w:val="center"/>
        <w:rPr>
          <w:b/>
          <w:noProof/>
        </w:rPr>
      </w:pPr>
      <w:bookmarkStart w:id="0" w:name="_GoBack"/>
      <w:bookmarkEnd w:id="0"/>
      <w:r w:rsidRPr="00DE35C1">
        <w:rPr>
          <w:b/>
        </w:rPr>
        <w:t xml:space="preserve">Communications Research for the Development of Messages and Materials about Cytomegalovirus </w:t>
      </w:r>
      <w:r w:rsidR="000358C9">
        <w:rPr>
          <w:b/>
        </w:rPr>
        <w:t>(CMV)</w:t>
      </w:r>
    </w:p>
    <w:p w:rsidR="00985FFB" w:rsidRDefault="00985FFB" w:rsidP="000358C9">
      <w:pPr>
        <w:jc w:val="center"/>
      </w:pPr>
    </w:p>
    <w:p w:rsidR="000358C9" w:rsidRDefault="000358C9" w:rsidP="000358C9">
      <w:pPr>
        <w:jc w:val="center"/>
      </w:pPr>
    </w:p>
    <w:p w:rsidR="000358C9" w:rsidRDefault="000358C9" w:rsidP="000358C9">
      <w:pPr>
        <w:jc w:val="center"/>
      </w:pPr>
    </w:p>
    <w:p w:rsidR="000358C9" w:rsidRDefault="000358C9" w:rsidP="000358C9">
      <w:pPr>
        <w:jc w:val="center"/>
      </w:pPr>
    </w:p>
    <w:p w:rsidR="000358C9" w:rsidRPr="000358C9" w:rsidRDefault="000358C9" w:rsidP="000358C9">
      <w:pPr>
        <w:jc w:val="center"/>
        <w:rPr>
          <w:b/>
        </w:rPr>
      </w:pPr>
      <w:r w:rsidRPr="000358C9">
        <w:rPr>
          <w:b/>
        </w:rPr>
        <w:t>Incentive Justification</w:t>
      </w:r>
    </w:p>
    <w:p w:rsidR="000358C9" w:rsidRDefault="000358C9" w:rsidP="000358C9">
      <w:pPr>
        <w:jc w:val="center"/>
      </w:pPr>
    </w:p>
    <w:p w:rsidR="000358C9" w:rsidRDefault="000358C9" w:rsidP="000358C9">
      <w:pPr>
        <w:jc w:val="center"/>
      </w:pPr>
    </w:p>
    <w:p w:rsidR="000358C9" w:rsidRDefault="000358C9" w:rsidP="000358C9">
      <w:pPr>
        <w:jc w:val="both"/>
      </w:pPr>
    </w:p>
    <w:p w:rsidR="000358C9" w:rsidRPr="00D9548A" w:rsidRDefault="000358C9" w:rsidP="000358C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Two factors affect incentive amount for focus groups: the target audience being recruited and the facility location.  To ensure our focus group costs were reasonably priced, we conducted a competitive analysis and contacted 3 facilities in the 2 cities (Atlanta, GA and San Diego, CA) we plan to conduct focus groups and requested bids. The incentive amount for this target audience across the 2 cities was </w:t>
      </w:r>
      <w:r w:rsidRPr="006E3329">
        <w:rPr>
          <w:rFonts w:ascii="Calibri" w:hAnsi="Calibri"/>
          <w:sz w:val="22"/>
          <w:szCs w:val="22"/>
        </w:rPr>
        <w:t>$</w:t>
      </w:r>
      <w:r w:rsidR="00167B1B">
        <w:rPr>
          <w:rFonts w:ascii="Calibri" w:hAnsi="Calibri"/>
          <w:sz w:val="22"/>
          <w:szCs w:val="22"/>
        </w:rPr>
        <w:t>40</w:t>
      </w:r>
      <w:r w:rsidRPr="006E3329">
        <w:rPr>
          <w:rFonts w:ascii="Calibri" w:hAnsi="Calibri"/>
          <w:sz w:val="22"/>
          <w:szCs w:val="22"/>
        </w:rPr>
        <w:t xml:space="preserve"> per hour.  </w:t>
      </w:r>
      <w:r w:rsidR="00340119">
        <w:rPr>
          <w:rFonts w:ascii="Calibri" w:hAnsi="Calibri"/>
          <w:sz w:val="22"/>
          <w:szCs w:val="22"/>
        </w:rPr>
        <w:t xml:space="preserve">We anticipate that </w:t>
      </w:r>
      <w:r w:rsidR="001D05A3">
        <w:rPr>
          <w:rFonts w:ascii="Calibri" w:hAnsi="Calibri"/>
          <w:sz w:val="22"/>
          <w:szCs w:val="22"/>
        </w:rPr>
        <w:t>participation in our focus group</w:t>
      </w:r>
      <w:r w:rsidR="00340119">
        <w:rPr>
          <w:rFonts w:ascii="Calibri" w:hAnsi="Calibri"/>
          <w:sz w:val="22"/>
          <w:szCs w:val="22"/>
        </w:rPr>
        <w:t xml:space="preserve"> will </w:t>
      </w:r>
      <w:r w:rsidR="001D05A3">
        <w:rPr>
          <w:rFonts w:ascii="Calibri" w:hAnsi="Calibri"/>
          <w:sz w:val="22"/>
          <w:szCs w:val="22"/>
        </w:rPr>
        <w:t>take</w:t>
      </w:r>
      <w:r w:rsidR="00340119">
        <w:rPr>
          <w:rFonts w:ascii="Calibri" w:hAnsi="Calibri"/>
          <w:sz w:val="22"/>
          <w:szCs w:val="22"/>
        </w:rPr>
        <w:t xml:space="preserve"> </w:t>
      </w:r>
      <w:r w:rsidR="00167B1B">
        <w:rPr>
          <w:rFonts w:ascii="Calibri" w:hAnsi="Calibri"/>
          <w:sz w:val="22"/>
          <w:szCs w:val="22"/>
        </w:rPr>
        <w:t>one and one-half</w:t>
      </w:r>
      <w:r w:rsidR="00340119">
        <w:rPr>
          <w:rFonts w:ascii="Calibri" w:hAnsi="Calibri"/>
          <w:sz w:val="22"/>
          <w:szCs w:val="22"/>
        </w:rPr>
        <w:t xml:space="preserve"> hours; thus, participants will receive $</w:t>
      </w:r>
      <w:r w:rsidR="00167B1B">
        <w:rPr>
          <w:rFonts w:ascii="Calibri" w:hAnsi="Calibri"/>
          <w:sz w:val="22"/>
          <w:szCs w:val="22"/>
        </w:rPr>
        <w:t>60</w:t>
      </w:r>
      <w:r w:rsidR="00340119">
        <w:rPr>
          <w:rFonts w:ascii="Calibri" w:hAnsi="Calibri"/>
          <w:sz w:val="22"/>
          <w:szCs w:val="22"/>
        </w:rPr>
        <w:t xml:space="preserve">. </w:t>
      </w:r>
      <w:r w:rsidRPr="006E3329">
        <w:rPr>
          <w:rFonts w:ascii="Calibri" w:hAnsi="Calibri"/>
          <w:sz w:val="22"/>
          <w:szCs w:val="22"/>
        </w:rPr>
        <w:t>We feel confident offering this incentive amount is appropriate given the target audience of mothers, who will need to find childcare for their toddler</w:t>
      </w:r>
      <w:r>
        <w:rPr>
          <w:rFonts w:ascii="Calibri" w:hAnsi="Calibri"/>
          <w:sz w:val="22"/>
          <w:szCs w:val="22"/>
        </w:rPr>
        <w:t xml:space="preserve"> in order to attend the focus group after work hours.  The incentive w</w:t>
      </w:r>
      <w:r w:rsidRPr="006E3329">
        <w:rPr>
          <w:rFonts w:ascii="Calibri" w:hAnsi="Calibri"/>
          <w:sz w:val="22"/>
          <w:szCs w:val="22"/>
        </w:rPr>
        <w:t>ill also facilitate recruitment</w:t>
      </w:r>
      <w:r>
        <w:rPr>
          <w:rFonts w:ascii="Calibri" w:hAnsi="Calibri"/>
          <w:sz w:val="22"/>
          <w:szCs w:val="22"/>
        </w:rPr>
        <w:t xml:space="preserve"> of this harder to reach population</w:t>
      </w:r>
      <w:r w:rsidRPr="006E3329">
        <w:rPr>
          <w:rFonts w:ascii="Calibri" w:hAnsi="Calibri"/>
          <w:sz w:val="22"/>
          <w:szCs w:val="22"/>
        </w:rPr>
        <w:t>. This target</w:t>
      </w:r>
      <w:r>
        <w:rPr>
          <w:rFonts w:ascii="Calibri" w:hAnsi="Calibri"/>
          <w:sz w:val="22"/>
          <w:szCs w:val="22"/>
        </w:rPr>
        <w:t xml:space="preserve"> audience</w:t>
      </w:r>
      <w:r w:rsidRPr="00902114">
        <w:rPr>
          <w:rFonts w:ascii="Calibri" w:hAnsi="Calibri"/>
          <w:sz w:val="22"/>
          <w:szCs w:val="22"/>
        </w:rPr>
        <w:t xml:space="preserve"> are often more difficult to recruit than more general audiences because </w:t>
      </w:r>
      <w:r>
        <w:rPr>
          <w:rFonts w:ascii="Calibri" w:hAnsi="Calibri"/>
          <w:sz w:val="22"/>
          <w:szCs w:val="22"/>
        </w:rPr>
        <w:t xml:space="preserve">in addition to getting themselves to the group during their precious evening hours, </w:t>
      </w:r>
      <w:r w:rsidRPr="00902114">
        <w:rPr>
          <w:rFonts w:ascii="Calibri" w:hAnsi="Calibri"/>
          <w:sz w:val="22"/>
          <w:szCs w:val="22"/>
        </w:rPr>
        <w:t xml:space="preserve">they </w:t>
      </w:r>
      <w:r>
        <w:rPr>
          <w:rFonts w:ascii="Calibri" w:hAnsi="Calibri"/>
          <w:sz w:val="22"/>
          <w:szCs w:val="22"/>
        </w:rPr>
        <w:t xml:space="preserve">also </w:t>
      </w:r>
      <w:r w:rsidRPr="00902114">
        <w:rPr>
          <w:rFonts w:ascii="Calibri" w:hAnsi="Calibri"/>
          <w:sz w:val="22"/>
          <w:szCs w:val="22"/>
        </w:rPr>
        <w:t xml:space="preserve">have </w:t>
      </w:r>
      <w:r>
        <w:rPr>
          <w:rFonts w:ascii="Calibri" w:hAnsi="Calibri"/>
          <w:sz w:val="22"/>
          <w:szCs w:val="22"/>
        </w:rPr>
        <w:t>to arrange for childcare in order to attend</w:t>
      </w:r>
      <w:r w:rsidRPr="00902114">
        <w:rPr>
          <w:rFonts w:ascii="Calibri" w:hAnsi="Calibri"/>
          <w:sz w:val="22"/>
          <w:szCs w:val="22"/>
        </w:rPr>
        <w:t xml:space="preserve">. </w:t>
      </w:r>
      <w:r w:rsidR="00937A34">
        <w:rPr>
          <w:rFonts w:ascii="Calibri" w:hAnsi="Calibri"/>
          <w:sz w:val="22"/>
          <w:szCs w:val="22"/>
        </w:rPr>
        <w:t>Focus Group facilities will not offer childcare services due to liability concerns; therefore, the aforementioned incentive is enough to help participants cover the costs of outside childcare if needed.</w:t>
      </w:r>
      <w:r>
        <w:rPr>
          <w:rFonts w:ascii="Calibri" w:hAnsi="Calibri"/>
          <w:sz w:val="22"/>
          <w:szCs w:val="22"/>
        </w:rPr>
        <w:t xml:space="preserve"> It is assumed that the</w:t>
      </w:r>
      <w:r w:rsidRPr="00902114">
        <w:rPr>
          <w:rFonts w:ascii="Calibri" w:hAnsi="Calibri"/>
          <w:sz w:val="22"/>
          <w:szCs w:val="22"/>
        </w:rPr>
        <w:t xml:space="preserve"> incentive</w:t>
      </w:r>
      <w:r>
        <w:rPr>
          <w:rFonts w:ascii="Calibri" w:hAnsi="Calibri"/>
          <w:sz w:val="22"/>
          <w:szCs w:val="22"/>
        </w:rPr>
        <w:t xml:space="preserve"> offered for the groups will allow </w:t>
      </w:r>
      <w:r w:rsidRPr="00902114">
        <w:rPr>
          <w:rFonts w:ascii="Calibri" w:hAnsi="Calibri"/>
          <w:sz w:val="22"/>
          <w:szCs w:val="22"/>
        </w:rPr>
        <w:t xml:space="preserve">women </w:t>
      </w:r>
      <w:r>
        <w:rPr>
          <w:rFonts w:ascii="Calibri" w:hAnsi="Calibri"/>
          <w:sz w:val="22"/>
          <w:szCs w:val="22"/>
        </w:rPr>
        <w:t>to pay for their</w:t>
      </w:r>
      <w:r w:rsidRPr="00902114">
        <w:rPr>
          <w:rFonts w:ascii="Calibri" w:hAnsi="Calibri"/>
          <w:sz w:val="22"/>
          <w:szCs w:val="22"/>
        </w:rPr>
        <w:t xml:space="preserve"> transportation costs</w:t>
      </w:r>
      <w:r>
        <w:rPr>
          <w:rFonts w:ascii="Calibri" w:hAnsi="Calibri"/>
          <w:sz w:val="22"/>
          <w:szCs w:val="22"/>
        </w:rPr>
        <w:t xml:space="preserve"> to and from the facility</w:t>
      </w:r>
      <w:r w:rsidRPr="00902114">
        <w:rPr>
          <w:rFonts w:ascii="Calibri" w:hAnsi="Calibri"/>
          <w:sz w:val="22"/>
          <w:szCs w:val="22"/>
        </w:rPr>
        <w:t>, as well as</w:t>
      </w:r>
      <w:r>
        <w:rPr>
          <w:rFonts w:ascii="Calibri" w:hAnsi="Calibri"/>
          <w:sz w:val="22"/>
          <w:szCs w:val="22"/>
        </w:rPr>
        <w:t xml:space="preserve"> help with</w:t>
      </w:r>
      <w:r w:rsidRPr="00902114">
        <w:rPr>
          <w:rFonts w:ascii="Calibri" w:hAnsi="Calibri"/>
          <w:sz w:val="22"/>
          <w:szCs w:val="22"/>
        </w:rPr>
        <w:t xml:space="preserve"> the cost for off-site childcare</w:t>
      </w:r>
      <w:r>
        <w:rPr>
          <w:rFonts w:ascii="Calibri" w:hAnsi="Calibri"/>
          <w:sz w:val="22"/>
          <w:szCs w:val="22"/>
        </w:rPr>
        <w:t xml:space="preserve">.  </w:t>
      </w:r>
      <w:r w:rsidRPr="00BB18F7">
        <w:rPr>
          <w:rFonts w:ascii="Calibri" w:hAnsi="Calibri"/>
          <w:sz w:val="22"/>
          <w:szCs w:val="22"/>
        </w:rPr>
        <w:t>Research has consistentl</w:t>
      </w:r>
      <w:r>
        <w:rPr>
          <w:rFonts w:ascii="Calibri" w:hAnsi="Calibri"/>
          <w:sz w:val="22"/>
          <w:szCs w:val="22"/>
        </w:rPr>
        <w:t>y shown the value of offering remuneration</w:t>
      </w:r>
      <w:r w:rsidRPr="00BB18F7">
        <w:rPr>
          <w:rFonts w:ascii="Calibri" w:hAnsi="Calibri"/>
          <w:sz w:val="22"/>
          <w:szCs w:val="22"/>
        </w:rPr>
        <w:t xml:space="preserve"> for motivating respondents to participate in a research study: “Focus groups are unique from other data-gathering processes in </w:t>
      </w:r>
      <w:proofErr w:type="gramStart"/>
      <w:r w:rsidRPr="00BB18F7">
        <w:rPr>
          <w:rFonts w:ascii="Calibri" w:hAnsi="Calibri"/>
          <w:sz w:val="22"/>
          <w:szCs w:val="22"/>
        </w:rPr>
        <w:t>terms</w:t>
      </w:r>
      <w:proofErr w:type="gramEnd"/>
      <w:r w:rsidRPr="00BB18F7">
        <w:rPr>
          <w:rFonts w:ascii="Calibri" w:hAnsi="Calibri"/>
          <w:sz w:val="22"/>
          <w:szCs w:val="22"/>
        </w:rPr>
        <w:t xml:space="preserve"> of the investment that must be made by the individual. It is therefore no surprise that a tradition has been established to provide incentive for participation. From a practical aspect, it would be next to impossible to conduct focus groups without incentives in some situations. The incentive is not a reward and not really an honorarium or salary. It is an incentive. It serves as a stimulus to attend the session. The primary function of the incentive is to get the participants to show for the focus group—and to show up on </w:t>
      </w:r>
      <w:r w:rsidRPr="00AB4EF3">
        <w:rPr>
          <w:rFonts w:ascii="Calibri" w:hAnsi="Calibri"/>
          <w:sz w:val="22"/>
          <w:szCs w:val="22"/>
        </w:rPr>
        <w:t>time. The incentive serves to protect the promised time slot from being preempt.”</w:t>
      </w:r>
      <w:r w:rsidRPr="00AB4EF3">
        <w:rPr>
          <w:rStyle w:val="FootnoteReference"/>
          <w:rFonts w:ascii="Calibri" w:hAnsi="Calibri"/>
          <w:sz w:val="22"/>
          <w:szCs w:val="22"/>
        </w:rPr>
        <w:footnoteReference w:id="1"/>
      </w:r>
      <w:r w:rsidRPr="00AB4EF3">
        <w:rPr>
          <w:rFonts w:ascii="Calibri" w:hAnsi="Calibri"/>
          <w:sz w:val="22"/>
          <w:szCs w:val="22"/>
        </w:rPr>
        <w:t xml:space="preserve"> </w:t>
      </w:r>
      <w:r w:rsidRPr="00FA122E">
        <w:rPr>
          <w:rFonts w:ascii="Calibri" w:hAnsi="Calibri"/>
          <w:sz w:val="22"/>
          <w:szCs w:val="22"/>
        </w:rPr>
        <w:t xml:space="preserve">The IRB approval of the study (Attachment </w:t>
      </w:r>
      <w:r>
        <w:rPr>
          <w:rFonts w:ascii="Calibri" w:hAnsi="Calibri"/>
          <w:sz w:val="22"/>
          <w:szCs w:val="22"/>
        </w:rPr>
        <w:t>5</w:t>
      </w:r>
      <w:r w:rsidRPr="00FA122E">
        <w:rPr>
          <w:rFonts w:ascii="Calibri" w:hAnsi="Calibri"/>
          <w:sz w:val="22"/>
          <w:szCs w:val="22"/>
        </w:rPr>
        <w:t>) included the review and approval of this level of remuneration.</w:t>
      </w:r>
    </w:p>
    <w:p w:rsidR="000358C9" w:rsidRPr="00D9548A" w:rsidRDefault="000358C9" w:rsidP="000358C9">
      <w:pPr>
        <w:rPr>
          <w:i/>
          <w:sz w:val="22"/>
          <w:szCs w:val="22"/>
          <w:u w:val="single"/>
        </w:rPr>
      </w:pPr>
    </w:p>
    <w:p w:rsidR="000358C9" w:rsidRDefault="000358C9" w:rsidP="000358C9">
      <w:pPr>
        <w:rPr>
          <w:rFonts w:ascii="Calibri" w:hAnsi="Calibri"/>
          <w:sz w:val="22"/>
          <w:szCs w:val="22"/>
        </w:rPr>
      </w:pPr>
      <w:r w:rsidRPr="00D9548A">
        <w:rPr>
          <w:rFonts w:ascii="Calibri" w:hAnsi="Calibri"/>
          <w:sz w:val="22"/>
          <w:szCs w:val="22"/>
        </w:rPr>
        <w:t xml:space="preserve">Web survey respondents will be recruited through a large consumer panel using a pre-targeted variable to identify pregnant or intending to get pregnant women </w:t>
      </w:r>
      <w:r>
        <w:rPr>
          <w:rFonts w:ascii="Calibri" w:hAnsi="Calibri"/>
          <w:sz w:val="22"/>
          <w:szCs w:val="22"/>
        </w:rPr>
        <w:t xml:space="preserve">in the targeted age group </w:t>
      </w:r>
      <w:r w:rsidRPr="00D9548A">
        <w:rPr>
          <w:rFonts w:ascii="Calibri" w:hAnsi="Calibri"/>
          <w:sz w:val="22"/>
          <w:szCs w:val="22"/>
        </w:rPr>
        <w:t xml:space="preserve">who also have a child age 5 years or younger by our partner, Harris Interactive.  Their incentive for participating in </w:t>
      </w:r>
      <w:r w:rsidRPr="006E3329">
        <w:rPr>
          <w:rFonts w:ascii="Calibri" w:hAnsi="Calibri"/>
          <w:sz w:val="22"/>
          <w:szCs w:val="22"/>
        </w:rPr>
        <w:t>the 11 minute survey</w:t>
      </w:r>
      <w:r w:rsidRPr="00D9548A">
        <w:rPr>
          <w:rFonts w:ascii="Calibri" w:hAnsi="Calibri"/>
          <w:sz w:val="22"/>
          <w:szCs w:val="22"/>
        </w:rPr>
        <w:t xml:space="preserve"> will be handled through the panel’s established incentive system.  </w:t>
      </w:r>
      <w:r>
        <w:rPr>
          <w:rFonts w:ascii="Calibri" w:hAnsi="Calibri"/>
          <w:sz w:val="22"/>
          <w:szCs w:val="22"/>
        </w:rPr>
        <w:t xml:space="preserve">Harris Interactive typically offers Harris Interactive Points to their panel members for survey participation.  These points can be redeemed for cash once members have accumulated a certain amount.  </w:t>
      </w:r>
      <w:r w:rsidRPr="00D9548A">
        <w:rPr>
          <w:rFonts w:ascii="Calibri" w:hAnsi="Calibri"/>
          <w:sz w:val="22"/>
          <w:szCs w:val="22"/>
        </w:rPr>
        <w:t>The amount of the incentive is determined by the length of the survey and participants are aware of the incentive prior to agreeing to participate.</w:t>
      </w:r>
      <w:r w:rsidRPr="0093433C">
        <w:rPr>
          <w:rFonts w:ascii="Calibri" w:hAnsi="Calibri"/>
          <w:sz w:val="22"/>
          <w:szCs w:val="22"/>
        </w:rPr>
        <w:t xml:space="preserve"> </w:t>
      </w:r>
    </w:p>
    <w:p w:rsidR="000358C9" w:rsidRPr="0093433C" w:rsidRDefault="000358C9" w:rsidP="000358C9">
      <w:pPr>
        <w:rPr>
          <w:rFonts w:ascii="Calibri" w:hAnsi="Calibri"/>
          <w:sz w:val="22"/>
          <w:szCs w:val="22"/>
        </w:rPr>
      </w:pPr>
    </w:p>
    <w:p w:rsidR="000358C9" w:rsidRDefault="000358C9" w:rsidP="000358C9">
      <w:pPr>
        <w:jc w:val="center"/>
      </w:pPr>
    </w:p>
    <w:p w:rsidR="000358C9" w:rsidRDefault="000358C9" w:rsidP="000358C9">
      <w:pPr>
        <w:jc w:val="center"/>
      </w:pPr>
    </w:p>
    <w:p w:rsidR="000358C9" w:rsidRDefault="000358C9" w:rsidP="000358C9">
      <w:pPr>
        <w:jc w:val="both"/>
      </w:pPr>
    </w:p>
    <w:sectPr w:rsidR="000358C9" w:rsidSect="009D02B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30" w:rsidRDefault="00936030" w:rsidP="000358C9">
      <w:r>
        <w:separator/>
      </w:r>
    </w:p>
  </w:endnote>
  <w:endnote w:type="continuationSeparator" w:id="0">
    <w:p w:rsidR="00936030" w:rsidRDefault="00936030" w:rsidP="0003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30" w:rsidRDefault="00936030" w:rsidP="000358C9">
      <w:r>
        <w:separator/>
      </w:r>
    </w:p>
  </w:footnote>
  <w:footnote w:type="continuationSeparator" w:id="0">
    <w:p w:rsidR="00936030" w:rsidRDefault="00936030" w:rsidP="000358C9">
      <w:r>
        <w:continuationSeparator/>
      </w:r>
    </w:p>
  </w:footnote>
  <w:footnote w:id="1">
    <w:p w:rsidR="00167B1B" w:rsidRPr="00994528" w:rsidRDefault="00167B1B" w:rsidP="000358C9">
      <w:pPr>
        <w:rPr>
          <w:rFonts w:asciiTheme="minorHAnsi" w:hAnsiTheme="minorHAnsi" w:cstheme="minorHAnsi"/>
          <w:sz w:val="18"/>
          <w:szCs w:val="18"/>
        </w:rPr>
      </w:pPr>
      <w:r w:rsidRPr="0099452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994528">
        <w:rPr>
          <w:rFonts w:asciiTheme="minorHAnsi" w:hAnsiTheme="minorHAnsi" w:cstheme="minorHAnsi"/>
          <w:sz w:val="18"/>
          <w:szCs w:val="18"/>
        </w:rPr>
        <w:t xml:space="preserve"> Krueger RA, Casey MA. </w:t>
      </w:r>
      <w:proofErr w:type="gramStart"/>
      <w:r w:rsidRPr="00994528">
        <w:rPr>
          <w:rFonts w:asciiTheme="minorHAnsi" w:hAnsiTheme="minorHAnsi" w:cstheme="minorHAnsi"/>
          <w:iCs/>
          <w:sz w:val="18"/>
          <w:szCs w:val="18"/>
        </w:rPr>
        <w:t>Focus groups.</w:t>
      </w:r>
      <w:proofErr w:type="gramEnd"/>
      <w:r w:rsidRPr="00994528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gramStart"/>
      <w:r w:rsidRPr="00994528">
        <w:rPr>
          <w:rFonts w:asciiTheme="minorHAnsi" w:hAnsiTheme="minorHAnsi" w:cstheme="minorHAnsi"/>
          <w:iCs/>
          <w:sz w:val="18"/>
          <w:szCs w:val="18"/>
        </w:rPr>
        <w:t>A practical guide for applied research.</w:t>
      </w:r>
      <w:proofErr w:type="gramEnd"/>
      <w:r w:rsidRPr="00994528">
        <w:rPr>
          <w:rFonts w:asciiTheme="minorHAnsi" w:hAnsiTheme="minorHAnsi" w:cstheme="minorHAnsi"/>
          <w:sz w:val="18"/>
          <w:szCs w:val="18"/>
        </w:rPr>
        <w:t xml:space="preserve"> Thousand Oaks (CA): Sage; 2009.</w:t>
      </w:r>
    </w:p>
    <w:p w:rsidR="00167B1B" w:rsidRPr="00205EEF" w:rsidRDefault="00167B1B" w:rsidP="000358C9">
      <w:pPr>
        <w:pStyle w:val="FootnoteText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DD"/>
    <w:rsid w:val="00007AE2"/>
    <w:rsid w:val="00016A63"/>
    <w:rsid w:val="00030495"/>
    <w:rsid w:val="000358C9"/>
    <w:rsid w:val="000935F2"/>
    <w:rsid w:val="000C0281"/>
    <w:rsid w:val="000F2EC7"/>
    <w:rsid w:val="00120F1C"/>
    <w:rsid w:val="00132902"/>
    <w:rsid w:val="001407B4"/>
    <w:rsid w:val="00150C95"/>
    <w:rsid w:val="00163B46"/>
    <w:rsid w:val="001670CA"/>
    <w:rsid w:val="00167B1B"/>
    <w:rsid w:val="001862C7"/>
    <w:rsid w:val="001B0A04"/>
    <w:rsid w:val="001D05A3"/>
    <w:rsid w:val="001D0953"/>
    <w:rsid w:val="00210D4D"/>
    <w:rsid w:val="002204BD"/>
    <w:rsid w:val="002712A3"/>
    <w:rsid w:val="002C3882"/>
    <w:rsid w:val="002C3F3D"/>
    <w:rsid w:val="002E139D"/>
    <w:rsid w:val="003102F0"/>
    <w:rsid w:val="003216C7"/>
    <w:rsid w:val="00340119"/>
    <w:rsid w:val="003A116C"/>
    <w:rsid w:val="003D0C54"/>
    <w:rsid w:val="003E1FA4"/>
    <w:rsid w:val="003F589C"/>
    <w:rsid w:val="004508B6"/>
    <w:rsid w:val="00455E57"/>
    <w:rsid w:val="0046325B"/>
    <w:rsid w:val="00486D2D"/>
    <w:rsid w:val="004951D7"/>
    <w:rsid w:val="004B3F87"/>
    <w:rsid w:val="004F19AD"/>
    <w:rsid w:val="00586C80"/>
    <w:rsid w:val="00587024"/>
    <w:rsid w:val="005878B3"/>
    <w:rsid w:val="005A63B0"/>
    <w:rsid w:val="005B5BDD"/>
    <w:rsid w:val="005D3D86"/>
    <w:rsid w:val="006060F5"/>
    <w:rsid w:val="0061061E"/>
    <w:rsid w:val="006145E3"/>
    <w:rsid w:val="00637461"/>
    <w:rsid w:val="0065120A"/>
    <w:rsid w:val="006C7235"/>
    <w:rsid w:val="006D1C74"/>
    <w:rsid w:val="0070107A"/>
    <w:rsid w:val="0080411C"/>
    <w:rsid w:val="00804FE0"/>
    <w:rsid w:val="008100FB"/>
    <w:rsid w:val="00826D38"/>
    <w:rsid w:val="00862033"/>
    <w:rsid w:val="008626EC"/>
    <w:rsid w:val="008965FB"/>
    <w:rsid w:val="008C320C"/>
    <w:rsid w:val="008E0070"/>
    <w:rsid w:val="00925C97"/>
    <w:rsid w:val="00936030"/>
    <w:rsid w:val="00937A34"/>
    <w:rsid w:val="00943C6E"/>
    <w:rsid w:val="00960C8A"/>
    <w:rsid w:val="00985FFB"/>
    <w:rsid w:val="009C343F"/>
    <w:rsid w:val="009D02BF"/>
    <w:rsid w:val="00A350A9"/>
    <w:rsid w:val="00A52E41"/>
    <w:rsid w:val="00A535B9"/>
    <w:rsid w:val="00A57DCB"/>
    <w:rsid w:val="00AC1810"/>
    <w:rsid w:val="00B31800"/>
    <w:rsid w:val="00B373E1"/>
    <w:rsid w:val="00B93771"/>
    <w:rsid w:val="00B97C3B"/>
    <w:rsid w:val="00C2207E"/>
    <w:rsid w:val="00C33A18"/>
    <w:rsid w:val="00C472D2"/>
    <w:rsid w:val="00C84F9B"/>
    <w:rsid w:val="00D65BF0"/>
    <w:rsid w:val="00D72E52"/>
    <w:rsid w:val="00D943A8"/>
    <w:rsid w:val="00DE2580"/>
    <w:rsid w:val="00DE35C1"/>
    <w:rsid w:val="00DF06D9"/>
    <w:rsid w:val="00E210F8"/>
    <w:rsid w:val="00E22368"/>
    <w:rsid w:val="00E27AE9"/>
    <w:rsid w:val="00EC7E7B"/>
    <w:rsid w:val="00EE2239"/>
    <w:rsid w:val="00EF6025"/>
    <w:rsid w:val="00F05EAA"/>
    <w:rsid w:val="00FB665F"/>
    <w:rsid w:val="00FE5F4E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358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8C9"/>
    <w:rPr>
      <w:sz w:val="20"/>
      <w:szCs w:val="20"/>
    </w:rPr>
  </w:style>
  <w:style w:type="character" w:styleId="FootnoteReference">
    <w:name w:val="footnote reference"/>
    <w:uiPriority w:val="99"/>
    <w:unhideWhenUsed/>
    <w:rsid w:val="000358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358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8C9"/>
    <w:rPr>
      <w:sz w:val="20"/>
      <w:szCs w:val="20"/>
    </w:rPr>
  </w:style>
  <w:style w:type="character" w:styleId="FootnoteReference">
    <w:name w:val="footnote reference"/>
    <w:uiPriority w:val="99"/>
    <w:unhideWhenUsed/>
    <w:rsid w:val="00035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Dorthina G. (CDC/ONDIEH/NCBDDD)</dc:creator>
  <cp:lastModifiedBy>CTAC</cp:lastModifiedBy>
  <cp:revision>2</cp:revision>
  <dcterms:created xsi:type="dcterms:W3CDTF">2012-09-07T17:08:00Z</dcterms:created>
  <dcterms:modified xsi:type="dcterms:W3CDTF">2012-09-07T17:08:00Z</dcterms:modified>
</cp:coreProperties>
</file>