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C4D" w:rsidRDefault="00343C4D" w:rsidP="00DC7D5B">
      <w:pPr>
        <w:jc w:val="center"/>
        <w:rPr>
          <w:b/>
          <w:sz w:val="24"/>
          <w:szCs w:val="24"/>
        </w:rPr>
      </w:pPr>
    </w:p>
    <w:p w:rsidR="00343C4D" w:rsidRDefault="00343C4D" w:rsidP="00DC7D5B">
      <w:pPr>
        <w:jc w:val="center"/>
        <w:rPr>
          <w:b/>
          <w:sz w:val="24"/>
          <w:szCs w:val="24"/>
        </w:rPr>
      </w:pPr>
    </w:p>
    <w:p w:rsidR="00343C4D" w:rsidRDefault="00343C4D" w:rsidP="00DC7D5B">
      <w:pPr>
        <w:jc w:val="center"/>
        <w:rPr>
          <w:b/>
          <w:sz w:val="24"/>
          <w:szCs w:val="24"/>
        </w:rPr>
      </w:pPr>
    </w:p>
    <w:p w:rsidR="00343C4D" w:rsidRDefault="00343C4D" w:rsidP="00DC7D5B">
      <w:pPr>
        <w:jc w:val="center"/>
        <w:rPr>
          <w:b/>
          <w:sz w:val="24"/>
          <w:szCs w:val="24"/>
        </w:rPr>
      </w:pPr>
    </w:p>
    <w:p w:rsidR="00343C4D" w:rsidRDefault="00343C4D" w:rsidP="00DC7D5B">
      <w:pPr>
        <w:jc w:val="center"/>
        <w:rPr>
          <w:b/>
          <w:sz w:val="24"/>
          <w:szCs w:val="24"/>
        </w:rPr>
      </w:pPr>
    </w:p>
    <w:p w:rsidR="00343C4D" w:rsidRDefault="00343C4D" w:rsidP="00DC7D5B">
      <w:pPr>
        <w:jc w:val="center"/>
        <w:rPr>
          <w:b/>
          <w:sz w:val="24"/>
          <w:szCs w:val="24"/>
        </w:rPr>
      </w:pPr>
    </w:p>
    <w:p w:rsidR="00DC7D5B" w:rsidRDefault="00DC7D5B" w:rsidP="00DC7D5B">
      <w:pPr>
        <w:jc w:val="center"/>
        <w:rPr>
          <w:b/>
          <w:sz w:val="24"/>
          <w:szCs w:val="24"/>
        </w:rPr>
      </w:pPr>
      <w:r w:rsidRPr="009674E4">
        <w:rPr>
          <w:b/>
          <w:sz w:val="24"/>
          <w:szCs w:val="24"/>
        </w:rPr>
        <w:t>A</w:t>
      </w:r>
      <w:r w:rsidR="007139E2">
        <w:rPr>
          <w:b/>
          <w:sz w:val="24"/>
          <w:szCs w:val="24"/>
        </w:rPr>
        <w:t xml:space="preserve">ttachment </w:t>
      </w:r>
      <w:r w:rsidR="009660A4">
        <w:rPr>
          <w:b/>
          <w:sz w:val="24"/>
          <w:szCs w:val="24"/>
        </w:rPr>
        <w:t>K</w:t>
      </w:r>
    </w:p>
    <w:p w:rsidR="00C45847" w:rsidRDefault="00DC7D5B" w:rsidP="00C45847">
      <w:pPr>
        <w:jc w:val="center"/>
        <w:rPr>
          <w:b/>
          <w:sz w:val="24"/>
          <w:szCs w:val="24"/>
        </w:rPr>
      </w:pPr>
      <w:r w:rsidRPr="009674E4">
        <w:rPr>
          <w:b/>
          <w:sz w:val="24"/>
          <w:szCs w:val="24"/>
        </w:rPr>
        <w:t xml:space="preserve">OSH Program Survey Sample Size Requirements </w:t>
      </w: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p>
    <w:p w:rsidR="00343C4D" w:rsidRDefault="00343C4D" w:rsidP="00C45847">
      <w:pPr>
        <w:jc w:val="center"/>
        <w:rPr>
          <w:b/>
          <w:sz w:val="24"/>
          <w:szCs w:val="24"/>
        </w:rPr>
      </w:pPr>
      <w:bookmarkStart w:id="0" w:name="_GoBack"/>
      <w:bookmarkEnd w:id="0"/>
    </w:p>
    <w:p w:rsidR="00C45847" w:rsidRDefault="00C45847" w:rsidP="00C45847">
      <w:pPr>
        <w:jc w:val="center"/>
        <w:rPr>
          <w:b/>
          <w:sz w:val="24"/>
          <w:szCs w:val="24"/>
        </w:rPr>
      </w:pPr>
    </w:p>
    <w:p w:rsidR="008B3E74" w:rsidRPr="00816E21" w:rsidRDefault="008E6819" w:rsidP="008B3E74">
      <w:pPr>
        <w:rPr>
          <w:sz w:val="22"/>
          <w:szCs w:val="22"/>
        </w:rPr>
      </w:pPr>
      <w:proofErr w:type="gramStart"/>
      <w:r w:rsidRPr="00816E21">
        <w:rPr>
          <w:sz w:val="22"/>
          <w:szCs w:val="22"/>
          <w:u w:val="single"/>
        </w:rPr>
        <w:t>Aim</w:t>
      </w:r>
      <w:r w:rsidR="00DC7D5B" w:rsidRPr="00816E21">
        <w:rPr>
          <w:sz w:val="22"/>
          <w:szCs w:val="22"/>
          <w:u w:val="single"/>
        </w:rPr>
        <w:t>-1 - Research Question 2 – Factor Analysis</w:t>
      </w:r>
      <w:r w:rsidR="00DC7D5B" w:rsidRPr="00816E21">
        <w:rPr>
          <w:sz w:val="22"/>
          <w:szCs w:val="22"/>
        </w:rPr>
        <w:t>.</w:t>
      </w:r>
      <w:proofErr w:type="gramEnd"/>
      <w:r w:rsidR="00DC7D5B" w:rsidRPr="00816E21">
        <w:rPr>
          <w:sz w:val="22"/>
          <w:szCs w:val="22"/>
        </w:rPr>
        <w:t xml:space="preserve"> Norman and </w:t>
      </w:r>
      <w:proofErr w:type="spellStart"/>
      <w:r w:rsidR="00DC7D5B" w:rsidRPr="00816E21">
        <w:rPr>
          <w:sz w:val="22"/>
          <w:szCs w:val="22"/>
        </w:rPr>
        <w:t>Streiner</w:t>
      </w:r>
      <w:proofErr w:type="spellEnd"/>
      <w:r w:rsidR="00DC7D5B" w:rsidRPr="00816E21">
        <w:rPr>
          <w:sz w:val="22"/>
          <w:szCs w:val="22"/>
        </w:rPr>
        <w:t xml:space="preserve"> (1994) suggest as a rule of thumb for factor analysis that there be 20 observations per item being considered in the factor analysis. Here, researchers propose examining </w:t>
      </w:r>
      <w:r w:rsidR="008B3E74" w:rsidRPr="00816E21">
        <w:rPr>
          <w:sz w:val="22"/>
          <w:szCs w:val="22"/>
        </w:rPr>
        <w:t xml:space="preserve">143 possible items for factor analysis, including OSH organizational metrics (131 possible items) and one measure (13 items) of social desirability. Following Norman and </w:t>
      </w:r>
      <w:proofErr w:type="spellStart"/>
      <w:r w:rsidR="008B3E74" w:rsidRPr="00816E21">
        <w:rPr>
          <w:sz w:val="22"/>
          <w:szCs w:val="22"/>
        </w:rPr>
        <w:t>Streiner’s</w:t>
      </w:r>
      <w:proofErr w:type="spellEnd"/>
      <w:r w:rsidR="008B3E74" w:rsidRPr="00816E21">
        <w:rPr>
          <w:sz w:val="22"/>
          <w:szCs w:val="22"/>
        </w:rPr>
        <w:t xml:space="preserve"> suggestion, information is needed from 2860 firms to conduct the factor analysis. </w:t>
      </w:r>
    </w:p>
    <w:p w:rsidR="008B3E74" w:rsidRPr="00816E21" w:rsidRDefault="008B3E74" w:rsidP="00C45847">
      <w:pPr>
        <w:rPr>
          <w:sz w:val="22"/>
          <w:szCs w:val="22"/>
        </w:rPr>
      </w:pPr>
    </w:p>
    <w:p w:rsidR="00DC7D5B" w:rsidRPr="00816E21" w:rsidRDefault="008E6819" w:rsidP="00DC7D5B">
      <w:pPr>
        <w:rPr>
          <w:sz w:val="22"/>
          <w:szCs w:val="22"/>
        </w:rPr>
      </w:pPr>
      <w:proofErr w:type="gramStart"/>
      <w:r w:rsidRPr="00816E21">
        <w:rPr>
          <w:sz w:val="22"/>
          <w:szCs w:val="22"/>
          <w:u w:val="single"/>
        </w:rPr>
        <w:t>Aim</w:t>
      </w:r>
      <w:r w:rsidR="00DC7D5B" w:rsidRPr="00816E21">
        <w:rPr>
          <w:sz w:val="22"/>
          <w:szCs w:val="22"/>
          <w:u w:val="single"/>
        </w:rPr>
        <w:t>-2 - Research Question 5 – Predictive Regression</w:t>
      </w:r>
      <w:r w:rsidR="00DC7D5B" w:rsidRPr="00816E21">
        <w:rPr>
          <w:sz w:val="22"/>
          <w:szCs w:val="22"/>
        </w:rPr>
        <w:t>.</w:t>
      </w:r>
      <w:proofErr w:type="gramEnd"/>
      <w:r w:rsidR="00DC7D5B" w:rsidRPr="00816E21">
        <w:rPr>
          <w:sz w:val="22"/>
          <w:szCs w:val="22"/>
        </w:rPr>
        <w:t xml:space="preserve"> The primary interest is observing whether organizational and management metrics predict injury rates. Sample size requirements are examined in two ways: 1) what sample size is required to detect a reasonable difference in injury rates between two groups of firms, 2) what sample size is required to fit multiple regression models with injury rate as the dependent variable. Based on BLS data the overall incidence rate is approximately 6.49 per 100 FTE with firm level claim rates ranging from 0 to 35 per 100 FTE for small firms and from 0 to 12 per 100 FTE for large firms. Based on this information, sample size requirements are examined </w:t>
      </w:r>
      <w:proofErr w:type="gramStart"/>
      <w:r w:rsidR="00DC7D5B" w:rsidRPr="00816E21">
        <w:rPr>
          <w:sz w:val="22"/>
          <w:szCs w:val="22"/>
        </w:rPr>
        <w:t>under</w:t>
      </w:r>
      <w:proofErr w:type="gramEnd"/>
      <w:r w:rsidR="00DC7D5B" w:rsidRPr="00816E21">
        <w:rPr>
          <w:sz w:val="22"/>
          <w:szCs w:val="22"/>
        </w:rPr>
        <w:t xml:space="preserve"> two sets of assumptions about firm-level variation in claim rate; standard deviation of 6 (applicable to large firms) and standard deviation of 12 (applicable to small firms).  Using this information, the number of firms is calculated required in each of two groups to detect a difference of from 0.75 to 2.0 in the claim rate, with standard deviation of claim rate as either 6 or 12. Type 1 error rate was set at 0.05 and type 2 error </w:t>
      </w:r>
      <w:proofErr w:type="gramStart"/>
      <w:r w:rsidR="00DC7D5B" w:rsidRPr="00816E21">
        <w:rPr>
          <w:sz w:val="22"/>
          <w:szCs w:val="22"/>
        </w:rPr>
        <w:t>rate</w:t>
      </w:r>
      <w:proofErr w:type="gramEnd"/>
      <w:r w:rsidR="00DC7D5B" w:rsidRPr="00816E21">
        <w:rPr>
          <w:sz w:val="22"/>
          <w:szCs w:val="22"/>
        </w:rPr>
        <w:t xml:space="preserve"> was set at 0.20. </w:t>
      </w:r>
    </w:p>
    <w:p w:rsidR="00DC7D5B" w:rsidRPr="00816E21" w:rsidRDefault="00DC7D5B" w:rsidP="00DC7D5B">
      <w:pPr>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2520"/>
        <w:gridCol w:w="3960"/>
      </w:tblGrid>
      <w:tr w:rsidR="00DC7D5B" w:rsidRPr="00816E21" w:rsidTr="00566AE1">
        <w:tc>
          <w:tcPr>
            <w:tcW w:w="2468" w:type="dxa"/>
          </w:tcPr>
          <w:p w:rsidR="00DC7D5B" w:rsidRPr="00816E21" w:rsidRDefault="00DC7D5B" w:rsidP="00566AE1">
            <w:pPr>
              <w:jc w:val="center"/>
              <w:rPr>
                <w:sz w:val="22"/>
                <w:szCs w:val="22"/>
              </w:rPr>
            </w:pPr>
            <w:r w:rsidRPr="00816E21">
              <w:rPr>
                <w:sz w:val="22"/>
                <w:szCs w:val="22"/>
              </w:rPr>
              <w:t>Standard Deviation of Claim Rate</w:t>
            </w:r>
          </w:p>
        </w:tc>
        <w:tc>
          <w:tcPr>
            <w:tcW w:w="2520" w:type="dxa"/>
          </w:tcPr>
          <w:p w:rsidR="00DC7D5B" w:rsidRPr="00816E21" w:rsidRDefault="00DC7D5B" w:rsidP="00566AE1">
            <w:pPr>
              <w:jc w:val="center"/>
              <w:rPr>
                <w:sz w:val="22"/>
                <w:szCs w:val="22"/>
              </w:rPr>
            </w:pPr>
            <w:r w:rsidRPr="00816E21">
              <w:rPr>
                <w:sz w:val="22"/>
                <w:szCs w:val="22"/>
              </w:rPr>
              <w:t>Difference in Claim Rate to Detect</w:t>
            </w:r>
          </w:p>
        </w:tc>
        <w:tc>
          <w:tcPr>
            <w:tcW w:w="3960" w:type="dxa"/>
          </w:tcPr>
          <w:p w:rsidR="00DC7D5B" w:rsidRPr="00816E21" w:rsidRDefault="00DC7D5B" w:rsidP="00566AE1">
            <w:pPr>
              <w:jc w:val="center"/>
              <w:rPr>
                <w:sz w:val="22"/>
                <w:szCs w:val="22"/>
              </w:rPr>
            </w:pPr>
            <w:r w:rsidRPr="00816E21">
              <w:rPr>
                <w:sz w:val="22"/>
                <w:szCs w:val="22"/>
              </w:rPr>
              <w:t>Sample Size (# Firms) Required in Each of Two Arms</w:t>
            </w:r>
          </w:p>
        </w:tc>
      </w:tr>
      <w:tr w:rsidR="00DC7D5B" w:rsidRPr="00816E21" w:rsidTr="00566AE1">
        <w:tc>
          <w:tcPr>
            <w:tcW w:w="2468" w:type="dxa"/>
          </w:tcPr>
          <w:p w:rsidR="00DC7D5B" w:rsidRPr="00816E21" w:rsidRDefault="00DC7D5B" w:rsidP="00566AE1">
            <w:pPr>
              <w:jc w:val="center"/>
              <w:rPr>
                <w:sz w:val="22"/>
                <w:szCs w:val="22"/>
              </w:rPr>
            </w:pPr>
            <w:r w:rsidRPr="00816E21">
              <w:rPr>
                <w:sz w:val="22"/>
                <w:szCs w:val="22"/>
              </w:rPr>
              <w:t>6</w:t>
            </w:r>
          </w:p>
        </w:tc>
        <w:tc>
          <w:tcPr>
            <w:tcW w:w="2520" w:type="dxa"/>
          </w:tcPr>
          <w:p w:rsidR="00DC7D5B" w:rsidRPr="00816E21" w:rsidRDefault="00DC7D5B" w:rsidP="00566AE1">
            <w:pPr>
              <w:jc w:val="center"/>
              <w:rPr>
                <w:sz w:val="22"/>
                <w:szCs w:val="22"/>
              </w:rPr>
            </w:pPr>
            <w:r w:rsidRPr="00816E21">
              <w:rPr>
                <w:sz w:val="22"/>
                <w:szCs w:val="22"/>
              </w:rPr>
              <w:t>0.5</w:t>
            </w:r>
          </w:p>
        </w:tc>
        <w:tc>
          <w:tcPr>
            <w:tcW w:w="3960" w:type="dxa"/>
          </w:tcPr>
          <w:p w:rsidR="00DC7D5B" w:rsidRPr="00816E21" w:rsidRDefault="00DC7D5B" w:rsidP="00566AE1">
            <w:pPr>
              <w:jc w:val="center"/>
              <w:rPr>
                <w:sz w:val="22"/>
                <w:szCs w:val="22"/>
              </w:rPr>
            </w:pPr>
            <w:r w:rsidRPr="00816E21">
              <w:rPr>
                <w:sz w:val="22"/>
                <w:szCs w:val="22"/>
              </w:rPr>
              <w:t>2261</w:t>
            </w:r>
          </w:p>
        </w:tc>
      </w:tr>
      <w:tr w:rsidR="00DC7D5B" w:rsidRPr="00816E21" w:rsidTr="00566AE1">
        <w:tc>
          <w:tcPr>
            <w:tcW w:w="2468" w:type="dxa"/>
          </w:tcPr>
          <w:p w:rsidR="00DC7D5B" w:rsidRPr="00816E21" w:rsidRDefault="00DC7D5B" w:rsidP="00566AE1">
            <w:pPr>
              <w:jc w:val="center"/>
              <w:rPr>
                <w:sz w:val="22"/>
                <w:szCs w:val="22"/>
              </w:rPr>
            </w:pPr>
            <w:r w:rsidRPr="00816E21">
              <w:rPr>
                <w:sz w:val="22"/>
                <w:szCs w:val="22"/>
              </w:rPr>
              <w:t>6</w:t>
            </w:r>
          </w:p>
        </w:tc>
        <w:tc>
          <w:tcPr>
            <w:tcW w:w="2520" w:type="dxa"/>
          </w:tcPr>
          <w:p w:rsidR="00DC7D5B" w:rsidRPr="00816E21" w:rsidRDefault="00DC7D5B" w:rsidP="00566AE1">
            <w:pPr>
              <w:jc w:val="center"/>
              <w:rPr>
                <w:sz w:val="22"/>
                <w:szCs w:val="22"/>
              </w:rPr>
            </w:pPr>
            <w:r w:rsidRPr="00816E21">
              <w:rPr>
                <w:sz w:val="22"/>
                <w:szCs w:val="22"/>
              </w:rPr>
              <w:t>1.0</w:t>
            </w:r>
          </w:p>
        </w:tc>
        <w:tc>
          <w:tcPr>
            <w:tcW w:w="3960" w:type="dxa"/>
          </w:tcPr>
          <w:p w:rsidR="00DC7D5B" w:rsidRPr="00816E21" w:rsidRDefault="00DC7D5B" w:rsidP="00566AE1">
            <w:pPr>
              <w:jc w:val="center"/>
              <w:rPr>
                <w:sz w:val="22"/>
                <w:szCs w:val="22"/>
              </w:rPr>
            </w:pPr>
            <w:r w:rsidRPr="00816E21">
              <w:rPr>
                <w:sz w:val="22"/>
                <w:szCs w:val="22"/>
              </w:rPr>
              <w:t>566</w:t>
            </w:r>
          </w:p>
        </w:tc>
      </w:tr>
      <w:tr w:rsidR="00DC7D5B" w:rsidRPr="00816E21" w:rsidTr="00566AE1">
        <w:tc>
          <w:tcPr>
            <w:tcW w:w="2468" w:type="dxa"/>
          </w:tcPr>
          <w:p w:rsidR="00DC7D5B" w:rsidRPr="00816E21" w:rsidRDefault="00DC7D5B" w:rsidP="00566AE1">
            <w:pPr>
              <w:jc w:val="center"/>
              <w:rPr>
                <w:sz w:val="22"/>
                <w:szCs w:val="22"/>
              </w:rPr>
            </w:pPr>
            <w:r w:rsidRPr="00816E21">
              <w:rPr>
                <w:sz w:val="22"/>
                <w:szCs w:val="22"/>
              </w:rPr>
              <w:t>12</w:t>
            </w:r>
          </w:p>
        </w:tc>
        <w:tc>
          <w:tcPr>
            <w:tcW w:w="2520" w:type="dxa"/>
          </w:tcPr>
          <w:p w:rsidR="00DC7D5B" w:rsidRPr="00816E21" w:rsidRDefault="00DC7D5B" w:rsidP="00566AE1">
            <w:pPr>
              <w:jc w:val="center"/>
              <w:rPr>
                <w:sz w:val="22"/>
                <w:szCs w:val="22"/>
              </w:rPr>
            </w:pPr>
            <w:r w:rsidRPr="00816E21">
              <w:rPr>
                <w:sz w:val="22"/>
                <w:szCs w:val="22"/>
              </w:rPr>
              <w:t>1.0</w:t>
            </w:r>
          </w:p>
        </w:tc>
        <w:tc>
          <w:tcPr>
            <w:tcW w:w="3960" w:type="dxa"/>
          </w:tcPr>
          <w:p w:rsidR="00DC7D5B" w:rsidRPr="00816E21" w:rsidRDefault="00DC7D5B" w:rsidP="00566AE1">
            <w:pPr>
              <w:jc w:val="center"/>
              <w:rPr>
                <w:sz w:val="22"/>
                <w:szCs w:val="22"/>
              </w:rPr>
            </w:pPr>
            <w:r w:rsidRPr="00816E21">
              <w:rPr>
                <w:sz w:val="22"/>
                <w:szCs w:val="22"/>
              </w:rPr>
              <w:t>2261</w:t>
            </w:r>
          </w:p>
        </w:tc>
      </w:tr>
    </w:tbl>
    <w:p w:rsidR="00DC7D5B" w:rsidRPr="00816E21" w:rsidRDefault="00DC7D5B" w:rsidP="00DC7D5B">
      <w:pPr>
        <w:rPr>
          <w:sz w:val="22"/>
          <w:szCs w:val="22"/>
        </w:rPr>
      </w:pPr>
    </w:p>
    <w:p w:rsidR="00DC7D5B" w:rsidRPr="00816E21" w:rsidRDefault="00DC7D5B" w:rsidP="00DC7D5B">
      <w:pPr>
        <w:rPr>
          <w:sz w:val="22"/>
          <w:szCs w:val="22"/>
        </w:rPr>
      </w:pPr>
      <w:r w:rsidRPr="00816E21">
        <w:rPr>
          <w:sz w:val="22"/>
          <w:szCs w:val="22"/>
        </w:rPr>
        <w:t xml:space="preserve">If approximately 3700 firms </w:t>
      </w:r>
      <w:r w:rsidR="00DA3CBF">
        <w:rPr>
          <w:sz w:val="22"/>
          <w:szCs w:val="22"/>
        </w:rPr>
        <w:t>(</w:t>
      </w:r>
      <w:r w:rsidR="00DA3CBF" w:rsidRPr="00DA3CBF">
        <w:rPr>
          <w:b/>
          <w:sz w:val="22"/>
          <w:szCs w:val="22"/>
        </w:rPr>
        <w:t>Appendix 7</w:t>
      </w:r>
      <w:r w:rsidR="00DA3CBF">
        <w:rPr>
          <w:sz w:val="22"/>
          <w:szCs w:val="22"/>
        </w:rPr>
        <w:t xml:space="preserve">) </w:t>
      </w:r>
      <w:r w:rsidRPr="00816E21">
        <w:rPr>
          <w:sz w:val="22"/>
          <w:szCs w:val="22"/>
        </w:rPr>
        <w:t xml:space="preserve">all together are sampled, there will be sufficient numbers to detect reasonable differences – </w:t>
      </w:r>
      <w:r w:rsidR="008B3E74" w:rsidRPr="00816E21">
        <w:rPr>
          <w:sz w:val="22"/>
          <w:szCs w:val="22"/>
        </w:rPr>
        <w:t xml:space="preserve">e.g. </w:t>
      </w:r>
      <w:r w:rsidRPr="00816E21">
        <w:rPr>
          <w:sz w:val="22"/>
          <w:szCs w:val="22"/>
        </w:rPr>
        <w:t xml:space="preserve">a difference of 0.5 to 1 claim per FTE - between two groups of firms. For regression modeling, rules of thumb (Harrell 2001) suggest there should be 20 observations (here, firms) for each term to be considered in model building. Here, there are </w:t>
      </w:r>
      <w:r w:rsidR="008E6819" w:rsidRPr="00816E21">
        <w:rPr>
          <w:sz w:val="22"/>
          <w:szCs w:val="22"/>
        </w:rPr>
        <w:t>30</w:t>
      </w:r>
      <w:r w:rsidRPr="00816E21">
        <w:rPr>
          <w:sz w:val="22"/>
          <w:szCs w:val="22"/>
        </w:rPr>
        <w:t xml:space="preserve"> subscales to be considered representing organizational policies and practices and occupational health and safety management systems. In addition, researchers will control for sector (2 categories, 2 </w:t>
      </w:r>
      <w:proofErr w:type="spellStart"/>
      <w:proofErr w:type="gramStart"/>
      <w:r w:rsidRPr="00816E21">
        <w:rPr>
          <w:sz w:val="22"/>
          <w:szCs w:val="22"/>
        </w:rPr>
        <w:t>df</w:t>
      </w:r>
      <w:proofErr w:type="spellEnd"/>
      <w:proofErr w:type="gramEnd"/>
      <w:r w:rsidRPr="00816E21">
        <w:rPr>
          <w:sz w:val="22"/>
          <w:szCs w:val="22"/>
        </w:rPr>
        <w:t xml:space="preserve">), firm size (four categories, 3 </w:t>
      </w:r>
      <w:proofErr w:type="spellStart"/>
      <w:r w:rsidRPr="00816E21">
        <w:rPr>
          <w:sz w:val="22"/>
          <w:szCs w:val="22"/>
        </w:rPr>
        <w:t>df</w:t>
      </w:r>
      <w:proofErr w:type="spellEnd"/>
      <w:r w:rsidRPr="00816E21">
        <w:rPr>
          <w:sz w:val="22"/>
          <w:szCs w:val="22"/>
        </w:rPr>
        <w:t xml:space="preserve">), </w:t>
      </w:r>
      <w:r w:rsidR="006625E2" w:rsidRPr="00816E21">
        <w:rPr>
          <w:sz w:val="22"/>
          <w:szCs w:val="22"/>
        </w:rPr>
        <w:t xml:space="preserve">and </w:t>
      </w:r>
      <w:r w:rsidRPr="00816E21">
        <w:rPr>
          <w:sz w:val="22"/>
          <w:szCs w:val="22"/>
        </w:rPr>
        <w:t xml:space="preserve">downsizing (yes or no, 1 </w:t>
      </w:r>
      <w:proofErr w:type="spellStart"/>
      <w:r w:rsidRPr="00816E21">
        <w:rPr>
          <w:sz w:val="22"/>
          <w:szCs w:val="22"/>
        </w:rPr>
        <w:t>df</w:t>
      </w:r>
      <w:proofErr w:type="spellEnd"/>
      <w:r w:rsidRPr="00816E21">
        <w:rPr>
          <w:sz w:val="22"/>
          <w:szCs w:val="22"/>
        </w:rPr>
        <w:t xml:space="preserve">). All together that totals to </w:t>
      </w:r>
      <w:r w:rsidR="008E6819" w:rsidRPr="00816E21">
        <w:rPr>
          <w:sz w:val="22"/>
          <w:szCs w:val="22"/>
        </w:rPr>
        <w:t>37</w:t>
      </w:r>
      <w:r w:rsidRPr="00816E21">
        <w:rPr>
          <w:sz w:val="22"/>
          <w:szCs w:val="22"/>
        </w:rPr>
        <w:t xml:space="preserve"> beta coefficients to estimate, and so the rule of thumb suggests a requirement for at least </w:t>
      </w:r>
      <w:r w:rsidR="008E6819" w:rsidRPr="00816E21">
        <w:rPr>
          <w:sz w:val="22"/>
          <w:szCs w:val="22"/>
        </w:rPr>
        <w:t>740</w:t>
      </w:r>
      <w:r w:rsidRPr="00816E21">
        <w:rPr>
          <w:sz w:val="22"/>
          <w:szCs w:val="22"/>
        </w:rPr>
        <w:t xml:space="preserve"> firms. </w:t>
      </w:r>
    </w:p>
    <w:p w:rsidR="00DC7D5B" w:rsidRPr="00816E21" w:rsidRDefault="00DC7D5B" w:rsidP="00DC7D5B">
      <w:pPr>
        <w:jc w:val="center"/>
        <w:rPr>
          <w:rFonts w:eastAsia="MS Mincho"/>
          <w:sz w:val="22"/>
          <w:szCs w:val="22"/>
          <w:lang w:eastAsia="ja-JP"/>
        </w:rPr>
      </w:pPr>
    </w:p>
    <w:p w:rsidR="00DC7D5B" w:rsidRPr="00816E21" w:rsidRDefault="008E6819" w:rsidP="00DC7D5B">
      <w:pPr>
        <w:rPr>
          <w:sz w:val="22"/>
          <w:szCs w:val="22"/>
        </w:rPr>
      </w:pPr>
      <w:proofErr w:type="gramStart"/>
      <w:r w:rsidRPr="00816E21">
        <w:rPr>
          <w:sz w:val="22"/>
          <w:szCs w:val="22"/>
          <w:u w:val="single"/>
        </w:rPr>
        <w:t>Aim</w:t>
      </w:r>
      <w:r w:rsidR="00DC7D5B" w:rsidRPr="00816E21">
        <w:rPr>
          <w:sz w:val="22"/>
          <w:szCs w:val="22"/>
          <w:u w:val="single"/>
        </w:rPr>
        <w:t>-3 - Research Question 6 – Who is the Best Informant</w:t>
      </w:r>
      <w:r w:rsidR="00DC7D5B" w:rsidRPr="00816E21">
        <w:rPr>
          <w:b/>
          <w:sz w:val="22"/>
          <w:szCs w:val="22"/>
          <w:u w:val="single"/>
        </w:rPr>
        <w:t>.</w:t>
      </w:r>
      <w:proofErr w:type="gramEnd"/>
      <w:r w:rsidR="00DC7D5B" w:rsidRPr="00816E21">
        <w:rPr>
          <w:b/>
          <w:sz w:val="22"/>
          <w:szCs w:val="22"/>
          <w:u w:val="single"/>
        </w:rPr>
        <w:t xml:space="preserve"> </w:t>
      </w:r>
      <w:r w:rsidR="00DC7D5B" w:rsidRPr="00816E21">
        <w:rPr>
          <w:sz w:val="22"/>
          <w:szCs w:val="22"/>
        </w:rPr>
        <w:t xml:space="preserve">Based on approach described by Kraemer and </w:t>
      </w:r>
      <w:proofErr w:type="spellStart"/>
      <w:r w:rsidR="00DC7D5B" w:rsidRPr="00816E21">
        <w:rPr>
          <w:sz w:val="22"/>
          <w:szCs w:val="22"/>
        </w:rPr>
        <w:t>Korner</w:t>
      </w:r>
      <w:proofErr w:type="spellEnd"/>
      <w:r w:rsidR="00DC7D5B" w:rsidRPr="00816E21">
        <w:rPr>
          <w:sz w:val="22"/>
          <w:szCs w:val="22"/>
        </w:rPr>
        <w:t xml:space="preserve"> (1976) and by Kraemer (1976), if it is wished to establish an inter-rater reliability, estimated by an </w:t>
      </w:r>
      <w:proofErr w:type="spellStart"/>
      <w:r w:rsidR="00DC7D5B" w:rsidRPr="00816E21">
        <w:rPr>
          <w:sz w:val="22"/>
          <w:szCs w:val="22"/>
        </w:rPr>
        <w:t>intraclass</w:t>
      </w:r>
      <w:proofErr w:type="spellEnd"/>
      <w:r w:rsidR="00DC7D5B" w:rsidRPr="00816E21">
        <w:rPr>
          <w:sz w:val="22"/>
          <w:szCs w:val="22"/>
        </w:rPr>
        <w:t xml:space="preserve"> correlation coefficient </w:t>
      </w:r>
      <w:r w:rsidR="00DC7D5B" w:rsidRPr="00816E21">
        <w:rPr>
          <w:sz w:val="22"/>
          <w:szCs w:val="22"/>
        </w:rPr>
        <w:sym w:font="WP Greek Century" w:char="F044"/>
      </w:r>
      <w:r w:rsidR="00DC7D5B" w:rsidRPr="00816E21">
        <w:rPr>
          <w:sz w:val="22"/>
          <w:szCs w:val="22"/>
          <w:vertAlign w:val="subscript"/>
        </w:rPr>
        <w:t>0</w:t>
      </w:r>
      <w:r w:rsidR="00DC7D5B" w:rsidRPr="00816E21">
        <w:rPr>
          <w:sz w:val="22"/>
          <w:szCs w:val="22"/>
        </w:rPr>
        <w:t xml:space="preserve">, is larger than 0.8 with type 1 error </w:t>
      </w:r>
      <w:r w:rsidR="00DC7D5B" w:rsidRPr="00816E21">
        <w:rPr>
          <w:sz w:val="22"/>
          <w:szCs w:val="22"/>
        </w:rPr>
        <w:sym w:font="WP Greek Century" w:char="F022"/>
      </w:r>
      <w:r w:rsidR="00DC7D5B" w:rsidRPr="00816E21">
        <w:rPr>
          <w:sz w:val="22"/>
          <w:szCs w:val="22"/>
        </w:rPr>
        <w:t xml:space="preserve">=0.05 and type 2 error </w:t>
      </w:r>
      <w:r w:rsidR="00DC7D5B" w:rsidRPr="00816E21">
        <w:rPr>
          <w:sz w:val="22"/>
          <w:szCs w:val="22"/>
        </w:rPr>
        <w:sym w:font="WP Greek Century" w:char="F024"/>
      </w:r>
      <w:r w:rsidR="00DC7D5B" w:rsidRPr="00816E21">
        <w:rPr>
          <w:sz w:val="22"/>
          <w:szCs w:val="22"/>
        </w:rPr>
        <w:t xml:space="preserve">=0.20 when the actual reliability was equal to </w:t>
      </w:r>
      <w:r w:rsidR="00DC7D5B" w:rsidRPr="00816E21">
        <w:rPr>
          <w:sz w:val="22"/>
          <w:szCs w:val="22"/>
        </w:rPr>
        <w:sym w:font="WP Greek Century" w:char="F044"/>
      </w:r>
      <w:r w:rsidR="00DC7D5B" w:rsidRPr="00816E21">
        <w:rPr>
          <w:sz w:val="22"/>
          <w:szCs w:val="22"/>
          <w:vertAlign w:val="subscript"/>
        </w:rPr>
        <w:t xml:space="preserve">1 </w:t>
      </w:r>
      <w:r w:rsidR="00DC7D5B" w:rsidRPr="00816E21">
        <w:rPr>
          <w:sz w:val="22"/>
          <w:szCs w:val="22"/>
        </w:rPr>
        <w:t>=0.9, then the sample size required should be at least n where:</w:t>
      </w:r>
    </w:p>
    <w:p w:rsidR="00DC7D5B" w:rsidRPr="00816E21" w:rsidRDefault="00DC7D5B" w:rsidP="00DC7D5B">
      <w:pPr>
        <w:ind w:left="864"/>
        <w:rPr>
          <w:sz w:val="22"/>
          <w:szCs w:val="22"/>
        </w:rPr>
      </w:pPr>
      <w:r w:rsidRPr="00816E21">
        <w:rPr>
          <w:position w:val="-24"/>
          <w:sz w:val="22"/>
          <w:szCs w:val="22"/>
        </w:rPr>
        <w:object w:dxaOrig="19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3.75pt" o:ole="">
            <v:imagedata r:id="rId8" o:title=""/>
          </v:shape>
          <o:OLEObject Type="Embed" ProgID="Equation.3" ShapeID="_x0000_i1025" DrawAspect="Content" ObjectID="_1397998349" r:id="rId9"/>
        </w:object>
      </w:r>
      <w:r w:rsidRPr="00816E21">
        <w:rPr>
          <w:sz w:val="22"/>
          <w:szCs w:val="22"/>
        </w:rPr>
        <w:t xml:space="preserve">   </w:t>
      </w:r>
      <w:proofErr w:type="gramStart"/>
      <w:r w:rsidRPr="00816E21">
        <w:rPr>
          <w:sz w:val="22"/>
          <w:szCs w:val="22"/>
        </w:rPr>
        <w:t>and</w:t>
      </w:r>
      <w:proofErr w:type="gramEnd"/>
      <w:r w:rsidRPr="00816E21">
        <w:rPr>
          <w:sz w:val="22"/>
          <w:szCs w:val="22"/>
        </w:rPr>
        <w:t xml:space="preserve">      </w:t>
      </w:r>
      <w:r w:rsidRPr="00816E21">
        <w:rPr>
          <w:position w:val="-12"/>
          <w:sz w:val="22"/>
          <w:szCs w:val="22"/>
        </w:rPr>
        <w:object w:dxaOrig="4360" w:dyaOrig="360">
          <v:shape id="_x0000_i1026" type="#_x0000_t75" style="width:218.25pt;height:18pt" o:ole="">
            <v:imagedata r:id="rId10" o:title=""/>
          </v:shape>
          <o:OLEObject Type="Embed" ProgID="Equation.3" ShapeID="_x0000_i1026" DrawAspect="Content" ObjectID="_1397998350" r:id="rId11"/>
        </w:object>
      </w:r>
    </w:p>
    <w:p w:rsidR="00F01DA6" w:rsidRPr="00816E21" w:rsidRDefault="00DC7D5B" w:rsidP="00DC7D5B">
      <w:pPr>
        <w:rPr>
          <w:sz w:val="22"/>
          <w:szCs w:val="22"/>
        </w:rPr>
      </w:pPr>
      <w:r w:rsidRPr="00816E21">
        <w:rPr>
          <w:sz w:val="22"/>
          <w:szCs w:val="22"/>
        </w:rPr>
        <w:t xml:space="preserve">Substituting values of </w:t>
      </w:r>
      <w:r w:rsidRPr="00816E21">
        <w:rPr>
          <w:sz w:val="22"/>
          <w:szCs w:val="22"/>
        </w:rPr>
        <w:sym w:font="WP Greek Century" w:char="F044"/>
      </w:r>
      <w:proofErr w:type="gramStart"/>
      <w:r w:rsidRPr="00816E21">
        <w:rPr>
          <w:sz w:val="22"/>
          <w:szCs w:val="22"/>
          <w:vertAlign w:val="subscript"/>
        </w:rPr>
        <w:t xml:space="preserve">0 </w:t>
      </w:r>
      <w:r w:rsidRPr="00816E21">
        <w:rPr>
          <w:sz w:val="22"/>
          <w:szCs w:val="22"/>
        </w:rPr>
        <w:t>,</w:t>
      </w:r>
      <w:proofErr w:type="gramEnd"/>
      <w:r w:rsidRPr="00816E21">
        <w:rPr>
          <w:sz w:val="22"/>
          <w:szCs w:val="22"/>
        </w:rPr>
        <w:t xml:space="preserve"> </w:t>
      </w:r>
      <w:r w:rsidRPr="00816E21">
        <w:rPr>
          <w:sz w:val="22"/>
          <w:szCs w:val="22"/>
        </w:rPr>
        <w:sym w:font="WP Greek Century" w:char="F022"/>
      </w:r>
      <w:r w:rsidRPr="00816E21">
        <w:rPr>
          <w:sz w:val="22"/>
          <w:szCs w:val="22"/>
        </w:rPr>
        <w:t xml:space="preserve">, </w:t>
      </w:r>
      <w:r w:rsidRPr="00816E21">
        <w:rPr>
          <w:sz w:val="22"/>
          <w:szCs w:val="22"/>
        </w:rPr>
        <w:sym w:font="WP Greek Century" w:char="F024"/>
      </w:r>
      <w:r w:rsidRPr="00816E21">
        <w:rPr>
          <w:sz w:val="22"/>
          <w:szCs w:val="22"/>
        </w:rPr>
        <w:t xml:space="preserve"> and </w:t>
      </w:r>
      <w:r w:rsidRPr="00816E21">
        <w:rPr>
          <w:sz w:val="22"/>
          <w:szCs w:val="22"/>
        </w:rPr>
        <w:sym w:font="WP Greek Century" w:char="F044"/>
      </w:r>
      <w:r w:rsidRPr="00816E21">
        <w:rPr>
          <w:sz w:val="22"/>
          <w:szCs w:val="22"/>
          <w:vertAlign w:val="subscript"/>
        </w:rPr>
        <w:t xml:space="preserve">1 </w:t>
      </w:r>
      <w:r w:rsidRPr="00816E21">
        <w:rPr>
          <w:sz w:val="22"/>
          <w:szCs w:val="22"/>
        </w:rPr>
        <w:t>into</w:t>
      </w:r>
      <w:r w:rsidRPr="00816E21">
        <w:rPr>
          <w:sz w:val="22"/>
          <w:szCs w:val="22"/>
          <w:vertAlign w:val="subscript"/>
        </w:rPr>
        <w:t xml:space="preserve"> </w:t>
      </w:r>
      <w:r w:rsidRPr="00816E21">
        <w:rPr>
          <w:sz w:val="22"/>
          <w:szCs w:val="22"/>
        </w:rPr>
        <w:t>the expression above gives n=58.2, so we will strive for an inter-rater-reliability sample of 60 firms.</w:t>
      </w:r>
    </w:p>
    <w:p w:rsidR="00F01DA6" w:rsidRPr="00816E21" w:rsidRDefault="00F01DA6">
      <w:pPr>
        <w:spacing w:after="200" w:line="276" w:lineRule="auto"/>
        <w:rPr>
          <w:sz w:val="22"/>
          <w:szCs w:val="22"/>
        </w:rPr>
      </w:pPr>
    </w:p>
    <w:sectPr w:rsidR="00F01DA6" w:rsidRPr="00816E21" w:rsidSect="009917D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5BE" w:rsidRDefault="007875BE" w:rsidP="005911DB">
      <w:r>
        <w:separator/>
      </w:r>
    </w:p>
  </w:endnote>
  <w:endnote w:type="continuationSeparator" w:id="0">
    <w:p w:rsidR="007875BE" w:rsidRDefault="007875BE" w:rsidP="0059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dvP41153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WP Greek Century">
    <w:altName w:val="Symbol"/>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BE" w:rsidRDefault="007875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5BE" w:rsidRDefault="007875BE" w:rsidP="005911DB">
      <w:r>
        <w:separator/>
      </w:r>
    </w:p>
  </w:footnote>
  <w:footnote w:type="continuationSeparator" w:id="0">
    <w:p w:rsidR="007875BE" w:rsidRDefault="007875BE" w:rsidP="00591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BE" w:rsidRDefault="007875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A10772"/>
    <w:multiLevelType w:val="hybridMultilevel"/>
    <w:tmpl w:val="BF84C248"/>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
    <w:nsid w:val="04D93218"/>
    <w:multiLevelType w:val="hybridMultilevel"/>
    <w:tmpl w:val="793EC514"/>
    <w:lvl w:ilvl="0" w:tplc="1F183382">
      <w:start w:val="1"/>
      <w:numFmt w:val="upperRoman"/>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15060"/>
    <w:multiLevelType w:val="hybridMultilevel"/>
    <w:tmpl w:val="38D6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B013B"/>
    <w:multiLevelType w:val="hybridMultilevel"/>
    <w:tmpl w:val="BD587AF0"/>
    <w:lvl w:ilvl="0" w:tplc="1602B04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A75D1"/>
    <w:multiLevelType w:val="hybridMultilevel"/>
    <w:tmpl w:val="4904A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666B8A"/>
    <w:multiLevelType w:val="hybridMultilevel"/>
    <w:tmpl w:val="BC26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DC22F7"/>
    <w:multiLevelType w:val="hybridMultilevel"/>
    <w:tmpl w:val="FA2AB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1522B"/>
    <w:multiLevelType w:val="hybridMultilevel"/>
    <w:tmpl w:val="291C814C"/>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9">
    <w:nsid w:val="19260240"/>
    <w:multiLevelType w:val="hybridMultilevel"/>
    <w:tmpl w:val="245E8504"/>
    <w:lvl w:ilvl="0" w:tplc="99363374">
      <w:start w:val="1"/>
      <w:numFmt w:val="lowerLetter"/>
      <w:lvlText w:val="%1)"/>
      <w:lvlJc w:val="left"/>
      <w:pPr>
        <w:ind w:left="720" w:hanging="360"/>
      </w:pPr>
      <w:rPr>
        <w:rFonts w:hint="default"/>
        <w:color w:val="auto"/>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A160B9"/>
    <w:multiLevelType w:val="hybridMultilevel"/>
    <w:tmpl w:val="338250B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1CA17C2A"/>
    <w:multiLevelType w:val="hybridMultilevel"/>
    <w:tmpl w:val="799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4D2CA1"/>
    <w:multiLevelType w:val="hybridMultilevel"/>
    <w:tmpl w:val="B12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B6751F"/>
    <w:multiLevelType w:val="hybridMultilevel"/>
    <w:tmpl w:val="CEAE6874"/>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4">
    <w:nsid w:val="26570A26"/>
    <w:multiLevelType w:val="hybridMultilevel"/>
    <w:tmpl w:val="679C477E"/>
    <w:lvl w:ilvl="0" w:tplc="631E0D1C">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28AF0750"/>
    <w:multiLevelType w:val="hybridMultilevel"/>
    <w:tmpl w:val="682E0334"/>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6">
    <w:nsid w:val="367260BC"/>
    <w:multiLevelType w:val="hybridMultilevel"/>
    <w:tmpl w:val="9424C47A"/>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8">
    <w:nsid w:val="4C4F4116"/>
    <w:multiLevelType w:val="hybridMultilevel"/>
    <w:tmpl w:val="0804E818"/>
    <w:lvl w:ilvl="0" w:tplc="1602B04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D4562A"/>
    <w:multiLevelType w:val="hybridMultilevel"/>
    <w:tmpl w:val="9B6047B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nsid w:val="51B95A77"/>
    <w:multiLevelType w:val="hybridMultilevel"/>
    <w:tmpl w:val="DA1E48F4"/>
    <w:lvl w:ilvl="0" w:tplc="96106E9E">
      <w:start w:val="1"/>
      <w:numFmt w:val="bullet"/>
      <w:lvlText w:val=""/>
      <w:lvlJc w:val="left"/>
      <w:pPr>
        <w:tabs>
          <w:tab w:val="num" w:pos="720"/>
        </w:tabs>
        <w:ind w:left="720" w:hanging="360"/>
      </w:pPr>
      <w:rPr>
        <w:rFonts w:ascii="Symbol" w:hAnsi="Symbol" w:hint="default"/>
        <w:sz w:val="20"/>
      </w:rPr>
    </w:lvl>
    <w:lvl w:ilvl="1" w:tplc="07C451E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AE7D18"/>
    <w:multiLevelType w:val="hybridMultilevel"/>
    <w:tmpl w:val="041CE1D4"/>
    <w:lvl w:ilvl="0" w:tplc="6F6015F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097F2E"/>
    <w:multiLevelType w:val="hybridMultilevel"/>
    <w:tmpl w:val="0B80A19A"/>
    <w:lvl w:ilvl="0" w:tplc="8EDAA3D0">
      <w:start w:val="4"/>
      <w:numFmt w:val="bullet"/>
      <w:lvlText w:val="-"/>
      <w:lvlJc w:val="left"/>
      <w:pPr>
        <w:tabs>
          <w:tab w:val="num" w:pos="360"/>
        </w:tabs>
        <w:ind w:left="360" w:hanging="360"/>
      </w:pPr>
      <w:rPr>
        <w:rFonts w:ascii="AdvP41153C" w:eastAsia="Times New Roman" w:hAnsi="AdvP41153C" w:cs="AdvP41153C" w:hint="default"/>
        <w:color w:val="231F20"/>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F4223F7"/>
    <w:multiLevelType w:val="hybridMultilevel"/>
    <w:tmpl w:val="5A9E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103513"/>
    <w:multiLevelType w:val="hybridMultilevel"/>
    <w:tmpl w:val="7682BE98"/>
    <w:lvl w:ilvl="0" w:tplc="340C2A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395FD5"/>
    <w:multiLevelType w:val="hybridMultilevel"/>
    <w:tmpl w:val="89503500"/>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6">
    <w:nsid w:val="68FE346A"/>
    <w:multiLevelType w:val="hybridMultilevel"/>
    <w:tmpl w:val="0E02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5F4CB9"/>
    <w:multiLevelType w:val="hybridMultilevel"/>
    <w:tmpl w:val="778A602A"/>
    <w:lvl w:ilvl="0" w:tplc="04090001">
      <w:start w:val="1"/>
      <w:numFmt w:val="bullet"/>
      <w:lvlText w:val=""/>
      <w:lvlJc w:val="left"/>
      <w:pPr>
        <w:tabs>
          <w:tab w:val="num" w:pos="720"/>
        </w:tabs>
        <w:ind w:left="720" w:hanging="360"/>
      </w:pPr>
      <w:rPr>
        <w:rFonts w:ascii="Symbol" w:hAnsi="Symbol" w:hint="default"/>
      </w:rPr>
    </w:lvl>
    <w:lvl w:ilvl="1" w:tplc="FBCA3914" w:tentative="1">
      <w:start w:val="1"/>
      <w:numFmt w:val="lowerLetter"/>
      <w:lvlText w:val="%2."/>
      <w:lvlJc w:val="left"/>
      <w:pPr>
        <w:tabs>
          <w:tab w:val="num" w:pos="1440"/>
        </w:tabs>
        <w:ind w:left="1440" w:hanging="360"/>
      </w:pPr>
    </w:lvl>
    <w:lvl w:ilvl="2" w:tplc="D826A9A6" w:tentative="1">
      <w:start w:val="1"/>
      <w:numFmt w:val="lowerRoman"/>
      <w:lvlText w:val="%3."/>
      <w:lvlJc w:val="right"/>
      <w:pPr>
        <w:tabs>
          <w:tab w:val="num" w:pos="2160"/>
        </w:tabs>
        <w:ind w:left="2160" w:hanging="180"/>
      </w:pPr>
    </w:lvl>
    <w:lvl w:ilvl="3" w:tplc="669AA15C"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C240E8"/>
    <w:multiLevelType w:val="multilevel"/>
    <w:tmpl w:val="60F2BB40"/>
    <w:lvl w:ilvl="0">
      <w:start w:val="1"/>
      <w:numFmt w:val="decimal"/>
      <w:lvlText w:val="%1)"/>
      <w:lvlJc w:val="left"/>
      <w:pPr>
        <w:ind w:left="360" w:hanging="360"/>
      </w:pPr>
      <w:rPr>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7E855B0"/>
    <w:multiLevelType w:val="hybridMultilevel"/>
    <w:tmpl w:val="3C4E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EA4B8E"/>
    <w:multiLevelType w:val="hybridMultilevel"/>
    <w:tmpl w:val="87289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ED0E57"/>
    <w:multiLevelType w:val="hybridMultilevel"/>
    <w:tmpl w:val="AAE2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28"/>
  </w:num>
  <w:num w:numId="4">
    <w:abstractNumId w:val="9"/>
  </w:num>
  <w:num w:numId="5">
    <w:abstractNumId w:val="2"/>
  </w:num>
  <w:num w:numId="6">
    <w:abstractNumId w:val="14"/>
  </w:num>
  <w:num w:numId="7">
    <w:abstractNumId w:val="21"/>
  </w:num>
  <w:num w:numId="8">
    <w:abstractNumId w:val="24"/>
  </w:num>
  <w:num w:numId="9">
    <w:abstractNumId w:val="18"/>
  </w:num>
  <w:num w:numId="10">
    <w:abstractNumId w:val="4"/>
  </w:num>
  <w:num w:numId="11">
    <w:abstractNumId w:val="23"/>
  </w:num>
  <w:num w:numId="12">
    <w:abstractNumId w:val="7"/>
  </w:num>
  <w:num w:numId="13">
    <w:abstractNumId w:val="20"/>
  </w:num>
  <w:num w:numId="14">
    <w:abstractNumId w:val="25"/>
  </w:num>
  <w:num w:numId="15">
    <w:abstractNumId w:val="8"/>
  </w:num>
  <w:num w:numId="16">
    <w:abstractNumId w:val="13"/>
  </w:num>
  <w:num w:numId="17">
    <w:abstractNumId w:val="15"/>
  </w:num>
  <w:num w:numId="18">
    <w:abstractNumId w:val="1"/>
  </w:num>
  <w:num w:numId="19">
    <w:abstractNumId w:val="16"/>
  </w:num>
  <w:num w:numId="20">
    <w:abstractNumId w:val="31"/>
  </w:num>
  <w:num w:numId="21">
    <w:abstractNumId w:val="26"/>
  </w:num>
  <w:num w:numId="22">
    <w:abstractNumId w:val="6"/>
  </w:num>
  <w:num w:numId="23">
    <w:abstractNumId w:val="3"/>
  </w:num>
  <w:num w:numId="24">
    <w:abstractNumId w:val="5"/>
  </w:num>
  <w:num w:numId="25">
    <w:abstractNumId w:val="27"/>
  </w:num>
  <w:num w:numId="26">
    <w:abstractNumId w:val="29"/>
  </w:num>
  <w:num w:numId="27">
    <w:abstractNumId w:val="12"/>
  </w:num>
  <w:num w:numId="28">
    <w:abstractNumId w:val="11"/>
  </w:num>
  <w:num w:numId="29">
    <w:abstractNumId w:val="10"/>
  </w:num>
  <w:num w:numId="30">
    <w:abstractNumId w:val="30"/>
  </w:num>
  <w:num w:numId="31">
    <w:abstractNumId w:val="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DC"/>
    <w:rsid w:val="00003BB9"/>
    <w:rsid w:val="00003E40"/>
    <w:rsid w:val="00004ADC"/>
    <w:rsid w:val="00021F7F"/>
    <w:rsid w:val="00050C42"/>
    <w:rsid w:val="00076216"/>
    <w:rsid w:val="0008282E"/>
    <w:rsid w:val="0008753C"/>
    <w:rsid w:val="00090902"/>
    <w:rsid w:val="000933C0"/>
    <w:rsid w:val="000A3C43"/>
    <w:rsid w:val="000B3E85"/>
    <w:rsid w:val="000D3781"/>
    <w:rsid w:val="000D733B"/>
    <w:rsid w:val="000E6363"/>
    <w:rsid w:val="00101BF6"/>
    <w:rsid w:val="00104078"/>
    <w:rsid w:val="00113728"/>
    <w:rsid w:val="00122F00"/>
    <w:rsid w:val="00130AA2"/>
    <w:rsid w:val="00140AFA"/>
    <w:rsid w:val="00150DF5"/>
    <w:rsid w:val="001800F8"/>
    <w:rsid w:val="00183807"/>
    <w:rsid w:val="00194D93"/>
    <w:rsid w:val="001B4088"/>
    <w:rsid w:val="001B40E8"/>
    <w:rsid w:val="001C24D9"/>
    <w:rsid w:val="001C6AF2"/>
    <w:rsid w:val="001C78B1"/>
    <w:rsid w:val="001D0AF5"/>
    <w:rsid w:val="001D3CFA"/>
    <w:rsid w:val="001E4BE7"/>
    <w:rsid w:val="001E55A1"/>
    <w:rsid w:val="001F05BD"/>
    <w:rsid w:val="001F4AAD"/>
    <w:rsid w:val="0020276F"/>
    <w:rsid w:val="002045A3"/>
    <w:rsid w:val="00211C20"/>
    <w:rsid w:val="0022152E"/>
    <w:rsid w:val="0022569F"/>
    <w:rsid w:val="00244494"/>
    <w:rsid w:val="00246C1C"/>
    <w:rsid w:val="002500E1"/>
    <w:rsid w:val="002525E3"/>
    <w:rsid w:val="0026665E"/>
    <w:rsid w:val="00266D4C"/>
    <w:rsid w:val="00267863"/>
    <w:rsid w:val="002732DF"/>
    <w:rsid w:val="0027404F"/>
    <w:rsid w:val="0027647D"/>
    <w:rsid w:val="00282B0C"/>
    <w:rsid w:val="00284528"/>
    <w:rsid w:val="002979F3"/>
    <w:rsid w:val="002A5D1E"/>
    <w:rsid w:val="002B15E9"/>
    <w:rsid w:val="002B2C34"/>
    <w:rsid w:val="002B3EC3"/>
    <w:rsid w:val="002B4303"/>
    <w:rsid w:val="002B57CC"/>
    <w:rsid w:val="002C7506"/>
    <w:rsid w:val="002D6E43"/>
    <w:rsid w:val="002E0321"/>
    <w:rsid w:val="002E7436"/>
    <w:rsid w:val="002F0E86"/>
    <w:rsid w:val="002F4FDC"/>
    <w:rsid w:val="003047EC"/>
    <w:rsid w:val="00313496"/>
    <w:rsid w:val="00313856"/>
    <w:rsid w:val="00322394"/>
    <w:rsid w:val="00332B54"/>
    <w:rsid w:val="003352EB"/>
    <w:rsid w:val="0033697C"/>
    <w:rsid w:val="003372D4"/>
    <w:rsid w:val="00343C4D"/>
    <w:rsid w:val="00344F60"/>
    <w:rsid w:val="003532ED"/>
    <w:rsid w:val="00355C4C"/>
    <w:rsid w:val="00360196"/>
    <w:rsid w:val="00363C22"/>
    <w:rsid w:val="003657D8"/>
    <w:rsid w:val="00374DAE"/>
    <w:rsid w:val="0038311C"/>
    <w:rsid w:val="003840F4"/>
    <w:rsid w:val="00384C63"/>
    <w:rsid w:val="00385523"/>
    <w:rsid w:val="00396A90"/>
    <w:rsid w:val="0039792B"/>
    <w:rsid w:val="003C37D6"/>
    <w:rsid w:val="003D7058"/>
    <w:rsid w:val="003E2975"/>
    <w:rsid w:val="0040045E"/>
    <w:rsid w:val="00401924"/>
    <w:rsid w:val="004027CA"/>
    <w:rsid w:val="00416D24"/>
    <w:rsid w:val="00431B2C"/>
    <w:rsid w:val="00436879"/>
    <w:rsid w:val="00452382"/>
    <w:rsid w:val="00454918"/>
    <w:rsid w:val="00462AAC"/>
    <w:rsid w:val="00487B00"/>
    <w:rsid w:val="00495BBD"/>
    <w:rsid w:val="004A66FF"/>
    <w:rsid w:val="004B3A3A"/>
    <w:rsid w:val="004C032E"/>
    <w:rsid w:val="004D0258"/>
    <w:rsid w:val="004D6E87"/>
    <w:rsid w:val="004D7278"/>
    <w:rsid w:val="004F3EEC"/>
    <w:rsid w:val="00502C67"/>
    <w:rsid w:val="00520136"/>
    <w:rsid w:val="0052201D"/>
    <w:rsid w:val="00525C35"/>
    <w:rsid w:val="00530412"/>
    <w:rsid w:val="00531BC0"/>
    <w:rsid w:val="005431E9"/>
    <w:rsid w:val="00545FF4"/>
    <w:rsid w:val="00546D74"/>
    <w:rsid w:val="00550A3C"/>
    <w:rsid w:val="00552C24"/>
    <w:rsid w:val="00561C2C"/>
    <w:rsid w:val="00562BA5"/>
    <w:rsid w:val="005647D4"/>
    <w:rsid w:val="00566AE1"/>
    <w:rsid w:val="00572A88"/>
    <w:rsid w:val="0058170C"/>
    <w:rsid w:val="005911DB"/>
    <w:rsid w:val="0059799A"/>
    <w:rsid w:val="005A53CB"/>
    <w:rsid w:val="005B32E9"/>
    <w:rsid w:val="005B6268"/>
    <w:rsid w:val="005C0F9C"/>
    <w:rsid w:val="005C54C6"/>
    <w:rsid w:val="005D0C3D"/>
    <w:rsid w:val="005D0E4D"/>
    <w:rsid w:val="005D3398"/>
    <w:rsid w:val="005D33E8"/>
    <w:rsid w:val="005E0DAC"/>
    <w:rsid w:val="005E6279"/>
    <w:rsid w:val="005F48CA"/>
    <w:rsid w:val="00610691"/>
    <w:rsid w:val="00611240"/>
    <w:rsid w:val="006132B2"/>
    <w:rsid w:val="00615FCA"/>
    <w:rsid w:val="006176D0"/>
    <w:rsid w:val="00637114"/>
    <w:rsid w:val="006439CC"/>
    <w:rsid w:val="0066165B"/>
    <w:rsid w:val="00662056"/>
    <w:rsid w:val="006625E2"/>
    <w:rsid w:val="00662B31"/>
    <w:rsid w:val="006636AB"/>
    <w:rsid w:val="00677DB9"/>
    <w:rsid w:val="00680CE5"/>
    <w:rsid w:val="00685692"/>
    <w:rsid w:val="00687A9A"/>
    <w:rsid w:val="00693F76"/>
    <w:rsid w:val="00694D7B"/>
    <w:rsid w:val="006A0697"/>
    <w:rsid w:val="006B101C"/>
    <w:rsid w:val="006B2A71"/>
    <w:rsid w:val="006B2D83"/>
    <w:rsid w:val="006C07EF"/>
    <w:rsid w:val="006C3092"/>
    <w:rsid w:val="006C66D7"/>
    <w:rsid w:val="006D3BEC"/>
    <w:rsid w:val="006E795D"/>
    <w:rsid w:val="006E7AA6"/>
    <w:rsid w:val="006F2E1D"/>
    <w:rsid w:val="006F31DF"/>
    <w:rsid w:val="006F46C6"/>
    <w:rsid w:val="006F7EDF"/>
    <w:rsid w:val="00700724"/>
    <w:rsid w:val="00700E54"/>
    <w:rsid w:val="00703C8A"/>
    <w:rsid w:val="0070689A"/>
    <w:rsid w:val="00706AFB"/>
    <w:rsid w:val="007104C6"/>
    <w:rsid w:val="00712706"/>
    <w:rsid w:val="007139E2"/>
    <w:rsid w:val="007273BB"/>
    <w:rsid w:val="007348F1"/>
    <w:rsid w:val="00743DC8"/>
    <w:rsid w:val="007478E6"/>
    <w:rsid w:val="00762EDA"/>
    <w:rsid w:val="00765992"/>
    <w:rsid w:val="00771EBE"/>
    <w:rsid w:val="00776322"/>
    <w:rsid w:val="007875BE"/>
    <w:rsid w:val="00790BA0"/>
    <w:rsid w:val="00792F0B"/>
    <w:rsid w:val="007A355E"/>
    <w:rsid w:val="007B7644"/>
    <w:rsid w:val="007B79C7"/>
    <w:rsid w:val="007C00BE"/>
    <w:rsid w:val="007C3C6E"/>
    <w:rsid w:val="007C7383"/>
    <w:rsid w:val="007E747A"/>
    <w:rsid w:val="007F4352"/>
    <w:rsid w:val="00804C71"/>
    <w:rsid w:val="00816E21"/>
    <w:rsid w:val="00820164"/>
    <w:rsid w:val="00823285"/>
    <w:rsid w:val="0082344A"/>
    <w:rsid w:val="008246C8"/>
    <w:rsid w:val="00832F1A"/>
    <w:rsid w:val="00834144"/>
    <w:rsid w:val="008523CF"/>
    <w:rsid w:val="00856601"/>
    <w:rsid w:val="008632FF"/>
    <w:rsid w:val="00866A6C"/>
    <w:rsid w:val="00876C45"/>
    <w:rsid w:val="00886AF8"/>
    <w:rsid w:val="00890669"/>
    <w:rsid w:val="00891DF6"/>
    <w:rsid w:val="008932C7"/>
    <w:rsid w:val="008A1F00"/>
    <w:rsid w:val="008A5791"/>
    <w:rsid w:val="008B0659"/>
    <w:rsid w:val="008B3E74"/>
    <w:rsid w:val="008B6931"/>
    <w:rsid w:val="008C6E71"/>
    <w:rsid w:val="008D5AE1"/>
    <w:rsid w:val="008E675E"/>
    <w:rsid w:val="008E6819"/>
    <w:rsid w:val="00902185"/>
    <w:rsid w:val="009137A0"/>
    <w:rsid w:val="009357B9"/>
    <w:rsid w:val="00957A4E"/>
    <w:rsid w:val="00962BBC"/>
    <w:rsid w:val="009660A4"/>
    <w:rsid w:val="0097401F"/>
    <w:rsid w:val="0098068C"/>
    <w:rsid w:val="00986C5C"/>
    <w:rsid w:val="009917DA"/>
    <w:rsid w:val="009A1ADC"/>
    <w:rsid w:val="009A26B2"/>
    <w:rsid w:val="009A603D"/>
    <w:rsid w:val="009A7BE8"/>
    <w:rsid w:val="009C1917"/>
    <w:rsid w:val="009D17B2"/>
    <w:rsid w:val="009E082C"/>
    <w:rsid w:val="009E2DF6"/>
    <w:rsid w:val="009F1514"/>
    <w:rsid w:val="009F2AF7"/>
    <w:rsid w:val="009F3F63"/>
    <w:rsid w:val="009F4FCA"/>
    <w:rsid w:val="009F78AF"/>
    <w:rsid w:val="00A008D8"/>
    <w:rsid w:val="00A161B8"/>
    <w:rsid w:val="00A20DA0"/>
    <w:rsid w:val="00A41353"/>
    <w:rsid w:val="00A44E18"/>
    <w:rsid w:val="00A4772F"/>
    <w:rsid w:val="00A65F95"/>
    <w:rsid w:val="00A7035B"/>
    <w:rsid w:val="00A80B17"/>
    <w:rsid w:val="00AA3D5D"/>
    <w:rsid w:val="00AA5B1A"/>
    <w:rsid w:val="00AB3646"/>
    <w:rsid w:val="00AB45A6"/>
    <w:rsid w:val="00AC129E"/>
    <w:rsid w:val="00AC38FF"/>
    <w:rsid w:val="00AD56C5"/>
    <w:rsid w:val="00AD684E"/>
    <w:rsid w:val="00AE2566"/>
    <w:rsid w:val="00AE2B88"/>
    <w:rsid w:val="00AF47B5"/>
    <w:rsid w:val="00AF50F4"/>
    <w:rsid w:val="00B11F13"/>
    <w:rsid w:val="00B16BAD"/>
    <w:rsid w:val="00B31E53"/>
    <w:rsid w:val="00B516EE"/>
    <w:rsid w:val="00B51DA5"/>
    <w:rsid w:val="00B5647C"/>
    <w:rsid w:val="00B6775A"/>
    <w:rsid w:val="00B81131"/>
    <w:rsid w:val="00B86003"/>
    <w:rsid w:val="00B87F68"/>
    <w:rsid w:val="00B9038C"/>
    <w:rsid w:val="00B910F3"/>
    <w:rsid w:val="00B956EA"/>
    <w:rsid w:val="00B95B99"/>
    <w:rsid w:val="00B965A4"/>
    <w:rsid w:val="00BA07F2"/>
    <w:rsid w:val="00BC2A37"/>
    <w:rsid w:val="00BC5489"/>
    <w:rsid w:val="00BD1990"/>
    <w:rsid w:val="00BD3281"/>
    <w:rsid w:val="00BD600D"/>
    <w:rsid w:val="00BE769B"/>
    <w:rsid w:val="00C0293D"/>
    <w:rsid w:val="00C06586"/>
    <w:rsid w:val="00C13AEA"/>
    <w:rsid w:val="00C17A4D"/>
    <w:rsid w:val="00C22EDF"/>
    <w:rsid w:val="00C4018F"/>
    <w:rsid w:val="00C42BCE"/>
    <w:rsid w:val="00C43590"/>
    <w:rsid w:val="00C44DC4"/>
    <w:rsid w:val="00C45847"/>
    <w:rsid w:val="00C52915"/>
    <w:rsid w:val="00C539B2"/>
    <w:rsid w:val="00C618AA"/>
    <w:rsid w:val="00C705C4"/>
    <w:rsid w:val="00C71F7C"/>
    <w:rsid w:val="00C77EC8"/>
    <w:rsid w:val="00CA70D9"/>
    <w:rsid w:val="00CD46AB"/>
    <w:rsid w:val="00CD5493"/>
    <w:rsid w:val="00CE022F"/>
    <w:rsid w:val="00CE6D10"/>
    <w:rsid w:val="00CF213A"/>
    <w:rsid w:val="00D1260B"/>
    <w:rsid w:val="00D13E5F"/>
    <w:rsid w:val="00D156C9"/>
    <w:rsid w:val="00D26CFF"/>
    <w:rsid w:val="00D423EC"/>
    <w:rsid w:val="00D46985"/>
    <w:rsid w:val="00D55428"/>
    <w:rsid w:val="00D5549D"/>
    <w:rsid w:val="00D70ADA"/>
    <w:rsid w:val="00D751AF"/>
    <w:rsid w:val="00D75B46"/>
    <w:rsid w:val="00D863E8"/>
    <w:rsid w:val="00D91E20"/>
    <w:rsid w:val="00DA080C"/>
    <w:rsid w:val="00DA2E17"/>
    <w:rsid w:val="00DA3CBF"/>
    <w:rsid w:val="00DA5E1C"/>
    <w:rsid w:val="00DA7E1F"/>
    <w:rsid w:val="00DB36A8"/>
    <w:rsid w:val="00DB52AC"/>
    <w:rsid w:val="00DC7D5B"/>
    <w:rsid w:val="00DD444D"/>
    <w:rsid w:val="00DD7D6A"/>
    <w:rsid w:val="00DE2730"/>
    <w:rsid w:val="00DE5BBE"/>
    <w:rsid w:val="00DE5FA4"/>
    <w:rsid w:val="00DE66DB"/>
    <w:rsid w:val="00DF5912"/>
    <w:rsid w:val="00DF7B35"/>
    <w:rsid w:val="00E04003"/>
    <w:rsid w:val="00E05ACA"/>
    <w:rsid w:val="00E05F69"/>
    <w:rsid w:val="00E06DA6"/>
    <w:rsid w:val="00E15D59"/>
    <w:rsid w:val="00E17236"/>
    <w:rsid w:val="00E17530"/>
    <w:rsid w:val="00E21ED6"/>
    <w:rsid w:val="00E21EE5"/>
    <w:rsid w:val="00E26721"/>
    <w:rsid w:val="00E275D3"/>
    <w:rsid w:val="00E31A34"/>
    <w:rsid w:val="00E3637E"/>
    <w:rsid w:val="00E37F60"/>
    <w:rsid w:val="00E4749D"/>
    <w:rsid w:val="00E51271"/>
    <w:rsid w:val="00E53B36"/>
    <w:rsid w:val="00E549C7"/>
    <w:rsid w:val="00E619D4"/>
    <w:rsid w:val="00E645C3"/>
    <w:rsid w:val="00E72A9D"/>
    <w:rsid w:val="00E74E98"/>
    <w:rsid w:val="00E83863"/>
    <w:rsid w:val="00E90C26"/>
    <w:rsid w:val="00EA56D5"/>
    <w:rsid w:val="00EB74DB"/>
    <w:rsid w:val="00ED2A2B"/>
    <w:rsid w:val="00ED40F8"/>
    <w:rsid w:val="00ED645D"/>
    <w:rsid w:val="00EE5FD3"/>
    <w:rsid w:val="00EF233E"/>
    <w:rsid w:val="00EF2661"/>
    <w:rsid w:val="00EF4C63"/>
    <w:rsid w:val="00EF6587"/>
    <w:rsid w:val="00F01DA6"/>
    <w:rsid w:val="00F060AA"/>
    <w:rsid w:val="00F061E3"/>
    <w:rsid w:val="00F1034E"/>
    <w:rsid w:val="00F17238"/>
    <w:rsid w:val="00F4123A"/>
    <w:rsid w:val="00F41D41"/>
    <w:rsid w:val="00F43496"/>
    <w:rsid w:val="00F50103"/>
    <w:rsid w:val="00F566E5"/>
    <w:rsid w:val="00F71F1D"/>
    <w:rsid w:val="00F759A6"/>
    <w:rsid w:val="00F816DC"/>
    <w:rsid w:val="00F83DA9"/>
    <w:rsid w:val="00F90180"/>
    <w:rsid w:val="00F911A4"/>
    <w:rsid w:val="00F95904"/>
    <w:rsid w:val="00F95ABC"/>
    <w:rsid w:val="00FA126D"/>
    <w:rsid w:val="00FA59C4"/>
    <w:rsid w:val="00FB080C"/>
    <w:rsid w:val="00FB7183"/>
    <w:rsid w:val="00FD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D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A1ADC"/>
    <w:rPr>
      <w:b/>
      <w:bCs/>
    </w:rPr>
  </w:style>
  <w:style w:type="paragraph" w:styleId="ListParagraph">
    <w:name w:val="List Paragraph"/>
    <w:basedOn w:val="Normal"/>
    <w:uiPriority w:val="34"/>
    <w:qFormat/>
    <w:rsid w:val="005911DB"/>
    <w:pPr>
      <w:ind w:left="720"/>
      <w:contextualSpacing/>
    </w:pPr>
  </w:style>
  <w:style w:type="paragraph" w:styleId="BalloonText">
    <w:name w:val="Balloon Text"/>
    <w:basedOn w:val="Normal"/>
    <w:link w:val="BalloonTextChar"/>
    <w:uiPriority w:val="99"/>
    <w:semiHidden/>
    <w:unhideWhenUsed/>
    <w:rsid w:val="005911DB"/>
    <w:rPr>
      <w:rFonts w:ascii="Tahoma" w:hAnsi="Tahoma" w:cs="Tahoma"/>
      <w:sz w:val="16"/>
      <w:szCs w:val="16"/>
    </w:rPr>
  </w:style>
  <w:style w:type="character" w:customStyle="1" w:styleId="BalloonTextChar">
    <w:name w:val="Balloon Text Char"/>
    <w:basedOn w:val="DefaultParagraphFont"/>
    <w:link w:val="BalloonText"/>
    <w:uiPriority w:val="99"/>
    <w:semiHidden/>
    <w:rsid w:val="005911DB"/>
    <w:rPr>
      <w:rFonts w:ascii="Tahoma" w:eastAsia="Times New Roman" w:hAnsi="Tahoma" w:cs="Tahoma"/>
      <w:sz w:val="16"/>
      <w:szCs w:val="16"/>
    </w:rPr>
  </w:style>
  <w:style w:type="paragraph" w:styleId="Header">
    <w:name w:val="header"/>
    <w:basedOn w:val="Normal"/>
    <w:link w:val="HeaderChar"/>
    <w:unhideWhenUsed/>
    <w:rsid w:val="005911DB"/>
    <w:pPr>
      <w:tabs>
        <w:tab w:val="center" w:pos="4680"/>
        <w:tab w:val="right" w:pos="9360"/>
      </w:tabs>
    </w:pPr>
  </w:style>
  <w:style w:type="character" w:customStyle="1" w:styleId="HeaderChar">
    <w:name w:val="Header Char"/>
    <w:basedOn w:val="DefaultParagraphFont"/>
    <w:link w:val="Header"/>
    <w:rsid w:val="005911D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11DB"/>
    <w:pPr>
      <w:tabs>
        <w:tab w:val="center" w:pos="4680"/>
        <w:tab w:val="right" w:pos="9360"/>
      </w:tabs>
    </w:pPr>
  </w:style>
  <w:style w:type="character" w:customStyle="1" w:styleId="FooterChar">
    <w:name w:val="Footer Char"/>
    <w:basedOn w:val="DefaultParagraphFont"/>
    <w:link w:val="Footer"/>
    <w:uiPriority w:val="99"/>
    <w:rsid w:val="005911DB"/>
    <w:rPr>
      <w:rFonts w:ascii="Times New Roman" w:eastAsia="Times New Roman" w:hAnsi="Times New Roman" w:cs="Times New Roman"/>
      <w:sz w:val="20"/>
      <w:szCs w:val="20"/>
    </w:rPr>
  </w:style>
  <w:style w:type="character" w:styleId="Hyperlink">
    <w:name w:val="Hyperlink"/>
    <w:basedOn w:val="DefaultParagraphFont"/>
    <w:rsid w:val="00150DF5"/>
    <w:rPr>
      <w:color w:val="0000FF"/>
      <w:u w:val="single"/>
    </w:rPr>
  </w:style>
  <w:style w:type="paragraph" w:styleId="FootnoteText">
    <w:name w:val="footnote text"/>
    <w:basedOn w:val="Normal"/>
    <w:link w:val="FootnoteTextChar"/>
    <w:uiPriority w:val="99"/>
    <w:semiHidden/>
    <w:unhideWhenUsed/>
    <w:rsid w:val="00D55428"/>
    <w:rPr>
      <w:rFonts w:eastAsia="Calibri"/>
      <w:lang w:val="en-CA"/>
    </w:rPr>
  </w:style>
  <w:style w:type="character" w:customStyle="1" w:styleId="FootnoteTextChar">
    <w:name w:val="Footnote Text Char"/>
    <w:basedOn w:val="DefaultParagraphFont"/>
    <w:link w:val="FootnoteText"/>
    <w:uiPriority w:val="99"/>
    <w:semiHidden/>
    <w:rsid w:val="00D55428"/>
    <w:rPr>
      <w:rFonts w:ascii="Times New Roman" w:eastAsia="Calibri" w:hAnsi="Times New Roman" w:cs="Times New Roman"/>
      <w:sz w:val="20"/>
      <w:szCs w:val="20"/>
      <w:lang w:val="en-CA"/>
    </w:rPr>
  </w:style>
  <w:style w:type="character" w:styleId="FootnoteReference">
    <w:name w:val="footnote reference"/>
    <w:basedOn w:val="DefaultParagraphFont"/>
    <w:uiPriority w:val="99"/>
    <w:semiHidden/>
    <w:unhideWhenUsed/>
    <w:rsid w:val="00D55428"/>
    <w:rPr>
      <w:vertAlign w:val="superscript"/>
    </w:rPr>
  </w:style>
  <w:style w:type="paragraph" w:styleId="List2">
    <w:name w:val="List 2"/>
    <w:basedOn w:val="Normal"/>
    <w:link w:val="List2Char"/>
    <w:rsid w:val="00D1260B"/>
    <w:pPr>
      <w:ind w:left="720" w:hanging="360"/>
    </w:pPr>
    <w:rPr>
      <w:sz w:val="24"/>
      <w:szCs w:val="24"/>
    </w:rPr>
  </w:style>
  <w:style w:type="character" w:customStyle="1" w:styleId="List2Char">
    <w:name w:val="List 2 Char"/>
    <w:basedOn w:val="DefaultParagraphFont"/>
    <w:link w:val="List2"/>
    <w:rsid w:val="00D1260B"/>
    <w:rPr>
      <w:rFonts w:ascii="Times New Roman" w:eastAsia="Times New Roman" w:hAnsi="Times New Roman" w:cs="Times New Roman"/>
      <w:sz w:val="24"/>
      <w:szCs w:val="24"/>
    </w:rPr>
  </w:style>
  <w:style w:type="paragraph" w:styleId="NormalWeb">
    <w:name w:val="Normal (Web)"/>
    <w:basedOn w:val="Normal"/>
    <w:rsid w:val="00D1260B"/>
    <w:pPr>
      <w:spacing w:before="100" w:beforeAutospacing="1" w:after="100" w:afterAutospacing="1"/>
    </w:pPr>
    <w:rPr>
      <w:rFonts w:eastAsia="MS Mincho"/>
      <w:sz w:val="24"/>
      <w:szCs w:val="24"/>
      <w:lang w:eastAsia="ja-JP"/>
    </w:rPr>
  </w:style>
  <w:style w:type="table" w:styleId="TableGrid">
    <w:name w:val="Table Grid"/>
    <w:basedOn w:val="TableNormal"/>
    <w:rsid w:val="00D1260B"/>
    <w:pPr>
      <w:spacing w:after="0" w:line="240" w:lineRule="auto"/>
    </w:pPr>
    <w:rPr>
      <w:rFonts w:ascii="Times New Roman" w:eastAsia="MS Mincho"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F266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D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A1ADC"/>
    <w:rPr>
      <w:b/>
      <w:bCs/>
    </w:rPr>
  </w:style>
  <w:style w:type="paragraph" w:styleId="ListParagraph">
    <w:name w:val="List Paragraph"/>
    <w:basedOn w:val="Normal"/>
    <w:uiPriority w:val="34"/>
    <w:qFormat/>
    <w:rsid w:val="005911DB"/>
    <w:pPr>
      <w:ind w:left="720"/>
      <w:contextualSpacing/>
    </w:pPr>
  </w:style>
  <w:style w:type="paragraph" w:styleId="BalloonText">
    <w:name w:val="Balloon Text"/>
    <w:basedOn w:val="Normal"/>
    <w:link w:val="BalloonTextChar"/>
    <w:uiPriority w:val="99"/>
    <w:semiHidden/>
    <w:unhideWhenUsed/>
    <w:rsid w:val="005911DB"/>
    <w:rPr>
      <w:rFonts w:ascii="Tahoma" w:hAnsi="Tahoma" w:cs="Tahoma"/>
      <w:sz w:val="16"/>
      <w:szCs w:val="16"/>
    </w:rPr>
  </w:style>
  <w:style w:type="character" w:customStyle="1" w:styleId="BalloonTextChar">
    <w:name w:val="Balloon Text Char"/>
    <w:basedOn w:val="DefaultParagraphFont"/>
    <w:link w:val="BalloonText"/>
    <w:uiPriority w:val="99"/>
    <w:semiHidden/>
    <w:rsid w:val="005911DB"/>
    <w:rPr>
      <w:rFonts w:ascii="Tahoma" w:eastAsia="Times New Roman" w:hAnsi="Tahoma" w:cs="Tahoma"/>
      <w:sz w:val="16"/>
      <w:szCs w:val="16"/>
    </w:rPr>
  </w:style>
  <w:style w:type="paragraph" w:styleId="Header">
    <w:name w:val="header"/>
    <w:basedOn w:val="Normal"/>
    <w:link w:val="HeaderChar"/>
    <w:unhideWhenUsed/>
    <w:rsid w:val="005911DB"/>
    <w:pPr>
      <w:tabs>
        <w:tab w:val="center" w:pos="4680"/>
        <w:tab w:val="right" w:pos="9360"/>
      </w:tabs>
    </w:pPr>
  </w:style>
  <w:style w:type="character" w:customStyle="1" w:styleId="HeaderChar">
    <w:name w:val="Header Char"/>
    <w:basedOn w:val="DefaultParagraphFont"/>
    <w:link w:val="Header"/>
    <w:rsid w:val="005911D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11DB"/>
    <w:pPr>
      <w:tabs>
        <w:tab w:val="center" w:pos="4680"/>
        <w:tab w:val="right" w:pos="9360"/>
      </w:tabs>
    </w:pPr>
  </w:style>
  <w:style w:type="character" w:customStyle="1" w:styleId="FooterChar">
    <w:name w:val="Footer Char"/>
    <w:basedOn w:val="DefaultParagraphFont"/>
    <w:link w:val="Footer"/>
    <w:uiPriority w:val="99"/>
    <w:rsid w:val="005911DB"/>
    <w:rPr>
      <w:rFonts w:ascii="Times New Roman" w:eastAsia="Times New Roman" w:hAnsi="Times New Roman" w:cs="Times New Roman"/>
      <w:sz w:val="20"/>
      <w:szCs w:val="20"/>
    </w:rPr>
  </w:style>
  <w:style w:type="character" w:styleId="Hyperlink">
    <w:name w:val="Hyperlink"/>
    <w:basedOn w:val="DefaultParagraphFont"/>
    <w:rsid w:val="00150DF5"/>
    <w:rPr>
      <w:color w:val="0000FF"/>
      <w:u w:val="single"/>
    </w:rPr>
  </w:style>
  <w:style w:type="paragraph" w:styleId="FootnoteText">
    <w:name w:val="footnote text"/>
    <w:basedOn w:val="Normal"/>
    <w:link w:val="FootnoteTextChar"/>
    <w:uiPriority w:val="99"/>
    <w:semiHidden/>
    <w:unhideWhenUsed/>
    <w:rsid w:val="00D55428"/>
    <w:rPr>
      <w:rFonts w:eastAsia="Calibri"/>
      <w:lang w:val="en-CA"/>
    </w:rPr>
  </w:style>
  <w:style w:type="character" w:customStyle="1" w:styleId="FootnoteTextChar">
    <w:name w:val="Footnote Text Char"/>
    <w:basedOn w:val="DefaultParagraphFont"/>
    <w:link w:val="FootnoteText"/>
    <w:uiPriority w:val="99"/>
    <w:semiHidden/>
    <w:rsid w:val="00D55428"/>
    <w:rPr>
      <w:rFonts w:ascii="Times New Roman" w:eastAsia="Calibri" w:hAnsi="Times New Roman" w:cs="Times New Roman"/>
      <w:sz w:val="20"/>
      <w:szCs w:val="20"/>
      <w:lang w:val="en-CA"/>
    </w:rPr>
  </w:style>
  <w:style w:type="character" w:styleId="FootnoteReference">
    <w:name w:val="footnote reference"/>
    <w:basedOn w:val="DefaultParagraphFont"/>
    <w:uiPriority w:val="99"/>
    <w:semiHidden/>
    <w:unhideWhenUsed/>
    <w:rsid w:val="00D55428"/>
    <w:rPr>
      <w:vertAlign w:val="superscript"/>
    </w:rPr>
  </w:style>
  <w:style w:type="paragraph" w:styleId="List2">
    <w:name w:val="List 2"/>
    <w:basedOn w:val="Normal"/>
    <w:link w:val="List2Char"/>
    <w:rsid w:val="00D1260B"/>
    <w:pPr>
      <w:ind w:left="720" w:hanging="360"/>
    </w:pPr>
    <w:rPr>
      <w:sz w:val="24"/>
      <w:szCs w:val="24"/>
    </w:rPr>
  </w:style>
  <w:style w:type="character" w:customStyle="1" w:styleId="List2Char">
    <w:name w:val="List 2 Char"/>
    <w:basedOn w:val="DefaultParagraphFont"/>
    <w:link w:val="List2"/>
    <w:rsid w:val="00D1260B"/>
    <w:rPr>
      <w:rFonts w:ascii="Times New Roman" w:eastAsia="Times New Roman" w:hAnsi="Times New Roman" w:cs="Times New Roman"/>
      <w:sz w:val="24"/>
      <w:szCs w:val="24"/>
    </w:rPr>
  </w:style>
  <w:style w:type="paragraph" w:styleId="NormalWeb">
    <w:name w:val="Normal (Web)"/>
    <w:basedOn w:val="Normal"/>
    <w:rsid w:val="00D1260B"/>
    <w:pPr>
      <w:spacing w:before="100" w:beforeAutospacing="1" w:after="100" w:afterAutospacing="1"/>
    </w:pPr>
    <w:rPr>
      <w:rFonts w:eastAsia="MS Mincho"/>
      <w:sz w:val="24"/>
      <w:szCs w:val="24"/>
      <w:lang w:eastAsia="ja-JP"/>
    </w:rPr>
  </w:style>
  <w:style w:type="table" w:styleId="TableGrid">
    <w:name w:val="Table Grid"/>
    <w:basedOn w:val="TableNormal"/>
    <w:rsid w:val="00D1260B"/>
    <w:pPr>
      <w:spacing w:after="0" w:line="240" w:lineRule="auto"/>
    </w:pPr>
    <w:rPr>
      <w:rFonts w:ascii="Times New Roman" w:eastAsia="MS Mincho"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F26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10631">
      <w:bodyDiv w:val="1"/>
      <w:marLeft w:val="0"/>
      <w:marRight w:val="0"/>
      <w:marTop w:val="0"/>
      <w:marBottom w:val="0"/>
      <w:divBdr>
        <w:top w:val="none" w:sz="0" w:space="0" w:color="auto"/>
        <w:left w:val="none" w:sz="0" w:space="0" w:color="auto"/>
        <w:bottom w:val="none" w:sz="0" w:space="0" w:color="auto"/>
        <w:right w:val="none" w:sz="0" w:space="0" w:color="auto"/>
      </w:divBdr>
    </w:div>
    <w:div w:id="1124082397">
      <w:bodyDiv w:val="1"/>
      <w:marLeft w:val="0"/>
      <w:marRight w:val="0"/>
      <w:marTop w:val="0"/>
      <w:marBottom w:val="0"/>
      <w:divBdr>
        <w:top w:val="none" w:sz="0" w:space="0" w:color="auto"/>
        <w:left w:val="none" w:sz="0" w:space="0" w:color="auto"/>
        <w:bottom w:val="none" w:sz="0" w:space="0" w:color="auto"/>
        <w:right w:val="none" w:sz="0" w:space="0" w:color="auto"/>
      </w:divBdr>
    </w:div>
    <w:div w:id="1200358997">
      <w:bodyDiv w:val="1"/>
      <w:marLeft w:val="0"/>
      <w:marRight w:val="0"/>
      <w:marTop w:val="0"/>
      <w:marBottom w:val="0"/>
      <w:divBdr>
        <w:top w:val="none" w:sz="0" w:space="0" w:color="auto"/>
        <w:left w:val="none" w:sz="0" w:space="0" w:color="auto"/>
        <w:bottom w:val="none" w:sz="0" w:space="0" w:color="auto"/>
        <w:right w:val="none" w:sz="0" w:space="0" w:color="auto"/>
      </w:divBdr>
    </w:div>
    <w:div w:id="1276212032">
      <w:bodyDiv w:val="1"/>
      <w:marLeft w:val="0"/>
      <w:marRight w:val="0"/>
      <w:marTop w:val="0"/>
      <w:marBottom w:val="0"/>
      <w:divBdr>
        <w:top w:val="none" w:sz="0" w:space="0" w:color="auto"/>
        <w:left w:val="none" w:sz="0" w:space="0" w:color="auto"/>
        <w:bottom w:val="none" w:sz="0" w:space="0" w:color="auto"/>
        <w:right w:val="none" w:sz="0" w:space="0" w:color="auto"/>
      </w:divBdr>
    </w:div>
    <w:div w:id="152482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Sawyer, Tamela (CDC/NIOSH/OD)</cp:lastModifiedBy>
  <cp:revision>2</cp:revision>
  <dcterms:created xsi:type="dcterms:W3CDTF">2012-05-08T20:06:00Z</dcterms:created>
  <dcterms:modified xsi:type="dcterms:W3CDTF">2012-05-08T20:06:00Z</dcterms:modified>
</cp:coreProperties>
</file>