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5B" w:rsidRPr="00BA0EBF" w:rsidRDefault="00833C5B" w:rsidP="00833C5B">
      <w:pPr>
        <w:tabs>
          <w:tab w:val="left" w:pos="-720"/>
          <w:tab w:val="right" w:pos="8622"/>
        </w:tabs>
        <w:jc w:val="center"/>
        <w:rPr>
          <w:rFonts w:ascii="Times New Roman" w:hAnsi="Times New Roman"/>
          <w:b/>
          <w:sz w:val="24"/>
          <w:szCs w:val="24"/>
        </w:rPr>
      </w:pPr>
      <w:r w:rsidRPr="00BA0EBF">
        <w:rPr>
          <w:rFonts w:ascii="Times New Roman" w:hAnsi="Times New Roman"/>
          <w:b/>
          <w:sz w:val="24"/>
          <w:szCs w:val="24"/>
        </w:rPr>
        <w:t>Health Resources and Services Administration</w:t>
      </w:r>
    </w:p>
    <w:p w:rsidR="00833C5B" w:rsidRPr="00BA0EBF" w:rsidRDefault="00833C5B" w:rsidP="00833C5B">
      <w:pPr>
        <w:tabs>
          <w:tab w:val="left" w:pos="-720"/>
          <w:tab w:val="right" w:pos="8622"/>
        </w:tabs>
        <w:jc w:val="center"/>
        <w:rPr>
          <w:rFonts w:ascii="Times New Roman" w:hAnsi="Times New Roman"/>
          <w:b/>
          <w:bCs/>
          <w:sz w:val="24"/>
          <w:szCs w:val="24"/>
        </w:rPr>
      </w:pPr>
      <w:r w:rsidRPr="00BA0EBF">
        <w:rPr>
          <w:rFonts w:ascii="Times New Roman" w:hAnsi="Times New Roman"/>
          <w:b/>
          <w:bCs/>
          <w:sz w:val="24"/>
          <w:szCs w:val="24"/>
        </w:rPr>
        <w:t>SUPPORTING STATEMENT</w:t>
      </w:r>
    </w:p>
    <w:p w:rsidR="00833C5B" w:rsidRPr="00BA0EBF" w:rsidRDefault="00833C5B" w:rsidP="00833C5B">
      <w:pPr>
        <w:tabs>
          <w:tab w:val="left" w:pos="-720"/>
          <w:tab w:val="right" w:pos="8622"/>
        </w:tabs>
        <w:jc w:val="center"/>
        <w:rPr>
          <w:rFonts w:ascii="Times New Roman" w:hAnsi="Times New Roman"/>
          <w:b/>
          <w:bCs/>
          <w:sz w:val="24"/>
          <w:szCs w:val="24"/>
        </w:rPr>
      </w:pPr>
      <w:r w:rsidRPr="00BA0EBF">
        <w:rPr>
          <w:rFonts w:ascii="Times New Roman" w:hAnsi="Times New Roman"/>
          <w:b/>
          <w:bCs/>
          <w:sz w:val="24"/>
          <w:szCs w:val="24"/>
        </w:rPr>
        <w:t xml:space="preserve"> </w:t>
      </w:r>
    </w:p>
    <w:p w:rsidR="00833C5B" w:rsidRPr="00BA0EBF" w:rsidRDefault="00833C5B" w:rsidP="00833C5B">
      <w:pPr>
        <w:tabs>
          <w:tab w:val="left" w:pos="-720"/>
          <w:tab w:val="right" w:pos="8622"/>
        </w:tabs>
        <w:jc w:val="center"/>
        <w:rPr>
          <w:rFonts w:ascii="Times New Roman" w:hAnsi="Times New Roman"/>
          <w:b/>
          <w:bCs/>
          <w:sz w:val="24"/>
          <w:szCs w:val="24"/>
        </w:rPr>
      </w:pPr>
      <w:r w:rsidRPr="00BA0EBF">
        <w:rPr>
          <w:rFonts w:ascii="Times New Roman" w:hAnsi="Times New Roman"/>
          <w:b/>
          <w:bCs/>
          <w:sz w:val="24"/>
          <w:szCs w:val="24"/>
        </w:rPr>
        <w:t xml:space="preserve">TA Activities for HRSA’s National Technical Assistance for </w:t>
      </w:r>
    </w:p>
    <w:p w:rsidR="00833C5B" w:rsidRPr="00BA0EBF" w:rsidRDefault="00833C5B" w:rsidP="00833C5B">
      <w:pPr>
        <w:tabs>
          <w:tab w:val="left" w:pos="-720"/>
          <w:tab w:val="right" w:pos="8622"/>
        </w:tabs>
        <w:jc w:val="center"/>
        <w:rPr>
          <w:rFonts w:ascii="Times New Roman" w:hAnsi="Times New Roman"/>
          <w:b/>
          <w:bCs/>
          <w:sz w:val="24"/>
          <w:szCs w:val="24"/>
        </w:rPr>
      </w:pPr>
      <w:r w:rsidRPr="00BA0EBF">
        <w:rPr>
          <w:rFonts w:ascii="Times New Roman" w:hAnsi="Times New Roman"/>
          <w:b/>
          <w:bCs/>
          <w:sz w:val="24"/>
          <w:szCs w:val="24"/>
        </w:rPr>
        <w:t xml:space="preserve">Ryan White HIV/AIDS Program </w:t>
      </w:r>
    </w:p>
    <w:p w:rsidR="00833C5B" w:rsidRPr="00BA0EBF" w:rsidRDefault="00833C5B" w:rsidP="00833C5B">
      <w:pPr>
        <w:tabs>
          <w:tab w:val="left" w:pos="-720"/>
          <w:tab w:val="right" w:pos="8622"/>
        </w:tabs>
        <w:jc w:val="center"/>
        <w:rPr>
          <w:rFonts w:ascii="Times New Roman" w:hAnsi="Times New Roman"/>
          <w:sz w:val="24"/>
          <w:szCs w:val="24"/>
        </w:rPr>
      </w:pPr>
    </w:p>
    <w:p w:rsidR="00833C5B" w:rsidRPr="00BA0EBF" w:rsidRDefault="00833C5B" w:rsidP="00833C5B">
      <w:pPr>
        <w:tabs>
          <w:tab w:val="left" w:pos="-720"/>
          <w:tab w:val="right" w:pos="8622"/>
        </w:tabs>
        <w:rPr>
          <w:rFonts w:ascii="Times New Roman" w:hAnsi="Times New Roman"/>
          <w:sz w:val="24"/>
          <w:szCs w:val="24"/>
        </w:rPr>
      </w:pPr>
    </w:p>
    <w:p w:rsidR="00833C5B" w:rsidRPr="00BA0EBF" w:rsidRDefault="00833C5B" w:rsidP="00833C5B">
      <w:pPr>
        <w:tabs>
          <w:tab w:val="left" w:pos="-720"/>
          <w:tab w:val="left" w:pos="720"/>
          <w:tab w:val="right" w:pos="8622"/>
        </w:tabs>
        <w:rPr>
          <w:rFonts w:ascii="Times New Roman" w:hAnsi="Times New Roman"/>
          <w:b/>
          <w:bCs/>
          <w:sz w:val="24"/>
          <w:szCs w:val="24"/>
        </w:rPr>
      </w:pPr>
      <w:r w:rsidRPr="00BA0EBF">
        <w:rPr>
          <w:rFonts w:ascii="Times New Roman" w:hAnsi="Times New Roman"/>
          <w:b/>
          <w:bCs/>
          <w:sz w:val="24"/>
          <w:szCs w:val="24"/>
        </w:rPr>
        <w:t>A.</w:t>
      </w:r>
      <w:r w:rsidRPr="00BA0EBF">
        <w:rPr>
          <w:rFonts w:ascii="Times New Roman" w:hAnsi="Times New Roman"/>
          <w:b/>
          <w:bCs/>
          <w:sz w:val="24"/>
          <w:szCs w:val="24"/>
        </w:rPr>
        <w:tab/>
        <w:t>Justification</w:t>
      </w:r>
    </w:p>
    <w:p w:rsidR="00833C5B" w:rsidRPr="00BA0EBF" w:rsidRDefault="00833C5B" w:rsidP="00833C5B">
      <w:pPr>
        <w:tabs>
          <w:tab w:val="left" w:pos="-720"/>
          <w:tab w:val="left" w:pos="720"/>
          <w:tab w:val="right" w:pos="8622"/>
        </w:tabs>
        <w:rPr>
          <w:rFonts w:ascii="Times New Roman" w:hAnsi="Times New Roman"/>
          <w:sz w:val="24"/>
          <w:szCs w:val="24"/>
        </w:rPr>
      </w:pPr>
    </w:p>
    <w:p w:rsidR="00833C5B" w:rsidRPr="00826C78" w:rsidRDefault="00833C5B" w:rsidP="00833C5B">
      <w:pPr>
        <w:tabs>
          <w:tab w:val="left" w:pos="-720"/>
          <w:tab w:val="left" w:pos="44"/>
          <w:tab w:val="left" w:pos="720"/>
          <w:tab w:val="right" w:pos="8622"/>
        </w:tabs>
        <w:rPr>
          <w:rFonts w:ascii="Times New Roman" w:hAnsi="Times New Roman"/>
          <w:sz w:val="24"/>
          <w:szCs w:val="24"/>
          <w:u w:val="single"/>
        </w:rPr>
      </w:pPr>
      <w:r w:rsidRPr="00826C78">
        <w:rPr>
          <w:rFonts w:ascii="Times New Roman" w:hAnsi="Times New Roman"/>
          <w:sz w:val="24"/>
          <w:szCs w:val="24"/>
        </w:rPr>
        <w:t>1.</w:t>
      </w:r>
      <w:r w:rsidRPr="00826C78">
        <w:rPr>
          <w:rFonts w:ascii="Times New Roman" w:hAnsi="Times New Roman"/>
          <w:sz w:val="24"/>
          <w:szCs w:val="24"/>
        </w:rPr>
        <w:tab/>
      </w:r>
      <w:r w:rsidRPr="00826C78">
        <w:rPr>
          <w:rFonts w:ascii="Times New Roman" w:hAnsi="Times New Roman"/>
          <w:sz w:val="24"/>
          <w:szCs w:val="24"/>
          <w:u w:val="single"/>
        </w:rPr>
        <w:t>Circumstances of Information Collection</w:t>
      </w:r>
    </w:p>
    <w:p w:rsidR="00833C5B" w:rsidRPr="00826C78" w:rsidRDefault="00833C5B" w:rsidP="00833C5B">
      <w:pPr>
        <w:pStyle w:val="Heading2"/>
        <w:rPr>
          <w:b w:val="0"/>
          <w:color w:val="auto"/>
          <w:sz w:val="24"/>
          <w:szCs w:val="24"/>
        </w:rPr>
      </w:pPr>
      <w:r w:rsidRPr="00826C78">
        <w:rPr>
          <w:b w:val="0"/>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00833C5B" w:rsidRPr="00826C78" w:rsidRDefault="00833C5B" w:rsidP="00833C5B">
      <w:pPr>
        <w:pStyle w:val="Heading2"/>
        <w:numPr>
          <w:ilvl w:val="0"/>
          <w:numId w:val="1"/>
        </w:numPr>
        <w:rPr>
          <w:b w:val="0"/>
          <w:color w:val="auto"/>
          <w:sz w:val="24"/>
          <w:szCs w:val="24"/>
        </w:rPr>
      </w:pPr>
      <w:r w:rsidRPr="00826C78">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This is a request for OMB approval of an electronic qualitative </w:t>
      </w:r>
      <w:r w:rsidR="001F4D9D" w:rsidRPr="00826C78">
        <w:rPr>
          <w:rFonts w:ascii="Times New Roman" w:hAnsi="Times New Roman"/>
          <w:sz w:val="24"/>
          <w:szCs w:val="24"/>
        </w:rPr>
        <w:t xml:space="preserve">customer satisfaction </w:t>
      </w:r>
      <w:r w:rsidRPr="00826C78">
        <w:rPr>
          <w:rFonts w:ascii="Times New Roman" w:hAnsi="Times New Roman"/>
          <w:sz w:val="24"/>
          <w:szCs w:val="24"/>
        </w:rPr>
        <w:t xml:space="preserve">under HRSA’s generic clearance.  HRSA’s National Technical Assistance Contract (TAC) for the Ryan White HIV/AIDS Program was developed to foster long-term, sustainable improvement in all Ryan White HIV/AIDS program grantee operations.  The delivery of technical assistance services through the contract also serves as a tool for HRSA’s HIV/AIDS Bureau (HAB), especially Project Officers to enhance the performance of their grantees. Through the implementation of TA activities, HAB staff will obtain feedback from Ryan White grantees regarding their experience as recipients of TA service upon their completion of two survey tools.  Data collected from these surveys ultimately serves to support HRSA’s Ryan White HIV/AIDS program address the goals set forth in the National HIV/AIDS Strategy (NHAS) and according to health insurance reform legislation namely the Affordable Care Act (ACA).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 primary objective of the data collection is to assess the impact and utility of the Comprehensive Site Visits that are provided to Ryan White Grantees in order to identify strengths and weaknesses and improve service delivery. Specifically, these survey tools will assess Ryan White grantees’ overall satisfaction with a specific type of HRSA-mandated </w:t>
      </w:r>
      <w:r w:rsidR="00B8423C" w:rsidRPr="00826C78">
        <w:rPr>
          <w:rFonts w:ascii="Times New Roman" w:hAnsi="Times New Roman"/>
          <w:sz w:val="24"/>
          <w:szCs w:val="24"/>
        </w:rPr>
        <w:t>technical assistance (</w:t>
      </w:r>
      <w:r w:rsidRPr="00826C78">
        <w:rPr>
          <w:rFonts w:ascii="Times New Roman" w:hAnsi="Times New Roman"/>
          <w:sz w:val="24"/>
          <w:szCs w:val="24"/>
        </w:rPr>
        <w:t>TA</w:t>
      </w:r>
      <w:r w:rsidR="00B8423C" w:rsidRPr="00826C78">
        <w:rPr>
          <w:rFonts w:ascii="Times New Roman" w:hAnsi="Times New Roman"/>
          <w:sz w:val="24"/>
          <w:szCs w:val="24"/>
        </w:rPr>
        <w:t>)</w:t>
      </w:r>
      <w:r w:rsidRPr="00826C78">
        <w:rPr>
          <w:rFonts w:ascii="Times New Roman" w:hAnsi="Times New Roman"/>
          <w:sz w:val="24"/>
          <w:szCs w:val="24"/>
        </w:rPr>
        <w:t>: Comprehensive Site Visits</w:t>
      </w:r>
      <w:r w:rsidR="00B8423C" w:rsidRPr="00826C78">
        <w:rPr>
          <w:rFonts w:ascii="Times New Roman" w:hAnsi="Times New Roman"/>
          <w:sz w:val="24"/>
          <w:szCs w:val="24"/>
        </w:rPr>
        <w:t xml:space="preserve"> and Non-comprehensive Site Visits</w:t>
      </w:r>
      <w:r w:rsidRPr="00826C78">
        <w:rPr>
          <w:rFonts w:ascii="Times New Roman" w:hAnsi="Times New Roman"/>
          <w:sz w:val="24"/>
          <w:szCs w:val="24"/>
        </w:rPr>
        <w:t xml:space="preserv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48"/>
        </w:tabs>
        <w:rPr>
          <w:rFonts w:ascii="Times New Roman" w:hAnsi="Times New Roman"/>
          <w:sz w:val="24"/>
          <w:szCs w:val="24"/>
          <w:u w:val="single"/>
        </w:rPr>
      </w:pPr>
      <w:r w:rsidRPr="00826C78">
        <w:rPr>
          <w:rFonts w:ascii="Times New Roman" w:hAnsi="Times New Roman"/>
          <w:sz w:val="24"/>
          <w:szCs w:val="24"/>
        </w:rPr>
        <w:t>2.</w:t>
      </w:r>
      <w:r w:rsidRPr="00826C78">
        <w:rPr>
          <w:rFonts w:ascii="Times New Roman" w:hAnsi="Times New Roman"/>
          <w:sz w:val="24"/>
          <w:szCs w:val="24"/>
        </w:rPr>
        <w:tab/>
      </w:r>
      <w:r w:rsidRPr="00826C78">
        <w:rPr>
          <w:rFonts w:ascii="Times New Roman" w:hAnsi="Times New Roman"/>
          <w:sz w:val="24"/>
          <w:szCs w:val="24"/>
          <w:u w:val="single"/>
        </w:rPr>
        <w:t>Purpose and Use of the Information</w:t>
      </w:r>
    </w:p>
    <w:p w:rsidR="00833C5B" w:rsidRPr="00826C78" w:rsidRDefault="00833C5B" w:rsidP="00833C5B">
      <w:pPr>
        <w:tabs>
          <w:tab w:val="left" w:pos="-720"/>
          <w:tab w:val="left" w:pos="720"/>
          <w:tab w:val="right" w:pos="8648"/>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p>
    <w:p w:rsidR="00B1490F" w:rsidRPr="00826C78" w:rsidRDefault="00833C5B" w:rsidP="00D43A75">
      <w:pPr>
        <w:tabs>
          <w:tab w:val="left" w:pos="-720"/>
        </w:tabs>
        <w:rPr>
          <w:rFonts w:ascii="Times New Roman" w:hAnsi="Times New Roman"/>
          <w:sz w:val="24"/>
          <w:szCs w:val="24"/>
        </w:rPr>
      </w:pPr>
      <w:r w:rsidRPr="00826C78">
        <w:rPr>
          <w:rFonts w:ascii="Times New Roman" w:hAnsi="Times New Roman"/>
          <w:sz w:val="24"/>
          <w:szCs w:val="24"/>
        </w:rPr>
        <w:t xml:space="preserve">The full implementation of ACA in 2014 and its expected impact on Ryan White funded treatment and care services drives the critical importance of HAB’s access to quality assurance </w:t>
      </w:r>
      <w:bookmarkStart w:id="0" w:name="_GoBack"/>
      <w:bookmarkEnd w:id="0"/>
      <w:r w:rsidRPr="00826C78">
        <w:rPr>
          <w:rFonts w:ascii="Times New Roman" w:hAnsi="Times New Roman"/>
          <w:sz w:val="24"/>
          <w:szCs w:val="24"/>
        </w:rPr>
        <w:t xml:space="preserve">mechanisms that assess the effects of Ryan White HIV/AIDS Program resources on the health </w:t>
      </w:r>
      <w:r w:rsidRPr="00826C78">
        <w:rPr>
          <w:rFonts w:ascii="Times New Roman" w:hAnsi="Times New Roman"/>
          <w:sz w:val="24"/>
          <w:szCs w:val="24"/>
        </w:rPr>
        <w:lastRenderedPageBreak/>
        <w:t>outcomes of people living with HIV and AIDS.</w:t>
      </w:r>
      <w:r w:rsidRPr="00826C78">
        <w:rPr>
          <w:rFonts w:ascii="Times New Roman" w:hAnsi="Times New Roman"/>
          <w:b/>
          <w:sz w:val="24"/>
          <w:szCs w:val="24"/>
        </w:rPr>
        <w:t xml:space="preserve">  </w:t>
      </w:r>
      <w:r w:rsidR="0000328C" w:rsidRPr="00826C78">
        <w:rPr>
          <w:rFonts w:ascii="Times New Roman" w:hAnsi="Times New Roman"/>
          <w:sz w:val="24"/>
          <w:szCs w:val="24"/>
        </w:rPr>
        <w:t>There are two categories of onsite TA available to Ryan White program grantees</w:t>
      </w:r>
      <w:r w:rsidR="00B8423C" w:rsidRPr="00826C78">
        <w:rPr>
          <w:rFonts w:ascii="Times New Roman" w:hAnsi="Times New Roman"/>
          <w:sz w:val="24"/>
          <w:szCs w:val="24"/>
        </w:rPr>
        <w:t>-</w:t>
      </w:r>
      <w:r w:rsidR="0000328C" w:rsidRPr="00826C78">
        <w:rPr>
          <w:rFonts w:ascii="Times New Roman" w:hAnsi="Times New Roman"/>
          <w:sz w:val="24"/>
          <w:szCs w:val="24"/>
        </w:rPr>
        <w:t xml:space="preserve"> </w:t>
      </w:r>
      <w:r w:rsidR="0076214F" w:rsidRPr="00826C78">
        <w:rPr>
          <w:rFonts w:ascii="Times New Roman" w:hAnsi="Times New Roman"/>
          <w:sz w:val="24"/>
          <w:szCs w:val="24"/>
        </w:rPr>
        <w:t>C</w:t>
      </w:r>
      <w:r w:rsidR="0000328C" w:rsidRPr="00826C78">
        <w:rPr>
          <w:rFonts w:ascii="Times New Roman" w:hAnsi="Times New Roman"/>
          <w:sz w:val="24"/>
          <w:szCs w:val="24"/>
        </w:rPr>
        <w:t>omprehensive</w:t>
      </w:r>
      <w:r w:rsidR="00B8423C" w:rsidRPr="00826C78">
        <w:rPr>
          <w:rFonts w:ascii="Times New Roman" w:hAnsi="Times New Roman"/>
          <w:sz w:val="24"/>
          <w:szCs w:val="24"/>
        </w:rPr>
        <w:t xml:space="preserve"> site visits</w:t>
      </w:r>
      <w:r w:rsidR="0000328C" w:rsidRPr="00826C78">
        <w:rPr>
          <w:rFonts w:ascii="Times New Roman" w:hAnsi="Times New Roman"/>
          <w:sz w:val="24"/>
          <w:szCs w:val="24"/>
        </w:rPr>
        <w:t xml:space="preserve"> </w:t>
      </w:r>
      <w:r w:rsidR="0076214F" w:rsidRPr="00826C78">
        <w:rPr>
          <w:rFonts w:ascii="Times New Roman" w:hAnsi="Times New Roman"/>
          <w:sz w:val="24"/>
          <w:szCs w:val="24"/>
        </w:rPr>
        <w:t xml:space="preserve">and Non-comprehensive </w:t>
      </w:r>
      <w:r w:rsidR="0000328C" w:rsidRPr="00826C78">
        <w:rPr>
          <w:rFonts w:ascii="Times New Roman" w:hAnsi="Times New Roman"/>
          <w:sz w:val="24"/>
          <w:szCs w:val="24"/>
        </w:rPr>
        <w:t>visits</w:t>
      </w:r>
      <w:r w:rsidR="0076214F" w:rsidRPr="00826C78">
        <w:rPr>
          <w:rFonts w:ascii="Times New Roman" w:hAnsi="Times New Roman"/>
          <w:sz w:val="24"/>
          <w:szCs w:val="24"/>
        </w:rPr>
        <w:t xml:space="preserve">. </w:t>
      </w:r>
      <w:r w:rsidR="00D43A75" w:rsidRPr="00826C78">
        <w:rPr>
          <w:rFonts w:ascii="Times New Roman" w:hAnsi="Times New Roman"/>
          <w:sz w:val="24"/>
          <w:szCs w:val="24"/>
        </w:rPr>
        <w:t>Comprehensive reviews/visits</w:t>
      </w:r>
      <w:r w:rsidR="0000328C" w:rsidRPr="00826C78">
        <w:rPr>
          <w:rFonts w:ascii="Times New Roman" w:hAnsi="Times New Roman"/>
          <w:sz w:val="24"/>
          <w:szCs w:val="24"/>
        </w:rPr>
        <w:t xml:space="preserve">, </w:t>
      </w:r>
      <w:r w:rsidR="00D43A75" w:rsidRPr="00826C78">
        <w:rPr>
          <w:rFonts w:ascii="Times New Roman" w:hAnsi="Times New Roman"/>
          <w:sz w:val="24"/>
          <w:szCs w:val="24"/>
        </w:rPr>
        <w:t>also called diagnostic compliance onsite reviews/visits</w:t>
      </w:r>
      <w:r w:rsidR="0000328C" w:rsidRPr="00826C78">
        <w:rPr>
          <w:rFonts w:ascii="Times New Roman" w:hAnsi="Times New Roman"/>
          <w:sz w:val="24"/>
          <w:szCs w:val="24"/>
        </w:rPr>
        <w:t>,</w:t>
      </w:r>
      <w:r w:rsidR="00D43A75" w:rsidRPr="00826C78">
        <w:rPr>
          <w:rFonts w:ascii="Times New Roman" w:hAnsi="Times New Roman"/>
          <w:sz w:val="24"/>
          <w:szCs w:val="24"/>
        </w:rPr>
        <w:t xml:space="preserve"> </w:t>
      </w:r>
      <w:r w:rsidR="00B1490F" w:rsidRPr="00826C78">
        <w:rPr>
          <w:rFonts w:ascii="Times New Roman" w:hAnsi="Times New Roman"/>
          <w:sz w:val="24"/>
          <w:szCs w:val="24"/>
        </w:rPr>
        <w:t xml:space="preserve">are mandated by HAB </w:t>
      </w:r>
      <w:r w:rsidR="00B8423C" w:rsidRPr="00826C78">
        <w:rPr>
          <w:rFonts w:ascii="Times New Roman" w:hAnsi="Times New Roman"/>
          <w:sz w:val="24"/>
          <w:szCs w:val="24"/>
        </w:rPr>
        <w:t xml:space="preserve">and </w:t>
      </w:r>
      <w:r w:rsidR="00D43A75" w:rsidRPr="00826C78">
        <w:rPr>
          <w:rFonts w:ascii="Times New Roman" w:hAnsi="Times New Roman"/>
          <w:sz w:val="24"/>
          <w:szCs w:val="24"/>
        </w:rPr>
        <w:t>serve as mechanisms to assess the</w:t>
      </w:r>
      <w:r w:rsidR="0000328C" w:rsidRPr="00826C78">
        <w:rPr>
          <w:rFonts w:ascii="Times New Roman" w:hAnsi="Times New Roman"/>
          <w:sz w:val="24"/>
          <w:szCs w:val="24"/>
        </w:rPr>
        <w:t xml:space="preserve"> </w:t>
      </w:r>
      <w:r w:rsidR="00D43A75" w:rsidRPr="00826C78">
        <w:rPr>
          <w:rFonts w:ascii="Times New Roman" w:hAnsi="Times New Roman"/>
          <w:sz w:val="24"/>
          <w:szCs w:val="24"/>
        </w:rPr>
        <w:t xml:space="preserve">specific nature and extent of </w:t>
      </w:r>
      <w:r w:rsidR="0000328C" w:rsidRPr="00826C78">
        <w:rPr>
          <w:rFonts w:ascii="Times New Roman" w:hAnsi="Times New Roman"/>
          <w:sz w:val="24"/>
          <w:szCs w:val="24"/>
        </w:rPr>
        <w:t xml:space="preserve">administrative or operational </w:t>
      </w:r>
      <w:r w:rsidR="00D43A75" w:rsidRPr="00826C78">
        <w:rPr>
          <w:rFonts w:ascii="Times New Roman" w:hAnsi="Times New Roman"/>
          <w:sz w:val="24"/>
          <w:szCs w:val="24"/>
        </w:rPr>
        <w:t>challenges experienced by Ryan White HIV/AIDS programs, recommends specific actions to resolve the problems identified</w:t>
      </w:r>
      <w:r w:rsidR="00B8423C" w:rsidRPr="00826C78">
        <w:rPr>
          <w:rFonts w:ascii="Times New Roman" w:hAnsi="Times New Roman"/>
          <w:sz w:val="24"/>
          <w:szCs w:val="24"/>
        </w:rPr>
        <w:t>,</w:t>
      </w:r>
      <w:r w:rsidR="00D43A75" w:rsidRPr="00826C78">
        <w:rPr>
          <w:rFonts w:ascii="Times New Roman" w:hAnsi="Times New Roman"/>
          <w:sz w:val="24"/>
          <w:szCs w:val="24"/>
        </w:rPr>
        <w:t xml:space="preserve"> and advises sites on appropriate action plans. </w:t>
      </w:r>
      <w:r w:rsidR="0000328C" w:rsidRPr="00826C78">
        <w:rPr>
          <w:rFonts w:ascii="Times New Roman" w:hAnsi="Times New Roman"/>
          <w:sz w:val="24"/>
          <w:szCs w:val="24"/>
        </w:rPr>
        <w:t xml:space="preserve"> Non-comprehensive onsite visits serve to improve Ryan White HIV/AIDS Program grantee program performance within a specific area of need through on-site TA </w:t>
      </w:r>
      <w:r w:rsidR="00B1490F" w:rsidRPr="00826C78">
        <w:rPr>
          <w:rFonts w:ascii="Times New Roman" w:hAnsi="Times New Roman"/>
          <w:sz w:val="24"/>
          <w:szCs w:val="24"/>
        </w:rPr>
        <w:t>r</w:t>
      </w:r>
      <w:r w:rsidR="0000328C" w:rsidRPr="00826C78">
        <w:rPr>
          <w:rFonts w:ascii="Times New Roman" w:hAnsi="Times New Roman"/>
          <w:sz w:val="24"/>
          <w:szCs w:val="24"/>
        </w:rPr>
        <w:t xml:space="preserve">equested by the grantee, or advocated by HAB program officials. </w:t>
      </w:r>
    </w:p>
    <w:p w:rsidR="00B1490F" w:rsidRPr="00826C78" w:rsidRDefault="00B1490F" w:rsidP="00D43A75">
      <w:pPr>
        <w:tabs>
          <w:tab w:val="left" w:pos="-720"/>
        </w:tabs>
        <w:rPr>
          <w:rFonts w:ascii="Times New Roman" w:hAnsi="Times New Roman"/>
          <w:sz w:val="24"/>
          <w:szCs w:val="24"/>
        </w:rPr>
      </w:pPr>
    </w:p>
    <w:p w:rsidR="00833C5B" w:rsidRPr="00826C78" w:rsidRDefault="00B1490F" w:rsidP="00D43A75">
      <w:pPr>
        <w:tabs>
          <w:tab w:val="left" w:pos="-720"/>
        </w:tabs>
        <w:rPr>
          <w:rFonts w:ascii="Times New Roman" w:hAnsi="Times New Roman"/>
          <w:sz w:val="24"/>
          <w:szCs w:val="24"/>
        </w:rPr>
      </w:pPr>
      <w:r w:rsidRPr="00826C78">
        <w:rPr>
          <w:rFonts w:ascii="Times New Roman" w:hAnsi="Times New Roman"/>
          <w:sz w:val="24"/>
          <w:szCs w:val="24"/>
        </w:rPr>
        <w:t xml:space="preserve">The primary use </w:t>
      </w:r>
      <w:r w:rsidR="00062D96" w:rsidRPr="00826C78">
        <w:rPr>
          <w:rFonts w:ascii="Times New Roman" w:hAnsi="Times New Roman"/>
          <w:sz w:val="24"/>
          <w:szCs w:val="24"/>
        </w:rPr>
        <w:t>of the</w:t>
      </w:r>
      <w:r w:rsidRPr="00826C78">
        <w:rPr>
          <w:rFonts w:ascii="Times New Roman" w:hAnsi="Times New Roman"/>
          <w:sz w:val="24"/>
          <w:szCs w:val="24"/>
        </w:rPr>
        <w:t xml:space="preserve"> information gathered through the surveys is to </w:t>
      </w:r>
      <w:r w:rsidR="00062D96" w:rsidRPr="00826C78">
        <w:rPr>
          <w:rFonts w:ascii="Times New Roman" w:hAnsi="Times New Roman"/>
          <w:sz w:val="24"/>
          <w:szCs w:val="24"/>
        </w:rPr>
        <w:t xml:space="preserve">identify strengths and weaknesses of </w:t>
      </w:r>
      <w:r w:rsidR="00F37801">
        <w:rPr>
          <w:rFonts w:ascii="Times New Roman" w:hAnsi="Times New Roman"/>
          <w:sz w:val="24"/>
          <w:szCs w:val="24"/>
        </w:rPr>
        <w:t xml:space="preserve">TA providers or consultant(s) who deliver </w:t>
      </w:r>
      <w:r w:rsidR="00062D96" w:rsidRPr="00826C78">
        <w:rPr>
          <w:rFonts w:ascii="Times New Roman" w:hAnsi="Times New Roman"/>
          <w:sz w:val="24"/>
          <w:szCs w:val="24"/>
        </w:rPr>
        <w:t xml:space="preserve">Comprehensive and Non-comprehensive onsite technical support provided to Ryan White Grantees.  This information will be used to improve service delivery, as well as to </w:t>
      </w:r>
      <w:r w:rsidRPr="00826C78">
        <w:rPr>
          <w:rFonts w:ascii="Times New Roman" w:hAnsi="Times New Roman"/>
          <w:sz w:val="24"/>
          <w:szCs w:val="24"/>
        </w:rPr>
        <w:t xml:space="preserve">assess the </w:t>
      </w:r>
      <w:r w:rsidR="00062D96" w:rsidRPr="00826C78">
        <w:rPr>
          <w:rFonts w:ascii="Times New Roman" w:hAnsi="Times New Roman"/>
          <w:sz w:val="24"/>
          <w:szCs w:val="24"/>
        </w:rPr>
        <w:t xml:space="preserve">usefulness, </w:t>
      </w:r>
      <w:r w:rsidRPr="00826C78">
        <w:rPr>
          <w:rFonts w:ascii="Times New Roman" w:hAnsi="Times New Roman"/>
          <w:sz w:val="24"/>
          <w:szCs w:val="24"/>
        </w:rPr>
        <w:t>impact and utility of the Comprehensive and Non-comprehensive onsite technical support</w:t>
      </w:r>
      <w:r w:rsidR="00062D96" w:rsidRPr="00826C78">
        <w:rPr>
          <w:rFonts w:ascii="Times New Roman" w:hAnsi="Times New Roman"/>
          <w:sz w:val="24"/>
          <w:szCs w:val="24"/>
        </w:rPr>
        <w:t>.</w:t>
      </w:r>
      <w:r w:rsidRPr="00826C78">
        <w:rPr>
          <w:rFonts w:ascii="Times New Roman" w:hAnsi="Times New Roman"/>
          <w:sz w:val="24"/>
          <w:szCs w:val="24"/>
        </w:rPr>
        <w:t xml:space="preserve">  </w:t>
      </w:r>
      <w:r w:rsidR="00833C5B" w:rsidRPr="00826C78">
        <w:rPr>
          <w:rFonts w:ascii="Times New Roman" w:hAnsi="Times New Roman"/>
          <w:sz w:val="24"/>
          <w:szCs w:val="24"/>
        </w:rPr>
        <w:t>HRSA will only use the information gathered for internal purposes</w:t>
      </w:r>
      <w:r w:rsidR="00062D96" w:rsidRPr="00826C78">
        <w:rPr>
          <w:rFonts w:ascii="Times New Roman" w:hAnsi="Times New Roman"/>
          <w:sz w:val="24"/>
          <w:szCs w:val="24"/>
        </w:rPr>
        <w:t xml:space="preserv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Survey respondents will include Ryan White grantees from Parts A-D.  The surveys will include quantitative questions that assesses the technical assistance provided in the following areas: achieved agreed upon goals, met grantees’ expectations, followed agenda, impact on existing program operations, and satisfaction with TA consultant.  Respondents will also have an opportunity to qualitatively provide feedback in the open-ended text boxes for “other comments.”  Respondents will be asked to complete the survey twice; once immediately following the completion of the Comprehensive Site Visit, and once more 6-months after the completion of the Comprehensive Site Visit.  Copies of the Baseline and Follow-up survey instruments are attached.</w:t>
      </w:r>
    </w:p>
    <w:p w:rsidR="00833C5B" w:rsidRPr="00826C78" w:rsidRDefault="00833C5B" w:rsidP="00833C5B">
      <w:pPr>
        <w:tabs>
          <w:tab w:val="left" w:pos="-720"/>
        </w:tabs>
        <w:rPr>
          <w:rFonts w:ascii="Times New Roman" w:hAnsi="Times New Roman"/>
          <w:sz w:val="24"/>
          <w:szCs w:val="24"/>
        </w:rPr>
      </w:pPr>
    </w:p>
    <w:p w:rsidR="00833C5B" w:rsidRPr="00826C78" w:rsidRDefault="0076214F" w:rsidP="00833C5B">
      <w:pPr>
        <w:tabs>
          <w:tab w:val="left" w:pos="-720"/>
        </w:tabs>
        <w:rPr>
          <w:rFonts w:ascii="Times New Roman" w:hAnsi="Times New Roman"/>
          <w:sz w:val="24"/>
          <w:szCs w:val="24"/>
        </w:rPr>
      </w:pPr>
      <w:r w:rsidRPr="00826C78">
        <w:rPr>
          <w:rFonts w:ascii="Times New Roman" w:hAnsi="Times New Roman"/>
          <w:sz w:val="24"/>
          <w:szCs w:val="24"/>
        </w:rPr>
        <w:t xml:space="preserve">Upon completion of all Comprehensive and Non-comprehensive on-site </w:t>
      </w:r>
      <w:r w:rsidR="00B1490F" w:rsidRPr="00826C78">
        <w:rPr>
          <w:rFonts w:ascii="Times New Roman" w:hAnsi="Times New Roman"/>
          <w:sz w:val="24"/>
          <w:szCs w:val="24"/>
        </w:rPr>
        <w:t>v</w:t>
      </w:r>
      <w:r w:rsidRPr="00826C78">
        <w:rPr>
          <w:rFonts w:ascii="Times New Roman" w:hAnsi="Times New Roman"/>
          <w:sz w:val="24"/>
          <w:szCs w:val="24"/>
        </w:rPr>
        <w:t xml:space="preserve">isits, the </w:t>
      </w:r>
      <w:r w:rsidR="00B1490F" w:rsidRPr="00826C78">
        <w:rPr>
          <w:rFonts w:ascii="Times New Roman" w:hAnsi="Times New Roman"/>
          <w:sz w:val="24"/>
          <w:szCs w:val="24"/>
        </w:rPr>
        <w:t xml:space="preserve">Ryan White grantee </w:t>
      </w:r>
      <w:r w:rsidRPr="00826C78">
        <w:rPr>
          <w:rFonts w:ascii="Times New Roman" w:hAnsi="Times New Roman"/>
          <w:sz w:val="24"/>
          <w:szCs w:val="24"/>
        </w:rPr>
        <w:t xml:space="preserve">receives </w:t>
      </w:r>
      <w:r w:rsidR="00B1490F" w:rsidRPr="00826C78">
        <w:rPr>
          <w:rFonts w:ascii="Times New Roman" w:hAnsi="Times New Roman"/>
          <w:sz w:val="24"/>
          <w:szCs w:val="24"/>
        </w:rPr>
        <w:t xml:space="preserve">an </w:t>
      </w:r>
      <w:r w:rsidRPr="00826C78">
        <w:rPr>
          <w:rFonts w:ascii="Times New Roman" w:hAnsi="Times New Roman"/>
          <w:sz w:val="24"/>
          <w:szCs w:val="24"/>
        </w:rPr>
        <w:t>e</w:t>
      </w:r>
      <w:r w:rsidR="003C2F79" w:rsidRPr="00826C78">
        <w:rPr>
          <w:rFonts w:ascii="Times New Roman" w:hAnsi="Times New Roman"/>
          <w:sz w:val="24"/>
          <w:szCs w:val="24"/>
        </w:rPr>
        <w:t>-</w:t>
      </w:r>
      <w:r w:rsidRPr="00826C78">
        <w:rPr>
          <w:rFonts w:ascii="Times New Roman" w:hAnsi="Times New Roman"/>
          <w:sz w:val="24"/>
          <w:szCs w:val="24"/>
        </w:rPr>
        <w:t xml:space="preserve">mail </w:t>
      </w:r>
      <w:r w:rsidR="003C2F79" w:rsidRPr="00826C78">
        <w:rPr>
          <w:rFonts w:ascii="Times New Roman" w:hAnsi="Times New Roman"/>
          <w:sz w:val="24"/>
          <w:szCs w:val="24"/>
        </w:rPr>
        <w:t xml:space="preserve">requesting their voluntary </w:t>
      </w:r>
      <w:r w:rsidR="00CA66B9" w:rsidRPr="00826C78">
        <w:rPr>
          <w:rFonts w:ascii="Times New Roman" w:hAnsi="Times New Roman"/>
          <w:sz w:val="24"/>
          <w:szCs w:val="24"/>
        </w:rPr>
        <w:t xml:space="preserve">participation to complete the survey and </w:t>
      </w:r>
      <w:r w:rsidRPr="00826C78">
        <w:rPr>
          <w:rFonts w:ascii="Times New Roman" w:hAnsi="Times New Roman"/>
          <w:sz w:val="24"/>
          <w:szCs w:val="24"/>
        </w:rPr>
        <w:t xml:space="preserve">link to complete </w:t>
      </w:r>
      <w:r w:rsidR="00B1490F" w:rsidRPr="00826C78">
        <w:rPr>
          <w:rFonts w:ascii="Times New Roman" w:hAnsi="Times New Roman"/>
          <w:sz w:val="24"/>
          <w:szCs w:val="24"/>
        </w:rPr>
        <w:t xml:space="preserve">it. </w:t>
      </w:r>
      <w:proofErr w:type="gramStart"/>
      <w:r w:rsidR="005C4126" w:rsidRPr="00826C78">
        <w:rPr>
          <w:rFonts w:ascii="Times New Roman" w:hAnsi="Times New Roman"/>
          <w:sz w:val="24"/>
          <w:szCs w:val="24"/>
        </w:rPr>
        <w:t>(See Attachment A.)</w:t>
      </w:r>
      <w:proofErr w:type="gramEnd"/>
      <w:r w:rsidR="005C4126" w:rsidRPr="00826C78">
        <w:rPr>
          <w:rFonts w:ascii="Times New Roman" w:hAnsi="Times New Roman"/>
          <w:sz w:val="24"/>
          <w:szCs w:val="24"/>
        </w:rPr>
        <w:t xml:space="preserve"> </w:t>
      </w:r>
      <w:r w:rsidR="00833C5B" w:rsidRPr="00826C78">
        <w:rPr>
          <w:rFonts w:ascii="Times New Roman" w:hAnsi="Times New Roman"/>
          <w:sz w:val="24"/>
          <w:szCs w:val="24"/>
        </w:rPr>
        <w:t>The introduction page of the electronic survey will explain the purpose of the survey, inform each respondent that participation is voluntary, communicate that the information provided will only be shared with HRSA/HAB and the evaluation team members, and thank respondents in advance for their participation.  The information provided from the surveys will be instrumental to improving the delivery of the Comprehensive Site Visits</w:t>
      </w:r>
      <w:r w:rsidR="00F3547F">
        <w:rPr>
          <w:rFonts w:ascii="Times New Roman" w:hAnsi="Times New Roman"/>
          <w:sz w:val="24"/>
          <w:szCs w:val="24"/>
        </w:rPr>
        <w:t xml:space="preserve"> and Non-comprehensive site visits</w:t>
      </w:r>
      <w:r w:rsidR="00833C5B" w:rsidRPr="00826C78">
        <w:rPr>
          <w:rFonts w:ascii="Times New Roman" w:hAnsi="Times New Roman"/>
          <w:sz w:val="24"/>
          <w:szCs w:val="24"/>
        </w:rPr>
        <w:t>.</w:t>
      </w:r>
      <w:r w:rsidR="005C4126" w:rsidRPr="00826C78">
        <w:rPr>
          <w:rFonts w:ascii="Times New Roman" w:hAnsi="Times New Roman"/>
          <w:sz w:val="24"/>
          <w:szCs w:val="24"/>
        </w:rPr>
        <w:t xml:space="preserve"> (See Attachment B</w:t>
      </w:r>
      <w:r w:rsidR="00F3547F">
        <w:rPr>
          <w:rFonts w:ascii="Times New Roman" w:hAnsi="Times New Roman"/>
          <w:sz w:val="24"/>
          <w:szCs w:val="24"/>
        </w:rPr>
        <w:t xml:space="preserve"> for the Comprehensive on-site visits/reviews and Attachment C for Non-comprehensive on-site visits.</w:t>
      </w:r>
      <w:r w:rsidR="005C4126" w:rsidRPr="00826C78">
        <w:rPr>
          <w:rFonts w:ascii="Times New Roman" w:hAnsi="Times New Roman"/>
          <w:sz w:val="24"/>
          <w:szCs w:val="24"/>
        </w:rPr>
        <w:t>)</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48"/>
        </w:tabs>
        <w:rPr>
          <w:rFonts w:ascii="Times New Roman" w:hAnsi="Times New Roman"/>
          <w:sz w:val="24"/>
          <w:szCs w:val="24"/>
          <w:u w:val="single"/>
        </w:rPr>
      </w:pPr>
      <w:r w:rsidRPr="00826C78">
        <w:rPr>
          <w:rFonts w:ascii="Times New Roman" w:hAnsi="Times New Roman"/>
          <w:sz w:val="24"/>
          <w:szCs w:val="24"/>
        </w:rPr>
        <w:t>3.</w:t>
      </w:r>
      <w:r w:rsidRPr="00826C78">
        <w:rPr>
          <w:rFonts w:ascii="Times New Roman" w:hAnsi="Times New Roman"/>
          <w:sz w:val="24"/>
          <w:szCs w:val="24"/>
        </w:rPr>
        <w:tab/>
      </w:r>
      <w:r w:rsidRPr="00826C78">
        <w:rPr>
          <w:rFonts w:ascii="Times New Roman" w:hAnsi="Times New Roman"/>
          <w:sz w:val="24"/>
          <w:szCs w:val="24"/>
          <w:u w:val="single"/>
        </w:rPr>
        <w:t>Use of Improved Information Technology</w:t>
      </w:r>
    </w:p>
    <w:p w:rsidR="00833C5B" w:rsidRPr="00826C78" w:rsidRDefault="00833C5B" w:rsidP="00833C5B">
      <w:pPr>
        <w:tabs>
          <w:tab w:val="left" w:pos="-720"/>
          <w:tab w:val="left" w:pos="720"/>
          <w:tab w:val="right" w:pos="8648"/>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 surveys will </w:t>
      </w:r>
      <w:r w:rsidR="005C4126" w:rsidRPr="00826C78">
        <w:rPr>
          <w:rFonts w:ascii="Times New Roman" w:hAnsi="Times New Roman"/>
          <w:sz w:val="24"/>
          <w:szCs w:val="24"/>
        </w:rPr>
        <w:t>be administered using information technology.  As described above, grantees will receive a request to participate in an online survey through electronic mail</w:t>
      </w:r>
      <w:r w:rsidRPr="00826C78">
        <w:rPr>
          <w:rFonts w:ascii="Times New Roman" w:hAnsi="Times New Roman"/>
          <w:sz w:val="24"/>
          <w:szCs w:val="24"/>
        </w:rPr>
        <w:t>.</w:t>
      </w:r>
      <w:r w:rsidR="005C4126" w:rsidRPr="00826C78">
        <w:rPr>
          <w:rFonts w:ascii="Times New Roman" w:hAnsi="Times New Roman"/>
          <w:sz w:val="24"/>
          <w:szCs w:val="24"/>
        </w:rPr>
        <w:t xml:space="preserve">  This email provides the respondent with a link to access the survey.  Both baseline and follow-up surveys will be administered using this procedure.  In addition, auto-generated “thank you” messages </w:t>
      </w:r>
      <w:r w:rsidR="005C4126" w:rsidRPr="00826C78">
        <w:rPr>
          <w:rFonts w:ascii="Times New Roman" w:hAnsi="Times New Roman"/>
          <w:sz w:val="24"/>
          <w:szCs w:val="24"/>
        </w:rPr>
        <w:lastRenderedPageBreak/>
        <w:t xml:space="preserve">will be sent to the respondent after completing the baseline and follow-up surveys.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48"/>
        </w:tabs>
        <w:rPr>
          <w:rFonts w:ascii="Times New Roman" w:hAnsi="Times New Roman"/>
          <w:sz w:val="24"/>
          <w:szCs w:val="24"/>
          <w:u w:val="single"/>
        </w:rPr>
      </w:pPr>
      <w:r w:rsidRPr="00826C78">
        <w:rPr>
          <w:rFonts w:ascii="Times New Roman" w:hAnsi="Times New Roman"/>
          <w:sz w:val="24"/>
          <w:szCs w:val="24"/>
        </w:rPr>
        <w:t>4.</w:t>
      </w:r>
      <w:r w:rsidRPr="00826C78">
        <w:rPr>
          <w:rFonts w:ascii="Times New Roman" w:hAnsi="Times New Roman"/>
          <w:sz w:val="24"/>
          <w:szCs w:val="24"/>
        </w:rPr>
        <w:tab/>
      </w:r>
      <w:r w:rsidRPr="00826C78">
        <w:rPr>
          <w:rFonts w:ascii="Times New Roman" w:hAnsi="Times New Roman"/>
          <w:sz w:val="24"/>
          <w:szCs w:val="24"/>
          <w:u w:val="single"/>
        </w:rPr>
        <w:t>Efforts to Avoid Duplication</w:t>
      </w:r>
    </w:p>
    <w:p w:rsidR="00833C5B" w:rsidRPr="00826C78" w:rsidRDefault="00833C5B" w:rsidP="00833C5B">
      <w:pPr>
        <w:tabs>
          <w:tab w:val="left" w:pos="-720"/>
          <w:tab w:val="left" w:pos="720"/>
          <w:tab w:val="right" w:pos="8648"/>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Each survey is designed to </w:t>
      </w:r>
      <w:r w:rsidR="001F4D9D" w:rsidRPr="00826C78">
        <w:rPr>
          <w:rFonts w:ascii="Times New Roman" w:hAnsi="Times New Roman"/>
          <w:sz w:val="24"/>
          <w:szCs w:val="24"/>
        </w:rPr>
        <w:t xml:space="preserve">assess grantee perceptions of the effectiveness of the content and methods associated with the onsite TA </w:t>
      </w:r>
      <w:r w:rsidR="00925667" w:rsidRPr="00826C78">
        <w:rPr>
          <w:rFonts w:ascii="Times New Roman" w:hAnsi="Times New Roman"/>
          <w:sz w:val="24"/>
          <w:szCs w:val="24"/>
        </w:rPr>
        <w:t xml:space="preserve">specifically for the Ryan White </w:t>
      </w:r>
      <w:r w:rsidR="001F4D9D" w:rsidRPr="00826C78">
        <w:rPr>
          <w:rFonts w:ascii="Times New Roman" w:hAnsi="Times New Roman"/>
          <w:sz w:val="24"/>
          <w:szCs w:val="24"/>
        </w:rPr>
        <w:t xml:space="preserve">grantee program. </w:t>
      </w:r>
      <w:r w:rsidR="00925667" w:rsidRPr="00826C78">
        <w:rPr>
          <w:rFonts w:ascii="Times New Roman" w:hAnsi="Times New Roman"/>
          <w:sz w:val="24"/>
          <w:szCs w:val="24"/>
        </w:rPr>
        <w:t>Surveys have been designed and reviewed carefully t</w:t>
      </w:r>
      <w:r w:rsidRPr="00826C78">
        <w:rPr>
          <w:rFonts w:ascii="Times New Roman" w:hAnsi="Times New Roman"/>
          <w:sz w:val="24"/>
          <w:szCs w:val="24"/>
        </w:rPr>
        <w:t>o avoid potential duplication</w:t>
      </w:r>
      <w:r w:rsidR="005C4126" w:rsidRPr="00826C78">
        <w:rPr>
          <w:rFonts w:ascii="Times New Roman" w:hAnsi="Times New Roman"/>
          <w:sz w:val="24"/>
          <w:szCs w:val="24"/>
        </w:rPr>
        <w:t xml:space="preserve"> of other HAB assessments of technical assistance delivered by consultants</w:t>
      </w:r>
      <w:r w:rsidRPr="00826C78">
        <w:rPr>
          <w:rFonts w:ascii="Times New Roman" w:hAnsi="Times New Roman"/>
          <w:sz w:val="24"/>
          <w:szCs w:val="24"/>
        </w:rPr>
        <w:t xml:space="preserve">.  </w:t>
      </w:r>
      <w:r w:rsidR="00925667" w:rsidRPr="00826C78">
        <w:rPr>
          <w:rFonts w:ascii="Times New Roman" w:hAnsi="Times New Roman"/>
          <w:sz w:val="24"/>
          <w:szCs w:val="24"/>
        </w:rPr>
        <w:t xml:space="preserve">Therefore the proposed surveys are unique to this activity and the information is not found via web searches or elsewhere.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48"/>
        </w:tabs>
        <w:rPr>
          <w:rFonts w:ascii="Times New Roman" w:hAnsi="Times New Roman"/>
          <w:sz w:val="24"/>
          <w:szCs w:val="24"/>
          <w:u w:val="single"/>
        </w:rPr>
      </w:pPr>
      <w:r w:rsidRPr="00826C78">
        <w:rPr>
          <w:rFonts w:ascii="Times New Roman" w:hAnsi="Times New Roman"/>
          <w:sz w:val="24"/>
          <w:szCs w:val="24"/>
        </w:rPr>
        <w:t>5.</w:t>
      </w:r>
      <w:r w:rsidRPr="00826C78">
        <w:rPr>
          <w:rFonts w:ascii="Times New Roman" w:hAnsi="Times New Roman"/>
          <w:sz w:val="24"/>
          <w:szCs w:val="24"/>
        </w:rPr>
        <w:tab/>
      </w:r>
      <w:r w:rsidRPr="00826C78">
        <w:rPr>
          <w:rFonts w:ascii="Times New Roman" w:hAnsi="Times New Roman"/>
          <w:sz w:val="24"/>
          <w:szCs w:val="24"/>
          <w:u w:val="single"/>
        </w:rPr>
        <w:t>Involvement of Small Entities</w:t>
      </w:r>
    </w:p>
    <w:p w:rsidR="00833C5B" w:rsidRPr="00826C78" w:rsidRDefault="00833C5B" w:rsidP="00833C5B">
      <w:pPr>
        <w:tabs>
          <w:tab w:val="left" w:pos="-720"/>
          <w:tab w:val="left" w:pos="720"/>
          <w:tab w:val="right" w:pos="8648"/>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These surveys will not have a significant impact on small businesses or other small entities.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48"/>
        </w:tabs>
        <w:rPr>
          <w:rFonts w:ascii="Times New Roman" w:hAnsi="Times New Roman"/>
          <w:sz w:val="24"/>
          <w:szCs w:val="24"/>
          <w:u w:val="single"/>
        </w:rPr>
      </w:pPr>
      <w:r w:rsidRPr="00826C78">
        <w:rPr>
          <w:rFonts w:ascii="Times New Roman" w:hAnsi="Times New Roman"/>
          <w:sz w:val="24"/>
          <w:szCs w:val="24"/>
        </w:rPr>
        <w:t>6.</w:t>
      </w:r>
      <w:r w:rsidRPr="00826C78">
        <w:rPr>
          <w:rFonts w:ascii="Times New Roman" w:hAnsi="Times New Roman"/>
          <w:sz w:val="24"/>
          <w:szCs w:val="24"/>
        </w:rPr>
        <w:tab/>
      </w:r>
      <w:r w:rsidRPr="00826C78">
        <w:rPr>
          <w:rFonts w:ascii="Times New Roman" w:hAnsi="Times New Roman"/>
          <w:sz w:val="24"/>
          <w:szCs w:val="24"/>
          <w:u w:val="single"/>
        </w:rPr>
        <w:t>Consequences if Information Collected Less Frequently</w:t>
      </w:r>
    </w:p>
    <w:p w:rsidR="00833C5B" w:rsidRPr="00826C78" w:rsidRDefault="00833C5B" w:rsidP="00833C5B">
      <w:pPr>
        <w:tabs>
          <w:tab w:val="left" w:pos="-720"/>
          <w:tab w:val="left" w:pos="720"/>
          <w:tab w:val="right" w:pos="8648"/>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These surveys are </w:t>
      </w:r>
      <w:r w:rsidR="00785DC2" w:rsidRPr="00826C78">
        <w:rPr>
          <w:rFonts w:ascii="Times New Roman" w:hAnsi="Times New Roman"/>
          <w:sz w:val="24"/>
          <w:szCs w:val="24"/>
        </w:rPr>
        <w:t xml:space="preserve">being administered to </w:t>
      </w:r>
      <w:r w:rsidRPr="00826C78">
        <w:rPr>
          <w:rFonts w:ascii="Times New Roman" w:hAnsi="Times New Roman"/>
          <w:sz w:val="24"/>
          <w:szCs w:val="24"/>
        </w:rPr>
        <w:t xml:space="preserve">help evaluate delivery of </w:t>
      </w:r>
      <w:r w:rsidR="00785DC2" w:rsidRPr="00826C78">
        <w:rPr>
          <w:rFonts w:ascii="Times New Roman" w:hAnsi="Times New Roman"/>
          <w:sz w:val="24"/>
          <w:szCs w:val="24"/>
        </w:rPr>
        <w:t xml:space="preserve">National Technical Assistance for Ryan White HIV/AIDS Programs, specifically as they relate to the Comprehensive and Non-comprehensive onsite reviews/visits.  The frequency of data collection has been established to assess the efficacy of the technical assistance by providing a six-month period for grantees to assess the utility of the information and assistance provided and their ability to incorporate the recommendations produced through the technical assistance.  To collect the data less frequently would not provide an adequate window for grantees to assess the utility of the technical assistance.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77"/>
        </w:tabs>
        <w:rPr>
          <w:rFonts w:ascii="Times New Roman" w:hAnsi="Times New Roman"/>
          <w:sz w:val="24"/>
          <w:szCs w:val="24"/>
          <w:u w:val="single"/>
        </w:rPr>
      </w:pPr>
      <w:r w:rsidRPr="00826C78">
        <w:rPr>
          <w:rFonts w:ascii="Times New Roman" w:hAnsi="Times New Roman"/>
          <w:sz w:val="24"/>
          <w:szCs w:val="24"/>
        </w:rPr>
        <w:t>7.</w:t>
      </w:r>
      <w:r w:rsidRPr="00826C78">
        <w:rPr>
          <w:rFonts w:ascii="Times New Roman" w:hAnsi="Times New Roman"/>
          <w:sz w:val="24"/>
          <w:szCs w:val="24"/>
        </w:rPr>
        <w:tab/>
      </w:r>
      <w:r w:rsidRPr="00826C78">
        <w:rPr>
          <w:rFonts w:ascii="Times New Roman" w:hAnsi="Times New Roman"/>
          <w:sz w:val="24"/>
          <w:szCs w:val="24"/>
          <w:u w:val="single"/>
        </w:rPr>
        <w:t>Consistency With the Guidelines in 5 CFR 1320.5(d</w:t>
      </w:r>
      <w:proofErr w:type="gramStart"/>
      <w:r w:rsidRPr="00826C78">
        <w:rPr>
          <w:rFonts w:ascii="Times New Roman" w:hAnsi="Times New Roman"/>
          <w:sz w:val="24"/>
          <w:szCs w:val="24"/>
          <w:u w:val="single"/>
        </w:rPr>
        <w:t>)(</w:t>
      </w:r>
      <w:proofErr w:type="gramEnd"/>
      <w:r w:rsidRPr="00826C78">
        <w:rPr>
          <w:rFonts w:ascii="Times New Roman" w:hAnsi="Times New Roman"/>
          <w:sz w:val="24"/>
          <w:szCs w:val="24"/>
          <w:u w:val="single"/>
        </w:rPr>
        <w:t>2)</w:t>
      </w:r>
    </w:p>
    <w:p w:rsidR="00833C5B" w:rsidRPr="00826C78" w:rsidRDefault="00833C5B" w:rsidP="00833C5B">
      <w:pPr>
        <w:tabs>
          <w:tab w:val="left" w:pos="-720"/>
          <w:tab w:val="left" w:pos="720"/>
          <w:tab w:val="right" w:pos="8677"/>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These surveys will be implemented in a manner fully consistent with 5 CFR 1320.5(d</w:t>
      </w:r>
      <w:proofErr w:type="gramStart"/>
      <w:r w:rsidRPr="00826C78">
        <w:rPr>
          <w:rFonts w:ascii="Times New Roman" w:hAnsi="Times New Roman"/>
          <w:sz w:val="24"/>
          <w:szCs w:val="24"/>
        </w:rPr>
        <w:t>)(</w:t>
      </w:r>
      <w:proofErr w:type="gramEnd"/>
      <w:r w:rsidRPr="00826C78">
        <w:rPr>
          <w:rFonts w:ascii="Times New Roman" w:hAnsi="Times New Roman"/>
          <w:sz w:val="24"/>
          <w:szCs w:val="24"/>
        </w:rPr>
        <w:t>2).</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77"/>
        </w:tabs>
        <w:rPr>
          <w:rFonts w:ascii="Times New Roman" w:hAnsi="Times New Roman"/>
          <w:sz w:val="24"/>
          <w:szCs w:val="24"/>
          <w:u w:val="single"/>
        </w:rPr>
      </w:pPr>
      <w:r w:rsidRPr="00826C78">
        <w:rPr>
          <w:rFonts w:ascii="Times New Roman" w:hAnsi="Times New Roman"/>
          <w:sz w:val="24"/>
          <w:szCs w:val="24"/>
        </w:rPr>
        <w:t>8.</w:t>
      </w:r>
      <w:r w:rsidRPr="00826C78">
        <w:rPr>
          <w:rFonts w:ascii="Times New Roman" w:hAnsi="Times New Roman"/>
          <w:sz w:val="24"/>
          <w:szCs w:val="24"/>
        </w:rPr>
        <w:tab/>
      </w:r>
      <w:r w:rsidRPr="00826C78">
        <w:rPr>
          <w:rFonts w:ascii="Times New Roman" w:hAnsi="Times New Roman"/>
          <w:sz w:val="24"/>
          <w:szCs w:val="24"/>
          <w:u w:val="single"/>
        </w:rPr>
        <w:t xml:space="preserve">Consultation </w:t>
      </w:r>
      <w:proofErr w:type="gramStart"/>
      <w:r w:rsidRPr="00826C78">
        <w:rPr>
          <w:rFonts w:ascii="Times New Roman" w:hAnsi="Times New Roman"/>
          <w:sz w:val="24"/>
          <w:szCs w:val="24"/>
          <w:u w:val="single"/>
        </w:rPr>
        <w:t>Outside</w:t>
      </w:r>
      <w:proofErr w:type="gramEnd"/>
      <w:r w:rsidRPr="00826C78">
        <w:rPr>
          <w:rFonts w:ascii="Times New Roman" w:hAnsi="Times New Roman"/>
          <w:sz w:val="24"/>
          <w:szCs w:val="24"/>
          <w:u w:val="single"/>
        </w:rPr>
        <w:t xml:space="preserve"> the Agency</w:t>
      </w:r>
    </w:p>
    <w:p w:rsidR="00833C5B" w:rsidRPr="00826C78" w:rsidRDefault="00833C5B" w:rsidP="00833C5B">
      <w:pPr>
        <w:tabs>
          <w:tab w:val="left" w:pos="-720"/>
          <w:tab w:val="left" w:pos="720"/>
          <w:tab w:val="right" w:pos="8677"/>
        </w:tabs>
        <w:rPr>
          <w:rFonts w:ascii="Times New Roman" w:hAnsi="Times New Roman"/>
          <w:sz w:val="24"/>
          <w:szCs w:val="24"/>
        </w:rPr>
      </w:pPr>
    </w:p>
    <w:p w:rsidR="004A6862"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The surveys for this activity were developed by </w:t>
      </w:r>
      <w:r w:rsidR="004A6862" w:rsidRPr="00826C78">
        <w:rPr>
          <w:rFonts w:ascii="Times New Roman" w:hAnsi="Times New Roman"/>
          <w:sz w:val="24"/>
          <w:szCs w:val="24"/>
        </w:rPr>
        <w:t>contractors (</w:t>
      </w:r>
      <w:r w:rsidR="00785DC2" w:rsidRPr="00826C78">
        <w:rPr>
          <w:rFonts w:ascii="Times New Roman" w:hAnsi="Times New Roman"/>
          <w:sz w:val="24"/>
          <w:szCs w:val="24"/>
        </w:rPr>
        <w:t>GEARS, Inc.</w:t>
      </w:r>
      <w:r w:rsidR="004A6862" w:rsidRPr="00826C78">
        <w:rPr>
          <w:rFonts w:ascii="Times New Roman" w:hAnsi="Times New Roman"/>
          <w:sz w:val="24"/>
          <w:szCs w:val="24"/>
        </w:rPr>
        <w:t xml:space="preserve"> (Prime)</w:t>
      </w:r>
      <w:r w:rsidR="00785DC2" w:rsidRPr="00826C78">
        <w:rPr>
          <w:rFonts w:ascii="Times New Roman" w:hAnsi="Times New Roman"/>
          <w:sz w:val="24"/>
          <w:szCs w:val="24"/>
        </w:rPr>
        <w:t xml:space="preserve"> and </w:t>
      </w:r>
      <w:proofErr w:type="spellStart"/>
      <w:r w:rsidR="00785DC2" w:rsidRPr="00826C78">
        <w:rPr>
          <w:rFonts w:ascii="Times New Roman" w:hAnsi="Times New Roman"/>
          <w:sz w:val="24"/>
          <w:szCs w:val="24"/>
        </w:rPr>
        <w:t>Abt</w:t>
      </w:r>
      <w:proofErr w:type="spellEnd"/>
      <w:r w:rsidR="00785DC2" w:rsidRPr="00826C78">
        <w:rPr>
          <w:rFonts w:ascii="Times New Roman" w:hAnsi="Times New Roman"/>
          <w:sz w:val="24"/>
          <w:szCs w:val="24"/>
        </w:rPr>
        <w:t xml:space="preserve"> Associates</w:t>
      </w:r>
      <w:r w:rsidR="004A6862" w:rsidRPr="00826C78">
        <w:rPr>
          <w:rFonts w:ascii="Times New Roman" w:hAnsi="Times New Roman"/>
          <w:sz w:val="24"/>
          <w:szCs w:val="24"/>
        </w:rPr>
        <w:t xml:space="preserve"> (Subcontractor))</w:t>
      </w:r>
      <w:r w:rsidR="00785DC2" w:rsidRPr="00826C78">
        <w:rPr>
          <w:rFonts w:ascii="Times New Roman" w:hAnsi="Times New Roman"/>
          <w:sz w:val="24"/>
          <w:szCs w:val="24"/>
        </w:rPr>
        <w:t xml:space="preserve"> </w:t>
      </w:r>
      <w:r w:rsidRPr="00826C78">
        <w:rPr>
          <w:rFonts w:ascii="Times New Roman" w:hAnsi="Times New Roman"/>
          <w:sz w:val="24"/>
          <w:szCs w:val="24"/>
        </w:rPr>
        <w:t xml:space="preserve">with close collaboration </w:t>
      </w:r>
      <w:r w:rsidR="004A6862" w:rsidRPr="00826C78">
        <w:rPr>
          <w:rFonts w:ascii="Times New Roman" w:hAnsi="Times New Roman"/>
          <w:sz w:val="24"/>
          <w:szCs w:val="24"/>
        </w:rPr>
        <w:t xml:space="preserve">and approval </w:t>
      </w:r>
      <w:r w:rsidRPr="00826C78">
        <w:rPr>
          <w:rFonts w:ascii="Times New Roman" w:hAnsi="Times New Roman"/>
          <w:sz w:val="24"/>
          <w:szCs w:val="24"/>
        </w:rPr>
        <w:t xml:space="preserve">of </w:t>
      </w:r>
      <w:r w:rsidR="004A6862" w:rsidRPr="00826C78">
        <w:rPr>
          <w:rFonts w:ascii="Times New Roman" w:hAnsi="Times New Roman"/>
          <w:sz w:val="24"/>
          <w:szCs w:val="24"/>
        </w:rPr>
        <w:t>HAB staff</w:t>
      </w:r>
      <w:r w:rsidRPr="00826C78">
        <w:rPr>
          <w:rFonts w:ascii="Times New Roman" w:hAnsi="Times New Roman"/>
          <w:sz w:val="24"/>
          <w:szCs w:val="24"/>
        </w:rPr>
        <w:t>.</w:t>
      </w:r>
      <w:r w:rsidR="004A6862" w:rsidRPr="00826C78">
        <w:rPr>
          <w:rFonts w:ascii="Times New Roman" w:hAnsi="Times New Roman"/>
          <w:sz w:val="24"/>
          <w:szCs w:val="24"/>
        </w:rPr>
        <w:t xml:space="preserv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right" w:pos="8677"/>
        </w:tabs>
        <w:rPr>
          <w:rFonts w:ascii="Times New Roman" w:hAnsi="Times New Roman"/>
          <w:sz w:val="24"/>
          <w:szCs w:val="24"/>
          <w:u w:val="single"/>
        </w:rPr>
      </w:pPr>
      <w:r w:rsidRPr="00826C78">
        <w:rPr>
          <w:rFonts w:ascii="Times New Roman" w:hAnsi="Times New Roman"/>
          <w:sz w:val="24"/>
          <w:szCs w:val="24"/>
        </w:rPr>
        <w:t>9.</w:t>
      </w:r>
      <w:r w:rsidRPr="00826C78">
        <w:rPr>
          <w:rFonts w:ascii="Times New Roman" w:hAnsi="Times New Roman"/>
          <w:sz w:val="24"/>
          <w:szCs w:val="24"/>
        </w:rPr>
        <w:tab/>
        <w:t xml:space="preserve"> </w:t>
      </w:r>
      <w:r w:rsidRPr="00826C78">
        <w:rPr>
          <w:rFonts w:ascii="Times New Roman" w:hAnsi="Times New Roman"/>
          <w:sz w:val="24"/>
          <w:szCs w:val="24"/>
          <w:u w:val="single"/>
        </w:rPr>
        <w:t>Remuneration of Respondents</w:t>
      </w:r>
    </w:p>
    <w:p w:rsidR="00833C5B" w:rsidRPr="00826C78" w:rsidRDefault="00833C5B" w:rsidP="00833C5B">
      <w:pPr>
        <w:tabs>
          <w:tab w:val="left" w:pos="720"/>
          <w:tab w:val="right" w:pos="8677"/>
        </w:tabs>
        <w:rPr>
          <w:rFonts w:ascii="Times New Roman" w:hAnsi="Times New Roman"/>
          <w:sz w:val="24"/>
          <w:szCs w:val="24"/>
        </w:rPr>
      </w:pPr>
    </w:p>
    <w:p w:rsidR="00833C5B" w:rsidRPr="00826C78" w:rsidRDefault="00833C5B" w:rsidP="00833C5B">
      <w:pPr>
        <w:tabs>
          <w:tab w:val="left" w:pos="720"/>
          <w:tab w:val="right" w:pos="8677"/>
        </w:tabs>
        <w:rPr>
          <w:rFonts w:ascii="Times New Roman" w:hAnsi="Times New Roman"/>
          <w:sz w:val="24"/>
          <w:szCs w:val="24"/>
        </w:rPr>
      </w:pPr>
      <w:r w:rsidRPr="00826C78">
        <w:rPr>
          <w:rFonts w:ascii="Times New Roman" w:hAnsi="Times New Roman"/>
          <w:sz w:val="24"/>
          <w:szCs w:val="24"/>
        </w:rPr>
        <w:t xml:space="preserve">Not Applicable. </w:t>
      </w:r>
    </w:p>
    <w:p w:rsidR="00833C5B" w:rsidRPr="00826C78" w:rsidRDefault="00833C5B" w:rsidP="00833C5B">
      <w:pPr>
        <w:tabs>
          <w:tab w:val="left" w:pos="720"/>
          <w:tab w:val="right" w:pos="8677"/>
        </w:tabs>
        <w:rPr>
          <w:rFonts w:ascii="Times New Roman" w:hAnsi="Times New Roman"/>
          <w:sz w:val="24"/>
          <w:szCs w:val="24"/>
        </w:rPr>
      </w:pPr>
    </w:p>
    <w:p w:rsidR="00833C5B" w:rsidRPr="00826C78" w:rsidRDefault="00833C5B" w:rsidP="00833C5B">
      <w:pPr>
        <w:tabs>
          <w:tab w:val="left" w:pos="-720"/>
          <w:tab w:val="left" w:pos="720"/>
          <w:tab w:val="right" w:pos="8677"/>
        </w:tabs>
        <w:rPr>
          <w:rFonts w:ascii="Times New Roman" w:hAnsi="Times New Roman"/>
          <w:sz w:val="24"/>
          <w:szCs w:val="24"/>
          <w:u w:val="single"/>
        </w:rPr>
      </w:pPr>
      <w:r w:rsidRPr="00826C78">
        <w:rPr>
          <w:rFonts w:ascii="Times New Roman" w:hAnsi="Times New Roman"/>
          <w:sz w:val="24"/>
          <w:szCs w:val="24"/>
        </w:rPr>
        <w:t>10.</w:t>
      </w:r>
      <w:r w:rsidRPr="00826C78">
        <w:rPr>
          <w:rFonts w:ascii="Times New Roman" w:hAnsi="Times New Roman"/>
          <w:sz w:val="24"/>
          <w:szCs w:val="24"/>
        </w:rPr>
        <w:tab/>
      </w:r>
      <w:r w:rsidRPr="00826C78">
        <w:rPr>
          <w:rFonts w:ascii="Times New Roman" w:hAnsi="Times New Roman"/>
          <w:sz w:val="24"/>
          <w:szCs w:val="24"/>
          <w:u w:val="single"/>
        </w:rPr>
        <w:t>Assurance of Confidentiality</w:t>
      </w:r>
    </w:p>
    <w:p w:rsidR="00833C5B" w:rsidRPr="00826C78" w:rsidRDefault="00833C5B" w:rsidP="00833C5B">
      <w:pPr>
        <w:tabs>
          <w:tab w:val="left" w:pos="-720"/>
          <w:tab w:val="left" w:pos="720"/>
          <w:tab w:val="right" w:pos="8677"/>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To date, the HRSA customer satisfaction surveys have not collected personally identifiable </w:t>
      </w:r>
      <w:r w:rsidRPr="00826C78">
        <w:rPr>
          <w:rFonts w:ascii="Times New Roman" w:hAnsi="Times New Roman"/>
          <w:sz w:val="24"/>
          <w:szCs w:val="24"/>
        </w:rPr>
        <w:lastRenderedPageBreak/>
        <w:t>information from respondents.  This collection of information will involve names of respondents and their organization’s phone number to be able to conduct the telephone surveys and will fully comply with all aspects of the Privacy Act.  Participation is fully voluntary and responses are anonymous.  Respondents will be assured that neither their participation/non-participation nor any responses to items will have any effect on their participation in HRSA programs.</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10080"/>
        </w:tabs>
        <w:rPr>
          <w:rFonts w:ascii="Times New Roman" w:hAnsi="Times New Roman"/>
          <w:sz w:val="24"/>
          <w:szCs w:val="24"/>
          <w:u w:val="single"/>
        </w:rPr>
      </w:pPr>
      <w:r w:rsidRPr="00826C78">
        <w:rPr>
          <w:rFonts w:ascii="Times New Roman" w:hAnsi="Times New Roman"/>
          <w:sz w:val="24"/>
          <w:szCs w:val="24"/>
        </w:rPr>
        <w:t>11.</w:t>
      </w:r>
      <w:r w:rsidRPr="00826C78">
        <w:rPr>
          <w:rFonts w:ascii="Times New Roman" w:hAnsi="Times New Roman"/>
          <w:sz w:val="24"/>
          <w:szCs w:val="24"/>
        </w:rPr>
        <w:tab/>
      </w:r>
      <w:r w:rsidRPr="00826C78">
        <w:rPr>
          <w:rFonts w:ascii="Times New Roman" w:hAnsi="Times New Roman"/>
          <w:sz w:val="24"/>
          <w:szCs w:val="24"/>
          <w:u w:val="single"/>
        </w:rPr>
        <w:t>Questions of a Sensitive Nature</w:t>
      </w:r>
    </w:p>
    <w:p w:rsidR="00833C5B" w:rsidRPr="00826C78" w:rsidRDefault="00833C5B" w:rsidP="00833C5B">
      <w:pPr>
        <w:tabs>
          <w:tab w:val="left" w:pos="-720"/>
          <w:tab w:val="left" w:pos="720"/>
          <w:tab w:val="right" w:pos="10080"/>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 surveys do not contain questions of a sensitive nature. </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10080"/>
        </w:tabs>
        <w:rPr>
          <w:rFonts w:ascii="Times New Roman" w:hAnsi="Times New Roman"/>
          <w:sz w:val="24"/>
          <w:szCs w:val="24"/>
          <w:u w:val="single"/>
        </w:rPr>
      </w:pPr>
      <w:r w:rsidRPr="00826C78">
        <w:rPr>
          <w:rFonts w:ascii="Times New Roman" w:hAnsi="Times New Roman"/>
          <w:sz w:val="24"/>
          <w:szCs w:val="24"/>
        </w:rPr>
        <w:t>12.</w:t>
      </w:r>
      <w:r w:rsidRPr="00826C78">
        <w:rPr>
          <w:rFonts w:ascii="Times New Roman" w:hAnsi="Times New Roman"/>
          <w:sz w:val="24"/>
          <w:szCs w:val="24"/>
        </w:rPr>
        <w:tab/>
      </w:r>
      <w:r w:rsidRPr="00826C78">
        <w:rPr>
          <w:rFonts w:ascii="Times New Roman" w:hAnsi="Times New Roman"/>
          <w:sz w:val="24"/>
          <w:szCs w:val="24"/>
          <w:u w:val="single"/>
        </w:rPr>
        <w:t>Estimates of Annualized Hour Burden</w:t>
      </w:r>
    </w:p>
    <w:p w:rsidR="00833C5B" w:rsidRPr="00826C78" w:rsidRDefault="00833C5B" w:rsidP="00833C5B">
      <w:pPr>
        <w:tabs>
          <w:tab w:val="left" w:pos="-720"/>
          <w:tab w:val="left" w:pos="720"/>
          <w:tab w:val="right" w:pos="10080"/>
        </w:tabs>
        <w:rPr>
          <w:rFonts w:ascii="Times New Roman" w:hAnsi="Times New Roman"/>
          <w:sz w:val="24"/>
          <w:szCs w:val="24"/>
          <w:u w:val="single"/>
        </w:rPr>
      </w:pPr>
    </w:p>
    <w:p w:rsidR="00833C5B" w:rsidRPr="00826C78" w:rsidRDefault="00833C5B" w:rsidP="00833C5B">
      <w:pPr>
        <w:pStyle w:val="NormalSS"/>
        <w:ind w:firstLine="0"/>
        <w:jc w:val="left"/>
        <w:rPr>
          <w:i/>
          <w:iCs/>
          <w:szCs w:val="24"/>
        </w:rPr>
      </w:pPr>
      <w:r w:rsidRPr="00826C78">
        <w:rPr>
          <w:i/>
          <w:iCs/>
          <w:szCs w:val="24"/>
        </w:rPr>
        <w:t>Respondents</w:t>
      </w:r>
    </w:p>
    <w:p w:rsidR="00833C5B" w:rsidRPr="00826C78" w:rsidRDefault="00833C5B" w:rsidP="00833C5B">
      <w:pPr>
        <w:pStyle w:val="NormalSS"/>
        <w:ind w:firstLine="0"/>
        <w:jc w:val="left"/>
        <w:rPr>
          <w:szCs w:val="24"/>
        </w:rPr>
      </w:pPr>
    </w:p>
    <w:p w:rsidR="00833C5B" w:rsidRPr="00826C78" w:rsidRDefault="005F5077" w:rsidP="00833C5B">
      <w:pPr>
        <w:pStyle w:val="NormalSS"/>
        <w:ind w:firstLine="0"/>
        <w:jc w:val="left"/>
        <w:rPr>
          <w:iCs/>
          <w:szCs w:val="24"/>
        </w:rPr>
      </w:pPr>
      <w:r w:rsidRPr="00826C78">
        <w:rPr>
          <w:iCs/>
          <w:szCs w:val="24"/>
        </w:rPr>
        <w:t xml:space="preserve">This survey will target individuals </w:t>
      </w:r>
      <w:r w:rsidR="004C47E0" w:rsidRPr="00826C78">
        <w:rPr>
          <w:iCs/>
          <w:szCs w:val="24"/>
        </w:rPr>
        <w:t xml:space="preserve">indicated on the initial TA request from HRSA as the grantee point of contact.  This individual will most likely serve in </w:t>
      </w:r>
      <w:r w:rsidR="004A6862" w:rsidRPr="00826C78">
        <w:rPr>
          <w:iCs/>
          <w:szCs w:val="24"/>
        </w:rPr>
        <w:t xml:space="preserve">one of </w:t>
      </w:r>
      <w:r w:rsidR="004C47E0" w:rsidRPr="00826C78">
        <w:rPr>
          <w:iCs/>
          <w:szCs w:val="24"/>
        </w:rPr>
        <w:t xml:space="preserve">the following </w:t>
      </w:r>
      <w:r w:rsidRPr="00826C78">
        <w:rPr>
          <w:iCs/>
          <w:szCs w:val="24"/>
        </w:rPr>
        <w:t>role</w:t>
      </w:r>
      <w:r w:rsidR="004C47E0" w:rsidRPr="00826C78">
        <w:rPr>
          <w:iCs/>
          <w:szCs w:val="24"/>
        </w:rPr>
        <w:t>(s)</w:t>
      </w:r>
      <w:r w:rsidR="004A6862" w:rsidRPr="00826C78">
        <w:rPr>
          <w:iCs/>
          <w:szCs w:val="24"/>
        </w:rPr>
        <w:t>: as</w:t>
      </w:r>
      <w:r w:rsidR="004C47E0" w:rsidRPr="00826C78">
        <w:rPr>
          <w:iCs/>
          <w:szCs w:val="24"/>
        </w:rPr>
        <w:t xml:space="preserve"> </w:t>
      </w:r>
      <w:r w:rsidRPr="00826C78">
        <w:rPr>
          <w:iCs/>
          <w:szCs w:val="24"/>
        </w:rPr>
        <w:t>Project</w:t>
      </w:r>
      <w:r w:rsidR="004A6862" w:rsidRPr="00826C78">
        <w:rPr>
          <w:iCs/>
          <w:szCs w:val="24"/>
        </w:rPr>
        <w:t>/</w:t>
      </w:r>
      <w:r w:rsidRPr="00826C78">
        <w:rPr>
          <w:iCs/>
          <w:szCs w:val="24"/>
        </w:rPr>
        <w:t xml:space="preserve"> Program Director </w:t>
      </w:r>
      <w:r w:rsidR="004A6862" w:rsidRPr="00826C78">
        <w:rPr>
          <w:iCs/>
          <w:szCs w:val="24"/>
        </w:rPr>
        <w:t xml:space="preserve">or as </w:t>
      </w:r>
      <w:r w:rsidRPr="00826C78">
        <w:rPr>
          <w:iCs/>
          <w:szCs w:val="24"/>
        </w:rPr>
        <w:t>Project</w:t>
      </w:r>
      <w:r w:rsidR="004A6862" w:rsidRPr="00826C78">
        <w:rPr>
          <w:iCs/>
          <w:szCs w:val="24"/>
        </w:rPr>
        <w:t>/</w:t>
      </w:r>
      <w:r w:rsidRPr="00826C78">
        <w:rPr>
          <w:iCs/>
          <w:szCs w:val="24"/>
        </w:rPr>
        <w:t xml:space="preserve">Program Manager of the agency’s Ryan White </w:t>
      </w:r>
      <w:r w:rsidR="004C47E0" w:rsidRPr="00826C78">
        <w:rPr>
          <w:iCs/>
          <w:szCs w:val="24"/>
        </w:rPr>
        <w:t xml:space="preserve">HIV/AIDS </w:t>
      </w:r>
      <w:r w:rsidRPr="00826C78">
        <w:rPr>
          <w:iCs/>
          <w:szCs w:val="24"/>
        </w:rPr>
        <w:t>program</w:t>
      </w:r>
      <w:r w:rsidR="00351720" w:rsidRPr="00826C78">
        <w:rPr>
          <w:iCs/>
          <w:szCs w:val="24"/>
        </w:rPr>
        <w:t xml:space="preserve">. </w:t>
      </w:r>
      <w:r w:rsidR="00351720" w:rsidRPr="00826C78">
        <w:rPr>
          <w:szCs w:val="24"/>
        </w:rPr>
        <w:t xml:space="preserve"> </w:t>
      </w:r>
    </w:p>
    <w:p w:rsidR="00833C5B" w:rsidRPr="00826C78" w:rsidRDefault="00833C5B" w:rsidP="00833C5B">
      <w:pPr>
        <w:pStyle w:val="NormalSS"/>
        <w:ind w:firstLine="0"/>
        <w:jc w:val="left"/>
        <w:rPr>
          <w:szCs w:val="24"/>
        </w:rPr>
      </w:pPr>
    </w:p>
    <w:p w:rsidR="00833C5B" w:rsidRPr="00826C78" w:rsidRDefault="00833C5B" w:rsidP="00833C5B">
      <w:pPr>
        <w:pStyle w:val="NormalSS"/>
        <w:ind w:firstLine="0"/>
        <w:jc w:val="left"/>
        <w:rPr>
          <w:i/>
          <w:iCs/>
          <w:szCs w:val="24"/>
        </w:rPr>
      </w:pPr>
      <w:r w:rsidRPr="00826C78">
        <w:rPr>
          <w:i/>
          <w:iCs/>
          <w:szCs w:val="24"/>
        </w:rPr>
        <w:t>Annual burden estimates</w:t>
      </w:r>
    </w:p>
    <w:p w:rsidR="00833C5B" w:rsidRPr="00826C78" w:rsidRDefault="00833C5B" w:rsidP="00833C5B">
      <w:pPr>
        <w:pStyle w:val="NormalSS"/>
        <w:ind w:firstLine="0"/>
        <w:jc w:val="left"/>
        <w:rPr>
          <w:szCs w:val="24"/>
        </w:rPr>
      </w:pPr>
    </w:p>
    <w:p w:rsidR="00833C5B" w:rsidRPr="00826C78" w:rsidRDefault="00833C5B" w:rsidP="00833C5B">
      <w:pPr>
        <w:pStyle w:val="NormalSS"/>
        <w:ind w:firstLine="0"/>
        <w:jc w:val="left"/>
        <w:rPr>
          <w:szCs w:val="24"/>
        </w:rPr>
      </w:pPr>
      <w:r w:rsidRPr="00826C78">
        <w:rPr>
          <w:szCs w:val="24"/>
        </w:rPr>
        <w:t xml:space="preserve">The total respondent burden for the </w:t>
      </w:r>
      <w:r w:rsidR="004A6862" w:rsidRPr="00826C78">
        <w:rPr>
          <w:szCs w:val="24"/>
        </w:rPr>
        <w:t>online</w:t>
      </w:r>
      <w:r w:rsidRPr="00826C78">
        <w:rPr>
          <w:szCs w:val="24"/>
        </w:rPr>
        <w:t xml:space="preserve"> customer satisfaction surveys is estimated to be </w:t>
      </w:r>
      <w:r w:rsidR="0018357F" w:rsidRPr="00826C78">
        <w:rPr>
          <w:szCs w:val="24"/>
        </w:rPr>
        <w:t xml:space="preserve">156 </w:t>
      </w:r>
      <w:r w:rsidRPr="00826C78">
        <w:rPr>
          <w:szCs w:val="24"/>
        </w:rPr>
        <w:t xml:space="preserve">hours.  We expect a total of </w:t>
      </w:r>
      <w:r w:rsidR="0018357F" w:rsidRPr="00826C78">
        <w:rPr>
          <w:szCs w:val="24"/>
        </w:rPr>
        <w:t>78</w:t>
      </w:r>
      <w:r w:rsidRPr="00826C78">
        <w:rPr>
          <w:szCs w:val="24"/>
        </w:rPr>
        <w:t xml:space="preserve"> respondents to participate in the </w:t>
      </w:r>
      <w:r w:rsidR="0018357F" w:rsidRPr="00826C78">
        <w:rPr>
          <w:szCs w:val="24"/>
        </w:rPr>
        <w:t xml:space="preserve">Non-comprehensive and Comprehensive </w:t>
      </w:r>
      <w:r w:rsidRPr="00826C78">
        <w:rPr>
          <w:szCs w:val="24"/>
        </w:rPr>
        <w:t xml:space="preserve">surveys: </w:t>
      </w:r>
      <w:r w:rsidR="0018357F" w:rsidRPr="00826C78">
        <w:rPr>
          <w:szCs w:val="24"/>
        </w:rPr>
        <w:t>38</w:t>
      </w:r>
      <w:r w:rsidRPr="00826C78">
        <w:rPr>
          <w:szCs w:val="24"/>
        </w:rPr>
        <w:t xml:space="preserve"> respondents from </w:t>
      </w:r>
      <w:r w:rsidR="009D763D">
        <w:rPr>
          <w:szCs w:val="24"/>
        </w:rPr>
        <w:t>the grantees receiving N</w:t>
      </w:r>
      <w:r w:rsidR="0018357F" w:rsidRPr="00826C78">
        <w:rPr>
          <w:szCs w:val="24"/>
        </w:rPr>
        <w:t>on-comprehensive onsite reviews and 40 responden</w:t>
      </w:r>
      <w:r w:rsidR="009D763D">
        <w:rPr>
          <w:szCs w:val="24"/>
        </w:rPr>
        <w:t>ts from the grantees receiving C</w:t>
      </w:r>
      <w:r w:rsidR="0018357F" w:rsidRPr="00826C78">
        <w:rPr>
          <w:szCs w:val="24"/>
        </w:rPr>
        <w:t xml:space="preserve">omprehensive onsite reviews.  </w:t>
      </w:r>
    </w:p>
    <w:p w:rsidR="00833C5B" w:rsidRPr="00826C78" w:rsidRDefault="00833C5B" w:rsidP="00833C5B">
      <w:pPr>
        <w:pStyle w:val="NormalSS"/>
        <w:ind w:firstLine="0"/>
        <w:jc w:val="left"/>
        <w:rPr>
          <w:szCs w:val="24"/>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350"/>
        <w:gridCol w:w="1440"/>
        <w:gridCol w:w="1170"/>
        <w:gridCol w:w="1260"/>
        <w:gridCol w:w="900"/>
        <w:gridCol w:w="810"/>
        <w:gridCol w:w="990"/>
      </w:tblGrid>
      <w:tr w:rsidR="00BA0EBF" w:rsidRPr="00826C78" w:rsidTr="0018357F">
        <w:tc>
          <w:tcPr>
            <w:tcW w:w="180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Type of Collection</w:t>
            </w:r>
          </w:p>
        </w:tc>
        <w:tc>
          <w:tcPr>
            <w:tcW w:w="135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Number of Respondents</w:t>
            </w:r>
          </w:p>
        </w:tc>
        <w:tc>
          <w:tcPr>
            <w:tcW w:w="1440" w:type="dxa"/>
          </w:tcPr>
          <w:p w:rsidR="00833C5B" w:rsidRPr="00826C78" w:rsidRDefault="00833C5B" w:rsidP="00620250">
            <w:pPr>
              <w:pStyle w:val="Center"/>
              <w:spacing w:line="240" w:lineRule="auto"/>
              <w:jc w:val="left"/>
              <w:rPr>
                <w:sz w:val="22"/>
                <w:szCs w:val="22"/>
              </w:rPr>
            </w:pPr>
            <w:r w:rsidRPr="00826C78">
              <w:rPr>
                <w:sz w:val="22"/>
                <w:szCs w:val="22"/>
              </w:rPr>
              <w:t>Responses per Respondent</w:t>
            </w:r>
          </w:p>
        </w:tc>
        <w:tc>
          <w:tcPr>
            <w:tcW w:w="117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Total Responses</w:t>
            </w:r>
          </w:p>
        </w:tc>
        <w:tc>
          <w:tcPr>
            <w:tcW w:w="126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Hours per Respondent</w:t>
            </w:r>
          </w:p>
        </w:tc>
        <w:tc>
          <w:tcPr>
            <w:tcW w:w="90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Total Burden Hours</w:t>
            </w:r>
          </w:p>
        </w:tc>
        <w:tc>
          <w:tcPr>
            <w:tcW w:w="81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Wage Rate</w:t>
            </w:r>
          </w:p>
        </w:tc>
        <w:tc>
          <w:tcPr>
            <w:tcW w:w="990" w:type="dxa"/>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Total Hour Cost</w:t>
            </w:r>
          </w:p>
        </w:tc>
      </w:tr>
      <w:tr w:rsidR="00BA0EBF" w:rsidRPr="00826C78" w:rsidTr="0018357F">
        <w:trPr>
          <w:trHeight w:val="552"/>
        </w:trPr>
        <w:tc>
          <w:tcPr>
            <w:tcW w:w="1800" w:type="dxa"/>
            <w:vAlign w:val="center"/>
          </w:tcPr>
          <w:p w:rsidR="00833C5B" w:rsidRPr="00826C78" w:rsidRDefault="003C2F79" w:rsidP="00620250">
            <w:pPr>
              <w:pStyle w:val="TOC1"/>
              <w:rPr>
                <w:sz w:val="22"/>
                <w:szCs w:val="22"/>
              </w:rPr>
            </w:pPr>
            <w:r w:rsidRPr="00826C78">
              <w:rPr>
                <w:sz w:val="22"/>
                <w:szCs w:val="22"/>
              </w:rPr>
              <w:t>Non-Comprehensive Onsite Visits</w:t>
            </w:r>
          </w:p>
        </w:tc>
        <w:tc>
          <w:tcPr>
            <w:tcW w:w="135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38</w:t>
            </w:r>
          </w:p>
        </w:tc>
        <w:tc>
          <w:tcPr>
            <w:tcW w:w="1440" w:type="dxa"/>
            <w:vAlign w:val="center"/>
          </w:tcPr>
          <w:p w:rsidR="00833C5B" w:rsidRPr="00826C78" w:rsidRDefault="004A6862" w:rsidP="00620250">
            <w:pPr>
              <w:pStyle w:val="Center"/>
              <w:spacing w:line="240" w:lineRule="auto"/>
              <w:jc w:val="left"/>
              <w:rPr>
                <w:sz w:val="22"/>
                <w:szCs w:val="22"/>
              </w:rPr>
            </w:pPr>
            <w:r w:rsidRPr="00826C78">
              <w:rPr>
                <w:sz w:val="22"/>
                <w:szCs w:val="22"/>
              </w:rPr>
              <w:t>2</w:t>
            </w:r>
          </w:p>
        </w:tc>
        <w:tc>
          <w:tcPr>
            <w:tcW w:w="117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76</w:t>
            </w:r>
          </w:p>
        </w:tc>
        <w:tc>
          <w:tcPr>
            <w:tcW w:w="126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.1</w:t>
            </w:r>
            <w:r w:rsidR="004A6862" w:rsidRPr="00826C78">
              <w:rPr>
                <w:rFonts w:ascii="Times New Roman" w:hAnsi="Times New Roman"/>
                <w:sz w:val="22"/>
                <w:szCs w:val="22"/>
              </w:rPr>
              <w:t>66</w:t>
            </w:r>
          </w:p>
        </w:tc>
        <w:tc>
          <w:tcPr>
            <w:tcW w:w="90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12.62</w:t>
            </w:r>
          </w:p>
        </w:tc>
        <w:tc>
          <w:tcPr>
            <w:tcW w:w="81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$29</w:t>
            </w:r>
          </w:p>
        </w:tc>
        <w:tc>
          <w:tcPr>
            <w:tcW w:w="990" w:type="dxa"/>
            <w:vAlign w:val="center"/>
          </w:tcPr>
          <w:p w:rsidR="00833C5B" w:rsidRPr="00826C78" w:rsidRDefault="00CA66B9" w:rsidP="00826C78">
            <w:pPr>
              <w:rPr>
                <w:rFonts w:ascii="Times New Roman" w:hAnsi="Times New Roman"/>
                <w:sz w:val="22"/>
                <w:szCs w:val="22"/>
              </w:rPr>
            </w:pPr>
            <w:r w:rsidRPr="00826C78">
              <w:rPr>
                <w:rFonts w:ascii="Times New Roman" w:hAnsi="Times New Roman"/>
                <w:sz w:val="22"/>
                <w:szCs w:val="22"/>
              </w:rPr>
              <w:t>$</w:t>
            </w:r>
            <w:r w:rsidR="004A6862" w:rsidRPr="00826C78">
              <w:rPr>
                <w:rFonts w:ascii="Times New Roman" w:hAnsi="Times New Roman"/>
                <w:sz w:val="22"/>
                <w:szCs w:val="22"/>
              </w:rPr>
              <w:t>365.98</w:t>
            </w:r>
          </w:p>
        </w:tc>
      </w:tr>
      <w:tr w:rsidR="00BA0EBF" w:rsidRPr="00826C78" w:rsidTr="0018357F">
        <w:trPr>
          <w:trHeight w:val="552"/>
        </w:trPr>
        <w:tc>
          <w:tcPr>
            <w:tcW w:w="1800" w:type="dxa"/>
            <w:vAlign w:val="center"/>
          </w:tcPr>
          <w:p w:rsidR="00833C5B" w:rsidRPr="00826C78" w:rsidRDefault="003C2F79" w:rsidP="00620250">
            <w:pPr>
              <w:pStyle w:val="TOC1"/>
              <w:rPr>
                <w:sz w:val="22"/>
                <w:szCs w:val="22"/>
              </w:rPr>
            </w:pPr>
            <w:r w:rsidRPr="00826C78">
              <w:rPr>
                <w:sz w:val="22"/>
                <w:szCs w:val="22"/>
              </w:rPr>
              <w:t>Comprehensive Onsite Visits</w:t>
            </w:r>
          </w:p>
        </w:tc>
        <w:tc>
          <w:tcPr>
            <w:tcW w:w="135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40</w:t>
            </w:r>
          </w:p>
        </w:tc>
        <w:tc>
          <w:tcPr>
            <w:tcW w:w="1440" w:type="dxa"/>
            <w:vAlign w:val="center"/>
          </w:tcPr>
          <w:p w:rsidR="00833C5B" w:rsidRPr="00826C78" w:rsidRDefault="004A6862" w:rsidP="00620250">
            <w:pPr>
              <w:pStyle w:val="Center"/>
              <w:spacing w:line="240" w:lineRule="auto"/>
              <w:jc w:val="left"/>
              <w:rPr>
                <w:sz w:val="22"/>
                <w:szCs w:val="22"/>
              </w:rPr>
            </w:pPr>
            <w:r w:rsidRPr="00826C78">
              <w:rPr>
                <w:sz w:val="22"/>
                <w:szCs w:val="22"/>
              </w:rPr>
              <w:t>2</w:t>
            </w:r>
          </w:p>
        </w:tc>
        <w:tc>
          <w:tcPr>
            <w:tcW w:w="117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80</w:t>
            </w:r>
          </w:p>
        </w:tc>
        <w:tc>
          <w:tcPr>
            <w:tcW w:w="126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.1</w:t>
            </w:r>
            <w:r w:rsidR="004A6862" w:rsidRPr="00826C78">
              <w:rPr>
                <w:rFonts w:ascii="Times New Roman" w:hAnsi="Times New Roman"/>
                <w:sz w:val="22"/>
                <w:szCs w:val="22"/>
              </w:rPr>
              <w:t>66</w:t>
            </w:r>
          </w:p>
        </w:tc>
        <w:tc>
          <w:tcPr>
            <w:tcW w:w="90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13.28</w:t>
            </w:r>
          </w:p>
        </w:tc>
        <w:tc>
          <w:tcPr>
            <w:tcW w:w="810" w:type="dxa"/>
            <w:vAlign w:val="center"/>
          </w:tcPr>
          <w:p w:rsidR="00833C5B" w:rsidRPr="00826C78" w:rsidRDefault="003C2F79" w:rsidP="00620250">
            <w:pPr>
              <w:rPr>
                <w:rFonts w:ascii="Times New Roman" w:hAnsi="Times New Roman"/>
                <w:sz w:val="22"/>
                <w:szCs w:val="22"/>
              </w:rPr>
            </w:pPr>
            <w:r w:rsidRPr="00826C78">
              <w:rPr>
                <w:rFonts w:ascii="Times New Roman" w:hAnsi="Times New Roman"/>
                <w:sz w:val="22"/>
                <w:szCs w:val="22"/>
              </w:rPr>
              <w:t>$29</w:t>
            </w:r>
          </w:p>
        </w:tc>
        <w:tc>
          <w:tcPr>
            <w:tcW w:w="990" w:type="dxa"/>
            <w:vAlign w:val="center"/>
          </w:tcPr>
          <w:p w:rsidR="00833C5B" w:rsidRPr="00826C78" w:rsidRDefault="00CA66B9" w:rsidP="00826C78">
            <w:pPr>
              <w:rPr>
                <w:rFonts w:ascii="Times New Roman" w:hAnsi="Times New Roman"/>
                <w:sz w:val="22"/>
                <w:szCs w:val="22"/>
              </w:rPr>
            </w:pPr>
            <w:r w:rsidRPr="00826C78">
              <w:rPr>
                <w:rFonts w:ascii="Times New Roman" w:hAnsi="Times New Roman"/>
                <w:sz w:val="22"/>
                <w:szCs w:val="22"/>
              </w:rPr>
              <w:t>$</w:t>
            </w:r>
            <w:r w:rsidR="004A6862" w:rsidRPr="00826C78">
              <w:rPr>
                <w:rFonts w:ascii="Times New Roman" w:hAnsi="Times New Roman"/>
                <w:sz w:val="22"/>
                <w:szCs w:val="22"/>
              </w:rPr>
              <w:t>385.12</w:t>
            </w:r>
          </w:p>
        </w:tc>
      </w:tr>
      <w:tr w:rsidR="00BA0EBF" w:rsidRPr="00826C78" w:rsidTr="0018357F">
        <w:trPr>
          <w:trHeight w:val="552"/>
        </w:trPr>
        <w:tc>
          <w:tcPr>
            <w:tcW w:w="1800" w:type="dxa"/>
            <w:vAlign w:val="center"/>
          </w:tcPr>
          <w:p w:rsidR="00833C5B" w:rsidRPr="00826C78" w:rsidRDefault="00833C5B" w:rsidP="00620250">
            <w:pPr>
              <w:rPr>
                <w:rFonts w:ascii="Times New Roman" w:hAnsi="Times New Roman"/>
                <w:sz w:val="22"/>
                <w:szCs w:val="22"/>
              </w:rPr>
            </w:pPr>
            <w:r w:rsidRPr="00826C78">
              <w:rPr>
                <w:rFonts w:ascii="Times New Roman" w:hAnsi="Times New Roman"/>
                <w:sz w:val="22"/>
                <w:szCs w:val="22"/>
              </w:rPr>
              <w:t>Total</w:t>
            </w:r>
          </w:p>
        </w:tc>
        <w:tc>
          <w:tcPr>
            <w:tcW w:w="135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78</w:t>
            </w:r>
          </w:p>
        </w:tc>
        <w:tc>
          <w:tcPr>
            <w:tcW w:w="1440" w:type="dxa"/>
            <w:vAlign w:val="center"/>
          </w:tcPr>
          <w:p w:rsidR="00833C5B" w:rsidRPr="00826C78" w:rsidRDefault="001B2526" w:rsidP="00620250">
            <w:pPr>
              <w:rPr>
                <w:rFonts w:ascii="Times New Roman" w:hAnsi="Times New Roman"/>
                <w:sz w:val="22"/>
                <w:szCs w:val="22"/>
              </w:rPr>
            </w:pPr>
            <w:r>
              <w:rPr>
                <w:rFonts w:ascii="Times New Roman" w:hAnsi="Times New Roman"/>
                <w:sz w:val="22"/>
                <w:szCs w:val="22"/>
              </w:rPr>
              <w:t>2</w:t>
            </w:r>
          </w:p>
        </w:tc>
        <w:tc>
          <w:tcPr>
            <w:tcW w:w="117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156</w:t>
            </w:r>
          </w:p>
        </w:tc>
        <w:tc>
          <w:tcPr>
            <w:tcW w:w="1260" w:type="dxa"/>
            <w:vAlign w:val="center"/>
          </w:tcPr>
          <w:p w:rsidR="00833C5B" w:rsidRPr="00826C78" w:rsidRDefault="001B2526" w:rsidP="00620250">
            <w:pPr>
              <w:rPr>
                <w:rFonts w:ascii="Times New Roman" w:hAnsi="Times New Roman"/>
                <w:sz w:val="22"/>
                <w:szCs w:val="22"/>
              </w:rPr>
            </w:pPr>
            <w:r>
              <w:rPr>
                <w:rFonts w:ascii="Times New Roman" w:hAnsi="Times New Roman"/>
                <w:sz w:val="22"/>
                <w:szCs w:val="22"/>
              </w:rPr>
              <w:t>.166</w:t>
            </w:r>
          </w:p>
        </w:tc>
        <w:tc>
          <w:tcPr>
            <w:tcW w:w="900" w:type="dxa"/>
            <w:vAlign w:val="center"/>
          </w:tcPr>
          <w:p w:rsidR="00833C5B" w:rsidRPr="00826C78" w:rsidRDefault="001B2526" w:rsidP="00620250">
            <w:pPr>
              <w:rPr>
                <w:rFonts w:ascii="Times New Roman" w:hAnsi="Times New Roman"/>
                <w:sz w:val="22"/>
                <w:szCs w:val="22"/>
              </w:rPr>
            </w:pPr>
            <w:r>
              <w:rPr>
                <w:rFonts w:ascii="Times New Roman" w:hAnsi="Times New Roman"/>
                <w:sz w:val="22"/>
                <w:szCs w:val="22"/>
              </w:rPr>
              <w:t>25.9</w:t>
            </w:r>
          </w:p>
        </w:tc>
        <w:tc>
          <w:tcPr>
            <w:tcW w:w="810" w:type="dxa"/>
            <w:vAlign w:val="center"/>
          </w:tcPr>
          <w:p w:rsidR="00833C5B" w:rsidRPr="00826C78" w:rsidRDefault="00833C5B" w:rsidP="00620250">
            <w:pPr>
              <w:rPr>
                <w:rFonts w:ascii="Times New Roman" w:hAnsi="Times New Roman"/>
                <w:sz w:val="22"/>
                <w:szCs w:val="22"/>
              </w:rPr>
            </w:pPr>
          </w:p>
        </w:tc>
        <w:tc>
          <w:tcPr>
            <w:tcW w:w="990" w:type="dxa"/>
            <w:vAlign w:val="center"/>
          </w:tcPr>
          <w:p w:rsidR="00833C5B" w:rsidRPr="00826C78" w:rsidRDefault="004A6862" w:rsidP="00620250">
            <w:pPr>
              <w:rPr>
                <w:rFonts w:ascii="Times New Roman" w:hAnsi="Times New Roman"/>
                <w:sz w:val="22"/>
                <w:szCs w:val="22"/>
              </w:rPr>
            </w:pPr>
            <w:r w:rsidRPr="00826C78">
              <w:rPr>
                <w:rFonts w:ascii="Times New Roman" w:hAnsi="Times New Roman"/>
                <w:sz w:val="22"/>
                <w:szCs w:val="22"/>
              </w:rPr>
              <w:t>$751.10</w:t>
            </w:r>
          </w:p>
        </w:tc>
      </w:tr>
    </w:tbl>
    <w:p w:rsidR="00833C5B" w:rsidRPr="00826C78" w:rsidRDefault="00833C5B" w:rsidP="00833C5B">
      <w:pPr>
        <w:pStyle w:val="NormalSS"/>
        <w:ind w:firstLine="0"/>
        <w:jc w:val="left"/>
        <w:rPr>
          <w:szCs w:val="24"/>
        </w:rPr>
      </w:pPr>
    </w:p>
    <w:p w:rsidR="0018357F" w:rsidRPr="00826C78" w:rsidRDefault="00833C5B" w:rsidP="00833C5B">
      <w:pPr>
        <w:pStyle w:val="NormalSS"/>
        <w:ind w:firstLine="0"/>
        <w:jc w:val="left"/>
        <w:rPr>
          <w:i/>
          <w:szCs w:val="24"/>
        </w:rPr>
      </w:pPr>
      <w:r w:rsidRPr="00826C78">
        <w:rPr>
          <w:i/>
          <w:szCs w:val="24"/>
        </w:rPr>
        <w:t>Planned frequency of information collection</w:t>
      </w:r>
    </w:p>
    <w:p w:rsidR="0018357F" w:rsidRPr="00826C78" w:rsidRDefault="0018357F" w:rsidP="00833C5B">
      <w:pPr>
        <w:pStyle w:val="NormalSS"/>
        <w:ind w:firstLine="0"/>
        <w:jc w:val="left"/>
        <w:rPr>
          <w:i/>
          <w:szCs w:val="24"/>
        </w:rPr>
      </w:pPr>
    </w:p>
    <w:p w:rsidR="0018357F" w:rsidRPr="00826C78" w:rsidRDefault="0018357F" w:rsidP="00833C5B">
      <w:pPr>
        <w:pStyle w:val="NormalSS"/>
        <w:ind w:firstLine="0"/>
        <w:jc w:val="left"/>
        <w:rPr>
          <w:szCs w:val="24"/>
        </w:rPr>
      </w:pPr>
      <w:r w:rsidRPr="00826C78">
        <w:rPr>
          <w:szCs w:val="24"/>
        </w:rPr>
        <w:t xml:space="preserve">This information will be collected for all Comprehensive and Non-comprehensive </w:t>
      </w:r>
      <w:r w:rsidR="00EE59DC" w:rsidRPr="00826C78">
        <w:rPr>
          <w:szCs w:val="24"/>
        </w:rPr>
        <w:t xml:space="preserve">onsite reviews/visits.  Baseline information will be collected immediately after the onsite technical assistance has been given and follow-up will be collected six-months after the onsite technical assistance has been received.  </w:t>
      </w:r>
    </w:p>
    <w:p w:rsidR="00EE59DC" w:rsidRPr="00826C78" w:rsidRDefault="00EE59DC" w:rsidP="00833C5B">
      <w:pPr>
        <w:pStyle w:val="NormalSS"/>
        <w:ind w:firstLine="0"/>
        <w:jc w:val="left"/>
        <w:rPr>
          <w:szCs w:val="24"/>
        </w:rPr>
      </w:pPr>
    </w:p>
    <w:p w:rsidR="00833C5B" w:rsidRPr="00826C78" w:rsidRDefault="00833C5B" w:rsidP="00833C5B">
      <w:pPr>
        <w:pStyle w:val="NormalSS"/>
        <w:ind w:firstLine="0"/>
        <w:jc w:val="left"/>
        <w:rPr>
          <w:bCs/>
          <w:szCs w:val="24"/>
        </w:rPr>
      </w:pPr>
    </w:p>
    <w:p w:rsidR="00833C5B" w:rsidRPr="00826C78" w:rsidRDefault="00833C5B" w:rsidP="00833C5B">
      <w:pPr>
        <w:tabs>
          <w:tab w:val="left" w:pos="720"/>
          <w:tab w:val="right" w:pos="8732"/>
        </w:tabs>
        <w:rPr>
          <w:rFonts w:ascii="Times New Roman" w:hAnsi="Times New Roman"/>
          <w:sz w:val="24"/>
          <w:szCs w:val="24"/>
          <w:u w:val="single"/>
        </w:rPr>
      </w:pPr>
      <w:r w:rsidRPr="00826C78">
        <w:rPr>
          <w:rFonts w:ascii="Times New Roman" w:hAnsi="Times New Roman"/>
          <w:sz w:val="24"/>
          <w:szCs w:val="24"/>
        </w:rPr>
        <w:t>13.</w:t>
      </w:r>
      <w:r w:rsidRPr="00826C78">
        <w:rPr>
          <w:rFonts w:ascii="Times New Roman" w:hAnsi="Times New Roman"/>
          <w:sz w:val="24"/>
          <w:szCs w:val="24"/>
        </w:rPr>
        <w:tab/>
      </w:r>
      <w:r w:rsidRPr="00826C78">
        <w:rPr>
          <w:rFonts w:ascii="Times New Roman" w:hAnsi="Times New Roman"/>
          <w:sz w:val="24"/>
          <w:szCs w:val="24"/>
          <w:u w:val="single"/>
        </w:rPr>
        <w:t>Estimates of Annualized Cost Burden to Respondents</w:t>
      </w:r>
    </w:p>
    <w:p w:rsidR="00833C5B" w:rsidRPr="00826C78" w:rsidRDefault="00833C5B" w:rsidP="00833C5B">
      <w:pPr>
        <w:tabs>
          <w:tab w:val="left" w:pos="720"/>
          <w:tab w:val="right" w:pos="8732"/>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The only associated cost to respondents is their time to provide the requested information.</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right" w:pos="8732"/>
        </w:tabs>
        <w:rPr>
          <w:rFonts w:ascii="Times New Roman" w:hAnsi="Times New Roman"/>
          <w:sz w:val="24"/>
          <w:szCs w:val="24"/>
          <w:u w:val="single"/>
        </w:rPr>
      </w:pPr>
      <w:r w:rsidRPr="00826C78">
        <w:rPr>
          <w:rFonts w:ascii="Times New Roman" w:hAnsi="Times New Roman"/>
          <w:sz w:val="24"/>
          <w:szCs w:val="24"/>
        </w:rPr>
        <w:t>14.</w:t>
      </w:r>
      <w:r w:rsidRPr="00826C78">
        <w:rPr>
          <w:rFonts w:ascii="Times New Roman" w:hAnsi="Times New Roman"/>
          <w:sz w:val="24"/>
          <w:szCs w:val="24"/>
        </w:rPr>
        <w:tab/>
      </w:r>
      <w:r w:rsidRPr="00826C78">
        <w:rPr>
          <w:rFonts w:ascii="Times New Roman" w:hAnsi="Times New Roman"/>
          <w:sz w:val="24"/>
          <w:szCs w:val="24"/>
          <w:u w:val="single"/>
        </w:rPr>
        <w:t>Estimates of Annualized Cost to the Government</w:t>
      </w:r>
    </w:p>
    <w:p w:rsidR="00833C5B" w:rsidRPr="00826C78" w:rsidRDefault="00833C5B" w:rsidP="00833C5B">
      <w:pPr>
        <w:tabs>
          <w:tab w:val="left" w:pos="720"/>
          <w:tab w:val="right" w:pos="8732"/>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The </w:t>
      </w:r>
      <w:r w:rsidR="00EE59DC" w:rsidRPr="00826C78">
        <w:rPr>
          <w:rFonts w:ascii="Times New Roman" w:hAnsi="Times New Roman"/>
          <w:sz w:val="24"/>
          <w:szCs w:val="24"/>
        </w:rPr>
        <w:t xml:space="preserve">online survey will be overseen by GEARS, Inc. and their subcontractor </w:t>
      </w:r>
      <w:proofErr w:type="spellStart"/>
      <w:r w:rsidR="00EE59DC" w:rsidRPr="00826C78">
        <w:rPr>
          <w:rFonts w:ascii="Times New Roman" w:hAnsi="Times New Roman"/>
          <w:sz w:val="24"/>
          <w:szCs w:val="24"/>
        </w:rPr>
        <w:t>Abt</w:t>
      </w:r>
      <w:proofErr w:type="spellEnd"/>
      <w:r w:rsidR="00EE59DC" w:rsidRPr="00826C78">
        <w:rPr>
          <w:rFonts w:ascii="Times New Roman" w:hAnsi="Times New Roman"/>
          <w:sz w:val="24"/>
          <w:szCs w:val="24"/>
        </w:rPr>
        <w:t xml:space="preserve"> Associates.  The estimated annual cost to the government is $135,469.08, which includes portal management, data collection, analysis and reporting.</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44"/>
          <w:tab w:val="left" w:pos="720"/>
          <w:tab w:val="right" w:pos="8732"/>
        </w:tabs>
        <w:rPr>
          <w:rFonts w:ascii="Times New Roman" w:hAnsi="Times New Roman"/>
          <w:sz w:val="24"/>
          <w:szCs w:val="24"/>
          <w:u w:val="single"/>
        </w:rPr>
      </w:pPr>
      <w:r w:rsidRPr="00826C78">
        <w:rPr>
          <w:rFonts w:ascii="Times New Roman" w:hAnsi="Times New Roman"/>
          <w:sz w:val="24"/>
          <w:szCs w:val="24"/>
        </w:rPr>
        <w:t>15.</w:t>
      </w:r>
      <w:r w:rsidRPr="00826C78">
        <w:rPr>
          <w:rFonts w:ascii="Times New Roman" w:hAnsi="Times New Roman"/>
          <w:sz w:val="24"/>
          <w:szCs w:val="24"/>
        </w:rPr>
        <w:tab/>
      </w:r>
      <w:r w:rsidRPr="00826C78">
        <w:rPr>
          <w:rFonts w:ascii="Times New Roman" w:hAnsi="Times New Roman"/>
          <w:sz w:val="24"/>
          <w:szCs w:val="24"/>
          <w:u w:val="single"/>
        </w:rPr>
        <w:t>Change in Burden</w:t>
      </w:r>
    </w:p>
    <w:p w:rsidR="00833C5B" w:rsidRPr="00826C78" w:rsidRDefault="00833C5B" w:rsidP="00833C5B">
      <w:pPr>
        <w:tabs>
          <w:tab w:val="left" w:pos="-720"/>
          <w:tab w:val="left" w:pos="44"/>
          <w:tab w:val="left" w:pos="720"/>
          <w:tab w:val="right" w:pos="8732"/>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Not Applicable.  This is a new activity under HRSA’s generic clearance and will be included in the total burden currently approved by OMB under OMB Control No. 0915-0212.</w:t>
      </w:r>
    </w:p>
    <w:p w:rsidR="00833C5B" w:rsidRPr="00826C78" w:rsidRDefault="00833C5B" w:rsidP="00833C5B">
      <w:pPr>
        <w:tabs>
          <w:tab w:val="left" w:pos="-720"/>
        </w:tabs>
        <w:rPr>
          <w:rFonts w:ascii="Times New Roman" w:hAnsi="Times New Roman"/>
          <w:sz w:val="24"/>
          <w:szCs w:val="24"/>
        </w:rPr>
      </w:pPr>
    </w:p>
    <w:p w:rsidR="004C47E0" w:rsidRPr="00826C78" w:rsidRDefault="004C47E0" w:rsidP="00351720">
      <w:pPr>
        <w:tabs>
          <w:tab w:val="left" w:pos="-720"/>
          <w:tab w:val="left" w:pos="720"/>
          <w:tab w:val="right" w:pos="8732"/>
        </w:tabs>
        <w:rPr>
          <w:rFonts w:ascii="Times New Roman" w:hAnsi="Times New Roman"/>
          <w:sz w:val="24"/>
          <w:szCs w:val="24"/>
          <w:highlight w:val="green"/>
        </w:rPr>
      </w:pPr>
    </w:p>
    <w:p w:rsidR="00351720" w:rsidRPr="00826C78" w:rsidRDefault="00351720" w:rsidP="00351720">
      <w:pPr>
        <w:tabs>
          <w:tab w:val="left" w:pos="-720"/>
          <w:tab w:val="left" w:pos="720"/>
          <w:tab w:val="right" w:pos="8732"/>
        </w:tabs>
        <w:rPr>
          <w:rFonts w:ascii="Times New Roman" w:hAnsi="Times New Roman"/>
          <w:sz w:val="24"/>
          <w:szCs w:val="24"/>
          <w:u w:val="single"/>
        </w:rPr>
      </w:pPr>
      <w:r w:rsidRPr="00826C78">
        <w:rPr>
          <w:rFonts w:ascii="Times New Roman" w:hAnsi="Times New Roman"/>
          <w:sz w:val="24"/>
          <w:szCs w:val="24"/>
        </w:rPr>
        <w:t>16.</w:t>
      </w:r>
      <w:r w:rsidRPr="00826C78">
        <w:rPr>
          <w:rFonts w:ascii="Times New Roman" w:hAnsi="Times New Roman"/>
          <w:sz w:val="24"/>
          <w:szCs w:val="24"/>
        </w:rPr>
        <w:tab/>
      </w:r>
      <w:r w:rsidRPr="00826C78">
        <w:rPr>
          <w:rFonts w:ascii="Times New Roman" w:hAnsi="Times New Roman"/>
          <w:sz w:val="24"/>
          <w:szCs w:val="24"/>
          <w:u w:val="single"/>
        </w:rPr>
        <w:t>Plans for Analysis and Timetable of Key Activities</w:t>
      </w:r>
    </w:p>
    <w:p w:rsidR="00351720" w:rsidRPr="00826C78" w:rsidRDefault="00351720" w:rsidP="00351720">
      <w:pPr>
        <w:pStyle w:val="NormalSS"/>
        <w:ind w:firstLine="0"/>
        <w:jc w:val="left"/>
        <w:rPr>
          <w:szCs w:val="24"/>
        </w:rPr>
      </w:pPr>
    </w:p>
    <w:p w:rsidR="00833C5B" w:rsidRDefault="00351720" w:rsidP="00833C5B">
      <w:pPr>
        <w:tabs>
          <w:tab w:val="left" w:pos="-720"/>
          <w:tab w:val="right" w:pos="8692"/>
        </w:tabs>
        <w:rPr>
          <w:rFonts w:ascii="Times New Roman" w:hAnsi="Times New Roman"/>
          <w:sz w:val="24"/>
          <w:szCs w:val="24"/>
        </w:rPr>
      </w:pPr>
      <w:r w:rsidRPr="00826C78">
        <w:rPr>
          <w:rFonts w:ascii="Times New Roman" w:hAnsi="Times New Roman"/>
          <w:sz w:val="24"/>
          <w:szCs w:val="24"/>
        </w:rPr>
        <w:t>The online surveys will be conducted</w:t>
      </w:r>
      <w:r w:rsidR="00447F81" w:rsidRPr="00826C78">
        <w:rPr>
          <w:rFonts w:ascii="Times New Roman" w:hAnsi="Times New Roman"/>
          <w:sz w:val="24"/>
          <w:szCs w:val="24"/>
        </w:rPr>
        <w:t xml:space="preserve"> as part of the activities for the National Technical Assistance for the Ryan White HIV/AIDS Program.  Currently this covers a minimum of three months and a maximum of 15 months.  </w:t>
      </w:r>
      <w:r w:rsidRPr="00826C78">
        <w:rPr>
          <w:rFonts w:ascii="Times New Roman" w:hAnsi="Times New Roman"/>
          <w:sz w:val="24"/>
          <w:szCs w:val="24"/>
        </w:rPr>
        <w:t xml:space="preserve">Survey responses will be summarized and examined </w:t>
      </w:r>
      <w:r w:rsidR="00447F81" w:rsidRPr="00826C78">
        <w:rPr>
          <w:rFonts w:ascii="Times New Roman" w:hAnsi="Times New Roman"/>
          <w:sz w:val="24"/>
          <w:szCs w:val="24"/>
        </w:rPr>
        <w:t xml:space="preserve">at minimum </w:t>
      </w:r>
      <w:r w:rsidRPr="00826C78">
        <w:rPr>
          <w:rFonts w:ascii="Times New Roman" w:hAnsi="Times New Roman"/>
          <w:sz w:val="24"/>
          <w:szCs w:val="24"/>
        </w:rPr>
        <w:t>using descriptive analyses</w:t>
      </w:r>
      <w:r w:rsidR="00447F81" w:rsidRPr="00826C78">
        <w:rPr>
          <w:rFonts w:ascii="Times New Roman" w:hAnsi="Times New Roman"/>
          <w:sz w:val="24"/>
          <w:szCs w:val="24"/>
        </w:rPr>
        <w:t xml:space="preserve"> (e.g. means, standard deviations, frequencies, etc.).  Parametric and non-parametric tests will be used where meaningful and appropriate.  Qualitative data will be summarized and evaluated using descriptive and thematic analysis.  F</w:t>
      </w:r>
      <w:r w:rsidRPr="00826C78">
        <w:rPr>
          <w:rFonts w:ascii="Times New Roman" w:hAnsi="Times New Roman"/>
          <w:sz w:val="24"/>
          <w:szCs w:val="24"/>
        </w:rPr>
        <w:t xml:space="preserve">indings will only be used for internal service improvement and will not be generalized to the public.  There are no plans for publication of any survey results.  </w:t>
      </w:r>
    </w:p>
    <w:p w:rsidR="008A2C87" w:rsidRPr="00826C78" w:rsidRDefault="008A2C87" w:rsidP="00833C5B">
      <w:pPr>
        <w:tabs>
          <w:tab w:val="left" w:pos="-720"/>
          <w:tab w:val="right" w:pos="8692"/>
        </w:tabs>
        <w:rPr>
          <w:rFonts w:ascii="Times New Roman" w:hAnsi="Times New Roman"/>
          <w:sz w:val="24"/>
          <w:szCs w:val="24"/>
        </w:rPr>
      </w:pPr>
    </w:p>
    <w:p w:rsidR="00833C5B" w:rsidRPr="00826C78" w:rsidRDefault="00833C5B" w:rsidP="00833C5B">
      <w:pPr>
        <w:tabs>
          <w:tab w:val="left" w:pos="720"/>
          <w:tab w:val="right" w:pos="8692"/>
        </w:tabs>
        <w:rPr>
          <w:rFonts w:ascii="Times New Roman" w:hAnsi="Times New Roman"/>
          <w:sz w:val="24"/>
          <w:szCs w:val="24"/>
          <w:u w:val="single"/>
        </w:rPr>
      </w:pPr>
      <w:r w:rsidRPr="00826C78">
        <w:rPr>
          <w:rFonts w:ascii="Times New Roman" w:hAnsi="Times New Roman"/>
          <w:sz w:val="24"/>
          <w:szCs w:val="24"/>
        </w:rPr>
        <w:t>17.</w:t>
      </w:r>
      <w:r w:rsidRPr="00826C78">
        <w:rPr>
          <w:rFonts w:ascii="Times New Roman" w:hAnsi="Times New Roman"/>
          <w:sz w:val="24"/>
          <w:szCs w:val="24"/>
        </w:rPr>
        <w:tab/>
      </w:r>
      <w:r w:rsidRPr="00826C78">
        <w:rPr>
          <w:rFonts w:ascii="Times New Roman" w:hAnsi="Times New Roman"/>
          <w:sz w:val="24"/>
          <w:szCs w:val="24"/>
          <w:u w:val="single"/>
        </w:rPr>
        <w:t>Exemption for Display of Expiration Date</w:t>
      </w:r>
    </w:p>
    <w:p w:rsidR="00833C5B" w:rsidRPr="00826C78" w:rsidRDefault="00833C5B" w:rsidP="00833C5B">
      <w:pPr>
        <w:tabs>
          <w:tab w:val="left" w:pos="720"/>
          <w:tab w:val="right" w:pos="8692"/>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No exemption is being requested.  The expiration date will be displayed.</w:t>
      </w:r>
    </w:p>
    <w:p w:rsidR="00833C5B" w:rsidRPr="00826C78" w:rsidRDefault="00833C5B" w:rsidP="00833C5B">
      <w:pPr>
        <w:tabs>
          <w:tab w:val="left" w:pos="-720"/>
        </w:tabs>
        <w:rPr>
          <w:rFonts w:ascii="Times New Roman" w:hAnsi="Times New Roman"/>
          <w:sz w:val="24"/>
          <w:szCs w:val="24"/>
        </w:rPr>
      </w:pPr>
    </w:p>
    <w:p w:rsidR="00833C5B" w:rsidRPr="00826C78" w:rsidRDefault="00833C5B" w:rsidP="00833C5B">
      <w:pPr>
        <w:tabs>
          <w:tab w:val="left" w:pos="-720"/>
          <w:tab w:val="left" w:pos="720"/>
          <w:tab w:val="right" w:pos="8692"/>
        </w:tabs>
        <w:rPr>
          <w:rFonts w:ascii="Times New Roman" w:hAnsi="Times New Roman"/>
          <w:sz w:val="24"/>
          <w:szCs w:val="24"/>
          <w:u w:val="single"/>
        </w:rPr>
      </w:pPr>
      <w:r w:rsidRPr="00826C78">
        <w:rPr>
          <w:rFonts w:ascii="Times New Roman" w:hAnsi="Times New Roman"/>
          <w:sz w:val="24"/>
          <w:szCs w:val="24"/>
        </w:rPr>
        <w:t>18.</w:t>
      </w:r>
      <w:r w:rsidRPr="00826C78">
        <w:rPr>
          <w:rFonts w:ascii="Times New Roman" w:hAnsi="Times New Roman"/>
          <w:sz w:val="24"/>
          <w:szCs w:val="24"/>
        </w:rPr>
        <w:tab/>
      </w:r>
      <w:r w:rsidRPr="00826C78">
        <w:rPr>
          <w:rFonts w:ascii="Times New Roman" w:hAnsi="Times New Roman"/>
          <w:sz w:val="24"/>
          <w:szCs w:val="24"/>
          <w:u w:val="single"/>
        </w:rPr>
        <w:t>Certifications</w:t>
      </w:r>
    </w:p>
    <w:p w:rsidR="00833C5B" w:rsidRPr="00826C78" w:rsidRDefault="00833C5B" w:rsidP="00833C5B">
      <w:pPr>
        <w:tabs>
          <w:tab w:val="left" w:pos="-720"/>
          <w:tab w:val="left" w:pos="720"/>
          <w:tab w:val="right" w:pos="8692"/>
        </w:tabs>
        <w:rPr>
          <w:rFonts w:ascii="Times New Roman" w:hAnsi="Times New Roman"/>
          <w:sz w:val="24"/>
          <w:szCs w:val="24"/>
        </w:rPr>
      </w:pPr>
    </w:p>
    <w:p w:rsidR="00833C5B" w:rsidRPr="00826C78" w:rsidRDefault="00833C5B" w:rsidP="00833C5B">
      <w:pPr>
        <w:tabs>
          <w:tab w:val="left" w:pos="-720"/>
        </w:tabs>
        <w:rPr>
          <w:rFonts w:ascii="Times New Roman" w:hAnsi="Times New Roman"/>
          <w:sz w:val="24"/>
          <w:szCs w:val="24"/>
        </w:rPr>
      </w:pPr>
      <w:r w:rsidRPr="00826C78">
        <w:rPr>
          <w:rFonts w:ascii="Times New Roman" w:hAnsi="Times New Roman"/>
          <w:sz w:val="24"/>
          <w:szCs w:val="24"/>
        </w:rPr>
        <w:t xml:space="preserve">This information collection activity will comply with the requirements in 5 CFR 1320.9. </w:t>
      </w:r>
    </w:p>
    <w:p w:rsidR="003C48B8" w:rsidRPr="00826C78" w:rsidRDefault="003C48B8"/>
    <w:sectPr w:rsidR="003C48B8" w:rsidRPr="00826C78">
      <w:headerReference w:type="default" r:id="rId9"/>
      <w:footerReference w:type="default" r:id="rId10"/>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6F8" w:rsidRDefault="00BF46F8" w:rsidP="00972142">
      <w:r>
        <w:separator/>
      </w:r>
    </w:p>
  </w:endnote>
  <w:endnote w:type="continuationSeparator" w:id="0">
    <w:p w:rsidR="00BF46F8" w:rsidRDefault="00BF46F8" w:rsidP="0097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52700724"/>
      <w:docPartObj>
        <w:docPartGallery w:val="Page Numbers (Bottom of Page)"/>
        <w:docPartUnique/>
      </w:docPartObj>
    </w:sdtPr>
    <w:sdtEndPr/>
    <w:sdtContent>
      <w:sdt>
        <w:sdtPr>
          <w:rPr>
            <w:rFonts w:ascii="Times New Roman" w:hAnsi="Times New Roman"/>
          </w:rPr>
          <w:id w:val="860082579"/>
          <w:docPartObj>
            <w:docPartGallery w:val="Page Numbers (Top of Page)"/>
            <w:docPartUnique/>
          </w:docPartObj>
        </w:sdtPr>
        <w:sdtEndPr/>
        <w:sdtContent>
          <w:p w:rsidR="008A2C87" w:rsidRPr="008A2C87" w:rsidRDefault="008A2C87">
            <w:pPr>
              <w:pStyle w:val="Footer"/>
              <w:jc w:val="right"/>
              <w:rPr>
                <w:rFonts w:ascii="Times New Roman" w:hAnsi="Times New Roman"/>
              </w:rPr>
            </w:pPr>
            <w:r w:rsidRPr="008A2C87">
              <w:rPr>
                <w:rFonts w:ascii="Times New Roman" w:hAnsi="Times New Roman"/>
              </w:rPr>
              <w:t xml:space="preserve">Page </w:t>
            </w:r>
            <w:r w:rsidRPr="008A2C87">
              <w:rPr>
                <w:rFonts w:ascii="Times New Roman" w:hAnsi="Times New Roman"/>
                <w:b/>
                <w:bCs/>
                <w:sz w:val="24"/>
                <w:szCs w:val="24"/>
              </w:rPr>
              <w:fldChar w:fldCharType="begin"/>
            </w:r>
            <w:r w:rsidRPr="008A2C87">
              <w:rPr>
                <w:rFonts w:ascii="Times New Roman" w:hAnsi="Times New Roman"/>
                <w:b/>
                <w:bCs/>
              </w:rPr>
              <w:instrText xml:space="preserve"> PAGE </w:instrText>
            </w:r>
            <w:r w:rsidRPr="008A2C87">
              <w:rPr>
                <w:rFonts w:ascii="Times New Roman" w:hAnsi="Times New Roman"/>
                <w:b/>
                <w:bCs/>
                <w:sz w:val="24"/>
                <w:szCs w:val="24"/>
              </w:rPr>
              <w:fldChar w:fldCharType="separate"/>
            </w:r>
            <w:r w:rsidR="00DF7392">
              <w:rPr>
                <w:rFonts w:ascii="Times New Roman" w:hAnsi="Times New Roman"/>
                <w:b/>
                <w:bCs/>
                <w:noProof/>
              </w:rPr>
              <w:t>2</w:t>
            </w:r>
            <w:r w:rsidRPr="008A2C87">
              <w:rPr>
                <w:rFonts w:ascii="Times New Roman" w:hAnsi="Times New Roman"/>
                <w:b/>
                <w:bCs/>
                <w:sz w:val="24"/>
                <w:szCs w:val="24"/>
              </w:rPr>
              <w:fldChar w:fldCharType="end"/>
            </w:r>
            <w:r w:rsidRPr="008A2C87">
              <w:rPr>
                <w:rFonts w:ascii="Times New Roman" w:hAnsi="Times New Roman"/>
              </w:rPr>
              <w:t xml:space="preserve"> of </w:t>
            </w:r>
            <w:r w:rsidRPr="008A2C87">
              <w:rPr>
                <w:rFonts w:ascii="Times New Roman" w:hAnsi="Times New Roman"/>
                <w:b/>
                <w:bCs/>
                <w:sz w:val="24"/>
                <w:szCs w:val="24"/>
              </w:rPr>
              <w:fldChar w:fldCharType="begin"/>
            </w:r>
            <w:r w:rsidRPr="008A2C87">
              <w:rPr>
                <w:rFonts w:ascii="Times New Roman" w:hAnsi="Times New Roman"/>
                <w:b/>
                <w:bCs/>
              </w:rPr>
              <w:instrText xml:space="preserve"> NUMPAGES  </w:instrText>
            </w:r>
            <w:r w:rsidRPr="008A2C87">
              <w:rPr>
                <w:rFonts w:ascii="Times New Roman" w:hAnsi="Times New Roman"/>
                <w:b/>
                <w:bCs/>
                <w:sz w:val="24"/>
                <w:szCs w:val="24"/>
              </w:rPr>
              <w:fldChar w:fldCharType="separate"/>
            </w:r>
            <w:r w:rsidR="00DF7392">
              <w:rPr>
                <w:rFonts w:ascii="Times New Roman" w:hAnsi="Times New Roman"/>
                <w:b/>
                <w:bCs/>
                <w:noProof/>
              </w:rPr>
              <w:t>5</w:t>
            </w:r>
            <w:r w:rsidRPr="008A2C87">
              <w:rPr>
                <w:rFonts w:ascii="Times New Roman" w:hAnsi="Times New Roman"/>
                <w:b/>
                <w:bCs/>
                <w:sz w:val="24"/>
                <w:szCs w:val="24"/>
              </w:rPr>
              <w:fldChar w:fldCharType="end"/>
            </w:r>
          </w:p>
        </w:sdtContent>
      </w:sdt>
    </w:sdtContent>
  </w:sdt>
  <w:p w:rsidR="007B2471" w:rsidRDefault="00DF7392">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6F8" w:rsidRDefault="00BF46F8" w:rsidP="00972142">
      <w:r>
        <w:separator/>
      </w:r>
    </w:p>
  </w:footnote>
  <w:footnote w:type="continuationSeparator" w:id="0">
    <w:p w:rsidR="00BF46F8" w:rsidRDefault="00BF46F8" w:rsidP="00972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42" w:rsidRDefault="00972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34A3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5B"/>
    <w:rsid w:val="0000328C"/>
    <w:rsid w:val="00062D96"/>
    <w:rsid w:val="00124276"/>
    <w:rsid w:val="0018357F"/>
    <w:rsid w:val="00184076"/>
    <w:rsid w:val="001B2526"/>
    <w:rsid w:val="001F4D9D"/>
    <w:rsid w:val="00351720"/>
    <w:rsid w:val="003C2F79"/>
    <w:rsid w:val="003C48B8"/>
    <w:rsid w:val="003D3BF7"/>
    <w:rsid w:val="00447F81"/>
    <w:rsid w:val="004A6862"/>
    <w:rsid w:val="004C47E0"/>
    <w:rsid w:val="005A28DF"/>
    <w:rsid w:val="005C4126"/>
    <w:rsid w:val="005F040C"/>
    <w:rsid w:val="005F5077"/>
    <w:rsid w:val="00675AA9"/>
    <w:rsid w:val="0076214F"/>
    <w:rsid w:val="00785DC2"/>
    <w:rsid w:val="00800DAA"/>
    <w:rsid w:val="00817537"/>
    <w:rsid w:val="00826C78"/>
    <w:rsid w:val="00833C5B"/>
    <w:rsid w:val="008A2C87"/>
    <w:rsid w:val="00925667"/>
    <w:rsid w:val="00972142"/>
    <w:rsid w:val="009B42BA"/>
    <w:rsid w:val="009D763D"/>
    <w:rsid w:val="00A02281"/>
    <w:rsid w:val="00B1490F"/>
    <w:rsid w:val="00B8423C"/>
    <w:rsid w:val="00BA0EBF"/>
    <w:rsid w:val="00BF46F8"/>
    <w:rsid w:val="00C233EF"/>
    <w:rsid w:val="00C54DF9"/>
    <w:rsid w:val="00CA66B9"/>
    <w:rsid w:val="00CC3474"/>
    <w:rsid w:val="00D06304"/>
    <w:rsid w:val="00D43A75"/>
    <w:rsid w:val="00D600F3"/>
    <w:rsid w:val="00D85676"/>
    <w:rsid w:val="00DF7392"/>
    <w:rsid w:val="00EE59DC"/>
    <w:rsid w:val="00F3547F"/>
    <w:rsid w:val="00F37801"/>
    <w:rsid w:val="00FF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5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33C5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C5B"/>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833C5B"/>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33C5B"/>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33C5B"/>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833C5B"/>
    <w:rPr>
      <w:rFonts w:cs="Times New Roman"/>
      <w:sz w:val="16"/>
      <w:szCs w:val="16"/>
    </w:rPr>
  </w:style>
  <w:style w:type="paragraph" w:styleId="CommentText">
    <w:name w:val="annotation text"/>
    <w:basedOn w:val="Normal"/>
    <w:link w:val="CommentTextChar"/>
    <w:uiPriority w:val="99"/>
    <w:semiHidden/>
    <w:unhideWhenUsed/>
    <w:rsid w:val="00833C5B"/>
  </w:style>
  <w:style w:type="character" w:customStyle="1" w:styleId="CommentTextChar">
    <w:name w:val="Comment Text Char"/>
    <w:basedOn w:val="DefaultParagraphFont"/>
    <w:link w:val="CommentText"/>
    <w:uiPriority w:val="99"/>
    <w:semiHidden/>
    <w:rsid w:val="00833C5B"/>
    <w:rPr>
      <w:rFonts w:ascii="Courier" w:eastAsia="Times New Roman" w:hAnsi="Courier" w:cs="Times New Roman"/>
      <w:sz w:val="20"/>
      <w:szCs w:val="20"/>
    </w:rPr>
  </w:style>
  <w:style w:type="table" w:styleId="TableGrid">
    <w:name w:val="Table Grid"/>
    <w:basedOn w:val="TableNormal"/>
    <w:uiPriority w:val="59"/>
    <w:rsid w:val="00351720"/>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142"/>
    <w:pPr>
      <w:tabs>
        <w:tab w:val="center" w:pos="4680"/>
        <w:tab w:val="right" w:pos="9360"/>
      </w:tabs>
    </w:pPr>
  </w:style>
  <w:style w:type="character" w:customStyle="1" w:styleId="HeaderChar">
    <w:name w:val="Header Char"/>
    <w:basedOn w:val="DefaultParagraphFont"/>
    <w:link w:val="Header"/>
    <w:uiPriority w:val="99"/>
    <w:rsid w:val="00972142"/>
    <w:rPr>
      <w:rFonts w:ascii="Courier" w:eastAsia="Times New Roman" w:hAnsi="Courier" w:cs="Times New Roman"/>
      <w:sz w:val="20"/>
      <w:szCs w:val="20"/>
    </w:rPr>
  </w:style>
  <w:style w:type="paragraph" w:styleId="Footer">
    <w:name w:val="footer"/>
    <w:basedOn w:val="Normal"/>
    <w:link w:val="FooterChar"/>
    <w:uiPriority w:val="99"/>
    <w:unhideWhenUsed/>
    <w:rsid w:val="00972142"/>
    <w:pPr>
      <w:tabs>
        <w:tab w:val="center" w:pos="4680"/>
        <w:tab w:val="right" w:pos="9360"/>
      </w:tabs>
    </w:pPr>
  </w:style>
  <w:style w:type="character" w:customStyle="1" w:styleId="FooterChar">
    <w:name w:val="Footer Char"/>
    <w:basedOn w:val="DefaultParagraphFont"/>
    <w:link w:val="Footer"/>
    <w:uiPriority w:val="99"/>
    <w:rsid w:val="0097214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D06304"/>
    <w:rPr>
      <w:rFonts w:ascii="Tahoma" w:hAnsi="Tahoma" w:cs="Tahoma"/>
      <w:sz w:val="16"/>
      <w:szCs w:val="16"/>
    </w:rPr>
  </w:style>
  <w:style w:type="character" w:customStyle="1" w:styleId="BalloonTextChar">
    <w:name w:val="Balloon Text Char"/>
    <w:basedOn w:val="DefaultParagraphFont"/>
    <w:link w:val="BalloonText"/>
    <w:uiPriority w:val="99"/>
    <w:semiHidden/>
    <w:rsid w:val="00D0630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C2F79"/>
    <w:rPr>
      <w:b/>
      <w:bCs/>
    </w:rPr>
  </w:style>
  <w:style w:type="character" w:customStyle="1" w:styleId="CommentSubjectChar">
    <w:name w:val="Comment Subject Char"/>
    <w:basedOn w:val="CommentTextChar"/>
    <w:link w:val="CommentSubject"/>
    <w:uiPriority w:val="99"/>
    <w:semiHidden/>
    <w:rsid w:val="003C2F79"/>
    <w:rPr>
      <w:rFonts w:ascii="Courier" w:eastAsia="Times New Roman" w:hAnsi="Courier" w:cs="Times New Roman"/>
      <w:b/>
      <w:bCs/>
      <w:sz w:val="20"/>
      <w:szCs w:val="20"/>
    </w:rPr>
  </w:style>
  <w:style w:type="paragraph" w:styleId="Revision">
    <w:name w:val="Revision"/>
    <w:hidden/>
    <w:uiPriority w:val="99"/>
    <w:semiHidden/>
    <w:rsid w:val="003C2F79"/>
    <w:pPr>
      <w:spacing w:after="0" w:line="240" w:lineRule="auto"/>
    </w:pPr>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C5B"/>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33C5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C5B"/>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833C5B"/>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33C5B"/>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33C5B"/>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833C5B"/>
    <w:rPr>
      <w:rFonts w:cs="Times New Roman"/>
      <w:sz w:val="16"/>
      <w:szCs w:val="16"/>
    </w:rPr>
  </w:style>
  <w:style w:type="paragraph" w:styleId="CommentText">
    <w:name w:val="annotation text"/>
    <w:basedOn w:val="Normal"/>
    <w:link w:val="CommentTextChar"/>
    <w:uiPriority w:val="99"/>
    <w:semiHidden/>
    <w:unhideWhenUsed/>
    <w:rsid w:val="00833C5B"/>
  </w:style>
  <w:style w:type="character" w:customStyle="1" w:styleId="CommentTextChar">
    <w:name w:val="Comment Text Char"/>
    <w:basedOn w:val="DefaultParagraphFont"/>
    <w:link w:val="CommentText"/>
    <w:uiPriority w:val="99"/>
    <w:semiHidden/>
    <w:rsid w:val="00833C5B"/>
    <w:rPr>
      <w:rFonts w:ascii="Courier" w:eastAsia="Times New Roman" w:hAnsi="Courier" w:cs="Times New Roman"/>
      <w:sz w:val="20"/>
      <w:szCs w:val="20"/>
    </w:rPr>
  </w:style>
  <w:style w:type="table" w:styleId="TableGrid">
    <w:name w:val="Table Grid"/>
    <w:basedOn w:val="TableNormal"/>
    <w:uiPriority w:val="59"/>
    <w:rsid w:val="00351720"/>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2142"/>
    <w:pPr>
      <w:tabs>
        <w:tab w:val="center" w:pos="4680"/>
        <w:tab w:val="right" w:pos="9360"/>
      </w:tabs>
    </w:pPr>
  </w:style>
  <w:style w:type="character" w:customStyle="1" w:styleId="HeaderChar">
    <w:name w:val="Header Char"/>
    <w:basedOn w:val="DefaultParagraphFont"/>
    <w:link w:val="Header"/>
    <w:uiPriority w:val="99"/>
    <w:rsid w:val="00972142"/>
    <w:rPr>
      <w:rFonts w:ascii="Courier" w:eastAsia="Times New Roman" w:hAnsi="Courier" w:cs="Times New Roman"/>
      <w:sz w:val="20"/>
      <w:szCs w:val="20"/>
    </w:rPr>
  </w:style>
  <w:style w:type="paragraph" w:styleId="Footer">
    <w:name w:val="footer"/>
    <w:basedOn w:val="Normal"/>
    <w:link w:val="FooterChar"/>
    <w:uiPriority w:val="99"/>
    <w:unhideWhenUsed/>
    <w:rsid w:val="00972142"/>
    <w:pPr>
      <w:tabs>
        <w:tab w:val="center" w:pos="4680"/>
        <w:tab w:val="right" w:pos="9360"/>
      </w:tabs>
    </w:pPr>
  </w:style>
  <w:style w:type="character" w:customStyle="1" w:styleId="FooterChar">
    <w:name w:val="Footer Char"/>
    <w:basedOn w:val="DefaultParagraphFont"/>
    <w:link w:val="Footer"/>
    <w:uiPriority w:val="99"/>
    <w:rsid w:val="0097214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D06304"/>
    <w:rPr>
      <w:rFonts w:ascii="Tahoma" w:hAnsi="Tahoma" w:cs="Tahoma"/>
      <w:sz w:val="16"/>
      <w:szCs w:val="16"/>
    </w:rPr>
  </w:style>
  <w:style w:type="character" w:customStyle="1" w:styleId="BalloonTextChar">
    <w:name w:val="Balloon Text Char"/>
    <w:basedOn w:val="DefaultParagraphFont"/>
    <w:link w:val="BalloonText"/>
    <w:uiPriority w:val="99"/>
    <w:semiHidden/>
    <w:rsid w:val="00D0630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C2F79"/>
    <w:rPr>
      <w:b/>
      <w:bCs/>
    </w:rPr>
  </w:style>
  <w:style w:type="character" w:customStyle="1" w:styleId="CommentSubjectChar">
    <w:name w:val="Comment Subject Char"/>
    <w:basedOn w:val="CommentTextChar"/>
    <w:link w:val="CommentSubject"/>
    <w:uiPriority w:val="99"/>
    <w:semiHidden/>
    <w:rsid w:val="003C2F79"/>
    <w:rPr>
      <w:rFonts w:ascii="Courier" w:eastAsia="Times New Roman" w:hAnsi="Courier" w:cs="Times New Roman"/>
      <w:b/>
      <w:bCs/>
      <w:sz w:val="20"/>
      <w:szCs w:val="20"/>
    </w:rPr>
  </w:style>
  <w:style w:type="paragraph" w:styleId="Revision">
    <w:name w:val="Revision"/>
    <w:hidden/>
    <w:uiPriority w:val="99"/>
    <w:semiHidden/>
    <w:rsid w:val="003C2F79"/>
    <w:pPr>
      <w:spacing w:after="0" w:line="240" w:lineRule="auto"/>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C1B3-43CB-4496-B8C6-85AFAFA0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TMG</dc:creator>
  <cp:lastModifiedBy>Jodi Duckhorn</cp:lastModifiedBy>
  <cp:revision>4</cp:revision>
  <dcterms:created xsi:type="dcterms:W3CDTF">2013-07-05T14:13:00Z</dcterms:created>
  <dcterms:modified xsi:type="dcterms:W3CDTF">2013-07-29T15:15:00Z</dcterms:modified>
</cp:coreProperties>
</file>