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25" w:rsidRPr="00BF199F" w:rsidRDefault="003E2025" w:rsidP="003E2025">
      <w:pPr>
        <w:jc w:val="center"/>
        <w:rPr>
          <w:rFonts w:ascii="Times New Roman" w:hAnsi="Times New Roman"/>
          <w:b/>
          <w:sz w:val="24"/>
        </w:rPr>
      </w:pPr>
      <w:r w:rsidRPr="00BF199F">
        <w:rPr>
          <w:rFonts w:ascii="Times New Roman" w:hAnsi="Times New Roman"/>
          <w:b/>
          <w:sz w:val="24"/>
        </w:rPr>
        <w:t xml:space="preserve">Supporting Statement for </w:t>
      </w:r>
      <w:r w:rsidR="00BF199F" w:rsidRPr="00BF199F">
        <w:rPr>
          <w:rFonts w:ascii="Times New Roman" w:hAnsi="Times New Roman"/>
          <w:b/>
          <w:sz w:val="24"/>
        </w:rPr>
        <w:t>the</w:t>
      </w:r>
    </w:p>
    <w:p w:rsidR="003E2025" w:rsidRPr="00BF199F" w:rsidRDefault="00BF199F" w:rsidP="003E2025">
      <w:pPr>
        <w:jc w:val="center"/>
        <w:rPr>
          <w:rFonts w:ascii="Times New Roman" w:hAnsi="Times New Roman"/>
          <w:b/>
          <w:sz w:val="24"/>
        </w:rPr>
      </w:pPr>
      <w:r w:rsidRPr="00BF199F">
        <w:rPr>
          <w:rFonts w:ascii="Times New Roman" w:hAnsi="Times New Roman"/>
          <w:b/>
          <w:sz w:val="24"/>
        </w:rPr>
        <w:t>Consumer Financial Stability Surveys</w:t>
      </w:r>
    </w:p>
    <w:p w:rsidR="003E2025" w:rsidRPr="00BF199F" w:rsidRDefault="003E2025" w:rsidP="003E2025">
      <w:pPr>
        <w:jc w:val="center"/>
        <w:rPr>
          <w:rFonts w:ascii="Times New Roman" w:hAnsi="Times New Roman"/>
          <w:b/>
          <w:color w:val="000000"/>
          <w:sz w:val="24"/>
        </w:rPr>
      </w:pPr>
      <w:r w:rsidRPr="00BF199F">
        <w:rPr>
          <w:rFonts w:ascii="Times New Roman" w:hAnsi="Times New Roman"/>
          <w:b/>
          <w:sz w:val="24"/>
        </w:rPr>
        <w:t>(FR 3053; OMB No. 7100-0323)</w:t>
      </w:r>
    </w:p>
    <w:p w:rsidR="003E2025" w:rsidRDefault="003E2025" w:rsidP="003E2025">
      <w:pPr>
        <w:tabs>
          <w:tab w:val="left" w:pos="360"/>
        </w:tabs>
        <w:rPr>
          <w:rFonts w:ascii="Times New Roman" w:hAnsi="Times New Roman"/>
          <w:b/>
          <w:color w:val="000000"/>
          <w:sz w:val="24"/>
        </w:rPr>
      </w:pPr>
    </w:p>
    <w:p w:rsidR="003E2025" w:rsidRPr="00317B85" w:rsidRDefault="003E2025" w:rsidP="003E2025">
      <w:pPr>
        <w:tabs>
          <w:tab w:val="left" w:pos="360"/>
        </w:tabs>
        <w:rPr>
          <w:rFonts w:ascii="Times New Roman" w:hAnsi="Times New Roman"/>
          <w:b/>
          <w:color w:val="000000"/>
          <w:sz w:val="24"/>
        </w:rPr>
      </w:pPr>
      <w:r w:rsidRPr="00317B85">
        <w:rPr>
          <w:rFonts w:ascii="Times New Roman" w:hAnsi="Times New Roman"/>
          <w:b/>
          <w:color w:val="000000"/>
          <w:sz w:val="24"/>
        </w:rPr>
        <w:t>Summary</w:t>
      </w:r>
    </w:p>
    <w:p w:rsidR="00E7624E" w:rsidRPr="00D60761" w:rsidRDefault="00E7624E" w:rsidP="00E7624E">
      <w:pPr>
        <w:tabs>
          <w:tab w:val="left" w:pos="360"/>
        </w:tabs>
        <w:rPr>
          <w:rFonts w:ascii="Times New Roman" w:hAnsi="Times New Roman"/>
          <w:color w:val="000000"/>
          <w:sz w:val="24"/>
        </w:rPr>
      </w:pPr>
    </w:p>
    <w:p w:rsidR="005F6FA1" w:rsidRPr="00D60761" w:rsidRDefault="003E2025" w:rsidP="00327D36">
      <w:pPr>
        <w:pStyle w:val="BodyText"/>
        <w:spacing w:after="0"/>
        <w:ind w:firstLine="720"/>
        <w:rPr>
          <w:rFonts w:ascii="Times New Roman" w:hAnsi="Times New Roman"/>
          <w:sz w:val="24"/>
        </w:rPr>
      </w:pPr>
      <w:r w:rsidRPr="00ED54CB">
        <w:rPr>
          <w:rFonts w:ascii="Times New Roman" w:hAnsi="Times New Roman"/>
          <w:sz w:val="24"/>
        </w:rPr>
        <w:t xml:space="preserve">The Board of Governors of the Federal Reserve System, under delegated authority from the Office of Management and Budget (OMB), proposes to </w:t>
      </w:r>
      <w:r w:rsidR="007064C5" w:rsidRPr="00D60761">
        <w:rPr>
          <w:rFonts w:ascii="Times New Roman" w:hAnsi="Times New Roman"/>
          <w:sz w:val="24"/>
        </w:rPr>
        <w:t>extend for three years, without revision</w:t>
      </w:r>
      <w:r w:rsidR="00863502" w:rsidRPr="00D60761">
        <w:rPr>
          <w:rFonts w:ascii="Times New Roman" w:hAnsi="Times New Roman"/>
          <w:sz w:val="24"/>
        </w:rPr>
        <w:t>, the</w:t>
      </w:r>
      <w:r w:rsidR="007064C5" w:rsidRPr="00D60761">
        <w:rPr>
          <w:rFonts w:ascii="Times New Roman" w:hAnsi="Times New Roman"/>
          <w:sz w:val="24"/>
        </w:rPr>
        <w:t xml:space="preserve"> </w:t>
      </w:r>
      <w:r w:rsidR="003D1894" w:rsidRPr="00D60761">
        <w:rPr>
          <w:rFonts w:ascii="Times New Roman" w:hAnsi="Times New Roman"/>
          <w:sz w:val="24"/>
        </w:rPr>
        <w:t xml:space="preserve">voluntary </w:t>
      </w:r>
      <w:r w:rsidR="00E419C1" w:rsidRPr="00D60761">
        <w:rPr>
          <w:rFonts w:ascii="Times New Roman" w:hAnsi="Times New Roman"/>
          <w:sz w:val="24"/>
        </w:rPr>
        <w:t>Co</w:t>
      </w:r>
      <w:r w:rsidR="00F552A2" w:rsidRPr="00D60761">
        <w:rPr>
          <w:rFonts w:ascii="Times New Roman" w:hAnsi="Times New Roman"/>
          <w:sz w:val="24"/>
        </w:rPr>
        <w:t>nsumer</w:t>
      </w:r>
      <w:r w:rsidR="00DD5657" w:rsidRPr="00D60761">
        <w:rPr>
          <w:rFonts w:ascii="Times New Roman" w:hAnsi="Times New Roman"/>
          <w:sz w:val="24"/>
        </w:rPr>
        <w:t xml:space="preserve"> </w:t>
      </w:r>
      <w:r w:rsidR="007064C5" w:rsidRPr="00D60761">
        <w:rPr>
          <w:rFonts w:ascii="Times New Roman" w:hAnsi="Times New Roman"/>
          <w:sz w:val="24"/>
        </w:rPr>
        <w:t xml:space="preserve">Financial Stability </w:t>
      </w:r>
      <w:r w:rsidR="00E419C1" w:rsidRPr="00D60761">
        <w:rPr>
          <w:rFonts w:ascii="Times New Roman" w:hAnsi="Times New Roman"/>
          <w:sz w:val="24"/>
        </w:rPr>
        <w:t>S</w:t>
      </w:r>
      <w:r w:rsidR="00E7624E" w:rsidRPr="00D60761">
        <w:rPr>
          <w:rFonts w:ascii="Times New Roman" w:hAnsi="Times New Roman"/>
          <w:sz w:val="24"/>
        </w:rPr>
        <w:t>urvey</w:t>
      </w:r>
      <w:r w:rsidR="004D518E" w:rsidRPr="00D60761">
        <w:rPr>
          <w:rFonts w:ascii="Times New Roman" w:hAnsi="Times New Roman"/>
          <w:sz w:val="24"/>
        </w:rPr>
        <w:t>s</w:t>
      </w:r>
      <w:r w:rsidR="00A91E53" w:rsidRPr="00D60761">
        <w:rPr>
          <w:rFonts w:ascii="Times New Roman" w:hAnsi="Times New Roman"/>
          <w:sz w:val="24"/>
        </w:rPr>
        <w:t xml:space="preserve"> </w:t>
      </w:r>
      <w:r w:rsidR="00C13135" w:rsidRPr="00D60761">
        <w:rPr>
          <w:rFonts w:ascii="Times New Roman" w:hAnsi="Times New Roman"/>
          <w:sz w:val="24"/>
        </w:rPr>
        <w:t xml:space="preserve">(FR </w:t>
      </w:r>
      <w:r w:rsidR="00535BBA" w:rsidRPr="00D60761">
        <w:rPr>
          <w:rFonts w:ascii="Times New Roman" w:hAnsi="Times New Roman"/>
          <w:sz w:val="24"/>
        </w:rPr>
        <w:t>3053</w:t>
      </w:r>
      <w:r w:rsidR="00A91E53" w:rsidRPr="00D60761">
        <w:rPr>
          <w:rFonts w:ascii="Times New Roman" w:hAnsi="Times New Roman"/>
          <w:sz w:val="24"/>
        </w:rPr>
        <w:t>)</w:t>
      </w:r>
      <w:r w:rsidR="00E7624E" w:rsidRPr="00D60761">
        <w:rPr>
          <w:rFonts w:ascii="Times New Roman" w:hAnsi="Times New Roman"/>
          <w:sz w:val="24"/>
        </w:rPr>
        <w:t>.</w:t>
      </w:r>
      <w:r w:rsidR="004D518E" w:rsidRPr="00D60761">
        <w:rPr>
          <w:rFonts w:ascii="Times New Roman" w:hAnsi="Times New Roman"/>
          <w:sz w:val="24"/>
        </w:rPr>
        <w:t xml:space="preserve">  </w:t>
      </w:r>
      <w:r w:rsidRPr="00C50CA3">
        <w:rPr>
          <w:rFonts w:ascii="Times New Roman" w:hAnsi="Times New Roman"/>
          <w:sz w:val="24"/>
        </w:rPr>
        <w:t xml:space="preserve">The Federal Reserve </w:t>
      </w:r>
      <w:r w:rsidR="00E419C1" w:rsidRPr="00D60761">
        <w:rPr>
          <w:rFonts w:ascii="Times New Roman" w:hAnsi="Times New Roman"/>
          <w:sz w:val="24"/>
        </w:rPr>
        <w:t>use</w:t>
      </w:r>
      <w:r w:rsidR="000350D1" w:rsidRPr="00D60761">
        <w:rPr>
          <w:rFonts w:ascii="Times New Roman" w:hAnsi="Times New Roman"/>
          <w:sz w:val="24"/>
        </w:rPr>
        <w:t>s</w:t>
      </w:r>
      <w:r w:rsidR="00E419C1" w:rsidRPr="00D60761">
        <w:rPr>
          <w:rFonts w:ascii="Times New Roman" w:hAnsi="Times New Roman"/>
          <w:sz w:val="24"/>
        </w:rPr>
        <w:t xml:space="preserve"> this event-driven survey to obtain information </w:t>
      </w:r>
      <w:r w:rsidR="00853886" w:rsidRPr="00D60761">
        <w:rPr>
          <w:rFonts w:ascii="Times New Roman" w:hAnsi="Times New Roman"/>
          <w:sz w:val="24"/>
        </w:rPr>
        <w:t>s</w:t>
      </w:r>
      <w:r w:rsidR="00E419C1" w:rsidRPr="00D60761">
        <w:rPr>
          <w:rFonts w:ascii="Times New Roman" w:hAnsi="Times New Roman"/>
          <w:sz w:val="24"/>
        </w:rPr>
        <w:t xml:space="preserve">pecifically tailored to the Federal Reserve's supervisory, regulatory, operational, </w:t>
      </w:r>
      <w:r w:rsidR="004D518E" w:rsidRPr="00D60761">
        <w:rPr>
          <w:rFonts w:ascii="Times New Roman" w:hAnsi="Times New Roman"/>
          <w:sz w:val="24"/>
        </w:rPr>
        <w:t xml:space="preserve">informational, </w:t>
      </w:r>
      <w:r w:rsidR="00E419C1" w:rsidRPr="00D60761">
        <w:rPr>
          <w:rFonts w:ascii="Times New Roman" w:hAnsi="Times New Roman"/>
          <w:sz w:val="24"/>
        </w:rPr>
        <w:t xml:space="preserve">and other responsibilities.  </w:t>
      </w:r>
      <w:r w:rsidR="00BF199F">
        <w:rPr>
          <w:rFonts w:ascii="Times New Roman" w:hAnsi="Times New Roman"/>
          <w:sz w:val="24"/>
        </w:rPr>
        <w:t>T</w:t>
      </w:r>
      <w:r w:rsidRPr="00C50CA3">
        <w:rPr>
          <w:rFonts w:ascii="Times New Roman" w:hAnsi="Times New Roman"/>
          <w:sz w:val="24"/>
        </w:rPr>
        <w:t>he Federal Reserve</w:t>
      </w:r>
      <w:r w:rsidR="00E419C1" w:rsidRPr="00D60761">
        <w:rPr>
          <w:rFonts w:ascii="Times New Roman" w:hAnsi="Times New Roman"/>
          <w:sz w:val="24"/>
        </w:rPr>
        <w:t xml:space="preserve"> conduct</w:t>
      </w:r>
      <w:r w:rsidR="000350D1" w:rsidRPr="00D60761">
        <w:rPr>
          <w:rFonts w:ascii="Times New Roman" w:hAnsi="Times New Roman"/>
          <w:sz w:val="24"/>
        </w:rPr>
        <w:t>s</w:t>
      </w:r>
      <w:r w:rsidR="00E419C1" w:rsidRPr="00D60761">
        <w:rPr>
          <w:rFonts w:ascii="Times New Roman" w:hAnsi="Times New Roman"/>
          <w:sz w:val="24"/>
        </w:rPr>
        <w:t xml:space="preserve"> the FR </w:t>
      </w:r>
      <w:r w:rsidR="00535BBA" w:rsidRPr="00D60761">
        <w:rPr>
          <w:rFonts w:ascii="Times New Roman" w:hAnsi="Times New Roman"/>
          <w:sz w:val="24"/>
        </w:rPr>
        <w:t>3053</w:t>
      </w:r>
      <w:r w:rsidR="00DF77A7" w:rsidRPr="00D60761">
        <w:rPr>
          <w:rFonts w:ascii="Times New Roman" w:hAnsi="Times New Roman"/>
          <w:sz w:val="24"/>
        </w:rPr>
        <w:t xml:space="preserve"> </w:t>
      </w:r>
      <w:r w:rsidR="00E419C1" w:rsidRPr="00D60761">
        <w:rPr>
          <w:rFonts w:ascii="Times New Roman" w:hAnsi="Times New Roman"/>
          <w:sz w:val="24"/>
        </w:rPr>
        <w:t>up to</w:t>
      </w:r>
      <w:r w:rsidR="007064C5" w:rsidRPr="00D60761">
        <w:rPr>
          <w:rFonts w:ascii="Times New Roman" w:hAnsi="Times New Roman"/>
          <w:sz w:val="24"/>
        </w:rPr>
        <w:t xml:space="preserve"> </w:t>
      </w:r>
      <w:r w:rsidR="00717865" w:rsidRPr="00D60761">
        <w:rPr>
          <w:rFonts w:ascii="Times New Roman" w:hAnsi="Times New Roman"/>
          <w:sz w:val="24"/>
        </w:rPr>
        <w:t>20 times</w:t>
      </w:r>
      <w:r w:rsidR="00E419C1" w:rsidRPr="00D60761">
        <w:rPr>
          <w:rFonts w:ascii="Times New Roman" w:hAnsi="Times New Roman"/>
          <w:sz w:val="24"/>
        </w:rPr>
        <w:t xml:space="preserve"> per </w:t>
      </w:r>
      <w:r w:rsidR="00653E5D" w:rsidRPr="00D60761">
        <w:rPr>
          <w:rFonts w:ascii="Times New Roman" w:hAnsi="Times New Roman"/>
          <w:sz w:val="24"/>
        </w:rPr>
        <w:t xml:space="preserve">year, </w:t>
      </w:r>
      <w:r w:rsidR="00E419C1" w:rsidRPr="00D60761">
        <w:rPr>
          <w:rFonts w:ascii="Times New Roman" w:hAnsi="Times New Roman"/>
          <w:sz w:val="24"/>
        </w:rPr>
        <w:t>although the survey may not be conducted that frequently.  The frequency and content of the questions depend</w:t>
      </w:r>
      <w:r w:rsidR="000350D1" w:rsidRPr="00D60761">
        <w:rPr>
          <w:rFonts w:ascii="Times New Roman" w:hAnsi="Times New Roman"/>
          <w:sz w:val="24"/>
        </w:rPr>
        <w:t>s</w:t>
      </w:r>
      <w:r w:rsidR="00E419C1" w:rsidRPr="00D60761">
        <w:rPr>
          <w:rFonts w:ascii="Times New Roman" w:hAnsi="Times New Roman"/>
          <w:sz w:val="24"/>
        </w:rPr>
        <w:t xml:space="preserve"> on changing economic, regulatory, or legislative developments</w:t>
      </w:r>
      <w:r w:rsidR="00712CA2" w:rsidRPr="00D60761">
        <w:rPr>
          <w:rFonts w:ascii="Times New Roman" w:hAnsi="Times New Roman"/>
          <w:sz w:val="24"/>
        </w:rPr>
        <w:t xml:space="preserve"> as well as changes in the financial services industry itself</w:t>
      </w:r>
      <w:r w:rsidR="00E419C1" w:rsidRPr="00D60761">
        <w:rPr>
          <w:rFonts w:ascii="Times New Roman" w:hAnsi="Times New Roman"/>
          <w:sz w:val="24"/>
        </w:rPr>
        <w:t xml:space="preserve">.  Respondents comprise individuals, households, and financial and non-financial businesses.  The annual </w:t>
      </w:r>
      <w:r w:rsidR="005F6FA1" w:rsidRPr="00D60761">
        <w:rPr>
          <w:rFonts w:ascii="Times New Roman" w:hAnsi="Times New Roman"/>
          <w:sz w:val="24"/>
        </w:rPr>
        <w:t>burden is</w:t>
      </w:r>
      <w:r w:rsidR="00CA58D2" w:rsidRPr="00D60761">
        <w:rPr>
          <w:rFonts w:ascii="Times New Roman" w:hAnsi="Times New Roman"/>
          <w:sz w:val="24"/>
        </w:rPr>
        <w:t xml:space="preserve"> estimated to be </w:t>
      </w:r>
      <w:r w:rsidR="007064C5" w:rsidRPr="00D60761">
        <w:rPr>
          <w:rFonts w:ascii="Times New Roman" w:hAnsi="Times New Roman"/>
          <w:sz w:val="24"/>
        </w:rPr>
        <w:t>6,550</w:t>
      </w:r>
      <w:r w:rsidR="00CA58D2" w:rsidRPr="00D60761">
        <w:rPr>
          <w:rFonts w:ascii="Times New Roman" w:hAnsi="Times New Roman"/>
          <w:sz w:val="24"/>
        </w:rPr>
        <w:t xml:space="preserve"> hours</w:t>
      </w:r>
      <w:r w:rsidR="00E419C1" w:rsidRPr="00D60761">
        <w:rPr>
          <w:rFonts w:ascii="Times New Roman" w:hAnsi="Times New Roman"/>
          <w:sz w:val="24"/>
        </w:rPr>
        <w:t xml:space="preserve">, based on </w:t>
      </w:r>
      <w:r w:rsidR="00C11571" w:rsidRPr="00D60761">
        <w:rPr>
          <w:rFonts w:ascii="Times New Roman" w:hAnsi="Times New Roman"/>
          <w:sz w:val="24"/>
        </w:rPr>
        <w:t>six</w:t>
      </w:r>
      <w:r w:rsidR="00E419C1" w:rsidRPr="00D60761">
        <w:rPr>
          <w:rFonts w:ascii="Times New Roman" w:hAnsi="Times New Roman"/>
          <w:sz w:val="24"/>
        </w:rPr>
        <w:t xml:space="preserve"> studies</w:t>
      </w:r>
      <w:r w:rsidR="00CA58D2" w:rsidRPr="00D60761">
        <w:rPr>
          <w:rFonts w:ascii="Times New Roman" w:hAnsi="Times New Roman"/>
          <w:sz w:val="24"/>
        </w:rPr>
        <w:t xml:space="preserve">: </w:t>
      </w:r>
      <w:r w:rsidR="009A6023" w:rsidRPr="00D60761">
        <w:rPr>
          <w:rFonts w:ascii="Times New Roman" w:hAnsi="Times New Roman"/>
          <w:sz w:val="24"/>
        </w:rPr>
        <w:t>three</w:t>
      </w:r>
      <w:r w:rsidR="0088469D" w:rsidRPr="00D60761">
        <w:rPr>
          <w:rFonts w:ascii="Times New Roman" w:hAnsi="Times New Roman"/>
          <w:sz w:val="24"/>
        </w:rPr>
        <w:t xml:space="preserve"> quarterly</w:t>
      </w:r>
      <w:r w:rsidR="009A6023" w:rsidRPr="00D60761">
        <w:rPr>
          <w:rFonts w:ascii="Times New Roman" w:hAnsi="Times New Roman"/>
          <w:sz w:val="24"/>
        </w:rPr>
        <w:t xml:space="preserve"> </w:t>
      </w:r>
      <w:r w:rsidR="00A74021" w:rsidRPr="00D60761">
        <w:rPr>
          <w:rFonts w:ascii="Times New Roman" w:hAnsi="Times New Roman"/>
          <w:sz w:val="24"/>
        </w:rPr>
        <w:t xml:space="preserve">consumer-focused, </w:t>
      </w:r>
      <w:r w:rsidR="009A6023" w:rsidRPr="00D60761">
        <w:rPr>
          <w:rFonts w:ascii="Times New Roman" w:hAnsi="Times New Roman"/>
          <w:sz w:val="24"/>
        </w:rPr>
        <w:t>one</w:t>
      </w:r>
      <w:r w:rsidR="0088469D" w:rsidRPr="00D60761">
        <w:rPr>
          <w:rFonts w:ascii="Times New Roman" w:hAnsi="Times New Roman"/>
          <w:sz w:val="24"/>
        </w:rPr>
        <w:t xml:space="preserve"> quarterly</w:t>
      </w:r>
      <w:r w:rsidR="009A6023" w:rsidRPr="00D60761">
        <w:rPr>
          <w:rFonts w:ascii="Times New Roman" w:hAnsi="Times New Roman"/>
          <w:sz w:val="24"/>
        </w:rPr>
        <w:t xml:space="preserve"> </w:t>
      </w:r>
      <w:r w:rsidR="00E419C1" w:rsidRPr="00D60761">
        <w:rPr>
          <w:rFonts w:ascii="Times New Roman" w:hAnsi="Times New Roman"/>
          <w:sz w:val="24"/>
        </w:rPr>
        <w:t>financial institution</w:t>
      </w:r>
      <w:r w:rsidR="00655505" w:rsidRPr="00D60761">
        <w:rPr>
          <w:rFonts w:ascii="Times New Roman" w:hAnsi="Times New Roman"/>
          <w:sz w:val="24"/>
        </w:rPr>
        <w:t xml:space="preserve"> </w:t>
      </w:r>
      <w:r w:rsidR="009A6023" w:rsidRPr="00D60761">
        <w:rPr>
          <w:rFonts w:ascii="Times New Roman" w:hAnsi="Times New Roman"/>
          <w:sz w:val="24"/>
        </w:rPr>
        <w:t>study</w:t>
      </w:r>
      <w:r w:rsidR="004D518E" w:rsidRPr="00D60761">
        <w:rPr>
          <w:rFonts w:ascii="Times New Roman" w:hAnsi="Times New Roman"/>
          <w:sz w:val="24"/>
        </w:rPr>
        <w:t>,</w:t>
      </w:r>
      <w:r w:rsidR="00E419C1" w:rsidRPr="00D60761">
        <w:rPr>
          <w:rFonts w:ascii="Times New Roman" w:hAnsi="Times New Roman"/>
          <w:sz w:val="24"/>
        </w:rPr>
        <w:t xml:space="preserve"> and </w:t>
      </w:r>
      <w:r w:rsidR="00655505" w:rsidRPr="00D60761">
        <w:rPr>
          <w:rFonts w:ascii="Times New Roman" w:hAnsi="Times New Roman"/>
          <w:sz w:val="24"/>
        </w:rPr>
        <w:t xml:space="preserve">two </w:t>
      </w:r>
      <w:r w:rsidR="0088469D" w:rsidRPr="00D60761">
        <w:rPr>
          <w:rFonts w:ascii="Times New Roman" w:hAnsi="Times New Roman"/>
          <w:sz w:val="24"/>
        </w:rPr>
        <w:t xml:space="preserve">semi-annual </w:t>
      </w:r>
      <w:r w:rsidR="00E419C1" w:rsidRPr="00D60761">
        <w:rPr>
          <w:rFonts w:ascii="Times New Roman" w:hAnsi="Times New Roman"/>
          <w:sz w:val="24"/>
        </w:rPr>
        <w:t xml:space="preserve">stakeholder-focused studies.   </w:t>
      </w:r>
    </w:p>
    <w:p w:rsidR="005F6FA1" w:rsidRPr="00D60761" w:rsidRDefault="005F6FA1" w:rsidP="00327D36">
      <w:pPr>
        <w:pStyle w:val="BodyText"/>
        <w:spacing w:after="0"/>
        <w:ind w:firstLine="720"/>
        <w:rPr>
          <w:rFonts w:ascii="Times New Roman" w:hAnsi="Times New Roman"/>
          <w:sz w:val="24"/>
        </w:rPr>
      </w:pPr>
    </w:p>
    <w:p w:rsidR="00C37C28" w:rsidRPr="00D60761" w:rsidRDefault="00D935C6" w:rsidP="00C37C28">
      <w:pPr>
        <w:pStyle w:val="BodyText"/>
        <w:spacing w:after="0"/>
        <w:ind w:firstLine="720"/>
        <w:rPr>
          <w:rFonts w:ascii="Times New Roman" w:hAnsi="Times New Roman"/>
          <w:sz w:val="24"/>
        </w:rPr>
      </w:pPr>
      <w:r w:rsidRPr="00D60761">
        <w:rPr>
          <w:rFonts w:ascii="Times New Roman" w:hAnsi="Times New Roman"/>
          <w:sz w:val="24"/>
        </w:rPr>
        <w:t xml:space="preserve">The studies </w:t>
      </w:r>
      <w:r w:rsidR="000350D1" w:rsidRPr="00D60761">
        <w:rPr>
          <w:rFonts w:ascii="Times New Roman" w:hAnsi="Times New Roman"/>
          <w:sz w:val="24"/>
        </w:rPr>
        <w:t>are</w:t>
      </w:r>
      <w:r w:rsidR="00C50CA3" w:rsidRPr="00D60761">
        <w:rPr>
          <w:rFonts w:ascii="Times New Roman" w:hAnsi="Times New Roman"/>
          <w:sz w:val="24"/>
        </w:rPr>
        <w:t xml:space="preserve"> </w:t>
      </w:r>
      <w:r w:rsidRPr="00D60761">
        <w:rPr>
          <w:rFonts w:ascii="Times New Roman" w:hAnsi="Times New Roman"/>
          <w:sz w:val="24"/>
        </w:rPr>
        <w:t>used to gather qualitative and quantitative information directly from</w:t>
      </w:r>
      <w:r w:rsidR="001C0C8B" w:rsidRPr="00D60761">
        <w:rPr>
          <w:rFonts w:ascii="Times New Roman" w:hAnsi="Times New Roman"/>
          <w:sz w:val="24"/>
        </w:rPr>
        <w:t xml:space="preserve">: </w:t>
      </w:r>
      <w:r w:rsidRPr="00D60761">
        <w:rPr>
          <w:rFonts w:ascii="Times New Roman" w:hAnsi="Times New Roman"/>
          <w:sz w:val="24"/>
        </w:rPr>
        <w:t xml:space="preserve">consumers (consumer studies), financial institutions </w:t>
      </w:r>
      <w:r w:rsidR="001C0C8B" w:rsidRPr="00D60761">
        <w:rPr>
          <w:rFonts w:ascii="Times New Roman" w:hAnsi="Times New Roman"/>
          <w:sz w:val="24"/>
        </w:rPr>
        <w:t xml:space="preserve">and other financial companies </w:t>
      </w:r>
      <w:r w:rsidRPr="00D60761">
        <w:rPr>
          <w:rFonts w:ascii="Times New Roman" w:hAnsi="Times New Roman"/>
          <w:sz w:val="24"/>
        </w:rPr>
        <w:t>offering consumer financial products and services</w:t>
      </w:r>
      <w:r w:rsidR="001C0C8B" w:rsidRPr="00D60761">
        <w:rPr>
          <w:rFonts w:ascii="Times New Roman" w:hAnsi="Times New Roman"/>
          <w:sz w:val="24"/>
        </w:rPr>
        <w:t xml:space="preserve"> (financial institution stud</w:t>
      </w:r>
      <w:r w:rsidR="00030551" w:rsidRPr="00D60761">
        <w:rPr>
          <w:rFonts w:ascii="Times New Roman" w:hAnsi="Times New Roman"/>
          <w:sz w:val="24"/>
        </w:rPr>
        <w:t>y</w:t>
      </w:r>
      <w:r w:rsidR="001C0C8B" w:rsidRPr="00D60761">
        <w:rPr>
          <w:rFonts w:ascii="Times New Roman" w:hAnsi="Times New Roman"/>
          <w:sz w:val="24"/>
        </w:rPr>
        <w:t>),</w:t>
      </w:r>
      <w:r w:rsidRPr="00D60761">
        <w:rPr>
          <w:rFonts w:ascii="Times New Roman" w:hAnsi="Times New Roman"/>
          <w:sz w:val="24"/>
        </w:rPr>
        <w:t xml:space="preserve"> and other stakeholders, such as </w:t>
      </w:r>
      <w:r w:rsidR="00E419C1" w:rsidRPr="00D60761">
        <w:rPr>
          <w:rFonts w:ascii="Times New Roman" w:hAnsi="Times New Roman"/>
          <w:sz w:val="24"/>
        </w:rPr>
        <w:t xml:space="preserve">state or local agencies, </w:t>
      </w:r>
      <w:r w:rsidR="004D518E" w:rsidRPr="00D60761">
        <w:rPr>
          <w:rFonts w:ascii="Times New Roman" w:hAnsi="Times New Roman"/>
          <w:sz w:val="24"/>
        </w:rPr>
        <w:t xml:space="preserve">community development organizations, </w:t>
      </w:r>
      <w:r w:rsidRPr="00D60761">
        <w:rPr>
          <w:rFonts w:ascii="Times New Roman" w:hAnsi="Times New Roman"/>
          <w:sz w:val="24"/>
        </w:rPr>
        <w:t>brokers, appraisers, settlement agents, software vendors, and consumer groups (stakeholder studies).</w:t>
      </w:r>
    </w:p>
    <w:p w:rsidR="00C7324F" w:rsidRDefault="00C7324F" w:rsidP="00C37C28">
      <w:pPr>
        <w:pStyle w:val="BodyText"/>
        <w:spacing w:after="0"/>
        <w:ind w:firstLine="720"/>
        <w:rPr>
          <w:rFonts w:ascii="Times New Roman" w:hAnsi="Times New Roman"/>
          <w:b/>
          <w:sz w:val="24"/>
        </w:rPr>
      </w:pPr>
    </w:p>
    <w:p w:rsidR="00C37C28" w:rsidRPr="00D60761" w:rsidRDefault="00E7624E" w:rsidP="00673F3A">
      <w:pPr>
        <w:pStyle w:val="BodyText"/>
        <w:spacing w:after="0"/>
        <w:rPr>
          <w:rFonts w:ascii="Times New Roman" w:hAnsi="Times New Roman"/>
          <w:b/>
          <w:sz w:val="24"/>
        </w:rPr>
      </w:pPr>
      <w:r w:rsidRPr="00D60761">
        <w:rPr>
          <w:rFonts w:ascii="Times New Roman" w:hAnsi="Times New Roman"/>
          <w:b/>
          <w:sz w:val="24"/>
        </w:rPr>
        <w:t xml:space="preserve">Background </w:t>
      </w:r>
      <w:r w:rsidR="00F23D68" w:rsidRPr="00D60761">
        <w:rPr>
          <w:rFonts w:ascii="Times New Roman" w:hAnsi="Times New Roman"/>
          <w:b/>
          <w:sz w:val="24"/>
        </w:rPr>
        <w:t xml:space="preserve">and </w:t>
      </w:r>
      <w:r w:rsidR="00624639" w:rsidRPr="00D60761">
        <w:rPr>
          <w:rFonts w:ascii="Times New Roman" w:hAnsi="Times New Roman"/>
          <w:b/>
          <w:sz w:val="24"/>
        </w:rPr>
        <w:t>Justification</w:t>
      </w:r>
    </w:p>
    <w:p w:rsidR="00D60761" w:rsidRDefault="00D60761" w:rsidP="00A33691">
      <w:pPr>
        <w:ind w:firstLine="720"/>
        <w:rPr>
          <w:rFonts w:ascii="Times New Roman" w:hAnsi="Times New Roman"/>
          <w:iCs/>
          <w:sz w:val="24"/>
        </w:rPr>
      </w:pPr>
    </w:p>
    <w:p w:rsidR="00A33691" w:rsidRPr="00D60761" w:rsidRDefault="00052865" w:rsidP="00A33691">
      <w:pPr>
        <w:ind w:firstLine="720"/>
        <w:rPr>
          <w:rFonts w:ascii="Times New Roman" w:hAnsi="Times New Roman"/>
          <w:sz w:val="24"/>
        </w:rPr>
      </w:pPr>
      <w:r w:rsidRPr="00D60761">
        <w:rPr>
          <w:rFonts w:ascii="Times New Roman" w:hAnsi="Times New Roman"/>
          <w:iCs/>
          <w:sz w:val="24"/>
        </w:rPr>
        <w:t xml:space="preserve">Congress has assigned the Federal Reserve the duty of examining the institutions it supervises for compliance with many consumer protection laws designed to ensure that consumers receive comprehensive information and fair treatment in their financial services </w:t>
      </w:r>
      <w:r w:rsidR="00C37C28" w:rsidRPr="00D60761">
        <w:rPr>
          <w:rFonts w:ascii="Times New Roman" w:hAnsi="Times New Roman"/>
          <w:iCs/>
          <w:sz w:val="24"/>
        </w:rPr>
        <w:t>transactions</w:t>
      </w:r>
      <w:r w:rsidRPr="00D60761">
        <w:rPr>
          <w:rFonts w:ascii="Times New Roman" w:hAnsi="Times New Roman"/>
          <w:iCs/>
          <w:sz w:val="24"/>
        </w:rPr>
        <w:t xml:space="preserve">.  In addition, </w:t>
      </w:r>
      <w:r w:rsidR="00041A44">
        <w:rPr>
          <w:rFonts w:ascii="Times New Roman" w:hAnsi="Times New Roman"/>
          <w:sz w:val="24"/>
        </w:rPr>
        <w:t xml:space="preserve">the </w:t>
      </w:r>
      <w:r w:rsidR="00041A44" w:rsidRPr="00D935C6">
        <w:rPr>
          <w:rFonts w:ascii="Times New Roman" w:hAnsi="Times New Roman"/>
          <w:iCs/>
          <w:sz w:val="24"/>
        </w:rPr>
        <w:t>Federal Reserve</w:t>
      </w:r>
      <w:r w:rsidRPr="00D60761">
        <w:rPr>
          <w:rFonts w:ascii="Times New Roman" w:hAnsi="Times New Roman"/>
          <w:sz w:val="24"/>
        </w:rPr>
        <w:t xml:space="preserve"> is responsible for drafting regulations and interpretations under certain consumer laws for specific entities.</w:t>
      </w:r>
      <w:r w:rsidR="00041A44">
        <w:rPr>
          <w:rFonts w:ascii="Times New Roman" w:hAnsi="Times New Roman"/>
          <w:sz w:val="24"/>
        </w:rPr>
        <w:t xml:space="preserve">  </w:t>
      </w:r>
      <w:r w:rsidRPr="00D60761">
        <w:rPr>
          <w:rFonts w:ascii="Times New Roman" w:hAnsi="Times New Roman"/>
          <w:sz w:val="24"/>
        </w:rPr>
        <w:t>The Federal Reserve also has responsibilities for promoting financial stability, including the financial stability of consumers and households.  Accordingly, the</w:t>
      </w:r>
      <w:r w:rsidR="00041A44">
        <w:rPr>
          <w:rFonts w:ascii="Times New Roman" w:hAnsi="Times New Roman"/>
          <w:sz w:val="24"/>
        </w:rPr>
        <w:t xml:space="preserve"> </w:t>
      </w:r>
      <w:r w:rsidR="00041A44" w:rsidRPr="00D60761">
        <w:rPr>
          <w:rFonts w:ascii="Times New Roman" w:hAnsi="Times New Roman"/>
          <w:sz w:val="24"/>
        </w:rPr>
        <w:t>Federal Reserve</w:t>
      </w:r>
      <w:r w:rsidRPr="00D60761">
        <w:rPr>
          <w:rFonts w:ascii="Times New Roman" w:hAnsi="Times New Roman"/>
          <w:sz w:val="24"/>
        </w:rPr>
        <w:t xml:space="preserve"> Board’s responsibilities include:</w:t>
      </w:r>
    </w:p>
    <w:p w:rsidR="00A33691" w:rsidRPr="00D60761" w:rsidRDefault="00A33691" w:rsidP="00A33691">
      <w:pPr>
        <w:ind w:firstLine="720"/>
        <w:rPr>
          <w:rFonts w:ascii="Times New Roman" w:hAnsi="Times New Roman"/>
          <w:sz w:val="24"/>
        </w:rPr>
      </w:pPr>
    </w:p>
    <w:p w:rsidR="00A33691" w:rsidRPr="00D60761" w:rsidRDefault="00052865" w:rsidP="00A33691">
      <w:pPr>
        <w:numPr>
          <w:ilvl w:val="0"/>
          <w:numId w:val="17"/>
        </w:numPr>
        <w:rPr>
          <w:rFonts w:ascii="Times New Roman" w:hAnsi="Times New Roman"/>
          <w:sz w:val="24"/>
        </w:rPr>
      </w:pPr>
      <w:r w:rsidRPr="00D60761">
        <w:rPr>
          <w:rFonts w:ascii="Times New Roman" w:hAnsi="Times New Roman"/>
          <w:sz w:val="24"/>
        </w:rPr>
        <w:t xml:space="preserve">writing and interpreting regulations under certain laws for specific </w:t>
      </w:r>
      <w:r w:rsidR="00A33691" w:rsidRPr="00D60761">
        <w:rPr>
          <w:rFonts w:ascii="Times New Roman" w:hAnsi="Times New Roman"/>
          <w:sz w:val="24"/>
        </w:rPr>
        <w:t xml:space="preserve">entities, to implement </w:t>
      </w:r>
      <w:r w:rsidRPr="00D60761">
        <w:rPr>
          <w:rFonts w:ascii="Times New Roman" w:hAnsi="Times New Roman"/>
          <w:sz w:val="24"/>
        </w:rPr>
        <w:t xml:space="preserve">federal laws that protect and inform consumers, </w:t>
      </w:r>
    </w:p>
    <w:p w:rsidR="00A33691" w:rsidRPr="00D60761" w:rsidRDefault="00052865" w:rsidP="00A33691">
      <w:pPr>
        <w:numPr>
          <w:ilvl w:val="0"/>
          <w:numId w:val="17"/>
        </w:numPr>
        <w:rPr>
          <w:rFonts w:ascii="Times New Roman" w:hAnsi="Times New Roman"/>
          <w:sz w:val="24"/>
        </w:rPr>
      </w:pPr>
      <w:r w:rsidRPr="00D60761">
        <w:rPr>
          <w:rFonts w:ascii="Times New Roman" w:hAnsi="Times New Roman"/>
          <w:sz w:val="24"/>
        </w:rPr>
        <w:t>supervising banks and non-bank subsidiaries of bank holding companies (BHCs) to ensure compliance with the regulations,</w:t>
      </w:r>
    </w:p>
    <w:p w:rsidR="00A33691" w:rsidRPr="00D60761" w:rsidRDefault="00052865" w:rsidP="00A33691">
      <w:pPr>
        <w:numPr>
          <w:ilvl w:val="0"/>
          <w:numId w:val="17"/>
        </w:numPr>
        <w:rPr>
          <w:rFonts w:ascii="Times New Roman" w:hAnsi="Times New Roman"/>
          <w:sz w:val="24"/>
        </w:rPr>
      </w:pPr>
      <w:r w:rsidRPr="00D60761">
        <w:rPr>
          <w:rFonts w:ascii="Times New Roman" w:hAnsi="Times New Roman"/>
          <w:sz w:val="24"/>
        </w:rPr>
        <w:t>investigating consumer complaints about state member banks' and non-bank subsidiaries of BHCs’ compliance with regulations,</w:t>
      </w:r>
    </w:p>
    <w:p w:rsidR="00052865" w:rsidRPr="00D60761" w:rsidRDefault="00052865" w:rsidP="00A33691">
      <w:pPr>
        <w:numPr>
          <w:ilvl w:val="0"/>
          <w:numId w:val="17"/>
        </w:numPr>
        <w:rPr>
          <w:rFonts w:ascii="Times New Roman" w:hAnsi="Times New Roman"/>
          <w:sz w:val="24"/>
        </w:rPr>
      </w:pPr>
      <w:r w:rsidRPr="00D60761">
        <w:rPr>
          <w:rFonts w:ascii="Times New Roman" w:hAnsi="Times New Roman"/>
          <w:sz w:val="24"/>
        </w:rPr>
        <w:t xml:space="preserve">promoting community development in historically underserved markets, and conducting consumer research and promoting consumer financial stability. </w:t>
      </w:r>
    </w:p>
    <w:p w:rsidR="00D935C6" w:rsidRPr="00D60761" w:rsidRDefault="00D935C6" w:rsidP="00BF199F">
      <w:pPr>
        <w:widowControl/>
        <w:rPr>
          <w:rFonts w:ascii="Times New Roman" w:hAnsi="Times New Roman"/>
          <w:sz w:val="24"/>
        </w:rPr>
      </w:pPr>
      <w:r w:rsidRPr="00D60761">
        <w:rPr>
          <w:rFonts w:ascii="Times New Roman" w:hAnsi="Times New Roman"/>
          <w:sz w:val="24"/>
        </w:rPr>
        <w:lastRenderedPageBreak/>
        <w:t xml:space="preserve">These studies </w:t>
      </w:r>
      <w:r w:rsidR="00771DFE" w:rsidRPr="00D60761">
        <w:rPr>
          <w:rFonts w:ascii="Times New Roman" w:hAnsi="Times New Roman"/>
          <w:sz w:val="24"/>
        </w:rPr>
        <w:t>are</w:t>
      </w:r>
      <w:r w:rsidR="00327D36" w:rsidRPr="00D60761">
        <w:rPr>
          <w:rFonts w:ascii="Times New Roman" w:hAnsi="Times New Roman"/>
          <w:sz w:val="24"/>
        </w:rPr>
        <w:t xml:space="preserve"> </w:t>
      </w:r>
      <w:r w:rsidRPr="00D60761">
        <w:rPr>
          <w:rFonts w:ascii="Times New Roman" w:hAnsi="Times New Roman"/>
          <w:sz w:val="24"/>
        </w:rPr>
        <w:t xml:space="preserve">used in support of the </w:t>
      </w:r>
      <w:r w:rsidR="009354FD">
        <w:rPr>
          <w:rFonts w:ascii="Times New Roman" w:hAnsi="Times New Roman"/>
          <w:sz w:val="24"/>
        </w:rPr>
        <w:t>Federal Reserve Board’s</w:t>
      </w:r>
      <w:r w:rsidRPr="00D60761">
        <w:rPr>
          <w:rFonts w:ascii="Times New Roman" w:hAnsi="Times New Roman"/>
          <w:sz w:val="24"/>
        </w:rPr>
        <w:t xml:space="preserve"> development and implementation of regulatory revisions, supporting consumer </w:t>
      </w:r>
      <w:r w:rsidR="007064C5" w:rsidRPr="00D60761">
        <w:rPr>
          <w:rFonts w:ascii="Times New Roman" w:hAnsi="Times New Roman"/>
          <w:sz w:val="24"/>
        </w:rPr>
        <w:t>financial stability</w:t>
      </w:r>
      <w:r w:rsidRPr="00D60761">
        <w:rPr>
          <w:rFonts w:ascii="Times New Roman" w:hAnsi="Times New Roman"/>
          <w:sz w:val="24"/>
        </w:rPr>
        <w:t xml:space="preserve">, and monitoring financial </w:t>
      </w:r>
      <w:r w:rsidR="001C0C8B" w:rsidRPr="00D60761">
        <w:rPr>
          <w:rFonts w:ascii="Times New Roman" w:hAnsi="Times New Roman"/>
          <w:sz w:val="24"/>
        </w:rPr>
        <w:t>service providers.</w:t>
      </w:r>
    </w:p>
    <w:p w:rsidR="00D935C6" w:rsidRPr="00D60761" w:rsidRDefault="00D935C6" w:rsidP="00C37C28">
      <w:pPr>
        <w:rPr>
          <w:rFonts w:ascii="Times New Roman" w:hAnsi="Times New Roman"/>
          <w:sz w:val="24"/>
        </w:rPr>
      </w:pPr>
    </w:p>
    <w:p w:rsidR="00D935C6" w:rsidRPr="00D60761" w:rsidRDefault="00D935C6" w:rsidP="00C37C28">
      <w:pPr>
        <w:suppressAutoHyphens/>
        <w:ind w:firstLine="720"/>
        <w:rPr>
          <w:rFonts w:ascii="Times New Roman" w:hAnsi="Times New Roman"/>
          <w:sz w:val="24"/>
        </w:rPr>
      </w:pPr>
      <w:r w:rsidRPr="00D60761">
        <w:rPr>
          <w:rFonts w:ascii="Times New Roman" w:hAnsi="Times New Roman"/>
          <w:sz w:val="24"/>
        </w:rPr>
        <w:t xml:space="preserve">The Federal Reserve seeks to develop and implement </w:t>
      </w:r>
      <w:r w:rsidR="00FA7B48" w:rsidRPr="00D60761">
        <w:rPr>
          <w:rFonts w:ascii="Times New Roman" w:hAnsi="Times New Roman"/>
          <w:sz w:val="24"/>
        </w:rPr>
        <w:t xml:space="preserve">consumer </w:t>
      </w:r>
      <w:r w:rsidRPr="00D60761">
        <w:rPr>
          <w:rFonts w:ascii="Times New Roman" w:hAnsi="Times New Roman"/>
          <w:sz w:val="24"/>
        </w:rPr>
        <w:t xml:space="preserve">policies </w:t>
      </w:r>
      <w:r w:rsidR="00712CA2" w:rsidRPr="00D60761">
        <w:rPr>
          <w:rFonts w:ascii="Times New Roman" w:hAnsi="Times New Roman"/>
          <w:sz w:val="24"/>
        </w:rPr>
        <w:t xml:space="preserve">and regulations </w:t>
      </w:r>
      <w:r w:rsidRPr="00D60761">
        <w:rPr>
          <w:rFonts w:ascii="Times New Roman" w:hAnsi="Times New Roman"/>
          <w:sz w:val="24"/>
        </w:rPr>
        <w:t>based on information garnered from consumers</w:t>
      </w:r>
      <w:r w:rsidR="002459A0" w:rsidRPr="00D60761">
        <w:rPr>
          <w:rFonts w:ascii="Times New Roman" w:hAnsi="Times New Roman"/>
          <w:sz w:val="24"/>
        </w:rPr>
        <w:t>,</w:t>
      </w:r>
      <w:r w:rsidRPr="00D60761">
        <w:rPr>
          <w:rFonts w:ascii="Times New Roman" w:hAnsi="Times New Roman"/>
          <w:sz w:val="24"/>
        </w:rPr>
        <w:t xml:space="preserve"> industry</w:t>
      </w:r>
      <w:r w:rsidR="002459A0" w:rsidRPr="00D60761">
        <w:rPr>
          <w:rFonts w:ascii="Times New Roman" w:hAnsi="Times New Roman"/>
          <w:sz w:val="24"/>
        </w:rPr>
        <w:t>, and others</w:t>
      </w:r>
      <w:r w:rsidRPr="00D60761">
        <w:rPr>
          <w:rFonts w:ascii="Times New Roman" w:hAnsi="Times New Roman"/>
          <w:sz w:val="24"/>
        </w:rPr>
        <w:t xml:space="preserve"> that enable consumers to make </w:t>
      </w:r>
      <w:r w:rsidR="00712CA2" w:rsidRPr="00D60761">
        <w:rPr>
          <w:rFonts w:ascii="Times New Roman" w:hAnsi="Times New Roman"/>
          <w:sz w:val="24"/>
        </w:rPr>
        <w:t>more educated</w:t>
      </w:r>
      <w:r w:rsidRPr="00D60761">
        <w:rPr>
          <w:rFonts w:ascii="Times New Roman" w:hAnsi="Times New Roman"/>
          <w:sz w:val="24"/>
        </w:rPr>
        <w:t xml:space="preserve"> financial decisions based on </w:t>
      </w:r>
      <w:r w:rsidR="00712CA2" w:rsidRPr="00D60761">
        <w:rPr>
          <w:rFonts w:ascii="Times New Roman" w:hAnsi="Times New Roman"/>
          <w:sz w:val="24"/>
        </w:rPr>
        <w:t xml:space="preserve">obtaining </w:t>
      </w:r>
      <w:r w:rsidRPr="00D60761">
        <w:rPr>
          <w:rFonts w:ascii="Times New Roman" w:hAnsi="Times New Roman"/>
          <w:sz w:val="24"/>
        </w:rPr>
        <w:t xml:space="preserve">sound information and a clear understanding of how to use that information to </w:t>
      </w:r>
      <w:r w:rsidR="00712CA2" w:rsidRPr="00D60761">
        <w:rPr>
          <w:rFonts w:ascii="Times New Roman" w:hAnsi="Times New Roman"/>
          <w:sz w:val="24"/>
        </w:rPr>
        <w:t xml:space="preserve">better </w:t>
      </w:r>
      <w:r w:rsidRPr="00D60761">
        <w:rPr>
          <w:rFonts w:ascii="Times New Roman" w:hAnsi="Times New Roman"/>
          <w:sz w:val="24"/>
        </w:rPr>
        <w:t xml:space="preserve">meet their personal needs.  </w:t>
      </w:r>
      <w:r w:rsidR="00FA7B48" w:rsidRPr="00D60761">
        <w:rPr>
          <w:rFonts w:ascii="Times New Roman" w:hAnsi="Times New Roman"/>
          <w:sz w:val="24"/>
        </w:rPr>
        <w:t>D</w:t>
      </w:r>
      <w:r w:rsidRPr="00D60761">
        <w:rPr>
          <w:rFonts w:ascii="Times New Roman" w:hAnsi="Times New Roman"/>
          <w:sz w:val="24"/>
        </w:rPr>
        <w:t>irect information about consumer knowledge</w:t>
      </w:r>
      <w:r w:rsidR="00301273" w:rsidRPr="00D60761">
        <w:rPr>
          <w:rFonts w:ascii="Times New Roman" w:hAnsi="Times New Roman"/>
          <w:sz w:val="24"/>
        </w:rPr>
        <w:t xml:space="preserve">, sources of information and advice, </w:t>
      </w:r>
      <w:r w:rsidRPr="00D60761">
        <w:rPr>
          <w:rFonts w:ascii="Times New Roman" w:hAnsi="Times New Roman"/>
          <w:sz w:val="24"/>
        </w:rPr>
        <w:t xml:space="preserve">and use of disclosure </w:t>
      </w:r>
      <w:r w:rsidR="00301273" w:rsidRPr="00D60761">
        <w:rPr>
          <w:rFonts w:ascii="Times New Roman" w:hAnsi="Times New Roman"/>
          <w:sz w:val="24"/>
        </w:rPr>
        <w:t>materials</w:t>
      </w:r>
      <w:r w:rsidRPr="00D60761">
        <w:rPr>
          <w:rFonts w:ascii="Times New Roman" w:hAnsi="Times New Roman"/>
          <w:sz w:val="24"/>
        </w:rPr>
        <w:t xml:space="preserve"> </w:t>
      </w:r>
      <w:r w:rsidR="004731AC" w:rsidRPr="00D60761">
        <w:rPr>
          <w:rFonts w:ascii="Times New Roman" w:hAnsi="Times New Roman"/>
          <w:sz w:val="24"/>
        </w:rPr>
        <w:t xml:space="preserve">are </w:t>
      </w:r>
      <w:r w:rsidRPr="00D60761">
        <w:rPr>
          <w:rFonts w:ascii="Times New Roman" w:hAnsi="Times New Roman"/>
          <w:sz w:val="24"/>
        </w:rPr>
        <w:t xml:space="preserve">best obtained through studies of </w:t>
      </w:r>
      <w:r w:rsidR="00712CA2" w:rsidRPr="00D60761">
        <w:rPr>
          <w:rFonts w:ascii="Times New Roman" w:hAnsi="Times New Roman"/>
          <w:sz w:val="24"/>
        </w:rPr>
        <w:t>consumers,</w:t>
      </w:r>
      <w:r w:rsidRPr="00D60761">
        <w:rPr>
          <w:rFonts w:ascii="Times New Roman" w:hAnsi="Times New Roman"/>
          <w:sz w:val="24"/>
        </w:rPr>
        <w:t xml:space="preserve"> financial institutions</w:t>
      </w:r>
      <w:r w:rsidR="00712CA2" w:rsidRPr="00D60761">
        <w:rPr>
          <w:rFonts w:ascii="Times New Roman" w:hAnsi="Times New Roman"/>
          <w:sz w:val="24"/>
        </w:rPr>
        <w:t>, and other stakeholders described above.</w:t>
      </w:r>
      <w:r w:rsidRPr="00D60761">
        <w:rPr>
          <w:rFonts w:ascii="Times New Roman" w:hAnsi="Times New Roman"/>
          <w:sz w:val="24"/>
        </w:rPr>
        <w:t xml:space="preserve">  </w:t>
      </w:r>
    </w:p>
    <w:p w:rsidR="00D935C6" w:rsidRPr="00D60761" w:rsidRDefault="00D935C6" w:rsidP="00C37C28">
      <w:pPr>
        <w:suppressAutoHyphens/>
        <w:ind w:firstLine="720"/>
        <w:rPr>
          <w:rFonts w:ascii="Times New Roman" w:hAnsi="Times New Roman"/>
          <w:sz w:val="24"/>
        </w:rPr>
      </w:pPr>
    </w:p>
    <w:p w:rsidR="00655505" w:rsidRPr="00D60761" w:rsidRDefault="00D26FDC" w:rsidP="00C37C28">
      <w:pPr>
        <w:widowControl/>
        <w:tabs>
          <w:tab w:val="left" w:pos="360"/>
        </w:tabs>
        <w:rPr>
          <w:rFonts w:ascii="Times New Roman" w:hAnsi="Times New Roman"/>
          <w:sz w:val="24"/>
        </w:rPr>
      </w:pPr>
      <w:r w:rsidRPr="00D60761">
        <w:rPr>
          <w:rFonts w:ascii="Times New Roman" w:hAnsi="Times New Roman"/>
          <w:sz w:val="24"/>
        </w:rPr>
        <w:tab/>
      </w:r>
      <w:r w:rsidR="00537047" w:rsidRPr="00D60761">
        <w:rPr>
          <w:rFonts w:ascii="Times New Roman" w:hAnsi="Times New Roman"/>
          <w:sz w:val="24"/>
        </w:rPr>
        <w:tab/>
      </w:r>
      <w:r w:rsidR="006B7382" w:rsidRPr="00D60761">
        <w:rPr>
          <w:rFonts w:ascii="Times New Roman" w:hAnsi="Times New Roman"/>
          <w:sz w:val="24"/>
        </w:rPr>
        <w:t xml:space="preserve">The Federal Reserve has a long history of conducting surveys, including those of  financial institutions and their senior officers, individual consumers and households, businesses (both small and large), and military personnel.  </w:t>
      </w:r>
      <w:r w:rsidR="00655505" w:rsidRPr="00D60761">
        <w:rPr>
          <w:rFonts w:ascii="Times New Roman" w:hAnsi="Times New Roman"/>
          <w:sz w:val="24"/>
        </w:rPr>
        <w:t xml:space="preserve">Often </w:t>
      </w:r>
      <w:r w:rsidR="006B7382" w:rsidRPr="00D60761">
        <w:rPr>
          <w:rFonts w:ascii="Times New Roman" w:hAnsi="Times New Roman"/>
          <w:sz w:val="24"/>
        </w:rPr>
        <w:t xml:space="preserve">the surveys have provided the only reliable source of information </w:t>
      </w:r>
      <w:r w:rsidR="00655505" w:rsidRPr="00D60761">
        <w:rPr>
          <w:rFonts w:ascii="Times New Roman" w:hAnsi="Times New Roman"/>
          <w:sz w:val="24"/>
        </w:rPr>
        <w:t>relevant to the motivation for the survey</w:t>
      </w:r>
      <w:r w:rsidR="006B7382" w:rsidRPr="00D60761">
        <w:rPr>
          <w:rFonts w:ascii="Times New Roman" w:hAnsi="Times New Roman"/>
          <w:sz w:val="24"/>
        </w:rPr>
        <w:t xml:space="preserve">. </w:t>
      </w:r>
      <w:r w:rsidR="00655505" w:rsidRPr="00D60761">
        <w:rPr>
          <w:rFonts w:ascii="Times New Roman" w:hAnsi="Times New Roman"/>
          <w:sz w:val="24"/>
        </w:rPr>
        <w:t>Although these surveys have been driven by specific needs of the Federal Reserve, their findings have also been used extensively by researchers outside the Federal Reserve System and have been widely cited by the media.</w:t>
      </w:r>
    </w:p>
    <w:p w:rsidR="00754245" w:rsidRPr="00D60761" w:rsidRDefault="00754245" w:rsidP="00C37C28">
      <w:pPr>
        <w:widowControl/>
        <w:tabs>
          <w:tab w:val="left" w:pos="576"/>
          <w:tab w:val="left" w:pos="1008"/>
          <w:tab w:val="left" w:pos="5904"/>
        </w:tabs>
        <w:ind w:firstLine="576"/>
        <w:rPr>
          <w:rFonts w:ascii="Times New Roman" w:hAnsi="Times New Roman"/>
          <w:sz w:val="24"/>
        </w:rPr>
      </w:pPr>
    </w:p>
    <w:p w:rsidR="00754245" w:rsidRPr="00D60761" w:rsidRDefault="00F64162" w:rsidP="00C37C28">
      <w:pPr>
        <w:widowControl/>
        <w:tabs>
          <w:tab w:val="left" w:pos="576"/>
          <w:tab w:val="left" w:pos="1008"/>
          <w:tab w:val="left" w:pos="5904"/>
        </w:tabs>
        <w:ind w:firstLine="576"/>
        <w:rPr>
          <w:rFonts w:ascii="Times New Roman" w:hAnsi="Times New Roman"/>
          <w:sz w:val="24"/>
        </w:rPr>
      </w:pPr>
      <w:r w:rsidRPr="00D60761">
        <w:rPr>
          <w:rFonts w:ascii="Times New Roman" w:hAnsi="Times New Roman"/>
          <w:sz w:val="24"/>
        </w:rPr>
        <w:t xml:space="preserve">The Federal Reserve </w:t>
      </w:r>
      <w:r w:rsidR="00653E5D" w:rsidRPr="00D60761">
        <w:rPr>
          <w:rFonts w:ascii="Times New Roman" w:hAnsi="Times New Roman"/>
          <w:sz w:val="24"/>
        </w:rPr>
        <w:t>continues</w:t>
      </w:r>
      <w:r w:rsidR="00754245" w:rsidRPr="00D60761">
        <w:rPr>
          <w:rFonts w:ascii="Times New Roman" w:hAnsi="Times New Roman"/>
          <w:sz w:val="24"/>
        </w:rPr>
        <w:t xml:space="preserve"> to involve consumers in the development, design, and </w:t>
      </w:r>
      <w:r w:rsidR="00E362B3" w:rsidRPr="00D60761">
        <w:rPr>
          <w:rFonts w:ascii="Times New Roman" w:hAnsi="Times New Roman"/>
          <w:sz w:val="24"/>
        </w:rPr>
        <w:t>validation</w:t>
      </w:r>
      <w:r w:rsidR="00754245" w:rsidRPr="00D60761">
        <w:rPr>
          <w:rFonts w:ascii="Times New Roman" w:hAnsi="Times New Roman"/>
          <w:sz w:val="24"/>
        </w:rPr>
        <w:t xml:space="preserve"> of </w:t>
      </w:r>
      <w:r w:rsidR="00E362B3" w:rsidRPr="00D60761">
        <w:rPr>
          <w:rFonts w:ascii="Times New Roman" w:hAnsi="Times New Roman"/>
          <w:sz w:val="24"/>
        </w:rPr>
        <w:t>consumer</w:t>
      </w:r>
      <w:r w:rsidR="00754245" w:rsidRPr="00D60761">
        <w:rPr>
          <w:rFonts w:ascii="Times New Roman" w:hAnsi="Times New Roman"/>
          <w:sz w:val="24"/>
        </w:rPr>
        <w:t xml:space="preserve"> </w:t>
      </w:r>
      <w:r w:rsidR="007064C5" w:rsidRPr="00D60761">
        <w:rPr>
          <w:rFonts w:ascii="Times New Roman" w:hAnsi="Times New Roman"/>
          <w:sz w:val="24"/>
        </w:rPr>
        <w:t>and community development policies and programs.</w:t>
      </w:r>
      <w:r w:rsidR="00754245" w:rsidRPr="00D60761">
        <w:rPr>
          <w:rFonts w:ascii="Times New Roman" w:hAnsi="Times New Roman"/>
          <w:sz w:val="24"/>
        </w:rPr>
        <w:t xml:space="preserve">  Similarly, it is desirable to involve stakeholders – housing counselors and educators, for example – in the design and development of effective </w:t>
      </w:r>
      <w:r w:rsidR="007064C5" w:rsidRPr="00D60761">
        <w:rPr>
          <w:rFonts w:ascii="Times New Roman" w:hAnsi="Times New Roman"/>
          <w:sz w:val="24"/>
        </w:rPr>
        <w:t xml:space="preserve">consumer and community development </w:t>
      </w:r>
      <w:r w:rsidR="004D518E" w:rsidRPr="00D60761">
        <w:rPr>
          <w:rFonts w:ascii="Times New Roman" w:hAnsi="Times New Roman"/>
          <w:sz w:val="24"/>
        </w:rPr>
        <w:t>information</w:t>
      </w:r>
      <w:r w:rsidR="007064C5" w:rsidRPr="00D60761">
        <w:rPr>
          <w:rFonts w:ascii="Times New Roman" w:hAnsi="Times New Roman"/>
          <w:sz w:val="24"/>
        </w:rPr>
        <w:t xml:space="preserve"> and</w:t>
      </w:r>
      <w:r w:rsidR="004D518E" w:rsidRPr="00D60761">
        <w:rPr>
          <w:rFonts w:ascii="Times New Roman" w:hAnsi="Times New Roman"/>
          <w:sz w:val="24"/>
        </w:rPr>
        <w:t xml:space="preserve"> </w:t>
      </w:r>
      <w:r w:rsidR="00754245" w:rsidRPr="00D60761">
        <w:rPr>
          <w:rFonts w:ascii="Times New Roman" w:hAnsi="Times New Roman"/>
          <w:sz w:val="24"/>
        </w:rPr>
        <w:t>materials.</w:t>
      </w:r>
    </w:p>
    <w:p w:rsidR="006B7382" w:rsidRPr="00D60761" w:rsidRDefault="006B7382" w:rsidP="00DD187C">
      <w:pPr>
        <w:ind w:firstLine="720"/>
        <w:rPr>
          <w:rFonts w:ascii="Times New Roman" w:hAnsi="Times New Roman"/>
          <w:sz w:val="24"/>
        </w:rPr>
      </w:pPr>
    </w:p>
    <w:p w:rsidR="00C948AE" w:rsidRPr="00D60761" w:rsidRDefault="00655505" w:rsidP="00655505">
      <w:pPr>
        <w:widowControl/>
        <w:tabs>
          <w:tab w:val="left" w:pos="360"/>
        </w:tabs>
        <w:rPr>
          <w:rFonts w:ascii="Times New Roman" w:hAnsi="Times New Roman"/>
          <w:sz w:val="24"/>
        </w:rPr>
      </w:pPr>
      <w:r w:rsidRPr="00D60761">
        <w:rPr>
          <w:rFonts w:ascii="Times New Roman" w:hAnsi="Times New Roman"/>
          <w:sz w:val="24"/>
        </w:rPr>
        <w:tab/>
      </w:r>
      <w:r w:rsidRPr="00D60761">
        <w:rPr>
          <w:rFonts w:ascii="Times New Roman" w:hAnsi="Times New Roman"/>
          <w:sz w:val="24"/>
        </w:rPr>
        <w:tab/>
        <w:t xml:space="preserve">Many functional areas </w:t>
      </w:r>
      <w:r w:rsidR="00712CA2" w:rsidRPr="00D60761">
        <w:rPr>
          <w:rFonts w:ascii="Times New Roman" w:hAnsi="Times New Roman"/>
          <w:sz w:val="24"/>
        </w:rPr>
        <w:t>within</w:t>
      </w:r>
      <w:r w:rsidRPr="00D60761">
        <w:rPr>
          <w:rFonts w:ascii="Times New Roman" w:hAnsi="Times New Roman"/>
          <w:sz w:val="24"/>
        </w:rPr>
        <w:t xml:space="preserve"> </w:t>
      </w:r>
      <w:r w:rsidR="00F64162">
        <w:rPr>
          <w:rFonts w:ascii="Times New Roman" w:hAnsi="Times New Roman"/>
          <w:sz w:val="24"/>
        </w:rPr>
        <w:t>the</w:t>
      </w:r>
      <w:r w:rsidR="00F64162" w:rsidRPr="00D60761">
        <w:rPr>
          <w:rFonts w:ascii="Times New Roman" w:hAnsi="Times New Roman"/>
          <w:sz w:val="24"/>
        </w:rPr>
        <w:t xml:space="preserve"> Federal Reserve </w:t>
      </w:r>
      <w:r w:rsidRPr="00D60761">
        <w:rPr>
          <w:rFonts w:ascii="Times New Roman" w:hAnsi="Times New Roman"/>
          <w:sz w:val="24"/>
        </w:rPr>
        <w:t>have occasional</w:t>
      </w:r>
      <w:r w:rsidR="00BF199F">
        <w:rPr>
          <w:rFonts w:ascii="Times New Roman" w:hAnsi="Times New Roman"/>
          <w:sz w:val="24"/>
        </w:rPr>
        <w:t>ly</w:t>
      </w:r>
      <w:r w:rsidRPr="00D60761">
        <w:rPr>
          <w:rFonts w:ascii="Times New Roman" w:hAnsi="Times New Roman"/>
          <w:sz w:val="24"/>
        </w:rPr>
        <w:t xml:space="preserve"> need</w:t>
      </w:r>
      <w:r w:rsidR="00BF199F">
        <w:rPr>
          <w:rFonts w:ascii="Times New Roman" w:hAnsi="Times New Roman"/>
          <w:sz w:val="24"/>
        </w:rPr>
        <w:t>ed</w:t>
      </w:r>
      <w:r w:rsidRPr="00D60761">
        <w:rPr>
          <w:rFonts w:ascii="Times New Roman" w:hAnsi="Times New Roman"/>
          <w:sz w:val="24"/>
        </w:rPr>
        <w:t xml:space="preserve"> to gather data on a timely basis from the public on their economic condition and financial relationships and their attitudes, perceptions, and expectations.  These data may be particularly needed in times of critical economic or regulatory changes or when issues of immediate concern arise from Federal Reserve committee initiatives and working groups or requests from the Congress.  </w:t>
      </w:r>
    </w:p>
    <w:p w:rsidR="00D60761" w:rsidRDefault="00D60761" w:rsidP="00F23D68">
      <w:pPr>
        <w:pStyle w:val="BodyText"/>
        <w:spacing w:after="0"/>
        <w:ind w:firstLine="720"/>
        <w:rPr>
          <w:rFonts w:ascii="Times New Roman" w:hAnsi="Times New Roman"/>
          <w:sz w:val="24"/>
        </w:rPr>
      </w:pPr>
    </w:p>
    <w:p w:rsidR="00F23D68" w:rsidRPr="00D60761" w:rsidRDefault="00F23D68" w:rsidP="00673F3A">
      <w:pPr>
        <w:pStyle w:val="BodyText"/>
        <w:widowControl/>
        <w:spacing w:after="0"/>
        <w:ind w:firstLine="720"/>
        <w:rPr>
          <w:rFonts w:ascii="Times New Roman" w:hAnsi="Times New Roman"/>
          <w:b/>
          <w:sz w:val="24"/>
        </w:rPr>
      </w:pPr>
      <w:r w:rsidRPr="00D60761">
        <w:rPr>
          <w:rFonts w:ascii="Times New Roman" w:hAnsi="Times New Roman"/>
          <w:sz w:val="24"/>
        </w:rPr>
        <w:t xml:space="preserve">The Federal Reserve created the consumer financial stability survey process in September 2009.  Since its creation, a survey has been conducted several times.  The first survey conducted in 2010 was a survey of financial institution staff, used to respond to a request from Congress on ATM fees.  During 2010 and 2011, surveys of community stakeholders were conducted as part of the </w:t>
      </w:r>
      <w:r w:rsidR="009354FD">
        <w:rPr>
          <w:rFonts w:ascii="Times New Roman" w:hAnsi="Times New Roman"/>
          <w:sz w:val="24"/>
        </w:rPr>
        <w:t>Federal Reserve Board’s</w:t>
      </w:r>
      <w:r w:rsidR="009354FD" w:rsidRPr="00D60761">
        <w:rPr>
          <w:rFonts w:ascii="Times New Roman" w:hAnsi="Times New Roman"/>
          <w:sz w:val="24"/>
        </w:rPr>
        <w:t xml:space="preserve"> </w:t>
      </w:r>
      <w:r w:rsidRPr="00D60761">
        <w:rPr>
          <w:rFonts w:ascii="Times New Roman" w:hAnsi="Times New Roman"/>
          <w:sz w:val="24"/>
        </w:rPr>
        <w:t xml:space="preserve">Community Data Initiative.  Consumer surveys conducted in 2011 collected information related to home equity loans and lines of credit and consumers’ use of mobile financial services.  </w:t>
      </w:r>
    </w:p>
    <w:p w:rsidR="00F23D68" w:rsidRPr="00D60761" w:rsidRDefault="00F23D68" w:rsidP="003A4FD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s="Times New Roman"/>
          <w:b/>
        </w:rPr>
      </w:pPr>
    </w:p>
    <w:p w:rsidR="00E7624E" w:rsidRPr="00D60761" w:rsidRDefault="00E7624E" w:rsidP="003A4FD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s="Times New Roman"/>
          <w:b/>
        </w:rPr>
      </w:pPr>
      <w:r w:rsidRPr="00D60761">
        <w:rPr>
          <w:rFonts w:ascii="Times New Roman" w:hAnsi="Times New Roman" w:cs="Times New Roman"/>
          <w:b/>
        </w:rPr>
        <w:t>Description of Information Collection</w:t>
      </w:r>
    </w:p>
    <w:p w:rsidR="00E7624E" w:rsidRPr="00D60761" w:rsidRDefault="00E7624E" w:rsidP="00E7624E">
      <w:pPr>
        <w:rPr>
          <w:rFonts w:ascii="Times New Roman" w:hAnsi="Times New Roman"/>
          <w:sz w:val="24"/>
        </w:rPr>
      </w:pPr>
    </w:p>
    <w:p w:rsidR="00655505" w:rsidRPr="00D60761" w:rsidRDefault="00655505" w:rsidP="00537047">
      <w:pPr>
        <w:pStyle w:val="BodyTextIndent"/>
        <w:ind w:firstLine="720"/>
        <w:rPr>
          <w:rFonts w:ascii="Times New Roman" w:hAnsi="Times New Roman" w:cs="Times New Roman"/>
          <w:color w:val="0000FF"/>
        </w:rPr>
      </w:pPr>
      <w:r w:rsidRPr="00D60761">
        <w:rPr>
          <w:rFonts w:ascii="Times New Roman" w:hAnsi="Times New Roman" w:cs="Times New Roman"/>
        </w:rPr>
        <w:t>The Federal Reserve conduct</w:t>
      </w:r>
      <w:r w:rsidR="00771DFE" w:rsidRPr="00D60761">
        <w:rPr>
          <w:rFonts w:ascii="Times New Roman" w:hAnsi="Times New Roman" w:cs="Times New Roman"/>
        </w:rPr>
        <w:t>s</w:t>
      </w:r>
      <w:r w:rsidRPr="00D60761">
        <w:rPr>
          <w:rFonts w:ascii="Times New Roman" w:hAnsi="Times New Roman" w:cs="Times New Roman"/>
        </w:rPr>
        <w:t xml:space="preserve"> various versions of the </w:t>
      </w:r>
      <w:r w:rsidR="00D60761" w:rsidRPr="00D60761">
        <w:rPr>
          <w:rFonts w:ascii="Times New Roman" w:hAnsi="Times New Roman" w:cs="Times New Roman"/>
        </w:rPr>
        <w:t xml:space="preserve">Consumer Financial Stability Surveys </w:t>
      </w:r>
      <w:r w:rsidRPr="00D60761">
        <w:rPr>
          <w:rFonts w:ascii="Times New Roman" w:hAnsi="Times New Roman" w:cs="Times New Roman"/>
        </w:rPr>
        <w:t xml:space="preserve">during the year, as needed, to collect information on specific issues that affect its </w:t>
      </w:r>
      <w:r w:rsidRPr="00D60761">
        <w:rPr>
          <w:rFonts w:ascii="Times New Roman" w:hAnsi="Times New Roman" w:cs="Times New Roman"/>
        </w:rPr>
        <w:lastRenderedPageBreak/>
        <w:t xml:space="preserve">decision making.  </w:t>
      </w:r>
      <w:r w:rsidRPr="00D60761">
        <w:rPr>
          <w:rFonts w:ascii="Times New Roman" w:hAnsi="Times New Roman" w:cs="Times New Roman"/>
          <w:color w:val="000000"/>
        </w:rPr>
        <w:t xml:space="preserve">The survey’s principal value </w:t>
      </w:r>
      <w:r w:rsidR="00771DFE" w:rsidRPr="00D60761">
        <w:rPr>
          <w:rFonts w:ascii="Times New Roman" w:hAnsi="Times New Roman" w:cs="Times New Roman"/>
          <w:color w:val="000000"/>
        </w:rPr>
        <w:t>is</w:t>
      </w:r>
      <w:r w:rsidRPr="00D60761">
        <w:rPr>
          <w:rFonts w:ascii="Times New Roman" w:hAnsi="Times New Roman" w:cs="Times New Roman"/>
          <w:color w:val="000000"/>
        </w:rPr>
        <w:t xml:space="preserve"> the flexibility it provides the Federal Reserve to respond quickly to the need for data due to </w:t>
      </w:r>
      <w:r w:rsidRPr="00D60761">
        <w:rPr>
          <w:rFonts w:ascii="Times New Roman" w:hAnsi="Times New Roman" w:cs="Times New Roman"/>
        </w:rPr>
        <w:t xml:space="preserve">unanticipated economic, </w:t>
      </w:r>
      <w:r w:rsidR="008C77AB" w:rsidRPr="00D60761">
        <w:rPr>
          <w:rFonts w:ascii="Times New Roman" w:hAnsi="Times New Roman" w:cs="Times New Roman"/>
        </w:rPr>
        <w:t>financial,</w:t>
      </w:r>
      <w:r w:rsidRPr="00D60761">
        <w:rPr>
          <w:rFonts w:ascii="Times New Roman" w:hAnsi="Times New Roman" w:cs="Times New Roman"/>
        </w:rPr>
        <w:t xml:space="preserve"> or regulatory developments and unforeseen Congressional requests for information.  The Federal Reserve cannot predict what specific information </w:t>
      </w:r>
      <w:r w:rsidR="00A905A9" w:rsidRPr="00D60761">
        <w:rPr>
          <w:rFonts w:ascii="Times New Roman" w:hAnsi="Times New Roman" w:cs="Times New Roman"/>
        </w:rPr>
        <w:t xml:space="preserve">would </w:t>
      </w:r>
      <w:r w:rsidRPr="00D60761">
        <w:rPr>
          <w:rFonts w:ascii="Times New Roman" w:hAnsi="Times New Roman" w:cs="Times New Roman"/>
        </w:rPr>
        <w:t>be needed but</w:t>
      </w:r>
      <w:r w:rsidR="004858E8" w:rsidRPr="00D60761">
        <w:rPr>
          <w:rFonts w:ascii="Times New Roman" w:hAnsi="Times New Roman" w:cs="Times New Roman"/>
        </w:rPr>
        <w:t>, because</w:t>
      </w:r>
      <w:r w:rsidRPr="00D60761">
        <w:rPr>
          <w:rFonts w:ascii="Times New Roman" w:hAnsi="Times New Roman" w:cs="Times New Roman"/>
        </w:rPr>
        <w:t xml:space="preserve"> such needs are generally very time sensitive</w:t>
      </w:r>
      <w:r w:rsidR="004858E8" w:rsidRPr="00D60761">
        <w:rPr>
          <w:rFonts w:ascii="Times New Roman" w:hAnsi="Times New Roman" w:cs="Times New Roman"/>
        </w:rPr>
        <w:t>,</w:t>
      </w:r>
      <w:r w:rsidR="00FF1D5A" w:rsidRPr="00D60761">
        <w:rPr>
          <w:rFonts w:ascii="Times New Roman" w:hAnsi="Times New Roman" w:cs="Times New Roman"/>
        </w:rPr>
        <w:t xml:space="preserve"> </w:t>
      </w:r>
      <w:r w:rsidR="00C1180B" w:rsidRPr="00D60761">
        <w:rPr>
          <w:rFonts w:ascii="Times New Roman" w:hAnsi="Times New Roman" w:cs="Times New Roman"/>
          <w:color w:val="000000"/>
        </w:rPr>
        <w:t xml:space="preserve">the Federal Reserve </w:t>
      </w:r>
      <w:r w:rsidRPr="00D60761">
        <w:rPr>
          <w:rFonts w:ascii="Times New Roman" w:hAnsi="Times New Roman" w:cs="Times New Roman"/>
          <w:color w:val="000000"/>
        </w:rPr>
        <w:t>conduct</w:t>
      </w:r>
      <w:r w:rsidR="00B60BE9" w:rsidRPr="00D60761">
        <w:rPr>
          <w:rFonts w:ascii="Times New Roman" w:hAnsi="Times New Roman" w:cs="Times New Roman"/>
          <w:color w:val="000000"/>
        </w:rPr>
        <w:t>s</w:t>
      </w:r>
      <w:r w:rsidRPr="00D60761">
        <w:rPr>
          <w:rFonts w:ascii="Times New Roman" w:hAnsi="Times New Roman" w:cs="Times New Roman"/>
          <w:color w:val="000000"/>
        </w:rPr>
        <w:t xml:space="preserve"> the </w:t>
      </w:r>
      <w:r w:rsidR="00D60761" w:rsidRPr="00D60761">
        <w:rPr>
          <w:rFonts w:ascii="Times New Roman" w:hAnsi="Times New Roman" w:cs="Times New Roman"/>
        </w:rPr>
        <w:t xml:space="preserve">Consumer Financial Stability Surveys </w:t>
      </w:r>
      <w:r w:rsidRPr="00D60761">
        <w:rPr>
          <w:rFonts w:ascii="Times New Roman" w:hAnsi="Times New Roman" w:cs="Times New Roman"/>
        </w:rPr>
        <w:t>as needed</w:t>
      </w:r>
      <w:r w:rsidR="00FF1D5A" w:rsidRPr="00D60761">
        <w:rPr>
          <w:rFonts w:ascii="Times New Roman" w:hAnsi="Times New Roman" w:cs="Times New Roman"/>
        </w:rPr>
        <w:t>.  The</w:t>
      </w:r>
      <w:r w:rsidR="00B60BE9" w:rsidRPr="00D60761">
        <w:rPr>
          <w:rFonts w:ascii="Times New Roman" w:hAnsi="Times New Roman" w:cs="Times New Roman"/>
        </w:rPr>
        <w:t xml:space="preserve"> Federal Reserve</w:t>
      </w:r>
      <w:r w:rsidR="00FF1D5A" w:rsidRPr="00D60761">
        <w:rPr>
          <w:rFonts w:ascii="Times New Roman" w:hAnsi="Times New Roman" w:cs="Times New Roman"/>
        </w:rPr>
        <w:t xml:space="preserve"> </w:t>
      </w:r>
      <w:r w:rsidR="00F23D68" w:rsidRPr="00D60761">
        <w:rPr>
          <w:rFonts w:ascii="Times New Roman" w:hAnsi="Times New Roman" w:cs="Times New Roman"/>
        </w:rPr>
        <w:t xml:space="preserve">may </w:t>
      </w:r>
      <w:r w:rsidR="00FF1D5A" w:rsidRPr="00D60761">
        <w:rPr>
          <w:rFonts w:ascii="Times New Roman" w:hAnsi="Times New Roman" w:cs="Times New Roman"/>
        </w:rPr>
        <w:t>conduct</w:t>
      </w:r>
      <w:r w:rsidRPr="00D60761">
        <w:rPr>
          <w:rFonts w:ascii="Times New Roman" w:hAnsi="Times New Roman" w:cs="Times New Roman"/>
        </w:rPr>
        <w:t xml:space="preserve"> </w:t>
      </w:r>
      <w:r w:rsidR="00973108" w:rsidRPr="00D60761">
        <w:rPr>
          <w:rFonts w:ascii="Times New Roman" w:hAnsi="Times New Roman" w:cs="Times New Roman"/>
        </w:rPr>
        <w:t xml:space="preserve">up to </w:t>
      </w:r>
      <w:r w:rsidR="00CD3CC3" w:rsidRPr="00D60761">
        <w:rPr>
          <w:rFonts w:ascii="Times New Roman" w:hAnsi="Times New Roman" w:cs="Times New Roman"/>
        </w:rPr>
        <w:t>12</w:t>
      </w:r>
      <w:r w:rsidR="00973108" w:rsidRPr="00D60761">
        <w:rPr>
          <w:rFonts w:ascii="Times New Roman" w:hAnsi="Times New Roman" w:cs="Times New Roman"/>
        </w:rPr>
        <w:t xml:space="preserve"> consumer-focused </w:t>
      </w:r>
      <w:r w:rsidR="002459A0" w:rsidRPr="00D60761">
        <w:rPr>
          <w:rFonts w:ascii="Times New Roman" w:hAnsi="Times New Roman" w:cs="Times New Roman"/>
        </w:rPr>
        <w:t>surveys</w:t>
      </w:r>
      <w:r w:rsidR="004D518E" w:rsidRPr="00D60761">
        <w:rPr>
          <w:rFonts w:ascii="Times New Roman" w:hAnsi="Times New Roman" w:cs="Times New Roman"/>
        </w:rPr>
        <w:t>,</w:t>
      </w:r>
      <w:r w:rsidR="00973108" w:rsidRPr="00D60761">
        <w:rPr>
          <w:rFonts w:ascii="Times New Roman" w:hAnsi="Times New Roman" w:cs="Times New Roman"/>
        </w:rPr>
        <w:t xml:space="preserve"> four financial institution </w:t>
      </w:r>
      <w:r w:rsidR="002459A0" w:rsidRPr="00D60761">
        <w:rPr>
          <w:rFonts w:ascii="Times New Roman" w:hAnsi="Times New Roman" w:cs="Times New Roman"/>
        </w:rPr>
        <w:t>surveys</w:t>
      </w:r>
      <w:r w:rsidR="004D518E" w:rsidRPr="00D60761">
        <w:rPr>
          <w:rFonts w:ascii="Times New Roman" w:hAnsi="Times New Roman" w:cs="Times New Roman"/>
        </w:rPr>
        <w:t>,</w:t>
      </w:r>
      <w:r w:rsidR="00973108" w:rsidRPr="00D60761">
        <w:rPr>
          <w:rFonts w:ascii="Times New Roman" w:hAnsi="Times New Roman" w:cs="Times New Roman"/>
        </w:rPr>
        <w:t xml:space="preserve"> and </w:t>
      </w:r>
      <w:r w:rsidR="00712CA2" w:rsidRPr="00D60761">
        <w:rPr>
          <w:rFonts w:ascii="Times New Roman" w:hAnsi="Times New Roman" w:cs="Times New Roman"/>
        </w:rPr>
        <w:t>four</w:t>
      </w:r>
      <w:r w:rsidR="00973108" w:rsidRPr="00D60761">
        <w:rPr>
          <w:rFonts w:ascii="Times New Roman" w:hAnsi="Times New Roman" w:cs="Times New Roman"/>
        </w:rPr>
        <w:t xml:space="preserve"> stakeholder-focused </w:t>
      </w:r>
      <w:r w:rsidR="002459A0" w:rsidRPr="00D60761">
        <w:rPr>
          <w:rFonts w:ascii="Times New Roman" w:hAnsi="Times New Roman" w:cs="Times New Roman"/>
        </w:rPr>
        <w:t xml:space="preserve">surveys </w:t>
      </w:r>
      <w:r w:rsidR="00973108" w:rsidRPr="00D60761">
        <w:rPr>
          <w:rFonts w:ascii="Times New Roman" w:hAnsi="Times New Roman" w:cs="Times New Roman"/>
        </w:rPr>
        <w:t xml:space="preserve">annually, </w:t>
      </w:r>
      <w:r w:rsidRPr="00D60761">
        <w:rPr>
          <w:rFonts w:ascii="Times New Roman" w:hAnsi="Times New Roman" w:cs="Times New Roman"/>
          <w:color w:val="000000"/>
        </w:rPr>
        <w:t>although information may not be needed that frequently.</w:t>
      </w:r>
    </w:p>
    <w:p w:rsidR="00655505" w:rsidRPr="00D60761" w:rsidRDefault="00655505" w:rsidP="00655505">
      <w:pPr>
        <w:tabs>
          <w:tab w:val="left" w:pos="-1080"/>
          <w:tab w:val="left" w:pos="-90"/>
          <w:tab w:val="left" w:pos="720"/>
          <w:tab w:val="left" w:pos="1440"/>
          <w:tab w:val="left" w:pos="1980"/>
          <w:tab w:val="left" w:pos="3960"/>
          <w:tab w:val="left" w:pos="5760"/>
          <w:tab w:val="left" w:pos="7740"/>
          <w:tab w:val="left" w:pos="8640"/>
        </w:tabs>
        <w:ind w:firstLine="720"/>
        <w:rPr>
          <w:rFonts w:ascii="Times New Roman" w:hAnsi="Times New Roman"/>
          <w:sz w:val="24"/>
        </w:rPr>
      </w:pPr>
    </w:p>
    <w:p w:rsidR="00655505" w:rsidRPr="00D60761" w:rsidRDefault="00537047" w:rsidP="00537047">
      <w:pPr>
        <w:tabs>
          <w:tab w:val="left" w:pos="-1080"/>
          <w:tab w:val="left" w:pos="-90"/>
          <w:tab w:val="left" w:pos="0"/>
          <w:tab w:val="left" w:pos="360"/>
          <w:tab w:val="left" w:pos="1440"/>
          <w:tab w:val="left" w:pos="1980"/>
          <w:tab w:val="left" w:pos="3960"/>
          <w:tab w:val="left" w:pos="5760"/>
          <w:tab w:val="left" w:pos="7740"/>
          <w:tab w:val="left" w:pos="8640"/>
        </w:tabs>
        <w:rPr>
          <w:rFonts w:ascii="Times New Roman" w:hAnsi="Times New Roman"/>
          <w:sz w:val="24"/>
        </w:rPr>
      </w:pPr>
      <w:r w:rsidRPr="00D60761">
        <w:rPr>
          <w:rFonts w:ascii="Times New Roman" w:hAnsi="Times New Roman"/>
          <w:color w:val="000000"/>
          <w:sz w:val="24"/>
        </w:rPr>
        <w:tab/>
        <w:t xml:space="preserve">      </w:t>
      </w:r>
      <w:r w:rsidR="00655505" w:rsidRPr="00D60761">
        <w:rPr>
          <w:rFonts w:ascii="Times New Roman" w:hAnsi="Times New Roman"/>
          <w:color w:val="000000"/>
          <w:sz w:val="24"/>
        </w:rPr>
        <w:t xml:space="preserve">The survey topics discussed with the respondents </w:t>
      </w:r>
      <w:r w:rsidR="00771DFE" w:rsidRPr="00D60761">
        <w:rPr>
          <w:rFonts w:ascii="Times New Roman" w:hAnsi="Times New Roman"/>
          <w:color w:val="000000"/>
          <w:sz w:val="24"/>
        </w:rPr>
        <w:t>are often</w:t>
      </w:r>
      <w:r w:rsidR="00655505" w:rsidRPr="00D60761">
        <w:rPr>
          <w:rFonts w:ascii="Times New Roman" w:hAnsi="Times New Roman"/>
          <w:color w:val="000000"/>
          <w:sz w:val="24"/>
        </w:rPr>
        <w:t xml:space="preserve"> time sensitive and the questions of interest </w:t>
      </w:r>
      <w:r w:rsidR="00F23D68" w:rsidRPr="00D60761">
        <w:rPr>
          <w:rFonts w:ascii="Times New Roman" w:hAnsi="Times New Roman"/>
          <w:color w:val="000000"/>
          <w:sz w:val="24"/>
        </w:rPr>
        <w:t xml:space="preserve">may </w:t>
      </w:r>
      <w:r w:rsidR="00655505" w:rsidRPr="00D60761">
        <w:rPr>
          <w:rFonts w:ascii="Times New Roman" w:hAnsi="Times New Roman"/>
          <w:color w:val="000000"/>
          <w:sz w:val="24"/>
        </w:rPr>
        <w:t xml:space="preserve">vary with the focus of the survey.  Because the relevant questions </w:t>
      </w:r>
      <w:r w:rsidR="00F23D68" w:rsidRPr="00D60761">
        <w:rPr>
          <w:rFonts w:ascii="Times New Roman" w:hAnsi="Times New Roman"/>
          <w:color w:val="000000"/>
          <w:sz w:val="24"/>
        </w:rPr>
        <w:t xml:space="preserve">may </w:t>
      </w:r>
      <w:r w:rsidR="00655505" w:rsidRPr="00D60761">
        <w:rPr>
          <w:rFonts w:ascii="Times New Roman" w:hAnsi="Times New Roman"/>
          <w:color w:val="000000"/>
          <w:sz w:val="24"/>
        </w:rPr>
        <w:t xml:space="preserve">change with each survey, there </w:t>
      </w:r>
      <w:r w:rsidR="00771DFE" w:rsidRPr="00D60761">
        <w:rPr>
          <w:rFonts w:ascii="Times New Roman" w:hAnsi="Times New Roman"/>
          <w:color w:val="000000"/>
          <w:sz w:val="24"/>
        </w:rPr>
        <w:t xml:space="preserve">is </w:t>
      </w:r>
      <w:r w:rsidR="00655505" w:rsidRPr="00D60761">
        <w:rPr>
          <w:rFonts w:ascii="Times New Roman" w:hAnsi="Times New Roman"/>
          <w:color w:val="000000"/>
          <w:sz w:val="24"/>
        </w:rPr>
        <w:t>no fixed reporting form.  For each survey, the Federal Reserve prepare</w:t>
      </w:r>
      <w:r w:rsidR="00771DFE" w:rsidRPr="00D60761">
        <w:rPr>
          <w:rFonts w:ascii="Times New Roman" w:hAnsi="Times New Roman"/>
          <w:color w:val="000000"/>
          <w:sz w:val="24"/>
        </w:rPr>
        <w:t>s</w:t>
      </w:r>
      <w:r w:rsidR="00655505" w:rsidRPr="00D60761">
        <w:rPr>
          <w:rFonts w:ascii="Times New Roman" w:hAnsi="Times New Roman"/>
          <w:color w:val="000000"/>
          <w:sz w:val="24"/>
        </w:rPr>
        <w:t xml:space="preserve"> questions of specific topical interest</w:t>
      </w:r>
      <w:r w:rsidR="00771DFE" w:rsidRPr="00D60761">
        <w:rPr>
          <w:rFonts w:ascii="Times New Roman" w:hAnsi="Times New Roman"/>
          <w:color w:val="000000"/>
          <w:sz w:val="24"/>
        </w:rPr>
        <w:t xml:space="preserve"> and</w:t>
      </w:r>
      <w:r w:rsidR="00655505" w:rsidRPr="00D60761">
        <w:rPr>
          <w:rFonts w:ascii="Times New Roman" w:hAnsi="Times New Roman"/>
          <w:color w:val="000000"/>
          <w:sz w:val="24"/>
        </w:rPr>
        <w:t xml:space="preserve"> then determine</w:t>
      </w:r>
      <w:r w:rsidR="00771DFE" w:rsidRPr="00D60761">
        <w:rPr>
          <w:rFonts w:ascii="Times New Roman" w:hAnsi="Times New Roman"/>
          <w:color w:val="000000"/>
          <w:sz w:val="24"/>
        </w:rPr>
        <w:t>s</w:t>
      </w:r>
      <w:r w:rsidR="00655505" w:rsidRPr="00D60761">
        <w:rPr>
          <w:rFonts w:ascii="Times New Roman" w:hAnsi="Times New Roman"/>
          <w:sz w:val="24"/>
        </w:rPr>
        <w:t xml:space="preserve"> the relevant target group to contact.  </w:t>
      </w:r>
    </w:p>
    <w:p w:rsidR="00655505" w:rsidRPr="00D60761" w:rsidRDefault="00655505" w:rsidP="00655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655505" w:rsidRPr="00D60761" w:rsidRDefault="00655505" w:rsidP="00D26FDC">
      <w:pPr>
        <w:ind w:firstLine="720"/>
        <w:rPr>
          <w:rFonts w:ascii="Times New Roman" w:hAnsi="Times New Roman"/>
          <w:sz w:val="24"/>
        </w:rPr>
      </w:pPr>
      <w:r w:rsidRPr="00D60761">
        <w:rPr>
          <w:rFonts w:ascii="Times New Roman" w:hAnsi="Times New Roman"/>
          <w:sz w:val="24"/>
        </w:rPr>
        <w:t xml:space="preserve">The FR </w:t>
      </w:r>
      <w:r w:rsidR="00535BBA" w:rsidRPr="00D60761">
        <w:rPr>
          <w:rFonts w:ascii="Times New Roman" w:hAnsi="Times New Roman"/>
          <w:sz w:val="24"/>
        </w:rPr>
        <w:t>3053</w:t>
      </w:r>
      <w:r w:rsidR="00E94ED0" w:rsidRPr="00D60761">
        <w:rPr>
          <w:rFonts w:ascii="Times New Roman" w:hAnsi="Times New Roman"/>
          <w:sz w:val="24"/>
        </w:rPr>
        <w:t xml:space="preserve"> </w:t>
      </w:r>
      <w:r w:rsidR="00F23D68" w:rsidRPr="00D60761">
        <w:rPr>
          <w:rFonts w:ascii="Times New Roman" w:hAnsi="Times New Roman"/>
          <w:sz w:val="24"/>
        </w:rPr>
        <w:t xml:space="preserve">may </w:t>
      </w:r>
      <w:r w:rsidRPr="00D60761">
        <w:rPr>
          <w:rFonts w:ascii="Times New Roman" w:hAnsi="Times New Roman"/>
          <w:sz w:val="24"/>
        </w:rPr>
        <w:t xml:space="preserve">take the form of interviewer-mediated face-to-face or telephone interviews; self-administered interviews administered on paper, the </w:t>
      </w:r>
      <w:r w:rsidR="008C77AB" w:rsidRPr="00D60761">
        <w:rPr>
          <w:rFonts w:ascii="Times New Roman" w:hAnsi="Times New Roman"/>
          <w:sz w:val="24"/>
        </w:rPr>
        <w:t>telephone,</w:t>
      </w:r>
      <w:r w:rsidRPr="00D60761">
        <w:rPr>
          <w:rFonts w:ascii="Times New Roman" w:hAnsi="Times New Roman"/>
          <w:sz w:val="24"/>
        </w:rPr>
        <w:t xml:space="preserve"> or the Internet; controlled experiments; focus group discussions; cognitive interviews; or other formal or less formal formats.  The size of the samples and the length of the data collection period vary depending on the particular informational needs.</w:t>
      </w:r>
    </w:p>
    <w:p w:rsidR="00655505" w:rsidRPr="00D60761" w:rsidRDefault="00655505" w:rsidP="00655505">
      <w:pPr>
        <w:ind w:firstLine="720"/>
        <w:rPr>
          <w:rFonts w:ascii="Times New Roman" w:hAnsi="Times New Roman"/>
          <w:sz w:val="24"/>
        </w:rPr>
      </w:pPr>
    </w:p>
    <w:p w:rsidR="00655505" w:rsidRPr="00D60761" w:rsidRDefault="00655505" w:rsidP="00D26FDC">
      <w:pPr>
        <w:widowControl/>
        <w:ind w:firstLine="720"/>
        <w:rPr>
          <w:rFonts w:ascii="Times New Roman" w:hAnsi="Times New Roman"/>
          <w:sz w:val="24"/>
        </w:rPr>
      </w:pPr>
      <w:r w:rsidRPr="00D60761">
        <w:rPr>
          <w:rFonts w:ascii="Times New Roman" w:hAnsi="Times New Roman"/>
          <w:sz w:val="24"/>
        </w:rPr>
        <w:t xml:space="preserve">Written qualitative questions or questionnaires </w:t>
      </w:r>
      <w:r w:rsidR="00771DFE" w:rsidRPr="00D60761">
        <w:rPr>
          <w:rFonts w:ascii="Times New Roman" w:hAnsi="Times New Roman"/>
          <w:sz w:val="24"/>
        </w:rPr>
        <w:t xml:space="preserve">may </w:t>
      </w:r>
      <w:r w:rsidRPr="00D60761">
        <w:rPr>
          <w:rFonts w:ascii="Times New Roman" w:hAnsi="Times New Roman"/>
          <w:sz w:val="24"/>
        </w:rPr>
        <w:t xml:space="preserve">include categorical questions, yes-no questions, ordinal questions, and open-ended questions.  Written quantitative surveys </w:t>
      </w:r>
      <w:r w:rsidR="00F23D68" w:rsidRPr="00D60761">
        <w:rPr>
          <w:rFonts w:ascii="Times New Roman" w:hAnsi="Times New Roman"/>
          <w:sz w:val="24"/>
        </w:rPr>
        <w:t xml:space="preserve">may </w:t>
      </w:r>
      <w:r w:rsidRPr="00D60761">
        <w:rPr>
          <w:rFonts w:ascii="Times New Roman" w:hAnsi="Times New Roman"/>
          <w:sz w:val="24"/>
        </w:rPr>
        <w:t xml:space="preserve">include dollar amounts, percentages, numbers of items, interest rates, and other such information; adequate data of this sort would not be available from any other source.  </w:t>
      </w:r>
      <w:r w:rsidR="00041A44">
        <w:rPr>
          <w:rFonts w:ascii="Times New Roman" w:hAnsi="Times New Roman"/>
          <w:color w:val="000000"/>
          <w:sz w:val="24"/>
        </w:rPr>
        <w:t>T</w:t>
      </w:r>
      <w:r w:rsidR="00041A44" w:rsidRPr="00D60761">
        <w:rPr>
          <w:rFonts w:ascii="Times New Roman" w:hAnsi="Times New Roman"/>
          <w:color w:val="000000"/>
          <w:sz w:val="24"/>
        </w:rPr>
        <w:t>he Federal Reserve</w:t>
      </w:r>
      <w:r w:rsidR="00041A44" w:rsidRPr="00D60761">
        <w:rPr>
          <w:rFonts w:ascii="Times New Roman" w:hAnsi="Times New Roman"/>
          <w:sz w:val="24"/>
        </w:rPr>
        <w:t xml:space="preserve"> </w:t>
      </w:r>
      <w:r w:rsidR="00771DFE" w:rsidRPr="00D60761">
        <w:rPr>
          <w:rFonts w:ascii="Times New Roman" w:hAnsi="Times New Roman"/>
          <w:sz w:val="24"/>
        </w:rPr>
        <w:t xml:space="preserve">also </w:t>
      </w:r>
      <w:r w:rsidR="00EF19EA" w:rsidRPr="00D60761">
        <w:rPr>
          <w:rFonts w:ascii="Times New Roman" w:hAnsi="Times New Roman"/>
          <w:sz w:val="24"/>
        </w:rPr>
        <w:t>review</w:t>
      </w:r>
      <w:r w:rsidR="00771DFE" w:rsidRPr="00D60761">
        <w:rPr>
          <w:rFonts w:ascii="Times New Roman" w:hAnsi="Times New Roman"/>
          <w:sz w:val="24"/>
        </w:rPr>
        <w:t>s</w:t>
      </w:r>
      <w:r w:rsidR="00EF19EA" w:rsidRPr="00D60761">
        <w:rPr>
          <w:rFonts w:ascii="Times New Roman" w:hAnsi="Times New Roman"/>
          <w:sz w:val="24"/>
        </w:rPr>
        <w:t xml:space="preserve"> any information to be collected on a case-by-case basis to determine if the information is available by other means</w:t>
      </w:r>
      <w:r w:rsidR="00C910F0" w:rsidRPr="00D60761">
        <w:rPr>
          <w:rFonts w:ascii="Times New Roman" w:hAnsi="Times New Roman"/>
          <w:sz w:val="24"/>
        </w:rPr>
        <w:t xml:space="preserve"> or sources</w:t>
      </w:r>
      <w:r w:rsidR="00EF19EA" w:rsidRPr="00D60761">
        <w:rPr>
          <w:rFonts w:ascii="Times New Roman" w:hAnsi="Times New Roman"/>
          <w:sz w:val="24"/>
        </w:rPr>
        <w:t xml:space="preserve">.  </w:t>
      </w:r>
      <w:r w:rsidRPr="00D60761">
        <w:rPr>
          <w:rFonts w:ascii="Times New Roman" w:hAnsi="Times New Roman"/>
          <w:sz w:val="24"/>
        </w:rPr>
        <w:t>Less formal information collection studies, such as focus groups or cognitive interviews, use a set of structured qualitative and quantitative questions as a guide to more extended discussion of the questions and answers.</w:t>
      </w:r>
    </w:p>
    <w:p w:rsidR="00FC5384" w:rsidRPr="00D60761" w:rsidRDefault="00FC5384" w:rsidP="007F2D19">
      <w:pPr>
        <w:ind w:firstLine="720"/>
        <w:rPr>
          <w:rFonts w:ascii="Times New Roman" w:hAnsi="Times New Roman"/>
          <w:sz w:val="24"/>
        </w:rPr>
      </w:pPr>
    </w:p>
    <w:p w:rsidR="00FC5384" w:rsidRPr="00D60761" w:rsidRDefault="00FC5384" w:rsidP="00D60761">
      <w:pPr>
        <w:widowControl/>
        <w:ind w:firstLine="720"/>
        <w:rPr>
          <w:rFonts w:ascii="Times New Roman" w:hAnsi="Times New Roman"/>
          <w:sz w:val="24"/>
        </w:rPr>
      </w:pPr>
      <w:r w:rsidRPr="00D60761">
        <w:rPr>
          <w:rFonts w:ascii="Times New Roman" w:hAnsi="Times New Roman"/>
          <w:sz w:val="24"/>
        </w:rPr>
        <w:t xml:space="preserve">Written quantitative surveys enable the Federal Reserve to collect a limited amount of data from a defined set of </w:t>
      </w:r>
      <w:r w:rsidR="00455151" w:rsidRPr="00D60761">
        <w:rPr>
          <w:rFonts w:ascii="Times New Roman" w:hAnsi="Times New Roman"/>
          <w:sz w:val="24"/>
        </w:rPr>
        <w:t xml:space="preserve">consumers, </w:t>
      </w:r>
      <w:r w:rsidRPr="00D60761">
        <w:rPr>
          <w:rFonts w:ascii="Times New Roman" w:hAnsi="Times New Roman"/>
          <w:sz w:val="24"/>
        </w:rPr>
        <w:t>financial institutions</w:t>
      </w:r>
      <w:r w:rsidR="00455151" w:rsidRPr="00D60761">
        <w:rPr>
          <w:rFonts w:ascii="Times New Roman" w:hAnsi="Times New Roman"/>
          <w:sz w:val="24"/>
        </w:rPr>
        <w:t>,</w:t>
      </w:r>
      <w:r w:rsidRPr="00D60761">
        <w:rPr>
          <w:rFonts w:ascii="Times New Roman" w:hAnsi="Times New Roman"/>
          <w:sz w:val="24"/>
        </w:rPr>
        <w:t xml:space="preserve"> </w:t>
      </w:r>
      <w:r w:rsidR="004D518E" w:rsidRPr="00D60761">
        <w:rPr>
          <w:rFonts w:ascii="Times New Roman" w:hAnsi="Times New Roman"/>
          <w:sz w:val="24"/>
        </w:rPr>
        <w:t xml:space="preserve">stakeholders, </w:t>
      </w:r>
      <w:r w:rsidRPr="00D60761">
        <w:rPr>
          <w:rFonts w:ascii="Times New Roman" w:hAnsi="Times New Roman"/>
          <w:sz w:val="24"/>
        </w:rPr>
        <w:t>or related entities in the event of an immediate and critical need for specific information.</w:t>
      </w:r>
      <w:r w:rsidR="005E0AD4" w:rsidRPr="00D60761">
        <w:rPr>
          <w:rFonts w:ascii="Times New Roman" w:hAnsi="Times New Roman"/>
          <w:sz w:val="24"/>
        </w:rPr>
        <w:t xml:space="preserve">  These data </w:t>
      </w:r>
      <w:r w:rsidR="004731AC" w:rsidRPr="00D60761">
        <w:rPr>
          <w:rFonts w:ascii="Times New Roman" w:hAnsi="Times New Roman"/>
          <w:sz w:val="24"/>
        </w:rPr>
        <w:t xml:space="preserve">are </w:t>
      </w:r>
      <w:r w:rsidR="005E0AD4" w:rsidRPr="00D60761">
        <w:rPr>
          <w:rFonts w:ascii="Times New Roman" w:hAnsi="Times New Roman"/>
          <w:sz w:val="24"/>
        </w:rPr>
        <w:t>not collected on any other reporting form or on the same frequency as other substantively similar data.</w:t>
      </w:r>
      <w:r w:rsidR="00EF19EA" w:rsidRPr="00D60761">
        <w:rPr>
          <w:rStyle w:val="FootnoteReference"/>
          <w:rFonts w:ascii="Times New Roman" w:hAnsi="Times New Roman"/>
          <w:sz w:val="24"/>
          <w:vertAlign w:val="superscript"/>
        </w:rPr>
        <w:footnoteReference w:id="1"/>
      </w:r>
    </w:p>
    <w:p w:rsidR="00FC5384" w:rsidRPr="00D60761" w:rsidRDefault="00FC5384" w:rsidP="007F2D19">
      <w:pPr>
        <w:ind w:firstLine="720"/>
        <w:rPr>
          <w:rFonts w:ascii="Times New Roman" w:hAnsi="Times New Roman"/>
          <w:sz w:val="24"/>
        </w:rPr>
      </w:pPr>
    </w:p>
    <w:p w:rsidR="00BF7497" w:rsidRPr="00D60761" w:rsidRDefault="00BF7497" w:rsidP="00537047">
      <w:pPr>
        <w:widowControl/>
        <w:ind w:firstLine="720"/>
        <w:rPr>
          <w:rFonts w:ascii="Times New Roman" w:hAnsi="Times New Roman"/>
          <w:sz w:val="24"/>
        </w:rPr>
      </w:pPr>
      <w:r w:rsidRPr="00D60761">
        <w:rPr>
          <w:rFonts w:ascii="Times New Roman" w:hAnsi="Times New Roman"/>
          <w:sz w:val="24"/>
        </w:rPr>
        <w:t xml:space="preserve">The FR </w:t>
      </w:r>
      <w:r w:rsidR="00535BBA" w:rsidRPr="00D60761">
        <w:rPr>
          <w:rFonts w:ascii="Times New Roman" w:hAnsi="Times New Roman"/>
          <w:sz w:val="24"/>
        </w:rPr>
        <w:t>3053</w:t>
      </w:r>
      <w:r w:rsidR="00E94ED0" w:rsidRPr="00D60761">
        <w:rPr>
          <w:rFonts w:ascii="Times New Roman" w:hAnsi="Times New Roman"/>
          <w:sz w:val="24"/>
        </w:rPr>
        <w:t xml:space="preserve"> </w:t>
      </w:r>
      <w:r w:rsidR="00F23D68" w:rsidRPr="00D60761">
        <w:rPr>
          <w:rFonts w:ascii="Times New Roman" w:hAnsi="Times New Roman"/>
          <w:sz w:val="24"/>
        </w:rPr>
        <w:t xml:space="preserve">may </w:t>
      </w:r>
      <w:r w:rsidRPr="00D60761">
        <w:rPr>
          <w:rFonts w:ascii="Times New Roman" w:hAnsi="Times New Roman"/>
          <w:sz w:val="24"/>
        </w:rPr>
        <w:t xml:space="preserve">be conducted through a private firm, which </w:t>
      </w:r>
      <w:r w:rsidR="00717865" w:rsidRPr="00D60761">
        <w:rPr>
          <w:rFonts w:ascii="Times New Roman" w:hAnsi="Times New Roman"/>
          <w:sz w:val="24"/>
        </w:rPr>
        <w:t xml:space="preserve">would be </w:t>
      </w:r>
      <w:r w:rsidRPr="00D60761">
        <w:rPr>
          <w:rFonts w:ascii="Times New Roman" w:hAnsi="Times New Roman"/>
          <w:sz w:val="24"/>
        </w:rPr>
        <w:t>chosen in a competitive bidding process or other acceptable negotiated process.</w:t>
      </w:r>
      <w:r w:rsidRPr="00D60761">
        <w:rPr>
          <w:rStyle w:val="FootnoteReference"/>
          <w:rFonts w:ascii="Times New Roman" w:hAnsi="Times New Roman"/>
          <w:sz w:val="24"/>
          <w:vertAlign w:val="superscript"/>
        </w:rPr>
        <w:footnoteReference w:id="2"/>
      </w:r>
      <w:r w:rsidRPr="00D60761">
        <w:rPr>
          <w:rFonts w:ascii="Times New Roman" w:hAnsi="Times New Roman"/>
          <w:sz w:val="24"/>
        </w:rPr>
        <w:t xml:space="preserve"> </w:t>
      </w:r>
      <w:r w:rsidR="004731AC" w:rsidRPr="00D60761">
        <w:rPr>
          <w:rFonts w:ascii="Times New Roman" w:hAnsi="Times New Roman"/>
          <w:sz w:val="24"/>
        </w:rPr>
        <w:t xml:space="preserve"> </w:t>
      </w:r>
      <w:r w:rsidRPr="00D60761">
        <w:rPr>
          <w:rFonts w:ascii="Times New Roman" w:hAnsi="Times New Roman"/>
          <w:sz w:val="24"/>
        </w:rPr>
        <w:t xml:space="preserve">The research instruments </w:t>
      </w:r>
      <w:r w:rsidR="00F23D68" w:rsidRPr="00D60761">
        <w:rPr>
          <w:rFonts w:ascii="Times New Roman" w:hAnsi="Times New Roman"/>
          <w:sz w:val="24"/>
        </w:rPr>
        <w:t xml:space="preserve">may </w:t>
      </w:r>
      <w:r w:rsidRPr="00D60761">
        <w:rPr>
          <w:rFonts w:ascii="Times New Roman" w:hAnsi="Times New Roman"/>
          <w:sz w:val="24"/>
        </w:rPr>
        <w:t xml:space="preserve">be developed by the Federal Reserve alone or jointly with the firm selected by the Federal Reserve.  As necessary, the firm </w:t>
      </w:r>
      <w:r w:rsidR="004731AC" w:rsidRPr="00D60761">
        <w:rPr>
          <w:rFonts w:ascii="Times New Roman" w:hAnsi="Times New Roman"/>
          <w:sz w:val="24"/>
        </w:rPr>
        <w:t>is</w:t>
      </w:r>
      <w:r w:rsidRPr="00D60761">
        <w:rPr>
          <w:rFonts w:ascii="Times New Roman" w:hAnsi="Times New Roman"/>
          <w:sz w:val="24"/>
        </w:rPr>
        <w:t xml:space="preserve"> responsible for testing the survey procedures, following the </w:t>
      </w:r>
      <w:r w:rsidRPr="00D60761">
        <w:rPr>
          <w:rFonts w:ascii="Times New Roman" w:hAnsi="Times New Roman"/>
          <w:sz w:val="24"/>
        </w:rPr>
        <w:lastRenderedPageBreak/>
        <w:t xml:space="preserve">sampling protocol established by the Federal Reserve, conducting the survey as specified by the Federal Reserve, preparing data files containing the responses, computing analysis weights, and documenting all survey procedures.  Data editing and analysis of the results </w:t>
      </w:r>
      <w:r w:rsidR="00F23D68" w:rsidRPr="00D60761">
        <w:rPr>
          <w:rFonts w:ascii="Times New Roman" w:hAnsi="Times New Roman"/>
          <w:sz w:val="24"/>
        </w:rPr>
        <w:t xml:space="preserve">may </w:t>
      </w:r>
      <w:r w:rsidRPr="00D60761">
        <w:rPr>
          <w:rFonts w:ascii="Times New Roman" w:hAnsi="Times New Roman"/>
          <w:sz w:val="24"/>
        </w:rPr>
        <w:t>be conducted either solely by the Federal Reserve or jointly with the firm.</w:t>
      </w:r>
    </w:p>
    <w:p w:rsidR="00BF7497" w:rsidRPr="00D60761" w:rsidRDefault="00BF7497" w:rsidP="00BF7497">
      <w:pPr>
        <w:ind w:firstLine="720"/>
        <w:rPr>
          <w:rFonts w:ascii="Times New Roman" w:hAnsi="Times New Roman"/>
          <w:sz w:val="24"/>
        </w:rPr>
      </w:pPr>
    </w:p>
    <w:p w:rsidR="00BF7497" w:rsidRPr="00D60761" w:rsidRDefault="00BF7497" w:rsidP="00537047">
      <w:pPr>
        <w:ind w:firstLine="720"/>
        <w:rPr>
          <w:rFonts w:ascii="Times New Roman" w:hAnsi="Times New Roman"/>
          <w:sz w:val="24"/>
        </w:rPr>
      </w:pPr>
      <w:r w:rsidRPr="00D60761">
        <w:rPr>
          <w:rFonts w:ascii="Times New Roman" w:hAnsi="Times New Roman"/>
          <w:sz w:val="24"/>
        </w:rPr>
        <w:t xml:space="preserve">For surveys of financial institutions, much of the information </w:t>
      </w:r>
      <w:r w:rsidR="004731AC" w:rsidRPr="00D60761">
        <w:rPr>
          <w:rFonts w:ascii="Times New Roman" w:hAnsi="Times New Roman"/>
          <w:sz w:val="24"/>
        </w:rPr>
        <w:t>is</w:t>
      </w:r>
      <w:r w:rsidRPr="00D60761">
        <w:rPr>
          <w:rFonts w:ascii="Times New Roman" w:hAnsi="Times New Roman"/>
          <w:sz w:val="24"/>
        </w:rPr>
        <w:t xml:space="preserve"> obtained via written surveys because (1) data are maintained in general ledger systems and may not be readily available or (2) the data may be maintained by different operational areas of the financial institution, requiring input from multiple individuals.  </w:t>
      </w:r>
    </w:p>
    <w:p w:rsidR="007F2D19" w:rsidRPr="00D60761" w:rsidRDefault="007F2D19" w:rsidP="007F2D19">
      <w:pPr>
        <w:ind w:firstLine="720"/>
        <w:rPr>
          <w:rFonts w:ascii="Times New Roman" w:hAnsi="Times New Roman"/>
          <w:sz w:val="24"/>
        </w:rPr>
      </w:pPr>
    </w:p>
    <w:p w:rsidR="00410D9B" w:rsidRPr="00D60761" w:rsidRDefault="00BF7497" w:rsidP="00455151">
      <w:pPr>
        <w:rPr>
          <w:rFonts w:ascii="Times New Roman" w:hAnsi="Times New Roman"/>
          <w:sz w:val="24"/>
        </w:rPr>
      </w:pPr>
      <w:r w:rsidRPr="00D60761">
        <w:rPr>
          <w:rFonts w:ascii="Times New Roman" w:hAnsi="Times New Roman"/>
          <w:sz w:val="24"/>
        </w:rPr>
        <w:t>Topics covered by the FR</w:t>
      </w:r>
      <w:r w:rsidR="00D26FDC" w:rsidRPr="00D60761">
        <w:rPr>
          <w:rFonts w:ascii="Times New Roman" w:hAnsi="Times New Roman"/>
          <w:sz w:val="24"/>
        </w:rPr>
        <w:t xml:space="preserve"> </w:t>
      </w:r>
      <w:r w:rsidR="00535BBA" w:rsidRPr="00D60761">
        <w:rPr>
          <w:rFonts w:ascii="Times New Roman" w:hAnsi="Times New Roman"/>
          <w:sz w:val="24"/>
        </w:rPr>
        <w:t>3053</w:t>
      </w:r>
      <w:r w:rsidR="00E94ED0" w:rsidRPr="00D60761">
        <w:rPr>
          <w:rFonts w:ascii="Times New Roman" w:hAnsi="Times New Roman"/>
          <w:sz w:val="24"/>
        </w:rPr>
        <w:t xml:space="preserve"> </w:t>
      </w:r>
      <w:r w:rsidRPr="00D60761">
        <w:rPr>
          <w:rFonts w:ascii="Times New Roman" w:hAnsi="Times New Roman"/>
          <w:sz w:val="24"/>
        </w:rPr>
        <w:t xml:space="preserve">may include: </w:t>
      </w:r>
    </w:p>
    <w:p w:rsidR="00BF7497" w:rsidRPr="00D60761" w:rsidRDefault="00BF7497" w:rsidP="00455151">
      <w:pPr>
        <w:rPr>
          <w:rFonts w:ascii="Times New Roman" w:hAnsi="Times New Roman"/>
          <w:sz w:val="24"/>
        </w:rPr>
      </w:pPr>
      <w:r w:rsidRPr="00D60761">
        <w:rPr>
          <w:rFonts w:ascii="Times New Roman" w:hAnsi="Times New Roman"/>
          <w:sz w:val="24"/>
        </w:rPr>
        <w:t xml:space="preserve">      For consumers</w:t>
      </w:r>
    </w:p>
    <w:p w:rsidR="00410D9B" w:rsidRPr="00D60761" w:rsidRDefault="00410D9B" w:rsidP="00410D9B">
      <w:pPr>
        <w:numPr>
          <w:ilvl w:val="0"/>
          <w:numId w:val="6"/>
        </w:numPr>
        <w:autoSpaceDE/>
        <w:autoSpaceDN/>
        <w:adjustRightInd/>
        <w:rPr>
          <w:rFonts w:ascii="Times New Roman" w:hAnsi="Times New Roman"/>
          <w:sz w:val="24"/>
        </w:rPr>
      </w:pPr>
      <w:r w:rsidRPr="00D60761">
        <w:rPr>
          <w:rFonts w:ascii="Times New Roman" w:hAnsi="Times New Roman"/>
          <w:sz w:val="24"/>
        </w:rPr>
        <w:t>ability to notice, comprehend, and use disclosures</w:t>
      </w:r>
      <w:r w:rsidR="00130941" w:rsidRPr="00D60761">
        <w:rPr>
          <w:rFonts w:ascii="Times New Roman" w:hAnsi="Times New Roman"/>
          <w:sz w:val="24"/>
        </w:rPr>
        <w:t>,</w:t>
      </w:r>
    </w:p>
    <w:p w:rsidR="00913EA7" w:rsidRPr="00D60761" w:rsidRDefault="00913EA7" w:rsidP="00410D9B">
      <w:pPr>
        <w:numPr>
          <w:ilvl w:val="0"/>
          <w:numId w:val="6"/>
        </w:numPr>
        <w:autoSpaceDE/>
        <w:autoSpaceDN/>
        <w:adjustRightInd/>
        <w:rPr>
          <w:rFonts w:ascii="Times New Roman" w:hAnsi="Times New Roman"/>
          <w:sz w:val="24"/>
        </w:rPr>
      </w:pPr>
      <w:r w:rsidRPr="00D60761">
        <w:rPr>
          <w:rFonts w:ascii="Times New Roman" w:hAnsi="Times New Roman"/>
          <w:sz w:val="24"/>
        </w:rPr>
        <w:t xml:space="preserve">ability to </w:t>
      </w:r>
      <w:r w:rsidR="00325CB9" w:rsidRPr="00D60761">
        <w:rPr>
          <w:rFonts w:ascii="Times New Roman" w:hAnsi="Times New Roman"/>
          <w:sz w:val="24"/>
        </w:rPr>
        <w:t>comprehend</w:t>
      </w:r>
      <w:r w:rsidRPr="00D60761">
        <w:rPr>
          <w:rFonts w:ascii="Times New Roman" w:hAnsi="Times New Roman"/>
          <w:sz w:val="24"/>
        </w:rPr>
        <w:t xml:space="preserve"> terms of credit or account agreements</w:t>
      </w:r>
      <w:r w:rsidR="00130941" w:rsidRPr="00D60761">
        <w:rPr>
          <w:rFonts w:ascii="Times New Roman" w:hAnsi="Times New Roman"/>
          <w:sz w:val="24"/>
        </w:rPr>
        <w:t>,</w:t>
      </w:r>
    </w:p>
    <w:p w:rsidR="00410D9B" w:rsidRPr="00D60761" w:rsidRDefault="00410D9B" w:rsidP="00410D9B">
      <w:pPr>
        <w:numPr>
          <w:ilvl w:val="0"/>
          <w:numId w:val="6"/>
        </w:numPr>
        <w:autoSpaceDE/>
        <w:autoSpaceDN/>
        <w:adjustRightInd/>
        <w:rPr>
          <w:rFonts w:ascii="Times New Roman" w:hAnsi="Times New Roman"/>
          <w:sz w:val="24"/>
        </w:rPr>
      </w:pPr>
      <w:r w:rsidRPr="00D60761">
        <w:rPr>
          <w:rFonts w:ascii="Times New Roman" w:hAnsi="Times New Roman"/>
          <w:sz w:val="24"/>
        </w:rPr>
        <w:t>preferences about the delivery of information (content, format, timing, and method)</w:t>
      </w:r>
      <w:r w:rsidR="00130941" w:rsidRPr="00D60761">
        <w:rPr>
          <w:rFonts w:ascii="Times New Roman" w:hAnsi="Times New Roman"/>
          <w:sz w:val="24"/>
        </w:rPr>
        <w:t>,</w:t>
      </w:r>
    </w:p>
    <w:p w:rsidR="00410D9B" w:rsidRPr="00D60761" w:rsidRDefault="00410D9B" w:rsidP="00410D9B">
      <w:pPr>
        <w:numPr>
          <w:ilvl w:val="0"/>
          <w:numId w:val="6"/>
        </w:numPr>
        <w:autoSpaceDE/>
        <w:autoSpaceDN/>
        <w:adjustRightInd/>
        <w:rPr>
          <w:rFonts w:ascii="Times New Roman" w:hAnsi="Times New Roman"/>
          <w:sz w:val="24"/>
        </w:rPr>
      </w:pPr>
      <w:r w:rsidRPr="00D60761">
        <w:rPr>
          <w:rFonts w:ascii="Times New Roman" w:hAnsi="Times New Roman"/>
          <w:sz w:val="24"/>
        </w:rPr>
        <w:t>comprehension of particular deliveries of information (electronic and paper media)</w:t>
      </w:r>
      <w:r w:rsidR="00130941" w:rsidRPr="00D60761">
        <w:rPr>
          <w:rFonts w:ascii="Times New Roman" w:hAnsi="Times New Roman"/>
          <w:sz w:val="24"/>
        </w:rPr>
        <w:t>,</w:t>
      </w:r>
    </w:p>
    <w:p w:rsidR="00410D9B" w:rsidRPr="00D60761" w:rsidRDefault="00410D9B" w:rsidP="00410D9B">
      <w:pPr>
        <w:numPr>
          <w:ilvl w:val="0"/>
          <w:numId w:val="6"/>
        </w:numPr>
        <w:autoSpaceDE/>
        <w:autoSpaceDN/>
        <w:adjustRightInd/>
        <w:rPr>
          <w:rFonts w:ascii="Times New Roman" w:hAnsi="Times New Roman"/>
          <w:sz w:val="24"/>
        </w:rPr>
      </w:pPr>
      <w:r w:rsidRPr="00D60761">
        <w:rPr>
          <w:rFonts w:ascii="Times New Roman" w:hAnsi="Times New Roman"/>
          <w:sz w:val="24"/>
        </w:rPr>
        <w:t xml:space="preserve">abilities to use a particular method of delivery, such as </w:t>
      </w:r>
      <w:r w:rsidR="00AF01B9" w:rsidRPr="00D60761">
        <w:rPr>
          <w:rFonts w:ascii="Times New Roman" w:hAnsi="Times New Roman"/>
          <w:sz w:val="24"/>
        </w:rPr>
        <w:t xml:space="preserve">web-based </w:t>
      </w:r>
      <w:r w:rsidR="00E362B3" w:rsidRPr="00D60761">
        <w:rPr>
          <w:rFonts w:ascii="Times New Roman" w:hAnsi="Times New Roman"/>
          <w:sz w:val="24"/>
        </w:rPr>
        <w:t>disclosures</w:t>
      </w:r>
      <w:r w:rsidR="00130941" w:rsidRPr="00D60761">
        <w:rPr>
          <w:rFonts w:ascii="Times New Roman" w:hAnsi="Times New Roman"/>
          <w:sz w:val="24"/>
        </w:rPr>
        <w:t>,</w:t>
      </w:r>
      <w:r w:rsidRPr="00D60761">
        <w:rPr>
          <w:rFonts w:ascii="Times New Roman" w:hAnsi="Times New Roman"/>
          <w:sz w:val="24"/>
        </w:rPr>
        <w:t xml:space="preserve"> and </w:t>
      </w:r>
    </w:p>
    <w:p w:rsidR="00410D9B" w:rsidRPr="00D60761" w:rsidRDefault="00410D9B" w:rsidP="00C37C28">
      <w:pPr>
        <w:widowControl/>
        <w:numPr>
          <w:ilvl w:val="0"/>
          <w:numId w:val="6"/>
        </w:numPr>
        <w:autoSpaceDE/>
        <w:autoSpaceDN/>
        <w:adjustRightInd/>
        <w:rPr>
          <w:rFonts w:ascii="Times New Roman" w:hAnsi="Times New Roman"/>
          <w:sz w:val="24"/>
        </w:rPr>
      </w:pPr>
      <w:r w:rsidRPr="00D60761">
        <w:rPr>
          <w:rFonts w:ascii="Times New Roman" w:hAnsi="Times New Roman"/>
          <w:sz w:val="24"/>
        </w:rPr>
        <w:t>skills and practices in searching, shopping, and negotiating for credit or other financial products</w:t>
      </w:r>
      <w:r w:rsidR="0072643E" w:rsidRPr="00D60761">
        <w:rPr>
          <w:rFonts w:ascii="Times New Roman" w:hAnsi="Times New Roman"/>
          <w:sz w:val="24"/>
        </w:rPr>
        <w:t xml:space="preserve"> and services</w:t>
      </w:r>
      <w:r w:rsidRPr="00D60761">
        <w:rPr>
          <w:rFonts w:ascii="Times New Roman" w:hAnsi="Times New Roman"/>
          <w:sz w:val="24"/>
        </w:rPr>
        <w:t>.</w:t>
      </w:r>
    </w:p>
    <w:p w:rsidR="00410D9B" w:rsidRPr="00D60761" w:rsidRDefault="00410D9B" w:rsidP="00410D9B">
      <w:pPr>
        <w:ind w:firstLine="720"/>
        <w:rPr>
          <w:rFonts w:ascii="Times New Roman" w:hAnsi="Times New Roman"/>
          <w:b/>
          <w:sz w:val="24"/>
        </w:rPr>
      </w:pPr>
    </w:p>
    <w:p w:rsidR="00410D9B" w:rsidRPr="00D60761" w:rsidRDefault="00BF7497" w:rsidP="00455151">
      <w:pPr>
        <w:rPr>
          <w:rFonts w:ascii="Times New Roman" w:hAnsi="Times New Roman"/>
          <w:b/>
          <w:sz w:val="24"/>
        </w:rPr>
      </w:pPr>
      <w:r w:rsidRPr="00D60761">
        <w:rPr>
          <w:rFonts w:ascii="Times New Roman" w:hAnsi="Times New Roman"/>
          <w:sz w:val="24"/>
        </w:rPr>
        <w:t xml:space="preserve">     For f</w:t>
      </w:r>
      <w:r w:rsidR="00410D9B" w:rsidRPr="00D60761">
        <w:rPr>
          <w:rFonts w:ascii="Times New Roman" w:hAnsi="Times New Roman"/>
          <w:sz w:val="24"/>
        </w:rPr>
        <w:t>inancial institution</w:t>
      </w:r>
      <w:r w:rsidRPr="00D60761">
        <w:rPr>
          <w:rFonts w:ascii="Times New Roman" w:hAnsi="Times New Roman"/>
          <w:sz w:val="24"/>
        </w:rPr>
        <w:t>s and stakeholders</w:t>
      </w:r>
    </w:p>
    <w:p w:rsidR="00410D9B" w:rsidRPr="00D60761" w:rsidRDefault="00410D9B" w:rsidP="00410D9B">
      <w:pPr>
        <w:numPr>
          <w:ilvl w:val="0"/>
          <w:numId w:val="7"/>
        </w:numPr>
        <w:tabs>
          <w:tab w:val="clear" w:pos="1080"/>
          <w:tab w:val="num" w:pos="720"/>
        </w:tabs>
        <w:autoSpaceDE/>
        <w:autoSpaceDN/>
        <w:adjustRightInd/>
        <w:ind w:left="720"/>
        <w:rPr>
          <w:rFonts w:ascii="Times New Roman" w:hAnsi="Times New Roman"/>
          <w:sz w:val="24"/>
        </w:rPr>
      </w:pPr>
      <w:r w:rsidRPr="00D60761">
        <w:rPr>
          <w:rFonts w:ascii="Times New Roman" w:hAnsi="Times New Roman"/>
          <w:sz w:val="24"/>
        </w:rPr>
        <w:t>effect of disclosure, marketing, advertising, and sales practices of the mortgage</w:t>
      </w:r>
      <w:r w:rsidR="00AF01B9" w:rsidRPr="00D60761">
        <w:rPr>
          <w:rFonts w:ascii="Times New Roman" w:hAnsi="Times New Roman"/>
          <w:sz w:val="24"/>
        </w:rPr>
        <w:t>,</w:t>
      </w:r>
      <w:r w:rsidRPr="00D60761">
        <w:rPr>
          <w:rFonts w:ascii="Times New Roman" w:hAnsi="Times New Roman"/>
          <w:sz w:val="24"/>
        </w:rPr>
        <w:t xml:space="preserve"> consumer credit</w:t>
      </w:r>
      <w:r w:rsidR="00AF01B9" w:rsidRPr="00D60761">
        <w:rPr>
          <w:rFonts w:ascii="Times New Roman" w:hAnsi="Times New Roman"/>
          <w:sz w:val="24"/>
        </w:rPr>
        <w:t>, and other relevant financial services</w:t>
      </w:r>
      <w:r w:rsidRPr="00D60761">
        <w:rPr>
          <w:rFonts w:ascii="Times New Roman" w:hAnsi="Times New Roman"/>
          <w:sz w:val="24"/>
        </w:rPr>
        <w:t xml:space="preserve"> industries</w:t>
      </w:r>
      <w:r w:rsidR="00130941" w:rsidRPr="00D60761">
        <w:rPr>
          <w:rFonts w:ascii="Times New Roman" w:hAnsi="Times New Roman"/>
          <w:sz w:val="24"/>
        </w:rPr>
        <w:t>,</w:t>
      </w:r>
    </w:p>
    <w:p w:rsidR="00410D9B" w:rsidRPr="00D60761" w:rsidRDefault="00410D9B" w:rsidP="00410D9B">
      <w:pPr>
        <w:numPr>
          <w:ilvl w:val="0"/>
          <w:numId w:val="7"/>
        </w:numPr>
        <w:tabs>
          <w:tab w:val="clear" w:pos="1080"/>
          <w:tab w:val="num" w:pos="720"/>
        </w:tabs>
        <w:autoSpaceDE/>
        <w:autoSpaceDN/>
        <w:adjustRightInd/>
        <w:ind w:left="720"/>
        <w:rPr>
          <w:rFonts w:ascii="Times New Roman" w:hAnsi="Times New Roman"/>
          <w:sz w:val="24"/>
        </w:rPr>
      </w:pPr>
      <w:r w:rsidRPr="00D60761">
        <w:rPr>
          <w:rFonts w:ascii="Times New Roman" w:hAnsi="Times New Roman"/>
          <w:sz w:val="24"/>
        </w:rPr>
        <w:t>effect of disclosure, marketing, advertising, and sales practices of other financial services or products sold by banks</w:t>
      </w:r>
      <w:r w:rsidR="00130941" w:rsidRPr="00D60761">
        <w:rPr>
          <w:rFonts w:ascii="Times New Roman" w:hAnsi="Times New Roman"/>
          <w:sz w:val="24"/>
        </w:rPr>
        <w:t>,</w:t>
      </w:r>
    </w:p>
    <w:p w:rsidR="00410D9B" w:rsidRPr="00D60761" w:rsidRDefault="00410D9B" w:rsidP="00410D9B">
      <w:pPr>
        <w:numPr>
          <w:ilvl w:val="0"/>
          <w:numId w:val="7"/>
        </w:numPr>
        <w:tabs>
          <w:tab w:val="clear" w:pos="1080"/>
          <w:tab w:val="num" w:pos="720"/>
        </w:tabs>
        <w:autoSpaceDE/>
        <w:autoSpaceDN/>
        <w:adjustRightInd/>
        <w:ind w:hanging="720"/>
        <w:rPr>
          <w:rFonts w:ascii="Times New Roman" w:hAnsi="Times New Roman"/>
          <w:sz w:val="24"/>
        </w:rPr>
      </w:pPr>
      <w:r w:rsidRPr="00D60761">
        <w:rPr>
          <w:rFonts w:ascii="Times New Roman" w:hAnsi="Times New Roman"/>
          <w:sz w:val="24"/>
        </w:rPr>
        <w:t xml:space="preserve">terms of credit </w:t>
      </w:r>
      <w:r w:rsidR="00AF01B9" w:rsidRPr="00D60761">
        <w:rPr>
          <w:rFonts w:ascii="Times New Roman" w:hAnsi="Times New Roman"/>
          <w:sz w:val="24"/>
        </w:rPr>
        <w:t xml:space="preserve">or account </w:t>
      </w:r>
      <w:r w:rsidRPr="00D60761">
        <w:rPr>
          <w:rFonts w:ascii="Times New Roman" w:hAnsi="Times New Roman"/>
          <w:sz w:val="24"/>
        </w:rPr>
        <w:t>agreements</w:t>
      </w:r>
      <w:r w:rsidR="00130941" w:rsidRPr="00D60761">
        <w:rPr>
          <w:rFonts w:ascii="Times New Roman" w:hAnsi="Times New Roman"/>
          <w:sz w:val="24"/>
        </w:rPr>
        <w:t>,</w:t>
      </w:r>
    </w:p>
    <w:p w:rsidR="00410D9B" w:rsidRPr="00D60761" w:rsidRDefault="00410D9B" w:rsidP="00410D9B">
      <w:pPr>
        <w:numPr>
          <w:ilvl w:val="0"/>
          <w:numId w:val="7"/>
        </w:numPr>
        <w:tabs>
          <w:tab w:val="clear" w:pos="1080"/>
          <w:tab w:val="num" w:pos="720"/>
        </w:tabs>
        <w:autoSpaceDE/>
        <w:autoSpaceDN/>
        <w:adjustRightInd/>
        <w:ind w:left="720"/>
        <w:rPr>
          <w:rFonts w:ascii="Times New Roman" w:hAnsi="Times New Roman"/>
          <w:sz w:val="24"/>
        </w:rPr>
      </w:pPr>
      <w:r w:rsidRPr="00D60761">
        <w:rPr>
          <w:rFonts w:ascii="Times New Roman" w:hAnsi="Times New Roman"/>
          <w:sz w:val="24"/>
        </w:rPr>
        <w:t xml:space="preserve">influence of the </w:t>
      </w:r>
      <w:r w:rsidR="00943611" w:rsidRPr="00D60761">
        <w:rPr>
          <w:rFonts w:ascii="Times New Roman" w:hAnsi="Times New Roman"/>
          <w:sz w:val="24"/>
        </w:rPr>
        <w:t xml:space="preserve">Community </w:t>
      </w:r>
      <w:r w:rsidRPr="00D60761">
        <w:rPr>
          <w:rFonts w:ascii="Times New Roman" w:hAnsi="Times New Roman"/>
          <w:sz w:val="24"/>
        </w:rPr>
        <w:t>Reinvestment Act (Reg BB; CRA) and fair lending regulations on the financial institution’s involvement in lending and community development</w:t>
      </w:r>
      <w:r w:rsidR="00130941" w:rsidRPr="00D60761">
        <w:rPr>
          <w:rFonts w:ascii="Times New Roman" w:hAnsi="Times New Roman"/>
          <w:sz w:val="24"/>
        </w:rPr>
        <w:t>,</w:t>
      </w:r>
      <w:r w:rsidRPr="00D60761">
        <w:rPr>
          <w:rFonts w:ascii="Times New Roman" w:hAnsi="Times New Roman"/>
          <w:sz w:val="24"/>
        </w:rPr>
        <w:t xml:space="preserve"> and</w:t>
      </w:r>
    </w:p>
    <w:p w:rsidR="00410D9B" w:rsidRPr="00D60761" w:rsidRDefault="00410D9B" w:rsidP="00410D9B">
      <w:pPr>
        <w:numPr>
          <w:ilvl w:val="0"/>
          <w:numId w:val="7"/>
        </w:numPr>
        <w:tabs>
          <w:tab w:val="clear" w:pos="1080"/>
          <w:tab w:val="num" w:pos="720"/>
        </w:tabs>
        <w:autoSpaceDE/>
        <w:autoSpaceDN/>
        <w:adjustRightInd/>
        <w:ind w:left="720"/>
        <w:rPr>
          <w:rFonts w:ascii="Times New Roman" w:hAnsi="Times New Roman"/>
          <w:sz w:val="24"/>
        </w:rPr>
      </w:pPr>
      <w:r w:rsidRPr="00D60761">
        <w:rPr>
          <w:rFonts w:ascii="Times New Roman" w:hAnsi="Times New Roman"/>
          <w:sz w:val="24"/>
        </w:rPr>
        <w:t>effect of marketing and other industry practices on the availability and price of credit to consumers of different races, ethnicities, genders, incomes, and geographic locations.</w:t>
      </w:r>
    </w:p>
    <w:p w:rsidR="007F2D19" w:rsidRPr="00D60761" w:rsidRDefault="007F2D19" w:rsidP="007F2D19">
      <w:pPr>
        <w:ind w:firstLine="720"/>
        <w:rPr>
          <w:rFonts w:ascii="Times New Roman" w:hAnsi="Times New Roman"/>
          <w:b/>
          <w:sz w:val="24"/>
        </w:rPr>
      </w:pPr>
    </w:p>
    <w:p w:rsidR="00275FBA" w:rsidRPr="00D60761" w:rsidRDefault="00E7624E" w:rsidP="00061D0C">
      <w:pPr>
        <w:widowControl/>
        <w:autoSpaceDE/>
        <w:autoSpaceDN/>
        <w:adjustRightInd/>
        <w:rPr>
          <w:rFonts w:ascii="Times New Roman" w:hAnsi="Times New Roman"/>
          <w:sz w:val="24"/>
        </w:rPr>
      </w:pPr>
      <w:r w:rsidRPr="00D60761">
        <w:rPr>
          <w:rFonts w:ascii="Times New Roman" w:hAnsi="Times New Roman"/>
          <w:b/>
          <w:sz w:val="24"/>
        </w:rPr>
        <w:t>Time Schedule for Information Collection and Publication</w:t>
      </w:r>
      <w:r w:rsidR="00275FBA" w:rsidRPr="00D60761">
        <w:rPr>
          <w:rFonts w:ascii="Times New Roman" w:hAnsi="Times New Roman"/>
          <w:b/>
          <w:sz w:val="24"/>
        </w:rPr>
        <w:t xml:space="preserve"> </w:t>
      </w:r>
    </w:p>
    <w:p w:rsidR="004735E7" w:rsidRPr="00D60761" w:rsidRDefault="00537047" w:rsidP="00BF7497">
      <w:pPr>
        <w:pStyle w:val="BodyText"/>
        <w:tabs>
          <w:tab w:val="left" w:pos="-1440"/>
        </w:tabs>
        <w:spacing w:after="0"/>
        <w:ind w:firstLine="360"/>
        <w:rPr>
          <w:rFonts w:ascii="Times New Roman" w:hAnsi="Times New Roman"/>
          <w:sz w:val="24"/>
        </w:rPr>
      </w:pPr>
      <w:r w:rsidRPr="00D60761">
        <w:rPr>
          <w:rFonts w:ascii="Times New Roman" w:hAnsi="Times New Roman"/>
          <w:sz w:val="24"/>
        </w:rPr>
        <w:tab/>
      </w:r>
    </w:p>
    <w:p w:rsidR="00BF7497" w:rsidRPr="00D60761" w:rsidRDefault="004735E7" w:rsidP="00BF7497">
      <w:pPr>
        <w:pStyle w:val="BodyText"/>
        <w:tabs>
          <w:tab w:val="left" w:pos="-1440"/>
        </w:tabs>
        <w:spacing w:after="0"/>
        <w:ind w:firstLine="360"/>
        <w:rPr>
          <w:rFonts w:ascii="Times New Roman" w:hAnsi="Times New Roman"/>
          <w:sz w:val="24"/>
        </w:rPr>
      </w:pPr>
      <w:r w:rsidRPr="00D60761">
        <w:rPr>
          <w:rFonts w:ascii="Times New Roman" w:hAnsi="Times New Roman"/>
          <w:sz w:val="24"/>
        </w:rPr>
        <w:tab/>
      </w:r>
      <w:r w:rsidR="00503AFC" w:rsidRPr="00D60761">
        <w:rPr>
          <w:rFonts w:ascii="Times New Roman" w:hAnsi="Times New Roman"/>
          <w:sz w:val="24"/>
        </w:rPr>
        <w:t xml:space="preserve">The time schedules for the distribution of, response to, and collection of data for each survey </w:t>
      </w:r>
      <w:r w:rsidR="004731AC" w:rsidRPr="00D60761">
        <w:rPr>
          <w:rFonts w:ascii="Times New Roman" w:hAnsi="Times New Roman"/>
          <w:sz w:val="24"/>
        </w:rPr>
        <w:t>is</w:t>
      </w:r>
      <w:r w:rsidR="00503AFC" w:rsidRPr="00D60761">
        <w:rPr>
          <w:rFonts w:ascii="Times New Roman" w:hAnsi="Times New Roman"/>
          <w:sz w:val="24"/>
        </w:rPr>
        <w:t xml:space="preserve"> determined during the planning phase prior to the distribution of the survey instrument.  </w:t>
      </w:r>
      <w:r w:rsidR="00BF7497" w:rsidRPr="00D60761">
        <w:rPr>
          <w:rFonts w:ascii="Times New Roman" w:hAnsi="Times New Roman"/>
          <w:sz w:val="24"/>
        </w:rPr>
        <w:t>The Federal Reserve Board choose</w:t>
      </w:r>
      <w:r w:rsidR="004731AC" w:rsidRPr="00D60761">
        <w:rPr>
          <w:rFonts w:ascii="Times New Roman" w:hAnsi="Times New Roman"/>
          <w:sz w:val="24"/>
        </w:rPr>
        <w:t>s</w:t>
      </w:r>
      <w:r w:rsidR="00BF7497" w:rsidRPr="00D60761">
        <w:rPr>
          <w:rFonts w:ascii="Times New Roman" w:hAnsi="Times New Roman"/>
          <w:sz w:val="24"/>
        </w:rPr>
        <w:t xml:space="preserve"> whether to publish the data that it obtains from respondents.  Survey information may be cited in published material such as staff studies or working papers, professional journals, the </w:t>
      </w:r>
      <w:r w:rsidR="00BF7497" w:rsidRPr="00D60761">
        <w:rPr>
          <w:rFonts w:ascii="Times New Roman" w:hAnsi="Times New Roman"/>
          <w:i/>
          <w:sz w:val="24"/>
        </w:rPr>
        <w:t>Federal Reserve Bulletin,</w:t>
      </w:r>
      <w:r w:rsidR="00BF7497" w:rsidRPr="00D60761">
        <w:rPr>
          <w:rFonts w:ascii="Times New Roman" w:hAnsi="Times New Roman"/>
          <w:sz w:val="24"/>
        </w:rPr>
        <w:t xml:space="preserve"> testimony and reports to the Congress, or other vehicles.</w:t>
      </w:r>
    </w:p>
    <w:p w:rsidR="007C7D81" w:rsidRPr="00D60761" w:rsidRDefault="007C7D81" w:rsidP="00BF7497">
      <w:pPr>
        <w:pStyle w:val="BodyText"/>
        <w:tabs>
          <w:tab w:val="left" w:pos="-1440"/>
        </w:tabs>
        <w:spacing w:after="0"/>
        <w:rPr>
          <w:rFonts w:ascii="Times New Roman" w:hAnsi="Times New Roman"/>
          <w:sz w:val="24"/>
        </w:rPr>
      </w:pPr>
    </w:p>
    <w:p w:rsidR="00BC6BB1" w:rsidRDefault="00BC6BB1">
      <w:pPr>
        <w:widowControl/>
        <w:autoSpaceDE/>
        <w:autoSpaceDN/>
        <w:adjustRightInd/>
        <w:rPr>
          <w:rFonts w:ascii="Times New Roman" w:hAnsi="Times New Roman"/>
          <w:b/>
          <w:sz w:val="24"/>
        </w:rPr>
      </w:pPr>
      <w:r>
        <w:rPr>
          <w:rFonts w:ascii="Times New Roman" w:hAnsi="Times New Roman"/>
          <w:b/>
          <w:sz w:val="24"/>
        </w:rPr>
        <w:br w:type="page"/>
      </w:r>
    </w:p>
    <w:p w:rsidR="007C7D81" w:rsidRPr="00D60761" w:rsidRDefault="007C7D81" w:rsidP="007C7D81">
      <w:pPr>
        <w:pStyle w:val="BodyText"/>
        <w:tabs>
          <w:tab w:val="left" w:pos="-1440"/>
        </w:tabs>
        <w:spacing w:after="0"/>
        <w:rPr>
          <w:rFonts w:ascii="Times New Roman" w:hAnsi="Times New Roman"/>
          <w:b/>
          <w:sz w:val="24"/>
        </w:rPr>
      </w:pPr>
      <w:r w:rsidRPr="00D60761">
        <w:rPr>
          <w:rFonts w:ascii="Times New Roman" w:hAnsi="Times New Roman"/>
          <w:b/>
          <w:sz w:val="24"/>
        </w:rPr>
        <w:lastRenderedPageBreak/>
        <w:t>Legal Status</w:t>
      </w:r>
      <w:r w:rsidR="003A4D54" w:rsidRPr="00D60761">
        <w:rPr>
          <w:rFonts w:ascii="Times New Roman" w:hAnsi="Times New Roman"/>
          <w:b/>
          <w:sz w:val="24"/>
        </w:rPr>
        <w:t xml:space="preserve"> </w:t>
      </w:r>
    </w:p>
    <w:p w:rsidR="007C7D81" w:rsidRPr="00D60761" w:rsidRDefault="007C7D81" w:rsidP="007C7D81">
      <w:pPr>
        <w:pStyle w:val="BodyText"/>
        <w:tabs>
          <w:tab w:val="left" w:pos="-1440"/>
        </w:tabs>
        <w:spacing w:after="0"/>
        <w:rPr>
          <w:rFonts w:ascii="Times New Roman" w:hAnsi="Times New Roman"/>
          <w:sz w:val="24"/>
        </w:rPr>
      </w:pPr>
    </w:p>
    <w:p w:rsidR="00460A38" w:rsidRPr="00D60761" w:rsidRDefault="00460A38" w:rsidP="00460A38">
      <w:pPr>
        <w:pStyle w:val="Heading2"/>
        <w:rPr>
          <w:rFonts w:ascii="Times New Roman" w:hAnsi="Times New Roman"/>
        </w:rPr>
      </w:pPr>
      <w:r w:rsidRPr="00D60761">
        <w:rPr>
          <w:rFonts w:ascii="Times New Roman" w:hAnsi="Times New Roman"/>
        </w:rPr>
        <w:tab/>
        <w:t xml:space="preserve">The Board's Legal Division has determined that these </w:t>
      </w:r>
      <w:r w:rsidR="0082341B" w:rsidRPr="00D60761">
        <w:rPr>
          <w:rFonts w:ascii="Times New Roman" w:hAnsi="Times New Roman"/>
        </w:rPr>
        <w:t>surveys</w:t>
      </w:r>
      <w:r w:rsidRPr="00D60761">
        <w:rPr>
          <w:rFonts w:ascii="Times New Roman" w:hAnsi="Times New Roman"/>
        </w:rPr>
        <w:t xml:space="preserve"> are authorized pursuant to the: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 xml:space="preserve">Community Reinvestment Act, (12 U.S.C. § 2905);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 xml:space="preserve">Competitive Equality Banking Act, (12 U.S.C. § 3806);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 xml:space="preserve">Expedited Funds Availability Act, (12 U.S.C. § 4008);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 xml:space="preserve">Truth in Lending Act, (15 U.S.C. § 1604);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 xml:space="preserve">Fair Credit Reporting Act, (15 U.S.C. § 1681s(e));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 xml:space="preserve">Equal Credit Opportunity Act, (15 U.S.C. § 1691b(a)); </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Electronic Funds Transfer Act, (15 U.S.C. § 1693b);</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Gramm-Leach-Bliley Act, (15 U.S.C. § 680</w:t>
      </w:r>
      <w:r w:rsidR="00694D11">
        <w:rPr>
          <w:rFonts w:ascii="Times New Roman" w:hAnsi="Times New Roman"/>
        </w:rPr>
        <w:t>1(b))</w:t>
      </w:r>
      <w:r w:rsidRPr="00D60761">
        <w:rPr>
          <w:rFonts w:ascii="Times New Roman" w:hAnsi="Times New Roman"/>
        </w:rPr>
        <w:t>; and</w:t>
      </w:r>
    </w:p>
    <w:p w:rsidR="00460A38" w:rsidRPr="00D60761" w:rsidRDefault="00460A38" w:rsidP="00BF3334">
      <w:pPr>
        <w:pStyle w:val="Heading2"/>
        <w:numPr>
          <w:ilvl w:val="0"/>
          <w:numId w:val="18"/>
        </w:numPr>
        <w:autoSpaceDE/>
        <w:autoSpaceDN/>
        <w:adjustRightInd/>
        <w:rPr>
          <w:rFonts w:ascii="Times New Roman" w:hAnsi="Times New Roman"/>
        </w:rPr>
      </w:pPr>
      <w:r w:rsidRPr="00D60761">
        <w:rPr>
          <w:rFonts w:ascii="Times New Roman" w:hAnsi="Times New Roman"/>
        </w:rPr>
        <w:t>Flood Disaster Protections Act of 1973, (42 U.S.C. §</w:t>
      </w:r>
      <w:r w:rsidR="00AD59E4" w:rsidRPr="00D60761">
        <w:rPr>
          <w:rFonts w:ascii="Times New Roman" w:hAnsi="Times New Roman"/>
        </w:rPr>
        <w:t xml:space="preserve"> 4012a).</w:t>
      </w:r>
      <w:r w:rsidRPr="00D60761">
        <w:rPr>
          <w:rFonts w:ascii="Times New Roman" w:hAnsi="Times New Roman"/>
        </w:rPr>
        <w:t xml:space="preserve">  </w:t>
      </w:r>
    </w:p>
    <w:p w:rsidR="00694D11" w:rsidRDefault="00694D11" w:rsidP="00460A38">
      <w:pPr>
        <w:pStyle w:val="Heading2"/>
        <w:rPr>
          <w:color w:val="000000"/>
        </w:rPr>
      </w:pPr>
    </w:p>
    <w:p w:rsidR="00460A38" w:rsidRDefault="00694D11" w:rsidP="00694D11">
      <w:pPr>
        <w:pStyle w:val="Heading2"/>
        <w:ind w:firstLine="720"/>
      </w:pPr>
      <w:r w:rsidRPr="00CA5705">
        <w:rPr>
          <w:color w:val="000000"/>
        </w:rPr>
        <w:t xml:space="preserve">Additionally, depending upon the survey respondent, the information collection may be authorized under a more specific statute.  Specifically, this information collection is </w:t>
      </w:r>
      <w:r w:rsidRPr="0073592C">
        <w:t>authorized pursuant to the:  Federal Reserve Act, Sections 2A, 9, 12A, 25, and 25A (12 U.S.C. §§ 225a, 324, 263, 602, and 625); Bank Holding Company Act, Section 5(c) (12 U.S.C. § 1844(c)); International Banking Act of 1978, Section 7(c)(2) (12 U.S.C. § 3105(c)(2)); and Federal Deposit Insurance Act, Section 7(a) (12 U.S.C. § 1817(a)).</w:t>
      </w:r>
    </w:p>
    <w:p w:rsidR="00694D11" w:rsidRPr="00694D11" w:rsidRDefault="00694D11" w:rsidP="00694D11"/>
    <w:p w:rsidR="0082341B" w:rsidRPr="000214CA" w:rsidRDefault="00460A38" w:rsidP="0082341B">
      <w:pPr>
        <w:widowControl/>
        <w:ind w:firstLine="720"/>
        <w:rPr>
          <w:rFonts w:ascii="Times New Roman" w:hAnsi="Times New Roman"/>
          <w:sz w:val="24"/>
        </w:rPr>
      </w:pPr>
      <w:r w:rsidRPr="00D60761">
        <w:rPr>
          <w:rFonts w:ascii="Times New Roman" w:hAnsi="Times New Roman"/>
          <w:sz w:val="24"/>
        </w:rPr>
        <w:t>Respondent participation in the</w:t>
      </w:r>
      <w:r w:rsidR="0082341B" w:rsidRPr="00D60761">
        <w:rPr>
          <w:rFonts w:ascii="Times New Roman" w:hAnsi="Times New Roman"/>
          <w:sz w:val="24"/>
        </w:rPr>
        <w:t>se</w:t>
      </w:r>
      <w:r w:rsidRPr="00D60761">
        <w:rPr>
          <w:rFonts w:ascii="Times New Roman" w:hAnsi="Times New Roman"/>
          <w:sz w:val="24"/>
        </w:rPr>
        <w:t xml:space="preserve"> survey</w:t>
      </w:r>
      <w:r w:rsidR="0082341B" w:rsidRPr="00D60761">
        <w:rPr>
          <w:rFonts w:ascii="Times New Roman" w:hAnsi="Times New Roman"/>
          <w:sz w:val="24"/>
        </w:rPr>
        <w:t>s</w:t>
      </w:r>
      <w:r w:rsidRPr="00D60761">
        <w:rPr>
          <w:rFonts w:ascii="Times New Roman" w:hAnsi="Times New Roman"/>
          <w:sz w:val="24"/>
        </w:rPr>
        <w:t xml:space="preserve"> is voluntary.</w:t>
      </w:r>
      <w:r w:rsidR="0082341B" w:rsidRPr="00D60761">
        <w:rPr>
          <w:rFonts w:ascii="Times New Roman" w:hAnsi="Times New Roman"/>
          <w:sz w:val="24"/>
        </w:rPr>
        <w:t xml:space="preserve">  The ability of the Federal Reserve to maintain the confidentiality of information provided by respondents to the FR 305</w:t>
      </w:r>
      <w:r w:rsidR="00DB51C5" w:rsidRPr="00D60761">
        <w:rPr>
          <w:rFonts w:ascii="Times New Roman" w:hAnsi="Times New Roman"/>
          <w:sz w:val="24"/>
        </w:rPr>
        <w:t>3</w:t>
      </w:r>
      <w:r w:rsidR="0082341B" w:rsidRPr="00D60761">
        <w:rPr>
          <w:rFonts w:ascii="Times New Roman" w:hAnsi="Times New Roman"/>
          <w:sz w:val="24"/>
        </w:rPr>
        <w:t xml:space="preserve"> surveys will be determined on a case</w:t>
      </w:r>
      <w:r w:rsidR="00617C11" w:rsidRPr="00D60761">
        <w:rPr>
          <w:rFonts w:ascii="Times New Roman" w:hAnsi="Times New Roman"/>
          <w:sz w:val="24"/>
        </w:rPr>
        <w:t>-</w:t>
      </w:r>
      <w:r w:rsidR="0082341B" w:rsidRPr="00D60761">
        <w:rPr>
          <w:rFonts w:ascii="Times New Roman" w:hAnsi="Times New Roman"/>
          <w:sz w:val="24"/>
        </w:rPr>
        <w:t>by</w:t>
      </w:r>
      <w:r w:rsidR="00617C11" w:rsidRPr="00D60761">
        <w:rPr>
          <w:rFonts w:ascii="Times New Roman" w:hAnsi="Times New Roman"/>
          <w:sz w:val="24"/>
        </w:rPr>
        <w:t>-</w:t>
      </w:r>
      <w:r w:rsidR="0082341B" w:rsidRPr="00D60761">
        <w:rPr>
          <w:rFonts w:ascii="Times New Roman" w:hAnsi="Times New Roman"/>
          <w:sz w:val="24"/>
        </w:rPr>
        <w:t xml:space="preserve">case basis depending on the type of information provided for a particular survey.  Depending upon the survey questions, confidential treatment </w:t>
      </w:r>
      <w:r w:rsidR="00717865" w:rsidRPr="000214CA">
        <w:rPr>
          <w:rFonts w:ascii="Times New Roman" w:hAnsi="Times New Roman"/>
          <w:sz w:val="24"/>
        </w:rPr>
        <w:t xml:space="preserve">may </w:t>
      </w:r>
      <w:r w:rsidR="0082341B" w:rsidRPr="000214CA">
        <w:rPr>
          <w:rFonts w:ascii="Times New Roman" w:hAnsi="Times New Roman"/>
          <w:sz w:val="24"/>
        </w:rPr>
        <w:t>be warranted under the F</w:t>
      </w:r>
      <w:r w:rsidR="00FE463D" w:rsidRPr="000214CA">
        <w:rPr>
          <w:rFonts w:ascii="Times New Roman" w:hAnsi="Times New Roman"/>
          <w:sz w:val="24"/>
        </w:rPr>
        <w:t>reedom of Information Act</w:t>
      </w:r>
      <w:r w:rsidR="0082341B" w:rsidRPr="000214CA">
        <w:rPr>
          <w:rFonts w:ascii="Times New Roman" w:hAnsi="Times New Roman"/>
          <w:sz w:val="24"/>
        </w:rPr>
        <w:t>.  5 U.S.C. § 552(b)(4) and (6).</w:t>
      </w:r>
    </w:p>
    <w:p w:rsidR="004D07EA" w:rsidRPr="000214CA" w:rsidRDefault="004D07EA" w:rsidP="00BF7497">
      <w:pPr>
        <w:pStyle w:val="BodyText"/>
        <w:tabs>
          <w:tab w:val="left" w:pos="-1440"/>
        </w:tabs>
        <w:spacing w:after="0"/>
        <w:ind w:firstLine="360"/>
        <w:rPr>
          <w:rFonts w:ascii="Times New Roman" w:hAnsi="Times New Roman"/>
          <w:sz w:val="24"/>
        </w:rPr>
      </w:pPr>
    </w:p>
    <w:p w:rsidR="00BF7497" w:rsidRPr="000214CA" w:rsidRDefault="00BF7497" w:rsidP="00BF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0214CA">
        <w:rPr>
          <w:rFonts w:ascii="Times New Roman" w:hAnsi="Times New Roman"/>
          <w:b/>
          <w:sz w:val="24"/>
        </w:rPr>
        <w:t>Consultation Outside of the Agency</w:t>
      </w:r>
    </w:p>
    <w:p w:rsidR="00BF7497" w:rsidRPr="000214CA" w:rsidRDefault="00BF7497" w:rsidP="00BF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BC6BB1" w:rsidRPr="007F2D19" w:rsidRDefault="00BF7497" w:rsidP="00BC6BB1">
      <w:pPr>
        <w:pStyle w:val="BodyTextIndent3"/>
        <w:rPr>
          <w:rFonts w:ascii="Times New Roman" w:hAnsi="Times New Roman"/>
          <w:szCs w:val="24"/>
        </w:rPr>
      </w:pPr>
      <w:r w:rsidRPr="000214CA">
        <w:rPr>
          <w:rFonts w:ascii="Times New Roman" w:hAnsi="Times New Roman"/>
          <w:color w:val="000000"/>
        </w:rPr>
        <w:t xml:space="preserve">There has been no consultation outside the Federal Reserve System; however, surveys and studies </w:t>
      </w:r>
      <w:r w:rsidR="00717865" w:rsidRPr="000214CA">
        <w:rPr>
          <w:rFonts w:ascii="Times New Roman" w:hAnsi="Times New Roman"/>
          <w:color w:val="000000"/>
        </w:rPr>
        <w:t xml:space="preserve">may </w:t>
      </w:r>
      <w:r w:rsidRPr="000214CA">
        <w:rPr>
          <w:rFonts w:ascii="Times New Roman" w:hAnsi="Times New Roman"/>
          <w:color w:val="000000"/>
        </w:rPr>
        <w:t>be conducted jointly with other agencies.  If this were to occur, the Federal Reserve wo</w:t>
      </w:r>
      <w:r w:rsidR="00041A44" w:rsidRPr="000214CA">
        <w:rPr>
          <w:rFonts w:ascii="Times New Roman" w:hAnsi="Times New Roman"/>
          <w:color w:val="000000"/>
        </w:rPr>
        <w:t>uld consult with other agencies</w:t>
      </w:r>
      <w:r w:rsidRPr="000214CA">
        <w:rPr>
          <w:rFonts w:ascii="Times New Roman" w:hAnsi="Times New Roman"/>
          <w:color w:val="000000"/>
        </w:rPr>
        <w:t>, to the extent practicable, to create a consistent set of questions or a substantively similar information collection.</w:t>
      </w:r>
      <w:r w:rsidR="000214CA" w:rsidRPr="000214CA">
        <w:rPr>
          <w:rFonts w:ascii="Times New Roman" w:hAnsi="Times New Roman"/>
          <w:color w:val="000000"/>
        </w:rPr>
        <w:t xml:space="preserve">  </w:t>
      </w:r>
      <w:r w:rsidR="000214CA" w:rsidRPr="000214CA">
        <w:rPr>
          <w:rFonts w:ascii="Times New Roman" w:hAnsi="Times New Roman"/>
        </w:rPr>
        <w:t xml:space="preserve">On </w:t>
      </w:r>
      <w:r w:rsidR="000214CA">
        <w:rPr>
          <w:rFonts w:ascii="Times New Roman" w:hAnsi="Times New Roman"/>
        </w:rPr>
        <w:t>May 23, 2012</w:t>
      </w:r>
      <w:r w:rsidR="000214CA" w:rsidRPr="000214CA">
        <w:rPr>
          <w:rFonts w:ascii="Times New Roman" w:hAnsi="Times New Roman"/>
        </w:rPr>
        <w:t xml:space="preserve">, the Federal Reserve published a notice in the </w:t>
      </w:r>
      <w:r w:rsidR="000214CA" w:rsidRPr="000214CA">
        <w:rPr>
          <w:rFonts w:ascii="Times New Roman" w:hAnsi="Times New Roman"/>
          <w:i/>
          <w:iCs/>
        </w:rPr>
        <w:t>Federal Register</w:t>
      </w:r>
      <w:r w:rsidR="000214CA" w:rsidRPr="000214CA">
        <w:rPr>
          <w:rFonts w:ascii="Times New Roman" w:hAnsi="Times New Roman"/>
        </w:rPr>
        <w:t xml:space="preserve"> (77 FR </w:t>
      </w:r>
      <w:r w:rsidR="000214CA">
        <w:rPr>
          <w:rFonts w:ascii="Times New Roman" w:hAnsi="Times New Roman"/>
        </w:rPr>
        <w:t>30532</w:t>
      </w:r>
      <w:r w:rsidR="000214CA" w:rsidRPr="000214CA">
        <w:rPr>
          <w:rFonts w:ascii="Times New Roman" w:hAnsi="Times New Roman"/>
        </w:rPr>
        <w:t xml:space="preserve">) requesting public comment for 60 days on the FR </w:t>
      </w:r>
      <w:r w:rsidR="000214CA">
        <w:rPr>
          <w:rFonts w:ascii="Times New Roman" w:hAnsi="Times New Roman"/>
        </w:rPr>
        <w:t>3053</w:t>
      </w:r>
      <w:r w:rsidR="000214CA" w:rsidRPr="000214CA">
        <w:rPr>
          <w:rFonts w:ascii="Times New Roman" w:hAnsi="Times New Roman"/>
        </w:rPr>
        <w:t xml:space="preserve"> information collection.  The comment period for this notice expire</w:t>
      </w:r>
      <w:r w:rsidR="00BC6BB1">
        <w:rPr>
          <w:rFonts w:ascii="Times New Roman" w:hAnsi="Times New Roman"/>
        </w:rPr>
        <w:t>d</w:t>
      </w:r>
      <w:r w:rsidR="000214CA" w:rsidRPr="000214CA">
        <w:rPr>
          <w:rFonts w:ascii="Times New Roman" w:hAnsi="Times New Roman"/>
        </w:rPr>
        <w:t xml:space="preserve"> on </w:t>
      </w:r>
      <w:r w:rsidR="000214CA">
        <w:rPr>
          <w:rFonts w:ascii="Times New Roman" w:hAnsi="Times New Roman"/>
        </w:rPr>
        <w:t>July 23</w:t>
      </w:r>
      <w:r w:rsidR="000214CA" w:rsidRPr="000214CA">
        <w:rPr>
          <w:rFonts w:ascii="Times New Roman" w:hAnsi="Times New Roman"/>
        </w:rPr>
        <w:t xml:space="preserve">, 2012.  </w:t>
      </w:r>
      <w:r w:rsidR="00BC6BB1" w:rsidRPr="000214CA">
        <w:rPr>
          <w:rFonts w:ascii="Times New Roman" w:hAnsi="Times New Roman"/>
          <w:szCs w:val="24"/>
        </w:rPr>
        <w:t>The comment period for this notice expire</w:t>
      </w:r>
      <w:r w:rsidR="00BC6BB1">
        <w:rPr>
          <w:rFonts w:ascii="Times New Roman" w:hAnsi="Times New Roman"/>
          <w:szCs w:val="24"/>
        </w:rPr>
        <w:t>d</w:t>
      </w:r>
      <w:r w:rsidR="00BC6BB1" w:rsidRPr="000214CA">
        <w:rPr>
          <w:rFonts w:ascii="Times New Roman" w:hAnsi="Times New Roman"/>
          <w:szCs w:val="24"/>
        </w:rPr>
        <w:t xml:space="preserve"> on </w:t>
      </w:r>
      <w:r w:rsidR="00BC6BB1">
        <w:rPr>
          <w:rFonts w:ascii="Times New Roman" w:hAnsi="Times New Roman"/>
        </w:rPr>
        <w:t>July 23</w:t>
      </w:r>
      <w:r w:rsidR="00BC6BB1" w:rsidRPr="000214CA">
        <w:rPr>
          <w:rFonts w:ascii="Times New Roman" w:hAnsi="Times New Roman"/>
          <w:szCs w:val="24"/>
        </w:rPr>
        <w:t>, 2012.</w:t>
      </w:r>
      <w:r w:rsidR="00BC6BB1" w:rsidRPr="00A61C73">
        <w:rPr>
          <w:rFonts w:ascii="Times New Roman" w:hAnsi="Times New Roman"/>
          <w:szCs w:val="24"/>
        </w:rPr>
        <w:t xml:space="preserve">  </w:t>
      </w:r>
      <w:r w:rsidR="00BC6BB1">
        <w:rPr>
          <w:rFonts w:ascii="Times New Roman" w:hAnsi="Times New Roman"/>
        </w:rPr>
        <w:t xml:space="preserve">The Federal Reserve did not receive any comments.  On August 10, 2012, the Federal Reserve published a final notice in the </w:t>
      </w:r>
      <w:r w:rsidR="00BC6BB1" w:rsidRPr="00E06286">
        <w:rPr>
          <w:rFonts w:ascii="Times New Roman" w:hAnsi="Times New Roman"/>
          <w:i/>
        </w:rPr>
        <w:t>Federal Register</w:t>
      </w:r>
      <w:r w:rsidR="00BC6BB1">
        <w:rPr>
          <w:rFonts w:ascii="Times New Roman" w:hAnsi="Times New Roman"/>
        </w:rPr>
        <w:t xml:space="preserve"> (77 FR 47841).</w:t>
      </w:r>
    </w:p>
    <w:p w:rsidR="00BF7497" w:rsidRPr="000214CA" w:rsidRDefault="00BF7497" w:rsidP="00BF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rsidR="00E7624E" w:rsidRPr="000214CA" w:rsidRDefault="00E7624E" w:rsidP="00E76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0214CA">
        <w:rPr>
          <w:rFonts w:ascii="Times New Roman" w:hAnsi="Times New Roman"/>
          <w:b/>
          <w:sz w:val="24"/>
        </w:rPr>
        <w:t>Estimate of Respondent Burden</w:t>
      </w:r>
    </w:p>
    <w:p w:rsidR="000625A5" w:rsidRPr="000214CA" w:rsidRDefault="000625A5" w:rsidP="00F963FB">
      <w:pPr>
        <w:rPr>
          <w:rFonts w:ascii="Times New Roman" w:hAnsi="Times New Roman"/>
          <w:sz w:val="24"/>
        </w:rPr>
      </w:pPr>
    </w:p>
    <w:p w:rsidR="00A6352E" w:rsidRPr="00D60761" w:rsidRDefault="00537047" w:rsidP="00A6352E">
      <w:pPr>
        <w:ind w:firstLine="360"/>
        <w:rPr>
          <w:rFonts w:ascii="Times New Roman" w:hAnsi="Times New Roman"/>
          <w:sz w:val="24"/>
        </w:rPr>
      </w:pPr>
      <w:r w:rsidRPr="000214CA">
        <w:rPr>
          <w:rFonts w:ascii="Times New Roman" w:hAnsi="Times New Roman"/>
          <w:sz w:val="24"/>
        </w:rPr>
        <w:t xml:space="preserve">     </w:t>
      </w:r>
      <w:r w:rsidR="000625A5" w:rsidRPr="000214CA">
        <w:rPr>
          <w:rFonts w:ascii="Times New Roman" w:hAnsi="Times New Roman"/>
          <w:sz w:val="24"/>
        </w:rPr>
        <w:t xml:space="preserve">The burden for the FR </w:t>
      </w:r>
      <w:r w:rsidR="00535BBA" w:rsidRPr="000214CA">
        <w:rPr>
          <w:rFonts w:ascii="Times New Roman" w:hAnsi="Times New Roman"/>
          <w:sz w:val="24"/>
        </w:rPr>
        <w:t>3053</w:t>
      </w:r>
      <w:r w:rsidR="00DF77A7" w:rsidRPr="000214CA">
        <w:rPr>
          <w:rFonts w:ascii="Times New Roman" w:hAnsi="Times New Roman"/>
          <w:sz w:val="24"/>
        </w:rPr>
        <w:t xml:space="preserve"> </w:t>
      </w:r>
      <w:r w:rsidR="000625A5" w:rsidRPr="000214CA">
        <w:rPr>
          <w:rFonts w:ascii="Times New Roman" w:hAnsi="Times New Roman"/>
          <w:sz w:val="24"/>
        </w:rPr>
        <w:t>survey is estimated to be</w:t>
      </w:r>
      <w:r w:rsidR="002D7AAF" w:rsidRPr="000214CA">
        <w:rPr>
          <w:rFonts w:ascii="Times New Roman" w:hAnsi="Times New Roman"/>
          <w:sz w:val="24"/>
        </w:rPr>
        <w:t xml:space="preserve"> </w:t>
      </w:r>
      <w:r w:rsidR="00717865" w:rsidRPr="000214CA">
        <w:rPr>
          <w:rFonts w:ascii="Times New Roman" w:hAnsi="Times New Roman"/>
          <w:sz w:val="24"/>
        </w:rPr>
        <w:t>6,550 hours</w:t>
      </w:r>
      <w:r w:rsidR="000625A5" w:rsidRPr="000214CA">
        <w:rPr>
          <w:rFonts w:ascii="Times New Roman" w:hAnsi="Times New Roman"/>
          <w:sz w:val="24"/>
        </w:rPr>
        <w:t xml:space="preserve"> annually as shown in</w:t>
      </w:r>
      <w:r w:rsidR="000625A5" w:rsidRPr="00D60761">
        <w:rPr>
          <w:rFonts w:ascii="Times New Roman" w:hAnsi="Times New Roman"/>
          <w:sz w:val="24"/>
        </w:rPr>
        <w:t xml:space="preserve"> the following table.  </w:t>
      </w:r>
      <w:r w:rsidR="00A6352E" w:rsidRPr="00D60761">
        <w:rPr>
          <w:rFonts w:ascii="Times New Roman" w:hAnsi="Times New Roman"/>
          <w:sz w:val="24"/>
        </w:rPr>
        <w:t xml:space="preserve">Because the survey </w:t>
      </w:r>
      <w:r w:rsidR="004731AC" w:rsidRPr="00D60761">
        <w:rPr>
          <w:rFonts w:ascii="Times New Roman" w:hAnsi="Times New Roman"/>
          <w:sz w:val="24"/>
        </w:rPr>
        <w:t>is</w:t>
      </w:r>
      <w:r w:rsidR="00A6352E" w:rsidRPr="00D60761">
        <w:rPr>
          <w:rFonts w:ascii="Times New Roman" w:hAnsi="Times New Roman"/>
          <w:sz w:val="24"/>
        </w:rPr>
        <w:t xml:space="preserve"> event generated, it is not possible to predict exactly </w:t>
      </w:r>
      <w:r w:rsidR="00A6352E" w:rsidRPr="00D60761">
        <w:rPr>
          <w:rFonts w:ascii="Times New Roman" w:hAnsi="Times New Roman"/>
          <w:sz w:val="24"/>
        </w:rPr>
        <w:lastRenderedPageBreak/>
        <w:t xml:space="preserve">how many surveys </w:t>
      </w:r>
      <w:r w:rsidR="004731AC" w:rsidRPr="00D60761">
        <w:rPr>
          <w:rFonts w:ascii="Times New Roman" w:hAnsi="Times New Roman"/>
          <w:sz w:val="24"/>
        </w:rPr>
        <w:t xml:space="preserve">will </w:t>
      </w:r>
      <w:r w:rsidR="00A6352E" w:rsidRPr="00D60761">
        <w:rPr>
          <w:rFonts w:ascii="Times New Roman" w:hAnsi="Times New Roman"/>
          <w:sz w:val="24"/>
        </w:rPr>
        <w:t xml:space="preserve">be conducted in a given year.  It is anticipated that the information collection would involve as </w:t>
      </w:r>
      <w:r w:rsidR="00913EA7" w:rsidRPr="00D60761">
        <w:rPr>
          <w:rFonts w:ascii="Times New Roman" w:hAnsi="Times New Roman"/>
          <w:sz w:val="24"/>
        </w:rPr>
        <w:t>many</w:t>
      </w:r>
      <w:r w:rsidR="00A6352E" w:rsidRPr="00D60761">
        <w:rPr>
          <w:rFonts w:ascii="Times New Roman" w:hAnsi="Times New Roman"/>
          <w:sz w:val="24"/>
        </w:rPr>
        <w:t xml:space="preserve"> </w:t>
      </w:r>
      <w:r w:rsidR="00275FBA" w:rsidRPr="00D60761">
        <w:rPr>
          <w:rFonts w:ascii="Times New Roman" w:hAnsi="Times New Roman"/>
          <w:sz w:val="24"/>
        </w:rPr>
        <w:t xml:space="preserve">as </w:t>
      </w:r>
      <w:r w:rsidR="002D7AAF" w:rsidRPr="00D60761">
        <w:rPr>
          <w:rFonts w:ascii="Times New Roman" w:hAnsi="Times New Roman"/>
          <w:sz w:val="24"/>
        </w:rPr>
        <w:t>20</w:t>
      </w:r>
      <w:r w:rsidR="00275FBA" w:rsidRPr="00D60761">
        <w:rPr>
          <w:rFonts w:ascii="Times New Roman" w:hAnsi="Times New Roman"/>
          <w:sz w:val="24"/>
        </w:rPr>
        <w:t xml:space="preserve"> </w:t>
      </w:r>
      <w:r w:rsidR="00A6352E" w:rsidRPr="00D60761">
        <w:rPr>
          <w:rFonts w:ascii="Times New Roman" w:hAnsi="Times New Roman"/>
          <w:sz w:val="24"/>
        </w:rPr>
        <w:t xml:space="preserve">surveys.  The burden estimates shown in the table below are based on the average number of responses anticipated.  This represents less than 1 percent of total Federal Reserve System annual </w:t>
      </w:r>
      <w:r w:rsidR="006514B7" w:rsidRPr="00D60761">
        <w:rPr>
          <w:rFonts w:ascii="Times New Roman" w:hAnsi="Times New Roman"/>
          <w:sz w:val="24"/>
        </w:rPr>
        <w:t xml:space="preserve">paperwork </w:t>
      </w:r>
      <w:r w:rsidR="00A6352E" w:rsidRPr="00D60761">
        <w:rPr>
          <w:rFonts w:ascii="Times New Roman" w:hAnsi="Times New Roman"/>
          <w:sz w:val="24"/>
        </w:rPr>
        <w:t>burden.</w:t>
      </w:r>
    </w:p>
    <w:p w:rsidR="00E7624E" w:rsidRPr="00D60761" w:rsidRDefault="00E7624E" w:rsidP="00E76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0" w:type="auto"/>
        <w:tblBorders>
          <w:top w:val="single" w:sz="4" w:space="0" w:color="000000"/>
          <w:bottom w:val="single" w:sz="4" w:space="0" w:color="000000"/>
        </w:tblBorders>
        <w:tblLayout w:type="fixed"/>
        <w:tblLook w:val="0000"/>
      </w:tblPr>
      <w:tblGrid>
        <w:gridCol w:w="3438"/>
        <w:gridCol w:w="1440"/>
        <w:gridCol w:w="1242"/>
        <w:gridCol w:w="1506"/>
        <w:gridCol w:w="1507"/>
      </w:tblGrid>
      <w:tr w:rsidR="00E7624E" w:rsidRPr="001F10F8" w:rsidTr="00FF7A62">
        <w:trPr>
          <w:trHeight w:val="1056"/>
        </w:trPr>
        <w:tc>
          <w:tcPr>
            <w:tcW w:w="3438" w:type="dxa"/>
            <w:vAlign w:val="bottom"/>
          </w:tcPr>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c>
        <w:tc>
          <w:tcPr>
            <w:tcW w:w="1440" w:type="dxa"/>
            <w:vAlign w:val="bottom"/>
          </w:tcPr>
          <w:p w:rsidR="00E7624E" w:rsidRPr="001F10F8" w:rsidRDefault="00E7624E" w:rsidP="001F10F8">
            <w:pPr>
              <w:jc w:val="center"/>
              <w:rPr>
                <w:rFonts w:ascii="Times New Roman" w:hAnsi="Times New Roman"/>
                <w:sz w:val="24"/>
              </w:rPr>
            </w:pPr>
          </w:p>
          <w:p w:rsidR="00DF77A7"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4"/>
              </w:rPr>
            </w:pPr>
            <w:r w:rsidRPr="001F10F8">
              <w:rPr>
                <w:rFonts w:ascii="Times New Roman" w:hAnsi="Times New Roman"/>
                <w:i/>
                <w:sz w:val="24"/>
              </w:rPr>
              <w:t>Estimated</w:t>
            </w:r>
          </w:p>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i/>
                <w:sz w:val="24"/>
              </w:rPr>
              <w:t>number of respondents</w:t>
            </w:r>
          </w:p>
        </w:tc>
        <w:tc>
          <w:tcPr>
            <w:tcW w:w="1242" w:type="dxa"/>
            <w:vAlign w:val="bottom"/>
          </w:tcPr>
          <w:p w:rsidR="00E7624E" w:rsidRPr="001F10F8" w:rsidRDefault="00E7624E" w:rsidP="001F10F8">
            <w:pPr>
              <w:jc w:val="center"/>
              <w:rPr>
                <w:rFonts w:ascii="Times New Roman" w:hAnsi="Times New Roman"/>
                <w:sz w:val="24"/>
              </w:rPr>
            </w:pPr>
          </w:p>
          <w:p w:rsidR="00E7624E"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4"/>
              </w:rPr>
            </w:pPr>
            <w:r w:rsidRPr="001F10F8">
              <w:rPr>
                <w:rFonts w:ascii="Times New Roman" w:hAnsi="Times New Roman"/>
                <w:i/>
                <w:sz w:val="24"/>
              </w:rPr>
              <w:t>Estimated a</w:t>
            </w:r>
            <w:r w:rsidR="00E7624E" w:rsidRPr="001F10F8">
              <w:rPr>
                <w:rFonts w:ascii="Times New Roman" w:hAnsi="Times New Roman"/>
                <w:i/>
                <w:sz w:val="24"/>
              </w:rPr>
              <w:t>nnual</w:t>
            </w:r>
          </w:p>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i/>
                <w:sz w:val="24"/>
              </w:rPr>
              <w:t>frequency</w:t>
            </w:r>
          </w:p>
        </w:tc>
        <w:tc>
          <w:tcPr>
            <w:tcW w:w="1506" w:type="dxa"/>
            <w:vAlign w:val="bottom"/>
          </w:tcPr>
          <w:p w:rsidR="00E7624E" w:rsidRPr="001F10F8" w:rsidRDefault="00E7624E" w:rsidP="001F10F8">
            <w:pPr>
              <w:jc w:val="center"/>
              <w:rPr>
                <w:rFonts w:ascii="Times New Roman" w:hAnsi="Times New Roman"/>
                <w:sz w:val="24"/>
              </w:rPr>
            </w:pPr>
          </w:p>
          <w:p w:rsidR="00317B85"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4"/>
              </w:rPr>
            </w:pPr>
            <w:r w:rsidRPr="001F10F8">
              <w:rPr>
                <w:rFonts w:ascii="Times New Roman" w:hAnsi="Times New Roman"/>
                <w:i/>
                <w:sz w:val="24"/>
              </w:rPr>
              <w:t xml:space="preserve">Estimated average </w:t>
            </w:r>
            <w:r w:rsidR="00317B85" w:rsidRPr="001F10F8">
              <w:rPr>
                <w:rFonts w:ascii="Times New Roman" w:hAnsi="Times New Roman"/>
                <w:i/>
                <w:sz w:val="24"/>
              </w:rPr>
              <w:t>time</w:t>
            </w:r>
          </w:p>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i/>
                <w:sz w:val="24"/>
              </w:rPr>
              <w:t>per response</w:t>
            </w:r>
          </w:p>
        </w:tc>
        <w:tc>
          <w:tcPr>
            <w:tcW w:w="1507" w:type="dxa"/>
            <w:vAlign w:val="bottom"/>
          </w:tcPr>
          <w:p w:rsidR="00E7624E" w:rsidRPr="001F10F8" w:rsidRDefault="00E7624E" w:rsidP="001F10F8">
            <w:pPr>
              <w:jc w:val="center"/>
              <w:rPr>
                <w:rFonts w:ascii="Times New Roman" w:hAnsi="Times New Roman"/>
                <w:sz w:val="24"/>
              </w:rPr>
            </w:pPr>
          </w:p>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i/>
                <w:sz w:val="24"/>
              </w:rPr>
              <w:t>Estimated annual burden hours</w:t>
            </w:r>
          </w:p>
        </w:tc>
      </w:tr>
      <w:tr w:rsidR="00317B85" w:rsidRPr="001F10F8" w:rsidTr="00FF7A62">
        <w:trPr>
          <w:trHeight w:val="255"/>
        </w:trPr>
        <w:tc>
          <w:tcPr>
            <w:tcW w:w="3438" w:type="dxa"/>
            <w:vAlign w:val="bottom"/>
          </w:tcPr>
          <w:p w:rsidR="00317B85" w:rsidRPr="001F10F8" w:rsidRDefault="007827D6"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1F10F8">
              <w:rPr>
                <w:rFonts w:ascii="Times New Roman" w:hAnsi="Times New Roman"/>
                <w:i/>
                <w:sz w:val="24"/>
              </w:rPr>
              <w:t xml:space="preserve">Consumer </w:t>
            </w:r>
            <w:r w:rsidR="00754245" w:rsidRPr="001F10F8">
              <w:rPr>
                <w:rFonts w:ascii="Times New Roman" w:hAnsi="Times New Roman"/>
                <w:i/>
                <w:sz w:val="24"/>
              </w:rPr>
              <w:t>s</w:t>
            </w:r>
            <w:r w:rsidRPr="001F10F8">
              <w:rPr>
                <w:rFonts w:ascii="Times New Roman" w:hAnsi="Times New Roman"/>
                <w:i/>
                <w:sz w:val="24"/>
              </w:rPr>
              <w:t>tudies</w:t>
            </w:r>
            <w:r w:rsidR="00FD2982" w:rsidRPr="001F10F8">
              <w:rPr>
                <w:rFonts w:ascii="Times New Roman" w:hAnsi="Times New Roman"/>
                <w:i/>
                <w:sz w:val="24"/>
              </w:rPr>
              <w:t>:</w:t>
            </w:r>
          </w:p>
        </w:tc>
        <w:tc>
          <w:tcPr>
            <w:tcW w:w="1440"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u w:val="single"/>
              </w:rPr>
            </w:pPr>
          </w:p>
        </w:tc>
      </w:tr>
      <w:tr w:rsidR="007827D6" w:rsidRPr="001F10F8" w:rsidTr="00FF7A62">
        <w:trPr>
          <w:trHeight w:val="255"/>
        </w:trPr>
        <w:tc>
          <w:tcPr>
            <w:tcW w:w="3438" w:type="dxa"/>
            <w:vAlign w:val="bottom"/>
          </w:tcPr>
          <w:p w:rsidR="00712CA2" w:rsidRPr="001F10F8" w:rsidRDefault="007827D6"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F10F8">
              <w:rPr>
                <w:rFonts w:ascii="Times New Roman" w:hAnsi="Times New Roman"/>
                <w:sz w:val="24"/>
              </w:rPr>
              <w:t xml:space="preserve">Quantitative </w:t>
            </w:r>
            <w:r w:rsidR="00B11F4B" w:rsidRPr="001F10F8">
              <w:rPr>
                <w:rFonts w:ascii="Times New Roman" w:hAnsi="Times New Roman"/>
                <w:sz w:val="24"/>
              </w:rPr>
              <w:t>and</w:t>
            </w:r>
            <w:r w:rsidR="001F10F8" w:rsidRPr="001F10F8">
              <w:rPr>
                <w:rFonts w:ascii="Times New Roman" w:hAnsi="Times New Roman"/>
                <w:sz w:val="24"/>
              </w:rPr>
              <w:t xml:space="preserve"> </w:t>
            </w:r>
            <w:r w:rsidR="002459A0" w:rsidRPr="001F10F8">
              <w:rPr>
                <w:rFonts w:ascii="Times New Roman" w:hAnsi="Times New Roman"/>
                <w:sz w:val="24"/>
              </w:rPr>
              <w:t>g</w:t>
            </w:r>
            <w:r w:rsidR="00712CA2" w:rsidRPr="001F10F8">
              <w:rPr>
                <w:rFonts w:ascii="Times New Roman" w:hAnsi="Times New Roman"/>
                <w:sz w:val="24"/>
              </w:rPr>
              <w:t>eneral studies</w:t>
            </w:r>
          </w:p>
        </w:tc>
        <w:tc>
          <w:tcPr>
            <w:tcW w:w="1440" w:type="dxa"/>
            <w:vAlign w:val="bottom"/>
          </w:tcPr>
          <w:p w:rsidR="007827D6" w:rsidRPr="001F10F8" w:rsidRDefault="00973108"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2000</w:t>
            </w:r>
          </w:p>
        </w:tc>
        <w:tc>
          <w:tcPr>
            <w:tcW w:w="1242" w:type="dxa"/>
            <w:vAlign w:val="bottom"/>
          </w:tcPr>
          <w:p w:rsidR="007827D6" w:rsidRPr="001F10F8" w:rsidRDefault="00913E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4</w:t>
            </w:r>
          </w:p>
        </w:tc>
        <w:tc>
          <w:tcPr>
            <w:tcW w:w="1506" w:type="dxa"/>
            <w:vAlign w:val="bottom"/>
          </w:tcPr>
          <w:p w:rsidR="007827D6" w:rsidRPr="001F10F8" w:rsidRDefault="00973108"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w:t>
            </w:r>
            <w:r w:rsidR="007827D6" w:rsidRPr="001F10F8">
              <w:rPr>
                <w:rFonts w:ascii="Times New Roman" w:hAnsi="Times New Roman"/>
                <w:sz w:val="24"/>
              </w:rPr>
              <w:t xml:space="preserve"> </w:t>
            </w:r>
            <w:r w:rsidR="00DF77A7" w:rsidRPr="001F10F8">
              <w:rPr>
                <w:rFonts w:ascii="Times New Roman" w:hAnsi="Times New Roman"/>
                <w:sz w:val="24"/>
              </w:rPr>
              <w:t>hours</w:t>
            </w:r>
          </w:p>
        </w:tc>
        <w:tc>
          <w:tcPr>
            <w:tcW w:w="1507" w:type="dxa"/>
            <w:vAlign w:val="bottom"/>
          </w:tcPr>
          <w:p w:rsidR="00973108" w:rsidRPr="001F10F8" w:rsidRDefault="00913E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4</w:t>
            </w:r>
            <w:r w:rsidR="008F0D57" w:rsidRPr="001F10F8">
              <w:rPr>
                <w:rFonts w:ascii="Times New Roman" w:hAnsi="Times New Roman"/>
                <w:sz w:val="24"/>
              </w:rPr>
              <w:t>,</w:t>
            </w:r>
            <w:r w:rsidR="00973108" w:rsidRPr="001F10F8">
              <w:rPr>
                <w:rFonts w:ascii="Times New Roman" w:hAnsi="Times New Roman"/>
                <w:sz w:val="24"/>
              </w:rPr>
              <w:t>000</w:t>
            </w:r>
          </w:p>
        </w:tc>
      </w:tr>
      <w:tr w:rsidR="00DF77A7" w:rsidRPr="001F10F8" w:rsidTr="00FF7A62">
        <w:trPr>
          <w:trHeight w:val="345"/>
        </w:trPr>
        <w:tc>
          <w:tcPr>
            <w:tcW w:w="3438"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F10F8">
              <w:rPr>
                <w:rFonts w:ascii="Times New Roman" w:hAnsi="Times New Roman"/>
                <w:sz w:val="24"/>
              </w:rPr>
              <w:t>Financial institution consumers</w:t>
            </w:r>
          </w:p>
        </w:tc>
        <w:tc>
          <w:tcPr>
            <w:tcW w:w="1440"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500</w:t>
            </w:r>
          </w:p>
        </w:tc>
        <w:tc>
          <w:tcPr>
            <w:tcW w:w="1242"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4</w:t>
            </w:r>
          </w:p>
        </w:tc>
        <w:tc>
          <w:tcPr>
            <w:tcW w:w="1506"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 hours</w:t>
            </w:r>
          </w:p>
        </w:tc>
        <w:tc>
          <w:tcPr>
            <w:tcW w:w="1507"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w:t>
            </w:r>
            <w:r w:rsidR="008F0D57" w:rsidRPr="001F10F8">
              <w:rPr>
                <w:rFonts w:ascii="Times New Roman" w:hAnsi="Times New Roman"/>
                <w:sz w:val="24"/>
              </w:rPr>
              <w:t>,</w:t>
            </w:r>
            <w:r w:rsidRPr="001F10F8">
              <w:rPr>
                <w:rFonts w:ascii="Times New Roman" w:hAnsi="Times New Roman"/>
                <w:sz w:val="24"/>
              </w:rPr>
              <w:t>000</w:t>
            </w:r>
          </w:p>
        </w:tc>
      </w:tr>
      <w:tr w:rsidR="007827D6" w:rsidRPr="001F10F8" w:rsidTr="00FF7A62">
        <w:trPr>
          <w:trHeight w:val="138"/>
        </w:trPr>
        <w:tc>
          <w:tcPr>
            <w:tcW w:w="3438" w:type="dxa"/>
            <w:vAlign w:val="bottom"/>
          </w:tcPr>
          <w:p w:rsidR="007827D6" w:rsidRPr="001F10F8" w:rsidRDefault="007827D6"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F10F8">
              <w:rPr>
                <w:rFonts w:ascii="Times New Roman" w:hAnsi="Times New Roman"/>
                <w:sz w:val="24"/>
              </w:rPr>
              <w:t>Qualitative studies</w:t>
            </w:r>
          </w:p>
        </w:tc>
        <w:tc>
          <w:tcPr>
            <w:tcW w:w="1440" w:type="dxa"/>
            <w:vAlign w:val="bottom"/>
          </w:tcPr>
          <w:p w:rsidR="007827D6" w:rsidRPr="001F10F8" w:rsidRDefault="00973108"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100</w:t>
            </w:r>
          </w:p>
        </w:tc>
        <w:tc>
          <w:tcPr>
            <w:tcW w:w="1242" w:type="dxa"/>
            <w:vAlign w:val="bottom"/>
          </w:tcPr>
          <w:p w:rsidR="007827D6" w:rsidRPr="001F10F8" w:rsidRDefault="00C11571"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4</w:t>
            </w:r>
          </w:p>
        </w:tc>
        <w:tc>
          <w:tcPr>
            <w:tcW w:w="1506" w:type="dxa"/>
            <w:vAlign w:val="bottom"/>
          </w:tcPr>
          <w:p w:rsidR="007827D6"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1.5 hours</w:t>
            </w:r>
          </w:p>
        </w:tc>
        <w:tc>
          <w:tcPr>
            <w:tcW w:w="1507" w:type="dxa"/>
            <w:vAlign w:val="bottom"/>
          </w:tcPr>
          <w:p w:rsidR="00973108" w:rsidRPr="001F10F8" w:rsidRDefault="00C11571"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u w:val="single"/>
              </w:rPr>
            </w:pPr>
            <w:r w:rsidRPr="001F10F8">
              <w:rPr>
                <w:rFonts w:ascii="Times New Roman" w:hAnsi="Times New Roman"/>
                <w:sz w:val="24"/>
                <w:u w:val="single"/>
              </w:rPr>
              <w:t>600</w:t>
            </w:r>
          </w:p>
        </w:tc>
      </w:tr>
      <w:tr w:rsidR="001275A2" w:rsidRPr="001F10F8" w:rsidTr="00FF7A62">
        <w:trPr>
          <w:trHeight w:val="165"/>
        </w:trPr>
        <w:tc>
          <w:tcPr>
            <w:tcW w:w="3438"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tc>
        <w:tc>
          <w:tcPr>
            <w:tcW w:w="1440"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5,600</w:t>
            </w:r>
          </w:p>
        </w:tc>
      </w:tr>
      <w:tr w:rsidR="00317B85" w:rsidRPr="001F10F8" w:rsidTr="00FF7A62">
        <w:trPr>
          <w:trHeight w:val="147"/>
        </w:trPr>
        <w:tc>
          <w:tcPr>
            <w:tcW w:w="3438" w:type="dxa"/>
            <w:vAlign w:val="bottom"/>
          </w:tcPr>
          <w:p w:rsidR="00317B85" w:rsidRPr="001F10F8" w:rsidRDefault="007827D6"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1F10F8">
              <w:rPr>
                <w:rFonts w:ascii="Times New Roman" w:hAnsi="Times New Roman"/>
                <w:i/>
                <w:sz w:val="24"/>
              </w:rPr>
              <w:t>Financial institution</w:t>
            </w:r>
            <w:r w:rsidR="00754245" w:rsidRPr="001F10F8">
              <w:rPr>
                <w:rFonts w:ascii="Times New Roman" w:hAnsi="Times New Roman"/>
                <w:i/>
                <w:sz w:val="24"/>
              </w:rPr>
              <w:t xml:space="preserve"> </w:t>
            </w:r>
            <w:r w:rsidR="009A6023" w:rsidRPr="001F10F8">
              <w:rPr>
                <w:rFonts w:ascii="Times New Roman" w:hAnsi="Times New Roman"/>
                <w:i/>
                <w:sz w:val="24"/>
              </w:rPr>
              <w:t>study</w:t>
            </w:r>
            <w:r w:rsidR="00FD2982" w:rsidRPr="001F10F8">
              <w:rPr>
                <w:rFonts w:ascii="Times New Roman" w:hAnsi="Times New Roman"/>
                <w:i/>
                <w:sz w:val="24"/>
              </w:rPr>
              <w:t>:</w:t>
            </w:r>
          </w:p>
        </w:tc>
        <w:tc>
          <w:tcPr>
            <w:tcW w:w="1440"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317B85" w:rsidRPr="001F10F8" w:rsidRDefault="00317B8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u w:val="single"/>
              </w:rPr>
            </w:pPr>
          </w:p>
        </w:tc>
      </w:tr>
      <w:tr w:rsidR="00DF77A7" w:rsidRPr="001F10F8" w:rsidTr="00FF7A62">
        <w:trPr>
          <w:trHeight w:val="65"/>
        </w:trPr>
        <w:tc>
          <w:tcPr>
            <w:tcW w:w="3438" w:type="dxa"/>
            <w:vAlign w:val="bottom"/>
          </w:tcPr>
          <w:p w:rsidR="00DF77A7" w:rsidRPr="001F10F8" w:rsidDel="007827D6"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F10F8">
              <w:rPr>
                <w:rFonts w:ascii="Times New Roman" w:hAnsi="Times New Roman"/>
                <w:sz w:val="24"/>
              </w:rPr>
              <w:t>Financial institution staff</w:t>
            </w:r>
          </w:p>
        </w:tc>
        <w:tc>
          <w:tcPr>
            <w:tcW w:w="1440"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25</w:t>
            </w:r>
          </w:p>
        </w:tc>
        <w:tc>
          <w:tcPr>
            <w:tcW w:w="1242"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4</w:t>
            </w:r>
          </w:p>
        </w:tc>
        <w:tc>
          <w:tcPr>
            <w:tcW w:w="1506"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1.5 hours</w:t>
            </w:r>
          </w:p>
        </w:tc>
        <w:tc>
          <w:tcPr>
            <w:tcW w:w="1507"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u w:val="single"/>
              </w:rPr>
            </w:pPr>
            <w:r w:rsidRPr="001F10F8">
              <w:rPr>
                <w:rFonts w:ascii="Times New Roman" w:hAnsi="Times New Roman"/>
                <w:sz w:val="24"/>
                <w:u w:val="single"/>
              </w:rPr>
              <w:t>150</w:t>
            </w:r>
          </w:p>
        </w:tc>
      </w:tr>
      <w:tr w:rsidR="001275A2" w:rsidRPr="001F10F8" w:rsidTr="00FF7A62">
        <w:trPr>
          <w:trHeight w:val="102"/>
        </w:trPr>
        <w:tc>
          <w:tcPr>
            <w:tcW w:w="3438"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tc>
        <w:tc>
          <w:tcPr>
            <w:tcW w:w="1440"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150</w:t>
            </w:r>
          </w:p>
        </w:tc>
      </w:tr>
      <w:tr w:rsidR="00655505" w:rsidRPr="001F10F8" w:rsidTr="00FF7A62">
        <w:trPr>
          <w:trHeight w:val="183"/>
        </w:trPr>
        <w:tc>
          <w:tcPr>
            <w:tcW w:w="3438" w:type="dxa"/>
            <w:vAlign w:val="bottom"/>
          </w:tcPr>
          <w:p w:rsidR="00655505" w:rsidRPr="001F10F8" w:rsidRDefault="0065550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r w:rsidRPr="001F10F8">
              <w:rPr>
                <w:rFonts w:ascii="Times New Roman" w:hAnsi="Times New Roman"/>
                <w:i/>
                <w:sz w:val="24"/>
              </w:rPr>
              <w:t>Stakeholder studies</w:t>
            </w:r>
            <w:r w:rsidR="00FD2982" w:rsidRPr="001F10F8">
              <w:rPr>
                <w:rFonts w:ascii="Times New Roman" w:hAnsi="Times New Roman"/>
                <w:i/>
                <w:sz w:val="24"/>
              </w:rPr>
              <w:t>:</w:t>
            </w:r>
          </w:p>
        </w:tc>
        <w:tc>
          <w:tcPr>
            <w:tcW w:w="1440" w:type="dxa"/>
            <w:vAlign w:val="bottom"/>
          </w:tcPr>
          <w:p w:rsidR="00655505" w:rsidRPr="001F10F8" w:rsidRDefault="0065550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655505" w:rsidRPr="001F10F8" w:rsidRDefault="0065550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655505" w:rsidRPr="001F10F8" w:rsidRDefault="0065550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655505" w:rsidRPr="001F10F8" w:rsidRDefault="00655505"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r>
      <w:tr w:rsidR="00DF77A7" w:rsidRPr="001F10F8" w:rsidTr="00FF7A62">
        <w:trPr>
          <w:trHeight w:val="228"/>
        </w:trPr>
        <w:tc>
          <w:tcPr>
            <w:tcW w:w="3438"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F10F8">
              <w:rPr>
                <w:rFonts w:ascii="Times New Roman" w:hAnsi="Times New Roman"/>
                <w:sz w:val="24"/>
              </w:rPr>
              <w:t>Stakeholder clientele</w:t>
            </w:r>
          </w:p>
        </w:tc>
        <w:tc>
          <w:tcPr>
            <w:tcW w:w="1440"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500</w:t>
            </w:r>
          </w:p>
        </w:tc>
        <w:tc>
          <w:tcPr>
            <w:tcW w:w="1242"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2</w:t>
            </w:r>
          </w:p>
        </w:tc>
        <w:tc>
          <w:tcPr>
            <w:tcW w:w="1506"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 hours</w:t>
            </w:r>
          </w:p>
        </w:tc>
        <w:tc>
          <w:tcPr>
            <w:tcW w:w="1507"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500</w:t>
            </w:r>
          </w:p>
        </w:tc>
      </w:tr>
      <w:tr w:rsidR="00DF77A7" w:rsidRPr="001F10F8" w:rsidTr="00FF7A62">
        <w:trPr>
          <w:trHeight w:val="120"/>
        </w:trPr>
        <w:tc>
          <w:tcPr>
            <w:tcW w:w="3438"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1F10F8">
              <w:rPr>
                <w:rFonts w:ascii="Times New Roman" w:hAnsi="Times New Roman"/>
                <w:sz w:val="24"/>
              </w:rPr>
              <w:t>Stakeholder staff</w:t>
            </w:r>
          </w:p>
        </w:tc>
        <w:tc>
          <w:tcPr>
            <w:tcW w:w="1440"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100</w:t>
            </w:r>
          </w:p>
        </w:tc>
        <w:tc>
          <w:tcPr>
            <w:tcW w:w="1242"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2</w:t>
            </w:r>
          </w:p>
        </w:tc>
        <w:tc>
          <w:tcPr>
            <w:tcW w:w="1506"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1.5 hours</w:t>
            </w:r>
          </w:p>
        </w:tc>
        <w:tc>
          <w:tcPr>
            <w:tcW w:w="1507" w:type="dxa"/>
            <w:vAlign w:val="bottom"/>
          </w:tcPr>
          <w:p w:rsidR="00DF77A7" w:rsidRPr="001F10F8" w:rsidRDefault="00DF77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u w:val="single"/>
              </w:rPr>
            </w:pPr>
            <w:r w:rsidRPr="001F10F8">
              <w:rPr>
                <w:rFonts w:ascii="Times New Roman" w:hAnsi="Times New Roman"/>
                <w:sz w:val="24"/>
                <w:u w:val="single"/>
              </w:rPr>
              <w:t>300</w:t>
            </w:r>
          </w:p>
        </w:tc>
      </w:tr>
      <w:tr w:rsidR="001275A2" w:rsidRPr="001F10F8" w:rsidTr="00FF7A62">
        <w:trPr>
          <w:trHeight w:val="183"/>
        </w:trPr>
        <w:tc>
          <w:tcPr>
            <w:tcW w:w="3438"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4"/>
              </w:rPr>
            </w:pPr>
          </w:p>
        </w:tc>
        <w:tc>
          <w:tcPr>
            <w:tcW w:w="1440"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1275A2" w:rsidRPr="001F10F8" w:rsidRDefault="001275A2"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800</w:t>
            </w:r>
          </w:p>
        </w:tc>
      </w:tr>
      <w:tr w:rsidR="00E7624E" w:rsidRPr="001F10F8" w:rsidTr="00FF7A62">
        <w:trPr>
          <w:trHeight w:val="183"/>
        </w:trPr>
        <w:tc>
          <w:tcPr>
            <w:tcW w:w="3438" w:type="dxa"/>
            <w:vAlign w:val="bottom"/>
          </w:tcPr>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i/>
                <w:sz w:val="24"/>
              </w:rPr>
            </w:pPr>
            <w:r w:rsidRPr="001F10F8">
              <w:rPr>
                <w:rFonts w:ascii="Times New Roman" w:hAnsi="Times New Roman"/>
                <w:i/>
                <w:sz w:val="24"/>
              </w:rPr>
              <w:t>Total</w:t>
            </w:r>
          </w:p>
        </w:tc>
        <w:tc>
          <w:tcPr>
            <w:tcW w:w="1440" w:type="dxa"/>
            <w:vAlign w:val="bottom"/>
          </w:tcPr>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242" w:type="dxa"/>
            <w:vAlign w:val="bottom"/>
          </w:tcPr>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6" w:type="dxa"/>
            <w:vAlign w:val="bottom"/>
          </w:tcPr>
          <w:p w:rsidR="00E7624E" w:rsidRPr="001F10F8" w:rsidRDefault="00E7624E"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tc>
        <w:tc>
          <w:tcPr>
            <w:tcW w:w="1507" w:type="dxa"/>
            <w:vAlign w:val="bottom"/>
          </w:tcPr>
          <w:p w:rsidR="00973108" w:rsidRPr="001F10F8" w:rsidRDefault="00913EA7" w:rsidP="001F10F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1F10F8">
              <w:rPr>
                <w:rFonts w:ascii="Times New Roman" w:hAnsi="Times New Roman"/>
                <w:sz w:val="24"/>
              </w:rPr>
              <w:t>6</w:t>
            </w:r>
            <w:r w:rsidR="008F0D57" w:rsidRPr="001F10F8">
              <w:rPr>
                <w:rFonts w:ascii="Times New Roman" w:hAnsi="Times New Roman"/>
                <w:sz w:val="24"/>
              </w:rPr>
              <w:t>,</w:t>
            </w:r>
            <w:r w:rsidR="00712CA2" w:rsidRPr="001F10F8">
              <w:rPr>
                <w:rFonts w:ascii="Times New Roman" w:hAnsi="Times New Roman"/>
                <w:sz w:val="24"/>
              </w:rPr>
              <w:t>550</w:t>
            </w:r>
          </w:p>
        </w:tc>
      </w:tr>
    </w:tbl>
    <w:p w:rsidR="00E7624E" w:rsidRPr="00D60761" w:rsidRDefault="00E7624E" w:rsidP="00E7624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17B85" w:rsidRPr="00D60761" w:rsidRDefault="003455BB" w:rsidP="00E7624E">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sz w:val="24"/>
        </w:rPr>
      </w:pPr>
      <w:r>
        <w:rPr>
          <w:rFonts w:ascii="Times New Roman" w:hAnsi="Times New Roman"/>
          <w:sz w:val="24"/>
        </w:rPr>
        <w:t>T</w:t>
      </w:r>
      <w:r w:rsidR="00FF0616" w:rsidRPr="00D60761">
        <w:rPr>
          <w:rFonts w:ascii="Times New Roman" w:hAnsi="Times New Roman"/>
          <w:sz w:val="24"/>
        </w:rPr>
        <w:t xml:space="preserve">he estimated cost </w:t>
      </w:r>
      <w:r>
        <w:rPr>
          <w:rFonts w:ascii="Times New Roman" w:hAnsi="Times New Roman"/>
          <w:sz w:val="24"/>
        </w:rPr>
        <w:t xml:space="preserve">for survey participation </w:t>
      </w:r>
      <w:r w:rsidR="00FF0616" w:rsidRPr="00D60761">
        <w:rPr>
          <w:rFonts w:ascii="Times New Roman" w:hAnsi="Times New Roman"/>
          <w:sz w:val="24"/>
        </w:rPr>
        <w:t>to consumers is $</w:t>
      </w:r>
      <w:r w:rsidR="0090557E">
        <w:rPr>
          <w:rFonts w:ascii="Times New Roman" w:hAnsi="Times New Roman"/>
          <w:sz w:val="24"/>
        </w:rPr>
        <w:t>128</w:t>
      </w:r>
      <w:r w:rsidR="002D7AAF" w:rsidRPr="00D60761">
        <w:rPr>
          <w:rFonts w:ascii="Times New Roman" w:hAnsi="Times New Roman"/>
          <w:sz w:val="24"/>
        </w:rPr>
        <w:t>,</w:t>
      </w:r>
      <w:r w:rsidR="0090557E">
        <w:rPr>
          <w:rFonts w:ascii="Times New Roman" w:hAnsi="Times New Roman"/>
          <w:sz w:val="24"/>
        </w:rPr>
        <w:t>800</w:t>
      </w:r>
      <w:r>
        <w:rPr>
          <w:rFonts w:ascii="Times New Roman" w:hAnsi="Times New Roman"/>
          <w:sz w:val="24"/>
        </w:rPr>
        <w:t xml:space="preserve"> and to the industry and stakeholders is </w:t>
      </w:r>
      <w:r w:rsidR="00FF0616" w:rsidRPr="00D60761">
        <w:rPr>
          <w:rFonts w:ascii="Times New Roman" w:hAnsi="Times New Roman"/>
          <w:sz w:val="24"/>
        </w:rPr>
        <w:t>$</w:t>
      </w:r>
      <w:r w:rsidR="002D7AAF" w:rsidRPr="00D60761">
        <w:rPr>
          <w:rFonts w:ascii="Times New Roman" w:hAnsi="Times New Roman"/>
          <w:sz w:val="24"/>
        </w:rPr>
        <w:t>4</w:t>
      </w:r>
      <w:r w:rsidR="00910111">
        <w:rPr>
          <w:rFonts w:ascii="Times New Roman" w:hAnsi="Times New Roman"/>
          <w:sz w:val="24"/>
        </w:rPr>
        <w:t>2</w:t>
      </w:r>
      <w:r w:rsidR="002D7AAF" w:rsidRPr="00D60761">
        <w:rPr>
          <w:rFonts w:ascii="Times New Roman" w:hAnsi="Times New Roman"/>
          <w:sz w:val="24"/>
        </w:rPr>
        <w:t>,</w:t>
      </w:r>
      <w:r w:rsidR="00910111">
        <w:rPr>
          <w:rFonts w:ascii="Times New Roman" w:hAnsi="Times New Roman"/>
          <w:sz w:val="24"/>
        </w:rPr>
        <w:t>608</w:t>
      </w:r>
      <w:r w:rsidR="00FF0616" w:rsidRPr="00D60761">
        <w:rPr>
          <w:rFonts w:ascii="Times New Roman" w:hAnsi="Times New Roman"/>
          <w:sz w:val="24"/>
        </w:rPr>
        <w:t xml:space="preserve">.  The total cost to </w:t>
      </w:r>
      <w:r>
        <w:rPr>
          <w:rFonts w:ascii="Times New Roman" w:hAnsi="Times New Roman"/>
          <w:sz w:val="24"/>
        </w:rPr>
        <w:t>respondents</w:t>
      </w:r>
      <w:r w:rsidR="00FF0616" w:rsidRPr="00D60761">
        <w:rPr>
          <w:rFonts w:ascii="Times New Roman" w:hAnsi="Times New Roman"/>
          <w:sz w:val="24"/>
        </w:rPr>
        <w:t xml:space="preserve"> is estimated to be $</w:t>
      </w:r>
      <w:r w:rsidR="00910111">
        <w:rPr>
          <w:rFonts w:ascii="Times New Roman" w:hAnsi="Times New Roman"/>
          <w:sz w:val="24"/>
        </w:rPr>
        <w:t>1</w:t>
      </w:r>
      <w:r w:rsidR="0090557E">
        <w:rPr>
          <w:rFonts w:ascii="Times New Roman" w:hAnsi="Times New Roman"/>
          <w:sz w:val="24"/>
        </w:rPr>
        <w:t>71</w:t>
      </w:r>
      <w:r w:rsidR="002D7AAF" w:rsidRPr="00D60761">
        <w:rPr>
          <w:rFonts w:ascii="Times New Roman" w:hAnsi="Times New Roman"/>
          <w:sz w:val="24"/>
        </w:rPr>
        <w:t>,</w:t>
      </w:r>
      <w:r w:rsidR="0090557E">
        <w:rPr>
          <w:rFonts w:ascii="Times New Roman" w:hAnsi="Times New Roman"/>
          <w:sz w:val="24"/>
        </w:rPr>
        <w:t>408</w:t>
      </w:r>
      <w:r w:rsidR="00FF0616" w:rsidRPr="00D60761">
        <w:rPr>
          <w:rFonts w:ascii="Times New Roman" w:hAnsi="Times New Roman"/>
          <w:sz w:val="24"/>
        </w:rPr>
        <w:t>.</w:t>
      </w:r>
      <w:r w:rsidR="00FF0616" w:rsidRPr="00D60761">
        <w:rPr>
          <w:rStyle w:val="FootnoteReference"/>
          <w:rFonts w:ascii="Times New Roman" w:hAnsi="Times New Roman"/>
          <w:sz w:val="24"/>
          <w:vertAlign w:val="superscript"/>
        </w:rPr>
        <w:footnoteReference w:id="3"/>
      </w:r>
    </w:p>
    <w:p w:rsidR="00447C0C" w:rsidRPr="00D60761" w:rsidRDefault="00447C0C" w:rsidP="007F1A6A">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p>
    <w:p w:rsidR="007F1A6A" w:rsidRPr="00D60761" w:rsidRDefault="00E7624E" w:rsidP="007F1A6A">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r w:rsidRPr="00D60761">
        <w:rPr>
          <w:rFonts w:ascii="Times New Roman" w:hAnsi="Times New Roman"/>
          <w:b/>
          <w:sz w:val="24"/>
        </w:rPr>
        <w:t>Estimate of Cost to the Federal Reserve System</w:t>
      </w:r>
    </w:p>
    <w:p w:rsidR="007F1A6A" w:rsidRPr="00D60761" w:rsidRDefault="007F1A6A" w:rsidP="007F1A6A">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p>
    <w:p w:rsidR="007F1A6A" w:rsidRPr="00D60761" w:rsidRDefault="007F1A6A" w:rsidP="00694D11">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r w:rsidRPr="00D60761">
        <w:rPr>
          <w:rFonts w:ascii="Times New Roman" w:hAnsi="Times New Roman"/>
          <w:b/>
          <w:sz w:val="24"/>
        </w:rPr>
        <w:tab/>
      </w:r>
      <w:r w:rsidR="001259CA" w:rsidRPr="00D60761">
        <w:rPr>
          <w:rFonts w:ascii="Times New Roman" w:hAnsi="Times New Roman"/>
          <w:sz w:val="24"/>
        </w:rPr>
        <w:t>The Federal Reserve incur</w:t>
      </w:r>
      <w:r w:rsidR="00C1180B" w:rsidRPr="00D60761">
        <w:rPr>
          <w:rFonts w:ascii="Times New Roman" w:hAnsi="Times New Roman"/>
          <w:sz w:val="24"/>
        </w:rPr>
        <w:t>s</w:t>
      </w:r>
      <w:r w:rsidR="001259CA" w:rsidRPr="00D60761">
        <w:rPr>
          <w:rFonts w:ascii="Times New Roman" w:hAnsi="Times New Roman"/>
          <w:sz w:val="24"/>
        </w:rPr>
        <w:t xml:space="preserve"> costs in terms of staff time for development and analysis, contractual services for a firm to implement the data collection portion of the study, and </w:t>
      </w:r>
      <w:r w:rsidR="001259CA" w:rsidRPr="00D60761">
        <w:rPr>
          <w:rFonts w:ascii="Times New Roman" w:hAnsi="Times New Roman"/>
          <w:color w:val="000000"/>
          <w:sz w:val="24"/>
        </w:rPr>
        <w:t>any payment or gift made to respondents for the sole purpose of increasing response rates</w:t>
      </w:r>
      <w:r w:rsidR="001259CA" w:rsidRPr="00D60761">
        <w:rPr>
          <w:rFonts w:ascii="Times New Roman" w:hAnsi="Times New Roman"/>
          <w:sz w:val="24"/>
        </w:rPr>
        <w:t>. The total cost to the Federal Reserve System for this information collection over the three-year period is estimated to be approximately</w:t>
      </w:r>
      <w:r w:rsidR="0072643E" w:rsidRPr="00D60761">
        <w:rPr>
          <w:rFonts w:ascii="Times New Roman" w:hAnsi="Times New Roman"/>
          <w:sz w:val="24"/>
        </w:rPr>
        <w:t xml:space="preserve"> $1.12 million</w:t>
      </w:r>
      <w:r w:rsidR="001259CA" w:rsidRPr="00D60761">
        <w:rPr>
          <w:rFonts w:ascii="Times New Roman" w:hAnsi="Times New Roman"/>
          <w:color w:val="000000"/>
          <w:sz w:val="24"/>
        </w:rPr>
        <w:t>, based on estimate</w:t>
      </w:r>
      <w:r w:rsidR="0072643E" w:rsidRPr="00D60761">
        <w:rPr>
          <w:rFonts w:ascii="Times New Roman" w:hAnsi="Times New Roman"/>
          <w:color w:val="000000"/>
          <w:sz w:val="24"/>
        </w:rPr>
        <w:t>s</w:t>
      </w:r>
      <w:r w:rsidR="001259CA" w:rsidRPr="00D60761">
        <w:rPr>
          <w:rFonts w:ascii="Times New Roman" w:hAnsi="Times New Roman"/>
          <w:color w:val="000000"/>
          <w:sz w:val="24"/>
        </w:rPr>
        <w:t xml:space="preserve"> </w:t>
      </w:r>
      <w:r w:rsidR="0072643E" w:rsidRPr="00D60761">
        <w:rPr>
          <w:rFonts w:ascii="Times New Roman" w:hAnsi="Times New Roman"/>
          <w:color w:val="000000"/>
          <w:sz w:val="24"/>
        </w:rPr>
        <w:t>from previous studies</w:t>
      </w:r>
      <w:r w:rsidR="001259CA" w:rsidRPr="00D60761">
        <w:rPr>
          <w:rFonts w:ascii="Times New Roman" w:hAnsi="Times New Roman"/>
          <w:color w:val="000000"/>
          <w:sz w:val="24"/>
        </w:rPr>
        <w:t>.</w:t>
      </w:r>
      <w:r w:rsidR="00447C0C" w:rsidRPr="00D60761">
        <w:rPr>
          <w:rStyle w:val="FootnoteReference"/>
          <w:rFonts w:ascii="Times New Roman" w:hAnsi="Times New Roman"/>
          <w:color w:val="000000"/>
          <w:sz w:val="24"/>
          <w:vertAlign w:val="superscript"/>
        </w:rPr>
        <w:footnoteReference w:id="4"/>
      </w:r>
      <w:r w:rsidR="00537047" w:rsidRPr="00D60761">
        <w:rPr>
          <w:rFonts w:ascii="Times New Roman" w:hAnsi="Times New Roman"/>
          <w:sz w:val="24"/>
        </w:rPr>
        <w:tab/>
        <w:t xml:space="preserve">     </w:t>
      </w:r>
    </w:p>
    <w:p w:rsidR="008D37EB" w:rsidRDefault="008D37EB" w:rsidP="008D37EB">
      <w:pPr>
        <w:widowControl/>
        <w:tabs>
          <w:tab w:val="left" w:pos="720"/>
          <w:tab w:val="left" w:pos="1440"/>
        </w:tabs>
        <w:rPr>
          <w:rFonts w:ascii="Times New Roman" w:hAnsi="Times New Roman"/>
          <w:b/>
          <w:sz w:val="24"/>
        </w:rPr>
      </w:pPr>
    </w:p>
    <w:p w:rsidR="008D37EB" w:rsidRPr="00D60761" w:rsidRDefault="00BC6BB1" w:rsidP="00FA6B56">
      <w:pPr>
        <w:widowControl/>
        <w:autoSpaceDE/>
        <w:autoSpaceDN/>
        <w:adjustRightInd/>
        <w:rPr>
          <w:rFonts w:ascii="Times New Roman" w:hAnsi="Times New Roman"/>
          <w:sz w:val="24"/>
        </w:rPr>
      </w:pPr>
      <w:r>
        <w:rPr>
          <w:rFonts w:ascii="Times New Roman" w:hAnsi="Times New Roman"/>
          <w:b/>
          <w:sz w:val="24"/>
        </w:rPr>
        <w:br w:type="page"/>
      </w:r>
      <w:r w:rsidR="008D37EB" w:rsidRPr="00D60761">
        <w:rPr>
          <w:rFonts w:ascii="Times New Roman" w:hAnsi="Times New Roman"/>
          <w:b/>
          <w:sz w:val="24"/>
        </w:rPr>
        <w:lastRenderedPageBreak/>
        <w:t>Sensitive Questions</w:t>
      </w:r>
    </w:p>
    <w:p w:rsidR="008D37EB" w:rsidRPr="00D60761" w:rsidRDefault="008D37EB" w:rsidP="008D37EB">
      <w:pPr>
        <w:widowControl/>
        <w:tabs>
          <w:tab w:val="left" w:pos="720"/>
          <w:tab w:val="left" w:pos="1440"/>
        </w:tabs>
        <w:rPr>
          <w:rFonts w:ascii="Times New Roman" w:hAnsi="Times New Roman"/>
          <w:sz w:val="24"/>
        </w:rPr>
      </w:pPr>
    </w:p>
    <w:p w:rsidR="00FE3ED0" w:rsidRPr="00D60761" w:rsidRDefault="008D37EB" w:rsidP="00162A2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Times New Roman" w:hAnsi="Times New Roman"/>
          <w:sz w:val="24"/>
        </w:rPr>
      </w:pPr>
      <w:r w:rsidRPr="00D60761">
        <w:rPr>
          <w:rFonts w:ascii="Times New Roman" w:hAnsi="Times New Roman"/>
          <w:sz w:val="24"/>
        </w:rPr>
        <w:t xml:space="preserve">     Household respondents might be asked to identify the age and gender of individual family members; information on race, if needed, would be collected under guidelines issued by the OMB. Such information might be needed in a survey in order to analyze the demographic aspects of consumer finances or businesses (particularly small businesses). </w:t>
      </w:r>
    </w:p>
    <w:sectPr w:rsidR="00FE3ED0" w:rsidRPr="00D60761" w:rsidSect="00BC6BB1">
      <w:footerReference w:type="even" r:id="rId7"/>
      <w:footerReference w:type="default" r:id="rId8"/>
      <w:headerReference w:type="first" r:id="rId9"/>
      <w:endnotePr>
        <w:numFmt w:val="decimal"/>
      </w:endnotePr>
      <w:pgSz w:w="12240" w:h="15840"/>
      <w:pgMar w:top="1440" w:right="1440" w:bottom="2250" w:left="1440" w:header="1440" w:footer="144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370" w:rsidRDefault="00FD5370">
      <w:r>
        <w:separator/>
      </w:r>
    </w:p>
  </w:endnote>
  <w:endnote w:type="continuationSeparator" w:id="0">
    <w:p w:rsidR="00FD5370" w:rsidRDefault="00FD53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ACFA D+ Bembo">
    <w:altName w:val="Bemb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BB" w:rsidRDefault="00A70743" w:rsidP="00FE3ED0">
    <w:pPr>
      <w:pStyle w:val="Footer"/>
      <w:framePr w:wrap="around" w:vAnchor="text" w:hAnchor="margin" w:xAlign="center" w:y="1"/>
      <w:rPr>
        <w:rStyle w:val="PageNumber"/>
      </w:rPr>
    </w:pPr>
    <w:r>
      <w:rPr>
        <w:rStyle w:val="PageNumber"/>
      </w:rPr>
      <w:fldChar w:fldCharType="begin"/>
    </w:r>
    <w:r w:rsidR="003455BB">
      <w:rPr>
        <w:rStyle w:val="PageNumber"/>
      </w:rPr>
      <w:instrText xml:space="preserve">PAGE  </w:instrText>
    </w:r>
    <w:r>
      <w:rPr>
        <w:rStyle w:val="PageNumber"/>
      </w:rPr>
      <w:fldChar w:fldCharType="end"/>
    </w:r>
  </w:p>
  <w:p w:rsidR="003455BB" w:rsidRDefault="003455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BB" w:rsidRDefault="00A70743" w:rsidP="00FE3ED0">
    <w:pPr>
      <w:pStyle w:val="Footer"/>
      <w:framePr w:wrap="around" w:vAnchor="text" w:hAnchor="margin" w:xAlign="center" w:y="1"/>
      <w:rPr>
        <w:rStyle w:val="PageNumber"/>
      </w:rPr>
    </w:pPr>
    <w:r>
      <w:rPr>
        <w:rStyle w:val="PageNumber"/>
      </w:rPr>
      <w:fldChar w:fldCharType="begin"/>
    </w:r>
    <w:r w:rsidR="003455BB">
      <w:rPr>
        <w:rStyle w:val="PageNumber"/>
      </w:rPr>
      <w:instrText xml:space="preserve">PAGE  </w:instrText>
    </w:r>
    <w:r>
      <w:rPr>
        <w:rStyle w:val="PageNumber"/>
      </w:rPr>
      <w:fldChar w:fldCharType="separate"/>
    </w:r>
    <w:r w:rsidR="00FA6B56">
      <w:rPr>
        <w:rStyle w:val="PageNumber"/>
        <w:noProof/>
      </w:rPr>
      <w:t>1</w:t>
    </w:r>
    <w:r>
      <w:rPr>
        <w:rStyle w:val="PageNumber"/>
      </w:rPr>
      <w:fldChar w:fldCharType="end"/>
    </w:r>
  </w:p>
  <w:p w:rsidR="003455BB" w:rsidRDefault="00345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370" w:rsidRDefault="00FD5370">
      <w:r>
        <w:separator/>
      </w:r>
    </w:p>
  </w:footnote>
  <w:footnote w:type="continuationSeparator" w:id="0">
    <w:p w:rsidR="00FD5370" w:rsidRDefault="00FD5370">
      <w:r>
        <w:continuationSeparator/>
      </w:r>
    </w:p>
  </w:footnote>
  <w:footnote w:id="1">
    <w:p w:rsidR="003455BB" w:rsidRPr="00FE463D" w:rsidRDefault="003455BB">
      <w:pPr>
        <w:pStyle w:val="FootnoteText"/>
        <w:rPr>
          <w:rFonts w:ascii="Times New Roman" w:hAnsi="Times New Roman"/>
        </w:rPr>
      </w:pPr>
      <w:r w:rsidRPr="00FE463D">
        <w:rPr>
          <w:rStyle w:val="FootnoteReference"/>
          <w:rFonts w:ascii="Times New Roman" w:hAnsi="Times New Roman"/>
          <w:vertAlign w:val="superscript"/>
        </w:rPr>
        <w:footnoteRef/>
      </w:r>
      <w:r w:rsidRPr="00FE463D">
        <w:rPr>
          <w:rFonts w:ascii="Times New Roman" w:hAnsi="Times New Roman"/>
        </w:rPr>
        <w:t xml:space="preserve"> </w:t>
      </w:r>
      <w:r w:rsidRPr="002D789E">
        <w:rPr>
          <w:rFonts w:ascii="Times New Roman" w:hAnsi="Times New Roman"/>
          <w:bCs/>
        </w:rPr>
        <w:t>Ongoing Intermittent Survey of Households (FR 3016</w:t>
      </w:r>
      <w:r w:rsidRPr="00982151">
        <w:rPr>
          <w:rFonts w:ascii="Times New Roman" w:hAnsi="Times New Roman"/>
        </w:rPr>
        <w:t>; OMB No. 7100-0150</w:t>
      </w:r>
      <w:r w:rsidRPr="002D789E">
        <w:rPr>
          <w:rFonts w:ascii="Times New Roman" w:hAnsi="Times New Roman"/>
          <w:bCs/>
        </w:rPr>
        <w:t>)</w:t>
      </w:r>
    </w:p>
  </w:footnote>
  <w:footnote w:id="2">
    <w:p w:rsidR="003455BB" w:rsidRPr="0046442D" w:rsidRDefault="003455BB" w:rsidP="00BF7497">
      <w:pPr>
        <w:pStyle w:val="FootnoteText"/>
        <w:rPr>
          <w:rFonts w:ascii="Times New Roman" w:hAnsi="Times New Roman"/>
        </w:rPr>
      </w:pPr>
      <w:r w:rsidRPr="0046442D">
        <w:rPr>
          <w:rStyle w:val="FootnoteReference"/>
          <w:rFonts w:ascii="Times New Roman" w:hAnsi="Times New Roman"/>
          <w:vertAlign w:val="superscript"/>
        </w:rPr>
        <w:footnoteRef/>
      </w:r>
      <w:r w:rsidRPr="0046442D">
        <w:rPr>
          <w:rFonts w:ascii="Times New Roman" w:hAnsi="Times New Roman"/>
          <w:vertAlign w:val="superscript"/>
        </w:rPr>
        <w:t xml:space="preserve"> </w:t>
      </w:r>
      <w:r>
        <w:rPr>
          <w:rFonts w:ascii="Times New Roman" w:hAnsi="Times New Roman"/>
        </w:rPr>
        <w:t>F</w:t>
      </w:r>
      <w:r w:rsidRPr="0046442D">
        <w:rPr>
          <w:rFonts w:ascii="Times New Roman" w:hAnsi="Times New Roman"/>
        </w:rPr>
        <w:t xml:space="preserve">irms used by the Federal Reserve to conduct past surveys include the </w:t>
      </w:r>
      <w:smartTag w:uri="urn:schemas-microsoft-com:office:smarttags" w:element="place">
        <w:smartTag w:uri="urn:schemas-microsoft-com:office:smarttags" w:element="PlaceType">
          <w:r w:rsidRPr="0046442D">
            <w:rPr>
              <w:rFonts w:ascii="Times New Roman" w:hAnsi="Times New Roman"/>
            </w:rPr>
            <w:t>University</w:t>
          </w:r>
        </w:smartTag>
        <w:r w:rsidRPr="0046442D">
          <w:rPr>
            <w:rFonts w:ascii="Times New Roman" w:hAnsi="Times New Roman"/>
          </w:rPr>
          <w:t xml:space="preserve"> of </w:t>
        </w:r>
        <w:smartTag w:uri="urn:schemas-microsoft-com:office:smarttags" w:element="PlaceName">
          <w:r w:rsidRPr="0046442D">
            <w:rPr>
              <w:rFonts w:ascii="Times New Roman" w:hAnsi="Times New Roman"/>
            </w:rPr>
            <w:t>Michigan</w:t>
          </w:r>
        </w:smartTag>
      </w:smartTag>
      <w:r w:rsidRPr="0046442D">
        <w:rPr>
          <w:rFonts w:ascii="Times New Roman" w:hAnsi="Times New Roman"/>
        </w:rPr>
        <w:t>’s Survey Research Center (SRC)</w:t>
      </w:r>
      <w:r>
        <w:rPr>
          <w:rFonts w:ascii="Times New Roman" w:hAnsi="Times New Roman"/>
        </w:rPr>
        <w:t xml:space="preserve">, </w:t>
      </w:r>
      <w:r w:rsidRPr="0046442D">
        <w:rPr>
          <w:rFonts w:ascii="Times New Roman" w:hAnsi="Times New Roman"/>
        </w:rPr>
        <w:t xml:space="preserve">NORC (a social science and survey research organization at the </w:t>
      </w:r>
      <w:smartTag w:uri="urn:schemas-microsoft-com:office:smarttags" w:element="place">
        <w:smartTag w:uri="urn:schemas-microsoft-com:office:smarttags" w:element="PlaceType">
          <w:r w:rsidRPr="0046442D">
            <w:rPr>
              <w:rFonts w:ascii="Times New Roman" w:hAnsi="Times New Roman"/>
            </w:rPr>
            <w:t>University</w:t>
          </w:r>
        </w:smartTag>
        <w:r w:rsidRPr="0046442D">
          <w:rPr>
            <w:rFonts w:ascii="Times New Roman" w:hAnsi="Times New Roman"/>
          </w:rPr>
          <w:t xml:space="preserve"> of </w:t>
        </w:r>
        <w:smartTag w:uri="urn:schemas-microsoft-com:office:smarttags" w:element="PlaceName">
          <w:r w:rsidRPr="0046442D">
            <w:rPr>
              <w:rFonts w:ascii="Times New Roman" w:hAnsi="Times New Roman"/>
            </w:rPr>
            <w:t>Chicago</w:t>
          </w:r>
        </w:smartTag>
      </w:smartTag>
      <w:r w:rsidRPr="0046442D">
        <w:rPr>
          <w:rFonts w:ascii="Times New Roman" w:hAnsi="Times New Roman"/>
        </w:rPr>
        <w:t>)</w:t>
      </w:r>
      <w:r>
        <w:rPr>
          <w:rFonts w:ascii="Times New Roman" w:hAnsi="Times New Roman"/>
        </w:rPr>
        <w:t>,</w:t>
      </w:r>
      <w:r w:rsidRPr="00BF7497">
        <w:rPr>
          <w:rFonts w:ascii="Times New Roman" w:hAnsi="Times New Roman"/>
        </w:rPr>
        <w:t xml:space="preserve"> </w:t>
      </w:r>
      <w:proofErr w:type="spellStart"/>
      <w:r>
        <w:rPr>
          <w:rFonts w:ascii="Times New Roman" w:hAnsi="Times New Roman"/>
        </w:rPr>
        <w:t>MacroInternational</w:t>
      </w:r>
      <w:proofErr w:type="spellEnd"/>
      <w:r>
        <w:rPr>
          <w:rFonts w:ascii="Times New Roman" w:hAnsi="Times New Roman"/>
        </w:rPr>
        <w:t>, Inc. in Calvert, MD, and Rockbridge and Associates in Great Falls, VA</w:t>
      </w:r>
      <w:r w:rsidRPr="0046442D">
        <w:rPr>
          <w:rFonts w:ascii="Times New Roman" w:hAnsi="Times New Roman"/>
        </w:rPr>
        <w:t>.</w:t>
      </w:r>
    </w:p>
  </w:footnote>
  <w:footnote w:id="3">
    <w:p w:rsidR="003455BB" w:rsidRPr="0090557E" w:rsidRDefault="003455BB" w:rsidP="0090557E">
      <w:pPr>
        <w:pStyle w:val="FootnoteText"/>
        <w:rPr>
          <w:rFonts w:ascii="Times New Roman" w:hAnsi="Times New Roman"/>
        </w:rPr>
      </w:pPr>
      <w:r w:rsidRPr="0090557E">
        <w:rPr>
          <w:rStyle w:val="FootnoteReference"/>
          <w:rFonts w:ascii="Times New Roman" w:hAnsi="Times New Roman"/>
          <w:vertAlign w:val="superscript"/>
        </w:rPr>
        <w:footnoteRef/>
      </w:r>
      <w:r w:rsidRPr="0090557E">
        <w:rPr>
          <w:rFonts w:ascii="Times New Roman" w:hAnsi="Times New Roman"/>
        </w:rPr>
        <w:t xml:space="preserve">  </w:t>
      </w:r>
      <w:r w:rsidR="0090557E" w:rsidRPr="0090557E">
        <w:rPr>
          <w:rFonts w:ascii="Times New Roman" w:hAnsi="Times New Roman"/>
        </w:rPr>
        <w:t xml:space="preserve">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t>
      </w:r>
      <w:hyperlink r:id="rId1" w:history="1">
        <w:r w:rsidR="0090557E" w:rsidRPr="00FC0626">
          <w:rPr>
            <w:rStyle w:val="Hyperlink"/>
            <w:rFonts w:ascii="Times New Roman" w:hAnsi="Times New Roman"/>
          </w:rPr>
          <w:t>www.bls.gov/news.release/ocwage.nr0.htm</w:t>
        </w:r>
      </w:hyperlink>
      <w:r w:rsidR="0090557E">
        <w:rPr>
          <w:rFonts w:ascii="Times New Roman" w:hAnsi="Times New Roman"/>
        </w:rPr>
        <w:t xml:space="preserve">  </w:t>
      </w:r>
      <w:r w:rsidR="0090557E" w:rsidRPr="0090557E">
        <w:rPr>
          <w:rFonts w:ascii="Times New Roman" w:hAnsi="Times New Roman"/>
        </w:rPr>
        <w:t xml:space="preserve">Occupations are defined using the BLS Occupational Classification System,  </w:t>
      </w:r>
      <w:hyperlink r:id="rId2" w:history="1">
        <w:r w:rsidR="0090557E" w:rsidRPr="00FC0626">
          <w:rPr>
            <w:rStyle w:val="Hyperlink"/>
            <w:rFonts w:ascii="Times New Roman" w:hAnsi="Times New Roman"/>
          </w:rPr>
          <w:t>www.bls.gov/soc/</w:t>
        </w:r>
      </w:hyperlink>
      <w:r w:rsidR="0090557E">
        <w:rPr>
          <w:rFonts w:ascii="Times New Roman" w:hAnsi="Times New Roman"/>
        </w:rPr>
        <w:t xml:space="preserve">  </w:t>
      </w:r>
      <w:r w:rsidR="0090557E" w:rsidRPr="0090557E">
        <w:rPr>
          <w:rFonts w:ascii="Times New Roman" w:hAnsi="Times New Roman"/>
        </w:rPr>
        <w:t>The average consumer cost of $23 is estimated using data from the BLS Economic News Release (USDL-12-0549)</w:t>
      </w:r>
      <w:r w:rsidR="00910111" w:rsidRPr="0090557E">
        <w:rPr>
          <w:rFonts w:ascii="Times New Roman" w:hAnsi="Times New Roman"/>
        </w:rPr>
        <w:t xml:space="preserve">   </w:t>
      </w:r>
    </w:p>
  </w:footnote>
  <w:footnote w:id="4">
    <w:p w:rsidR="003455BB" w:rsidRPr="0090557E" w:rsidRDefault="003455BB" w:rsidP="001471C5">
      <w:pPr>
        <w:widowControl/>
        <w:rPr>
          <w:rFonts w:ascii="Times New Roman" w:hAnsi="Times New Roman"/>
        </w:rPr>
      </w:pPr>
      <w:r w:rsidRPr="0090557E">
        <w:rPr>
          <w:rStyle w:val="FootnoteReference"/>
          <w:rFonts w:ascii="Times New Roman" w:hAnsi="Times New Roman"/>
          <w:vertAlign w:val="superscript"/>
        </w:rPr>
        <w:footnoteRef/>
      </w:r>
      <w:r w:rsidRPr="0090557E">
        <w:rPr>
          <w:rFonts w:ascii="Times New Roman" w:hAnsi="Times New Roman"/>
        </w:rPr>
        <w:t xml:space="preserve"> Cost estimate is based on Home Equity Loan and Mobile Financial Services surveys in addition to previous consumer testing contracts.</w:t>
      </w:r>
    </w:p>
    <w:p w:rsidR="003455BB" w:rsidRPr="009111CD" w:rsidRDefault="003455BB">
      <w:pPr>
        <w:pStyle w:val="FootnoteText"/>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BB" w:rsidRPr="00C91EA5" w:rsidRDefault="003455BB" w:rsidP="00E7624E">
    <w:pPr>
      <w:pStyle w:val="Header"/>
      <w:jc w:val="both"/>
      <w:rPr>
        <w:rFonts w:ascii="Times New Roman" w:hAnsi="Times New Roman"/>
        <w:b/>
        <w:szCs w:val="20"/>
      </w:rPr>
    </w:pPr>
    <w:r w:rsidRPr="00C91EA5">
      <w:rPr>
        <w:rFonts w:ascii="Times New Roman" w:hAnsi="Times New Roman"/>
        <w:b/>
        <w:szCs w:val="20"/>
      </w:rPr>
      <w:tab/>
      <w:t>INTERNAL 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F561E"/>
    <w:multiLevelType w:val="multilevel"/>
    <w:tmpl w:val="0F6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2249D"/>
    <w:multiLevelType w:val="hybridMultilevel"/>
    <w:tmpl w:val="8B76B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E1CC3"/>
    <w:multiLevelType w:val="hybridMultilevel"/>
    <w:tmpl w:val="3E3C0B62"/>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DA04D6A"/>
    <w:multiLevelType w:val="hybridMultilevel"/>
    <w:tmpl w:val="E6E93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1707BB0"/>
    <w:multiLevelType w:val="hybridMultilevel"/>
    <w:tmpl w:val="AE9AD1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B56EF7"/>
    <w:multiLevelType w:val="hybridMultilevel"/>
    <w:tmpl w:val="A8E01502"/>
    <w:lvl w:ilvl="0" w:tplc="C5EA5934">
      <w:start w:val="1"/>
      <w:numFmt w:val="bullet"/>
      <w:lvlText w:val=""/>
      <w:lvlJc w:val="left"/>
      <w:pPr>
        <w:tabs>
          <w:tab w:val="num" w:pos="720"/>
        </w:tabs>
        <w:ind w:left="720" w:hanging="360"/>
      </w:pPr>
      <w:rPr>
        <w:rFonts w:ascii="Symbol" w:hAnsi="Symbol" w:hint="default"/>
        <w:color w:val="auto"/>
        <w:sz w:val="16"/>
        <w:szCs w:val="16"/>
      </w:rPr>
    </w:lvl>
    <w:lvl w:ilvl="1" w:tplc="04090001">
      <w:start w:val="1"/>
      <w:numFmt w:val="bullet"/>
      <w:lvlText w:val=""/>
      <w:lvlJc w:val="left"/>
      <w:pPr>
        <w:tabs>
          <w:tab w:val="num" w:pos="1800"/>
        </w:tabs>
        <w:ind w:left="1800" w:hanging="360"/>
      </w:pPr>
      <w:rPr>
        <w:rFonts w:ascii="Symbol" w:hAnsi="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84D2018"/>
    <w:multiLevelType w:val="hybridMultilevel"/>
    <w:tmpl w:val="E114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CD3BFE"/>
    <w:multiLevelType w:val="hybridMultilevel"/>
    <w:tmpl w:val="93B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0057F2"/>
    <w:multiLevelType w:val="hybridMultilevel"/>
    <w:tmpl w:val="584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EB4C71"/>
    <w:multiLevelType w:val="multilevel"/>
    <w:tmpl w:val="99B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E463CF"/>
    <w:multiLevelType w:val="hybridMultilevel"/>
    <w:tmpl w:val="A55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6B05E8"/>
    <w:multiLevelType w:val="hybridMultilevel"/>
    <w:tmpl w:val="6AF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DF7FF0"/>
    <w:multiLevelType w:val="hybridMultilevel"/>
    <w:tmpl w:val="B7FCC1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4E07E18"/>
    <w:multiLevelType w:val="hybridMultilevel"/>
    <w:tmpl w:val="6A9AF80A"/>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13"/>
  </w:num>
  <w:num w:numId="3">
    <w:abstractNumId w:val="1"/>
  </w:num>
  <w:num w:numId="4">
    <w:abstractNumId w:val="5"/>
  </w:num>
  <w:num w:numId="5">
    <w:abstractNumId w:val="6"/>
  </w:num>
  <w:num w:numId="6">
    <w:abstractNumId w:val="7"/>
  </w:num>
  <w:num w:numId="7">
    <w:abstractNumId w:val="3"/>
  </w:num>
  <w:num w:numId="8">
    <w:abstractNumId w:val="17"/>
  </w:num>
  <w:num w:numId="9">
    <w:abstractNumId w:val="0"/>
  </w:num>
  <w:num w:numId="10">
    <w:abstractNumId w:val="16"/>
  </w:num>
  <w:num w:numId="11">
    <w:abstractNumId w:val="4"/>
  </w:num>
  <w:num w:numId="12">
    <w:abstractNumId w:val="11"/>
  </w:num>
  <w:num w:numId="13">
    <w:abstractNumId w:val="10"/>
  </w:num>
  <w:num w:numId="14">
    <w:abstractNumId w:val="15"/>
  </w:num>
  <w:num w:numId="15">
    <w:abstractNumId w:val="9"/>
  </w:num>
  <w:num w:numId="16">
    <w:abstractNumId w:val="8"/>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E3ED0"/>
    <w:rsid w:val="000036A3"/>
    <w:rsid w:val="00006548"/>
    <w:rsid w:val="00011BA1"/>
    <w:rsid w:val="00012634"/>
    <w:rsid w:val="000178C7"/>
    <w:rsid w:val="000214CA"/>
    <w:rsid w:val="00025904"/>
    <w:rsid w:val="00030551"/>
    <w:rsid w:val="000350D1"/>
    <w:rsid w:val="00035C8C"/>
    <w:rsid w:val="00036A96"/>
    <w:rsid w:val="00041A44"/>
    <w:rsid w:val="00052865"/>
    <w:rsid w:val="000611A3"/>
    <w:rsid w:val="00061D0C"/>
    <w:rsid w:val="000625A5"/>
    <w:rsid w:val="00080676"/>
    <w:rsid w:val="0008166C"/>
    <w:rsid w:val="00083D6A"/>
    <w:rsid w:val="000907A4"/>
    <w:rsid w:val="000A4AB3"/>
    <w:rsid w:val="000B042D"/>
    <w:rsid w:val="000B06F7"/>
    <w:rsid w:val="000B1159"/>
    <w:rsid w:val="000B4F5A"/>
    <w:rsid w:val="000C0DC7"/>
    <w:rsid w:val="000C1AFF"/>
    <w:rsid w:val="000F6C17"/>
    <w:rsid w:val="00110AD5"/>
    <w:rsid w:val="0011333C"/>
    <w:rsid w:val="00116E06"/>
    <w:rsid w:val="001252F0"/>
    <w:rsid w:val="001259CA"/>
    <w:rsid w:val="001275A2"/>
    <w:rsid w:val="00127BB9"/>
    <w:rsid w:val="00130941"/>
    <w:rsid w:val="00132DE0"/>
    <w:rsid w:val="00133028"/>
    <w:rsid w:val="00141B68"/>
    <w:rsid w:val="001471C5"/>
    <w:rsid w:val="00162A23"/>
    <w:rsid w:val="00164BBB"/>
    <w:rsid w:val="00196914"/>
    <w:rsid w:val="00197D4B"/>
    <w:rsid w:val="001B11B4"/>
    <w:rsid w:val="001C0C8B"/>
    <w:rsid w:val="001C28B2"/>
    <w:rsid w:val="001D3E5D"/>
    <w:rsid w:val="001D63FF"/>
    <w:rsid w:val="001F10F8"/>
    <w:rsid w:val="001F402D"/>
    <w:rsid w:val="002015E1"/>
    <w:rsid w:val="002206B8"/>
    <w:rsid w:val="002441E5"/>
    <w:rsid w:val="002459A0"/>
    <w:rsid w:val="0025555D"/>
    <w:rsid w:val="00275FBA"/>
    <w:rsid w:val="00290FFB"/>
    <w:rsid w:val="0029420A"/>
    <w:rsid w:val="002C0524"/>
    <w:rsid w:val="002C259E"/>
    <w:rsid w:val="002D789E"/>
    <w:rsid w:val="002D7AAF"/>
    <w:rsid w:val="002E5768"/>
    <w:rsid w:val="00301273"/>
    <w:rsid w:val="00317B85"/>
    <w:rsid w:val="00325CB9"/>
    <w:rsid w:val="00327D36"/>
    <w:rsid w:val="003455BB"/>
    <w:rsid w:val="00363571"/>
    <w:rsid w:val="00366B24"/>
    <w:rsid w:val="003814B0"/>
    <w:rsid w:val="003A4405"/>
    <w:rsid w:val="003A4D54"/>
    <w:rsid w:val="003A4FD3"/>
    <w:rsid w:val="003C57FE"/>
    <w:rsid w:val="003D1894"/>
    <w:rsid w:val="003E2025"/>
    <w:rsid w:val="003F1F63"/>
    <w:rsid w:val="003F67BC"/>
    <w:rsid w:val="00405321"/>
    <w:rsid w:val="00410D9B"/>
    <w:rsid w:val="004275D9"/>
    <w:rsid w:val="00447C0C"/>
    <w:rsid w:val="00455151"/>
    <w:rsid w:val="00460A38"/>
    <w:rsid w:val="004731AC"/>
    <w:rsid w:val="004735E7"/>
    <w:rsid w:val="0047649E"/>
    <w:rsid w:val="00483615"/>
    <w:rsid w:val="004858E8"/>
    <w:rsid w:val="00497AE0"/>
    <w:rsid w:val="004D07EA"/>
    <w:rsid w:val="004D518E"/>
    <w:rsid w:val="004E4E12"/>
    <w:rsid w:val="00503AFC"/>
    <w:rsid w:val="00510952"/>
    <w:rsid w:val="00512C50"/>
    <w:rsid w:val="00517087"/>
    <w:rsid w:val="0052016D"/>
    <w:rsid w:val="00520C4C"/>
    <w:rsid w:val="00522013"/>
    <w:rsid w:val="00532267"/>
    <w:rsid w:val="00535BBA"/>
    <w:rsid w:val="00537047"/>
    <w:rsid w:val="00553F37"/>
    <w:rsid w:val="005601DD"/>
    <w:rsid w:val="00570A88"/>
    <w:rsid w:val="0057282F"/>
    <w:rsid w:val="00592717"/>
    <w:rsid w:val="005B2020"/>
    <w:rsid w:val="005C29C8"/>
    <w:rsid w:val="005C6087"/>
    <w:rsid w:val="005C728D"/>
    <w:rsid w:val="005D05A5"/>
    <w:rsid w:val="005E0AD4"/>
    <w:rsid w:val="005F2D39"/>
    <w:rsid w:val="005F6FA1"/>
    <w:rsid w:val="00603B2B"/>
    <w:rsid w:val="00617C11"/>
    <w:rsid w:val="00620477"/>
    <w:rsid w:val="00624639"/>
    <w:rsid w:val="00644637"/>
    <w:rsid w:val="006514B7"/>
    <w:rsid w:val="00653E5D"/>
    <w:rsid w:val="00655505"/>
    <w:rsid w:val="006641D6"/>
    <w:rsid w:val="006663AA"/>
    <w:rsid w:val="00673F3A"/>
    <w:rsid w:val="006825D2"/>
    <w:rsid w:val="00682B17"/>
    <w:rsid w:val="00694D11"/>
    <w:rsid w:val="006B7382"/>
    <w:rsid w:val="006D25B3"/>
    <w:rsid w:val="006D68F1"/>
    <w:rsid w:val="007000A9"/>
    <w:rsid w:val="007064C5"/>
    <w:rsid w:val="00707A0B"/>
    <w:rsid w:val="00712CA2"/>
    <w:rsid w:val="00714D94"/>
    <w:rsid w:val="00717865"/>
    <w:rsid w:val="00720051"/>
    <w:rsid w:val="0072643E"/>
    <w:rsid w:val="0073557D"/>
    <w:rsid w:val="007443C8"/>
    <w:rsid w:val="00752F1B"/>
    <w:rsid w:val="00754245"/>
    <w:rsid w:val="007563F3"/>
    <w:rsid w:val="0075711C"/>
    <w:rsid w:val="00767CDF"/>
    <w:rsid w:val="00771DFE"/>
    <w:rsid w:val="00774963"/>
    <w:rsid w:val="007827D6"/>
    <w:rsid w:val="0078426A"/>
    <w:rsid w:val="00793C66"/>
    <w:rsid w:val="007A0BB3"/>
    <w:rsid w:val="007B6A2D"/>
    <w:rsid w:val="007C7D81"/>
    <w:rsid w:val="007D355C"/>
    <w:rsid w:val="007F085F"/>
    <w:rsid w:val="007F1084"/>
    <w:rsid w:val="007F1A6A"/>
    <w:rsid w:val="007F2D19"/>
    <w:rsid w:val="00803FD9"/>
    <w:rsid w:val="008068FF"/>
    <w:rsid w:val="008128AD"/>
    <w:rsid w:val="0082341B"/>
    <w:rsid w:val="00823640"/>
    <w:rsid w:val="008318A5"/>
    <w:rsid w:val="00842559"/>
    <w:rsid w:val="00845FB6"/>
    <w:rsid w:val="0085197A"/>
    <w:rsid w:val="00853886"/>
    <w:rsid w:val="008563A8"/>
    <w:rsid w:val="008579F8"/>
    <w:rsid w:val="008603B4"/>
    <w:rsid w:val="00863502"/>
    <w:rsid w:val="00866FCA"/>
    <w:rsid w:val="00872AFF"/>
    <w:rsid w:val="00880DEE"/>
    <w:rsid w:val="0088469D"/>
    <w:rsid w:val="008874FC"/>
    <w:rsid w:val="00896928"/>
    <w:rsid w:val="008A74F7"/>
    <w:rsid w:val="008C2904"/>
    <w:rsid w:val="008C4770"/>
    <w:rsid w:val="008C77AB"/>
    <w:rsid w:val="008D37EB"/>
    <w:rsid w:val="008F0D57"/>
    <w:rsid w:val="008F57D9"/>
    <w:rsid w:val="0090557E"/>
    <w:rsid w:val="00907C17"/>
    <w:rsid w:val="00910111"/>
    <w:rsid w:val="009111CD"/>
    <w:rsid w:val="00913EA7"/>
    <w:rsid w:val="0093163A"/>
    <w:rsid w:val="009354FD"/>
    <w:rsid w:val="00943611"/>
    <w:rsid w:val="00953BF8"/>
    <w:rsid w:val="00956058"/>
    <w:rsid w:val="00973108"/>
    <w:rsid w:val="00980021"/>
    <w:rsid w:val="00982151"/>
    <w:rsid w:val="009863C9"/>
    <w:rsid w:val="0099015B"/>
    <w:rsid w:val="009A6023"/>
    <w:rsid w:val="009C5FBF"/>
    <w:rsid w:val="009E127E"/>
    <w:rsid w:val="009E5072"/>
    <w:rsid w:val="00A07E3C"/>
    <w:rsid w:val="00A1046A"/>
    <w:rsid w:val="00A1665A"/>
    <w:rsid w:val="00A33691"/>
    <w:rsid w:val="00A5463F"/>
    <w:rsid w:val="00A6352E"/>
    <w:rsid w:val="00A70743"/>
    <w:rsid w:val="00A74021"/>
    <w:rsid w:val="00A905A9"/>
    <w:rsid w:val="00A91E53"/>
    <w:rsid w:val="00A9246A"/>
    <w:rsid w:val="00AA3B20"/>
    <w:rsid w:val="00AA4A77"/>
    <w:rsid w:val="00AD59E4"/>
    <w:rsid w:val="00AE01CF"/>
    <w:rsid w:val="00AE706F"/>
    <w:rsid w:val="00AF01B9"/>
    <w:rsid w:val="00AF0CA2"/>
    <w:rsid w:val="00AF3A29"/>
    <w:rsid w:val="00B00041"/>
    <w:rsid w:val="00B04658"/>
    <w:rsid w:val="00B11F4B"/>
    <w:rsid w:val="00B31CBF"/>
    <w:rsid w:val="00B32454"/>
    <w:rsid w:val="00B352C4"/>
    <w:rsid w:val="00B4078F"/>
    <w:rsid w:val="00B44289"/>
    <w:rsid w:val="00B45DC8"/>
    <w:rsid w:val="00B50597"/>
    <w:rsid w:val="00B60BE9"/>
    <w:rsid w:val="00B648B5"/>
    <w:rsid w:val="00B82BAC"/>
    <w:rsid w:val="00B83022"/>
    <w:rsid w:val="00BB403F"/>
    <w:rsid w:val="00BB538D"/>
    <w:rsid w:val="00BC0AB4"/>
    <w:rsid w:val="00BC6BB1"/>
    <w:rsid w:val="00BD3D0B"/>
    <w:rsid w:val="00BF199F"/>
    <w:rsid w:val="00BF1E96"/>
    <w:rsid w:val="00BF3334"/>
    <w:rsid w:val="00BF7497"/>
    <w:rsid w:val="00C02F24"/>
    <w:rsid w:val="00C11571"/>
    <w:rsid w:val="00C1180B"/>
    <w:rsid w:val="00C12868"/>
    <w:rsid w:val="00C13135"/>
    <w:rsid w:val="00C30D99"/>
    <w:rsid w:val="00C34CCF"/>
    <w:rsid w:val="00C37C28"/>
    <w:rsid w:val="00C50CA3"/>
    <w:rsid w:val="00C552D0"/>
    <w:rsid w:val="00C604DB"/>
    <w:rsid w:val="00C7324F"/>
    <w:rsid w:val="00C76536"/>
    <w:rsid w:val="00C910F0"/>
    <w:rsid w:val="00C91EA5"/>
    <w:rsid w:val="00C948AE"/>
    <w:rsid w:val="00C968C3"/>
    <w:rsid w:val="00C96E3F"/>
    <w:rsid w:val="00CA0E56"/>
    <w:rsid w:val="00CA1496"/>
    <w:rsid w:val="00CA3F91"/>
    <w:rsid w:val="00CA58D2"/>
    <w:rsid w:val="00CB4E39"/>
    <w:rsid w:val="00CC375C"/>
    <w:rsid w:val="00CC7EE2"/>
    <w:rsid w:val="00CD3CC3"/>
    <w:rsid w:val="00CE08EE"/>
    <w:rsid w:val="00CE75F0"/>
    <w:rsid w:val="00D124EC"/>
    <w:rsid w:val="00D26FDC"/>
    <w:rsid w:val="00D4487E"/>
    <w:rsid w:val="00D45E80"/>
    <w:rsid w:val="00D60761"/>
    <w:rsid w:val="00D748E4"/>
    <w:rsid w:val="00D81B2B"/>
    <w:rsid w:val="00D82080"/>
    <w:rsid w:val="00D935C6"/>
    <w:rsid w:val="00DB51C5"/>
    <w:rsid w:val="00DC7D6F"/>
    <w:rsid w:val="00DD187C"/>
    <w:rsid w:val="00DD48AE"/>
    <w:rsid w:val="00DD516F"/>
    <w:rsid w:val="00DD5657"/>
    <w:rsid w:val="00DD5A0B"/>
    <w:rsid w:val="00DE16CC"/>
    <w:rsid w:val="00DE1F9A"/>
    <w:rsid w:val="00DE5301"/>
    <w:rsid w:val="00DF5CC9"/>
    <w:rsid w:val="00DF77A7"/>
    <w:rsid w:val="00E0454D"/>
    <w:rsid w:val="00E17570"/>
    <w:rsid w:val="00E325D7"/>
    <w:rsid w:val="00E362B3"/>
    <w:rsid w:val="00E36D19"/>
    <w:rsid w:val="00E419C1"/>
    <w:rsid w:val="00E7624E"/>
    <w:rsid w:val="00E84206"/>
    <w:rsid w:val="00E94E08"/>
    <w:rsid w:val="00E94ED0"/>
    <w:rsid w:val="00E95DCE"/>
    <w:rsid w:val="00EB0985"/>
    <w:rsid w:val="00EC628E"/>
    <w:rsid w:val="00EC6B96"/>
    <w:rsid w:val="00EE12DE"/>
    <w:rsid w:val="00EF19EA"/>
    <w:rsid w:val="00EF2F40"/>
    <w:rsid w:val="00F07091"/>
    <w:rsid w:val="00F10B3E"/>
    <w:rsid w:val="00F12B45"/>
    <w:rsid w:val="00F20459"/>
    <w:rsid w:val="00F20C0B"/>
    <w:rsid w:val="00F20F25"/>
    <w:rsid w:val="00F23D68"/>
    <w:rsid w:val="00F25947"/>
    <w:rsid w:val="00F359AE"/>
    <w:rsid w:val="00F546E5"/>
    <w:rsid w:val="00F54C0C"/>
    <w:rsid w:val="00F552A2"/>
    <w:rsid w:val="00F64162"/>
    <w:rsid w:val="00F6421E"/>
    <w:rsid w:val="00F6488C"/>
    <w:rsid w:val="00F6634C"/>
    <w:rsid w:val="00F80FED"/>
    <w:rsid w:val="00F963FB"/>
    <w:rsid w:val="00FA11F6"/>
    <w:rsid w:val="00FA6B56"/>
    <w:rsid w:val="00FA7B48"/>
    <w:rsid w:val="00FB46BB"/>
    <w:rsid w:val="00FC5384"/>
    <w:rsid w:val="00FD2982"/>
    <w:rsid w:val="00FD5370"/>
    <w:rsid w:val="00FD76C9"/>
    <w:rsid w:val="00FE3ED0"/>
    <w:rsid w:val="00FE463D"/>
    <w:rsid w:val="00FF0616"/>
    <w:rsid w:val="00FF1D5A"/>
    <w:rsid w:val="00FF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39"/>
    <w:pPr>
      <w:widowControl w:val="0"/>
      <w:autoSpaceDE w:val="0"/>
      <w:autoSpaceDN w:val="0"/>
      <w:adjustRightInd w:val="0"/>
    </w:pPr>
    <w:rPr>
      <w:rFonts w:ascii="Courier" w:hAnsi="Courier"/>
      <w:szCs w:val="24"/>
    </w:rPr>
  </w:style>
  <w:style w:type="paragraph" w:styleId="Heading1">
    <w:name w:val="heading 1"/>
    <w:basedOn w:val="Normal"/>
    <w:next w:val="Normal"/>
    <w:qFormat/>
    <w:rsid w:val="00624639"/>
    <w:pPr>
      <w:keepNext/>
      <w:widowControl/>
      <w:ind w:firstLine="360"/>
      <w:outlineLvl w:val="0"/>
    </w:pPr>
    <w:rPr>
      <w:rFonts w:ascii="Times" w:hAnsi="Times" w:cs="Times"/>
      <w:sz w:val="24"/>
    </w:rPr>
  </w:style>
  <w:style w:type="paragraph" w:styleId="Heading2">
    <w:name w:val="heading 2"/>
    <w:basedOn w:val="Normal"/>
    <w:next w:val="Normal"/>
    <w:qFormat/>
    <w:rsid w:val="00624639"/>
    <w:pPr>
      <w:keepNext/>
      <w:widowControl/>
      <w:outlineLvl w:val="1"/>
    </w:pPr>
    <w:rPr>
      <w:rFonts w:ascii="Times" w:hAnsi="Times"/>
      <w:sz w:val="24"/>
    </w:rPr>
  </w:style>
  <w:style w:type="paragraph" w:styleId="Heading3">
    <w:name w:val="heading 3"/>
    <w:basedOn w:val="Normal"/>
    <w:next w:val="Normal"/>
    <w:qFormat/>
    <w:rsid w:val="00624639"/>
    <w:pPr>
      <w:keepNext/>
      <w:widowControl/>
      <w:ind w:firstLine="360"/>
      <w:outlineLvl w:val="2"/>
    </w:pPr>
    <w:rPr>
      <w:rFonts w:ascii="Times" w:hAnsi="Times"/>
      <w:b/>
      <w:bCs/>
      <w:sz w:val="24"/>
      <w:u w:val="single"/>
    </w:rPr>
  </w:style>
  <w:style w:type="paragraph" w:styleId="Heading4">
    <w:name w:val="heading 4"/>
    <w:basedOn w:val="Normal"/>
    <w:next w:val="Normal"/>
    <w:qFormat/>
    <w:rsid w:val="00624639"/>
    <w:pPr>
      <w:keepNext/>
      <w:widowControl/>
      <w:ind w:left="360"/>
      <w:outlineLvl w:val="3"/>
    </w:pPr>
    <w:rPr>
      <w:rFonts w:ascii="Times" w:hAnsi="Times"/>
      <w:b/>
      <w:bCs/>
      <w:sz w:val="24"/>
      <w:u w:val="single"/>
    </w:rPr>
  </w:style>
  <w:style w:type="paragraph" w:styleId="Heading5">
    <w:name w:val="heading 5"/>
    <w:basedOn w:val="Normal"/>
    <w:next w:val="Normal"/>
    <w:qFormat/>
    <w:rsid w:val="00624639"/>
    <w:pPr>
      <w:keepNext/>
      <w:widowControl/>
      <w:ind w:left="360"/>
      <w:outlineLvl w:val="4"/>
    </w:pPr>
    <w:rPr>
      <w:rFonts w:ascii="Times" w:hAnsi="Times"/>
      <w:sz w:val="24"/>
    </w:rPr>
  </w:style>
  <w:style w:type="paragraph" w:styleId="Heading6">
    <w:name w:val="heading 6"/>
    <w:basedOn w:val="Normal"/>
    <w:next w:val="Normal"/>
    <w:qFormat/>
    <w:rsid w:val="00624639"/>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24639"/>
  </w:style>
  <w:style w:type="paragraph" w:styleId="Header">
    <w:name w:val="header"/>
    <w:basedOn w:val="Normal"/>
    <w:link w:val="HeaderChar"/>
    <w:uiPriority w:val="99"/>
    <w:rsid w:val="00624639"/>
    <w:pPr>
      <w:tabs>
        <w:tab w:val="center" w:pos="4320"/>
        <w:tab w:val="right" w:pos="8640"/>
      </w:tabs>
    </w:pPr>
  </w:style>
  <w:style w:type="paragraph" w:styleId="Footer">
    <w:name w:val="footer"/>
    <w:basedOn w:val="Normal"/>
    <w:rsid w:val="00624639"/>
    <w:pPr>
      <w:tabs>
        <w:tab w:val="center" w:pos="4320"/>
        <w:tab w:val="right" w:pos="8640"/>
      </w:tabs>
    </w:pPr>
  </w:style>
  <w:style w:type="paragraph" w:styleId="BodyTextIndent">
    <w:name w:val="Body Text Indent"/>
    <w:basedOn w:val="Normal"/>
    <w:rsid w:val="00624639"/>
    <w:pPr>
      <w:widowControl/>
      <w:ind w:firstLine="360"/>
    </w:pPr>
    <w:rPr>
      <w:rFonts w:ascii="Times" w:hAnsi="Times" w:cs="Times"/>
      <w:sz w:val="24"/>
    </w:rPr>
  </w:style>
  <w:style w:type="character" w:styleId="Hyperlink">
    <w:name w:val="Hyperlink"/>
    <w:rsid w:val="00624639"/>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styleId="BodyText">
    <w:name w:val="Body Text"/>
    <w:basedOn w:val="Normal"/>
    <w:rsid w:val="00E7624E"/>
    <w:pPr>
      <w:spacing w:after="120"/>
    </w:pPr>
  </w:style>
  <w:style w:type="paragraph" w:styleId="FootnoteText">
    <w:name w:val="footnote text"/>
    <w:basedOn w:val="Normal"/>
    <w:semiHidden/>
    <w:rsid w:val="00E7624E"/>
    <w:pPr>
      <w:autoSpaceDE/>
      <w:autoSpaceDN/>
      <w:adjustRightInd/>
    </w:pPr>
    <w:rPr>
      <w:snapToGrid w:val="0"/>
      <w:szCs w:val="20"/>
    </w:rPr>
  </w:style>
  <w:style w:type="paragraph" w:customStyle="1" w:styleId="MemoHeader">
    <w:name w:val="Memo Header"/>
    <w:basedOn w:val="Normal"/>
    <w:next w:val="Normal"/>
    <w:rsid w:val="00E7624E"/>
    <w:pPr>
      <w:widowControl/>
      <w:autoSpaceDE/>
      <w:autoSpaceDN/>
      <w:adjustRightInd/>
    </w:pPr>
    <w:rPr>
      <w:rFonts w:ascii="Arial" w:hAnsi="Arial"/>
      <w:smallCaps/>
      <w:sz w:val="24"/>
      <w:szCs w:val="20"/>
    </w:rPr>
  </w:style>
  <w:style w:type="paragraph" w:customStyle="1" w:styleId="p5">
    <w:name w:val="p5"/>
    <w:basedOn w:val="Normal"/>
    <w:rsid w:val="00E7624E"/>
    <w:pPr>
      <w:tabs>
        <w:tab w:val="left" w:pos="725"/>
      </w:tabs>
      <w:ind w:firstLine="725"/>
    </w:pPr>
    <w:rPr>
      <w:rFonts w:ascii="Times New Roman" w:hAnsi="Times New Roman"/>
      <w:sz w:val="24"/>
    </w:rPr>
  </w:style>
  <w:style w:type="character" w:styleId="CommentReference">
    <w:name w:val="annotation reference"/>
    <w:semiHidden/>
    <w:rsid w:val="00F963FB"/>
    <w:rPr>
      <w:sz w:val="16"/>
      <w:szCs w:val="16"/>
    </w:rPr>
  </w:style>
  <w:style w:type="paragraph" w:styleId="CommentText">
    <w:name w:val="annotation text"/>
    <w:basedOn w:val="Normal"/>
    <w:semiHidden/>
    <w:rsid w:val="00F963FB"/>
    <w:rPr>
      <w:szCs w:val="20"/>
    </w:rPr>
  </w:style>
  <w:style w:type="paragraph" w:styleId="BalloonText">
    <w:name w:val="Balloon Text"/>
    <w:basedOn w:val="Normal"/>
    <w:semiHidden/>
    <w:rsid w:val="00F963FB"/>
    <w:rPr>
      <w:rFonts w:ascii="Tahoma" w:hAnsi="Tahoma" w:cs="Tahoma"/>
      <w:sz w:val="16"/>
      <w:szCs w:val="16"/>
    </w:rPr>
  </w:style>
  <w:style w:type="paragraph" w:styleId="NormalWeb">
    <w:name w:val="Normal (Web)"/>
    <w:basedOn w:val="Normal"/>
    <w:rsid w:val="00DD187C"/>
    <w:pPr>
      <w:widowControl/>
      <w:autoSpaceDE/>
      <w:autoSpaceDN/>
      <w:adjustRightInd/>
      <w:spacing w:after="240"/>
    </w:pPr>
    <w:rPr>
      <w:rFonts w:ascii="Times New Roman" w:hAnsi="Times New Roman"/>
      <w:sz w:val="24"/>
    </w:rPr>
  </w:style>
  <w:style w:type="paragraph" w:customStyle="1" w:styleId="Default">
    <w:name w:val="Default"/>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rsid w:val="00DD187C"/>
    <w:rPr>
      <w:rFonts w:cs="Times New Roman"/>
      <w:color w:val="auto"/>
    </w:rPr>
  </w:style>
  <w:style w:type="paragraph" w:styleId="CommentSubject">
    <w:name w:val="annotation subject"/>
    <w:basedOn w:val="CommentText"/>
    <w:next w:val="CommentText"/>
    <w:semiHidden/>
    <w:rsid w:val="007C7D81"/>
    <w:rPr>
      <w:b/>
      <w:bCs/>
    </w:rPr>
  </w:style>
  <w:style w:type="paragraph" w:customStyle="1" w:styleId="CM66">
    <w:name w:val="CM66"/>
    <w:basedOn w:val="Default"/>
    <w:next w:val="Default"/>
    <w:uiPriority w:val="99"/>
    <w:rsid w:val="00F10B3E"/>
    <w:rPr>
      <w:rFonts w:cs="Times New Roman"/>
      <w:color w:val="auto"/>
    </w:rPr>
  </w:style>
  <w:style w:type="table" w:styleId="TableGrid">
    <w:name w:val="Table Grid"/>
    <w:basedOn w:val="TableNormal"/>
    <w:uiPriority w:val="59"/>
    <w:rsid w:val="007827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537047"/>
    <w:rPr>
      <w:rFonts w:ascii="Courier" w:hAnsi="Courier"/>
      <w:szCs w:val="24"/>
    </w:rPr>
  </w:style>
  <w:style w:type="paragraph" w:styleId="Revision">
    <w:name w:val="Revision"/>
    <w:hidden/>
    <w:uiPriority w:val="99"/>
    <w:semiHidden/>
    <w:rsid w:val="00FE463D"/>
    <w:rPr>
      <w:rFonts w:ascii="Courier" w:hAnsi="Courier"/>
      <w:szCs w:val="24"/>
    </w:rPr>
  </w:style>
  <w:style w:type="paragraph" w:styleId="BodyTextIndent3">
    <w:name w:val="Body Text Indent 3"/>
    <w:basedOn w:val="Normal"/>
    <w:link w:val="BodyTextIndent3Char"/>
    <w:rsid w:val="00BC6BB1"/>
    <w:pPr>
      <w:widowControl/>
      <w:autoSpaceDE/>
      <w:autoSpaceDN/>
      <w:adjustRightInd/>
      <w:ind w:firstLine="720"/>
    </w:pPr>
    <w:rPr>
      <w:rFonts w:ascii="Times" w:hAnsi="Times"/>
      <w:snapToGrid w:val="0"/>
      <w:sz w:val="24"/>
      <w:szCs w:val="20"/>
    </w:rPr>
  </w:style>
  <w:style w:type="character" w:customStyle="1" w:styleId="BodyTextIndent3Char">
    <w:name w:val="Body Text Indent 3 Char"/>
    <w:basedOn w:val="DefaultParagraphFont"/>
    <w:link w:val="BodyTextIndent3"/>
    <w:rsid w:val="00BC6BB1"/>
    <w:rPr>
      <w:rFonts w:ascii="Times" w:hAnsi="Times"/>
      <w:snapToGrid w:val="0"/>
      <w:sz w:val="24"/>
    </w:rPr>
  </w:style>
</w:styles>
</file>

<file path=word/webSettings.xml><?xml version="1.0" encoding="utf-8"?>
<w:webSettings xmlns:r="http://schemas.openxmlformats.org/officeDocument/2006/relationships" xmlns:w="http://schemas.openxmlformats.org/wordprocessingml/2006/main">
  <w:divs>
    <w:div w:id="644234673">
      <w:bodyDiv w:val="1"/>
      <w:marLeft w:val="0"/>
      <w:marRight w:val="0"/>
      <w:marTop w:val="0"/>
      <w:marBottom w:val="0"/>
      <w:divBdr>
        <w:top w:val="none" w:sz="0" w:space="0" w:color="auto"/>
        <w:left w:val="none" w:sz="0" w:space="0" w:color="auto"/>
        <w:bottom w:val="none" w:sz="0" w:space="0" w:color="auto"/>
        <w:right w:val="none" w:sz="0" w:space="0" w:color="auto"/>
      </w:divBdr>
      <w:divsChild>
        <w:div w:id="1801805985">
          <w:marLeft w:val="0"/>
          <w:marRight w:val="0"/>
          <w:marTop w:val="0"/>
          <w:marBottom w:val="0"/>
          <w:divBdr>
            <w:top w:val="none" w:sz="0" w:space="0" w:color="auto"/>
            <w:left w:val="none" w:sz="0" w:space="0" w:color="auto"/>
            <w:bottom w:val="none" w:sz="0" w:space="0" w:color="auto"/>
            <w:right w:val="none" w:sz="0" w:space="0" w:color="auto"/>
          </w:divBdr>
          <w:divsChild>
            <w:div w:id="598493075">
              <w:marLeft w:val="0"/>
              <w:marRight w:val="0"/>
              <w:marTop w:val="0"/>
              <w:marBottom w:val="0"/>
              <w:divBdr>
                <w:top w:val="none" w:sz="0" w:space="0" w:color="auto"/>
                <w:left w:val="none" w:sz="0" w:space="0" w:color="auto"/>
                <w:bottom w:val="none" w:sz="0" w:space="0" w:color="auto"/>
                <w:right w:val="none" w:sz="0" w:space="0" w:color="auto"/>
              </w:divBdr>
              <w:divsChild>
                <w:div w:id="60106635">
                  <w:marLeft w:val="0"/>
                  <w:marRight w:val="0"/>
                  <w:marTop w:val="0"/>
                  <w:marBottom w:val="0"/>
                  <w:divBdr>
                    <w:top w:val="none" w:sz="0" w:space="0" w:color="auto"/>
                    <w:left w:val="none" w:sz="0" w:space="0" w:color="auto"/>
                    <w:bottom w:val="none" w:sz="0" w:space="0" w:color="auto"/>
                    <w:right w:val="none" w:sz="0" w:space="0" w:color="auto"/>
                  </w:divBdr>
                  <w:divsChild>
                    <w:div w:id="224335123">
                      <w:marLeft w:val="0"/>
                      <w:marRight w:val="0"/>
                      <w:marTop w:val="0"/>
                      <w:marBottom w:val="0"/>
                      <w:divBdr>
                        <w:top w:val="none" w:sz="0" w:space="0" w:color="auto"/>
                        <w:left w:val="none" w:sz="0" w:space="0" w:color="auto"/>
                        <w:bottom w:val="none" w:sz="0" w:space="0" w:color="auto"/>
                        <w:right w:val="none" w:sz="0" w:space="0" w:color="auto"/>
                      </w:divBdr>
                      <w:divsChild>
                        <w:div w:id="3670321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50683757">
      <w:bodyDiv w:val="1"/>
      <w:marLeft w:val="0"/>
      <w:marRight w:val="0"/>
      <w:marTop w:val="0"/>
      <w:marBottom w:val="0"/>
      <w:divBdr>
        <w:top w:val="none" w:sz="0" w:space="0" w:color="auto"/>
        <w:left w:val="none" w:sz="0" w:space="0" w:color="auto"/>
        <w:bottom w:val="none" w:sz="0" w:space="0" w:color="auto"/>
        <w:right w:val="none" w:sz="0" w:space="0" w:color="auto"/>
      </w:divBdr>
      <w:divsChild>
        <w:div w:id="753162074">
          <w:marLeft w:val="0"/>
          <w:marRight w:val="0"/>
          <w:marTop w:val="0"/>
          <w:marBottom w:val="0"/>
          <w:divBdr>
            <w:top w:val="none" w:sz="0" w:space="0" w:color="auto"/>
            <w:left w:val="none" w:sz="0" w:space="0" w:color="auto"/>
            <w:bottom w:val="none" w:sz="0" w:space="0" w:color="auto"/>
            <w:right w:val="none" w:sz="0" w:space="0" w:color="auto"/>
          </w:divBdr>
          <w:divsChild>
            <w:div w:id="120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810">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0">
          <w:marLeft w:val="0"/>
          <w:marRight w:val="0"/>
          <w:marTop w:val="0"/>
          <w:marBottom w:val="0"/>
          <w:divBdr>
            <w:top w:val="none" w:sz="0" w:space="0" w:color="auto"/>
            <w:left w:val="none" w:sz="0" w:space="0" w:color="auto"/>
            <w:bottom w:val="none" w:sz="0" w:space="0" w:color="auto"/>
            <w:right w:val="none" w:sz="0" w:space="0" w:color="auto"/>
          </w:divBdr>
          <w:divsChild>
            <w:div w:id="449475001">
              <w:marLeft w:val="0"/>
              <w:marRight w:val="0"/>
              <w:marTop w:val="0"/>
              <w:marBottom w:val="0"/>
              <w:divBdr>
                <w:top w:val="none" w:sz="0" w:space="0" w:color="auto"/>
                <w:left w:val="none" w:sz="0" w:space="0" w:color="auto"/>
                <w:bottom w:val="none" w:sz="0" w:space="0" w:color="auto"/>
                <w:right w:val="none" w:sz="0" w:space="0" w:color="auto"/>
              </w:divBdr>
              <w:divsChild>
                <w:div w:id="1888641258">
                  <w:marLeft w:val="0"/>
                  <w:marRight w:val="0"/>
                  <w:marTop w:val="0"/>
                  <w:marBottom w:val="0"/>
                  <w:divBdr>
                    <w:top w:val="none" w:sz="0" w:space="0" w:color="auto"/>
                    <w:left w:val="none" w:sz="0" w:space="0" w:color="auto"/>
                    <w:bottom w:val="none" w:sz="0" w:space="0" w:color="auto"/>
                    <w:right w:val="none" w:sz="0" w:space="0" w:color="auto"/>
                  </w:divBdr>
                  <w:divsChild>
                    <w:div w:id="1256667420">
                      <w:marLeft w:val="0"/>
                      <w:marRight w:val="0"/>
                      <w:marTop w:val="0"/>
                      <w:marBottom w:val="0"/>
                      <w:divBdr>
                        <w:top w:val="none" w:sz="0" w:space="0" w:color="auto"/>
                        <w:left w:val="none" w:sz="0" w:space="0" w:color="auto"/>
                        <w:bottom w:val="none" w:sz="0" w:space="0" w:color="auto"/>
                        <w:right w:val="none" w:sz="0" w:space="0" w:color="auto"/>
                      </w:divBdr>
                      <w:divsChild>
                        <w:div w:id="10266336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2288</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15752</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m1mel00</dc:creator>
  <cp:keywords/>
  <cp:lastModifiedBy>m1jas00</cp:lastModifiedBy>
  <cp:revision>7</cp:revision>
  <cp:lastPrinted>2012-05-24T19:40:00Z</cp:lastPrinted>
  <dcterms:created xsi:type="dcterms:W3CDTF">2012-06-15T17:39:00Z</dcterms:created>
  <dcterms:modified xsi:type="dcterms:W3CDTF">2012-08-14T11:56:00Z</dcterms:modified>
</cp:coreProperties>
</file>