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F3C" w:rsidRPr="00500F3C" w:rsidRDefault="00500F3C" w:rsidP="00500F3C">
      <w:pPr>
        <w:jc w:val="center"/>
        <w:rPr>
          <w:rFonts w:ascii="Times" w:hAnsi="Times"/>
          <w:b/>
        </w:rPr>
      </w:pPr>
      <w:r w:rsidRPr="00500F3C">
        <w:rPr>
          <w:rFonts w:ascii="Times" w:hAnsi="Times"/>
          <w:b/>
        </w:rPr>
        <w:t>Supporting Statement for the</w:t>
      </w:r>
    </w:p>
    <w:p w:rsidR="00500F3C" w:rsidRPr="00500F3C" w:rsidRDefault="00500F3C" w:rsidP="00500F3C">
      <w:pPr>
        <w:widowControl/>
        <w:tabs>
          <w:tab w:val="center" w:pos="4680"/>
        </w:tabs>
        <w:jc w:val="center"/>
        <w:rPr>
          <w:rFonts w:ascii="Times New Roman" w:hAnsi="Times New Roman"/>
          <w:b/>
        </w:rPr>
      </w:pPr>
      <w:r w:rsidRPr="00500F3C">
        <w:rPr>
          <w:rFonts w:ascii="Times New Roman" w:hAnsi="Times New Roman"/>
          <w:b/>
        </w:rPr>
        <w:t xml:space="preserve">Senior Financial Officer Survey </w:t>
      </w:r>
    </w:p>
    <w:p w:rsidR="006F4A4B" w:rsidRPr="00500F3C" w:rsidRDefault="00500F3C" w:rsidP="00500F3C">
      <w:pPr>
        <w:widowControl/>
        <w:tabs>
          <w:tab w:val="center" w:pos="4680"/>
        </w:tabs>
        <w:jc w:val="center"/>
        <w:rPr>
          <w:rFonts w:ascii="Times New Roman" w:hAnsi="Times New Roman"/>
          <w:b/>
        </w:rPr>
      </w:pPr>
      <w:r w:rsidRPr="00500F3C">
        <w:rPr>
          <w:rFonts w:ascii="Times New Roman" w:hAnsi="Times New Roman"/>
          <w:b/>
        </w:rPr>
        <w:t>(FR 2023; OMB No. 7100</w:t>
      </w:r>
      <w:r w:rsidRPr="00500F3C">
        <w:rPr>
          <w:rFonts w:ascii="Times New Roman" w:hAnsi="Times New Roman"/>
          <w:b/>
        </w:rPr>
        <w:noBreakHyphen/>
        <w:t>0223)</w:t>
      </w:r>
    </w:p>
    <w:p w:rsidR="006F4A4B" w:rsidRPr="00171F1E" w:rsidRDefault="006F4A4B">
      <w:pPr>
        <w:widowControl/>
        <w:tabs>
          <w:tab w:val="left" w:pos="1440"/>
        </w:tabs>
        <w:rPr>
          <w:rFonts w:ascii="Times New Roman" w:hAnsi="Times New Roman"/>
        </w:rPr>
      </w:pPr>
    </w:p>
    <w:p w:rsidR="006F4A4B" w:rsidRPr="00171F1E" w:rsidRDefault="006F4A4B">
      <w:pPr>
        <w:widowControl/>
        <w:tabs>
          <w:tab w:val="left" w:pos="1440"/>
        </w:tabs>
        <w:rPr>
          <w:rFonts w:ascii="Times New Roman" w:hAnsi="Times New Roman"/>
        </w:rPr>
      </w:pPr>
      <w:r w:rsidRPr="00171F1E">
        <w:rPr>
          <w:rFonts w:ascii="Times New Roman" w:hAnsi="Times New Roman"/>
          <w:b/>
          <w:bCs/>
        </w:rPr>
        <w:t>Summary</w:t>
      </w:r>
    </w:p>
    <w:p w:rsidR="006F4A4B" w:rsidRPr="00171F1E" w:rsidRDefault="006F4A4B">
      <w:pPr>
        <w:widowControl/>
        <w:tabs>
          <w:tab w:val="left" w:pos="360"/>
        </w:tabs>
        <w:rPr>
          <w:rFonts w:ascii="Times New Roman" w:hAnsi="Times New Roman"/>
        </w:rPr>
      </w:pPr>
    </w:p>
    <w:p w:rsidR="00432C6E" w:rsidRPr="00171F1E" w:rsidRDefault="00500F3C" w:rsidP="00543BFC">
      <w:pPr>
        <w:widowControl/>
        <w:ind w:firstLine="720"/>
        <w:rPr>
          <w:rFonts w:ascii="Times New Roman" w:hAnsi="Times New Roman"/>
        </w:rPr>
      </w:pPr>
      <w:r>
        <w:rPr>
          <w:rFonts w:ascii="Times New Roman" w:hAnsi="Times New Roman"/>
        </w:rPr>
        <w:t>The Board of Governors of the Federal Reserve System, under delegated authority from the Office of Management and Budget (OMB),</w:t>
      </w:r>
      <w:r w:rsidR="006F4A4B" w:rsidRPr="00171F1E">
        <w:rPr>
          <w:rFonts w:ascii="Times New Roman" w:hAnsi="Times New Roman"/>
        </w:rPr>
        <w:t xml:space="preserve"> </w:t>
      </w:r>
      <w:r>
        <w:rPr>
          <w:rFonts w:ascii="Times New Roman" w:hAnsi="Times New Roman"/>
        </w:rPr>
        <w:t xml:space="preserve">proposes to </w:t>
      </w:r>
      <w:r w:rsidR="006F4A4B" w:rsidRPr="00171F1E">
        <w:rPr>
          <w:rFonts w:ascii="Times New Roman" w:hAnsi="Times New Roman"/>
        </w:rPr>
        <w:t>extend</w:t>
      </w:r>
      <w:r w:rsidR="005B38DF" w:rsidRPr="00171F1E">
        <w:rPr>
          <w:rFonts w:ascii="Times New Roman" w:hAnsi="Times New Roman"/>
        </w:rPr>
        <w:t xml:space="preserve"> for three years, with revision,</w:t>
      </w:r>
      <w:r w:rsidR="006F4A4B" w:rsidRPr="00171F1E">
        <w:rPr>
          <w:rFonts w:ascii="Times New Roman" w:hAnsi="Times New Roman"/>
        </w:rPr>
        <w:t xml:space="preserve"> the Senior Financial Officer Survey (FR 2023; OMB No. 7100</w:t>
      </w:r>
      <w:r w:rsidR="006F4A4B" w:rsidRPr="00171F1E">
        <w:rPr>
          <w:rFonts w:ascii="Times New Roman" w:hAnsi="Times New Roman"/>
        </w:rPr>
        <w:noBreakHyphen/>
        <w:t xml:space="preserve">0223).  The Federal Reserve uses this voluntary survey to collect qualitative and limited quantitative information about liability management, the provision of financial services, and the functioning of key financial markets from a selection of </w:t>
      </w:r>
      <w:r w:rsidR="00603895" w:rsidRPr="00171F1E">
        <w:rPr>
          <w:rFonts w:ascii="Times New Roman" w:hAnsi="Times New Roman"/>
        </w:rPr>
        <w:t xml:space="preserve">up to </w:t>
      </w:r>
      <w:r w:rsidR="00D136BF" w:rsidRPr="00171F1E">
        <w:rPr>
          <w:rFonts w:ascii="Times New Roman" w:hAnsi="Times New Roman"/>
        </w:rPr>
        <w:t xml:space="preserve">60 </w:t>
      </w:r>
      <w:r w:rsidR="006F4A4B" w:rsidRPr="00171F1E">
        <w:rPr>
          <w:rFonts w:ascii="Times New Roman" w:hAnsi="Times New Roman"/>
        </w:rPr>
        <w:t xml:space="preserve">large commercial banks (or, if appropriate, from other depository institutions or major financial market participants).  </w:t>
      </w:r>
      <w:r w:rsidR="00563599" w:rsidRPr="00171F1E">
        <w:rPr>
          <w:rFonts w:ascii="Times New Roman" w:hAnsi="Times New Roman"/>
        </w:rPr>
        <w:t xml:space="preserve">Consistent with the Senior Loan Officer </w:t>
      </w:r>
      <w:r w:rsidR="00E60BE9" w:rsidRPr="00171F1E">
        <w:rPr>
          <w:rFonts w:ascii="Times New Roman" w:hAnsi="Times New Roman"/>
        </w:rPr>
        <w:t xml:space="preserve">Opinion </w:t>
      </w:r>
      <w:r w:rsidR="00563599" w:rsidRPr="00171F1E">
        <w:rPr>
          <w:rFonts w:ascii="Times New Roman" w:hAnsi="Times New Roman"/>
        </w:rPr>
        <w:t xml:space="preserve">Survey on Bank Lending Practices (FR 2018; OMB No. 7100-0058), </w:t>
      </w:r>
      <w:r w:rsidR="002C7CD4" w:rsidRPr="00171F1E">
        <w:rPr>
          <w:rFonts w:ascii="Times New Roman" w:hAnsi="Times New Roman"/>
        </w:rPr>
        <w:t xml:space="preserve">a senior loan officer at each respondent bank completes this voluntary survey </w:t>
      </w:r>
      <w:r w:rsidR="00E636C8">
        <w:rPr>
          <w:rFonts w:ascii="Times New Roman" w:hAnsi="Times New Roman"/>
        </w:rPr>
        <w:t xml:space="preserve">usually </w:t>
      </w:r>
      <w:r w:rsidR="002C7CD4" w:rsidRPr="00171F1E">
        <w:rPr>
          <w:rFonts w:ascii="Times New Roman" w:hAnsi="Times New Roman"/>
        </w:rPr>
        <w:t>through an electronic submission</w:t>
      </w:r>
      <w:r w:rsidR="006F4A4B" w:rsidRPr="00171F1E">
        <w:rPr>
          <w:rFonts w:ascii="Times New Roman" w:hAnsi="Times New Roman"/>
        </w:rPr>
        <w:t>.</w:t>
      </w:r>
      <w:r w:rsidR="00563599" w:rsidRPr="00171F1E">
        <w:rPr>
          <w:rFonts w:ascii="Times New Roman" w:hAnsi="Times New Roman"/>
        </w:rPr>
        <w:t xml:space="preserve">  </w:t>
      </w:r>
      <w:r w:rsidR="004F189B" w:rsidRPr="00171F1E">
        <w:rPr>
          <w:rFonts w:ascii="Times New Roman" w:hAnsi="Times New Roman"/>
        </w:rPr>
        <w:t>Although the survey may not be collected in a given year</w:t>
      </w:r>
      <w:r w:rsidR="00EC54E7" w:rsidRPr="00171F1E">
        <w:rPr>
          <w:rFonts w:ascii="Times New Roman" w:hAnsi="Times New Roman"/>
        </w:rPr>
        <w:t xml:space="preserve">, authority is requested to conduct it </w:t>
      </w:r>
      <w:r w:rsidR="006F4A4B" w:rsidRPr="00171F1E">
        <w:rPr>
          <w:rFonts w:ascii="Times New Roman" w:hAnsi="Times New Roman"/>
        </w:rPr>
        <w:t xml:space="preserve">up to four times per year when major informational needs arise and cannot be met from existing data sources.  </w:t>
      </w:r>
    </w:p>
    <w:p w:rsidR="00432C6E" w:rsidRPr="00171F1E" w:rsidRDefault="00432C6E" w:rsidP="00543BFC">
      <w:pPr>
        <w:widowControl/>
        <w:ind w:firstLine="720"/>
        <w:rPr>
          <w:rFonts w:ascii="Times New Roman" w:hAnsi="Times New Roman"/>
        </w:rPr>
      </w:pPr>
    </w:p>
    <w:p w:rsidR="006F4A4B" w:rsidRPr="00171F1E" w:rsidRDefault="00B4433C" w:rsidP="00EE5C6F">
      <w:pPr>
        <w:tabs>
          <w:tab w:val="left" w:pos="559"/>
        </w:tabs>
        <w:ind w:firstLine="720"/>
        <w:rPr>
          <w:rFonts w:ascii="Times New Roman" w:hAnsi="Times New Roman"/>
        </w:rPr>
      </w:pPr>
      <w:r w:rsidRPr="00171F1E">
        <w:rPr>
          <w:rFonts w:ascii="Times New Roman" w:hAnsi="Times New Roman"/>
        </w:rPr>
        <w:t xml:space="preserve"> </w:t>
      </w:r>
      <w:r w:rsidR="008C62AB">
        <w:rPr>
          <w:rFonts w:ascii="Times New Roman" w:hAnsi="Times New Roman"/>
          <w:color w:val="000000"/>
        </w:rPr>
        <w:t>The Federal Reserve</w:t>
      </w:r>
      <w:r w:rsidR="00BC41C9" w:rsidRPr="00171F1E">
        <w:rPr>
          <w:rFonts w:ascii="Times New Roman" w:hAnsi="Times New Roman"/>
          <w:color w:val="000000"/>
        </w:rPr>
        <w:t xml:space="preserve"> proposes to increase the panel of respondents from 60 to 80 commercial banks, in order to maintain consistency with a proposed change to the respondent panel of the FR 2018, and to broaden coverage of banks that lend in the small business and commercial real estate markets. </w:t>
      </w:r>
      <w:r w:rsidR="00796B1C" w:rsidRPr="00171F1E">
        <w:rPr>
          <w:rFonts w:ascii="Times New Roman" w:hAnsi="Times New Roman"/>
        </w:rPr>
        <w:t>T</w:t>
      </w:r>
      <w:r w:rsidR="0015002C" w:rsidRPr="00171F1E">
        <w:rPr>
          <w:rFonts w:ascii="Times New Roman" w:hAnsi="Times New Roman"/>
        </w:rPr>
        <w:t xml:space="preserve">he proposed revisions to the FR 2023 would change the estimated annual reporting burden from </w:t>
      </w:r>
      <w:r w:rsidR="00796B1C" w:rsidRPr="00171F1E">
        <w:rPr>
          <w:rFonts w:ascii="Times New Roman" w:hAnsi="Times New Roman"/>
        </w:rPr>
        <w:t xml:space="preserve">720 </w:t>
      </w:r>
      <w:r w:rsidR="0015002C" w:rsidRPr="00171F1E">
        <w:rPr>
          <w:rFonts w:ascii="Times New Roman" w:hAnsi="Times New Roman"/>
        </w:rPr>
        <w:t xml:space="preserve">hours to </w:t>
      </w:r>
      <w:r w:rsidR="00796B1C" w:rsidRPr="00171F1E">
        <w:rPr>
          <w:rFonts w:ascii="Times New Roman" w:hAnsi="Times New Roman"/>
        </w:rPr>
        <w:t>960</w:t>
      </w:r>
      <w:r w:rsidR="0015002C" w:rsidRPr="00171F1E">
        <w:rPr>
          <w:rFonts w:ascii="Times New Roman" w:hAnsi="Times New Roman"/>
        </w:rPr>
        <w:t xml:space="preserve"> hours, an increase of </w:t>
      </w:r>
      <w:r w:rsidR="00796B1C" w:rsidRPr="00171F1E">
        <w:rPr>
          <w:rFonts w:ascii="Times New Roman" w:hAnsi="Times New Roman"/>
        </w:rPr>
        <w:t xml:space="preserve">240 </w:t>
      </w:r>
      <w:r w:rsidR="0015002C" w:rsidRPr="00171F1E">
        <w:rPr>
          <w:rFonts w:ascii="Times New Roman" w:hAnsi="Times New Roman"/>
        </w:rPr>
        <w:t>hours.</w:t>
      </w:r>
      <w:r w:rsidR="00796B1C" w:rsidRPr="00171F1E">
        <w:rPr>
          <w:rFonts w:ascii="Times New Roman" w:hAnsi="Times New Roman"/>
          <w:color w:val="000000"/>
        </w:rPr>
        <w:t xml:space="preserve">  </w:t>
      </w:r>
      <w:r w:rsidR="00796B1C" w:rsidRPr="00171F1E">
        <w:rPr>
          <w:rFonts w:ascii="Times New Roman" w:hAnsi="Times New Roman"/>
        </w:rPr>
        <w:t>Th</w:t>
      </w:r>
      <w:r w:rsidR="006F4A4B" w:rsidRPr="00171F1E">
        <w:rPr>
          <w:rFonts w:ascii="Times New Roman" w:hAnsi="Times New Roman"/>
        </w:rPr>
        <w:t xml:space="preserve">e survey does not have a fixed set of questions; each survey consists of a limited number of questions directed at topics of timely interest.  Accordingly, a sample form is not included </w:t>
      </w:r>
      <w:r w:rsidR="009B0728" w:rsidRPr="00171F1E">
        <w:rPr>
          <w:rFonts w:ascii="Times New Roman" w:hAnsi="Times New Roman"/>
        </w:rPr>
        <w:t xml:space="preserve">with </w:t>
      </w:r>
      <w:r w:rsidR="006F4A4B" w:rsidRPr="00171F1E">
        <w:rPr>
          <w:rFonts w:ascii="Times New Roman" w:hAnsi="Times New Roman"/>
        </w:rPr>
        <w:t>this proposal.</w:t>
      </w:r>
    </w:p>
    <w:p w:rsidR="0068333B" w:rsidRPr="00D213C1" w:rsidRDefault="0068333B" w:rsidP="00543BFC">
      <w:pPr>
        <w:widowControl/>
        <w:rPr>
          <w:rFonts w:ascii="Times New Roman" w:hAnsi="Times New Roman"/>
          <w:b/>
          <w:bCs/>
        </w:rPr>
      </w:pPr>
    </w:p>
    <w:p w:rsidR="006F4A4B" w:rsidRPr="00D213C1" w:rsidRDefault="006F4A4B" w:rsidP="00543BFC">
      <w:pPr>
        <w:widowControl/>
        <w:rPr>
          <w:rFonts w:ascii="Times New Roman" w:hAnsi="Times New Roman"/>
        </w:rPr>
      </w:pPr>
      <w:r w:rsidRPr="00D213C1">
        <w:rPr>
          <w:rFonts w:ascii="Times New Roman" w:hAnsi="Times New Roman"/>
          <w:b/>
          <w:bCs/>
        </w:rPr>
        <w:t>Background and Justification</w:t>
      </w:r>
    </w:p>
    <w:p w:rsidR="006F4A4B" w:rsidRPr="00D213C1" w:rsidRDefault="006F4A4B" w:rsidP="00543BFC">
      <w:pPr>
        <w:widowControl/>
        <w:ind w:firstLine="720"/>
        <w:rPr>
          <w:rFonts w:ascii="Times New Roman" w:hAnsi="Times New Roman"/>
        </w:rPr>
      </w:pPr>
    </w:p>
    <w:p w:rsidR="006F4A4B" w:rsidRPr="00D213C1" w:rsidRDefault="006F4A4B" w:rsidP="00543BFC">
      <w:pPr>
        <w:widowControl/>
        <w:ind w:firstLine="720"/>
        <w:rPr>
          <w:rFonts w:ascii="Times New Roman" w:hAnsi="Times New Roman"/>
        </w:rPr>
      </w:pPr>
      <w:r w:rsidRPr="00D213C1">
        <w:rPr>
          <w:rFonts w:ascii="Times New Roman" w:hAnsi="Times New Roman"/>
        </w:rPr>
        <w:t>The Federal Reserve uses the Senior Financial Officer Survey to obtain information about deposit pricing and behavior, bank liability management, the provi</w:t>
      </w:r>
      <w:r w:rsidR="00543BFC" w:rsidRPr="00D213C1">
        <w:rPr>
          <w:rFonts w:ascii="Times New Roman" w:hAnsi="Times New Roman"/>
        </w:rPr>
        <w:t xml:space="preserve">sion of financial services, and </w:t>
      </w:r>
      <w:r w:rsidRPr="00D213C1">
        <w:rPr>
          <w:rFonts w:ascii="Times New Roman" w:hAnsi="Times New Roman"/>
        </w:rPr>
        <w:t>reserve management practices.  The survey helps pinpoint developing trends in bank funding practices, enabling the Federal Reserve to distinguish these trends from transitory phenomena.  It also complements other deposit reports that, by themselves, provi</w:t>
      </w:r>
      <w:r w:rsidR="00AD5228" w:rsidRPr="00D213C1">
        <w:rPr>
          <w:rFonts w:ascii="Times New Roman" w:hAnsi="Times New Roman"/>
        </w:rPr>
        <w:t>de limited</w:t>
      </w:r>
      <w:r w:rsidRPr="00D213C1">
        <w:rPr>
          <w:rFonts w:ascii="Times New Roman" w:hAnsi="Times New Roman"/>
        </w:rPr>
        <w:t xml:space="preserve"> insight into the causes of the changing behavior of deposit holders and depository institutions.  Moreover, the survey has given the Federal Reserve the opportunity to follow periodic developments in financial markets related to extraordinary events that are beyond the scope of other reports.</w:t>
      </w:r>
    </w:p>
    <w:p w:rsidR="00CC1963" w:rsidRPr="00D213C1" w:rsidRDefault="00CC1963" w:rsidP="00543BFC">
      <w:pPr>
        <w:widowControl/>
        <w:ind w:firstLine="720"/>
        <w:rPr>
          <w:rFonts w:ascii="Times New Roman" w:hAnsi="Times New Roman"/>
        </w:rPr>
      </w:pPr>
    </w:p>
    <w:p w:rsidR="00344245" w:rsidRPr="00D213C1" w:rsidRDefault="006F4A4B" w:rsidP="00543BFC">
      <w:pPr>
        <w:widowControl/>
        <w:ind w:firstLine="720"/>
        <w:rPr>
          <w:rFonts w:ascii="Times New Roman" w:hAnsi="Times New Roman"/>
        </w:rPr>
      </w:pPr>
      <w:r w:rsidRPr="00D213C1">
        <w:rPr>
          <w:rFonts w:ascii="Times New Roman" w:hAnsi="Times New Roman"/>
        </w:rPr>
        <w:t xml:space="preserve">In February 1994, a survey requested information about the availability and profitability of providing brokerage services to retail customers and the provision of non-brokerage services to mutual funds.  This survey found evidence that large banks were continuing to expand their retail brokerage programs and helped quantify the importance of these activities for bank profitability. Another survey conducted in December 1994 focused on bank funding practices.  Results from this survey helped identify factors that explained banks' increased reliance on managed liabilities to fund domestic credit.  In May 1996, a survey was designed and conducted to investigate bank reserve management practices in order to increase understanding of how banks might operate with low required reserve balances.  Information from this survey assisted </w:t>
      </w:r>
      <w:r w:rsidRPr="00D213C1">
        <w:rPr>
          <w:rFonts w:ascii="Times New Roman" w:hAnsi="Times New Roman"/>
        </w:rPr>
        <w:lastRenderedPageBreak/>
        <w:t xml:space="preserve">in the smooth implementation of monetary policy as sweep accounts drove down the level of required operating balances.  </w:t>
      </w:r>
    </w:p>
    <w:p w:rsidR="00344245" w:rsidRPr="00D213C1" w:rsidRDefault="00344245" w:rsidP="00543BFC">
      <w:pPr>
        <w:widowControl/>
        <w:ind w:firstLine="720"/>
        <w:rPr>
          <w:rFonts w:ascii="Times New Roman" w:hAnsi="Times New Roman"/>
        </w:rPr>
      </w:pPr>
    </w:p>
    <w:p w:rsidR="006F4A4B" w:rsidRPr="00D213C1" w:rsidRDefault="006F4A4B" w:rsidP="00543BFC">
      <w:pPr>
        <w:widowControl/>
        <w:ind w:firstLine="720"/>
        <w:rPr>
          <w:rFonts w:ascii="Times New Roman" w:hAnsi="Times New Roman"/>
        </w:rPr>
      </w:pPr>
      <w:r w:rsidRPr="00D213C1">
        <w:rPr>
          <w:rFonts w:ascii="Times New Roman" w:hAnsi="Times New Roman"/>
        </w:rPr>
        <w:t>A survey conducted in May 1998 was designed to gauge the effect on banks</w:t>
      </w:r>
      <w:r w:rsidR="00A42A08" w:rsidRPr="00D213C1">
        <w:rPr>
          <w:rFonts w:ascii="Times New Roman" w:hAnsi="Times New Roman"/>
        </w:rPr>
        <w:t>’</w:t>
      </w:r>
      <w:r w:rsidRPr="00D213C1">
        <w:rPr>
          <w:rFonts w:ascii="Times New Roman" w:hAnsi="Times New Roman"/>
        </w:rPr>
        <w:t xml:space="preserve"> reserve management of the imposition of a charge on banks that overdraw their accounts at the Federal Reserve during the course of the day (the so-called daylight overdraft fee) and the expansion of the operating hours of the </w:t>
      </w:r>
      <w:proofErr w:type="spellStart"/>
      <w:r w:rsidR="007F391B" w:rsidRPr="00D213C1">
        <w:rPr>
          <w:rFonts w:ascii="Times New Roman" w:hAnsi="Times New Roman"/>
        </w:rPr>
        <w:t>F</w:t>
      </w:r>
      <w:r w:rsidRPr="00D213C1">
        <w:rPr>
          <w:rFonts w:ascii="Times New Roman" w:hAnsi="Times New Roman"/>
        </w:rPr>
        <w:t>edwire</w:t>
      </w:r>
      <w:proofErr w:type="spellEnd"/>
      <w:r w:rsidRPr="00D213C1">
        <w:rPr>
          <w:rFonts w:ascii="Times New Roman" w:hAnsi="Times New Roman"/>
        </w:rPr>
        <w:t xml:space="preserve"> system.  The survey documented the tendency of banks to concentrate delivery of federal funds later in the day, potentially in response to changes in the Federal Reserve</w:t>
      </w:r>
      <w:r w:rsidR="00A42A08" w:rsidRPr="00D213C1">
        <w:rPr>
          <w:rFonts w:ascii="Times New Roman" w:hAnsi="Times New Roman"/>
        </w:rPr>
        <w:t>’</w:t>
      </w:r>
      <w:r w:rsidRPr="00D213C1">
        <w:rPr>
          <w:rFonts w:ascii="Times New Roman" w:hAnsi="Times New Roman"/>
        </w:rPr>
        <w:t xml:space="preserve">s intraday credit policy.  This survey also confirmed previous anecdotal evidence that banks used the extension of </w:t>
      </w:r>
      <w:proofErr w:type="spellStart"/>
      <w:r w:rsidR="007F391B" w:rsidRPr="00D213C1">
        <w:rPr>
          <w:rFonts w:ascii="Times New Roman" w:hAnsi="Times New Roman"/>
        </w:rPr>
        <w:t>F</w:t>
      </w:r>
      <w:r w:rsidRPr="00D213C1">
        <w:rPr>
          <w:rFonts w:ascii="Times New Roman" w:hAnsi="Times New Roman"/>
        </w:rPr>
        <w:t>edwire</w:t>
      </w:r>
      <w:proofErr w:type="spellEnd"/>
      <w:r w:rsidRPr="00D213C1">
        <w:rPr>
          <w:rFonts w:ascii="Times New Roman" w:hAnsi="Times New Roman"/>
        </w:rPr>
        <w:t xml:space="preserve"> operating hours to transfer funds linked not only to international transactions, which was expected, but also to domestic transactions.</w:t>
      </w:r>
    </w:p>
    <w:p w:rsidR="0060239D" w:rsidRDefault="0060239D" w:rsidP="00543BFC">
      <w:pPr>
        <w:widowControl/>
        <w:ind w:firstLine="720"/>
        <w:rPr>
          <w:rFonts w:ascii="Times New Roman" w:hAnsi="Times New Roman"/>
        </w:rPr>
      </w:pPr>
    </w:p>
    <w:p w:rsidR="006F4A4B" w:rsidRPr="00D213C1" w:rsidRDefault="006F4A4B" w:rsidP="00543BFC">
      <w:pPr>
        <w:widowControl/>
        <w:ind w:firstLine="720"/>
        <w:rPr>
          <w:rFonts w:ascii="Times New Roman" w:hAnsi="Times New Roman"/>
        </w:rPr>
      </w:pPr>
      <w:r w:rsidRPr="00D213C1">
        <w:rPr>
          <w:rFonts w:ascii="Times New Roman" w:hAnsi="Times New Roman"/>
        </w:rPr>
        <w:t>As illustrated by these examples, the Senior Financial Officer Survey has assisted the Federal Reserve in its assessment of bank behavior and financial market conditions by improving knowledge of institutional arrangements and by permitting prompt inquiries in response to unusual circumstances.  Information collected through the survey has also been used by the Federal Open Market Committee and has contributed to the formulation of monetary policy.</w:t>
      </w:r>
    </w:p>
    <w:p w:rsidR="006F4A4B" w:rsidRPr="00D213C1" w:rsidRDefault="006F4A4B" w:rsidP="00543BFC">
      <w:pPr>
        <w:widowControl/>
        <w:ind w:firstLine="720"/>
        <w:rPr>
          <w:rFonts w:ascii="Times New Roman" w:hAnsi="Times New Roman"/>
        </w:rPr>
      </w:pPr>
    </w:p>
    <w:p w:rsidR="006F4A4B" w:rsidRPr="00D213C1" w:rsidRDefault="006F4A4B" w:rsidP="00E81972">
      <w:pPr>
        <w:widowControl/>
        <w:rPr>
          <w:rFonts w:ascii="Times New Roman" w:hAnsi="Times New Roman"/>
        </w:rPr>
      </w:pPr>
      <w:r w:rsidRPr="00D213C1">
        <w:rPr>
          <w:rFonts w:ascii="Times New Roman" w:hAnsi="Times New Roman"/>
          <w:b/>
          <w:bCs/>
        </w:rPr>
        <w:t>Description of Information Collection</w:t>
      </w:r>
    </w:p>
    <w:p w:rsidR="006F4A4B" w:rsidRPr="00D213C1" w:rsidRDefault="006F4A4B" w:rsidP="00543BFC">
      <w:pPr>
        <w:widowControl/>
        <w:ind w:firstLine="720"/>
        <w:rPr>
          <w:rFonts w:ascii="Times New Roman" w:hAnsi="Times New Roman"/>
        </w:rPr>
      </w:pPr>
    </w:p>
    <w:p w:rsidR="006F4A4B" w:rsidRPr="00D213C1" w:rsidRDefault="006F4A4B" w:rsidP="00543BFC">
      <w:pPr>
        <w:widowControl/>
        <w:ind w:firstLine="720"/>
        <w:rPr>
          <w:rFonts w:ascii="Times New Roman" w:hAnsi="Times New Roman"/>
        </w:rPr>
      </w:pPr>
      <w:r w:rsidRPr="00D213C1">
        <w:rPr>
          <w:rFonts w:ascii="Times New Roman" w:hAnsi="Times New Roman"/>
        </w:rPr>
        <w:t>Both the frequency and the content of the Senior Financial Officer Survey have been, and will continue to be, determined by exigencies.  Hence</w:t>
      </w:r>
      <w:r w:rsidR="00D136BF" w:rsidRPr="00D213C1">
        <w:rPr>
          <w:rFonts w:ascii="Times New Roman" w:hAnsi="Times New Roman"/>
        </w:rPr>
        <w:t>,</w:t>
      </w:r>
      <w:r w:rsidRPr="00D213C1">
        <w:rPr>
          <w:rFonts w:ascii="Times New Roman" w:hAnsi="Times New Roman"/>
        </w:rPr>
        <w:t xml:space="preserve"> it is difficult for </w:t>
      </w:r>
      <w:r w:rsidR="00872C3B">
        <w:rPr>
          <w:rFonts w:ascii="Times New Roman" w:hAnsi="Times New Roman"/>
        </w:rPr>
        <w:t>the Federal Reserve</w:t>
      </w:r>
      <w:r w:rsidRPr="00D213C1">
        <w:rPr>
          <w:rFonts w:ascii="Times New Roman" w:hAnsi="Times New Roman"/>
        </w:rPr>
        <w:t xml:space="preserve"> to stipulate the exact nature, type, or timing of future surveys.  In the past, surveys have been conducted at irregular intervals and have included both qualitative and quan</w:t>
      </w:r>
      <w:r w:rsidR="00872C3B">
        <w:rPr>
          <w:rFonts w:ascii="Times New Roman" w:hAnsi="Times New Roman"/>
        </w:rPr>
        <w:t>titative questions. The Federal Reserve</w:t>
      </w:r>
      <w:r w:rsidRPr="00D213C1">
        <w:rPr>
          <w:rFonts w:ascii="Times New Roman" w:hAnsi="Times New Roman"/>
        </w:rPr>
        <w:t xml:space="preserve"> recommends no change in the frequency of this report.</w:t>
      </w:r>
    </w:p>
    <w:p w:rsidR="00EF0B6F" w:rsidRPr="00D213C1" w:rsidRDefault="00EF0B6F" w:rsidP="00543BFC">
      <w:pPr>
        <w:widowControl/>
        <w:ind w:firstLine="720"/>
        <w:rPr>
          <w:rFonts w:ascii="Times New Roman" w:hAnsi="Times New Roman"/>
        </w:rPr>
      </w:pPr>
    </w:p>
    <w:p w:rsidR="00E81972" w:rsidRPr="00D213C1" w:rsidRDefault="00E81972" w:rsidP="00E81972">
      <w:pPr>
        <w:widowControl/>
        <w:ind w:firstLine="720"/>
        <w:rPr>
          <w:rFonts w:ascii="Times New Roman" w:hAnsi="Times New Roman"/>
        </w:rPr>
      </w:pPr>
      <w:r w:rsidRPr="00D213C1">
        <w:rPr>
          <w:rFonts w:ascii="Times New Roman" w:hAnsi="Times New Roman"/>
          <w:b/>
          <w:bCs/>
        </w:rPr>
        <w:t>Reporting Panel</w:t>
      </w:r>
    </w:p>
    <w:p w:rsidR="00E81972" w:rsidRPr="00D213C1" w:rsidRDefault="00E81972" w:rsidP="00543BFC">
      <w:pPr>
        <w:widowControl/>
        <w:ind w:firstLine="720"/>
        <w:rPr>
          <w:rFonts w:ascii="Times New Roman" w:hAnsi="Times New Roman"/>
        </w:rPr>
      </w:pPr>
    </w:p>
    <w:p w:rsidR="00E81972" w:rsidRPr="00D213C1" w:rsidRDefault="00E81972" w:rsidP="00543BFC">
      <w:pPr>
        <w:widowControl/>
        <w:ind w:firstLine="720"/>
        <w:rPr>
          <w:rFonts w:ascii="Times New Roman" w:hAnsi="Times New Roman"/>
        </w:rPr>
        <w:sectPr w:rsidR="00E81972" w:rsidRPr="00D213C1" w:rsidSect="006C205A">
          <w:footerReference w:type="even" r:id="rId7"/>
          <w:footerReference w:type="default" r:id="rId8"/>
          <w:endnotePr>
            <w:numFmt w:val="decimal"/>
          </w:endnotePr>
          <w:type w:val="continuous"/>
          <w:pgSz w:w="12240" w:h="15840"/>
          <w:pgMar w:top="1152" w:right="1440" w:bottom="1440" w:left="1440" w:header="1440" w:footer="1440" w:gutter="0"/>
          <w:cols w:space="720"/>
          <w:noEndnote/>
          <w:titlePg/>
        </w:sectPr>
      </w:pPr>
    </w:p>
    <w:p w:rsidR="006F4A4B" w:rsidRPr="001300FC" w:rsidRDefault="001D37CE" w:rsidP="001300FC">
      <w:pPr>
        <w:widowControl/>
        <w:ind w:firstLine="720"/>
        <w:rPr>
          <w:rFonts w:ascii="Times New Roman" w:hAnsi="Times New Roman"/>
          <w:b/>
          <w:bCs/>
        </w:rPr>
      </w:pPr>
      <w:proofErr w:type="gramStart"/>
      <w:r w:rsidRPr="00A73034">
        <w:rPr>
          <w:rFonts w:ascii="Times New Roman" w:hAnsi="Times New Roman"/>
          <w:b/>
          <w:bCs/>
        </w:rPr>
        <w:lastRenderedPageBreak/>
        <w:t>Domestically Chartered Commercial Banks</w:t>
      </w:r>
      <w:r w:rsidRPr="00A73034">
        <w:rPr>
          <w:rFonts w:ascii="Times New Roman" w:hAnsi="Times New Roman"/>
        </w:rPr>
        <w:t>.</w:t>
      </w:r>
      <w:proofErr w:type="gramEnd"/>
      <w:r w:rsidRPr="00A73034">
        <w:rPr>
          <w:rFonts w:ascii="Times New Roman" w:hAnsi="Times New Roman"/>
        </w:rPr>
        <w:t xml:space="preserve">  </w:t>
      </w:r>
      <w:r w:rsidR="006F4A4B" w:rsidRPr="00D213C1">
        <w:rPr>
          <w:rFonts w:ascii="Times New Roman" w:hAnsi="Times New Roman"/>
        </w:rPr>
        <w:t xml:space="preserve">The primary panel of respondents, identical to the U.S. commercial bank subset of respondents for the Senior Loan Officer Opinion Survey, </w:t>
      </w:r>
      <w:r w:rsidR="00806755" w:rsidRPr="00D213C1">
        <w:rPr>
          <w:rFonts w:ascii="Times New Roman" w:hAnsi="Times New Roman"/>
        </w:rPr>
        <w:t xml:space="preserve">currently </w:t>
      </w:r>
      <w:r w:rsidR="006F4A4B" w:rsidRPr="00D213C1">
        <w:rPr>
          <w:rFonts w:ascii="Times New Roman" w:hAnsi="Times New Roman"/>
        </w:rPr>
        <w:t xml:space="preserve">comprises </w:t>
      </w:r>
      <w:r w:rsidR="00270311" w:rsidRPr="00D213C1">
        <w:rPr>
          <w:rFonts w:ascii="Times New Roman" w:hAnsi="Times New Roman"/>
        </w:rPr>
        <w:t>55</w:t>
      </w:r>
      <w:r w:rsidR="006F4A4B" w:rsidRPr="00D213C1">
        <w:rPr>
          <w:rFonts w:ascii="Times New Roman" w:hAnsi="Times New Roman"/>
        </w:rPr>
        <w:t xml:space="preserve"> large</w:t>
      </w:r>
      <w:r w:rsidR="00D136BF" w:rsidRPr="00D213C1">
        <w:rPr>
          <w:rFonts w:ascii="Times New Roman" w:hAnsi="Times New Roman"/>
        </w:rPr>
        <w:t>,</w:t>
      </w:r>
      <w:r w:rsidR="006F4A4B" w:rsidRPr="00D213C1">
        <w:rPr>
          <w:rFonts w:ascii="Times New Roman" w:hAnsi="Times New Roman"/>
        </w:rPr>
        <w:t xml:space="preserve"> domestically chartered commercial banks, distributed as evenly as possible across Federal</w:t>
      </w:r>
      <w:r w:rsidR="006F4A4B" w:rsidRPr="00A42A08">
        <w:rPr>
          <w:rFonts w:ascii="Times" w:hAnsi="Times"/>
        </w:rPr>
        <w:t xml:space="preserve"> </w:t>
      </w:r>
      <w:r w:rsidR="006F4A4B" w:rsidRPr="00D213C1">
        <w:rPr>
          <w:rFonts w:ascii="Times New Roman" w:hAnsi="Times New Roman"/>
        </w:rPr>
        <w:t>Reserve districts.</w:t>
      </w:r>
      <w:r w:rsidR="006F4A4B" w:rsidRPr="00D213C1">
        <w:rPr>
          <w:rStyle w:val="FootnoteReference"/>
          <w:rFonts w:ascii="Times New Roman" w:hAnsi="Times New Roman"/>
          <w:vertAlign w:val="superscript"/>
        </w:rPr>
        <w:footnoteReference w:id="1"/>
      </w:r>
      <w:r w:rsidR="006F4A4B" w:rsidRPr="00D213C1">
        <w:rPr>
          <w:rFonts w:ascii="Times New Roman" w:hAnsi="Times New Roman"/>
        </w:rPr>
        <w:t xml:space="preserve">  </w:t>
      </w:r>
      <w:r w:rsidR="00F44DC2" w:rsidRPr="00D213C1">
        <w:rPr>
          <w:rFonts w:ascii="Times New Roman" w:hAnsi="Times New Roman"/>
        </w:rPr>
        <w:t>A</w:t>
      </w:r>
      <w:r w:rsidR="003B35D6" w:rsidRPr="00D213C1">
        <w:rPr>
          <w:rFonts w:ascii="Times New Roman" w:hAnsi="Times New Roman"/>
        </w:rPr>
        <w:t xml:space="preserve">s of </w:t>
      </w:r>
      <w:r w:rsidR="001300FC">
        <w:rPr>
          <w:rFonts w:ascii="Times New Roman" w:hAnsi="Times New Roman"/>
        </w:rPr>
        <w:t>September</w:t>
      </w:r>
      <w:r w:rsidR="00794CBF" w:rsidRPr="00D213C1">
        <w:rPr>
          <w:rFonts w:ascii="Times New Roman" w:hAnsi="Times New Roman"/>
        </w:rPr>
        <w:t xml:space="preserve"> 30, 2011</w:t>
      </w:r>
      <w:r w:rsidR="00AD6635" w:rsidRPr="00D213C1">
        <w:rPr>
          <w:rFonts w:ascii="Times New Roman" w:hAnsi="Times New Roman"/>
        </w:rPr>
        <w:t>,</w:t>
      </w:r>
      <w:r w:rsidR="00F44DC2" w:rsidRPr="00D213C1">
        <w:rPr>
          <w:rFonts w:ascii="Times New Roman" w:hAnsi="Times New Roman"/>
        </w:rPr>
        <w:t xml:space="preserve"> </w:t>
      </w:r>
      <w:r w:rsidR="001300FC">
        <w:rPr>
          <w:rFonts w:ascii="Times New Roman" w:hAnsi="Times New Roman"/>
        </w:rPr>
        <w:t>t</w:t>
      </w:r>
      <w:r w:rsidR="001300FC" w:rsidRPr="00A73034">
        <w:rPr>
          <w:rFonts w:ascii="Times New Roman" w:hAnsi="Times New Roman"/>
        </w:rPr>
        <w:t>he assets of the panel banks totaled $7.</w:t>
      </w:r>
      <w:r w:rsidR="001300FC">
        <w:rPr>
          <w:rFonts w:ascii="Times New Roman" w:hAnsi="Times New Roman"/>
        </w:rPr>
        <w:t>5</w:t>
      </w:r>
      <w:r w:rsidR="001300FC" w:rsidRPr="00A73034">
        <w:rPr>
          <w:rFonts w:ascii="Times New Roman" w:hAnsi="Times New Roman"/>
        </w:rPr>
        <w:t xml:space="preserve"> trillion and accounted for about 6</w:t>
      </w:r>
      <w:r w:rsidR="001300FC">
        <w:rPr>
          <w:rFonts w:ascii="Times New Roman" w:hAnsi="Times New Roman"/>
        </w:rPr>
        <w:t>9</w:t>
      </w:r>
      <w:r w:rsidR="001300FC" w:rsidRPr="00A73034">
        <w:rPr>
          <w:rFonts w:ascii="Times New Roman" w:hAnsi="Times New Roman"/>
        </w:rPr>
        <w:t xml:space="preserve"> percent of the $10.</w:t>
      </w:r>
      <w:r w:rsidR="001300FC">
        <w:rPr>
          <w:rFonts w:ascii="Times New Roman" w:hAnsi="Times New Roman"/>
        </w:rPr>
        <w:t>9</w:t>
      </w:r>
      <w:r w:rsidR="001300FC" w:rsidRPr="00A73034">
        <w:rPr>
          <w:rFonts w:ascii="Times New Roman" w:hAnsi="Times New Roman"/>
        </w:rPr>
        <w:t xml:space="preserve"> trillion in total assets at domestically chartered institutions</w:t>
      </w:r>
      <w:r w:rsidR="001300FC">
        <w:rPr>
          <w:rFonts w:ascii="Times New Roman" w:hAnsi="Times New Roman"/>
        </w:rPr>
        <w:t xml:space="preserve">.  </w:t>
      </w:r>
      <w:r w:rsidR="006F4A4B" w:rsidRPr="00D213C1">
        <w:rPr>
          <w:rFonts w:ascii="Times New Roman" w:hAnsi="Times New Roman"/>
        </w:rPr>
        <w:t xml:space="preserve">The overlap between the reporting panels of </w:t>
      </w:r>
      <w:r w:rsidR="001F0DD7" w:rsidRPr="00D213C1">
        <w:rPr>
          <w:rFonts w:ascii="Times New Roman" w:hAnsi="Times New Roman"/>
        </w:rPr>
        <w:t xml:space="preserve">the FR 2018 and FR 2023 </w:t>
      </w:r>
      <w:r w:rsidR="006F4A4B" w:rsidRPr="00D213C1">
        <w:rPr>
          <w:rFonts w:ascii="Times New Roman" w:hAnsi="Times New Roman"/>
        </w:rPr>
        <w:t>surveys aids the Federal Reserve in interpreting the data received.</w:t>
      </w:r>
    </w:p>
    <w:p w:rsidR="006F4A4B" w:rsidRPr="00D213C1" w:rsidRDefault="006F4A4B" w:rsidP="00543BFC">
      <w:pPr>
        <w:widowControl/>
        <w:ind w:firstLine="720"/>
        <w:rPr>
          <w:rFonts w:ascii="Times New Roman" w:hAnsi="Times New Roman"/>
        </w:rPr>
      </w:pPr>
    </w:p>
    <w:p w:rsidR="001F0DD7" w:rsidRPr="00D213C1" w:rsidRDefault="001D37CE" w:rsidP="001F0DD7">
      <w:pPr>
        <w:widowControl/>
        <w:ind w:firstLine="720"/>
        <w:rPr>
          <w:rFonts w:ascii="Times New Roman" w:hAnsi="Times New Roman"/>
        </w:rPr>
      </w:pPr>
      <w:proofErr w:type="gramStart"/>
      <w:r w:rsidRPr="00A73034">
        <w:rPr>
          <w:rFonts w:ascii="Times New Roman" w:hAnsi="Times New Roman"/>
          <w:b/>
          <w:bCs/>
        </w:rPr>
        <w:lastRenderedPageBreak/>
        <w:t>Optional Panel.</w:t>
      </w:r>
      <w:proofErr w:type="gramEnd"/>
      <w:r w:rsidRPr="00A73034">
        <w:rPr>
          <w:rFonts w:ascii="Times New Roman" w:hAnsi="Times New Roman"/>
        </w:rPr>
        <w:t xml:space="preserve">  </w:t>
      </w:r>
      <w:r w:rsidR="00872C3B">
        <w:rPr>
          <w:rFonts w:ascii="Times New Roman" w:hAnsi="Times New Roman"/>
        </w:rPr>
        <w:t>The</w:t>
      </w:r>
      <w:r w:rsidR="0078308B">
        <w:rPr>
          <w:rFonts w:ascii="Times New Roman" w:hAnsi="Times New Roman"/>
        </w:rPr>
        <w:t xml:space="preserve"> </w:t>
      </w:r>
      <w:r w:rsidR="009A42E0">
        <w:rPr>
          <w:rFonts w:ascii="Times New Roman" w:hAnsi="Times New Roman"/>
        </w:rPr>
        <w:t>panel</w:t>
      </w:r>
      <w:r w:rsidR="008C62AB">
        <w:rPr>
          <w:rFonts w:ascii="Times New Roman" w:hAnsi="Times New Roman"/>
        </w:rPr>
        <w:t xml:space="preserve"> of</w:t>
      </w:r>
      <w:r w:rsidR="001F0DD7" w:rsidRPr="00D213C1">
        <w:rPr>
          <w:rFonts w:ascii="Times New Roman" w:hAnsi="Times New Roman"/>
        </w:rPr>
        <w:t xml:space="preserve"> large domestically chartered commercial banks </w:t>
      </w:r>
      <w:r w:rsidR="0078308B">
        <w:rPr>
          <w:rFonts w:ascii="Times New Roman" w:hAnsi="Times New Roman"/>
        </w:rPr>
        <w:t xml:space="preserve">would </w:t>
      </w:r>
      <w:r w:rsidR="001F0DD7" w:rsidRPr="00D213C1">
        <w:rPr>
          <w:rFonts w:ascii="Times New Roman" w:hAnsi="Times New Roman"/>
        </w:rPr>
        <w:t xml:space="preserve">be appropriate for most survey topics.  In some situations, however, panels based on alternative criteria may be more appropriate or may provide useful additional information.  Consequently, </w:t>
      </w:r>
      <w:r w:rsidR="00872C3B">
        <w:rPr>
          <w:rFonts w:ascii="Times New Roman" w:hAnsi="Times New Roman"/>
        </w:rPr>
        <w:t>the Federal Reserve</w:t>
      </w:r>
      <w:r w:rsidR="001F0DD7" w:rsidRPr="00D213C1">
        <w:rPr>
          <w:rFonts w:ascii="Times New Roman" w:hAnsi="Times New Roman"/>
        </w:rPr>
        <w:t xml:space="preserve"> has the option to survey other types of respondents (such as other depository institutions, bank holding companies, or other financial entities) in addition to the current panel.  For example, it may be useful to survey institutional loan investors to gain a better understanding of how that part of the syndicated loan market works.  This option enhances the potential scope and utility of the survey and is consistent with the FR 20</w:t>
      </w:r>
      <w:r w:rsidR="007F6D21" w:rsidRPr="00D213C1">
        <w:rPr>
          <w:rFonts w:ascii="Times New Roman" w:hAnsi="Times New Roman"/>
        </w:rPr>
        <w:t>18</w:t>
      </w:r>
      <w:r w:rsidR="001F0DD7" w:rsidRPr="00D213C1">
        <w:rPr>
          <w:rFonts w:ascii="Times New Roman" w:hAnsi="Times New Roman"/>
        </w:rPr>
        <w:t>.</w:t>
      </w:r>
      <w:r w:rsidR="001F0DD7" w:rsidRPr="00D213C1">
        <w:rPr>
          <w:rStyle w:val="FootnoteReference"/>
          <w:rFonts w:ascii="Times New Roman" w:hAnsi="Times New Roman"/>
          <w:vertAlign w:val="superscript"/>
        </w:rPr>
        <w:t xml:space="preserve"> </w:t>
      </w:r>
      <w:r w:rsidR="001F0DD7" w:rsidRPr="00D213C1">
        <w:rPr>
          <w:rFonts w:ascii="Times New Roman" w:hAnsi="Times New Roman"/>
        </w:rPr>
        <w:t>Also consistent with the FR 20</w:t>
      </w:r>
      <w:r w:rsidR="007F6D21" w:rsidRPr="00D213C1">
        <w:rPr>
          <w:rFonts w:ascii="Times New Roman" w:hAnsi="Times New Roman"/>
        </w:rPr>
        <w:t>18</w:t>
      </w:r>
      <w:r w:rsidR="001F0DD7" w:rsidRPr="00D213C1">
        <w:rPr>
          <w:rFonts w:ascii="Times New Roman" w:hAnsi="Times New Roman"/>
        </w:rPr>
        <w:t xml:space="preserve">, the surveys of optional panels would be conducted either by </w:t>
      </w:r>
      <w:r w:rsidR="002B3392">
        <w:rPr>
          <w:rFonts w:ascii="Times New Roman" w:hAnsi="Times New Roman"/>
        </w:rPr>
        <w:t xml:space="preserve">the </w:t>
      </w:r>
      <w:r w:rsidR="001F0DD7" w:rsidRPr="00D213C1">
        <w:rPr>
          <w:rFonts w:ascii="Times New Roman" w:hAnsi="Times New Roman"/>
        </w:rPr>
        <w:t xml:space="preserve">Reserve Bank or </w:t>
      </w:r>
      <w:r w:rsidR="002B3392">
        <w:rPr>
          <w:rFonts w:ascii="Times New Roman" w:hAnsi="Times New Roman"/>
        </w:rPr>
        <w:t>Federal Reserve staff</w:t>
      </w:r>
      <w:r w:rsidR="001F0DD7" w:rsidRPr="00D213C1">
        <w:rPr>
          <w:rFonts w:ascii="Times New Roman" w:hAnsi="Times New Roman"/>
        </w:rPr>
        <w:t>, as appropriate.</w:t>
      </w:r>
    </w:p>
    <w:p w:rsidR="00E81972" w:rsidRPr="00D213C1" w:rsidRDefault="00E81972" w:rsidP="00E81972">
      <w:pPr>
        <w:widowControl/>
        <w:ind w:firstLine="720"/>
        <w:rPr>
          <w:rFonts w:ascii="Times New Roman" w:hAnsi="Times New Roman"/>
          <w:b/>
          <w:bCs/>
        </w:rPr>
      </w:pPr>
    </w:p>
    <w:p w:rsidR="000C5D1C" w:rsidRPr="00D213C1" w:rsidRDefault="00E81972">
      <w:pPr>
        <w:widowControl/>
        <w:ind w:firstLine="720"/>
        <w:rPr>
          <w:rFonts w:ascii="Times New Roman" w:hAnsi="Times New Roman"/>
        </w:rPr>
      </w:pPr>
      <w:r w:rsidRPr="00D213C1">
        <w:rPr>
          <w:rFonts w:ascii="Times New Roman" w:hAnsi="Times New Roman"/>
          <w:b/>
          <w:bCs/>
        </w:rPr>
        <w:t>Proposed Revisions</w:t>
      </w:r>
    </w:p>
    <w:p w:rsidR="00E81972" w:rsidRPr="00D213C1" w:rsidRDefault="00E81972" w:rsidP="00543BFC">
      <w:pPr>
        <w:widowControl/>
        <w:ind w:firstLine="720"/>
        <w:rPr>
          <w:rFonts w:ascii="Times New Roman" w:hAnsi="Times New Roman"/>
        </w:rPr>
      </w:pPr>
    </w:p>
    <w:p w:rsidR="00CA2DD6" w:rsidRDefault="008C62AB" w:rsidP="00526DB6">
      <w:pPr>
        <w:widowControl/>
        <w:ind w:firstLine="720"/>
        <w:rPr>
          <w:rFonts w:ascii="Times New Roman" w:hAnsi="Times New Roman"/>
        </w:rPr>
      </w:pPr>
      <w:r>
        <w:rPr>
          <w:rFonts w:ascii="Times New Roman" w:hAnsi="Times New Roman"/>
        </w:rPr>
        <w:t>The Federal Reserve</w:t>
      </w:r>
      <w:r w:rsidR="00526DB6" w:rsidRPr="00A73034">
        <w:rPr>
          <w:rFonts w:ascii="Times New Roman" w:hAnsi="Times New Roman"/>
        </w:rPr>
        <w:t xml:space="preserve"> proposes to: (1) add 20 domestically chartered commercial banks with $2 to $10 billion in total assets to the current reporting panel and (2) reduce the minimum asset size for panel institutions from $3 billion to $2 billion.  </w:t>
      </w:r>
      <w:r>
        <w:rPr>
          <w:rFonts w:ascii="Times New Roman" w:hAnsi="Times New Roman"/>
          <w:color w:val="000000"/>
        </w:rPr>
        <w:t>The Federal Reserve</w:t>
      </w:r>
      <w:r w:rsidR="00BC41C9">
        <w:rPr>
          <w:rFonts w:ascii="Times New Roman" w:hAnsi="Times New Roman"/>
          <w:color w:val="000000"/>
        </w:rPr>
        <w:t xml:space="preserve"> believes that the addition to the panel would provide a more comprehensive picture of differences in </w:t>
      </w:r>
      <w:r w:rsidR="00BC41C9" w:rsidRPr="006933CF">
        <w:rPr>
          <w:rFonts w:ascii="Times New Roman" w:hAnsi="Times New Roman"/>
          <w:bCs/>
          <w:color w:val="000000"/>
        </w:rPr>
        <w:t>funding</w:t>
      </w:r>
      <w:r w:rsidR="00BC41C9">
        <w:rPr>
          <w:rFonts w:ascii="Times New Roman" w:hAnsi="Times New Roman"/>
          <w:color w:val="000000"/>
        </w:rPr>
        <w:t xml:space="preserve"> conditions at the largest banks and regional banks, and deeper coverage of banks that lend in commercial real estate and small business markets.  </w:t>
      </w:r>
      <w:r w:rsidR="00CA2DD6" w:rsidRPr="00D213C1">
        <w:rPr>
          <w:rFonts w:ascii="Times New Roman" w:hAnsi="Times New Roman"/>
        </w:rPr>
        <w:t>The reporting panel selection criteria for the FR 2023 are consistent with those criteria from the Senior Loan Officer Opinion Survey on Bank Lending Practices (</w:t>
      </w:r>
      <w:r w:rsidR="00CA2DD6" w:rsidRPr="00D213C1">
        <w:rPr>
          <w:rFonts w:ascii="Times New Roman" w:hAnsi="Times New Roman"/>
          <w:bCs/>
        </w:rPr>
        <w:t xml:space="preserve">FR 2018; OMB No. 7100-0058). </w:t>
      </w:r>
      <w:r w:rsidR="00CA2DD6" w:rsidRPr="00D213C1">
        <w:rPr>
          <w:rFonts w:ascii="Times New Roman" w:hAnsi="Times New Roman"/>
        </w:rPr>
        <w:t>The proposed FR 2023 panel revisions are necessary in order to maintain</w:t>
      </w:r>
      <w:r w:rsidR="00526DB6">
        <w:rPr>
          <w:rFonts w:ascii="Times New Roman" w:hAnsi="Times New Roman"/>
        </w:rPr>
        <w:t xml:space="preserve"> consistency with the proposed </w:t>
      </w:r>
      <w:r w:rsidR="00CA2DD6" w:rsidRPr="00D213C1">
        <w:rPr>
          <w:rFonts w:ascii="Times New Roman" w:hAnsi="Times New Roman"/>
        </w:rPr>
        <w:t>panel revision in the FR 2018.</w:t>
      </w:r>
    </w:p>
    <w:p w:rsidR="003E265F" w:rsidRDefault="003E265F" w:rsidP="00526DB6">
      <w:pPr>
        <w:widowControl/>
        <w:ind w:firstLine="720"/>
        <w:rPr>
          <w:rFonts w:ascii="Times New Roman" w:hAnsi="Times New Roman"/>
        </w:rPr>
      </w:pPr>
    </w:p>
    <w:p w:rsidR="003E265F" w:rsidRDefault="006E5447" w:rsidP="003E265F">
      <w:pPr>
        <w:widowControl/>
        <w:ind w:firstLine="720"/>
        <w:rPr>
          <w:rFonts w:ascii="Times New Roman" w:hAnsi="Times New Roman"/>
        </w:rPr>
      </w:pPr>
      <w:r>
        <w:rPr>
          <w:rFonts w:ascii="Times New Roman" w:hAnsi="Times New Roman"/>
        </w:rPr>
        <w:t xml:space="preserve">Consistent with the FR 2018, </w:t>
      </w:r>
      <w:r w:rsidR="008C62AB">
        <w:rPr>
          <w:rFonts w:ascii="Times New Roman" w:hAnsi="Times New Roman"/>
        </w:rPr>
        <w:t>the Federal Reserve</w:t>
      </w:r>
      <w:r w:rsidR="003E265F">
        <w:rPr>
          <w:rFonts w:ascii="Times New Roman" w:hAnsi="Times New Roman"/>
        </w:rPr>
        <w:t xml:space="preserve"> would </w:t>
      </w:r>
      <w:r w:rsidR="00DC53FF">
        <w:rPr>
          <w:rFonts w:ascii="Times New Roman" w:hAnsi="Times New Roman"/>
        </w:rPr>
        <w:t>add</w:t>
      </w:r>
      <w:r w:rsidR="003E265F">
        <w:rPr>
          <w:rFonts w:ascii="Times New Roman" w:hAnsi="Times New Roman"/>
        </w:rPr>
        <w:t xml:space="preserve"> </w:t>
      </w:r>
      <w:r w:rsidR="00DC53FF">
        <w:rPr>
          <w:rFonts w:ascii="Times New Roman" w:hAnsi="Times New Roman"/>
        </w:rPr>
        <w:t xml:space="preserve">the </w:t>
      </w:r>
      <w:r w:rsidR="003E265F">
        <w:rPr>
          <w:rFonts w:ascii="Times New Roman" w:hAnsi="Times New Roman"/>
        </w:rPr>
        <w:t xml:space="preserve">banks </w:t>
      </w:r>
      <w:r w:rsidR="00DC53FF">
        <w:rPr>
          <w:rFonts w:ascii="Times New Roman" w:hAnsi="Times New Roman"/>
        </w:rPr>
        <w:t>to</w:t>
      </w:r>
      <w:r w:rsidR="003E265F">
        <w:rPr>
          <w:rFonts w:ascii="Times New Roman" w:hAnsi="Times New Roman"/>
        </w:rPr>
        <w:t xml:space="preserve"> the </w:t>
      </w:r>
      <w:r>
        <w:rPr>
          <w:rFonts w:ascii="Times New Roman" w:hAnsi="Times New Roman"/>
        </w:rPr>
        <w:t xml:space="preserve">FR 2023 </w:t>
      </w:r>
      <w:r w:rsidR="003E265F">
        <w:rPr>
          <w:rFonts w:ascii="Times New Roman" w:hAnsi="Times New Roman"/>
        </w:rPr>
        <w:t>survey</w:t>
      </w:r>
      <w:r w:rsidR="00DC53FF">
        <w:rPr>
          <w:rFonts w:ascii="Times New Roman" w:hAnsi="Times New Roman"/>
        </w:rPr>
        <w:t xml:space="preserve"> panel</w:t>
      </w:r>
      <w:r w:rsidR="003E265F" w:rsidRPr="003A3F8D">
        <w:rPr>
          <w:rFonts w:ascii="Times New Roman" w:hAnsi="Times New Roman"/>
        </w:rPr>
        <w:t xml:space="preserve"> </w:t>
      </w:r>
      <w:r w:rsidR="003E265F">
        <w:rPr>
          <w:rFonts w:ascii="Times New Roman" w:hAnsi="Times New Roman"/>
        </w:rPr>
        <w:t>over the course of several months.</w:t>
      </w:r>
      <w:r w:rsidR="00DC53FF">
        <w:rPr>
          <w:rFonts w:ascii="Times New Roman" w:hAnsi="Times New Roman"/>
        </w:rPr>
        <w:t xml:space="preserve">  In practice, the additional respondents would be the same as those added to the FR 2018 panel.</w:t>
      </w:r>
    </w:p>
    <w:p w:rsidR="00EC7A19" w:rsidRPr="00A73034" w:rsidRDefault="00EC7A19" w:rsidP="003E265F">
      <w:pPr>
        <w:widowControl/>
        <w:ind w:firstLine="720"/>
        <w:rPr>
          <w:rFonts w:ascii="Times New Roman" w:hAnsi="Times New Roman"/>
        </w:rPr>
      </w:pPr>
    </w:p>
    <w:p w:rsidR="006F4A4B" w:rsidRPr="00D213C1" w:rsidRDefault="006F4A4B" w:rsidP="00543BFC">
      <w:pPr>
        <w:widowControl/>
        <w:rPr>
          <w:rFonts w:ascii="Times New Roman" w:hAnsi="Times New Roman"/>
        </w:rPr>
      </w:pPr>
      <w:r w:rsidRPr="00D213C1">
        <w:rPr>
          <w:rFonts w:ascii="Times New Roman" w:hAnsi="Times New Roman"/>
          <w:b/>
          <w:bCs/>
        </w:rPr>
        <w:t>Time Schedule for Information Collection and Publication</w:t>
      </w:r>
    </w:p>
    <w:p w:rsidR="006F4A4B" w:rsidRPr="00D213C1" w:rsidRDefault="006F4A4B" w:rsidP="00543BFC">
      <w:pPr>
        <w:widowControl/>
        <w:ind w:firstLine="720"/>
        <w:rPr>
          <w:rFonts w:ascii="Times New Roman" w:hAnsi="Times New Roman"/>
        </w:rPr>
      </w:pPr>
    </w:p>
    <w:p w:rsidR="00241A8A" w:rsidRDefault="00241A8A" w:rsidP="00543BFC">
      <w:pPr>
        <w:widowControl/>
        <w:ind w:firstLine="720"/>
        <w:rPr>
          <w:rFonts w:ascii="Times New Roman" w:hAnsi="Times New Roman"/>
          <w:color w:val="000000"/>
        </w:rPr>
      </w:pPr>
      <w:r>
        <w:rPr>
          <w:rFonts w:ascii="Times New Roman" w:hAnsi="Times New Roman"/>
          <w:color w:val="000000"/>
        </w:rPr>
        <w:t xml:space="preserve">The survey may be conducted up to four times per year.  In 1994, two surveys were conducted that assisted the Federal Reserve in its assessment of bank behavior and financial market conditions.  Since then, only </w:t>
      </w:r>
      <w:r w:rsidR="00DC53FF">
        <w:rPr>
          <w:rFonts w:ascii="Times New Roman" w:hAnsi="Times New Roman"/>
          <w:color w:val="000000"/>
        </w:rPr>
        <w:t>t</w:t>
      </w:r>
      <w:r w:rsidR="00E064C6">
        <w:rPr>
          <w:rFonts w:ascii="Times New Roman" w:hAnsi="Times New Roman"/>
          <w:color w:val="000000"/>
        </w:rPr>
        <w:t>wo</w:t>
      </w:r>
      <w:r w:rsidR="00DC53FF">
        <w:rPr>
          <w:rFonts w:ascii="Times New Roman" w:hAnsi="Times New Roman"/>
          <w:color w:val="000000"/>
        </w:rPr>
        <w:t xml:space="preserve"> </w:t>
      </w:r>
      <w:r w:rsidR="008C62AB">
        <w:rPr>
          <w:rFonts w:ascii="Times New Roman" w:hAnsi="Times New Roman"/>
          <w:color w:val="000000"/>
        </w:rPr>
        <w:t>surveys have been conducted (</w:t>
      </w:r>
      <w:r>
        <w:rPr>
          <w:rFonts w:ascii="Times New Roman" w:hAnsi="Times New Roman"/>
          <w:color w:val="000000"/>
        </w:rPr>
        <w:t>in May 1996</w:t>
      </w:r>
      <w:r w:rsidR="00E064C6">
        <w:rPr>
          <w:rFonts w:ascii="Times New Roman" w:hAnsi="Times New Roman"/>
          <w:color w:val="000000"/>
        </w:rPr>
        <w:t xml:space="preserve"> and</w:t>
      </w:r>
      <w:r>
        <w:rPr>
          <w:rFonts w:ascii="Times New Roman" w:hAnsi="Times New Roman"/>
          <w:color w:val="000000"/>
        </w:rPr>
        <w:t xml:space="preserve"> May 1998), as there were no circumstances requiring more frequent surveys. However, such circumstances coul</w:t>
      </w:r>
      <w:r w:rsidR="008C62AB">
        <w:rPr>
          <w:rFonts w:ascii="Times New Roman" w:hAnsi="Times New Roman"/>
          <w:color w:val="000000"/>
        </w:rPr>
        <w:t xml:space="preserve">d arise in the future and the Federal Reserve </w:t>
      </w:r>
      <w:r>
        <w:rPr>
          <w:rFonts w:ascii="Times New Roman" w:hAnsi="Times New Roman"/>
          <w:color w:val="000000"/>
        </w:rPr>
        <w:t>believes that the authority to conduct up to four surveys a year is essential in order for the Federal Reserve to maintain the ability to keep abreast of important market developments.</w:t>
      </w:r>
    </w:p>
    <w:p w:rsidR="00241A8A" w:rsidRDefault="00241A8A" w:rsidP="00543BFC">
      <w:pPr>
        <w:widowControl/>
        <w:ind w:firstLine="720"/>
        <w:rPr>
          <w:rFonts w:ascii="Times New Roman" w:hAnsi="Times New Roman"/>
          <w:color w:val="000000"/>
        </w:rPr>
      </w:pPr>
    </w:p>
    <w:p w:rsidR="006F4A4B" w:rsidRPr="00D213C1" w:rsidRDefault="006F4A4B" w:rsidP="00543BFC">
      <w:pPr>
        <w:widowControl/>
        <w:ind w:firstLine="720"/>
        <w:rPr>
          <w:rFonts w:ascii="Times New Roman" w:hAnsi="Times New Roman"/>
        </w:rPr>
      </w:pPr>
      <w:r w:rsidRPr="00D213C1">
        <w:rPr>
          <w:rFonts w:ascii="Times New Roman" w:hAnsi="Times New Roman"/>
        </w:rPr>
        <w:t xml:space="preserve">To the extent possible, the Federal Reserve notifies respondents in advance as to the topic(s) to be covered in an impending survey.  In extraordinary circumstances, when such notice is not possible, the decision to waive this advance notice provision would be made only by Federal Reserve Board officials.  </w:t>
      </w:r>
      <w:r w:rsidR="00241A8A">
        <w:rPr>
          <w:rFonts w:ascii="Times New Roman" w:hAnsi="Times New Roman"/>
        </w:rPr>
        <w:t>The survey is generally completed through electronic submission by</w:t>
      </w:r>
      <w:r w:rsidRPr="00D213C1">
        <w:rPr>
          <w:rFonts w:ascii="Times New Roman" w:hAnsi="Times New Roman"/>
        </w:rPr>
        <w:t xml:space="preserve"> a senior</w:t>
      </w:r>
      <w:r w:rsidR="00C902F9" w:rsidRPr="00D213C1">
        <w:rPr>
          <w:rFonts w:ascii="Times New Roman" w:hAnsi="Times New Roman"/>
        </w:rPr>
        <w:t xml:space="preserve"> </w:t>
      </w:r>
      <w:r w:rsidR="00760FFF">
        <w:rPr>
          <w:rFonts w:ascii="Times New Roman" w:hAnsi="Times New Roman"/>
        </w:rPr>
        <w:t xml:space="preserve">financial </w:t>
      </w:r>
      <w:r w:rsidRPr="00D213C1">
        <w:rPr>
          <w:rFonts w:ascii="Times New Roman" w:hAnsi="Times New Roman"/>
        </w:rPr>
        <w:t xml:space="preserve">officer at each respondent </w:t>
      </w:r>
      <w:r w:rsidR="00C902F9" w:rsidRPr="00D213C1">
        <w:rPr>
          <w:rFonts w:ascii="Times New Roman" w:hAnsi="Times New Roman"/>
        </w:rPr>
        <w:t>bank</w:t>
      </w:r>
      <w:r w:rsidR="005A70CD">
        <w:rPr>
          <w:rFonts w:ascii="Times New Roman" w:hAnsi="Times New Roman"/>
        </w:rPr>
        <w:t>.  If they prefer, banks also</w:t>
      </w:r>
      <w:r w:rsidR="00C902F9" w:rsidRPr="00D213C1">
        <w:rPr>
          <w:rFonts w:ascii="Times New Roman" w:hAnsi="Times New Roman"/>
        </w:rPr>
        <w:t xml:space="preserve"> </w:t>
      </w:r>
      <w:r w:rsidR="005A70CD">
        <w:rPr>
          <w:rFonts w:ascii="Times New Roman" w:hAnsi="Times New Roman"/>
        </w:rPr>
        <w:t>have the option of</w:t>
      </w:r>
      <w:r w:rsidR="00865572">
        <w:rPr>
          <w:rFonts w:ascii="Times New Roman" w:hAnsi="Times New Roman"/>
        </w:rPr>
        <w:t xml:space="preserve"> responding through a telephone</w:t>
      </w:r>
      <w:r w:rsidR="005A70CD">
        <w:rPr>
          <w:rFonts w:ascii="Times New Roman" w:hAnsi="Times New Roman"/>
        </w:rPr>
        <w:t xml:space="preserve"> interview conducted </w:t>
      </w:r>
      <w:r w:rsidRPr="00D213C1">
        <w:rPr>
          <w:rFonts w:ascii="Times New Roman" w:hAnsi="Times New Roman"/>
        </w:rPr>
        <w:t>either by a Reser</w:t>
      </w:r>
      <w:r w:rsidR="00A44206">
        <w:rPr>
          <w:rFonts w:ascii="Times New Roman" w:hAnsi="Times New Roman"/>
        </w:rPr>
        <w:t xml:space="preserve">ve Bank officer or </w:t>
      </w:r>
      <w:proofErr w:type="spellStart"/>
      <w:r w:rsidR="00A44206">
        <w:rPr>
          <w:rFonts w:ascii="Times New Roman" w:hAnsi="Times New Roman"/>
        </w:rPr>
        <w:t>senior</w:t>
      </w:r>
      <w:r w:rsidR="00A44206">
        <w:rPr>
          <w:rFonts w:ascii="Times New Roman" w:hAnsi="Times New Roman"/>
        </w:rPr>
        <w:noBreakHyphen/>
        <w:t>level</w:t>
      </w:r>
      <w:proofErr w:type="spellEnd"/>
      <w:r w:rsidR="00A44206">
        <w:rPr>
          <w:rFonts w:ascii="Times New Roman" w:hAnsi="Times New Roman"/>
        </w:rPr>
        <w:t xml:space="preserve"> </w:t>
      </w:r>
      <w:r w:rsidR="00872C3B">
        <w:rPr>
          <w:rFonts w:ascii="Times New Roman" w:hAnsi="Times New Roman"/>
        </w:rPr>
        <w:t xml:space="preserve">Federal Reserve </w:t>
      </w:r>
      <w:r w:rsidR="00A44206">
        <w:rPr>
          <w:rFonts w:ascii="Times New Roman" w:hAnsi="Times New Roman"/>
        </w:rPr>
        <w:t xml:space="preserve">Board </w:t>
      </w:r>
      <w:r w:rsidRPr="00D213C1">
        <w:rPr>
          <w:rFonts w:ascii="Times New Roman" w:hAnsi="Times New Roman"/>
        </w:rPr>
        <w:t xml:space="preserve">staff member who has expertise in the area of bank liability management, or by a </w:t>
      </w:r>
      <w:r w:rsidR="008C62AB">
        <w:rPr>
          <w:rFonts w:ascii="Times New Roman" w:hAnsi="Times New Roman"/>
        </w:rPr>
        <w:t xml:space="preserve">Federal Reserve </w:t>
      </w:r>
      <w:r w:rsidR="00B8249E">
        <w:rPr>
          <w:rFonts w:ascii="Times New Roman" w:hAnsi="Times New Roman"/>
        </w:rPr>
        <w:t xml:space="preserve">Board </w:t>
      </w:r>
      <w:r w:rsidRPr="00D213C1">
        <w:rPr>
          <w:rFonts w:ascii="Times New Roman" w:hAnsi="Times New Roman"/>
        </w:rPr>
        <w:t>staff member, as appropriate.</w:t>
      </w:r>
    </w:p>
    <w:p w:rsidR="00D22F17" w:rsidRPr="00D213C1" w:rsidRDefault="00D22F17" w:rsidP="00543BFC">
      <w:pPr>
        <w:widowControl/>
        <w:ind w:firstLine="720"/>
        <w:rPr>
          <w:rFonts w:ascii="Times New Roman" w:hAnsi="Times New Roman"/>
        </w:rPr>
      </w:pPr>
    </w:p>
    <w:p w:rsidR="006C205A" w:rsidRDefault="006F4A4B" w:rsidP="00543BFC">
      <w:pPr>
        <w:widowControl/>
        <w:ind w:firstLine="720"/>
        <w:rPr>
          <w:rFonts w:ascii="Times New Roman" w:hAnsi="Times New Roman"/>
        </w:rPr>
      </w:pPr>
      <w:r w:rsidRPr="00D213C1">
        <w:rPr>
          <w:rFonts w:ascii="Times New Roman" w:hAnsi="Times New Roman"/>
        </w:rPr>
        <w:lastRenderedPageBreak/>
        <w:t xml:space="preserve">Survey responses are tabulated and summarized at the </w:t>
      </w:r>
      <w:r w:rsidR="007D1294" w:rsidRPr="00D213C1">
        <w:rPr>
          <w:rFonts w:ascii="Times New Roman" w:hAnsi="Times New Roman"/>
        </w:rPr>
        <w:t xml:space="preserve">Federal Reserve </w:t>
      </w:r>
      <w:r w:rsidRPr="00D213C1">
        <w:rPr>
          <w:rFonts w:ascii="Times New Roman" w:hAnsi="Times New Roman"/>
        </w:rPr>
        <w:t>Board.  Summary data are forwarded to Reserve Banks for distribution to respondents and also are available to other members of the public.</w:t>
      </w:r>
    </w:p>
    <w:p w:rsidR="0078308B" w:rsidRDefault="0078308B" w:rsidP="00543BFC">
      <w:pPr>
        <w:widowControl/>
        <w:ind w:firstLine="720"/>
        <w:rPr>
          <w:rFonts w:ascii="Times New Roman" w:hAnsi="Times New Roman"/>
        </w:rPr>
      </w:pPr>
    </w:p>
    <w:p w:rsidR="006F4A4B" w:rsidRPr="00D213C1" w:rsidRDefault="006F4A4B" w:rsidP="00543BFC">
      <w:pPr>
        <w:widowControl/>
        <w:rPr>
          <w:rFonts w:ascii="Times New Roman" w:hAnsi="Times New Roman"/>
        </w:rPr>
      </w:pPr>
      <w:r w:rsidRPr="00D213C1">
        <w:rPr>
          <w:rFonts w:ascii="Times New Roman" w:hAnsi="Times New Roman"/>
          <w:b/>
          <w:bCs/>
        </w:rPr>
        <w:t>Legal Status</w:t>
      </w:r>
    </w:p>
    <w:p w:rsidR="006F4A4B" w:rsidRPr="00D213C1" w:rsidRDefault="006F4A4B" w:rsidP="00543BFC">
      <w:pPr>
        <w:widowControl/>
        <w:ind w:firstLine="720"/>
        <w:rPr>
          <w:rFonts w:ascii="Times New Roman" w:hAnsi="Times New Roman"/>
        </w:rPr>
      </w:pPr>
    </w:p>
    <w:p w:rsidR="00A42A08" w:rsidRDefault="006F2EED" w:rsidP="00543BFC">
      <w:pPr>
        <w:widowControl/>
        <w:ind w:firstLine="720"/>
        <w:rPr>
          <w:rFonts w:ascii="Times New Roman" w:hAnsi="Times New Roman"/>
        </w:rPr>
      </w:pPr>
      <w:r w:rsidRPr="00D213C1">
        <w:rPr>
          <w:rFonts w:ascii="Times New Roman" w:hAnsi="Times New Roman"/>
        </w:rPr>
        <w:t xml:space="preserve">The Federal Reserve's Legal Division has determined that the survey is authorized by </w:t>
      </w:r>
      <w:r w:rsidR="00C902F9" w:rsidRPr="00D213C1">
        <w:rPr>
          <w:rFonts w:ascii="Times New Roman" w:hAnsi="Times New Roman"/>
        </w:rPr>
        <w:t>S</w:t>
      </w:r>
      <w:r w:rsidRPr="00D213C1">
        <w:rPr>
          <w:rFonts w:ascii="Times New Roman" w:hAnsi="Times New Roman"/>
        </w:rPr>
        <w:t>ections 2A</w:t>
      </w:r>
      <w:r w:rsidR="00A725FA">
        <w:rPr>
          <w:rFonts w:ascii="Times New Roman" w:hAnsi="Times New Roman"/>
        </w:rPr>
        <w:t>, 11</w:t>
      </w:r>
      <w:r w:rsidRPr="00D213C1">
        <w:rPr>
          <w:rFonts w:ascii="Times New Roman" w:hAnsi="Times New Roman"/>
        </w:rPr>
        <w:t xml:space="preserve"> and</w:t>
      </w:r>
      <w:r w:rsidR="009A42E0">
        <w:rPr>
          <w:rFonts w:ascii="Times New Roman" w:hAnsi="Times New Roman"/>
        </w:rPr>
        <w:t xml:space="preserve"> </w:t>
      </w:r>
      <w:r w:rsidRPr="00D213C1">
        <w:rPr>
          <w:rFonts w:ascii="Times New Roman" w:hAnsi="Times New Roman"/>
        </w:rPr>
        <w:t xml:space="preserve">12A of the Federal Reserve Act (12 U.S.C. §§ 225a, 248(a), and 263) and is voluntary. </w:t>
      </w:r>
      <w:r w:rsidR="00A725FA">
        <w:rPr>
          <w:rFonts w:ascii="Times New Roman" w:hAnsi="Times New Roman"/>
        </w:rPr>
        <w:t xml:space="preserve">  </w:t>
      </w:r>
      <w:r w:rsidR="00A725FA" w:rsidRPr="00A73034">
        <w:rPr>
          <w:rFonts w:ascii="Times New Roman" w:hAnsi="Times New Roman"/>
        </w:rPr>
        <w:t xml:space="preserve">The individual bank information provided by each respondent is accorded confidential treatment under authority of exemption </w:t>
      </w:r>
      <w:r w:rsidR="009A42E0">
        <w:rPr>
          <w:rFonts w:ascii="Times New Roman" w:hAnsi="Times New Roman"/>
        </w:rPr>
        <w:t>4</w:t>
      </w:r>
      <w:r w:rsidR="00A725FA" w:rsidRPr="00A73034">
        <w:rPr>
          <w:rFonts w:ascii="Times New Roman" w:hAnsi="Times New Roman"/>
        </w:rPr>
        <w:t xml:space="preserve"> of the Freedom of Information Act (5 U.S.C. §552 (b</w:t>
      </w:r>
      <w:proofErr w:type="gramStart"/>
      <w:r w:rsidR="00A725FA" w:rsidRPr="00A73034">
        <w:rPr>
          <w:rFonts w:ascii="Times New Roman" w:hAnsi="Times New Roman"/>
        </w:rPr>
        <w:t>)(</w:t>
      </w:r>
      <w:proofErr w:type="gramEnd"/>
      <w:r w:rsidR="00A725FA" w:rsidRPr="00A73034">
        <w:rPr>
          <w:rFonts w:ascii="Times New Roman" w:hAnsi="Times New Roman"/>
        </w:rPr>
        <w:t xml:space="preserve">4)).  </w:t>
      </w:r>
    </w:p>
    <w:p w:rsidR="00035DAC" w:rsidRPr="00D213C1" w:rsidRDefault="00035DAC" w:rsidP="00543BFC">
      <w:pPr>
        <w:widowControl/>
        <w:ind w:firstLine="720"/>
        <w:rPr>
          <w:rFonts w:ascii="Times New Roman" w:hAnsi="Times New Roman"/>
        </w:rPr>
      </w:pPr>
    </w:p>
    <w:p w:rsidR="006F4A4B" w:rsidRPr="00D213C1" w:rsidRDefault="006F4A4B" w:rsidP="00543BFC">
      <w:pPr>
        <w:widowControl/>
        <w:rPr>
          <w:rFonts w:ascii="Times New Roman" w:hAnsi="Times New Roman"/>
        </w:rPr>
      </w:pPr>
      <w:r w:rsidRPr="00D213C1">
        <w:rPr>
          <w:rFonts w:ascii="Times New Roman" w:hAnsi="Times New Roman"/>
          <w:b/>
          <w:bCs/>
        </w:rPr>
        <w:t>Estimate of Respondent Burden</w:t>
      </w:r>
    </w:p>
    <w:p w:rsidR="006F4A4B" w:rsidRPr="00D213C1" w:rsidRDefault="006F4A4B" w:rsidP="00543BFC">
      <w:pPr>
        <w:widowControl/>
        <w:ind w:firstLine="720"/>
        <w:rPr>
          <w:rFonts w:ascii="Times New Roman" w:hAnsi="Times New Roman"/>
        </w:rPr>
      </w:pPr>
    </w:p>
    <w:p w:rsidR="00035DAC" w:rsidRDefault="00BF10C9" w:rsidP="00543BFC">
      <w:pPr>
        <w:widowControl/>
        <w:ind w:firstLine="720"/>
        <w:rPr>
          <w:rFonts w:ascii="Times New Roman" w:hAnsi="Times New Roman"/>
        </w:rPr>
      </w:pPr>
      <w:r w:rsidRPr="00D213C1">
        <w:rPr>
          <w:rFonts w:ascii="Times New Roman" w:hAnsi="Times New Roman"/>
        </w:rPr>
        <w:t xml:space="preserve">The current annual burden for the FR 2023 is estimated to be </w:t>
      </w:r>
      <w:r w:rsidR="00526DB6">
        <w:rPr>
          <w:rFonts w:ascii="Times New Roman" w:hAnsi="Times New Roman"/>
        </w:rPr>
        <w:t>720</w:t>
      </w:r>
      <w:r w:rsidRPr="00D213C1">
        <w:rPr>
          <w:rFonts w:ascii="Times New Roman" w:hAnsi="Times New Roman"/>
        </w:rPr>
        <w:t xml:space="preserve"> hours annually, a</w:t>
      </w:r>
      <w:r w:rsidR="006F4A4B" w:rsidRPr="00D213C1">
        <w:rPr>
          <w:rFonts w:ascii="Times New Roman" w:hAnsi="Times New Roman"/>
        </w:rPr>
        <w:t xml:space="preserve">s shown </w:t>
      </w:r>
      <w:r w:rsidR="000F600C" w:rsidRPr="00D213C1">
        <w:rPr>
          <w:rFonts w:ascii="Times New Roman" w:hAnsi="Times New Roman"/>
        </w:rPr>
        <w:t xml:space="preserve">in the following table. </w:t>
      </w:r>
      <w:r w:rsidR="00035DAC" w:rsidRPr="00D213C1">
        <w:rPr>
          <w:rFonts w:ascii="Times New Roman" w:hAnsi="Times New Roman"/>
        </w:rPr>
        <w:t xml:space="preserve"> </w:t>
      </w:r>
      <w:r w:rsidR="00CA2DD6" w:rsidRPr="00D213C1">
        <w:rPr>
          <w:rFonts w:ascii="Times New Roman" w:hAnsi="Times New Roman"/>
        </w:rPr>
        <w:t xml:space="preserve">The proposed revisions to the </w:t>
      </w:r>
      <w:r w:rsidR="00CA2DD6" w:rsidRPr="00D213C1">
        <w:rPr>
          <w:rFonts w:ascii="Times New Roman" w:hAnsi="Times New Roman"/>
          <w:bCs/>
        </w:rPr>
        <w:t>FR 2023</w:t>
      </w:r>
      <w:r w:rsidR="00CA2DD6" w:rsidRPr="00D213C1">
        <w:rPr>
          <w:rFonts w:ascii="Times New Roman" w:hAnsi="Times New Roman"/>
        </w:rPr>
        <w:t xml:space="preserve"> would increase the total estimated annual reporting burden to 960 hours, an increase of </w:t>
      </w:r>
      <w:r w:rsidR="00526DB6">
        <w:rPr>
          <w:rFonts w:ascii="Times New Roman" w:hAnsi="Times New Roman"/>
        </w:rPr>
        <w:t xml:space="preserve">240 </w:t>
      </w:r>
      <w:r w:rsidR="00CA2DD6" w:rsidRPr="00D213C1">
        <w:rPr>
          <w:rFonts w:ascii="Times New Roman" w:hAnsi="Times New Roman"/>
        </w:rPr>
        <w:t>hours, based on four surveys per year.</w:t>
      </w:r>
      <w:r w:rsidR="00AD5228" w:rsidRPr="00D213C1">
        <w:rPr>
          <w:rStyle w:val="FootnoteReference"/>
          <w:rFonts w:ascii="Times New Roman" w:hAnsi="Times New Roman"/>
          <w:vertAlign w:val="superscript"/>
        </w:rPr>
        <w:footnoteReference w:id="2"/>
      </w:r>
      <w:r w:rsidR="00035DAC" w:rsidRPr="00D213C1">
        <w:rPr>
          <w:rFonts w:ascii="Times New Roman" w:hAnsi="Times New Roman"/>
        </w:rPr>
        <w:t xml:space="preserve">  The FR 2023 survey </w:t>
      </w:r>
      <w:r w:rsidR="006F4A4B" w:rsidRPr="00D213C1">
        <w:rPr>
          <w:rFonts w:ascii="Times New Roman" w:hAnsi="Times New Roman"/>
        </w:rPr>
        <w:t>represents less than 1 percent of total Federal Reserve System</w:t>
      </w:r>
      <w:r w:rsidR="00035DAC" w:rsidRPr="00D213C1">
        <w:rPr>
          <w:rFonts w:ascii="Times New Roman" w:hAnsi="Times New Roman"/>
        </w:rPr>
        <w:t xml:space="preserve"> paperwork</w:t>
      </w:r>
      <w:r w:rsidR="006F4A4B" w:rsidRPr="00D213C1">
        <w:rPr>
          <w:rFonts w:ascii="Times New Roman" w:hAnsi="Times New Roman"/>
        </w:rPr>
        <w:t xml:space="preserve"> burden.</w:t>
      </w:r>
    </w:p>
    <w:p w:rsidR="00513645" w:rsidRDefault="00513645" w:rsidP="00543BFC">
      <w:pPr>
        <w:widowControl/>
        <w:ind w:firstLine="720"/>
        <w:rPr>
          <w:rFonts w:ascii="Times New Roman" w:hAnsi="Times New Roman"/>
        </w:rPr>
      </w:pPr>
    </w:p>
    <w:tbl>
      <w:tblPr>
        <w:tblW w:w="0" w:type="auto"/>
        <w:tblInd w:w="-72" w:type="dxa"/>
        <w:tblBorders>
          <w:top w:val="single" w:sz="4" w:space="0" w:color="000000" w:themeColor="text1"/>
          <w:bottom w:val="single" w:sz="4" w:space="0" w:color="000000" w:themeColor="text1"/>
        </w:tblBorders>
        <w:tblLook w:val="04A0"/>
      </w:tblPr>
      <w:tblGrid>
        <w:gridCol w:w="1987"/>
        <w:gridCol w:w="1915"/>
        <w:gridCol w:w="1915"/>
        <w:gridCol w:w="1915"/>
        <w:gridCol w:w="1916"/>
      </w:tblGrid>
      <w:tr w:rsidR="00A41011" w:rsidRPr="00D213C1" w:rsidTr="00035DAC">
        <w:tc>
          <w:tcPr>
            <w:tcW w:w="1987" w:type="dxa"/>
            <w:vAlign w:val="center"/>
          </w:tcPr>
          <w:p w:rsidR="00A41011" w:rsidRPr="00D213C1" w:rsidRDefault="00526DB6" w:rsidP="00035DAC">
            <w:pPr>
              <w:jc w:val="center"/>
              <w:rPr>
                <w:rFonts w:ascii="Times New Roman" w:hAnsi="Times New Roman"/>
                <w:i/>
              </w:rPr>
            </w:pPr>
            <w:r>
              <w:rPr>
                <w:rFonts w:ascii="Times New Roman" w:hAnsi="Times New Roman"/>
              </w:rPr>
              <w:br w:type="page"/>
            </w:r>
          </w:p>
        </w:tc>
        <w:tc>
          <w:tcPr>
            <w:tcW w:w="1915" w:type="dxa"/>
            <w:vAlign w:val="center"/>
          </w:tcPr>
          <w:p w:rsidR="00035DAC" w:rsidRPr="00D213C1" w:rsidRDefault="00A41011" w:rsidP="00035DAC">
            <w:pPr>
              <w:jc w:val="center"/>
              <w:rPr>
                <w:rFonts w:ascii="Times New Roman" w:hAnsi="Times New Roman"/>
                <w:i/>
              </w:rPr>
            </w:pPr>
            <w:r w:rsidRPr="00D213C1">
              <w:rPr>
                <w:rFonts w:ascii="Times New Roman" w:hAnsi="Times New Roman"/>
                <w:i/>
              </w:rPr>
              <w:t>Number</w:t>
            </w:r>
          </w:p>
          <w:p w:rsidR="00F34813" w:rsidRDefault="00F34813" w:rsidP="00035DAC">
            <w:pPr>
              <w:jc w:val="center"/>
              <w:rPr>
                <w:rFonts w:ascii="Times New Roman" w:hAnsi="Times New Roman"/>
                <w:i/>
              </w:rPr>
            </w:pPr>
            <w:r>
              <w:rPr>
                <w:rFonts w:ascii="Times New Roman" w:hAnsi="Times New Roman"/>
                <w:i/>
              </w:rPr>
              <w:t>o</w:t>
            </w:r>
            <w:r w:rsidR="00A41011" w:rsidRPr="00D213C1">
              <w:rPr>
                <w:rFonts w:ascii="Times New Roman" w:hAnsi="Times New Roman"/>
                <w:i/>
              </w:rPr>
              <w:t>f</w:t>
            </w:r>
          </w:p>
          <w:p w:rsidR="00A41011" w:rsidRPr="00D213C1" w:rsidRDefault="00A41011" w:rsidP="00035DAC">
            <w:pPr>
              <w:jc w:val="center"/>
              <w:rPr>
                <w:rFonts w:ascii="Times New Roman" w:hAnsi="Times New Roman"/>
                <w:i/>
              </w:rPr>
            </w:pPr>
            <w:r w:rsidRPr="00D213C1">
              <w:rPr>
                <w:rFonts w:ascii="Times New Roman" w:hAnsi="Times New Roman"/>
                <w:i/>
              </w:rPr>
              <w:t xml:space="preserve"> respondents</w:t>
            </w:r>
          </w:p>
        </w:tc>
        <w:tc>
          <w:tcPr>
            <w:tcW w:w="1915" w:type="dxa"/>
            <w:vAlign w:val="center"/>
          </w:tcPr>
          <w:p w:rsidR="00A41011" w:rsidRPr="00D213C1" w:rsidRDefault="00A41011" w:rsidP="00035DAC">
            <w:pPr>
              <w:jc w:val="center"/>
              <w:rPr>
                <w:rFonts w:ascii="Times New Roman" w:hAnsi="Times New Roman"/>
                <w:i/>
              </w:rPr>
            </w:pPr>
            <w:r w:rsidRPr="00D213C1">
              <w:rPr>
                <w:rFonts w:ascii="Times New Roman" w:hAnsi="Times New Roman"/>
                <w:i/>
              </w:rPr>
              <w:t>Annual Frequency</w:t>
            </w:r>
          </w:p>
        </w:tc>
        <w:tc>
          <w:tcPr>
            <w:tcW w:w="1915" w:type="dxa"/>
            <w:vAlign w:val="center"/>
          </w:tcPr>
          <w:p w:rsidR="00A41011" w:rsidRPr="00D213C1" w:rsidRDefault="00A41011" w:rsidP="00035DAC">
            <w:pPr>
              <w:jc w:val="center"/>
              <w:rPr>
                <w:rFonts w:ascii="Times New Roman" w:hAnsi="Times New Roman"/>
                <w:i/>
              </w:rPr>
            </w:pPr>
            <w:r w:rsidRPr="00D213C1">
              <w:rPr>
                <w:rFonts w:ascii="Times New Roman" w:hAnsi="Times New Roman"/>
                <w:i/>
              </w:rPr>
              <w:t>Estimated average hours per response</w:t>
            </w:r>
          </w:p>
        </w:tc>
        <w:tc>
          <w:tcPr>
            <w:tcW w:w="1916" w:type="dxa"/>
            <w:vAlign w:val="center"/>
          </w:tcPr>
          <w:p w:rsidR="00035DAC" w:rsidRPr="00D213C1" w:rsidRDefault="00A41011" w:rsidP="00035DAC">
            <w:pPr>
              <w:jc w:val="center"/>
              <w:rPr>
                <w:rFonts w:ascii="Times New Roman" w:hAnsi="Times New Roman"/>
                <w:i/>
              </w:rPr>
            </w:pPr>
            <w:r w:rsidRPr="00D213C1">
              <w:rPr>
                <w:rFonts w:ascii="Times New Roman" w:hAnsi="Times New Roman"/>
                <w:i/>
              </w:rPr>
              <w:t>Estimated</w:t>
            </w:r>
          </w:p>
          <w:p w:rsidR="00035DAC" w:rsidRPr="00D213C1" w:rsidRDefault="00A41011" w:rsidP="00035DAC">
            <w:pPr>
              <w:jc w:val="center"/>
              <w:rPr>
                <w:rFonts w:ascii="Times New Roman" w:hAnsi="Times New Roman"/>
                <w:i/>
              </w:rPr>
            </w:pPr>
            <w:r w:rsidRPr="00D213C1">
              <w:rPr>
                <w:rFonts w:ascii="Times New Roman" w:hAnsi="Times New Roman"/>
                <w:i/>
              </w:rPr>
              <w:t>annual</w:t>
            </w:r>
          </w:p>
          <w:p w:rsidR="00A41011" w:rsidRPr="00D213C1" w:rsidRDefault="00A41011" w:rsidP="00035DAC">
            <w:pPr>
              <w:jc w:val="center"/>
              <w:rPr>
                <w:rFonts w:ascii="Times New Roman" w:hAnsi="Times New Roman"/>
                <w:i/>
              </w:rPr>
            </w:pPr>
            <w:r w:rsidRPr="00D213C1">
              <w:rPr>
                <w:rFonts w:ascii="Times New Roman" w:hAnsi="Times New Roman"/>
                <w:i/>
              </w:rPr>
              <w:t>burden hours</w:t>
            </w:r>
          </w:p>
        </w:tc>
      </w:tr>
      <w:tr w:rsidR="00A41011" w:rsidRPr="00D213C1" w:rsidTr="00035DAC">
        <w:tc>
          <w:tcPr>
            <w:tcW w:w="1987" w:type="dxa"/>
            <w:vAlign w:val="bottom"/>
          </w:tcPr>
          <w:p w:rsidR="00A41011" w:rsidRPr="00D213C1" w:rsidRDefault="00A41011" w:rsidP="00A41011">
            <w:pPr>
              <w:jc w:val="center"/>
              <w:rPr>
                <w:rFonts w:ascii="Times New Roman" w:hAnsi="Times New Roman"/>
                <w:i/>
              </w:rPr>
            </w:pPr>
          </w:p>
        </w:tc>
        <w:tc>
          <w:tcPr>
            <w:tcW w:w="1915" w:type="dxa"/>
            <w:vAlign w:val="bottom"/>
          </w:tcPr>
          <w:p w:rsidR="00A41011" w:rsidRPr="00D213C1" w:rsidRDefault="00A41011" w:rsidP="00A41011">
            <w:pPr>
              <w:jc w:val="center"/>
              <w:rPr>
                <w:rFonts w:ascii="Times New Roman" w:hAnsi="Times New Roman"/>
                <w:i/>
              </w:rPr>
            </w:pPr>
          </w:p>
        </w:tc>
        <w:tc>
          <w:tcPr>
            <w:tcW w:w="1915" w:type="dxa"/>
            <w:vAlign w:val="bottom"/>
          </w:tcPr>
          <w:p w:rsidR="00A41011" w:rsidRPr="00D213C1" w:rsidRDefault="00A41011" w:rsidP="00A41011">
            <w:pPr>
              <w:jc w:val="center"/>
              <w:rPr>
                <w:rFonts w:ascii="Times New Roman" w:hAnsi="Times New Roman"/>
                <w:i/>
              </w:rPr>
            </w:pPr>
          </w:p>
        </w:tc>
        <w:tc>
          <w:tcPr>
            <w:tcW w:w="1915" w:type="dxa"/>
            <w:vAlign w:val="bottom"/>
          </w:tcPr>
          <w:p w:rsidR="00A41011" w:rsidRPr="00D213C1" w:rsidRDefault="00A41011" w:rsidP="00A41011">
            <w:pPr>
              <w:jc w:val="center"/>
              <w:rPr>
                <w:rFonts w:ascii="Times New Roman" w:hAnsi="Times New Roman"/>
                <w:i/>
              </w:rPr>
            </w:pPr>
          </w:p>
        </w:tc>
        <w:tc>
          <w:tcPr>
            <w:tcW w:w="1916" w:type="dxa"/>
            <w:vAlign w:val="bottom"/>
          </w:tcPr>
          <w:p w:rsidR="00A41011" w:rsidRPr="00D213C1" w:rsidRDefault="00A41011" w:rsidP="00A41011">
            <w:pPr>
              <w:jc w:val="center"/>
              <w:rPr>
                <w:rFonts w:ascii="Times New Roman" w:hAnsi="Times New Roman"/>
                <w:i/>
              </w:rPr>
            </w:pPr>
          </w:p>
        </w:tc>
      </w:tr>
      <w:tr w:rsidR="00A41011" w:rsidRPr="00D213C1" w:rsidTr="00035DAC">
        <w:tc>
          <w:tcPr>
            <w:tcW w:w="1987" w:type="dxa"/>
          </w:tcPr>
          <w:p w:rsidR="00A41011" w:rsidRPr="00D213C1" w:rsidRDefault="00A41011" w:rsidP="00EF0B6F">
            <w:pPr>
              <w:rPr>
                <w:rFonts w:ascii="Times New Roman" w:hAnsi="Times New Roman"/>
              </w:rPr>
            </w:pPr>
            <w:r w:rsidRPr="00D213C1">
              <w:rPr>
                <w:rFonts w:ascii="Times New Roman" w:hAnsi="Times New Roman"/>
              </w:rPr>
              <w:t>Current</w:t>
            </w:r>
          </w:p>
        </w:tc>
        <w:tc>
          <w:tcPr>
            <w:tcW w:w="1915" w:type="dxa"/>
          </w:tcPr>
          <w:p w:rsidR="00A41011" w:rsidRPr="00D213C1" w:rsidRDefault="00F16348" w:rsidP="00F16348">
            <w:pPr>
              <w:tabs>
                <w:tab w:val="right" w:pos="980"/>
              </w:tabs>
              <w:rPr>
                <w:rFonts w:ascii="Times New Roman" w:hAnsi="Times New Roman"/>
              </w:rPr>
            </w:pPr>
            <w:r>
              <w:rPr>
                <w:rFonts w:ascii="Times New Roman" w:hAnsi="Times New Roman"/>
              </w:rPr>
              <w:tab/>
            </w:r>
            <w:r w:rsidR="00A41011" w:rsidRPr="00D213C1">
              <w:rPr>
                <w:rFonts w:ascii="Times New Roman" w:hAnsi="Times New Roman"/>
              </w:rPr>
              <w:t>60</w:t>
            </w:r>
          </w:p>
        </w:tc>
        <w:tc>
          <w:tcPr>
            <w:tcW w:w="1915" w:type="dxa"/>
          </w:tcPr>
          <w:p w:rsidR="00A41011" w:rsidRPr="00D213C1" w:rsidRDefault="00A41011" w:rsidP="00A41011">
            <w:pPr>
              <w:jc w:val="center"/>
              <w:rPr>
                <w:rFonts w:ascii="Times New Roman" w:hAnsi="Times New Roman"/>
              </w:rPr>
            </w:pPr>
            <w:r w:rsidRPr="00D213C1">
              <w:rPr>
                <w:rFonts w:ascii="Times New Roman" w:hAnsi="Times New Roman"/>
              </w:rPr>
              <w:t>4</w:t>
            </w:r>
          </w:p>
        </w:tc>
        <w:tc>
          <w:tcPr>
            <w:tcW w:w="1915" w:type="dxa"/>
          </w:tcPr>
          <w:p w:rsidR="00A41011" w:rsidRPr="00D213C1" w:rsidRDefault="00526DB6" w:rsidP="00BF10C9">
            <w:pPr>
              <w:jc w:val="center"/>
              <w:rPr>
                <w:rFonts w:ascii="Times New Roman" w:hAnsi="Times New Roman"/>
              </w:rPr>
            </w:pPr>
            <w:r>
              <w:rPr>
                <w:rFonts w:ascii="Times New Roman" w:hAnsi="Times New Roman"/>
              </w:rPr>
              <w:t>3</w:t>
            </w:r>
          </w:p>
        </w:tc>
        <w:tc>
          <w:tcPr>
            <w:tcW w:w="1916" w:type="dxa"/>
          </w:tcPr>
          <w:p w:rsidR="00A41011" w:rsidRPr="00D213C1" w:rsidRDefault="00F16348" w:rsidP="00F16348">
            <w:pPr>
              <w:tabs>
                <w:tab w:val="right" w:pos="1070"/>
              </w:tabs>
              <w:rPr>
                <w:rFonts w:ascii="Times New Roman" w:hAnsi="Times New Roman"/>
              </w:rPr>
            </w:pPr>
            <w:r>
              <w:rPr>
                <w:rFonts w:ascii="Times New Roman" w:hAnsi="Times New Roman"/>
              </w:rPr>
              <w:tab/>
            </w:r>
            <w:r w:rsidR="00526DB6">
              <w:rPr>
                <w:rFonts w:ascii="Times New Roman" w:hAnsi="Times New Roman"/>
              </w:rPr>
              <w:t>720</w:t>
            </w:r>
          </w:p>
        </w:tc>
      </w:tr>
      <w:tr w:rsidR="00A41011" w:rsidRPr="00D213C1" w:rsidTr="00035DAC">
        <w:tc>
          <w:tcPr>
            <w:tcW w:w="1987" w:type="dxa"/>
          </w:tcPr>
          <w:p w:rsidR="00A41011" w:rsidRPr="00D213C1" w:rsidRDefault="00A41011" w:rsidP="00EF0B6F">
            <w:pPr>
              <w:rPr>
                <w:rFonts w:ascii="Times New Roman" w:hAnsi="Times New Roman"/>
              </w:rPr>
            </w:pPr>
            <w:r w:rsidRPr="00D213C1">
              <w:rPr>
                <w:rFonts w:ascii="Times New Roman" w:hAnsi="Times New Roman"/>
              </w:rPr>
              <w:t>Proposed</w:t>
            </w:r>
          </w:p>
        </w:tc>
        <w:tc>
          <w:tcPr>
            <w:tcW w:w="1915" w:type="dxa"/>
          </w:tcPr>
          <w:p w:rsidR="00A41011" w:rsidRPr="00D213C1" w:rsidRDefault="00F16348" w:rsidP="00F16348">
            <w:pPr>
              <w:tabs>
                <w:tab w:val="right" w:pos="980"/>
              </w:tabs>
              <w:rPr>
                <w:rFonts w:ascii="Times New Roman" w:hAnsi="Times New Roman"/>
              </w:rPr>
            </w:pPr>
            <w:r>
              <w:rPr>
                <w:rFonts w:ascii="Times New Roman" w:hAnsi="Times New Roman"/>
              </w:rPr>
              <w:tab/>
            </w:r>
            <w:r w:rsidR="00A41011" w:rsidRPr="00D213C1">
              <w:rPr>
                <w:rFonts w:ascii="Times New Roman" w:hAnsi="Times New Roman"/>
              </w:rPr>
              <w:t>80</w:t>
            </w:r>
          </w:p>
        </w:tc>
        <w:tc>
          <w:tcPr>
            <w:tcW w:w="1915" w:type="dxa"/>
          </w:tcPr>
          <w:p w:rsidR="00A41011" w:rsidRPr="00D213C1" w:rsidRDefault="00A41011" w:rsidP="00A41011">
            <w:pPr>
              <w:jc w:val="center"/>
              <w:rPr>
                <w:rFonts w:ascii="Times New Roman" w:hAnsi="Times New Roman"/>
              </w:rPr>
            </w:pPr>
            <w:r w:rsidRPr="00D213C1">
              <w:rPr>
                <w:rFonts w:ascii="Times New Roman" w:hAnsi="Times New Roman"/>
              </w:rPr>
              <w:t>4</w:t>
            </w:r>
          </w:p>
        </w:tc>
        <w:tc>
          <w:tcPr>
            <w:tcW w:w="1915" w:type="dxa"/>
          </w:tcPr>
          <w:p w:rsidR="00A41011" w:rsidRPr="00D213C1" w:rsidRDefault="00A41011" w:rsidP="00BF10C9">
            <w:pPr>
              <w:jc w:val="center"/>
              <w:rPr>
                <w:rFonts w:ascii="Times New Roman" w:hAnsi="Times New Roman"/>
              </w:rPr>
            </w:pPr>
            <w:r w:rsidRPr="00D213C1">
              <w:rPr>
                <w:rFonts w:ascii="Times New Roman" w:hAnsi="Times New Roman"/>
              </w:rPr>
              <w:t>3</w:t>
            </w:r>
          </w:p>
        </w:tc>
        <w:tc>
          <w:tcPr>
            <w:tcW w:w="1916" w:type="dxa"/>
          </w:tcPr>
          <w:p w:rsidR="00A41011" w:rsidRPr="00D213C1" w:rsidRDefault="00F16348" w:rsidP="00F16348">
            <w:pPr>
              <w:tabs>
                <w:tab w:val="right" w:pos="1070"/>
              </w:tabs>
              <w:rPr>
                <w:rFonts w:ascii="Times New Roman" w:hAnsi="Times New Roman"/>
                <w:u w:val="single"/>
              </w:rPr>
            </w:pPr>
            <w:r>
              <w:rPr>
                <w:rFonts w:ascii="Times New Roman" w:hAnsi="Times New Roman"/>
              </w:rPr>
              <w:tab/>
            </w:r>
            <w:r w:rsidR="00A41011" w:rsidRPr="00D213C1">
              <w:rPr>
                <w:rFonts w:ascii="Times New Roman" w:hAnsi="Times New Roman"/>
                <w:u w:val="single"/>
              </w:rPr>
              <w:t>960</w:t>
            </w:r>
          </w:p>
        </w:tc>
      </w:tr>
      <w:tr w:rsidR="00035DAC" w:rsidRPr="00D213C1" w:rsidTr="00035DAC">
        <w:tc>
          <w:tcPr>
            <w:tcW w:w="1987" w:type="dxa"/>
          </w:tcPr>
          <w:p w:rsidR="00035DAC" w:rsidRPr="00D213C1" w:rsidDel="00035DAC" w:rsidRDefault="00035DAC" w:rsidP="00035DAC">
            <w:pPr>
              <w:jc w:val="right"/>
              <w:rPr>
                <w:rFonts w:ascii="Times New Roman" w:hAnsi="Times New Roman"/>
                <w:i/>
              </w:rPr>
            </w:pPr>
          </w:p>
        </w:tc>
        <w:tc>
          <w:tcPr>
            <w:tcW w:w="1915" w:type="dxa"/>
          </w:tcPr>
          <w:p w:rsidR="00035DAC" w:rsidRPr="00D213C1" w:rsidRDefault="00035DAC" w:rsidP="00F16348">
            <w:pPr>
              <w:tabs>
                <w:tab w:val="right" w:pos="980"/>
              </w:tabs>
              <w:rPr>
                <w:rFonts w:ascii="Times New Roman" w:hAnsi="Times New Roman"/>
              </w:rPr>
            </w:pPr>
          </w:p>
        </w:tc>
        <w:tc>
          <w:tcPr>
            <w:tcW w:w="1915" w:type="dxa"/>
          </w:tcPr>
          <w:p w:rsidR="00035DAC" w:rsidRPr="00D213C1" w:rsidRDefault="00035DAC" w:rsidP="00A41011">
            <w:pPr>
              <w:jc w:val="center"/>
              <w:rPr>
                <w:rFonts w:ascii="Times New Roman" w:hAnsi="Times New Roman"/>
              </w:rPr>
            </w:pPr>
          </w:p>
        </w:tc>
        <w:tc>
          <w:tcPr>
            <w:tcW w:w="1915" w:type="dxa"/>
          </w:tcPr>
          <w:p w:rsidR="00035DAC" w:rsidRPr="00D213C1" w:rsidRDefault="00035DAC" w:rsidP="00A41011">
            <w:pPr>
              <w:jc w:val="center"/>
              <w:rPr>
                <w:rFonts w:ascii="Times New Roman" w:hAnsi="Times New Roman"/>
              </w:rPr>
            </w:pPr>
          </w:p>
        </w:tc>
        <w:tc>
          <w:tcPr>
            <w:tcW w:w="1916" w:type="dxa"/>
          </w:tcPr>
          <w:p w:rsidR="00035DAC" w:rsidRPr="00D213C1" w:rsidDel="00035DAC" w:rsidRDefault="00035DAC" w:rsidP="00F16348">
            <w:pPr>
              <w:tabs>
                <w:tab w:val="right" w:pos="1070"/>
              </w:tabs>
              <w:rPr>
                <w:rFonts w:ascii="Times New Roman" w:hAnsi="Times New Roman"/>
              </w:rPr>
            </w:pPr>
          </w:p>
        </w:tc>
      </w:tr>
      <w:tr w:rsidR="00A41011" w:rsidRPr="00D213C1" w:rsidTr="00035DAC">
        <w:tc>
          <w:tcPr>
            <w:tcW w:w="1987" w:type="dxa"/>
          </w:tcPr>
          <w:p w:rsidR="00A41011" w:rsidRPr="00D213C1" w:rsidRDefault="00A41011" w:rsidP="00035DAC">
            <w:pPr>
              <w:jc w:val="right"/>
              <w:rPr>
                <w:rFonts w:ascii="Times New Roman" w:hAnsi="Times New Roman"/>
                <w:i/>
              </w:rPr>
            </w:pPr>
            <w:r w:rsidRPr="00D213C1">
              <w:rPr>
                <w:rFonts w:ascii="Times New Roman" w:hAnsi="Times New Roman"/>
                <w:i/>
              </w:rPr>
              <w:t>Change</w:t>
            </w:r>
          </w:p>
        </w:tc>
        <w:tc>
          <w:tcPr>
            <w:tcW w:w="1915" w:type="dxa"/>
          </w:tcPr>
          <w:p w:rsidR="00A41011" w:rsidRPr="00D213C1" w:rsidRDefault="00F16348" w:rsidP="00F16348">
            <w:pPr>
              <w:tabs>
                <w:tab w:val="right" w:pos="980"/>
              </w:tabs>
              <w:rPr>
                <w:rFonts w:ascii="Times New Roman" w:hAnsi="Times New Roman"/>
              </w:rPr>
            </w:pPr>
            <w:r>
              <w:rPr>
                <w:rFonts w:ascii="Times New Roman" w:hAnsi="Times New Roman"/>
              </w:rPr>
              <w:tab/>
              <w:t>+20</w:t>
            </w:r>
          </w:p>
        </w:tc>
        <w:tc>
          <w:tcPr>
            <w:tcW w:w="1915" w:type="dxa"/>
          </w:tcPr>
          <w:p w:rsidR="00A41011" w:rsidRPr="00D213C1" w:rsidRDefault="00A41011" w:rsidP="00A41011">
            <w:pPr>
              <w:jc w:val="center"/>
              <w:rPr>
                <w:rFonts w:ascii="Times New Roman" w:hAnsi="Times New Roman"/>
              </w:rPr>
            </w:pPr>
          </w:p>
        </w:tc>
        <w:tc>
          <w:tcPr>
            <w:tcW w:w="1915" w:type="dxa"/>
          </w:tcPr>
          <w:p w:rsidR="00A41011" w:rsidRPr="00D213C1" w:rsidRDefault="00A41011" w:rsidP="00A41011">
            <w:pPr>
              <w:jc w:val="center"/>
              <w:rPr>
                <w:rFonts w:ascii="Times New Roman" w:hAnsi="Times New Roman"/>
              </w:rPr>
            </w:pPr>
          </w:p>
        </w:tc>
        <w:tc>
          <w:tcPr>
            <w:tcW w:w="1916" w:type="dxa"/>
          </w:tcPr>
          <w:p w:rsidR="00A41011" w:rsidRPr="00D213C1" w:rsidRDefault="00F16348" w:rsidP="00F16348">
            <w:pPr>
              <w:tabs>
                <w:tab w:val="right" w:pos="1070"/>
              </w:tabs>
              <w:rPr>
                <w:rFonts w:ascii="Times New Roman" w:hAnsi="Times New Roman"/>
              </w:rPr>
            </w:pPr>
            <w:r>
              <w:rPr>
                <w:rFonts w:ascii="Times New Roman" w:hAnsi="Times New Roman"/>
              </w:rPr>
              <w:tab/>
            </w:r>
            <w:r w:rsidR="008A0821">
              <w:rPr>
                <w:rFonts w:ascii="Times New Roman" w:hAnsi="Times New Roman"/>
              </w:rPr>
              <w:t>+</w:t>
            </w:r>
            <w:r w:rsidR="00526DB6">
              <w:rPr>
                <w:rFonts w:ascii="Times New Roman" w:hAnsi="Times New Roman"/>
              </w:rPr>
              <w:t>240</w:t>
            </w:r>
          </w:p>
        </w:tc>
      </w:tr>
      <w:tr w:rsidR="00A41011" w:rsidRPr="00D213C1" w:rsidTr="00035DAC">
        <w:tc>
          <w:tcPr>
            <w:tcW w:w="1987" w:type="dxa"/>
          </w:tcPr>
          <w:p w:rsidR="00A41011" w:rsidRPr="00D213C1" w:rsidRDefault="00A41011" w:rsidP="00A41011">
            <w:pPr>
              <w:jc w:val="right"/>
              <w:rPr>
                <w:rFonts w:ascii="Times New Roman" w:hAnsi="Times New Roman"/>
                <w:i/>
              </w:rPr>
            </w:pPr>
          </w:p>
        </w:tc>
        <w:tc>
          <w:tcPr>
            <w:tcW w:w="1915" w:type="dxa"/>
          </w:tcPr>
          <w:p w:rsidR="00A41011" w:rsidRPr="00D213C1" w:rsidRDefault="00A41011" w:rsidP="00A41011">
            <w:pPr>
              <w:jc w:val="center"/>
              <w:rPr>
                <w:rFonts w:ascii="Times New Roman" w:hAnsi="Times New Roman"/>
              </w:rPr>
            </w:pPr>
          </w:p>
        </w:tc>
        <w:tc>
          <w:tcPr>
            <w:tcW w:w="1915" w:type="dxa"/>
          </w:tcPr>
          <w:p w:rsidR="00A41011" w:rsidRPr="00D213C1" w:rsidRDefault="00A41011" w:rsidP="00A41011">
            <w:pPr>
              <w:jc w:val="center"/>
              <w:rPr>
                <w:rFonts w:ascii="Times New Roman" w:hAnsi="Times New Roman"/>
              </w:rPr>
            </w:pPr>
          </w:p>
        </w:tc>
        <w:tc>
          <w:tcPr>
            <w:tcW w:w="1915" w:type="dxa"/>
          </w:tcPr>
          <w:p w:rsidR="00A41011" w:rsidRPr="00D213C1" w:rsidRDefault="00A41011" w:rsidP="00A41011">
            <w:pPr>
              <w:jc w:val="center"/>
              <w:rPr>
                <w:rFonts w:ascii="Times New Roman" w:hAnsi="Times New Roman"/>
              </w:rPr>
            </w:pPr>
          </w:p>
        </w:tc>
        <w:tc>
          <w:tcPr>
            <w:tcW w:w="1916" w:type="dxa"/>
          </w:tcPr>
          <w:p w:rsidR="00A41011" w:rsidRPr="00D213C1" w:rsidRDefault="00A41011" w:rsidP="00A41011">
            <w:pPr>
              <w:jc w:val="center"/>
              <w:rPr>
                <w:rFonts w:ascii="Times New Roman" w:hAnsi="Times New Roman"/>
              </w:rPr>
            </w:pPr>
          </w:p>
        </w:tc>
      </w:tr>
    </w:tbl>
    <w:p w:rsidR="00A41011" w:rsidRPr="00D213C1" w:rsidRDefault="00A41011" w:rsidP="00543BFC">
      <w:pPr>
        <w:widowControl/>
        <w:ind w:firstLine="720"/>
        <w:rPr>
          <w:rFonts w:ascii="Times New Roman" w:hAnsi="Times New Roman"/>
        </w:rPr>
      </w:pPr>
    </w:p>
    <w:p w:rsidR="00AD2943" w:rsidRDefault="00035DAC" w:rsidP="00761673">
      <w:pPr>
        <w:widowControl/>
        <w:rPr>
          <w:rFonts w:ascii="Times New Roman" w:hAnsi="Times New Roman"/>
          <w:b/>
          <w:bCs/>
        </w:rPr>
      </w:pPr>
      <w:r w:rsidRPr="00D213C1">
        <w:rPr>
          <w:rFonts w:ascii="Times New Roman" w:hAnsi="Times New Roman"/>
        </w:rPr>
        <w:t>With the proposed revisions t</w:t>
      </w:r>
      <w:r w:rsidR="00545F31" w:rsidRPr="00D213C1">
        <w:rPr>
          <w:rFonts w:ascii="Times New Roman" w:hAnsi="Times New Roman"/>
        </w:rPr>
        <w:t>he total cost to the public is estimated to increase from the current level of $</w:t>
      </w:r>
      <w:r w:rsidR="00BC41C9">
        <w:rPr>
          <w:rFonts w:ascii="Times New Roman" w:hAnsi="Times New Roman"/>
        </w:rPr>
        <w:t>28, 944</w:t>
      </w:r>
      <w:r w:rsidR="00545F31" w:rsidRPr="00D213C1">
        <w:rPr>
          <w:rFonts w:ascii="Times New Roman" w:hAnsi="Times New Roman"/>
        </w:rPr>
        <w:t xml:space="preserve"> to $</w:t>
      </w:r>
      <w:r w:rsidR="00BC41C9">
        <w:rPr>
          <w:rFonts w:ascii="Times New Roman" w:hAnsi="Times New Roman"/>
        </w:rPr>
        <w:t>38,592</w:t>
      </w:r>
      <w:r w:rsidR="00545F31" w:rsidRPr="00D213C1">
        <w:rPr>
          <w:rFonts w:ascii="Times New Roman" w:hAnsi="Times New Roman"/>
        </w:rPr>
        <w:t xml:space="preserve"> for the revised FR 2023.</w:t>
      </w:r>
      <w:r w:rsidR="00CA2DD6" w:rsidRPr="00D213C1">
        <w:rPr>
          <w:rStyle w:val="FootnoteReference"/>
          <w:rFonts w:ascii="Times New Roman" w:hAnsi="Times New Roman"/>
          <w:vertAlign w:val="superscript"/>
        </w:rPr>
        <w:footnoteReference w:id="3"/>
      </w:r>
    </w:p>
    <w:p w:rsidR="00AD2943" w:rsidRPr="00D213C1" w:rsidRDefault="00AD2943" w:rsidP="00035DAC">
      <w:pPr>
        <w:widowControl/>
        <w:rPr>
          <w:rFonts w:ascii="Times New Roman" w:hAnsi="Times New Roman"/>
        </w:rPr>
      </w:pPr>
    </w:p>
    <w:p w:rsidR="00F16348" w:rsidRDefault="00F16348">
      <w:pPr>
        <w:widowControl/>
        <w:autoSpaceDE/>
        <w:autoSpaceDN/>
        <w:adjustRightInd/>
        <w:rPr>
          <w:rFonts w:ascii="Times New Roman" w:hAnsi="Times New Roman"/>
          <w:b/>
          <w:bCs/>
        </w:rPr>
      </w:pPr>
      <w:r>
        <w:rPr>
          <w:rFonts w:ascii="Times New Roman" w:hAnsi="Times New Roman"/>
          <w:b/>
          <w:bCs/>
        </w:rPr>
        <w:br w:type="page"/>
      </w:r>
    </w:p>
    <w:p w:rsidR="006F4A4B" w:rsidRPr="00D213C1" w:rsidRDefault="006F4A4B" w:rsidP="00035DAC">
      <w:pPr>
        <w:widowControl/>
        <w:rPr>
          <w:rFonts w:ascii="Times New Roman" w:hAnsi="Times New Roman"/>
        </w:rPr>
      </w:pPr>
      <w:r w:rsidRPr="00D213C1">
        <w:rPr>
          <w:rFonts w:ascii="Times New Roman" w:hAnsi="Times New Roman"/>
          <w:b/>
          <w:bCs/>
        </w:rPr>
        <w:lastRenderedPageBreak/>
        <w:t>Estimate of Cost to the Federal Reserve System</w:t>
      </w:r>
    </w:p>
    <w:p w:rsidR="00D90B43" w:rsidRPr="00D213C1" w:rsidRDefault="00D90B43" w:rsidP="00543BFC">
      <w:pPr>
        <w:widowControl/>
        <w:ind w:firstLine="720"/>
        <w:rPr>
          <w:rFonts w:ascii="Times New Roman" w:hAnsi="Times New Roman"/>
        </w:rPr>
      </w:pPr>
    </w:p>
    <w:p w:rsidR="006F4A4B" w:rsidRDefault="006F4A4B" w:rsidP="00543BFC">
      <w:pPr>
        <w:widowControl/>
        <w:ind w:firstLine="720"/>
        <w:rPr>
          <w:rFonts w:ascii="Times New Roman" w:hAnsi="Times New Roman"/>
        </w:rPr>
      </w:pPr>
      <w:r w:rsidRPr="00D213C1">
        <w:rPr>
          <w:rFonts w:ascii="Times New Roman" w:hAnsi="Times New Roman"/>
        </w:rPr>
        <w:t>The cost to the Federal Reserve System for processing this report is negligible.</w:t>
      </w:r>
    </w:p>
    <w:p w:rsidR="00171F1E" w:rsidRDefault="00171F1E" w:rsidP="00171F1E">
      <w:pPr>
        <w:widowControl/>
        <w:autoSpaceDE/>
        <w:autoSpaceDN/>
        <w:adjustRightInd/>
        <w:rPr>
          <w:rFonts w:ascii="Times New Roman" w:hAnsi="Times New Roman"/>
          <w:b/>
          <w:bCs/>
        </w:rPr>
      </w:pPr>
    </w:p>
    <w:p w:rsidR="00171F1E" w:rsidRPr="00D213C1" w:rsidRDefault="00171F1E" w:rsidP="00171F1E">
      <w:pPr>
        <w:widowControl/>
        <w:autoSpaceDE/>
        <w:autoSpaceDN/>
        <w:adjustRightInd/>
        <w:rPr>
          <w:rFonts w:ascii="Times New Roman" w:hAnsi="Times New Roman"/>
        </w:rPr>
      </w:pPr>
      <w:r w:rsidRPr="00D213C1">
        <w:rPr>
          <w:rFonts w:ascii="Times New Roman" w:hAnsi="Times New Roman"/>
          <w:b/>
          <w:bCs/>
        </w:rPr>
        <w:t xml:space="preserve">Consultation </w:t>
      </w:r>
      <w:proofErr w:type="gramStart"/>
      <w:r w:rsidRPr="00D213C1">
        <w:rPr>
          <w:rFonts w:ascii="Times New Roman" w:hAnsi="Times New Roman"/>
          <w:b/>
          <w:bCs/>
        </w:rPr>
        <w:t>Outside</w:t>
      </w:r>
      <w:proofErr w:type="gramEnd"/>
      <w:r w:rsidRPr="00D213C1">
        <w:rPr>
          <w:rFonts w:ascii="Times New Roman" w:hAnsi="Times New Roman"/>
          <w:b/>
          <w:bCs/>
        </w:rPr>
        <w:t xml:space="preserve"> the Agency</w:t>
      </w:r>
    </w:p>
    <w:p w:rsidR="00171F1E" w:rsidRPr="00D213C1" w:rsidRDefault="00171F1E" w:rsidP="00171F1E">
      <w:pPr>
        <w:widowControl/>
        <w:ind w:firstLine="720"/>
        <w:rPr>
          <w:rFonts w:ascii="Times New Roman" w:hAnsi="Times New Roman"/>
        </w:rPr>
      </w:pPr>
    </w:p>
    <w:p w:rsidR="00A31FF8" w:rsidRDefault="00A35DF7" w:rsidP="006D2157">
      <w:pPr>
        <w:pStyle w:val="Header"/>
        <w:widowControl/>
        <w:tabs>
          <w:tab w:val="clear" w:pos="4320"/>
          <w:tab w:val="clear" w:pos="8640"/>
        </w:tabs>
        <w:ind w:firstLine="720"/>
        <w:outlineLvl w:val="0"/>
        <w:rPr>
          <w:rFonts w:ascii="Times" w:hAnsi="Times"/>
        </w:rPr>
      </w:pPr>
      <w:r w:rsidRPr="001A071D">
        <w:rPr>
          <w:rFonts w:ascii="Times" w:hAnsi="Times"/>
        </w:rPr>
        <w:t>On February 6, 2012, the</w:t>
      </w:r>
      <w:r w:rsidRPr="00EA6307">
        <w:rPr>
          <w:rFonts w:ascii="Times" w:hAnsi="Times"/>
        </w:rPr>
        <w:t xml:space="preserve"> Federal Reserve published a notice in the </w:t>
      </w:r>
      <w:r w:rsidRPr="00EA6307">
        <w:rPr>
          <w:rFonts w:ascii="Times" w:hAnsi="Times"/>
          <w:i/>
          <w:iCs/>
        </w:rPr>
        <w:t>Federal Register</w:t>
      </w:r>
      <w:r>
        <w:rPr>
          <w:rFonts w:ascii="Times" w:hAnsi="Times"/>
          <w:i/>
          <w:iCs/>
        </w:rPr>
        <w:t xml:space="preserve"> </w:t>
      </w:r>
      <w:r w:rsidRPr="001A071D">
        <w:rPr>
          <w:rFonts w:ascii="Times" w:hAnsi="Times"/>
        </w:rPr>
        <w:t>(77 FR 5802) requesting public comment</w:t>
      </w:r>
      <w:r w:rsidRPr="00EA6307">
        <w:rPr>
          <w:rFonts w:ascii="Times" w:hAnsi="Times"/>
        </w:rPr>
        <w:t xml:space="preserve"> </w:t>
      </w:r>
      <w:r w:rsidR="002B3392" w:rsidRPr="00EA6307">
        <w:rPr>
          <w:rFonts w:ascii="Times" w:hAnsi="Times"/>
        </w:rPr>
        <w:t>for 60 days on the ex</w:t>
      </w:r>
      <w:r w:rsidR="002B3392">
        <w:rPr>
          <w:rFonts w:ascii="Times" w:hAnsi="Times"/>
        </w:rPr>
        <w:t>tension, with revision, of the FR 20</w:t>
      </w:r>
      <w:r w:rsidR="007655B1">
        <w:rPr>
          <w:rFonts w:ascii="Times" w:hAnsi="Times"/>
        </w:rPr>
        <w:t>23</w:t>
      </w:r>
      <w:r w:rsidR="002B3392">
        <w:rPr>
          <w:rFonts w:ascii="Times" w:hAnsi="Times"/>
        </w:rPr>
        <w:t xml:space="preserve">.  </w:t>
      </w:r>
      <w:r w:rsidR="002B3392" w:rsidRPr="00EA6307">
        <w:rPr>
          <w:rFonts w:ascii="Times" w:hAnsi="Times"/>
        </w:rPr>
        <w:t>The comment period for this notice expire</w:t>
      </w:r>
      <w:r w:rsidR="005A53F2">
        <w:rPr>
          <w:rFonts w:ascii="Times" w:hAnsi="Times"/>
        </w:rPr>
        <w:t>d</w:t>
      </w:r>
      <w:r w:rsidR="002B3392" w:rsidRPr="00EA6307">
        <w:rPr>
          <w:rFonts w:ascii="Times" w:hAnsi="Times"/>
        </w:rPr>
        <w:t xml:space="preserve"> on</w:t>
      </w:r>
      <w:r w:rsidR="002B3392">
        <w:rPr>
          <w:rFonts w:ascii="Times" w:hAnsi="Times"/>
        </w:rPr>
        <w:t xml:space="preserve"> </w:t>
      </w:r>
      <w:r w:rsidR="002B3392" w:rsidRPr="00A35DF7">
        <w:rPr>
          <w:rFonts w:ascii="Times" w:hAnsi="Times"/>
        </w:rPr>
        <w:t xml:space="preserve">April </w:t>
      </w:r>
      <w:r w:rsidRPr="00A35DF7">
        <w:rPr>
          <w:rFonts w:ascii="Times" w:hAnsi="Times"/>
        </w:rPr>
        <w:t>6</w:t>
      </w:r>
      <w:r w:rsidR="002B3392" w:rsidRPr="00A35DF7">
        <w:rPr>
          <w:rFonts w:ascii="Times" w:hAnsi="Times"/>
        </w:rPr>
        <w:t>, 2012.</w:t>
      </w:r>
      <w:r w:rsidR="002B3392">
        <w:rPr>
          <w:rFonts w:ascii="Times" w:hAnsi="Times"/>
        </w:rPr>
        <w:t xml:space="preserve">  </w:t>
      </w:r>
      <w:r w:rsidR="00A31FF8" w:rsidRPr="004415E3">
        <w:rPr>
          <w:rFonts w:ascii="Times New Roman" w:hAnsi="Times New Roman"/>
        </w:rPr>
        <w:t>No comments were received</w:t>
      </w:r>
      <w:r w:rsidR="00A31FF8">
        <w:rPr>
          <w:rFonts w:ascii="Times New Roman" w:hAnsi="Times New Roman"/>
        </w:rPr>
        <w:t>; the revisions will be implemented as proposed</w:t>
      </w:r>
      <w:r w:rsidR="00A31FF8" w:rsidRPr="00B368E6">
        <w:rPr>
          <w:rFonts w:ascii="Times New Roman" w:hAnsi="Times New Roman"/>
        </w:rPr>
        <w:t xml:space="preserve">. On May 17, 2012, the Federal Reserve published a final notice in the </w:t>
      </w:r>
      <w:r w:rsidR="00A31FF8" w:rsidRPr="00B368E6">
        <w:rPr>
          <w:rFonts w:ascii="Times New Roman" w:hAnsi="Times New Roman"/>
          <w:i/>
          <w:iCs/>
        </w:rPr>
        <w:t xml:space="preserve">Federal Register </w:t>
      </w:r>
      <w:r w:rsidR="00A31FF8" w:rsidRPr="00B368E6">
        <w:rPr>
          <w:rFonts w:ascii="Times New Roman" w:hAnsi="Times New Roman"/>
        </w:rPr>
        <w:t>(</w:t>
      </w:r>
      <w:r w:rsidR="00A31FF8">
        <w:rPr>
          <w:rFonts w:ascii="Times New Roman" w:hAnsi="Times New Roman"/>
        </w:rPr>
        <w:t>77</w:t>
      </w:r>
      <w:r w:rsidR="00A31FF8" w:rsidRPr="00B368E6">
        <w:rPr>
          <w:rFonts w:ascii="Times New Roman" w:hAnsi="Times New Roman"/>
        </w:rPr>
        <w:t xml:space="preserve"> FR </w:t>
      </w:r>
      <w:r w:rsidR="00A31FF8">
        <w:rPr>
          <w:rFonts w:ascii="Times New Roman" w:hAnsi="Times New Roman"/>
        </w:rPr>
        <w:t>29346</w:t>
      </w:r>
      <w:r w:rsidR="00A31FF8" w:rsidRPr="00B368E6">
        <w:rPr>
          <w:rFonts w:ascii="Times New Roman" w:hAnsi="Times New Roman"/>
        </w:rPr>
        <w:t>).</w:t>
      </w:r>
    </w:p>
    <w:p w:rsidR="00B231E3" w:rsidRDefault="00B231E3" w:rsidP="00A31FF8">
      <w:pPr>
        <w:pStyle w:val="Header"/>
        <w:widowControl/>
        <w:tabs>
          <w:tab w:val="clear" w:pos="4320"/>
          <w:tab w:val="clear" w:pos="8640"/>
        </w:tabs>
        <w:outlineLvl w:val="0"/>
        <w:rPr>
          <w:rFonts w:ascii="Times New Roman" w:hAnsi="Times New Roman"/>
          <w:b/>
          <w:bCs/>
        </w:rPr>
      </w:pPr>
    </w:p>
    <w:p w:rsidR="00171F1E" w:rsidRPr="00D213C1" w:rsidRDefault="00171F1E" w:rsidP="00171F1E">
      <w:pPr>
        <w:widowControl/>
        <w:rPr>
          <w:rFonts w:ascii="Times New Roman" w:hAnsi="Times New Roman"/>
        </w:rPr>
      </w:pPr>
      <w:r w:rsidRPr="00D213C1">
        <w:rPr>
          <w:rFonts w:ascii="Times New Roman" w:hAnsi="Times New Roman"/>
          <w:b/>
          <w:bCs/>
        </w:rPr>
        <w:t>Sensitive Questions</w:t>
      </w:r>
    </w:p>
    <w:p w:rsidR="00171F1E" w:rsidRPr="00D213C1" w:rsidRDefault="00171F1E" w:rsidP="00171F1E">
      <w:pPr>
        <w:widowControl/>
        <w:ind w:firstLine="720"/>
        <w:rPr>
          <w:rFonts w:ascii="Times New Roman" w:hAnsi="Times New Roman"/>
        </w:rPr>
      </w:pPr>
    </w:p>
    <w:p w:rsidR="00171F1E" w:rsidRPr="00D213C1" w:rsidRDefault="00171F1E" w:rsidP="00543BFC">
      <w:pPr>
        <w:widowControl/>
        <w:ind w:firstLine="720"/>
        <w:rPr>
          <w:rFonts w:ascii="Times New Roman" w:hAnsi="Times New Roman"/>
        </w:rPr>
      </w:pPr>
      <w:r w:rsidRPr="00D213C1">
        <w:rPr>
          <w:rFonts w:ascii="Times New Roman" w:hAnsi="Times New Roman"/>
        </w:rPr>
        <w:t>This collection of information contains no questions of a sensitive nature, as defined by OMB guidelines.</w:t>
      </w:r>
    </w:p>
    <w:sectPr w:rsidR="00171F1E" w:rsidRPr="00D213C1" w:rsidSect="00D90B43">
      <w:endnotePr>
        <w:numFmt w:val="decimal"/>
      </w:endnotePr>
      <w:type w:val="continuous"/>
      <w:pgSz w:w="12240" w:h="15840"/>
      <w:pgMar w:top="1440" w:right="1440" w:bottom="540" w:left="1440" w:header="1440" w:footer="135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A38" w:rsidRDefault="00B02A38" w:rsidP="00445715">
      <w:r>
        <w:separator/>
      </w:r>
    </w:p>
  </w:endnote>
  <w:endnote w:type="continuationSeparator" w:id="0">
    <w:p w:rsidR="00B02A38" w:rsidRDefault="00B02A38" w:rsidP="004457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AE9" w:rsidRDefault="0083525D" w:rsidP="00224924">
    <w:pPr>
      <w:pStyle w:val="Footer"/>
      <w:framePr w:wrap="around" w:vAnchor="text" w:hAnchor="margin" w:xAlign="center" w:y="1"/>
      <w:rPr>
        <w:rStyle w:val="PageNumber"/>
      </w:rPr>
    </w:pPr>
    <w:r>
      <w:rPr>
        <w:rStyle w:val="PageNumber"/>
      </w:rPr>
      <w:fldChar w:fldCharType="begin"/>
    </w:r>
    <w:r w:rsidR="003A7AE9">
      <w:rPr>
        <w:rStyle w:val="PageNumber"/>
      </w:rPr>
      <w:instrText xml:space="preserve">PAGE  </w:instrText>
    </w:r>
    <w:r>
      <w:rPr>
        <w:rStyle w:val="PageNumber"/>
      </w:rPr>
      <w:fldChar w:fldCharType="end"/>
    </w:r>
  </w:p>
  <w:p w:rsidR="003A7AE9" w:rsidRDefault="003A7A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AE9" w:rsidRPr="00224924" w:rsidRDefault="0083525D" w:rsidP="00224924">
    <w:pPr>
      <w:pStyle w:val="Footer"/>
      <w:framePr w:wrap="around" w:vAnchor="text" w:hAnchor="margin" w:xAlign="center" w:y="1"/>
      <w:rPr>
        <w:rStyle w:val="PageNumber"/>
        <w:rFonts w:ascii="Times" w:hAnsi="Times"/>
      </w:rPr>
    </w:pPr>
    <w:r w:rsidRPr="00224924">
      <w:rPr>
        <w:rStyle w:val="PageNumber"/>
        <w:rFonts w:ascii="Times" w:hAnsi="Times"/>
      </w:rPr>
      <w:fldChar w:fldCharType="begin"/>
    </w:r>
    <w:r w:rsidR="003A7AE9" w:rsidRPr="00224924">
      <w:rPr>
        <w:rStyle w:val="PageNumber"/>
        <w:rFonts w:ascii="Times" w:hAnsi="Times"/>
      </w:rPr>
      <w:instrText xml:space="preserve">PAGE  </w:instrText>
    </w:r>
    <w:r w:rsidRPr="00224924">
      <w:rPr>
        <w:rStyle w:val="PageNumber"/>
        <w:rFonts w:ascii="Times" w:hAnsi="Times"/>
      </w:rPr>
      <w:fldChar w:fldCharType="separate"/>
    </w:r>
    <w:r w:rsidR="006D2157">
      <w:rPr>
        <w:rStyle w:val="PageNumber"/>
        <w:rFonts w:ascii="Times" w:hAnsi="Times"/>
        <w:noProof/>
      </w:rPr>
      <w:t>5</w:t>
    </w:r>
    <w:r w:rsidRPr="00224924">
      <w:rPr>
        <w:rStyle w:val="PageNumber"/>
        <w:rFonts w:ascii="Times" w:hAnsi="Times"/>
      </w:rPr>
      <w:fldChar w:fldCharType="end"/>
    </w:r>
  </w:p>
  <w:p w:rsidR="003A7AE9" w:rsidRDefault="003A7A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A38" w:rsidRDefault="00B02A38" w:rsidP="00445715">
      <w:r>
        <w:separator/>
      </w:r>
    </w:p>
  </w:footnote>
  <w:footnote w:type="continuationSeparator" w:id="0">
    <w:p w:rsidR="00B02A38" w:rsidRDefault="00B02A38" w:rsidP="00445715">
      <w:r>
        <w:continuationSeparator/>
      </w:r>
    </w:p>
  </w:footnote>
  <w:footnote w:id="1">
    <w:p w:rsidR="003A7AE9" w:rsidRPr="00D213C1" w:rsidRDefault="003A7AE9" w:rsidP="00542B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ascii="Times New Roman" w:hAnsi="Times New Roman"/>
          <w:sz w:val="20"/>
          <w:szCs w:val="20"/>
        </w:rPr>
      </w:pPr>
      <w:r w:rsidRPr="00D213C1">
        <w:rPr>
          <w:rFonts w:ascii="Times New Roman" w:hAnsi="Times New Roman"/>
          <w:sz w:val="20"/>
          <w:szCs w:val="20"/>
          <w:vertAlign w:val="superscript"/>
        </w:rPr>
        <w:t>1</w:t>
      </w:r>
      <w:r w:rsidRPr="00D213C1">
        <w:rPr>
          <w:rFonts w:ascii="Times New Roman" w:hAnsi="Times New Roman"/>
          <w:sz w:val="20"/>
          <w:szCs w:val="20"/>
        </w:rPr>
        <w:t xml:space="preserve"> </w:t>
      </w:r>
      <w:r>
        <w:rPr>
          <w:rFonts w:ascii="Times New Roman" w:hAnsi="Times New Roman"/>
          <w:sz w:val="20"/>
          <w:szCs w:val="20"/>
        </w:rPr>
        <w:t xml:space="preserve">The Federal Reserve </w:t>
      </w:r>
      <w:r w:rsidRPr="00D213C1">
        <w:rPr>
          <w:rFonts w:ascii="Times New Roman" w:hAnsi="Times New Roman"/>
          <w:sz w:val="20"/>
          <w:szCs w:val="20"/>
        </w:rPr>
        <w:t>tries to maintain the full authorized panel of 60 insured, domestically chartered commercial banks on the FR 2018; however, the continuing rapid pace of bank mergers has made it difficult to maintain a full sample.  If necessary, other banks may be added to maintain a constant panel size.  The panel is heavily weighted towards</w:t>
      </w:r>
      <w:r w:rsidRPr="00D213C1" w:rsidDel="00CA2DD6">
        <w:rPr>
          <w:rFonts w:ascii="Times New Roman" w:hAnsi="Times New Roman"/>
          <w:sz w:val="20"/>
          <w:szCs w:val="20"/>
        </w:rPr>
        <w:t xml:space="preserve"> </w:t>
      </w:r>
      <w:r w:rsidRPr="00D213C1">
        <w:rPr>
          <w:rFonts w:ascii="Times New Roman" w:hAnsi="Times New Roman"/>
          <w:sz w:val="20"/>
          <w:szCs w:val="20"/>
        </w:rPr>
        <w:t xml:space="preserve">large complex banking organizations, but also includes a fair number of large and medium-sized regional banks, which allows for a greater diversity of responses and provides a broader view of the banking system.   In addition, the FR 2018 reporting panel also has a subset composed of large U.S. branches and agencies of foreign banks. These institutions are not included in the primary FR 2023 panel because most of their funding operations are in the wholesale, not retail, market or in their home countries.  However, should the need arise, </w:t>
      </w:r>
      <w:smartTag w:uri="urn:schemas-microsoft-com:office:smarttags" w:element="country-region">
        <w:smartTag w:uri="urn:schemas-microsoft-com:office:smarttags" w:element="place">
          <w:r w:rsidRPr="00D213C1">
            <w:rPr>
              <w:rFonts w:ascii="Times New Roman" w:hAnsi="Times New Roman"/>
              <w:sz w:val="20"/>
              <w:szCs w:val="20"/>
            </w:rPr>
            <w:t>U.S.</w:t>
          </w:r>
        </w:smartTag>
      </w:smartTag>
      <w:r w:rsidRPr="00D213C1">
        <w:rPr>
          <w:rFonts w:ascii="Times New Roman" w:hAnsi="Times New Roman"/>
          <w:sz w:val="20"/>
          <w:szCs w:val="20"/>
        </w:rPr>
        <w:t xml:space="preserve"> branches and agencies could be surveyed as an optional panel.</w:t>
      </w:r>
    </w:p>
  </w:footnote>
  <w:footnote w:id="2">
    <w:p w:rsidR="003A7AE9" w:rsidRPr="00171F1E" w:rsidRDefault="003A7AE9">
      <w:pPr>
        <w:pStyle w:val="FootnoteText"/>
        <w:rPr>
          <w:rFonts w:ascii="Times New Roman" w:hAnsi="Times New Roman"/>
        </w:rPr>
      </w:pPr>
      <w:r w:rsidRPr="00171F1E">
        <w:rPr>
          <w:rStyle w:val="FootnoteReference"/>
          <w:rFonts w:ascii="Times New Roman" w:hAnsi="Times New Roman"/>
          <w:vertAlign w:val="superscript"/>
        </w:rPr>
        <w:footnoteRef/>
      </w:r>
      <w:r w:rsidRPr="00171F1E">
        <w:rPr>
          <w:rFonts w:ascii="Times New Roman" w:hAnsi="Times New Roman"/>
          <w:vertAlign w:val="superscript"/>
        </w:rPr>
        <w:t xml:space="preserve">  </w:t>
      </w:r>
      <w:r w:rsidRPr="00171F1E">
        <w:rPr>
          <w:rFonts w:ascii="Times New Roman" w:hAnsi="Times New Roman"/>
        </w:rPr>
        <w:t>Actual burden underlying the average per hour response time varies considerably not only from survey to survey, depending on the number and nature of the questions, but also among respondents for any one survey.</w:t>
      </w:r>
    </w:p>
  </w:footnote>
  <w:footnote w:id="3">
    <w:p w:rsidR="003A7AE9" w:rsidRPr="00171F1E" w:rsidRDefault="003A7AE9" w:rsidP="001B166E">
      <w:pPr>
        <w:rPr>
          <w:rFonts w:ascii="Times New Roman" w:hAnsi="Times New Roman"/>
          <w:sz w:val="20"/>
          <w:szCs w:val="20"/>
        </w:rPr>
      </w:pPr>
      <w:r w:rsidRPr="00171F1E">
        <w:rPr>
          <w:rStyle w:val="FootnoteReference"/>
          <w:rFonts w:ascii="Times New Roman" w:hAnsi="Times New Roman"/>
          <w:sz w:val="20"/>
          <w:szCs w:val="20"/>
          <w:vertAlign w:val="superscript"/>
        </w:rPr>
        <w:footnoteRef/>
      </w:r>
      <w:r w:rsidRPr="00171F1E">
        <w:rPr>
          <w:rFonts w:ascii="Times New Roman" w:hAnsi="Times New Roman"/>
          <w:sz w:val="20"/>
          <w:szCs w:val="20"/>
        </w:rPr>
        <w:t xml:space="preserve"> Total cost to the public was estimated using the following formula: percent of staff time, multiplied by annual burden hours, multiplied by hourly rate (30% Office &amp; Administrative Support @ $16, 60% Financial Managers @ $50, and 10% Legal Counsel @ $54</w:t>
      </w:r>
      <w:r w:rsidRPr="00171F1E" w:rsidDel="00073A6F">
        <w:rPr>
          <w:rFonts w:ascii="Times New Roman" w:hAnsi="Times New Roman"/>
          <w:sz w:val="20"/>
          <w:szCs w:val="20"/>
        </w:rPr>
        <w:t>)</w:t>
      </w:r>
      <w:r w:rsidRPr="00171F1E">
        <w:rPr>
          <w:rFonts w:ascii="Times New Roman" w:hAnsi="Times New Roman"/>
          <w:sz w:val="20"/>
          <w:szCs w:val="20"/>
        </w:rPr>
        <w:t xml:space="preserve">.  Hourly rate for each occupational group are the median hourly wages (rounded up) from the Bureau of Labor and Statistics (BLS), Occupational Employment and Wages 2010, </w:t>
      </w:r>
      <w:hyperlink r:id="rId1" w:history="1">
        <w:r w:rsidRPr="00171F1E">
          <w:rPr>
            <w:rStyle w:val="Hyperlink"/>
            <w:rFonts w:ascii="Times New Roman" w:hAnsi="Times New Roman"/>
            <w:sz w:val="20"/>
            <w:szCs w:val="20"/>
          </w:rPr>
          <w:t>www.bls.gov/news.release/ocwage.nr0.htm</w:t>
        </w:r>
      </w:hyperlink>
      <w:r w:rsidRPr="00171F1E">
        <w:rPr>
          <w:rFonts w:ascii="Times New Roman" w:hAnsi="Times New Roman"/>
          <w:sz w:val="20"/>
          <w:szCs w:val="20"/>
        </w:rPr>
        <w:t xml:space="preserve">  Occupations are defined using the BLS Occupational Classification System,  </w:t>
      </w:r>
      <w:hyperlink r:id="rId2" w:history="1">
        <w:r w:rsidRPr="00171F1E">
          <w:rPr>
            <w:rStyle w:val="Hyperlink"/>
            <w:rFonts w:ascii="Times New Roman" w:hAnsi="Times New Roman"/>
            <w:sz w:val="20"/>
            <w:szCs w:val="20"/>
          </w:rPr>
          <w:t>www.bls.gov/soc/</w:t>
        </w:r>
      </w:hyperlink>
      <w:r w:rsidRPr="00171F1E">
        <w:rPr>
          <w:rFonts w:ascii="Times New Roman" w:hAnsi="Times New Roman"/>
          <w:sz w:val="20"/>
          <w:szCs w:val="20"/>
        </w:rPr>
        <w:t xml:space="preserve">   </w:t>
      </w:r>
    </w:p>
    <w:p w:rsidR="003A7AE9" w:rsidRPr="00171F1E" w:rsidRDefault="003A7AE9" w:rsidP="001B166E">
      <w:pPr>
        <w:rPr>
          <w:rFonts w:ascii="Times" w:hAnsi="Times"/>
          <w:sz w:val="20"/>
          <w:szCs w:val="20"/>
        </w:rPr>
      </w:pPr>
    </w:p>
    <w:p w:rsidR="003A7AE9" w:rsidRPr="00AC773D" w:rsidRDefault="003A7AE9" w:rsidP="00C579D2">
      <w:pPr>
        <w:pStyle w:val="FootnoteText"/>
        <w:rPr>
          <w:rFonts w:ascii="Times" w:hAnsi="Times"/>
        </w:rPr>
      </w:pPr>
    </w:p>
    <w:p w:rsidR="003A7AE9" w:rsidRPr="00E60570" w:rsidRDefault="003A7AE9" w:rsidP="00E60570">
      <w:pPr>
        <w:pStyle w:val="FootnoteText"/>
        <w:rPr>
          <w:rFonts w:ascii="Times New Roman" w:hAnsi="Times New Roman"/>
        </w:rPr>
      </w:pPr>
    </w:p>
    <w:p w:rsidR="003A7AE9" w:rsidRDefault="003A7AE9">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6801"/>
  </w:hdrShapeDefaults>
  <w:footnotePr>
    <w:footnote w:id="-1"/>
    <w:footnote w:id="0"/>
  </w:footnotePr>
  <w:endnotePr>
    <w:numFmt w:val="decimal"/>
    <w:endnote w:id="-1"/>
    <w:endnote w:id="0"/>
  </w:endnotePr>
  <w:compat/>
  <w:rsids>
    <w:rsidRoot w:val="009215C0"/>
    <w:rsid w:val="00017346"/>
    <w:rsid w:val="00027087"/>
    <w:rsid w:val="00035DAC"/>
    <w:rsid w:val="00057F40"/>
    <w:rsid w:val="00063618"/>
    <w:rsid w:val="00073A6F"/>
    <w:rsid w:val="00091A14"/>
    <w:rsid w:val="0009314C"/>
    <w:rsid w:val="000A102E"/>
    <w:rsid w:val="000A7B9E"/>
    <w:rsid w:val="000C5D1C"/>
    <w:rsid w:val="000E2C4B"/>
    <w:rsid w:val="000F5BC0"/>
    <w:rsid w:val="000F600C"/>
    <w:rsid w:val="000F6DD1"/>
    <w:rsid w:val="00105778"/>
    <w:rsid w:val="001300FC"/>
    <w:rsid w:val="0015002C"/>
    <w:rsid w:val="00150778"/>
    <w:rsid w:val="00154CB9"/>
    <w:rsid w:val="00171D42"/>
    <w:rsid w:val="00171F1E"/>
    <w:rsid w:val="00182A83"/>
    <w:rsid w:val="00191982"/>
    <w:rsid w:val="0019366D"/>
    <w:rsid w:val="001A6352"/>
    <w:rsid w:val="001B166E"/>
    <w:rsid w:val="001B7E85"/>
    <w:rsid w:val="001D37CE"/>
    <w:rsid w:val="001F0DD7"/>
    <w:rsid w:val="00202BAF"/>
    <w:rsid w:val="002059AA"/>
    <w:rsid w:val="00210AC4"/>
    <w:rsid w:val="00224924"/>
    <w:rsid w:val="00234570"/>
    <w:rsid w:val="00241A8A"/>
    <w:rsid w:val="00251A6E"/>
    <w:rsid w:val="00270311"/>
    <w:rsid w:val="002750AC"/>
    <w:rsid w:val="00276B75"/>
    <w:rsid w:val="00282129"/>
    <w:rsid w:val="0029020C"/>
    <w:rsid w:val="002A55DA"/>
    <w:rsid w:val="002B3392"/>
    <w:rsid w:val="002B7161"/>
    <w:rsid w:val="002B7A0F"/>
    <w:rsid w:val="002C248B"/>
    <w:rsid w:val="002C4B68"/>
    <w:rsid w:val="002C5F92"/>
    <w:rsid w:val="002C7CD4"/>
    <w:rsid w:val="003015C8"/>
    <w:rsid w:val="00303E47"/>
    <w:rsid w:val="003161AE"/>
    <w:rsid w:val="00320DD7"/>
    <w:rsid w:val="00333F76"/>
    <w:rsid w:val="00335071"/>
    <w:rsid w:val="00344245"/>
    <w:rsid w:val="00363AD1"/>
    <w:rsid w:val="003704ED"/>
    <w:rsid w:val="00372FDE"/>
    <w:rsid w:val="00386BEB"/>
    <w:rsid w:val="00397DAB"/>
    <w:rsid w:val="003A7AE9"/>
    <w:rsid w:val="003B0765"/>
    <w:rsid w:val="003B35D6"/>
    <w:rsid w:val="003C6DD8"/>
    <w:rsid w:val="003C77DD"/>
    <w:rsid w:val="003E265F"/>
    <w:rsid w:val="003F0B17"/>
    <w:rsid w:val="003F1A42"/>
    <w:rsid w:val="003F42FC"/>
    <w:rsid w:val="003F6AE2"/>
    <w:rsid w:val="00410011"/>
    <w:rsid w:val="00412078"/>
    <w:rsid w:val="00414776"/>
    <w:rsid w:val="00432C6E"/>
    <w:rsid w:val="00445715"/>
    <w:rsid w:val="004475D2"/>
    <w:rsid w:val="004551E7"/>
    <w:rsid w:val="004603C0"/>
    <w:rsid w:val="00470849"/>
    <w:rsid w:val="004748A6"/>
    <w:rsid w:val="004828DA"/>
    <w:rsid w:val="00482C13"/>
    <w:rsid w:val="00487805"/>
    <w:rsid w:val="004969D6"/>
    <w:rsid w:val="004E1114"/>
    <w:rsid w:val="004F189B"/>
    <w:rsid w:val="00500F3C"/>
    <w:rsid w:val="00513645"/>
    <w:rsid w:val="005261B6"/>
    <w:rsid w:val="00526DB6"/>
    <w:rsid w:val="00542B0F"/>
    <w:rsid w:val="00543BFC"/>
    <w:rsid w:val="00545F31"/>
    <w:rsid w:val="00546321"/>
    <w:rsid w:val="00555BCB"/>
    <w:rsid w:val="00560118"/>
    <w:rsid w:val="00561D9C"/>
    <w:rsid w:val="00563599"/>
    <w:rsid w:val="00572E05"/>
    <w:rsid w:val="005874B5"/>
    <w:rsid w:val="00593A72"/>
    <w:rsid w:val="005A05C2"/>
    <w:rsid w:val="005A53F2"/>
    <w:rsid w:val="005A656E"/>
    <w:rsid w:val="005A70CD"/>
    <w:rsid w:val="005B38DF"/>
    <w:rsid w:val="005C2F01"/>
    <w:rsid w:val="005C701E"/>
    <w:rsid w:val="0060239D"/>
    <w:rsid w:val="00603895"/>
    <w:rsid w:val="00641703"/>
    <w:rsid w:val="0068058A"/>
    <w:rsid w:val="0068333B"/>
    <w:rsid w:val="006933CF"/>
    <w:rsid w:val="006A24BE"/>
    <w:rsid w:val="006A48FC"/>
    <w:rsid w:val="006C205A"/>
    <w:rsid w:val="006C68F6"/>
    <w:rsid w:val="006D2157"/>
    <w:rsid w:val="006D3128"/>
    <w:rsid w:val="006D36BA"/>
    <w:rsid w:val="006E1918"/>
    <w:rsid w:val="006E5447"/>
    <w:rsid w:val="006F2EED"/>
    <w:rsid w:val="006F4A4B"/>
    <w:rsid w:val="007061C0"/>
    <w:rsid w:val="007115A6"/>
    <w:rsid w:val="007245A2"/>
    <w:rsid w:val="00725E6F"/>
    <w:rsid w:val="007325C1"/>
    <w:rsid w:val="00735D97"/>
    <w:rsid w:val="007427A4"/>
    <w:rsid w:val="0075578C"/>
    <w:rsid w:val="00760FFF"/>
    <w:rsid w:val="00761673"/>
    <w:rsid w:val="007655B1"/>
    <w:rsid w:val="00765E7F"/>
    <w:rsid w:val="0078308B"/>
    <w:rsid w:val="00791511"/>
    <w:rsid w:val="00794C11"/>
    <w:rsid w:val="00794CBF"/>
    <w:rsid w:val="00796B1C"/>
    <w:rsid w:val="007C5BE2"/>
    <w:rsid w:val="007D1294"/>
    <w:rsid w:val="007D2101"/>
    <w:rsid w:val="007F0B9C"/>
    <w:rsid w:val="007F391B"/>
    <w:rsid w:val="007F6D21"/>
    <w:rsid w:val="00806755"/>
    <w:rsid w:val="008150C5"/>
    <w:rsid w:val="00825670"/>
    <w:rsid w:val="0083358E"/>
    <w:rsid w:val="00834553"/>
    <w:rsid w:val="0083525D"/>
    <w:rsid w:val="00855EED"/>
    <w:rsid w:val="00865572"/>
    <w:rsid w:val="00872C3B"/>
    <w:rsid w:val="008861C2"/>
    <w:rsid w:val="00896860"/>
    <w:rsid w:val="008968B6"/>
    <w:rsid w:val="008A0821"/>
    <w:rsid w:val="008A7982"/>
    <w:rsid w:val="008C62AB"/>
    <w:rsid w:val="008E5C06"/>
    <w:rsid w:val="008F0AEE"/>
    <w:rsid w:val="00911EAC"/>
    <w:rsid w:val="009139BC"/>
    <w:rsid w:val="00917585"/>
    <w:rsid w:val="009215C0"/>
    <w:rsid w:val="0092341A"/>
    <w:rsid w:val="00942911"/>
    <w:rsid w:val="00953141"/>
    <w:rsid w:val="009A122A"/>
    <w:rsid w:val="009A42E0"/>
    <w:rsid w:val="009B0728"/>
    <w:rsid w:val="00A067A4"/>
    <w:rsid w:val="00A071BF"/>
    <w:rsid w:val="00A11BD8"/>
    <w:rsid w:val="00A31FF8"/>
    <w:rsid w:val="00A35DF7"/>
    <w:rsid w:val="00A41011"/>
    <w:rsid w:val="00A42A08"/>
    <w:rsid w:val="00A44206"/>
    <w:rsid w:val="00A46B9B"/>
    <w:rsid w:val="00A53043"/>
    <w:rsid w:val="00A725FA"/>
    <w:rsid w:val="00A81596"/>
    <w:rsid w:val="00AB2DEC"/>
    <w:rsid w:val="00AB4F4D"/>
    <w:rsid w:val="00AB59C8"/>
    <w:rsid w:val="00AD2943"/>
    <w:rsid w:val="00AD5228"/>
    <w:rsid w:val="00AD6635"/>
    <w:rsid w:val="00AE0CC3"/>
    <w:rsid w:val="00AE18C6"/>
    <w:rsid w:val="00AE6E9F"/>
    <w:rsid w:val="00AF66C5"/>
    <w:rsid w:val="00B02A38"/>
    <w:rsid w:val="00B0768E"/>
    <w:rsid w:val="00B22D07"/>
    <w:rsid w:val="00B231E3"/>
    <w:rsid w:val="00B31FD8"/>
    <w:rsid w:val="00B36E5A"/>
    <w:rsid w:val="00B4433C"/>
    <w:rsid w:val="00B56B17"/>
    <w:rsid w:val="00B64EAA"/>
    <w:rsid w:val="00B67756"/>
    <w:rsid w:val="00B72078"/>
    <w:rsid w:val="00B823D9"/>
    <w:rsid w:val="00B8249E"/>
    <w:rsid w:val="00B91253"/>
    <w:rsid w:val="00B94C7B"/>
    <w:rsid w:val="00B96D51"/>
    <w:rsid w:val="00B97810"/>
    <w:rsid w:val="00B97B22"/>
    <w:rsid w:val="00BB0F8A"/>
    <w:rsid w:val="00BB3AAC"/>
    <w:rsid w:val="00BC41C9"/>
    <w:rsid w:val="00BD2C0C"/>
    <w:rsid w:val="00BE4992"/>
    <w:rsid w:val="00BE7A92"/>
    <w:rsid w:val="00BF10C9"/>
    <w:rsid w:val="00C00625"/>
    <w:rsid w:val="00C02C30"/>
    <w:rsid w:val="00C35CE0"/>
    <w:rsid w:val="00C579D2"/>
    <w:rsid w:val="00C902F9"/>
    <w:rsid w:val="00CA16B7"/>
    <w:rsid w:val="00CA25CF"/>
    <w:rsid w:val="00CA297E"/>
    <w:rsid w:val="00CA2DD6"/>
    <w:rsid w:val="00CB0450"/>
    <w:rsid w:val="00CC1963"/>
    <w:rsid w:val="00CC6CCF"/>
    <w:rsid w:val="00CD3310"/>
    <w:rsid w:val="00CF56E2"/>
    <w:rsid w:val="00D11AB2"/>
    <w:rsid w:val="00D136BF"/>
    <w:rsid w:val="00D213C1"/>
    <w:rsid w:val="00D22F17"/>
    <w:rsid w:val="00D4525C"/>
    <w:rsid w:val="00D53BC8"/>
    <w:rsid w:val="00D870C5"/>
    <w:rsid w:val="00D90B43"/>
    <w:rsid w:val="00D94F88"/>
    <w:rsid w:val="00DA1821"/>
    <w:rsid w:val="00DC27D5"/>
    <w:rsid w:val="00DC512B"/>
    <w:rsid w:val="00DC53FF"/>
    <w:rsid w:val="00DE32C4"/>
    <w:rsid w:val="00DF46BC"/>
    <w:rsid w:val="00E06465"/>
    <w:rsid w:val="00E064C6"/>
    <w:rsid w:val="00E16F2D"/>
    <w:rsid w:val="00E219A2"/>
    <w:rsid w:val="00E21BB9"/>
    <w:rsid w:val="00E60570"/>
    <w:rsid w:val="00E60BE9"/>
    <w:rsid w:val="00E636C8"/>
    <w:rsid w:val="00E70135"/>
    <w:rsid w:val="00E72302"/>
    <w:rsid w:val="00E74A11"/>
    <w:rsid w:val="00E77EBB"/>
    <w:rsid w:val="00E81972"/>
    <w:rsid w:val="00E81E2E"/>
    <w:rsid w:val="00EB5A36"/>
    <w:rsid w:val="00EC3535"/>
    <w:rsid w:val="00EC54E7"/>
    <w:rsid w:val="00EC6BC9"/>
    <w:rsid w:val="00EC71F0"/>
    <w:rsid w:val="00EC7A19"/>
    <w:rsid w:val="00ED5FAA"/>
    <w:rsid w:val="00ED76CD"/>
    <w:rsid w:val="00EE2849"/>
    <w:rsid w:val="00EE5C6F"/>
    <w:rsid w:val="00EE6C9B"/>
    <w:rsid w:val="00EF0B6F"/>
    <w:rsid w:val="00EF2837"/>
    <w:rsid w:val="00F16348"/>
    <w:rsid w:val="00F22DB0"/>
    <w:rsid w:val="00F34813"/>
    <w:rsid w:val="00F44DC2"/>
    <w:rsid w:val="00F63209"/>
    <w:rsid w:val="00F925B5"/>
    <w:rsid w:val="00FA599D"/>
    <w:rsid w:val="00FA79E4"/>
    <w:rsid w:val="00FC1D0B"/>
    <w:rsid w:val="00FC23CA"/>
    <w:rsid w:val="00FC4955"/>
    <w:rsid w:val="00FF03F3"/>
    <w:rsid w:val="00FF35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768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8B6"/>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968B6"/>
  </w:style>
  <w:style w:type="paragraph" w:styleId="Title">
    <w:name w:val="Title"/>
    <w:basedOn w:val="Normal"/>
    <w:qFormat/>
    <w:rsid w:val="008968B6"/>
    <w:pPr>
      <w:widowControl/>
      <w:tabs>
        <w:tab w:val="left" w:pos="1440"/>
      </w:tabs>
      <w:jc w:val="center"/>
    </w:pPr>
    <w:rPr>
      <w:rFonts w:ascii="Times" w:hAnsi="Times"/>
      <w:b/>
      <w:bCs/>
    </w:rPr>
  </w:style>
  <w:style w:type="paragraph" w:styleId="Header">
    <w:name w:val="header"/>
    <w:basedOn w:val="Normal"/>
    <w:link w:val="HeaderChar"/>
    <w:rsid w:val="008968B6"/>
    <w:pPr>
      <w:tabs>
        <w:tab w:val="center" w:pos="4320"/>
        <w:tab w:val="right" w:pos="8640"/>
      </w:tabs>
    </w:pPr>
  </w:style>
  <w:style w:type="paragraph" w:styleId="Footer">
    <w:name w:val="footer"/>
    <w:basedOn w:val="Normal"/>
    <w:rsid w:val="008968B6"/>
    <w:pPr>
      <w:tabs>
        <w:tab w:val="center" w:pos="4320"/>
        <w:tab w:val="right" w:pos="8640"/>
      </w:tabs>
    </w:pPr>
  </w:style>
  <w:style w:type="character" w:styleId="PageNumber">
    <w:name w:val="page number"/>
    <w:basedOn w:val="DefaultParagraphFont"/>
    <w:rsid w:val="00A42A08"/>
  </w:style>
  <w:style w:type="paragraph" w:styleId="BalloonText">
    <w:name w:val="Balloon Text"/>
    <w:basedOn w:val="Normal"/>
    <w:semiHidden/>
    <w:rsid w:val="00414776"/>
    <w:rPr>
      <w:rFonts w:ascii="Tahoma" w:hAnsi="Tahoma" w:cs="Tahoma"/>
      <w:sz w:val="16"/>
      <w:szCs w:val="16"/>
    </w:rPr>
  </w:style>
  <w:style w:type="character" w:styleId="CommentReference">
    <w:name w:val="annotation reference"/>
    <w:basedOn w:val="DefaultParagraphFont"/>
    <w:semiHidden/>
    <w:rsid w:val="00CA25CF"/>
    <w:rPr>
      <w:sz w:val="16"/>
      <w:szCs w:val="16"/>
    </w:rPr>
  </w:style>
  <w:style w:type="paragraph" w:styleId="CommentText">
    <w:name w:val="annotation text"/>
    <w:basedOn w:val="Normal"/>
    <w:link w:val="CommentTextChar"/>
    <w:semiHidden/>
    <w:rsid w:val="00CA25CF"/>
    <w:rPr>
      <w:sz w:val="20"/>
      <w:szCs w:val="20"/>
    </w:rPr>
  </w:style>
  <w:style w:type="paragraph" w:styleId="CommentSubject">
    <w:name w:val="annotation subject"/>
    <w:basedOn w:val="CommentText"/>
    <w:next w:val="CommentText"/>
    <w:semiHidden/>
    <w:rsid w:val="00CA25CF"/>
    <w:rPr>
      <w:b/>
      <w:bCs/>
    </w:rPr>
  </w:style>
  <w:style w:type="paragraph" w:styleId="FootnoteText">
    <w:name w:val="footnote text"/>
    <w:basedOn w:val="Normal"/>
    <w:link w:val="FootnoteTextChar"/>
    <w:semiHidden/>
    <w:rsid w:val="00E60570"/>
    <w:rPr>
      <w:sz w:val="20"/>
      <w:szCs w:val="20"/>
    </w:rPr>
  </w:style>
  <w:style w:type="character" w:customStyle="1" w:styleId="FootnoteTextChar">
    <w:name w:val="Footnote Text Char"/>
    <w:basedOn w:val="DefaultParagraphFont"/>
    <w:link w:val="FootnoteText"/>
    <w:rsid w:val="00C579D2"/>
    <w:rPr>
      <w:rFonts w:ascii="Courier" w:hAnsi="Courier"/>
      <w:lang w:val="en-US" w:eastAsia="en-US" w:bidi="ar-SA"/>
    </w:rPr>
  </w:style>
  <w:style w:type="character" w:customStyle="1" w:styleId="HeaderChar">
    <w:name w:val="Header Char"/>
    <w:basedOn w:val="DefaultParagraphFont"/>
    <w:link w:val="Header"/>
    <w:rsid w:val="006C68F6"/>
    <w:rPr>
      <w:rFonts w:ascii="Courier" w:hAnsi="Courier"/>
      <w:sz w:val="24"/>
      <w:szCs w:val="24"/>
    </w:rPr>
  </w:style>
  <w:style w:type="paragraph" w:styleId="Revision">
    <w:name w:val="Revision"/>
    <w:hidden/>
    <w:uiPriority w:val="99"/>
    <w:semiHidden/>
    <w:rsid w:val="00AE0CC3"/>
    <w:rPr>
      <w:rFonts w:ascii="Courier" w:hAnsi="Courier"/>
      <w:sz w:val="24"/>
      <w:szCs w:val="24"/>
    </w:rPr>
  </w:style>
  <w:style w:type="table" w:styleId="TableGrid">
    <w:name w:val="Table Grid"/>
    <w:basedOn w:val="TableNormal"/>
    <w:uiPriority w:val="59"/>
    <w:rsid w:val="00A41011"/>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mmentTextChar">
    <w:name w:val="Comment Text Char"/>
    <w:basedOn w:val="DefaultParagraphFont"/>
    <w:link w:val="CommentText"/>
    <w:semiHidden/>
    <w:rsid w:val="001F0DD7"/>
    <w:rPr>
      <w:rFonts w:ascii="Courier" w:hAnsi="Courier"/>
    </w:rPr>
  </w:style>
  <w:style w:type="paragraph" w:styleId="EndnoteText">
    <w:name w:val="endnote text"/>
    <w:basedOn w:val="Normal"/>
    <w:link w:val="EndnoteTextChar"/>
    <w:uiPriority w:val="99"/>
    <w:semiHidden/>
    <w:unhideWhenUsed/>
    <w:rsid w:val="009A122A"/>
    <w:rPr>
      <w:sz w:val="20"/>
      <w:szCs w:val="20"/>
    </w:rPr>
  </w:style>
  <w:style w:type="character" w:customStyle="1" w:styleId="EndnoteTextChar">
    <w:name w:val="Endnote Text Char"/>
    <w:basedOn w:val="DefaultParagraphFont"/>
    <w:link w:val="EndnoteText"/>
    <w:uiPriority w:val="99"/>
    <w:semiHidden/>
    <w:rsid w:val="009A122A"/>
    <w:rPr>
      <w:rFonts w:ascii="Courier" w:hAnsi="Courier"/>
    </w:rPr>
  </w:style>
  <w:style w:type="character" w:styleId="EndnoteReference">
    <w:name w:val="endnote reference"/>
    <w:basedOn w:val="DefaultParagraphFont"/>
    <w:uiPriority w:val="99"/>
    <w:semiHidden/>
    <w:unhideWhenUsed/>
    <w:rsid w:val="009A122A"/>
    <w:rPr>
      <w:vertAlign w:val="superscript"/>
    </w:rPr>
  </w:style>
  <w:style w:type="character" w:styleId="Hyperlink">
    <w:name w:val="Hyperlink"/>
    <w:basedOn w:val="DefaultParagraphFont"/>
    <w:uiPriority w:val="99"/>
    <w:unhideWhenUsed/>
    <w:rsid w:val="00171F1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soc/" TargetMode="External"/><Relationship Id="rId1" Type="http://schemas.openxmlformats.org/officeDocument/2006/relationships/hyperlink" Target="http://www.bls.gov/news.release/ocwage.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E1BDA-6760-434A-ADEC-6A22611F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BOARD  OF  GOVERNORS  OF  THE  FEDERAL  RESERVE  SYSTEM</vt:lpstr>
    </vt:vector>
  </TitlesOfParts>
  <Company>Division of  Research and Statistics</Company>
  <LinksUpToDate>false</LinksUpToDate>
  <CharactersWithSpaces>11324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GOVERNORS  OF  THE  FEDERAL  RESERVE  SYSTEM</dc:title>
  <dc:creator>Nicole S. Padar</dc:creator>
  <cp:lastModifiedBy>m1nsp00</cp:lastModifiedBy>
  <cp:revision>5</cp:revision>
  <cp:lastPrinted>2012-03-16T20:49:00Z</cp:lastPrinted>
  <dcterms:created xsi:type="dcterms:W3CDTF">2012-05-15T13:03:00Z</dcterms:created>
  <dcterms:modified xsi:type="dcterms:W3CDTF">2012-05-23T14:25:00Z</dcterms:modified>
</cp:coreProperties>
</file>